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5126" w14:textId="77777777" w:rsidR="00B05277" w:rsidRPr="00177551" w:rsidRDefault="00B05277" w:rsidP="00B05277">
      <w:pPr>
        <w:widowControl w:val="0"/>
        <w:autoSpaceDE w:val="0"/>
        <w:autoSpaceDN w:val="0"/>
        <w:adjustRightInd w:val="0"/>
        <w:spacing w:after="240" w:line="480" w:lineRule="auto"/>
        <w:ind w:right="-619"/>
        <w:jc w:val="center"/>
        <w:rPr>
          <w:rFonts w:ascii="Arial" w:hAnsi="Arial" w:cs="Arial"/>
          <w:b/>
          <w:bCs/>
          <w:color w:val="000000" w:themeColor="text1"/>
          <w:sz w:val="20"/>
          <w:szCs w:val="20"/>
          <w:lang w:val="en-US"/>
        </w:rPr>
      </w:pPr>
      <w:r w:rsidRPr="00177551">
        <w:rPr>
          <w:rFonts w:ascii="Arial" w:hAnsi="Arial" w:cs="Arial"/>
          <w:b/>
          <w:bCs/>
          <w:color w:val="000000" w:themeColor="text1"/>
          <w:sz w:val="20"/>
          <w:szCs w:val="20"/>
          <w:lang w:val="en-US"/>
        </w:rPr>
        <w:t>Association between single dose and longer-term clinical response to stimulants in ADHD: a systematic review of randomized controlled trials.</w:t>
      </w:r>
    </w:p>
    <w:p w14:paraId="62CBC7CA" w14:textId="77777777" w:rsidR="00B05277" w:rsidRPr="00177551" w:rsidRDefault="00B05277" w:rsidP="00B05277">
      <w:pPr>
        <w:widowControl w:val="0"/>
        <w:autoSpaceDE w:val="0"/>
        <w:autoSpaceDN w:val="0"/>
        <w:adjustRightInd w:val="0"/>
        <w:spacing w:after="240" w:line="480" w:lineRule="auto"/>
        <w:ind w:left="-567" w:right="-619"/>
        <w:rPr>
          <w:rFonts w:ascii="Arial" w:hAnsi="Arial" w:cs="Arial"/>
          <w:color w:val="000000" w:themeColor="text1"/>
          <w:sz w:val="20"/>
          <w:szCs w:val="20"/>
          <w:vertAlign w:val="superscript"/>
          <w:lang w:val="en-US"/>
        </w:rPr>
      </w:pPr>
      <w:r w:rsidRPr="00177551">
        <w:rPr>
          <w:rFonts w:ascii="Arial" w:hAnsi="Arial" w:cs="Arial"/>
          <w:color w:val="000000" w:themeColor="text1"/>
          <w:sz w:val="20"/>
          <w:szCs w:val="20"/>
          <w:lang w:val="en-US"/>
        </w:rPr>
        <w:t xml:space="preserve">Valeria </w:t>
      </w:r>
      <w:proofErr w:type="spellStart"/>
      <w:r w:rsidRPr="00177551">
        <w:rPr>
          <w:rFonts w:ascii="Arial" w:hAnsi="Arial" w:cs="Arial"/>
          <w:color w:val="000000" w:themeColor="text1"/>
          <w:sz w:val="20"/>
          <w:szCs w:val="20"/>
          <w:lang w:val="en-US"/>
        </w:rPr>
        <w:t>Parlatini</w:t>
      </w:r>
      <w:proofErr w:type="spellEnd"/>
      <w:r w:rsidRPr="00177551">
        <w:rPr>
          <w:rFonts w:ascii="Arial" w:hAnsi="Arial" w:cs="Arial"/>
          <w:color w:val="000000" w:themeColor="text1"/>
          <w:sz w:val="20"/>
          <w:szCs w:val="20"/>
          <w:lang w:val="en-US"/>
        </w:rPr>
        <w:t xml:space="preserve"> MD, PhD</w:t>
      </w:r>
      <w:r w:rsidRPr="00177551">
        <w:rPr>
          <w:rFonts w:ascii="Arial" w:hAnsi="Arial" w:cs="Arial"/>
          <w:color w:val="000000" w:themeColor="text1"/>
          <w:sz w:val="20"/>
          <w:szCs w:val="20"/>
          <w:vertAlign w:val="superscript"/>
          <w:lang w:val="en-US"/>
        </w:rPr>
        <w:t>1-6</w:t>
      </w:r>
      <w:r w:rsidRPr="00177551">
        <w:rPr>
          <w:rFonts w:ascii="Arial" w:hAnsi="Arial" w:cs="Arial"/>
          <w:color w:val="000000" w:themeColor="text1"/>
          <w:sz w:val="20"/>
          <w:szCs w:val="20"/>
          <w:lang w:val="en-US"/>
        </w:rPr>
        <w:t xml:space="preserve">, Alessio </w:t>
      </w:r>
      <w:proofErr w:type="spellStart"/>
      <w:r w:rsidRPr="00177551">
        <w:rPr>
          <w:rFonts w:ascii="Arial" w:hAnsi="Arial" w:cs="Arial"/>
          <w:color w:val="000000" w:themeColor="text1"/>
          <w:sz w:val="20"/>
          <w:szCs w:val="20"/>
          <w:lang w:val="en-US"/>
        </w:rPr>
        <w:t>Bellato</w:t>
      </w:r>
      <w:proofErr w:type="spellEnd"/>
      <w:r w:rsidRPr="00177551">
        <w:rPr>
          <w:rFonts w:ascii="Arial" w:hAnsi="Arial" w:cs="Arial"/>
          <w:color w:val="000000" w:themeColor="text1"/>
          <w:sz w:val="20"/>
          <w:szCs w:val="20"/>
          <w:lang w:val="en-US"/>
        </w:rPr>
        <w:t xml:space="preserve"> PhD</w:t>
      </w:r>
      <w:r w:rsidRPr="00177551">
        <w:rPr>
          <w:rFonts w:ascii="Arial" w:hAnsi="Arial" w:cs="Arial"/>
          <w:color w:val="000000" w:themeColor="text1"/>
          <w:sz w:val="20"/>
          <w:szCs w:val="20"/>
          <w:vertAlign w:val="superscript"/>
          <w:lang w:val="en-US"/>
        </w:rPr>
        <w:t>1-3,7-8</w:t>
      </w:r>
      <w:r w:rsidRPr="00177551">
        <w:rPr>
          <w:rFonts w:ascii="Arial" w:hAnsi="Arial" w:cs="Arial"/>
          <w:color w:val="000000" w:themeColor="text1"/>
          <w:sz w:val="20"/>
          <w:szCs w:val="20"/>
          <w:lang w:val="en-US"/>
        </w:rPr>
        <w:t xml:space="preserve">, </w:t>
      </w:r>
      <w:proofErr w:type="spellStart"/>
      <w:r w:rsidRPr="00177551">
        <w:rPr>
          <w:rFonts w:ascii="Arial" w:hAnsi="Arial" w:cs="Arial"/>
          <w:color w:val="000000" w:themeColor="text1"/>
          <w:sz w:val="20"/>
          <w:szCs w:val="20"/>
          <w:lang w:val="en-US"/>
        </w:rPr>
        <w:t>Sulagna</w:t>
      </w:r>
      <w:proofErr w:type="spellEnd"/>
      <w:r w:rsidRPr="00177551">
        <w:rPr>
          <w:rFonts w:ascii="Arial" w:hAnsi="Arial" w:cs="Arial"/>
          <w:color w:val="000000" w:themeColor="text1"/>
          <w:sz w:val="20"/>
          <w:szCs w:val="20"/>
          <w:lang w:val="en-US"/>
        </w:rPr>
        <w:t xml:space="preserve"> Roy MSc</w:t>
      </w:r>
      <w:r w:rsidRPr="00177551">
        <w:rPr>
          <w:rFonts w:ascii="Arial" w:hAnsi="Arial" w:cs="Arial"/>
          <w:color w:val="000000" w:themeColor="text1"/>
          <w:sz w:val="20"/>
          <w:szCs w:val="20"/>
          <w:vertAlign w:val="superscript"/>
          <w:lang w:val="en-US"/>
        </w:rPr>
        <w:t>1-2</w:t>
      </w:r>
      <w:r w:rsidRPr="00177551">
        <w:rPr>
          <w:rFonts w:ascii="Arial" w:hAnsi="Arial" w:cs="Arial"/>
          <w:color w:val="000000" w:themeColor="text1"/>
          <w:sz w:val="20"/>
          <w:szCs w:val="20"/>
          <w:lang w:val="en-US"/>
        </w:rPr>
        <w:t>, Declan Murphy MD, FRCPsych</w:t>
      </w:r>
      <w:r w:rsidRPr="00177551">
        <w:rPr>
          <w:rFonts w:ascii="Arial" w:hAnsi="Arial" w:cs="Arial"/>
          <w:color w:val="000000" w:themeColor="text1"/>
          <w:sz w:val="20"/>
          <w:szCs w:val="20"/>
          <w:vertAlign w:val="superscript"/>
          <w:lang w:val="en-US"/>
        </w:rPr>
        <w:t xml:space="preserve">4-5, </w:t>
      </w:r>
      <w:proofErr w:type="spellStart"/>
      <w:r w:rsidRPr="00177551">
        <w:rPr>
          <w:rFonts w:ascii="Arial" w:hAnsi="Arial" w:cs="Arial"/>
          <w:color w:val="000000" w:themeColor="text1"/>
          <w:sz w:val="20"/>
          <w:szCs w:val="20"/>
          <w:lang w:val="en-US"/>
        </w:rPr>
        <w:t>Samuele</w:t>
      </w:r>
      <w:proofErr w:type="spellEnd"/>
      <w:r w:rsidRPr="00177551">
        <w:rPr>
          <w:rFonts w:ascii="Arial" w:hAnsi="Arial" w:cs="Arial"/>
          <w:color w:val="000000" w:themeColor="text1"/>
          <w:sz w:val="20"/>
          <w:szCs w:val="20"/>
          <w:lang w:val="en-US"/>
        </w:rPr>
        <w:t xml:space="preserve"> Cortese MD, PhD </w:t>
      </w:r>
      <w:r w:rsidRPr="00177551">
        <w:rPr>
          <w:rFonts w:ascii="Arial" w:hAnsi="Arial" w:cs="Arial"/>
          <w:color w:val="000000" w:themeColor="text1"/>
          <w:sz w:val="20"/>
          <w:szCs w:val="20"/>
          <w:vertAlign w:val="superscript"/>
          <w:lang w:val="en-US"/>
        </w:rPr>
        <w:t>1-3, 6, 9-10</w:t>
      </w:r>
    </w:p>
    <w:p w14:paraId="3EBC77EF" w14:textId="77777777" w:rsidR="00B05277" w:rsidRPr="00177551" w:rsidRDefault="00B05277" w:rsidP="00B05277">
      <w:pPr>
        <w:pStyle w:val="CommentText"/>
        <w:spacing w:line="480" w:lineRule="auto"/>
        <w:ind w:left="-567" w:right="-619"/>
        <w:rPr>
          <w:rFonts w:ascii="Arial" w:hAnsi="Arial" w:cs="Arial"/>
          <w:color w:val="000000" w:themeColor="text1"/>
          <w:lang w:val="en-US"/>
        </w:rPr>
      </w:pPr>
      <w:r w:rsidRPr="00177551">
        <w:rPr>
          <w:rFonts w:ascii="Arial" w:hAnsi="Arial" w:cs="Arial"/>
          <w:color w:val="000000" w:themeColor="text1"/>
          <w:vertAlign w:val="superscript"/>
          <w:lang w:val="en-US"/>
        </w:rPr>
        <w:t>1</w:t>
      </w:r>
      <w:r w:rsidRPr="00177551">
        <w:rPr>
          <w:rFonts w:ascii="Arial" w:hAnsi="Arial" w:cs="Arial"/>
          <w:color w:val="000000" w:themeColor="text1"/>
          <w:lang w:val="en-US"/>
        </w:rPr>
        <w:t xml:space="preserve"> School of Psychology, University of Southampton, Southampton, United Kingdom</w:t>
      </w:r>
    </w:p>
    <w:p w14:paraId="5F51E6B6" w14:textId="77777777" w:rsidR="00B05277" w:rsidRPr="00177551" w:rsidRDefault="00B05277" w:rsidP="00B05277">
      <w:pPr>
        <w:pStyle w:val="CommentText"/>
        <w:spacing w:line="480" w:lineRule="auto"/>
        <w:ind w:left="-567" w:right="-619"/>
        <w:rPr>
          <w:rFonts w:ascii="Arial" w:hAnsi="Arial" w:cs="Arial"/>
          <w:color w:val="000000" w:themeColor="text1"/>
          <w:lang w:val="en-US"/>
        </w:rPr>
      </w:pPr>
      <w:r w:rsidRPr="00177551">
        <w:rPr>
          <w:rFonts w:ascii="Arial" w:hAnsi="Arial" w:cs="Arial"/>
          <w:color w:val="000000" w:themeColor="text1"/>
          <w:vertAlign w:val="superscript"/>
          <w:lang w:val="en-US"/>
        </w:rPr>
        <w:t>2</w:t>
      </w:r>
      <w:r w:rsidRPr="00177551">
        <w:rPr>
          <w:rFonts w:ascii="Arial" w:hAnsi="Arial" w:cs="Arial"/>
          <w:color w:val="000000" w:themeColor="text1"/>
          <w:lang w:val="en-US"/>
        </w:rPr>
        <w:t>Centre for Innovation in Mental Health, University of Southampton, Southampton, United Kingdom</w:t>
      </w:r>
    </w:p>
    <w:p w14:paraId="640CBA9E" w14:textId="77777777" w:rsidR="00B05277" w:rsidRPr="00177551" w:rsidRDefault="00B05277" w:rsidP="00B05277">
      <w:pPr>
        <w:pStyle w:val="CommentText"/>
        <w:spacing w:line="480" w:lineRule="auto"/>
        <w:ind w:left="-567" w:right="-619"/>
        <w:rPr>
          <w:rFonts w:ascii="Arial" w:hAnsi="Arial" w:cs="Arial"/>
          <w:color w:val="000000" w:themeColor="text1"/>
          <w:lang w:val="en-US"/>
        </w:rPr>
      </w:pPr>
      <w:r w:rsidRPr="00177551">
        <w:rPr>
          <w:rFonts w:ascii="Arial" w:hAnsi="Arial" w:cs="Arial"/>
          <w:color w:val="000000" w:themeColor="text1"/>
          <w:vertAlign w:val="superscript"/>
          <w:lang w:val="en-US"/>
        </w:rPr>
        <w:t>3</w:t>
      </w:r>
      <w:r w:rsidRPr="00177551">
        <w:rPr>
          <w:rFonts w:ascii="Arial" w:hAnsi="Arial" w:cs="Arial"/>
          <w:color w:val="000000" w:themeColor="text1"/>
          <w:lang w:val="en-US"/>
        </w:rPr>
        <w:t>Institute for Life Sciences, University of Southampton, Southampton, United Kingdom</w:t>
      </w:r>
    </w:p>
    <w:p w14:paraId="57602BD2" w14:textId="77777777" w:rsidR="00B05277" w:rsidRPr="00177551" w:rsidRDefault="00B05277" w:rsidP="00B05277">
      <w:pPr>
        <w:widowControl w:val="0"/>
        <w:tabs>
          <w:tab w:val="left" w:pos="220"/>
          <w:tab w:val="left" w:pos="720"/>
        </w:tabs>
        <w:autoSpaceDE w:val="0"/>
        <w:autoSpaceDN w:val="0"/>
        <w:adjustRightInd w:val="0"/>
        <w:spacing w:line="480" w:lineRule="auto"/>
        <w:ind w:left="-567" w:right="-619"/>
        <w:rPr>
          <w:rFonts w:ascii="Arial" w:hAnsi="Arial" w:cs="Arial"/>
          <w:color w:val="000000" w:themeColor="text1"/>
          <w:sz w:val="20"/>
          <w:szCs w:val="20"/>
          <w:lang w:val="en-US"/>
        </w:rPr>
      </w:pPr>
      <w:r w:rsidRPr="00177551">
        <w:rPr>
          <w:rFonts w:ascii="Arial" w:hAnsi="Arial" w:cs="Arial"/>
          <w:color w:val="000000" w:themeColor="text1"/>
          <w:sz w:val="20"/>
          <w:szCs w:val="20"/>
          <w:vertAlign w:val="superscript"/>
          <w:lang w:val="en-US"/>
        </w:rPr>
        <w:t>4</w:t>
      </w:r>
      <w:r w:rsidRPr="00177551">
        <w:rPr>
          <w:rFonts w:ascii="Arial" w:hAnsi="Arial" w:cs="Arial"/>
          <w:color w:val="000000" w:themeColor="text1"/>
          <w:sz w:val="20"/>
          <w:szCs w:val="20"/>
          <w:lang w:val="en-US"/>
        </w:rPr>
        <w:t xml:space="preserve">Institute of Translational Neurodevelopment, Department of Forensic and Neurodevelopmental Sciences, Institute of Psychiatry, Psychology and Neuroscience, King’s College London, SE5 8AF, London, UK. </w:t>
      </w:r>
    </w:p>
    <w:p w14:paraId="1F7DEAC3" w14:textId="77777777" w:rsidR="00B05277" w:rsidRPr="00177551" w:rsidRDefault="00B05277" w:rsidP="00B05277">
      <w:pPr>
        <w:widowControl w:val="0"/>
        <w:tabs>
          <w:tab w:val="left" w:pos="220"/>
          <w:tab w:val="left" w:pos="720"/>
        </w:tabs>
        <w:autoSpaceDE w:val="0"/>
        <w:autoSpaceDN w:val="0"/>
        <w:adjustRightInd w:val="0"/>
        <w:spacing w:line="480" w:lineRule="auto"/>
        <w:ind w:left="-567" w:right="-619"/>
        <w:rPr>
          <w:rFonts w:ascii="Arial" w:hAnsi="Arial" w:cs="Arial"/>
          <w:color w:val="000000" w:themeColor="text1"/>
          <w:sz w:val="20"/>
          <w:szCs w:val="20"/>
          <w:lang w:val="en-US"/>
        </w:rPr>
      </w:pPr>
      <w:r w:rsidRPr="00177551">
        <w:rPr>
          <w:rFonts w:ascii="Arial" w:hAnsi="Arial" w:cs="Arial"/>
          <w:color w:val="000000" w:themeColor="text1"/>
          <w:position w:val="8"/>
          <w:sz w:val="20"/>
          <w:szCs w:val="20"/>
          <w:vertAlign w:val="superscript"/>
          <w:lang w:val="en-US"/>
        </w:rPr>
        <w:t>5</w:t>
      </w:r>
      <w:r w:rsidRPr="00177551">
        <w:rPr>
          <w:rFonts w:ascii="Arial" w:hAnsi="Arial" w:cs="Arial"/>
          <w:color w:val="000000" w:themeColor="text1"/>
          <w:sz w:val="20"/>
          <w:szCs w:val="20"/>
          <w:lang w:val="en-US"/>
        </w:rPr>
        <w:t xml:space="preserve">Department of Forensic and Neurodevelopmental Sciences, Institute of Psychiatry, Psychology and Neuroscience, King’s College London, SE5 8AF, London, UK. </w:t>
      </w:r>
    </w:p>
    <w:p w14:paraId="3CA3FBA7" w14:textId="77777777" w:rsidR="00B05277" w:rsidRPr="00177551" w:rsidRDefault="00B05277" w:rsidP="00B05277">
      <w:pPr>
        <w:widowControl w:val="0"/>
        <w:tabs>
          <w:tab w:val="left" w:pos="220"/>
          <w:tab w:val="left" w:pos="720"/>
        </w:tabs>
        <w:autoSpaceDE w:val="0"/>
        <w:autoSpaceDN w:val="0"/>
        <w:adjustRightInd w:val="0"/>
        <w:spacing w:line="480" w:lineRule="auto"/>
        <w:ind w:left="-567" w:right="-619"/>
        <w:rPr>
          <w:rFonts w:ascii="Arial" w:hAnsi="Arial" w:cs="Arial"/>
          <w:color w:val="000000" w:themeColor="text1"/>
          <w:sz w:val="20"/>
          <w:szCs w:val="20"/>
          <w:lang w:val="en-US"/>
        </w:rPr>
      </w:pPr>
      <w:r w:rsidRPr="00177551">
        <w:rPr>
          <w:rFonts w:ascii="Arial" w:hAnsi="Arial" w:cs="Arial"/>
          <w:color w:val="000000" w:themeColor="text1"/>
          <w:position w:val="6"/>
          <w:sz w:val="20"/>
          <w:szCs w:val="20"/>
          <w:vertAlign w:val="superscript"/>
          <w:lang w:val="en-US"/>
        </w:rPr>
        <w:t>6</w:t>
      </w:r>
      <w:r w:rsidRPr="00177551">
        <w:rPr>
          <w:rFonts w:ascii="Arial" w:hAnsi="Arial" w:cs="Arial"/>
          <w:color w:val="000000" w:themeColor="text1"/>
          <w:sz w:val="20"/>
          <w:szCs w:val="20"/>
          <w:lang w:val="en-US"/>
        </w:rPr>
        <w:t xml:space="preserve">Solent NHS Trust, Southampton, UK. </w:t>
      </w:r>
    </w:p>
    <w:p w14:paraId="79FA1413" w14:textId="77777777" w:rsidR="00B05277" w:rsidRPr="00177551" w:rsidRDefault="00B05277" w:rsidP="00B05277">
      <w:pPr>
        <w:pStyle w:val="CommentText"/>
        <w:spacing w:line="480" w:lineRule="auto"/>
        <w:ind w:left="-567" w:right="-619"/>
        <w:rPr>
          <w:rFonts w:ascii="Arial" w:hAnsi="Arial" w:cs="Arial"/>
          <w:color w:val="000000" w:themeColor="text1"/>
          <w:lang w:val="en-US"/>
        </w:rPr>
      </w:pPr>
      <w:r w:rsidRPr="00177551">
        <w:rPr>
          <w:rFonts w:ascii="Arial" w:hAnsi="Arial" w:cs="Arial"/>
          <w:color w:val="000000" w:themeColor="text1"/>
          <w:vertAlign w:val="superscript"/>
          <w:lang w:val="en-US"/>
        </w:rPr>
        <w:t>7</w:t>
      </w:r>
      <w:r w:rsidRPr="00177551">
        <w:rPr>
          <w:rFonts w:ascii="Arial" w:hAnsi="Arial" w:cs="Arial"/>
          <w:color w:val="000000" w:themeColor="text1"/>
          <w:lang w:val="en-US"/>
        </w:rPr>
        <w:t>School of Psychology, University of Nottingham, Semenyih, Malaysia</w:t>
      </w:r>
    </w:p>
    <w:p w14:paraId="09E11803" w14:textId="77777777" w:rsidR="00B05277" w:rsidRPr="00177551" w:rsidRDefault="00B05277" w:rsidP="00B05277">
      <w:pPr>
        <w:widowControl w:val="0"/>
        <w:autoSpaceDE w:val="0"/>
        <w:autoSpaceDN w:val="0"/>
        <w:adjustRightInd w:val="0"/>
        <w:spacing w:after="240" w:line="480" w:lineRule="auto"/>
        <w:ind w:left="-567" w:right="-619"/>
        <w:contextualSpacing/>
        <w:rPr>
          <w:rFonts w:ascii="Arial" w:hAnsi="Arial" w:cs="Arial"/>
          <w:b/>
          <w:color w:val="000000" w:themeColor="text1"/>
          <w:sz w:val="20"/>
          <w:szCs w:val="20"/>
          <w:lang w:val="en-US"/>
        </w:rPr>
      </w:pPr>
      <w:r w:rsidRPr="00177551">
        <w:rPr>
          <w:rFonts w:ascii="Arial" w:hAnsi="Arial" w:cs="Arial"/>
          <w:color w:val="000000" w:themeColor="text1"/>
          <w:sz w:val="20"/>
          <w:szCs w:val="20"/>
          <w:vertAlign w:val="superscript"/>
          <w:lang w:val="en-US"/>
        </w:rPr>
        <w:t>8</w:t>
      </w:r>
      <w:r w:rsidRPr="00177551">
        <w:rPr>
          <w:rFonts w:ascii="Arial" w:hAnsi="Arial" w:cs="Arial"/>
          <w:color w:val="000000" w:themeColor="text1"/>
          <w:sz w:val="20"/>
          <w:szCs w:val="20"/>
          <w:lang w:val="en-US"/>
        </w:rPr>
        <w:t>Mind and Neurodevelopment (</w:t>
      </w:r>
      <w:proofErr w:type="spellStart"/>
      <w:r w:rsidRPr="00177551">
        <w:rPr>
          <w:rFonts w:ascii="Arial" w:hAnsi="Arial" w:cs="Arial"/>
          <w:color w:val="000000" w:themeColor="text1"/>
          <w:sz w:val="20"/>
          <w:szCs w:val="20"/>
          <w:lang w:val="en-US"/>
        </w:rPr>
        <w:t>MiND</w:t>
      </w:r>
      <w:proofErr w:type="spellEnd"/>
      <w:r w:rsidRPr="00177551">
        <w:rPr>
          <w:rFonts w:ascii="Arial" w:hAnsi="Arial" w:cs="Arial"/>
          <w:color w:val="000000" w:themeColor="text1"/>
          <w:sz w:val="20"/>
          <w:szCs w:val="20"/>
          <w:lang w:val="en-US"/>
        </w:rPr>
        <w:t>) Research Group, University of Nottingham, Semenyih, Malaysia</w:t>
      </w:r>
    </w:p>
    <w:p w14:paraId="1B62EF5A" w14:textId="77777777" w:rsidR="00B05277" w:rsidRPr="00177551" w:rsidRDefault="00B05277" w:rsidP="00B05277">
      <w:pPr>
        <w:widowControl w:val="0"/>
        <w:autoSpaceDE w:val="0"/>
        <w:autoSpaceDN w:val="0"/>
        <w:adjustRightInd w:val="0"/>
        <w:spacing w:after="240" w:line="480" w:lineRule="auto"/>
        <w:ind w:left="-567" w:right="-619"/>
        <w:contextualSpacing/>
        <w:rPr>
          <w:rFonts w:ascii="Arial" w:hAnsi="Arial" w:cs="Arial"/>
          <w:b/>
          <w:color w:val="000000" w:themeColor="text1"/>
          <w:sz w:val="20"/>
          <w:szCs w:val="20"/>
          <w:lang w:val="en-US"/>
        </w:rPr>
      </w:pPr>
      <w:r w:rsidRPr="00177551">
        <w:rPr>
          <w:rFonts w:ascii="Arial" w:hAnsi="Arial" w:cs="Arial"/>
          <w:color w:val="000000" w:themeColor="text1"/>
          <w:position w:val="8"/>
          <w:sz w:val="20"/>
          <w:szCs w:val="20"/>
          <w:vertAlign w:val="superscript"/>
          <w:lang w:val="en-US"/>
        </w:rPr>
        <w:t>9</w:t>
      </w:r>
      <w:r w:rsidRPr="00177551">
        <w:rPr>
          <w:rFonts w:ascii="Arial" w:hAnsi="Arial" w:cs="Arial"/>
          <w:color w:val="000000" w:themeColor="text1"/>
          <w:sz w:val="20"/>
          <w:szCs w:val="20"/>
          <w:lang w:val="en-US"/>
        </w:rPr>
        <w:t xml:space="preserve">Clinical and Experimental Sciences (CNS and Psychiatry), Faculty of Medicine, University of Southampton, Southampton, UK. </w:t>
      </w:r>
    </w:p>
    <w:p w14:paraId="3D851561" w14:textId="77777777" w:rsidR="00B05277" w:rsidRPr="00177551" w:rsidRDefault="00B05277" w:rsidP="00B05277">
      <w:pPr>
        <w:widowControl w:val="0"/>
        <w:tabs>
          <w:tab w:val="left" w:pos="220"/>
          <w:tab w:val="left" w:pos="720"/>
        </w:tabs>
        <w:autoSpaceDE w:val="0"/>
        <w:autoSpaceDN w:val="0"/>
        <w:adjustRightInd w:val="0"/>
        <w:spacing w:line="480" w:lineRule="auto"/>
        <w:ind w:left="-567" w:right="-619"/>
        <w:rPr>
          <w:rFonts w:ascii="Arial" w:hAnsi="Arial" w:cs="Arial"/>
          <w:color w:val="000000" w:themeColor="text1"/>
          <w:sz w:val="20"/>
          <w:szCs w:val="20"/>
          <w:lang w:val="en-US"/>
        </w:rPr>
      </w:pPr>
      <w:r w:rsidRPr="00177551">
        <w:rPr>
          <w:rFonts w:ascii="Arial" w:hAnsi="Arial" w:cs="Arial"/>
          <w:color w:val="000000" w:themeColor="text1"/>
          <w:position w:val="6"/>
          <w:sz w:val="20"/>
          <w:szCs w:val="20"/>
          <w:vertAlign w:val="superscript"/>
          <w:lang w:val="en-US"/>
        </w:rPr>
        <w:t>10</w:t>
      </w:r>
      <w:r w:rsidRPr="00177551">
        <w:rPr>
          <w:rFonts w:ascii="Arial" w:hAnsi="Arial" w:cs="Arial"/>
          <w:color w:val="000000" w:themeColor="text1"/>
          <w:sz w:val="20"/>
          <w:szCs w:val="20"/>
          <w:lang w:val="en-US"/>
        </w:rPr>
        <w:t>Hassenfeld Children’s Hospital at NYU Langone, New York University Child Study Center, New York, NY, USA.</w:t>
      </w:r>
    </w:p>
    <w:p w14:paraId="3592013B" w14:textId="77777777" w:rsidR="00B05277" w:rsidRPr="00177551" w:rsidRDefault="00B05277" w:rsidP="00B05277">
      <w:pPr>
        <w:widowControl w:val="0"/>
        <w:tabs>
          <w:tab w:val="left" w:pos="220"/>
          <w:tab w:val="left" w:pos="720"/>
        </w:tabs>
        <w:autoSpaceDE w:val="0"/>
        <w:autoSpaceDN w:val="0"/>
        <w:adjustRightInd w:val="0"/>
        <w:spacing w:line="480" w:lineRule="auto"/>
        <w:ind w:left="-567" w:right="-619"/>
        <w:rPr>
          <w:rFonts w:ascii="Arial" w:hAnsi="Arial" w:cs="Arial"/>
          <w:color w:val="000000" w:themeColor="text1"/>
          <w:sz w:val="20"/>
          <w:szCs w:val="20"/>
          <w:lang w:val="en-US"/>
        </w:rPr>
      </w:pPr>
    </w:p>
    <w:p w14:paraId="3D4609DA" w14:textId="77777777" w:rsidR="00B05277" w:rsidRPr="00177551" w:rsidRDefault="00B05277" w:rsidP="00B05277">
      <w:pPr>
        <w:spacing w:line="480" w:lineRule="auto"/>
        <w:ind w:left="-567" w:right="-619"/>
        <w:rPr>
          <w:rFonts w:ascii="Arial" w:hAnsi="Arial" w:cs="Arial"/>
          <w:b/>
          <w:color w:val="000000" w:themeColor="text1"/>
          <w:sz w:val="20"/>
          <w:szCs w:val="20"/>
          <w:lang w:val="en-US"/>
        </w:rPr>
      </w:pPr>
      <w:r w:rsidRPr="00177551">
        <w:rPr>
          <w:rFonts w:ascii="Arial" w:hAnsi="Arial" w:cs="Arial"/>
          <w:b/>
          <w:color w:val="000000" w:themeColor="text1"/>
          <w:sz w:val="20"/>
          <w:szCs w:val="20"/>
          <w:lang w:val="en-US"/>
        </w:rPr>
        <w:t>CORRESPONDING AUTHOR</w:t>
      </w:r>
    </w:p>
    <w:p w14:paraId="42F4CCBB" w14:textId="77777777" w:rsidR="00B05277" w:rsidRPr="00177551" w:rsidRDefault="00B05277" w:rsidP="00B05277">
      <w:pPr>
        <w:spacing w:line="480" w:lineRule="auto"/>
        <w:ind w:left="-567" w:right="-619"/>
        <w:rPr>
          <w:rFonts w:ascii="Arial" w:hAnsi="Arial" w:cs="Arial"/>
          <w:color w:val="000000" w:themeColor="text1"/>
          <w:sz w:val="20"/>
          <w:szCs w:val="20"/>
          <w:lang w:val="en-US"/>
        </w:rPr>
      </w:pPr>
      <w:r w:rsidRPr="00177551">
        <w:rPr>
          <w:rFonts w:ascii="Arial" w:hAnsi="Arial" w:cs="Arial"/>
          <w:color w:val="000000" w:themeColor="text1"/>
          <w:sz w:val="20"/>
          <w:szCs w:val="20"/>
          <w:lang w:val="en-US"/>
        </w:rPr>
        <w:t xml:space="preserve">Valeria </w:t>
      </w:r>
      <w:proofErr w:type="spellStart"/>
      <w:r w:rsidRPr="00177551">
        <w:rPr>
          <w:rFonts w:ascii="Arial" w:hAnsi="Arial" w:cs="Arial"/>
          <w:color w:val="000000" w:themeColor="text1"/>
          <w:sz w:val="20"/>
          <w:szCs w:val="20"/>
          <w:lang w:val="en-US"/>
        </w:rPr>
        <w:t>Parlatini</w:t>
      </w:r>
      <w:proofErr w:type="spellEnd"/>
      <w:r w:rsidRPr="00177551">
        <w:rPr>
          <w:rFonts w:ascii="Arial" w:hAnsi="Arial" w:cs="Arial"/>
          <w:color w:val="000000" w:themeColor="text1"/>
          <w:sz w:val="20"/>
          <w:szCs w:val="20"/>
          <w:lang w:val="en-US"/>
        </w:rPr>
        <w:t xml:space="preserve"> MD, PhD, </w:t>
      </w:r>
      <w:proofErr w:type="spellStart"/>
      <w:r w:rsidRPr="00177551">
        <w:rPr>
          <w:rFonts w:ascii="Arial" w:hAnsi="Arial" w:cs="Arial"/>
          <w:color w:val="000000" w:themeColor="text1"/>
          <w:sz w:val="20"/>
          <w:szCs w:val="20"/>
          <w:lang w:val="en-US"/>
        </w:rPr>
        <w:t>MRCPsych</w:t>
      </w:r>
      <w:proofErr w:type="spellEnd"/>
    </w:p>
    <w:p w14:paraId="445F0849" w14:textId="77777777" w:rsidR="00B05277" w:rsidRPr="00177551" w:rsidRDefault="00B05277" w:rsidP="00B05277">
      <w:pPr>
        <w:autoSpaceDE w:val="0"/>
        <w:autoSpaceDN w:val="0"/>
        <w:adjustRightInd w:val="0"/>
        <w:spacing w:after="240" w:line="480" w:lineRule="auto"/>
        <w:ind w:left="-567" w:right="-619"/>
        <w:contextualSpacing/>
        <w:rPr>
          <w:rFonts w:ascii="Arial" w:hAnsi="Arial" w:cs="Arial"/>
          <w:color w:val="000000" w:themeColor="text1"/>
          <w:sz w:val="20"/>
          <w:szCs w:val="20"/>
          <w:lang w:val="en-US"/>
        </w:rPr>
      </w:pPr>
      <w:r w:rsidRPr="00177551">
        <w:rPr>
          <w:rFonts w:ascii="Arial" w:hAnsi="Arial" w:cs="Arial"/>
          <w:color w:val="000000" w:themeColor="text1"/>
          <w:sz w:val="20"/>
          <w:szCs w:val="20"/>
          <w:lang w:val="en-US"/>
        </w:rPr>
        <w:t xml:space="preserve">School of Psychology, University of Southampton, Southampton, </w:t>
      </w:r>
      <w:r w:rsidRPr="00177551">
        <w:rPr>
          <w:rFonts w:ascii="Arial" w:hAnsi="Arial" w:cs="Arial"/>
          <w:color w:val="000000" w:themeColor="text1"/>
          <w:sz w:val="20"/>
          <w:szCs w:val="20"/>
          <w:shd w:val="clear" w:color="auto" w:fill="FFFFFF"/>
          <w:lang w:val="en-US"/>
        </w:rPr>
        <w:t>SO17 1PS,</w:t>
      </w:r>
      <w:r w:rsidRPr="00177551">
        <w:rPr>
          <w:rFonts w:ascii="Arial" w:hAnsi="Arial" w:cs="Arial"/>
          <w:color w:val="000000" w:themeColor="text1"/>
          <w:sz w:val="20"/>
          <w:szCs w:val="20"/>
          <w:lang w:val="en-US"/>
        </w:rPr>
        <w:t xml:space="preserve"> UK. </w:t>
      </w:r>
    </w:p>
    <w:p w14:paraId="0CCDB702" w14:textId="77777777" w:rsidR="00B05277" w:rsidRPr="00177551" w:rsidRDefault="00B05277" w:rsidP="00B05277">
      <w:pPr>
        <w:autoSpaceDE w:val="0"/>
        <w:autoSpaceDN w:val="0"/>
        <w:adjustRightInd w:val="0"/>
        <w:spacing w:after="240" w:line="480" w:lineRule="auto"/>
        <w:ind w:left="-567" w:right="-619"/>
        <w:contextualSpacing/>
        <w:rPr>
          <w:rFonts w:ascii="Arial" w:hAnsi="Arial" w:cs="Arial"/>
          <w:color w:val="000000" w:themeColor="text1"/>
          <w:sz w:val="20"/>
          <w:szCs w:val="20"/>
          <w:lang w:val="en-US"/>
        </w:rPr>
      </w:pPr>
      <w:r w:rsidRPr="00177551">
        <w:rPr>
          <w:rFonts w:ascii="Arial" w:hAnsi="Arial" w:cs="Arial"/>
          <w:color w:val="000000" w:themeColor="text1"/>
          <w:sz w:val="20"/>
          <w:szCs w:val="20"/>
          <w:lang w:val="en-US"/>
        </w:rPr>
        <w:t>v.parlatini@soton.ac.uk</w:t>
      </w:r>
    </w:p>
    <w:p w14:paraId="4AF27D13" w14:textId="77777777" w:rsidR="00B05277" w:rsidRPr="00177551" w:rsidRDefault="00B05277" w:rsidP="00B05277">
      <w:pPr>
        <w:autoSpaceDE w:val="0"/>
        <w:autoSpaceDN w:val="0"/>
        <w:adjustRightInd w:val="0"/>
        <w:spacing w:after="240" w:line="480" w:lineRule="auto"/>
        <w:ind w:left="-567" w:right="-619"/>
        <w:contextualSpacing/>
        <w:rPr>
          <w:rFonts w:ascii="Arial" w:hAnsi="Arial" w:cs="Arial"/>
          <w:color w:val="000000" w:themeColor="text1"/>
          <w:sz w:val="20"/>
          <w:szCs w:val="20"/>
          <w:lang w:val="en-US"/>
        </w:rPr>
      </w:pPr>
    </w:p>
    <w:p w14:paraId="53B52854" w14:textId="77777777" w:rsidR="00B05277" w:rsidRPr="00177551" w:rsidRDefault="00B05277" w:rsidP="00B05277">
      <w:pPr>
        <w:spacing w:line="480" w:lineRule="auto"/>
        <w:ind w:left="-567" w:right="-619"/>
        <w:rPr>
          <w:rFonts w:ascii="Arial" w:hAnsi="Arial" w:cs="Arial"/>
          <w:b/>
          <w:bCs/>
          <w:sz w:val="20"/>
          <w:szCs w:val="20"/>
          <w:lang w:val="en-US"/>
        </w:rPr>
      </w:pPr>
      <w:r w:rsidRPr="00177551">
        <w:rPr>
          <w:rFonts w:ascii="Arial" w:hAnsi="Arial" w:cs="Arial"/>
          <w:b/>
          <w:bCs/>
          <w:sz w:val="20"/>
          <w:szCs w:val="20"/>
          <w:lang w:val="en-US"/>
        </w:rPr>
        <w:t>RUNNING TITLE</w:t>
      </w:r>
    </w:p>
    <w:p w14:paraId="67D903F7" w14:textId="77777777" w:rsidR="00B05277" w:rsidRPr="00177551" w:rsidRDefault="00B05277" w:rsidP="00B05277">
      <w:pPr>
        <w:spacing w:line="480" w:lineRule="auto"/>
        <w:ind w:left="-567" w:right="-619"/>
        <w:rPr>
          <w:rFonts w:ascii="Arial" w:hAnsi="Arial" w:cs="Arial"/>
          <w:color w:val="000000" w:themeColor="text1"/>
          <w:sz w:val="20"/>
          <w:szCs w:val="20"/>
          <w:lang w:val="en-US"/>
        </w:rPr>
      </w:pPr>
      <w:r w:rsidRPr="00177551">
        <w:rPr>
          <w:rFonts w:ascii="Arial" w:hAnsi="Arial" w:cs="Arial"/>
          <w:color w:val="000000" w:themeColor="text1"/>
          <w:sz w:val="20"/>
          <w:szCs w:val="20"/>
          <w:lang w:val="en-US"/>
        </w:rPr>
        <w:t>Single dose and long-term ADHD treatment response</w:t>
      </w:r>
    </w:p>
    <w:p w14:paraId="0B7A18B0" w14:textId="77777777" w:rsidR="00B05277" w:rsidRPr="00177551" w:rsidRDefault="00B05277" w:rsidP="00B05277">
      <w:pPr>
        <w:spacing w:line="480" w:lineRule="auto"/>
        <w:ind w:left="-426" w:right="-761"/>
        <w:contextualSpacing/>
        <w:rPr>
          <w:rFonts w:ascii="Arial" w:hAnsi="Arial" w:cs="Arial"/>
          <w:b/>
          <w:bCs/>
          <w:color w:val="000000" w:themeColor="text1"/>
          <w:sz w:val="20"/>
          <w:szCs w:val="20"/>
          <w:lang w:val="en-US"/>
        </w:rPr>
      </w:pPr>
    </w:p>
    <w:p w14:paraId="6611D860" w14:textId="77777777" w:rsidR="00B05277" w:rsidRPr="00177551" w:rsidRDefault="00B05277" w:rsidP="00B05277">
      <w:pPr>
        <w:spacing w:line="480" w:lineRule="auto"/>
        <w:ind w:left="-426" w:right="-761"/>
        <w:contextualSpacing/>
        <w:rPr>
          <w:rFonts w:ascii="Arial" w:hAnsi="Arial" w:cs="Arial"/>
          <w:b/>
          <w:bCs/>
          <w:color w:val="000000" w:themeColor="text1"/>
          <w:sz w:val="20"/>
          <w:szCs w:val="20"/>
          <w:lang w:val="en-US"/>
        </w:rPr>
      </w:pPr>
    </w:p>
    <w:p w14:paraId="55A6BCCE" w14:textId="77777777" w:rsidR="00B05277" w:rsidRPr="00177551" w:rsidRDefault="00B05277" w:rsidP="00B05277">
      <w:pPr>
        <w:spacing w:line="480" w:lineRule="auto"/>
        <w:ind w:right="-619"/>
        <w:contextualSpacing/>
        <w:rPr>
          <w:rFonts w:ascii="Arial" w:hAnsi="Arial" w:cs="Arial"/>
          <w:color w:val="000000" w:themeColor="text1"/>
          <w:sz w:val="20"/>
          <w:szCs w:val="20"/>
          <w:lang w:val="en-US"/>
        </w:rPr>
      </w:pPr>
    </w:p>
    <w:p w14:paraId="78A6142F" w14:textId="77777777" w:rsidR="00B05277" w:rsidRPr="00177551" w:rsidRDefault="00B05277" w:rsidP="00B05277">
      <w:pPr>
        <w:pStyle w:val="NormalWeb"/>
        <w:shd w:val="clear" w:color="auto" w:fill="FFFFFF"/>
        <w:spacing w:line="480" w:lineRule="auto"/>
        <w:ind w:left="-567" w:right="-619"/>
        <w:rPr>
          <w:rFonts w:ascii="Arial" w:hAnsi="Arial" w:cs="Arial"/>
          <w:color w:val="000000" w:themeColor="text1"/>
          <w:sz w:val="20"/>
          <w:szCs w:val="20"/>
          <w:lang w:val="en-US"/>
        </w:rPr>
      </w:pPr>
      <w:r w:rsidRPr="00177551">
        <w:rPr>
          <w:rFonts w:ascii="Arial" w:hAnsi="Arial" w:cs="Arial"/>
          <w:b/>
          <w:bCs/>
          <w:color w:val="000000" w:themeColor="text1"/>
          <w:sz w:val="20"/>
          <w:szCs w:val="20"/>
          <w:lang w:val="en-US"/>
        </w:rPr>
        <w:lastRenderedPageBreak/>
        <w:t>ABSTRACT</w:t>
      </w:r>
      <w:r w:rsidRPr="00177551">
        <w:rPr>
          <w:rFonts w:ascii="Arial" w:hAnsi="Arial" w:cs="Arial"/>
          <w:color w:val="000000" w:themeColor="text1"/>
          <w:sz w:val="20"/>
          <w:szCs w:val="20"/>
          <w:lang w:val="en-US"/>
        </w:rPr>
        <w:t xml:space="preserve"> </w:t>
      </w:r>
    </w:p>
    <w:p w14:paraId="166137C0" w14:textId="77777777" w:rsidR="00B05277" w:rsidRPr="00177551" w:rsidRDefault="00B05277" w:rsidP="00B05277">
      <w:pPr>
        <w:spacing w:line="480" w:lineRule="auto"/>
        <w:ind w:left="-567" w:right="-619"/>
        <w:rPr>
          <w:rFonts w:ascii="Arial" w:hAnsi="Arial" w:cs="Arial"/>
          <w:color w:val="000000" w:themeColor="text1"/>
          <w:sz w:val="20"/>
          <w:szCs w:val="20"/>
          <w:lang w:val="en-US"/>
        </w:rPr>
      </w:pPr>
      <w:r w:rsidRPr="00177551">
        <w:rPr>
          <w:rFonts w:ascii="Arial" w:hAnsi="Arial" w:cs="Arial"/>
          <w:b/>
          <w:bCs/>
          <w:color w:val="000000" w:themeColor="text1"/>
          <w:sz w:val="20"/>
          <w:szCs w:val="20"/>
          <w:lang w:val="en-US"/>
        </w:rPr>
        <w:t xml:space="preserve">Objectives: </w:t>
      </w:r>
      <w:r w:rsidRPr="00177551">
        <w:rPr>
          <w:rFonts w:ascii="Arial" w:hAnsi="Arial" w:cs="Arial"/>
          <w:color w:val="000000" w:themeColor="text1"/>
          <w:sz w:val="20"/>
          <w:szCs w:val="20"/>
          <w:lang w:val="en-US"/>
        </w:rPr>
        <w:t>Stimulants, such as methylphenidate (MPH) and amphetamines</w:t>
      </w:r>
      <w:r w:rsidRPr="00177551">
        <w:rPr>
          <w:rFonts w:ascii="Arial" w:hAnsi="Arial" w:cs="Arial"/>
          <w:color w:val="000000" w:themeColor="text1"/>
          <w:sz w:val="20"/>
          <w:szCs w:val="20"/>
          <w:shd w:val="clear" w:color="auto" w:fill="FFFFFF"/>
          <w:lang w:val="en-US"/>
        </w:rPr>
        <w:t xml:space="preserve">, </w:t>
      </w:r>
      <w:r w:rsidRPr="00177551">
        <w:rPr>
          <w:rFonts w:ascii="Arial" w:hAnsi="Arial" w:cs="Arial"/>
          <w:color w:val="000000" w:themeColor="text1"/>
          <w:sz w:val="20"/>
          <w:szCs w:val="20"/>
          <w:lang w:val="en-US"/>
        </w:rPr>
        <w:t>represent the first-line pharmacological option for Attention-deficit/hyperactivity disorder (ADHD). Randomized controlled trials (RCTs) have demonstrated beneficial effects at a group level but could not identify characteristics consistently associated with varying individual response. Thus, more individualized approaches are needed</w:t>
      </w:r>
      <w:r w:rsidRPr="00177551">
        <w:rPr>
          <w:rFonts w:ascii="Arial" w:hAnsi="Arial" w:cs="Arial"/>
          <w:color w:val="1E1E1E"/>
          <w:sz w:val="20"/>
          <w:szCs w:val="20"/>
          <w:lang w:val="en-US"/>
        </w:rPr>
        <w:t xml:space="preserve">. Experimental studies have suggested that the neurobiological response to a </w:t>
      </w:r>
      <w:r w:rsidRPr="00177551">
        <w:rPr>
          <w:rFonts w:ascii="Arial" w:hAnsi="Arial" w:cs="Arial"/>
          <w:sz w:val="20"/>
          <w:szCs w:val="20"/>
          <w:lang w:val="en-US"/>
        </w:rPr>
        <w:t>single dose is indicative of</w:t>
      </w:r>
      <w:r w:rsidRPr="00177551">
        <w:rPr>
          <w:rFonts w:ascii="Arial" w:hAnsi="Arial" w:cs="Arial"/>
          <w:color w:val="000000" w:themeColor="text1"/>
          <w:sz w:val="20"/>
          <w:szCs w:val="20"/>
          <w:lang w:val="en-US"/>
        </w:rPr>
        <w:t xml:space="preserve"> longer-term response. It is unclear whether this also applies to clinical measures. </w:t>
      </w:r>
    </w:p>
    <w:p w14:paraId="2AA49126" w14:textId="77777777" w:rsidR="00B05277" w:rsidRPr="00177551" w:rsidRDefault="00B05277" w:rsidP="00B05277">
      <w:pPr>
        <w:spacing w:line="480" w:lineRule="auto"/>
        <w:ind w:left="-567" w:right="-619"/>
        <w:rPr>
          <w:rFonts w:ascii="Arial" w:hAnsi="Arial" w:cs="Arial"/>
          <w:color w:val="000000" w:themeColor="text1"/>
          <w:sz w:val="20"/>
          <w:szCs w:val="20"/>
          <w:lang w:val="en-US"/>
        </w:rPr>
      </w:pPr>
    </w:p>
    <w:p w14:paraId="066134D4" w14:textId="77777777" w:rsidR="00B05277" w:rsidRPr="00177551" w:rsidRDefault="00B05277" w:rsidP="00B05277">
      <w:pPr>
        <w:spacing w:line="480" w:lineRule="auto"/>
        <w:ind w:left="-567" w:right="-619"/>
        <w:rPr>
          <w:rFonts w:ascii="Arial" w:hAnsi="Arial" w:cs="Arial"/>
          <w:sz w:val="20"/>
          <w:szCs w:val="20"/>
          <w:lang w:val="en-US"/>
        </w:rPr>
      </w:pPr>
      <w:r w:rsidRPr="00177551">
        <w:rPr>
          <w:rFonts w:ascii="Arial" w:hAnsi="Arial" w:cs="Arial"/>
          <w:b/>
          <w:bCs/>
          <w:color w:val="000000" w:themeColor="text1"/>
          <w:sz w:val="20"/>
          <w:szCs w:val="20"/>
          <w:lang w:val="en-US"/>
        </w:rPr>
        <w:t>Methods:</w:t>
      </w:r>
      <w:r w:rsidRPr="00177551">
        <w:rPr>
          <w:rFonts w:ascii="Arial" w:hAnsi="Arial" w:cs="Arial"/>
          <w:color w:val="000000" w:themeColor="text1"/>
          <w:sz w:val="20"/>
          <w:szCs w:val="20"/>
          <w:lang w:val="en-US"/>
        </w:rPr>
        <w:t xml:space="preserve"> We carried out a systematic review of RCTs testing the association between the clinical response to a single dose of stimulants and longer-term improvement. Potentially suitable single-dose RCTs were identified from the MED-ADHD dataset, the European ADHD Guidelines Group (EAGG) RCT Dataset (</w:t>
      </w:r>
      <w:hyperlink r:id="rId7" w:history="1">
        <w:r w:rsidRPr="00177551">
          <w:rPr>
            <w:rStyle w:val="Hyperlink"/>
            <w:rFonts w:ascii="Arial" w:hAnsi="Arial" w:cs="Arial"/>
            <w:color w:val="000000" w:themeColor="text1"/>
            <w:sz w:val="20"/>
            <w:szCs w:val="20"/>
            <w:u w:val="none"/>
            <w:bdr w:val="none" w:sz="0" w:space="0" w:color="auto" w:frame="1"/>
            <w:shd w:val="clear" w:color="auto" w:fill="FFFFFF"/>
            <w:lang w:val="en-US"/>
          </w:rPr>
          <w:t>https://med-adhd.org/</w:t>
        </w:r>
      </w:hyperlink>
      <w:r w:rsidRPr="00177551">
        <w:rPr>
          <w:rFonts w:ascii="Arial" w:hAnsi="Arial" w:cs="Arial"/>
          <w:color w:val="000000" w:themeColor="text1"/>
          <w:sz w:val="20"/>
          <w:szCs w:val="20"/>
          <w:lang w:val="en-US"/>
        </w:rPr>
        <w:t xml:space="preserve">), as updated on the 01/02/2024. </w:t>
      </w:r>
      <w:r w:rsidRPr="00177551">
        <w:rPr>
          <w:rFonts w:ascii="Arial" w:hAnsi="Arial" w:cs="Arial"/>
          <w:sz w:val="20"/>
          <w:szCs w:val="20"/>
          <w:lang w:val="en-US"/>
        </w:rPr>
        <w:t>Quality assessment was carried out using the Cochrane Risk of Bias (</w:t>
      </w:r>
      <w:proofErr w:type="spellStart"/>
      <w:r w:rsidRPr="00177551">
        <w:rPr>
          <w:rFonts w:ascii="Arial" w:hAnsi="Arial" w:cs="Arial"/>
          <w:sz w:val="20"/>
          <w:szCs w:val="20"/>
          <w:lang w:val="en-US"/>
        </w:rPr>
        <w:t>RoB</w:t>
      </w:r>
      <w:proofErr w:type="spellEnd"/>
      <w:r w:rsidRPr="00177551">
        <w:rPr>
          <w:rFonts w:ascii="Arial" w:hAnsi="Arial" w:cs="Arial"/>
          <w:sz w:val="20"/>
          <w:szCs w:val="20"/>
          <w:lang w:val="en-US"/>
        </w:rPr>
        <w:t>) 2.0 tool.</w:t>
      </w:r>
    </w:p>
    <w:p w14:paraId="5A344A35" w14:textId="77777777" w:rsidR="00B05277" w:rsidRPr="00177551" w:rsidRDefault="00B05277" w:rsidP="00B05277">
      <w:pPr>
        <w:spacing w:line="480" w:lineRule="auto"/>
        <w:ind w:left="-567" w:right="-619"/>
        <w:rPr>
          <w:rFonts w:ascii="Arial" w:hAnsi="Arial" w:cs="Arial"/>
          <w:color w:val="000000" w:themeColor="text1"/>
          <w:sz w:val="20"/>
          <w:szCs w:val="20"/>
          <w:lang w:val="en-US"/>
        </w:rPr>
      </w:pPr>
    </w:p>
    <w:p w14:paraId="230FBF01" w14:textId="77777777" w:rsidR="00B05277" w:rsidRPr="00177551" w:rsidRDefault="00B05277" w:rsidP="00B05277">
      <w:pPr>
        <w:spacing w:line="480" w:lineRule="auto"/>
        <w:ind w:left="-567" w:right="-619"/>
        <w:rPr>
          <w:rFonts w:ascii="Arial" w:hAnsi="Arial" w:cs="Arial"/>
          <w:b/>
          <w:bCs/>
          <w:color w:val="000000" w:themeColor="text1"/>
          <w:sz w:val="20"/>
          <w:szCs w:val="20"/>
          <w:lang w:val="en-US"/>
        </w:rPr>
      </w:pPr>
      <w:r w:rsidRPr="00177551">
        <w:rPr>
          <w:rFonts w:ascii="Arial" w:hAnsi="Arial" w:cs="Arial"/>
          <w:b/>
          <w:bCs/>
          <w:color w:val="000000" w:themeColor="text1"/>
          <w:sz w:val="20"/>
          <w:szCs w:val="20"/>
          <w:lang w:val="en-US"/>
        </w:rPr>
        <w:t xml:space="preserve">Results: </w:t>
      </w:r>
      <w:r w:rsidRPr="00177551">
        <w:rPr>
          <w:rFonts w:ascii="Arial" w:hAnsi="Arial" w:cs="Arial"/>
          <w:sz w:val="20"/>
          <w:szCs w:val="20"/>
          <w:lang w:val="en-US"/>
        </w:rPr>
        <w:t xml:space="preserve">63 single-dose RCTs (94% testing MPH, 85% in children) were identified. </w:t>
      </w:r>
      <w:r w:rsidRPr="00177551">
        <w:rPr>
          <w:rFonts w:ascii="Arial" w:hAnsi="Arial" w:cs="Arial"/>
          <w:color w:val="211E1E"/>
          <w:sz w:val="20"/>
          <w:szCs w:val="20"/>
          <w:lang w:val="en-US"/>
        </w:rPr>
        <w:t xml:space="preserve">Among these, only </w:t>
      </w:r>
      <w:r w:rsidRPr="00177551">
        <w:rPr>
          <w:rFonts w:ascii="Arial" w:hAnsi="Arial" w:cs="Arial"/>
          <w:sz w:val="20"/>
          <w:szCs w:val="20"/>
          <w:lang w:val="en-US"/>
        </w:rPr>
        <w:t>one RCT tested the association between acute and longer-term clinical response.</w:t>
      </w:r>
      <w:r w:rsidRPr="00177551">
        <w:rPr>
          <w:rFonts w:ascii="Arial" w:hAnsi="Arial" w:cs="Arial"/>
          <w:b/>
          <w:bCs/>
          <w:color w:val="000000" w:themeColor="text1"/>
          <w:sz w:val="20"/>
          <w:szCs w:val="20"/>
          <w:lang w:val="en-US"/>
        </w:rPr>
        <w:t xml:space="preserve"> </w:t>
      </w:r>
      <w:r w:rsidRPr="00177551">
        <w:rPr>
          <w:rFonts w:ascii="Arial" w:hAnsi="Arial" w:cs="Arial"/>
          <w:sz w:val="20"/>
          <w:szCs w:val="20"/>
          <w:lang w:val="en-US"/>
        </w:rPr>
        <w:t xml:space="preserve">This showed that </w:t>
      </w:r>
      <w:r w:rsidRPr="00177551">
        <w:rPr>
          <w:rFonts w:ascii="Arial" w:hAnsi="Arial" w:cs="Arial"/>
          <w:color w:val="211E1E"/>
          <w:sz w:val="20"/>
          <w:szCs w:val="20"/>
          <w:lang w:val="en-US"/>
        </w:rPr>
        <w:t xml:space="preserve">the clinical improvement after a single dose of MPH was significantly associated with symptom improvement after four-week MPH treatment in 46 children (89% males) with ADHD. The risk of bias was rated as moderate. A further RCT used </w:t>
      </w:r>
      <w:r w:rsidRPr="00177551">
        <w:rPr>
          <w:rFonts w:ascii="Arial" w:hAnsi="Arial" w:cs="Arial"/>
          <w:sz w:val="20"/>
          <w:szCs w:val="20"/>
          <w:lang w:val="en-US"/>
        </w:rPr>
        <w:t xml:space="preserve">near-infrared spectroscopy (NIRS), thus </w:t>
      </w:r>
      <w:r w:rsidRPr="00177551">
        <w:rPr>
          <w:rFonts w:ascii="Arial" w:hAnsi="Arial" w:cs="Arial"/>
          <w:color w:val="211E1E"/>
          <w:sz w:val="20"/>
          <w:szCs w:val="20"/>
          <w:lang w:val="en-US"/>
        </w:rPr>
        <w:t xml:space="preserve">did not meet inclusion criteria, </w:t>
      </w:r>
      <w:r w:rsidRPr="00177551">
        <w:rPr>
          <w:rFonts w:ascii="Arial" w:hAnsi="Arial" w:cs="Arial"/>
          <w:sz w:val="20"/>
          <w:szCs w:val="20"/>
          <w:lang w:val="en-US"/>
        </w:rPr>
        <w:t xml:space="preserve">and </w:t>
      </w:r>
      <w:r w:rsidRPr="00177551">
        <w:rPr>
          <w:rFonts w:ascii="Arial" w:hAnsi="Arial" w:cs="Arial"/>
          <w:color w:val="211E1E"/>
          <w:sz w:val="20"/>
          <w:szCs w:val="20"/>
          <w:lang w:val="en-US"/>
        </w:rPr>
        <w:t xml:space="preserve">reported an association between brain changes under a single dose and longer-term clinical response in 22 children (82% males) with ADHD. The remaining RCTs only reported single dose effects on neuropsychological, neuroimaging or neurophysiological measures. </w:t>
      </w:r>
    </w:p>
    <w:p w14:paraId="2E1F447C" w14:textId="77777777" w:rsidR="00B05277" w:rsidRPr="00177551" w:rsidRDefault="00B05277" w:rsidP="00B05277">
      <w:pPr>
        <w:spacing w:line="480" w:lineRule="auto"/>
        <w:ind w:left="-567" w:right="-619"/>
        <w:rPr>
          <w:rFonts w:ascii="Arial" w:hAnsi="Arial" w:cs="Arial"/>
          <w:color w:val="211E1E"/>
          <w:sz w:val="20"/>
          <w:szCs w:val="20"/>
          <w:lang w:val="en-US"/>
        </w:rPr>
      </w:pPr>
    </w:p>
    <w:p w14:paraId="00930897" w14:textId="77777777" w:rsidR="00B05277" w:rsidRPr="00177551" w:rsidRDefault="00B05277" w:rsidP="00B05277">
      <w:pPr>
        <w:spacing w:line="480" w:lineRule="auto"/>
        <w:ind w:left="-567" w:right="-619"/>
        <w:rPr>
          <w:rFonts w:ascii="Arial" w:hAnsi="Arial" w:cs="Arial"/>
          <w:color w:val="211E1E"/>
          <w:sz w:val="20"/>
          <w:szCs w:val="20"/>
          <w:lang w:val="en-US"/>
        </w:rPr>
      </w:pPr>
      <w:r w:rsidRPr="00177551">
        <w:rPr>
          <w:rFonts w:ascii="Arial" w:hAnsi="Arial" w:cs="Arial"/>
          <w:b/>
          <w:bCs/>
          <w:color w:val="000000" w:themeColor="text1"/>
          <w:sz w:val="20"/>
          <w:szCs w:val="20"/>
          <w:lang w:val="en-US"/>
        </w:rPr>
        <w:t>Conclusion:</w:t>
      </w:r>
      <w:r w:rsidRPr="00177551">
        <w:rPr>
          <w:rFonts w:ascii="Arial" w:hAnsi="Arial" w:cs="Arial"/>
          <w:color w:val="211E1E"/>
          <w:sz w:val="20"/>
          <w:szCs w:val="20"/>
          <w:lang w:val="en-US"/>
        </w:rPr>
        <w:t xml:space="preserve"> This systematic review highlighted an important gap in the current knowledge. Investigating how acute and long-term response may be related can foster our understanding of stimulant mechanism of action and help develop stratification approaches for more tailored treatment strategies. Future studies need to investigate potential age and sex-related differences. </w:t>
      </w:r>
    </w:p>
    <w:p w14:paraId="23BD3D88" w14:textId="77777777" w:rsidR="00B05277" w:rsidRPr="00177551" w:rsidRDefault="00B05277" w:rsidP="00B05277">
      <w:pPr>
        <w:spacing w:line="480" w:lineRule="auto"/>
        <w:ind w:right="-619"/>
        <w:rPr>
          <w:rFonts w:ascii="Arial" w:hAnsi="Arial" w:cs="Arial"/>
          <w:sz w:val="20"/>
          <w:szCs w:val="20"/>
          <w:lang w:val="en-US"/>
        </w:rPr>
      </w:pPr>
    </w:p>
    <w:p w14:paraId="2DEE587C" w14:textId="77777777" w:rsidR="00B05277" w:rsidRPr="00177551" w:rsidRDefault="00B05277" w:rsidP="00B05277">
      <w:pPr>
        <w:pStyle w:val="Heading1"/>
        <w:spacing w:line="480" w:lineRule="auto"/>
        <w:ind w:left="-567" w:right="-619"/>
        <w:rPr>
          <w:rFonts w:ascii="Arial" w:hAnsi="Arial" w:cs="Arial"/>
          <w:color w:val="000000" w:themeColor="text1"/>
          <w:sz w:val="20"/>
          <w:szCs w:val="20"/>
          <w:lang w:val="en-US"/>
        </w:rPr>
      </w:pPr>
      <w:r w:rsidRPr="00177551">
        <w:rPr>
          <w:rFonts w:ascii="Arial" w:hAnsi="Arial" w:cs="Arial"/>
          <w:color w:val="000000" w:themeColor="text1"/>
          <w:sz w:val="20"/>
          <w:szCs w:val="20"/>
          <w:lang w:val="en-US"/>
        </w:rPr>
        <w:t xml:space="preserve">Keywords </w:t>
      </w:r>
      <w:r w:rsidRPr="00177551">
        <w:rPr>
          <w:rFonts w:ascii="Arial" w:hAnsi="Arial" w:cs="Arial"/>
          <w:b w:val="0"/>
          <w:bCs w:val="0"/>
          <w:color w:val="000000" w:themeColor="text1"/>
          <w:sz w:val="20"/>
          <w:szCs w:val="20"/>
          <w:lang w:val="en-US"/>
        </w:rPr>
        <w:t>(4-6)</w:t>
      </w:r>
    </w:p>
    <w:p w14:paraId="2BC5565E" w14:textId="77777777" w:rsidR="00B05277" w:rsidRPr="00177551" w:rsidRDefault="00B05277" w:rsidP="00B05277">
      <w:pPr>
        <w:spacing w:line="480" w:lineRule="auto"/>
        <w:ind w:left="-567" w:right="-619"/>
        <w:rPr>
          <w:rFonts w:ascii="Arial" w:hAnsi="Arial" w:cs="Arial"/>
          <w:sz w:val="20"/>
          <w:szCs w:val="20"/>
          <w:lang w:val="en-US"/>
        </w:rPr>
      </w:pPr>
      <w:r w:rsidRPr="00177551">
        <w:rPr>
          <w:rFonts w:ascii="Arial" w:hAnsi="Arial" w:cs="Arial"/>
          <w:color w:val="000000" w:themeColor="text1"/>
          <w:sz w:val="20"/>
          <w:szCs w:val="20"/>
          <w:lang w:val="en-US"/>
        </w:rPr>
        <w:t>Attention-deficit/hyperactivity disorder (ADHD); stimulant; methylphenidate (MPH); single dose; treatment response; randomized controlled trials (RCTs).</w:t>
      </w:r>
    </w:p>
    <w:p w14:paraId="1FE27DC6" w14:textId="76EFCE1C" w:rsidR="000E3CF8" w:rsidRPr="00177551" w:rsidRDefault="00275C72" w:rsidP="0023021C">
      <w:pPr>
        <w:spacing w:line="480" w:lineRule="auto"/>
        <w:ind w:left="-851" w:right="-761"/>
        <w:contextualSpacing/>
        <w:rPr>
          <w:rFonts w:ascii="Arial" w:hAnsi="Arial" w:cs="Arial"/>
          <w:b/>
          <w:bCs/>
          <w:sz w:val="20"/>
          <w:szCs w:val="20"/>
          <w:lang w:val="en-US"/>
        </w:rPr>
      </w:pPr>
      <w:r w:rsidRPr="00177551">
        <w:rPr>
          <w:rFonts w:ascii="Arial" w:hAnsi="Arial" w:cs="Arial"/>
          <w:b/>
          <w:bCs/>
          <w:sz w:val="20"/>
          <w:szCs w:val="20"/>
          <w:lang w:val="en-US"/>
        </w:rPr>
        <w:lastRenderedPageBreak/>
        <w:t>I</w:t>
      </w:r>
      <w:r w:rsidR="00C82A8D" w:rsidRPr="00177551">
        <w:rPr>
          <w:rFonts w:ascii="Arial" w:hAnsi="Arial" w:cs="Arial"/>
          <w:b/>
          <w:bCs/>
          <w:sz w:val="20"/>
          <w:szCs w:val="20"/>
          <w:lang w:val="en-US"/>
        </w:rPr>
        <w:t>NTRODUCTION</w:t>
      </w:r>
    </w:p>
    <w:p w14:paraId="65BF399B" w14:textId="6349E7DA" w:rsidR="004925CE" w:rsidRPr="00177551" w:rsidRDefault="000E3CF8" w:rsidP="0023021C">
      <w:pPr>
        <w:spacing w:line="480" w:lineRule="auto"/>
        <w:ind w:left="-851" w:right="-761"/>
        <w:contextualSpacing/>
        <w:rPr>
          <w:rFonts w:ascii="Arial" w:hAnsi="Arial" w:cs="Arial"/>
          <w:color w:val="000000" w:themeColor="text1"/>
          <w:sz w:val="20"/>
          <w:szCs w:val="20"/>
        </w:rPr>
      </w:pPr>
      <w:r w:rsidRPr="00177551">
        <w:rPr>
          <w:rFonts w:ascii="Arial" w:hAnsi="Arial" w:cs="Arial"/>
          <w:color w:val="000000" w:themeColor="text1"/>
          <w:sz w:val="20"/>
          <w:szCs w:val="20"/>
          <w:lang w:val="en-US"/>
        </w:rPr>
        <w:t>Attention-deficit/hyperactivity disorder (ADHD)</w:t>
      </w:r>
      <w:r w:rsidR="005A6AA2" w:rsidRPr="00177551">
        <w:rPr>
          <w:rFonts w:ascii="Arial" w:hAnsi="Arial" w:cs="Arial"/>
          <w:color w:val="000000" w:themeColor="text1"/>
          <w:sz w:val="20"/>
          <w:szCs w:val="20"/>
          <w:lang w:val="en-US"/>
        </w:rPr>
        <w:t xml:space="preserve"> </w:t>
      </w:r>
      <w:r w:rsidRPr="00177551">
        <w:rPr>
          <w:rFonts w:ascii="Arial" w:hAnsi="Arial" w:cs="Arial"/>
          <w:color w:val="000000" w:themeColor="text1"/>
          <w:sz w:val="20"/>
          <w:szCs w:val="20"/>
          <w:lang w:val="en-US"/>
        </w:rPr>
        <w:t>is a common neurodevelopmental condition</w:t>
      </w:r>
      <w:r w:rsidR="005A6AA2" w:rsidRPr="00177551">
        <w:rPr>
          <w:rFonts w:ascii="Arial" w:hAnsi="Arial" w:cs="Arial"/>
          <w:color w:val="000000" w:themeColor="text1"/>
          <w:sz w:val="20"/>
          <w:szCs w:val="20"/>
          <w:lang w:val="en-US"/>
        </w:rPr>
        <w:t>, defined by</w:t>
      </w:r>
      <w:r w:rsidRPr="00177551">
        <w:rPr>
          <w:rFonts w:ascii="Arial" w:hAnsi="Arial" w:cs="Arial"/>
          <w:color w:val="000000" w:themeColor="text1"/>
          <w:sz w:val="20"/>
          <w:szCs w:val="20"/>
          <w:lang w:val="en-US"/>
        </w:rPr>
        <w:t xml:space="preserve"> </w:t>
      </w:r>
      <w:r w:rsidR="004925CE" w:rsidRPr="00177551">
        <w:rPr>
          <w:rFonts w:ascii="Arial" w:hAnsi="Arial" w:cs="Arial"/>
          <w:color w:val="000000" w:themeColor="text1"/>
          <w:sz w:val="20"/>
          <w:szCs w:val="20"/>
          <w:lang w:val="en-US"/>
        </w:rPr>
        <w:t>developmentally</w:t>
      </w:r>
      <w:r w:rsidRPr="00177551">
        <w:rPr>
          <w:rFonts w:ascii="Arial" w:hAnsi="Arial" w:cs="Arial"/>
          <w:color w:val="000000" w:themeColor="text1"/>
          <w:sz w:val="20"/>
          <w:szCs w:val="20"/>
          <w:lang w:val="en-US"/>
        </w:rPr>
        <w:t xml:space="preserve">-inappropriate inattentive and/or hyperactive-impulsive symptoms </w:t>
      </w:r>
      <w:r w:rsidR="00FD71C1" w:rsidRPr="00177551">
        <w:rPr>
          <w:rFonts w:ascii="Arial" w:hAnsi="Arial" w:cs="Arial"/>
          <w:noProof/>
          <w:color w:val="000000" w:themeColor="text1"/>
          <w:sz w:val="20"/>
          <w:szCs w:val="20"/>
          <w:lang w:val="en-US"/>
        </w:rPr>
        <w:t>(APA, 2022, WHO, 2019/2021)</w:t>
      </w:r>
      <w:r w:rsidRPr="00177551">
        <w:rPr>
          <w:rFonts w:ascii="Arial" w:hAnsi="Arial" w:cs="Arial"/>
          <w:color w:val="000000" w:themeColor="text1"/>
          <w:sz w:val="20"/>
          <w:szCs w:val="20"/>
          <w:lang w:val="en-US"/>
        </w:rPr>
        <w:t xml:space="preserve">. </w:t>
      </w:r>
      <w:r w:rsidR="005A6AA2" w:rsidRPr="00177551">
        <w:rPr>
          <w:rFonts w:ascii="Arial" w:hAnsi="Arial" w:cs="Arial"/>
          <w:color w:val="000000" w:themeColor="text1"/>
          <w:sz w:val="20"/>
          <w:szCs w:val="20"/>
          <w:lang w:val="en-US"/>
        </w:rPr>
        <w:t>It</w:t>
      </w:r>
      <w:r w:rsidRPr="00177551">
        <w:rPr>
          <w:rFonts w:ascii="Arial" w:hAnsi="Arial" w:cs="Arial"/>
          <w:color w:val="000000" w:themeColor="text1"/>
          <w:sz w:val="20"/>
          <w:szCs w:val="20"/>
          <w:lang w:val="en-US"/>
        </w:rPr>
        <w:t xml:space="preserve"> has a</w:t>
      </w:r>
      <w:r w:rsidR="005D0BA3" w:rsidRPr="00177551">
        <w:rPr>
          <w:rFonts w:ascii="Arial" w:hAnsi="Arial" w:cs="Arial"/>
          <w:color w:val="000000" w:themeColor="text1"/>
          <w:sz w:val="20"/>
          <w:szCs w:val="20"/>
          <w:lang w:val="en-US"/>
        </w:rPr>
        <w:t>n</w:t>
      </w:r>
      <w:r w:rsidRPr="00177551">
        <w:rPr>
          <w:rFonts w:ascii="Arial" w:hAnsi="Arial" w:cs="Arial"/>
          <w:color w:val="000000" w:themeColor="text1"/>
          <w:sz w:val="20"/>
          <w:szCs w:val="20"/>
          <w:lang w:val="en-US"/>
        </w:rPr>
        <w:t xml:space="preserve"> </w:t>
      </w:r>
      <w:r w:rsidR="004925CE" w:rsidRPr="00177551">
        <w:rPr>
          <w:rFonts w:ascii="Arial" w:hAnsi="Arial" w:cs="Arial"/>
          <w:color w:val="000000" w:themeColor="text1"/>
          <w:sz w:val="20"/>
          <w:szCs w:val="20"/>
          <w:lang w:val="en-US"/>
        </w:rPr>
        <w:t xml:space="preserve">estimated </w:t>
      </w:r>
      <w:r w:rsidRPr="00177551">
        <w:rPr>
          <w:rFonts w:ascii="Arial" w:eastAsia="Calibri" w:hAnsi="Arial" w:cs="Arial"/>
          <w:color w:val="000000" w:themeColor="text1"/>
          <w:sz w:val="20"/>
          <w:szCs w:val="20"/>
          <w:lang w:val="en-US"/>
        </w:rPr>
        <w:t>prevalence between 2</w:t>
      </w:r>
      <w:r w:rsidR="005D0BA3" w:rsidRPr="00177551">
        <w:rPr>
          <w:rFonts w:ascii="Arial" w:eastAsia="Calibri" w:hAnsi="Arial" w:cs="Arial"/>
          <w:color w:val="000000" w:themeColor="text1"/>
          <w:sz w:val="20"/>
          <w:szCs w:val="20"/>
          <w:lang w:val="en-US"/>
        </w:rPr>
        <w:t xml:space="preserve"> and </w:t>
      </w:r>
      <w:r w:rsidRPr="00177551">
        <w:rPr>
          <w:rFonts w:ascii="Arial" w:eastAsia="Calibri" w:hAnsi="Arial" w:cs="Arial"/>
          <w:color w:val="000000" w:themeColor="text1"/>
          <w:sz w:val="20"/>
          <w:szCs w:val="20"/>
          <w:lang w:val="en-US"/>
        </w:rPr>
        <w:t xml:space="preserve">7% in childhood </w:t>
      </w:r>
      <w:r w:rsidR="00FD71C1" w:rsidRPr="00177551">
        <w:rPr>
          <w:rFonts w:ascii="Arial" w:eastAsia="Calibri" w:hAnsi="Arial" w:cs="Arial"/>
          <w:noProof/>
          <w:color w:val="000000" w:themeColor="text1"/>
          <w:sz w:val="20"/>
          <w:szCs w:val="20"/>
          <w:lang w:val="en-US"/>
        </w:rPr>
        <w:t>(Sayal et al., 2018, Cortese et al., 2023, Chaulagain et al., 2023)</w:t>
      </w:r>
      <w:r w:rsidRPr="00177551">
        <w:rPr>
          <w:rFonts w:ascii="Arial" w:eastAsia="Calibri" w:hAnsi="Arial" w:cs="Arial"/>
          <w:color w:val="000000" w:themeColor="text1"/>
          <w:sz w:val="20"/>
          <w:szCs w:val="20"/>
          <w:lang w:val="en-US"/>
        </w:rPr>
        <w:t xml:space="preserve">, </w:t>
      </w:r>
      <w:r w:rsidR="004925CE" w:rsidRPr="00177551">
        <w:rPr>
          <w:rFonts w:ascii="Arial" w:eastAsia="Calibri" w:hAnsi="Arial" w:cs="Arial"/>
          <w:color w:val="000000" w:themeColor="text1"/>
          <w:sz w:val="20"/>
          <w:szCs w:val="20"/>
          <w:lang w:val="en-US"/>
        </w:rPr>
        <w:t xml:space="preserve">and </w:t>
      </w:r>
      <w:r w:rsidRPr="00177551">
        <w:rPr>
          <w:rFonts w:ascii="Arial" w:eastAsia="Calibri" w:hAnsi="Arial" w:cs="Arial"/>
          <w:color w:val="000000" w:themeColor="text1"/>
          <w:sz w:val="20"/>
          <w:szCs w:val="20"/>
          <w:lang w:val="en-US"/>
        </w:rPr>
        <w:t xml:space="preserve">impairing symptoms </w:t>
      </w:r>
      <w:r w:rsidRPr="00177551">
        <w:rPr>
          <w:rFonts w:ascii="Arial" w:hAnsi="Arial" w:cs="Arial"/>
          <w:color w:val="000000" w:themeColor="text1"/>
          <w:sz w:val="20"/>
          <w:szCs w:val="20"/>
          <w:lang w:val="en-US"/>
        </w:rPr>
        <w:t xml:space="preserve">persist in </w:t>
      </w:r>
      <w:r w:rsidR="000D049C" w:rsidRPr="00177551">
        <w:rPr>
          <w:rFonts w:ascii="Arial" w:hAnsi="Arial" w:cs="Arial"/>
          <w:color w:val="000000" w:themeColor="text1"/>
          <w:sz w:val="20"/>
          <w:szCs w:val="20"/>
          <w:lang w:val="en-US"/>
        </w:rPr>
        <w:t xml:space="preserve">adulthood in </w:t>
      </w:r>
      <w:r w:rsidRPr="00177551">
        <w:rPr>
          <w:rFonts w:ascii="Arial" w:hAnsi="Arial" w:cs="Arial"/>
          <w:color w:val="000000" w:themeColor="text1"/>
          <w:sz w:val="20"/>
          <w:szCs w:val="20"/>
          <w:lang w:val="en-US"/>
        </w:rPr>
        <w:t xml:space="preserve">up to 75% of </w:t>
      </w:r>
      <w:r w:rsidR="000D049C" w:rsidRPr="00177551">
        <w:rPr>
          <w:rFonts w:ascii="Arial" w:hAnsi="Arial" w:cs="Arial"/>
          <w:color w:val="000000" w:themeColor="text1"/>
          <w:sz w:val="20"/>
          <w:szCs w:val="20"/>
          <w:lang w:val="en-US"/>
        </w:rPr>
        <w:t>cases</w:t>
      </w:r>
      <w:r w:rsidRPr="00177551">
        <w:rPr>
          <w:rFonts w:ascii="Arial" w:hAnsi="Arial" w:cs="Arial"/>
          <w:color w:val="000000" w:themeColor="text1"/>
          <w:sz w:val="20"/>
          <w:szCs w:val="20"/>
          <w:lang w:val="en-US"/>
        </w:rPr>
        <w:t xml:space="preserve"> </w:t>
      </w:r>
      <w:r w:rsidR="00FD71C1" w:rsidRPr="00177551">
        <w:rPr>
          <w:rFonts w:ascii="Arial" w:eastAsia="Calibri" w:hAnsi="Arial" w:cs="Arial"/>
          <w:noProof/>
          <w:color w:val="000000" w:themeColor="text1"/>
          <w:sz w:val="20"/>
          <w:szCs w:val="20"/>
          <w:lang w:val="en-US"/>
        </w:rPr>
        <w:t>(Sibley et al., 2016)</w:t>
      </w:r>
      <w:r w:rsidRPr="00177551">
        <w:rPr>
          <w:rFonts w:ascii="Arial" w:eastAsia="Calibri" w:hAnsi="Arial" w:cs="Arial"/>
          <w:color w:val="000000" w:themeColor="text1"/>
          <w:sz w:val="20"/>
          <w:szCs w:val="20"/>
          <w:lang w:val="en-US"/>
        </w:rPr>
        <w:t>.</w:t>
      </w:r>
      <w:r w:rsidR="000D049C" w:rsidRPr="00177551">
        <w:rPr>
          <w:rFonts w:ascii="Arial" w:eastAsia="Calibri" w:hAnsi="Arial" w:cs="Arial"/>
          <w:color w:val="000000" w:themeColor="text1"/>
          <w:sz w:val="20"/>
          <w:szCs w:val="20"/>
          <w:lang w:val="en-US"/>
        </w:rPr>
        <w:t xml:space="preserve"> </w:t>
      </w:r>
      <w:r w:rsidR="00C27949" w:rsidRPr="00177551">
        <w:rPr>
          <w:rFonts w:ascii="Arial" w:eastAsia="Calibri" w:hAnsi="Arial" w:cs="Arial"/>
          <w:color w:val="000000" w:themeColor="text1"/>
          <w:sz w:val="20"/>
          <w:szCs w:val="20"/>
          <w:lang w:val="en-US"/>
        </w:rPr>
        <w:t xml:space="preserve">Due to changes in </w:t>
      </w:r>
      <w:r w:rsidR="00C27949" w:rsidRPr="00177551">
        <w:rPr>
          <w:rFonts w:ascii="Arial" w:hAnsi="Arial" w:cs="Arial"/>
          <w:color w:val="000000" w:themeColor="text1"/>
          <w:sz w:val="20"/>
          <w:szCs w:val="20"/>
        </w:rPr>
        <w:t>clinical practices</w:t>
      </w:r>
      <w:r w:rsidR="005D0BA3" w:rsidRPr="00177551">
        <w:rPr>
          <w:rFonts w:ascii="Arial" w:hAnsi="Arial" w:cs="Arial"/>
          <w:color w:val="000000" w:themeColor="text1"/>
          <w:sz w:val="20"/>
          <w:szCs w:val="20"/>
        </w:rPr>
        <w:t xml:space="preserve">, </w:t>
      </w:r>
      <w:r w:rsidR="0096748C" w:rsidRPr="00177551">
        <w:rPr>
          <w:rFonts w:ascii="Arial" w:hAnsi="Arial" w:cs="Arial"/>
          <w:color w:val="000000" w:themeColor="text1"/>
          <w:sz w:val="20"/>
          <w:szCs w:val="20"/>
        </w:rPr>
        <w:t>and</w:t>
      </w:r>
      <w:r w:rsidR="00C27949" w:rsidRPr="00177551">
        <w:rPr>
          <w:rFonts w:ascii="Arial" w:hAnsi="Arial" w:cs="Arial"/>
          <w:color w:val="000000" w:themeColor="text1"/>
          <w:sz w:val="20"/>
          <w:szCs w:val="20"/>
        </w:rPr>
        <w:t xml:space="preserve"> increased awareness </w:t>
      </w:r>
      <w:r w:rsidR="005D0BA3" w:rsidRPr="00177551">
        <w:rPr>
          <w:rFonts w:ascii="Arial" w:hAnsi="Arial" w:cs="Arial"/>
          <w:color w:val="000000" w:themeColor="text1"/>
          <w:sz w:val="20"/>
          <w:szCs w:val="20"/>
        </w:rPr>
        <w:t xml:space="preserve">about </w:t>
      </w:r>
      <w:r w:rsidR="00444287" w:rsidRPr="00177551">
        <w:rPr>
          <w:rFonts w:ascii="Arial" w:hAnsi="Arial" w:cs="Arial"/>
          <w:color w:val="000000" w:themeColor="text1"/>
          <w:sz w:val="20"/>
          <w:szCs w:val="20"/>
        </w:rPr>
        <w:t>this condition</w:t>
      </w:r>
      <w:r w:rsidR="005D0BA3" w:rsidRPr="00177551">
        <w:rPr>
          <w:rFonts w:ascii="Arial" w:hAnsi="Arial" w:cs="Arial"/>
          <w:color w:val="000000" w:themeColor="text1"/>
          <w:sz w:val="20"/>
          <w:szCs w:val="20"/>
        </w:rPr>
        <w:t xml:space="preserve"> as well as its </w:t>
      </w:r>
      <w:r w:rsidR="00C27949" w:rsidRPr="00177551">
        <w:rPr>
          <w:rFonts w:ascii="Arial" w:hAnsi="Arial" w:cs="Arial"/>
          <w:color w:val="000000" w:themeColor="text1"/>
          <w:sz w:val="20"/>
          <w:szCs w:val="20"/>
        </w:rPr>
        <w:t xml:space="preserve">persistence in adulthood, </w:t>
      </w:r>
      <w:r w:rsidR="009707F0" w:rsidRPr="00177551">
        <w:rPr>
          <w:rFonts w:ascii="Arial" w:hAnsi="Arial" w:cs="Arial"/>
          <w:color w:val="000000" w:themeColor="text1"/>
          <w:sz w:val="20"/>
          <w:szCs w:val="20"/>
        </w:rPr>
        <w:t xml:space="preserve">administrative </w:t>
      </w:r>
      <w:r w:rsidR="00C27949" w:rsidRPr="00177551">
        <w:rPr>
          <w:rFonts w:ascii="Arial" w:eastAsia="Calibri" w:hAnsi="Arial" w:cs="Arial"/>
          <w:color w:val="000000" w:themeColor="text1"/>
          <w:sz w:val="20"/>
          <w:szCs w:val="20"/>
          <w:lang w:val="en-US"/>
        </w:rPr>
        <w:t>diagnos</w:t>
      </w:r>
      <w:r w:rsidR="009707F0" w:rsidRPr="00177551">
        <w:rPr>
          <w:rFonts w:ascii="Arial" w:eastAsia="Calibri" w:hAnsi="Arial" w:cs="Arial"/>
          <w:color w:val="000000" w:themeColor="text1"/>
          <w:sz w:val="20"/>
          <w:szCs w:val="20"/>
          <w:lang w:val="en-US"/>
        </w:rPr>
        <w:t>tic</w:t>
      </w:r>
      <w:r w:rsidR="00C27949" w:rsidRPr="00177551">
        <w:rPr>
          <w:rFonts w:ascii="Arial" w:eastAsia="Calibri" w:hAnsi="Arial" w:cs="Arial"/>
          <w:color w:val="000000" w:themeColor="text1"/>
          <w:sz w:val="20"/>
          <w:szCs w:val="20"/>
          <w:lang w:val="en-US"/>
        </w:rPr>
        <w:t xml:space="preserve"> rates have raised in recent years</w:t>
      </w:r>
      <w:r w:rsidR="00256FEC" w:rsidRPr="00177551">
        <w:rPr>
          <w:rFonts w:ascii="Arial" w:eastAsia="Calibri" w:hAnsi="Arial" w:cs="Arial"/>
          <w:color w:val="000000" w:themeColor="text1"/>
          <w:sz w:val="20"/>
          <w:szCs w:val="20"/>
          <w:lang w:val="en-US"/>
        </w:rPr>
        <w:t xml:space="preserve"> in </w:t>
      </w:r>
      <w:r w:rsidR="00444287" w:rsidRPr="00177551">
        <w:rPr>
          <w:rFonts w:ascii="Arial" w:eastAsia="Calibri" w:hAnsi="Arial" w:cs="Arial"/>
          <w:color w:val="000000" w:themeColor="text1"/>
          <w:sz w:val="20"/>
          <w:szCs w:val="20"/>
          <w:lang w:val="en-US"/>
        </w:rPr>
        <w:t xml:space="preserve">both </w:t>
      </w:r>
      <w:r w:rsidR="00256FEC" w:rsidRPr="00177551">
        <w:rPr>
          <w:rFonts w:ascii="Arial" w:eastAsia="Calibri" w:hAnsi="Arial" w:cs="Arial"/>
          <w:color w:val="000000" w:themeColor="text1"/>
          <w:sz w:val="20"/>
          <w:szCs w:val="20"/>
          <w:lang w:val="en-US"/>
        </w:rPr>
        <w:t xml:space="preserve">children </w:t>
      </w:r>
      <w:r w:rsidR="00444287" w:rsidRPr="00177551">
        <w:rPr>
          <w:rFonts w:ascii="Arial" w:eastAsia="Calibri" w:hAnsi="Arial" w:cs="Arial"/>
          <w:color w:val="000000" w:themeColor="text1"/>
          <w:sz w:val="20"/>
          <w:szCs w:val="20"/>
          <w:lang w:val="en-US"/>
        </w:rPr>
        <w:t>and</w:t>
      </w:r>
      <w:r w:rsidR="00256FEC" w:rsidRPr="00177551">
        <w:rPr>
          <w:rFonts w:ascii="Arial" w:eastAsia="Calibri" w:hAnsi="Arial" w:cs="Arial"/>
          <w:color w:val="000000" w:themeColor="text1"/>
          <w:sz w:val="20"/>
          <w:szCs w:val="20"/>
          <w:lang w:val="en-US"/>
        </w:rPr>
        <w:t xml:space="preserve"> adults</w:t>
      </w:r>
      <w:r w:rsidR="00C27949" w:rsidRPr="00177551">
        <w:rPr>
          <w:rFonts w:ascii="Arial" w:hAnsi="Arial" w:cs="Arial"/>
          <w:color w:val="000000" w:themeColor="text1"/>
          <w:sz w:val="20"/>
          <w:szCs w:val="20"/>
        </w:rPr>
        <w:t xml:space="preserve"> </w:t>
      </w:r>
      <w:r w:rsidR="00FD71C1" w:rsidRPr="00177551">
        <w:rPr>
          <w:rFonts w:ascii="Arial" w:hAnsi="Arial" w:cs="Arial"/>
          <w:noProof/>
          <w:color w:val="000000" w:themeColor="text1"/>
          <w:sz w:val="20"/>
          <w:szCs w:val="20"/>
          <w:lang w:val="en-US"/>
        </w:rPr>
        <w:t>(Faraone et al., 2021)</w:t>
      </w:r>
      <w:r w:rsidR="000D049C" w:rsidRPr="00177551">
        <w:rPr>
          <w:rFonts w:ascii="Arial" w:hAnsi="Arial" w:cs="Arial"/>
          <w:color w:val="000000" w:themeColor="text1"/>
          <w:sz w:val="20"/>
          <w:szCs w:val="20"/>
          <w:lang w:val="en-US"/>
        </w:rPr>
        <w:t>.</w:t>
      </w:r>
      <w:r w:rsidR="005A6AA2" w:rsidRPr="00177551">
        <w:rPr>
          <w:rFonts w:ascii="Arial" w:hAnsi="Arial" w:cs="Arial"/>
          <w:color w:val="000000" w:themeColor="text1"/>
          <w:sz w:val="20"/>
          <w:szCs w:val="20"/>
          <w:lang w:val="en-US"/>
        </w:rPr>
        <w:t xml:space="preserve"> </w:t>
      </w:r>
      <w:r w:rsidR="00D505FB" w:rsidRPr="00177551">
        <w:rPr>
          <w:rFonts w:ascii="Arial" w:hAnsi="Arial" w:cs="Arial"/>
          <w:color w:val="000000" w:themeColor="text1"/>
          <w:sz w:val="20"/>
          <w:szCs w:val="20"/>
          <w:lang w:val="en-US"/>
        </w:rPr>
        <w:t>P</w:t>
      </w:r>
      <w:r w:rsidR="00C27949" w:rsidRPr="00177551">
        <w:rPr>
          <w:rFonts w:ascii="Arial" w:hAnsi="Arial" w:cs="Arial"/>
          <w:color w:val="000000" w:themeColor="text1"/>
          <w:sz w:val="20"/>
          <w:szCs w:val="20"/>
          <w:lang w:val="en-US"/>
        </w:rPr>
        <w:t xml:space="preserve">rescription rates of stimulants, the first line pharmacological option, </w:t>
      </w:r>
      <w:r w:rsidR="00D505FB" w:rsidRPr="00177551">
        <w:rPr>
          <w:rFonts w:ascii="Arial" w:hAnsi="Arial" w:cs="Arial"/>
          <w:color w:val="000000" w:themeColor="text1"/>
          <w:sz w:val="20"/>
          <w:szCs w:val="20"/>
          <w:lang w:val="en-US"/>
        </w:rPr>
        <w:t>have also</w:t>
      </w:r>
      <w:r w:rsidR="00C27949" w:rsidRPr="00177551">
        <w:rPr>
          <w:rFonts w:ascii="Arial" w:hAnsi="Arial" w:cs="Arial"/>
          <w:color w:val="000000" w:themeColor="text1"/>
          <w:sz w:val="20"/>
          <w:szCs w:val="20"/>
          <w:lang w:val="en-US"/>
        </w:rPr>
        <w:t xml:space="preserve"> increas</w:t>
      </w:r>
      <w:r w:rsidR="00D505FB" w:rsidRPr="00177551">
        <w:rPr>
          <w:rFonts w:ascii="Arial" w:hAnsi="Arial" w:cs="Arial"/>
          <w:color w:val="000000" w:themeColor="text1"/>
          <w:sz w:val="20"/>
          <w:szCs w:val="20"/>
          <w:lang w:val="en-US"/>
        </w:rPr>
        <w:t>ed</w:t>
      </w:r>
      <w:r w:rsidR="005D0BA3" w:rsidRPr="00177551">
        <w:rPr>
          <w:rFonts w:ascii="Arial" w:hAnsi="Arial" w:cs="Arial"/>
          <w:color w:val="000000" w:themeColor="text1"/>
          <w:sz w:val="20"/>
          <w:szCs w:val="20"/>
          <w:lang w:val="en-US"/>
        </w:rPr>
        <w:t>,</w:t>
      </w:r>
      <w:r w:rsidR="00D505FB" w:rsidRPr="00177551">
        <w:rPr>
          <w:rFonts w:ascii="Arial" w:hAnsi="Arial" w:cs="Arial"/>
          <w:color w:val="000000" w:themeColor="text1"/>
          <w:sz w:val="20"/>
          <w:szCs w:val="20"/>
          <w:lang w:val="en-US"/>
        </w:rPr>
        <w:t xml:space="preserve"> </w:t>
      </w:r>
      <w:r w:rsidR="00C27949" w:rsidRPr="00177551">
        <w:rPr>
          <w:rFonts w:ascii="Arial" w:hAnsi="Arial" w:cs="Arial"/>
          <w:color w:val="000000" w:themeColor="text1"/>
          <w:sz w:val="20"/>
          <w:szCs w:val="20"/>
          <w:lang w:val="en-US"/>
        </w:rPr>
        <w:t>especially in adults (</w:t>
      </w:r>
      <w:hyperlink r:id="rId8" w:history="1">
        <w:r w:rsidR="00C27949" w:rsidRPr="00177551">
          <w:rPr>
            <w:rStyle w:val="Hyperlink"/>
            <w:rFonts w:ascii="Arial" w:hAnsi="Arial" w:cs="Arial"/>
            <w:color w:val="000000" w:themeColor="text1"/>
            <w:sz w:val="20"/>
            <w:szCs w:val="20"/>
            <w:u w:val="none"/>
            <w:lang w:val="en-US"/>
          </w:rPr>
          <w:t>https://www.nhsbsa.nhs.uk/statistical-collections/medicines-used-mental-health-england/medicines-used-mental-health-england-201516-202223</w:t>
        </w:r>
      </w:hyperlink>
      <w:r w:rsidR="00C27949" w:rsidRPr="00177551">
        <w:rPr>
          <w:rFonts w:ascii="Arial" w:hAnsi="Arial" w:cs="Arial"/>
          <w:color w:val="000000" w:themeColor="text1"/>
          <w:sz w:val="20"/>
          <w:szCs w:val="20"/>
          <w:lang w:val="en-US"/>
        </w:rPr>
        <w:t xml:space="preserve">). </w:t>
      </w:r>
      <w:r w:rsidR="00D505FB" w:rsidRPr="00177551">
        <w:rPr>
          <w:rFonts w:ascii="Arial" w:hAnsi="Arial" w:cs="Arial"/>
          <w:color w:val="000000" w:themeColor="text1"/>
          <w:sz w:val="20"/>
          <w:szCs w:val="20"/>
          <w:lang w:val="en-US"/>
        </w:rPr>
        <w:t>Therefore</w:t>
      </w:r>
      <w:r w:rsidR="009217A1" w:rsidRPr="00177551">
        <w:rPr>
          <w:rFonts w:ascii="Arial" w:hAnsi="Arial" w:cs="Arial"/>
          <w:color w:val="000000" w:themeColor="text1"/>
          <w:sz w:val="20"/>
          <w:szCs w:val="20"/>
          <w:lang w:val="en-US"/>
        </w:rPr>
        <w:t>,</w:t>
      </w:r>
      <w:r w:rsidR="00D505FB" w:rsidRPr="00177551">
        <w:rPr>
          <w:rFonts w:ascii="Arial" w:hAnsi="Arial" w:cs="Arial"/>
          <w:color w:val="000000" w:themeColor="text1"/>
          <w:sz w:val="20"/>
          <w:szCs w:val="20"/>
          <w:lang w:val="en-US"/>
        </w:rPr>
        <w:t xml:space="preserve"> child and adult mental health services are facing increasing demands to provide pharmacological treatments</w:t>
      </w:r>
      <w:r w:rsidR="009217A1" w:rsidRPr="00177551">
        <w:rPr>
          <w:rFonts w:ascii="Arial" w:hAnsi="Arial" w:cs="Arial"/>
          <w:color w:val="000000" w:themeColor="text1"/>
          <w:sz w:val="20"/>
          <w:szCs w:val="20"/>
          <w:lang w:val="en-US"/>
        </w:rPr>
        <w:t xml:space="preserve"> for ADHD</w:t>
      </w:r>
      <w:r w:rsidR="00D505FB" w:rsidRPr="00177551">
        <w:rPr>
          <w:rFonts w:ascii="Arial" w:hAnsi="Arial" w:cs="Arial"/>
          <w:color w:val="000000" w:themeColor="text1"/>
          <w:sz w:val="20"/>
          <w:szCs w:val="20"/>
          <w:lang w:val="en-US"/>
        </w:rPr>
        <w:t xml:space="preserve">. </w:t>
      </w:r>
      <w:r w:rsidR="004925CE" w:rsidRPr="00177551">
        <w:rPr>
          <w:rFonts w:ascii="Arial" w:hAnsi="Arial" w:cs="Arial"/>
          <w:color w:val="000000" w:themeColor="text1"/>
          <w:sz w:val="20"/>
          <w:szCs w:val="20"/>
          <w:lang w:val="en-US"/>
        </w:rPr>
        <w:t>Randomized controlled trials</w:t>
      </w:r>
      <w:r w:rsidR="00444287" w:rsidRPr="00177551">
        <w:rPr>
          <w:rFonts w:ascii="Arial" w:hAnsi="Arial" w:cs="Arial"/>
          <w:color w:val="000000" w:themeColor="text1"/>
          <w:sz w:val="20"/>
          <w:szCs w:val="20"/>
          <w:lang w:val="en-US"/>
        </w:rPr>
        <w:t xml:space="preserve"> (RCTs)</w:t>
      </w:r>
      <w:r w:rsidR="009217A1" w:rsidRPr="00177551">
        <w:rPr>
          <w:rFonts w:ascii="Arial" w:hAnsi="Arial" w:cs="Arial"/>
          <w:color w:val="000000" w:themeColor="text1"/>
          <w:sz w:val="20"/>
          <w:szCs w:val="20"/>
          <w:lang w:val="en-US"/>
        </w:rPr>
        <w:t xml:space="preserve"> demonstrated that </w:t>
      </w:r>
      <w:r w:rsidR="00A564D3" w:rsidRPr="00177551">
        <w:rPr>
          <w:rFonts w:ascii="Arial" w:hAnsi="Arial" w:cs="Arial"/>
          <w:color w:val="000000" w:themeColor="text1"/>
          <w:sz w:val="20"/>
          <w:szCs w:val="20"/>
          <w:lang w:val="en-US"/>
        </w:rPr>
        <w:t>stimulants</w:t>
      </w:r>
      <w:r w:rsidR="009217A1" w:rsidRPr="00177551">
        <w:rPr>
          <w:rFonts w:ascii="Arial" w:hAnsi="Arial" w:cs="Arial"/>
          <w:color w:val="000000" w:themeColor="text1"/>
          <w:sz w:val="20"/>
          <w:szCs w:val="20"/>
          <w:lang w:val="en-US"/>
        </w:rPr>
        <w:t xml:space="preserve"> are </w:t>
      </w:r>
      <w:r w:rsidR="004925CE" w:rsidRPr="00177551">
        <w:rPr>
          <w:rFonts w:ascii="Arial" w:hAnsi="Arial" w:cs="Arial"/>
          <w:color w:val="000000" w:themeColor="text1"/>
          <w:sz w:val="20"/>
          <w:szCs w:val="20"/>
          <w:lang w:val="en-US"/>
        </w:rPr>
        <w:t xml:space="preserve">efficacious </w:t>
      </w:r>
      <w:r w:rsidR="009217A1" w:rsidRPr="00177551">
        <w:rPr>
          <w:rFonts w:ascii="Arial" w:hAnsi="Arial" w:cs="Arial"/>
          <w:color w:val="000000" w:themeColor="text1"/>
          <w:sz w:val="20"/>
          <w:szCs w:val="20"/>
          <w:lang w:val="en-US"/>
        </w:rPr>
        <w:t xml:space="preserve">in ameliorating ADHD symptoms at </w:t>
      </w:r>
      <w:r w:rsidR="009707F0" w:rsidRPr="00177551">
        <w:rPr>
          <w:rFonts w:ascii="Arial" w:hAnsi="Arial" w:cs="Arial"/>
          <w:color w:val="000000" w:themeColor="text1"/>
          <w:sz w:val="20"/>
          <w:szCs w:val="20"/>
          <w:lang w:val="en-US"/>
        </w:rPr>
        <w:t>the</w:t>
      </w:r>
      <w:r w:rsidR="009217A1" w:rsidRPr="00177551">
        <w:rPr>
          <w:rFonts w:ascii="Arial" w:hAnsi="Arial" w:cs="Arial"/>
          <w:color w:val="000000" w:themeColor="text1"/>
          <w:sz w:val="20"/>
          <w:szCs w:val="20"/>
          <w:lang w:val="en-US"/>
        </w:rPr>
        <w:t xml:space="preserve"> group level </w:t>
      </w:r>
      <w:r w:rsidR="009217A1" w:rsidRPr="00177551">
        <w:rPr>
          <w:rFonts w:ascii="Arial" w:hAnsi="Arial" w:cs="Arial"/>
          <w:noProof/>
          <w:color w:val="000000" w:themeColor="text1"/>
          <w:sz w:val="20"/>
          <w:szCs w:val="20"/>
          <w:shd w:val="clear" w:color="auto" w:fill="FFFFFF"/>
          <w:lang w:val="en-US"/>
        </w:rPr>
        <w:t>(Cortese et al., 2018)</w:t>
      </w:r>
      <w:r w:rsidR="009217A1" w:rsidRPr="00177551">
        <w:rPr>
          <w:rFonts w:ascii="Arial" w:hAnsi="Arial" w:cs="Arial"/>
          <w:color w:val="000000" w:themeColor="text1"/>
          <w:sz w:val="20"/>
          <w:szCs w:val="20"/>
          <w:shd w:val="clear" w:color="auto" w:fill="FFFFFF"/>
          <w:lang w:val="en-US"/>
        </w:rPr>
        <w:t>.</w:t>
      </w:r>
      <w:r w:rsidR="009217A1" w:rsidRPr="00177551">
        <w:rPr>
          <w:rFonts w:ascii="Arial" w:hAnsi="Arial" w:cs="Arial"/>
          <w:color w:val="000000" w:themeColor="text1"/>
          <w:sz w:val="20"/>
          <w:szCs w:val="20"/>
          <w:lang w:val="en-US"/>
        </w:rPr>
        <w:t xml:space="preserve"> </w:t>
      </w:r>
      <w:r w:rsidR="005D0BA3" w:rsidRPr="00177551">
        <w:rPr>
          <w:rFonts w:ascii="Arial" w:hAnsi="Arial" w:cs="Arial"/>
          <w:color w:val="000000" w:themeColor="text1"/>
          <w:sz w:val="20"/>
          <w:szCs w:val="20"/>
          <w:lang w:val="en-US"/>
        </w:rPr>
        <w:t>T</w:t>
      </w:r>
      <w:r w:rsidR="009217A1" w:rsidRPr="00177551">
        <w:rPr>
          <w:rFonts w:ascii="Arial" w:hAnsi="Arial" w:cs="Arial"/>
          <w:color w:val="000000" w:themeColor="text1"/>
          <w:sz w:val="20"/>
          <w:szCs w:val="20"/>
          <w:lang w:val="en-US"/>
        </w:rPr>
        <w:t xml:space="preserve">hey also highlighted that individual response varies </w:t>
      </w:r>
      <w:r w:rsidR="00256FEC" w:rsidRPr="00177551">
        <w:rPr>
          <w:rFonts w:ascii="Arial" w:hAnsi="Arial" w:cs="Arial"/>
          <w:color w:val="000000" w:themeColor="text1"/>
          <w:sz w:val="20"/>
          <w:szCs w:val="20"/>
          <w:lang w:val="en-US"/>
        </w:rPr>
        <w:t>across individuals. H</w:t>
      </w:r>
      <w:r w:rsidR="004925CE" w:rsidRPr="00177551">
        <w:rPr>
          <w:rFonts w:ascii="Arial" w:hAnsi="Arial" w:cs="Arial"/>
          <w:color w:val="000000" w:themeColor="text1"/>
          <w:sz w:val="20"/>
          <w:szCs w:val="20"/>
          <w:lang w:val="en-US"/>
        </w:rPr>
        <w:t>owever, to date</w:t>
      </w:r>
      <w:r w:rsidR="00444287" w:rsidRPr="00177551">
        <w:rPr>
          <w:rFonts w:ascii="Arial" w:hAnsi="Arial" w:cs="Arial"/>
          <w:color w:val="000000" w:themeColor="text1"/>
          <w:sz w:val="20"/>
          <w:szCs w:val="20"/>
          <w:lang w:val="en-US"/>
        </w:rPr>
        <w:t>,</w:t>
      </w:r>
      <w:r w:rsidR="004925CE" w:rsidRPr="00177551">
        <w:rPr>
          <w:rFonts w:ascii="Arial" w:hAnsi="Arial" w:cs="Arial"/>
          <w:color w:val="000000" w:themeColor="text1"/>
          <w:sz w:val="20"/>
          <w:szCs w:val="20"/>
          <w:lang w:val="en-US"/>
        </w:rPr>
        <w:t xml:space="preserve"> </w:t>
      </w:r>
      <w:r w:rsidR="009217A1" w:rsidRPr="00177551">
        <w:rPr>
          <w:rFonts w:ascii="Arial" w:hAnsi="Arial" w:cs="Arial"/>
          <w:color w:val="000000" w:themeColor="text1"/>
          <w:sz w:val="20"/>
          <w:szCs w:val="20"/>
          <w:lang w:val="en-US"/>
        </w:rPr>
        <w:t xml:space="preserve">pre-treatment characteristics consistently associated with better response </w:t>
      </w:r>
      <w:r w:rsidR="004925CE" w:rsidRPr="00177551">
        <w:rPr>
          <w:rFonts w:ascii="Arial" w:hAnsi="Arial" w:cs="Arial"/>
          <w:color w:val="000000" w:themeColor="text1"/>
          <w:sz w:val="20"/>
          <w:szCs w:val="20"/>
          <w:lang w:val="en-US"/>
        </w:rPr>
        <w:t xml:space="preserve">have not been identified </w:t>
      </w:r>
      <w:r w:rsidR="002824CC" w:rsidRPr="00177551">
        <w:rPr>
          <w:rFonts w:ascii="Arial" w:hAnsi="Arial" w:cs="Arial"/>
          <w:noProof/>
          <w:color w:val="211E1E"/>
          <w:sz w:val="20"/>
          <w:szCs w:val="20"/>
          <w:lang w:val="en-US"/>
        </w:rPr>
        <w:t>(Cortese, 2021, Buitelaar et al., 2022)</w:t>
      </w:r>
      <w:r w:rsidR="009217A1" w:rsidRPr="00177551">
        <w:rPr>
          <w:rFonts w:ascii="Arial" w:hAnsi="Arial" w:cs="Arial"/>
          <w:color w:val="000000" w:themeColor="text1"/>
          <w:sz w:val="20"/>
          <w:szCs w:val="20"/>
          <w:lang w:val="en-US"/>
        </w:rPr>
        <w:t xml:space="preserve">. </w:t>
      </w:r>
      <w:r w:rsidR="009217A1" w:rsidRPr="00177551">
        <w:rPr>
          <w:rFonts w:ascii="Arial" w:hAnsi="Arial" w:cs="Arial"/>
          <w:color w:val="000000" w:themeColor="text1"/>
          <w:sz w:val="20"/>
          <w:szCs w:val="20"/>
        </w:rPr>
        <w:t>In current clinical practice, the most appropriate medication is selected on a trial-and-error basis, a</w:t>
      </w:r>
      <w:r w:rsidR="009707F0" w:rsidRPr="00177551">
        <w:rPr>
          <w:rFonts w:ascii="Arial" w:hAnsi="Arial" w:cs="Arial"/>
          <w:color w:val="000000" w:themeColor="text1"/>
          <w:sz w:val="20"/>
          <w:szCs w:val="20"/>
        </w:rPr>
        <w:t xml:space="preserve"> no</w:t>
      </w:r>
      <w:r w:rsidR="00F71E15" w:rsidRPr="00177551">
        <w:rPr>
          <w:rFonts w:ascii="Arial" w:hAnsi="Arial" w:cs="Arial"/>
          <w:color w:val="000000" w:themeColor="text1"/>
          <w:sz w:val="20"/>
          <w:szCs w:val="20"/>
        </w:rPr>
        <w:t xml:space="preserve">t </w:t>
      </w:r>
      <w:r w:rsidR="009707F0" w:rsidRPr="00177551">
        <w:rPr>
          <w:rFonts w:ascii="Arial" w:hAnsi="Arial" w:cs="Arial"/>
          <w:color w:val="000000" w:themeColor="text1"/>
          <w:sz w:val="20"/>
          <w:szCs w:val="20"/>
        </w:rPr>
        <w:t>cost-</w:t>
      </w:r>
      <w:r w:rsidR="00F71E15" w:rsidRPr="00177551">
        <w:rPr>
          <w:rFonts w:ascii="Arial" w:hAnsi="Arial" w:cs="Arial"/>
          <w:color w:val="000000" w:themeColor="text1"/>
          <w:sz w:val="20"/>
          <w:szCs w:val="20"/>
        </w:rPr>
        <w:t>effective</w:t>
      </w:r>
      <w:r w:rsidR="009707F0" w:rsidRPr="00177551">
        <w:rPr>
          <w:rFonts w:ascii="Arial" w:hAnsi="Arial" w:cs="Arial"/>
          <w:color w:val="000000" w:themeColor="text1"/>
          <w:sz w:val="20"/>
          <w:szCs w:val="20"/>
        </w:rPr>
        <w:t xml:space="preserve"> </w:t>
      </w:r>
      <w:r w:rsidR="009217A1" w:rsidRPr="00177551">
        <w:rPr>
          <w:rFonts w:ascii="Arial" w:hAnsi="Arial" w:cs="Arial"/>
          <w:color w:val="000000" w:themeColor="text1"/>
          <w:sz w:val="20"/>
          <w:szCs w:val="20"/>
        </w:rPr>
        <w:t>approach that is</w:t>
      </w:r>
      <w:r w:rsidR="004925CE" w:rsidRPr="00177551">
        <w:rPr>
          <w:rFonts w:ascii="Arial" w:hAnsi="Arial" w:cs="Arial"/>
          <w:color w:val="000000" w:themeColor="text1"/>
          <w:sz w:val="20"/>
          <w:szCs w:val="20"/>
        </w:rPr>
        <w:t xml:space="preserve"> </w:t>
      </w:r>
      <w:r w:rsidR="009217A1" w:rsidRPr="00177551">
        <w:rPr>
          <w:rFonts w:ascii="Arial" w:hAnsi="Arial" w:cs="Arial"/>
          <w:color w:val="000000" w:themeColor="text1"/>
          <w:sz w:val="20"/>
          <w:szCs w:val="20"/>
        </w:rPr>
        <w:t xml:space="preserve">time-consuming </w:t>
      </w:r>
      <w:r w:rsidR="004925CE" w:rsidRPr="00177551">
        <w:rPr>
          <w:rFonts w:ascii="Arial" w:hAnsi="Arial" w:cs="Arial"/>
          <w:color w:val="000000" w:themeColor="text1"/>
          <w:sz w:val="20"/>
          <w:szCs w:val="20"/>
        </w:rPr>
        <w:t>for already overstretched services</w:t>
      </w:r>
      <w:r w:rsidR="009217A1" w:rsidRPr="00177551">
        <w:rPr>
          <w:rFonts w:ascii="Arial" w:hAnsi="Arial" w:cs="Arial"/>
          <w:color w:val="000000" w:themeColor="text1"/>
          <w:sz w:val="20"/>
          <w:szCs w:val="20"/>
        </w:rPr>
        <w:t xml:space="preserve">. </w:t>
      </w:r>
      <w:r w:rsidR="00A564D3" w:rsidRPr="00177551">
        <w:rPr>
          <w:rFonts w:ascii="Arial" w:hAnsi="Arial" w:cs="Arial"/>
          <w:color w:val="000000" w:themeColor="text1"/>
          <w:sz w:val="20"/>
          <w:szCs w:val="20"/>
        </w:rPr>
        <w:t xml:space="preserve">Therefore, more targeted treatment approaches are needed to enable services to meet increased demands and to tailor treatments to </w:t>
      </w:r>
      <w:proofErr w:type="gramStart"/>
      <w:r w:rsidR="002824CC" w:rsidRPr="00177551">
        <w:rPr>
          <w:rFonts w:ascii="Arial" w:hAnsi="Arial" w:cs="Arial"/>
          <w:color w:val="000000" w:themeColor="text1"/>
          <w:sz w:val="20"/>
          <w:szCs w:val="20"/>
        </w:rPr>
        <w:t xml:space="preserve">each </w:t>
      </w:r>
      <w:r w:rsidR="00A564D3" w:rsidRPr="00177551">
        <w:rPr>
          <w:rFonts w:ascii="Arial" w:hAnsi="Arial" w:cs="Arial"/>
          <w:color w:val="000000" w:themeColor="text1"/>
          <w:sz w:val="20"/>
          <w:szCs w:val="20"/>
        </w:rPr>
        <w:t>individual</w:t>
      </w:r>
      <w:proofErr w:type="gramEnd"/>
      <w:r w:rsidR="002824CC" w:rsidRPr="00177551">
        <w:rPr>
          <w:rFonts w:ascii="Arial" w:hAnsi="Arial" w:cs="Arial"/>
          <w:color w:val="000000" w:themeColor="text1"/>
          <w:sz w:val="20"/>
          <w:szCs w:val="20"/>
        </w:rPr>
        <w:t xml:space="preserve"> </w:t>
      </w:r>
      <w:r w:rsidR="00444287" w:rsidRPr="00177551">
        <w:rPr>
          <w:rFonts w:ascii="Arial" w:hAnsi="Arial" w:cs="Arial"/>
          <w:noProof/>
          <w:color w:val="211E1E"/>
          <w:sz w:val="20"/>
          <w:szCs w:val="20"/>
          <w:lang w:val="en-US"/>
        </w:rPr>
        <w:t>(Cortese, 2021, Buitelaar et al., 2022)</w:t>
      </w:r>
      <w:r w:rsidR="00444287" w:rsidRPr="00177551">
        <w:rPr>
          <w:rFonts w:ascii="Arial" w:hAnsi="Arial" w:cs="Arial"/>
          <w:color w:val="000000" w:themeColor="text1"/>
          <w:sz w:val="20"/>
          <w:szCs w:val="20"/>
          <w:lang w:val="en-US"/>
        </w:rPr>
        <w:t>.</w:t>
      </w:r>
    </w:p>
    <w:p w14:paraId="1D8F10CE" w14:textId="189A7D39" w:rsidR="004925CE" w:rsidRPr="00177551" w:rsidRDefault="00A564D3" w:rsidP="005A3F84">
      <w:pPr>
        <w:spacing w:line="480" w:lineRule="auto"/>
        <w:ind w:left="-851" w:right="-761"/>
        <w:contextualSpacing/>
        <w:rPr>
          <w:rFonts w:ascii="Arial" w:hAnsi="Arial" w:cs="Arial"/>
          <w:color w:val="000000" w:themeColor="text1"/>
          <w:sz w:val="20"/>
          <w:szCs w:val="20"/>
          <w:lang w:val="en-US"/>
        </w:rPr>
      </w:pPr>
      <w:r w:rsidRPr="00177551">
        <w:rPr>
          <w:rFonts w:ascii="Arial" w:hAnsi="Arial" w:cs="Arial"/>
          <w:color w:val="000000" w:themeColor="text1"/>
          <w:sz w:val="20"/>
          <w:szCs w:val="20"/>
        </w:rPr>
        <w:t xml:space="preserve">Whilst </w:t>
      </w:r>
      <w:r w:rsidR="005D0BA3" w:rsidRPr="00177551">
        <w:rPr>
          <w:rFonts w:ascii="Arial" w:hAnsi="Arial" w:cs="Arial"/>
          <w:color w:val="000000" w:themeColor="text1"/>
          <w:sz w:val="20"/>
          <w:szCs w:val="20"/>
        </w:rPr>
        <w:t>clinical RCTs</w:t>
      </w:r>
      <w:r w:rsidRPr="00177551">
        <w:rPr>
          <w:rFonts w:ascii="Arial" w:hAnsi="Arial" w:cs="Arial"/>
          <w:color w:val="000000" w:themeColor="text1"/>
          <w:sz w:val="20"/>
          <w:szCs w:val="20"/>
        </w:rPr>
        <w:t xml:space="preserve"> </w:t>
      </w:r>
      <w:r w:rsidRPr="00177551">
        <w:rPr>
          <w:rFonts w:ascii="Arial" w:hAnsi="Arial" w:cs="Arial"/>
          <w:color w:val="000000" w:themeColor="text1"/>
          <w:sz w:val="20"/>
          <w:szCs w:val="20"/>
          <w:lang w:val="en-US"/>
        </w:rPr>
        <w:t xml:space="preserve">have primarily focused on the effects of continuous stimulant treatment over several weeks, experimental studies have </w:t>
      </w:r>
      <w:r w:rsidR="005D0BA3" w:rsidRPr="00177551">
        <w:rPr>
          <w:rFonts w:ascii="Arial" w:hAnsi="Arial" w:cs="Arial"/>
          <w:color w:val="000000" w:themeColor="text1"/>
          <w:sz w:val="20"/>
          <w:szCs w:val="20"/>
          <w:lang w:val="en-US"/>
        </w:rPr>
        <w:t>assessed</w:t>
      </w:r>
      <w:r w:rsidRPr="00177551">
        <w:rPr>
          <w:rFonts w:ascii="Arial" w:hAnsi="Arial" w:cs="Arial"/>
          <w:color w:val="000000" w:themeColor="text1"/>
          <w:sz w:val="20"/>
          <w:szCs w:val="20"/>
          <w:lang w:val="en-US"/>
        </w:rPr>
        <w:t xml:space="preserve"> </w:t>
      </w:r>
      <w:r w:rsidR="009A57CE" w:rsidRPr="00177551">
        <w:rPr>
          <w:rFonts w:ascii="Arial" w:hAnsi="Arial" w:cs="Arial"/>
          <w:color w:val="1E1E1E"/>
          <w:sz w:val="20"/>
          <w:szCs w:val="20"/>
          <w:lang w:val="en-US"/>
        </w:rPr>
        <w:t>the effects of a single dose of stimulants</w:t>
      </w:r>
      <w:r w:rsidR="00ED399C" w:rsidRPr="00177551">
        <w:rPr>
          <w:rFonts w:ascii="Arial" w:hAnsi="Arial" w:cs="Arial"/>
          <w:color w:val="1E1E1E"/>
          <w:sz w:val="20"/>
          <w:szCs w:val="20"/>
          <w:lang w:val="en-US"/>
        </w:rPr>
        <w:t xml:space="preserve"> on brain activity or specific cognitive functions/skills</w:t>
      </w:r>
      <w:r w:rsidR="000B2DBC" w:rsidRPr="00177551">
        <w:rPr>
          <w:rFonts w:ascii="Arial" w:hAnsi="Arial" w:cs="Arial"/>
          <w:color w:val="1E1E1E"/>
          <w:sz w:val="20"/>
          <w:szCs w:val="20"/>
          <w:lang w:val="en-US"/>
        </w:rPr>
        <w:t xml:space="preserve"> (</w:t>
      </w:r>
      <w:proofErr w:type="spellStart"/>
      <w:r w:rsidR="000B2DBC" w:rsidRPr="00177551">
        <w:rPr>
          <w:rFonts w:ascii="Arial" w:hAnsi="Arial" w:cs="Arial"/>
          <w:color w:val="1E1E1E"/>
          <w:sz w:val="20"/>
          <w:szCs w:val="20"/>
          <w:lang w:val="en-US"/>
        </w:rPr>
        <w:t>Parlatini</w:t>
      </w:r>
      <w:proofErr w:type="spellEnd"/>
      <w:r w:rsidR="000B2DBC" w:rsidRPr="00177551">
        <w:rPr>
          <w:rFonts w:ascii="Arial" w:hAnsi="Arial" w:cs="Arial"/>
          <w:color w:val="1E1E1E"/>
          <w:sz w:val="20"/>
          <w:szCs w:val="20"/>
          <w:lang w:val="en-US"/>
        </w:rPr>
        <w:t xml:space="preserve"> et al., under review</w:t>
      </w:r>
      <w:r w:rsidR="00FD71C1" w:rsidRPr="00177551">
        <w:rPr>
          <w:rFonts w:ascii="Arial" w:hAnsi="Arial" w:cs="Arial"/>
          <w:color w:val="1E1E1E"/>
          <w:sz w:val="20"/>
          <w:szCs w:val="20"/>
          <w:lang w:val="en-US"/>
        </w:rPr>
        <w:t>)</w:t>
      </w:r>
      <w:r w:rsidR="004925CE" w:rsidRPr="00177551">
        <w:rPr>
          <w:rFonts w:ascii="Arial" w:hAnsi="Arial" w:cs="Arial"/>
          <w:color w:val="1E1E1E"/>
          <w:sz w:val="20"/>
          <w:szCs w:val="20"/>
          <w:lang w:val="en-US"/>
        </w:rPr>
        <w:t xml:space="preserve"> </w:t>
      </w:r>
      <w:r w:rsidR="00FD71C1" w:rsidRPr="00177551">
        <w:rPr>
          <w:rFonts w:ascii="Arial" w:hAnsi="Arial" w:cs="Arial"/>
          <w:noProof/>
          <w:color w:val="1E1E1E"/>
          <w:sz w:val="20"/>
          <w:szCs w:val="20"/>
          <w:lang w:val="en-US"/>
        </w:rPr>
        <w:t>(Kirkland and Holton, 2019, Michelini et al., 2022)</w:t>
      </w:r>
      <w:r w:rsidR="000B2DBC" w:rsidRPr="00177551">
        <w:rPr>
          <w:rFonts w:ascii="Arial" w:hAnsi="Arial" w:cs="Arial"/>
          <w:color w:val="1E1E1E"/>
          <w:sz w:val="20"/>
          <w:szCs w:val="20"/>
          <w:lang w:val="en-US"/>
        </w:rPr>
        <w:t>.</w:t>
      </w:r>
      <w:r w:rsidR="009A57CE" w:rsidRPr="00177551">
        <w:rPr>
          <w:rFonts w:ascii="Arial" w:hAnsi="Arial" w:cs="Arial"/>
          <w:color w:val="1E1E1E"/>
          <w:sz w:val="20"/>
          <w:szCs w:val="20"/>
          <w:lang w:val="en-US"/>
        </w:rPr>
        <w:t xml:space="preserve"> </w:t>
      </w:r>
      <w:r w:rsidR="005D0BA3" w:rsidRPr="00177551">
        <w:rPr>
          <w:rFonts w:ascii="Arial" w:hAnsi="Arial" w:cs="Arial"/>
          <w:color w:val="1E1E1E"/>
          <w:sz w:val="20"/>
          <w:szCs w:val="20"/>
          <w:lang w:val="en-US"/>
        </w:rPr>
        <w:t>As, o</w:t>
      </w:r>
      <w:r w:rsidR="000B2DBC" w:rsidRPr="00177551">
        <w:rPr>
          <w:rFonts w:ascii="Arial" w:hAnsi="Arial" w:cs="Arial"/>
          <w:color w:val="1E1E1E"/>
          <w:sz w:val="20"/>
          <w:szCs w:val="20"/>
          <w:lang w:val="en-US"/>
        </w:rPr>
        <w:t>nce administered,</w:t>
      </w:r>
      <w:r w:rsidR="00DE4B46" w:rsidRPr="00177551">
        <w:rPr>
          <w:rFonts w:ascii="Arial" w:hAnsi="Arial" w:cs="Arial"/>
          <w:color w:val="1E1E1E"/>
          <w:sz w:val="20"/>
          <w:szCs w:val="20"/>
          <w:lang w:val="en-US"/>
        </w:rPr>
        <w:t xml:space="preserve"> </w:t>
      </w:r>
      <w:r w:rsidR="00ED399C" w:rsidRPr="00177551">
        <w:rPr>
          <w:rFonts w:ascii="Arial" w:hAnsi="Arial" w:cs="Arial"/>
          <w:color w:val="1E1E1E"/>
          <w:sz w:val="20"/>
          <w:szCs w:val="20"/>
          <w:lang w:val="en-US"/>
        </w:rPr>
        <w:t>short</w:t>
      </w:r>
      <w:r w:rsidR="00DE4B46" w:rsidRPr="00177551">
        <w:rPr>
          <w:rFonts w:ascii="Arial" w:hAnsi="Arial" w:cs="Arial"/>
          <w:color w:val="1E1E1E"/>
          <w:sz w:val="20"/>
          <w:szCs w:val="20"/>
          <w:lang w:val="en-US"/>
        </w:rPr>
        <w:t>-</w:t>
      </w:r>
      <w:r w:rsidR="00ED399C" w:rsidRPr="00177551">
        <w:rPr>
          <w:rFonts w:ascii="Arial" w:hAnsi="Arial" w:cs="Arial"/>
          <w:color w:val="1E1E1E"/>
          <w:sz w:val="20"/>
          <w:szCs w:val="20"/>
          <w:lang w:val="en-US"/>
        </w:rPr>
        <w:t xml:space="preserve">acting </w:t>
      </w:r>
      <w:r w:rsidR="000B2DBC" w:rsidRPr="00177551">
        <w:rPr>
          <w:rFonts w:ascii="Arial" w:hAnsi="Arial" w:cs="Arial"/>
          <w:color w:val="1E1E1E"/>
          <w:sz w:val="20"/>
          <w:szCs w:val="20"/>
          <w:lang w:val="en-US"/>
        </w:rPr>
        <w:t xml:space="preserve">stimulants are rapidly absorbed and </w:t>
      </w:r>
      <w:r w:rsidR="00ED399C" w:rsidRPr="00177551">
        <w:rPr>
          <w:rFonts w:ascii="Arial" w:hAnsi="Arial" w:cs="Arial"/>
          <w:sz w:val="20"/>
          <w:szCs w:val="20"/>
          <w:lang w:val="en-US"/>
        </w:rPr>
        <w:t>the maximum plasma concentration (</w:t>
      </w:r>
      <w:proofErr w:type="spellStart"/>
      <w:r w:rsidR="00ED399C" w:rsidRPr="00177551">
        <w:rPr>
          <w:rFonts w:ascii="Arial" w:hAnsi="Arial" w:cs="Arial"/>
          <w:sz w:val="20"/>
          <w:szCs w:val="20"/>
          <w:lang w:val="en-US"/>
        </w:rPr>
        <w:t>Cmax</w:t>
      </w:r>
      <w:proofErr w:type="spellEnd"/>
      <w:r w:rsidR="00ED399C" w:rsidRPr="00177551">
        <w:rPr>
          <w:rFonts w:ascii="Arial" w:hAnsi="Arial" w:cs="Arial"/>
          <w:sz w:val="20"/>
          <w:szCs w:val="20"/>
          <w:lang w:val="en-US"/>
        </w:rPr>
        <w:t>) is attained</w:t>
      </w:r>
      <w:r w:rsidR="00DE4B46" w:rsidRPr="00177551">
        <w:rPr>
          <w:rFonts w:ascii="Arial" w:hAnsi="Arial" w:cs="Arial"/>
          <w:sz w:val="20"/>
          <w:szCs w:val="20"/>
          <w:lang w:val="en-US"/>
        </w:rPr>
        <w:t xml:space="preserve"> </w:t>
      </w:r>
      <w:r w:rsidR="003F6212" w:rsidRPr="00177551">
        <w:rPr>
          <w:rFonts w:ascii="Arial" w:hAnsi="Arial" w:cs="Arial"/>
          <w:sz w:val="20"/>
          <w:szCs w:val="20"/>
          <w:lang w:val="en-US"/>
        </w:rPr>
        <w:t>in about two</w:t>
      </w:r>
      <w:r w:rsidR="00DE4B46" w:rsidRPr="00177551">
        <w:rPr>
          <w:rFonts w:ascii="Arial" w:hAnsi="Arial" w:cs="Arial"/>
          <w:sz w:val="20"/>
          <w:szCs w:val="20"/>
          <w:lang w:val="en-US"/>
        </w:rPr>
        <w:t xml:space="preserve"> hours for both </w:t>
      </w:r>
      <w:r w:rsidR="002824CC" w:rsidRPr="00177551">
        <w:rPr>
          <w:rFonts w:ascii="Arial" w:hAnsi="Arial" w:cs="Arial"/>
          <w:sz w:val="20"/>
          <w:szCs w:val="20"/>
          <w:lang w:val="en-US"/>
        </w:rPr>
        <w:t>methylphenidate (</w:t>
      </w:r>
      <w:r w:rsidR="00DE4B46" w:rsidRPr="00177551">
        <w:rPr>
          <w:rFonts w:ascii="Arial" w:hAnsi="Arial" w:cs="Arial"/>
          <w:sz w:val="20"/>
          <w:szCs w:val="20"/>
          <w:lang w:val="en-US"/>
        </w:rPr>
        <w:t>MPH</w:t>
      </w:r>
      <w:r w:rsidR="002824CC" w:rsidRPr="00177551">
        <w:rPr>
          <w:rFonts w:ascii="Arial" w:hAnsi="Arial" w:cs="Arial"/>
          <w:sz w:val="20"/>
          <w:szCs w:val="20"/>
          <w:lang w:val="en-US"/>
        </w:rPr>
        <w:t>)</w:t>
      </w:r>
      <w:r w:rsidR="00DE4B46" w:rsidRPr="00177551">
        <w:rPr>
          <w:rFonts w:ascii="Arial" w:hAnsi="Arial" w:cs="Arial"/>
          <w:sz w:val="20"/>
          <w:szCs w:val="20"/>
          <w:lang w:val="en-US"/>
        </w:rPr>
        <w:t xml:space="preserve"> and dexamphetamine </w:t>
      </w:r>
      <w:r w:rsidR="00FD71C1" w:rsidRPr="00177551">
        <w:rPr>
          <w:rFonts w:ascii="Arial" w:hAnsi="Arial" w:cs="Arial"/>
          <w:noProof/>
          <w:sz w:val="20"/>
          <w:szCs w:val="20"/>
          <w:lang w:val="en-US"/>
        </w:rPr>
        <w:t>(Markowitz and Melchert, 2022)</w:t>
      </w:r>
      <w:r w:rsidR="005D0BA3" w:rsidRPr="00177551">
        <w:rPr>
          <w:rFonts w:ascii="Arial" w:hAnsi="Arial" w:cs="Arial"/>
          <w:sz w:val="20"/>
          <w:szCs w:val="20"/>
          <w:lang w:val="en-US"/>
        </w:rPr>
        <w:t xml:space="preserve">, their </w:t>
      </w:r>
      <w:r w:rsidR="003F6212" w:rsidRPr="00177551">
        <w:rPr>
          <w:rFonts w:ascii="Arial" w:hAnsi="Arial" w:cs="Arial"/>
          <w:sz w:val="20"/>
          <w:szCs w:val="20"/>
          <w:lang w:val="en-US"/>
        </w:rPr>
        <w:t xml:space="preserve">biological and </w:t>
      </w:r>
      <w:r w:rsidR="00341730" w:rsidRPr="00177551">
        <w:rPr>
          <w:rFonts w:ascii="Arial" w:hAnsi="Arial" w:cs="Arial"/>
          <w:sz w:val="20"/>
          <w:szCs w:val="20"/>
          <w:lang w:val="en-US"/>
        </w:rPr>
        <w:t>behavioral</w:t>
      </w:r>
      <w:r w:rsidR="003F6212" w:rsidRPr="00177551">
        <w:rPr>
          <w:rFonts w:ascii="Arial" w:hAnsi="Arial" w:cs="Arial"/>
          <w:sz w:val="20"/>
          <w:szCs w:val="20"/>
          <w:lang w:val="en-US"/>
        </w:rPr>
        <w:t xml:space="preserve"> effects can be observed </w:t>
      </w:r>
      <w:r w:rsidR="00023DB1" w:rsidRPr="00177551">
        <w:rPr>
          <w:rFonts w:ascii="Arial" w:hAnsi="Arial" w:cs="Arial"/>
          <w:sz w:val="20"/>
          <w:szCs w:val="20"/>
          <w:lang w:val="en-US"/>
        </w:rPr>
        <w:t>shortly after</w:t>
      </w:r>
      <w:r w:rsidR="003F6212" w:rsidRPr="00177551">
        <w:rPr>
          <w:rFonts w:ascii="Arial" w:hAnsi="Arial" w:cs="Arial"/>
          <w:sz w:val="20"/>
          <w:szCs w:val="20"/>
          <w:lang w:val="en-US"/>
        </w:rPr>
        <w:t xml:space="preserve"> administration. </w:t>
      </w:r>
      <w:r w:rsidR="00A25DA8" w:rsidRPr="00177551">
        <w:rPr>
          <w:rFonts w:ascii="Arial" w:hAnsi="Arial" w:cs="Arial"/>
          <w:sz w:val="20"/>
          <w:szCs w:val="20"/>
          <w:lang w:val="en-US"/>
        </w:rPr>
        <w:t>N</w:t>
      </w:r>
      <w:r w:rsidR="00023DB1" w:rsidRPr="00177551">
        <w:rPr>
          <w:rFonts w:ascii="Arial" w:hAnsi="Arial" w:cs="Arial"/>
          <w:sz w:val="20"/>
          <w:szCs w:val="20"/>
          <w:lang w:val="en-US"/>
        </w:rPr>
        <w:t xml:space="preserve">uclear medicine and </w:t>
      </w:r>
      <w:r w:rsidR="00023DB1" w:rsidRPr="00177551">
        <w:rPr>
          <w:rFonts w:ascii="Arial" w:hAnsi="Arial" w:cs="Arial"/>
          <w:color w:val="000000" w:themeColor="text1"/>
          <w:sz w:val="20"/>
          <w:szCs w:val="20"/>
          <w:lang w:val="en-US"/>
        </w:rPr>
        <w:t xml:space="preserve">magnetic resonance imaging (MRI) studies showed that </w:t>
      </w:r>
      <w:r w:rsidR="001C47E2" w:rsidRPr="00177551">
        <w:rPr>
          <w:rFonts w:ascii="Arial" w:hAnsi="Arial" w:cs="Arial"/>
          <w:color w:val="000000" w:themeColor="text1"/>
          <w:sz w:val="20"/>
          <w:szCs w:val="20"/>
          <w:lang w:val="en-US"/>
        </w:rPr>
        <w:t xml:space="preserve">a single dose of </w:t>
      </w:r>
      <w:r w:rsidR="00023DB1" w:rsidRPr="00177551">
        <w:rPr>
          <w:rFonts w:ascii="Arial" w:hAnsi="Arial" w:cs="Arial"/>
          <w:color w:val="000000" w:themeColor="text1"/>
          <w:sz w:val="20"/>
          <w:szCs w:val="20"/>
          <w:lang w:val="en-US"/>
        </w:rPr>
        <w:t>stimulants ameliorate catecholaminergic neurotransmission</w:t>
      </w:r>
      <w:r w:rsidR="00940F49" w:rsidRPr="00177551">
        <w:rPr>
          <w:rFonts w:ascii="Arial" w:hAnsi="Arial" w:cs="Arial"/>
          <w:color w:val="000000" w:themeColor="text1"/>
          <w:sz w:val="20"/>
          <w:szCs w:val="20"/>
          <w:lang w:val="en-US"/>
        </w:rPr>
        <w:t xml:space="preserve"> </w:t>
      </w:r>
      <w:r w:rsidR="00023DB1" w:rsidRPr="00177551">
        <w:rPr>
          <w:rFonts w:ascii="Arial" w:hAnsi="Arial" w:cs="Arial"/>
          <w:color w:val="000000" w:themeColor="text1"/>
          <w:sz w:val="20"/>
          <w:szCs w:val="20"/>
          <w:lang w:val="en-US"/>
        </w:rPr>
        <w:t>and may reduce functional brain network alterations observed in untreated individuals (Parlatini et al., under review)</w:t>
      </w:r>
      <w:r w:rsidR="00940F49" w:rsidRPr="00177551">
        <w:rPr>
          <w:rFonts w:ascii="Arial" w:hAnsi="Arial" w:cs="Arial"/>
          <w:noProof/>
          <w:color w:val="000000" w:themeColor="text1"/>
          <w:sz w:val="20"/>
          <w:szCs w:val="20"/>
          <w:lang w:val="en-US"/>
        </w:rPr>
        <w:t>(Pereira-Sanchez et al., 2021, Kowalczyk et al., 2022, Faraone, 2018)</w:t>
      </w:r>
      <w:r w:rsidR="00023DB1" w:rsidRPr="00177551">
        <w:rPr>
          <w:rFonts w:ascii="Arial" w:hAnsi="Arial" w:cs="Arial"/>
          <w:sz w:val="20"/>
          <w:szCs w:val="20"/>
          <w:lang w:val="en-US"/>
        </w:rPr>
        <w:t xml:space="preserve">. Similarly, single-dose neurophysiological studies demonstrated stimulant effects on the activity of the central and peripheral (autonomous) nervous systems </w:t>
      </w:r>
      <w:r w:rsidR="00940F49" w:rsidRPr="00177551">
        <w:rPr>
          <w:rFonts w:ascii="Arial" w:hAnsi="Arial" w:cs="Arial"/>
          <w:noProof/>
          <w:sz w:val="20"/>
          <w:szCs w:val="20"/>
          <w:lang w:val="en-US"/>
        </w:rPr>
        <w:t>(Kirkland and Holton, 2019, Idrees et al., 2023)</w:t>
      </w:r>
      <w:r w:rsidR="00023DB1" w:rsidRPr="00177551">
        <w:rPr>
          <w:rFonts w:ascii="Arial" w:hAnsi="Arial" w:cs="Arial"/>
          <w:sz w:val="20"/>
          <w:szCs w:val="20"/>
          <w:lang w:val="en-US"/>
        </w:rPr>
        <w:t>.</w:t>
      </w:r>
      <w:r w:rsidR="005D0BA3" w:rsidRPr="00177551">
        <w:rPr>
          <w:rFonts w:ascii="Arial" w:hAnsi="Arial" w:cs="Arial"/>
          <w:sz w:val="20"/>
          <w:szCs w:val="20"/>
          <w:lang w:val="en-US"/>
        </w:rPr>
        <w:t xml:space="preserve"> Notably</w:t>
      </w:r>
      <w:r w:rsidR="00A25DA8" w:rsidRPr="00177551">
        <w:rPr>
          <w:rFonts w:ascii="Arial" w:hAnsi="Arial" w:cs="Arial"/>
          <w:sz w:val="20"/>
          <w:szCs w:val="20"/>
          <w:lang w:val="en-US"/>
        </w:rPr>
        <w:t xml:space="preserve">, </w:t>
      </w:r>
      <w:proofErr w:type="gramStart"/>
      <w:r w:rsidR="00A25DA8" w:rsidRPr="00177551">
        <w:rPr>
          <w:rFonts w:ascii="Arial" w:hAnsi="Arial" w:cs="Arial"/>
          <w:sz w:val="20"/>
          <w:szCs w:val="20"/>
          <w:lang w:val="en-US"/>
        </w:rPr>
        <w:t>i</w:t>
      </w:r>
      <w:r w:rsidR="00131528" w:rsidRPr="00177551">
        <w:rPr>
          <w:rFonts w:ascii="Arial" w:hAnsi="Arial" w:cs="Arial"/>
          <w:sz w:val="20"/>
          <w:szCs w:val="20"/>
          <w:lang w:val="en-US"/>
        </w:rPr>
        <w:t>maging</w:t>
      </w:r>
      <w:proofErr w:type="gramEnd"/>
      <w:r w:rsidR="00131528" w:rsidRPr="00177551">
        <w:rPr>
          <w:rFonts w:ascii="Arial" w:hAnsi="Arial" w:cs="Arial"/>
          <w:sz w:val="20"/>
          <w:szCs w:val="20"/>
          <w:lang w:val="en-US"/>
        </w:rPr>
        <w:t xml:space="preserve"> and </w:t>
      </w:r>
      <w:r w:rsidR="00023DB1" w:rsidRPr="00177551">
        <w:rPr>
          <w:rFonts w:ascii="Arial" w:hAnsi="Arial" w:cs="Arial"/>
          <w:sz w:val="20"/>
          <w:szCs w:val="20"/>
          <w:lang w:val="en-US"/>
        </w:rPr>
        <w:t>neuro</w:t>
      </w:r>
      <w:r w:rsidR="00131528" w:rsidRPr="00177551">
        <w:rPr>
          <w:rFonts w:ascii="Arial" w:hAnsi="Arial" w:cs="Arial"/>
          <w:sz w:val="20"/>
          <w:szCs w:val="20"/>
          <w:lang w:val="en-US"/>
        </w:rPr>
        <w:t xml:space="preserve">physiological studies have </w:t>
      </w:r>
      <w:r w:rsidR="0003091A" w:rsidRPr="00177551">
        <w:rPr>
          <w:rFonts w:ascii="Arial" w:hAnsi="Arial" w:cs="Arial"/>
          <w:sz w:val="20"/>
          <w:szCs w:val="20"/>
          <w:lang w:val="en-US"/>
        </w:rPr>
        <w:t>provided</w:t>
      </w:r>
      <w:r w:rsidR="00131528" w:rsidRPr="00177551">
        <w:rPr>
          <w:rFonts w:ascii="Arial" w:hAnsi="Arial" w:cs="Arial"/>
          <w:sz w:val="20"/>
          <w:szCs w:val="20"/>
          <w:lang w:val="en-US"/>
        </w:rPr>
        <w:t xml:space="preserve"> preliminary evidence that </w:t>
      </w:r>
      <w:r w:rsidR="000B2DD5" w:rsidRPr="00177551">
        <w:rPr>
          <w:rFonts w:ascii="Arial" w:hAnsi="Arial" w:cs="Arial"/>
          <w:color w:val="000000" w:themeColor="text1"/>
          <w:sz w:val="20"/>
          <w:szCs w:val="20"/>
          <w:lang w:val="en-US"/>
        </w:rPr>
        <w:t xml:space="preserve">functional brain changes under </w:t>
      </w:r>
      <w:r w:rsidR="00131528" w:rsidRPr="00177551">
        <w:rPr>
          <w:rFonts w:ascii="Arial" w:hAnsi="Arial" w:cs="Arial"/>
          <w:sz w:val="20"/>
          <w:szCs w:val="20"/>
          <w:lang w:val="en-US"/>
        </w:rPr>
        <w:t xml:space="preserve">a single dose of </w:t>
      </w:r>
      <w:r w:rsidR="00023DB1" w:rsidRPr="00177551">
        <w:rPr>
          <w:rFonts w:ascii="Arial" w:hAnsi="Arial" w:cs="Arial"/>
          <w:sz w:val="20"/>
          <w:szCs w:val="20"/>
          <w:lang w:val="en-US"/>
        </w:rPr>
        <w:t>stimulants</w:t>
      </w:r>
      <w:r w:rsidR="008E6150" w:rsidRPr="00177551">
        <w:rPr>
          <w:rFonts w:ascii="Arial" w:hAnsi="Arial" w:cs="Arial"/>
          <w:sz w:val="20"/>
          <w:szCs w:val="20"/>
          <w:lang w:val="en-US"/>
        </w:rPr>
        <w:t xml:space="preserve"> </w:t>
      </w:r>
      <w:r w:rsidR="000B2DD5" w:rsidRPr="00177551">
        <w:rPr>
          <w:rFonts w:ascii="Arial" w:hAnsi="Arial" w:cs="Arial"/>
          <w:sz w:val="20"/>
          <w:szCs w:val="20"/>
          <w:lang w:val="en-US"/>
        </w:rPr>
        <w:t xml:space="preserve">are associated </w:t>
      </w:r>
      <w:r w:rsidR="000B2DD5" w:rsidRPr="00177551">
        <w:rPr>
          <w:rFonts w:ascii="Arial" w:hAnsi="Arial" w:cs="Arial"/>
          <w:color w:val="000000" w:themeColor="text1"/>
          <w:sz w:val="20"/>
          <w:szCs w:val="20"/>
          <w:lang w:val="en-US"/>
        </w:rPr>
        <w:t>with treatment response</w:t>
      </w:r>
      <w:r w:rsidR="00444287" w:rsidRPr="00177551">
        <w:rPr>
          <w:rFonts w:ascii="Arial" w:hAnsi="Arial" w:cs="Arial"/>
          <w:color w:val="000000" w:themeColor="text1"/>
          <w:sz w:val="20"/>
          <w:szCs w:val="20"/>
          <w:lang w:val="en-US"/>
        </w:rPr>
        <w:t xml:space="preserve"> at 4-8 weeks</w:t>
      </w:r>
      <w:r w:rsidR="000B2DD5" w:rsidRPr="00177551">
        <w:rPr>
          <w:rFonts w:ascii="Arial" w:hAnsi="Arial" w:cs="Arial"/>
          <w:color w:val="000000" w:themeColor="text1"/>
          <w:sz w:val="20"/>
          <w:szCs w:val="20"/>
          <w:lang w:val="en-US"/>
        </w:rPr>
        <w:t xml:space="preserve">. For instance, </w:t>
      </w:r>
      <w:r w:rsidR="008E6150" w:rsidRPr="00177551">
        <w:rPr>
          <w:rFonts w:ascii="Arial" w:hAnsi="Arial" w:cs="Arial"/>
          <w:color w:val="000000" w:themeColor="text1"/>
          <w:sz w:val="20"/>
          <w:szCs w:val="20"/>
          <w:lang w:val="en-US"/>
        </w:rPr>
        <w:t>an acute</w:t>
      </w:r>
      <w:r w:rsidR="000B2DD5" w:rsidRPr="00177551">
        <w:rPr>
          <w:rFonts w:ascii="Arial" w:hAnsi="Arial" w:cs="Arial"/>
          <w:color w:val="000000" w:themeColor="text1"/>
          <w:sz w:val="20"/>
          <w:szCs w:val="20"/>
          <w:lang w:val="en-US"/>
        </w:rPr>
        <w:t xml:space="preserve"> shift in resting state parietal</w:t>
      </w:r>
      <w:r w:rsidR="006648BD" w:rsidRPr="00177551">
        <w:rPr>
          <w:rFonts w:ascii="Arial" w:hAnsi="Arial" w:cs="Arial"/>
          <w:color w:val="000000" w:themeColor="text1"/>
          <w:sz w:val="20"/>
          <w:szCs w:val="20"/>
          <w:lang w:val="en-US"/>
        </w:rPr>
        <w:t xml:space="preserve"> </w:t>
      </w:r>
      <w:r w:rsidR="008E6150" w:rsidRPr="00177551">
        <w:rPr>
          <w:rFonts w:ascii="Arial" w:hAnsi="Arial" w:cs="Arial"/>
          <w:color w:val="000000" w:themeColor="text1"/>
          <w:sz w:val="20"/>
          <w:szCs w:val="20"/>
          <w:lang w:val="en-US"/>
        </w:rPr>
        <w:t>or</w:t>
      </w:r>
      <w:r w:rsidR="000B2DD5" w:rsidRPr="00177551">
        <w:rPr>
          <w:rFonts w:ascii="Arial" w:hAnsi="Arial" w:cs="Arial"/>
          <w:color w:val="000000" w:themeColor="text1"/>
          <w:sz w:val="20"/>
          <w:szCs w:val="20"/>
          <w:lang w:val="en-US"/>
        </w:rPr>
        <w:t xml:space="preserve"> fronto-cerebellar functional connectivity </w:t>
      </w:r>
      <w:r w:rsidR="00940F49" w:rsidRPr="00177551">
        <w:rPr>
          <w:rFonts w:ascii="Arial" w:hAnsi="Arial" w:cs="Arial"/>
          <w:noProof/>
          <w:color w:val="000000" w:themeColor="text1"/>
          <w:sz w:val="20"/>
          <w:szCs w:val="20"/>
          <w:lang w:val="en-US"/>
        </w:rPr>
        <w:t xml:space="preserve">(An et al., </w:t>
      </w:r>
      <w:proofErr w:type="gramStart"/>
      <w:r w:rsidR="00940F49" w:rsidRPr="00177551">
        <w:rPr>
          <w:rFonts w:ascii="Arial" w:hAnsi="Arial" w:cs="Arial"/>
          <w:noProof/>
          <w:color w:val="000000" w:themeColor="text1"/>
          <w:sz w:val="20"/>
          <w:szCs w:val="20"/>
          <w:lang w:val="en-US"/>
        </w:rPr>
        <w:t>2013)</w:t>
      </w:r>
      <w:r w:rsidR="001C47E2" w:rsidRPr="00177551">
        <w:rPr>
          <w:rFonts w:ascii="Arial" w:hAnsi="Arial" w:cs="Arial"/>
          <w:color w:val="000000" w:themeColor="text1"/>
          <w:sz w:val="20"/>
          <w:szCs w:val="20"/>
          <w:lang w:val="en-US"/>
        </w:rPr>
        <w:t>(</w:t>
      </w:r>
      <w:proofErr w:type="gramEnd"/>
      <w:r w:rsidR="001C47E2" w:rsidRPr="00177551">
        <w:rPr>
          <w:rFonts w:ascii="Arial" w:hAnsi="Arial" w:cs="Arial"/>
          <w:sz w:val="20"/>
          <w:szCs w:val="20"/>
          <w:lang w:val="en-US"/>
        </w:rPr>
        <w:t xml:space="preserve">Pretzsch, Parlatini et al., </w:t>
      </w:r>
      <w:r w:rsidR="001C47E2" w:rsidRPr="00177551">
        <w:rPr>
          <w:rFonts w:ascii="Arial" w:hAnsi="Arial" w:cs="Arial"/>
          <w:sz w:val="20"/>
          <w:szCs w:val="20"/>
          <w:lang w:val="en-US"/>
        </w:rPr>
        <w:lastRenderedPageBreak/>
        <w:t xml:space="preserve">under review) </w:t>
      </w:r>
      <w:r w:rsidR="00023DB1" w:rsidRPr="00177551">
        <w:rPr>
          <w:rFonts w:ascii="Arial" w:hAnsi="Arial" w:cs="Arial"/>
          <w:color w:val="000000" w:themeColor="text1"/>
          <w:sz w:val="20"/>
          <w:szCs w:val="20"/>
          <w:lang w:val="en-US"/>
        </w:rPr>
        <w:t xml:space="preserve">or more evident changes in P3 amplitude </w:t>
      </w:r>
      <w:r w:rsidR="00940F49" w:rsidRPr="00177551">
        <w:rPr>
          <w:rFonts w:ascii="Arial" w:hAnsi="Arial" w:cs="Arial"/>
          <w:noProof/>
          <w:color w:val="000000" w:themeColor="text1"/>
          <w:sz w:val="20"/>
          <w:szCs w:val="20"/>
          <w:lang w:val="en-US"/>
        </w:rPr>
        <w:t>(Michelini et al., 2022)</w:t>
      </w:r>
      <w:r w:rsidR="001C47E2" w:rsidRPr="00177551">
        <w:rPr>
          <w:rFonts w:ascii="Arial" w:hAnsi="Arial" w:cs="Arial"/>
          <w:color w:val="000000" w:themeColor="text1"/>
          <w:sz w:val="20"/>
          <w:szCs w:val="20"/>
          <w:lang w:val="en-US"/>
        </w:rPr>
        <w:t xml:space="preserve"> </w:t>
      </w:r>
      <w:r w:rsidR="00023DB1" w:rsidRPr="00177551">
        <w:rPr>
          <w:rFonts w:ascii="Arial" w:hAnsi="Arial" w:cs="Arial"/>
          <w:color w:val="000000" w:themeColor="text1"/>
          <w:sz w:val="20"/>
          <w:szCs w:val="20"/>
          <w:lang w:val="en-US"/>
        </w:rPr>
        <w:t xml:space="preserve">have been </w:t>
      </w:r>
      <w:r w:rsidR="000B2DD5" w:rsidRPr="00177551">
        <w:rPr>
          <w:rFonts w:ascii="Arial" w:hAnsi="Arial" w:cs="Arial"/>
          <w:color w:val="000000" w:themeColor="text1"/>
          <w:sz w:val="20"/>
          <w:szCs w:val="20"/>
          <w:lang w:val="en-US"/>
        </w:rPr>
        <w:t xml:space="preserve">associated with </w:t>
      </w:r>
      <w:r w:rsidR="000919B1" w:rsidRPr="00177551">
        <w:rPr>
          <w:rFonts w:ascii="Arial" w:hAnsi="Arial" w:cs="Arial"/>
          <w:color w:val="000000" w:themeColor="text1"/>
          <w:sz w:val="20"/>
          <w:szCs w:val="20"/>
          <w:lang w:val="en-US"/>
        </w:rPr>
        <w:t>positive</w:t>
      </w:r>
      <w:r w:rsidR="008E6150" w:rsidRPr="00177551">
        <w:rPr>
          <w:rFonts w:ascii="Arial" w:hAnsi="Arial" w:cs="Arial"/>
          <w:color w:val="000000" w:themeColor="text1"/>
          <w:sz w:val="20"/>
          <w:szCs w:val="20"/>
          <w:lang w:val="en-US"/>
        </w:rPr>
        <w:t xml:space="preserve"> longer-term </w:t>
      </w:r>
      <w:r w:rsidR="000B2DD5" w:rsidRPr="00177551">
        <w:rPr>
          <w:rFonts w:ascii="Arial" w:hAnsi="Arial" w:cs="Arial"/>
          <w:color w:val="000000" w:themeColor="text1"/>
          <w:sz w:val="20"/>
          <w:szCs w:val="20"/>
          <w:lang w:val="en-US"/>
        </w:rPr>
        <w:t>response</w:t>
      </w:r>
      <w:r w:rsidR="001C47E2" w:rsidRPr="00177551">
        <w:rPr>
          <w:rFonts w:ascii="Arial" w:hAnsi="Arial" w:cs="Arial"/>
          <w:color w:val="000000" w:themeColor="text1"/>
          <w:sz w:val="20"/>
          <w:szCs w:val="20"/>
          <w:lang w:val="en-US"/>
        </w:rPr>
        <w:t>.</w:t>
      </w:r>
      <w:r w:rsidR="008E6150" w:rsidRPr="00177551">
        <w:rPr>
          <w:rFonts w:ascii="Arial" w:hAnsi="Arial" w:cs="Arial"/>
          <w:color w:val="000000" w:themeColor="text1"/>
          <w:sz w:val="20"/>
          <w:szCs w:val="20"/>
          <w:lang w:val="en-US"/>
        </w:rPr>
        <w:t xml:space="preserve"> </w:t>
      </w:r>
      <w:r w:rsidR="00803B42" w:rsidRPr="00177551">
        <w:rPr>
          <w:rFonts w:ascii="Arial" w:hAnsi="Arial" w:cs="Arial"/>
          <w:color w:val="000000" w:themeColor="text1"/>
          <w:sz w:val="20"/>
          <w:szCs w:val="20"/>
          <w:lang w:val="en-US"/>
        </w:rPr>
        <w:t xml:space="preserve">These findings suggest </w:t>
      </w:r>
      <w:r w:rsidRPr="00177551">
        <w:rPr>
          <w:rFonts w:ascii="Arial" w:hAnsi="Arial" w:cs="Arial"/>
          <w:color w:val="000000" w:themeColor="text1"/>
          <w:sz w:val="20"/>
          <w:szCs w:val="20"/>
          <w:lang w:val="en-US"/>
        </w:rPr>
        <w:t xml:space="preserve">that the </w:t>
      </w:r>
      <w:r w:rsidR="002824CC" w:rsidRPr="00177551">
        <w:rPr>
          <w:rFonts w:ascii="Arial" w:hAnsi="Arial" w:cs="Arial"/>
          <w:color w:val="000000" w:themeColor="text1"/>
          <w:sz w:val="20"/>
          <w:szCs w:val="20"/>
          <w:lang w:val="en-US"/>
        </w:rPr>
        <w:t xml:space="preserve">neurobiological </w:t>
      </w:r>
      <w:r w:rsidRPr="00177551">
        <w:rPr>
          <w:rFonts w:ascii="Arial" w:hAnsi="Arial" w:cs="Arial"/>
          <w:color w:val="000000" w:themeColor="text1"/>
          <w:sz w:val="20"/>
          <w:szCs w:val="20"/>
          <w:lang w:val="en-US"/>
        </w:rPr>
        <w:t xml:space="preserve">response to a single dose may be indicative of the likelihood </w:t>
      </w:r>
      <w:r w:rsidR="009707F0" w:rsidRPr="00177551">
        <w:rPr>
          <w:rFonts w:ascii="Arial" w:hAnsi="Arial" w:cs="Arial"/>
          <w:color w:val="000000" w:themeColor="text1"/>
          <w:sz w:val="20"/>
          <w:szCs w:val="20"/>
          <w:lang w:val="en-US"/>
        </w:rPr>
        <w:t xml:space="preserve">for </w:t>
      </w:r>
      <w:r w:rsidRPr="00177551">
        <w:rPr>
          <w:rFonts w:ascii="Arial" w:hAnsi="Arial" w:cs="Arial"/>
          <w:color w:val="000000" w:themeColor="text1"/>
          <w:sz w:val="20"/>
          <w:szCs w:val="20"/>
          <w:lang w:val="en-US"/>
        </w:rPr>
        <w:t xml:space="preserve">an individual </w:t>
      </w:r>
      <w:r w:rsidR="009707F0" w:rsidRPr="00177551">
        <w:rPr>
          <w:rFonts w:ascii="Arial" w:hAnsi="Arial" w:cs="Arial"/>
          <w:color w:val="000000" w:themeColor="text1"/>
          <w:sz w:val="20"/>
          <w:szCs w:val="20"/>
          <w:lang w:val="en-US"/>
        </w:rPr>
        <w:t>to</w:t>
      </w:r>
      <w:r w:rsidRPr="00177551">
        <w:rPr>
          <w:rFonts w:ascii="Arial" w:hAnsi="Arial" w:cs="Arial"/>
          <w:color w:val="000000" w:themeColor="text1"/>
          <w:sz w:val="20"/>
          <w:szCs w:val="20"/>
          <w:lang w:val="en-US"/>
        </w:rPr>
        <w:t xml:space="preserve"> respond </w:t>
      </w:r>
      <w:r w:rsidR="009707F0" w:rsidRPr="00177551">
        <w:rPr>
          <w:rFonts w:ascii="Arial" w:hAnsi="Arial" w:cs="Arial"/>
          <w:color w:val="000000" w:themeColor="text1"/>
          <w:sz w:val="20"/>
          <w:szCs w:val="20"/>
          <w:lang w:val="en-US"/>
        </w:rPr>
        <w:t xml:space="preserve">in the </w:t>
      </w:r>
      <w:r w:rsidR="00803B42" w:rsidRPr="00177551">
        <w:rPr>
          <w:rFonts w:ascii="Arial" w:hAnsi="Arial" w:cs="Arial"/>
          <w:color w:val="000000" w:themeColor="text1"/>
          <w:sz w:val="20"/>
          <w:szCs w:val="20"/>
          <w:lang w:val="en-US"/>
        </w:rPr>
        <w:t>longer-term</w:t>
      </w:r>
      <w:r w:rsidR="001C47E2" w:rsidRPr="00177551">
        <w:rPr>
          <w:rFonts w:ascii="Arial" w:hAnsi="Arial" w:cs="Arial"/>
          <w:color w:val="000000" w:themeColor="text1"/>
          <w:sz w:val="20"/>
          <w:szCs w:val="20"/>
          <w:lang w:val="en-US"/>
        </w:rPr>
        <w:t xml:space="preserve">. </w:t>
      </w:r>
      <w:r w:rsidR="00E33E44" w:rsidRPr="00177551">
        <w:rPr>
          <w:rFonts w:ascii="Arial" w:hAnsi="Arial" w:cs="Arial"/>
          <w:color w:val="000000" w:themeColor="text1"/>
          <w:sz w:val="20"/>
          <w:szCs w:val="20"/>
          <w:lang w:val="en-US"/>
        </w:rPr>
        <w:t>However, the measures that have been found to predict longer-term response in these studies are usually not gathered in standard clinical services in daily practice. Here, w</w:t>
      </w:r>
      <w:r w:rsidR="00803B42" w:rsidRPr="00177551">
        <w:rPr>
          <w:rFonts w:ascii="Arial" w:hAnsi="Arial" w:cs="Arial"/>
          <w:color w:val="000000" w:themeColor="text1"/>
          <w:sz w:val="20"/>
          <w:szCs w:val="20"/>
          <w:lang w:val="en-US"/>
        </w:rPr>
        <w:t xml:space="preserve">e carried out a systematic review of </w:t>
      </w:r>
      <w:r w:rsidR="00E33E44" w:rsidRPr="00177551">
        <w:rPr>
          <w:rFonts w:ascii="Arial" w:hAnsi="Arial" w:cs="Arial"/>
          <w:color w:val="000000" w:themeColor="text1"/>
          <w:sz w:val="20"/>
          <w:szCs w:val="20"/>
          <w:lang w:val="en-US"/>
        </w:rPr>
        <w:t xml:space="preserve">clinical </w:t>
      </w:r>
      <w:r w:rsidR="00803B42" w:rsidRPr="00177551">
        <w:rPr>
          <w:rFonts w:ascii="Arial" w:hAnsi="Arial" w:cs="Arial"/>
          <w:color w:val="000000" w:themeColor="text1"/>
          <w:sz w:val="20"/>
          <w:szCs w:val="20"/>
          <w:lang w:val="en-US"/>
        </w:rPr>
        <w:t>RCTs</w:t>
      </w:r>
      <w:r w:rsidR="00E33E44" w:rsidRPr="00177551">
        <w:rPr>
          <w:rFonts w:ascii="Arial" w:hAnsi="Arial" w:cs="Arial"/>
          <w:color w:val="000000" w:themeColor="text1"/>
          <w:sz w:val="20"/>
          <w:szCs w:val="20"/>
          <w:lang w:val="en-US"/>
        </w:rPr>
        <w:t xml:space="preserve"> to find any study</w:t>
      </w:r>
      <w:r w:rsidR="00803B42" w:rsidRPr="00177551">
        <w:rPr>
          <w:rFonts w:ascii="Arial" w:hAnsi="Arial" w:cs="Arial"/>
          <w:color w:val="000000" w:themeColor="text1"/>
          <w:sz w:val="20"/>
          <w:szCs w:val="20"/>
          <w:lang w:val="en-US"/>
        </w:rPr>
        <w:t xml:space="preserve"> testing the association between clinical response to a single dose of stimulants and longer-term response.</w:t>
      </w:r>
    </w:p>
    <w:p w14:paraId="24EA001C" w14:textId="77777777" w:rsidR="005A3F84" w:rsidRPr="00177551" w:rsidRDefault="005A3F84" w:rsidP="005A3F84">
      <w:pPr>
        <w:spacing w:line="480" w:lineRule="auto"/>
        <w:ind w:left="-851" w:right="-761"/>
        <w:contextualSpacing/>
        <w:rPr>
          <w:rFonts w:ascii="Arial" w:hAnsi="Arial" w:cs="Arial"/>
          <w:color w:val="000000" w:themeColor="text1"/>
          <w:sz w:val="20"/>
          <w:szCs w:val="20"/>
        </w:rPr>
      </w:pPr>
    </w:p>
    <w:p w14:paraId="4C257D22" w14:textId="39601808" w:rsidR="00A25DA8" w:rsidRPr="00177551" w:rsidRDefault="00C82A8D" w:rsidP="0023021C">
      <w:pPr>
        <w:spacing w:line="480" w:lineRule="auto"/>
        <w:ind w:left="-851" w:right="-761"/>
        <w:contextualSpacing/>
        <w:rPr>
          <w:rFonts w:ascii="Arial" w:hAnsi="Arial" w:cs="Arial"/>
          <w:color w:val="000000" w:themeColor="text1"/>
          <w:sz w:val="20"/>
          <w:szCs w:val="20"/>
          <w:lang w:val="en-US"/>
        </w:rPr>
      </w:pPr>
      <w:r w:rsidRPr="00177551">
        <w:rPr>
          <w:rFonts w:ascii="Arial" w:hAnsi="Arial" w:cs="Arial"/>
          <w:b/>
          <w:bCs/>
          <w:color w:val="000000" w:themeColor="text1"/>
          <w:sz w:val="20"/>
          <w:szCs w:val="20"/>
          <w:lang w:val="en-US"/>
        </w:rPr>
        <w:t>METHODS</w:t>
      </w:r>
    </w:p>
    <w:p w14:paraId="775CF952" w14:textId="43D15CE3" w:rsidR="00E33E44" w:rsidRPr="00177551" w:rsidRDefault="00BC2970" w:rsidP="001F5EBA">
      <w:pPr>
        <w:pStyle w:val="NormalWeb"/>
        <w:spacing w:line="480" w:lineRule="auto"/>
        <w:ind w:left="-851"/>
        <w:rPr>
          <w:rFonts w:ascii="Arial" w:hAnsi="Arial" w:cs="Arial"/>
          <w:sz w:val="20"/>
          <w:szCs w:val="20"/>
        </w:rPr>
      </w:pPr>
      <w:r w:rsidRPr="00177551">
        <w:rPr>
          <w:rFonts w:ascii="Arial" w:hAnsi="Arial" w:cs="Arial"/>
          <w:color w:val="000000" w:themeColor="text1"/>
          <w:sz w:val="20"/>
          <w:szCs w:val="20"/>
          <w:lang w:val="en-US"/>
        </w:rPr>
        <w:t xml:space="preserve">This systematic review followed the 2020 Preferred Reporting Items for Systematic Reviews and Meta-analyses (PRISMA) guidelines </w:t>
      </w:r>
      <w:r w:rsidR="00565319" w:rsidRPr="00177551">
        <w:rPr>
          <w:rFonts w:ascii="Arial" w:hAnsi="Arial" w:cs="Arial"/>
          <w:noProof/>
          <w:color w:val="000000" w:themeColor="text1"/>
          <w:sz w:val="20"/>
          <w:szCs w:val="20"/>
          <w:lang w:val="en-US"/>
        </w:rPr>
        <w:t>(Page et al., 2021)</w:t>
      </w:r>
      <w:r w:rsidR="00565319" w:rsidRPr="00177551">
        <w:rPr>
          <w:rFonts w:ascii="Arial" w:hAnsi="Arial" w:cs="Arial"/>
          <w:color w:val="000000" w:themeColor="text1"/>
          <w:sz w:val="20"/>
          <w:szCs w:val="20"/>
          <w:lang w:val="en-US"/>
        </w:rPr>
        <w:t>.</w:t>
      </w:r>
      <w:r w:rsidRPr="00177551">
        <w:rPr>
          <w:rFonts w:ascii="Arial" w:hAnsi="Arial" w:cs="Arial"/>
          <w:color w:val="000000" w:themeColor="text1"/>
          <w:sz w:val="20"/>
          <w:szCs w:val="20"/>
          <w:lang w:val="en-US"/>
        </w:rPr>
        <w:t xml:space="preserve"> </w:t>
      </w:r>
      <w:r w:rsidR="00085A66" w:rsidRPr="00177551">
        <w:rPr>
          <w:rFonts w:ascii="Arial" w:hAnsi="Arial" w:cs="Arial"/>
          <w:color w:val="000000" w:themeColor="text1"/>
          <w:sz w:val="20"/>
          <w:szCs w:val="20"/>
          <w:lang w:val="en-US"/>
        </w:rPr>
        <w:t>Potentially s</w:t>
      </w:r>
      <w:r w:rsidRPr="00177551">
        <w:rPr>
          <w:rFonts w:ascii="Arial" w:hAnsi="Arial" w:cs="Arial"/>
          <w:color w:val="000000" w:themeColor="text1"/>
          <w:sz w:val="20"/>
          <w:szCs w:val="20"/>
          <w:lang w:val="en-US"/>
        </w:rPr>
        <w:t xml:space="preserve">uitable publications and </w:t>
      </w:r>
      <w:r w:rsidR="00085A66" w:rsidRPr="00177551">
        <w:rPr>
          <w:rFonts w:ascii="Arial" w:hAnsi="Arial" w:cs="Arial"/>
          <w:color w:val="000000" w:themeColor="text1"/>
          <w:sz w:val="20"/>
          <w:szCs w:val="20"/>
          <w:lang w:val="en-US"/>
        </w:rPr>
        <w:t>trial</w:t>
      </w:r>
      <w:r w:rsidRPr="00177551">
        <w:rPr>
          <w:rFonts w:ascii="Arial" w:hAnsi="Arial" w:cs="Arial"/>
          <w:color w:val="000000" w:themeColor="text1"/>
          <w:sz w:val="20"/>
          <w:szCs w:val="20"/>
          <w:lang w:val="en-US"/>
        </w:rPr>
        <w:t xml:space="preserve"> registrations </w:t>
      </w:r>
      <w:r w:rsidR="00085A66" w:rsidRPr="00177551">
        <w:rPr>
          <w:rFonts w:ascii="Arial" w:hAnsi="Arial" w:cs="Arial"/>
          <w:color w:val="000000" w:themeColor="text1"/>
          <w:sz w:val="20"/>
          <w:szCs w:val="20"/>
          <w:lang w:val="en-US"/>
        </w:rPr>
        <w:t xml:space="preserve">of single-dose RCTs </w:t>
      </w:r>
      <w:r w:rsidRPr="00177551">
        <w:rPr>
          <w:rFonts w:ascii="Arial" w:hAnsi="Arial" w:cs="Arial"/>
          <w:color w:val="000000" w:themeColor="text1"/>
          <w:sz w:val="20"/>
          <w:szCs w:val="20"/>
          <w:lang w:val="en-US"/>
        </w:rPr>
        <w:t xml:space="preserve">were identified </w:t>
      </w:r>
      <w:r w:rsidR="00C800FB" w:rsidRPr="00177551">
        <w:rPr>
          <w:rFonts w:ascii="Arial" w:hAnsi="Arial" w:cs="Arial"/>
          <w:color w:val="000000" w:themeColor="text1"/>
          <w:sz w:val="20"/>
          <w:szCs w:val="20"/>
          <w:lang w:val="en-US"/>
        </w:rPr>
        <w:t xml:space="preserve">from the </w:t>
      </w:r>
      <w:r w:rsidR="004925CE" w:rsidRPr="00177551">
        <w:rPr>
          <w:rFonts w:ascii="Arial" w:hAnsi="Arial" w:cs="Arial"/>
          <w:color w:val="000000" w:themeColor="text1"/>
          <w:sz w:val="20"/>
          <w:szCs w:val="20"/>
          <w:lang w:val="en-US"/>
        </w:rPr>
        <w:t xml:space="preserve">freely accessible </w:t>
      </w:r>
      <w:r w:rsidR="00C800FB" w:rsidRPr="00177551">
        <w:rPr>
          <w:rFonts w:ascii="Arial" w:hAnsi="Arial" w:cs="Arial"/>
          <w:color w:val="000000" w:themeColor="text1"/>
          <w:sz w:val="20"/>
          <w:szCs w:val="20"/>
          <w:lang w:val="en-US"/>
        </w:rPr>
        <w:t xml:space="preserve">MED-ADHD dataset, </w:t>
      </w:r>
      <w:r w:rsidR="00850FFE" w:rsidRPr="00177551">
        <w:rPr>
          <w:rFonts w:ascii="Arial" w:hAnsi="Arial" w:cs="Arial"/>
          <w:color w:val="000000" w:themeColor="text1"/>
          <w:sz w:val="20"/>
          <w:szCs w:val="20"/>
          <w:lang w:val="en-US"/>
        </w:rPr>
        <w:t>the European ADHD Guidelines Group (EAGG) RCT Dataset</w:t>
      </w:r>
      <w:r w:rsidR="004925CE" w:rsidRPr="00177551">
        <w:rPr>
          <w:rFonts w:ascii="Arial" w:hAnsi="Arial" w:cs="Arial"/>
          <w:color w:val="000000" w:themeColor="text1"/>
          <w:sz w:val="20"/>
          <w:szCs w:val="20"/>
          <w:lang w:val="en-US"/>
        </w:rPr>
        <w:t xml:space="preserve"> curated at the University of Southampton</w:t>
      </w:r>
      <w:r w:rsidR="00850FFE" w:rsidRPr="00177551">
        <w:rPr>
          <w:rFonts w:ascii="Arial" w:hAnsi="Arial" w:cs="Arial"/>
          <w:color w:val="000000" w:themeColor="text1"/>
          <w:sz w:val="20"/>
          <w:szCs w:val="20"/>
          <w:lang w:val="en-US"/>
        </w:rPr>
        <w:t xml:space="preserve"> (</w:t>
      </w:r>
      <w:hyperlink r:id="rId9" w:history="1">
        <w:r w:rsidR="00850FFE" w:rsidRPr="00177551">
          <w:rPr>
            <w:rStyle w:val="Hyperlink"/>
            <w:rFonts w:ascii="Arial" w:hAnsi="Arial" w:cs="Arial"/>
            <w:color w:val="000000" w:themeColor="text1"/>
            <w:sz w:val="20"/>
            <w:szCs w:val="20"/>
            <w:u w:val="none"/>
            <w:bdr w:val="none" w:sz="0" w:space="0" w:color="auto" w:frame="1"/>
            <w:shd w:val="clear" w:color="auto" w:fill="FFFFFF"/>
            <w:lang w:val="en-US"/>
          </w:rPr>
          <w:t>https://med-adhd.org/</w:t>
        </w:r>
      </w:hyperlink>
      <w:r w:rsidR="00850FFE" w:rsidRPr="00177551">
        <w:rPr>
          <w:rFonts w:ascii="Arial" w:hAnsi="Arial" w:cs="Arial"/>
          <w:color w:val="000000" w:themeColor="text1"/>
          <w:sz w:val="20"/>
          <w:szCs w:val="20"/>
          <w:lang w:val="en-US"/>
        </w:rPr>
        <w:t xml:space="preserve">), as updated </w:t>
      </w:r>
      <w:r w:rsidR="00E33E44" w:rsidRPr="00177551">
        <w:rPr>
          <w:rFonts w:ascii="Arial" w:hAnsi="Arial" w:cs="Arial"/>
          <w:color w:val="000000" w:themeColor="text1"/>
          <w:sz w:val="20"/>
          <w:szCs w:val="20"/>
          <w:lang w:val="en-US"/>
        </w:rPr>
        <w:t>on</w:t>
      </w:r>
      <w:r w:rsidR="00850FFE" w:rsidRPr="00177551">
        <w:rPr>
          <w:rFonts w:ascii="Arial" w:hAnsi="Arial" w:cs="Arial"/>
          <w:color w:val="000000" w:themeColor="text1"/>
          <w:sz w:val="20"/>
          <w:szCs w:val="20"/>
          <w:lang w:val="en-US"/>
        </w:rPr>
        <w:t xml:space="preserve"> </w:t>
      </w:r>
      <w:r w:rsidR="006835E2" w:rsidRPr="00177551">
        <w:rPr>
          <w:rFonts w:ascii="Arial" w:hAnsi="Arial" w:cs="Arial"/>
          <w:color w:val="000000" w:themeColor="text1"/>
          <w:sz w:val="20"/>
          <w:szCs w:val="20"/>
          <w:lang w:val="en-US"/>
        </w:rPr>
        <w:t>1</w:t>
      </w:r>
      <w:r w:rsidR="006835E2" w:rsidRPr="00177551">
        <w:rPr>
          <w:rFonts w:ascii="Arial" w:hAnsi="Arial" w:cs="Arial"/>
          <w:color w:val="000000" w:themeColor="text1"/>
          <w:sz w:val="20"/>
          <w:szCs w:val="20"/>
          <w:vertAlign w:val="superscript"/>
          <w:lang w:val="en-US"/>
        </w:rPr>
        <w:t>st</w:t>
      </w:r>
      <w:r w:rsidR="006835E2" w:rsidRPr="00177551">
        <w:rPr>
          <w:rFonts w:ascii="Arial" w:hAnsi="Arial" w:cs="Arial"/>
          <w:color w:val="000000" w:themeColor="text1"/>
          <w:sz w:val="20"/>
          <w:szCs w:val="20"/>
          <w:lang w:val="en-US"/>
        </w:rPr>
        <w:t xml:space="preserve"> </w:t>
      </w:r>
      <w:r w:rsidR="00850FFE" w:rsidRPr="00177551">
        <w:rPr>
          <w:rFonts w:ascii="Arial" w:hAnsi="Arial" w:cs="Arial"/>
          <w:color w:val="000000" w:themeColor="text1"/>
          <w:sz w:val="20"/>
          <w:szCs w:val="20"/>
          <w:lang w:val="en-US"/>
        </w:rPr>
        <w:t>February</w:t>
      </w:r>
      <w:r w:rsidR="00E33E44" w:rsidRPr="00177551">
        <w:rPr>
          <w:rFonts w:ascii="Arial" w:hAnsi="Arial" w:cs="Arial"/>
          <w:color w:val="000000" w:themeColor="text1"/>
          <w:sz w:val="20"/>
          <w:szCs w:val="20"/>
          <w:lang w:val="en-US"/>
        </w:rPr>
        <w:t xml:space="preserve"> </w:t>
      </w:r>
      <w:r w:rsidR="00850FFE" w:rsidRPr="00177551">
        <w:rPr>
          <w:rFonts w:ascii="Arial" w:hAnsi="Arial" w:cs="Arial"/>
          <w:color w:val="000000" w:themeColor="text1"/>
          <w:sz w:val="20"/>
          <w:szCs w:val="20"/>
          <w:lang w:val="en-US"/>
        </w:rPr>
        <w:t xml:space="preserve">2024. This dataset was </w:t>
      </w:r>
      <w:r w:rsidR="00B43671" w:rsidRPr="00177551">
        <w:rPr>
          <w:rFonts w:ascii="Arial" w:hAnsi="Arial" w:cs="Arial"/>
          <w:color w:val="000000" w:themeColor="text1"/>
          <w:sz w:val="20"/>
          <w:szCs w:val="20"/>
          <w:lang w:val="en-US"/>
        </w:rPr>
        <w:t xml:space="preserve">initially </w:t>
      </w:r>
      <w:r w:rsidR="00850FFE" w:rsidRPr="00177551">
        <w:rPr>
          <w:rFonts w:ascii="Arial" w:hAnsi="Arial" w:cs="Arial"/>
          <w:color w:val="000000" w:themeColor="text1"/>
          <w:sz w:val="20"/>
          <w:szCs w:val="20"/>
          <w:lang w:val="en-US"/>
        </w:rPr>
        <w:t>created to</w:t>
      </w:r>
      <w:r w:rsidR="00B43671" w:rsidRPr="00177551">
        <w:rPr>
          <w:rFonts w:ascii="Arial" w:hAnsi="Arial" w:cs="Arial"/>
          <w:color w:val="000000" w:themeColor="text1"/>
          <w:sz w:val="20"/>
          <w:szCs w:val="20"/>
          <w:lang w:val="en-US"/>
        </w:rPr>
        <w:t xml:space="preserve"> carry out the systematic review and network meta-analysis by Cortese et al. (2018)</w:t>
      </w:r>
      <w:r w:rsidR="001F5EBA" w:rsidRPr="00177551">
        <w:rPr>
          <w:rFonts w:ascii="Arial" w:hAnsi="Arial" w:cs="Arial"/>
          <w:color w:val="000000" w:themeColor="text1"/>
          <w:sz w:val="20"/>
          <w:szCs w:val="20"/>
          <w:lang w:val="en-US"/>
        </w:rPr>
        <w:t>(</w:t>
      </w:r>
      <w:r w:rsidR="001F5EBA" w:rsidRPr="00177551">
        <w:rPr>
          <w:rFonts w:ascii="Arial" w:hAnsi="Arial" w:cs="Arial"/>
          <w:sz w:val="20"/>
          <w:szCs w:val="20"/>
        </w:rPr>
        <w:t>PROSPERO CRD42014008976)</w:t>
      </w:r>
      <w:r w:rsidR="001F5EBA" w:rsidRPr="00177551">
        <w:rPr>
          <w:rFonts w:ascii="Arial" w:hAnsi="Arial" w:cs="Arial"/>
          <w:b/>
          <w:bCs/>
          <w:sz w:val="20"/>
          <w:szCs w:val="20"/>
        </w:rPr>
        <w:t xml:space="preserve"> </w:t>
      </w:r>
      <w:r w:rsidR="00B43671" w:rsidRPr="00177551">
        <w:rPr>
          <w:rFonts w:ascii="Arial" w:hAnsi="Arial" w:cs="Arial"/>
          <w:color w:val="000000" w:themeColor="text1"/>
          <w:sz w:val="20"/>
          <w:szCs w:val="20"/>
          <w:lang w:val="en-US"/>
        </w:rPr>
        <w:t>o</w:t>
      </w:r>
      <w:r w:rsidR="00E33E44" w:rsidRPr="00177551">
        <w:rPr>
          <w:rFonts w:ascii="Arial" w:hAnsi="Arial" w:cs="Arial"/>
          <w:color w:val="000000" w:themeColor="text1"/>
          <w:sz w:val="20"/>
          <w:szCs w:val="20"/>
          <w:lang w:val="en-US"/>
        </w:rPr>
        <w:t>f</w:t>
      </w:r>
      <w:r w:rsidR="00B43671" w:rsidRPr="00177551">
        <w:rPr>
          <w:rFonts w:ascii="Arial" w:hAnsi="Arial" w:cs="Arial"/>
          <w:color w:val="000000" w:themeColor="text1"/>
          <w:sz w:val="20"/>
          <w:szCs w:val="20"/>
          <w:lang w:val="en-US"/>
        </w:rPr>
        <w:t xml:space="preserve"> double-blind RCTs of ADHD medications and is updated annually</w:t>
      </w:r>
      <w:r w:rsidR="004925CE" w:rsidRPr="00177551">
        <w:rPr>
          <w:rFonts w:ascii="Arial" w:hAnsi="Arial" w:cs="Arial"/>
          <w:color w:val="000000" w:themeColor="text1"/>
          <w:sz w:val="20"/>
          <w:szCs w:val="20"/>
          <w:lang w:val="en-US"/>
        </w:rPr>
        <w:t xml:space="preserve"> since</w:t>
      </w:r>
      <w:r w:rsidR="00B43671" w:rsidRPr="00177551">
        <w:rPr>
          <w:rFonts w:ascii="Arial" w:hAnsi="Arial" w:cs="Arial"/>
          <w:color w:val="000000" w:themeColor="text1"/>
          <w:sz w:val="20"/>
          <w:szCs w:val="20"/>
          <w:lang w:val="en-US"/>
        </w:rPr>
        <w:t xml:space="preserve">. </w:t>
      </w:r>
      <w:r w:rsidR="00850FFE" w:rsidRPr="00177551">
        <w:rPr>
          <w:rFonts w:ascii="Arial" w:hAnsi="Arial" w:cs="Arial"/>
          <w:sz w:val="20"/>
          <w:szCs w:val="20"/>
          <w:lang w:val="en-US"/>
        </w:rPr>
        <w:t xml:space="preserve">Search strategy </w:t>
      </w:r>
      <w:r w:rsidR="004D71E8" w:rsidRPr="00177551">
        <w:rPr>
          <w:rFonts w:ascii="Arial" w:hAnsi="Arial" w:cs="Arial"/>
          <w:sz w:val="20"/>
          <w:szCs w:val="20"/>
          <w:lang w:val="en-US"/>
        </w:rPr>
        <w:t>is</w:t>
      </w:r>
      <w:r w:rsidR="00850FFE" w:rsidRPr="00177551">
        <w:rPr>
          <w:rFonts w:ascii="Arial" w:hAnsi="Arial" w:cs="Arial"/>
          <w:sz w:val="20"/>
          <w:szCs w:val="20"/>
          <w:lang w:val="en-US"/>
        </w:rPr>
        <w:t xml:space="preserve"> described in Cortese et al., 2018. </w:t>
      </w:r>
      <w:r w:rsidR="00B43671" w:rsidRPr="00177551">
        <w:rPr>
          <w:rFonts w:ascii="Arial" w:hAnsi="Arial" w:cs="Arial"/>
          <w:sz w:val="20"/>
          <w:szCs w:val="20"/>
          <w:lang w:val="en-US"/>
        </w:rPr>
        <w:t>The original systematic review only included double-blind RCTs of at least 4-week duration</w:t>
      </w:r>
      <w:r w:rsidR="00215BA9" w:rsidRPr="00177551">
        <w:rPr>
          <w:rFonts w:ascii="Arial" w:hAnsi="Arial" w:cs="Arial"/>
          <w:sz w:val="20"/>
          <w:szCs w:val="20"/>
          <w:lang w:val="en-US"/>
        </w:rPr>
        <w:t>. However, we were able</w:t>
      </w:r>
      <w:r w:rsidR="007679E2" w:rsidRPr="00177551">
        <w:rPr>
          <w:rFonts w:ascii="Arial" w:hAnsi="Arial" w:cs="Arial"/>
          <w:sz w:val="20"/>
          <w:szCs w:val="20"/>
          <w:lang w:val="en-US"/>
        </w:rPr>
        <w:t xml:space="preserve"> to retrieve s</w:t>
      </w:r>
      <w:r w:rsidR="00B43671" w:rsidRPr="00177551">
        <w:rPr>
          <w:rFonts w:ascii="Arial" w:hAnsi="Arial" w:cs="Arial"/>
          <w:sz w:val="20"/>
          <w:szCs w:val="20"/>
          <w:lang w:val="en-US"/>
        </w:rPr>
        <w:t xml:space="preserve">ingle-dose trials </w:t>
      </w:r>
      <w:r w:rsidR="007679E2" w:rsidRPr="00177551">
        <w:rPr>
          <w:rFonts w:ascii="Arial" w:hAnsi="Arial" w:cs="Arial"/>
          <w:sz w:val="20"/>
          <w:szCs w:val="20"/>
          <w:lang w:val="en-US"/>
        </w:rPr>
        <w:t xml:space="preserve">as they </w:t>
      </w:r>
      <w:r w:rsidR="00B43671" w:rsidRPr="00177551">
        <w:rPr>
          <w:rFonts w:ascii="Arial" w:hAnsi="Arial" w:cs="Arial"/>
          <w:sz w:val="20"/>
          <w:szCs w:val="20"/>
          <w:lang w:val="en-US"/>
        </w:rPr>
        <w:t xml:space="preserve">were listed </w:t>
      </w:r>
      <w:r w:rsidR="007679E2" w:rsidRPr="00177551">
        <w:rPr>
          <w:rFonts w:ascii="Arial" w:hAnsi="Arial" w:cs="Arial"/>
          <w:sz w:val="20"/>
          <w:szCs w:val="20"/>
          <w:lang w:val="en-US"/>
        </w:rPr>
        <w:t xml:space="preserve">in the </w:t>
      </w:r>
      <w:r w:rsidR="00215BA9" w:rsidRPr="00177551">
        <w:rPr>
          <w:rFonts w:ascii="Arial" w:hAnsi="Arial" w:cs="Arial"/>
          <w:sz w:val="20"/>
          <w:szCs w:val="20"/>
          <w:lang w:val="en-US"/>
        </w:rPr>
        <w:t>supplementary</w:t>
      </w:r>
      <w:r w:rsidR="007679E2" w:rsidRPr="00177551">
        <w:rPr>
          <w:rFonts w:ascii="Arial" w:hAnsi="Arial" w:cs="Arial"/>
          <w:sz w:val="20"/>
          <w:szCs w:val="20"/>
          <w:lang w:val="en-US"/>
        </w:rPr>
        <w:t xml:space="preserve"> material </w:t>
      </w:r>
      <w:r w:rsidR="00215BA9" w:rsidRPr="00177551">
        <w:rPr>
          <w:rFonts w:ascii="Arial" w:hAnsi="Arial" w:cs="Arial"/>
          <w:sz w:val="20"/>
          <w:szCs w:val="20"/>
          <w:lang w:val="en-US"/>
        </w:rPr>
        <w:t>of</w:t>
      </w:r>
      <w:r w:rsidR="007679E2" w:rsidRPr="00177551">
        <w:rPr>
          <w:rFonts w:ascii="Arial" w:hAnsi="Arial" w:cs="Arial"/>
          <w:sz w:val="20"/>
          <w:szCs w:val="20"/>
          <w:lang w:val="en-US"/>
        </w:rPr>
        <w:t xml:space="preserve"> </w:t>
      </w:r>
      <w:r w:rsidR="00FD68D3" w:rsidRPr="00177551">
        <w:rPr>
          <w:rFonts w:ascii="Arial" w:hAnsi="Arial" w:cs="Arial"/>
          <w:sz w:val="20"/>
          <w:szCs w:val="20"/>
          <w:lang w:val="en-US"/>
        </w:rPr>
        <w:t xml:space="preserve">Cortese et al. (2018) </w:t>
      </w:r>
      <w:r w:rsidR="00215BA9" w:rsidRPr="00177551">
        <w:rPr>
          <w:rFonts w:ascii="Arial" w:hAnsi="Arial" w:cs="Arial"/>
          <w:sz w:val="20"/>
          <w:szCs w:val="20"/>
          <w:lang w:val="en-US"/>
        </w:rPr>
        <w:t>among the studies</w:t>
      </w:r>
      <w:r w:rsidR="007679E2" w:rsidRPr="00177551">
        <w:rPr>
          <w:rFonts w:ascii="Arial" w:hAnsi="Arial" w:cs="Arial"/>
          <w:sz w:val="20"/>
          <w:szCs w:val="20"/>
          <w:lang w:val="en-US"/>
        </w:rPr>
        <w:t xml:space="preserve"> excluded, with reason </w:t>
      </w:r>
      <w:r w:rsidR="00215BA9" w:rsidRPr="00177551">
        <w:rPr>
          <w:rFonts w:ascii="Arial" w:hAnsi="Arial" w:cs="Arial"/>
          <w:sz w:val="20"/>
          <w:szCs w:val="20"/>
          <w:lang w:val="en-US"/>
        </w:rPr>
        <w:t>for exclusion. W</w:t>
      </w:r>
      <w:r w:rsidR="007679E2" w:rsidRPr="00177551">
        <w:rPr>
          <w:rFonts w:ascii="Arial" w:hAnsi="Arial" w:cs="Arial"/>
          <w:sz w:val="20"/>
          <w:szCs w:val="20"/>
          <w:lang w:val="en-US"/>
        </w:rPr>
        <w:t xml:space="preserve">e also </w:t>
      </w:r>
      <w:r w:rsidR="00215BA9" w:rsidRPr="00177551">
        <w:rPr>
          <w:rFonts w:ascii="Arial" w:hAnsi="Arial" w:cs="Arial"/>
          <w:sz w:val="20"/>
          <w:szCs w:val="20"/>
          <w:lang w:val="en-US"/>
        </w:rPr>
        <w:t>identified</w:t>
      </w:r>
      <w:r w:rsidR="007679E2" w:rsidRPr="00177551">
        <w:rPr>
          <w:rFonts w:ascii="Arial" w:hAnsi="Arial" w:cs="Arial"/>
          <w:sz w:val="20"/>
          <w:szCs w:val="20"/>
          <w:lang w:val="en-US"/>
        </w:rPr>
        <w:t xml:space="preserve"> </w:t>
      </w:r>
      <w:r w:rsidR="00215BA9" w:rsidRPr="00177551">
        <w:rPr>
          <w:rFonts w:ascii="Arial" w:hAnsi="Arial" w:cs="Arial"/>
          <w:sz w:val="20"/>
          <w:szCs w:val="20"/>
          <w:lang w:val="en-US"/>
        </w:rPr>
        <w:t>single</w:t>
      </w:r>
      <w:r w:rsidR="007679E2" w:rsidRPr="00177551">
        <w:rPr>
          <w:rFonts w:ascii="Arial" w:hAnsi="Arial" w:cs="Arial"/>
          <w:sz w:val="20"/>
          <w:szCs w:val="20"/>
          <w:lang w:val="en-US"/>
        </w:rPr>
        <w:t xml:space="preserve"> do</w:t>
      </w:r>
      <w:r w:rsidR="00215BA9" w:rsidRPr="00177551">
        <w:rPr>
          <w:rFonts w:ascii="Arial" w:hAnsi="Arial" w:cs="Arial"/>
          <w:sz w:val="20"/>
          <w:szCs w:val="20"/>
          <w:lang w:val="en-US"/>
        </w:rPr>
        <w:t>se RCT from the updated list of exc</w:t>
      </w:r>
      <w:r w:rsidR="007679E2" w:rsidRPr="00177551">
        <w:rPr>
          <w:rFonts w:ascii="Arial" w:hAnsi="Arial" w:cs="Arial"/>
          <w:sz w:val="20"/>
          <w:szCs w:val="20"/>
          <w:lang w:val="en-US"/>
        </w:rPr>
        <w:t>luded studies up to 2024</w:t>
      </w:r>
      <w:r w:rsidR="004B2928" w:rsidRPr="00177551">
        <w:rPr>
          <w:rFonts w:ascii="Arial" w:hAnsi="Arial" w:cs="Arial"/>
          <w:sz w:val="20"/>
          <w:szCs w:val="20"/>
          <w:lang w:val="en-US"/>
        </w:rPr>
        <w:t xml:space="preserve"> and</w:t>
      </w:r>
      <w:r w:rsidR="007B3602" w:rsidRPr="00177551">
        <w:rPr>
          <w:rFonts w:ascii="Arial" w:hAnsi="Arial" w:cs="Arial"/>
          <w:sz w:val="20"/>
          <w:szCs w:val="20"/>
          <w:lang w:val="en-US"/>
        </w:rPr>
        <w:t xml:space="preserve"> </w:t>
      </w:r>
      <w:r w:rsidR="00EE5F1B" w:rsidRPr="00177551">
        <w:rPr>
          <w:rFonts w:ascii="Arial" w:hAnsi="Arial" w:cs="Arial"/>
          <w:sz w:val="20"/>
          <w:szCs w:val="20"/>
          <w:lang w:val="en-US"/>
        </w:rPr>
        <w:t>carried out a manual search of corresponding full-text publications for conference proceedings and trial registrations.</w:t>
      </w:r>
      <w:r w:rsidR="00FD68D3" w:rsidRPr="00177551">
        <w:rPr>
          <w:rFonts w:ascii="Arial" w:hAnsi="Arial" w:cs="Arial"/>
          <w:sz w:val="20"/>
          <w:szCs w:val="20"/>
          <w:lang w:val="en-US"/>
        </w:rPr>
        <w:t xml:space="preserve"> </w:t>
      </w:r>
      <w:r w:rsidR="00EE5F1B" w:rsidRPr="00177551">
        <w:rPr>
          <w:rFonts w:ascii="Arial" w:hAnsi="Arial" w:cs="Arial"/>
          <w:sz w:val="20"/>
          <w:szCs w:val="20"/>
          <w:lang w:val="en-US"/>
        </w:rPr>
        <w:t>T</w:t>
      </w:r>
      <w:r w:rsidR="00215BA9" w:rsidRPr="00177551">
        <w:rPr>
          <w:rFonts w:ascii="Arial" w:hAnsi="Arial" w:cs="Arial"/>
          <w:sz w:val="20"/>
          <w:szCs w:val="20"/>
          <w:lang w:val="en-US"/>
        </w:rPr>
        <w:t xml:space="preserve">he screening </w:t>
      </w:r>
      <w:r w:rsidR="004B2928" w:rsidRPr="00177551">
        <w:rPr>
          <w:rFonts w:ascii="Arial" w:hAnsi="Arial" w:cs="Arial"/>
          <w:sz w:val="20"/>
          <w:szCs w:val="20"/>
          <w:lang w:val="en-US"/>
        </w:rPr>
        <w:t xml:space="preserve">process </w:t>
      </w:r>
      <w:r w:rsidR="00215BA9" w:rsidRPr="00177551">
        <w:rPr>
          <w:rFonts w:ascii="Arial" w:hAnsi="Arial" w:cs="Arial"/>
          <w:sz w:val="20"/>
          <w:szCs w:val="20"/>
          <w:lang w:val="en-US"/>
        </w:rPr>
        <w:t>was conducted independently by t</w:t>
      </w:r>
      <w:r w:rsidR="00EE5F1B" w:rsidRPr="00177551">
        <w:rPr>
          <w:rFonts w:ascii="Arial" w:hAnsi="Arial" w:cs="Arial"/>
          <w:sz w:val="20"/>
          <w:szCs w:val="20"/>
          <w:lang w:val="en-US"/>
        </w:rPr>
        <w:t>wo authors (VP and AB)</w:t>
      </w:r>
      <w:r w:rsidR="006835E2" w:rsidRPr="00177551">
        <w:rPr>
          <w:rFonts w:ascii="Arial" w:hAnsi="Arial" w:cs="Arial"/>
          <w:sz w:val="20"/>
          <w:szCs w:val="20"/>
          <w:lang w:val="en-US"/>
        </w:rPr>
        <w:t>.</w:t>
      </w:r>
      <w:r w:rsidR="00EE5F1B" w:rsidRPr="00177551">
        <w:rPr>
          <w:rFonts w:ascii="Arial" w:hAnsi="Arial" w:cs="Arial"/>
          <w:sz w:val="20"/>
          <w:szCs w:val="20"/>
          <w:lang w:val="en-US"/>
        </w:rPr>
        <w:t xml:space="preserve"> </w:t>
      </w:r>
      <w:r w:rsidR="006835E2" w:rsidRPr="00177551">
        <w:rPr>
          <w:rFonts w:ascii="Arial" w:hAnsi="Arial" w:cs="Arial"/>
          <w:sz w:val="20"/>
          <w:szCs w:val="20"/>
          <w:lang w:val="en-US"/>
        </w:rPr>
        <w:t>This</w:t>
      </w:r>
      <w:r w:rsidR="004D71E8" w:rsidRPr="00177551">
        <w:rPr>
          <w:rFonts w:ascii="Arial" w:hAnsi="Arial" w:cs="Arial"/>
          <w:sz w:val="20"/>
          <w:szCs w:val="20"/>
          <w:lang w:val="en-US"/>
        </w:rPr>
        <w:t xml:space="preserve"> resulted in the inclusion of any </w:t>
      </w:r>
      <w:r w:rsidR="00EE5F1B" w:rsidRPr="00177551">
        <w:rPr>
          <w:rFonts w:ascii="Arial" w:hAnsi="Arial" w:cs="Arial"/>
          <w:sz w:val="20"/>
          <w:szCs w:val="20"/>
          <w:lang w:val="en-US"/>
        </w:rPr>
        <w:t>publications and trial registrations identify</w:t>
      </w:r>
      <w:r w:rsidR="004D71E8" w:rsidRPr="00177551">
        <w:rPr>
          <w:rFonts w:ascii="Arial" w:hAnsi="Arial" w:cs="Arial"/>
          <w:sz w:val="20"/>
          <w:szCs w:val="20"/>
          <w:lang w:val="en-US"/>
        </w:rPr>
        <w:t>ing</w:t>
      </w:r>
      <w:r w:rsidR="00EE5F1B" w:rsidRPr="00177551">
        <w:rPr>
          <w:rFonts w:ascii="Arial" w:hAnsi="Arial" w:cs="Arial"/>
          <w:sz w:val="20"/>
          <w:szCs w:val="20"/>
          <w:lang w:val="en-US"/>
        </w:rPr>
        <w:t xml:space="preserve"> single dose RCTs that </w:t>
      </w:r>
      <w:r w:rsidR="00B172D3" w:rsidRPr="00177551">
        <w:rPr>
          <w:rFonts w:ascii="Arial" w:hAnsi="Arial" w:cs="Arial"/>
          <w:sz w:val="20"/>
          <w:szCs w:val="20"/>
          <w:lang w:val="en-US"/>
        </w:rPr>
        <w:t xml:space="preserve">tested the association between clinical response to a single dose of stimulants and longer-term (at last 4 weeks) treatment </w:t>
      </w:r>
      <w:r w:rsidR="001F5FFF" w:rsidRPr="00177551">
        <w:rPr>
          <w:rFonts w:ascii="Arial" w:hAnsi="Arial" w:cs="Arial"/>
          <w:sz w:val="20"/>
          <w:szCs w:val="20"/>
          <w:lang w:val="en-US"/>
        </w:rPr>
        <w:t xml:space="preserve">response </w:t>
      </w:r>
      <w:r w:rsidR="00B172D3" w:rsidRPr="00177551">
        <w:rPr>
          <w:rFonts w:ascii="Arial" w:hAnsi="Arial" w:cs="Arial"/>
          <w:sz w:val="20"/>
          <w:szCs w:val="20"/>
          <w:lang w:val="en-US"/>
        </w:rPr>
        <w:t>in individuals with ADHD of any age</w:t>
      </w:r>
      <w:r w:rsidR="00EE5F1B" w:rsidRPr="00177551">
        <w:rPr>
          <w:rFonts w:ascii="Arial" w:hAnsi="Arial" w:cs="Arial"/>
          <w:sz w:val="20"/>
          <w:szCs w:val="20"/>
          <w:lang w:val="en-US"/>
        </w:rPr>
        <w:t xml:space="preserve">. </w:t>
      </w:r>
      <w:r w:rsidR="00B172D3" w:rsidRPr="00177551">
        <w:rPr>
          <w:rFonts w:ascii="Arial" w:hAnsi="Arial" w:cs="Arial"/>
          <w:sz w:val="20"/>
          <w:szCs w:val="20"/>
          <w:lang w:val="en-US"/>
        </w:rPr>
        <w:t xml:space="preserve">Studies were included with no language restriction. </w:t>
      </w:r>
      <w:r w:rsidR="004B2928" w:rsidRPr="00177551">
        <w:rPr>
          <w:rFonts w:ascii="Arial" w:hAnsi="Arial" w:cs="Arial"/>
          <w:sz w:val="20"/>
          <w:szCs w:val="20"/>
          <w:lang w:val="en-US"/>
        </w:rPr>
        <w:t>We limited the search to RCTs of stimulant treatments. Furthermore, r</w:t>
      </w:r>
      <w:r w:rsidR="004D71E8" w:rsidRPr="00177551">
        <w:rPr>
          <w:rFonts w:ascii="Arial" w:hAnsi="Arial" w:cs="Arial"/>
          <w:sz w:val="20"/>
          <w:szCs w:val="20"/>
          <w:lang w:val="en-US"/>
        </w:rPr>
        <w:t>eflecting the exclusion criteria in Cortese et al., (2018), s</w:t>
      </w:r>
      <w:r w:rsidR="00B172D3" w:rsidRPr="00177551">
        <w:rPr>
          <w:rFonts w:ascii="Arial" w:hAnsi="Arial" w:cs="Arial"/>
          <w:sz w:val="20"/>
          <w:szCs w:val="20"/>
          <w:lang w:val="en-US"/>
        </w:rPr>
        <w:t>tudies were excluded if they included only neurotypical controls</w:t>
      </w:r>
      <w:r w:rsidR="00DA3124" w:rsidRPr="00177551">
        <w:rPr>
          <w:rFonts w:ascii="Arial" w:hAnsi="Arial" w:cs="Arial"/>
          <w:sz w:val="20"/>
          <w:szCs w:val="20"/>
          <w:lang w:val="en-US"/>
        </w:rPr>
        <w:t xml:space="preserve"> or individuals </w:t>
      </w:r>
      <w:r w:rsidR="001F5FFF" w:rsidRPr="00177551">
        <w:rPr>
          <w:rFonts w:ascii="Arial" w:hAnsi="Arial" w:cs="Arial"/>
          <w:sz w:val="20"/>
          <w:szCs w:val="20"/>
          <w:lang w:val="en-US"/>
        </w:rPr>
        <w:t xml:space="preserve">without a confirmed diagnosis of ADHD; </w:t>
      </w:r>
      <w:r w:rsidR="00063F50" w:rsidRPr="00177551">
        <w:rPr>
          <w:rFonts w:ascii="Arial" w:hAnsi="Arial" w:cs="Arial"/>
          <w:sz w:val="20"/>
          <w:szCs w:val="20"/>
          <w:lang w:val="en-US"/>
        </w:rPr>
        <w:t xml:space="preserve">required a specific comorbidity (e.g. substance abuse) for inclusion; </w:t>
      </w:r>
      <w:r w:rsidR="00B172D3" w:rsidRPr="00177551">
        <w:rPr>
          <w:rFonts w:ascii="Arial" w:hAnsi="Arial" w:cs="Arial"/>
          <w:sz w:val="20"/>
          <w:szCs w:val="20"/>
          <w:lang w:val="en-US"/>
        </w:rPr>
        <w:t xml:space="preserve">pre-selected individuals that were responders </w:t>
      </w:r>
      <w:r w:rsidR="00063F50" w:rsidRPr="00177551">
        <w:rPr>
          <w:rFonts w:ascii="Arial" w:hAnsi="Arial" w:cs="Arial"/>
          <w:sz w:val="20"/>
          <w:szCs w:val="20"/>
          <w:lang w:val="en-US"/>
        </w:rPr>
        <w:t xml:space="preserve">to </w:t>
      </w:r>
      <w:r w:rsidR="00B172D3" w:rsidRPr="00177551">
        <w:rPr>
          <w:rFonts w:ascii="Arial" w:hAnsi="Arial" w:cs="Arial"/>
          <w:sz w:val="20"/>
          <w:szCs w:val="20"/>
          <w:lang w:val="en-US"/>
        </w:rPr>
        <w:t xml:space="preserve">or </w:t>
      </w:r>
      <w:r w:rsidR="00063F50" w:rsidRPr="00177551">
        <w:rPr>
          <w:rFonts w:ascii="Arial" w:hAnsi="Arial" w:cs="Arial"/>
          <w:sz w:val="20"/>
          <w:szCs w:val="20"/>
          <w:lang w:val="en-US"/>
        </w:rPr>
        <w:t>optimized</w:t>
      </w:r>
      <w:r w:rsidR="00B172D3" w:rsidRPr="00177551">
        <w:rPr>
          <w:rFonts w:ascii="Arial" w:hAnsi="Arial" w:cs="Arial"/>
          <w:sz w:val="20"/>
          <w:szCs w:val="20"/>
          <w:lang w:val="en-US"/>
        </w:rPr>
        <w:t xml:space="preserve"> on stimulants</w:t>
      </w:r>
      <w:r w:rsidR="00063F50" w:rsidRPr="00177551">
        <w:rPr>
          <w:rFonts w:ascii="Arial" w:hAnsi="Arial" w:cs="Arial"/>
          <w:sz w:val="20"/>
          <w:szCs w:val="20"/>
          <w:lang w:val="en-US"/>
        </w:rPr>
        <w:t>;</w:t>
      </w:r>
      <w:r w:rsidR="00DA3124" w:rsidRPr="00177551">
        <w:rPr>
          <w:rFonts w:ascii="Arial" w:hAnsi="Arial" w:cs="Arial"/>
          <w:sz w:val="20"/>
          <w:szCs w:val="20"/>
          <w:lang w:val="en-US"/>
        </w:rPr>
        <w:t xml:space="preserve"> tested subjects on-off medication without placebo condition</w:t>
      </w:r>
      <w:r w:rsidR="00063F50" w:rsidRPr="00177551">
        <w:rPr>
          <w:rFonts w:ascii="Arial" w:hAnsi="Arial" w:cs="Arial"/>
          <w:sz w:val="20"/>
          <w:szCs w:val="20"/>
          <w:lang w:val="en-US"/>
        </w:rPr>
        <w:t>;</w:t>
      </w:r>
      <w:r w:rsidR="00DA3124" w:rsidRPr="00177551">
        <w:rPr>
          <w:rFonts w:ascii="Arial" w:hAnsi="Arial" w:cs="Arial"/>
          <w:sz w:val="20"/>
          <w:szCs w:val="20"/>
          <w:lang w:val="en-US"/>
        </w:rPr>
        <w:t xml:space="preserve"> </w:t>
      </w:r>
      <w:r w:rsidR="001C47E2" w:rsidRPr="00177551">
        <w:rPr>
          <w:rFonts w:ascii="Arial" w:hAnsi="Arial" w:cs="Arial"/>
          <w:sz w:val="20"/>
          <w:szCs w:val="20"/>
          <w:lang w:val="en-US"/>
        </w:rPr>
        <w:t>were</w:t>
      </w:r>
      <w:r w:rsidR="00DA3124" w:rsidRPr="00177551">
        <w:rPr>
          <w:rFonts w:ascii="Arial" w:hAnsi="Arial" w:cs="Arial"/>
          <w:sz w:val="20"/>
          <w:szCs w:val="20"/>
          <w:lang w:val="en-US"/>
        </w:rPr>
        <w:t xml:space="preserve"> pharmacokinetic</w:t>
      </w:r>
      <w:r w:rsidR="001C47E2" w:rsidRPr="00177551">
        <w:rPr>
          <w:rFonts w:ascii="Arial" w:hAnsi="Arial" w:cs="Arial"/>
          <w:sz w:val="20"/>
          <w:szCs w:val="20"/>
          <w:lang w:val="en-US"/>
        </w:rPr>
        <w:t xml:space="preserve"> studies</w:t>
      </w:r>
      <w:r w:rsidR="00063F50" w:rsidRPr="00177551">
        <w:rPr>
          <w:rFonts w:ascii="Arial" w:hAnsi="Arial" w:cs="Arial"/>
          <w:sz w:val="20"/>
          <w:szCs w:val="20"/>
          <w:lang w:val="en-US"/>
        </w:rPr>
        <w:t>; were</w:t>
      </w:r>
      <w:r w:rsidR="00DA3124" w:rsidRPr="00177551">
        <w:rPr>
          <w:rFonts w:ascii="Arial" w:hAnsi="Arial" w:cs="Arial"/>
          <w:sz w:val="20"/>
          <w:szCs w:val="20"/>
          <w:lang w:val="en-US"/>
        </w:rPr>
        <w:t xml:space="preserve"> </w:t>
      </w:r>
      <w:r w:rsidR="001C47E2" w:rsidRPr="00177551">
        <w:rPr>
          <w:rFonts w:ascii="Arial" w:hAnsi="Arial" w:cs="Arial"/>
          <w:sz w:val="20"/>
          <w:szCs w:val="20"/>
          <w:lang w:val="en-US"/>
        </w:rPr>
        <w:t xml:space="preserve">ongoing </w:t>
      </w:r>
      <w:r w:rsidR="00063F50" w:rsidRPr="00177551">
        <w:rPr>
          <w:rFonts w:ascii="Arial" w:hAnsi="Arial" w:cs="Arial"/>
          <w:sz w:val="20"/>
          <w:szCs w:val="20"/>
          <w:lang w:val="en-US"/>
        </w:rPr>
        <w:t>trials or with</w:t>
      </w:r>
      <w:r w:rsidR="00DA3124" w:rsidRPr="00177551">
        <w:rPr>
          <w:rFonts w:ascii="Arial" w:hAnsi="Arial" w:cs="Arial"/>
          <w:sz w:val="20"/>
          <w:szCs w:val="20"/>
          <w:lang w:val="en-US"/>
        </w:rPr>
        <w:t xml:space="preserve"> no reported/published results</w:t>
      </w:r>
      <w:r w:rsidR="00063F50" w:rsidRPr="00177551">
        <w:rPr>
          <w:rFonts w:ascii="Arial" w:hAnsi="Arial" w:cs="Arial"/>
          <w:sz w:val="20"/>
          <w:szCs w:val="20"/>
          <w:lang w:val="en-US"/>
        </w:rPr>
        <w:t xml:space="preserve"> on the trial registry (unless </w:t>
      </w:r>
      <w:r w:rsidR="001C47E2" w:rsidRPr="00177551">
        <w:rPr>
          <w:rFonts w:ascii="Arial" w:hAnsi="Arial" w:cs="Arial"/>
          <w:sz w:val="20"/>
          <w:szCs w:val="20"/>
          <w:lang w:val="en-US"/>
        </w:rPr>
        <w:t>identified through manual search</w:t>
      </w:r>
      <w:r w:rsidR="00063F50" w:rsidRPr="00177551">
        <w:rPr>
          <w:rFonts w:ascii="Arial" w:hAnsi="Arial" w:cs="Arial"/>
          <w:sz w:val="20"/>
          <w:szCs w:val="20"/>
          <w:lang w:val="en-US"/>
        </w:rPr>
        <w:t>)</w:t>
      </w:r>
      <w:r w:rsidR="00DA3124" w:rsidRPr="00177551">
        <w:rPr>
          <w:rFonts w:ascii="Arial" w:hAnsi="Arial" w:cs="Arial"/>
          <w:sz w:val="20"/>
          <w:szCs w:val="20"/>
          <w:lang w:val="en-US"/>
        </w:rPr>
        <w:t xml:space="preserve">. Data extraction </w:t>
      </w:r>
      <w:r w:rsidR="001A198B" w:rsidRPr="00177551">
        <w:rPr>
          <w:rFonts w:ascii="Arial" w:hAnsi="Arial" w:cs="Arial"/>
          <w:sz w:val="20"/>
          <w:szCs w:val="20"/>
          <w:lang w:val="en-US"/>
        </w:rPr>
        <w:t xml:space="preserve">was carried out by VP and </w:t>
      </w:r>
      <w:r w:rsidR="00D030EA" w:rsidRPr="00177551">
        <w:rPr>
          <w:rFonts w:ascii="Arial" w:hAnsi="Arial" w:cs="Arial"/>
          <w:sz w:val="20"/>
          <w:szCs w:val="20"/>
          <w:lang w:val="en-US"/>
        </w:rPr>
        <w:t xml:space="preserve">cross-checked by </w:t>
      </w:r>
      <w:r w:rsidR="001A198B" w:rsidRPr="00177551">
        <w:rPr>
          <w:rFonts w:ascii="Arial" w:hAnsi="Arial" w:cs="Arial"/>
          <w:sz w:val="20"/>
          <w:szCs w:val="20"/>
          <w:lang w:val="en-US"/>
        </w:rPr>
        <w:t>SR</w:t>
      </w:r>
      <w:r w:rsidR="00D030EA" w:rsidRPr="00177551">
        <w:rPr>
          <w:rFonts w:ascii="Arial" w:hAnsi="Arial" w:cs="Arial"/>
          <w:sz w:val="20"/>
          <w:szCs w:val="20"/>
          <w:lang w:val="en-US"/>
        </w:rPr>
        <w:t xml:space="preserve">, </w:t>
      </w:r>
      <w:r w:rsidR="001A198B" w:rsidRPr="00177551">
        <w:rPr>
          <w:rFonts w:ascii="Arial" w:hAnsi="Arial" w:cs="Arial"/>
          <w:sz w:val="20"/>
          <w:szCs w:val="20"/>
          <w:lang w:val="en-US"/>
        </w:rPr>
        <w:t xml:space="preserve">and included information on sample size, age group, type of measure </w:t>
      </w:r>
      <w:r w:rsidR="001C47E2" w:rsidRPr="00177551">
        <w:rPr>
          <w:rFonts w:ascii="Arial" w:hAnsi="Arial" w:cs="Arial"/>
          <w:sz w:val="20"/>
          <w:szCs w:val="20"/>
          <w:lang w:val="en-US"/>
        </w:rPr>
        <w:t>used,</w:t>
      </w:r>
      <w:r w:rsidR="001A198B" w:rsidRPr="00177551">
        <w:rPr>
          <w:rFonts w:ascii="Arial" w:hAnsi="Arial" w:cs="Arial"/>
          <w:sz w:val="20"/>
          <w:szCs w:val="20"/>
          <w:lang w:val="en-US"/>
        </w:rPr>
        <w:t xml:space="preserve"> and main results</w:t>
      </w:r>
      <w:r w:rsidR="00063F50" w:rsidRPr="00177551">
        <w:rPr>
          <w:rFonts w:ascii="Arial" w:hAnsi="Arial" w:cs="Arial"/>
          <w:sz w:val="20"/>
          <w:szCs w:val="20"/>
          <w:lang w:val="en-US"/>
        </w:rPr>
        <w:t xml:space="preserve">. </w:t>
      </w:r>
      <w:r w:rsidR="00215BA9" w:rsidRPr="00177551">
        <w:rPr>
          <w:rFonts w:ascii="Arial" w:hAnsi="Arial" w:cs="Arial"/>
          <w:sz w:val="20"/>
          <w:szCs w:val="20"/>
          <w:lang w:val="en-US"/>
        </w:rPr>
        <w:lastRenderedPageBreak/>
        <w:t xml:space="preserve">As Cortese et al. </w:t>
      </w:r>
      <w:r w:rsidR="006835E2" w:rsidRPr="00177551">
        <w:rPr>
          <w:rFonts w:ascii="Arial" w:hAnsi="Arial" w:cs="Arial"/>
          <w:sz w:val="20"/>
          <w:szCs w:val="20"/>
          <w:lang w:val="en-US"/>
        </w:rPr>
        <w:t xml:space="preserve">(2018) </w:t>
      </w:r>
      <w:r w:rsidR="00215BA9" w:rsidRPr="00177551">
        <w:rPr>
          <w:rFonts w:ascii="Arial" w:hAnsi="Arial" w:cs="Arial"/>
          <w:sz w:val="20"/>
          <w:szCs w:val="20"/>
          <w:lang w:val="en-US"/>
        </w:rPr>
        <w:t>used the Cochrane risk of bias</w:t>
      </w:r>
      <w:r w:rsidR="006835E2" w:rsidRPr="00177551">
        <w:rPr>
          <w:rFonts w:ascii="Arial" w:hAnsi="Arial" w:cs="Arial"/>
          <w:sz w:val="20"/>
          <w:szCs w:val="20"/>
          <w:lang w:val="en-US"/>
        </w:rPr>
        <w:t xml:space="preserve"> (RoB)</w:t>
      </w:r>
      <w:r w:rsidR="00215BA9" w:rsidRPr="00177551">
        <w:rPr>
          <w:rFonts w:ascii="Arial" w:hAnsi="Arial" w:cs="Arial"/>
          <w:sz w:val="20"/>
          <w:szCs w:val="20"/>
          <w:lang w:val="en-US"/>
        </w:rPr>
        <w:t xml:space="preserve"> 1, we repeated quality </w:t>
      </w:r>
      <w:r w:rsidR="001A198B" w:rsidRPr="00177551">
        <w:rPr>
          <w:rFonts w:ascii="Arial" w:hAnsi="Arial" w:cs="Arial"/>
          <w:sz w:val="20"/>
          <w:szCs w:val="20"/>
          <w:lang w:val="en-US"/>
        </w:rPr>
        <w:t xml:space="preserve">assessment </w:t>
      </w:r>
      <w:r w:rsidR="009C37C8" w:rsidRPr="00177551">
        <w:rPr>
          <w:rFonts w:ascii="Arial" w:hAnsi="Arial" w:cs="Arial"/>
          <w:sz w:val="20"/>
          <w:szCs w:val="20"/>
          <w:lang w:val="en-US"/>
        </w:rPr>
        <w:t xml:space="preserve">of studies </w:t>
      </w:r>
      <w:r w:rsidR="003656EA" w:rsidRPr="00177551">
        <w:rPr>
          <w:rFonts w:ascii="Arial" w:hAnsi="Arial" w:cs="Arial"/>
          <w:sz w:val="20"/>
          <w:szCs w:val="20"/>
          <w:lang w:val="en-US"/>
        </w:rPr>
        <w:t>eligible for the present research</w:t>
      </w:r>
      <w:r w:rsidR="00215BA9" w:rsidRPr="00177551">
        <w:rPr>
          <w:rFonts w:ascii="Arial" w:hAnsi="Arial" w:cs="Arial"/>
          <w:sz w:val="20"/>
          <w:szCs w:val="20"/>
          <w:lang w:val="en-US"/>
        </w:rPr>
        <w:t xml:space="preserve"> </w:t>
      </w:r>
      <w:r w:rsidR="001A198B" w:rsidRPr="00177551">
        <w:rPr>
          <w:rFonts w:ascii="Arial" w:hAnsi="Arial" w:cs="Arial"/>
          <w:sz w:val="20"/>
          <w:szCs w:val="20"/>
          <w:lang w:val="en-US"/>
        </w:rPr>
        <w:t>using the</w:t>
      </w:r>
      <w:r w:rsidR="004B2928" w:rsidRPr="00177551">
        <w:rPr>
          <w:rFonts w:ascii="Arial" w:hAnsi="Arial" w:cs="Arial"/>
          <w:sz w:val="20"/>
          <w:szCs w:val="20"/>
          <w:lang w:val="en-US"/>
        </w:rPr>
        <w:t xml:space="preserve"> current version</w:t>
      </w:r>
      <w:r w:rsidR="001A198B" w:rsidRPr="00177551">
        <w:rPr>
          <w:rFonts w:ascii="Arial" w:hAnsi="Arial" w:cs="Arial"/>
          <w:sz w:val="20"/>
          <w:szCs w:val="20"/>
          <w:lang w:val="en-US"/>
        </w:rPr>
        <w:t xml:space="preserve"> </w:t>
      </w:r>
      <w:r w:rsidR="004B2928" w:rsidRPr="00177551">
        <w:rPr>
          <w:rFonts w:ascii="Arial" w:hAnsi="Arial" w:cs="Arial"/>
          <w:sz w:val="20"/>
          <w:szCs w:val="20"/>
          <w:lang w:val="en-US"/>
        </w:rPr>
        <w:t>(</w:t>
      </w:r>
      <w:r w:rsidR="00C1183A" w:rsidRPr="00177551">
        <w:rPr>
          <w:rFonts w:ascii="Arial" w:hAnsi="Arial" w:cs="Arial"/>
          <w:sz w:val="20"/>
          <w:szCs w:val="20"/>
          <w:lang w:val="en-US"/>
        </w:rPr>
        <w:t>RoB</w:t>
      </w:r>
      <w:r w:rsidR="006835E2" w:rsidRPr="00177551">
        <w:rPr>
          <w:rFonts w:ascii="Arial" w:hAnsi="Arial" w:cs="Arial"/>
          <w:sz w:val="20"/>
          <w:szCs w:val="20"/>
          <w:lang w:val="en-US"/>
        </w:rPr>
        <w:t xml:space="preserve"> </w:t>
      </w:r>
      <w:r w:rsidR="00C1183A" w:rsidRPr="00177551">
        <w:rPr>
          <w:rFonts w:ascii="Arial" w:hAnsi="Arial" w:cs="Arial"/>
          <w:sz w:val="20"/>
          <w:szCs w:val="20"/>
          <w:lang w:val="en-US"/>
        </w:rPr>
        <w:t>2.0</w:t>
      </w:r>
      <w:r w:rsidR="004B2928" w:rsidRPr="00177551">
        <w:rPr>
          <w:rFonts w:ascii="Arial" w:hAnsi="Arial" w:cs="Arial"/>
          <w:sz w:val="20"/>
          <w:szCs w:val="20"/>
          <w:lang w:val="en-US"/>
        </w:rPr>
        <w:t>) of this tool</w:t>
      </w:r>
      <w:r w:rsidR="00C1183A" w:rsidRPr="00177551">
        <w:rPr>
          <w:rFonts w:ascii="Arial" w:hAnsi="Arial" w:cs="Arial"/>
          <w:sz w:val="20"/>
          <w:szCs w:val="20"/>
          <w:lang w:val="en-US"/>
        </w:rPr>
        <w:t xml:space="preserve"> </w:t>
      </w:r>
      <w:r w:rsidR="00565319" w:rsidRPr="00177551">
        <w:rPr>
          <w:rFonts w:ascii="Arial" w:hAnsi="Arial" w:cs="Arial"/>
          <w:noProof/>
          <w:sz w:val="20"/>
          <w:szCs w:val="20"/>
          <w:lang w:val="en-US"/>
        </w:rPr>
        <w:t>(Sterne et al., 2019)</w:t>
      </w:r>
      <w:r w:rsidR="00C1183A" w:rsidRPr="00177551">
        <w:rPr>
          <w:rFonts w:ascii="Arial" w:hAnsi="Arial" w:cs="Arial"/>
          <w:sz w:val="20"/>
          <w:szCs w:val="20"/>
          <w:lang w:val="en-US"/>
        </w:rPr>
        <w:t>.</w:t>
      </w:r>
    </w:p>
    <w:p w14:paraId="331A3F49" w14:textId="77777777" w:rsidR="005A3F84" w:rsidRPr="00177551" w:rsidRDefault="005A3F84" w:rsidP="001F5EBA">
      <w:pPr>
        <w:spacing w:line="480" w:lineRule="auto"/>
        <w:ind w:left="-851" w:right="-761"/>
        <w:contextualSpacing/>
        <w:rPr>
          <w:rFonts w:ascii="Arial" w:hAnsi="Arial" w:cs="Arial"/>
          <w:b/>
          <w:bCs/>
          <w:sz w:val="20"/>
          <w:szCs w:val="20"/>
          <w:lang w:val="en-US"/>
        </w:rPr>
      </w:pPr>
    </w:p>
    <w:p w14:paraId="5899E7AF" w14:textId="77777777" w:rsidR="00275C72" w:rsidRPr="00177551" w:rsidRDefault="00AE7592" w:rsidP="0023021C">
      <w:pPr>
        <w:spacing w:line="480" w:lineRule="auto"/>
        <w:ind w:left="-851" w:right="-761"/>
        <w:contextualSpacing/>
        <w:rPr>
          <w:rFonts w:ascii="Arial" w:hAnsi="Arial" w:cs="Arial"/>
          <w:b/>
          <w:bCs/>
          <w:sz w:val="20"/>
          <w:szCs w:val="20"/>
          <w:lang w:val="en-US"/>
        </w:rPr>
      </w:pPr>
      <w:r w:rsidRPr="00177551">
        <w:rPr>
          <w:rFonts w:ascii="Arial" w:hAnsi="Arial" w:cs="Arial"/>
          <w:b/>
          <w:bCs/>
          <w:sz w:val="20"/>
          <w:szCs w:val="20"/>
          <w:lang w:val="en-US"/>
        </w:rPr>
        <w:t>RESULTS</w:t>
      </w:r>
    </w:p>
    <w:p w14:paraId="354EB1E2" w14:textId="65081AE3" w:rsidR="00297978" w:rsidRPr="00177551" w:rsidRDefault="00AE7592" w:rsidP="0023021C">
      <w:pPr>
        <w:spacing w:line="480" w:lineRule="auto"/>
        <w:ind w:left="-851" w:right="-761"/>
        <w:contextualSpacing/>
        <w:rPr>
          <w:rFonts w:ascii="Arial" w:hAnsi="Arial" w:cs="Arial"/>
          <w:color w:val="000000" w:themeColor="text1"/>
          <w:sz w:val="20"/>
          <w:szCs w:val="20"/>
          <w:lang w:val="en-US"/>
        </w:rPr>
      </w:pPr>
      <w:r w:rsidRPr="00177551">
        <w:rPr>
          <w:rFonts w:ascii="Arial" w:hAnsi="Arial" w:cs="Arial"/>
          <w:sz w:val="20"/>
          <w:szCs w:val="20"/>
          <w:lang w:val="en-US"/>
        </w:rPr>
        <w:t xml:space="preserve">The initial search </w:t>
      </w:r>
      <w:r w:rsidR="001C47E2" w:rsidRPr="00177551">
        <w:rPr>
          <w:rFonts w:ascii="Arial" w:hAnsi="Arial" w:cs="Arial"/>
          <w:sz w:val="20"/>
          <w:szCs w:val="20"/>
          <w:lang w:val="en-US"/>
        </w:rPr>
        <w:t>identified</w:t>
      </w:r>
      <w:r w:rsidRPr="00177551">
        <w:rPr>
          <w:rFonts w:ascii="Arial" w:hAnsi="Arial" w:cs="Arial"/>
          <w:sz w:val="20"/>
          <w:szCs w:val="20"/>
          <w:lang w:val="en-US"/>
        </w:rPr>
        <w:t xml:space="preserve"> a total of 11</w:t>
      </w:r>
      <w:r w:rsidR="00B36C27" w:rsidRPr="00177551">
        <w:rPr>
          <w:rFonts w:ascii="Arial" w:hAnsi="Arial" w:cs="Arial"/>
          <w:sz w:val="20"/>
          <w:szCs w:val="20"/>
          <w:lang w:val="en-US"/>
        </w:rPr>
        <w:t>8</w:t>
      </w:r>
      <w:r w:rsidRPr="00177551">
        <w:rPr>
          <w:rFonts w:ascii="Arial" w:hAnsi="Arial" w:cs="Arial"/>
          <w:sz w:val="20"/>
          <w:szCs w:val="20"/>
          <w:lang w:val="en-US"/>
        </w:rPr>
        <w:t xml:space="preserve"> records</w:t>
      </w:r>
      <w:r w:rsidR="004D71E8" w:rsidRPr="00177551">
        <w:rPr>
          <w:rFonts w:ascii="Arial" w:hAnsi="Arial" w:cs="Arial"/>
          <w:sz w:val="20"/>
          <w:szCs w:val="20"/>
          <w:lang w:val="en-US"/>
        </w:rPr>
        <w:t xml:space="preserve"> (108 publications and 10 RCT registrations) as possibly relevant</w:t>
      </w:r>
      <w:r w:rsidRPr="00177551">
        <w:rPr>
          <w:rFonts w:ascii="Arial" w:hAnsi="Arial" w:cs="Arial"/>
          <w:sz w:val="20"/>
          <w:szCs w:val="20"/>
          <w:lang w:val="en-US"/>
        </w:rPr>
        <w:t xml:space="preserve">.  </w:t>
      </w:r>
      <w:r w:rsidR="00B474C5" w:rsidRPr="00177551">
        <w:rPr>
          <w:rFonts w:ascii="Arial" w:hAnsi="Arial" w:cs="Arial"/>
          <w:sz w:val="20"/>
          <w:szCs w:val="20"/>
          <w:lang w:val="en-US"/>
        </w:rPr>
        <w:t xml:space="preserve">Among these, </w:t>
      </w:r>
      <w:r w:rsidR="00751259" w:rsidRPr="00177551">
        <w:rPr>
          <w:rFonts w:ascii="Arial" w:hAnsi="Arial" w:cs="Arial"/>
          <w:sz w:val="20"/>
          <w:szCs w:val="20"/>
          <w:lang w:val="en-US"/>
        </w:rPr>
        <w:t xml:space="preserve">only </w:t>
      </w:r>
      <w:r w:rsidR="00DF63A1" w:rsidRPr="00177551">
        <w:rPr>
          <w:rFonts w:ascii="Arial" w:hAnsi="Arial" w:cs="Arial"/>
          <w:sz w:val="20"/>
          <w:szCs w:val="20"/>
          <w:lang w:val="en-US"/>
        </w:rPr>
        <w:t>one</w:t>
      </w:r>
      <w:r w:rsidR="00751259" w:rsidRPr="00177551">
        <w:rPr>
          <w:rFonts w:ascii="Arial" w:hAnsi="Arial" w:cs="Arial"/>
          <w:sz w:val="20"/>
          <w:szCs w:val="20"/>
          <w:lang w:val="en-US"/>
        </w:rPr>
        <w:t xml:space="preserve"> RCT </w:t>
      </w:r>
      <w:r w:rsidR="00565319" w:rsidRPr="00177551">
        <w:rPr>
          <w:rFonts w:ascii="Arial" w:hAnsi="Arial" w:cs="Arial"/>
          <w:noProof/>
          <w:sz w:val="20"/>
          <w:szCs w:val="20"/>
          <w:lang w:val="en-US"/>
        </w:rPr>
        <w:t>(Buitelaar et al., 1995)</w:t>
      </w:r>
      <w:r w:rsidR="00751259" w:rsidRPr="00177551">
        <w:rPr>
          <w:rFonts w:ascii="Arial" w:hAnsi="Arial" w:cs="Arial"/>
          <w:sz w:val="20"/>
          <w:szCs w:val="20"/>
          <w:lang w:val="en-US"/>
        </w:rPr>
        <w:t xml:space="preserve"> tested the association between the clinical response to a single dose of </w:t>
      </w:r>
      <w:r w:rsidR="0078357E" w:rsidRPr="00177551">
        <w:rPr>
          <w:rFonts w:ascii="Arial" w:hAnsi="Arial" w:cs="Arial"/>
          <w:sz w:val="20"/>
          <w:szCs w:val="20"/>
          <w:lang w:val="en-US"/>
        </w:rPr>
        <w:t xml:space="preserve">MPH </w:t>
      </w:r>
      <w:r w:rsidR="00751259" w:rsidRPr="00177551">
        <w:rPr>
          <w:rFonts w:ascii="Arial" w:hAnsi="Arial" w:cs="Arial"/>
          <w:sz w:val="20"/>
          <w:szCs w:val="20"/>
          <w:lang w:val="en-US"/>
        </w:rPr>
        <w:t>and longer-term clinical response</w:t>
      </w:r>
      <w:r w:rsidR="001C47E2" w:rsidRPr="00177551">
        <w:rPr>
          <w:rFonts w:ascii="Arial" w:hAnsi="Arial" w:cs="Arial"/>
          <w:sz w:val="20"/>
          <w:szCs w:val="20"/>
          <w:lang w:val="en-US"/>
        </w:rPr>
        <w:t xml:space="preserve">. </w:t>
      </w:r>
      <w:r w:rsidR="008E4F93" w:rsidRPr="00177551">
        <w:rPr>
          <w:rFonts w:ascii="Arial" w:hAnsi="Arial" w:cs="Arial"/>
          <w:sz w:val="20"/>
          <w:szCs w:val="20"/>
          <w:lang w:val="en-US"/>
        </w:rPr>
        <w:t>Please see supplementary material for PRISMA flow chart</w:t>
      </w:r>
      <w:r w:rsidR="001C47E2" w:rsidRPr="00177551">
        <w:rPr>
          <w:rFonts w:ascii="Arial" w:hAnsi="Arial" w:cs="Arial"/>
          <w:sz w:val="20"/>
          <w:szCs w:val="20"/>
          <w:lang w:val="en-US"/>
        </w:rPr>
        <w:t xml:space="preserve"> and Table 1 for study characteristics</w:t>
      </w:r>
      <w:r w:rsidR="008E4F93" w:rsidRPr="00177551">
        <w:rPr>
          <w:rFonts w:ascii="Arial" w:hAnsi="Arial" w:cs="Arial"/>
          <w:sz w:val="20"/>
          <w:szCs w:val="20"/>
          <w:lang w:val="en-US"/>
        </w:rPr>
        <w:t xml:space="preserve">. </w:t>
      </w:r>
      <w:r w:rsidR="002E1171" w:rsidRPr="00177551">
        <w:rPr>
          <w:rFonts w:ascii="Arial" w:hAnsi="Arial" w:cs="Arial"/>
          <w:color w:val="211E1E"/>
          <w:sz w:val="20"/>
          <w:szCs w:val="20"/>
          <w:lang w:val="en-US"/>
        </w:rPr>
        <w:t xml:space="preserve">Buitelaar et al. (1995) carried out a secondary analysis of a double-blind </w:t>
      </w:r>
      <w:r w:rsidR="007A2762" w:rsidRPr="00177551">
        <w:rPr>
          <w:rFonts w:ascii="Arial" w:hAnsi="Arial" w:cs="Arial"/>
          <w:color w:val="211E1E"/>
          <w:sz w:val="20"/>
          <w:szCs w:val="20"/>
          <w:lang w:val="en-US"/>
        </w:rPr>
        <w:t xml:space="preserve">placebo-controlled </w:t>
      </w:r>
      <w:r w:rsidR="002E1171" w:rsidRPr="00177551">
        <w:rPr>
          <w:rFonts w:ascii="Arial" w:hAnsi="Arial" w:cs="Arial"/>
          <w:color w:val="211E1E"/>
          <w:sz w:val="20"/>
          <w:szCs w:val="20"/>
          <w:lang w:val="en-US"/>
        </w:rPr>
        <w:t xml:space="preserve">RCT of MPH in 46 medication-naïve children with ADHD aged 6 to 13 years. </w:t>
      </w:r>
      <w:r w:rsidR="007A2762" w:rsidRPr="00177551">
        <w:rPr>
          <w:rFonts w:ascii="Arial" w:hAnsi="Arial" w:cs="Arial"/>
          <w:color w:val="000000" w:themeColor="text1"/>
          <w:sz w:val="20"/>
          <w:szCs w:val="20"/>
          <w:lang w:val="en-US"/>
        </w:rPr>
        <w:t>They reported that changes in clinical severity under a single dose of MPH, as rated by a blind clinician during the performance of a neuropsychological battery, w</w:t>
      </w:r>
      <w:r w:rsidR="004B2928" w:rsidRPr="00177551">
        <w:rPr>
          <w:rFonts w:ascii="Arial" w:hAnsi="Arial" w:cs="Arial"/>
          <w:color w:val="000000" w:themeColor="text1"/>
          <w:sz w:val="20"/>
          <w:szCs w:val="20"/>
          <w:lang w:val="en-US"/>
        </w:rPr>
        <w:t>ere</w:t>
      </w:r>
      <w:r w:rsidR="007A2762" w:rsidRPr="00177551">
        <w:rPr>
          <w:rFonts w:ascii="Arial" w:hAnsi="Arial" w:cs="Arial"/>
          <w:color w:val="000000" w:themeColor="text1"/>
          <w:sz w:val="20"/>
          <w:szCs w:val="20"/>
          <w:lang w:val="en-US"/>
        </w:rPr>
        <w:t xml:space="preserve"> predictive of symptom improvement (but not recovery) at 4 weeks</w:t>
      </w:r>
      <w:r w:rsidR="004D71E8" w:rsidRPr="00177551">
        <w:rPr>
          <w:rFonts w:ascii="Arial" w:hAnsi="Arial" w:cs="Arial"/>
          <w:color w:val="000000" w:themeColor="text1"/>
          <w:sz w:val="20"/>
          <w:szCs w:val="20"/>
          <w:lang w:val="en-US"/>
        </w:rPr>
        <w:t>,</w:t>
      </w:r>
      <w:r w:rsidR="007A2762" w:rsidRPr="00177551">
        <w:rPr>
          <w:rFonts w:ascii="Arial" w:hAnsi="Arial" w:cs="Arial"/>
          <w:color w:val="000000" w:themeColor="text1"/>
          <w:sz w:val="20"/>
          <w:szCs w:val="20"/>
          <w:lang w:val="en-US"/>
        </w:rPr>
        <w:t xml:space="preserve"> with 70% accuracy. Conversely, baseline characteristics (primarily full-scale IQ and classroom inattentiveness) were predictive of recovery (i.e. no significant difference from expected ratings in neurotypical controls), with an 81% accuracy. Thus, acute response and baseline characteristics appeared to predict different response thresholds. </w:t>
      </w:r>
      <w:r w:rsidR="002E1171" w:rsidRPr="00177551">
        <w:rPr>
          <w:rFonts w:ascii="Arial" w:hAnsi="Arial" w:cs="Arial"/>
          <w:color w:val="211E1E"/>
          <w:sz w:val="20"/>
          <w:szCs w:val="20"/>
          <w:lang w:val="en-US"/>
        </w:rPr>
        <w:t>Combining acute response and baseline variables improved prediction for partial remission (not for recovery)</w:t>
      </w:r>
      <w:r w:rsidR="00565319" w:rsidRPr="00177551">
        <w:rPr>
          <w:rFonts w:ascii="Arial" w:hAnsi="Arial" w:cs="Arial"/>
          <w:noProof/>
          <w:color w:val="211E1E"/>
          <w:sz w:val="20"/>
          <w:szCs w:val="20"/>
          <w:lang w:val="en-US"/>
        </w:rPr>
        <w:t>(Buitelaar et al., 1995)</w:t>
      </w:r>
      <w:r w:rsidR="002E1171" w:rsidRPr="00177551">
        <w:rPr>
          <w:rFonts w:ascii="Arial" w:hAnsi="Arial" w:cs="Arial"/>
          <w:color w:val="211E1E"/>
          <w:sz w:val="20"/>
          <w:szCs w:val="20"/>
          <w:lang w:val="en-US"/>
        </w:rPr>
        <w:t>.</w:t>
      </w:r>
      <w:r w:rsidR="0016359C" w:rsidRPr="00177551">
        <w:rPr>
          <w:rFonts w:ascii="Arial" w:hAnsi="Arial" w:cs="Arial"/>
          <w:color w:val="211E1E"/>
          <w:sz w:val="20"/>
          <w:szCs w:val="20"/>
          <w:lang w:val="en-US"/>
        </w:rPr>
        <w:t xml:space="preserve"> </w:t>
      </w:r>
      <w:r w:rsidR="0056492F" w:rsidRPr="00177551">
        <w:rPr>
          <w:rFonts w:ascii="Arial" w:hAnsi="Arial" w:cs="Arial"/>
          <w:color w:val="211E1E"/>
          <w:sz w:val="20"/>
          <w:szCs w:val="20"/>
          <w:lang w:val="en-US"/>
        </w:rPr>
        <w:t>We rated</w:t>
      </w:r>
      <w:r w:rsidR="0056492F" w:rsidRPr="00177551" w:rsidDel="0056492F">
        <w:rPr>
          <w:rFonts w:ascii="Arial" w:hAnsi="Arial" w:cs="Arial"/>
          <w:color w:val="211E1E"/>
          <w:sz w:val="20"/>
          <w:szCs w:val="20"/>
          <w:lang w:val="en-US"/>
        </w:rPr>
        <w:t xml:space="preserve"> </w:t>
      </w:r>
      <w:r w:rsidR="007B3602" w:rsidRPr="00177551">
        <w:rPr>
          <w:rFonts w:ascii="Arial" w:hAnsi="Arial" w:cs="Arial"/>
          <w:color w:val="211E1E"/>
          <w:sz w:val="20"/>
          <w:szCs w:val="20"/>
          <w:lang w:val="en-US"/>
        </w:rPr>
        <w:t>t</w:t>
      </w:r>
      <w:r w:rsidR="007A2762" w:rsidRPr="00177551">
        <w:rPr>
          <w:rFonts w:ascii="Arial" w:hAnsi="Arial" w:cs="Arial"/>
          <w:color w:val="211E1E"/>
          <w:sz w:val="20"/>
          <w:szCs w:val="20"/>
          <w:lang w:val="en-US"/>
        </w:rPr>
        <w:t>his study as at moderate risk of bias, due to the absence of a</w:t>
      </w:r>
      <w:r w:rsidR="00B67C58" w:rsidRPr="00177551">
        <w:rPr>
          <w:rFonts w:ascii="Arial" w:hAnsi="Arial" w:cs="Arial"/>
          <w:color w:val="211E1E"/>
          <w:sz w:val="20"/>
          <w:szCs w:val="20"/>
          <w:lang w:val="en-US"/>
        </w:rPr>
        <w:t xml:space="preserve"> preregistered </w:t>
      </w:r>
      <w:r w:rsidR="007A2762" w:rsidRPr="00177551">
        <w:rPr>
          <w:rFonts w:ascii="Arial" w:hAnsi="Arial" w:cs="Arial"/>
          <w:color w:val="211E1E"/>
          <w:sz w:val="20"/>
          <w:szCs w:val="20"/>
          <w:lang w:val="en-US"/>
        </w:rPr>
        <w:t xml:space="preserve">analysis plan </w:t>
      </w:r>
      <w:r w:rsidR="003C70E1" w:rsidRPr="00177551">
        <w:rPr>
          <w:rFonts w:ascii="Arial" w:hAnsi="Arial" w:cs="Arial"/>
          <w:color w:val="211E1E"/>
          <w:sz w:val="20"/>
          <w:szCs w:val="20"/>
          <w:lang w:val="en-US"/>
        </w:rPr>
        <w:t xml:space="preserve">and the lack of </w:t>
      </w:r>
      <w:r w:rsidR="0006456B" w:rsidRPr="00177551">
        <w:rPr>
          <w:rFonts w:ascii="Arial" w:hAnsi="Arial" w:cs="Arial"/>
          <w:color w:val="211E1E"/>
          <w:sz w:val="20"/>
          <w:szCs w:val="20"/>
          <w:lang w:val="en-US"/>
        </w:rPr>
        <w:t xml:space="preserve">baseline </w:t>
      </w:r>
      <w:r w:rsidR="007A2762" w:rsidRPr="00177551">
        <w:rPr>
          <w:rFonts w:ascii="Arial" w:hAnsi="Arial" w:cs="Arial"/>
          <w:color w:val="211E1E"/>
          <w:sz w:val="20"/>
          <w:szCs w:val="20"/>
          <w:lang w:val="en-US"/>
        </w:rPr>
        <w:t xml:space="preserve">comparisons </w:t>
      </w:r>
      <w:r w:rsidR="003C70E1" w:rsidRPr="00177551">
        <w:rPr>
          <w:rFonts w:ascii="Arial" w:hAnsi="Arial" w:cs="Arial"/>
          <w:color w:val="211E1E"/>
          <w:sz w:val="20"/>
          <w:szCs w:val="20"/>
          <w:lang w:val="en-US"/>
        </w:rPr>
        <w:t xml:space="preserve">between </w:t>
      </w:r>
      <w:r w:rsidR="007A2762" w:rsidRPr="00177551">
        <w:rPr>
          <w:rFonts w:ascii="Arial" w:hAnsi="Arial" w:cs="Arial"/>
          <w:color w:val="211E1E"/>
          <w:sz w:val="20"/>
          <w:szCs w:val="20"/>
          <w:lang w:val="en-US"/>
        </w:rPr>
        <w:t>individuals</w:t>
      </w:r>
      <w:r w:rsidR="003C70E1" w:rsidRPr="00177551">
        <w:rPr>
          <w:rFonts w:ascii="Arial" w:hAnsi="Arial" w:cs="Arial"/>
          <w:color w:val="211E1E"/>
          <w:sz w:val="20"/>
          <w:szCs w:val="20"/>
          <w:lang w:val="en-US"/>
        </w:rPr>
        <w:t xml:space="preserve"> </w:t>
      </w:r>
      <w:r w:rsidR="007A2762" w:rsidRPr="00177551">
        <w:rPr>
          <w:rFonts w:ascii="Arial" w:hAnsi="Arial" w:cs="Arial"/>
          <w:color w:val="211E1E"/>
          <w:sz w:val="20"/>
          <w:szCs w:val="20"/>
          <w:lang w:val="en-US"/>
        </w:rPr>
        <w:t>randomized</w:t>
      </w:r>
      <w:r w:rsidR="003C70E1" w:rsidRPr="00177551">
        <w:rPr>
          <w:rFonts w:ascii="Arial" w:hAnsi="Arial" w:cs="Arial"/>
          <w:color w:val="211E1E"/>
          <w:sz w:val="20"/>
          <w:szCs w:val="20"/>
          <w:lang w:val="en-US"/>
        </w:rPr>
        <w:t xml:space="preserve"> to MPH or placebo. </w:t>
      </w:r>
      <w:r w:rsidR="0056492F" w:rsidRPr="00177551">
        <w:rPr>
          <w:rFonts w:ascii="Arial" w:hAnsi="Arial" w:cs="Arial"/>
          <w:color w:val="211E1E"/>
          <w:sz w:val="20"/>
          <w:szCs w:val="20"/>
          <w:lang w:val="en-US"/>
        </w:rPr>
        <w:t>We also note</w:t>
      </w:r>
      <w:r w:rsidR="001B2D50" w:rsidRPr="00177551">
        <w:rPr>
          <w:rFonts w:ascii="Arial" w:hAnsi="Arial" w:cs="Arial"/>
          <w:color w:val="211E1E"/>
          <w:sz w:val="20"/>
          <w:szCs w:val="20"/>
          <w:lang w:val="en-US"/>
        </w:rPr>
        <w:t>d</w:t>
      </w:r>
      <w:r w:rsidR="0056492F" w:rsidRPr="00177551">
        <w:rPr>
          <w:rFonts w:ascii="Arial" w:hAnsi="Arial" w:cs="Arial"/>
          <w:color w:val="211E1E"/>
          <w:sz w:val="20"/>
          <w:szCs w:val="20"/>
          <w:lang w:val="en-US"/>
        </w:rPr>
        <w:t xml:space="preserve"> that </w:t>
      </w:r>
      <w:r w:rsidR="0056492F" w:rsidRPr="00177551">
        <w:rPr>
          <w:rFonts w:ascii="Arial" w:hAnsi="Arial" w:cs="Arial"/>
          <w:sz w:val="20"/>
          <w:szCs w:val="20"/>
          <w:lang w:val="en-US"/>
        </w:rPr>
        <w:t>a</w:t>
      </w:r>
      <w:r w:rsidR="00751259" w:rsidRPr="00177551">
        <w:rPr>
          <w:rFonts w:ascii="Arial" w:hAnsi="Arial" w:cs="Arial"/>
          <w:sz w:val="20"/>
          <w:szCs w:val="20"/>
          <w:lang w:val="en-US"/>
        </w:rPr>
        <w:t xml:space="preserve"> further RCT</w:t>
      </w:r>
      <w:r w:rsidR="0078357E" w:rsidRPr="00177551">
        <w:rPr>
          <w:rFonts w:ascii="Arial" w:hAnsi="Arial" w:cs="Arial"/>
          <w:sz w:val="20"/>
          <w:szCs w:val="20"/>
          <w:lang w:val="en-US"/>
        </w:rPr>
        <w:t xml:space="preserve"> </w:t>
      </w:r>
      <w:r w:rsidR="00F7149E" w:rsidRPr="00177551">
        <w:rPr>
          <w:rFonts w:ascii="Arial" w:hAnsi="Arial" w:cs="Arial"/>
          <w:noProof/>
          <w:sz w:val="20"/>
          <w:szCs w:val="20"/>
          <w:lang w:val="en-US"/>
        </w:rPr>
        <w:t>(Ishii-Takahashi et al., 2015)</w:t>
      </w:r>
      <w:r w:rsidR="0056492F" w:rsidRPr="00177551">
        <w:rPr>
          <w:rFonts w:ascii="Arial" w:hAnsi="Arial" w:cs="Arial"/>
          <w:noProof/>
          <w:sz w:val="20"/>
          <w:szCs w:val="20"/>
          <w:lang w:val="en-US"/>
        </w:rPr>
        <w:t xml:space="preserve">, depite not </w:t>
      </w:r>
      <w:r w:rsidR="00CB0655" w:rsidRPr="00177551">
        <w:rPr>
          <w:rFonts w:ascii="Arial" w:hAnsi="Arial" w:cs="Arial"/>
          <w:sz w:val="20"/>
          <w:szCs w:val="20"/>
          <w:lang w:val="en-US"/>
        </w:rPr>
        <w:t>consider</w:t>
      </w:r>
      <w:r w:rsidR="0056492F" w:rsidRPr="00177551">
        <w:rPr>
          <w:rFonts w:ascii="Arial" w:hAnsi="Arial" w:cs="Arial"/>
          <w:sz w:val="20"/>
          <w:szCs w:val="20"/>
          <w:lang w:val="en-US"/>
        </w:rPr>
        <w:t>ing</w:t>
      </w:r>
      <w:r w:rsidR="00CB0655" w:rsidRPr="00177551">
        <w:rPr>
          <w:rFonts w:ascii="Arial" w:hAnsi="Arial" w:cs="Arial"/>
          <w:sz w:val="20"/>
          <w:szCs w:val="20"/>
          <w:lang w:val="en-US"/>
        </w:rPr>
        <w:t xml:space="preserve"> the clinical response to a single dose </w:t>
      </w:r>
      <w:r w:rsidR="00934219" w:rsidRPr="00177551">
        <w:rPr>
          <w:rFonts w:ascii="Arial" w:hAnsi="Arial" w:cs="Arial"/>
          <w:sz w:val="20"/>
          <w:szCs w:val="20"/>
          <w:lang w:val="en-US"/>
        </w:rPr>
        <w:t>of MPH</w:t>
      </w:r>
      <w:r w:rsidR="009C37C8" w:rsidRPr="00177551">
        <w:rPr>
          <w:rFonts w:ascii="Arial" w:hAnsi="Arial" w:cs="Arial"/>
          <w:sz w:val="20"/>
          <w:szCs w:val="20"/>
          <w:lang w:val="en-US"/>
        </w:rPr>
        <w:t xml:space="preserve"> (thus did not meet inclusion criteria)</w:t>
      </w:r>
      <w:r w:rsidR="0056492F" w:rsidRPr="00177551">
        <w:rPr>
          <w:rFonts w:ascii="Arial" w:hAnsi="Arial" w:cs="Arial"/>
          <w:sz w:val="20"/>
          <w:szCs w:val="20"/>
          <w:lang w:val="en-US"/>
        </w:rPr>
        <w:t>,</w:t>
      </w:r>
      <w:r w:rsidR="00934219" w:rsidRPr="00177551">
        <w:rPr>
          <w:rFonts w:ascii="Arial" w:hAnsi="Arial" w:cs="Arial"/>
          <w:sz w:val="20"/>
          <w:szCs w:val="20"/>
          <w:lang w:val="en-US"/>
        </w:rPr>
        <w:t xml:space="preserve"> </w:t>
      </w:r>
      <w:r w:rsidR="0006456B" w:rsidRPr="00177551">
        <w:rPr>
          <w:rFonts w:ascii="Arial" w:hAnsi="Arial" w:cs="Arial"/>
          <w:sz w:val="20"/>
          <w:szCs w:val="20"/>
          <w:lang w:val="en-US"/>
        </w:rPr>
        <w:t>showed that</w:t>
      </w:r>
      <w:r w:rsidR="0006456B" w:rsidRPr="00177551">
        <w:rPr>
          <w:rFonts w:ascii="Arial" w:hAnsi="Arial" w:cs="Arial"/>
          <w:color w:val="211E1E"/>
          <w:sz w:val="20"/>
          <w:szCs w:val="20"/>
          <w:lang w:val="en-US"/>
        </w:rPr>
        <w:t xml:space="preserve"> acute </w:t>
      </w:r>
      <w:r w:rsidR="00934219" w:rsidRPr="00177551">
        <w:rPr>
          <w:rFonts w:ascii="Arial" w:hAnsi="Arial" w:cs="Arial"/>
          <w:color w:val="211E1E"/>
          <w:sz w:val="20"/>
          <w:szCs w:val="20"/>
          <w:lang w:val="en-US"/>
        </w:rPr>
        <w:t xml:space="preserve">functional </w:t>
      </w:r>
      <w:r w:rsidR="0006456B" w:rsidRPr="00177551">
        <w:rPr>
          <w:rFonts w:ascii="Arial" w:hAnsi="Arial" w:cs="Arial"/>
          <w:color w:val="211E1E"/>
          <w:sz w:val="20"/>
          <w:szCs w:val="20"/>
          <w:lang w:val="en-US"/>
        </w:rPr>
        <w:t xml:space="preserve">changes in </w:t>
      </w:r>
      <w:r w:rsidR="00934219" w:rsidRPr="00177551">
        <w:rPr>
          <w:rFonts w:ascii="Arial" w:hAnsi="Arial" w:cs="Arial"/>
          <w:sz w:val="20"/>
          <w:szCs w:val="20"/>
          <w:lang w:val="en-US"/>
        </w:rPr>
        <w:t xml:space="preserve">near-infrared spectroscopy (NIRS) signals </w:t>
      </w:r>
      <w:r w:rsidR="0006456B" w:rsidRPr="00177551">
        <w:rPr>
          <w:rFonts w:ascii="Arial" w:hAnsi="Arial" w:cs="Arial"/>
          <w:color w:val="211E1E"/>
          <w:sz w:val="20"/>
          <w:szCs w:val="20"/>
          <w:lang w:val="en-US"/>
        </w:rPr>
        <w:t xml:space="preserve">versus placebo were predictive of clinical improvement at 4-8 weeks in 22 medication-naïve children </w:t>
      </w:r>
      <w:r w:rsidR="005C58B7" w:rsidRPr="00177551">
        <w:rPr>
          <w:rFonts w:ascii="Arial" w:hAnsi="Arial" w:cs="Arial"/>
          <w:color w:val="211E1E"/>
          <w:sz w:val="20"/>
          <w:szCs w:val="20"/>
          <w:lang w:val="en-US"/>
        </w:rPr>
        <w:t xml:space="preserve">(82% males) with </w:t>
      </w:r>
      <w:r w:rsidR="0006456B" w:rsidRPr="00177551">
        <w:rPr>
          <w:rFonts w:ascii="Arial" w:hAnsi="Arial" w:cs="Arial"/>
          <w:color w:val="211E1E"/>
          <w:sz w:val="20"/>
          <w:szCs w:val="20"/>
          <w:lang w:val="en-US"/>
        </w:rPr>
        <w:t>81% accuracy.</w:t>
      </w:r>
      <w:r w:rsidR="0006456B" w:rsidRPr="00177551">
        <w:rPr>
          <w:rFonts w:ascii="Arial" w:hAnsi="Arial" w:cs="Arial"/>
          <w:sz w:val="20"/>
          <w:szCs w:val="20"/>
          <w:lang w:val="en-US"/>
        </w:rPr>
        <w:t xml:space="preserve"> </w:t>
      </w:r>
      <w:r w:rsidR="00CB0655" w:rsidRPr="00177551">
        <w:rPr>
          <w:rFonts w:ascii="Arial" w:hAnsi="Arial" w:cs="Arial"/>
          <w:sz w:val="20"/>
          <w:szCs w:val="20"/>
          <w:lang w:val="en-US"/>
        </w:rPr>
        <w:t xml:space="preserve">Finally, </w:t>
      </w:r>
      <w:r w:rsidR="0006456B" w:rsidRPr="00177551">
        <w:rPr>
          <w:rFonts w:ascii="Arial" w:hAnsi="Arial" w:cs="Arial"/>
          <w:sz w:val="20"/>
          <w:szCs w:val="20"/>
          <w:lang w:val="en-US"/>
        </w:rPr>
        <w:t>the</w:t>
      </w:r>
      <w:r w:rsidR="00CB0655" w:rsidRPr="00177551">
        <w:rPr>
          <w:rFonts w:ascii="Arial" w:hAnsi="Arial" w:cs="Arial"/>
          <w:sz w:val="20"/>
          <w:szCs w:val="20"/>
          <w:lang w:val="en-US"/>
        </w:rPr>
        <w:t xml:space="preserve"> study </w:t>
      </w:r>
      <w:r w:rsidR="0006456B" w:rsidRPr="00177551">
        <w:rPr>
          <w:rFonts w:ascii="Arial" w:hAnsi="Arial" w:cs="Arial"/>
          <w:sz w:val="20"/>
          <w:szCs w:val="20"/>
          <w:lang w:val="en-US"/>
        </w:rPr>
        <w:t xml:space="preserve">by </w:t>
      </w:r>
      <w:r w:rsidR="00CB0655" w:rsidRPr="00177551">
        <w:rPr>
          <w:rFonts w:ascii="Arial" w:hAnsi="Arial" w:cs="Arial"/>
          <w:sz w:val="20"/>
          <w:szCs w:val="20"/>
          <w:lang w:val="en-US"/>
        </w:rPr>
        <w:t xml:space="preserve">Steinhausen and Kreuzer </w:t>
      </w:r>
      <w:r w:rsidR="0006456B" w:rsidRPr="00177551">
        <w:rPr>
          <w:rFonts w:ascii="Arial" w:hAnsi="Arial" w:cs="Arial"/>
          <w:sz w:val="20"/>
          <w:szCs w:val="20"/>
          <w:lang w:val="en-US"/>
        </w:rPr>
        <w:t>(</w:t>
      </w:r>
      <w:r w:rsidR="00CB0655" w:rsidRPr="00177551">
        <w:rPr>
          <w:rFonts w:ascii="Arial" w:hAnsi="Arial" w:cs="Arial"/>
          <w:sz w:val="20"/>
          <w:szCs w:val="20"/>
          <w:lang w:val="en-US"/>
        </w:rPr>
        <w:t xml:space="preserve">1981) did not test the association between single and long-term response but </w:t>
      </w:r>
      <w:r w:rsidR="0006456B" w:rsidRPr="00177551">
        <w:rPr>
          <w:rFonts w:ascii="Arial" w:hAnsi="Arial" w:cs="Arial"/>
          <w:sz w:val="20"/>
          <w:szCs w:val="20"/>
          <w:lang w:val="en-US"/>
        </w:rPr>
        <w:t>reported no effect of</w:t>
      </w:r>
      <w:r w:rsidR="00CB0655" w:rsidRPr="00177551">
        <w:rPr>
          <w:rFonts w:ascii="Arial" w:hAnsi="Arial" w:cs="Arial"/>
          <w:sz w:val="20"/>
          <w:szCs w:val="20"/>
          <w:lang w:val="en-US"/>
        </w:rPr>
        <w:t xml:space="preserve"> </w:t>
      </w:r>
      <w:r w:rsidR="00B4303C" w:rsidRPr="00177551">
        <w:rPr>
          <w:rFonts w:ascii="Arial" w:hAnsi="Arial" w:cs="Arial"/>
          <w:sz w:val="20"/>
          <w:szCs w:val="20"/>
          <w:lang w:val="en-US"/>
        </w:rPr>
        <w:t xml:space="preserve">a single dose of </w:t>
      </w:r>
      <w:r w:rsidR="006C38E7" w:rsidRPr="00177551">
        <w:rPr>
          <w:rFonts w:ascii="Arial" w:hAnsi="Arial" w:cs="Arial"/>
          <w:sz w:val="20"/>
          <w:szCs w:val="20"/>
          <w:lang w:val="en-US"/>
        </w:rPr>
        <w:t xml:space="preserve">MPH </w:t>
      </w:r>
      <w:r w:rsidR="0006456B" w:rsidRPr="00177551">
        <w:rPr>
          <w:rFonts w:ascii="Arial" w:hAnsi="Arial" w:cs="Arial"/>
          <w:sz w:val="20"/>
          <w:szCs w:val="20"/>
          <w:lang w:val="en-US"/>
        </w:rPr>
        <w:t>on l</w:t>
      </w:r>
      <w:r w:rsidR="00B4303C" w:rsidRPr="00177551">
        <w:rPr>
          <w:rFonts w:ascii="Arial" w:hAnsi="Arial" w:cs="Arial"/>
          <w:sz w:val="20"/>
          <w:szCs w:val="20"/>
          <w:lang w:val="en-US"/>
        </w:rPr>
        <w:t>earning</w:t>
      </w:r>
      <w:r w:rsidR="0006456B" w:rsidRPr="00177551">
        <w:rPr>
          <w:rFonts w:ascii="Arial" w:hAnsi="Arial" w:cs="Arial"/>
          <w:sz w:val="20"/>
          <w:szCs w:val="20"/>
          <w:lang w:val="en-US"/>
        </w:rPr>
        <w:t>, and mentioned that all</w:t>
      </w:r>
      <w:r w:rsidR="00B4303C" w:rsidRPr="00177551">
        <w:rPr>
          <w:rFonts w:ascii="Arial" w:hAnsi="Arial" w:cs="Arial"/>
          <w:sz w:val="20"/>
          <w:szCs w:val="20"/>
          <w:lang w:val="en-US"/>
        </w:rPr>
        <w:t xml:space="preserve"> </w:t>
      </w:r>
      <w:r w:rsidR="0006456B" w:rsidRPr="00177551">
        <w:rPr>
          <w:rFonts w:ascii="Arial" w:hAnsi="Arial" w:cs="Arial"/>
          <w:sz w:val="20"/>
          <w:szCs w:val="20"/>
          <w:lang w:val="en-US"/>
        </w:rPr>
        <w:t xml:space="preserve">tested </w:t>
      </w:r>
      <w:r w:rsidR="00B4303C" w:rsidRPr="00177551">
        <w:rPr>
          <w:rFonts w:ascii="Arial" w:hAnsi="Arial" w:cs="Arial"/>
          <w:sz w:val="20"/>
          <w:szCs w:val="20"/>
          <w:lang w:val="en-US"/>
        </w:rPr>
        <w:t>17 children with ADHD</w:t>
      </w:r>
      <w:r w:rsidR="0006456B" w:rsidRPr="00177551">
        <w:rPr>
          <w:rFonts w:ascii="Arial" w:hAnsi="Arial" w:cs="Arial"/>
          <w:sz w:val="20"/>
          <w:szCs w:val="20"/>
          <w:lang w:val="en-US"/>
        </w:rPr>
        <w:t xml:space="preserve"> later </w:t>
      </w:r>
      <w:r w:rsidR="0006456B" w:rsidRPr="00177551">
        <w:rPr>
          <w:rFonts w:ascii="Arial" w:hAnsi="Arial" w:cs="Arial"/>
          <w:color w:val="000000" w:themeColor="text1"/>
          <w:sz w:val="20"/>
          <w:szCs w:val="20"/>
          <w:lang w:val="en-US"/>
        </w:rPr>
        <w:t>responded</w:t>
      </w:r>
      <w:r w:rsidR="00B4303C" w:rsidRPr="00177551">
        <w:rPr>
          <w:rFonts w:ascii="Arial" w:hAnsi="Arial" w:cs="Arial"/>
          <w:color w:val="000000" w:themeColor="text1"/>
          <w:sz w:val="20"/>
          <w:szCs w:val="20"/>
          <w:lang w:val="en-US"/>
        </w:rPr>
        <w:t xml:space="preserve"> to longer-term MPH treatment</w:t>
      </w:r>
      <w:r w:rsidR="00F7149E" w:rsidRPr="00177551">
        <w:rPr>
          <w:rFonts w:ascii="Arial" w:hAnsi="Arial" w:cs="Arial"/>
          <w:color w:val="000000" w:themeColor="text1"/>
          <w:sz w:val="20"/>
          <w:szCs w:val="20"/>
          <w:lang w:val="en-US"/>
        </w:rPr>
        <w:t xml:space="preserve"> </w:t>
      </w:r>
      <w:r w:rsidR="00F7149E" w:rsidRPr="00177551">
        <w:rPr>
          <w:rFonts w:ascii="Arial" w:hAnsi="Arial" w:cs="Arial"/>
          <w:noProof/>
          <w:color w:val="000000" w:themeColor="text1"/>
          <w:sz w:val="20"/>
          <w:szCs w:val="20"/>
          <w:lang w:val="en-US"/>
        </w:rPr>
        <w:t>(Steinhausen and Kreuzer, 1981)</w:t>
      </w:r>
      <w:r w:rsidR="00F7149E" w:rsidRPr="00177551">
        <w:rPr>
          <w:rFonts w:ascii="Arial" w:hAnsi="Arial" w:cs="Arial"/>
          <w:color w:val="000000" w:themeColor="text1"/>
          <w:sz w:val="20"/>
          <w:szCs w:val="20"/>
          <w:lang w:val="en-US"/>
        </w:rPr>
        <w:t>.</w:t>
      </w:r>
      <w:r w:rsidR="00934219" w:rsidRPr="00177551">
        <w:rPr>
          <w:rFonts w:ascii="Arial" w:hAnsi="Arial" w:cs="Arial"/>
          <w:color w:val="000000" w:themeColor="text1"/>
          <w:sz w:val="20"/>
          <w:szCs w:val="20"/>
          <w:lang w:val="en-US"/>
        </w:rPr>
        <w:t xml:space="preserve"> </w:t>
      </w:r>
      <w:r w:rsidR="002E1171" w:rsidRPr="00177551">
        <w:rPr>
          <w:rFonts w:ascii="Arial" w:hAnsi="Arial" w:cs="Arial"/>
          <w:color w:val="000000" w:themeColor="text1"/>
          <w:sz w:val="20"/>
          <w:szCs w:val="20"/>
          <w:lang w:val="en-US"/>
        </w:rPr>
        <w:t xml:space="preserve">Overall, these studies suggest that, when detected, the response to a single dose of </w:t>
      </w:r>
      <w:r w:rsidR="0006456B" w:rsidRPr="00177551">
        <w:rPr>
          <w:rFonts w:ascii="Arial" w:hAnsi="Arial" w:cs="Arial"/>
          <w:color w:val="000000" w:themeColor="text1"/>
          <w:sz w:val="20"/>
          <w:szCs w:val="20"/>
          <w:lang w:val="en-US"/>
        </w:rPr>
        <w:t>MPH</w:t>
      </w:r>
      <w:r w:rsidR="002E1171" w:rsidRPr="00177551">
        <w:rPr>
          <w:rFonts w:ascii="Arial" w:hAnsi="Arial" w:cs="Arial"/>
          <w:color w:val="000000" w:themeColor="text1"/>
          <w:sz w:val="20"/>
          <w:szCs w:val="20"/>
          <w:lang w:val="en-US"/>
        </w:rPr>
        <w:t xml:space="preserve"> may be associated with longer-term clinical response</w:t>
      </w:r>
      <w:r w:rsidR="00F7149E" w:rsidRPr="00177551">
        <w:rPr>
          <w:rFonts w:ascii="Arial" w:hAnsi="Arial" w:cs="Arial"/>
          <w:color w:val="000000" w:themeColor="text1"/>
          <w:sz w:val="20"/>
          <w:szCs w:val="20"/>
          <w:lang w:val="en-US"/>
        </w:rPr>
        <w:t>.</w:t>
      </w:r>
      <w:r w:rsidR="00275C72" w:rsidRPr="00177551">
        <w:rPr>
          <w:rFonts w:ascii="Arial" w:hAnsi="Arial" w:cs="Arial"/>
          <w:color w:val="000000" w:themeColor="text1"/>
          <w:sz w:val="20"/>
          <w:szCs w:val="20"/>
          <w:lang w:val="en-US"/>
        </w:rPr>
        <w:t xml:space="preserve"> </w:t>
      </w:r>
    </w:p>
    <w:p w14:paraId="2DEA2FC8" w14:textId="1CA0E5E0" w:rsidR="005D0BA3" w:rsidRPr="00177551" w:rsidRDefault="002E1171" w:rsidP="005A3F84">
      <w:pPr>
        <w:spacing w:line="480" w:lineRule="auto"/>
        <w:ind w:left="-851" w:right="-761"/>
        <w:contextualSpacing/>
        <w:rPr>
          <w:rFonts w:ascii="Arial" w:hAnsi="Arial" w:cs="Arial"/>
          <w:color w:val="211E1E"/>
          <w:sz w:val="20"/>
          <w:szCs w:val="20"/>
          <w:lang w:val="en-US"/>
        </w:rPr>
      </w:pPr>
      <w:r w:rsidRPr="00177551">
        <w:rPr>
          <w:rFonts w:ascii="Arial" w:hAnsi="Arial" w:cs="Arial"/>
          <w:color w:val="211E1E"/>
          <w:sz w:val="20"/>
          <w:szCs w:val="20"/>
          <w:lang w:val="en-US"/>
        </w:rPr>
        <w:t xml:space="preserve">Given the very limited number of RCTs testing </w:t>
      </w:r>
      <w:r w:rsidR="0006456B" w:rsidRPr="00177551">
        <w:rPr>
          <w:rFonts w:ascii="Arial" w:hAnsi="Arial" w:cs="Arial"/>
          <w:color w:val="211E1E"/>
          <w:sz w:val="20"/>
          <w:szCs w:val="20"/>
          <w:lang w:val="en-US"/>
        </w:rPr>
        <w:t>the</w:t>
      </w:r>
      <w:r w:rsidRPr="00177551">
        <w:rPr>
          <w:rFonts w:ascii="Arial" w:hAnsi="Arial" w:cs="Arial"/>
          <w:color w:val="211E1E"/>
          <w:sz w:val="20"/>
          <w:szCs w:val="20"/>
          <w:lang w:val="en-US"/>
        </w:rPr>
        <w:t xml:space="preserve"> association between acute and longer-term response, and for completeness, we also extracted data from the 6</w:t>
      </w:r>
      <w:r w:rsidR="00934219" w:rsidRPr="00177551">
        <w:rPr>
          <w:rFonts w:ascii="Arial" w:hAnsi="Arial" w:cs="Arial"/>
          <w:color w:val="211E1E"/>
          <w:sz w:val="20"/>
          <w:szCs w:val="20"/>
          <w:lang w:val="en-US"/>
        </w:rPr>
        <w:t>1</w:t>
      </w:r>
      <w:r w:rsidRPr="00177551">
        <w:rPr>
          <w:rFonts w:ascii="Arial" w:hAnsi="Arial" w:cs="Arial"/>
          <w:color w:val="211E1E"/>
          <w:sz w:val="20"/>
          <w:szCs w:val="20"/>
          <w:lang w:val="en-US"/>
        </w:rPr>
        <w:t xml:space="preserve"> RCTs that only reported the effects of a single dose of stimulant</w:t>
      </w:r>
      <w:r w:rsidR="0006456B" w:rsidRPr="00177551">
        <w:rPr>
          <w:rFonts w:ascii="Arial" w:hAnsi="Arial" w:cs="Arial"/>
          <w:color w:val="211E1E"/>
          <w:sz w:val="20"/>
          <w:szCs w:val="20"/>
          <w:lang w:val="en-US"/>
        </w:rPr>
        <w:t>s</w:t>
      </w:r>
      <w:r w:rsidR="00442A17" w:rsidRPr="00177551">
        <w:rPr>
          <w:rFonts w:ascii="Arial" w:hAnsi="Arial" w:cs="Arial"/>
          <w:color w:val="211E1E"/>
          <w:sz w:val="20"/>
          <w:szCs w:val="20"/>
          <w:lang w:val="en-US"/>
        </w:rPr>
        <w:t xml:space="preserve"> but still met other inclusion criteria </w:t>
      </w:r>
      <w:r w:rsidRPr="00177551">
        <w:rPr>
          <w:rFonts w:ascii="Arial" w:hAnsi="Arial" w:cs="Arial"/>
          <w:color w:val="211E1E"/>
          <w:sz w:val="20"/>
          <w:szCs w:val="20"/>
          <w:lang w:val="en-US"/>
        </w:rPr>
        <w:t xml:space="preserve">(Table 1). This may guide future studies investigating associations between acute and longer-term </w:t>
      </w:r>
      <w:r w:rsidR="0016359C" w:rsidRPr="00177551">
        <w:rPr>
          <w:rFonts w:ascii="Arial" w:hAnsi="Arial" w:cs="Arial"/>
          <w:color w:val="211E1E"/>
          <w:sz w:val="20"/>
          <w:szCs w:val="20"/>
          <w:lang w:val="en-US"/>
        </w:rPr>
        <w:t xml:space="preserve">treatment-related effects. </w:t>
      </w:r>
      <w:r w:rsidRPr="00177551">
        <w:rPr>
          <w:rFonts w:ascii="Arial" w:hAnsi="Arial" w:cs="Arial"/>
          <w:color w:val="211E1E"/>
          <w:sz w:val="20"/>
          <w:szCs w:val="20"/>
          <w:lang w:val="en-US"/>
        </w:rPr>
        <w:t xml:space="preserve">Most </w:t>
      </w:r>
      <w:r w:rsidR="0016359C" w:rsidRPr="00177551">
        <w:rPr>
          <w:rFonts w:ascii="Arial" w:hAnsi="Arial" w:cs="Arial"/>
          <w:color w:val="211E1E"/>
          <w:sz w:val="20"/>
          <w:szCs w:val="20"/>
          <w:lang w:val="en-US"/>
        </w:rPr>
        <w:t xml:space="preserve">of the identified </w:t>
      </w:r>
      <w:r w:rsidRPr="00177551">
        <w:rPr>
          <w:rFonts w:ascii="Arial" w:hAnsi="Arial" w:cs="Arial"/>
          <w:color w:val="211E1E"/>
          <w:sz w:val="20"/>
          <w:szCs w:val="20"/>
          <w:lang w:val="en-US"/>
        </w:rPr>
        <w:t>studies were in children</w:t>
      </w:r>
      <w:r w:rsidR="0016359C" w:rsidRPr="00177551">
        <w:rPr>
          <w:rFonts w:ascii="Arial" w:hAnsi="Arial" w:cs="Arial"/>
          <w:color w:val="211E1E"/>
          <w:sz w:val="20"/>
          <w:szCs w:val="20"/>
          <w:lang w:val="en-US"/>
        </w:rPr>
        <w:t xml:space="preserve"> (&lt;18 years)</w:t>
      </w:r>
      <w:r w:rsidRPr="00177551">
        <w:rPr>
          <w:rFonts w:ascii="Arial" w:hAnsi="Arial" w:cs="Arial"/>
          <w:color w:val="211E1E"/>
          <w:sz w:val="20"/>
          <w:szCs w:val="20"/>
          <w:lang w:val="en-US"/>
        </w:rPr>
        <w:t xml:space="preserve">, with only 10 studies </w:t>
      </w:r>
      <w:r w:rsidR="0016359C" w:rsidRPr="00177551">
        <w:rPr>
          <w:rFonts w:ascii="Arial" w:hAnsi="Arial" w:cs="Arial"/>
          <w:color w:val="211E1E"/>
          <w:sz w:val="20"/>
          <w:szCs w:val="20"/>
          <w:lang w:val="en-US"/>
        </w:rPr>
        <w:t>including</w:t>
      </w:r>
      <w:r w:rsidRPr="00177551">
        <w:rPr>
          <w:rFonts w:ascii="Arial" w:hAnsi="Arial" w:cs="Arial"/>
          <w:color w:val="211E1E"/>
          <w:sz w:val="20"/>
          <w:szCs w:val="20"/>
          <w:lang w:val="en-US"/>
        </w:rPr>
        <w:t xml:space="preserve"> adults. All studies tested MPH but four, which used various formulations of amphetamines. Medication effects were </w:t>
      </w:r>
      <w:proofErr w:type="gramStart"/>
      <w:r w:rsidRPr="00177551">
        <w:rPr>
          <w:rFonts w:ascii="Arial" w:hAnsi="Arial" w:cs="Arial"/>
          <w:color w:val="211E1E"/>
          <w:sz w:val="20"/>
          <w:szCs w:val="20"/>
          <w:lang w:val="en-US"/>
        </w:rPr>
        <w:t>most commonly measured</w:t>
      </w:r>
      <w:proofErr w:type="gramEnd"/>
      <w:r w:rsidRPr="00177551">
        <w:rPr>
          <w:rFonts w:ascii="Arial" w:hAnsi="Arial" w:cs="Arial"/>
          <w:color w:val="211E1E"/>
          <w:sz w:val="20"/>
          <w:szCs w:val="20"/>
          <w:lang w:val="en-US"/>
        </w:rPr>
        <w:t xml:space="preserve"> using cognitive tests (3</w:t>
      </w:r>
      <w:r w:rsidR="009C37C8" w:rsidRPr="00177551">
        <w:rPr>
          <w:rFonts w:ascii="Arial" w:hAnsi="Arial" w:cs="Arial"/>
          <w:color w:val="211E1E"/>
          <w:sz w:val="20"/>
          <w:szCs w:val="20"/>
          <w:lang w:val="en-US"/>
        </w:rPr>
        <w:t>8</w:t>
      </w:r>
      <w:r w:rsidRPr="00177551">
        <w:rPr>
          <w:rFonts w:ascii="Arial" w:hAnsi="Arial" w:cs="Arial"/>
          <w:color w:val="211E1E"/>
          <w:sz w:val="20"/>
          <w:szCs w:val="20"/>
          <w:lang w:val="en-US"/>
        </w:rPr>
        <w:t xml:space="preserve"> studies), neuroimaging (1</w:t>
      </w:r>
      <w:r w:rsidR="005946F6" w:rsidRPr="00177551">
        <w:rPr>
          <w:rFonts w:ascii="Arial" w:hAnsi="Arial" w:cs="Arial"/>
          <w:color w:val="211E1E"/>
          <w:sz w:val="20"/>
          <w:szCs w:val="20"/>
          <w:lang w:val="en-US"/>
        </w:rPr>
        <w:t>3</w:t>
      </w:r>
      <w:r w:rsidRPr="00177551">
        <w:rPr>
          <w:rFonts w:ascii="Arial" w:hAnsi="Arial" w:cs="Arial"/>
          <w:color w:val="211E1E"/>
          <w:sz w:val="20"/>
          <w:szCs w:val="20"/>
          <w:lang w:val="en-US"/>
        </w:rPr>
        <w:t xml:space="preserve"> studies)</w:t>
      </w:r>
      <w:r w:rsidR="0006456B" w:rsidRPr="00177551">
        <w:rPr>
          <w:rFonts w:ascii="Arial" w:hAnsi="Arial" w:cs="Arial"/>
          <w:color w:val="211E1E"/>
          <w:sz w:val="20"/>
          <w:szCs w:val="20"/>
          <w:lang w:val="en-US"/>
        </w:rPr>
        <w:t>,</w:t>
      </w:r>
      <w:r w:rsidRPr="00177551">
        <w:rPr>
          <w:rFonts w:ascii="Arial" w:hAnsi="Arial" w:cs="Arial"/>
          <w:color w:val="211E1E"/>
          <w:sz w:val="20"/>
          <w:szCs w:val="20"/>
          <w:lang w:val="en-US"/>
        </w:rPr>
        <w:t xml:space="preserve"> </w:t>
      </w:r>
      <w:r w:rsidR="0006456B" w:rsidRPr="00177551">
        <w:rPr>
          <w:rFonts w:ascii="Arial" w:hAnsi="Arial" w:cs="Arial"/>
          <w:color w:val="211E1E"/>
          <w:sz w:val="20"/>
          <w:szCs w:val="20"/>
          <w:lang w:val="en-US"/>
        </w:rPr>
        <w:t xml:space="preserve">or </w:t>
      </w:r>
      <w:r w:rsidRPr="00177551">
        <w:rPr>
          <w:rFonts w:ascii="Arial" w:hAnsi="Arial" w:cs="Arial"/>
          <w:color w:val="211E1E"/>
          <w:sz w:val="20"/>
          <w:szCs w:val="20"/>
          <w:lang w:val="en-US"/>
        </w:rPr>
        <w:t xml:space="preserve">neurophysiological </w:t>
      </w:r>
      <w:r w:rsidRPr="00177551">
        <w:rPr>
          <w:rFonts w:ascii="Arial" w:hAnsi="Arial" w:cs="Arial"/>
          <w:color w:val="211E1E"/>
          <w:sz w:val="20"/>
          <w:szCs w:val="20"/>
          <w:lang w:val="en-US"/>
        </w:rPr>
        <w:lastRenderedPageBreak/>
        <w:t>techniques</w:t>
      </w:r>
      <w:r w:rsidR="0006456B" w:rsidRPr="00177551">
        <w:rPr>
          <w:rFonts w:ascii="Arial" w:hAnsi="Arial" w:cs="Arial"/>
          <w:color w:val="211E1E"/>
          <w:sz w:val="20"/>
          <w:szCs w:val="20"/>
          <w:lang w:val="en-US"/>
        </w:rPr>
        <w:t xml:space="preserve"> </w:t>
      </w:r>
      <w:r w:rsidRPr="00177551">
        <w:rPr>
          <w:rFonts w:ascii="Arial" w:hAnsi="Arial" w:cs="Arial"/>
          <w:color w:val="211E1E"/>
          <w:sz w:val="20"/>
          <w:szCs w:val="20"/>
          <w:lang w:val="en-US"/>
        </w:rPr>
        <w:t>(</w:t>
      </w:r>
      <w:r w:rsidR="005946F6" w:rsidRPr="00177551">
        <w:rPr>
          <w:rFonts w:ascii="Arial" w:hAnsi="Arial" w:cs="Arial"/>
          <w:color w:val="211E1E"/>
          <w:sz w:val="20"/>
          <w:szCs w:val="20"/>
          <w:lang w:val="en-US"/>
        </w:rPr>
        <w:t>10</w:t>
      </w:r>
      <w:r w:rsidRPr="00177551">
        <w:rPr>
          <w:rFonts w:ascii="Arial" w:hAnsi="Arial" w:cs="Arial"/>
          <w:color w:val="211E1E"/>
          <w:sz w:val="20"/>
          <w:szCs w:val="20"/>
          <w:lang w:val="en-US"/>
        </w:rPr>
        <w:t xml:space="preserve"> studies). Most studies reported beneficial effect of medication on a variety of cognitive functions/skills</w:t>
      </w:r>
      <w:r w:rsidR="001906BA" w:rsidRPr="00177551">
        <w:rPr>
          <w:rFonts w:ascii="Arial" w:hAnsi="Arial" w:cs="Arial"/>
          <w:color w:val="211E1E"/>
          <w:sz w:val="20"/>
          <w:szCs w:val="20"/>
          <w:lang w:val="en-US"/>
        </w:rPr>
        <w:t xml:space="preserve">, especially attention, </w:t>
      </w:r>
      <w:r w:rsidRPr="00177551">
        <w:rPr>
          <w:rFonts w:ascii="Arial" w:hAnsi="Arial" w:cs="Arial"/>
          <w:color w:val="211E1E"/>
          <w:sz w:val="20"/>
          <w:szCs w:val="20"/>
          <w:lang w:val="en-US"/>
        </w:rPr>
        <w:t>although with some inconsistencies. For instance,</w:t>
      </w:r>
      <w:r w:rsidR="001906BA" w:rsidRPr="00177551">
        <w:rPr>
          <w:rFonts w:ascii="Arial" w:hAnsi="Arial" w:cs="Arial"/>
          <w:color w:val="211E1E"/>
          <w:sz w:val="20"/>
          <w:szCs w:val="20"/>
          <w:lang w:val="en-US"/>
        </w:rPr>
        <w:t xml:space="preserve"> </w:t>
      </w:r>
      <w:r w:rsidRPr="00177551">
        <w:rPr>
          <w:rFonts w:ascii="Arial" w:hAnsi="Arial" w:cs="Arial"/>
          <w:color w:val="211E1E"/>
          <w:sz w:val="20"/>
          <w:szCs w:val="20"/>
          <w:lang w:val="en-US"/>
        </w:rPr>
        <w:t xml:space="preserve">improvement in attention performance under </w:t>
      </w:r>
      <w:r w:rsidR="0006456B" w:rsidRPr="00177551">
        <w:rPr>
          <w:rFonts w:ascii="Arial" w:hAnsi="Arial" w:cs="Arial"/>
          <w:color w:val="211E1E"/>
          <w:sz w:val="20"/>
          <w:szCs w:val="20"/>
          <w:lang w:val="en-US"/>
        </w:rPr>
        <w:t>stimulants</w:t>
      </w:r>
      <w:r w:rsidRPr="00177551">
        <w:rPr>
          <w:rFonts w:ascii="Arial" w:hAnsi="Arial" w:cs="Arial"/>
          <w:color w:val="211E1E"/>
          <w:sz w:val="20"/>
          <w:szCs w:val="20"/>
          <w:lang w:val="en-US"/>
        </w:rPr>
        <w:t xml:space="preserve"> was reported by </w:t>
      </w:r>
      <w:r w:rsidR="001906BA" w:rsidRPr="00177551">
        <w:rPr>
          <w:rFonts w:ascii="Arial" w:hAnsi="Arial" w:cs="Arial"/>
          <w:color w:val="211E1E"/>
          <w:sz w:val="20"/>
          <w:szCs w:val="20"/>
          <w:lang w:val="en-US"/>
        </w:rPr>
        <w:t>20</w:t>
      </w:r>
      <w:r w:rsidR="00FB6A1B" w:rsidRPr="00177551">
        <w:rPr>
          <w:rFonts w:ascii="Arial" w:hAnsi="Arial" w:cs="Arial"/>
          <w:color w:val="211E1E"/>
          <w:sz w:val="20"/>
          <w:szCs w:val="20"/>
          <w:lang w:val="en-US"/>
        </w:rPr>
        <w:t xml:space="preserve"> </w:t>
      </w:r>
      <w:r w:rsidRPr="00177551">
        <w:rPr>
          <w:rFonts w:ascii="Arial" w:hAnsi="Arial" w:cs="Arial"/>
          <w:color w:val="211E1E"/>
          <w:sz w:val="20"/>
          <w:szCs w:val="20"/>
          <w:lang w:val="en-US"/>
        </w:rPr>
        <w:t xml:space="preserve">RCTs but not confirmed by </w:t>
      </w:r>
      <w:r w:rsidR="00FB6A1B" w:rsidRPr="00177551">
        <w:rPr>
          <w:rFonts w:ascii="Arial" w:hAnsi="Arial" w:cs="Arial"/>
          <w:color w:val="211E1E"/>
          <w:sz w:val="20"/>
          <w:szCs w:val="20"/>
          <w:lang w:val="en-US"/>
        </w:rPr>
        <w:t xml:space="preserve">other three </w:t>
      </w:r>
      <w:r w:rsidRPr="00177551">
        <w:rPr>
          <w:rFonts w:ascii="Arial" w:hAnsi="Arial" w:cs="Arial"/>
          <w:color w:val="211E1E"/>
          <w:sz w:val="20"/>
          <w:szCs w:val="20"/>
          <w:lang w:val="en-US"/>
        </w:rPr>
        <w:t xml:space="preserve">studies. Medication was shown to reduce impulsivity </w:t>
      </w:r>
      <w:r w:rsidR="001906BA" w:rsidRPr="00177551">
        <w:rPr>
          <w:rFonts w:ascii="Arial" w:hAnsi="Arial" w:cs="Arial"/>
          <w:color w:val="211E1E"/>
          <w:sz w:val="20"/>
          <w:szCs w:val="20"/>
          <w:lang w:val="en-US"/>
        </w:rPr>
        <w:t>(10 studies)</w:t>
      </w:r>
      <w:r w:rsidR="0016359C" w:rsidRPr="00177551">
        <w:rPr>
          <w:rFonts w:ascii="Arial" w:hAnsi="Arial" w:cs="Arial"/>
          <w:color w:val="211E1E"/>
          <w:sz w:val="20"/>
          <w:szCs w:val="20"/>
          <w:lang w:val="en-US"/>
        </w:rPr>
        <w:t>;</w:t>
      </w:r>
      <w:r w:rsidRPr="00177551">
        <w:rPr>
          <w:rFonts w:ascii="Arial" w:hAnsi="Arial" w:cs="Arial"/>
          <w:color w:val="211E1E"/>
          <w:sz w:val="20"/>
          <w:szCs w:val="20"/>
          <w:lang w:val="en-US"/>
        </w:rPr>
        <w:t xml:space="preserve"> and improve working memory</w:t>
      </w:r>
      <w:r w:rsidR="001906BA" w:rsidRPr="00177551">
        <w:rPr>
          <w:rFonts w:ascii="Arial" w:hAnsi="Arial" w:cs="Arial"/>
          <w:color w:val="211E1E"/>
          <w:sz w:val="20"/>
          <w:szCs w:val="20"/>
          <w:lang w:val="en-US"/>
        </w:rPr>
        <w:t xml:space="preserve"> (</w:t>
      </w:r>
      <w:r w:rsidR="0023021C" w:rsidRPr="00177551">
        <w:rPr>
          <w:rFonts w:ascii="Arial" w:hAnsi="Arial" w:cs="Arial"/>
          <w:color w:val="211E1E"/>
          <w:sz w:val="20"/>
          <w:szCs w:val="20"/>
          <w:lang w:val="en-US"/>
        </w:rPr>
        <w:t>three</w:t>
      </w:r>
      <w:r w:rsidR="001906BA" w:rsidRPr="00177551">
        <w:rPr>
          <w:rFonts w:ascii="Arial" w:hAnsi="Arial" w:cs="Arial"/>
          <w:color w:val="211E1E"/>
          <w:sz w:val="20"/>
          <w:szCs w:val="20"/>
          <w:lang w:val="en-US"/>
        </w:rPr>
        <w:t xml:space="preserve"> studies)</w:t>
      </w:r>
      <w:r w:rsidR="00FD68D3" w:rsidRPr="00177551">
        <w:rPr>
          <w:rFonts w:ascii="Arial" w:hAnsi="Arial" w:cs="Arial"/>
          <w:color w:val="211E1E"/>
          <w:sz w:val="20"/>
          <w:szCs w:val="20"/>
          <w:lang w:val="en-US"/>
        </w:rPr>
        <w:t xml:space="preserve"> </w:t>
      </w:r>
      <w:r w:rsidRPr="00177551">
        <w:rPr>
          <w:rFonts w:ascii="Arial" w:hAnsi="Arial" w:cs="Arial"/>
          <w:color w:val="211E1E"/>
          <w:sz w:val="20"/>
          <w:szCs w:val="20"/>
          <w:lang w:val="en-US"/>
        </w:rPr>
        <w:t xml:space="preserve">and motor </w:t>
      </w:r>
      <w:r w:rsidR="001906BA" w:rsidRPr="00177551">
        <w:rPr>
          <w:rFonts w:ascii="Arial" w:hAnsi="Arial" w:cs="Arial"/>
          <w:color w:val="211E1E"/>
          <w:sz w:val="20"/>
          <w:szCs w:val="20"/>
          <w:lang w:val="en-US"/>
        </w:rPr>
        <w:t>performance (</w:t>
      </w:r>
      <w:r w:rsidR="0023021C" w:rsidRPr="00177551">
        <w:rPr>
          <w:rFonts w:ascii="Arial" w:hAnsi="Arial" w:cs="Arial"/>
          <w:color w:val="211E1E"/>
          <w:sz w:val="20"/>
          <w:szCs w:val="20"/>
          <w:lang w:val="en-US"/>
        </w:rPr>
        <w:t>three</w:t>
      </w:r>
      <w:r w:rsidR="001906BA" w:rsidRPr="00177551">
        <w:rPr>
          <w:rFonts w:ascii="Arial" w:hAnsi="Arial" w:cs="Arial"/>
          <w:color w:val="211E1E"/>
          <w:sz w:val="20"/>
          <w:szCs w:val="20"/>
          <w:lang w:val="en-US"/>
        </w:rPr>
        <w:t xml:space="preserve"> studies)</w:t>
      </w:r>
      <w:r w:rsidRPr="00177551">
        <w:rPr>
          <w:rFonts w:ascii="Arial" w:hAnsi="Arial" w:cs="Arial"/>
          <w:color w:val="211E1E"/>
          <w:sz w:val="20"/>
          <w:szCs w:val="20"/>
          <w:lang w:val="en-US"/>
        </w:rPr>
        <w:t>. A positive effect was reported on school-related skills, such as reading, math and storytelling</w:t>
      </w:r>
      <w:r w:rsidR="001906BA" w:rsidRPr="00177551">
        <w:rPr>
          <w:rFonts w:ascii="Arial" w:hAnsi="Arial" w:cs="Arial"/>
          <w:color w:val="211E1E"/>
          <w:sz w:val="20"/>
          <w:szCs w:val="20"/>
          <w:lang w:val="en-US"/>
        </w:rPr>
        <w:t xml:space="preserve"> (</w:t>
      </w:r>
      <w:r w:rsidR="0023021C" w:rsidRPr="00177551">
        <w:rPr>
          <w:rFonts w:ascii="Arial" w:hAnsi="Arial" w:cs="Arial"/>
          <w:color w:val="211E1E"/>
          <w:sz w:val="20"/>
          <w:szCs w:val="20"/>
          <w:lang w:val="en-US"/>
        </w:rPr>
        <w:t>three</w:t>
      </w:r>
      <w:r w:rsidR="001906BA" w:rsidRPr="00177551">
        <w:rPr>
          <w:rFonts w:ascii="Arial" w:hAnsi="Arial" w:cs="Arial"/>
          <w:color w:val="211E1E"/>
          <w:sz w:val="20"/>
          <w:szCs w:val="20"/>
          <w:lang w:val="en-US"/>
        </w:rPr>
        <w:t xml:space="preserve"> studies)</w:t>
      </w:r>
      <w:r w:rsidR="0016359C" w:rsidRPr="00177551">
        <w:rPr>
          <w:rFonts w:ascii="Arial" w:hAnsi="Arial" w:cs="Arial"/>
          <w:color w:val="211E1E"/>
          <w:sz w:val="20"/>
          <w:szCs w:val="20"/>
          <w:lang w:val="en-US"/>
        </w:rPr>
        <w:t>;</w:t>
      </w:r>
      <w:r w:rsidRPr="00177551">
        <w:rPr>
          <w:rFonts w:ascii="Arial" w:hAnsi="Arial" w:cs="Arial"/>
          <w:color w:val="211E1E"/>
          <w:sz w:val="20"/>
          <w:szCs w:val="20"/>
          <w:lang w:val="en-US"/>
        </w:rPr>
        <w:t xml:space="preserve"> and on complex </w:t>
      </w:r>
      <w:r w:rsidR="0016359C" w:rsidRPr="00177551">
        <w:rPr>
          <w:rFonts w:ascii="Arial" w:hAnsi="Arial" w:cs="Arial"/>
          <w:color w:val="211E1E"/>
          <w:sz w:val="20"/>
          <w:szCs w:val="20"/>
          <w:lang w:val="en-US"/>
        </w:rPr>
        <w:t>behaviors</w:t>
      </w:r>
      <w:r w:rsidRPr="00177551">
        <w:rPr>
          <w:rFonts w:ascii="Arial" w:hAnsi="Arial" w:cs="Arial"/>
          <w:color w:val="211E1E"/>
          <w:sz w:val="20"/>
          <w:szCs w:val="20"/>
          <w:lang w:val="en-US"/>
        </w:rPr>
        <w:t>, such as driving</w:t>
      </w:r>
      <w:r w:rsidR="001906BA" w:rsidRPr="00177551">
        <w:rPr>
          <w:rFonts w:ascii="Arial" w:hAnsi="Arial" w:cs="Arial"/>
          <w:color w:val="211E1E"/>
          <w:sz w:val="20"/>
          <w:szCs w:val="20"/>
          <w:lang w:val="en-US"/>
        </w:rPr>
        <w:t xml:space="preserve"> (</w:t>
      </w:r>
      <w:r w:rsidR="0023021C" w:rsidRPr="00177551">
        <w:rPr>
          <w:rFonts w:ascii="Arial" w:hAnsi="Arial" w:cs="Arial"/>
          <w:color w:val="211E1E"/>
          <w:sz w:val="20"/>
          <w:szCs w:val="20"/>
          <w:lang w:val="en-US"/>
        </w:rPr>
        <w:t xml:space="preserve">three </w:t>
      </w:r>
      <w:r w:rsidR="001906BA" w:rsidRPr="00177551">
        <w:rPr>
          <w:rFonts w:ascii="Arial" w:hAnsi="Arial" w:cs="Arial"/>
          <w:color w:val="211E1E"/>
          <w:sz w:val="20"/>
          <w:szCs w:val="20"/>
          <w:lang w:val="en-US"/>
        </w:rPr>
        <w:t>studies)</w:t>
      </w:r>
      <w:r w:rsidRPr="00177551">
        <w:rPr>
          <w:rFonts w:ascii="Arial" w:hAnsi="Arial" w:cs="Arial"/>
          <w:color w:val="211E1E"/>
          <w:sz w:val="20"/>
          <w:szCs w:val="20"/>
          <w:lang w:val="en-US"/>
        </w:rPr>
        <w:t xml:space="preserve"> and </w:t>
      </w:r>
      <w:r w:rsidR="0016359C" w:rsidRPr="00177551">
        <w:rPr>
          <w:rFonts w:ascii="Arial" w:hAnsi="Arial" w:cs="Arial"/>
          <w:color w:val="211E1E"/>
          <w:sz w:val="20"/>
          <w:szCs w:val="20"/>
          <w:lang w:val="en-US"/>
        </w:rPr>
        <w:t xml:space="preserve">workplace </w:t>
      </w:r>
      <w:r w:rsidRPr="00177551">
        <w:rPr>
          <w:rFonts w:ascii="Arial" w:hAnsi="Arial" w:cs="Arial"/>
          <w:color w:val="211E1E"/>
          <w:sz w:val="20"/>
          <w:szCs w:val="20"/>
          <w:lang w:val="en-US"/>
        </w:rPr>
        <w:t>productivity</w:t>
      </w:r>
      <w:r w:rsidR="001906BA" w:rsidRPr="00177551">
        <w:rPr>
          <w:rFonts w:ascii="Arial" w:hAnsi="Arial" w:cs="Arial"/>
          <w:color w:val="211E1E"/>
          <w:sz w:val="20"/>
          <w:szCs w:val="20"/>
          <w:lang w:val="en-US"/>
        </w:rPr>
        <w:t xml:space="preserve"> (</w:t>
      </w:r>
      <w:r w:rsidR="0023021C" w:rsidRPr="00177551">
        <w:rPr>
          <w:rFonts w:ascii="Arial" w:hAnsi="Arial" w:cs="Arial"/>
          <w:color w:val="211E1E"/>
          <w:sz w:val="20"/>
          <w:szCs w:val="20"/>
          <w:lang w:val="en-US"/>
        </w:rPr>
        <w:t>one</w:t>
      </w:r>
      <w:r w:rsidR="001906BA" w:rsidRPr="00177551">
        <w:rPr>
          <w:rFonts w:ascii="Arial" w:hAnsi="Arial" w:cs="Arial"/>
          <w:color w:val="211E1E"/>
          <w:sz w:val="20"/>
          <w:szCs w:val="20"/>
          <w:lang w:val="en-US"/>
        </w:rPr>
        <w:t xml:space="preserve"> study)</w:t>
      </w:r>
      <w:r w:rsidRPr="00177551">
        <w:rPr>
          <w:rFonts w:ascii="Arial" w:hAnsi="Arial" w:cs="Arial"/>
          <w:color w:val="211E1E"/>
          <w:sz w:val="20"/>
          <w:szCs w:val="20"/>
          <w:lang w:val="en-US"/>
        </w:rPr>
        <w:t xml:space="preserve">. However, studies highlighted no effect on reactivity towards positive stimuli, parent-teen interactions, performance at job interviews, </w:t>
      </w:r>
      <w:proofErr w:type="gramStart"/>
      <w:r w:rsidRPr="00177551">
        <w:rPr>
          <w:rFonts w:ascii="Arial" w:hAnsi="Arial" w:cs="Arial"/>
          <w:color w:val="211E1E"/>
          <w:sz w:val="20"/>
          <w:szCs w:val="20"/>
          <w:lang w:val="en-US"/>
        </w:rPr>
        <w:t>anxiety</w:t>
      </w:r>
      <w:proofErr w:type="gramEnd"/>
      <w:r w:rsidRPr="00177551">
        <w:rPr>
          <w:rFonts w:ascii="Arial" w:hAnsi="Arial" w:cs="Arial"/>
          <w:color w:val="211E1E"/>
          <w:sz w:val="20"/>
          <w:szCs w:val="20"/>
          <w:lang w:val="en-US"/>
        </w:rPr>
        <w:t xml:space="preserve"> and overall mood</w:t>
      </w:r>
      <w:r w:rsidR="0023021C" w:rsidRPr="00177551">
        <w:rPr>
          <w:rFonts w:ascii="Arial" w:hAnsi="Arial" w:cs="Arial"/>
          <w:color w:val="211E1E"/>
          <w:sz w:val="20"/>
          <w:szCs w:val="20"/>
          <w:lang w:val="en-US"/>
        </w:rPr>
        <w:t xml:space="preserve"> (one study each)</w:t>
      </w:r>
      <w:r w:rsidRPr="00177551">
        <w:rPr>
          <w:rFonts w:ascii="Arial" w:hAnsi="Arial" w:cs="Arial"/>
          <w:color w:val="211E1E"/>
          <w:sz w:val="20"/>
          <w:szCs w:val="20"/>
          <w:lang w:val="en-US"/>
        </w:rPr>
        <w:t>. Considering imaging studies, medication was reported to positively affect activation/connectivity within task-based network</w:t>
      </w:r>
      <w:r w:rsidR="003A14F9" w:rsidRPr="00177551">
        <w:rPr>
          <w:rFonts w:ascii="Arial" w:hAnsi="Arial" w:cs="Arial"/>
          <w:color w:val="211E1E"/>
          <w:sz w:val="20"/>
          <w:szCs w:val="20"/>
          <w:lang w:val="en-US"/>
        </w:rPr>
        <w:t>s,</w:t>
      </w:r>
      <w:r w:rsidR="003B1937" w:rsidRPr="00177551">
        <w:rPr>
          <w:rFonts w:ascii="Arial" w:hAnsi="Arial" w:cs="Arial"/>
          <w:color w:val="211E1E"/>
          <w:sz w:val="20"/>
          <w:szCs w:val="20"/>
          <w:lang w:val="en-US"/>
        </w:rPr>
        <w:t xml:space="preserve"> </w:t>
      </w:r>
      <w:r w:rsidRPr="00177551">
        <w:rPr>
          <w:rFonts w:ascii="Arial" w:hAnsi="Arial" w:cs="Arial"/>
          <w:color w:val="211E1E"/>
          <w:sz w:val="20"/>
          <w:szCs w:val="20"/>
          <w:lang w:val="en-US"/>
        </w:rPr>
        <w:t xml:space="preserve">as well as within-network but not between-network connectivity with the default mode network, which is associated with distractibility. Neurophysiological studies </w:t>
      </w:r>
      <w:r w:rsidR="0016359C" w:rsidRPr="00177551">
        <w:rPr>
          <w:rFonts w:ascii="Arial" w:hAnsi="Arial" w:cs="Arial"/>
          <w:color w:val="211E1E"/>
          <w:sz w:val="20"/>
          <w:szCs w:val="20"/>
          <w:lang w:val="en-US"/>
        </w:rPr>
        <w:t>reported</w:t>
      </w:r>
      <w:r w:rsidRPr="00177551">
        <w:rPr>
          <w:rFonts w:ascii="Arial" w:hAnsi="Arial" w:cs="Arial"/>
          <w:color w:val="211E1E"/>
          <w:sz w:val="20"/>
          <w:szCs w:val="20"/>
          <w:lang w:val="en-US"/>
        </w:rPr>
        <w:t xml:space="preserve"> medication-related changes</w:t>
      </w:r>
      <w:r w:rsidR="0016359C" w:rsidRPr="00177551">
        <w:rPr>
          <w:rFonts w:ascii="Arial" w:hAnsi="Arial" w:cs="Arial"/>
          <w:color w:val="211E1E"/>
          <w:sz w:val="20"/>
          <w:szCs w:val="20"/>
          <w:lang w:val="en-US"/>
        </w:rPr>
        <w:t xml:space="preserve"> in </w:t>
      </w:r>
      <w:r w:rsidR="003B1937" w:rsidRPr="00177551">
        <w:rPr>
          <w:rFonts w:ascii="Arial" w:hAnsi="Arial" w:cs="Arial"/>
          <w:color w:val="211E1E"/>
          <w:sz w:val="20"/>
          <w:szCs w:val="20"/>
          <w:lang w:val="en-US"/>
        </w:rPr>
        <w:t>evoked response potential (</w:t>
      </w:r>
      <w:r w:rsidR="0016359C" w:rsidRPr="00177551">
        <w:rPr>
          <w:rFonts w:ascii="Arial" w:hAnsi="Arial" w:cs="Arial"/>
          <w:color w:val="211E1E"/>
          <w:sz w:val="20"/>
          <w:szCs w:val="20"/>
          <w:lang w:val="en-US"/>
        </w:rPr>
        <w:t>ERPs</w:t>
      </w:r>
      <w:r w:rsidR="003B1937" w:rsidRPr="00177551">
        <w:rPr>
          <w:rFonts w:ascii="Arial" w:hAnsi="Arial" w:cs="Arial"/>
          <w:color w:val="211E1E"/>
          <w:sz w:val="20"/>
          <w:szCs w:val="20"/>
          <w:lang w:val="en-US"/>
        </w:rPr>
        <w:t>)</w:t>
      </w:r>
      <w:r w:rsidRPr="00177551">
        <w:rPr>
          <w:rFonts w:ascii="Arial" w:hAnsi="Arial" w:cs="Arial"/>
          <w:color w:val="211E1E"/>
          <w:sz w:val="20"/>
          <w:szCs w:val="20"/>
          <w:lang w:val="en-US"/>
        </w:rPr>
        <w:t xml:space="preserve"> (e.g.</w:t>
      </w:r>
      <w:r w:rsidR="003A14F9" w:rsidRPr="00177551">
        <w:rPr>
          <w:rFonts w:ascii="Arial" w:hAnsi="Arial" w:cs="Arial"/>
          <w:color w:val="211E1E"/>
          <w:sz w:val="20"/>
          <w:szCs w:val="20"/>
          <w:lang w:val="en-US"/>
        </w:rPr>
        <w:t>,</w:t>
      </w:r>
      <w:r w:rsidRPr="00177551">
        <w:rPr>
          <w:rFonts w:ascii="Arial" w:hAnsi="Arial" w:cs="Arial"/>
          <w:color w:val="211E1E"/>
          <w:sz w:val="20"/>
          <w:szCs w:val="20"/>
          <w:lang w:val="en-US"/>
        </w:rPr>
        <w:t xml:space="preserve"> in frontal processing negativity and posterior P3), although not </w:t>
      </w:r>
      <w:r w:rsidR="003B1937" w:rsidRPr="00177551">
        <w:rPr>
          <w:rFonts w:ascii="Arial" w:hAnsi="Arial" w:cs="Arial"/>
          <w:color w:val="211E1E"/>
          <w:sz w:val="20"/>
          <w:szCs w:val="20"/>
          <w:lang w:val="en-US"/>
        </w:rPr>
        <w:t xml:space="preserve">consistently </w:t>
      </w:r>
      <w:r w:rsidRPr="00177551">
        <w:rPr>
          <w:rFonts w:ascii="Arial" w:hAnsi="Arial" w:cs="Arial"/>
          <w:color w:val="211E1E"/>
          <w:sz w:val="20"/>
          <w:szCs w:val="20"/>
          <w:lang w:val="en-US"/>
        </w:rPr>
        <w:t xml:space="preserve">associated with improvement in attention performance </w:t>
      </w:r>
      <w:r w:rsidR="00934219" w:rsidRPr="00177551">
        <w:rPr>
          <w:rFonts w:ascii="Arial" w:hAnsi="Arial" w:cs="Arial"/>
          <w:color w:val="211E1E"/>
          <w:sz w:val="20"/>
          <w:szCs w:val="20"/>
          <w:lang w:val="en-US"/>
        </w:rPr>
        <w:t>(Table 1)</w:t>
      </w:r>
      <w:r w:rsidR="00275C72" w:rsidRPr="00177551">
        <w:rPr>
          <w:rFonts w:ascii="Arial" w:hAnsi="Arial" w:cs="Arial"/>
          <w:color w:val="211E1E"/>
          <w:sz w:val="20"/>
          <w:szCs w:val="20"/>
          <w:lang w:val="en-US"/>
        </w:rPr>
        <w:t>.</w:t>
      </w:r>
    </w:p>
    <w:p w14:paraId="780DDFCE" w14:textId="77777777" w:rsidR="005A3F84" w:rsidRPr="00177551" w:rsidRDefault="005A3F84" w:rsidP="005A3F84">
      <w:pPr>
        <w:spacing w:line="480" w:lineRule="auto"/>
        <w:ind w:left="-851" w:right="-761"/>
        <w:contextualSpacing/>
        <w:rPr>
          <w:rFonts w:ascii="Arial" w:hAnsi="Arial" w:cs="Arial"/>
          <w:color w:val="211E1E"/>
          <w:sz w:val="20"/>
          <w:szCs w:val="20"/>
          <w:lang w:val="en-US"/>
        </w:rPr>
      </w:pPr>
    </w:p>
    <w:p w14:paraId="4AE33B71" w14:textId="77777777" w:rsidR="00275C72" w:rsidRPr="00177551" w:rsidRDefault="0016359C" w:rsidP="0023021C">
      <w:pPr>
        <w:spacing w:line="480" w:lineRule="auto"/>
        <w:ind w:left="-851" w:right="-761"/>
        <w:contextualSpacing/>
        <w:rPr>
          <w:rFonts w:ascii="Arial" w:hAnsi="Arial" w:cs="Arial"/>
          <w:b/>
          <w:bCs/>
          <w:color w:val="211E1E"/>
          <w:sz w:val="20"/>
          <w:szCs w:val="20"/>
          <w:lang w:val="en-US"/>
        </w:rPr>
      </w:pPr>
      <w:r w:rsidRPr="00177551">
        <w:rPr>
          <w:rFonts w:ascii="Arial" w:hAnsi="Arial" w:cs="Arial"/>
          <w:b/>
          <w:bCs/>
          <w:color w:val="211E1E"/>
          <w:sz w:val="20"/>
          <w:szCs w:val="20"/>
          <w:lang w:val="en-US"/>
        </w:rPr>
        <w:t>DISCUSSION</w:t>
      </w:r>
    </w:p>
    <w:p w14:paraId="0C37DF6E" w14:textId="10651CAB" w:rsidR="005D0BA3" w:rsidRPr="00177551" w:rsidRDefault="00CB0655" w:rsidP="00244C12">
      <w:pPr>
        <w:spacing w:line="480" w:lineRule="auto"/>
        <w:ind w:left="-851" w:right="-761"/>
        <w:contextualSpacing/>
        <w:rPr>
          <w:rFonts w:ascii="Arial" w:hAnsi="Arial" w:cs="Arial"/>
          <w:color w:val="000000" w:themeColor="text1"/>
          <w:sz w:val="20"/>
          <w:szCs w:val="20"/>
          <w:lang w:val="en-US"/>
        </w:rPr>
      </w:pPr>
      <w:r w:rsidRPr="00177551">
        <w:rPr>
          <w:rFonts w:ascii="Arial" w:hAnsi="Arial" w:cs="Arial"/>
          <w:color w:val="211E1E"/>
          <w:sz w:val="20"/>
          <w:szCs w:val="20"/>
          <w:lang w:val="en-US"/>
        </w:rPr>
        <w:t>The systematic review identified only one RCT that</w:t>
      </w:r>
      <w:r w:rsidR="003B1937" w:rsidRPr="00177551">
        <w:rPr>
          <w:rFonts w:ascii="Arial" w:hAnsi="Arial" w:cs="Arial"/>
          <w:color w:val="211E1E"/>
          <w:sz w:val="20"/>
          <w:szCs w:val="20"/>
          <w:lang w:val="en-US"/>
        </w:rPr>
        <w:t xml:space="preserve"> specifically</w:t>
      </w:r>
      <w:r w:rsidRPr="00177551">
        <w:rPr>
          <w:rFonts w:ascii="Arial" w:hAnsi="Arial" w:cs="Arial"/>
          <w:b/>
          <w:bCs/>
          <w:color w:val="211E1E"/>
          <w:sz w:val="20"/>
          <w:szCs w:val="20"/>
          <w:lang w:val="en-US"/>
        </w:rPr>
        <w:t xml:space="preserve"> </w:t>
      </w:r>
      <w:r w:rsidRPr="00177551">
        <w:rPr>
          <w:rFonts w:ascii="Arial" w:hAnsi="Arial" w:cs="Arial"/>
          <w:color w:val="000000" w:themeColor="text1"/>
          <w:sz w:val="20"/>
          <w:szCs w:val="20"/>
          <w:lang w:val="en-US"/>
        </w:rPr>
        <w:t xml:space="preserve">investigated the relationship between acute </w:t>
      </w:r>
      <w:r w:rsidR="003B1937" w:rsidRPr="00177551">
        <w:rPr>
          <w:rFonts w:ascii="Arial" w:hAnsi="Arial" w:cs="Arial"/>
          <w:color w:val="000000" w:themeColor="text1"/>
          <w:sz w:val="20"/>
          <w:szCs w:val="20"/>
          <w:lang w:val="en-US"/>
        </w:rPr>
        <w:t xml:space="preserve">and longer-term </w:t>
      </w:r>
      <w:r w:rsidRPr="00177551">
        <w:rPr>
          <w:rFonts w:ascii="Arial" w:hAnsi="Arial" w:cs="Arial"/>
          <w:color w:val="000000" w:themeColor="text1"/>
          <w:sz w:val="20"/>
          <w:szCs w:val="20"/>
          <w:lang w:val="en-US"/>
        </w:rPr>
        <w:t xml:space="preserve">clinical response </w:t>
      </w:r>
      <w:r w:rsidR="003B1937" w:rsidRPr="00177551">
        <w:rPr>
          <w:rFonts w:ascii="Arial" w:hAnsi="Arial" w:cs="Arial"/>
          <w:color w:val="000000" w:themeColor="text1"/>
          <w:sz w:val="20"/>
          <w:szCs w:val="20"/>
          <w:lang w:val="en-US"/>
        </w:rPr>
        <w:t xml:space="preserve">to stimulants </w:t>
      </w:r>
      <w:r w:rsidR="00565319" w:rsidRPr="00177551">
        <w:rPr>
          <w:rFonts w:ascii="Arial" w:hAnsi="Arial" w:cs="Arial"/>
          <w:noProof/>
          <w:color w:val="000000" w:themeColor="text1"/>
          <w:sz w:val="20"/>
          <w:szCs w:val="20"/>
          <w:lang w:val="en-US"/>
        </w:rPr>
        <w:t>(Buitelaar et al., 1995)</w:t>
      </w:r>
      <w:r w:rsidR="003C70E1" w:rsidRPr="00177551">
        <w:rPr>
          <w:rFonts w:ascii="Arial" w:hAnsi="Arial" w:cs="Arial"/>
          <w:color w:val="000000" w:themeColor="text1"/>
          <w:sz w:val="20"/>
          <w:szCs w:val="20"/>
          <w:lang w:val="en-US"/>
        </w:rPr>
        <w:t>. This</w:t>
      </w:r>
      <w:r w:rsidR="00297978" w:rsidRPr="00177551">
        <w:rPr>
          <w:rFonts w:ascii="Arial" w:hAnsi="Arial" w:cs="Arial"/>
          <w:color w:val="000000" w:themeColor="text1"/>
          <w:sz w:val="20"/>
          <w:szCs w:val="20"/>
          <w:lang w:val="en-US"/>
        </w:rPr>
        <w:t xml:space="preserve"> RCT</w:t>
      </w:r>
      <w:r w:rsidR="00BF0DC7" w:rsidRPr="00177551">
        <w:rPr>
          <w:rFonts w:ascii="Arial" w:hAnsi="Arial" w:cs="Arial"/>
          <w:color w:val="000000" w:themeColor="text1"/>
          <w:sz w:val="20"/>
          <w:szCs w:val="20"/>
          <w:lang w:val="en-US"/>
        </w:rPr>
        <w:t xml:space="preserve"> </w:t>
      </w:r>
      <w:r w:rsidR="003B1937" w:rsidRPr="00177551">
        <w:rPr>
          <w:rFonts w:ascii="Arial" w:hAnsi="Arial" w:cs="Arial"/>
          <w:color w:val="000000" w:themeColor="text1"/>
          <w:sz w:val="20"/>
          <w:szCs w:val="20"/>
          <w:lang w:val="en-US"/>
        </w:rPr>
        <w:t xml:space="preserve">reported that changes in clinical severity </w:t>
      </w:r>
      <w:r w:rsidR="007B3602" w:rsidRPr="00177551">
        <w:rPr>
          <w:rFonts w:ascii="Arial" w:hAnsi="Arial" w:cs="Arial"/>
          <w:color w:val="000000" w:themeColor="text1"/>
          <w:sz w:val="20"/>
          <w:szCs w:val="20"/>
          <w:lang w:val="en-US"/>
        </w:rPr>
        <w:t>following</w:t>
      </w:r>
      <w:r w:rsidR="003B1937" w:rsidRPr="00177551">
        <w:rPr>
          <w:rFonts w:ascii="Arial" w:hAnsi="Arial" w:cs="Arial"/>
          <w:color w:val="000000" w:themeColor="text1"/>
          <w:sz w:val="20"/>
          <w:szCs w:val="20"/>
          <w:lang w:val="en-US"/>
        </w:rPr>
        <w:t xml:space="preserve"> a single dose of MPH predicted symptom improvement with moderate </w:t>
      </w:r>
      <w:proofErr w:type="gramStart"/>
      <w:r w:rsidR="003B1937" w:rsidRPr="00177551">
        <w:rPr>
          <w:rFonts w:ascii="Arial" w:hAnsi="Arial" w:cs="Arial"/>
          <w:color w:val="000000" w:themeColor="text1"/>
          <w:sz w:val="20"/>
          <w:szCs w:val="20"/>
          <w:lang w:val="en-US"/>
        </w:rPr>
        <w:t>accuracy, and</w:t>
      </w:r>
      <w:proofErr w:type="gramEnd"/>
      <w:r w:rsidR="003B1937" w:rsidRPr="00177551">
        <w:rPr>
          <w:rFonts w:ascii="Arial" w:hAnsi="Arial" w:cs="Arial"/>
          <w:color w:val="000000" w:themeColor="text1"/>
          <w:sz w:val="20"/>
          <w:szCs w:val="20"/>
          <w:lang w:val="en-US"/>
        </w:rPr>
        <w:t xml:space="preserve"> suggested </w:t>
      </w:r>
      <w:r w:rsidR="00483D8D" w:rsidRPr="00177551">
        <w:rPr>
          <w:rFonts w:ascii="Arial" w:hAnsi="Arial" w:cs="Arial"/>
          <w:color w:val="000000" w:themeColor="text1"/>
          <w:sz w:val="20"/>
          <w:szCs w:val="20"/>
          <w:lang w:val="en-US"/>
        </w:rPr>
        <w:t xml:space="preserve">a potential </w:t>
      </w:r>
      <w:r w:rsidR="003B1937" w:rsidRPr="00177551">
        <w:rPr>
          <w:rFonts w:ascii="Arial" w:hAnsi="Arial" w:cs="Arial"/>
          <w:color w:val="000000" w:themeColor="text1"/>
          <w:sz w:val="20"/>
          <w:szCs w:val="20"/>
          <w:lang w:val="en-US"/>
        </w:rPr>
        <w:t xml:space="preserve">clinical </w:t>
      </w:r>
      <w:r w:rsidR="00483D8D" w:rsidRPr="00177551">
        <w:rPr>
          <w:rFonts w:ascii="Arial" w:hAnsi="Arial" w:cs="Arial"/>
          <w:color w:val="000000" w:themeColor="text1"/>
          <w:sz w:val="20"/>
          <w:szCs w:val="20"/>
          <w:lang w:val="en-US"/>
        </w:rPr>
        <w:t xml:space="preserve">utility of this measure. </w:t>
      </w:r>
      <w:r w:rsidR="009C047F" w:rsidRPr="00177551">
        <w:rPr>
          <w:rFonts w:ascii="Arial" w:hAnsi="Arial" w:cs="Arial"/>
          <w:color w:val="000000" w:themeColor="text1"/>
          <w:sz w:val="20"/>
          <w:szCs w:val="20"/>
          <w:lang w:val="en-US"/>
        </w:rPr>
        <w:t xml:space="preserve">This study </w:t>
      </w:r>
      <w:r w:rsidR="001B2D50" w:rsidRPr="00177551">
        <w:rPr>
          <w:rFonts w:ascii="Arial" w:hAnsi="Arial" w:cs="Arial"/>
          <w:color w:val="000000" w:themeColor="text1"/>
          <w:sz w:val="20"/>
          <w:szCs w:val="20"/>
          <w:lang w:val="en-US"/>
        </w:rPr>
        <w:t>represents</w:t>
      </w:r>
      <w:r w:rsidR="009C047F" w:rsidRPr="00177551">
        <w:rPr>
          <w:rFonts w:ascii="Arial" w:hAnsi="Arial" w:cs="Arial"/>
          <w:color w:val="000000" w:themeColor="text1"/>
          <w:sz w:val="20"/>
          <w:szCs w:val="20"/>
          <w:lang w:val="en-US"/>
        </w:rPr>
        <w:t xml:space="preserve"> a very important first step</w:t>
      </w:r>
      <w:r w:rsidR="00DF63A1" w:rsidRPr="00177551">
        <w:rPr>
          <w:rFonts w:ascii="Arial" w:hAnsi="Arial" w:cs="Arial"/>
          <w:color w:val="000000" w:themeColor="text1"/>
          <w:sz w:val="20"/>
          <w:szCs w:val="20"/>
          <w:lang w:val="en-US"/>
        </w:rPr>
        <w:t xml:space="preserve"> towards precision medicine approaches in ADHD</w:t>
      </w:r>
      <w:r w:rsidR="009C047F" w:rsidRPr="00177551">
        <w:rPr>
          <w:rFonts w:ascii="Arial" w:hAnsi="Arial" w:cs="Arial"/>
          <w:color w:val="000000" w:themeColor="text1"/>
          <w:sz w:val="20"/>
          <w:szCs w:val="20"/>
          <w:lang w:val="en-US"/>
        </w:rPr>
        <w:t>, and the results</w:t>
      </w:r>
      <w:r w:rsidR="004641B0" w:rsidRPr="00177551">
        <w:rPr>
          <w:rFonts w:ascii="Arial" w:hAnsi="Arial" w:cs="Arial"/>
          <w:color w:val="000000" w:themeColor="text1"/>
          <w:sz w:val="20"/>
          <w:szCs w:val="20"/>
          <w:lang w:val="en-US"/>
        </w:rPr>
        <w:t xml:space="preserve"> a</w:t>
      </w:r>
      <w:r w:rsidR="003B1937" w:rsidRPr="00177551">
        <w:rPr>
          <w:rFonts w:ascii="Arial" w:hAnsi="Arial" w:cs="Arial"/>
          <w:color w:val="000000" w:themeColor="text1"/>
          <w:sz w:val="20"/>
          <w:szCs w:val="20"/>
          <w:lang w:val="en-US"/>
        </w:rPr>
        <w:t>ppear</w:t>
      </w:r>
      <w:r w:rsidR="004641B0" w:rsidRPr="00177551">
        <w:rPr>
          <w:rFonts w:ascii="Arial" w:hAnsi="Arial" w:cs="Arial"/>
          <w:color w:val="000000" w:themeColor="text1"/>
          <w:sz w:val="20"/>
          <w:szCs w:val="20"/>
          <w:lang w:val="en-US"/>
        </w:rPr>
        <w:t xml:space="preserve"> promising</w:t>
      </w:r>
      <w:r w:rsidR="009C047F" w:rsidRPr="00177551">
        <w:rPr>
          <w:rFonts w:ascii="Arial" w:hAnsi="Arial" w:cs="Arial"/>
          <w:color w:val="000000" w:themeColor="text1"/>
          <w:sz w:val="20"/>
          <w:szCs w:val="20"/>
          <w:lang w:val="en-US"/>
        </w:rPr>
        <w:t>. However</w:t>
      </w:r>
      <w:r w:rsidR="002824CC" w:rsidRPr="00177551">
        <w:rPr>
          <w:rFonts w:ascii="Arial" w:hAnsi="Arial" w:cs="Arial"/>
          <w:color w:val="000000" w:themeColor="text1"/>
          <w:sz w:val="20"/>
          <w:szCs w:val="20"/>
          <w:lang w:val="en-US"/>
        </w:rPr>
        <w:t>,</w:t>
      </w:r>
      <w:r w:rsidR="009C047F" w:rsidRPr="00177551">
        <w:rPr>
          <w:rFonts w:ascii="Arial" w:hAnsi="Arial" w:cs="Arial"/>
          <w:color w:val="000000" w:themeColor="text1"/>
          <w:sz w:val="20"/>
          <w:szCs w:val="20"/>
          <w:lang w:val="en-US"/>
        </w:rPr>
        <w:t xml:space="preserve"> the</w:t>
      </w:r>
      <w:r w:rsidR="00297978" w:rsidRPr="00177551">
        <w:rPr>
          <w:rFonts w:ascii="Arial" w:hAnsi="Arial" w:cs="Arial"/>
          <w:color w:val="000000" w:themeColor="text1"/>
          <w:sz w:val="20"/>
          <w:szCs w:val="20"/>
          <w:lang w:val="en-US"/>
        </w:rPr>
        <w:t xml:space="preserve"> study</w:t>
      </w:r>
      <w:r w:rsidR="009C047F" w:rsidRPr="00177551">
        <w:rPr>
          <w:rFonts w:ascii="Arial" w:hAnsi="Arial" w:cs="Arial"/>
          <w:color w:val="000000" w:themeColor="text1"/>
          <w:sz w:val="20"/>
          <w:szCs w:val="20"/>
          <w:lang w:val="en-US"/>
        </w:rPr>
        <w:t xml:space="preserve"> only </w:t>
      </w:r>
      <w:r w:rsidR="00483D8D" w:rsidRPr="00177551">
        <w:rPr>
          <w:rFonts w:ascii="Arial" w:hAnsi="Arial" w:cs="Arial"/>
          <w:color w:val="000000" w:themeColor="text1"/>
          <w:sz w:val="20"/>
          <w:szCs w:val="20"/>
          <w:lang w:val="en-US"/>
        </w:rPr>
        <w:t xml:space="preserve">included children </w:t>
      </w:r>
      <w:r w:rsidR="001F12BE" w:rsidRPr="00177551">
        <w:rPr>
          <w:rFonts w:ascii="Arial" w:hAnsi="Arial" w:cs="Arial"/>
          <w:color w:val="211E1E"/>
          <w:sz w:val="20"/>
          <w:szCs w:val="20"/>
          <w:lang w:val="en-US"/>
        </w:rPr>
        <w:t>aged 6 to 13 years</w:t>
      </w:r>
      <w:r w:rsidR="009C047F" w:rsidRPr="00177551">
        <w:rPr>
          <w:rFonts w:ascii="Arial" w:hAnsi="Arial" w:cs="Arial"/>
          <w:color w:val="211E1E"/>
          <w:sz w:val="20"/>
          <w:szCs w:val="20"/>
          <w:lang w:val="en-US"/>
        </w:rPr>
        <w:t xml:space="preserve"> and found that </w:t>
      </w:r>
      <w:r w:rsidR="003B1937" w:rsidRPr="00177551">
        <w:rPr>
          <w:rFonts w:ascii="Arial" w:hAnsi="Arial" w:cs="Arial"/>
          <w:color w:val="211E1E"/>
          <w:sz w:val="20"/>
          <w:szCs w:val="20"/>
          <w:lang w:val="en-US"/>
        </w:rPr>
        <w:t xml:space="preserve">younger age was associated with better clinical response. </w:t>
      </w:r>
      <w:r w:rsidR="009C047F" w:rsidRPr="00177551">
        <w:rPr>
          <w:rFonts w:ascii="Arial" w:hAnsi="Arial" w:cs="Arial"/>
          <w:color w:val="211E1E"/>
          <w:sz w:val="20"/>
          <w:szCs w:val="20"/>
          <w:lang w:val="en-US"/>
        </w:rPr>
        <w:t xml:space="preserve">Hence it is unclear if these findings are generalizable to adults. </w:t>
      </w:r>
      <w:r w:rsidR="00262FD1" w:rsidRPr="00177551">
        <w:rPr>
          <w:rFonts w:ascii="Arial" w:hAnsi="Arial" w:cs="Arial"/>
          <w:color w:val="211E1E"/>
          <w:sz w:val="20"/>
          <w:szCs w:val="20"/>
          <w:lang w:val="en-US"/>
        </w:rPr>
        <w:t>This issue is of relevance as</w:t>
      </w:r>
      <w:r w:rsidR="009C047F" w:rsidRPr="00177551">
        <w:rPr>
          <w:rFonts w:ascii="Arial" w:hAnsi="Arial" w:cs="Arial"/>
          <w:color w:val="211E1E"/>
          <w:sz w:val="20"/>
          <w:szCs w:val="20"/>
          <w:lang w:val="en-US"/>
        </w:rPr>
        <w:t>, w</w:t>
      </w:r>
      <w:r w:rsidR="003B1937" w:rsidRPr="00177551">
        <w:rPr>
          <w:rFonts w:ascii="Arial" w:hAnsi="Arial" w:cs="Arial"/>
          <w:color w:val="211E1E"/>
          <w:sz w:val="20"/>
          <w:szCs w:val="20"/>
          <w:lang w:val="en-US"/>
        </w:rPr>
        <w:t>ith increasing age, ADHD tends to present with more subtle symptoms</w:t>
      </w:r>
      <w:r w:rsidR="00934219" w:rsidRPr="00177551">
        <w:rPr>
          <w:rFonts w:ascii="Arial" w:hAnsi="Arial" w:cs="Arial"/>
          <w:color w:val="211E1E"/>
          <w:sz w:val="20"/>
          <w:szCs w:val="20"/>
          <w:lang w:val="en-US"/>
        </w:rPr>
        <w:t xml:space="preserve"> </w:t>
      </w:r>
      <w:r w:rsidR="003B1937" w:rsidRPr="00177551">
        <w:rPr>
          <w:rFonts w:ascii="Arial" w:hAnsi="Arial" w:cs="Arial"/>
          <w:color w:val="211E1E"/>
          <w:sz w:val="20"/>
          <w:szCs w:val="20"/>
          <w:lang w:val="en-US"/>
        </w:rPr>
        <w:t xml:space="preserve">and to be associated with lower response rates to stimulants </w:t>
      </w:r>
      <w:r w:rsidR="00934219" w:rsidRPr="00177551">
        <w:rPr>
          <w:rFonts w:ascii="Arial" w:hAnsi="Arial" w:cs="Arial"/>
          <w:noProof/>
          <w:color w:val="000000" w:themeColor="text1"/>
          <w:sz w:val="20"/>
          <w:szCs w:val="20"/>
          <w:shd w:val="clear" w:color="auto" w:fill="FFFFFF"/>
          <w:lang w:val="en-US"/>
        </w:rPr>
        <w:t>(Cortese et al., 2018, Faraone et al., 2021)</w:t>
      </w:r>
      <w:r w:rsidR="003B1937" w:rsidRPr="00177551">
        <w:rPr>
          <w:rFonts w:ascii="Arial" w:hAnsi="Arial" w:cs="Arial"/>
          <w:color w:val="211E1E"/>
          <w:sz w:val="20"/>
          <w:szCs w:val="20"/>
          <w:lang w:val="en-US"/>
        </w:rPr>
        <w:t xml:space="preserve">. Further, the study </w:t>
      </w:r>
      <w:r w:rsidR="00262FD1" w:rsidRPr="00177551">
        <w:rPr>
          <w:rFonts w:ascii="Arial" w:hAnsi="Arial" w:cs="Arial"/>
          <w:color w:val="211E1E"/>
          <w:sz w:val="20"/>
          <w:szCs w:val="20"/>
          <w:lang w:val="en-US"/>
        </w:rPr>
        <w:t xml:space="preserve">by </w:t>
      </w:r>
      <w:r w:rsidR="00262FD1" w:rsidRPr="00177551">
        <w:rPr>
          <w:rFonts w:ascii="Arial" w:hAnsi="Arial" w:cs="Arial"/>
          <w:noProof/>
          <w:color w:val="000000" w:themeColor="text1"/>
          <w:sz w:val="20"/>
          <w:szCs w:val="20"/>
          <w:lang w:val="en-US"/>
        </w:rPr>
        <w:t>Buitelaar et al.</w:t>
      </w:r>
      <w:r w:rsidR="00262FD1" w:rsidRPr="00177551">
        <w:rPr>
          <w:rFonts w:ascii="Arial" w:hAnsi="Arial" w:cs="Arial"/>
          <w:color w:val="211E1E"/>
          <w:sz w:val="20"/>
          <w:szCs w:val="20"/>
          <w:lang w:val="en-US"/>
        </w:rPr>
        <w:t xml:space="preserve"> </w:t>
      </w:r>
      <w:r w:rsidR="007B3602" w:rsidRPr="00177551">
        <w:rPr>
          <w:rFonts w:ascii="Arial" w:hAnsi="Arial" w:cs="Arial"/>
          <w:color w:val="211E1E"/>
          <w:sz w:val="20"/>
          <w:szCs w:val="20"/>
          <w:lang w:val="en-US"/>
        </w:rPr>
        <w:t xml:space="preserve">(1995) </w:t>
      </w:r>
      <w:r w:rsidR="00E565CD" w:rsidRPr="00177551">
        <w:rPr>
          <w:rFonts w:ascii="Arial" w:hAnsi="Arial" w:cs="Arial"/>
          <w:color w:val="211E1E"/>
          <w:sz w:val="20"/>
          <w:szCs w:val="20"/>
          <w:lang w:val="en-US"/>
        </w:rPr>
        <w:t xml:space="preserve">included </w:t>
      </w:r>
      <w:r w:rsidR="00262FD1" w:rsidRPr="00177551">
        <w:rPr>
          <w:rFonts w:ascii="Arial" w:hAnsi="Arial" w:cs="Arial"/>
          <w:color w:val="211E1E"/>
          <w:sz w:val="20"/>
          <w:szCs w:val="20"/>
          <w:lang w:val="en-US"/>
        </w:rPr>
        <w:t xml:space="preserve">predominantly </w:t>
      </w:r>
      <w:r w:rsidR="00483D8D" w:rsidRPr="00177551">
        <w:rPr>
          <w:rFonts w:ascii="Arial" w:hAnsi="Arial" w:cs="Arial"/>
          <w:color w:val="211E1E"/>
          <w:sz w:val="20"/>
          <w:szCs w:val="20"/>
          <w:lang w:val="en-US"/>
        </w:rPr>
        <w:t>males (89%)</w:t>
      </w:r>
      <w:r w:rsidR="009C047F" w:rsidRPr="00177551">
        <w:rPr>
          <w:rFonts w:ascii="Arial" w:hAnsi="Arial" w:cs="Arial"/>
          <w:color w:val="211E1E"/>
          <w:sz w:val="20"/>
          <w:szCs w:val="20"/>
          <w:lang w:val="en-US"/>
        </w:rPr>
        <w:t xml:space="preserve"> – </w:t>
      </w:r>
      <w:r w:rsidR="007B3602" w:rsidRPr="00177551">
        <w:rPr>
          <w:rFonts w:ascii="Arial" w:hAnsi="Arial" w:cs="Arial"/>
          <w:color w:val="211E1E"/>
          <w:sz w:val="20"/>
          <w:szCs w:val="20"/>
          <w:lang w:val="en-US"/>
        </w:rPr>
        <w:t xml:space="preserve">understandably </w:t>
      </w:r>
      <w:r w:rsidR="009C047F" w:rsidRPr="00177551">
        <w:rPr>
          <w:rFonts w:ascii="Arial" w:hAnsi="Arial" w:cs="Arial"/>
          <w:color w:val="211E1E"/>
          <w:sz w:val="20"/>
          <w:szCs w:val="20"/>
          <w:lang w:val="en-US"/>
        </w:rPr>
        <w:t xml:space="preserve">given that </w:t>
      </w:r>
      <w:r w:rsidR="001F12BE" w:rsidRPr="00177551">
        <w:rPr>
          <w:rFonts w:ascii="Arial" w:hAnsi="Arial" w:cs="Arial"/>
          <w:color w:val="211E1E"/>
          <w:sz w:val="20"/>
          <w:szCs w:val="20"/>
          <w:lang w:val="en-US"/>
        </w:rPr>
        <w:t xml:space="preserve">ADHD is predominantly diagnosed in males </w:t>
      </w:r>
      <w:r w:rsidR="008857AD" w:rsidRPr="00177551">
        <w:rPr>
          <w:rFonts w:ascii="Arial" w:hAnsi="Arial" w:cs="Arial"/>
          <w:noProof/>
          <w:color w:val="211E1E"/>
          <w:sz w:val="20"/>
          <w:szCs w:val="20"/>
          <w:lang w:val="en-US"/>
        </w:rPr>
        <w:t>(Young et al., 2020)</w:t>
      </w:r>
      <w:r w:rsidR="009C047F" w:rsidRPr="00177551">
        <w:rPr>
          <w:rFonts w:ascii="Arial" w:hAnsi="Arial" w:cs="Arial"/>
          <w:color w:val="211E1E"/>
          <w:sz w:val="20"/>
          <w:szCs w:val="20"/>
          <w:lang w:val="en-US"/>
        </w:rPr>
        <w:t>. H</w:t>
      </w:r>
      <w:r w:rsidR="001F12BE" w:rsidRPr="00177551">
        <w:rPr>
          <w:rFonts w:ascii="Arial" w:hAnsi="Arial" w:cs="Arial"/>
          <w:color w:val="211E1E"/>
          <w:sz w:val="20"/>
          <w:szCs w:val="20"/>
          <w:lang w:val="en-US"/>
        </w:rPr>
        <w:t>owever</w:t>
      </w:r>
      <w:r w:rsidR="002824CC" w:rsidRPr="00177551">
        <w:rPr>
          <w:rFonts w:ascii="Arial" w:hAnsi="Arial" w:cs="Arial"/>
          <w:color w:val="211E1E"/>
          <w:sz w:val="20"/>
          <w:szCs w:val="20"/>
          <w:lang w:val="en-US"/>
        </w:rPr>
        <w:t>,</w:t>
      </w:r>
      <w:r w:rsidR="001F12BE" w:rsidRPr="00177551">
        <w:rPr>
          <w:rFonts w:ascii="Arial" w:hAnsi="Arial" w:cs="Arial"/>
          <w:color w:val="211E1E"/>
          <w:sz w:val="20"/>
          <w:szCs w:val="20"/>
          <w:lang w:val="en-US"/>
        </w:rPr>
        <w:t xml:space="preserve"> there is increasing recognition of sex-related differences in clinical presentation, underlying brain characteristics</w:t>
      </w:r>
      <w:r w:rsidR="007C3839" w:rsidRPr="00177551">
        <w:rPr>
          <w:rFonts w:ascii="Arial" w:hAnsi="Arial" w:cs="Arial"/>
          <w:color w:val="211E1E"/>
          <w:sz w:val="20"/>
          <w:szCs w:val="20"/>
          <w:lang w:val="en-US"/>
        </w:rPr>
        <w:t>,</w:t>
      </w:r>
      <w:r w:rsidR="001F12BE" w:rsidRPr="00177551">
        <w:rPr>
          <w:rFonts w:ascii="Arial" w:hAnsi="Arial" w:cs="Arial"/>
          <w:color w:val="211E1E"/>
          <w:sz w:val="20"/>
          <w:szCs w:val="20"/>
          <w:lang w:val="en-US"/>
        </w:rPr>
        <w:t xml:space="preserve"> and biological response to stimulants </w:t>
      </w:r>
      <w:r w:rsidR="00ED616A" w:rsidRPr="00177551">
        <w:rPr>
          <w:rFonts w:ascii="Arial" w:hAnsi="Arial" w:cs="Arial"/>
          <w:noProof/>
          <w:color w:val="211E1E"/>
          <w:sz w:val="20"/>
          <w:szCs w:val="20"/>
          <w:lang w:val="en-US"/>
        </w:rPr>
        <w:t>(Carucci et al., 2023, Parlatini et al., 2023, Manza et al., 2022)</w:t>
      </w:r>
      <w:r w:rsidR="001F12BE" w:rsidRPr="00177551">
        <w:rPr>
          <w:rFonts w:ascii="Arial" w:hAnsi="Arial" w:cs="Arial"/>
          <w:color w:val="211E1E"/>
          <w:sz w:val="20"/>
          <w:szCs w:val="20"/>
          <w:lang w:val="en-US"/>
        </w:rPr>
        <w:t xml:space="preserve">. </w:t>
      </w:r>
      <w:r w:rsidR="000E03CC" w:rsidRPr="00177551">
        <w:rPr>
          <w:rFonts w:ascii="Arial" w:hAnsi="Arial" w:cs="Arial"/>
          <w:color w:val="211E1E"/>
          <w:sz w:val="20"/>
          <w:szCs w:val="20"/>
          <w:lang w:val="en-US"/>
        </w:rPr>
        <w:t>Thus,</w:t>
      </w:r>
      <w:r w:rsidR="009C047F" w:rsidRPr="00177551">
        <w:rPr>
          <w:rFonts w:ascii="Arial" w:hAnsi="Arial" w:cs="Arial"/>
          <w:color w:val="211E1E"/>
          <w:sz w:val="20"/>
          <w:szCs w:val="20"/>
          <w:lang w:val="en-US"/>
        </w:rPr>
        <w:t xml:space="preserve"> future work </w:t>
      </w:r>
      <w:r w:rsidR="000E03CC" w:rsidRPr="00177551">
        <w:rPr>
          <w:rFonts w:ascii="Arial" w:hAnsi="Arial" w:cs="Arial"/>
          <w:color w:val="211E1E"/>
          <w:sz w:val="20"/>
          <w:szCs w:val="20"/>
          <w:lang w:val="en-US"/>
        </w:rPr>
        <w:t>need</w:t>
      </w:r>
      <w:r w:rsidR="009C047F" w:rsidRPr="00177551">
        <w:rPr>
          <w:rFonts w:ascii="Arial" w:hAnsi="Arial" w:cs="Arial"/>
          <w:color w:val="211E1E"/>
          <w:sz w:val="20"/>
          <w:szCs w:val="20"/>
          <w:lang w:val="en-US"/>
        </w:rPr>
        <w:t>s</w:t>
      </w:r>
      <w:r w:rsidR="000E03CC" w:rsidRPr="00177551">
        <w:rPr>
          <w:rFonts w:ascii="Arial" w:hAnsi="Arial" w:cs="Arial"/>
          <w:color w:val="211E1E"/>
          <w:sz w:val="20"/>
          <w:szCs w:val="20"/>
          <w:lang w:val="en-US"/>
        </w:rPr>
        <w:t xml:space="preserve"> to be extended to </w:t>
      </w:r>
      <w:r w:rsidR="009C047F" w:rsidRPr="00177551">
        <w:rPr>
          <w:rFonts w:ascii="Arial" w:hAnsi="Arial" w:cs="Arial"/>
          <w:color w:val="211E1E"/>
          <w:sz w:val="20"/>
          <w:szCs w:val="20"/>
          <w:lang w:val="en-US"/>
        </w:rPr>
        <w:t>populations that are frequently excluded from ADHD studies (e.g.</w:t>
      </w:r>
      <w:r w:rsidR="00297978" w:rsidRPr="00177551">
        <w:rPr>
          <w:rFonts w:ascii="Arial" w:hAnsi="Arial" w:cs="Arial"/>
          <w:color w:val="211E1E"/>
          <w:sz w:val="20"/>
          <w:szCs w:val="20"/>
          <w:lang w:val="en-US"/>
        </w:rPr>
        <w:t>,</w:t>
      </w:r>
      <w:r w:rsidR="009C047F" w:rsidRPr="00177551">
        <w:rPr>
          <w:rFonts w:ascii="Arial" w:hAnsi="Arial" w:cs="Arial"/>
          <w:color w:val="211E1E"/>
          <w:sz w:val="20"/>
          <w:szCs w:val="20"/>
          <w:lang w:val="en-US"/>
        </w:rPr>
        <w:t xml:space="preserve"> adults and/or </w:t>
      </w:r>
      <w:r w:rsidR="000E03CC" w:rsidRPr="00177551">
        <w:rPr>
          <w:rFonts w:ascii="Arial" w:hAnsi="Arial" w:cs="Arial"/>
          <w:color w:val="211E1E"/>
          <w:sz w:val="20"/>
          <w:szCs w:val="20"/>
          <w:lang w:val="en-US"/>
        </w:rPr>
        <w:t>females</w:t>
      </w:r>
      <w:r w:rsidR="009C047F" w:rsidRPr="00177551">
        <w:rPr>
          <w:rFonts w:ascii="Arial" w:hAnsi="Arial" w:cs="Arial"/>
          <w:color w:val="211E1E"/>
          <w:sz w:val="20"/>
          <w:szCs w:val="20"/>
          <w:lang w:val="en-US"/>
        </w:rPr>
        <w:t>)</w:t>
      </w:r>
      <w:r w:rsidR="000E03CC" w:rsidRPr="00177551">
        <w:rPr>
          <w:rFonts w:ascii="Arial" w:hAnsi="Arial" w:cs="Arial"/>
          <w:color w:val="211E1E"/>
          <w:sz w:val="20"/>
          <w:szCs w:val="20"/>
          <w:lang w:val="en-US"/>
        </w:rPr>
        <w:t xml:space="preserve"> to ensure generalizability. </w:t>
      </w:r>
      <w:r w:rsidR="00E565CD" w:rsidRPr="00177551">
        <w:rPr>
          <w:rFonts w:ascii="Arial" w:hAnsi="Arial" w:cs="Arial"/>
          <w:color w:val="211E1E"/>
          <w:sz w:val="20"/>
          <w:szCs w:val="20"/>
          <w:lang w:val="en-US"/>
        </w:rPr>
        <w:t>Finally</w:t>
      </w:r>
      <w:r w:rsidR="000E03CC" w:rsidRPr="00177551">
        <w:rPr>
          <w:rFonts w:ascii="Arial" w:hAnsi="Arial" w:cs="Arial"/>
          <w:color w:val="211E1E"/>
          <w:sz w:val="20"/>
          <w:szCs w:val="20"/>
          <w:lang w:val="en-US"/>
        </w:rPr>
        <w:t>, although accuracy estimates were quite high, these were based on a relatively small sample (N=46) and there were not internally or externally validated. Thus, replication is needed</w:t>
      </w:r>
      <w:r w:rsidR="007C3839" w:rsidRPr="00177551">
        <w:rPr>
          <w:rFonts w:ascii="Arial" w:hAnsi="Arial" w:cs="Arial"/>
          <w:color w:val="211E1E"/>
          <w:sz w:val="20"/>
          <w:szCs w:val="20"/>
          <w:lang w:val="en-US"/>
        </w:rPr>
        <w:t xml:space="preserve"> </w:t>
      </w:r>
      <w:proofErr w:type="gramStart"/>
      <w:r w:rsidR="007C3839" w:rsidRPr="00177551">
        <w:rPr>
          <w:rFonts w:ascii="Arial" w:hAnsi="Arial" w:cs="Arial"/>
          <w:color w:val="211E1E"/>
          <w:sz w:val="20"/>
          <w:szCs w:val="20"/>
          <w:lang w:val="en-US"/>
        </w:rPr>
        <w:t>in order to</w:t>
      </w:r>
      <w:proofErr w:type="gramEnd"/>
      <w:r w:rsidR="007C3839" w:rsidRPr="00177551">
        <w:rPr>
          <w:rFonts w:ascii="Arial" w:hAnsi="Arial" w:cs="Arial"/>
          <w:color w:val="211E1E"/>
          <w:sz w:val="20"/>
          <w:szCs w:val="20"/>
          <w:lang w:val="en-US"/>
        </w:rPr>
        <w:t xml:space="preserve"> adhere to the </w:t>
      </w:r>
      <w:r w:rsidR="0023021C" w:rsidRPr="00177551">
        <w:rPr>
          <w:rFonts w:ascii="Arial" w:hAnsi="Arial" w:cs="Arial"/>
          <w:color w:val="211E1E"/>
          <w:sz w:val="20"/>
          <w:szCs w:val="20"/>
          <w:lang w:val="en-US"/>
        </w:rPr>
        <w:t>requirements</w:t>
      </w:r>
      <w:r w:rsidR="007C3839" w:rsidRPr="00177551">
        <w:rPr>
          <w:rFonts w:ascii="Arial" w:hAnsi="Arial" w:cs="Arial"/>
          <w:color w:val="211E1E"/>
          <w:sz w:val="20"/>
          <w:szCs w:val="20"/>
          <w:lang w:val="en-US"/>
        </w:rPr>
        <w:t xml:space="preserve"> of precision medicine </w:t>
      </w:r>
      <w:r w:rsidR="00ED616A" w:rsidRPr="00177551">
        <w:rPr>
          <w:rFonts w:ascii="Arial" w:hAnsi="Arial" w:cs="Arial"/>
          <w:noProof/>
          <w:color w:val="211E1E"/>
          <w:sz w:val="20"/>
          <w:szCs w:val="20"/>
          <w:lang w:val="en-US"/>
        </w:rPr>
        <w:t>(Cortese, 2021, Buitelaar et al., 2022)</w:t>
      </w:r>
      <w:r w:rsidR="000E03CC" w:rsidRPr="00177551">
        <w:rPr>
          <w:rFonts w:ascii="Arial" w:hAnsi="Arial" w:cs="Arial"/>
          <w:color w:val="211E1E"/>
          <w:sz w:val="20"/>
          <w:szCs w:val="20"/>
          <w:lang w:val="en-US"/>
        </w:rPr>
        <w:t xml:space="preserve">. </w:t>
      </w:r>
      <w:r w:rsidR="00E565CD" w:rsidRPr="00177551">
        <w:rPr>
          <w:rFonts w:ascii="Arial" w:hAnsi="Arial" w:cs="Arial"/>
          <w:color w:val="211E1E"/>
          <w:sz w:val="20"/>
          <w:szCs w:val="20"/>
          <w:lang w:val="en-US"/>
        </w:rPr>
        <w:t xml:space="preserve">The remaining RCTs </w:t>
      </w:r>
      <w:r w:rsidR="00297978" w:rsidRPr="00177551">
        <w:rPr>
          <w:rFonts w:ascii="Arial" w:hAnsi="Arial" w:cs="Arial"/>
          <w:color w:val="211E1E"/>
          <w:sz w:val="20"/>
          <w:szCs w:val="20"/>
          <w:lang w:val="en-US"/>
        </w:rPr>
        <w:t xml:space="preserve">that we described here </w:t>
      </w:r>
      <w:r w:rsidR="00E565CD" w:rsidRPr="00177551">
        <w:rPr>
          <w:rFonts w:ascii="Arial" w:hAnsi="Arial" w:cs="Arial"/>
          <w:color w:val="211E1E"/>
          <w:sz w:val="20"/>
          <w:szCs w:val="20"/>
          <w:lang w:val="en-US"/>
        </w:rPr>
        <w:t xml:space="preserve">did not specifically test the hypothesis </w:t>
      </w:r>
      <w:r w:rsidR="00275C72" w:rsidRPr="00177551">
        <w:rPr>
          <w:rFonts w:ascii="Arial" w:hAnsi="Arial" w:cs="Arial"/>
          <w:color w:val="211E1E"/>
          <w:sz w:val="20"/>
          <w:szCs w:val="20"/>
          <w:lang w:val="en-US"/>
        </w:rPr>
        <w:t>o</w:t>
      </w:r>
      <w:r w:rsidR="00E565CD" w:rsidRPr="00177551">
        <w:rPr>
          <w:rFonts w:ascii="Arial" w:hAnsi="Arial" w:cs="Arial"/>
          <w:color w:val="211E1E"/>
          <w:sz w:val="20"/>
          <w:szCs w:val="20"/>
          <w:lang w:val="en-US"/>
        </w:rPr>
        <w:t xml:space="preserve">f interest but reported significant </w:t>
      </w:r>
      <w:r w:rsidR="00E565CD" w:rsidRPr="00177551">
        <w:rPr>
          <w:rFonts w:ascii="Arial" w:hAnsi="Arial" w:cs="Arial"/>
          <w:color w:val="211E1E"/>
          <w:sz w:val="20"/>
          <w:szCs w:val="20"/>
          <w:lang w:val="en-US"/>
        </w:rPr>
        <w:lastRenderedPageBreak/>
        <w:t>changes under a single dose of medication on a variety of outcomes, ranging from cognitive to electrophysiological and neuroimaging measures. Although studies in adults or using amphetamines were limited, and the potential clinical applicability of these techniques varies, these findings suggest that a response to a single dose can be detected at multiple levels</w:t>
      </w:r>
      <w:r w:rsidR="00262FD1" w:rsidRPr="00177551">
        <w:rPr>
          <w:rFonts w:ascii="Arial" w:hAnsi="Arial" w:cs="Arial"/>
          <w:color w:val="211E1E"/>
          <w:sz w:val="20"/>
          <w:szCs w:val="20"/>
          <w:lang w:val="en-US"/>
        </w:rPr>
        <w:t xml:space="preserve">. Overall, the available limited body of research </w:t>
      </w:r>
      <w:r w:rsidR="00E565CD" w:rsidRPr="00177551">
        <w:rPr>
          <w:rFonts w:ascii="Arial" w:hAnsi="Arial" w:cs="Arial"/>
          <w:color w:val="000000" w:themeColor="text1"/>
          <w:sz w:val="20"/>
          <w:szCs w:val="20"/>
          <w:lang w:val="en-US"/>
        </w:rPr>
        <w:t xml:space="preserve">should </w:t>
      </w:r>
      <w:r w:rsidR="00E565CD" w:rsidRPr="00177551">
        <w:rPr>
          <w:rFonts w:ascii="Arial" w:hAnsi="Arial" w:cs="Arial"/>
          <w:color w:val="211E1E"/>
          <w:sz w:val="20"/>
          <w:szCs w:val="20"/>
          <w:lang w:val="en-US"/>
        </w:rPr>
        <w:t xml:space="preserve">encourage </w:t>
      </w:r>
      <w:r w:rsidR="00E565CD" w:rsidRPr="00177551">
        <w:rPr>
          <w:rFonts w:ascii="Arial" w:hAnsi="Arial" w:cs="Arial"/>
          <w:color w:val="000000" w:themeColor="text1"/>
          <w:sz w:val="20"/>
          <w:szCs w:val="20"/>
          <w:lang w:val="en-US"/>
        </w:rPr>
        <w:t xml:space="preserve">further </w:t>
      </w:r>
      <w:r w:rsidR="00E565CD" w:rsidRPr="00177551">
        <w:rPr>
          <w:rFonts w:ascii="Arial" w:hAnsi="Arial" w:cs="Arial"/>
          <w:color w:val="211E1E"/>
          <w:sz w:val="20"/>
          <w:szCs w:val="20"/>
          <w:lang w:val="en-US"/>
        </w:rPr>
        <w:t>research on the relationship between acute and longer-term response.</w:t>
      </w:r>
      <w:r w:rsidR="007B3602" w:rsidRPr="00177551">
        <w:rPr>
          <w:rFonts w:ascii="Arial" w:hAnsi="Arial" w:cs="Arial"/>
          <w:color w:val="000000" w:themeColor="text1"/>
          <w:sz w:val="20"/>
          <w:szCs w:val="20"/>
          <w:lang w:val="en-US"/>
        </w:rPr>
        <w:t xml:space="preserve"> </w:t>
      </w:r>
      <w:r w:rsidR="00297978" w:rsidRPr="00177551">
        <w:rPr>
          <w:rFonts w:ascii="Arial" w:hAnsi="Arial" w:cs="Arial"/>
          <w:color w:val="000000" w:themeColor="text1"/>
          <w:sz w:val="20"/>
          <w:szCs w:val="20"/>
          <w:lang w:val="en-US"/>
        </w:rPr>
        <w:t xml:space="preserve">Notably, we only included </w:t>
      </w:r>
      <w:proofErr w:type="gramStart"/>
      <w:r w:rsidR="00297978" w:rsidRPr="00177551">
        <w:rPr>
          <w:rFonts w:ascii="Arial" w:hAnsi="Arial" w:cs="Arial"/>
          <w:color w:val="000000" w:themeColor="text1"/>
          <w:sz w:val="20"/>
          <w:szCs w:val="20"/>
          <w:lang w:val="en-US"/>
        </w:rPr>
        <w:t>placebo-controlled</w:t>
      </w:r>
      <w:proofErr w:type="gramEnd"/>
      <w:r w:rsidR="00297978" w:rsidRPr="00177551">
        <w:rPr>
          <w:rFonts w:ascii="Arial" w:hAnsi="Arial" w:cs="Arial"/>
          <w:color w:val="000000" w:themeColor="text1"/>
          <w:sz w:val="20"/>
          <w:szCs w:val="20"/>
          <w:lang w:val="en-US"/>
        </w:rPr>
        <w:t xml:space="preserve"> RCTs, thus there is a possibility that studies using a different design may have tested this association, but they would be less rigorous and potentially </w:t>
      </w:r>
      <w:r w:rsidR="00262FD1" w:rsidRPr="00177551">
        <w:rPr>
          <w:rFonts w:ascii="Arial" w:hAnsi="Arial" w:cs="Arial"/>
          <w:color w:val="000000" w:themeColor="text1"/>
          <w:sz w:val="20"/>
          <w:szCs w:val="20"/>
          <w:lang w:val="en-US"/>
        </w:rPr>
        <w:t xml:space="preserve">prone </w:t>
      </w:r>
      <w:r w:rsidR="00297978" w:rsidRPr="00177551">
        <w:rPr>
          <w:rFonts w:ascii="Arial" w:hAnsi="Arial" w:cs="Arial"/>
          <w:color w:val="000000" w:themeColor="text1"/>
          <w:sz w:val="20"/>
          <w:szCs w:val="20"/>
          <w:lang w:val="en-US"/>
        </w:rPr>
        <w:t>to placebo effects or other sources of bias.</w:t>
      </w:r>
    </w:p>
    <w:p w14:paraId="5A9499F0" w14:textId="77777777" w:rsidR="005A3F84" w:rsidRPr="00177551" w:rsidRDefault="005A3F84" w:rsidP="0023021C">
      <w:pPr>
        <w:spacing w:line="480" w:lineRule="auto"/>
        <w:ind w:left="-851" w:right="-761"/>
        <w:contextualSpacing/>
        <w:rPr>
          <w:rFonts w:ascii="Arial" w:hAnsi="Arial" w:cs="Arial"/>
          <w:b/>
          <w:bCs/>
          <w:color w:val="000000" w:themeColor="text1"/>
          <w:sz w:val="20"/>
          <w:szCs w:val="20"/>
          <w:lang w:val="en-US"/>
        </w:rPr>
      </w:pPr>
    </w:p>
    <w:p w14:paraId="213C8A68" w14:textId="51E2DFB3" w:rsidR="002B0231" w:rsidRPr="00177551" w:rsidRDefault="00997E26" w:rsidP="0023021C">
      <w:pPr>
        <w:spacing w:line="480" w:lineRule="auto"/>
        <w:ind w:left="-851" w:right="-761"/>
        <w:contextualSpacing/>
        <w:rPr>
          <w:rFonts w:ascii="Arial" w:hAnsi="Arial" w:cs="Arial"/>
          <w:color w:val="211E1E"/>
          <w:sz w:val="20"/>
          <w:szCs w:val="20"/>
          <w:lang w:val="en-US"/>
        </w:rPr>
      </w:pPr>
      <w:r w:rsidRPr="00177551">
        <w:rPr>
          <w:rFonts w:ascii="Arial" w:hAnsi="Arial" w:cs="Arial"/>
          <w:b/>
          <w:bCs/>
          <w:color w:val="000000" w:themeColor="text1"/>
          <w:sz w:val="20"/>
          <w:szCs w:val="20"/>
          <w:lang w:val="en-US"/>
        </w:rPr>
        <w:t>CONCLUSION</w:t>
      </w:r>
    </w:p>
    <w:p w14:paraId="56833548" w14:textId="1C830E91" w:rsidR="005D0BA3" w:rsidRPr="00177551" w:rsidRDefault="007C3839" w:rsidP="0023021C">
      <w:pPr>
        <w:spacing w:line="480" w:lineRule="auto"/>
        <w:ind w:left="-851" w:right="-761"/>
        <w:contextualSpacing/>
        <w:rPr>
          <w:rFonts w:ascii="Arial" w:hAnsi="Arial" w:cs="Arial"/>
          <w:color w:val="211E1E"/>
          <w:sz w:val="20"/>
          <w:szCs w:val="20"/>
          <w:lang w:val="en-US"/>
        </w:rPr>
      </w:pPr>
      <w:r w:rsidRPr="00177551">
        <w:rPr>
          <w:rFonts w:ascii="Arial" w:hAnsi="Arial" w:cs="Arial"/>
          <w:color w:val="211E1E"/>
          <w:sz w:val="20"/>
          <w:szCs w:val="20"/>
          <w:lang w:val="en-US"/>
        </w:rPr>
        <w:t xml:space="preserve">Despite the </w:t>
      </w:r>
      <w:r w:rsidR="00262FD1" w:rsidRPr="00177551">
        <w:rPr>
          <w:rFonts w:ascii="Arial" w:hAnsi="Arial" w:cs="Arial"/>
          <w:color w:val="211E1E"/>
          <w:sz w:val="20"/>
          <w:szCs w:val="20"/>
          <w:lang w:val="en-US"/>
        </w:rPr>
        <w:t xml:space="preserve">large </w:t>
      </w:r>
      <w:r w:rsidRPr="00177551">
        <w:rPr>
          <w:rFonts w:ascii="Arial" w:hAnsi="Arial" w:cs="Arial"/>
          <w:color w:val="211E1E"/>
          <w:sz w:val="20"/>
          <w:szCs w:val="20"/>
          <w:lang w:val="en-US"/>
        </w:rPr>
        <w:t>number of RCTs conducted in ADHD, th</w:t>
      </w:r>
      <w:r w:rsidR="00262FD1" w:rsidRPr="00177551">
        <w:rPr>
          <w:rFonts w:ascii="Arial" w:hAnsi="Arial" w:cs="Arial"/>
          <w:color w:val="211E1E"/>
          <w:sz w:val="20"/>
          <w:szCs w:val="20"/>
          <w:lang w:val="en-US"/>
        </w:rPr>
        <w:t>is</w:t>
      </w:r>
      <w:r w:rsidRPr="00177551">
        <w:rPr>
          <w:rFonts w:ascii="Arial" w:hAnsi="Arial" w:cs="Arial"/>
          <w:color w:val="211E1E"/>
          <w:sz w:val="20"/>
          <w:szCs w:val="20"/>
          <w:lang w:val="en-US"/>
        </w:rPr>
        <w:t xml:space="preserve"> systematic review identified only one </w:t>
      </w:r>
      <w:r w:rsidR="00262FD1" w:rsidRPr="00177551">
        <w:rPr>
          <w:rFonts w:ascii="Arial" w:hAnsi="Arial" w:cs="Arial"/>
          <w:color w:val="211E1E"/>
          <w:sz w:val="20"/>
          <w:szCs w:val="20"/>
          <w:lang w:val="en-US"/>
        </w:rPr>
        <w:t xml:space="preserve">RCT </w:t>
      </w:r>
      <w:r w:rsidRPr="00177551">
        <w:rPr>
          <w:rFonts w:ascii="Arial" w:hAnsi="Arial" w:cs="Arial"/>
          <w:color w:val="211E1E"/>
          <w:sz w:val="20"/>
          <w:szCs w:val="20"/>
          <w:lang w:val="en-US"/>
        </w:rPr>
        <w:t xml:space="preserve">specifically investigating </w:t>
      </w:r>
      <w:r w:rsidRPr="00177551">
        <w:rPr>
          <w:rFonts w:ascii="Arial" w:hAnsi="Arial" w:cs="Arial"/>
          <w:color w:val="000000" w:themeColor="text1"/>
          <w:sz w:val="20"/>
          <w:szCs w:val="20"/>
          <w:lang w:val="en-US"/>
        </w:rPr>
        <w:t>the relationship between acute and longer-term clinical response to stimulants.</w:t>
      </w:r>
      <w:r w:rsidR="00E565CD" w:rsidRPr="00177551">
        <w:rPr>
          <w:rFonts w:ascii="Arial" w:hAnsi="Arial" w:cs="Arial"/>
          <w:color w:val="000000" w:themeColor="text1"/>
          <w:sz w:val="20"/>
          <w:szCs w:val="20"/>
          <w:lang w:val="en-US"/>
        </w:rPr>
        <w:t xml:space="preserve"> </w:t>
      </w:r>
      <w:r w:rsidR="00275C72" w:rsidRPr="00177551">
        <w:rPr>
          <w:rFonts w:ascii="Arial" w:hAnsi="Arial" w:cs="Arial"/>
          <w:color w:val="000000" w:themeColor="text1"/>
          <w:sz w:val="20"/>
          <w:szCs w:val="20"/>
          <w:lang w:val="en-US"/>
        </w:rPr>
        <w:t>This</w:t>
      </w:r>
      <w:r w:rsidR="00E565CD" w:rsidRPr="00177551">
        <w:rPr>
          <w:rFonts w:ascii="Arial" w:hAnsi="Arial" w:cs="Arial"/>
          <w:color w:val="000000" w:themeColor="text1"/>
          <w:sz w:val="20"/>
          <w:szCs w:val="20"/>
          <w:lang w:val="en-US"/>
        </w:rPr>
        <w:t xml:space="preserve"> prevents us </w:t>
      </w:r>
      <w:r w:rsidR="009C047F" w:rsidRPr="00177551">
        <w:rPr>
          <w:rFonts w:ascii="Arial" w:hAnsi="Arial" w:cs="Arial"/>
          <w:color w:val="000000" w:themeColor="text1"/>
          <w:sz w:val="20"/>
          <w:szCs w:val="20"/>
          <w:lang w:val="en-US"/>
        </w:rPr>
        <w:t xml:space="preserve">from </w:t>
      </w:r>
      <w:r w:rsidR="00E565CD" w:rsidRPr="00177551">
        <w:rPr>
          <w:rFonts w:ascii="Arial" w:hAnsi="Arial" w:cs="Arial"/>
          <w:color w:val="000000" w:themeColor="text1"/>
          <w:sz w:val="20"/>
          <w:szCs w:val="20"/>
          <w:lang w:val="en-US"/>
        </w:rPr>
        <w:t>draw</w:t>
      </w:r>
      <w:r w:rsidR="009C047F" w:rsidRPr="00177551">
        <w:rPr>
          <w:rFonts w:ascii="Arial" w:hAnsi="Arial" w:cs="Arial"/>
          <w:color w:val="000000" w:themeColor="text1"/>
          <w:sz w:val="20"/>
          <w:szCs w:val="20"/>
          <w:lang w:val="en-US"/>
        </w:rPr>
        <w:t>ing</w:t>
      </w:r>
      <w:r w:rsidR="00E565CD" w:rsidRPr="00177551">
        <w:rPr>
          <w:rFonts w:ascii="Arial" w:hAnsi="Arial" w:cs="Arial"/>
          <w:color w:val="000000" w:themeColor="text1"/>
          <w:sz w:val="20"/>
          <w:szCs w:val="20"/>
          <w:lang w:val="en-US"/>
        </w:rPr>
        <w:t xml:space="preserve"> definitive conclusions on this association.</w:t>
      </w:r>
      <w:r w:rsidR="0023021C" w:rsidRPr="00177551">
        <w:rPr>
          <w:rFonts w:ascii="Arial" w:hAnsi="Arial" w:cs="Arial"/>
          <w:color w:val="000000" w:themeColor="text1"/>
          <w:sz w:val="20"/>
          <w:szCs w:val="20"/>
          <w:lang w:val="en-US"/>
        </w:rPr>
        <w:t xml:space="preserve"> F</w:t>
      </w:r>
      <w:r w:rsidR="005C58B7" w:rsidRPr="00177551">
        <w:rPr>
          <w:rFonts w:ascii="Arial" w:hAnsi="Arial" w:cs="Arial"/>
          <w:color w:val="000000" w:themeColor="text1"/>
          <w:sz w:val="20"/>
          <w:szCs w:val="20"/>
          <w:lang w:val="en-US"/>
        </w:rPr>
        <w:t xml:space="preserve">urther, studies primarily focused on MPH effects in male children. Thus, </w:t>
      </w:r>
      <w:r w:rsidR="005C58B7" w:rsidRPr="00177551">
        <w:rPr>
          <w:rFonts w:ascii="Arial" w:hAnsi="Arial" w:cs="Arial"/>
          <w:color w:val="211E1E"/>
          <w:sz w:val="20"/>
          <w:szCs w:val="20"/>
          <w:lang w:val="en-US"/>
        </w:rPr>
        <w:t>f</w:t>
      </w:r>
      <w:r w:rsidRPr="00177551">
        <w:rPr>
          <w:rFonts w:ascii="Arial" w:hAnsi="Arial" w:cs="Arial"/>
          <w:color w:val="211E1E"/>
          <w:sz w:val="20"/>
          <w:szCs w:val="20"/>
          <w:lang w:val="en-US"/>
        </w:rPr>
        <w:t>uture studies need to investigate potential differences between children and adults</w:t>
      </w:r>
      <w:r w:rsidR="005C58B7" w:rsidRPr="00177551">
        <w:rPr>
          <w:rFonts w:ascii="Arial" w:hAnsi="Arial" w:cs="Arial"/>
          <w:color w:val="211E1E"/>
          <w:sz w:val="20"/>
          <w:szCs w:val="20"/>
          <w:lang w:val="en-US"/>
        </w:rPr>
        <w:t xml:space="preserve">, </w:t>
      </w:r>
      <w:proofErr w:type="gramStart"/>
      <w:r w:rsidR="005C58B7" w:rsidRPr="00177551">
        <w:rPr>
          <w:rFonts w:ascii="Arial" w:hAnsi="Arial" w:cs="Arial"/>
          <w:color w:val="211E1E"/>
          <w:sz w:val="20"/>
          <w:szCs w:val="20"/>
          <w:lang w:val="en-US"/>
        </w:rPr>
        <w:t>males</w:t>
      </w:r>
      <w:proofErr w:type="gramEnd"/>
      <w:r w:rsidR="005C58B7" w:rsidRPr="00177551">
        <w:rPr>
          <w:rFonts w:ascii="Arial" w:hAnsi="Arial" w:cs="Arial"/>
          <w:color w:val="211E1E"/>
          <w:sz w:val="20"/>
          <w:szCs w:val="20"/>
          <w:lang w:val="en-US"/>
        </w:rPr>
        <w:t xml:space="preserve"> and females,</w:t>
      </w:r>
      <w:r w:rsidRPr="00177551">
        <w:rPr>
          <w:rFonts w:ascii="Arial" w:hAnsi="Arial" w:cs="Arial"/>
          <w:color w:val="211E1E"/>
          <w:sz w:val="20"/>
          <w:szCs w:val="20"/>
          <w:lang w:val="en-US"/>
        </w:rPr>
        <w:t xml:space="preserve"> and among ADHD medications.</w:t>
      </w:r>
    </w:p>
    <w:p w14:paraId="348816B1" w14:textId="77777777" w:rsidR="005A3F84" w:rsidRPr="00177551" w:rsidRDefault="005A3F84" w:rsidP="0023021C">
      <w:pPr>
        <w:spacing w:line="480" w:lineRule="auto"/>
        <w:ind w:left="-851" w:right="-761"/>
        <w:contextualSpacing/>
        <w:rPr>
          <w:rFonts w:ascii="Arial" w:hAnsi="Arial" w:cs="Arial"/>
          <w:b/>
          <w:bCs/>
          <w:color w:val="211E1E"/>
          <w:sz w:val="20"/>
          <w:szCs w:val="20"/>
          <w:lang w:val="en-US"/>
        </w:rPr>
      </w:pPr>
    </w:p>
    <w:p w14:paraId="3B36B8A3" w14:textId="77777777" w:rsidR="00275C72" w:rsidRPr="00177551" w:rsidRDefault="00997E26" w:rsidP="0023021C">
      <w:pPr>
        <w:spacing w:line="480" w:lineRule="auto"/>
        <w:ind w:left="-851" w:right="-761"/>
        <w:contextualSpacing/>
        <w:rPr>
          <w:rFonts w:ascii="Arial" w:hAnsi="Arial" w:cs="Arial"/>
          <w:b/>
          <w:bCs/>
          <w:color w:val="211E1E"/>
          <w:sz w:val="20"/>
          <w:szCs w:val="20"/>
          <w:lang w:val="en-US"/>
        </w:rPr>
      </w:pPr>
      <w:r w:rsidRPr="00177551">
        <w:rPr>
          <w:rFonts w:ascii="Arial" w:hAnsi="Arial" w:cs="Arial"/>
          <w:b/>
          <w:bCs/>
          <w:color w:val="211E1E"/>
          <w:sz w:val="20"/>
          <w:szCs w:val="20"/>
          <w:lang w:val="en-US"/>
        </w:rPr>
        <w:t xml:space="preserve">CLINICAL SIGNIFICANCE </w:t>
      </w:r>
    </w:p>
    <w:p w14:paraId="55C89F7E" w14:textId="36196381" w:rsidR="005D0BA3" w:rsidRPr="00177551" w:rsidRDefault="003A6494" w:rsidP="0023021C">
      <w:pPr>
        <w:spacing w:line="480" w:lineRule="auto"/>
        <w:ind w:left="-851" w:right="-761"/>
        <w:contextualSpacing/>
        <w:rPr>
          <w:rFonts w:ascii="Arial" w:hAnsi="Arial" w:cs="Arial"/>
          <w:color w:val="211E1E"/>
          <w:sz w:val="20"/>
          <w:szCs w:val="20"/>
          <w:lang w:val="en-US"/>
        </w:rPr>
      </w:pPr>
      <w:r w:rsidRPr="00177551">
        <w:rPr>
          <w:rFonts w:ascii="Arial" w:hAnsi="Arial" w:cs="Arial"/>
          <w:color w:val="211E1E"/>
          <w:sz w:val="20"/>
          <w:szCs w:val="20"/>
          <w:lang w:val="en-US"/>
        </w:rPr>
        <w:t>Investigating</w:t>
      </w:r>
      <w:r w:rsidR="00F40B9B" w:rsidRPr="00177551">
        <w:rPr>
          <w:rFonts w:ascii="Arial" w:hAnsi="Arial" w:cs="Arial"/>
          <w:color w:val="211E1E"/>
          <w:sz w:val="20"/>
          <w:szCs w:val="20"/>
          <w:lang w:val="en-US"/>
        </w:rPr>
        <w:t xml:space="preserve"> how </w:t>
      </w:r>
      <w:r w:rsidRPr="00177551">
        <w:rPr>
          <w:rFonts w:ascii="Arial" w:hAnsi="Arial" w:cs="Arial"/>
          <w:color w:val="211E1E"/>
          <w:sz w:val="20"/>
          <w:szCs w:val="20"/>
          <w:lang w:val="en-US"/>
        </w:rPr>
        <w:t>acute and long-term response are</w:t>
      </w:r>
      <w:r w:rsidR="00F40B9B" w:rsidRPr="00177551">
        <w:rPr>
          <w:rFonts w:ascii="Arial" w:hAnsi="Arial" w:cs="Arial"/>
          <w:color w:val="211E1E"/>
          <w:sz w:val="20"/>
          <w:szCs w:val="20"/>
          <w:lang w:val="en-US"/>
        </w:rPr>
        <w:t xml:space="preserve"> related can foster our understanding of stimulant mechanism of action but also support the development of </w:t>
      </w:r>
      <w:r w:rsidR="00BE6B12" w:rsidRPr="00177551">
        <w:rPr>
          <w:rFonts w:ascii="Arial" w:hAnsi="Arial" w:cs="Arial"/>
          <w:color w:val="211E1E"/>
          <w:sz w:val="20"/>
          <w:szCs w:val="20"/>
          <w:lang w:val="en-US"/>
        </w:rPr>
        <w:t xml:space="preserve">stratification approaches that can </w:t>
      </w:r>
      <w:r w:rsidR="00262FD1" w:rsidRPr="00177551">
        <w:rPr>
          <w:rFonts w:ascii="Arial" w:hAnsi="Arial" w:cs="Arial"/>
          <w:color w:val="211E1E"/>
          <w:sz w:val="20"/>
          <w:szCs w:val="20"/>
          <w:lang w:val="en-US"/>
        </w:rPr>
        <w:t xml:space="preserve">inform personalized </w:t>
      </w:r>
      <w:r w:rsidR="00BE6B12" w:rsidRPr="00177551">
        <w:rPr>
          <w:rFonts w:ascii="Arial" w:hAnsi="Arial" w:cs="Arial"/>
          <w:color w:val="211E1E"/>
          <w:sz w:val="20"/>
          <w:szCs w:val="20"/>
          <w:lang w:val="en-US"/>
        </w:rPr>
        <w:t>treatment strategies in ADHD</w:t>
      </w:r>
      <w:r w:rsidR="00F40B9B" w:rsidRPr="00177551">
        <w:rPr>
          <w:rFonts w:ascii="Arial" w:hAnsi="Arial" w:cs="Arial"/>
          <w:color w:val="211E1E"/>
          <w:sz w:val="20"/>
          <w:szCs w:val="20"/>
          <w:lang w:val="en-US"/>
        </w:rPr>
        <w:t xml:space="preserve">. </w:t>
      </w:r>
      <w:r w:rsidR="00262FD1" w:rsidRPr="00177551">
        <w:rPr>
          <w:rFonts w:ascii="Arial" w:hAnsi="Arial" w:cs="Arial"/>
          <w:color w:val="211E1E"/>
          <w:sz w:val="20"/>
          <w:szCs w:val="20"/>
          <w:lang w:val="en-US"/>
        </w:rPr>
        <w:t>However, currently</w:t>
      </w:r>
      <w:r w:rsidR="003D58FD" w:rsidRPr="00177551">
        <w:rPr>
          <w:rFonts w:ascii="Arial" w:hAnsi="Arial" w:cs="Arial"/>
          <w:color w:val="211E1E"/>
          <w:sz w:val="20"/>
          <w:szCs w:val="20"/>
          <w:lang w:val="en-US"/>
        </w:rPr>
        <w:t>, it is not possible to predict in advance who is going to respond, which means that individuals may undergo multiple trials of medication before the</w:t>
      </w:r>
      <w:r w:rsidR="007C3839" w:rsidRPr="00177551">
        <w:rPr>
          <w:rFonts w:ascii="Arial" w:hAnsi="Arial" w:cs="Arial"/>
          <w:color w:val="211E1E"/>
          <w:sz w:val="20"/>
          <w:szCs w:val="20"/>
          <w:lang w:val="en-US"/>
        </w:rPr>
        <w:t xml:space="preserve"> optimal</w:t>
      </w:r>
      <w:r w:rsidR="003D58FD" w:rsidRPr="00177551">
        <w:rPr>
          <w:rFonts w:ascii="Arial" w:hAnsi="Arial" w:cs="Arial"/>
          <w:color w:val="211E1E"/>
          <w:sz w:val="20"/>
          <w:szCs w:val="20"/>
          <w:lang w:val="en-US"/>
        </w:rPr>
        <w:t xml:space="preserve"> treatment is identified. </w:t>
      </w:r>
      <w:r w:rsidR="00BE6B12" w:rsidRPr="00177551">
        <w:rPr>
          <w:rFonts w:ascii="Arial" w:hAnsi="Arial" w:cs="Arial"/>
          <w:color w:val="211E1E"/>
          <w:sz w:val="20"/>
          <w:szCs w:val="20"/>
          <w:lang w:val="en-US"/>
        </w:rPr>
        <w:t xml:space="preserve">Further, although many individuals will respond to either MPH or amphetamines </w:t>
      </w:r>
      <w:r w:rsidR="00ED616A" w:rsidRPr="00177551">
        <w:rPr>
          <w:rFonts w:ascii="Arial" w:hAnsi="Arial" w:cs="Arial"/>
          <w:noProof/>
          <w:color w:val="211E1E"/>
          <w:sz w:val="20"/>
          <w:szCs w:val="20"/>
          <w:lang w:val="en-US"/>
        </w:rPr>
        <w:t>(Hodgkins et al., 2012)</w:t>
      </w:r>
      <w:r w:rsidR="00BE6B12" w:rsidRPr="00177551">
        <w:rPr>
          <w:rFonts w:ascii="Arial" w:hAnsi="Arial" w:cs="Arial"/>
          <w:color w:val="211E1E"/>
          <w:sz w:val="20"/>
          <w:szCs w:val="20"/>
          <w:lang w:val="en-US"/>
        </w:rPr>
        <w:t xml:space="preserve">, there is no current evidence to guide decision on which medication may best benefit an individual. </w:t>
      </w:r>
      <w:r w:rsidR="00262FD1" w:rsidRPr="00177551">
        <w:rPr>
          <w:rFonts w:ascii="Arial" w:hAnsi="Arial" w:cs="Arial"/>
          <w:color w:val="211E1E"/>
          <w:sz w:val="20"/>
          <w:szCs w:val="20"/>
          <w:lang w:val="en-US"/>
        </w:rPr>
        <w:t>Extending the evidence f</w:t>
      </w:r>
      <w:r w:rsidR="00106AA6" w:rsidRPr="00177551">
        <w:rPr>
          <w:rFonts w:ascii="Arial" w:hAnsi="Arial" w:cs="Arial"/>
          <w:color w:val="211E1E"/>
          <w:sz w:val="20"/>
          <w:szCs w:val="20"/>
          <w:lang w:val="en-US"/>
        </w:rPr>
        <w:t>rom</w:t>
      </w:r>
      <w:r w:rsidR="00262FD1" w:rsidRPr="00177551">
        <w:rPr>
          <w:rFonts w:ascii="Arial" w:hAnsi="Arial" w:cs="Arial"/>
          <w:color w:val="211E1E"/>
          <w:sz w:val="20"/>
          <w:szCs w:val="20"/>
          <w:lang w:val="en-US"/>
        </w:rPr>
        <w:t xml:space="preserve"> the only RCT that has attempted to identify predictors of treatment response</w:t>
      </w:r>
      <w:r w:rsidR="00106AA6" w:rsidRPr="00177551">
        <w:rPr>
          <w:rFonts w:ascii="Arial" w:hAnsi="Arial" w:cs="Arial"/>
          <w:color w:val="211E1E"/>
          <w:sz w:val="20"/>
          <w:szCs w:val="20"/>
          <w:lang w:val="en-US"/>
        </w:rPr>
        <w:t xml:space="preserve"> based on </w:t>
      </w:r>
      <w:r w:rsidR="004A56BF" w:rsidRPr="00177551">
        <w:rPr>
          <w:rFonts w:ascii="Arial" w:hAnsi="Arial" w:cs="Arial"/>
          <w:color w:val="211E1E"/>
          <w:sz w:val="20"/>
          <w:szCs w:val="20"/>
          <w:lang w:val="en-US"/>
        </w:rPr>
        <w:t xml:space="preserve">a </w:t>
      </w:r>
      <w:r w:rsidR="00106AA6" w:rsidRPr="00177551">
        <w:rPr>
          <w:rFonts w:ascii="Arial" w:hAnsi="Arial" w:cs="Arial"/>
          <w:color w:val="211E1E"/>
          <w:sz w:val="20"/>
          <w:szCs w:val="20"/>
          <w:lang w:val="en-US"/>
        </w:rPr>
        <w:t>single dose</w:t>
      </w:r>
      <w:r w:rsidR="00262FD1" w:rsidRPr="00177551">
        <w:rPr>
          <w:rFonts w:ascii="Arial" w:hAnsi="Arial" w:cs="Arial"/>
          <w:color w:val="211E1E"/>
          <w:sz w:val="20"/>
          <w:szCs w:val="20"/>
          <w:lang w:val="en-US"/>
        </w:rPr>
        <w:t>, m</w:t>
      </w:r>
      <w:r w:rsidR="003D58FD" w:rsidRPr="00177551">
        <w:rPr>
          <w:rFonts w:ascii="Arial" w:hAnsi="Arial" w:cs="Arial"/>
          <w:color w:val="211E1E"/>
          <w:sz w:val="20"/>
          <w:szCs w:val="20"/>
          <w:lang w:val="en-US"/>
        </w:rPr>
        <w:t>ultimodal stratification approaches, potentially including baseline characteristics as well as changes under a single dose, have the potential to offer more tailor</w:t>
      </w:r>
      <w:r w:rsidR="002824CC" w:rsidRPr="00177551">
        <w:rPr>
          <w:rFonts w:ascii="Arial" w:hAnsi="Arial" w:cs="Arial"/>
          <w:color w:val="211E1E"/>
          <w:sz w:val="20"/>
          <w:szCs w:val="20"/>
          <w:lang w:val="en-US"/>
        </w:rPr>
        <w:t>ed</w:t>
      </w:r>
      <w:r w:rsidR="003D58FD" w:rsidRPr="00177551">
        <w:rPr>
          <w:rFonts w:ascii="Arial" w:hAnsi="Arial" w:cs="Arial"/>
          <w:color w:val="211E1E"/>
          <w:sz w:val="20"/>
          <w:szCs w:val="20"/>
          <w:lang w:val="en-US"/>
        </w:rPr>
        <w:t xml:space="preserve"> treatments and improve outcomes. </w:t>
      </w:r>
    </w:p>
    <w:p w14:paraId="66486236" w14:textId="77777777" w:rsidR="005A3F84" w:rsidRPr="00177551" w:rsidRDefault="005A3F84" w:rsidP="003114DC">
      <w:pPr>
        <w:snapToGrid w:val="0"/>
        <w:spacing w:line="480" w:lineRule="auto"/>
        <w:ind w:right="-760"/>
        <w:contextualSpacing/>
        <w:rPr>
          <w:rFonts w:ascii="Arial" w:hAnsi="Arial" w:cs="Arial"/>
          <w:color w:val="000000" w:themeColor="text1"/>
          <w:sz w:val="20"/>
          <w:szCs w:val="20"/>
          <w:shd w:val="clear" w:color="auto" w:fill="FFFFFF"/>
        </w:rPr>
      </w:pPr>
    </w:p>
    <w:p w14:paraId="33628742" w14:textId="4D94A03C" w:rsidR="006F06B8" w:rsidRPr="00177551" w:rsidRDefault="006F06B8" w:rsidP="0023021C">
      <w:pPr>
        <w:spacing w:line="480" w:lineRule="auto"/>
        <w:ind w:left="-851" w:right="-761"/>
        <w:contextualSpacing/>
        <w:rPr>
          <w:rFonts w:ascii="Arial" w:hAnsi="Arial" w:cs="Arial"/>
          <w:color w:val="000000" w:themeColor="text1"/>
          <w:sz w:val="20"/>
          <w:szCs w:val="20"/>
          <w:lang w:val="en-US"/>
        </w:rPr>
      </w:pPr>
      <w:r w:rsidRPr="00177551">
        <w:rPr>
          <w:rFonts w:ascii="Arial" w:hAnsi="Arial" w:cs="Arial"/>
          <w:b/>
          <w:bCs/>
          <w:color w:val="000000" w:themeColor="text1"/>
          <w:sz w:val="20"/>
          <w:szCs w:val="20"/>
          <w:lang w:val="en-US"/>
        </w:rPr>
        <w:t>ACKNOWLEDGEMENTS</w:t>
      </w:r>
    </w:p>
    <w:p w14:paraId="5508899B" w14:textId="05768093" w:rsidR="005D0BA3" w:rsidRPr="00177551" w:rsidRDefault="006F06B8" w:rsidP="005A3F84">
      <w:pPr>
        <w:spacing w:line="480" w:lineRule="auto"/>
        <w:ind w:left="-851" w:right="-761"/>
        <w:contextualSpacing/>
        <w:rPr>
          <w:rFonts w:ascii="Arial" w:hAnsi="Arial" w:cs="Arial"/>
          <w:color w:val="000000" w:themeColor="text1"/>
          <w:sz w:val="20"/>
          <w:szCs w:val="20"/>
          <w:lang w:val="en-US"/>
        </w:rPr>
      </w:pPr>
      <w:r w:rsidRPr="00177551">
        <w:rPr>
          <w:rFonts w:ascii="Arial" w:hAnsi="Arial" w:cs="Arial"/>
          <w:color w:val="000000" w:themeColor="text1"/>
          <w:sz w:val="20"/>
          <w:szCs w:val="20"/>
          <w:lang w:val="en-US"/>
        </w:rPr>
        <w:t xml:space="preserve">We thank Dr T. Silk and M. </w:t>
      </w:r>
      <w:proofErr w:type="spellStart"/>
      <w:r w:rsidRPr="00177551">
        <w:rPr>
          <w:rFonts w:ascii="Arial" w:hAnsi="Arial" w:cs="Arial"/>
          <w:color w:val="000000" w:themeColor="text1"/>
          <w:sz w:val="20"/>
          <w:szCs w:val="20"/>
          <w:lang w:val="en-US"/>
        </w:rPr>
        <w:t>Hoogman</w:t>
      </w:r>
      <w:proofErr w:type="spellEnd"/>
      <w:r w:rsidRPr="00177551">
        <w:rPr>
          <w:rFonts w:ascii="Arial" w:hAnsi="Arial" w:cs="Arial"/>
          <w:color w:val="000000" w:themeColor="text1"/>
          <w:sz w:val="20"/>
          <w:szCs w:val="20"/>
          <w:lang w:val="en-US"/>
        </w:rPr>
        <w:t xml:space="preserve"> for helping with retrieving their publications. </w:t>
      </w:r>
    </w:p>
    <w:p w14:paraId="08A1C0B5" w14:textId="4347815C" w:rsidR="003A14F9" w:rsidRPr="00177551" w:rsidRDefault="003A14F9" w:rsidP="003114DC">
      <w:pPr>
        <w:spacing w:line="480" w:lineRule="auto"/>
        <w:ind w:right="-761"/>
        <w:contextualSpacing/>
        <w:rPr>
          <w:rFonts w:ascii="Arial" w:hAnsi="Arial" w:cs="Arial"/>
          <w:b/>
          <w:bCs/>
          <w:color w:val="211E1E"/>
          <w:sz w:val="20"/>
          <w:szCs w:val="20"/>
          <w:lang w:val="en-US"/>
        </w:rPr>
      </w:pPr>
    </w:p>
    <w:p w14:paraId="293A9218" w14:textId="77777777" w:rsidR="00B05277" w:rsidRPr="00177551" w:rsidRDefault="00B05277" w:rsidP="003114DC">
      <w:pPr>
        <w:spacing w:line="480" w:lineRule="auto"/>
        <w:ind w:right="-761"/>
        <w:contextualSpacing/>
        <w:rPr>
          <w:rFonts w:ascii="Arial" w:hAnsi="Arial" w:cs="Arial"/>
          <w:b/>
          <w:bCs/>
          <w:color w:val="211E1E"/>
          <w:sz w:val="20"/>
          <w:szCs w:val="20"/>
          <w:lang w:val="en-US"/>
        </w:rPr>
      </w:pPr>
    </w:p>
    <w:p w14:paraId="4C974908" w14:textId="6D058A91" w:rsidR="009C1BAF" w:rsidRPr="00177551" w:rsidRDefault="009C1BAF" w:rsidP="0023021C">
      <w:pPr>
        <w:spacing w:line="480" w:lineRule="auto"/>
        <w:ind w:left="-851" w:right="-761"/>
        <w:contextualSpacing/>
        <w:rPr>
          <w:rFonts w:ascii="Arial" w:hAnsi="Arial" w:cs="Arial"/>
          <w:b/>
          <w:bCs/>
          <w:color w:val="000000" w:themeColor="text1"/>
          <w:sz w:val="20"/>
          <w:szCs w:val="20"/>
          <w:lang w:val="en-US"/>
        </w:rPr>
      </w:pPr>
      <w:r w:rsidRPr="00177551">
        <w:rPr>
          <w:rFonts w:ascii="Arial" w:hAnsi="Arial" w:cs="Arial"/>
          <w:b/>
          <w:bCs/>
          <w:color w:val="211E1E"/>
          <w:sz w:val="20"/>
          <w:szCs w:val="20"/>
          <w:lang w:val="en-US"/>
        </w:rPr>
        <w:lastRenderedPageBreak/>
        <w:t>REFERENCES</w:t>
      </w:r>
    </w:p>
    <w:p w14:paraId="16471242"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AN, L., CAO, X. H., CAO, Q. J., SUN, L., YANG, L., ZOU, Q. H., KATYA, R., ZANG, Y. F. &amp; WANG, Y. F. 2013. Methylphenidate normalizes resting-state brain dysfunction in boys with attention deficit hyperactivity disorder. </w:t>
      </w:r>
      <w:r w:rsidRPr="00177551">
        <w:rPr>
          <w:rFonts w:ascii="Arial" w:hAnsi="Arial" w:cs="Arial"/>
          <w:i/>
          <w:noProof/>
          <w:sz w:val="20"/>
          <w:szCs w:val="20"/>
        </w:rPr>
        <w:t>Neuropsychopharmacology,</w:t>
      </w:r>
      <w:r w:rsidRPr="00177551">
        <w:rPr>
          <w:rFonts w:ascii="Arial" w:hAnsi="Arial" w:cs="Arial"/>
          <w:noProof/>
          <w:sz w:val="20"/>
          <w:szCs w:val="20"/>
        </w:rPr>
        <w:t xml:space="preserve"> 38</w:t>
      </w:r>
      <w:r w:rsidRPr="00177551">
        <w:rPr>
          <w:rFonts w:ascii="Arial" w:hAnsi="Arial" w:cs="Arial"/>
          <w:b/>
          <w:noProof/>
          <w:sz w:val="20"/>
          <w:szCs w:val="20"/>
        </w:rPr>
        <w:t>,</w:t>
      </w:r>
      <w:r w:rsidRPr="00177551">
        <w:rPr>
          <w:rFonts w:ascii="Arial" w:hAnsi="Arial" w:cs="Arial"/>
          <w:noProof/>
          <w:sz w:val="20"/>
          <w:szCs w:val="20"/>
        </w:rPr>
        <w:t xml:space="preserve"> 1287-95.</w:t>
      </w:r>
    </w:p>
    <w:p w14:paraId="313BAC28" w14:textId="77777777" w:rsidR="00444287" w:rsidRPr="00177551" w:rsidRDefault="00444287" w:rsidP="005A3F84">
      <w:pPr>
        <w:pStyle w:val="EndNoteBibliography"/>
        <w:spacing w:line="480" w:lineRule="auto"/>
        <w:ind w:left="-567" w:hanging="284"/>
        <w:rPr>
          <w:rFonts w:ascii="Arial" w:hAnsi="Arial" w:cs="Arial"/>
          <w:i/>
          <w:noProof/>
          <w:sz w:val="20"/>
          <w:szCs w:val="20"/>
        </w:rPr>
      </w:pPr>
      <w:r w:rsidRPr="00177551">
        <w:rPr>
          <w:rFonts w:ascii="Arial" w:hAnsi="Arial" w:cs="Arial"/>
          <w:noProof/>
          <w:sz w:val="20"/>
          <w:szCs w:val="20"/>
        </w:rPr>
        <w:t xml:space="preserve">APA 2022. </w:t>
      </w:r>
      <w:r w:rsidRPr="00177551">
        <w:rPr>
          <w:rFonts w:ascii="Arial" w:hAnsi="Arial" w:cs="Arial"/>
          <w:i/>
          <w:noProof/>
          <w:sz w:val="20"/>
          <w:szCs w:val="20"/>
        </w:rPr>
        <w:t>Diagnostic and statistical manual of mental disorders (5th ed., text rev.).</w:t>
      </w:r>
    </w:p>
    <w:p w14:paraId="58D793AF"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BUITELAAR, J., BOLTE, S., BRANDEIS, D., CAYE, A., CHRISTMANN, N., CORTESE, S., COGHILL, D., FARAONE, S. V., FRANKE, B., GLEITZ, M., GREVEN, C. U., KOOIJ, S., LEFFA, D. T., ROMMELSE, N., NEWCORN, J. H., POLANCZYK, G. V., ROHDE, L. A., SIMONOFF, E., STEIN, M., VITIELLO, B., YAZGAN, Y., ROESLER, M., DOEPFNER, M. &amp; BANASCHEWSKI, T. 2022. Toward Precision Medicine in ADHD. </w:t>
      </w:r>
      <w:r w:rsidRPr="00177551">
        <w:rPr>
          <w:rFonts w:ascii="Arial" w:hAnsi="Arial" w:cs="Arial"/>
          <w:i/>
          <w:noProof/>
          <w:sz w:val="20"/>
          <w:szCs w:val="20"/>
        </w:rPr>
        <w:t>Front Behav Neurosci,</w:t>
      </w:r>
      <w:r w:rsidRPr="00177551">
        <w:rPr>
          <w:rFonts w:ascii="Arial" w:hAnsi="Arial" w:cs="Arial"/>
          <w:noProof/>
          <w:sz w:val="20"/>
          <w:szCs w:val="20"/>
        </w:rPr>
        <w:t xml:space="preserve"> 16</w:t>
      </w:r>
      <w:r w:rsidRPr="00177551">
        <w:rPr>
          <w:rFonts w:ascii="Arial" w:hAnsi="Arial" w:cs="Arial"/>
          <w:b/>
          <w:noProof/>
          <w:sz w:val="20"/>
          <w:szCs w:val="20"/>
        </w:rPr>
        <w:t>,</w:t>
      </w:r>
      <w:r w:rsidRPr="00177551">
        <w:rPr>
          <w:rFonts w:ascii="Arial" w:hAnsi="Arial" w:cs="Arial"/>
          <w:noProof/>
          <w:sz w:val="20"/>
          <w:szCs w:val="20"/>
        </w:rPr>
        <w:t xml:space="preserve"> 900981.</w:t>
      </w:r>
    </w:p>
    <w:p w14:paraId="239E0928"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BUITELAAR, J. K., VAN DER GAAG, R. J., SWAAB-BARNEVELD, H. &amp; KUIPER, M. 1995. Prediction of clinical response to methylphenidate in children with attention-deficit hyperactivity disorder. </w:t>
      </w:r>
      <w:r w:rsidRPr="00177551">
        <w:rPr>
          <w:rFonts w:ascii="Arial" w:hAnsi="Arial" w:cs="Arial"/>
          <w:i/>
          <w:noProof/>
          <w:sz w:val="20"/>
          <w:szCs w:val="20"/>
        </w:rPr>
        <w:t>J Am Acad Child Adolesc Psychiatry,</w:t>
      </w:r>
      <w:r w:rsidRPr="00177551">
        <w:rPr>
          <w:rFonts w:ascii="Arial" w:hAnsi="Arial" w:cs="Arial"/>
          <w:noProof/>
          <w:sz w:val="20"/>
          <w:szCs w:val="20"/>
        </w:rPr>
        <w:t xml:space="preserve"> 34</w:t>
      </w:r>
      <w:r w:rsidRPr="00177551">
        <w:rPr>
          <w:rFonts w:ascii="Arial" w:hAnsi="Arial" w:cs="Arial"/>
          <w:b/>
          <w:noProof/>
          <w:sz w:val="20"/>
          <w:szCs w:val="20"/>
        </w:rPr>
        <w:t>,</w:t>
      </w:r>
      <w:r w:rsidRPr="00177551">
        <w:rPr>
          <w:rFonts w:ascii="Arial" w:hAnsi="Arial" w:cs="Arial"/>
          <w:noProof/>
          <w:sz w:val="20"/>
          <w:szCs w:val="20"/>
        </w:rPr>
        <w:t xml:space="preserve"> 1025-32.</w:t>
      </w:r>
    </w:p>
    <w:p w14:paraId="583EA3A3"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CARUCCI, S., NARDUCCI, C., BAZZONI, M., BALIA, C., DONNO, F., GAGLIANO, A. &amp; ZUDDAS, A. 2023. Clinical characteristics, neuroimaging findings, and neuropsychological functioning in attention-deficit hyperactivity disorder: Sex differences. </w:t>
      </w:r>
      <w:r w:rsidRPr="00177551">
        <w:rPr>
          <w:rFonts w:ascii="Arial" w:hAnsi="Arial" w:cs="Arial"/>
          <w:i/>
          <w:noProof/>
          <w:sz w:val="20"/>
          <w:szCs w:val="20"/>
        </w:rPr>
        <w:t>J Neurosci Res,</w:t>
      </w:r>
      <w:r w:rsidRPr="00177551">
        <w:rPr>
          <w:rFonts w:ascii="Arial" w:hAnsi="Arial" w:cs="Arial"/>
          <w:noProof/>
          <w:sz w:val="20"/>
          <w:szCs w:val="20"/>
        </w:rPr>
        <w:t xml:space="preserve"> 101</w:t>
      </w:r>
      <w:r w:rsidRPr="00177551">
        <w:rPr>
          <w:rFonts w:ascii="Arial" w:hAnsi="Arial" w:cs="Arial"/>
          <w:b/>
          <w:noProof/>
          <w:sz w:val="20"/>
          <w:szCs w:val="20"/>
        </w:rPr>
        <w:t>,</w:t>
      </w:r>
      <w:r w:rsidRPr="00177551">
        <w:rPr>
          <w:rFonts w:ascii="Arial" w:hAnsi="Arial" w:cs="Arial"/>
          <w:noProof/>
          <w:sz w:val="20"/>
          <w:szCs w:val="20"/>
        </w:rPr>
        <w:t xml:space="preserve"> 704-717.</w:t>
      </w:r>
    </w:p>
    <w:p w14:paraId="60DA622E"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CHAULAGAIN, A., LYHMANN, I., HALMOY, A., WIDDING-HAVNERAAS, T., NYTTINGNES, O., BJELLAND, I. &amp; MYKLETUN, A. 2023. A systematic meta-review of systematic reviews on attention deficit hyperactivity disorder. </w:t>
      </w:r>
      <w:r w:rsidRPr="00177551">
        <w:rPr>
          <w:rFonts w:ascii="Arial" w:hAnsi="Arial" w:cs="Arial"/>
          <w:i/>
          <w:noProof/>
          <w:sz w:val="20"/>
          <w:szCs w:val="20"/>
        </w:rPr>
        <w:t>Eur Psychiatry,</w:t>
      </w:r>
      <w:r w:rsidRPr="00177551">
        <w:rPr>
          <w:rFonts w:ascii="Arial" w:hAnsi="Arial" w:cs="Arial"/>
          <w:noProof/>
          <w:sz w:val="20"/>
          <w:szCs w:val="20"/>
        </w:rPr>
        <w:t xml:space="preserve"> 66</w:t>
      </w:r>
      <w:r w:rsidRPr="00177551">
        <w:rPr>
          <w:rFonts w:ascii="Arial" w:hAnsi="Arial" w:cs="Arial"/>
          <w:b/>
          <w:noProof/>
          <w:sz w:val="20"/>
          <w:szCs w:val="20"/>
        </w:rPr>
        <w:t>,</w:t>
      </w:r>
      <w:r w:rsidRPr="00177551">
        <w:rPr>
          <w:rFonts w:ascii="Arial" w:hAnsi="Arial" w:cs="Arial"/>
          <w:noProof/>
          <w:sz w:val="20"/>
          <w:szCs w:val="20"/>
        </w:rPr>
        <w:t xml:space="preserve"> e90.</w:t>
      </w:r>
    </w:p>
    <w:p w14:paraId="6BFD11B4"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CORTESE, S. 2021. Setting the Foundations of Developmental Precision Psychiatry for ADHD. </w:t>
      </w:r>
      <w:r w:rsidRPr="00177551">
        <w:rPr>
          <w:rFonts w:ascii="Arial" w:hAnsi="Arial" w:cs="Arial"/>
          <w:i/>
          <w:noProof/>
          <w:sz w:val="20"/>
          <w:szCs w:val="20"/>
        </w:rPr>
        <w:t>Am J Psychiatry,</w:t>
      </w:r>
      <w:r w:rsidRPr="00177551">
        <w:rPr>
          <w:rFonts w:ascii="Arial" w:hAnsi="Arial" w:cs="Arial"/>
          <w:noProof/>
          <w:sz w:val="20"/>
          <w:szCs w:val="20"/>
        </w:rPr>
        <w:t xml:space="preserve"> 178</w:t>
      </w:r>
      <w:r w:rsidRPr="00177551">
        <w:rPr>
          <w:rFonts w:ascii="Arial" w:hAnsi="Arial" w:cs="Arial"/>
          <w:b/>
          <w:noProof/>
          <w:sz w:val="20"/>
          <w:szCs w:val="20"/>
        </w:rPr>
        <w:t>,</w:t>
      </w:r>
      <w:r w:rsidRPr="00177551">
        <w:rPr>
          <w:rFonts w:ascii="Arial" w:hAnsi="Arial" w:cs="Arial"/>
          <w:noProof/>
          <w:sz w:val="20"/>
          <w:szCs w:val="20"/>
        </w:rPr>
        <w:t xml:space="preserve"> 677-679.</w:t>
      </w:r>
    </w:p>
    <w:p w14:paraId="647E2CF2"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CORTESE, S., ADAMO, N., DEL GIOVANE, C., MOHR-JENSEN, C., HAYES, A. J., CARUCCI, S., ATKINSON, L. Z., TESSARI, L., BANASCHEWSKI, T., COGHILL, D., HOLLIS, C., SIMONOFF, E., ZUDDAS, A., BARBUI, C., PURGATO, M., STEINHAUSEN, H. C., SHOKRANEH, F., XIA, J. &amp; CIPRIANI, A. 2018. Comparative efficacy and tolerability of medications for attention-deficit hyperactivity disorder in children, adolescents, and adults: a systematic review and network meta-analysis. </w:t>
      </w:r>
      <w:r w:rsidRPr="00177551">
        <w:rPr>
          <w:rFonts w:ascii="Arial" w:hAnsi="Arial" w:cs="Arial"/>
          <w:i/>
          <w:noProof/>
          <w:sz w:val="20"/>
          <w:szCs w:val="20"/>
        </w:rPr>
        <w:t>Lancet Psychiatry,</w:t>
      </w:r>
      <w:r w:rsidRPr="00177551">
        <w:rPr>
          <w:rFonts w:ascii="Arial" w:hAnsi="Arial" w:cs="Arial"/>
          <w:noProof/>
          <w:sz w:val="20"/>
          <w:szCs w:val="20"/>
        </w:rPr>
        <w:t xml:space="preserve"> 5</w:t>
      </w:r>
      <w:r w:rsidRPr="00177551">
        <w:rPr>
          <w:rFonts w:ascii="Arial" w:hAnsi="Arial" w:cs="Arial"/>
          <w:b/>
          <w:noProof/>
          <w:sz w:val="20"/>
          <w:szCs w:val="20"/>
        </w:rPr>
        <w:t>,</w:t>
      </w:r>
      <w:r w:rsidRPr="00177551">
        <w:rPr>
          <w:rFonts w:ascii="Arial" w:hAnsi="Arial" w:cs="Arial"/>
          <w:noProof/>
          <w:sz w:val="20"/>
          <w:szCs w:val="20"/>
        </w:rPr>
        <w:t xml:space="preserve"> 727-738.</w:t>
      </w:r>
    </w:p>
    <w:p w14:paraId="4813EDC5"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CORTESE, S., SONG, M., FARHAT, L. C., YON, D. K., LEE, S. W., KIM, M. S., PARK, S., OH, J. W., LEE, S., CHEON, K. A., SMITH, L., GOSLING, C. J., POLANCZYK, G. V., LARSSON, H., ROHDE, L. A., FARAONE, S. V., KOYANAGI, A., DRAGIOTI, E., RADUA, J., CARVALHO, A. F., IL SHIN, J. &amp; SOLMI, M. 2023. </w:t>
      </w:r>
      <w:r w:rsidRPr="00177551">
        <w:rPr>
          <w:rFonts w:ascii="Arial" w:hAnsi="Arial" w:cs="Arial"/>
          <w:noProof/>
          <w:sz w:val="20"/>
          <w:szCs w:val="20"/>
        </w:rPr>
        <w:lastRenderedPageBreak/>
        <w:t xml:space="preserve">Incidence, prevalence, and global burden of ADHD from 1990 to 2019 across 204 countries: data, with critical re-analysis, from the Global Burden of Disease study. </w:t>
      </w:r>
      <w:r w:rsidRPr="00177551">
        <w:rPr>
          <w:rFonts w:ascii="Arial" w:hAnsi="Arial" w:cs="Arial"/>
          <w:i/>
          <w:noProof/>
          <w:sz w:val="20"/>
          <w:szCs w:val="20"/>
        </w:rPr>
        <w:t>Mol Psychiatry,</w:t>
      </w:r>
      <w:r w:rsidRPr="00177551">
        <w:rPr>
          <w:rFonts w:ascii="Arial" w:hAnsi="Arial" w:cs="Arial"/>
          <w:noProof/>
          <w:sz w:val="20"/>
          <w:szCs w:val="20"/>
        </w:rPr>
        <w:t xml:space="preserve"> 28</w:t>
      </w:r>
      <w:r w:rsidRPr="00177551">
        <w:rPr>
          <w:rFonts w:ascii="Arial" w:hAnsi="Arial" w:cs="Arial"/>
          <w:b/>
          <w:noProof/>
          <w:sz w:val="20"/>
          <w:szCs w:val="20"/>
        </w:rPr>
        <w:t>,</w:t>
      </w:r>
      <w:r w:rsidRPr="00177551">
        <w:rPr>
          <w:rFonts w:ascii="Arial" w:hAnsi="Arial" w:cs="Arial"/>
          <w:noProof/>
          <w:sz w:val="20"/>
          <w:szCs w:val="20"/>
        </w:rPr>
        <w:t xml:space="preserve"> 4823-4830.</w:t>
      </w:r>
    </w:p>
    <w:p w14:paraId="668924CF"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FARAONE, S. V. 2018. The pharmacology of amphetamine and methylphenidate: Relevance to the neurobiology of attention-deficit/hyperactivity disorder and other psychiatric comorbidities. </w:t>
      </w:r>
      <w:r w:rsidRPr="00177551">
        <w:rPr>
          <w:rFonts w:ascii="Arial" w:hAnsi="Arial" w:cs="Arial"/>
          <w:i/>
          <w:noProof/>
          <w:sz w:val="20"/>
          <w:szCs w:val="20"/>
        </w:rPr>
        <w:t>Neurosci Biobehav Rev,</w:t>
      </w:r>
      <w:r w:rsidRPr="00177551">
        <w:rPr>
          <w:rFonts w:ascii="Arial" w:hAnsi="Arial" w:cs="Arial"/>
          <w:noProof/>
          <w:sz w:val="20"/>
          <w:szCs w:val="20"/>
        </w:rPr>
        <w:t xml:space="preserve"> 87</w:t>
      </w:r>
      <w:r w:rsidRPr="00177551">
        <w:rPr>
          <w:rFonts w:ascii="Arial" w:hAnsi="Arial" w:cs="Arial"/>
          <w:b/>
          <w:noProof/>
          <w:sz w:val="20"/>
          <w:szCs w:val="20"/>
        </w:rPr>
        <w:t>,</w:t>
      </w:r>
      <w:r w:rsidRPr="00177551">
        <w:rPr>
          <w:rFonts w:ascii="Arial" w:hAnsi="Arial" w:cs="Arial"/>
          <w:noProof/>
          <w:sz w:val="20"/>
          <w:szCs w:val="20"/>
        </w:rPr>
        <w:t xml:space="preserve"> 255-270.</w:t>
      </w:r>
    </w:p>
    <w:p w14:paraId="2D2FE42E"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FARAONE, S. V., BANASCHEWSKI, T., COGHILL, D., ZHENG, Y., BIEDERMAN, J., BELLGROVE, M. A., NEWCORN, J. H., GIGNAC, M., AL SAUD, N. M., MANOR, I., ROHDE, L. A., YANG, L., CORTESE, S., ALMAGOR, D., STEIN, M. A., ALBATTI, T. H., ALJOUDI, H. F., ALQAHTANI, M. M. J., ASHERSON, P., ATWOLI, L., BOLTE, S., BUITELAAR, J. K., CRUNELLE, C. L., DALEY, D., DALSGAARD, S., DOPFNER, M., ESPINET, S., FITZGERALD, M., FRANKE, B., GERLACH, M., HAAVIK, J., HARTMAN, C. A., HARTUNG, C. M., HINSHAW, S. P., HOEKSTRA, P. J., HOLLIS, C., KOLLINS, S. H., SANDRA KOOIJ, J. J., KUNTSI, J., LARSSON, H., LI, T., LIU, J., MERZON, E., MATTINGLY, G., MATTOS, P., MCCARTHY, S., MIKAMI, A. Y., MOLINA, B. S. G., NIGG, J. T., PURPER-OUAKIL, D., OMIGBODUN, O. O., POLANCZYK, G. V., POLLAK, Y., POULTON, A. S., RAJKUMAR, R. P., REDING, A., REIF, A., RUBIA, K., RUCKLIDGE, J., ROMANOS, M., RAMOS-QUIROGA, J. A., SCHELLEKENS, A., SCHERES, A., SCHOEMAN, R., SCHWEITZER, J. B., SHAH, H., SOLANTO, M. V., SONUGA-BARKE, E., SOUTULLO, C., STEINHAUSEN, H. C., SWANSON, J. M., THAPAR, A., TRIPP, G., VAN DE GLIND, G., VAN DEN BRINK, W., VAN DER OORD, S., VENTER, A., VITIELLO, B., WALITZA, S. &amp; WANG, Y. 2021. The World Federation of ADHD International Consensus Statement: 208 Evidence-based conclusions about the disorder. </w:t>
      </w:r>
      <w:r w:rsidRPr="00177551">
        <w:rPr>
          <w:rFonts w:ascii="Arial" w:hAnsi="Arial" w:cs="Arial"/>
          <w:i/>
          <w:noProof/>
          <w:sz w:val="20"/>
          <w:szCs w:val="20"/>
        </w:rPr>
        <w:t>Neurosci Biobehav Rev,</w:t>
      </w:r>
      <w:r w:rsidRPr="00177551">
        <w:rPr>
          <w:rFonts w:ascii="Arial" w:hAnsi="Arial" w:cs="Arial"/>
          <w:noProof/>
          <w:sz w:val="20"/>
          <w:szCs w:val="20"/>
        </w:rPr>
        <w:t xml:space="preserve"> 128</w:t>
      </w:r>
      <w:r w:rsidRPr="00177551">
        <w:rPr>
          <w:rFonts w:ascii="Arial" w:hAnsi="Arial" w:cs="Arial"/>
          <w:b/>
          <w:noProof/>
          <w:sz w:val="20"/>
          <w:szCs w:val="20"/>
        </w:rPr>
        <w:t>,</w:t>
      </w:r>
      <w:r w:rsidRPr="00177551">
        <w:rPr>
          <w:rFonts w:ascii="Arial" w:hAnsi="Arial" w:cs="Arial"/>
          <w:noProof/>
          <w:sz w:val="20"/>
          <w:szCs w:val="20"/>
        </w:rPr>
        <w:t xml:space="preserve"> 789-818.</w:t>
      </w:r>
    </w:p>
    <w:p w14:paraId="05B0B320"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HODGKINS, P., SHAW, M., COGHILL, D. &amp; HECHTMAN, L. 2012. Amfetamine and methylphenidate medications for attention-deficit/hyperactivity disorder: complementary treatment options. </w:t>
      </w:r>
      <w:r w:rsidRPr="00177551">
        <w:rPr>
          <w:rFonts w:ascii="Arial" w:hAnsi="Arial" w:cs="Arial"/>
          <w:i/>
          <w:noProof/>
          <w:sz w:val="20"/>
          <w:szCs w:val="20"/>
        </w:rPr>
        <w:t>Eur Child Adolesc Psychiatry,</w:t>
      </w:r>
      <w:r w:rsidRPr="00177551">
        <w:rPr>
          <w:rFonts w:ascii="Arial" w:hAnsi="Arial" w:cs="Arial"/>
          <w:noProof/>
          <w:sz w:val="20"/>
          <w:szCs w:val="20"/>
        </w:rPr>
        <w:t xml:space="preserve"> 21</w:t>
      </w:r>
      <w:r w:rsidRPr="00177551">
        <w:rPr>
          <w:rFonts w:ascii="Arial" w:hAnsi="Arial" w:cs="Arial"/>
          <w:b/>
          <w:noProof/>
          <w:sz w:val="20"/>
          <w:szCs w:val="20"/>
        </w:rPr>
        <w:t>,</w:t>
      </w:r>
      <w:r w:rsidRPr="00177551">
        <w:rPr>
          <w:rFonts w:ascii="Arial" w:hAnsi="Arial" w:cs="Arial"/>
          <w:noProof/>
          <w:sz w:val="20"/>
          <w:szCs w:val="20"/>
        </w:rPr>
        <w:t xml:space="preserve"> 477-92.</w:t>
      </w:r>
    </w:p>
    <w:p w14:paraId="69356AFB"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IDREES, I., BELLATO, A., CORTESE, S. &amp; GROOM, M. J. 2023. The effects of stimulant and non-stimulant medications on the autonomic nervous system (ANS) functioning in people with ADHD: A systematic review and meta-analysis. </w:t>
      </w:r>
      <w:r w:rsidRPr="00177551">
        <w:rPr>
          <w:rFonts w:ascii="Arial" w:hAnsi="Arial" w:cs="Arial"/>
          <w:i/>
          <w:noProof/>
          <w:sz w:val="20"/>
          <w:szCs w:val="20"/>
        </w:rPr>
        <w:t>Neurosci Biobehav Rev,</w:t>
      </w:r>
      <w:r w:rsidRPr="00177551">
        <w:rPr>
          <w:rFonts w:ascii="Arial" w:hAnsi="Arial" w:cs="Arial"/>
          <w:noProof/>
          <w:sz w:val="20"/>
          <w:szCs w:val="20"/>
        </w:rPr>
        <w:t xml:space="preserve"> 144</w:t>
      </w:r>
      <w:r w:rsidRPr="00177551">
        <w:rPr>
          <w:rFonts w:ascii="Arial" w:hAnsi="Arial" w:cs="Arial"/>
          <w:b/>
          <w:noProof/>
          <w:sz w:val="20"/>
          <w:szCs w:val="20"/>
        </w:rPr>
        <w:t>,</w:t>
      </w:r>
      <w:r w:rsidRPr="00177551">
        <w:rPr>
          <w:rFonts w:ascii="Arial" w:hAnsi="Arial" w:cs="Arial"/>
          <w:noProof/>
          <w:sz w:val="20"/>
          <w:szCs w:val="20"/>
        </w:rPr>
        <w:t xml:space="preserve"> 104968.</w:t>
      </w:r>
    </w:p>
    <w:p w14:paraId="13C083FE"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ISHII-TAKAHASHI, A., TAKIZAWA, R., NISHIMURA, Y., KAWAKUBO, Y., HAMADA, K., OKUHATA, S., KAWASAKI, S., KUWABARA, H., SHIMADA, T., TODOKORO, A., IGARASHI, T., WATANABE, K., YAMASUE, H., KATO, N., KASAI, K. &amp; KANO, Y. 2015. Neuroimaging-Aided Prediction of the Effect of </w:t>
      </w:r>
      <w:r w:rsidRPr="00177551">
        <w:rPr>
          <w:rFonts w:ascii="Arial" w:hAnsi="Arial" w:cs="Arial"/>
          <w:noProof/>
          <w:sz w:val="20"/>
          <w:szCs w:val="20"/>
        </w:rPr>
        <w:lastRenderedPageBreak/>
        <w:t xml:space="preserve">Methylphenidate in Children with Attention-Deficit Hyperactivity Disorder: A Randomized Controlled Trial. </w:t>
      </w:r>
      <w:r w:rsidRPr="00177551">
        <w:rPr>
          <w:rFonts w:ascii="Arial" w:hAnsi="Arial" w:cs="Arial"/>
          <w:i/>
          <w:noProof/>
          <w:sz w:val="20"/>
          <w:szCs w:val="20"/>
        </w:rPr>
        <w:t>Neuropsychopharmacology,</w:t>
      </w:r>
      <w:r w:rsidRPr="00177551">
        <w:rPr>
          <w:rFonts w:ascii="Arial" w:hAnsi="Arial" w:cs="Arial"/>
          <w:noProof/>
          <w:sz w:val="20"/>
          <w:szCs w:val="20"/>
        </w:rPr>
        <w:t xml:space="preserve"> 40</w:t>
      </w:r>
      <w:r w:rsidRPr="00177551">
        <w:rPr>
          <w:rFonts w:ascii="Arial" w:hAnsi="Arial" w:cs="Arial"/>
          <w:b/>
          <w:noProof/>
          <w:sz w:val="20"/>
          <w:szCs w:val="20"/>
        </w:rPr>
        <w:t>,</w:t>
      </w:r>
      <w:r w:rsidRPr="00177551">
        <w:rPr>
          <w:rFonts w:ascii="Arial" w:hAnsi="Arial" w:cs="Arial"/>
          <w:noProof/>
          <w:sz w:val="20"/>
          <w:szCs w:val="20"/>
        </w:rPr>
        <w:t xml:space="preserve"> 2676-85.</w:t>
      </w:r>
    </w:p>
    <w:p w14:paraId="19EA2989"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KIRKLAND, A. E. &amp; HOLTON, K. F. 2019. Measuring Treatment Response in Pharmacological and Lifestyle Interventions Using Electroencephalography in ADHD: A Review. </w:t>
      </w:r>
      <w:r w:rsidRPr="00177551">
        <w:rPr>
          <w:rFonts w:ascii="Arial" w:hAnsi="Arial" w:cs="Arial"/>
          <w:i/>
          <w:noProof/>
          <w:sz w:val="20"/>
          <w:szCs w:val="20"/>
        </w:rPr>
        <w:t>Clin EEG Neurosci,</w:t>
      </w:r>
      <w:r w:rsidRPr="00177551">
        <w:rPr>
          <w:rFonts w:ascii="Arial" w:hAnsi="Arial" w:cs="Arial"/>
          <w:noProof/>
          <w:sz w:val="20"/>
          <w:szCs w:val="20"/>
        </w:rPr>
        <w:t xml:space="preserve"> 50</w:t>
      </w:r>
      <w:r w:rsidRPr="00177551">
        <w:rPr>
          <w:rFonts w:ascii="Arial" w:hAnsi="Arial" w:cs="Arial"/>
          <w:b/>
          <w:noProof/>
          <w:sz w:val="20"/>
          <w:szCs w:val="20"/>
        </w:rPr>
        <w:t>,</w:t>
      </w:r>
      <w:r w:rsidRPr="00177551">
        <w:rPr>
          <w:rFonts w:ascii="Arial" w:hAnsi="Arial" w:cs="Arial"/>
          <w:noProof/>
          <w:sz w:val="20"/>
          <w:szCs w:val="20"/>
        </w:rPr>
        <w:t xml:space="preserve"> 256-266.</w:t>
      </w:r>
    </w:p>
    <w:p w14:paraId="74684FD4"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KOWALCZYK, O. S., MEHTA, M. A., O'DALY, O. G. &amp; CRIAUD, M. 2022. Task-Based Functional Connectivity in Attention-Deficit/Hyperactivity Disorder: A Systematic Review. </w:t>
      </w:r>
      <w:r w:rsidRPr="00177551">
        <w:rPr>
          <w:rFonts w:ascii="Arial" w:hAnsi="Arial" w:cs="Arial"/>
          <w:i/>
          <w:noProof/>
          <w:sz w:val="20"/>
          <w:szCs w:val="20"/>
        </w:rPr>
        <w:t>Biol Psychiatry Glob Open Sci,</w:t>
      </w:r>
      <w:r w:rsidRPr="00177551">
        <w:rPr>
          <w:rFonts w:ascii="Arial" w:hAnsi="Arial" w:cs="Arial"/>
          <w:noProof/>
          <w:sz w:val="20"/>
          <w:szCs w:val="20"/>
        </w:rPr>
        <w:t xml:space="preserve"> 2</w:t>
      </w:r>
      <w:r w:rsidRPr="00177551">
        <w:rPr>
          <w:rFonts w:ascii="Arial" w:hAnsi="Arial" w:cs="Arial"/>
          <w:b/>
          <w:noProof/>
          <w:sz w:val="20"/>
          <w:szCs w:val="20"/>
        </w:rPr>
        <w:t>,</w:t>
      </w:r>
      <w:r w:rsidRPr="00177551">
        <w:rPr>
          <w:rFonts w:ascii="Arial" w:hAnsi="Arial" w:cs="Arial"/>
          <w:noProof/>
          <w:sz w:val="20"/>
          <w:szCs w:val="20"/>
        </w:rPr>
        <w:t xml:space="preserve"> 350-367.</w:t>
      </w:r>
    </w:p>
    <w:p w14:paraId="0A872416"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MANZA, P., SHOKRI-KOJORI, E., WIERS, C. E., KROLL, D., FELDMAN, D., MCPHERSON, K., BIESECKER, E., DENNIS, E., JOHNSON, A., KELLEHER, A., QU, S., TOMASI, D., WANG, G. J. &amp; VOLKOW, N. D. 2022. Sex differences in methylphenidate-induced dopamine increases in ventral striatum. </w:t>
      </w:r>
      <w:r w:rsidRPr="00177551">
        <w:rPr>
          <w:rFonts w:ascii="Arial" w:hAnsi="Arial" w:cs="Arial"/>
          <w:i/>
          <w:noProof/>
          <w:sz w:val="20"/>
          <w:szCs w:val="20"/>
        </w:rPr>
        <w:t>Mol Psychiatry,</w:t>
      </w:r>
      <w:r w:rsidRPr="00177551">
        <w:rPr>
          <w:rFonts w:ascii="Arial" w:hAnsi="Arial" w:cs="Arial"/>
          <w:noProof/>
          <w:sz w:val="20"/>
          <w:szCs w:val="20"/>
        </w:rPr>
        <w:t xml:space="preserve"> 27</w:t>
      </w:r>
      <w:r w:rsidRPr="00177551">
        <w:rPr>
          <w:rFonts w:ascii="Arial" w:hAnsi="Arial" w:cs="Arial"/>
          <w:b/>
          <w:noProof/>
          <w:sz w:val="20"/>
          <w:szCs w:val="20"/>
        </w:rPr>
        <w:t>,</w:t>
      </w:r>
      <w:r w:rsidRPr="00177551">
        <w:rPr>
          <w:rFonts w:ascii="Arial" w:hAnsi="Arial" w:cs="Arial"/>
          <w:noProof/>
          <w:sz w:val="20"/>
          <w:szCs w:val="20"/>
        </w:rPr>
        <w:t xml:space="preserve"> 939-946.</w:t>
      </w:r>
    </w:p>
    <w:p w14:paraId="4DB5DDE1"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MARKOWITZ, J. S. &amp; MELCHERT, P. W. 2022. The Pharmacokinetics and Pharmacogenomics of Psychostimulants. </w:t>
      </w:r>
      <w:r w:rsidRPr="00177551">
        <w:rPr>
          <w:rFonts w:ascii="Arial" w:hAnsi="Arial" w:cs="Arial"/>
          <w:i/>
          <w:noProof/>
          <w:sz w:val="20"/>
          <w:szCs w:val="20"/>
        </w:rPr>
        <w:t>Child Adolesc Psychiatr Clin N Am,</w:t>
      </w:r>
      <w:r w:rsidRPr="00177551">
        <w:rPr>
          <w:rFonts w:ascii="Arial" w:hAnsi="Arial" w:cs="Arial"/>
          <w:noProof/>
          <w:sz w:val="20"/>
          <w:szCs w:val="20"/>
        </w:rPr>
        <w:t xml:space="preserve"> 31</w:t>
      </w:r>
      <w:r w:rsidRPr="00177551">
        <w:rPr>
          <w:rFonts w:ascii="Arial" w:hAnsi="Arial" w:cs="Arial"/>
          <w:b/>
          <w:noProof/>
          <w:sz w:val="20"/>
          <w:szCs w:val="20"/>
        </w:rPr>
        <w:t>,</w:t>
      </w:r>
      <w:r w:rsidRPr="00177551">
        <w:rPr>
          <w:rFonts w:ascii="Arial" w:hAnsi="Arial" w:cs="Arial"/>
          <w:noProof/>
          <w:sz w:val="20"/>
          <w:szCs w:val="20"/>
        </w:rPr>
        <w:t xml:space="preserve"> 393-416.</w:t>
      </w:r>
    </w:p>
    <w:p w14:paraId="0F3F54AD"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MICHELINI, G., NORMAN, L. J., SHAW, P. &amp; LOO, S. K. 2022. Treatment biomarkers for ADHD: Taking stock and moving forward. </w:t>
      </w:r>
      <w:r w:rsidRPr="00177551">
        <w:rPr>
          <w:rFonts w:ascii="Arial" w:hAnsi="Arial" w:cs="Arial"/>
          <w:i/>
          <w:noProof/>
          <w:sz w:val="20"/>
          <w:szCs w:val="20"/>
        </w:rPr>
        <w:t>Transl Psychiatry,</w:t>
      </w:r>
      <w:r w:rsidRPr="00177551">
        <w:rPr>
          <w:rFonts w:ascii="Arial" w:hAnsi="Arial" w:cs="Arial"/>
          <w:noProof/>
          <w:sz w:val="20"/>
          <w:szCs w:val="20"/>
        </w:rPr>
        <w:t xml:space="preserve"> 12</w:t>
      </w:r>
      <w:r w:rsidRPr="00177551">
        <w:rPr>
          <w:rFonts w:ascii="Arial" w:hAnsi="Arial" w:cs="Arial"/>
          <w:b/>
          <w:noProof/>
          <w:sz w:val="20"/>
          <w:szCs w:val="20"/>
        </w:rPr>
        <w:t>,</w:t>
      </w:r>
      <w:r w:rsidRPr="00177551">
        <w:rPr>
          <w:rFonts w:ascii="Arial" w:hAnsi="Arial" w:cs="Arial"/>
          <w:noProof/>
          <w:sz w:val="20"/>
          <w:szCs w:val="20"/>
        </w:rPr>
        <w:t xml:space="preserve"> 444.</w:t>
      </w:r>
    </w:p>
    <w:p w14:paraId="5A4F775C"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PAGE, M. J., MCKENZIE, J. E., BOSSUYT, P. M., BOUTRON, I., HOFFMANN, T. C., MULROW, C. D., SHAMSEER, L., TETZLAFF, J. M., AKL, E. A., BRENNAN, S. E., CHOU, R., GLANVILLE, J., GRIMSHAW, J. M., HROBJARTSSON, A., LALU, M. M., LI, T., LODER, E. W., MAYO-WILSON, E., MCDONALD, S., MCGUINNESS, L. A., STEWART, L. A., THOMAS, J., TRICCO, A. C., WELCH, V. A., WHITING, P. &amp; MOHER, D. 2021. The PRISMA 2020 statement: an updated guideline for reporting systematic reviews. </w:t>
      </w:r>
      <w:r w:rsidRPr="00177551">
        <w:rPr>
          <w:rFonts w:ascii="Arial" w:hAnsi="Arial" w:cs="Arial"/>
          <w:i/>
          <w:noProof/>
          <w:sz w:val="20"/>
          <w:szCs w:val="20"/>
        </w:rPr>
        <w:t>BMJ,</w:t>
      </w:r>
      <w:r w:rsidRPr="00177551">
        <w:rPr>
          <w:rFonts w:ascii="Arial" w:hAnsi="Arial" w:cs="Arial"/>
          <w:noProof/>
          <w:sz w:val="20"/>
          <w:szCs w:val="20"/>
        </w:rPr>
        <w:t xml:space="preserve"> 372</w:t>
      </w:r>
      <w:r w:rsidRPr="00177551">
        <w:rPr>
          <w:rFonts w:ascii="Arial" w:hAnsi="Arial" w:cs="Arial"/>
          <w:b/>
          <w:noProof/>
          <w:sz w:val="20"/>
          <w:szCs w:val="20"/>
        </w:rPr>
        <w:t>,</w:t>
      </w:r>
      <w:r w:rsidRPr="00177551">
        <w:rPr>
          <w:rFonts w:ascii="Arial" w:hAnsi="Arial" w:cs="Arial"/>
          <w:noProof/>
          <w:sz w:val="20"/>
          <w:szCs w:val="20"/>
        </w:rPr>
        <w:t xml:space="preserve"> n71.</w:t>
      </w:r>
    </w:p>
    <w:p w14:paraId="270178F9" w14:textId="77EE7D80" w:rsidR="00F71E15" w:rsidRPr="00177551" w:rsidRDefault="00444287" w:rsidP="00F71E15">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PARLATINI, V., ITAHASHI, T., LEE, Y., LIU, S., NGUYEN, T. T., AOKI, Y. Y., FORKEL, S. J., CATANI, M., RUBIA, K., ZHOU, J. H., MURPHY, D. G. &amp; CORTESE, S. 2023. White matter alterations in Attention-Deficit/Hyperactivity Disorder (ADHD): a systematic review of 129 diffusion imaging studies with meta-analysis. </w:t>
      </w:r>
      <w:r w:rsidRPr="00177551">
        <w:rPr>
          <w:rFonts w:ascii="Arial" w:hAnsi="Arial" w:cs="Arial"/>
          <w:i/>
          <w:noProof/>
          <w:sz w:val="20"/>
          <w:szCs w:val="20"/>
        </w:rPr>
        <w:t>Mol Psychiatry,</w:t>
      </w:r>
      <w:r w:rsidRPr="00177551">
        <w:rPr>
          <w:rFonts w:ascii="Arial" w:hAnsi="Arial" w:cs="Arial"/>
          <w:noProof/>
          <w:sz w:val="20"/>
          <w:szCs w:val="20"/>
        </w:rPr>
        <w:t xml:space="preserve"> 28</w:t>
      </w:r>
      <w:r w:rsidRPr="00177551">
        <w:rPr>
          <w:rFonts w:ascii="Arial" w:hAnsi="Arial" w:cs="Arial"/>
          <w:b/>
          <w:noProof/>
          <w:sz w:val="20"/>
          <w:szCs w:val="20"/>
        </w:rPr>
        <w:t>,</w:t>
      </w:r>
      <w:r w:rsidRPr="00177551">
        <w:rPr>
          <w:rFonts w:ascii="Arial" w:hAnsi="Arial" w:cs="Arial"/>
          <w:noProof/>
          <w:sz w:val="20"/>
          <w:szCs w:val="20"/>
        </w:rPr>
        <w:t xml:space="preserve"> 4098-4123.</w:t>
      </w:r>
    </w:p>
    <w:p w14:paraId="52AD0B17" w14:textId="6F16E896" w:rsidR="006D23E0" w:rsidRPr="00177551" w:rsidRDefault="006D23E0" w:rsidP="005A3F84">
      <w:pPr>
        <w:pStyle w:val="EndNoteBibliography"/>
        <w:spacing w:line="480" w:lineRule="auto"/>
        <w:ind w:left="-567" w:hanging="284"/>
        <w:rPr>
          <w:rFonts w:ascii="Arial" w:hAnsi="Arial" w:cs="Arial"/>
          <w:noProof/>
          <w:sz w:val="20"/>
          <w:szCs w:val="20"/>
        </w:rPr>
      </w:pPr>
    </w:p>
    <w:p w14:paraId="72AAAA01"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PEREIRA-SANCHEZ, V., FRANCO, A. R., VIEIRA, D., DE CASTRO-MANGLANO, P., SOUTULLO, C., MILHAM, M. P. &amp; CASTELLANOS, F. X. 2021. Systematic Review: Medication Effects on Brain Intrinsic Functional Connectivity in Patients With Attention-Deficit/Hyperactivity Disorder. </w:t>
      </w:r>
      <w:r w:rsidRPr="00177551">
        <w:rPr>
          <w:rFonts w:ascii="Arial" w:hAnsi="Arial" w:cs="Arial"/>
          <w:i/>
          <w:noProof/>
          <w:sz w:val="20"/>
          <w:szCs w:val="20"/>
        </w:rPr>
        <w:t>J Am Acad Child Adolesc Psychiatry,</w:t>
      </w:r>
      <w:r w:rsidRPr="00177551">
        <w:rPr>
          <w:rFonts w:ascii="Arial" w:hAnsi="Arial" w:cs="Arial"/>
          <w:noProof/>
          <w:sz w:val="20"/>
          <w:szCs w:val="20"/>
        </w:rPr>
        <w:t xml:space="preserve"> 60</w:t>
      </w:r>
      <w:r w:rsidRPr="00177551">
        <w:rPr>
          <w:rFonts w:ascii="Arial" w:hAnsi="Arial" w:cs="Arial"/>
          <w:b/>
          <w:noProof/>
          <w:sz w:val="20"/>
          <w:szCs w:val="20"/>
        </w:rPr>
        <w:t>,</w:t>
      </w:r>
      <w:r w:rsidRPr="00177551">
        <w:rPr>
          <w:rFonts w:ascii="Arial" w:hAnsi="Arial" w:cs="Arial"/>
          <w:noProof/>
          <w:sz w:val="20"/>
          <w:szCs w:val="20"/>
        </w:rPr>
        <w:t xml:space="preserve"> 222-235.</w:t>
      </w:r>
    </w:p>
    <w:p w14:paraId="40C3EC5A"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lastRenderedPageBreak/>
        <w:t xml:space="preserve">SAYAL, K., PRASAD, V., DALEY, D., FORD, T. &amp; COGHILL, D. 2018. ADHD in children and young people: prevalence, care pathways, and service provision. </w:t>
      </w:r>
      <w:r w:rsidRPr="00177551">
        <w:rPr>
          <w:rFonts w:ascii="Arial" w:hAnsi="Arial" w:cs="Arial"/>
          <w:i/>
          <w:noProof/>
          <w:sz w:val="20"/>
          <w:szCs w:val="20"/>
        </w:rPr>
        <w:t>Lancet Psychiatry,</w:t>
      </w:r>
      <w:r w:rsidRPr="00177551">
        <w:rPr>
          <w:rFonts w:ascii="Arial" w:hAnsi="Arial" w:cs="Arial"/>
          <w:noProof/>
          <w:sz w:val="20"/>
          <w:szCs w:val="20"/>
        </w:rPr>
        <w:t xml:space="preserve"> 5</w:t>
      </w:r>
      <w:r w:rsidRPr="00177551">
        <w:rPr>
          <w:rFonts w:ascii="Arial" w:hAnsi="Arial" w:cs="Arial"/>
          <w:b/>
          <w:noProof/>
          <w:sz w:val="20"/>
          <w:szCs w:val="20"/>
        </w:rPr>
        <w:t>,</w:t>
      </w:r>
      <w:r w:rsidRPr="00177551">
        <w:rPr>
          <w:rFonts w:ascii="Arial" w:hAnsi="Arial" w:cs="Arial"/>
          <w:noProof/>
          <w:sz w:val="20"/>
          <w:szCs w:val="20"/>
        </w:rPr>
        <w:t xml:space="preserve"> 175-186.</w:t>
      </w:r>
    </w:p>
    <w:p w14:paraId="643A24BA"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SIBLEY, M. H., MITCHELL, J. T. &amp; BECKER, S. P. 2016. Method of adult diagnosis influences estimated persistence of childhood ADHD: a systematic review of longitudinal studies. </w:t>
      </w:r>
      <w:r w:rsidRPr="00177551">
        <w:rPr>
          <w:rFonts w:ascii="Arial" w:hAnsi="Arial" w:cs="Arial"/>
          <w:i/>
          <w:noProof/>
          <w:sz w:val="20"/>
          <w:szCs w:val="20"/>
        </w:rPr>
        <w:t>Lancet Psychiatry,</w:t>
      </w:r>
      <w:r w:rsidRPr="00177551">
        <w:rPr>
          <w:rFonts w:ascii="Arial" w:hAnsi="Arial" w:cs="Arial"/>
          <w:noProof/>
          <w:sz w:val="20"/>
          <w:szCs w:val="20"/>
        </w:rPr>
        <w:t xml:space="preserve"> 3</w:t>
      </w:r>
      <w:r w:rsidRPr="00177551">
        <w:rPr>
          <w:rFonts w:ascii="Arial" w:hAnsi="Arial" w:cs="Arial"/>
          <w:b/>
          <w:noProof/>
          <w:sz w:val="20"/>
          <w:szCs w:val="20"/>
        </w:rPr>
        <w:t>,</w:t>
      </w:r>
      <w:r w:rsidRPr="00177551">
        <w:rPr>
          <w:rFonts w:ascii="Arial" w:hAnsi="Arial" w:cs="Arial"/>
          <w:noProof/>
          <w:sz w:val="20"/>
          <w:szCs w:val="20"/>
        </w:rPr>
        <w:t xml:space="preserve"> 1157-1165.</w:t>
      </w:r>
    </w:p>
    <w:p w14:paraId="48350EC4"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STEINHAUSEN, H. C. &amp; KREUZER, E. M. 1981. Learning in hyperactive children: are there stimulant-related and state-dependent effects? </w:t>
      </w:r>
      <w:r w:rsidRPr="00177551">
        <w:rPr>
          <w:rFonts w:ascii="Arial" w:hAnsi="Arial" w:cs="Arial"/>
          <w:i/>
          <w:noProof/>
          <w:sz w:val="20"/>
          <w:szCs w:val="20"/>
        </w:rPr>
        <w:t>Psychopharmacology (Berl),</w:t>
      </w:r>
      <w:r w:rsidRPr="00177551">
        <w:rPr>
          <w:rFonts w:ascii="Arial" w:hAnsi="Arial" w:cs="Arial"/>
          <w:noProof/>
          <w:sz w:val="20"/>
          <w:szCs w:val="20"/>
        </w:rPr>
        <w:t xml:space="preserve"> 74</w:t>
      </w:r>
      <w:r w:rsidRPr="00177551">
        <w:rPr>
          <w:rFonts w:ascii="Arial" w:hAnsi="Arial" w:cs="Arial"/>
          <w:b/>
          <w:noProof/>
          <w:sz w:val="20"/>
          <w:szCs w:val="20"/>
        </w:rPr>
        <w:t>,</w:t>
      </w:r>
      <w:r w:rsidRPr="00177551">
        <w:rPr>
          <w:rFonts w:ascii="Arial" w:hAnsi="Arial" w:cs="Arial"/>
          <w:noProof/>
          <w:sz w:val="20"/>
          <w:szCs w:val="20"/>
        </w:rPr>
        <w:t xml:space="preserve"> 389-90.</w:t>
      </w:r>
    </w:p>
    <w:p w14:paraId="3EEE94BE"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STERNE, J. A. C., SAVOVIC, J., PAGE, M. J., ELBERS, R. G., BLENCOWE, N. S., BOUTRON, I., CATES, C. J., CHENG, H. Y., CORBETT, M. S., ELDRIDGE, S. M., EMBERSON, J. R., HERNAN, M. A., HOPEWELL, S., HROBJARTSSON, A., JUNQUEIRA, D. R., JUNI, P., KIRKHAM, J. J., LASSERSON, T., LI, T., MCALEENAN, A., REEVES, B. C., SHEPPERD, S., SHRIER, I., STEWART, L. A., TILLING, K., WHITE, I. R., WHITING, P. F. &amp; HIGGINS, J. P. T. 2019. RoB 2: a revised tool for assessing risk of bias in randomised trials. </w:t>
      </w:r>
      <w:r w:rsidRPr="00177551">
        <w:rPr>
          <w:rFonts w:ascii="Arial" w:hAnsi="Arial" w:cs="Arial"/>
          <w:i/>
          <w:noProof/>
          <w:sz w:val="20"/>
          <w:szCs w:val="20"/>
        </w:rPr>
        <w:t>BMJ,</w:t>
      </w:r>
      <w:r w:rsidRPr="00177551">
        <w:rPr>
          <w:rFonts w:ascii="Arial" w:hAnsi="Arial" w:cs="Arial"/>
          <w:noProof/>
          <w:sz w:val="20"/>
          <w:szCs w:val="20"/>
        </w:rPr>
        <w:t xml:space="preserve"> 366</w:t>
      </w:r>
      <w:r w:rsidRPr="00177551">
        <w:rPr>
          <w:rFonts w:ascii="Arial" w:hAnsi="Arial" w:cs="Arial"/>
          <w:b/>
          <w:noProof/>
          <w:sz w:val="20"/>
          <w:szCs w:val="20"/>
        </w:rPr>
        <w:t>,</w:t>
      </w:r>
      <w:r w:rsidRPr="00177551">
        <w:rPr>
          <w:rFonts w:ascii="Arial" w:hAnsi="Arial" w:cs="Arial"/>
          <w:noProof/>
          <w:sz w:val="20"/>
          <w:szCs w:val="20"/>
        </w:rPr>
        <w:t xml:space="preserve"> l4898.</w:t>
      </w:r>
    </w:p>
    <w:p w14:paraId="12EA79DC" w14:textId="77777777" w:rsidR="00444287" w:rsidRPr="00177551"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WHO 2019/2021. International Classification of Diseases, Eleventh Revision (ICD-11).</w:t>
      </w:r>
    </w:p>
    <w:p w14:paraId="277A6049" w14:textId="77777777" w:rsidR="00444287" w:rsidRPr="0023021C" w:rsidRDefault="00444287" w:rsidP="005A3F84">
      <w:pPr>
        <w:pStyle w:val="EndNoteBibliography"/>
        <w:spacing w:line="480" w:lineRule="auto"/>
        <w:ind w:left="-567" w:hanging="284"/>
        <w:rPr>
          <w:rFonts w:ascii="Arial" w:hAnsi="Arial" w:cs="Arial"/>
          <w:noProof/>
          <w:sz w:val="20"/>
          <w:szCs w:val="20"/>
        </w:rPr>
      </w:pPr>
      <w:r w:rsidRPr="00177551">
        <w:rPr>
          <w:rFonts w:ascii="Arial" w:hAnsi="Arial" w:cs="Arial"/>
          <w:noProof/>
          <w:sz w:val="20"/>
          <w:szCs w:val="20"/>
        </w:rPr>
        <w:t xml:space="preserve">YOUNG, S., ADAMO, N., ASGEIRSDOTTIR, B. B., BRANNEY, P., BECKETT, M., COLLEY, W., CUBBIN, S., DEELEY, Q., FARRAG, E., GUDJONSSON, G., HILL, P., HOLLINGDALE, J., KILIC, O., LLOYD, T., MASON, P., PALIOKOSTA, E., PERECHERLA, S., SEDGWICK, J., SKIRROW, C., TIERNEY, K., VAN RENSBURG, K. &amp; WOODHOUSE, E. 2020. Females with ADHD: An expert consensus statement taking a lifespan approach providing guidance for the identification and treatment of attention-deficit/ hyperactivity disorder in girls and women. </w:t>
      </w:r>
      <w:r w:rsidRPr="00177551">
        <w:rPr>
          <w:rFonts w:ascii="Arial" w:hAnsi="Arial" w:cs="Arial"/>
          <w:i/>
          <w:noProof/>
          <w:sz w:val="20"/>
          <w:szCs w:val="20"/>
        </w:rPr>
        <w:t>BMC Psychiatry,</w:t>
      </w:r>
      <w:r w:rsidRPr="00177551">
        <w:rPr>
          <w:rFonts w:ascii="Arial" w:hAnsi="Arial" w:cs="Arial"/>
          <w:noProof/>
          <w:sz w:val="20"/>
          <w:szCs w:val="20"/>
        </w:rPr>
        <w:t xml:space="preserve"> 20</w:t>
      </w:r>
      <w:r w:rsidRPr="00177551">
        <w:rPr>
          <w:rFonts w:ascii="Arial" w:hAnsi="Arial" w:cs="Arial"/>
          <w:b/>
          <w:noProof/>
          <w:sz w:val="20"/>
          <w:szCs w:val="20"/>
        </w:rPr>
        <w:t>,</w:t>
      </w:r>
      <w:r w:rsidRPr="00177551">
        <w:rPr>
          <w:rFonts w:ascii="Arial" w:hAnsi="Arial" w:cs="Arial"/>
          <w:noProof/>
          <w:sz w:val="20"/>
          <w:szCs w:val="20"/>
        </w:rPr>
        <w:t xml:space="preserve"> 404.</w:t>
      </w:r>
    </w:p>
    <w:p w14:paraId="26FB94AC" w14:textId="1D497E2E" w:rsidR="008E4F93" w:rsidRPr="0023021C" w:rsidRDefault="008E4F93" w:rsidP="005A3F84">
      <w:pPr>
        <w:spacing w:line="480" w:lineRule="auto"/>
        <w:ind w:left="-567" w:right="-761" w:hanging="284"/>
        <w:contextualSpacing/>
        <w:rPr>
          <w:rFonts w:ascii="Arial" w:hAnsi="Arial" w:cs="Arial"/>
          <w:b/>
          <w:bCs/>
          <w:sz w:val="20"/>
          <w:szCs w:val="20"/>
          <w:lang w:val="en-US"/>
        </w:rPr>
      </w:pPr>
    </w:p>
    <w:sectPr w:rsidR="008E4F93" w:rsidRPr="0023021C" w:rsidSect="004B4DDC">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AF88" w14:textId="77777777" w:rsidR="00CA4EA3" w:rsidRDefault="00CA4EA3" w:rsidP="00F4316E">
      <w:r>
        <w:separator/>
      </w:r>
    </w:p>
  </w:endnote>
  <w:endnote w:type="continuationSeparator" w:id="0">
    <w:p w14:paraId="3E76E5B2" w14:textId="77777777" w:rsidR="00CA4EA3" w:rsidRDefault="00CA4EA3" w:rsidP="00F4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9179863"/>
      <w:docPartObj>
        <w:docPartGallery w:val="Page Numbers (Bottom of Page)"/>
        <w:docPartUnique/>
      </w:docPartObj>
    </w:sdtPr>
    <w:sdtContent>
      <w:p w14:paraId="3F1A33BD" w14:textId="072937EA" w:rsidR="00F4316E" w:rsidRDefault="00F4316E" w:rsidP="009200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B93B06" w14:textId="77777777" w:rsidR="00F4316E" w:rsidRDefault="00F4316E" w:rsidP="00F431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3839521"/>
      <w:docPartObj>
        <w:docPartGallery w:val="Page Numbers (Bottom of Page)"/>
        <w:docPartUnique/>
      </w:docPartObj>
    </w:sdtPr>
    <w:sdtContent>
      <w:p w14:paraId="63F421F8" w14:textId="6B0E29D3" w:rsidR="00F4316E" w:rsidRDefault="00F4316E" w:rsidP="009200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49F977" w14:textId="77777777" w:rsidR="00F4316E" w:rsidRDefault="00F4316E" w:rsidP="00F431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9BFF" w14:textId="77777777" w:rsidR="00CA4EA3" w:rsidRDefault="00CA4EA3" w:rsidP="00F4316E">
      <w:r>
        <w:separator/>
      </w:r>
    </w:p>
  </w:footnote>
  <w:footnote w:type="continuationSeparator" w:id="0">
    <w:p w14:paraId="72E52BEF" w14:textId="77777777" w:rsidR="00CA4EA3" w:rsidRDefault="00CA4EA3" w:rsidP="00F43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6115C"/>
    <w:multiLevelType w:val="hybridMultilevel"/>
    <w:tmpl w:val="6CE4096C"/>
    <w:lvl w:ilvl="0" w:tplc="E3FCF0AE">
      <w:start w:val="1"/>
      <w:numFmt w:val="bullet"/>
      <w:lvlText w:val="•"/>
      <w:lvlJc w:val="left"/>
      <w:pPr>
        <w:tabs>
          <w:tab w:val="num" w:pos="720"/>
        </w:tabs>
        <w:ind w:left="720" w:hanging="360"/>
      </w:pPr>
      <w:rPr>
        <w:rFonts w:ascii="Arial" w:hAnsi="Arial" w:hint="default"/>
      </w:rPr>
    </w:lvl>
    <w:lvl w:ilvl="1" w:tplc="EB7A4B68" w:tentative="1">
      <w:start w:val="1"/>
      <w:numFmt w:val="bullet"/>
      <w:lvlText w:val="•"/>
      <w:lvlJc w:val="left"/>
      <w:pPr>
        <w:tabs>
          <w:tab w:val="num" w:pos="1440"/>
        </w:tabs>
        <w:ind w:left="1440" w:hanging="360"/>
      </w:pPr>
      <w:rPr>
        <w:rFonts w:ascii="Arial" w:hAnsi="Arial" w:hint="default"/>
      </w:rPr>
    </w:lvl>
    <w:lvl w:ilvl="2" w:tplc="3E3CFE9E" w:tentative="1">
      <w:start w:val="1"/>
      <w:numFmt w:val="bullet"/>
      <w:lvlText w:val="•"/>
      <w:lvlJc w:val="left"/>
      <w:pPr>
        <w:tabs>
          <w:tab w:val="num" w:pos="2160"/>
        </w:tabs>
        <w:ind w:left="2160" w:hanging="360"/>
      </w:pPr>
      <w:rPr>
        <w:rFonts w:ascii="Arial" w:hAnsi="Arial" w:hint="default"/>
      </w:rPr>
    </w:lvl>
    <w:lvl w:ilvl="3" w:tplc="A438848C" w:tentative="1">
      <w:start w:val="1"/>
      <w:numFmt w:val="bullet"/>
      <w:lvlText w:val="•"/>
      <w:lvlJc w:val="left"/>
      <w:pPr>
        <w:tabs>
          <w:tab w:val="num" w:pos="2880"/>
        </w:tabs>
        <w:ind w:left="2880" w:hanging="360"/>
      </w:pPr>
      <w:rPr>
        <w:rFonts w:ascii="Arial" w:hAnsi="Arial" w:hint="default"/>
      </w:rPr>
    </w:lvl>
    <w:lvl w:ilvl="4" w:tplc="710C3282" w:tentative="1">
      <w:start w:val="1"/>
      <w:numFmt w:val="bullet"/>
      <w:lvlText w:val="•"/>
      <w:lvlJc w:val="left"/>
      <w:pPr>
        <w:tabs>
          <w:tab w:val="num" w:pos="3600"/>
        </w:tabs>
        <w:ind w:left="3600" w:hanging="360"/>
      </w:pPr>
      <w:rPr>
        <w:rFonts w:ascii="Arial" w:hAnsi="Arial" w:hint="default"/>
      </w:rPr>
    </w:lvl>
    <w:lvl w:ilvl="5" w:tplc="13680262" w:tentative="1">
      <w:start w:val="1"/>
      <w:numFmt w:val="bullet"/>
      <w:lvlText w:val="•"/>
      <w:lvlJc w:val="left"/>
      <w:pPr>
        <w:tabs>
          <w:tab w:val="num" w:pos="4320"/>
        </w:tabs>
        <w:ind w:left="4320" w:hanging="360"/>
      </w:pPr>
      <w:rPr>
        <w:rFonts w:ascii="Arial" w:hAnsi="Arial" w:hint="default"/>
      </w:rPr>
    </w:lvl>
    <w:lvl w:ilvl="6" w:tplc="D99E4504" w:tentative="1">
      <w:start w:val="1"/>
      <w:numFmt w:val="bullet"/>
      <w:lvlText w:val="•"/>
      <w:lvlJc w:val="left"/>
      <w:pPr>
        <w:tabs>
          <w:tab w:val="num" w:pos="5040"/>
        </w:tabs>
        <w:ind w:left="5040" w:hanging="360"/>
      </w:pPr>
      <w:rPr>
        <w:rFonts w:ascii="Arial" w:hAnsi="Arial" w:hint="default"/>
      </w:rPr>
    </w:lvl>
    <w:lvl w:ilvl="7" w:tplc="08B8FDE0" w:tentative="1">
      <w:start w:val="1"/>
      <w:numFmt w:val="bullet"/>
      <w:lvlText w:val="•"/>
      <w:lvlJc w:val="left"/>
      <w:pPr>
        <w:tabs>
          <w:tab w:val="num" w:pos="5760"/>
        </w:tabs>
        <w:ind w:left="5760" w:hanging="360"/>
      </w:pPr>
      <w:rPr>
        <w:rFonts w:ascii="Arial" w:hAnsi="Arial" w:hint="default"/>
      </w:rPr>
    </w:lvl>
    <w:lvl w:ilvl="8" w:tplc="39D28B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ED21D5"/>
    <w:multiLevelType w:val="hybridMultilevel"/>
    <w:tmpl w:val="24EE3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8B381A"/>
    <w:multiLevelType w:val="multilevel"/>
    <w:tmpl w:val="F88E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2C12E2"/>
    <w:multiLevelType w:val="multilevel"/>
    <w:tmpl w:val="2232326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4424BB"/>
    <w:multiLevelType w:val="multilevel"/>
    <w:tmpl w:val="9AA8B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2579442">
    <w:abstractNumId w:val="0"/>
  </w:num>
  <w:num w:numId="2" w16cid:durableId="816267217">
    <w:abstractNumId w:val="2"/>
  </w:num>
  <w:num w:numId="3" w16cid:durableId="594557705">
    <w:abstractNumId w:val="4"/>
  </w:num>
  <w:num w:numId="4" w16cid:durableId="822477201">
    <w:abstractNumId w:val="3"/>
  </w:num>
  <w:num w:numId="5" w16cid:durableId="170375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9v0025b92dtlepr2av5w9u0d20rxt5fv0a&quot;&gt;My EndNote Library_ADHD_March24&lt;record-ids&gt;&lt;item&gt;20&lt;/item&gt;&lt;item&gt;44&lt;/item&gt;&lt;item&gt;61&lt;/item&gt;&lt;item&gt;75&lt;/item&gt;&lt;item&gt;87&lt;/item&gt;&lt;item&gt;126&lt;/item&gt;&lt;item&gt;127&lt;/item&gt;&lt;item&gt;128&lt;/item&gt;&lt;item&gt;129&lt;/item&gt;&lt;item&gt;130&lt;/item&gt;&lt;item&gt;131&lt;/item&gt;&lt;item&gt;132&lt;/item&gt;&lt;item&gt;133&lt;/item&gt;&lt;item&gt;134&lt;/item&gt;&lt;item&gt;139&lt;/item&gt;&lt;item&gt;140&lt;/item&gt;&lt;item&gt;141&lt;/item&gt;&lt;item&gt;142&lt;/item&gt;&lt;item&gt;143&lt;/item&gt;&lt;item&gt;144&lt;/item&gt;&lt;item&gt;145&lt;/item&gt;&lt;/record-ids&gt;&lt;/item&gt;&lt;/Libraries&gt;"/>
  </w:docVars>
  <w:rsids>
    <w:rsidRoot w:val="00AE7592"/>
    <w:rsid w:val="00001659"/>
    <w:rsid w:val="00003DF3"/>
    <w:rsid w:val="00004105"/>
    <w:rsid w:val="000046B6"/>
    <w:rsid w:val="0000493E"/>
    <w:rsid w:val="0000537F"/>
    <w:rsid w:val="00006F62"/>
    <w:rsid w:val="000075B0"/>
    <w:rsid w:val="00007963"/>
    <w:rsid w:val="00010CDB"/>
    <w:rsid w:val="00011430"/>
    <w:rsid w:val="000128DA"/>
    <w:rsid w:val="00013B06"/>
    <w:rsid w:val="000142E2"/>
    <w:rsid w:val="00014745"/>
    <w:rsid w:val="00015515"/>
    <w:rsid w:val="0001589C"/>
    <w:rsid w:val="00016A89"/>
    <w:rsid w:val="000201BB"/>
    <w:rsid w:val="0002097D"/>
    <w:rsid w:val="00021E36"/>
    <w:rsid w:val="00022420"/>
    <w:rsid w:val="0002340F"/>
    <w:rsid w:val="00023747"/>
    <w:rsid w:val="000238F1"/>
    <w:rsid w:val="00023DB1"/>
    <w:rsid w:val="00023DE9"/>
    <w:rsid w:val="000240FC"/>
    <w:rsid w:val="000262DA"/>
    <w:rsid w:val="0003081B"/>
    <w:rsid w:val="0003091A"/>
    <w:rsid w:val="00030BEA"/>
    <w:rsid w:val="000339AC"/>
    <w:rsid w:val="0003533D"/>
    <w:rsid w:val="000375BC"/>
    <w:rsid w:val="00040399"/>
    <w:rsid w:val="00040CFF"/>
    <w:rsid w:val="00043571"/>
    <w:rsid w:val="0004380B"/>
    <w:rsid w:val="00044ACC"/>
    <w:rsid w:val="00044AE4"/>
    <w:rsid w:val="00044C3B"/>
    <w:rsid w:val="00045881"/>
    <w:rsid w:val="00045A7B"/>
    <w:rsid w:val="00045DF8"/>
    <w:rsid w:val="0004799A"/>
    <w:rsid w:val="0005057C"/>
    <w:rsid w:val="00051607"/>
    <w:rsid w:val="00053724"/>
    <w:rsid w:val="00055A49"/>
    <w:rsid w:val="0005687A"/>
    <w:rsid w:val="00057E03"/>
    <w:rsid w:val="00057E8F"/>
    <w:rsid w:val="00060238"/>
    <w:rsid w:val="00060D84"/>
    <w:rsid w:val="000610D9"/>
    <w:rsid w:val="00063179"/>
    <w:rsid w:val="00063824"/>
    <w:rsid w:val="00063F50"/>
    <w:rsid w:val="000640EF"/>
    <w:rsid w:val="0006427D"/>
    <w:rsid w:val="0006456B"/>
    <w:rsid w:val="00065B82"/>
    <w:rsid w:val="00065DB3"/>
    <w:rsid w:val="00067094"/>
    <w:rsid w:val="00067D8E"/>
    <w:rsid w:val="00070DCB"/>
    <w:rsid w:val="000713C3"/>
    <w:rsid w:val="000723D8"/>
    <w:rsid w:val="000729FD"/>
    <w:rsid w:val="000737A1"/>
    <w:rsid w:val="00073B6B"/>
    <w:rsid w:val="00074245"/>
    <w:rsid w:val="00077D71"/>
    <w:rsid w:val="000812AE"/>
    <w:rsid w:val="00081ADB"/>
    <w:rsid w:val="00081DAF"/>
    <w:rsid w:val="00083DD7"/>
    <w:rsid w:val="000842B6"/>
    <w:rsid w:val="00084F7B"/>
    <w:rsid w:val="00085466"/>
    <w:rsid w:val="00085A66"/>
    <w:rsid w:val="00086BA5"/>
    <w:rsid w:val="00090C79"/>
    <w:rsid w:val="000919B1"/>
    <w:rsid w:val="00093DB6"/>
    <w:rsid w:val="00093F3B"/>
    <w:rsid w:val="00094BFD"/>
    <w:rsid w:val="000954DD"/>
    <w:rsid w:val="00095F30"/>
    <w:rsid w:val="00097020"/>
    <w:rsid w:val="00097B84"/>
    <w:rsid w:val="00097E89"/>
    <w:rsid w:val="000A06BA"/>
    <w:rsid w:val="000A0A15"/>
    <w:rsid w:val="000A1F0B"/>
    <w:rsid w:val="000A2548"/>
    <w:rsid w:val="000A38D0"/>
    <w:rsid w:val="000A3926"/>
    <w:rsid w:val="000A3BD0"/>
    <w:rsid w:val="000A3E47"/>
    <w:rsid w:val="000A49D3"/>
    <w:rsid w:val="000A5112"/>
    <w:rsid w:val="000A54DF"/>
    <w:rsid w:val="000A5886"/>
    <w:rsid w:val="000A624B"/>
    <w:rsid w:val="000A65CF"/>
    <w:rsid w:val="000A6F3B"/>
    <w:rsid w:val="000B15E0"/>
    <w:rsid w:val="000B27B8"/>
    <w:rsid w:val="000B29FB"/>
    <w:rsid w:val="000B2B13"/>
    <w:rsid w:val="000B2DBC"/>
    <w:rsid w:val="000B2DD5"/>
    <w:rsid w:val="000B32A6"/>
    <w:rsid w:val="000B4465"/>
    <w:rsid w:val="000B471E"/>
    <w:rsid w:val="000B490C"/>
    <w:rsid w:val="000B659A"/>
    <w:rsid w:val="000C0ED9"/>
    <w:rsid w:val="000C268F"/>
    <w:rsid w:val="000C2D59"/>
    <w:rsid w:val="000C2F62"/>
    <w:rsid w:val="000C30B4"/>
    <w:rsid w:val="000C333C"/>
    <w:rsid w:val="000C38D2"/>
    <w:rsid w:val="000C47A7"/>
    <w:rsid w:val="000C49E3"/>
    <w:rsid w:val="000C521F"/>
    <w:rsid w:val="000C7349"/>
    <w:rsid w:val="000D049C"/>
    <w:rsid w:val="000D205B"/>
    <w:rsid w:val="000D281F"/>
    <w:rsid w:val="000D686A"/>
    <w:rsid w:val="000E03CC"/>
    <w:rsid w:val="000E073F"/>
    <w:rsid w:val="000E0758"/>
    <w:rsid w:val="000E176C"/>
    <w:rsid w:val="000E1B57"/>
    <w:rsid w:val="000E1F5A"/>
    <w:rsid w:val="000E2B48"/>
    <w:rsid w:val="000E38DF"/>
    <w:rsid w:val="000E3CF8"/>
    <w:rsid w:val="000E43F3"/>
    <w:rsid w:val="000E49FB"/>
    <w:rsid w:val="000E4C65"/>
    <w:rsid w:val="000F1B3A"/>
    <w:rsid w:val="000F6564"/>
    <w:rsid w:val="000F7948"/>
    <w:rsid w:val="0010068A"/>
    <w:rsid w:val="0010068F"/>
    <w:rsid w:val="00100FA3"/>
    <w:rsid w:val="001013A4"/>
    <w:rsid w:val="00102460"/>
    <w:rsid w:val="00106A2B"/>
    <w:rsid w:val="00106AA6"/>
    <w:rsid w:val="00106EC7"/>
    <w:rsid w:val="001079F7"/>
    <w:rsid w:val="00107CAE"/>
    <w:rsid w:val="00110EFC"/>
    <w:rsid w:val="00111390"/>
    <w:rsid w:val="00111C0E"/>
    <w:rsid w:val="00112F8E"/>
    <w:rsid w:val="00113B95"/>
    <w:rsid w:val="0011471D"/>
    <w:rsid w:val="00115A28"/>
    <w:rsid w:val="00115B22"/>
    <w:rsid w:val="00116523"/>
    <w:rsid w:val="0011675D"/>
    <w:rsid w:val="00116BFC"/>
    <w:rsid w:val="00116F2D"/>
    <w:rsid w:val="0011747A"/>
    <w:rsid w:val="00117AD6"/>
    <w:rsid w:val="00121A3D"/>
    <w:rsid w:val="00121EC4"/>
    <w:rsid w:val="00122DC2"/>
    <w:rsid w:val="00123C88"/>
    <w:rsid w:val="0012548F"/>
    <w:rsid w:val="001257DC"/>
    <w:rsid w:val="00125A4D"/>
    <w:rsid w:val="00126D10"/>
    <w:rsid w:val="0012718F"/>
    <w:rsid w:val="00130666"/>
    <w:rsid w:val="00130729"/>
    <w:rsid w:val="00131528"/>
    <w:rsid w:val="00131717"/>
    <w:rsid w:val="00131A0C"/>
    <w:rsid w:val="0013295B"/>
    <w:rsid w:val="00141227"/>
    <w:rsid w:val="00142B48"/>
    <w:rsid w:val="00142F49"/>
    <w:rsid w:val="001444C1"/>
    <w:rsid w:val="00145662"/>
    <w:rsid w:val="001470E5"/>
    <w:rsid w:val="0015050C"/>
    <w:rsid w:val="00150757"/>
    <w:rsid w:val="00150A5D"/>
    <w:rsid w:val="001530CB"/>
    <w:rsid w:val="00153E9E"/>
    <w:rsid w:val="00155568"/>
    <w:rsid w:val="0015739F"/>
    <w:rsid w:val="00162A87"/>
    <w:rsid w:val="00162B8F"/>
    <w:rsid w:val="0016359C"/>
    <w:rsid w:val="00170404"/>
    <w:rsid w:val="00170C73"/>
    <w:rsid w:val="001715F0"/>
    <w:rsid w:val="00171A6E"/>
    <w:rsid w:val="00172310"/>
    <w:rsid w:val="0017466D"/>
    <w:rsid w:val="00177551"/>
    <w:rsid w:val="00177C99"/>
    <w:rsid w:val="00181176"/>
    <w:rsid w:val="001815B0"/>
    <w:rsid w:val="001818A2"/>
    <w:rsid w:val="00182A84"/>
    <w:rsid w:val="00183156"/>
    <w:rsid w:val="00183E27"/>
    <w:rsid w:val="001852CE"/>
    <w:rsid w:val="0018535F"/>
    <w:rsid w:val="001906BA"/>
    <w:rsid w:val="001907F5"/>
    <w:rsid w:val="00192EA2"/>
    <w:rsid w:val="001930BD"/>
    <w:rsid w:val="0019342F"/>
    <w:rsid w:val="001937A1"/>
    <w:rsid w:val="001943F4"/>
    <w:rsid w:val="001952A0"/>
    <w:rsid w:val="001954A5"/>
    <w:rsid w:val="00195CFC"/>
    <w:rsid w:val="0019619D"/>
    <w:rsid w:val="00196783"/>
    <w:rsid w:val="00196D30"/>
    <w:rsid w:val="001A0C23"/>
    <w:rsid w:val="001A198B"/>
    <w:rsid w:val="001A1E6B"/>
    <w:rsid w:val="001A1F25"/>
    <w:rsid w:val="001A4060"/>
    <w:rsid w:val="001A55EC"/>
    <w:rsid w:val="001A5777"/>
    <w:rsid w:val="001A6CE0"/>
    <w:rsid w:val="001B1700"/>
    <w:rsid w:val="001B2D50"/>
    <w:rsid w:val="001B456F"/>
    <w:rsid w:val="001B4729"/>
    <w:rsid w:val="001B5975"/>
    <w:rsid w:val="001B627C"/>
    <w:rsid w:val="001B641E"/>
    <w:rsid w:val="001B6E2B"/>
    <w:rsid w:val="001B7DFE"/>
    <w:rsid w:val="001C2CD5"/>
    <w:rsid w:val="001C2D31"/>
    <w:rsid w:val="001C47E2"/>
    <w:rsid w:val="001C4A63"/>
    <w:rsid w:val="001C5391"/>
    <w:rsid w:val="001C576A"/>
    <w:rsid w:val="001C6805"/>
    <w:rsid w:val="001D0506"/>
    <w:rsid w:val="001D05C1"/>
    <w:rsid w:val="001D2246"/>
    <w:rsid w:val="001D231F"/>
    <w:rsid w:val="001D4007"/>
    <w:rsid w:val="001D46E4"/>
    <w:rsid w:val="001D4A91"/>
    <w:rsid w:val="001D5173"/>
    <w:rsid w:val="001D647D"/>
    <w:rsid w:val="001D6E45"/>
    <w:rsid w:val="001D7E32"/>
    <w:rsid w:val="001E1B0E"/>
    <w:rsid w:val="001E2ADD"/>
    <w:rsid w:val="001E3349"/>
    <w:rsid w:val="001E3D6D"/>
    <w:rsid w:val="001E3F3F"/>
    <w:rsid w:val="001E4181"/>
    <w:rsid w:val="001E495D"/>
    <w:rsid w:val="001E4D48"/>
    <w:rsid w:val="001E57C7"/>
    <w:rsid w:val="001E59D5"/>
    <w:rsid w:val="001E5A34"/>
    <w:rsid w:val="001E5B06"/>
    <w:rsid w:val="001E635D"/>
    <w:rsid w:val="001E6CA0"/>
    <w:rsid w:val="001E7DD4"/>
    <w:rsid w:val="001F0180"/>
    <w:rsid w:val="001F0E30"/>
    <w:rsid w:val="001F12BE"/>
    <w:rsid w:val="001F178B"/>
    <w:rsid w:val="001F18F8"/>
    <w:rsid w:val="001F3015"/>
    <w:rsid w:val="001F3BAC"/>
    <w:rsid w:val="001F3C6A"/>
    <w:rsid w:val="001F5EBA"/>
    <w:rsid w:val="001F5FFF"/>
    <w:rsid w:val="001F7616"/>
    <w:rsid w:val="00200336"/>
    <w:rsid w:val="00200544"/>
    <w:rsid w:val="00200D1A"/>
    <w:rsid w:val="002052E7"/>
    <w:rsid w:val="0020549E"/>
    <w:rsid w:val="00205C9A"/>
    <w:rsid w:val="002073C1"/>
    <w:rsid w:val="00207AD3"/>
    <w:rsid w:val="00207C06"/>
    <w:rsid w:val="00207C8D"/>
    <w:rsid w:val="00210671"/>
    <w:rsid w:val="002117F8"/>
    <w:rsid w:val="00213052"/>
    <w:rsid w:val="00213DF4"/>
    <w:rsid w:val="00215BA9"/>
    <w:rsid w:val="00216A3B"/>
    <w:rsid w:val="0021787A"/>
    <w:rsid w:val="002205B1"/>
    <w:rsid w:val="00220BFC"/>
    <w:rsid w:val="002243D5"/>
    <w:rsid w:val="00225619"/>
    <w:rsid w:val="00227D28"/>
    <w:rsid w:val="00227DF3"/>
    <w:rsid w:val="00227E0C"/>
    <w:rsid w:val="0023021C"/>
    <w:rsid w:val="002306B9"/>
    <w:rsid w:val="00231B7E"/>
    <w:rsid w:val="002323C3"/>
    <w:rsid w:val="0023243E"/>
    <w:rsid w:val="00233B37"/>
    <w:rsid w:val="00233D67"/>
    <w:rsid w:val="00234FE3"/>
    <w:rsid w:val="00236BBF"/>
    <w:rsid w:val="00236CE0"/>
    <w:rsid w:val="00237CA5"/>
    <w:rsid w:val="00240659"/>
    <w:rsid w:val="00240CBB"/>
    <w:rsid w:val="00241148"/>
    <w:rsid w:val="00241776"/>
    <w:rsid w:val="002421A4"/>
    <w:rsid w:val="00243F17"/>
    <w:rsid w:val="00244C12"/>
    <w:rsid w:val="00244FC6"/>
    <w:rsid w:val="00246B2C"/>
    <w:rsid w:val="002509DC"/>
    <w:rsid w:val="0025113D"/>
    <w:rsid w:val="002542A3"/>
    <w:rsid w:val="002545E6"/>
    <w:rsid w:val="0025493D"/>
    <w:rsid w:val="002553C0"/>
    <w:rsid w:val="0025651F"/>
    <w:rsid w:val="00256CB9"/>
    <w:rsid w:val="00256FEC"/>
    <w:rsid w:val="002573E2"/>
    <w:rsid w:val="002575CC"/>
    <w:rsid w:val="002613D9"/>
    <w:rsid w:val="00261439"/>
    <w:rsid w:val="00261EB9"/>
    <w:rsid w:val="00262FD1"/>
    <w:rsid w:val="002639CA"/>
    <w:rsid w:val="00264062"/>
    <w:rsid w:val="00264F4D"/>
    <w:rsid w:val="0026698D"/>
    <w:rsid w:val="002669C6"/>
    <w:rsid w:val="002671D3"/>
    <w:rsid w:val="002676F7"/>
    <w:rsid w:val="00267D96"/>
    <w:rsid w:val="00267F06"/>
    <w:rsid w:val="00271498"/>
    <w:rsid w:val="0027357B"/>
    <w:rsid w:val="00273A43"/>
    <w:rsid w:val="00274894"/>
    <w:rsid w:val="00275C72"/>
    <w:rsid w:val="002761D6"/>
    <w:rsid w:val="0027699E"/>
    <w:rsid w:val="002773A0"/>
    <w:rsid w:val="0027798C"/>
    <w:rsid w:val="00280537"/>
    <w:rsid w:val="002815C5"/>
    <w:rsid w:val="00281821"/>
    <w:rsid w:val="002824CC"/>
    <w:rsid w:val="0028464C"/>
    <w:rsid w:val="00284C14"/>
    <w:rsid w:val="002873EC"/>
    <w:rsid w:val="0029152B"/>
    <w:rsid w:val="00292083"/>
    <w:rsid w:val="002926DC"/>
    <w:rsid w:val="0029365E"/>
    <w:rsid w:val="00293D13"/>
    <w:rsid w:val="00294988"/>
    <w:rsid w:val="00294A7D"/>
    <w:rsid w:val="00295A7A"/>
    <w:rsid w:val="00297978"/>
    <w:rsid w:val="002A01EC"/>
    <w:rsid w:val="002A1FEF"/>
    <w:rsid w:val="002A2A03"/>
    <w:rsid w:val="002A2D05"/>
    <w:rsid w:val="002A3283"/>
    <w:rsid w:val="002A351B"/>
    <w:rsid w:val="002A3C70"/>
    <w:rsid w:val="002A50B1"/>
    <w:rsid w:val="002A692D"/>
    <w:rsid w:val="002A6EAA"/>
    <w:rsid w:val="002A72A2"/>
    <w:rsid w:val="002B0231"/>
    <w:rsid w:val="002B313C"/>
    <w:rsid w:val="002B3ABF"/>
    <w:rsid w:val="002B3DBF"/>
    <w:rsid w:val="002B456F"/>
    <w:rsid w:val="002B4F54"/>
    <w:rsid w:val="002B5A6C"/>
    <w:rsid w:val="002B6043"/>
    <w:rsid w:val="002C02E9"/>
    <w:rsid w:val="002C079C"/>
    <w:rsid w:val="002C21A5"/>
    <w:rsid w:val="002C3977"/>
    <w:rsid w:val="002C7778"/>
    <w:rsid w:val="002C7D3B"/>
    <w:rsid w:val="002D1C6A"/>
    <w:rsid w:val="002D26A2"/>
    <w:rsid w:val="002D37D3"/>
    <w:rsid w:val="002D5016"/>
    <w:rsid w:val="002D5FF3"/>
    <w:rsid w:val="002D70FD"/>
    <w:rsid w:val="002E055D"/>
    <w:rsid w:val="002E1171"/>
    <w:rsid w:val="002E4332"/>
    <w:rsid w:val="002E5834"/>
    <w:rsid w:val="002F0015"/>
    <w:rsid w:val="002F1C4B"/>
    <w:rsid w:val="002F1FC6"/>
    <w:rsid w:val="002F23B1"/>
    <w:rsid w:val="002F36E5"/>
    <w:rsid w:val="002F401E"/>
    <w:rsid w:val="002F495F"/>
    <w:rsid w:val="002F77C5"/>
    <w:rsid w:val="002F7B9C"/>
    <w:rsid w:val="00300324"/>
    <w:rsid w:val="00300666"/>
    <w:rsid w:val="00301EB9"/>
    <w:rsid w:val="0030389A"/>
    <w:rsid w:val="00304023"/>
    <w:rsid w:val="0030470D"/>
    <w:rsid w:val="003049F6"/>
    <w:rsid w:val="00304E17"/>
    <w:rsid w:val="003054D9"/>
    <w:rsid w:val="00306133"/>
    <w:rsid w:val="00306630"/>
    <w:rsid w:val="00306705"/>
    <w:rsid w:val="003068DD"/>
    <w:rsid w:val="00306EFD"/>
    <w:rsid w:val="00307950"/>
    <w:rsid w:val="003114DC"/>
    <w:rsid w:val="0031164F"/>
    <w:rsid w:val="00311E79"/>
    <w:rsid w:val="00312050"/>
    <w:rsid w:val="003126D7"/>
    <w:rsid w:val="00312A7D"/>
    <w:rsid w:val="00314774"/>
    <w:rsid w:val="003153D1"/>
    <w:rsid w:val="0031652C"/>
    <w:rsid w:val="00316CF7"/>
    <w:rsid w:val="003174B5"/>
    <w:rsid w:val="00321192"/>
    <w:rsid w:val="00321ED9"/>
    <w:rsid w:val="003225EB"/>
    <w:rsid w:val="00322618"/>
    <w:rsid w:val="00323766"/>
    <w:rsid w:val="00323A81"/>
    <w:rsid w:val="00325925"/>
    <w:rsid w:val="0032687B"/>
    <w:rsid w:val="00327727"/>
    <w:rsid w:val="003278A3"/>
    <w:rsid w:val="00330E8B"/>
    <w:rsid w:val="00331C73"/>
    <w:rsid w:val="00332887"/>
    <w:rsid w:val="00334065"/>
    <w:rsid w:val="00335977"/>
    <w:rsid w:val="003372DA"/>
    <w:rsid w:val="00341730"/>
    <w:rsid w:val="00341C95"/>
    <w:rsid w:val="0034369A"/>
    <w:rsid w:val="003437EC"/>
    <w:rsid w:val="00344668"/>
    <w:rsid w:val="00344848"/>
    <w:rsid w:val="0034540F"/>
    <w:rsid w:val="00346398"/>
    <w:rsid w:val="00346556"/>
    <w:rsid w:val="00350EF4"/>
    <w:rsid w:val="00353036"/>
    <w:rsid w:val="003534E1"/>
    <w:rsid w:val="003548CD"/>
    <w:rsid w:val="0035540F"/>
    <w:rsid w:val="003554DB"/>
    <w:rsid w:val="00355B0D"/>
    <w:rsid w:val="00355B26"/>
    <w:rsid w:val="00357A39"/>
    <w:rsid w:val="0036032A"/>
    <w:rsid w:val="00360A5F"/>
    <w:rsid w:val="0036176E"/>
    <w:rsid w:val="00362EF0"/>
    <w:rsid w:val="00362F11"/>
    <w:rsid w:val="00363907"/>
    <w:rsid w:val="00363A43"/>
    <w:rsid w:val="00364E14"/>
    <w:rsid w:val="003656EA"/>
    <w:rsid w:val="00365BF0"/>
    <w:rsid w:val="0036748C"/>
    <w:rsid w:val="00367528"/>
    <w:rsid w:val="00370282"/>
    <w:rsid w:val="003705B2"/>
    <w:rsid w:val="00370D7F"/>
    <w:rsid w:val="003727D2"/>
    <w:rsid w:val="00372EC1"/>
    <w:rsid w:val="0037445F"/>
    <w:rsid w:val="00374607"/>
    <w:rsid w:val="00374D89"/>
    <w:rsid w:val="00376F1F"/>
    <w:rsid w:val="003777C9"/>
    <w:rsid w:val="003800A8"/>
    <w:rsid w:val="003808A6"/>
    <w:rsid w:val="00381483"/>
    <w:rsid w:val="0038269F"/>
    <w:rsid w:val="00382F46"/>
    <w:rsid w:val="00383C27"/>
    <w:rsid w:val="0038434A"/>
    <w:rsid w:val="003858C7"/>
    <w:rsid w:val="00386CDE"/>
    <w:rsid w:val="00387398"/>
    <w:rsid w:val="00387AC1"/>
    <w:rsid w:val="00390A4C"/>
    <w:rsid w:val="00392890"/>
    <w:rsid w:val="003955BD"/>
    <w:rsid w:val="00395A9D"/>
    <w:rsid w:val="00396468"/>
    <w:rsid w:val="00397625"/>
    <w:rsid w:val="00397695"/>
    <w:rsid w:val="00397C6D"/>
    <w:rsid w:val="00397D1C"/>
    <w:rsid w:val="003A09D5"/>
    <w:rsid w:val="003A0A7A"/>
    <w:rsid w:val="003A0C19"/>
    <w:rsid w:val="003A12B1"/>
    <w:rsid w:val="003A14F9"/>
    <w:rsid w:val="003A1C73"/>
    <w:rsid w:val="003A24A2"/>
    <w:rsid w:val="003A2707"/>
    <w:rsid w:val="003A3CAA"/>
    <w:rsid w:val="003A5D4D"/>
    <w:rsid w:val="003A6494"/>
    <w:rsid w:val="003A6D05"/>
    <w:rsid w:val="003A72FA"/>
    <w:rsid w:val="003B1453"/>
    <w:rsid w:val="003B1937"/>
    <w:rsid w:val="003B29A8"/>
    <w:rsid w:val="003B40F7"/>
    <w:rsid w:val="003B4575"/>
    <w:rsid w:val="003B4C09"/>
    <w:rsid w:val="003B514D"/>
    <w:rsid w:val="003B64AB"/>
    <w:rsid w:val="003B6D47"/>
    <w:rsid w:val="003B7B81"/>
    <w:rsid w:val="003B7C57"/>
    <w:rsid w:val="003C0B9D"/>
    <w:rsid w:val="003C0C00"/>
    <w:rsid w:val="003C3466"/>
    <w:rsid w:val="003C45CF"/>
    <w:rsid w:val="003C6231"/>
    <w:rsid w:val="003C6524"/>
    <w:rsid w:val="003C70E1"/>
    <w:rsid w:val="003C745E"/>
    <w:rsid w:val="003C7E65"/>
    <w:rsid w:val="003C7F47"/>
    <w:rsid w:val="003D1534"/>
    <w:rsid w:val="003D1869"/>
    <w:rsid w:val="003D1D13"/>
    <w:rsid w:val="003D2B3F"/>
    <w:rsid w:val="003D2DF0"/>
    <w:rsid w:val="003D3E89"/>
    <w:rsid w:val="003D4295"/>
    <w:rsid w:val="003D5522"/>
    <w:rsid w:val="003D58FD"/>
    <w:rsid w:val="003D6635"/>
    <w:rsid w:val="003D68D1"/>
    <w:rsid w:val="003D758E"/>
    <w:rsid w:val="003D7BE7"/>
    <w:rsid w:val="003D7CDF"/>
    <w:rsid w:val="003E0609"/>
    <w:rsid w:val="003E06FC"/>
    <w:rsid w:val="003E2708"/>
    <w:rsid w:val="003E3C4B"/>
    <w:rsid w:val="003E4560"/>
    <w:rsid w:val="003E4DAE"/>
    <w:rsid w:val="003E602B"/>
    <w:rsid w:val="003F0279"/>
    <w:rsid w:val="003F0C8A"/>
    <w:rsid w:val="003F1380"/>
    <w:rsid w:val="003F1D51"/>
    <w:rsid w:val="003F2497"/>
    <w:rsid w:val="003F2DA7"/>
    <w:rsid w:val="003F4599"/>
    <w:rsid w:val="003F48D8"/>
    <w:rsid w:val="003F4C6C"/>
    <w:rsid w:val="003F6212"/>
    <w:rsid w:val="003F635C"/>
    <w:rsid w:val="003F68F0"/>
    <w:rsid w:val="003F6929"/>
    <w:rsid w:val="003F7A56"/>
    <w:rsid w:val="003F7F52"/>
    <w:rsid w:val="004013F9"/>
    <w:rsid w:val="004020F3"/>
    <w:rsid w:val="0040591E"/>
    <w:rsid w:val="00406888"/>
    <w:rsid w:val="004069E1"/>
    <w:rsid w:val="00406B59"/>
    <w:rsid w:val="00406CFF"/>
    <w:rsid w:val="00411F4E"/>
    <w:rsid w:val="00411F87"/>
    <w:rsid w:val="004123F8"/>
    <w:rsid w:val="00412870"/>
    <w:rsid w:val="004169BB"/>
    <w:rsid w:val="00416C75"/>
    <w:rsid w:val="0041718D"/>
    <w:rsid w:val="00417255"/>
    <w:rsid w:val="0042242D"/>
    <w:rsid w:val="0042296F"/>
    <w:rsid w:val="0042351A"/>
    <w:rsid w:val="00424EB0"/>
    <w:rsid w:val="004301D6"/>
    <w:rsid w:val="00431245"/>
    <w:rsid w:val="00431700"/>
    <w:rsid w:val="0043482D"/>
    <w:rsid w:val="00435CA7"/>
    <w:rsid w:val="00435CBD"/>
    <w:rsid w:val="004376DD"/>
    <w:rsid w:val="00437891"/>
    <w:rsid w:val="00437917"/>
    <w:rsid w:val="004410BD"/>
    <w:rsid w:val="00442A17"/>
    <w:rsid w:val="00442A28"/>
    <w:rsid w:val="00442C92"/>
    <w:rsid w:val="0044302F"/>
    <w:rsid w:val="00443176"/>
    <w:rsid w:val="00443321"/>
    <w:rsid w:val="00443543"/>
    <w:rsid w:val="0044425C"/>
    <w:rsid w:val="00444287"/>
    <w:rsid w:val="004447B5"/>
    <w:rsid w:val="00444A49"/>
    <w:rsid w:val="004460F0"/>
    <w:rsid w:val="00446F66"/>
    <w:rsid w:val="00446FA9"/>
    <w:rsid w:val="0045103C"/>
    <w:rsid w:val="00452D00"/>
    <w:rsid w:val="0045475B"/>
    <w:rsid w:val="00454FB2"/>
    <w:rsid w:val="00456242"/>
    <w:rsid w:val="0045756C"/>
    <w:rsid w:val="00457DD7"/>
    <w:rsid w:val="00460894"/>
    <w:rsid w:val="00460D94"/>
    <w:rsid w:val="00461052"/>
    <w:rsid w:val="00461BB1"/>
    <w:rsid w:val="00461D24"/>
    <w:rsid w:val="004629AF"/>
    <w:rsid w:val="004641B0"/>
    <w:rsid w:val="0046452E"/>
    <w:rsid w:val="00465438"/>
    <w:rsid w:val="00466327"/>
    <w:rsid w:val="00467AAD"/>
    <w:rsid w:val="00467C47"/>
    <w:rsid w:val="0047056E"/>
    <w:rsid w:val="004707BC"/>
    <w:rsid w:val="00471BB4"/>
    <w:rsid w:val="00471BCF"/>
    <w:rsid w:val="004720C5"/>
    <w:rsid w:val="00472B3B"/>
    <w:rsid w:val="004731A5"/>
    <w:rsid w:val="0047373A"/>
    <w:rsid w:val="00473CD0"/>
    <w:rsid w:val="00474530"/>
    <w:rsid w:val="00475608"/>
    <w:rsid w:val="00475684"/>
    <w:rsid w:val="004770A8"/>
    <w:rsid w:val="0048112C"/>
    <w:rsid w:val="00481930"/>
    <w:rsid w:val="00481C3E"/>
    <w:rsid w:val="004821FE"/>
    <w:rsid w:val="004837E4"/>
    <w:rsid w:val="00483D8D"/>
    <w:rsid w:val="004846C2"/>
    <w:rsid w:val="00484810"/>
    <w:rsid w:val="00485125"/>
    <w:rsid w:val="004913F3"/>
    <w:rsid w:val="004925CE"/>
    <w:rsid w:val="00492B90"/>
    <w:rsid w:val="00492E64"/>
    <w:rsid w:val="00493049"/>
    <w:rsid w:val="00494844"/>
    <w:rsid w:val="00495E0C"/>
    <w:rsid w:val="00495E2F"/>
    <w:rsid w:val="00496415"/>
    <w:rsid w:val="00496A15"/>
    <w:rsid w:val="00497621"/>
    <w:rsid w:val="004A09E9"/>
    <w:rsid w:val="004A0B43"/>
    <w:rsid w:val="004A0E7D"/>
    <w:rsid w:val="004A1585"/>
    <w:rsid w:val="004A2AFC"/>
    <w:rsid w:val="004A2D1C"/>
    <w:rsid w:val="004A31DE"/>
    <w:rsid w:val="004A3523"/>
    <w:rsid w:val="004A4357"/>
    <w:rsid w:val="004A4699"/>
    <w:rsid w:val="004A56BF"/>
    <w:rsid w:val="004A5F4E"/>
    <w:rsid w:val="004A667B"/>
    <w:rsid w:val="004B0B1D"/>
    <w:rsid w:val="004B1063"/>
    <w:rsid w:val="004B13C3"/>
    <w:rsid w:val="004B23CE"/>
    <w:rsid w:val="004B2928"/>
    <w:rsid w:val="004B32D6"/>
    <w:rsid w:val="004B3CF4"/>
    <w:rsid w:val="004B4DDC"/>
    <w:rsid w:val="004B59FE"/>
    <w:rsid w:val="004B6405"/>
    <w:rsid w:val="004B70B7"/>
    <w:rsid w:val="004C0470"/>
    <w:rsid w:val="004C0F57"/>
    <w:rsid w:val="004C25FA"/>
    <w:rsid w:val="004C2C48"/>
    <w:rsid w:val="004C5BD3"/>
    <w:rsid w:val="004D12A2"/>
    <w:rsid w:val="004D1462"/>
    <w:rsid w:val="004D1A59"/>
    <w:rsid w:val="004D1FBC"/>
    <w:rsid w:val="004D2EB0"/>
    <w:rsid w:val="004D4508"/>
    <w:rsid w:val="004D71E8"/>
    <w:rsid w:val="004D7770"/>
    <w:rsid w:val="004E041B"/>
    <w:rsid w:val="004E18C7"/>
    <w:rsid w:val="004E20A9"/>
    <w:rsid w:val="004E2383"/>
    <w:rsid w:val="004E29FE"/>
    <w:rsid w:val="004E38D0"/>
    <w:rsid w:val="004E3ED3"/>
    <w:rsid w:val="004E406E"/>
    <w:rsid w:val="004E52A9"/>
    <w:rsid w:val="004E6349"/>
    <w:rsid w:val="004E6363"/>
    <w:rsid w:val="004E64B0"/>
    <w:rsid w:val="004E72DB"/>
    <w:rsid w:val="004E77C4"/>
    <w:rsid w:val="004F0999"/>
    <w:rsid w:val="004F129B"/>
    <w:rsid w:val="004F1428"/>
    <w:rsid w:val="004F17F2"/>
    <w:rsid w:val="004F3784"/>
    <w:rsid w:val="004F42DB"/>
    <w:rsid w:val="004F61EF"/>
    <w:rsid w:val="004F74B8"/>
    <w:rsid w:val="005001D4"/>
    <w:rsid w:val="00500ACF"/>
    <w:rsid w:val="005013F6"/>
    <w:rsid w:val="00502855"/>
    <w:rsid w:val="00502E69"/>
    <w:rsid w:val="00502EC5"/>
    <w:rsid w:val="00503D91"/>
    <w:rsid w:val="005077AC"/>
    <w:rsid w:val="005115C2"/>
    <w:rsid w:val="005122FD"/>
    <w:rsid w:val="0051482A"/>
    <w:rsid w:val="00516D79"/>
    <w:rsid w:val="00517CD4"/>
    <w:rsid w:val="00521AB2"/>
    <w:rsid w:val="00521FD3"/>
    <w:rsid w:val="005228E9"/>
    <w:rsid w:val="00522B94"/>
    <w:rsid w:val="00524A09"/>
    <w:rsid w:val="00527CC9"/>
    <w:rsid w:val="0053163C"/>
    <w:rsid w:val="005323EF"/>
    <w:rsid w:val="00532945"/>
    <w:rsid w:val="00532FB8"/>
    <w:rsid w:val="00534A0D"/>
    <w:rsid w:val="005363A8"/>
    <w:rsid w:val="00537461"/>
    <w:rsid w:val="00537FB2"/>
    <w:rsid w:val="00540DB2"/>
    <w:rsid w:val="00541476"/>
    <w:rsid w:val="00541EBC"/>
    <w:rsid w:val="0054291F"/>
    <w:rsid w:val="005437C3"/>
    <w:rsid w:val="00543859"/>
    <w:rsid w:val="00543C79"/>
    <w:rsid w:val="005440A2"/>
    <w:rsid w:val="005449F2"/>
    <w:rsid w:val="00545ADB"/>
    <w:rsid w:val="00545EA2"/>
    <w:rsid w:val="00546EA1"/>
    <w:rsid w:val="00547279"/>
    <w:rsid w:val="00547716"/>
    <w:rsid w:val="005503C6"/>
    <w:rsid w:val="00550752"/>
    <w:rsid w:val="0055129F"/>
    <w:rsid w:val="0055266B"/>
    <w:rsid w:val="005544F4"/>
    <w:rsid w:val="00554AA1"/>
    <w:rsid w:val="005550A8"/>
    <w:rsid w:val="00555587"/>
    <w:rsid w:val="005558C2"/>
    <w:rsid w:val="00555AAC"/>
    <w:rsid w:val="00556F01"/>
    <w:rsid w:val="00557611"/>
    <w:rsid w:val="00557D24"/>
    <w:rsid w:val="0056072C"/>
    <w:rsid w:val="00560B66"/>
    <w:rsid w:val="00560CA0"/>
    <w:rsid w:val="00560E3D"/>
    <w:rsid w:val="00560F20"/>
    <w:rsid w:val="00560F91"/>
    <w:rsid w:val="00561B77"/>
    <w:rsid w:val="0056492F"/>
    <w:rsid w:val="00564953"/>
    <w:rsid w:val="00565319"/>
    <w:rsid w:val="00566151"/>
    <w:rsid w:val="005676C9"/>
    <w:rsid w:val="00571C53"/>
    <w:rsid w:val="00572CF8"/>
    <w:rsid w:val="005731E0"/>
    <w:rsid w:val="00573B5F"/>
    <w:rsid w:val="005755F6"/>
    <w:rsid w:val="005757D3"/>
    <w:rsid w:val="00575F53"/>
    <w:rsid w:val="00577561"/>
    <w:rsid w:val="00580FFA"/>
    <w:rsid w:val="0058289E"/>
    <w:rsid w:val="005838E8"/>
    <w:rsid w:val="00584E84"/>
    <w:rsid w:val="005860ED"/>
    <w:rsid w:val="005914E7"/>
    <w:rsid w:val="0059207A"/>
    <w:rsid w:val="00592885"/>
    <w:rsid w:val="00592B7E"/>
    <w:rsid w:val="005931EB"/>
    <w:rsid w:val="00593819"/>
    <w:rsid w:val="005946F6"/>
    <w:rsid w:val="0059627F"/>
    <w:rsid w:val="005974A0"/>
    <w:rsid w:val="00597BC7"/>
    <w:rsid w:val="005A0263"/>
    <w:rsid w:val="005A0FCC"/>
    <w:rsid w:val="005A2A86"/>
    <w:rsid w:val="005A33F7"/>
    <w:rsid w:val="005A3DD0"/>
    <w:rsid w:val="005A3F84"/>
    <w:rsid w:val="005A431B"/>
    <w:rsid w:val="005A543D"/>
    <w:rsid w:val="005A5DA7"/>
    <w:rsid w:val="005A605A"/>
    <w:rsid w:val="005A6172"/>
    <w:rsid w:val="005A6734"/>
    <w:rsid w:val="005A6AA2"/>
    <w:rsid w:val="005B0C67"/>
    <w:rsid w:val="005B11B8"/>
    <w:rsid w:val="005B195D"/>
    <w:rsid w:val="005B3868"/>
    <w:rsid w:val="005B3A06"/>
    <w:rsid w:val="005C030C"/>
    <w:rsid w:val="005C0B78"/>
    <w:rsid w:val="005C1CFD"/>
    <w:rsid w:val="005C1DED"/>
    <w:rsid w:val="005C3AA6"/>
    <w:rsid w:val="005C4D22"/>
    <w:rsid w:val="005C54F4"/>
    <w:rsid w:val="005C58B7"/>
    <w:rsid w:val="005C61F1"/>
    <w:rsid w:val="005C7980"/>
    <w:rsid w:val="005C7C5C"/>
    <w:rsid w:val="005D0561"/>
    <w:rsid w:val="005D0BA3"/>
    <w:rsid w:val="005D0DC7"/>
    <w:rsid w:val="005D172E"/>
    <w:rsid w:val="005D34F9"/>
    <w:rsid w:val="005D3786"/>
    <w:rsid w:val="005D489D"/>
    <w:rsid w:val="005D593F"/>
    <w:rsid w:val="005D6523"/>
    <w:rsid w:val="005E041D"/>
    <w:rsid w:val="005E279A"/>
    <w:rsid w:val="005E2961"/>
    <w:rsid w:val="005E2F17"/>
    <w:rsid w:val="005E3F9D"/>
    <w:rsid w:val="005E40BA"/>
    <w:rsid w:val="005E4B2C"/>
    <w:rsid w:val="005E75DD"/>
    <w:rsid w:val="005E7F41"/>
    <w:rsid w:val="005F0324"/>
    <w:rsid w:val="005F2440"/>
    <w:rsid w:val="005F336B"/>
    <w:rsid w:val="005F3C0C"/>
    <w:rsid w:val="005F42D7"/>
    <w:rsid w:val="005F506F"/>
    <w:rsid w:val="005F64AA"/>
    <w:rsid w:val="005F662B"/>
    <w:rsid w:val="005F6AAF"/>
    <w:rsid w:val="005F6D52"/>
    <w:rsid w:val="005F7195"/>
    <w:rsid w:val="005F76E2"/>
    <w:rsid w:val="00600FCB"/>
    <w:rsid w:val="00601E0F"/>
    <w:rsid w:val="00602D5A"/>
    <w:rsid w:val="00603D9B"/>
    <w:rsid w:val="00604B61"/>
    <w:rsid w:val="00605D05"/>
    <w:rsid w:val="00606543"/>
    <w:rsid w:val="00610F4D"/>
    <w:rsid w:val="00611271"/>
    <w:rsid w:val="006128DF"/>
    <w:rsid w:val="00613C4F"/>
    <w:rsid w:val="00614933"/>
    <w:rsid w:val="006158C0"/>
    <w:rsid w:val="00616A3E"/>
    <w:rsid w:val="0061743D"/>
    <w:rsid w:val="00617573"/>
    <w:rsid w:val="00617AE6"/>
    <w:rsid w:val="00617CE4"/>
    <w:rsid w:val="00617F84"/>
    <w:rsid w:val="00620180"/>
    <w:rsid w:val="0062257F"/>
    <w:rsid w:val="0062484D"/>
    <w:rsid w:val="00624A5E"/>
    <w:rsid w:val="00624A95"/>
    <w:rsid w:val="00627B62"/>
    <w:rsid w:val="006320B9"/>
    <w:rsid w:val="006327C7"/>
    <w:rsid w:val="00632EFA"/>
    <w:rsid w:val="00633A63"/>
    <w:rsid w:val="006351EF"/>
    <w:rsid w:val="006366FA"/>
    <w:rsid w:val="00640DC4"/>
    <w:rsid w:val="00641E9F"/>
    <w:rsid w:val="0064279C"/>
    <w:rsid w:val="0064323F"/>
    <w:rsid w:val="0064394A"/>
    <w:rsid w:val="00645A5B"/>
    <w:rsid w:val="00645D89"/>
    <w:rsid w:val="00647956"/>
    <w:rsid w:val="006501FC"/>
    <w:rsid w:val="006529EE"/>
    <w:rsid w:val="00652ABE"/>
    <w:rsid w:val="006550F7"/>
    <w:rsid w:val="006565FA"/>
    <w:rsid w:val="00661224"/>
    <w:rsid w:val="006612FE"/>
    <w:rsid w:val="006626CB"/>
    <w:rsid w:val="006648BD"/>
    <w:rsid w:val="00664C4E"/>
    <w:rsid w:val="00664CBE"/>
    <w:rsid w:val="006666E6"/>
    <w:rsid w:val="006676A9"/>
    <w:rsid w:val="006709B7"/>
    <w:rsid w:val="00671682"/>
    <w:rsid w:val="00671A50"/>
    <w:rsid w:val="00672242"/>
    <w:rsid w:val="0067478F"/>
    <w:rsid w:val="0067573D"/>
    <w:rsid w:val="00680018"/>
    <w:rsid w:val="006805EB"/>
    <w:rsid w:val="00680E95"/>
    <w:rsid w:val="00681454"/>
    <w:rsid w:val="00681A8B"/>
    <w:rsid w:val="00681AC9"/>
    <w:rsid w:val="00682B95"/>
    <w:rsid w:val="00682BC1"/>
    <w:rsid w:val="006835E2"/>
    <w:rsid w:val="006862DD"/>
    <w:rsid w:val="0068718E"/>
    <w:rsid w:val="00687627"/>
    <w:rsid w:val="00687E7A"/>
    <w:rsid w:val="00690368"/>
    <w:rsid w:val="006934B0"/>
    <w:rsid w:val="0069362F"/>
    <w:rsid w:val="00693698"/>
    <w:rsid w:val="00693DB2"/>
    <w:rsid w:val="00693E74"/>
    <w:rsid w:val="00694DED"/>
    <w:rsid w:val="00694E48"/>
    <w:rsid w:val="00694FBD"/>
    <w:rsid w:val="00696A72"/>
    <w:rsid w:val="006973D2"/>
    <w:rsid w:val="006A213D"/>
    <w:rsid w:val="006A29B3"/>
    <w:rsid w:val="006A2E7D"/>
    <w:rsid w:val="006A4CAC"/>
    <w:rsid w:val="006A628A"/>
    <w:rsid w:val="006A7902"/>
    <w:rsid w:val="006B0D5C"/>
    <w:rsid w:val="006B2CB3"/>
    <w:rsid w:val="006B32E3"/>
    <w:rsid w:val="006B3FDC"/>
    <w:rsid w:val="006B5248"/>
    <w:rsid w:val="006B5456"/>
    <w:rsid w:val="006B59BC"/>
    <w:rsid w:val="006B6794"/>
    <w:rsid w:val="006C00BB"/>
    <w:rsid w:val="006C0483"/>
    <w:rsid w:val="006C22BB"/>
    <w:rsid w:val="006C2D93"/>
    <w:rsid w:val="006C2E6B"/>
    <w:rsid w:val="006C38E7"/>
    <w:rsid w:val="006C78B4"/>
    <w:rsid w:val="006D1409"/>
    <w:rsid w:val="006D23E0"/>
    <w:rsid w:val="006D30C0"/>
    <w:rsid w:val="006D4091"/>
    <w:rsid w:val="006D47FB"/>
    <w:rsid w:val="006D61E3"/>
    <w:rsid w:val="006D749F"/>
    <w:rsid w:val="006E10F1"/>
    <w:rsid w:val="006E173C"/>
    <w:rsid w:val="006E1B2F"/>
    <w:rsid w:val="006E3824"/>
    <w:rsid w:val="006E3F1D"/>
    <w:rsid w:val="006E4F3F"/>
    <w:rsid w:val="006E5646"/>
    <w:rsid w:val="006E62C1"/>
    <w:rsid w:val="006E7D2A"/>
    <w:rsid w:val="006F034D"/>
    <w:rsid w:val="006F059E"/>
    <w:rsid w:val="006F061A"/>
    <w:rsid w:val="006F06B8"/>
    <w:rsid w:val="006F070A"/>
    <w:rsid w:val="006F2AE7"/>
    <w:rsid w:val="006F310B"/>
    <w:rsid w:val="006F4CF0"/>
    <w:rsid w:val="006F5B62"/>
    <w:rsid w:val="006F7AAC"/>
    <w:rsid w:val="006F7F63"/>
    <w:rsid w:val="007020C4"/>
    <w:rsid w:val="00703AD1"/>
    <w:rsid w:val="0070417D"/>
    <w:rsid w:val="00704225"/>
    <w:rsid w:val="00704412"/>
    <w:rsid w:val="007058BE"/>
    <w:rsid w:val="007076F1"/>
    <w:rsid w:val="00712671"/>
    <w:rsid w:val="0071381F"/>
    <w:rsid w:val="007140C7"/>
    <w:rsid w:val="007142BF"/>
    <w:rsid w:val="007143BB"/>
    <w:rsid w:val="00714547"/>
    <w:rsid w:val="00717318"/>
    <w:rsid w:val="007203FC"/>
    <w:rsid w:val="00720428"/>
    <w:rsid w:val="0072087F"/>
    <w:rsid w:val="00720A22"/>
    <w:rsid w:val="00721484"/>
    <w:rsid w:val="0072192A"/>
    <w:rsid w:val="00721EA1"/>
    <w:rsid w:val="00723387"/>
    <w:rsid w:val="00723662"/>
    <w:rsid w:val="00723796"/>
    <w:rsid w:val="007239E2"/>
    <w:rsid w:val="00723AED"/>
    <w:rsid w:val="00724349"/>
    <w:rsid w:val="007256F5"/>
    <w:rsid w:val="00727848"/>
    <w:rsid w:val="00730851"/>
    <w:rsid w:val="0073115A"/>
    <w:rsid w:val="00731B1B"/>
    <w:rsid w:val="007329B6"/>
    <w:rsid w:val="00732EB6"/>
    <w:rsid w:val="007337EF"/>
    <w:rsid w:val="00733822"/>
    <w:rsid w:val="00733E82"/>
    <w:rsid w:val="007350CF"/>
    <w:rsid w:val="00736318"/>
    <w:rsid w:val="007434A6"/>
    <w:rsid w:val="00743987"/>
    <w:rsid w:val="00751196"/>
    <w:rsid w:val="00751259"/>
    <w:rsid w:val="00751611"/>
    <w:rsid w:val="00751A69"/>
    <w:rsid w:val="007555E9"/>
    <w:rsid w:val="00755AE0"/>
    <w:rsid w:val="00755C69"/>
    <w:rsid w:val="00757579"/>
    <w:rsid w:val="0075793E"/>
    <w:rsid w:val="00760AE9"/>
    <w:rsid w:val="007617C4"/>
    <w:rsid w:val="0076300E"/>
    <w:rsid w:val="00764A6D"/>
    <w:rsid w:val="0076549C"/>
    <w:rsid w:val="0076653D"/>
    <w:rsid w:val="0076695F"/>
    <w:rsid w:val="007670B3"/>
    <w:rsid w:val="007679E2"/>
    <w:rsid w:val="00767CD3"/>
    <w:rsid w:val="00770479"/>
    <w:rsid w:val="00771013"/>
    <w:rsid w:val="007716BC"/>
    <w:rsid w:val="00772B72"/>
    <w:rsid w:val="007732A1"/>
    <w:rsid w:val="007732BB"/>
    <w:rsid w:val="00773FA9"/>
    <w:rsid w:val="00774152"/>
    <w:rsid w:val="0077777E"/>
    <w:rsid w:val="00777905"/>
    <w:rsid w:val="00777CB2"/>
    <w:rsid w:val="00780AD9"/>
    <w:rsid w:val="0078357E"/>
    <w:rsid w:val="007850DA"/>
    <w:rsid w:val="00785133"/>
    <w:rsid w:val="00786511"/>
    <w:rsid w:val="007877D7"/>
    <w:rsid w:val="00790341"/>
    <w:rsid w:val="0079052F"/>
    <w:rsid w:val="007911B8"/>
    <w:rsid w:val="0079226C"/>
    <w:rsid w:val="00792D6F"/>
    <w:rsid w:val="007967B1"/>
    <w:rsid w:val="00796DF4"/>
    <w:rsid w:val="007976CF"/>
    <w:rsid w:val="007A0204"/>
    <w:rsid w:val="007A1AB2"/>
    <w:rsid w:val="007A2762"/>
    <w:rsid w:val="007A28EC"/>
    <w:rsid w:val="007A2A90"/>
    <w:rsid w:val="007A464C"/>
    <w:rsid w:val="007A66D6"/>
    <w:rsid w:val="007A683F"/>
    <w:rsid w:val="007B24B5"/>
    <w:rsid w:val="007B24B6"/>
    <w:rsid w:val="007B24CB"/>
    <w:rsid w:val="007B2DE8"/>
    <w:rsid w:val="007B3602"/>
    <w:rsid w:val="007B43FE"/>
    <w:rsid w:val="007B4BC7"/>
    <w:rsid w:val="007B5842"/>
    <w:rsid w:val="007B5F37"/>
    <w:rsid w:val="007B6712"/>
    <w:rsid w:val="007B6BB4"/>
    <w:rsid w:val="007B6F01"/>
    <w:rsid w:val="007C0B5C"/>
    <w:rsid w:val="007C103A"/>
    <w:rsid w:val="007C15BE"/>
    <w:rsid w:val="007C2A27"/>
    <w:rsid w:val="007C31DA"/>
    <w:rsid w:val="007C3839"/>
    <w:rsid w:val="007C5E20"/>
    <w:rsid w:val="007C5E71"/>
    <w:rsid w:val="007C625C"/>
    <w:rsid w:val="007C6B16"/>
    <w:rsid w:val="007C6CD5"/>
    <w:rsid w:val="007C766D"/>
    <w:rsid w:val="007C77F4"/>
    <w:rsid w:val="007C7A6D"/>
    <w:rsid w:val="007C7B6C"/>
    <w:rsid w:val="007C7BC3"/>
    <w:rsid w:val="007C7E2D"/>
    <w:rsid w:val="007D02F0"/>
    <w:rsid w:val="007D1C11"/>
    <w:rsid w:val="007D2A86"/>
    <w:rsid w:val="007D4756"/>
    <w:rsid w:val="007D4AEA"/>
    <w:rsid w:val="007D5A4B"/>
    <w:rsid w:val="007D5D98"/>
    <w:rsid w:val="007D5F02"/>
    <w:rsid w:val="007D66A9"/>
    <w:rsid w:val="007D68A5"/>
    <w:rsid w:val="007D6D96"/>
    <w:rsid w:val="007D7FDD"/>
    <w:rsid w:val="007E0240"/>
    <w:rsid w:val="007E048B"/>
    <w:rsid w:val="007E06D8"/>
    <w:rsid w:val="007E0E27"/>
    <w:rsid w:val="007E104C"/>
    <w:rsid w:val="007E11EC"/>
    <w:rsid w:val="007E183D"/>
    <w:rsid w:val="007E1F31"/>
    <w:rsid w:val="007E22DE"/>
    <w:rsid w:val="007E2C28"/>
    <w:rsid w:val="007E50FB"/>
    <w:rsid w:val="007E639D"/>
    <w:rsid w:val="007F0C97"/>
    <w:rsid w:val="007F0D13"/>
    <w:rsid w:val="007F1E85"/>
    <w:rsid w:val="007F1EDA"/>
    <w:rsid w:val="007F2701"/>
    <w:rsid w:val="007F2AC5"/>
    <w:rsid w:val="007F3087"/>
    <w:rsid w:val="007F53CC"/>
    <w:rsid w:val="007F7262"/>
    <w:rsid w:val="008007D8"/>
    <w:rsid w:val="00801759"/>
    <w:rsid w:val="00801830"/>
    <w:rsid w:val="0080245F"/>
    <w:rsid w:val="00802BAC"/>
    <w:rsid w:val="00802E66"/>
    <w:rsid w:val="00803B42"/>
    <w:rsid w:val="00803C98"/>
    <w:rsid w:val="008051D9"/>
    <w:rsid w:val="008061B5"/>
    <w:rsid w:val="008070E3"/>
    <w:rsid w:val="008079D4"/>
    <w:rsid w:val="008104B4"/>
    <w:rsid w:val="00810AF7"/>
    <w:rsid w:val="0081237B"/>
    <w:rsid w:val="00812C49"/>
    <w:rsid w:val="0081380D"/>
    <w:rsid w:val="00814074"/>
    <w:rsid w:val="00814663"/>
    <w:rsid w:val="00814EAA"/>
    <w:rsid w:val="00815800"/>
    <w:rsid w:val="00816615"/>
    <w:rsid w:val="0082073B"/>
    <w:rsid w:val="00820CAB"/>
    <w:rsid w:val="00821594"/>
    <w:rsid w:val="00821602"/>
    <w:rsid w:val="00821BE1"/>
    <w:rsid w:val="00822EE2"/>
    <w:rsid w:val="0082487F"/>
    <w:rsid w:val="00825A40"/>
    <w:rsid w:val="00826747"/>
    <w:rsid w:val="00826BC9"/>
    <w:rsid w:val="00830CCC"/>
    <w:rsid w:val="00831431"/>
    <w:rsid w:val="00835928"/>
    <w:rsid w:val="00836D88"/>
    <w:rsid w:val="0083736F"/>
    <w:rsid w:val="00841D2A"/>
    <w:rsid w:val="00842C8B"/>
    <w:rsid w:val="00843D65"/>
    <w:rsid w:val="00844016"/>
    <w:rsid w:val="008444FF"/>
    <w:rsid w:val="00846CC0"/>
    <w:rsid w:val="00846EFB"/>
    <w:rsid w:val="0084778C"/>
    <w:rsid w:val="008508B4"/>
    <w:rsid w:val="00850FFE"/>
    <w:rsid w:val="00851FB5"/>
    <w:rsid w:val="00852024"/>
    <w:rsid w:val="00852133"/>
    <w:rsid w:val="008539D5"/>
    <w:rsid w:val="00853A8A"/>
    <w:rsid w:val="0085468C"/>
    <w:rsid w:val="00860C10"/>
    <w:rsid w:val="00861C43"/>
    <w:rsid w:val="008642BF"/>
    <w:rsid w:val="00864B64"/>
    <w:rsid w:val="008658BC"/>
    <w:rsid w:val="00866C99"/>
    <w:rsid w:val="00866D68"/>
    <w:rsid w:val="008673FC"/>
    <w:rsid w:val="00871CA4"/>
    <w:rsid w:val="008729A9"/>
    <w:rsid w:val="00872CAE"/>
    <w:rsid w:val="0087329A"/>
    <w:rsid w:val="00875A79"/>
    <w:rsid w:val="00876762"/>
    <w:rsid w:val="00877B4F"/>
    <w:rsid w:val="00880B7D"/>
    <w:rsid w:val="008841AA"/>
    <w:rsid w:val="00884A6A"/>
    <w:rsid w:val="0088534E"/>
    <w:rsid w:val="00885434"/>
    <w:rsid w:val="008854C5"/>
    <w:rsid w:val="008856A4"/>
    <w:rsid w:val="008857AD"/>
    <w:rsid w:val="0088710E"/>
    <w:rsid w:val="00887548"/>
    <w:rsid w:val="00890153"/>
    <w:rsid w:val="008908B5"/>
    <w:rsid w:val="00890EFB"/>
    <w:rsid w:val="0089236B"/>
    <w:rsid w:val="008938D7"/>
    <w:rsid w:val="00894559"/>
    <w:rsid w:val="00895309"/>
    <w:rsid w:val="00895B22"/>
    <w:rsid w:val="00896E34"/>
    <w:rsid w:val="008975CF"/>
    <w:rsid w:val="008A04B4"/>
    <w:rsid w:val="008A1897"/>
    <w:rsid w:val="008A2441"/>
    <w:rsid w:val="008A2AF1"/>
    <w:rsid w:val="008A3133"/>
    <w:rsid w:val="008A3288"/>
    <w:rsid w:val="008A3590"/>
    <w:rsid w:val="008A4751"/>
    <w:rsid w:val="008A6578"/>
    <w:rsid w:val="008A6F78"/>
    <w:rsid w:val="008A7982"/>
    <w:rsid w:val="008B0051"/>
    <w:rsid w:val="008B12C7"/>
    <w:rsid w:val="008B18D9"/>
    <w:rsid w:val="008B199F"/>
    <w:rsid w:val="008B25BC"/>
    <w:rsid w:val="008B3D2E"/>
    <w:rsid w:val="008B4266"/>
    <w:rsid w:val="008B4ACC"/>
    <w:rsid w:val="008B51FD"/>
    <w:rsid w:val="008C07B7"/>
    <w:rsid w:val="008C1313"/>
    <w:rsid w:val="008C1F35"/>
    <w:rsid w:val="008C208E"/>
    <w:rsid w:val="008C2B73"/>
    <w:rsid w:val="008C335E"/>
    <w:rsid w:val="008C363A"/>
    <w:rsid w:val="008C3E4E"/>
    <w:rsid w:val="008C4FEF"/>
    <w:rsid w:val="008C500B"/>
    <w:rsid w:val="008C5C82"/>
    <w:rsid w:val="008C5D05"/>
    <w:rsid w:val="008C5D7F"/>
    <w:rsid w:val="008C6480"/>
    <w:rsid w:val="008C762F"/>
    <w:rsid w:val="008D1006"/>
    <w:rsid w:val="008D1158"/>
    <w:rsid w:val="008D11A3"/>
    <w:rsid w:val="008D2315"/>
    <w:rsid w:val="008D26CE"/>
    <w:rsid w:val="008D3D5E"/>
    <w:rsid w:val="008D4779"/>
    <w:rsid w:val="008D795B"/>
    <w:rsid w:val="008E0968"/>
    <w:rsid w:val="008E125A"/>
    <w:rsid w:val="008E1E96"/>
    <w:rsid w:val="008E2905"/>
    <w:rsid w:val="008E4743"/>
    <w:rsid w:val="008E4F93"/>
    <w:rsid w:val="008E6150"/>
    <w:rsid w:val="008E6F78"/>
    <w:rsid w:val="008E7B89"/>
    <w:rsid w:val="008F0095"/>
    <w:rsid w:val="008F01E9"/>
    <w:rsid w:val="008F03A2"/>
    <w:rsid w:val="008F1BDD"/>
    <w:rsid w:val="008F210F"/>
    <w:rsid w:val="008F22E8"/>
    <w:rsid w:val="008F2581"/>
    <w:rsid w:val="008F3227"/>
    <w:rsid w:val="008F39E0"/>
    <w:rsid w:val="008F3A38"/>
    <w:rsid w:val="008F56F4"/>
    <w:rsid w:val="008F5E03"/>
    <w:rsid w:val="008F66C2"/>
    <w:rsid w:val="0090030D"/>
    <w:rsid w:val="0090063D"/>
    <w:rsid w:val="00901A9D"/>
    <w:rsid w:val="00903763"/>
    <w:rsid w:val="00905A6F"/>
    <w:rsid w:val="00905B89"/>
    <w:rsid w:val="009070D1"/>
    <w:rsid w:val="00911107"/>
    <w:rsid w:val="00912084"/>
    <w:rsid w:val="00912452"/>
    <w:rsid w:val="009131B5"/>
    <w:rsid w:val="00913E9A"/>
    <w:rsid w:val="00914074"/>
    <w:rsid w:val="00915D86"/>
    <w:rsid w:val="00916498"/>
    <w:rsid w:val="0091694E"/>
    <w:rsid w:val="00916D02"/>
    <w:rsid w:val="00920139"/>
    <w:rsid w:val="00920310"/>
    <w:rsid w:val="009217A1"/>
    <w:rsid w:val="00921A5C"/>
    <w:rsid w:val="009229E8"/>
    <w:rsid w:val="00923EB5"/>
    <w:rsid w:val="00924774"/>
    <w:rsid w:val="009339AE"/>
    <w:rsid w:val="009341C2"/>
    <w:rsid w:val="00934219"/>
    <w:rsid w:val="00935E4B"/>
    <w:rsid w:val="0093751B"/>
    <w:rsid w:val="00937FED"/>
    <w:rsid w:val="00940F49"/>
    <w:rsid w:val="00941190"/>
    <w:rsid w:val="00941831"/>
    <w:rsid w:val="009421BF"/>
    <w:rsid w:val="00945105"/>
    <w:rsid w:val="009453F9"/>
    <w:rsid w:val="00945456"/>
    <w:rsid w:val="00947938"/>
    <w:rsid w:val="00950E7B"/>
    <w:rsid w:val="0095154F"/>
    <w:rsid w:val="009515E9"/>
    <w:rsid w:val="00952235"/>
    <w:rsid w:val="0095224F"/>
    <w:rsid w:val="00952C93"/>
    <w:rsid w:val="009530E9"/>
    <w:rsid w:val="00953445"/>
    <w:rsid w:val="00953DE9"/>
    <w:rsid w:val="00953E7B"/>
    <w:rsid w:val="00955EBE"/>
    <w:rsid w:val="00955FC0"/>
    <w:rsid w:val="0096014A"/>
    <w:rsid w:val="00961157"/>
    <w:rsid w:val="00961202"/>
    <w:rsid w:val="00961BCC"/>
    <w:rsid w:val="009623B0"/>
    <w:rsid w:val="0096476C"/>
    <w:rsid w:val="00964A12"/>
    <w:rsid w:val="009673EC"/>
    <w:rsid w:val="00967410"/>
    <w:rsid w:val="0096748C"/>
    <w:rsid w:val="009701A1"/>
    <w:rsid w:val="009707F0"/>
    <w:rsid w:val="009727D1"/>
    <w:rsid w:val="00973AFA"/>
    <w:rsid w:val="0097482F"/>
    <w:rsid w:val="00975D2E"/>
    <w:rsid w:val="009835BD"/>
    <w:rsid w:val="00984444"/>
    <w:rsid w:val="009849C7"/>
    <w:rsid w:val="00985B5B"/>
    <w:rsid w:val="00986A54"/>
    <w:rsid w:val="00986A6A"/>
    <w:rsid w:val="00987C5A"/>
    <w:rsid w:val="00991307"/>
    <w:rsid w:val="00991517"/>
    <w:rsid w:val="00993055"/>
    <w:rsid w:val="0099410F"/>
    <w:rsid w:val="00995847"/>
    <w:rsid w:val="009959BF"/>
    <w:rsid w:val="00996569"/>
    <w:rsid w:val="00996B17"/>
    <w:rsid w:val="00997301"/>
    <w:rsid w:val="00997E26"/>
    <w:rsid w:val="009A0593"/>
    <w:rsid w:val="009A0690"/>
    <w:rsid w:val="009A0B01"/>
    <w:rsid w:val="009A28E4"/>
    <w:rsid w:val="009A2E2F"/>
    <w:rsid w:val="009A4ECE"/>
    <w:rsid w:val="009A57CE"/>
    <w:rsid w:val="009A58E5"/>
    <w:rsid w:val="009A6479"/>
    <w:rsid w:val="009A6AFE"/>
    <w:rsid w:val="009A708D"/>
    <w:rsid w:val="009A737B"/>
    <w:rsid w:val="009B08A9"/>
    <w:rsid w:val="009B092A"/>
    <w:rsid w:val="009B1A1A"/>
    <w:rsid w:val="009B262A"/>
    <w:rsid w:val="009B30FA"/>
    <w:rsid w:val="009B33C6"/>
    <w:rsid w:val="009B379F"/>
    <w:rsid w:val="009B4042"/>
    <w:rsid w:val="009B5A2B"/>
    <w:rsid w:val="009B6D2A"/>
    <w:rsid w:val="009B78C5"/>
    <w:rsid w:val="009C00DF"/>
    <w:rsid w:val="009C047F"/>
    <w:rsid w:val="009C061C"/>
    <w:rsid w:val="009C11EC"/>
    <w:rsid w:val="009C1BAF"/>
    <w:rsid w:val="009C230B"/>
    <w:rsid w:val="009C301E"/>
    <w:rsid w:val="009C30C6"/>
    <w:rsid w:val="009C37C8"/>
    <w:rsid w:val="009C441A"/>
    <w:rsid w:val="009C452F"/>
    <w:rsid w:val="009C49B5"/>
    <w:rsid w:val="009C62F6"/>
    <w:rsid w:val="009C7E8B"/>
    <w:rsid w:val="009D092F"/>
    <w:rsid w:val="009D0981"/>
    <w:rsid w:val="009D1E6E"/>
    <w:rsid w:val="009D2297"/>
    <w:rsid w:val="009D2D47"/>
    <w:rsid w:val="009D380A"/>
    <w:rsid w:val="009D4FAA"/>
    <w:rsid w:val="009D60D0"/>
    <w:rsid w:val="009D73FA"/>
    <w:rsid w:val="009E06A2"/>
    <w:rsid w:val="009E28E9"/>
    <w:rsid w:val="009E37BA"/>
    <w:rsid w:val="009E775F"/>
    <w:rsid w:val="009F0634"/>
    <w:rsid w:val="009F16B5"/>
    <w:rsid w:val="009F2256"/>
    <w:rsid w:val="009F2C26"/>
    <w:rsid w:val="009F413B"/>
    <w:rsid w:val="009F42AF"/>
    <w:rsid w:val="009F5604"/>
    <w:rsid w:val="009F5AAA"/>
    <w:rsid w:val="009F6238"/>
    <w:rsid w:val="009F6C00"/>
    <w:rsid w:val="00A00EB4"/>
    <w:rsid w:val="00A01C6C"/>
    <w:rsid w:val="00A01CA4"/>
    <w:rsid w:val="00A02A8C"/>
    <w:rsid w:val="00A02E87"/>
    <w:rsid w:val="00A037AA"/>
    <w:rsid w:val="00A04978"/>
    <w:rsid w:val="00A05D5E"/>
    <w:rsid w:val="00A068FB"/>
    <w:rsid w:val="00A11742"/>
    <w:rsid w:val="00A11ADC"/>
    <w:rsid w:val="00A11BFA"/>
    <w:rsid w:val="00A13690"/>
    <w:rsid w:val="00A1457B"/>
    <w:rsid w:val="00A14A48"/>
    <w:rsid w:val="00A1595C"/>
    <w:rsid w:val="00A15EF4"/>
    <w:rsid w:val="00A17AF4"/>
    <w:rsid w:val="00A2322E"/>
    <w:rsid w:val="00A25073"/>
    <w:rsid w:val="00A25CD5"/>
    <w:rsid w:val="00A25DA8"/>
    <w:rsid w:val="00A300E6"/>
    <w:rsid w:val="00A30435"/>
    <w:rsid w:val="00A31EC5"/>
    <w:rsid w:val="00A32743"/>
    <w:rsid w:val="00A32C52"/>
    <w:rsid w:val="00A34336"/>
    <w:rsid w:val="00A35FC9"/>
    <w:rsid w:val="00A361F8"/>
    <w:rsid w:val="00A40166"/>
    <w:rsid w:val="00A40964"/>
    <w:rsid w:val="00A41EEF"/>
    <w:rsid w:val="00A42E6E"/>
    <w:rsid w:val="00A42FE1"/>
    <w:rsid w:val="00A43620"/>
    <w:rsid w:val="00A43639"/>
    <w:rsid w:val="00A43F75"/>
    <w:rsid w:val="00A44231"/>
    <w:rsid w:val="00A468E6"/>
    <w:rsid w:val="00A50A45"/>
    <w:rsid w:val="00A50BD8"/>
    <w:rsid w:val="00A52337"/>
    <w:rsid w:val="00A52C32"/>
    <w:rsid w:val="00A52F22"/>
    <w:rsid w:val="00A530AE"/>
    <w:rsid w:val="00A564D3"/>
    <w:rsid w:val="00A570D0"/>
    <w:rsid w:val="00A579A7"/>
    <w:rsid w:val="00A57B99"/>
    <w:rsid w:val="00A611D4"/>
    <w:rsid w:val="00A619A3"/>
    <w:rsid w:val="00A61E19"/>
    <w:rsid w:val="00A62B9A"/>
    <w:rsid w:val="00A670CC"/>
    <w:rsid w:val="00A67489"/>
    <w:rsid w:val="00A67501"/>
    <w:rsid w:val="00A676E3"/>
    <w:rsid w:val="00A71B8E"/>
    <w:rsid w:val="00A724D7"/>
    <w:rsid w:val="00A73018"/>
    <w:rsid w:val="00A74369"/>
    <w:rsid w:val="00A75149"/>
    <w:rsid w:val="00A75190"/>
    <w:rsid w:val="00A77A12"/>
    <w:rsid w:val="00A80199"/>
    <w:rsid w:val="00A8076D"/>
    <w:rsid w:val="00A810FA"/>
    <w:rsid w:val="00A81B4E"/>
    <w:rsid w:val="00A81EB8"/>
    <w:rsid w:val="00A82293"/>
    <w:rsid w:val="00A82700"/>
    <w:rsid w:val="00A82D94"/>
    <w:rsid w:val="00A834DE"/>
    <w:rsid w:val="00A85BE4"/>
    <w:rsid w:val="00A8630B"/>
    <w:rsid w:val="00A868E7"/>
    <w:rsid w:val="00A86CB0"/>
    <w:rsid w:val="00A8705C"/>
    <w:rsid w:val="00A8738D"/>
    <w:rsid w:val="00A900EA"/>
    <w:rsid w:val="00A90DC6"/>
    <w:rsid w:val="00A90F2F"/>
    <w:rsid w:val="00A91174"/>
    <w:rsid w:val="00A92784"/>
    <w:rsid w:val="00A92F62"/>
    <w:rsid w:val="00A94E07"/>
    <w:rsid w:val="00A95B95"/>
    <w:rsid w:val="00A95D43"/>
    <w:rsid w:val="00A95F6C"/>
    <w:rsid w:val="00A9692D"/>
    <w:rsid w:val="00A96C8A"/>
    <w:rsid w:val="00A9798B"/>
    <w:rsid w:val="00AA032F"/>
    <w:rsid w:val="00AA1FCE"/>
    <w:rsid w:val="00AA6492"/>
    <w:rsid w:val="00AA66A7"/>
    <w:rsid w:val="00AA74CD"/>
    <w:rsid w:val="00AB07A0"/>
    <w:rsid w:val="00AB14FF"/>
    <w:rsid w:val="00AB3256"/>
    <w:rsid w:val="00AB6D32"/>
    <w:rsid w:val="00AC0705"/>
    <w:rsid w:val="00AC0803"/>
    <w:rsid w:val="00AC10F7"/>
    <w:rsid w:val="00AC3D0A"/>
    <w:rsid w:val="00AC4400"/>
    <w:rsid w:val="00AC476E"/>
    <w:rsid w:val="00AC4F8E"/>
    <w:rsid w:val="00AC5064"/>
    <w:rsid w:val="00AC5457"/>
    <w:rsid w:val="00AD0013"/>
    <w:rsid w:val="00AD0BF2"/>
    <w:rsid w:val="00AD0D7F"/>
    <w:rsid w:val="00AD0D8A"/>
    <w:rsid w:val="00AD2390"/>
    <w:rsid w:val="00AD254C"/>
    <w:rsid w:val="00AD31C2"/>
    <w:rsid w:val="00AD3D81"/>
    <w:rsid w:val="00AD49F7"/>
    <w:rsid w:val="00AD63C7"/>
    <w:rsid w:val="00AE112A"/>
    <w:rsid w:val="00AE1219"/>
    <w:rsid w:val="00AE2088"/>
    <w:rsid w:val="00AE2A13"/>
    <w:rsid w:val="00AE2C7C"/>
    <w:rsid w:val="00AE35ED"/>
    <w:rsid w:val="00AE54C6"/>
    <w:rsid w:val="00AE62C5"/>
    <w:rsid w:val="00AE7592"/>
    <w:rsid w:val="00AE7D3E"/>
    <w:rsid w:val="00AF2B15"/>
    <w:rsid w:val="00AF2CFC"/>
    <w:rsid w:val="00AF3C7F"/>
    <w:rsid w:val="00AF4559"/>
    <w:rsid w:val="00AF4608"/>
    <w:rsid w:val="00AF525F"/>
    <w:rsid w:val="00AF5D60"/>
    <w:rsid w:val="00AF6478"/>
    <w:rsid w:val="00B00064"/>
    <w:rsid w:val="00B00153"/>
    <w:rsid w:val="00B00FF2"/>
    <w:rsid w:val="00B0185B"/>
    <w:rsid w:val="00B03123"/>
    <w:rsid w:val="00B03D9F"/>
    <w:rsid w:val="00B0509F"/>
    <w:rsid w:val="00B05277"/>
    <w:rsid w:val="00B06C36"/>
    <w:rsid w:val="00B10F85"/>
    <w:rsid w:val="00B11662"/>
    <w:rsid w:val="00B11C82"/>
    <w:rsid w:val="00B11EA1"/>
    <w:rsid w:val="00B12E22"/>
    <w:rsid w:val="00B14338"/>
    <w:rsid w:val="00B143FB"/>
    <w:rsid w:val="00B16591"/>
    <w:rsid w:val="00B1704E"/>
    <w:rsid w:val="00B172D3"/>
    <w:rsid w:val="00B17E51"/>
    <w:rsid w:val="00B2408E"/>
    <w:rsid w:val="00B245BC"/>
    <w:rsid w:val="00B24853"/>
    <w:rsid w:val="00B2525F"/>
    <w:rsid w:val="00B260C4"/>
    <w:rsid w:val="00B263A9"/>
    <w:rsid w:val="00B3003C"/>
    <w:rsid w:val="00B318CB"/>
    <w:rsid w:val="00B322AA"/>
    <w:rsid w:val="00B32BF5"/>
    <w:rsid w:val="00B33059"/>
    <w:rsid w:val="00B34CC7"/>
    <w:rsid w:val="00B357F5"/>
    <w:rsid w:val="00B36C27"/>
    <w:rsid w:val="00B36CF4"/>
    <w:rsid w:val="00B411EF"/>
    <w:rsid w:val="00B41287"/>
    <w:rsid w:val="00B414DE"/>
    <w:rsid w:val="00B4214E"/>
    <w:rsid w:val="00B4303C"/>
    <w:rsid w:val="00B43671"/>
    <w:rsid w:val="00B44B40"/>
    <w:rsid w:val="00B455F0"/>
    <w:rsid w:val="00B46CE4"/>
    <w:rsid w:val="00B474C5"/>
    <w:rsid w:val="00B50075"/>
    <w:rsid w:val="00B50CC6"/>
    <w:rsid w:val="00B512FC"/>
    <w:rsid w:val="00B51474"/>
    <w:rsid w:val="00B52921"/>
    <w:rsid w:val="00B5533C"/>
    <w:rsid w:val="00B559CF"/>
    <w:rsid w:val="00B57436"/>
    <w:rsid w:val="00B619F9"/>
    <w:rsid w:val="00B62B7E"/>
    <w:rsid w:val="00B62F44"/>
    <w:rsid w:val="00B63CDE"/>
    <w:rsid w:val="00B64324"/>
    <w:rsid w:val="00B647C2"/>
    <w:rsid w:val="00B64E87"/>
    <w:rsid w:val="00B65F32"/>
    <w:rsid w:val="00B666D6"/>
    <w:rsid w:val="00B6685A"/>
    <w:rsid w:val="00B67C58"/>
    <w:rsid w:val="00B67DD1"/>
    <w:rsid w:val="00B70144"/>
    <w:rsid w:val="00B70B31"/>
    <w:rsid w:val="00B71E79"/>
    <w:rsid w:val="00B721C4"/>
    <w:rsid w:val="00B72294"/>
    <w:rsid w:val="00B72905"/>
    <w:rsid w:val="00B7297C"/>
    <w:rsid w:val="00B72A53"/>
    <w:rsid w:val="00B72C3D"/>
    <w:rsid w:val="00B7443F"/>
    <w:rsid w:val="00B746E4"/>
    <w:rsid w:val="00B748F6"/>
    <w:rsid w:val="00B74B5A"/>
    <w:rsid w:val="00B753CB"/>
    <w:rsid w:val="00B75975"/>
    <w:rsid w:val="00B77F41"/>
    <w:rsid w:val="00B8299F"/>
    <w:rsid w:val="00B83E2D"/>
    <w:rsid w:val="00B841CC"/>
    <w:rsid w:val="00B85CA9"/>
    <w:rsid w:val="00B863E8"/>
    <w:rsid w:val="00B86A2E"/>
    <w:rsid w:val="00B86ACD"/>
    <w:rsid w:val="00B871EA"/>
    <w:rsid w:val="00B87F3B"/>
    <w:rsid w:val="00B904B5"/>
    <w:rsid w:val="00B91617"/>
    <w:rsid w:val="00B930D7"/>
    <w:rsid w:val="00B93413"/>
    <w:rsid w:val="00B9444F"/>
    <w:rsid w:val="00B95089"/>
    <w:rsid w:val="00B972D5"/>
    <w:rsid w:val="00BA0B88"/>
    <w:rsid w:val="00BA6A41"/>
    <w:rsid w:val="00BA7503"/>
    <w:rsid w:val="00BA7C0C"/>
    <w:rsid w:val="00BA7E54"/>
    <w:rsid w:val="00BB08FE"/>
    <w:rsid w:val="00BB26D7"/>
    <w:rsid w:val="00BB2B6E"/>
    <w:rsid w:val="00BB3255"/>
    <w:rsid w:val="00BB4CC2"/>
    <w:rsid w:val="00BB546B"/>
    <w:rsid w:val="00BB6DA5"/>
    <w:rsid w:val="00BB7B7F"/>
    <w:rsid w:val="00BC0AED"/>
    <w:rsid w:val="00BC0F87"/>
    <w:rsid w:val="00BC1CC5"/>
    <w:rsid w:val="00BC2970"/>
    <w:rsid w:val="00BC2A57"/>
    <w:rsid w:val="00BC4C95"/>
    <w:rsid w:val="00BC5A03"/>
    <w:rsid w:val="00BC6A02"/>
    <w:rsid w:val="00BC7136"/>
    <w:rsid w:val="00BC7AD6"/>
    <w:rsid w:val="00BD0D02"/>
    <w:rsid w:val="00BD0F7F"/>
    <w:rsid w:val="00BD107B"/>
    <w:rsid w:val="00BD189A"/>
    <w:rsid w:val="00BD565C"/>
    <w:rsid w:val="00BD5741"/>
    <w:rsid w:val="00BD582C"/>
    <w:rsid w:val="00BE20AB"/>
    <w:rsid w:val="00BE3B52"/>
    <w:rsid w:val="00BE4207"/>
    <w:rsid w:val="00BE50BE"/>
    <w:rsid w:val="00BE6B12"/>
    <w:rsid w:val="00BE6C10"/>
    <w:rsid w:val="00BF0186"/>
    <w:rsid w:val="00BF02AF"/>
    <w:rsid w:val="00BF0DC7"/>
    <w:rsid w:val="00BF0F5D"/>
    <w:rsid w:val="00BF1D5B"/>
    <w:rsid w:val="00BF2828"/>
    <w:rsid w:val="00BF2B56"/>
    <w:rsid w:val="00BF2D25"/>
    <w:rsid w:val="00BF2DDA"/>
    <w:rsid w:val="00BF359B"/>
    <w:rsid w:val="00BF499B"/>
    <w:rsid w:val="00BF6224"/>
    <w:rsid w:val="00BF6BBC"/>
    <w:rsid w:val="00BF7218"/>
    <w:rsid w:val="00C020B4"/>
    <w:rsid w:val="00C0230A"/>
    <w:rsid w:val="00C02535"/>
    <w:rsid w:val="00C025BB"/>
    <w:rsid w:val="00C0296F"/>
    <w:rsid w:val="00C02CC5"/>
    <w:rsid w:val="00C02DC4"/>
    <w:rsid w:val="00C044EA"/>
    <w:rsid w:val="00C05640"/>
    <w:rsid w:val="00C0790C"/>
    <w:rsid w:val="00C1183A"/>
    <w:rsid w:val="00C11E8B"/>
    <w:rsid w:val="00C13CED"/>
    <w:rsid w:val="00C147A7"/>
    <w:rsid w:val="00C152CC"/>
    <w:rsid w:val="00C159F9"/>
    <w:rsid w:val="00C17204"/>
    <w:rsid w:val="00C17248"/>
    <w:rsid w:val="00C208AB"/>
    <w:rsid w:val="00C21039"/>
    <w:rsid w:val="00C21146"/>
    <w:rsid w:val="00C22ED3"/>
    <w:rsid w:val="00C2465A"/>
    <w:rsid w:val="00C251A7"/>
    <w:rsid w:val="00C257FB"/>
    <w:rsid w:val="00C27949"/>
    <w:rsid w:val="00C27E4F"/>
    <w:rsid w:val="00C30B15"/>
    <w:rsid w:val="00C30E7A"/>
    <w:rsid w:val="00C310DA"/>
    <w:rsid w:val="00C31941"/>
    <w:rsid w:val="00C3278E"/>
    <w:rsid w:val="00C32B9A"/>
    <w:rsid w:val="00C34359"/>
    <w:rsid w:val="00C34A83"/>
    <w:rsid w:val="00C34B2A"/>
    <w:rsid w:val="00C34D16"/>
    <w:rsid w:val="00C3530A"/>
    <w:rsid w:val="00C35327"/>
    <w:rsid w:val="00C35979"/>
    <w:rsid w:val="00C35E81"/>
    <w:rsid w:val="00C365A1"/>
    <w:rsid w:val="00C3678E"/>
    <w:rsid w:val="00C3685E"/>
    <w:rsid w:val="00C42A67"/>
    <w:rsid w:val="00C42E8B"/>
    <w:rsid w:val="00C432E7"/>
    <w:rsid w:val="00C43F19"/>
    <w:rsid w:val="00C45285"/>
    <w:rsid w:val="00C454E1"/>
    <w:rsid w:val="00C46607"/>
    <w:rsid w:val="00C4740A"/>
    <w:rsid w:val="00C50961"/>
    <w:rsid w:val="00C50B01"/>
    <w:rsid w:val="00C51C05"/>
    <w:rsid w:val="00C5366A"/>
    <w:rsid w:val="00C53816"/>
    <w:rsid w:val="00C5537D"/>
    <w:rsid w:val="00C55817"/>
    <w:rsid w:val="00C56516"/>
    <w:rsid w:val="00C57C61"/>
    <w:rsid w:val="00C60557"/>
    <w:rsid w:val="00C60DB7"/>
    <w:rsid w:val="00C61236"/>
    <w:rsid w:val="00C61430"/>
    <w:rsid w:val="00C625E1"/>
    <w:rsid w:val="00C638F0"/>
    <w:rsid w:val="00C64298"/>
    <w:rsid w:val="00C65ED2"/>
    <w:rsid w:val="00C6655A"/>
    <w:rsid w:val="00C6704E"/>
    <w:rsid w:val="00C6785D"/>
    <w:rsid w:val="00C67AA4"/>
    <w:rsid w:val="00C707D2"/>
    <w:rsid w:val="00C70884"/>
    <w:rsid w:val="00C70FD9"/>
    <w:rsid w:val="00C71983"/>
    <w:rsid w:val="00C71DB2"/>
    <w:rsid w:val="00C72572"/>
    <w:rsid w:val="00C734BA"/>
    <w:rsid w:val="00C74966"/>
    <w:rsid w:val="00C7545A"/>
    <w:rsid w:val="00C76209"/>
    <w:rsid w:val="00C762D6"/>
    <w:rsid w:val="00C76405"/>
    <w:rsid w:val="00C764DA"/>
    <w:rsid w:val="00C76D1E"/>
    <w:rsid w:val="00C76DFB"/>
    <w:rsid w:val="00C76E35"/>
    <w:rsid w:val="00C77065"/>
    <w:rsid w:val="00C7796A"/>
    <w:rsid w:val="00C800FB"/>
    <w:rsid w:val="00C8014D"/>
    <w:rsid w:val="00C806D9"/>
    <w:rsid w:val="00C80BAA"/>
    <w:rsid w:val="00C82A8D"/>
    <w:rsid w:val="00C84C5C"/>
    <w:rsid w:val="00C854E4"/>
    <w:rsid w:val="00C86F8F"/>
    <w:rsid w:val="00C87127"/>
    <w:rsid w:val="00C9087E"/>
    <w:rsid w:val="00C91A99"/>
    <w:rsid w:val="00C91D89"/>
    <w:rsid w:val="00C91DBF"/>
    <w:rsid w:val="00C93956"/>
    <w:rsid w:val="00C94520"/>
    <w:rsid w:val="00C9769B"/>
    <w:rsid w:val="00C97C35"/>
    <w:rsid w:val="00CA013A"/>
    <w:rsid w:val="00CA056D"/>
    <w:rsid w:val="00CA080D"/>
    <w:rsid w:val="00CA0A91"/>
    <w:rsid w:val="00CA0B41"/>
    <w:rsid w:val="00CA1B90"/>
    <w:rsid w:val="00CA416D"/>
    <w:rsid w:val="00CA4EA3"/>
    <w:rsid w:val="00CA513B"/>
    <w:rsid w:val="00CA5486"/>
    <w:rsid w:val="00CA59DB"/>
    <w:rsid w:val="00CA6407"/>
    <w:rsid w:val="00CA6555"/>
    <w:rsid w:val="00CB0655"/>
    <w:rsid w:val="00CB188E"/>
    <w:rsid w:val="00CB2F34"/>
    <w:rsid w:val="00CB3289"/>
    <w:rsid w:val="00CB328A"/>
    <w:rsid w:val="00CB3753"/>
    <w:rsid w:val="00CB38D8"/>
    <w:rsid w:val="00CB477C"/>
    <w:rsid w:val="00CB50E1"/>
    <w:rsid w:val="00CB5B27"/>
    <w:rsid w:val="00CB6420"/>
    <w:rsid w:val="00CB6F51"/>
    <w:rsid w:val="00CB73A8"/>
    <w:rsid w:val="00CB7E98"/>
    <w:rsid w:val="00CC684E"/>
    <w:rsid w:val="00CC6D52"/>
    <w:rsid w:val="00CC7791"/>
    <w:rsid w:val="00CD04A7"/>
    <w:rsid w:val="00CD0592"/>
    <w:rsid w:val="00CD0DA4"/>
    <w:rsid w:val="00CD36CB"/>
    <w:rsid w:val="00CD3BD2"/>
    <w:rsid w:val="00CD6848"/>
    <w:rsid w:val="00CD6E21"/>
    <w:rsid w:val="00CD76CA"/>
    <w:rsid w:val="00CE372A"/>
    <w:rsid w:val="00CE4AA9"/>
    <w:rsid w:val="00CE5714"/>
    <w:rsid w:val="00CE75CA"/>
    <w:rsid w:val="00CE7FC2"/>
    <w:rsid w:val="00CF09C2"/>
    <w:rsid w:val="00CF3150"/>
    <w:rsid w:val="00CF3A93"/>
    <w:rsid w:val="00CF434B"/>
    <w:rsid w:val="00CF45C4"/>
    <w:rsid w:val="00CF7A57"/>
    <w:rsid w:val="00D0075C"/>
    <w:rsid w:val="00D02C3F"/>
    <w:rsid w:val="00D030EA"/>
    <w:rsid w:val="00D039D5"/>
    <w:rsid w:val="00D0498A"/>
    <w:rsid w:val="00D04DB3"/>
    <w:rsid w:val="00D04ED8"/>
    <w:rsid w:val="00D06939"/>
    <w:rsid w:val="00D077AB"/>
    <w:rsid w:val="00D07ACA"/>
    <w:rsid w:val="00D10093"/>
    <w:rsid w:val="00D1086D"/>
    <w:rsid w:val="00D11111"/>
    <w:rsid w:val="00D114CC"/>
    <w:rsid w:val="00D12FE2"/>
    <w:rsid w:val="00D13F72"/>
    <w:rsid w:val="00D20E8D"/>
    <w:rsid w:val="00D21504"/>
    <w:rsid w:val="00D21997"/>
    <w:rsid w:val="00D225D4"/>
    <w:rsid w:val="00D245A7"/>
    <w:rsid w:val="00D24F3F"/>
    <w:rsid w:val="00D268A3"/>
    <w:rsid w:val="00D27BDE"/>
    <w:rsid w:val="00D33806"/>
    <w:rsid w:val="00D33D6F"/>
    <w:rsid w:val="00D34A7D"/>
    <w:rsid w:val="00D34F43"/>
    <w:rsid w:val="00D353A9"/>
    <w:rsid w:val="00D362D5"/>
    <w:rsid w:val="00D365C4"/>
    <w:rsid w:val="00D36CDE"/>
    <w:rsid w:val="00D400DE"/>
    <w:rsid w:val="00D403F6"/>
    <w:rsid w:val="00D422C2"/>
    <w:rsid w:val="00D42971"/>
    <w:rsid w:val="00D455EF"/>
    <w:rsid w:val="00D463DB"/>
    <w:rsid w:val="00D46572"/>
    <w:rsid w:val="00D46A7C"/>
    <w:rsid w:val="00D471F7"/>
    <w:rsid w:val="00D47530"/>
    <w:rsid w:val="00D505FB"/>
    <w:rsid w:val="00D50605"/>
    <w:rsid w:val="00D509D0"/>
    <w:rsid w:val="00D5100A"/>
    <w:rsid w:val="00D52B06"/>
    <w:rsid w:val="00D545DE"/>
    <w:rsid w:val="00D546F4"/>
    <w:rsid w:val="00D546FF"/>
    <w:rsid w:val="00D54963"/>
    <w:rsid w:val="00D54F5C"/>
    <w:rsid w:val="00D56DEB"/>
    <w:rsid w:val="00D57E6A"/>
    <w:rsid w:val="00D612AF"/>
    <w:rsid w:val="00D64FD5"/>
    <w:rsid w:val="00D66B13"/>
    <w:rsid w:val="00D67141"/>
    <w:rsid w:val="00D70C00"/>
    <w:rsid w:val="00D70CFF"/>
    <w:rsid w:val="00D70ECD"/>
    <w:rsid w:val="00D7126E"/>
    <w:rsid w:val="00D715C0"/>
    <w:rsid w:val="00D72CE3"/>
    <w:rsid w:val="00D73330"/>
    <w:rsid w:val="00D73C3C"/>
    <w:rsid w:val="00D74CDB"/>
    <w:rsid w:val="00D757CB"/>
    <w:rsid w:val="00D7708C"/>
    <w:rsid w:val="00D80F82"/>
    <w:rsid w:val="00D810F0"/>
    <w:rsid w:val="00D82FF3"/>
    <w:rsid w:val="00D8305F"/>
    <w:rsid w:val="00D846C5"/>
    <w:rsid w:val="00D85F89"/>
    <w:rsid w:val="00D906A2"/>
    <w:rsid w:val="00D915FB"/>
    <w:rsid w:val="00D91816"/>
    <w:rsid w:val="00D94D5D"/>
    <w:rsid w:val="00D95374"/>
    <w:rsid w:val="00D9627A"/>
    <w:rsid w:val="00DA06EE"/>
    <w:rsid w:val="00DA1245"/>
    <w:rsid w:val="00DA1AE5"/>
    <w:rsid w:val="00DA2203"/>
    <w:rsid w:val="00DA3124"/>
    <w:rsid w:val="00DA5688"/>
    <w:rsid w:val="00DA5AD9"/>
    <w:rsid w:val="00DA632A"/>
    <w:rsid w:val="00DA6A35"/>
    <w:rsid w:val="00DA79D8"/>
    <w:rsid w:val="00DB3710"/>
    <w:rsid w:val="00DB5023"/>
    <w:rsid w:val="00DB6313"/>
    <w:rsid w:val="00DC2300"/>
    <w:rsid w:val="00DC2693"/>
    <w:rsid w:val="00DC46E3"/>
    <w:rsid w:val="00DC6002"/>
    <w:rsid w:val="00DC62A8"/>
    <w:rsid w:val="00DC7035"/>
    <w:rsid w:val="00DD2435"/>
    <w:rsid w:val="00DD45A5"/>
    <w:rsid w:val="00DD4E45"/>
    <w:rsid w:val="00DD56FC"/>
    <w:rsid w:val="00DD58C8"/>
    <w:rsid w:val="00DD5C99"/>
    <w:rsid w:val="00DD5DEA"/>
    <w:rsid w:val="00DD6D77"/>
    <w:rsid w:val="00DE0030"/>
    <w:rsid w:val="00DE0476"/>
    <w:rsid w:val="00DE08A4"/>
    <w:rsid w:val="00DE29D2"/>
    <w:rsid w:val="00DE3022"/>
    <w:rsid w:val="00DE469D"/>
    <w:rsid w:val="00DE4A06"/>
    <w:rsid w:val="00DE4B46"/>
    <w:rsid w:val="00DE6145"/>
    <w:rsid w:val="00DE6F0D"/>
    <w:rsid w:val="00DE725D"/>
    <w:rsid w:val="00DF04AC"/>
    <w:rsid w:val="00DF0F52"/>
    <w:rsid w:val="00DF1393"/>
    <w:rsid w:val="00DF15FA"/>
    <w:rsid w:val="00DF290A"/>
    <w:rsid w:val="00DF2D31"/>
    <w:rsid w:val="00DF5E67"/>
    <w:rsid w:val="00DF63A1"/>
    <w:rsid w:val="00DF65B4"/>
    <w:rsid w:val="00DF6A19"/>
    <w:rsid w:val="00DF7496"/>
    <w:rsid w:val="00DF78BD"/>
    <w:rsid w:val="00E0110C"/>
    <w:rsid w:val="00E0227F"/>
    <w:rsid w:val="00E02E89"/>
    <w:rsid w:val="00E043AF"/>
    <w:rsid w:val="00E0462F"/>
    <w:rsid w:val="00E04998"/>
    <w:rsid w:val="00E0540D"/>
    <w:rsid w:val="00E06DA0"/>
    <w:rsid w:val="00E0788A"/>
    <w:rsid w:val="00E114DD"/>
    <w:rsid w:val="00E11C57"/>
    <w:rsid w:val="00E12EA0"/>
    <w:rsid w:val="00E13C39"/>
    <w:rsid w:val="00E13C95"/>
    <w:rsid w:val="00E15F68"/>
    <w:rsid w:val="00E20662"/>
    <w:rsid w:val="00E208DA"/>
    <w:rsid w:val="00E20F79"/>
    <w:rsid w:val="00E21461"/>
    <w:rsid w:val="00E21798"/>
    <w:rsid w:val="00E22977"/>
    <w:rsid w:val="00E24AE5"/>
    <w:rsid w:val="00E254C5"/>
    <w:rsid w:val="00E26223"/>
    <w:rsid w:val="00E26E80"/>
    <w:rsid w:val="00E32066"/>
    <w:rsid w:val="00E32963"/>
    <w:rsid w:val="00E3344B"/>
    <w:rsid w:val="00E33E44"/>
    <w:rsid w:val="00E33E52"/>
    <w:rsid w:val="00E34335"/>
    <w:rsid w:val="00E3552F"/>
    <w:rsid w:val="00E35E19"/>
    <w:rsid w:val="00E3783E"/>
    <w:rsid w:val="00E379DA"/>
    <w:rsid w:val="00E40A69"/>
    <w:rsid w:val="00E42C07"/>
    <w:rsid w:val="00E42E52"/>
    <w:rsid w:val="00E43A7A"/>
    <w:rsid w:val="00E45B6B"/>
    <w:rsid w:val="00E5143A"/>
    <w:rsid w:val="00E51B09"/>
    <w:rsid w:val="00E53513"/>
    <w:rsid w:val="00E54AE7"/>
    <w:rsid w:val="00E557A0"/>
    <w:rsid w:val="00E55883"/>
    <w:rsid w:val="00E559D3"/>
    <w:rsid w:val="00E565CD"/>
    <w:rsid w:val="00E56B2F"/>
    <w:rsid w:val="00E600CF"/>
    <w:rsid w:val="00E600E0"/>
    <w:rsid w:val="00E610EA"/>
    <w:rsid w:val="00E62082"/>
    <w:rsid w:val="00E62506"/>
    <w:rsid w:val="00E628AC"/>
    <w:rsid w:val="00E63419"/>
    <w:rsid w:val="00E66A08"/>
    <w:rsid w:val="00E66D5B"/>
    <w:rsid w:val="00E66EE5"/>
    <w:rsid w:val="00E70833"/>
    <w:rsid w:val="00E719F9"/>
    <w:rsid w:val="00E73168"/>
    <w:rsid w:val="00E73368"/>
    <w:rsid w:val="00E736A9"/>
    <w:rsid w:val="00E739B1"/>
    <w:rsid w:val="00E741F9"/>
    <w:rsid w:val="00E74618"/>
    <w:rsid w:val="00E77FE5"/>
    <w:rsid w:val="00E80119"/>
    <w:rsid w:val="00E8059E"/>
    <w:rsid w:val="00E84026"/>
    <w:rsid w:val="00E845E5"/>
    <w:rsid w:val="00E84849"/>
    <w:rsid w:val="00E863A9"/>
    <w:rsid w:val="00E8640D"/>
    <w:rsid w:val="00E86E80"/>
    <w:rsid w:val="00E91F7F"/>
    <w:rsid w:val="00E91FAA"/>
    <w:rsid w:val="00E92107"/>
    <w:rsid w:val="00E94229"/>
    <w:rsid w:val="00E951F9"/>
    <w:rsid w:val="00E95BA0"/>
    <w:rsid w:val="00E9643B"/>
    <w:rsid w:val="00EA01E2"/>
    <w:rsid w:val="00EA08C6"/>
    <w:rsid w:val="00EA345F"/>
    <w:rsid w:val="00EA3A3A"/>
    <w:rsid w:val="00EA3A9C"/>
    <w:rsid w:val="00EA7413"/>
    <w:rsid w:val="00EB0848"/>
    <w:rsid w:val="00EB1ED4"/>
    <w:rsid w:val="00EB3D36"/>
    <w:rsid w:val="00EB43C8"/>
    <w:rsid w:val="00EB4945"/>
    <w:rsid w:val="00EB4AC0"/>
    <w:rsid w:val="00EB7AD3"/>
    <w:rsid w:val="00EC11D4"/>
    <w:rsid w:val="00EC33AB"/>
    <w:rsid w:val="00EC3555"/>
    <w:rsid w:val="00EC398D"/>
    <w:rsid w:val="00EC568B"/>
    <w:rsid w:val="00EC56D6"/>
    <w:rsid w:val="00EC7657"/>
    <w:rsid w:val="00ED135D"/>
    <w:rsid w:val="00ED2511"/>
    <w:rsid w:val="00ED2C72"/>
    <w:rsid w:val="00ED2F1F"/>
    <w:rsid w:val="00ED399C"/>
    <w:rsid w:val="00ED3DA2"/>
    <w:rsid w:val="00ED5452"/>
    <w:rsid w:val="00ED5D21"/>
    <w:rsid w:val="00ED5E78"/>
    <w:rsid w:val="00ED616A"/>
    <w:rsid w:val="00ED7815"/>
    <w:rsid w:val="00EE11BE"/>
    <w:rsid w:val="00EE22C8"/>
    <w:rsid w:val="00EE2BEF"/>
    <w:rsid w:val="00EE2C05"/>
    <w:rsid w:val="00EE564B"/>
    <w:rsid w:val="00EE5ADA"/>
    <w:rsid w:val="00EE5DF5"/>
    <w:rsid w:val="00EE5F1B"/>
    <w:rsid w:val="00EE6EF0"/>
    <w:rsid w:val="00EE6FBB"/>
    <w:rsid w:val="00EE7301"/>
    <w:rsid w:val="00EE7623"/>
    <w:rsid w:val="00EE7865"/>
    <w:rsid w:val="00EF0BC4"/>
    <w:rsid w:val="00EF0E53"/>
    <w:rsid w:val="00EF375F"/>
    <w:rsid w:val="00EF458B"/>
    <w:rsid w:val="00EF5540"/>
    <w:rsid w:val="00EF6443"/>
    <w:rsid w:val="00EF689D"/>
    <w:rsid w:val="00EF695A"/>
    <w:rsid w:val="00F00506"/>
    <w:rsid w:val="00F03634"/>
    <w:rsid w:val="00F03783"/>
    <w:rsid w:val="00F05554"/>
    <w:rsid w:val="00F06B81"/>
    <w:rsid w:val="00F06FBF"/>
    <w:rsid w:val="00F07A3C"/>
    <w:rsid w:val="00F106BA"/>
    <w:rsid w:val="00F10B4D"/>
    <w:rsid w:val="00F12F50"/>
    <w:rsid w:val="00F1403E"/>
    <w:rsid w:val="00F14AC2"/>
    <w:rsid w:val="00F15C67"/>
    <w:rsid w:val="00F22A29"/>
    <w:rsid w:val="00F2300E"/>
    <w:rsid w:val="00F2390D"/>
    <w:rsid w:val="00F248F8"/>
    <w:rsid w:val="00F2721C"/>
    <w:rsid w:val="00F27D1A"/>
    <w:rsid w:val="00F301FD"/>
    <w:rsid w:val="00F312B0"/>
    <w:rsid w:val="00F32A94"/>
    <w:rsid w:val="00F3519A"/>
    <w:rsid w:val="00F351D9"/>
    <w:rsid w:val="00F368CC"/>
    <w:rsid w:val="00F37A8A"/>
    <w:rsid w:val="00F37D48"/>
    <w:rsid w:val="00F37F73"/>
    <w:rsid w:val="00F37FBA"/>
    <w:rsid w:val="00F405D6"/>
    <w:rsid w:val="00F40B9B"/>
    <w:rsid w:val="00F4316E"/>
    <w:rsid w:val="00F4362B"/>
    <w:rsid w:val="00F443DF"/>
    <w:rsid w:val="00F44420"/>
    <w:rsid w:val="00F44DE7"/>
    <w:rsid w:val="00F44FD3"/>
    <w:rsid w:val="00F45ADD"/>
    <w:rsid w:val="00F465BE"/>
    <w:rsid w:val="00F52B3B"/>
    <w:rsid w:val="00F5310E"/>
    <w:rsid w:val="00F53379"/>
    <w:rsid w:val="00F549A5"/>
    <w:rsid w:val="00F54A92"/>
    <w:rsid w:val="00F550C7"/>
    <w:rsid w:val="00F550F5"/>
    <w:rsid w:val="00F5569D"/>
    <w:rsid w:val="00F63F51"/>
    <w:rsid w:val="00F662D8"/>
    <w:rsid w:val="00F70901"/>
    <w:rsid w:val="00F70DDD"/>
    <w:rsid w:val="00F7149E"/>
    <w:rsid w:val="00F71E15"/>
    <w:rsid w:val="00F738CF"/>
    <w:rsid w:val="00F746A8"/>
    <w:rsid w:val="00F75A0A"/>
    <w:rsid w:val="00F75C4C"/>
    <w:rsid w:val="00F77A8A"/>
    <w:rsid w:val="00F77BB2"/>
    <w:rsid w:val="00F81079"/>
    <w:rsid w:val="00F81210"/>
    <w:rsid w:val="00F8313F"/>
    <w:rsid w:val="00F8334D"/>
    <w:rsid w:val="00F8468D"/>
    <w:rsid w:val="00F85C82"/>
    <w:rsid w:val="00F85C9E"/>
    <w:rsid w:val="00F8631B"/>
    <w:rsid w:val="00F90087"/>
    <w:rsid w:val="00F90D6B"/>
    <w:rsid w:val="00F92EC5"/>
    <w:rsid w:val="00F933D8"/>
    <w:rsid w:val="00F93AEA"/>
    <w:rsid w:val="00F9445E"/>
    <w:rsid w:val="00F957B6"/>
    <w:rsid w:val="00F9758F"/>
    <w:rsid w:val="00FA00BD"/>
    <w:rsid w:val="00FA109B"/>
    <w:rsid w:val="00FA17F8"/>
    <w:rsid w:val="00FA21D2"/>
    <w:rsid w:val="00FA459F"/>
    <w:rsid w:val="00FA54EF"/>
    <w:rsid w:val="00FA5C6D"/>
    <w:rsid w:val="00FA5D27"/>
    <w:rsid w:val="00FA5FAF"/>
    <w:rsid w:val="00FA6583"/>
    <w:rsid w:val="00FB0302"/>
    <w:rsid w:val="00FB20E9"/>
    <w:rsid w:val="00FB20F9"/>
    <w:rsid w:val="00FB4097"/>
    <w:rsid w:val="00FB5258"/>
    <w:rsid w:val="00FB54F0"/>
    <w:rsid w:val="00FB5957"/>
    <w:rsid w:val="00FB6A1B"/>
    <w:rsid w:val="00FB6FD4"/>
    <w:rsid w:val="00FC2CE3"/>
    <w:rsid w:val="00FC425D"/>
    <w:rsid w:val="00FC441A"/>
    <w:rsid w:val="00FC6E4C"/>
    <w:rsid w:val="00FD0937"/>
    <w:rsid w:val="00FD2B5D"/>
    <w:rsid w:val="00FD3531"/>
    <w:rsid w:val="00FD4B7D"/>
    <w:rsid w:val="00FD68D3"/>
    <w:rsid w:val="00FD716B"/>
    <w:rsid w:val="00FD71C1"/>
    <w:rsid w:val="00FD7EA0"/>
    <w:rsid w:val="00FE0888"/>
    <w:rsid w:val="00FE1E73"/>
    <w:rsid w:val="00FE2362"/>
    <w:rsid w:val="00FE2D45"/>
    <w:rsid w:val="00FE3CDE"/>
    <w:rsid w:val="00FF0162"/>
    <w:rsid w:val="00FF0C15"/>
    <w:rsid w:val="00FF0C43"/>
    <w:rsid w:val="00FF115F"/>
    <w:rsid w:val="00FF1507"/>
    <w:rsid w:val="00FF1E97"/>
    <w:rsid w:val="00FF22B6"/>
    <w:rsid w:val="00FF320B"/>
    <w:rsid w:val="00FF641C"/>
    <w:rsid w:val="00FF6511"/>
    <w:rsid w:val="00FF6745"/>
    <w:rsid w:val="00FF6A5D"/>
    <w:rsid w:val="00FF71A5"/>
    <w:rsid w:val="00FF7C8E"/>
    <w:rsid w:val="00FF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C856"/>
  <w15:chartTrackingRefBased/>
  <w15:docId w15:val="{4DF04D64-8203-0940-9ABB-86E4CEF2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66"/>
    <w:rPr>
      <w:rFonts w:ascii="Times New Roman" w:eastAsia="Times New Roman" w:hAnsi="Times New Roman" w:cs="Times New Roman"/>
      <w:lang w:eastAsia="en-GB"/>
    </w:rPr>
  </w:style>
  <w:style w:type="paragraph" w:styleId="Heading1">
    <w:name w:val="heading 1"/>
    <w:basedOn w:val="Normal"/>
    <w:link w:val="Heading1Char"/>
    <w:uiPriority w:val="9"/>
    <w:qFormat/>
    <w:rsid w:val="000E3CF8"/>
    <w:pPr>
      <w:spacing w:before="240" w:after="120"/>
      <w:outlineLvl w:val="0"/>
    </w:pPr>
    <w:rPr>
      <w:b/>
      <w:bCs/>
      <w:color w:val="000000"/>
      <w:kern w:val="36"/>
      <w:sz w:val="33"/>
      <w:szCs w:val="33"/>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7592"/>
    <w:pPr>
      <w:spacing w:before="100" w:beforeAutospacing="1" w:after="100" w:afterAutospacing="1"/>
    </w:pPr>
  </w:style>
  <w:style w:type="paragraph" w:styleId="CommentText">
    <w:name w:val="annotation text"/>
    <w:basedOn w:val="Normal"/>
    <w:link w:val="CommentTextChar"/>
    <w:uiPriority w:val="99"/>
    <w:unhideWhenUsed/>
    <w:rsid w:val="00C82A8D"/>
    <w:rPr>
      <w:rFonts w:eastAsiaTheme="minorEastAsia"/>
      <w:sz w:val="20"/>
      <w:szCs w:val="20"/>
    </w:rPr>
  </w:style>
  <w:style w:type="character" w:customStyle="1" w:styleId="CommentTextChar">
    <w:name w:val="Comment Text Char"/>
    <w:basedOn w:val="DefaultParagraphFont"/>
    <w:link w:val="CommentText"/>
    <w:uiPriority w:val="99"/>
    <w:rsid w:val="00C82A8D"/>
    <w:rPr>
      <w:rFonts w:eastAsiaTheme="minorEastAsia"/>
      <w:sz w:val="20"/>
      <w:szCs w:val="20"/>
    </w:rPr>
  </w:style>
  <w:style w:type="character" w:customStyle="1" w:styleId="Heading1Char">
    <w:name w:val="Heading 1 Char"/>
    <w:basedOn w:val="DefaultParagraphFont"/>
    <w:link w:val="Heading1"/>
    <w:uiPriority w:val="9"/>
    <w:rsid w:val="000E3CF8"/>
    <w:rPr>
      <w:rFonts w:ascii="Times New Roman" w:eastAsia="Times New Roman" w:hAnsi="Times New Roman" w:cs="Times New Roman"/>
      <w:b/>
      <w:bCs/>
      <w:color w:val="000000"/>
      <w:kern w:val="36"/>
      <w:sz w:val="33"/>
      <w:szCs w:val="33"/>
      <w:lang w:val="it-IT" w:eastAsia="it-IT"/>
    </w:rPr>
  </w:style>
  <w:style w:type="character" w:styleId="Hyperlink">
    <w:name w:val="Hyperlink"/>
    <w:basedOn w:val="DefaultParagraphFont"/>
    <w:uiPriority w:val="99"/>
    <w:unhideWhenUsed/>
    <w:rsid w:val="0019619D"/>
    <w:rPr>
      <w:color w:val="0563C1" w:themeColor="hyperlink"/>
      <w:u w:val="single"/>
    </w:rPr>
  </w:style>
  <w:style w:type="character" w:styleId="UnresolvedMention">
    <w:name w:val="Unresolved Mention"/>
    <w:basedOn w:val="DefaultParagraphFont"/>
    <w:uiPriority w:val="99"/>
    <w:semiHidden/>
    <w:unhideWhenUsed/>
    <w:rsid w:val="0019619D"/>
    <w:rPr>
      <w:color w:val="605E5C"/>
      <w:shd w:val="clear" w:color="auto" w:fill="E1DFDD"/>
    </w:rPr>
  </w:style>
  <w:style w:type="character" w:styleId="CommentReference">
    <w:name w:val="annotation reference"/>
    <w:basedOn w:val="DefaultParagraphFont"/>
    <w:uiPriority w:val="99"/>
    <w:semiHidden/>
    <w:unhideWhenUsed/>
    <w:rsid w:val="00694DED"/>
    <w:rPr>
      <w:sz w:val="16"/>
      <w:szCs w:val="16"/>
    </w:rPr>
  </w:style>
  <w:style w:type="paragraph" w:styleId="CommentSubject">
    <w:name w:val="annotation subject"/>
    <w:basedOn w:val="CommentText"/>
    <w:next w:val="CommentText"/>
    <w:link w:val="CommentSubjectChar"/>
    <w:uiPriority w:val="99"/>
    <w:semiHidden/>
    <w:unhideWhenUsed/>
    <w:rsid w:val="00694DED"/>
    <w:rPr>
      <w:rFonts w:eastAsiaTheme="minorHAnsi"/>
      <w:b/>
      <w:bCs/>
    </w:rPr>
  </w:style>
  <w:style w:type="character" w:customStyle="1" w:styleId="CommentSubjectChar">
    <w:name w:val="Comment Subject Char"/>
    <w:basedOn w:val="CommentTextChar"/>
    <w:link w:val="CommentSubject"/>
    <w:uiPriority w:val="99"/>
    <w:semiHidden/>
    <w:rsid w:val="00694DED"/>
    <w:rPr>
      <w:rFonts w:eastAsiaTheme="minorEastAsia"/>
      <w:b/>
      <w:bCs/>
      <w:sz w:val="20"/>
      <w:szCs w:val="20"/>
    </w:rPr>
  </w:style>
  <w:style w:type="character" w:customStyle="1" w:styleId="id-label">
    <w:name w:val="id-label"/>
    <w:basedOn w:val="DefaultParagraphFont"/>
    <w:rsid w:val="00694DED"/>
  </w:style>
  <w:style w:type="character" w:customStyle="1" w:styleId="apple-converted-space">
    <w:name w:val="apple-converted-space"/>
    <w:basedOn w:val="DefaultParagraphFont"/>
    <w:rsid w:val="00694DED"/>
  </w:style>
  <w:style w:type="character" w:styleId="Strong">
    <w:name w:val="Strong"/>
    <w:basedOn w:val="DefaultParagraphFont"/>
    <w:uiPriority w:val="22"/>
    <w:qFormat/>
    <w:rsid w:val="00694DED"/>
    <w:rPr>
      <w:b/>
      <w:bCs/>
    </w:rPr>
  </w:style>
  <w:style w:type="character" w:styleId="FollowedHyperlink">
    <w:name w:val="FollowedHyperlink"/>
    <w:basedOn w:val="DefaultParagraphFont"/>
    <w:uiPriority w:val="99"/>
    <w:semiHidden/>
    <w:unhideWhenUsed/>
    <w:rsid w:val="00850FFE"/>
    <w:rPr>
      <w:color w:val="954F72" w:themeColor="followedHyperlink"/>
      <w:u w:val="single"/>
    </w:rPr>
  </w:style>
  <w:style w:type="paragraph" w:customStyle="1" w:styleId="EndNoteBibliography">
    <w:name w:val="EndNote Bibliography"/>
    <w:basedOn w:val="Normal"/>
    <w:link w:val="EndNoteBibliographyChar"/>
    <w:rsid w:val="001F12BE"/>
    <w:rPr>
      <w:rFonts w:eastAsiaTheme="minorHAnsi"/>
      <w:lang w:val="en-US" w:eastAsia="en-US"/>
    </w:rPr>
  </w:style>
  <w:style w:type="character" w:customStyle="1" w:styleId="EndNoteBibliographyChar">
    <w:name w:val="EndNote Bibliography Char"/>
    <w:basedOn w:val="DefaultParagraphFont"/>
    <w:link w:val="EndNoteBibliography"/>
    <w:rsid w:val="001F12BE"/>
    <w:rPr>
      <w:rFonts w:ascii="Times New Roman" w:hAnsi="Times New Roman" w:cs="Times New Roman"/>
      <w:lang w:val="en-US"/>
    </w:rPr>
  </w:style>
  <w:style w:type="paragraph" w:customStyle="1" w:styleId="EndNoteBibliographyTitle">
    <w:name w:val="EndNote Bibliography Title"/>
    <w:basedOn w:val="Normal"/>
    <w:link w:val="EndNoteBibliographyTitleChar"/>
    <w:rsid w:val="00FD71C1"/>
    <w:pPr>
      <w:jc w:val="center"/>
    </w:pPr>
  </w:style>
  <w:style w:type="character" w:customStyle="1" w:styleId="EndNoteBibliographyTitleChar">
    <w:name w:val="EndNote Bibliography Title Char"/>
    <w:basedOn w:val="DefaultParagraphFont"/>
    <w:link w:val="EndNoteBibliographyTitle"/>
    <w:rsid w:val="00FD71C1"/>
    <w:rPr>
      <w:rFonts w:ascii="Times New Roman" w:eastAsia="Times New Roman" w:hAnsi="Times New Roman" w:cs="Times New Roman"/>
      <w:lang w:eastAsia="en-GB"/>
    </w:rPr>
  </w:style>
  <w:style w:type="paragraph" w:styleId="ListParagraph">
    <w:name w:val="List Paragraph"/>
    <w:basedOn w:val="Normal"/>
    <w:uiPriority w:val="34"/>
    <w:qFormat/>
    <w:rsid w:val="00C0296F"/>
    <w:pPr>
      <w:ind w:left="720"/>
      <w:contextualSpacing/>
    </w:pPr>
    <w:rPr>
      <w:rFonts w:eastAsia="Calibri"/>
    </w:rPr>
  </w:style>
  <w:style w:type="paragraph" w:styleId="BalloonText">
    <w:name w:val="Balloon Text"/>
    <w:basedOn w:val="Normal"/>
    <w:link w:val="BalloonTextChar"/>
    <w:uiPriority w:val="99"/>
    <w:semiHidden/>
    <w:unhideWhenUsed/>
    <w:rsid w:val="00F4362B"/>
    <w:rPr>
      <w:sz w:val="18"/>
      <w:szCs w:val="18"/>
    </w:rPr>
  </w:style>
  <w:style w:type="character" w:customStyle="1" w:styleId="BalloonTextChar">
    <w:name w:val="Balloon Text Char"/>
    <w:basedOn w:val="DefaultParagraphFont"/>
    <w:link w:val="BalloonText"/>
    <w:uiPriority w:val="99"/>
    <w:semiHidden/>
    <w:rsid w:val="00F4362B"/>
    <w:rPr>
      <w:rFonts w:ascii="Times New Roman" w:eastAsia="Times New Roman" w:hAnsi="Times New Roman" w:cs="Times New Roman"/>
      <w:sz w:val="18"/>
      <w:szCs w:val="18"/>
      <w:lang w:eastAsia="en-GB"/>
    </w:rPr>
  </w:style>
  <w:style w:type="paragraph" w:styleId="Revision">
    <w:name w:val="Revision"/>
    <w:hidden/>
    <w:uiPriority w:val="99"/>
    <w:semiHidden/>
    <w:rsid w:val="001906BA"/>
    <w:rPr>
      <w:rFonts w:ascii="Times New Roman" w:eastAsia="Times New Roman" w:hAnsi="Times New Roman" w:cs="Times New Roman"/>
      <w:lang w:eastAsia="en-GB"/>
    </w:rPr>
  </w:style>
  <w:style w:type="paragraph" w:styleId="Footer">
    <w:name w:val="footer"/>
    <w:basedOn w:val="Normal"/>
    <w:link w:val="FooterChar"/>
    <w:uiPriority w:val="99"/>
    <w:unhideWhenUsed/>
    <w:rsid w:val="00F4316E"/>
    <w:pPr>
      <w:tabs>
        <w:tab w:val="center" w:pos="4513"/>
        <w:tab w:val="right" w:pos="9026"/>
      </w:tabs>
    </w:pPr>
  </w:style>
  <w:style w:type="character" w:customStyle="1" w:styleId="FooterChar">
    <w:name w:val="Footer Char"/>
    <w:basedOn w:val="DefaultParagraphFont"/>
    <w:link w:val="Footer"/>
    <w:uiPriority w:val="99"/>
    <w:rsid w:val="00F4316E"/>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F4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11478">
      <w:bodyDiv w:val="1"/>
      <w:marLeft w:val="0"/>
      <w:marRight w:val="0"/>
      <w:marTop w:val="0"/>
      <w:marBottom w:val="0"/>
      <w:divBdr>
        <w:top w:val="none" w:sz="0" w:space="0" w:color="auto"/>
        <w:left w:val="none" w:sz="0" w:space="0" w:color="auto"/>
        <w:bottom w:val="none" w:sz="0" w:space="0" w:color="auto"/>
        <w:right w:val="none" w:sz="0" w:space="0" w:color="auto"/>
      </w:divBdr>
      <w:divsChild>
        <w:div w:id="184562235">
          <w:marLeft w:val="0"/>
          <w:marRight w:val="0"/>
          <w:marTop w:val="0"/>
          <w:marBottom w:val="0"/>
          <w:divBdr>
            <w:top w:val="none" w:sz="0" w:space="0" w:color="auto"/>
            <w:left w:val="none" w:sz="0" w:space="0" w:color="auto"/>
            <w:bottom w:val="none" w:sz="0" w:space="0" w:color="auto"/>
            <w:right w:val="none" w:sz="0" w:space="0" w:color="auto"/>
          </w:divBdr>
          <w:divsChild>
            <w:div w:id="959847479">
              <w:marLeft w:val="0"/>
              <w:marRight w:val="0"/>
              <w:marTop w:val="0"/>
              <w:marBottom w:val="0"/>
              <w:divBdr>
                <w:top w:val="none" w:sz="0" w:space="0" w:color="auto"/>
                <w:left w:val="none" w:sz="0" w:space="0" w:color="auto"/>
                <w:bottom w:val="none" w:sz="0" w:space="0" w:color="auto"/>
                <w:right w:val="none" w:sz="0" w:space="0" w:color="auto"/>
              </w:divBdr>
              <w:divsChild>
                <w:div w:id="100042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42107">
      <w:bodyDiv w:val="1"/>
      <w:marLeft w:val="0"/>
      <w:marRight w:val="0"/>
      <w:marTop w:val="0"/>
      <w:marBottom w:val="0"/>
      <w:divBdr>
        <w:top w:val="none" w:sz="0" w:space="0" w:color="auto"/>
        <w:left w:val="none" w:sz="0" w:space="0" w:color="auto"/>
        <w:bottom w:val="none" w:sz="0" w:space="0" w:color="auto"/>
        <w:right w:val="none" w:sz="0" w:space="0" w:color="auto"/>
      </w:divBdr>
      <w:divsChild>
        <w:div w:id="2038310742">
          <w:marLeft w:val="0"/>
          <w:marRight w:val="0"/>
          <w:marTop w:val="0"/>
          <w:marBottom w:val="0"/>
          <w:divBdr>
            <w:top w:val="none" w:sz="0" w:space="0" w:color="auto"/>
            <w:left w:val="none" w:sz="0" w:space="0" w:color="auto"/>
            <w:bottom w:val="none" w:sz="0" w:space="0" w:color="auto"/>
            <w:right w:val="none" w:sz="0" w:space="0" w:color="auto"/>
          </w:divBdr>
          <w:divsChild>
            <w:div w:id="1432701140">
              <w:marLeft w:val="0"/>
              <w:marRight w:val="0"/>
              <w:marTop w:val="0"/>
              <w:marBottom w:val="0"/>
              <w:divBdr>
                <w:top w:val="none" w:sz="0" w:space="0" w:color="auto"/>
                <w:left w:val="none" w:sz="0" w:space="0" w:color="auto"/>
                <w:bottom w:val="none" w:sz="0" w:space="0" w:color="auto"/>
                <w:right w:val="none" w:sz="0" w:space="0" w:color="auto"/>
              </w:divBdr>
              <w:divsChild>
                <w:div w:id="355540042">
                  <w:marLeft w:val="0"/>
                  <w:marRight w:val="0"/>
                  <w:marTop w:val="0"/>
                  <w:marBottom w:val="0"/>
                  <w:divBdr>
                    <w:top w:val="none" w:sz="0" w:space="0" w:color="auto"/>
                    <w:left w:val="none" w:sz="0" w:space="0" w:color="auto"/>
                    <w:bottom w:val="none" w:sz="0" w:space="0" w:color="auto"/>
                    <w:right w:val="none" w:sz="0" w:space="0" w:color="auto"/>
                  </w:divBdr>
                  <w:divsChild>
                    <w:div w:id="3272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92873">
      <w:bodyDiv w:val="1"/>
      <w:marLeft w:val="0"/>
      <w:marRight w:val="0"/>
      <w:marTop w:val="0"/>
      <w:marBottom w:val="0"/>
      <w:divBdr>
        <w:top w:val="none" w:sz="0" w:space="0" w:color="auto"/>
        <w:left w:val="none" w:sz="0" w:space="0" w:color="auto"/>
        <w:bottom w:val="none" w:sz="0" w:space="0" w:color="auto"/>
        <w:right w:val="none" w:sz="0" w:space="0" w:color="auto"/>
      </w:divBdr>
      <w:divsChild>
        <w:div w:id="2135520518">
          <w:marLeft w:val="0"/>
          <w:marRight w:val="0"/>
          <w:marTop w:val="0"/>
          <w:marBottom w:val="0"/>
          <w:divBdr>
            <w:top w:val="none" w:sz="0" w:space="0" w:color="auto"/>
            <w:left w:val="none" w:sz="0" w:space="0" w:color="auto"/>
            <w:bottom w:val="none" w:sz="0" w:space="0" w:color="auto"/>
            <w:right w:val="none" w:sz="0" w:space="0" w:color="auto"/>
          </w:divBdr>
          <w:divsChild>
            <w:div w:id="563834814">
              <w:marLeft w:val="0"/>
              <w:marRight w:val="0"/>
              <w:marTop w:val="0"/>
              <w:marBottom w:val="0"/>
              <w:divBdr>
                <w:top w:val="none" w:sz="0" w:space="0" w:color="auto"/>
                <w:left w:val="none" w:sz="0" w:space="0" w:color="auto"/>
                <w:bottom w:val="none" w:sz="0" w:space="0" w:color="auto"/>
                <w:right w:val="none" w:sz="0" w:space="0" w:color="auto"/>
              </w:divBdr>
              <w:divsChild>
                <w:div w:id="375129389">
                  <w:marLeft w:val="0"/>
                  <w:marRight w:val="0"/>
                  <w:marTop w:val="0"/>
                  <w:marBottom w:val="0"/>
                  <w:divBdr>
                    <w:top w:val="none" w:sz="0" w:space="0" w:color="auto"/>
                    <w:left w:val="none" w:sz="0" w:space="0" w:color="auto"/>
                    <w:bottom w:val="none" w:sz="0" w:space="0" w:color="auto"/>
                    <w:right w:val="none" w:sz="0" w:space="0" w:color="auto"/>
                  </w:divBdr>
                  <w:divsChild>
                    <w:div w:id="2640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00200">
      <w:bodyDiv w:val="1"/>
      <w:marLeft w:val="0"/>
      <w:marRight w:val="0"/>
      <w:marTop w:val="0"/>
      <w:marBottom w:val="0"/>
      <w:divBdr>
        <w:top w:val="none" w:sz="0" w:space="0" w:color="auto"/>
        <w:left w:val="none" w:sz="0" w:space="0" w:color="auto"/>
        <w:bottom w:val="none" w:sz="0" w:space="0" w:color="auto"/>
        <w:right w:val="none" w:sz="0" w:space="0" w:color="auto"/>
      </w:divBdr>
      <w:divsChild>
        <w:div w:id="29575567">
          <w:marLeft w:val="0"/>
          <w:marRight w:val="0"/>
          <w:marTop w:val="0"/>
          <w:marBottom w:val="0"/>
          <w:divBdr>
            <w:top w:val="none" w:sz="0" w:space="0" w:color="auto"/>
            <w:left w:val="none" w:sz="0" w:space="0" w:color="auto"/>
            <w:bottom w:val="none" w:sz="0" w:space="0" w:color="auto"/>
            <w:right w:val="none" w:sz="0" w:space="0" w:color="auto"/>
          </w:divBdr>
          <w:divsChild>
            <w:div w:id="1257523425">
              <w:marLeft w:val="0"/>
              <w:marRight w:val="0"/>
              <w:marTop w:val="0"/>
              <w:marBottom w:val="0"/>
              <w:divBdr>
                <w:top w:val="none" w:sz="0" w:space="0" w:color="auto"/>
                <w:left w:val="none" w:sz="0" w:space="0" w:color="auto"/>
                <w:bottom w:val="none" w:sz="0" w:space="0" w:color="auto"/>
                <w:right w:val="none" w:sz="0" w:space="0" w:color="auto"/>
              </w:divBdr>
              <w:divsChild>
                <w:div w:id="19841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52808">
      <w:bodyDiv w:val="1"/>
      <w:marLeft w:val="0"/>
      <w:marRight w:val="0"/>
      <w:marTop w:val="0"/>
      <w:marBottom w:val="0"/>
      <w:divBdr>
        <w:top w:val="none" w:sz="0" w:space="0" w:color="auto"/>
        <w:left w:val="none" w:sz="0" w:space="0" w:color="auto"/>
        <w:bottom w:val="none" w:sz="0" w:space="0" w:color="auto"/>
        <w:right w:val="none" w:sz="0" w:space="0" w:color="auto"/>
      </w:divBdr>
      <w:divsChild>
        <w:div w:id="286543765">
          <w:marLeft w:val="0"/>
          <w:marRight w:val="0"/>
          <w:marTop w:val="0"/>
          <w:marBottom w:val="0"/>
          <w:divBdr>
            <w:top w:val="none" w:sz="0" w:space="0" w:color="auto"/>
            <w:left w:val="none" w:sz="0" w:space="0" w:color="auto"/>
            <w:bottom w:val="none" w:sz="0" w:space="0" w:color="auto"/>
            <w:right w:val="none" w:sz="0" w:space="0" w:color="auto"/>
          </w:divBdr>
          <w:divsChild>
            <w:div w:id="1621498058">
              <w:marLeft w:val="0"/>
              <w:marRight w:val="0"/>
              <w:marTop w:val="0"/>
              <w:marBottom w:val="0"/>
              <w:divBdr>
                <w:top w:val="none" w:sz="0" w:space="0" w:color="auto"/>
                <w:left w:val="none" w:sz="0" w:space="0" w:color="auto"/>
                <w:bottom w:val="none" w:sz="0" w:space="0" w:color="auto"/>
                <w:right w:val="none" w:sz="0" w:space="0" w:color="auto"/>
              </w:divBdr>
              <w:divsChild>
                <w:div w:id="3712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9199">
      <w:bodyDiv w:val="1"/>
      <w:marLeft w:val="0"/>
      <w:marRight w:val="0"/>
      <w:marTop w:val="0"/>
      <w:marBottom w:val="0"/>
      <w:divBdr>
        <w:top w:val="none" w:sz="0" w:space="0" w:color="auto"/>
        <w:left w:val="none" w:sz="0" w:space="0" w:color="auto"/>
        <w:bottom w:val="none" w:sz="0" w:space="0" w:color="auto"/>
        <w:right w:val="none" w:sz="0" w:space="0" w:color="auto"/>
      </w:divBdr>
      <w:divsChild>
        <w:div w:id="1862163940">
          <w:marLeft w:val="0"/>
          <w:marRight w:val="0"/>
          <w:marTop w:val="0"/>
          <w:marBottom w:val="0"/>
          <w:divBdr>
            <w:top w:val="none" w:sz="0" w:space="0" w:color="auto"/>
            <w:left w:val="none" w:sz="0" w:space="0" w:color="auto"/>
            <w:bottom w:val="none" w:sz="0" w:space="0" w:color="auto"/>
            <w:right w:val="none" w:sz="0" w:space="0" w:color="auto"/>
          </w:divBdr>
          <w:divsChild>
            <w:div w:id="1159345025">
              <w:marLeft w:val="0"/>
              <w:marRight w:val="0"/>
              <w:marTop w:val="0"/>
              <w:marBottom w:val="0"/>
              <w:divBdr>
                <w:top w:val="none" w:sz="0" w:space="0" w:color="auto"/>
                <w:left w:val="none" w:sz="0" w:space="0" w:color="auto"/>
                <w:bottom w:val="none" w:sz="0" w:space="0" w:color="auto"/>
                <w:right w:val="none" w:sz="0" w:space="0" w:color="auto"/>
              </w:divBdr>
              <w:divsChild>
                <w:div w:id="1681198973">
                  <w:marLeft w:val="0"/>
                  <w:marRight w:val="0"/>
                  <w:marTop w:val="0"/>
                  <w:marBottom w:val="0"/>
                  <w:divBdr>
                    <w:top w:val="none" w:sz="0" w:space="0" w:color="auto"/>
                    <w:left w:val="none" w:sz="0" w:space="0" w:color="auto"/>
                    <w:bottom w:val="none" w:sz="0" w:space="0" w:color="auto"/>
                    <w:right w:val="none" w:sz="0" w:space="0" w:color="auto"/>
                  </w:divBdr>
                  <w:divsChild>
                    <w:div w:id="5393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536">
      <w:bodyDiv w:val="1"/>
      <w:marLeft w:val="0"/>
      <w:marRight w:val="0"/>
      <w:marTop w:val="0"/>
      <w:marBottom w:val="0"/>
      <w:divBdr>
        <w:top w:val="none" w:sz="0" w:space="0" w:color="auto"/>
        <w:left w:val="none" w:sz="0" w:space="0" w:color="auto"/>
        <w:bottom w:val="none" w:sz="0" w:space="0" w:color="auto"/>
        <w:right w:val="none" w:sz="0" w:space="0" w:color="auto"/>
      </w:divBdr>
      <w:divsChild>
        <w:div w:id="557135293">
          <w:marLeft w:val="0"/>
          <w:marRight w:val="0"/>
          <w:marTop w:val="0"/>
          <w:marBottom w:val="0"/>
          <w:divBdr>
            <w:top w:val="none" w:sz="0" w:space="0" w:color="auto"/>
            <w:left w:val="none" w:sz="0" w:space="0" w:color="auto"/>
            <w:bottom w:val="none" w:sz="0" w:space="0" w:color="auto"/>
            <w:right w:val="none" w:sz="0" w:space="0" w:color="auto"/>
          </w:divBdr>
          <w:divsChild>
            <w:div w:id="1057052322">
              <w:marLeft w:val="0"/>
              <w:marRight w:val="0"/>
              <w:marTop w:val="0"/>
              <w:marBottom w:val="0"/>
              <w:divBdr>
                <w:top w:val="none" w:sz="0" w:space="0" w:color="auto"/>
                <w:left w:val="none" w:sz="0" w:space="0" w:color="auto"/>
                <w:bottom w:val="none" w:sz="0" w:space="0" w:color="auto"/>
                <w:right w:val="none" w:sz="0" w:space="0" w:color="auto"/>
              </w:divBdr>
              <w:divsChild>
                <w:div w:id="11862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95094">
      <w:bodyDiv w:val="1"/>
      <w:marLeft w:val="0"/>
      <w:marRight w:val="0"/>
      <w:marTop w:val="0"/>
      <w:marBottom w:val="0"/>
      <w:divBdr>
        <w:top w:val="none" w:sz="0" w:space="0" w:color="auto"/>
        <w:left w:val="none" w:sz="0" w:space="0" w:color="auto"/>
        <w:bottom w:val="none" w:sz="0" w:space="0" w:color="auto"/>
        <w:right w:val="none" w:sz="0" w:space="0" w:color="auto"/>
      </w:divBdr>
    </w:div>
    <w:div w:id="665404713">
      <w:bodyDiv w:val="1"/>
      <w:marLeft w:val="0"/>
      <w:marRight w:val="0"/>
      <w:marTop w:val="0"/>
      <w:marBottom w:val="0"/>
      <w:divBdr>
        <w:top w:val="none" w:sz="0" w:space="0" w:color="auto"/>
        <w:left w:val="none" w:sz="0" w:space="0" w:color="auto"/>
        <w:bottom w:val="none" w:sz="0" w:space="0" w:color="auto"/>
        <w:right w:val="none" w:sz="0" w:space="0" w:color="auto"/>
      </w:divBdr>
      <w:divsChild>
        <w:div w:id="729621161">
          <w:marLeft w:val="360"/>
          <w:marRight w:val="0"/>
          <w:marTop w:val="200"/>
          <w:marBottom w:val="0"/>
          <w:divBdr>
            <w:top w:val="none" w:sz="0" w:space="0" w:color="auto"/>
            <w:left w:val="none" w:sz="0" w:space="0" w:color="auto"/>
            <w:bottom w:val="none" w:sz="0" w:space="0" w:color="auto"/>
            <w:right w:val="none" w:sz="0" w:space="0" w:color="auto"/>
          </w:divBdr>
        </w:div>
        <w:div w:id="659624772">
          <w:marLeft w:val="360"/>
          <w:marRight w:val="0"/>
          <w:marTop w:val="200"/>
          <w:marBottom w:val="0"/>
          <w:divBdr>
            <w:top w:val="none" w:sz="0" w:space="0" w:color="auto"/>
            <w:left w:val="none" w:sz="0" w:space="0" w:color="auto"/>
            <w:bottom w:val="none" w:sz="0" w:space="0" w:color="auto"/>
            <w:right w:val="none" w:sz="0" w:space="0" w:color="auto"/>
          </w:divBdr>
        </w:div>
        <w:div w:id="859510470">
          <w:marLeft w:val="360"/>
          <w:marRight w:val="0"/>
          <w:marTop w:val="200"/>
          <w:marBottom w:val="0"/>
          <w:divBdr>
            <w:top w:val="none" w:sz="0" w:space="0" w:color="auto"/>
            <w:left w:val="none" w:sz="0" w:space="0" w:color="auto"/>
            <w:bottom w:val="none" w:sz="0" w:space="0" w:color="auto"/>
            <w:right w:val="none" w:sz="0" w:space="0" w:color="auto"/>
          </w:divBdr>
        </w:div>
        <w:div w:id="1108156736">
          <w:marLeft w:val="360"/>
          <w:marRight w:val="0"/>
          <w:marTop w:val="200"/>
          <w:marBottom w:val="0"/>
          <w:divBdr>
            <w:top w:val="none" w:sz="0" w:space="0" w:color="auto"/>
            <w:left w:val="none" w:sz="0" w:space="0" w:color="auto"/>
            <w:bottom w:val="none" w:sz="0" w:space="0" w:color="auto"/>
            <w:right w:val="none" w:sz="0" w:space="0" w:color="auto"/>
          </w:divBdr>
        </w:div>
        <w:div w:id="1318681731">
          <w:marLeft w:val="360"/>
          <w:marRight w:val="0"/>
          <w:marTop w:val="200"/>
          <w:marBottom w:val="0"/>
          <w:divBdr>
            <w:top w:val="none" w:sz="0" w:space="0" w:color="auto"/>
            <w:left w:val="none" w:sz="0" w:space="0" w:color="auto"/>
            <w:bottom w:val="none" w:sz="0" w:space="0" w:color="auto"/>
            <w:right w:val="none" w:sz="0" w:space="0" w:color="auto"/>
          </w:divBdr>
        </w:div>
        <w:div w:id="736241060">
          <w:marLeft w:val="360"/>
          <w:marRight w:val="0"/>
          <w:marTop w:val="200"/>
          <w:marBottom w:val="0"/>
          <w:divBdr>
            <w:top w:val="none" w:sz="0" w:space="0" w:color="auto"/>
            <w:left w:val="none" w:sz="0" w:space="0" w:color="auto"/>
            <w:bottom w:val="none" w:sz="0" w:space="0" w:color="auto"/>
            <w:right w:val="none" w:sz="0" w:space="0" w:color="auto"/>
          </w:divBdr>
        </w:div>
      </w:divsChild>
    </w:div>
    <w:div w:id="672925014">
      <w:bodyDiv w:val="1"/>
      <w:marLeft w:val="0"/>
      <w:marRight w:val="0"/>
      <w:marTop w:val="0"/>
      <w:marBottom w:val="0"/>
      <w:divBdr>
        <w:top w:val="none" w:sz="0" w:space="0" w:color="auto"/>
        <w:left w:val="none" w:sz="0" w:space="0" w:color="auto"/>
        <w:bottom w:val="none" w:sz="0" w:space="0" w:color="auto"/>
        <w:right w:val="none" w:sz="0" w:space="0" w:color="auto"/>
      </w:divBdr>
      <w:divsChild>
        <w:div w:id="1419911445">
          <w:marLeft w:val="0"/>
          <w:marRight w:val="0"/>
          <w:marTop w:val="0"/>
          <w:marBottom w:val="0"/>
          <w:divBdr>
            <w:top w:val="none" w:sz="0" w:space="0" w:color="auto"/>
            <w:left w:val="none" w:sz="0" w:space="0" w:color="auto"/>
            <w:bottom w:val="none" w:sz="0" w:space="0" w:color="auto"/>
            <w:right w:val="none" w:sz="0" w:space="0" w:color="auto"/>
          </w:divBdr>
          <w:divsChild>
            <w:div w:id="1271471335">
              <w:marLeft w:val="0"/>
              <w:marRight w:val="0"/>
              <w:marTop w:val="0"/>
              <w:marBottom w:val="0"/>
              <w:divBdr>
                <w:top w:val="none" w:sz="0" w:space="0" w:color="auto"/>
                <w:left w:val="none" w:sz="0" w:space="0" w:color="auto"/>
                <w:bottom w:val="none" w:sz="0" w:space="0" w:color="auto"/>
                <w:right w:val="none" w:sz="0" w:space="0" w:color="auto"/>
              </w:divBdr>
              <w:divsChild>
                <w:div w:id="1066803634">
                  <w:marLeft w:val="0"/>
                  <w:marRight w:val="0"/>
                  <w:marTop w:val="0"/>
                  <w:marBottom w:val="0"/>
                  <w:divBdr>
                    <w:top w:val="none" w:sz="0" w:space="0" w:color="auto"/>
                    <w:left w:val="none" w:sz="0" w:space="0" w:color="auto"/>
                    <w:bottom w:val="none" w:sz="0" w:space="0" w:color="auto"/>
                    <w:right w:val="none" w:sz="0" w:space="0" w:color="auto"/>
                  </w:divBdr>
                  <w:divsChild>
                    <w:div w:id="15932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29823">
      <w:bodyDiv w:val="1"/>
      <w:marLeft w:val="0"/>
      <w:marRight w:val="0"/>
      <w:marTop w:val="0"/>
      <w:marBottom w:val="0"/>
      <w:divBdr>
        <w:top w:val="none" w:sz="0" w:space="0" w:color="auto"/>
        <w:left w:val="none" w:sz="0" w:space="0" w:color="auto"/>
        <w:bottom w:val="none" w:sz="0" w:space="0" w:color="auto"/>
        <w:right w:val="none" w:sz="0" w:space="0" w:color="auto"/>
      </w:divBdr>
      <w:divsChild>
        <w:div w:id="2141145978">
          <w:marLeft w:val="0"/>
          <w:marRight w:val="0"/>
          <w:marTop w:val="0"/>
          <w:marBottom w:val="0"/>
          <w:divBdr>
            <w:top w:val="none" w:sz="0" w:space="0" w:color="auto"/>
            <w:left w:val="none" w:sz="0" w:space="0" w:color="auto"/>
            <w:bottom w:val="none" w:sz="0" w:space="0" w:color="auto"/>
            <w:right w:val="none" w:sz="0" w:space="0" w:color="auto"/>
          </w:divBdr>
          <w:divsChild>
            <w:div w:id="427627621">
              <w:marLeft w:val="0"/>
              <w:marRight w:val="0"/>
              <w:marTop w:val="0"/>
              <w:marBottom w:val="0"/>
              <w:divBdr>
                <w:top w:val="none" w:sz="0" w:space="0" w:color="auto"/>
                <w:left w:val="none" w:sz="0" w:space="0" w:color="auto"/>
                <w:bottom w:val="none" w:sz="0" w:space="0" w:color="auto"/>
                <w:right w:val="none" w:sz="0" w:space="0" w:color="auto"/>
              </w:divBdr>
              <w:divsChild>
                <w:div w:id="6635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07656">
      <w:bodyDiv w:val="1"/>
      <w:marLeft w:val="0"/>
      <w:marRight w:val="0"/>
      <w:marTop w:val="0"/>
      <w:marBottom w:val="0"/>
      <w:divBdr>
        <w:top w:val="none" w:sz="0" w:space="0" w:color="auto"/>
        <w:left w:val="none" w:sz="0" w:space="0" w:color="auto"/>
        <w:bottom w:val="none" w:sz="0" w:space="0" w:color="auto"/>
        <w:right w:val="none" w:sz="0" w:space="0" w:color="auto"/>
      </w:divBdr>
      <w:divsChild>
        <w:div w:id="323162815">
          <w:marLeft w:val="0"/>
          <w:marRight w:val="0"/>
          <w:marTop w:val="0"/>
          <w:marBottom w:val="0"/>
          <w:divBdr>
            <w:top w:val="none" w:sz="0" w:space="0" w:color="auto"/>
            <w:left w:val="none" w:sz="0" w:space="0" w:color="auto"/>
            <w:bottom w:val="none" w:sz="0" w:space="0" w:color="auto"/>
            <w:right w:val="none" w:sz="0" w:space="0" w:color="auto"/>
          </w:divBdr>
          <w:divsChild>
            <w:div w:id="1518154883">
              <w:marLeft w:val="0"/>
              <w:marRight w:val="0"/>
              <w:marTop w:val="0"/>
              <w:marBottom w:val="0"/>
              <w:divBdr>
                <w:top w:val="none" w:sz="0" w:space="0" w:color="auto"/>
                <w:left w:val="none" w:sz="0" w:space="0" w:color="auto"/>
                <w:bottom w:val="none" w:sz="0" w:space="0" w:color="auto"/>
                <w:right w:val="none" w:sz="0" w:space="0" w:color="auto"/>
              </w:divBdr>
              <w:divsChild>
                <w:div w:id="20317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4737">
      <w:bodyDiv w:val="1"/>
      <w:marLeft w:val="0"/>
      <w:marRight w:val="0"/>
      <w:marTop w:val="0"/>
      <w:marBottom w:val="0"/>
      <w:divBdr>
        <w:top w:val="none" w:sz="0" w:space="0" w:color="auto"/>
        <w:left w:val="none" w:sz="0" w:space="0" w:color="auto"/>
        <w:bottom w:val="none" w:sz="0" w:space="0" w:color="auto"/>
        <w:right w:val="none" w:sz="0" w:space="0" w:color="auto"/>
      </w:divBdr>
      <w:divsChild>
        <w:div w:id="252013160">
          <w:marLeft w:val="0"/>
          <w:marRight w:val="0"/>
          <w:marTop w:val="0"/>
          <w:marBottom w:val="0"/>
          <w:divBdr>
            <w:top w:val="none" w:sz="0" w:space="0" w:color="auto"/>
            <w:left w:val="none" w:sz="0" w:space="0" w:color="auto"/>
            <w:bottom w:val="none" w:sz="0" w:space="0" w:color="auto"/>
            <w:right w:val="none" w:sz="0" w:space="0" w:color="auto"/>
          </w:divBdr>
          <w:divsChild>
            <w:div w:id="103309983">
              <w:marLeft w:val="0"/>
              <w:marRight w:val="0"/>
              <w:marTop w:val="0"/>
              <w:marBottom w:val="0"/>
              <w:divBdr>
                <w:top w:val="none" w:sz="0" w:space="0" w:color="auto"/>
                <w:left w:val="none" w:sz="0" w:space="0" w:color="auto"/>
                <w:bottom w:val="none" w:sz="0" w:space="0" w:color="auto"/>
                <w:right w:val="none" w:sz="0" w:space="0" w:color="auto"/>
              </w:divBdr>
              <w:divsChild>
                <w:div w:id="1738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719">
      <w:bodyDiv w:val="1"/>
      <w:marLeft w:val="0"/>
      <w:marRight w:val="0"/>
      <w:marTop w:val="0"/>
      <w:marBottom w:val="0"/>
      <w:divBdr>
        <w:top w:val="none" w:sz="0" w:space="0" w:color="auto"/>
        <w:left w:val="none" w:sz="0" w:space="0" w:color="auto"/>
        <w:bottom w:val="none" w:sz="0" w:space="0" w:color="auto"/>
        <w:right w:val="none" w:sz="0" w:space="0" w:color="auto"/>
      </w:divBdr>
      <w:divsChild>
        <w:div w:id="2004889391">
          <w:marLeft w:val="0"/>
          <w:marRight w:val="0"/>
          <w:marTop w:val="0"/>
          <w:marBottom w:val="0"/>
          <w:divBdr>
            <w:top w:val="none" w:sz="0" w:space="0" w:color="auto"/>
            <w:left w:val="none" w:sz="0" w:space="0" w:color="auto"/>
            <w:bottom w:val="none" w:sz="0" w:space="0" w:color="auto"/>
            <w:right w:val="none" w:sz="0" w:space="0" w:color="auto"/>
          </w:divBdr>
          <w:divsChild>
            <w:div w:id="1394311110">
              <w:marLeft w:val="0"/>
              <w:marRight w:val="0"/>
              <w:marTop w:val="0"/>
              <w:marBottom w:val="0"/>
              <w:divBdr>
                <w:top w:val="none" w:sz="0" w:space="0" w:color="auto"/>
                <w:left w:val="none" w:sz="0" w:space="0" w:color="auto"/>
                <w:bottom w:val="none" w:sz="0" w:space="0" w:color="auto"/>
                <w:right w:val="none" w:sz="0" w:space="0" w:color="auto"/>
              </w:divBdr>
              <w:divsChild>
                <w:div w:id="742333037">
                  <w:marLeft w:val="0"/>
                  <w:marRight w:val="0"/>
                  <w:marTop w:val="0"/>
                  <w:marBottom w:val="0"/>
                  <w:divBdr>
                    <w:top w:val="none" w:sz="0" w:space="0" w:color="auto"/>
                    <w:left w:val="none" w:sz="0" w:space="0" w:color="auto"/>
                    <w:bottom w:val="none" w:sz="0" w:space="0" w:color="auto"/>
                    <w:right w:val="none" w:sz="0" w:space="0" w:color="auto"/>
                  </w:divBdr>
                  <w:divsChild>
                    <w:div w:id="16250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270132">
      <w:bodyDiv w:val="1"/>
      <w:marLeft w:val="0"/>
      <w:marRight w:val="0"/>
      <w:marTop w:val="0"/>
      <w:marBottom w:val="0"/>
      <w:divBdr>
        <w:top w:val="none" w:sz="0" w:space="0" w:color="auto"/>
        <w:left w:val="none" w:sz="0" w:space="0" w:color="auto"/>
        <w:bottom w:val="none" w:sz="0" w:space="0" w:color="auto"/>
        <w:right w:val="none" w:sz="0" w:space="0" w:color="auto"/>
      </w:divBdr>
      <w:divsChild>
        <w:div w:id="478500191">
          <w:marLeft w:val="0"/>
          <w:marRight w:val="0"/>
          <w:marTop w:val="0"/>
          <w:marBottom w:val="0"/>
          <w:divBdr>
            <w:top w:val="none" w:sz="0" w:space="0" w:color="auto"/>
            <w:left w:val="none" w:sz="0" w:space="0" w:color="auto"/>
            <w:bottom w:val="none" w:sz="0" w:space="0" w:color="auto"/>
            <w:right w:val="none" w:sz="0" w:space="0" w:color="auto"/>
          </w:divBdr>
          <w:divsChild>
            <w:div w:id="1650595659">
              <w:marLeft w:val="0"/>
              <w:marRight w:val="0"/>
              <w:marTop w:val="0"/>
              <w:marBottom w:val="0"/>
              <w:divBdr>
                <w:top w:val="none" w:sz="0" w:space="0" w:color="auto"/>
                <w:left w:val="none" w:sz="0" w:space="0" w:color="auto"/>
                <w:bottom w:val="none" w:sz="0" w:space="0" w:color="auto"/>
                <w:right w:val="none" w:sz="0" w:space="0" w:color="auto"/>
              </w:divBdr>
              <w:divsChild>
                <w:div w:id="7786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0915">
      <w:bodyDiv w:val="1"/>
      <w:marLeft w:val="0"/>
      <w:marRight w:val="0"/>
      <w:marTop w:val="0"/>
      <w:marBottom w:val="0"/>
      <w:divBdr>
        <w:top w:val="none" w:sz="0" w:space="0" w:color="auto"/>
        <w:left w:val="none" w:sz="0" w:space="0" w:color="auto"/>
        <w:bottom w:val="none" w:sz="0" w:space="0" w:color="auto"/>
        <w:right w:val="none" w:sz="0" w:space="0" w:color="auto"/>
      </w:divBdr>
      <w:divsChild>
        <w:div w:id="1193112465">
          <w:marLeft w:val="0"/>
          <w:marRight w:val="0"/>
          <w:marTop w:val="0"/>
          <w:marBottom w:val="0"/>
          <w:divBdr>
            <w:top w:val="none" w:sz="0" w:space="0" w:color="auto"/>
            <w:left w:val="none" w:sz="0" w:space="0" w:color="auto"/>
            <w:bottom w:val="none" w:sz="0" w:space="0" w:color="auto"/>
            <w:right w:val="none" w:sz="0" w:space="0" w:color="auto"/>
          </w:divBdr>
          <w:divsChild>
            <w:div w:id="1036390726">
              <w:marLeft w:val="0"/>
              <w:marRight w:val="0"/>
              <w:marTop w:val="0"/>
              <w:marBottom w:val="0"/>
              <w:divBdr>
                <w:top w:val="none" w:sz="0" w:space="0" w:color="auto"/>
                <w:left w:val="none" w:sz="0" w:space="0" w:color="auto"/>
                <w:bottom w:val="none" w:sz="0" w:space="0" w:color="auto"/>
                <w:right w:val="none" w:sz="0" w:space="0" w:color="auto"/>
              </w:divBdr>
              <w:divsChild>
                <w:div w:id="9996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63001">
      <w:bodyDiv w:val="1"/>
      <w:marLeft w:val="0"/>
      <w:marRight w:val="0"/>
      <w:marTop w:val="0"/>
      <w:marBottom w:val="0"/>
      <w:divBdr>
        <w:top w:val="none" w:sz="0" w:space="0" w:color="auto"/>
        <w:left w:val="none" w:sz="0" w:space="0" w:color="auto"/>
        <w:bottom w:val="none" w:sz="0" w:space="0" w:color="auto"/>
        <w:right w:val="none" w:sz="0" w:space="0" w:color="auto"/>
      </w:divBdr>
      <w:divsChild>
        <w:div w:id="1747532189">
          <w:marLeft w:val="0"/>
          <w:marRight w:val="0"/>
          <w:marTop w:val="0"/>
          <w:marBottom w:val="0"/>
          <w:divBdr>
            <w:top w:val="none" w:sz="0" w:space="0" w:color="auto"/>
            <w:left w:val="none" w:sz="0" w:space="0" w:color="auto"/>
            <w:bottom w:val="none" w:sz="0" w:space="0" w:color="auto"/>
            <w:right w:val="none" w:sz="0" w:space="0" w:color="auto"/>
          </w:divBdr>
          <w:divsChild>
            <w:div w:id="1112937066">
              <w:marLeft w:val="0"/>
              <w:marRight w:val="0"/>
              <w:marTop w:val="0"/>
              <w:marBottom w:val="0"/>
              <w:divBdr>
                <w:top w:val="none" w:sz="0" w:space="0" w:color="auto"/>
                <w:left w:val="none" w:sz="0" w:space="0" w:color="auto"/>
                <w:bottom w:val="none" w:sz="0" w:space="0" w:color="auto"/>
                <w:right w:val="none" w:sz="0" w:space="0" w:color="auto"/>
              </w:divBdr>
              <w:divsChild>
                <w:div w:id="5268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3820">
      <w:bodyDiv w:val="1"/>
      <w:marLeft w:val="0"/>
      <w:marRight w:val="0"/>
      <w:marTop w:val="0"/>
      <w:marBottom w:val="0"/>
      <w:divBdr>
        <w:top w:val="none" w:sz="0" w:space="0" w:color="auto"/>
        <w:left w:val="none" w:sz="0" w:space="0" w:color="auto"/>
        <w:bottom w:val="none" w:sz="0" w:space="0" w:color="auto"/>
        <w:right w:val="none" w:sz="0" w:space="0" w:color="auto"/>
      </w:divBdr>
      <w:divsChild>
        <w:div w:id="1111703685">
          <w:marLeft w:val="0"/>
          <w:marRight w:val="0"/>
          <w:marTop w:val="0"/>
          <w:marBottom w:val="0"/>
          <w:divBdr>
            <w:top w:val="none" w:sz="0" w:space="0" w:color="auto"/>
            <w:left w:val="none" w:sz="0" w:space="0" w:color="auto"/>
            <w:bottom w:val="none" w:sz="0" w:space="0" w:color="auto"/>
            <w:right w:val="none" w:sz="0" w:space="0" w:color="auto"/>
          </w:divBdr>
          <w:divsChild>
            <w:div w:id="1219127538">
              <w:marLeft w:val="0"/>
              <w:marRight w:val="0"/>
              <w:marTop w:val="0"/>
              <w:marBottom w:val="0"/>
              <w:divBdr>
                <w:top w:val="none" w:sz="0" w:space="0" w:color="auto"/>
                <w:left w:val="none" w:sz="0" w:space="0" w:color="auto"/>
                <w:bottom w:val="none" w:sz="0" w:space="0" w:color="auto"/>
                <w:right w:val="none" w:sz="0" w:space="0" w:color="auto"/>
              </w:divBdr>
              <w:divsChild>
                <w:div w:id="1569683223">
                  <w:marLeft w:val="0"/>
                  <w:marRight w:val="0"/>
                  <w:marTop w:val="0"/>
                  <w:marBottom w:val="0"/>
                  <w:divBdr>
                    <w:top w:val="none" w:sz="0" w:space="0" w:color="auto"/>
                    <w:left w:val="none" w:sz="0" w:space="0" w:color="auto"/>
                    <w:bottom w:val="none" w:sz="0" w:space="0" w:color="auto"/>
                    <w:right w:val="none" w:sz="0" w:space="0" w:color="auto"/>
                  </w:divBdr>
                  <w:divsChild>
                    <w:div w:id="11129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12469">
      <w:bodyDiv w:val="1"/>
      <w:marLeft w:val="0"/>
      <w:marRight w:val="0"/>
      <w:marTop w:val="0"/>
      <w:marBottom w:val="0"/>
      <w:divBdr>
        <w:top w:val="none" w:sz="0" w:space="0" w:color="auto"/>
        <w:left w:val="none" w:sz="0" w:space="0" w:color="auto"/>
        <w:bottom w:val="none" w:sz="0" w:space="0" w:color="auto"/>
        <w:right w:val="none" w:sz="0" w:space="0" w:color="auto"/>
      </w:divBdr>
    </w:div>
    <w:div w:id="1393232008">
      <w:bodyDiv w:val="1"/>
      <w:marLeft w:val="0"/>
      <w:marRight w:val="0"/>
      <w:marTop w:val="0"/>
      <w:marBottom w:val="0"/>
      <w:divBdr>
        <w:top w:val="none" w:sz="0" w:space="0" w:color="auto"/>
        <w:left w:val="none" w:sz="0" w:space="0" w:color="auto"/>
        <w:bottom w:val="none" w:sz="0" w:space="0" w:color="auto"/>
        <w:right w:val="none" w:sz="0" w:space="0" w:color="auto"/>
      </w:divBdr>
      <w:divsChild>
        <w:div w:id="1512646150">
          <w:marLeft w:val="0"/>
          <w:marRight w:val="0"/>
          <w:marTop w:val="0"/>
          <w:marBottom w:val="0"/>
          <w:divBdr>
            <w:top w:val="none" w:sz="0" w:space="0" w:color="auto"/>
            <w:left w:val="none" w:sz="0" w:space="0" w:color="auto"/>
            <w:bottom w:val="none" w:sz="0" w:space="0" w:color="auto"/>
            <w:right w:val="none" w:sz="0" w:space="0" w:color="auto"/>
          </w:divBdr>
          <w:divsChild>
            <w:div w:id="426195811">
              <w:marLeft w:val="0"/>
              <w:marRight w:val="0"/>
              <w:marTop w:val="0"/>
              <w:marBottom w:val="0"/>
              <w:divBdr>
                <w:top w:val="none" w:sz="0" w:space="0" w:color="auto"/>
                <w:left w:val="none" w:sz="0" w:space="0" w:color="auto"/>
                <w:bottom w:val="none" w:sz="0" w:space="0" w:color="auto"/>
                <w:right w:val="none" w:sz="0" w:space="0" w:color="auto"/>
              </w:divBdr>
              <w:divsChild>
                <w:div w:id="2192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09395">
      <w:bodyDiv w:val="1"/>
      <w:marLeft w:val="0"/>
      <w:marRight w:val="0"/>
      <w:marTop w:val="0"/>
      <w:marBottom w:val="0"/>
      <w:divBdr>
        <w:top w:val="none" w:sz="0" w:space="0" w:color="auto"/>
        <w:left w:val="none" w:sz="0" w:space="0" w:color="auto"/>
        <w:bottom w:val="none" w:sz="0" w:space="0" w:color="auto"/>
        <w:right w:val="none" w:sz="0" w:space="0" w:color="auto"/>
      </w:divBdr>
      <w:divsChild>
        <w:div w:id="228275536">
          <w:marLeft w:val="0"/>
          <w:marRight w:val="0"/>
          <w:marTop w:val="0"/>
          <w:marBottom w:val="0"/>
          <w:divBdr>
            <w:top w:val="none" w:sz="0" w:space="0" w:color="auto"/>
            <w:left w:val="none" w:sz="0" w:space="0" w:color="auto"/>
            <w:bottom w:val="none" w:sz="0" w:space="0" w:color="auto"/>
            <w:right w:val="none" w:sz="0" w:space="0" w:color="auto"/>
          </w:divBdr>
          <w:divsChild>
            <w:div w:id="93063109">
              <w:marLeft w:val="0"/>
              <w:marRight w:val="0"/>
              <w:marTop w:val="0"/>
              <w:marBottom w:val="0"/>
              <w:divBdr>
                <w:top w:val="none" w:sz="0" w:space="0" w:color="auto"/>
                <w:left w:val="none" w:sz="0" w:space="0" w:color="auto"/>
                <w:bottom w:val="none" w:sz="0" w:space="0" w:color="auto"/>
                <w:right w:val="none" w:sz="0" w:space="0" w:color="auto"/>
              </w:divBdr>
              <w:divsChild>
                <w:div w:id="424885656">
                  <w:marLeft w:val="0"/>
                  <w:marRight w:val="0"/>
                  <w:marTop w:val="0"/>
                  <w:marBottom w:val="0"/>
                  <w:divBdr>
                    <w:top w:val="none" w:sz="0" w:space="0" w:color="auto"/>
                    <w:left w:val="none" w:sz="0" w:space="0" w:color="auto"/>
                    <w:bottom w:val="none" w:sz="0" w:space="0" w:color="auto"/>
                    <w:right w:val="none" w:sz="0" w:space="0" w:color="auto"/>
                  </w:divBdr>
                  <w:divsChild>
                    <w:div w:id="12210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97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6349">
          <w:marLeft w:val="0"/>
          <w:marRight w:val="0"/>
          <w:marTop w:val="0"/>
          <w:marBottom w:val="0"/>
          <w:divBdr>
            <w:top w:val="none" w:sz="0" w:space="0" w:color="auto"/>
            <w:left w:val="none" w:sz="0" w:space="0" w:color="auto"/>
            <w:bottom w:val="none" w:sz="0" w:space="0" w:color="auto"/>
            <w:right w:val="none" w:sz="0" w:space="0" w:color="auto"/>
          </w:divBdr>
          <w:divsChild>
            <w:div w:id="1018386961">
              <w:marLeft w:val="0"/>
              <w:marRight w:val="0"/>
              <w:marTop w:val="0"/>
              <w:marBottom w:val="0"/>
              <w:divBdr>
                <w:top w:val="none" w:sz="0" w:space="0" w:color="auto"/>
                <w:left w:val="none" w:sz="0" w:space="0" w:color="auto"/>
                <w:bottom w:val="none" w:sz="0" w:space="0" w:color="auto"/>
                <w:right w:val="none" w:sz="0" w:space="0" w:color="auto"/>
              </w:divBdr>
              <w:divsChild>
                <w:div w:id="12018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52822">
      <w:bodyDiv w:val="1"/>
      <w:marLeft w:val="0"/>
      <w:marRight w:val="0"/>
      <w:marTop w:val="0"/>
      <w:marBottom w:val="0"/>
      <w:divBdr>
        <w:top w:val="none" w:sz="0" w:space="0" w:color="auto"/>
        <w:left w:val="none" w:sz="0" w:space="0" w:color="auto"/>
        <w:bottom w:val="none" w:sz="0" w:space="0" w:color="auto"/>
        <w:right w:val="none" w:sz="0" w:space="0" w:color="auto"/>
      </w:divBdr>
      <w:divsChild>
        <w:div w:id="1367290282">
          <w:marLeft w:val="0"/>
          <w:marRight w:val="0"/>
          <w:marTop w:val="0"/>
          <w:marBottom w:val="0"/>
          <w:divBdr>
            <w:top w:val="none" w:sz="0" w:space="0" w:color="auto"/>
            <w:left w:val="none" w:sz="0" w:space="0" w:color="auto"/>
            <w:bottom w:val="none" w:sz="0" w:space="0" w:color="auto"/>
            <w:right w:val="none" w:sz="0" w:space="0" w:color="auto"/>
          </w:divBdr>
          <w:divsChild>
            <w:div w:id="489448414">
              <w:marLeft w:val="0"/>
              <w:marRight w:val="0"/>
              <w:marTop w:val="0"/>
              <w:marBottom w:val="0"/>
              <w:divBdr>
                <w:top w:val="none" w:sz="0" w:space="0" w:color="auto"/>
                <w:left w:val="none" w:sz="0" w:space="0" w:color="auto"/>
                <w:bottom w:val="none" w:sz="0" w:space="0" w:color="auto"/>
                <w:right w:val="none" w:sz="0" w:space="0" w:color="auto"/>
              </w:divBdr>
              <w:divsChild>
                <w:div w:id="443691362">
                  <w:marLeft w:val="0"/>
                  <w:marRight w:val="0"/>
                  <w:marTop w:val="0"/>
                  <w:marBottom w:val="0"/>
                  <w:divBdr>
                    <w:top w:val="none" w:sz="0" w:space="0" w:color="auto"/>
                    <w:left w:val="none" w:sz="0" w:space="0" w:color="auto"/>
                    <w:bottom w:val="none" w:sz="0" w:space="0" w:color="auto"/>
                    <w:right w:val="none" w:sz="0" w:space="0" w:color="auto"/>
                  </w:divBdr>
                  <w:divsChild>
                    <w:div w:id="3525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87772">
      <w:bodyDiv w:val="1"/>
      <w:marLeft w:val="0"/>
      <w:marRight w:val="0"/>
      <w:marTop w:val="0"/>
      <w:marBottom w:val="0"/>
      <w:divBdr>
        <w:top w:val="none" w:sz="0" w:space="0" w:color="auto"/>
        <w:left w:val="none" w:sz="0" w:space="0" w:color="auto"/>
        <w:bottom w:val="none" w:sz="0" w:space="0" w:color="auto"/>
        <w:right w:val="none" w:sz="0" w:space="0" w:color="auto"/>
      </w:divBdr>
      <w:divsChild>
        <w:div w:id="265161391">
          <w:marLeft w:val="0"/>
          <w:marRight w:val="0"/>
          <w:marTop w:val="0"/>
          <w:marBottom w:val="0"/>
          <w:divBdr>
            <w:top w:val="none" w:sz="0" w:space="0" w:color="auto"/>
            <w:left w:val="none" w:sz="0" w:space="0" w:color="auto"/>
            <w:bottom w:val="none" w:sz="0" w:space="0" w:color="auto"/>
            <w:right w:val="none" w:sz="0" w:space="0" w:color="auto"/>
          </w:divBdr>
          <w:divsChild>
            <w:div w:id="1095829738">
              <w:marLeft w:val="0"/>
              <w:marRight w:val="0"/>
              <w:marTop w:val="0"/>
              <w:marBottom w:val="0"/>
              <w:divBdr>
                <w:top w:val="none" w:sz="0" w:space="0" w:color="auto"/>
                <w:left w:val="none" w:sz="0" w:space="0" w:color="auto"/>
                <w:bottom w:val="none" w:sz="0" w:space="0" w:color="auto"/>
                <w:right w:val="none" w:sz="0" w:space="0" w:color="auto"/>
              </w:divBdr>
              <w:divsChild>
                <w:div w:id="17503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0594">
      <w:bodyDiv w:val="1"/>
      <w:marLeft w:val="0"/>
      <w:marRight w:val="0"/>
      <w:marTop w:val="0"/>
      <w:marBottom w:val="0"/>
      <w:divBdr>
        <w:top w:val="none" w:sz="0" w:space="0" w:color="auto"/>
        <w:left w:val="none" w:sz="0" w:space="0" w:color="auto"/>
        <w:bottom w:val="none" w:sz="0" w:space="0" w:color="auto"/>
        <w:right w:val="none" w:sz="0" w:space="0" w:color="auto"/>
      </w:divBdr>
      <w:divsChild>
        <w:div w:id="531386830">
          <w:marLeft w:val="0"/>
          <w:marRight w:val="0"/>
          <w:marTop w:val="0"/>
          <w:marBottom w:val="0"/>
          <w:divBdr>
            <w:top w:val="none" w:sz="0" w:space="0" w:color="auto"/>
            <w:left w:val="none" w:sz="0" w:space="0" w:color="auto"/>
            <w:bottom w:val="none" w:sz="0" w:space="0" w:color="auto"/>
            <w:right w:val="none" w:sz="0" w:space="0" w:color="auto"/>
          </w:divBdr>
          <w:divsChild>
            <w:div w:id="909458387">
              <w:marLeft w:val="0"/>
              <w:marRight w:val="0"/>
              <w:marTop w:val="0"/>
              <w:marBottom w:val="0"/>
              <w:divBdr>
                <w:top w:val="none" w:sz="0" w:space="0" w:color="auto"/>
                <w:left w:val="none" w:sz="0" w:space="0" w:color="auto"/>
                <w:bottom w:val="none" w:sz="0" w:space="0" w:color="auto"/>
                <w:right w:val="none" w:sz="0" w:space="0" w:color="auto"/>
              </w:divBdr>
              <w:divsChild>
                <w:div w:id="1568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80670">
      <w:bodyDiv w:val="1"/>
      <w:marLeft w:val="0"/>
      <w:marRight w:val="0"/>
      <w:marTop w:val="0"/>
      <w:marBottom w:val="0"/>
      <w:divBdr>
        <w:top w:val="none" w:sz="0" w:space="0" w:color="auto"/>
        <w:left w:val="none" w:sz="0" w:space="0" w:color="auto"/>
        <w:bottom w:val="none" w:sz="0" w:space="0" w:color="auto"/>
        <w:right w:val="none" w:sz="0" w:space="0" w:color="auto"/>
      </w:divBdr>
      <w:divsChild>
        <w:div w:id="801967511">
          <w:marLeft w:val="0"/>
          <w:marRight w:val="0"/>
          <w:marTop w:val="0"/>
          <w:marBottom w:val="0"/>
          <w:divBdr>
            <w:top w:val="none" w:sz="0" w:space="0" w:color="auto"/>
            <w:left w:val="none" w:sz="0" w:space="0" w:color="auto"/>
            <w:bottom w:val="none" w:sz="0" w:space="0" w:color="auto"/>
            <w:right w:val="none" w:sz="0" w:space="0" w:color="auto"/>
          </w:divBdr>
          <w:divsChild>
            <w:div w:id="516575349">
              <w:marLeft w:val="0"/>
              <w:marRight w:val="0"/>
              <w:marTop w:val="0"/>
              <w:marBottom w:val="0"/>
              <w:divBdr>
                <w:top w:val="none" w:sz="0" w:space="0" w:color="auto"/>
                <w:left w:val="none" w:sz="0" w:space="0" w:color="auto"/>
                <w:bottom w:val="none" w:sz="0" w:space="0" w:color="auto"/>
                <w:right w:val="none" w:sz="0" w:space="0" w:color="auto"/>
              </w:divBdr>
              <w:divsChild>
                <w:div w:id="393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1183">
      <w:bodyDiv w:val="1"/>
      <w:marLeft w:val="0"/>
      <w:marRight w:val="0"/>
      <w:marTop w:val="0"/>
      <w:marBottom w:val="0"/>
      <w:divBdr>
        <w:top w:val="none" w:sz="0" w:space="0" w:color="auto"/>
        <w:left w:val="none" w:sz="0" w:space="0" w:color="auto"/>
        <w:bottom w:val="none" w:sz="0" w:space="0" w:color="auto"/>
        <w:right w:val="none" w:sz="0" w:space="0" w:color="auto"/>
      </w:divBdr>
      <w:divsChild>
        <w:div w:id="408961722">
          <w:marLeft w:val="0"/>
          <w:marRight w:val="0"/>
          <w:marTop w:val="0"/>
          <w:marBottom w:val="0"/>
          <w:divBdr>
            <w:top w:val="none" w:sz="0" w:space="0" w:color="auto"/>
            <w:left w:val="none" w:sz="0" w:space="0" w:color="auto"/>
            <w:bottom w:val="none" w:sz="0" w:space="0" w:color="auto"/>
            <w:right w:val="none" w:sz="0" w:space="0" w:color="auto"/>
          </w:divBdr>
          <w:divsChild>
            <w:div w:id="1206915000">
              <w:marLeft w:val="0"/>
              <w:marRight w:val="0"/>
              <w:marTop w:val="0"/>
              <w:marBottom w:val="0"/>
              <w:divBdr>
                <w:top w:val="none" w:sz="0" w:space="0" w:color="auto"/>
                <w:left w:val="none" w:sz="0" w:space="0" w:color="auto"/>
                <w:bottom w:val="none" w:sz="0" w:space="0" w:color="auto"/>
                <w:right w:val="none" w:sz="0" w:space="0" w:color="auto"/>
              </w:divBdr>
              <w:divsChild>
                <w:div w:id="840311165">
                  <w:marLeft w:val="0"/>
                  <w:marRight w:val="0"/>
                  <w:marTop w:val="0"/>
                  <w:marBottom w:val="0"/>
                  <w:divBdr>
                    <w:top w:val="none" w:sz="0" w:space="0" w:color="auto"/>
                    <w:left w:val="none" w:sz="0" w:space="0" w:color="auto"/>
                    <w:bottom w:val="none" w:sz="0" w:space="0" w:color="auto"/>
                    <w:right w:val="none" w:sz="0" w:space="0" w:color="auto"/>
                  </w:divBdr>
                  <w:divsChild>
                    <w:div w:id="16924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41860">
      <w:bodyDiv w:val="1"/>
      <w:marLeft w:val="0"/>
      <w:marRight w:val="0"/>
      <w:marTop w:val="0"/>
      <w:marBottom w:val="0"/>
      <w:divBdr>
        <w:top w:val="none" w:sz="0" w:space="0" w:color="auto"/>
        <w:left w:val="none" w:sz="0" w:space="0" w:color="auto"/>
        <w:bottom w:val="none" w:sz="0" w:space="0" w:color="auto"/>
        <w:right w:val="none" w:sz="0" w:space="0" w:color="auto"/>
      </w:divBdr>
    </w:div>
    <w:div w:id="2112823303">
      <w:bodyDiv w:val="1"/>
      <w:marLeft w:val="0"/>
      <w:marRight w:val="0"/>
      <w:marTop w:val="0"/>
      <w:marBottom w:val="0"/>
      <w:divBdr>
        <w:top w:val="none" w:sz="0" w:space="0" w:color="auto"/>
        <w:left w:val="none" w:sz="0" w:space="0" w:color="auto"/>
        <w:bottom w:val="none" w:sz="0" w:space="0" w:color="auto"/>
        <w:right w:val="none" w:sz="0" w:space="0" w:color="auto"/>
      </w:divBdr>
    </w:div>
    <w:div w:id="21260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adh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4192</Words>
  <Characters>23897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Parlatini</dc:creator>
  <cp:keywords/>
  <dc:description/>
  <cp:lastModifiedBy>Valeria Parlatini</cp:lastModifiedBy>
  <cp:revision>3</cp:revision>
  <dcterms:created xsi:type="dcterms:W3CDTF">2024-06-01T13:26:00Z</dcterms:created>
  <dcterms:modified xsi:type="dcterms:W3CDTF">2024-06-01T13:26:00Z</dcterms:modified>
</cp:coreProperties>
</file>