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79DB8" w14:textId="7DB0155F" w:rsidR="00ED5916" w:rsidRPr="00ED5916" w:rsidRDefault="00CE432F" w:rsidP="00237004">
      <w:pPr>
        <w:pStyle w:val="Title"/>
        <w:spacing w:before="120" w:after="120" w:line="36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THE NEED FOR GREATER TRANSPARENCY WHEN ASSESSING THE </w:t>
      </w:r>
      <w:r w:rsidR="00ED5916" w:rsidRPr="00ED5916">
        <w:rPr>
          <w:rFonts w:ascii="Times New Roman" w:hAnsi="Times New Roman" w:cs="Times New Roman"/>
          <w:b/>
          <w:sz w:val="24"/>
          <w:szCs w:val="24"/>
        </w:rPr>
        <w:t>PERFORMANCE AND PROSPECTS OF MELBOURNE’S RAIL FRANCHISE CONTRACTS</w:t>
      </w:r>
    </w:p>
    <w:p w14:paraId="381CF970" w14:textId="5421477D" w:rsidR="002A2627" w:rsidRPr="00ED5916" w:rsidRDefault="002A2627" w:rsidP="00237004">
      <w:pPr>
        <w:spacing w:before="120" w:after="120" w:line="360" w:lineRule="auto"/>
        <w:rPr>
          <w:rFonts w:cs="Times New Roman"/>
          <w:b/>
          <w:szCs w:val="24"/>
        </w:rPr>
      </w:pPr>
      <w:r w:rsidRPr="00ED5916">
        <w:rPr>
          <w:rFonts w:cs="Times New Roman"/>
          <w:b/>
          <w:szCs w:val="24"/>
        </w:rPr>
        <w:t>Authors and affiliation:</w:t>
      </w:r>
    </w:p>
    <w:p w14:paraId="40C5AC09" w14:textId="0CDA5E1D" w:rsidR="00A41A98" w:rsidRPr="00ED5916" w:rsidRDefault="0061251C" w:rsidP="00237004">
      <w:pPr>
        <w:spacing w:before="120" w:after="120" w:line="360" w:lineRule="auto"/>
        <w:rPr>
          <w:rFonts w:cs="Times New Roman"/>
          <w:szCs w:val="24"/>
        </w:rPr>
      </w:pPr>
      <w:proofErr w:type="gramStart"/>
      <w:r w:rsidRPr="00ED5916">
        <w:rPr>
          <w:rFonts w:cs="Times New Roman"/>
          <w:szCs w:val="24"/>
        </w:rPr>
        <w:t>D. P Ashmore</w:t>
      </w:r>
      <w:r w:rsidRPr="00ED5916">
        <w:rPr>
          <w:rFonts w:cs="Times New Roman"/>
          <w:szCs w:val="24"/>
          <w:vertAlign w:val="superscript"/>
        </w:rPr>
        <w:t>a</w:t>
      </w:r>
      <w:r w:rsidRPr="00ED5916">
        <w:rPr>
          <w:rStyle w:val="FootnoteReference"/>
          <w:rFonts w:cs="Times New Roman"/>
          <w:szCs w:val="24"/>
        </w:rPr>
        <w:footnoteReference w:id="1"/>
      </w:r>
      <w:r w:rsidRPr="00ED5916">
        <w:rPr>
          <w:rFonts w:cs="Times New Roman"/>
          <w:szCs w:val="24"/>
          <w:vertAlign w:val="superscript"/>
        </w:rPr>
        <w:t xml:space="preserve"> </w:t>
      </w:r>
      <w:r w:rsidR="00A41A98" w:rsidRPr="00ED5916">
        <w:rPr>
          <w:rFonts w:cs="Times New Roman"/>
          <w:szCs w:val="24"/>
        </w:rPr>
        <w:t xml:space="preserve">J. </w:t>
      </w:r>
      <w:proofErr w:type="spellStart"/>
      <w:r w:rsidR="00A41A98" w:rsidRPr="00ED5916">
        <w:rPr>
          <w:rFonts w:cs="Times New Roman"/>
          <w:szCs w:val="24"/>
        </w:rPr>
        <w:t>Stone</w:t>
      </w:r>
      <w:r w:rsidR="00A41A98" w:rsidRPr="00ED5916">
        <w:rPr>
          <w:rFonts w:cs="Times New Roman"/>
          <w:szCs w:val="24"/>
          <w:vertAlign w:val="superscript"/>
        </w:rPr>
        <w:t>a</w:t>
      </w:r>
      <w:proofErr w:type="spellEnd"/>
      <w:r w:rsidR="00A41A98" w:rsidRPr="00ED5916">
        <w:rPr>
          <w:rFonts w:cs="Times New Roman"/>
          <w:szCs w:val="24"/>
        </w:rPr>
        <w:t xml:space="preserve">, and Y. </w:t>
      </w:r>
      <w:proofErr w:type="spellStart"/>
      <w:r w:rsidR="00A41A98" w:rsidRPr="00ED5916">
        <w:rPr>
          <w:rFonts w:cs="Times New Roman"/>
          <w:szCs w:val="24"/>
        </w:rPr>
        <w:t>Kirk</w:t>
      </w:r>
      <w:r w:rsidR="00553C43" w:rsidRPr="00ED5916">
        <w:rPr>
          <w:rFonts w:cs="Times New Roman"/>
          <w:szCs w:val="24"/>
          <w:vertAlign w:val="superscript"/>
        </w:rPr>
        <w:t>a</w:t>
      </w:r>
      <w:proofErr w:type="spellEnd"/>
      <w:proofErr w:type="gramEnd"/>
    </w:p>
    <w:p w14:paraId="012BF300" w14:textId="3B411F5F" w:rsidR="00A41A98" w:rsidRPr="00ED5916" w:rsidRDefault="00A41A98" w:rsidP="00237004">
      <w:pPr>
        <w:spacing w:before="120" w:after="120" w:line="360" w:lineRule="auto"/>
        <w:rPr>
          <w:rFonts w:cs="Times New Roman"/>
          <w:szCs w:val="24"/>
        </w:rPr>
      </w:pPr>
      <w:proofErr w:type="spellStart"/>
      <w:proofErr w:type="gramStart"/>
      <w:r w:rsidRPr="00ED5916">
        <w:rPr>
          <w:rFonts w:cs="Times New Roman"/>
          <w:szCs w:val="24"/>
          <w:vertAlign w:val="superscript"/>
        </w:rPr>
        <w:t>a</w:t>
      </w:r>
      <w:r w:rsidRPr="00ED5916">
        <w:rPr>
          <w:rFonts w:cs="Times New Roman"/>
          <w:szCs w:val="24"/>
        </w:rPr>
        <w:t>Faculty</w:t>
      </w:r>
      <w:proofErr w:type="spellEnd"/>
      <w:proofErr w:type="gramEnd"/>
      <w:r w:rsidRPr="00ED5916">
        <w:rPr>
          <w:rFonts w:cs="Times New Roman"/>
          <w:szCs w:val="24"/>
        </w:rPr>
        <w:t xml:space="preserve"> of Architecture, Building and Planning, University of Melbourne, </w:t>
      </w:r>
      <w:r w:rsidR="005A0FCC" w:rsidRPr="00ED5916">
        <w:rPr>
          <w:rFonts w:cs="Times New Roman"/>
          <w:szCs w:val="24"/>
        </w:rPr>
        <w:t xml:space="preserve">Parkville, Victoria, 3010, </w:t>
      </w:r>
      <w:r w:rsidR="00BB5B1E">
        <w:rPr>
          <w:rFonts w:cs="Times New Roman"/>
          <w:szCs w:val="24"/>
        </w:rPr>
        <w:t>Australia.</w:t>
      </w:r>
    </w:p>
    <w:p w14:paraId="328A53A5" w14:textId="77777777" w:rsidR="00ED5916" w:rsidRPr="00ED5916" w:rsidRDefault="00ED5916" w:rsidP="00237004">
      <w:pPr>
        <w:spacing w:before="120" w:after="120" w:line="360" w:lineRule="auto"/>
        <w:jc w:val="both"/>
        <w:rPr>
          <w:rFonts w:cs="Times New Roman"/>
          <w:b/>
          <w:szCs w:val="24"/>
        </w:rPr>
      </w:pPr>
    </w:p>
    <w:p w14:paraId="24257D65" w14:textId="77777777" w:rsidR="00ED5916" w:rsidRPr="00ED5916" w:rsidRDefault="00ED5916" w:rsidP="00237004">
      <w:pPr>
        <w:spacing w:before="120" w:after="120" w:line="360" w:lineRule="auto"/>
        <w:jc w:val="both"/>
        <w:rPr>
          <w:rFonts w:cs="Times New Roman"/>
          <w:b/>
          <w:szCs w:val="24"/>
        </w:rPr>
      </w:pPr>
      <w:r w:rsidRPr="00ED5916">
        <w:rPr>
          <w:rFonts w:cs="Times New Roman"/>
          <w:b/>
          <w:szCs w:val="24"/>
        </w:rPr>
        <w:t>Abstract</w:t>
      </w:r>
    </w:p>
    <w:p w14:paraId="4D485858" w14:textId="176B2B21" w:rsidR="00ED5916" w:rsidRPr="00ED5916" w:rsidRDefault="00ED5916" w:rsidP="00237004">
      <w:pPr>
        <w:spacing w:before="120" w:after="120" w:line="360" w:lineRule="auto"/>
        <w:jc w:val="both"/>
        <w:rPr>
          <w:rFonts w:cs="Times New Roman"/>
          <w:szCs w:val="24"/>
        </w:rPr>
      </w:pPr>
      <w:r w:rsidRPr="00ED5916">
        <w:rPr>
          <w:rFonts w:cs="Times New Roman"/>
          <w:szCs w:val="24"/>
        </w:rPr>
        <w:t>Among policymakers and researchers at an international level, there is great interest in the performance of the</w:t>
      </w:r>
      <w:r w:rsidR="00D74D68">
        <w:rPr>
          <w:rFonts w:cs="Times New Roman"/>
          <w:szCs w:val="24"/>
        </w:rPr>
        <w:t xml:space="preserve"> Melbourne rail franchise model.  L</w:t>
      </w:r>
      <w:r w:rsidRPr="00ED5916">
        <w:rPr>
          <w:rFonts w:cs="Times New Roman"/>
          <w:szCs w:val="24"/>
        </w:rPr>
        <w:t xml:space="preserve">ocally, the performance of the system is also under scrutiny as other Australian states consider adopting Melbourne’s model.  This review </w:t>
      </w:r>
      <w:r w:rsidR="0061140C">
        <w:rPr>
          <w:rFonts w:cs="Times New Roman"/>
          <w:szCs w:val="24"/>
        </w:rPr>
        <w:t xml:space="preserve">attempts to examine the </w:t>
      </w:r>
      <w:r w:rsidRPr="00ED5916">
        <w:rPr>
          <w:rFonts w:cs="Times New Roman"/>
          <w:szCs w:val="24"/>
        </w:rPr>
        <w:t xml:space="preserve">Melbourne model in an international context and </w:t>
      </w:r>
      <w:r w:rsidR="0061140C">
        <w:rPr>
          <w:rFonts w:cs="Times New Roman"/>
          <w:szCs w:val="24"/>
        </w:rPr>
        <w:t xml:space="preserve">assess the performance of the system </w:t>
      </w:r>
      <w:r w:rsidRPr="00ED5916">
        <w:rPr>
          <w:rFonts w:cs="Times New Roman"/>
          <w:szCs w:val="24"/>
        </w:rPr>
        <w:t xml:space="preserve">under current contracts. </w:t>
      </w:r>
      <w:r w:rsidR="0061140C">
        <w:rPr>
          <w:rFonts w:cs="Times New Roman"/>
          <w:szCs w:val="24"/>
        </w:rPr>
        <w:t xml:space="preserve"> Potential flaws are highlighted including lack of information, concerns over performance and contestability, and the </w:t>
      </w:r>
      <w:r w:rsidR="00B06BA9">
        <w:rPr>
          <w:rFonts w:cs="Times New Roman"/>
          <w:szCs w:val="24"/>
        </w:rPr>
        <w:t xml:space="preserve">treatment of the </w:t>
      </w:r>
      <w:r w:rsidR="0061140C">
        <w:rPr>
          <w:rFonts w:cs="Times New Roman"/>
          <w:szCs w:val="24"/>
        </w:rPr>
        <w:t xml:space="preserve">potential long term maintenance backlog under short term contracts.  The authors conclude with an overall stance </w:t>
      </w:r>
      <w:r w:rsidR="00B06BA9">
        <w:rPr>
          <w:rFonts w:cs="Times New Roman"/>
          <w:szCs w:val="24"/>
        </w:rPr>
        <w:t xml:space="preserve">of </w:t>
      </w:r>
      <w:proofErr w:type="spellStart"/>
      <w:r w:rsidR="00B06BA9">
        <w:rPr>
          <w:rFonts w:cs="Times New Roman"/>
          <w:szCs w:val="24"/>
        </w:rPr>
        <w:t>there</w:t>
      </w:r>
      <w:proofErr w:type="spellEnd"/>
      <w:r w:rsidR="00B06BA9">
        <w:rPr>
          <w:rFonts w:cs="Times New Roman"/>
          <w:szCs w:val="24"/>
        </w:rPr>
        <w:t xml:space="preserve"> needing</w:t>
      </w:r>
      <w:r w:rsidR="0061140C">
        <w:rPr>
          <w:rFonts w:cs="Times New Roman"/>
          <w:szCs w:val="24"/>
        </w:rPr>
        <w:t xml:space="preserve"> to be far greater public information transparency to allow proper scrutiny of the effectiveness of these contracts for the public good.</w:t>
      </w:r>
    </w:p>
    <w:p w14:paraId="6B71FAD6" w14:textId="77777777" w:rsidR="00ED5916" w:rsidRPr="00ED5916" w:rsidRDefault="00ED5916" w:rsidP="00237004">
      <w:pPr>
        <w:spacing w:before="120" w:after="120" w:line="360" w:lineRule="auto"/>
        <w:rPr>
          <w:rFonts w:cs="Times New Roman"/>
          <w:szCs w:val="24"/>
        </w:rPr>
      </w:pPr>
    </w:p>
    <w:p w14:paraId="0EB0DFE7" w14:textId="77777777" w:rsidR="00ED5916" w:rsidRPr="00ED5916" w:rsidRDefault="00ED5916" w:rsidP="00237004">
      <w:pPr>
        <w:spacing w:before="120" w:after="120" w:line="360" w:lineRule="auto"/>
        <w:rPr>
          <w:rFonts w:cs="Times New Roman"/>
          <w:szCs w:val="24"/>
        </w:rPr>
      </w:pPr>
      <w:r w:rsidRPr="00ED5916">
        <w:rPr>
          <w:rFonts w:cs="Times New Roman"/>
          <w:b/>
          <w:szCs w:val="24"/>
        </w:rPr>
        <w:t>Key words</w:t>
      </w:r>
      <w:r w:rsidRPr="00ED5916">
        <w:rPr>
          <w:rFonts w:cs="Times New Roman"/>
          <w:szCs w:val="24"/>
        </w:rPr>
        <w:t xml:space="preserve">:  Rail operations and maintenance outsourcing, rail franchising, Melbourne rail, risk allocations, risk allocation, public policy.  </w:t>
      </w:r>
    </w:p>
    <w:p w14:paraId="6C701D6B" w14:textId="77777777" w:rsidR="00ED5916" w:rsidRPr="00ED5916" w:rsidRDefault="00ED5916" w:rsidP="00237004">
      <w:pPr>
        <w:spacing w:before="120" w:after="120" w:line="360" w:lineRule="auto"/>
        <w:rPr>
          <w:rFonts w:cs="Times New Roman"/>
          <w:szCs w:val="24"/>
        </w:rPr>
      </w:pPr>
    </w:p>
    <w:p w14:paraId="5BDC110E" w14:textId="77777777" w:rsidR="005332A7" w:rsidRPr="00ED5916" w:rsidRDefault="005332A7" w:rsidP="00237004">
      <w:pPr>
        <w:spacing w:before="120" w:after="120" w:line="360" w:lineRule="auto"/>
        <w:rPr>
          <w:rFonts w:cs="Times New Roman"/>
          <w:b/>
          <w:szCs w:val="24"/>
        </w:rPr>
      </w:pPr>
      <w:r w:rsidRPr="00ED5916">
        <w:rPr>
          <w:rFonts w:cs="Times New Roman"/>
          <w:b/>
          <w:szCs w:val="24"/>
        </w:rPr>
        <w:t xml:space="preserve">Acknowledgements: </w:t>
      </w:r>
      <w:r w:rsidRPr="00ED5916">
        <w:rPr>
          <w:rFonts w:cs="Times New Roman"/>
          <w:szCs w:val="24"/>
        </w:rPr>
        <w:t>Thanks to staff at Metro Trains Melbourne and Public Transport Victoria for making valuable data available and for very useful comments on previous drafts.  Credit is also due to Professor David Hayward and Eric Keys for constructive feedback, and to the Melbourne School of Design for their encouragement through the Transport, Health and Urban Design Research Hub.  The authors are also grateful for the support of Professor Brendan Gleeson and Melbourne Sustainable Society Institute throughout the process.</w:t>
      </w:r>
    </w:p>
    <w:p w14:paraId="24872E50" w14:textId="77777777" w:rsidR="005332A7" w:rsidRPr="00ED5916" w:rsidRDefault="005332A7" w:rsidP="00237004">
      <w:pPr>
        <w:spacing w:before="120" w:after="120" w:line="360" w:lineRule="auto"/>
        <w:rPr>
          <w:rFonts w:cs="Times New Roman"/>
          <w:szCs w:val="24"/>
        </w:rPr>
      </w:pPr>
    </w:p>
    <w:p w14:paraId="71087FF0" w14:textId="77777777" w:rsidR="005332A7" w:rsidRPr="00ED5916" w:rsidRDefault="005332A7" w:rsidP="00237004">
      <w:pPr>
        <w:spacing w:before="120" w:after="120" w:line="360" w:lineRule="auto"/>
        <w:rPr>
          <w:rFonts w:cs="Times New Roman"/>
          <w:szCs w:val="24"/>
        </w:rPr>
      </w:pPr>
      <w:r w:rsidRPr="00ED5916">
        <w:rPr>
          <w:rFonts w:cs="Times New Roman"/>
          <w:b/>
          <w:szCs w:val="24"/>
        </w:rPr>
        <w:lastRenderedPageBreak/>
        <w:t xml:space="preserve">Funding and grant-awarding bodies: </w:t>
      </w:r>
      <w:r w:rsidRPr="00ED5916">
        <w:rPr>
          <w:rFonts w:cs="Times New Roman"/>
          <w:szCs w:val="24"/>
        </w:rPr>
        <w:t>There are no funding or grant-awarding bodies associated with this work.</w:t>
      </w:r>
    </w:p>
    <w:p w14:paraId="7FB7B9A7" w14:textId="77777777" w:rsidR="00ED5916" w:rsidRPr="00ED5916" w:rsidRDefault="00ED5916" w:rsidP="00237004">
      <w:pPr>
        <w:spacing w:before="120" w:after="120" w:line="360" w:lineRule="auto"/>
        <w:rPr>
          <w:rFonts w:cs="Times New Roman"/>
          <w:b/>
          <w:szCs w:val="24"/>
        </w:rPr>
      </w:pPr>
    </w:p>
    <w:p w14:paraId="03552A3D" w14:textId="4B9E42E5" w:rsidR="005332A7" w:rsidRPr="00ED5916" w:rsidRDefault="008816AE" w:rsidP="00237004">
      <w:pPr>
        <w:spacing w:before="120" w:after="120" w:line="360" w:lineRule="auto"/>
        <w:rPr>
          <w:rFonts w:cs="Times New Roman"/>
          <w:szCs w:val="24"/>
        </w:rPr>
      </w:pPr>
      <w:r w:rsidRPr="00ED5916">
        <w:rPr>
          <w:rFonts w:cs="Times New Roman"/>
          <w:b/>
          <w:szCs w:val="24"/>
        </w:rPr>
        <w:t>Disclosure</w:t>
      </w:r>
      <w:r w:rsidR="005332A7" w:rsidRPr="00ED5916">
        <w:rPr>
          <w:rFonts w:cs="Times New Roman"/>
          <w:b/>
          <w:szCs w:val="24"/>
        </w:rPr>
        <w:t xml:space="preserve"> statement</w:t>
      </w:r>
      <w:r w:rsidR="005332A7" w:rsidRPr="00ED5916">
        <w:rPr>
          <w:rFonts w:cs="Times New Roman"/>
          <w:szCs w:val="24"/>
        </w:rPr>
        <w:t>: None of the authors have financial interest or benefit arising from the direct applications of this research.</w:t>
      </w:r>
    </w:p>
    <w:p w14:paraId="57361D81" w14:textId="77777777" w:rsidR="00BB5B1E" w:rsidRPr="00ED5916" w:rsidRDefault="00BB5B1E" w:rsidP="00237004">
      <w:pPr>
        <w:spacing w:before="120" w:after="120" w:line="360" w:lineRule="auto"/>
        <w:rPr>
          <w:rFonts w:cs="Times New Roman"/>
          <w:szCs w:val="24"/>
        </w:rPr>
      </w:pPr>
    </w:p>
    <w:p w14:paraId="6CC22525" w14:textId="1AB9D5F9" w:rsidR="007F767B" w:rsidRPr="00ED5916" w:rsidRDefault="007F767B" w:rsidP="00237004">
      <w:pPr>
        <w:spacing w:before="120" w:after="120" w:line="360" w:lineRule="auto"/>
        <w:rPr>
          <w:rFonts w:cs="Times New Roman"/>
          <w:b/>
          <w:szCs w:val="24"/>
        </w:rPr>
      </w:pPr>
      <w:r w:rsidRPr="00ED5916">
        <w:rPr>
          <w:rFonts w:cs="Times New Roman"/>
          <w:b/>
          <w:szCs w:val="24"/>
        </w:rPr>
        <w:br w:type="page"/>
      </w:r>
    </w:p>
    <w:p w14:paraId="1D7F6B7A" w14:textId="611FB90F" w:rsidR="000142E7" w:rsidRPr="00ED5916" w:rsidRDefault="002A2627" w:rsidP="00237004">
      <w:pPr>
        <w:pStyle w:val="Heading1"/>
        <w:spacing w:before="120" w:after="120" w:line="360" w:lineRule="auto"/>
        <w:rPr>
          <w:rFonts w:ascii="Times New Roman" w:hAnsi="Times New Roman" w:cs="Times New Roman"/>
          <w:color w:val="auto"/>
          <w:sz w:val="24"/>
          <w:szCs w:val="24"/>
        </w:rPr>
      </w:pPr>
      <w:r w:rsidRPr="00ED5916">
        <w:rPr>
          <w:rFonts w:ascii="Times New Roman" w:hAnsi="Times New Roman" w:cs="Times New Roman"/>
          <w:color w:val="auto"/>
          <w:sz w:val="24"/>
          <w:szCs w:val="24"/>
        </w:rPr>
        <w:lastRenderedPageBreak/>
        <w:t>1</w:t>
      </w:r>
      <w:r w:rsidRPr="00ED5916">
        <w:rPr>
          <w:rFonts w:ascii="Times New Roman" w:hAnsi="Times New Roman" w:cs="Times New Roman"/>
          <w:color w:val="auto"/>
          <w:sz w:val="24"/>
          <w:szCs w:val="24"/>
        </w:rPr>
        <w:tab/>
      </w:r>
      <w:r w:rsidR="00F460B6" w:rsidRPr="00ED5916">
        <w:rPr>
          <w:rFonts w:ascii="Times New Roman" w:hAnsi="Times New Roman" w:cs="Times New Roman"/>
          <w:color w:val="auto"/>
          <w:sz w:val="24"/>
          <w:szCs w:val="24"/>
        </w:rPr>
        <w:t>Introduction</w:t>
      </w:r>
    </w:p>
    <w:p w14:paraId="1941A1D3" w14:textId="73650A96" w:rsidR="00A71555" w:rsidRPr="00ED5916" w:rsidRDefault="00B255FA" w:rsidP="00237004">
      <w:pPr>
        <w:spacing w:before="120" w:after="120" w:line="360" w:lineRule="auto"/>
        <w:rPr>
          <w:rFonts w:cs="Times New Roman"/>
          <w:szCs w:val="24"/>
        </w:rPr>
      </w:pPr>
      <w:r w:rsidRPr="00ED5916">
        <w:rPr>
          <w:rFonts w:cs="Times New Roman"/>
          <w:szCs w:val="24"/>
        </w:rPr>
        <w:t xml:space="preserve">It is more than </w:t>
      </w:r>
      <w:r w:rsidR="00EB5784" w:rsidRPr="00ED5916">
        <w:rPr>
          <w:rFonts w:cs="Times New Roman"/>
          <w:szCs w:val="24"/>
        </w:rPr>
        <w:t>25</w:t>
      </w:r>
      <w:r w:rsidRPr="00ED5916">
        <w:rPr>
          <w:rFonts w:cs="Times New Roman"/>
          <w:szCs w:val="24"/>
        </w:rPr>
        <w:t xml:space="preserve"> years since </w:t>
      </w:r>
      <w:r w:rsidR="005B3960" w:rsidRPr="00ED5916">
        <w:rPr>
          <w:rFonts w:cs="Times New Roman"/>
          <w:szCs w:val="24"/>
        </w:rPr>
        <w:t xml:space="preserve">the wave of </w:t>
      </w:r>
      <w:r w:rsidR="007A284A">
        <w:rPr>
          <w:rFonts w:cs="Times New Roman"/>
          <w:szCs w:val="24"/>
        </w:rPr>
        <w:t>deregulation</w:t>
      </w:r>
      <w:r w:rsidR="005B3960" w:rsidRPr="00ED5916">
        <w:rPr>
          <w:rFonts w:cs="Times New Roman"/>
          <w:szCs w:val="24"/>
        </w:rPr>
        <w:t xml:space="preserve"> </w:t>
      </w:r>
      <w:r w:rsidR="000B010D">
        <w:rPr>
          <w:rFonts w:cs="Times New Roman"/>
          <w:szCs w:val="24"/>
        </w:rPr>
        <w:t>– greater involvement of the private sector in traditionally public</w:t>
      </w:r>
      <w:r w:rsidR="00BC66DC">
        <w:rPr>
          <w:rFonts w:cs="Times New Roman"/>
          <w:szCs w:val="24"/>
        </w:rPr>
        <w:t>-</w:t>
      </w:r>
      <w:r w:rsidR="000B010D">
        <w:rPr>
          <w:rFonts w:cs="Times New Roman"/>
          <w:szCs w:val="24"/>
        </w:rPr>
        <w:t xml:space="preserve">sector industries - </w:t>
      </w:r>
      <w:r w:rsidR="005B3960" w:rsidRPr="00ED5916">
        <w:rPr>
          <w:rFonts w:cs="Times New Roman"/>
          <w:szCs w:val="24"/>
        </w:rPr>
        <w:t xml:space="preserve">swept through </w:t>
      </w:r>
      <w:r w:rsidR="003B18BF" w:rsidRPr="00ED5916">
        <w:rPr>
          <w:rFonts w:cs="Times New Roman"/>
          <w:szCs w:val="24"/>
        </w:rPr>
        <w:t xml:space="preserve">Australian </w:t>
      </w:r>
      <w:r w:rsidR="005B3960" w:rsidRPr="00ED5916">
        <w:rPr>
          <w:rFonts w:cs="Times New Roman"/>
          <w:szCs w:val="24"/>
        </w:rPr>
        <w:t>state institutions</w:t>
      </w:r>
      <w:r w:rsidR="00EB5784" w:rsidRPr="00ED5916">
        <w:rPr>
          <w:rFonts w:cs="Times New Roman"/>
          <w:szCs w:val="24"/>
        </w:rPr>
        <w:t xml:space="preserve">, leaving almost no aspect of urban policy unchanged. </w:t>
      </w:r>
      <w:r w:rsidR="00A71555" w:rsidRPr="00ED5916">
        <w:rPr>
          <w:rFonts w:cs="Times New Roman"/>
          <w:szCs w:val="24"/>
        </w:rPr>
        <w:t xml:space="preserve">The </w:t>
      </w:r>
      <w:r w:rsidR="00D74D68">
        <w:rPr>
          <w:rFonts w:cs="Times New Roman"/>
          <w:szCs w:val="24"/>
        </w:rPr>
        <w:t>deregulation</w:t>
      </w:r>
      <w:r w:rsidR="00A71555" w:rsidRPr="00ED5916">
        <w:rPr>
          <w:rFonts w:cs="Times New Roman"/>
          <w:szCs w:val="24"/>
        </w:rPr>
        <w:t xml:space="preserve"> of Melbourne’s train and tra</w:t>
      </w:r>
      <w:r w:rsidR="00A064FA">
        <w:rPr>
          <w:rFonts w:cs="Times New Roman"/>
          <w:szCs w:val="24"/>
        </w:rPr>
        <w:t>m systems, begu</w:t>
      </w:r>
      <w:r w:rsidR="00A71555" w:rsidRPr="00ED5916">
        <w:rPr>
          <w:rFonts w:cs="Times New Roman"/>
          <w:szCs w:val="24"/>
        </w:rPr>
        <w:t xml:space="preserve">n in 1999, is unique </w:t>
      </w:r>
      <w:r w:rsidR="00EE6FC5" w:rsidRPr="00ED5916">
        <w:rPr>
          <w:rFonts w:cs="Times New Roman"/>
          <w:szCs w:val="24"/>
        </w:rPr>
        <w:t>among the many different contractual</w:t>
      </w:r>
      <w:r w:rsidR="00A71555" w:rsidRPr="00ED5916">
        <w:rPr>
          <w:rFonts w:cs="Times New Roman"/>
          <w:szCs w:val="24"/>
        </w:rPr>
        <w:t xml:space="preserve"> arrange</w:t>
      </w:r>
      <w:r w:rsidR="00EB5784" w:rsidRPr="00ED5916">
        <w:rPr>
          <w:rFonts w:cs="Times New Roman"/>
          <w:szCs w:val="24"/>
        </w:rPr>
        <w:t>ments set up during this period, and</w:t>
      </w:r>
      <w:r w:rsidR="00D0387F" w:rsidRPr="00ED5916">
        <w:rPr>
          <w:rFonts w:cs="Times New Roman"/>
          <w:szCs w:val="24"/>
        </w:rPr>
        <w:t xml:space="preserve"> knowledge</w:t>
      </w:r>
      <w:r w:rsidR="00EB5784" w:rsidRPr="00ED5916">
        <w:rPr>
          <w:rFonts w:cs="Times New Roman"/>
          <w:szCs w:val="24"/>
        </w:rPr>
        <w:t xml:space="preserve"> of its performance and prospects is </w:t>
      </w:r>
      <w:r w:rsidR="00D0387F" w:rsidRPr="00ED5916">
        <w:rPr>
          <w:rFonts w:cs="Times New Roman"/>
          <w:szCs w:val="24"/>
        </w:rPr>
        <w:t>vital for analysts wishing to understand directions in urban transport policy and practice</w:t>
      </w:r>
      <w:r w:rsidR="00A71555" w:rsidRPr="00ED5916">
        <w:rPr>
          <w:rFonts w:cs="Times New Roman"/>
          <w:szCs w:val="24"/>
        </w:rPr>
        <w:t>.</w:t>
      </w:r>
    </w:p>
    <w:p w14:paraId="467F353A" w14:textId="7B3C7C5C" w:rsidR="00A71555" w:rsidRPr="00ED5916" w:rsidRDefault="00A71555" w:rsidP="00237004">
      <w:pPr>
        <w:spacing w:before="120" w:after="120" w:line="360" w:lineRule="auto"/>
        <w:rPr>
          <w:rFonts w:cs="Times New Roman"/>
          <w:szCs w:val="24"/>
        </w:rPr>
      </w:pPr>
      <w:r w:rsidRPr="00ED5916">
        <w:rPr>
          <w:rFonts w:cs="Times New Roman"/>
          <w:szCs w:val="24"/>
        </w:rPr>
        <w:t>For</w:t>
      </w:r>
      <w:r w:rsidR="0036674E" w:rsidRPr="00ED5916">
        <w:rPr>
          <w:rFonts w:cs="Times New Roman"/>
          <w:szCs w:val="24"/>
        </w:rPr>
        <w:t xml:space="preserve"> some</w:t>
      </w:r>
      <w:r w:rsidRPr="00ED5916">
        <w:rPr>
          <w:rFonts w:cs="Times New Roman"/>
          <w:szCs w:val="24"/>
        </w:rPr>
        <w:t xml:space="preserve"> supporters of </w:t>
      </w:r>
      <w:r w:rsidR="00D74D68">
        <w:rPr>
          <w:rFonts w:cs="Times New Roman"/>
          <w:szCs w:val="24"/>
        </w:rPr>
        <w:t>greater private sector involvement in the delivery of state industries</w:t>
      </w:r>
      <w:r w:rsidRPr="00ED5916">
        <w:rPr>
          <w:rFonts w:cs="Times New Roman"/>
          <w:szCs w:val="24"/>
        </w:rPr>
        <w:t>, the Melbourne train franchise</w:t>
      </w:r>
      <w:r w:rsidR="0036674E" w:rsidRPr="00ED5916">
        <w:rPr>
          <w:rFonts w:cs="Times New Roman"/>
          <w:szCs w:val="24"/>
        </w:rPr>
        <w:t xml:space="preserve"> is</w:t>
      </w:r>
      <w:r w:rsidRPr="00ED5916">
        <w:rPr>
          <w:rFonts w:cs="Times New Roman"/>
          <w:szCs w:val="24"/>
        </w:rPr>
        <w:t xml:space="preserve"> a sophisticated attempt to address some of the problems created by more radical transport privatisations in the UK and New Zealand</w:t>
      </w:r>
      <w:r w:rsidR="006D08E8" w:rsidRPr="00ED5916">
        <w:rPr>
          <w:rFonts w:cs="Times New Roman"/>
          <w:szCs w:val="24"/>
        </w:rPr>
        <w:t>,</w:t>
      </w:r>
      <w:r w:rsidRPr="00ED5916">
        <w:rPr>
          <w:rFonts w:cs="Times New Roman"/>
          <w:szCs w:val="24"/>
        </w:rPr>
        <w:t xml:space="preserve"> by keeping track and rolling stock in state ownership. For the sceptics, </w:t>
      </w:r>
      <w:r w:rsidR="0036674E" w:rsidRPr="00ED5916">
        <w:rPr>
          <w:rFonts w:cs="Times New Roman"/>
          <w:szCs w:val="24"/>
        </w:rPr>
        <w:t>the handing over of operations and maintenance of complex urban transport systems to a private consortium is a recipe for regulatory capture and erosion of the public good.</w:t>
      </w:r>
    </w:p>
    <w:p w14:paraId="2CDCDDBD" w14:textId="67B263C3" w:rsidR="003B18BF" w:rsidRPr="00ED5916" w:rsidRDefault="003B18BF" w:rsidP="00237004">
      <w:pPr>
        <w:spacing w:before="120" w:after="120" w:line="360" w:lineRule="auto"/>
        <w:rPr>
          <w:rFonts w:cs="Times New Roman"/>
          <w:szCs w:val="24"/>
        </w:rPr>
      </w:pPr>
      <w:r w:rsidRPr="00ED5916">
        <w:rPr>
          <w:rFonts w:cs="Times New Roman"/>
          <w:szCs w:val="24"/>
        </w:rPr>
        <w:t>A</w:t>
      </w:r>
      <w:r w:rsidR="00EE6FC5" w:rsidRPr="00ED5916">
        <w:rPr>
          <w:rFonts w:cs="Times New Roman"/>
          <w:szCs w:val="24"/>
        </w:rPr>
        <w:t>mong policymakers and researchers at an</w:t>
      </w:r>
      <w:r w:rsidR="0036674E" w:rsidRPr="00ED5916">
        <w:rPr>
          <w:rFonts w:cs="Times New Roman"/>
          <w:szCs w:val="24"/>
        </w:rPr>
        <w:t xml:space="preserve"> international level, there is great interest in the performance of the Melbourne model. </w:t>
      </w:r>
      <w:r w:rsidR="001264A6">
        <w:rPr>
          <w:rFonts w:cs="Times New Roman"/>
          <w:szCs w:val="24"/>
        </w:rPr>
        <w:t xml:space="preserve"> </w:t>
      </w:r>
      <w:r w:rsidR="00EE6FC5" w:rsidRPr="00ED5916">
        <w:rPr>
          <w:rFonts w:cs="Times New Roman"/>
          <w:szCs w:val="24"/>
        </w:rPr>
        <w:t xml:space="preserve">Locally, the performance of the system is also under </w:t>
      </w:r>
      <w:r w:rsidR="00E45061" w:rsidRPr="00ED5916">
        <w:rPr>
          <w:rFonts w:cs="Times New Roman"/>
          <w:szCs w:val="24"/>
        </w:rPr>
        <w:t xml:space="preserve">scrutiny for two reasons.  </w:t>
      </w:r>
      <w:r w:rsidR="00BC66DC" w:rsidRPr="00ED5916">
        <w:rPr>
          <w:rFonts w:cs="Times New Roman"/>
          <w:szCs w:val="24"/>
        </w:rPr>
        <w:t>First</w:t>
      </w:r>
      <w:r w:rsidR="001264A6">
        <w:rPr>
          <w:rFonts w:cs="Times New Roman"/>
          <w:szCs w:val="24"/>
        </w:rPr>
        <w:t>ly</w:t>
      </w:r>
      <w:r w:rsidR="00BC66DC">
        <w:rPr>
          <w:rFonts w:cs="Times New Roman"/>
          <w:szCs w:val="24"/>
        </w:rPr>
        <w:t xml:space="preserve">, </w:t>
      </w:r>
      <w:r w:rsidR="00FC48C2">
        <w:rPr>
          <w:rFonts w:cs="Times New Roman"/>
          <w:szCs w:val="24"/>
        </w:rPr>
        <w:t>other</w:t>
      </w:r>
      <w:r w:rsidR="00EE6FC5" w:rsidRPr="00ED5916">
        <w:rPr>
          <w:rFonts w:cs="Times New Roman"/>
          <w:szCs w:val="24"/>
        </w:rPr>
        <w:t xml:space="preserve"> Australian states, where services are now provided by the public sector, are considering adopting Melbourne’s operating and maintenance franchising model.  Second</w:t>
      </w:r>
      <w:r w:rsidR="001264A6">
        <w:rPr>
          <w:rFonts w:cs="Times New Roman"/>
          <w:szCs w:val="24"/>
        </w:rPr>
        <w:t>ly</w:t>
      </w:r>
      <w:r w:rsidR="00EE6FC5" w:rsidRPr="00ED5916">
        <w:rPr>
          <w:rFonts w:cs="Times New Roman"/>
          <w:szCs w:val="24"/>
        </w:rPr>
        <w:t>, Melbourne’s existing rail franchisee</w:t>
      </w:r>
      <w:r w:rsidRPr="00ED5916">
        <w:rPr>
          <w:rFonts w:cs="Times New Roman"/>
          <w:szCs w:val="24"/>
        </w:rPr>
        <w:t xml:space="preserve"> has now entered</w:t>
      </w:r>
      <w:r w:rsidR="00EE6FC5" w:rsidRPr="00ED5916">
        <w:rPr>
          <w:rFonts w:cs="Times New Roman"/>
          <w:szCs w:val="24"/>
        </w:rPr>
        <w:t xml:space="preserve"> sole negotiations with the State Government, for a seven-year extension on contracts first signed in 2009. </w:t>
      </w:r>
    </w:p>
    <w:p w14:paraId="42EF776D" w14:textId="7123ED37" w:rsidR="006E08B8" w:rsidRDefault="00EE6FC5" w:rsidP="00237004">
      <w:pPr>
        <w:spacing w:before="120" w:after="120" w:line="360" w:lineRule="auto"/>
        <w:rPr>
          <w:rFonts w:cs="Times New Roman"/>
          <w:szCs w:val="24"/>
        </w:rPr>
      </w:pPr>
      <w:r w:rsidRPr="00ED5916">
        <w:rPr>
          <w:rFonts w:cs="Times New Roman"/>
          <w:szCs w:val="24"/>
        </w:rPr>
        <w:t xml:space="preserve">This </w:t>
      </w:r>
      <w:r w:rsidR="008D2FC3" w:rsidRPr="00ED5916">
        <w:rPr>
          <w:rFonts w:cs="Times New Roman"/>
          <w:szCs w:val="24"/>
        </w:rPr>
        <w:t>review</w:t>
      </w:r>
      <w:r w:rsidRPr="00ED5916">
        <w:rPr>
          <w:rFonts w:cs="Times New Roman"/>
          <w:szCs w:val="24"/>
        </w:rPr>
        <w:t xml:space="preserve"> is designed to help</w:t>
      </w:r>
      <w:r w:rsidR="00D0387F" w:rsidRPr="00ED5916">
        <w:rPr>
          <w:rFonts w:cs="Times New Roman"/>
          <w:szCs w:val="24"/>
        </w:rPr>
        <w:t xml:space="preserve"> urban researchers and policymakers </w:t>
      </w:r>
      <w:r w:rsidRPr="00ED5916">
        <w:rPr>
          <w:rFonts w:cs="Times New Roman"/>
          <w:szCs w:val="24"/>
        </w:rPr>
        <w:t xml:space="preserve">understand the issues at stake in these negotiations and </w:t>
      </w:r>
      <w:r w:rsidR="00E0017E" w:rsidRPr="00ED5916">
        <w:rPr>
          <w:rFonts w:cs="Times New Roman"/>
          <w:szCs w:val="24"/>
        </w:rPr>
        <w:t xml:space="preserve">to consider more general questions of the application of </w:t>
      </w:r>
      <w:r w:rsidR="00D74D68">
        <w:rPr>
          <w:rFonts w:cs="Times New Roman"/>
          <w:szCs w:val="24"/>
        </w:rPr>
        <w:t>outsourced</w:t>
      </w:r>
      <w:r w:rsidR="00E0017E" w:rsidRPr="00ED5916">
        <w:rPr>
          <w:rFonts w:cs="Times New Roman"/>
          <w:szCs w:val="24"/>
        </w:rPr>
        <w:t xml:space="preserve"> models to urban public transport policy.</w:t>
      </w:r>
      <w:r w:rsidR="008D2FC3" w:rsidRPr="00ED5916">
        <w:rPr>
          <w:rFonts w:cs="Times New Roman"/>
          <w:szCs w:val="24"/>
        </w:rPr>
        <w:t xml:space="preserve"> It</w:t>
      </w:r>
      <w:r w:rsidR="0036674E" w:rsidRPr="00ED5916">
        <w:rPr>
          <w:rFonts w:cs="Times New Roman"/>
          <w:szCs w:val="24"/>
        </w:rPr>
        <w:t xml:space="preserve"> </w:t>
      </w:r>
      <w:r w:rsidR="00BE5DF5" w:rsidRPr="00ED5916">
        <w:rPr>
          <w:rFonts w:cs="Times New Roman"/>
          <w:szCs w:val="24"/>
        </w:rPr>
        <w:t>begins by setting the Melbourne franchise model in an international context and</w:t>
      </w:r>
      <w:r w:rsidR="0036674E" w:rsidRPr="00ED5916">
        <w:rPr>
          <w:rFonts w:cs="Times New Roman"/>
          <w:szCs w:val="24"/>
        </w:rPr>
        <w:t xml:space="preserve"> describ</w:t>
      </w:r>
      <w:r w:rsidR="00BE5DF5" w:rsidRPr="00ED5916">
        <w:rPr>
          <w:rFonts w:cs="Times New Roman"/>
          <w:szCs w:val="24"/>
        </w:rPr>
        <w:t>ing the key features of</w:t>
      </w:r>
      <w:r w:rsidR="006D08E8" w:rsidRPr="00ED5916">
        <w:rPr>
          <w:rFonts w:cs="Times New Roman"/>
          <w:szCs w:val="24"/>
        </w:rPr>
        <w:t xml:space="preserve"> the</w:t>
      </w:r>
      <w:r w:rsidR="00BE5DF5" w:rsidRPr="00ED5916">
        <w:rPr>
          <w:rFonts w:cs="Times New Roman"/>
          <w:szCs w:val="24"/>
        </w:rPr>
        <w:t xml:space="preserve"> current contracts</w:t>
      </w:r>
      <w:r w:rsidR="00B80214" w:rsidRPr="00ED5916">
        <w:rPr>
          <w:rFonts w:cs="Times New Roman"/>
          <w:szCs w:val="24"/>
        </w:rPr>
        <w:t xml:space="preserve">. </w:t>
      </w:r>
      <w:r w:rsidR="00BE5DF5" w:rsidRPr="00ED5916">
        <w:rPr>
          <w:rFonts w:cs="Times New Roman"/>
          <w:szCs w:val="24"/>
        </w:rPr>
        <w:t xml:space="preserve">We then highlight </w:t>
      </w:r>
      <w:r w:rsidR="006D08E8" w:rsidRPr="00ED5916">
        <w:rPr>
          <w:rFonts w:cs="Times New Roman"/>
          <w:szCs w:val="24"/>
        </w:rPr>
        <w:t xml:space="preserve">major </w:t>
      </w:r>
      <w:r w:rsidR="00BE5DF5" w:rsidRPr="00ED5916">
        <w:rPr>
          <w:rFonts w:cs="Times New Roman"/>
          <w:szCs w:val="24"/>
        </w:rPr>
        <w:t xml:space="preserve">issues of concern that emerge from </w:t>
      </w:r>
      <w:r w:rsidR="006D08E8" w:rsidRPr="00ED5916">
        <w:rPr>
          <w:rFonts w:cs="Times New Roman"/>
          <w:szCs w:val="24"/>
        </w:rPr>
        <w:t xml:space="preserve">the </w:t>
      </w:r>
      <w:r w:rsidR="00BE5DF5" w:rsidRPr="00ED5916">
        <w:rPr>
          <w:rFonts w:cs="Times New Roman"/>
          <w:szCs w:val="24"/>
        </w:rPr>
        <w:t>consideration of the limited data available in the public realm</w:t>
      </w:r>
      <w:r w:rsidR="00AA7B01" w:rsidRPr="00ED5916">
        <w:rPr>
          <w:rFonts w:cs="Times New Roman"/>
          <w:szCs w:val="24"/>
        </w:rPr>
        <w:t xml:space="preserve">, </w:t>
      </w:r>
      <w:r w:rsidR="006E08B8">
        <w:rPr>
          <w:rFonts w:cs="Times New Roman"/>
          <w:szCs w:val="24"/>
        </w:rPr>
        <w:t xml:space="preserve">especially information and contractual transparency, </w:t>
      </w:r>
      <w:r w:rsidR="00AA7B01" w:rsidRPr="00ED5916">
        <w:rPr>
          <w:rFonts w:cs="Times New Roman"/>
          <w:szCs w:val="24"/>
        </w:rPr>
        <w:t>and suggest possible solutions</w:t>
      </w:r>
      <w:r w:rsidR="00BE5DF5" w:rsidRPr="00ED5916">
        <w:rPr>
          <w:rFonts w:cs="Times New Roman"/>
          <w:szCs w:val="24"/>
        </w:rPr>
        <w:t xml:space="preserve">. </w:t>
      </w:r>
      <w:r w:rsidR="009E6DEE">
        <w:rPr>
          <w:rFonts w:cs="Times New Roman"/>
          <w:szCs w:val="24"/>
        </w:rPr>
        <w:t xml:space="preserve">Our focus </w:t>
      </w:r>
      <w:r w:rsidR="006D08E8" w:rsidRPr="00ED5916">
        <w:rPr>
          <w:rFonts w:cs="Times New Roman"/>
          <w:szCs w:val="24"/>
        </w:rPr>
        <w:t xml:space="preserve">is on how the </w:t>
      </w:r>
      <w:r w:rsidR="009E6DEE">
        <w:rPr>
          <w:rFonts w:cs="Times New Roman"/>
          <w:szCs w:val="24"/>
        </w:rPr>
        <w:t xml:space="preserve">current </w:t>
      </w:r>
      <w:r w:rsidR="006D08E8" w:rsidRPr="00ED5916">
        <w:rPr>
          <w:rFonts w:cs="Times New Roman"/>
          <w:szCs w:val="24"/>
        </w:rPr>
        <w:t>c</w:t>
      </w:r>
      <w:r w:rsidR="001232D1" w:rsidRPr="00ED5916">
        <w:rPr>
          <w:rFonts w:cs="Times New Roman"/>
          <w:szCs w:val="24"/>
        </w:rPr>
        <w:t>ontracting model</w:t>
      </w:r>
      <w:r w:rsidR="006D08E8" w:rsidRPr="00ED5916">
        <w:rPr>
          <w:rFonts w:cs="Times New Roman"/>
          <w:szCs w:val="24"/>
        </w:rPr>
        <w:t xml:space="preserve"> provides incentives for the parties to act in particular ways, and where change</w:t>
      </w:r>
      <w:r w:rsidR="006E08B8">
        <w:rPr>
          <w:rFonts w:cs="Times New Roman"/>
          <w:szCs w:val="24"/>
        </w:rPr>
        <w:t>s</w:t>
      </w:r>
      <w:r w:rsidR="006D08E8" w:rsidRPr="00ED5916">
        <w:rPr>
          <w:rFonts w:cs="Times New Roman"/>
          <w:szCs w:val="24"/>
        </w:rPr>
        <w:t xml:space="preserve"> </w:t>
      </w:r>
      <w:r w:rsidR="006E08B8">
        <w:rPr>
          <w:rFonts w:cs="Times New Roman"/>
          <w:szCs w:val="24"/>
        </w:rPr>
        <w:t xml:space="preserve">and greater transparency of information </w:t>
      </w:r>
      <w:r w:rsidR="006D08E8" w:rsidRPr="00ED5916">
        <w:rPr>
          <w:rFonts w:cs="Times New Roman"/>
          <w:szCs w:val="24"/>
        </w:rPr>
        <w:t>may be needed t</w:t>
      </w:r>
      <w:r w:rsidR="008C02EF">
        <w:rPr>
          <w:rFonts w:cs="Times New Roman"/>
          <w:szCs w:val="24"/>
        </w:rPr>
        <w:t>o better serve the public good.</w:t>
      </w:r>
      <w:r w:rsidR="0002247B">
        <w:rPr>
          <w:rFonts w:cs="Times New Roman"/>
          <w:szCs w:val="24"/>
        </w:rPr>
        <w:t xml:space="preserve">  Theoretically</w:t>
      </w:r>
      <w:r w:rsidR="00BC66DC">
        <w:rPr>
          <w:rFonts w:cs="Times New Roman"/>
          <w:szCs w:val="24"/>
        </w:rPr>
        <w:t>,</w:t>
      </w:r>
      <w:r w:rsidR="0002247B">
        <w:rPr>
          <w:rFonts w:cs="Times New Roman"/>
          <w:szCs w:val="24"/>
        </w:rPr>
        <w:t xml:space="preserve"> the paper is grounded in the field of railway deregulation and </w:t>
      </w:r>
      <w:r w:rsidR="00CA2B6C">
        <w:rPr>
          <w:rFonts w:cs="Times New Roman"/>
          <w:szCs w:val="24"/>
        </w:rPr>
        <w:t xml:space="preserve">the management </w:t>
      </w:r>
      <w:r w:rsidR="00D74D68">
        <w:rPr>
          <w:rFonts w:cs="Times New Roman"/>
          <w:szCs w:val="24"/>
        </w:rPr>
        <w:t xml:space="preserve">of the </w:t>
      </w:r>
      <w:r w:rsidR="0002247B">
        <w:rPr>
          <w:rFonts w:cs="Times New Roman"/>
          <w:szCs w:val="24"/>
        </w:rPr>
        <w:t>different procurement models available to governments.</w:t>
      </w:r>
      <w:r w:rsidR="006422AC">
        <w:rPr>
          <w:rFonts w:cs="Times New Roman"/>
          <w:szCs w:val="24"/>
        </w:rPr>
        <w:t xml:space="preserve">  </w:t>
      </w:r>
      <w:r w:rsidR="00CA2B6C">
        <w:rPr>
          <w:rFonts w:cs="Times New Roman"/>
          <w:szCs w:val="24"/>
        </w:rPr>
        <w:t>We do not assume that</w:t>
      </w:r>
      <w:r w:rsidR="006422AC">
        <w:rPr>
          <w:rFonts w:cs="Times New Roman"/>
          <w:szCs w:val="24"/>
        </w:rPr>
        <w:t xml:space="preserve"> there is any perfect regulatory model, but drawing upon the work of scholars such as </w:t>
      </w:r>
      <w:r w:rsidR="006422AC" w:rsidRPr="006422AC">
        <w:rPr>
          <w:rFonts w:cs="Times New Roman"/>
        </w:rPr>
        <w:t xml:space="preserve">Link and </w:t>
      </w:r>
      <w:proofErr w:type="spellStart"/>
      <w:r w:rsidR="006422AC" w:rsidRPr="006422AC">
        <w:rPr>
          <w:rFonts w:cs="Times New Roman"/>
        </w:rPr>
        <w:lastRenderedPageBreak/>
        <w:t>Merkert</w:t>
      </w:r>
      <w:proofErr w:type="spellEnd"/>
      <w:r w:rsidR="006422AC" w:rsidRPr="006422AC">
        <w:rPr>
          <w:rFonts w:cs="Times New Roman"/>
        </w:rPr>
        <w:t xml:space="preserve">, </w:t>
      </w:r>
      <w:r w:rsidR="006422AC">
        <w:rPr>
          <w:rFonts w:cs="Times New Roman"/>
        </w:rPr>
        <w:t>(</w:t>
      </w:r>
      <w:r w:rsidR="006422AC" w:rsidRPr="006422AC">
        <w:rPr>
          <w:rFonts w:cs="Times New Roman"/>
        </w:rPr>
        <w:t>2011</w:t>
      </w:r>
      <w:r w:rsidR="006422AC">
        <w:rPr>
          <w:rFonts w:cs="Times New Roman"/>
          <w:szCs w:val="24"/>
        </w:rPr>
        <w:t xml:space="preserve">) and </w:t>
      </w:r>
      <w:r w:rsidR="006422AC" w:rsidRPr="006422AC">
        <w:rPr>
          <w:rFonts w:cs="Times New Roman"/>
        </w:rPr>
        <w:t>Nash</w:t>
      </w:r>
      <w:r w:rsidR="006422AC">
        <w:rPr>
          <w:rFonts w:cs="Times New Roman"/>
        </w:rPr>
        <w:t xml:space="preserve"> (</w:t>
      </w:r>
      <w:r w:rsidR="006422AC" w:rsidRPr="006422AC">
        <w:rPr>
          <w:rFonts w:cs="Times New Roman"/>
        </w:rPr>
        <w:t>2010)</w:t>
      </w:r>
      <w:r w:rsidR="001264A6">
        <w:rPr>
          <w:rFonts w:cs="Times New Roman"/>
        </w:rPr>
        <w:t xml:space="preserve"> </w:t>
      </w:r>
      <w:r w:rsidR="00CA2B6C">
        <w:rPr>
          <w:rFonts w:cs="Times New Roman"/>
        </w:rPr>
        <w:t xml:space="preserve">recognise </w:t>
      </w:r>
      <w:r w:rsidR="006422AC">
        <w:rPr>
          <w:rFonts w:cs="Times New Roman"/>
          <w:szCs w:val="24"/>
        </w:rPr>
        <w:t xml:space="preserve"> that each of the available models, ranging from full public ownership and operations, to their fully privatised counterpart</w:t>
      </w:r>
      <w:r w:rsidR="00117137">
        <w:rPr>
          <w:rFonts w:cs="Times New Roman"/>
          <w:szCs w:val="24"/>
        </w:rPr>
        <w:t>s</w:t>
      </w:r>
      <w:r w:rsidR="006422AC">
        <w:rPr>
          <w:rFonts w:cs="Times New Roman"/>
          <w:szCs w:val="24"/>
        </w:rPr>
        <w:t xml:space="preserve">, </w:t>
      </w:r>
      <w:r w:rsidR="00CA2B6C">
        <w:rPr>
          <w:rFonts w:cs="Times New Roman"/>
          <w:szCs w:val="24"/>
        </w:rPr>
        <w:t xml:space="preserve">has </w:t>
      </w:r>
      <w:r w:rsidR="006422AC">
        <w:rPr>
          <w:rFonts w:cs="Times New Roman"/>
          <w:szCs w:val="24"/>
        </w:rPr>
        <w:t xml:space="preserve">differing strengths and weaknesses.  </w:t>
      </w:r>
      <w:r w:rsidR="006E08B8">
        <w:rPr>
          <w:rFonts w:cs="Times New Roman"/>
          <w:szCs w:val="24"/>
        </w:rPr>
        <w:t xml:space="preserve">Key to understanding these models is being able to understand at a detailed level what </w:t>
      </w:r>
      <w:r w:rsidR="00CA2B6C">
        <w:rPr>
          <w:rFonts w:cs="Times New Roman"/>
          <w:szCs w:val="24"/>
        </w:rPr>
        <w:t>the outcomes are,</w:t>
      </w:r>
      <w:r w:rsidR="006E08B8">
        <w:rPr>
          <w:rFonts w:cs="Times New Roman"/>
          <w:szCs w:val="24"/>
        </w:rPr>
        <w:t xml:space="preserve"> and open public information is crucial to this.</w:t>
      </w:r>
    </w:p>
    <w:p w14:paraId="4ACA03FF" w14:textId="7E43B32E" w:rsidR="00977F81" w:rsidRPr="00977F81" w:rsidRDefault="00CA2B6C" w:rsidP="00237004">
      <w:pPr>
        <w:spacing w:before="120" w:after="120" w:line="360" w:lineRule="auto"/>
      </w:pPr>
      <w:r>
        <w:rPr>
          <w:rFonts w:cs="Times New Roman"/>
          <w:szCs w:val="24"/>
        </w:rPr>
        <w:t xml:space="preserve">We critique the </w:t>
      </w:r>
      <w:r w:rsidR="006422AC">
        <w:rPr>
          <w:rFonts w:cs="Times New Roman"/>
          <w:szCs w:val="24"/>
        </w:rPr>
        <w:t xml:space="preserve">Melbourne’s </w:t>
      </w:r>
      <w:r w:rsidR="00117137">
        <w:rPr>
          <w:rFonts w:cs="Times New Roman"/>
          <w:szCs w:val="24"/>
        </w:rPr>
        <w:t xml:space="preserve">model in the light of </w:t>
      </w:r>
      <w:r>
        <w:rPr>
          <w:rFonts w:cs="Times New Roman"/>
          <w:szCs w:val="24"/>
        </w:rPr>
        <w:t>benefits to the public good argued by it</w:t>
      </w:r>
      <w:r w:rsidR="00A10AC3">
        <w:rPr>
          <w:rFonts w:cs="Times New Roman"/>
          <w:szCs w:val="24"/>
        </w:rPr>
        <w:t>s</w:t>
      </w:r>
      <w:r>
        <w:rPr>
          <w:rFonts w:cs="Times New Roman"/>
          <w:szCs w:val="24"/>
        </w:rPr>
        <w:t xml:space="preserve"> proponents, and we argue that</w:t>
      </w:r>
      <w:r w:rsidR="00D74D68">
        <w:rPr>
          <w:rFonts w:cs="Times New Roman"/>
          <w:szCs w:val="24"/>
        </w:rPr>
        <w:t xml:space="preserve"> </w:t>
      </w:r>
      <w:r w:rsidR="00117137">
        <w:rPr>
          <w:rFonts w:cs="Times New Roman"/>
          <w:szCs w:val="24"/>
        </w:rPr>
        <w:t xml:space="preserve">regulatory </w:t>
      </w:r>
      <w:r>
        <w:rPr>
          <w:rFonts w:cs="Times New Roman"/>
          <w:szCs w:val="24"/>
        </w:rPr>
        <w:t xml:space="preserve">changes are required </w:t>
      </w:r>
      <w:r w:rsidR="00117137">
        <w:rPr>
          <w:rFonts w:cs="Times New Roman"/>
          <w:szCs w:val="24"/>
        </w:rPr>
        <w:t>to</w:t>
      </w:r>
      <w:r w:rsidR="00A10AC3">
        <w:rPr>
          <w:rFonts w:cs="Times New Roman"/>
          <w:szCs w:val="24"/>
        </w:rPr>
        <w:t xml:space="preserve"> avoid risks of increasing private monopolies and reduction of </w:t>
      </w:r>
      <w:r w:rsidR="00E91D48">
        <w:t xml:space="preserve"> the state’s capacity to little more than contract management.</w:t>
      </w:r>
    </w:p>
    <w:p w14:paraId="19571408" w14:textId="3C879B66" w:rsidR="00ED05CC" w:rsidRDefault="00D627D9" w:rsidP="00237004">
      <w:pPr>
        <w:spacing w:before="120" w:after="120" w:line="360" w:lineRule="auto"/>
        <w:rPr>
          <w:rFonts w:cs="Times New Roman"/>
          <w:szCs w:val="24"/>
        </w:rPr>
      </w:pPr>
      <w:r>
        <w:rPr>
          <w:rFonts w:cs="Times New Roman"/>
          <w:szCs w:val="24"/>
        </w:rPr>
        <w:t xml:space="preserve">To evaluate the Melbourne model, we have analysed publicly available efficiency benchmarks and other data and service contracts from the Victorian Government, referencing our broad findings back to best practice and the </w:t>
      </w:r>
      <w:r w:rsidR="001264A6">
        <w:rPr>
          <w:rFonts w:cs="Times New Roman"/>
          <w:szCs w:val="24"/>
        </w:rPr>
        <w:t>literature on rail deregulation,</w:t>
      </w:r>
      <w:r>
        <w:rPr>
          <w:rFonts w:cs="Times New Roman"/>
          <w:szCs w:val="24"/>
        </w:rPr>
        <w:t xml:space="preserve"> drawn explicitly </w:t>
      </w:r>
      <w:r w:rsidR="001264A6">
        <w:rPr>
          <w:rFonts w:cs="Times New Roman"/>
          <w:szCs w:val="24"/>
        </w:rPr>
        <w:t>from</w:t>
      </w:r>
      <w:r>
        <w:rPr>
          <w:rFonts w:cs="Times New Roman"/>
          <w:szCs w:val="24"/>
        </w:rPr>
        <w:t xml:space="preserve"> efficiency benchmarks in the public domain</w:t>
      </w:r>
      <w:r w:rsidR="001264A6">
        <w:rPr>
          <w:rFonts w:cs="Times New Roman"/>
          <w:szCs w:val="24"/>
        </w:rPr>
        <w:t xml:space="preserve">.  We have made </w:t>
      </w:r>
      <w:r>
        <w:rPr>
          <w:rFonts w:cs="Times New Roman"/>
          <w:szCs w:val="24"/>
        </w:rPr>
        <w:t>inferences in relation to the public benefits of various characteristics of the contracts including cost bundling, cross subsidisation, and the lack of public transparency surrounding the contracts.</w:t>
      </w:r>
      <w:r w:rsidR="001264A6">
        <w:rPr>
          <w:rFonts w:cs="Times New Roman"/>
          <w:szCs w:val="24"/>
        </w:rPr>
        <w:t xml:space="preserve">  </w:t>
      </w:r>
      <w:r w:rsidR="00A10AC3">
        <w:rPr>
          <w:rFonts w:cs="Times New Roman"/>
          <w:szCs w:val="24"/>
        </w:rPr>
        <w:t xml:space="preserve">Much </w:t>
      </w:r>
      <w:r w:rsidR="00ED05CC">
        <w:rPr>
          <w:rFonts w:cs="Times New Roman"/>
          <w:szCs w:val="24"/>
        </w:rPr>
        <w:t>operational data</w:t>
      </w:r>
      <w:r w:rsidR="00A10AC3">
        <w:rPr>
          <w:rFonts w:cs="Times New Roman"/>
          <w:szCs w:val="24"/>
        </w:rPr>
        <w:t xml:space="preserve"> is confidential</w:t>
      </w:r>
      <w:r w:rsidR="00ED05CC">
        <w:rPr>
          <w:rFonts w:cs="Times New Roman"/>
          <w:szCs w:val="24"/>
        </w:rPr>
        <w:t xml:space="preserve">, </w:t>
      </w:r>
      <w:r w:rsidR="00A10AC3">
        <w:rPr>
          <w:rFonts w:cs="Times New Roman"/>
          <w:szCs w:val="24"/>
        </w:rPr>
        <w:t>but</w:t>
      </w:r>
      <w:r w:rsidR="00ED05CC">
        <w:rPr>
          <w:rFonts w:cs="Times New Roman"/>
          <w:szCs w:val="24"/>
        </w:rPr>
        <w:t xml:space="preserve"> </w:t>
      </w:r>
      <w:r w:rsidR="00A10AC3">
        <w:rPr>
          <w:rFonts w:cs="Times New Roman"/>
          <w:szCs w:val="24"/>
        </w:rPr>
        <w:t xml:space="preserve">the franchisee, </w:t>
      </w:r>
      <w:r w:rsidR="00ED05CC">
        <w:rPr>
          <w:rFonts w:cs="Times New Roman"/>
          <w:szCs w:val="24"/>
        </w:rPr>
        <w:t>Metro Trains Melbourne</w:t>
      </w:r>
      <w:r>
        <w:rPr>
          <w:rFonts w:cs="Times New Roman"/>
          <w:szCs w:val="24"/>
        </w:rPr>
        <w:t xml:space="preserve"> (MTM)</w:t>
      </w:r>
      <w:r w:rsidR="00ED05CC">
        <w:rPr>
          <w:rFonts w:cs="Times New Roman"/>
          <w:szCs w:val="24"/>
        </w:rPr>
        <w:t xml:space="preserve">, </w:t>
      </w:r>
      <w:r w:rsidR="00A10AC3">
        <w:rPr>
          <w:rFonts w:cs="Times New Roman"/>
          <w:szCs w:val="24"/>
        </w:rPr>
        <w:t>has provided us with some unpublished data</w:t>
      </w:r>
      <w:r w:rsidR="00ED05CC">
        <w:rPr>
          <w:rFonts w:cs="Times New Roman"/>
          <w:szCs w:val="24"/>
        </w:rPr>
        <w:t>; this is cited in the text with their permission.</w:t>
      </w:r>
      <w:r w:rsidR="008C02EF">
        <w:rPr>
          <w:rFonts w:cs="Times New Roman"/>
          <w:szCs w:val="24"/>
        </w:rPr>
        <w:t xml:space="preserve">  </w:t>
      </w:r>
    </w:p>
    <w:p w14:paraId="26D17AAE" w14:textId="695F88BF" w:rsidR="0036674E" w:rsidRPr="00ED5916" w:rsidRDefault="00CE432F" w:rsidP="00237004">
      <w:pPr>
        <w:spacing w:before="120" w:after="120" w:line="360" w:lineRule="auto"/>
        <w:rPr>
          <w:rFonts w:cs="Times New Roman"/>
          <w:szCs w:val="24"/>
        </w:rPr>
      </w:pPr>
      <w:r>
        <w:rPr>
          <w:rFonts w:cs="Times New Roman"/>
          <w:szCs w:val="24"/>
        </w:rPr>
        <w:t>T</w:t>
      </w:r>
      <w:r w:rsidR="00BE5DF5" w:rsidRPr="00ED5916">
        <w:rPr>
          <w:rFonts w:cs="Times New Roman"/>
          <w:szCs w:val="24"/>
        </w:rPr>
        <w:t xml:space="preserve">he Melbourne rail franchise </w:t>
      </w:r>
      <w:r>
        <w:rPr>
          <w:rFonts w:cs="Times New Roman"/>
          <w:szCs w:val="24"/>
        </w:rPr>
        <w:t xml:space="preserve">has gone through </w:t>
      </w:r>
      <w:r w:rsidR="00BE5DF5" w:rsidRPr="00ED5916">
        <w:rPr>
          <w:rFonts w:cs="Times New Roman"/>
          <w:szCs w:val="24"/>
        </w:rPr>
        <w:t xml:space="preserve">three clear iterations since </w:t>
      </w:r>
      <w:proofErr w:type="gramStart"/>
      <w:r w:rsidR="00BE5DF5" w:rsidRPr="00ED5916">
        <w:rPr>
          <w:rFonts w:cs="Times New Roman"/>
          <w:szCs w:val="24"/>
        </w:rPr>
        <w:t>1999,</w:t>
      </w:r>
      <w:proofErr w:type="gramEnd"/>
      <w:r w:rsidR="00BE5DF5" w:rsidRPr="00ED5916">
        <w:rPr>
          <w:rFonts w:cs="Times New Roman"/>
          <w:szCs w:val="24"/>
        </w:rPr>
        <w:t xml:space="preserve"> we have not given a detailed </w:t>
      </w:r>
      <w:r w:rsidR="0036674E" w:rsidRPr="00ED5916">
        <w:rPr>
          <w:rFonts w:cs="Times New Roman"/>
          <w:szCs w:val="24"/>
        </w:rPr>
        <w:t xml:space="preserve">chronology of </w:t>
      </w:r>
      <w:r w:rsidR="00BE5DF5" w:rsidRPr="00ED5916">
        <w:rPr>
          <w:rFonts w:cs="Times New Roman"/>
          <w:szCs w:val="24"/>
        </w:rPr>
        <w:t>this process</w:t>
      </w:r>
      <w:r w:rsidR="00ED05CC">
        <w:rPr>
          <w:rFonts w:cs="Times New Roman"/>
          <w:szCs w:val="24"/>
        </w:rPr>
        <w:t xml:space="preserve"> </w:t>
      </w:r>
      <w:r w:rsidR="00BE5DF5" w:rsidRPr="00ED5916">
        <w:rPr>
          <w:rFonts w:cs="Times New Roman"/>
          <w:szCs w:val="24"/>
        </w:rPr>
        <w:t>(</w:t>
      </w:r>
      <w:r w:rsidR="00ED05CC">
        <w:rPr>
          <w:rFonts w:cs="Times New Roman"/>
          <w:szCs w:val="24"/>
        </w:rPr>
        <w:t>t</w:t>
      </w:r>
      <w:r w:rsidR="0036674E" w:rsidRPr="00ED5916">
        <w:rPr>
          <w:rFonts w:cs="Times New Roman"/>
          <w:szCs w:val="24"/>
        </w:rPr>
        <w:t>h</w:t>
      </w:r>
      <w:r w:rsidR="00BE5DF5" w:rsidRPr="00ED5916">
        <w:rPr>
          <w:rFonts w:cs="Times New Roman"/>
          <w:szCs w:val="24"/>
        </w:rPr>
        <w:t xml:space="preserve">is can be found in </w:t>
      </w:r>
      <w:r w:rsidR="00ED05CC">
        <w:rPr>
          <w:rFonts w:cs="Times New Roman"/>
          <w:szCs w:val="24"/>
        </w:rPr>
        <w:t>Stone [2010] and</w:t>
      </w:r>
      <w:r w:rsidR="0036674E" w:rsidRPr="00ED5916">
        <w:rPr>
          <w:rFonts w:cs="Times New Roman"/>
          <w:szCs w:val="24"/>
        </w:rPr>
        <w:t xml:space="preserve"> </w:t>
      </w:r>
      <w:r w:rsidR="00ED05CC">
        <w:rPr>
          <w:rFonts w:cs="Times New Roman"/>
          <w:szCs w:val="24"/>
        </w:rPr>
        <w:t>Stone et al. [</w:t>
      </w:r>
      <w:r w:rsidR="0036674E" w:rsidRPr="00ED5916">
        <w:rPr>
          <w:rFonts w:cs="Times New Roman"/>
          <w:szCs w:val="24"/>
        </w:rPr>
        <w:t>2015</w:t>
      </w:r>
      <w:r w:rsidR="00ED05CC">
        <w:rPr>
          <w:rFonts w:cs="Times New Roman"/>
          <w:szCs w:val="24"/>
        </w:rPr>
        <w:t>]</w:t>
      </w:r>
      <w:r w:rsidR="00BE5DF5" w:rsidRPr="00ED5916">
        <w:rPr>
          <w:rFonts w:cs="Times New Roman"/>
          <w:szCs w:val="24"/>
        </w:rPr>
        <w:t>)</w:t>
      </w:r>
      <w:r w:rsidR="0036674E" w:rsidRPr="00ED5916">
        <w:rPr>
          <w:rFonts w:cs="Times New Roman"/>
          <w:szCs w:val="24"/>
        </w:rPr>
        <w:t>.</w:t>
      </w:r>
    </w:p>
    <w:p w14:paraId="5220DC29" w14:textId="190B679E" w:rsidR="007E0688" w:rsidRPr="00ED5916" w:rsidRDefault="007E0688" w:rsidP="00237004">
      <w:pPr>
        <w:spacing w:before="120" w:after="120" w:line="360" w:lineRule="auto"/>
        <w:rPr>
          <w:rFonts w:cs="Times New Roman"/>
          <w:b/>
          <w:szCs w:val="24"/>
        </w:rPr>
      </w:pPr>
    </w:p>
    <w:p w14:paraId="7F5AF7D6" w14:textId="6592D2D7" w:rsidR="00970E71" w:rsidRPr="00ED5916" w:rsidRDefault="002A2627" w:rsidP="00237004">
      <w:pPr>
        <w:pStyle w:val="Heading1"/>
        <w:spacing w:before="120" w:after="120" w:line="360" w:lineRule="auto"/>
        <w:rPr>
          <w:rFonts w:ascii="Times New Roman" w:hAnsi="Times New Roman" w:cs="Times New Roman"/>
          <w:color w:val="auto"/>
          <w:sz w:val="24"/>
          <w:szCs w:val="24"/>
        </w:rPr>
      </w:pPr>
      <w:r w:rsidRPr="00ED5916">
        <w:rPr>
          <w:rFonts w:ascii="Times New Roman" w:hAnsi="Times New Roman" w:cs="Times New Roman"/>
          <w:color w:val="auto"/>
          <w:sz w:val="24"/>
          <w:szCs w:val="24"/>
        </w:rPr>
        <w:t>2</w:t>
      </w:r>
      <w:r w:rsidRPr="00ED5916">
        <w:rPr>
          <w:rFonts w:ascii="Times New Roman" w:hAnsi="Times New Roman" w:cs="Times New Roman"/>
          <w:color w:val="auto"/>
          <w:sz w:val="24"/>
          <w:szCs w:val="24"/>
        </w:rPr>
        <w:tab/>
      </w:r>
      <w:r w:rsidR="00AA7B01" w:rsidRPr="00ED5916">
        <w:rPr>
          <w:rFonts w:ascii="Times New Roman" w:hAnsi="Times New Roman" w:cs="Times New Roman"/>
          <w:color w:val="auto"/>
          <w:sz w:val="24"/>
          <w:szCs w:val="24"/>
        </w:rPr>
        <w:t>M</w:t>
      </w:r>
      <w:r w:rsidR="00970E71" w:rsidRPr="00ED5916">
        <w:rPr>
          <w:rFonts w:ascii="Times New Roman" w:hAnsi="Times New Roman" w:cs="Times New Roman"/>
          <w:color w:val="auto"/>
          <w:sz w:val="24"/>
          <w:szCs w:val="24"/>
        </w:rPr>
        <w:t>elbourne’s franchising model</w:t>
      </w:r>
      <w:r w:rsidR="00540D6A" w:rsidRPr="00ED5916">
        <w:rPr>
          <w:rFonts w:ascii="Times New Roman" w:hAnsi="Times New Roman" w:cs="Times New Roman"/>
          <w:color w:val="auto"/>
          <w:sz w:val="24"/>
          <w:szCs w:val="24"/>
        </w:rPr>
        <w:t xml:space="preserve"> </w:t>
      </w:r>
      <w:r w:rsidR="00926D36" w:rsidRPr="00ED5916">
        <w:rPr>
          <w:rFonts w:ascii="Times New Roman" w:hAnsi="Times New Roman" w:cs="Times New Roman"/>
          <w:color w:val="auto"/>
          <w:sz w:val="24"/>
          <w:szCs w:val="24"/>
        </w:rPr>
        <w:t>in an international context</w:t>
      </w:r>
    </w:p>
    <w:p w14:paraId="136A39DC" w14:textId="22D719D8" w:rsidR="00DF0899" w:rsidRPr="00ED5916" w:rsidRDefault="007E0688" w:rsidP="00237004">
      <w:pPr>
        <w:spacing w:before="120" w:after="120" w:line="360" w:lineRule="auto"/>
        <w:rPr>
          <w:rFonts w:cs="Times New Roman"/>
          <w:szCs w:val="24"/>
        </w:rPr>
      </w:pPr>
      <w:r w:rsidRPr="00ED5916">
        <w:rPr>
          <w:rFonts w:cs="Times New Roman"/>
          <w:szCs w:val="24"/>
        </w:rPr>
        <w:t>S</w:t>
      </w:r>
      <w:r w:rsidR="005B4F49" w:rsidRPr="00ED5916">
        <w:rPr>
          <w:rFonts w:cs="Times New Roman"/>
          <w:szCs w:val="24"/>
        </w:rPr>
        <w:t xml:space="preserve">ome proponents of </w:t>
      </w:r>
      <w:r w:rsidR="007A284A">
        <w:rPr>
          <w:rFonts w:cs="Times New Roman"/>
          <w:szCs w:val="24"/>
        </w:rPr>
        <w:t>deregulation</w:t>
      </w:r>
      <w:r w:rsidR="005B4F49" w:rsidRPr="00ED5916">
        <w:rPr>
          <w:rFonts w:cs="Times New Roman"/>
          <w:szCs w:val="24"/>
        </w:rPr>
        <w:t xml:space="preserve"> </w:t>
      </w:r>
      <w:r w:rsidR="0036674E" w:rsidRPr="00ED5916">
        <w:rPr>
          <w:rFonts w:cs="Times New Roman"/>
          <w:szCs w:val="24"/>
        </w:rPr>
        <w:t xml:space="preserve">still hold to the doctrine that </w:t>
      </w:r>
      <w:r w:rsidR="00AF149E">
        <w:rPr>
          <w:rFonts w:cs="Times New Roman"/>
          <w:szCs w:val="24"/>
        </w:rPr>
        <w:t xml:space="preserve">the </w:t>
      </w:r>
      <w:r w:rsidR="00D627D9" w:rsidRPr="00ED5916">
        <w:rPr>
          <w:rFonts w:cs="Times New Roman"/>
          <w:szCs w:val="24"/>
        </w:rPr>
        <w:t>private</w:t>
      </w:r>
      <w:r w:rsidR="00D627D9">
        <w:rPr>
          <w:rFonts w:cs="Times New Roman"/>
          <w:szCs w:val="24"/>
        </w:rPr>
        <w:t>-</w:t>
      </w:r>
      <w:r w:rsidR="0036674E" w:rsidRPr="00ED5916">
        <w:rPr>
          <w:rFonts w:cs="Times New Roman"/>
          <w:szCs w:val="24"/>
        </w:rPr>
        <w:t>sector delivery of public services is inherently more efficient than direct state control</w:t>
      </w:r>
      <w:r w:rsidR="00AF149E">
        <w:rPr>
          <w:rFonts w:cs="Times New Roman"/>
          <w:szCs w:val="24"/>
        </w:rPr>
        <w:t>,</w:t>
      </w:r>
      <w:r w:rsidR="003268F6" w:rsidRPr="00ED5916">
        <w:rPr>
          <w:rFonts w:cs="Times New Roman"/>
          <w:szCs w:val="24"/>
        </w:rPr>
        <w:t xml:space="preserve"> from both an ideological </w:t>
      </w:r>
      <w:r w:rsidR="00AF149E">
        <w:rPr>
          <w:rFonts w:cs="Times New Roman"/>
          <w:szCs w:val="24"/>
        </w:rPr>
        <w:t xml:space="preserve">(Amos, 2004) </w:t>
      </w:r>
      <w:r w:rsidR="003268F6" w:rsidRPr="00ED5916">
        <w:rPr>
          <w:rFonts w:cs="Times New Roman"/>
          <w:szCs w:val="24"/>
        </w:rPr>
        <w:t>and political perspective, using the experience of rail privatisation in the UK to make their case</w:t>
      </w:r>
      <w:r w:rsidR="00DF0899">
        <w:rPr>
          <w:rFonts w:cs="Times New Roman"/>
          <w:szCs w:val="24"/>
        </w:rPr>
        <w:t xml:space="preserve">  (European Commission, 2013).  </w:t>
      </w:r>
      <w:r w:rsidR="00DF0899" w:rsidRPr="00ED5916">
        <w:rPr>
          <w:rFonts w:cs="Times New Roman"/>
          <w:szCs w:val="24"/>
        </w:rPr>
        <w:t>Others</w:t>
      </w:r>
      <w:r w:rsidR="00DF0899">
        <w:rPr>
          <w:rFonts w:cs="Times New Roman"/>
          <w:szCs w:val="24"/>
        </w:rPr>
        <w:t xml:space="preserve"> </w:t>
      </w:r>
      <w:r w:rsidR="001E0A5F">
        <w:rPr>
          <w:rFonts w:cs="Times New Roman"/>
          <w:szCs w:val="24"/>
        </w:rPr>
        <w:t>believe</w:t>
      </w:r>
      <w:r w:rsidR="00DF0899" w:rsidRPr="00ED5916">
        <w:rPr>
          <w:rFonts w:cs="Times New Roman"/>
          <w:szCs w:val="24"/>
        </w:rPr>
        <w:t xml:space="preserve"> </w:t>
      </w:r>
      <w:r w:rsidR="001E0A5F">
        <w:rPr>
          <w:rFonts w:cs="Times New Roman"/>
          <w:szCs w:val="24"/>
        </w:rPr>
        <w:t>t</w:t>
      </w:r>
      <w:r w:rsidR="00DF0899" w:rsidRPr="00ED5916">
        <w:rPr>
          <w:rFonts w:cs="Times New Roman"/>
          <w:szCs w:val="24"/>
        </w:rPr>
        <w:t>his promise has not been fulfilled</w:t>
      </w:r>
      <w:r w:rsidR="001E0A5F">
        <w:rPr>
          <w:rFonts w:cs="Times New Roman"/>
          <w:szCs w:val="24"/>
        </w:rPr>
        <w:t xml:space="preserve"> and that</w:t>
      </w:r>
      <w:r w:rsidR="00DF0899">
        <w:rPr>
          <w:rFonts w:cs="Times New Roman"/>
          <w:szCs w:val="24"/>
        </w:rPr>
        <w:t xml:space="preserve"> ‘</w:t>
      </w:r>
      <w:r w:rsidR="00DF0899" w:rsidRPr="00ED5916">
        <w:rPr>
          <w:rFonts w:cs="Times New Roman"/>
          <w:szCs w:val="24"/>
        </w:rPr>
        <w:t>governments have created private monopolies without sufficient regulation to stop those mon</w:t>
      </w:r>
      <w:r w:rsidR="00DF0899">
        <w:rPr>
          <w:rFonts w:cs="Times New Roman"/>
          <w:szCs w:val="24"/>
        </w:rPr>
        <w:t>opolies from overcharging users’ (Hutchens, 2016).</w:t>
      </w:r>
    </w:p>
    <w:p w14:paraId="3EE8EE12" w14:textId="557212DE" w:rsidR="001D20BB" w:rsidRDefault="0036674E" w:rsidP="00237004">
      <w:pPr>
        <w:spacing w:before="120" w:after="120" w:line="360" w:lineRule="auto"/>
        <w:rPr>
          <w:rFonts w:cs="Times New Roman"/>
          <w:szCs w:val="24"/>
        </w:rPr>
      </w:pPr>
      <w:r w:rsidRPr="00ED5916">
        <w:rPr>
          <w:rFonts w:cs="Times New Roman"/>
          <w:szCs w:val="24"/>
        </w:rPr>
        <w:t xml:space="preserve">In the transport sector, the most radical moves to </w:t>
      </w:r>
      <w:r w:rsidR="006C7489" w:rsidRPr="00ED5916">
        <w:rPr>
          <w:rFonts w:cs="Times New Roman"/>
          <w:szCs w:val="24"/>
        </w:rPr>
        <w:t xml:space="preserve">deregulate </w:t>
      </w:r>
      <w:r w:rsidRPr="00ED5916">
        <w:rPr>
          <w:rFonts w:cs="Times New Roman"/>
          <w:szCs w:val="24"/>
        </w:rPr>
        <w:t>urban and regional rail and bus services took place in Britain and New Zealand in the 1980s and 1990s</w:t>
      </w:r>
      <w:r w:rsidR="001264A6">
        <w:rPr>
          <w:rFonts w:cs="Times New Roman"/>
          <w:szCs w:val="24"/>
        </w:rPr>
        <w:t xml:space="preserve"> (f</w:t>
      </w:r>
      <w:r w:rsidR="00E62AD0" w:rsidRPr="00ED5916">
        <w:rPr>
          <w:rFonts w:cs="Times New Roman"/>
          <w:szCs w:val="24"/>
        </w:rPr>
        <w:t xml:space="preserve">or an overview of global developments in rail privatisation and deregulation see </w:t>
      </w:r>
      <w:proofErr w:type="spellStart"/>
      <w:r w:rsidR="00E62AD0" w:rsidRPr="00ED5916">
        <w:rPr>
          <w:rFonts w:cs="Times New Roman"/>
          <w:szCs w:val="24"/>
        </w:rPr>
        <w:t>Alexandersson</w:t>
      </w:r>
      <w:proofErr w:type="spellEnd"/>
      <w:r w:rsidR="00E62AD0" w:rsidRPr="00ED5916">
        <w:rPr>
          <w:rFonts w:cs="Times New Roman"/>
          <w:szCs w:val="24"/>
        </w:rPr>
        <w:t xml:space="preserve"> and </w:t>
      </w:r>
      <w:proofErr w:type="spellStart"/>
      <w:r w:rsidR="00E62AD0" w:rsidRPr="00ED5916">
        <w:rPr>
          <w:rFonts w:cs="Times New Roman"/>
          <w:szCs w:val="24"/>
        </w:rPr>
        <w:t>Rigas</w:t>
      </w:r>
      <w:proofErr w:type="spellEnd"/>
      <w:r w:rsidR="00E62AD0" w:rsidRPr="00ED5916">
        <w:rPr>
          <w:rFonts w:cs="Times New Roman"/>
          <w:szCs w:val="24"/>
        </w:rPr>
        <w:t xml:space="preserve">, 2013; Beria et al., 2012; </w:t>
      </w:r>
      <w:proofErr w:type="spellStart"/>
      <w:r w:rsidR="00E62AD0" w:rsidRPr="00ED5916">
        <w:rPr>
          <w:rFonts w:cs="Times New Roman"/>
          <w:szCs w:val="24"/>
        </w:rPr>
        <w:t>Nikitinas</w:t>
      </w:r>
      <w:proofErr w:type="spellEnd"/>
      <w:r w:rsidR="00E62AD0" w:rsidRPr="00ED5916">
        <w:rPr>
          <w:rFonts w:cs="Times New Roman"/>
          <w:szCs w:val="24"/>
        </w:rPr>
        <w:t xml:space="preserve"> and </w:t>
      </w:r>
      <w:proofErr w:type="spellStart"/>
      <w:r w:rsidR="00E62AD0" w:rsidRPr="00ED5916">
        <w:rPr>
          <w:rFonts w:cs="Times New Roman"/>
          <w:szCs w:val="24"/>
        </w:rPr>
        <w:t>Dailydka</w:t>
      </w:r>
      <w:proofErr w:type="spellEnd"/>
      <w:r w:rsidR="006E39E8">
        <w:rPr>
          <w:rFonts w:cs="Times New Roman"/>
          <w:szCs w:val="24"/>
        </w:rPr>
        <w:t>,</w:t>
      </w:r>
      <w:r w:rsidR="00E62AD0" w:rsidRPr="00ED5916">
        <w:rPr>
          <w:rFonts w:cs="Times New Roman"/>
          <w:szCs w:val="24"/>
        </w:rPr>
        <w:t xml:space="preserve"> 2016; Nash</w:t>
      </w:r>
      <w:r w:rsidR="006E39E8">
        <w:rPr>
          <w:rFonts w:cs="Times New Roman"/>
          <w:szCs w:val="24"/>
        </w:rPr>
        <w:t>,</w:t>
      </w:r>
      <w:r w:rsidR="00E62AD0" w:rsidRPr="00ED5916">
        <w:rPr>
          <w:rFonts w:cs="Times New Roman"/>
          <w:szCs w:val="24"/>
        </w:rPr>
        <w:t xml:space="preserve"> 2010).  </w:t>
      </w:r>
      <w:r w:rsidRPr="00ED5916">
        <w:rPr>
          <w:rFonts w:cs="Times New Roman"/>
          <w:szCs w:val="24"/>
        </w:rPr>
        <w:t xml:space="preserve">Despite </w:t>
      </w:r>
      <w:r w:rsidR="00BB5B1E">
        <w:rPr>
          <w:rFonts w:cs="Times New Roman"/>
          <w:szCs w:val="24"/>
        </w:rPr>
        <w:t>allegations o</w:t>
      </w:r>
      <w:r w:rsidRPr="00ED5916">
        <w:rPr>
          <w:rFonts w:cs="Times New Roman"/>
          <w:szCs w:val="24"/>
        </w:rPr>
        <w:t>f gouging and profiteering</w:t>
      </w:r>
      <w:r w:rsidR="009440C5" w:rsidRPr="00ED5916">
        <w:rPr>
          <w:rFonts w:cs="Times New Roman"/>
          <w:szCs w:val="24"/>
        </w:rPr>
        <w:t xml:space="preserve"> by private operators</w:t>
      </w:r>
      <w:r w:rsidRPr="00ED5916">
        <w:rPr>
          <w:rFonts w:cs="Times New Roman"/>
          <w:szCs w:val="24"/>
        </w:rPr>
        <w:t xml:space="preserve"> (Bowman et al.</w:t>
      </w:r>
      <w:r w:rsidR="006E39E8">
        <w:rPr>
          <w:rFonts w:cs="Times New Roman"/>
          <w:szCs w:val="24"/>
        </w:rPr>
        <w:t>,</w:t>
      </w:r>
      <w:r w:rsidRPr="00ED5916">
        <w:rPr>
          <w:rFonts w:cs="Times New Roman"/>
          <w:szCs w:val="24"/>
        </w:rPr>
        <w:t xml:space="preserve"> 2013; Hatch, 2016), moves </w:t>
      </w:r>
      <w:r w:rsidRPr="00ED5916">
        <w:rPr>
          <w:rFonts w:cs="Times New Roman"/>
          <w:szCs w:val="24"/>
        </w:rPr>
        <w:lastRenderedPageBreak/>
        <w:t>towards re-nationalisation often fail</w:t>
      </w:r>
      <w:r w:rsidR="007E0688" w:rsidRPr="00ED5916">
        <w:rPr>
          <w:rFonts w:cs="Times New Roman"/>
          <w:szCs w:val="24"/>
        </w:rPr>
        <w:t>,</w:t>
      </w:r>
      <w:r w:rsidRPr="00ED5916">
        <w:rPr>
          <w:rFonts w:cs="Times New Roman"/>
          <w:szCs w:val="24"/>
        </w:rPr>
        <w:t xml:space="preserve"> </w:t>
      </w:r>
      <w:r w:rsidR="00B66151">
        <w:rPr>
          <w:rFonts w:cs="Times New Roman"/>
          <w:szCs w:val="24"/>
        </w:rPr>
        <w:t>through a lack of political will based on a belief</w:t>
      </w:r>
      <w:r w:rsidRPr="00ED5916">
        <w:rPr>
          <w:rFonts w:cs="Times New Roman"/>
          <w:szCs w:val="24"/>
        </w:rPr>
        <w:t xml:space="preserve"> </w:t>
      </w:r>
      <w:r w:rsidR="008C02EF">
        <w:rPr>
          <w:rFonts w:cs="Times New Roman"/>
          <w:szCs w:val="24"/>
        </w:rPr>
        <w:t xml:space="preserve">in the inherent inefficiency of public sector operations </w:t>
      </w:r>
      <w:r w:rsidR="008C02EF" w:rsidRPr="008C02EF">
        <w:rPr>
          <w:rFonts w:cs="Times New Roman"/>
        </w:rPr>
        <w:t>(</w:t>
      </w:r>
      <w:proofErr w:type="spellStart"/>
      <w:r w:rsidR="008C02EF" w:rsidRPr="008C02EF">
        <w:rPr>
          <w:rFonts w:cs="Times New Roman"/>
        </w:rPr>
        <w:t>Fourie</w:t>
      </w:r>
      <w:proofErr w:type="spellEnd"/>
      <w:r w:rsidR="008C02EF" w:rsidRPr="008C02EF">
        <w:rPr>
          <w:rFonts w:cs="Times New Roman"/>
        </w:rPr>
        <w:t xml:space="preserve"> and </w:t>
      </w:r>
      <w:proofErr w:type="spellStart"/>
      <w:r w:rsidR="008C02EF" w:rsidRPr="008C02EF">
        <w:rPr>
          <w:rFonts w:cs="Times New Roman"/>
        </w:rPr>
        <w:t>Poggenpoel</w:t>
      </w:r>
      <w:proofErr w:type="spellEnd"/>
      <w:r w:rsidR="008C02EF" w:rsidRPr="008C02EF">
        <w:rPr>
          <w:rFonts w:cs="Times New Roman"/>
        </w:rPr>
        <w:t>, 2017)</w:t>
      </w:r>
      <w:r w:rsidRPr="00ED5916">
        <w:rPr>
          <w:rFonts w:cs="Times New Roman"/>
          <w:szCs w:val="24"/>
        </w:rPr>
        <w:t xml:space="preserve">. </w:t>
      </w:r>
      <w:r w:rsidR="001D20BB">
        <w:rPr>
          <w:rFonts w:cs="Times New Roman"/>
          <w:szCs w:val="24"/>
        </w:rPr>
        <w:t xml:space="preserve">  </w:t>
      </w:r>
      <w:r w:rsidRPr="00ED5916">
        <w:rPr>
          <w:rFonts w:cs="Times New Roman"/>
          <w:szCs w:val="24"/>
        </w:rPr>
        <w:t xml:space="preserve">This belief is challenged by </w:t>
      </w:r>
      <w:proofErr w:type="spellStart"/>
      <w:r w:rsidR="00AF52BD">
        <w:rPr>
          <w:rFonts w:cs="Times New Roman"/>
          <w:szCs w:val="24"/>
        </w:rPr>
        <w:t>Mees</w:t>
      </w:r>
      <w:proofErr w:type="spellEnd"/>
      <w:r w:rsidR="00AF52BD">
        <w:rPr>
          <w:rFonts w:cs="Times New Roman"/>
          <w:szCs w:val="24"/>
        </w:rPr>
        <w:t xml:space="preserve"> (2010)</w:t>
      </w:r>
      <w:r w:rsidR="001D20BB">
        <w:rPr>
          <w:rFonts w:cs="Times New Roman"/>
          <w:szCs w:val="24"/>
        </w:rPr>
        <w:t xml:space="preserve"> who cites </w:t>
      </w:r>
      <w:r w:rsidR="00B66151">
        <w:rPr>
          <w:rFonts w:cs="Times New Roman"/>
          <w:szCs w:val="24"/>
        </w:rPr>
        <w:t xml:space="preserve"> examples of</w:t>
      </w:r>
      <w:r w:rsidR="001E0A5F">
        <w:rPr>
          <w:rFonts w:cs="Times New Roman"/>
          <w:szCs w:val="24"/>
        </w:rPr>
        <w:t xml:space="preserve"> </w:t>
      </w:r>
      <w:r w:rsidRPr="00ED5916">
        <w:rPr>
          <w:rFonts w:cs="Times New Roman"/>
          <w:szCs w:val="24"/>
        </w:rPr>
        <w:t xml:space="preserve">cities in </w:t>
      </w:r>
      <w:r w:rsidR="005B4F49" w:rsidRPr="00ED5916">
        <w:rPr>
          <w:rFonts w:cs="Times New Roman"/>
          <w:szCs w:val="24"/>
        </w:rPr>
        <w:t xml:space="preserve">continental </w:t>
      </w:r>
      <w:r w:rsidRPr="00ED5916">
        <w:rPr>
          <w:rFonts w:cs="Times New Roman"/>
          <w:szCs w:val="24"/>
        </w:rPr>
        <w:t xml:space="preserve">Europe and Canada, </w:t>
      </w:r>
      <w:r w:rsidR="00B66151">
        <w:rPr>
          <w:rFonts w:cs="Times New Roman"/>
          <w:szCs w:val="24"/>
        </w:rPr>
        <w:t xml:space="preserve">where </w:t>
      </w:r>
      <w:r w:rsidRPr="00ED5916">
        <w:rPr>
          <w:rFonts w:cs="Times New Roman"/>
          <w:szCs w:val="24"/>
        </w:rPr>
        <w:t>strong public</w:t>
      </w:r>
      <w:r w:rsidR="00B66151">
        <w:rPr>
          <w:rFonts w:cs="Times New Roman"/>
          <w:szCs w:val="24"/>
        </w:rPr>
        <w:t>-sector</w:t>
      </w:r>
      <w:r w:rsidRPr="00ED5916">
        <w:rPr>
          <w:rFonts w:cs="Times New Roman"/>
          <w:szCs w:val="24"/>
        </w:rPr>
        <w:t xml:space="preserve"> organisations manage the operation, maintenance and capital development of complex rail systems, while the private sector, if present at all, is restricted to delivery of some bus services within publicly planned intermodal network</w:t>
      </w:r>
      <w:r w:rsidR="00926D36" w:rsidRPr="00ED5916">
        <w:rPr>
          <w:rFonts w:cs="Times New Roman"/>
          <w:szCs w:val="24"/>
        </w:rPr>
        <w:t>s</w:t>
      </w:r>
      <w:r w:rsidR="00F969B1">
        <w:rPr>
          <w:rFonts w:cs="Times New Roman"/>
          <w:szCs w:val="24"/>
        </w:rPr>
        <w:t xml:space="preserve">.  </w:t>
      </w:r>
    </w:p>
    <w:p w14:paraId="46437490" w14:textId="1C562EEB" w:rsidR="00ED4618" w:rsidRPr="00ED5916" w:rsidRDefault="009549A8" w:rsidP="00237004">
      <w:pPr>
        <w:spacing w:before="120" w:after="120" w:line="360" w:lineRule="auto"/>
        <w:rPr>
          <w:rFonts w:cs="Times New Roman"/>
          <w:szCs w:val="24"/>
        </w:rPr>
      </w:pPr>
      <w:r w:rsidRPr="00ED5916">
        <w:rPr>
          <w:rFonts w:cs="Times New Roman"/>
          <w:szCs w:val="24"/>
        </w:rPr>
        <w:t>In a</w:t>
      </w:r>
      <w:r w:rsidR="00926D36" w:rsidRPr="00ED5916">
        <w:rPr>
          <w:rFonts w:cs="Times New Roman"/>
          <w:szCs w:val="24"/>
        </w:rPr>
        <w:t>n international</w:t>
      </w:r>
      <w:r w:rsidRPr="00ED5916">
        <w:rPr>
          <w:rFonts w:cs="Times New Roman"/>
          <w:szCs w:val="24"/>
        </w:rPr>
        <w:t xml:space="preserve"> context, Melbourne’s </w:t>
      </w:r>
      <w:r w:rsidR="00926D36" w:rsidRPr="00ED5916">
        <w:rPr>
          <w:rFonts w:cs="Times New Roman"/>
          <w:szCs w:val="24"/>
        </w:rPr>
        <w:t xml:space="preserve">current </w:t>
      </w:r>
      <w:r w:rsidRPr="00ED5916">
        <w:rPr>
          <w:rFonts w:cs="Times New Roman"/>
          <w:szCs w:val="24"/>
        </w:rPr>
        <w:t xml:space="preserve">franchising model </w:t>
      </w:r>
      <w:r w:rsidR="004F18C0" w:rsidRPr="00ED5916">
        <w:rPr>
          <w:rFonts w:cs="Times New Roman"/>
          <w:szCs w:val="24"/>
        </w:rPr>
        <w:t xml:space="preserve">is a seemingly </w:t>
      </w:r>
      <w:r w:rsidRPr="00ED5916">
        <w:rPr>
          <w:rFonts w:cs="Times New Roman"/>
          <w:szCs w:val="24"/>
        </w:rPr>
        <w:t>modest one</w:t>
      </w:r>
      <w:r w:rsidR="008816AE" w:rsidRPr="00ED5916">
        <w:rPr>
          <w:rFonts w:cs="Times New Roman"/>
          <w:szCs w:val="24"/>
        </w:rPr>
        <w:t>.  O</w:t>
      </w:r>
      <w:r w:rsidRPr="00ED5916">
        <w:rPr>
          <w:rFonts w:cs="Times New Roman"/>
          <w:szCs w:val="24"/>
        </w:rPr>
        <w:t>perations and m</w:t>
      </w:r>
      <w:r w:rsidR="004F18C0" w:rsidRPr="00ED5916">
        <w:rPr>
          <w:rFonts w:cs="Times New Roman"/>
          <w:szCs w:val="24"/>
        </w:rPr>
        <w:t>aintenance</w:t>
      </w:r>
      <w:r w:rsidR="00926D36" w:rsidRPr="00ED5916">
        <w:rPr>
          <w:rFonts w:cs="Times New Roman"/>
          <w:szCs w:val="24"/>
        </w:rPr>
        <w:t xml:space="preserve"> have been</w:t>
      </w:r>
      <w:r w:rsidR="001F3975" w:rsidRPr="00ED5916">
        <w:rPr>
          <w:rFonts w:cs="Times New Roman"/>
          <w:szCs w:val="24"/>
        </w:rPr>
        <w:t xml:space="preserve"> </w:t>
      </w:r>
      <w:r w:rsidR="00926D36" w:rsidRPr="00ED5916">
        <w:rPr>
          <w:rFonts w:cs="Times New Roman"/>
          <w:szCs w:val="24"/>
        </w:rPr>
        <w:t>contracted to a private consortium</w:t>
      </w:r>
      <w:r w:rsidR="004F18C0" w:rsidRPr="00ED5916">
        <w:rPr>
          <w:rFonts w:cs="Times New Roman"/>
          <w:szCs w:val="24"/>
        </w:rPr>
        <w:t xml:space="preserve"> for an initial period of eight years</w:t>
      </w:r>
      <w:r w:rsidR="00E80553" w:rsidRPr="00ED5916">
        <w:rPr>
          <w:rFonts w:cs="Times New Roman"/>
          <w:szCs w:val="24"/>
        </w:rPr>
        <w:t>,</w:t>
      </w:r>
      <w:r w:rsidR="004F18C0" w:rsidRPr="00ED5916">
        <w:rPr>
          <w:rFonts w:cs="Times New Roman"/>
          <w:szCs w:val="24"/>
        </w:rPr>
        <w:t xml:space="preserve"> </w:t>
      </w:r>
      <w:r w:rsidR="00926D36" w:rsidRPr="00ED5916">
        <w:rPr>
          <w:rFonts w:cs="Times New Roman"/>
          <w:szCs w:val="24"/>
        </w:rPr>
        <w:t>with</w:t>
      </w:r>
      <w:r w:rsidR="004F18C0" w:rsidRPr="00ED5916">
        <w:rPr>
          <w:rFonts w:cs="Times New Roman"/>
          <w:szCs w:val="24"/>
        </w:rPr>
        <w:t xml:space="preserve"> a </w:t>
      </w:r>
      <w:r w:rsidR="008816AE" w:rsidRPr="00ED5916">
        <w:rPr>
          <w:rFonts w:cs="Times New Roman"/>
          <w:szCs w:val="24"/>
        </w:rPr>
        <w:t xml:space="preserve">right to negotiate offered to the incumbent, </w:t>
      </w:r>
      <w:r w:rsidR="007E0688" w:rsidRPr="00ED5916">
        <w:rPr>
          <w:rFonts w:cs="Times New Roman"/>
          <w:szCs w:val="24"/>
        </w:rPr>
        <w:t xml:space="preserve">for </w:t>
      </w:r>
      <w:r w:rsidR="00926D36" w:rsidRPr="00ED5916">
        <w:rPr>
          <w:rFonts w:cs="Times New Roman"/>
          <w:szCs w:val="24"/>
        </w:rPr>
        <w:t>a further seven years</w:t>
      </w:r>
      <w:r w:rsidR="007E0688" w:rsidRPr="00ED5916">
        <w:rPr>
          <w:rFonts w:cs="Times New Roman"/>
          <w:szCs w:val="24"/>
        </w:rPr>
        <w:t xml:space="preserve">, </w:t>
      </w:r>
      <w:r w:rsidR="004F18C0" w:rsidRPr="00ED5916">
        <w:rPr>
          <w:rFonts w:cs="Times New Roman"/>
          <w:szCs w:val="24"/>
        </w:rPr>
        <w:t xml:space="preserve">subject to </w:t>
      </w:r>
      <w:r w:rsidR="00ED4618" w:rsidRPr="00ED5916">
        <w:rPr>
          <w:rFonts w:cs="Times New Roman"/>
          <w:szCs w:val="24"/>
        </w:rPr>
        <w:t xml:space="preserve">meeting pre-determined </w:t>
      </w:r>
      <w:r w:rsidR="004F18C0" w:rsidRPr="00ED5916">
        <w:rPr>
          <w:rFonts w:cs="Times New Roman"/>
          <w:szCs w:val="24"/>
        </w:rPr>
        <w:t xml:space="preserve">performance benchmarks. </w:t>
      </w:r>
      <w:r w:rsidR="00ED4618" w:rsidRPr="00ED5916">
        <w:rPr>
          <w:rFonts w:cs="Times New Roman"/>
          <w:szCs w:val="24"/>
        </w:rPr>
        <w:t>The intention is to let new tenders at the expiry of the franchise in 2023. Strategic p</w:t>
      </w:r>
      <w:r w:rsidR="001278F9" w:rsidRPr="00ED5916">
        <w:rPr>
          <w:rFonts w:cs="Times New Roman"/>
          <w:szCs w:val="24"/>
        </w:rPr>
        <w:t>lanning responsibility remains</w:t>
      </w:r>
      <w:r w:rsidR="00ED4618" w:rsidRPr="00ED5916">
        <w:rPr>
          <w:rFonts w:cs="Times New Roman"/>
          <w:szCs w:val="24"/>
        </w:rPr>
        <w:t xml:space="preserve"> with the state</w:t>
      </w:r>
      <w:r w:rsidR="001278F9" w:rsidRPr="00ED5916">
        <w:rPr>
          <w:rFonts w:cs="Times New Roman"/>
          <w:szCs w:val="24"/>
        </w:rPr>
        <w:t xml:space="preserve"> </w:t>
      </w:r>
      <w:r w:rsidR="001D20BB">
        <w:rPr>
          <w:rFonts w:cs="Times New Roman"/>
          <w:szCs w:val="24"/>
        </w:rPr>
        <w:t>with</w:t>
      </w:r>
      <w:r w:rsidR="001278F9" w:rsidRPr="00ED5916">
        <w:rPr>
          <w:rFonts w:cs="Times New Roman"/>
          <w:szCs w:val="24"/>
        </w:rPr>
        <w:t xml:space="preserve"> operators </w:t>
      </w:r>
      <w:r w:rsidR="001D20BB">
        <w:rPr>
          <w:rFonts w:cs="Times New Roman"/>
          <w:szCs w:val="24"/>
        </w:rPr>
        <w:t>consulted</w:t>
      </w:r>
      <w:r w:rsidR="001E0A5F">
        <w:rPr>
          <w:rFonts w:cs="Times New Roman"/>
          <w:szCs w:val="24"/>
        </w:rPr>
        <w:t xml:space="preserve"> throughout the process</w:t>
      </w:r>
      <w:r w:rsidR="00ED4618" w:rsidRPr="00ED5916">
        <w:rPr>
          <w:rFonts w:cs="Times New Roman"/>
          <w:szCs w:val="24"/>
        </w:rPr>
        <w:t>.</w:t>
      </w:r>
      <w:r w:rsidR="004F18C0" w:rsidRPr="00ED5916">
        <w:rPr>
          <w:rFonts w:cs="Times New Roman"/>
          <w:szCs w:val="24"/>
        </w:rPr>
        <w:t xml:space="preserve"> </w:t>
      </w:r>
      <w:r w:rsidR="002A5BAA" w:rsidRPr="00ED5916">
        <w:rPr>
          <w:rFonts w:cs="Times New Roman"/>
          <w:szCs w:val="24"/>
        </w:rPr>
        <w:t>The roles of the parties are documented in the franchise contract</w:t>
      </w:r>
      <w:r w:rsidR="00ED4618" w:rsidRPr="00ED5916">
        <w:rPr>
          <w:rFonts w:cs="Times New Roman"/>
          <w:szCs w:val="24"/>
        </w:rPr>
        <w:t>s</w:t>
      </w:r>
      <w:r w:rsidR="002A5BAA" w:rsidRPr="00ED5916">
        <w:rPr>
          <w:rFonts w:cs="Times New Roman"/>
          <w:szCs w:val="24"/>
        </w:rPr>
        <w:t xml:space="preserve"> </w:t>
      </w:r>
      <w:r w:rsidR="00E45061" w:rsidRPr="00ED5916">
        <w:rPr>
          <w:rFonts w:cs="Times New Roman"/>
          <w:szCs w:val="24"/>
        </w:rPr>
        <w:t xml:space="preserve">(Public Transport Victoria, </w:t>
      </w:r>
      <w:r w:rsidR="002A5BAA" w:rsidRPr="00ED5916">
        <w:rPr>
          <w:rFonts w:cs="Times New Roman"/>
          <w:szCs w:val="24"/>
        </w:rPr>
        <w:t xml:space="preserve">2012).  </w:t>
      </w:r>
    </w:p>
    <w:p w14:paraId="5FE2D017" w14:textId="082D31EC" w:rsidR="002A5BAA" w:rsidRPr="00ED5916" w:rsidRDefault="00ED4618" w:rsidP="00237004">
      <w:pPr>
        <w:spacing w:before="120" w:after="120" w:line="360" w:lineRule="auto"/>
        <w:rPr>
          <w:rFonts w:cs="Times New Roman"/>
          <w:szCs w:val="24"/>
        </w:rPr>
      </w:pPr>
      <w:r w:rsidRPr="00ED5916">
        <w:rPr>
          <w:rFonts w:cs="Times New Roman"/>
          <w:szCs w:val="24"/>
        </w:rPr>
        <w:t xml:space="preserve">As mentioned earlier, this </w:t>
      </w:r>
      <w:r w:rsidR="002A5BAA" w:rsidRPr="00ED5916">
        <w:rPr>
          <w:rFonts w:cs="Times New Roman"/>
          <w:szCs w:val="24"/>
        </w:rPr>
        <w:t>differs from</w:t>
      </w:r>
      <w:r w:rsidR="00E45061" w:rsidRPr="00ED5916">
        <w:rPr>
          <w:rFonts w:cs="Times New Roman"/>
          <w:szCs w:val="24"/>
        </w:rPr>
        <w:t xml:space="preserve"> the U</w:t>
      </w:r>
      <w:r w:rsidR="00475D14">
        <w:rPr>
          <w:rFonts w:cs="Times New Roman"/>
          <w:szCs w:val="24"/>
        </w:rPr>
        <w:t>K model</w:t>
      </w:r>
      <w:r w:rsidR="002A5BAA" w:rsidRPr="00ED5916">
        <w:rPr>
          <w:rFonts w:cs="Times New Roman"/>
          <w:szCs w:val="24"/>
        </w:rPr>
        <w:t xml:space="preserve"> by keeping the assets in state ownership</w:t>
      </w:r>
      <w:r w:rsidR="00475D14">
        <w:rPr>
          <w:rFonts w:cs="Times New Roman"/>
          <w:szCs w:val="24"/>
        </w:rPr>
        <w:t>. This is intended</w:t>
      </w:r>
      <w:r w:rsidR="007E0688" w:rsidRPr="00ED5916">
        <w:rPr>
          <w:rFonts w:cs="Times New Roman"/>
          <w:szCs w:val="24"/>
        </w:rPr>
        <w:t xml:space="preserve"> to</w:t>
      </w:r>
      <w:r w:rsidR="002A5BAA" w:rsidRPr="00ED5916">
        <w:rPr>
          <w:rFonts w:cs="Times New Roman"/>
          <w:szCs w:val="24"/>
        </w:rPr>
        <w:t xml:space="preserve"> ensure </w:t>
      </w:r>
      <w:r w:rsidR="00475D14">
        <w:rPr>
          <w:rFonts w:cs="Times New Roman"/>
          <w:szCs w:val="24"/>
        </w:rPr>
        <w:t xml:space="preserve">competition by </w:t>
      </w:r>
      <w:r w:rsidR="002A5BAA" w:rsidRPr="00ED5916">
        <w:rPr>
          <w:rFonts w:cs="Times New Roman"/>
          <w:szCs w:val="24"/>
        </w:rPr>
        <w:t>lower</w:t>
      </w:r>
      <w:r w:rsidR="00475D14">
        <w:rPr>
          <w:rFonts w:cs="Times New Roman"/>
          <w:szCs w:val="24"/>
        </w:rPr>
        <w:t>ing</w:t>
      </w:r>
      <w:r w:rsidR="002A5BAA" w:rsidRPr="00ED5916">
        <w:rPr>
          <w:rFonts w:cs="Times New Roman"/>
          <w:szCs w:val="24"/>
        </w:rPr>
        <w:t xml:space="preserve"> barriers to </w:t>
      </w:r>
      <w:r w:rsidR="00475D14">
        <w:rPr>
          <w:rFonts w:cs="Times New Roman"/>
          <w:szCs w:val="24"/>
        </w:rPr>
        <w:t>new</w:t>
      </w:r>
      <w:r w:rsidR="00475D14" w:rsidRPr="00ED5916">
        <w:rPr>
          <w:rFonts w:cs="Times New Roman"/>
          <w:szCs w:val="24"/>
        </w:rPr>
        <w:t xml:space="preserve"> </w:t>
      </w:r>
      <w:r w:rsidRPr="00ED5916">
        <w:rPr>
          <w:rFonts w:cs="Times New Roman"/>
          <w:szCs w:val="24"/>
        </w:rPr>
        <w:t>ent</w:t>
      </w:r>
      <w:r w:rsidR="00475D14">
        <w:rPr>
          <w:rFonts w:cs="Times New Roman"/>
          <w:szCs w:val="24"/>
        </w:rPr>
        <w:t>rants</w:t>
      </w:r>
      <w:r w:rsidR="002A5BAA" w:rsidRPr="00ED5916">
        <w:rPr>
          <w:rFonts w:cs="Times New Roman"/>
          <w:szCs w:val="24"/>
        </w:rPr>
        <w:t xml:space="preserve"> at tender points.  </w:t>
      </w:r>
      <w:r w:rsidR="00475D14">
        <w:rPr>
          <w:rFonts w:cs="Times New Roman"/>
          <w:szCs w:val="24"/>
        </w:rPr>
        <w:t>A</w:t>
      </w:r>
      <w:r w:rsidR="002A5BAA" w:rsidRPr="00ED5916">
        <w:rPr>
          <w:rFonts w:cs="Times New Roman"/>
          <w:szCs w:val="24"/>
        </w:rPr>
        <w:t xml:space="preserve">ssets are owned by </w:t>
      </w:r>
      <w:r w:rsidRPr="00ED5916">
        <w:rPr>
          <w:rFonts w:cs="Times New Roman"/>
          <w:szCs w:val="24"/>
        </w:rPr>
        <w:t xml:space="preserve">the state through </w:t>
      </w:r>
      <w:r w:rsidR="002A5BAA" w:rsidRPr="00ED5916">
        <w:rPr>
          <w:rFonts w:cs="Times New Roman"/>
          <w:szCs w:val="24"/>
        </w:rPr>
        <w:t xml:space="preserve">VicTrack and leased to Public Transport Victoria </w:t>
      </w:r>
      <w:r w:rsidR="00E45061" w:rsidRPr="00ED5916">
        <w:rPr>
          <w:rFonts w:cs="Times New Roman"/>
          <w:szCs w:val="24"/>
        </w:rPr>
        <w:t>(PTV)</w:t>
      </w:r>
      <w:r w:rsidRPr="00ED5916">
        <w:rPr>
          <w:rFonts w:cs="Times New Roman"/>
          <w:szCs w:val="24"/>
        </w:rPr>
        <w:t>,</w:t>
      </w:r>
      <w:r w:rsidR="00E45061" w:rsidRPr="00ED5916">
        <w:rPr>
          <w:rFonts w:cs="Times New Roman"/>
          <w:szCs w:val="24"/>
        </w:rPr>
        <w:t xml:space="preserve"> </w:t>
      </w:r>
      <w:r w:rsidR="002A5BAA" w:rsidRPr="00ED5916">
        <w:rPr>
          <w:rFonts w:cs="Times New Roman"/>
          <w:szCs w:val="24"/>
        </w:rPr>
        <w:t xml:space="preserve">who then </w:t>
      </w:r>
      <w:proofErr w:type="gramStart"/>
      <w:r w:rsidR="002A5BAA" w:rsidRPr="00ED5916">
        <w:rPr>
          <w:rFonts w:cs="Times New Roman"/>
          <w:szCs w:val="24"/>
        </w:rPr>
        <w:t>sub</w:t>
      </w:r>
      <w:r w:rsidRPr="00ED5916">
        <w:rPr>
          <w:rFonts w:cs="Times New Roman"/>
          <w:szCs w:val="24"/>
        </w:rPr>
        <w:t>-</w:t>
      </w:r>
      <w:r w:rsidR="002A5BAA" w:rsidRPr="00ED5916">
        <w:rPr>
          <w:rFonts w:cs="Times New Roman"/>
          <w:szCs w:val="24"/>
        </w:rPr>
        <w:t>lease</w:t>
      </w:r>
      <w:proofErr w:type="gramEnd"/>
      <w:r w:rsidR="002A5BAA" w:rsidRPr="00ED5916">
        <w:rPr>
          <w:rFonts w:cs="Times New Roman"/>
          <w:szCs w:val="24"/>
        </w:rPr>
        <w:t xml:space="preserve"> them for the life of the franchise.  During this period</w:t>
      </w:r>
      <w:r w:rsidRPr="00ED5916">
        <w:rPr>
          <w:rFonts w:cs="Times New Roman"/>
          <w:szCs w:val="24"/>
        </w:rPr>
        <w:t>,</w:t>
      </w:r>
      <w:r w:rsidR="002A5BAA" w:rsidRPr="00ED5916">
        <w:rPr>
          <w:rFonts w:cs="Times New Roman"/>
          <w:szCs w:val="24"/>
        </w:rPr>
        <w:t xml:space="preserve"> the franchisee is responsible for operating trains to a stipulated timetable and level of performance, maintaining the</w:t>
      </w:r>
      <w:r w:rsidR="00E80553" w:rsidRPr="00ED5916">
        <w:rPr>
          <w:rFonts w:cs="Times New Roman"/>
          <w:szCs w:val="24"/>
        </w:rPr>
        <w:t xml:space="preserve"> assets as detailed in an ongoing</w:t>
      </w:r>
      <w:r w:rsidR="002A5BAA" w:rsidRPr="00ED5916">
        <w:rPr>
          <w:rFonts w:cs="Times New Roman"/>
          <w:szCs w:val="24"/>
        </w:rPr>
        <w:t xml:space="preserve"> asset management plan for both rolling stock and fixed infrastructure, and</w:t>
      </w:r>
      <w:r w:rsidR="00E80553" w:rsidRPr="00ED5916">
        <w:rPr>
          <w:rFonts w:cs="Times New Roman"/>
          <w:szCs w:val="24"/>
        </w:rPr>
        <w:t xml:space="preserve"> provid</w:t>
      </w:r>
      <w:r w:rsidR="001F3975" w:rsidRPr="00ED5916">
        <w:rPr>
          <w:rFonts w:cs="Times New Roman"/>
          <w:szCs w:val="24"/>
        </w:rPr>
        <w:t>ing</w:t>
      </w:r>
      <w:r w:rsidR="00E45061" w:rsidRPr="00ED5916">
        <w:rPr>
          <w:rFonts w:cs="Times New Roman"/>
          <w:szCs w:val="24"/>
        </w:rPr>
        <w:t xml:space="preserve"> </w:t>
      </w:r>
      <w:r w:rsidR="002A5BAA" w:rsidRPr="00ED5916">
        <w:rPr>
          <w:rFonts w:cs="Times New Roman"/>
          <w:szCs w:val="24"/>
        </w:rPr>
        <w:t xml:space="preserve">capital works as needed. </w:t>
      </w:r>
      <w:r w:rsidRPr="00ED5916">
        <w:rPr>
          <w:rFonts w:cs="Times New Roman"/>
          <w:szCs w:val="24"/>
        </w:rPr>
        <w:t>T</w:t>
      </w:r>
      <w:r w:rsidR="00475D14">
        <w:rPr>
          <w:rFonts w:cs="Times New Roman"/>
          <w:szCs w:val="24"/>
        </w:rPr>
        <w:t>hrough a ‘cap and collar’ arrangement, t</w:t>
      </w:r>
      <w:r w:rsidRPr="00ED5916">
        <w:rPr>
          <w:rFonts w:cs="Times New Roman"/>
          <w:szCs w:val="24"/>
        </w:rPr>
        <w:t xml:space="preserve">he government has taken on </w:t>
      </w:r>
      <w:r w:rsidR="00CA16E6" w:rsidRPr="00ED5916">
        <w:rPr>
          <w:rFonts w:cs="Times New Roman"/>
          <w:szCs w:val="24"/>
        </w:rPr>
        <w:t>some</w:t>
      </w:r>
      <w:r w:rsidRPr="00ED5916">
        <w:rPr>
          <w:rFonts w:cs="Times New Roman"/>
          <w:szCs w:val="24"/>
        </w:rPr>
        <w:t xml:space="preserve"> of the risks associated with fluctuations in revenue because of changes in patronage</w:t>
      </w:r>
      <w:r w:rsidR="00A322CE">
        <w:rPr>
          <w:rFonts w:cs="Times New Roman"/>
          <w:szCs w:val="24"/>
        </w:rPr>
        <w:t>.  I</w:t>
      </w:r>
      <w:r w:rsidR="00242F48">
        <w:rPr>
          <w:rFonts w:cs="Times New Roman"/>
          <w:szCs w:val="24"/>
        </w:rPr>
        <w:t xml:space="preserve">f patronage falls </w:t>
      </w:r>
      <w:r w:rsidR="001D2CF3" w:rsidRPr="00ED5916">
        <w:rPr>
          <w:rFonts w:cs="Times New Roman"/>
          <w:szCs w:val="24"/>
        </w:rPr>
        <w:t>below a level</w:t>
      </w:r>
      <w:r w:rsidR="00A322CE">
        <w:rPr>
          <w:rFonts w:cs="Times New Roman"/>
          <w:szCs w:val="24"/>
        </w:rPr>
        <w:t>,</w:t>
      </w:r>
      <w:r w:rsidR="001D2CF3" w:rsidRPr="00ED5916">
        <w:rPr>
          <w:rFonts w:cs="Times New Roman"/>
          <w:szCs w:val="24"/>
        </w:rPr>
        <w:t xml:space="preserve"> which recalibrates each year, the franchisee </w:t>
      </w:r>
      <w:r w:rsidR="00242F48">
        <w:rPr>
          <w:rFonts w:cs="Times New Roman"/>
          <w:szCs w:val="24"/>
        </w:rPr>
        <w:t xml:space="preserve">loses </w:t>
      </w:r>
      <w:r w:rsidR="00400FCD">
        <w:rPr>
          <w:rFonts w:cs="Times New Roman"/>
          <w:szCs w:val="24"/>
        </w:rPr>
        <w:t xml:space="preserve">a </w:t>
      </w:r>
      <w:r w:rsidR="00242F48">
        <w:rPr>
          <w:rFonts w:cs="Times New Roman"/>
          <w:szCs w:val="24"/>
        </w:rPr>
        <w:t xml:space="preserve">proportion </w:t>
      </w:r>
      <w:r w:rsidR="00400FCD">
        <w:rPr>
          <w:rFonts w:cs="Times New Roman"/>
          <w:szCs w:val="24"/>
        </w:rPr>
        <w:t xml:space="preserve">of </w:t>
      </w:r>
      <w:r w:rsidR="00462122">
        <w:rPr>
          <w:rFonts w:cs="Times New Roman"/>
          <w:szCs w:val="24"/>
        </w:rPr>
        <w:t>the los</w:t>
      </w:r>
      <w:r w:rsidR="00A322CE">
        <w:rPr>
          <w:rFonts w:cs="Times New Roman"/>
          <w:szCs w:val="24"/>
        </w:rPr>
        <w:t xml:space="preserve">t revenue.  Conversely, </w:t>
      </w:r>
      <w:r w:rsidR="001D2CF3" w:rsidRPr="00ED5916">
        <w:rPr>
          <w:rFonts w:cs="Times New Roman"/>
          <w:szCs w:val="24"/>
        </w:rPr>
        <w:t xml:space="preserve">above a stipulated level of revenue there is a clawback provision of </w:t>
      </w:r>
      <w:r w:rsidR="00A322CE">
        <w:rPr>
          <w:rFonts w:cs="Times New Roman"/>
          <w:szCs w:val="24"/>
        </w:rPr>
        <w:t xml:space="preserve">the additional revenue, </w:t>
      </w:r>
      <w:r w:rsidR="001D2CF3" w:rsidRPr="00ED5916">
        <w:rPr>
          <w:rFonts w:cs="Times New Roman"/>
          <w:szCs w:val="24"/>
        </w:rPr>
        <w:t>to the state.</w:t>
      </w:r>
    </w:p>
    <w:p w14:paraId="4D19FC41" w14:textId="293400AA" w:rsidR="00D31FA5" w:rsidRPr="00ED5916" w:rsidRDefault="009549A8" w:rsidP="00237004">
      <w:pPr>
        <w:spacing w:before="120" w:after="120" w:line="360" w:lineRule="auto"/>
        <w:rPr>
          <w:rFonts w:cs="Times New Roman"/>
          <w:szCs w:val="24"/>
        </w:rPr>
      </w:pPr>
      <w:r w:rsidRPr="00ED5916">
        <w:rPr>
          <w:rFonts w:cs="Times New Roman"/>
          <w:szCs w:val="24"/>
        </w:rPr>
        <w:t xml:space="preserve">The first period of the </w:t>
      </w:r>
      <w:r w:rsidR="002A5BAA" w:rsidRPr="00ED5916">
        <w:rPr>
          <w:rFonts w:cs="Times New Roman"/>
          <w:szCs w:val="24"/>
        </w:rPr>
        <w:t xml:space="preserve">current </w:t>
      </w:r>
      <w:r w:rsidRPr="00ED5916">
        <w:rPr>
          <w:rFonts w:cs="Times New Roman"/>
          <w:szCs w:val="24"/>
        </w:rPr>
        <w:t xml:space="preserve">franchise </w:t>
      </w:r>
      <w:r w:rsidR="001F3975" w:rsidRPr="00ED5916">
        <w:rPr>
          <w:rFonts w:cs="Times New Roman"/>
          <w:szCs w:val="24"/>
        </w:rPr>
        <w:t>began</w:t>
      </w:r>
      <w:r w:rsidRPr="00ED5916">
        <w:rPr>
          <w:rFonts w:cs="Times New Roman"/>
          <w:szCs w:val="24"/>
        </w:rPr>
        <w:t xml:space="preserve"> in 2009 when the </w:t>
      </w:r>
      <w:r w:rsidR="00E45061" w:rsidRPr="00ED5916">
        <w:rPr>
          <w:rFonts w:cs="Times New Roman"/>
          <w:szCs w:val="24"/>
        </w:rPr>
        <w:t>Metro Trains Melbourne (</w:t>
      </w:r>
      <w:r w:rsidRPr="00ED5916">
        <w:rPr>
          <w:rFonts w:cs="Times New Roman"/>
          <w:szCs w:val="24"/>
        </w:rPr>
        <w:t>MTM</w:t>
      </w:r>
      <w:r w:rsidR="00E45061" w:rsidRPr="00ED5916">
        <w:rPr>
          <w:rFonts w:cs="Times New Roman"/>
          <w:szCs w:val="24"/>
        </w:rPr>
        <w:t>)</w:t>
      </w:r>
      <w:r w:rsidRPr="00ED5916">
        <w:rPr>
          <w:rFonts w:cs="Times New Roman"/>
          <w:szCs w:val="24"/>
        </w:rPr>
        <w:t xml:space="preserve"> consortium </w:t>
      </w:r>
      <w:r w:rsidR="00E904A3" w:rsidRPr="00ED5916">
        <w:rPr>
          <w:rFonts w:cs="Times New Roman"/>
          <w:szCs w:val="24"/>
        </w:rPr>
        <w:t xml:space="preserve">replaced </w:t>
      </w:r>
      <w:r w:rsidR="00D31FA5" w:rsidRPr="00ED5916">
        <w:rPr>
          <w:rFonts w:cs="Times New Roman"/>
          <w:szCs w:val="24"/>
        </w:rPr>
        <w:t xml:space="preserve">the previous operator, </w:t>
      </w:r>
      <w:proofErr w:type="spellStart"/>
      <w:r w:rsidR="00E904A3" w:rsidRPr="00ED5916">
        <w:rPr>
          <w:rFonts w:cs="Times New Roman"/>
          <w:szCs w:val="24"/>
        </w:rPr>
        <w:t>Connex</w:t>
      </w:r>
      <w:proofErr w:type="spellEnd"/>
      <w:r w:rsidR="00D31FA5" w:rsidRPr="00ED5916">
        <w:rPr>
          <w:rFonts w:cs="Times New Roman"/>
          <w:szCs w:val="24"/>
        </w:rPr>
        <w:t>, after a period of heightened political controversy due to over-crowding and poor service performance following unexpected patronage growth</w:t>
      </w:r>
      <w:r w:rsidR="00A866DA">
        <w:rPr>
          <w:rFonts w:cs="Times New Roman"/>
          <w:szCs w:val="24"/>
        </w:rPr>
        <w:t xml:space="preserve"> (Stone, 2010)</w:t>
      </w:r>
      <w:r w:rsidR="002A5BAA" w:rsidRPr="00ED5916">
        <w:rPr>
          <w:rFonts w:cs="Times New Roman"/>
          <w:szCs w:val="24"/>
        </w:rPr>
        <w:t>.</w:t>
      </w:r>
      <w:r w:rsidR="00D31FA5" w:rsidRPr="00ED5916">
        <w:rPr>
          <w:rFonts w:cs="Times New Roman"/>
          <w:szCs w:val="24"/>
        </w:rPr>
        <w:t xml:space="preserve"> The MTM consortium comprises Mass Transit Railway (Hong Kong), 60</w:t>
      </w:r>
      <w:r w:rsidR="001F3975" w:rsidRPr="00ED5916">
        <w:rPr>
          <w:rFonts w:cs="Times New Roman"/>
          <w:szCs w:val="24"/>
        </w:rPr>
        <w:t xml:space="preserve"> percent</w:t>
      </w:r>
      <w:r w:rsidR="00D31FA5" w:rsidRPr="00ED5916">
        <w:rPr>
          <w:rFonts w:cs="Times New Roman"/>
          <w:szCs w:val="24"/>
        </w:rPr>
        <w:t xml:space="preserve"> equity; construction company, John Holland (whose parent company is</w:t>
      </w:r>
      <w:r w:rsidR="001F3975" w:rsidRPr="00ED5916">
        <w:rPr>
          <w:rFonts w:cs="Times New Roman"/>
          <w:szCs w:val="24"/>
        </w:rPr>
        <w:t xml:space="preserve"> now</w:t>
      </w:r>
      <w:r w:rsidR="00D31FA5" w:rsidRPr="00ED5916">
        <w:rPr>
          <w:rFonts w:cs="Times New Roman"/>
          <w:szCs w:val="24"/>
        </w:rPr>
        <w:t xml:space="preserve"> the state-owned China Communications Construction Company), 20</w:t>
      </w:r>
      <w:r w:rsidR="001F3975" w:rsidRPr="00ED5916">
        <w:rPr>
          <w:rFonts w:cs="Times New Roman"/>
          <w:szCs w:val="24"/>
        </w:rPr>
        <w:t xml:space="preserve"> percent</w:t>
      </w:r>
      <w:r w:rsidR="00D31FA5" w:rsidRPr="00ED5916">
        <w:rPr>
          <w:rFonts w:cs="Times New Roman"/>
          <w:szCs w:val="24"/>
        </w:rPr>
        <w:t xml:space="preserve"> equity; and rolling stock construction and maintenance company, UGL Rail (formerly Alstom), 20</w:t>
      </w:r>
      <w:r w:rsidR="001F3975" w:rsidRPr="00ED5916">
        <w:rPr>
          <w:rFonts w:cs="Times New Roman"/>
          <w:szCs w:val="24"/>
        </w:rPr>
        <w:t xml:space="preserve"> percent</w:t>
      </w:r>
      <w:r w:rsidR="00D31FA5" w:rsidRPr="00ED5916">
        <w:rPr>
          <w:rFonts w:cs="Times New Roman"/>
          <w:szCs w:val="24"/>
        </w:rPr>
        <w:t xml:space="preserve"> equity.</w:t>
      </w:r>
    </w:p>
    <w:p w14:paraId="117E6DA8" w14:textId="7489E4FA" w:rsidR="00EF54C8" w:rsidRPr="00ED5916" w:rsidRDefault="00EF54C8" w:rsidP="00237004">
      <w:pPr>
        <w:spacing w:before="120" w:after="120" w:line="360" w:lineRule="auto"/>
        <w:rPr>
          <w:rFonts w:cs="Times New Roman"/>
          <w:szCs w:val="24"/>
        </w:rPr>
      </w:pPr>
      <w:r w:rsidRPr="00ED5916">
        <w:rPr>
          <w:rFonts w:cs="Times New Roman"/>
          <w:szCs w:val="24"/>
        </w:rPr>
        <w:lastRenderedPageBreak/>
        <w:t>MTM have three contracts with the government</w:t>
      </w:r>
      <w:r w:rsidR="001D20BB">
        <w:rPr>
          <w:rFonts w:cs="Times New Roman"/>
          <w:szCs w:val="24"/>
        </w:rPr>
        <w:t xml:space="preserve">.  </w:t>
      </w:r>
      <w:r w:rsidR="001E0A5F">
        <w:rPr>
          <w:rFonts w:cs="Times New Roman"/>
          <w:szCs w:val="24"/>
        </w:rPr>
        <w:t xml:space="preserve">In the absence of public information, data </w:t>
      </w:r>
      <w:r w:rsidR="001D20BB">
        <w:rPr>
          <w:rFonts w:cs="Times New Roman"/>
          <w:szCs w:val="24"/>
        </w:rPr>
        <w:t xml:space="preserve">has been provided by the franchisee </w:t>
      </w:r>
      <w:r w:rsidR="001E0A5F">
        <w:rPr>
          <w:rFonts w:cs="Times New Roman"/>
          <w:szCs w:val="24"/>
        </w:rPr>
        <w:t>(Figure 1)</w:t>
      </w:r>
      <w:r w:rsidRPr="00ED5916">
        <w:rPr>
          <w:rFonts w:cs="Times New Roman"/>
          <w:szCs w:val="24"/>
        </w:rPr>
        <w:t xml:space="preserve">: a franchise agreement for service operations and rolling stock maintenance (a fixed cost of $500 million per year); an infrastructure lease </w:t>
      </w:r>
      <w:r w:rsidR="001E21A2">
        <w:rPr>
          <w:rFonts w:cs="Times New Roman"/>
          <w:szCs w:val="24"/>
        </w:rPr>
        <w:t xml:space="preserve">from the state to the operator </w:t>
      </w:r>
      <w:r w:rsidRPr="00ED5916">
        <w:rPr>
          <w:rFonts w:cs="Times New Roman"/>
          <w:szCs w:val="24"/>
        </w:rPr>
        <w:t>to provide track maintenance (a fixed cost of $270 million per year); and a projects agreement which offers capital works and renewal on a per project basis (a variable-cost contract with a negotiated profit margin, $400 million per year</w:t>
      </w:r>
      <w:r w:rsidR="001D20BB">
        <w:rPr>
          <w:rFonts w:cs="Times New Roman"/>
          <w:szCs w:val="24"/>
        </w:rPr>
        <w:t>).  These contracts are</w:t>
      </w:r>
      <w:r w:rsidRPr="00ED5916">
        <w:rPr>
          <w:rFonts w:cs="Times New Roman"/>
          <w:szCs w:val="24"/>
        </w:rPr>
        <w:t xml:space="preserve"> tendered as a package</w:t>
      </w:r>
      <w:r w:rsidR="00F969B1">
        <w:rPr>
          <w:rFonts w:cs="Times New Roman"/>
          <w:szCs w:val="24"/>
        </w:rPr>
        <w:t xml:space="preserve"> although the specifics </w:t>
      </w:r>
      <w:r w:rsidR="002F296F">
        <w:rPr>
          <w:rFonts w:cs="Times New Roman"/>
          <w:szCs w:val="24"/>
        </w:rPr>
        <w:t>of</w:t>
      </w:r>
      <w:r w:rsidR="00F969B1">
        <w:rPr>
          <w:rFonts w:cs="Times New Roman"/>
          <w:szCs w:val="24"/>
        </w:rPr>
        <w:t xml:space="preserve"> the bid details for each contract are not in the public domain.  This lack of transparency is a fundamental concern.</w:t>
      </w:r>
    </w:p>
    <w:p w14:paraId="1B55EC3B" w14:textId="5EAC4275" w:rsidR="002A5BAA" w:rsidRPr="00ED5916" w:rsidRDefault="002A5BAA" w:rsidP="00237004">
      <w:pPr>
        <w:spacing w:before="120" w:after="120" w:line="360" w:lineRule="auto"/>
        <w:rPr>
          <w:rFonts w:cs="Times New Roman"/>
          <w:szCs w:val="24"/>
        </w:rPr>
      </w:pPr>
    </w:p>
    <w:p w14:paraId="6C43233F" w14:textId="113E0F2E" w:rsidR="00EF54C8" w:rsidRPr="00ED5916" w:rsidRDefault="00EF54C8" w:rsidP="00237004">
      <w:pPr>
        <w:spacing w:before="120" w:after="120" w:line="360" w:lineRule="auto"/>
        <w:rPr>
          <w:rFonts w:cs="Times New Roman"/>
          <w:i/>
          <w:szCs w:val="24"/>
        </w:rPr>
      </w:pPr>
      <w:r w:rsidRPr="00ED5916">
        <w:rPr>
          <w:rFonts w:cs="Times New Roman"/>
          <w:b/>
          <w:szCs w:val="24"/>
        </w:rPr>
        <w:t>Figure 1:</w:t>
      </w:r>
      <w:r w:rsidRPr="00ED5916">
        <w:rPr>
          <w:rFonts w:cs="Times New Roman"/>
          <w:szCs w:val="24"/>
        </w:rPr>
        <w:t xml:space="preserve"> MTM’s contracts with the PTV. (Source: email from MTM to the authors, 9 August 2016; reproduced with permission from MTM).</w:t>
      </w:r>
    </w:p>
    <w:p w14:paraId="06198CD3" w14:textId="77777777" w:rsidR="001D20BB" w:rsidRDefault="001D20BB" w:rsidP="00237004">
      <w:pPr>
        <w:spacing w:before="120" w:after="120" w:line="360" w:lineRule="auto"/>
        <w:rPr>
          <w:rFonts w:cs="Times New Roman"/>
          <w:szCs w:val="24"/>
        </w:rPr>
      </w:pPr>
    </w:p>
    <w:p w14:paraId="09E2A3F9" w14:textId="5EA36870" w:rsidR="002A4D5C" w:rsidRPr="00ED5916" w:rsidRDefault="004C60AF" w:rsidP="00237004">
      <w:pPr>
        <w:spacing w:before="120" w:after="120" w:line="360" w:lineRule="auto"/>
        <w:rPr>
          <w:rFonts w:cs="Times New Roman"/>
          <w:szCs w:val="24"/>
        </w:rPr>
      </w:pPr>
      <w:r w:rsidRPr="00ED5916">
        <w:rPr>
          <w:rFonts w:cs="Times New Roman"/>
          <w:szCs w:val="24"/>
        </w:rPr>
        <w:t>Melbourne’s contract</w:t>
      </w:r>
      <w:r w:rsidR="001F3975" w:rsidRPr="00ED5916">
        <w:rPr>
          <w:rFonts w:cs="Times New Roman"/>
          <w:szCs w:val="24"/>
        </w:rPr>
        <w:t xml:space="preserve"> performance is measured </w:t>
      </w:r>
      <w:r w:rsidRPr="00ED5916">
        <w:rPr>
          <w:rFonts w:cs="Times New Roman"/>
          <w:szCs w:val="24"/>
        </w:rPr>
        <w:t>t</w:t>
      </w:r>
      <w:r w:rsidR="001F3975" w:rsidRPr="00ED5916">
        <w:rPr>
          <w:rFonts w:cs="Times New Roman"/>
          <w:szCs w:val="24"/>
        </w:rPr>
        <w:t>hrough</w:t>
      </w:r>
      <w:r w:rsidRPr="00ED5916">
        <w:rPr>
          <w:rFonts w:cs="Times New Roman"/>
          <w:szCs w:val="24"/>
        </w:rPr>
        <w:t xml:space="preserve"> outputs</w:t>
      </w:r>
      <w:r w:rsidR="00E904A3" w:rsidRPr="00ED5916">
        <w:rPr>
          <w:rFonts w:cs="Times New Roman"/>
          <w:szCs w:val="24"/>
        </w:rPr>
        <w:t>.  Output</w:t>
      </w:r>
      <w:r w:rsidR="001F3975" w:rsidRPr="00ED5916">
        <w:rPr>
          <w:rFonts w:cs="Times New Roman"/>
          <w:szCs w:val="24"/>
        </w:rPr>
        <w:t>-</w:t>
      </w:r>
      <w:r w:rsidR="00E904A3" w:rsidRPr="00ED5916">
        <w:rPr>
          <w:rFonts w:cs="Times New Roman"/>
          <w:szCs w:val="24"/>
        </w:rPr>
        <w:t xml:space="preserve">based contracts </w:t>
      </w:r>
      <w:r w:rsidRPr="00ED5916">
        <w:rPr>
          <w:rFonts w:cs="Times New Roman"/>
          <w:szCs w:val="24"/>
        </w:rPr>
        <w:t>(</w:t>
      </w:r>
      <w:r w:rsidR="00E904A3" w:rsidRPr="00ED5916">
        <w:rPr>
          <w:rFonts w:cs="Times New Roman"/>
          <w:szCs w:val="24"/>
        </w:rPr>
        <w:t xml:space="preserve">as described in </w:t>
      </w:r>
      <w:r w:rsidRPr="00ED5916">
        <w:rPr>
          <w:rFonts w:cs="Times New Roman"/>
          <w:szCs w:val="24"/>
        </w:rPr>
        <w:t>UK Department for Transport,</w:t>
      </w:r>
      <w:r w:rsidR="00E904A3" w:rsidRPr="00ED5916">
        <w:rPr>
          <w:rFonts w:cs="Times New Roman"/>
          <w:szCs w:val="24"/>
        </w:rPr>
        <w:t xml:space="preserve"> </w:t>
      </w:r>
      <w:r w:rsidRPr="00ED5916">
        <w:rPr>
          <w:rFonts w:cs="Times New Roman"/>
          <w:szCs w:val="24"/>
        </w:rPr>
        <w:t>2012</w:t>
      </w:r>
      <w:r w:rsidR="00E904A3" w:rsidRPr="00ED5916">
        <w:rPr>
          <w:rFonts w:cs="Times New Roman"/>
          <w:szCs w:val="24"/>
        </w:rPr>
        <w:t xml:space="preserve">) are concerned with </w:t>
      </w:r>
      <w:r w:rsidR="00E904A3" w:rsidRPr="001D20BB">
        <w:rPr>
          <w:rFonts w:cs="Times New Roman"/>
          <w:i/>
          <w:szCs w:val="24"/>
        </w:rPr>
        <w:t>what</w:t>
      </w:r>
      <w:r w:rsidR="00E904A3" w:rsidRPr="00ED5916">
        <w:rPr>
          <w:rFonts w:cs="Times New Roman"/>
          <w:szCs w:val="24"/>
        </w:rPr>
        <w:t xml:space="preserve"> a contract produces, not </w:t>
      </w:r>
      <w:r w:rsidR="00E904A3" w:rsidRPr="001D20BB">
        <w:rPr>
          <w:rFonts w:cs="Times New Roman"/>
          <w:i/>
          <w:szCs w:val="24"/>
        </w:rPr>
        <w:t>how</w:t>
      </w:r>
      <w:r w:rsidR="00E904A3" w:rsidRPr="00ED5916">
        <w:rPr>
          <w:rFonts w:cs="Times New Roman"/>
          <w:szCs w:val="24"/>
        </w:rPr>
        <w:t xml:space="preserve"> </w:t>
      </w:r>
      <w:r w:rsidR="009440C5" w:rsidRPr="00ED5916">
        <w:rPr>
          <w:rFonts w:cs="Times New Roman"/>
          <w:szCs w:val="24"/>
        </w:rPr>
        <w:t>the outputs are actually</w:t>
      </w:r>
      <w:r w:rsidR="00E904A3" w:rsidRPr="00ED5916">
        <w:rPr>
          <w:rFonts w:cs="Times New Roman"/>
          <w:szCs w:val="24"/>
        </w:rPr>
        <w:t xml:space="preserve"> produced.  The Melbourne contract contains various output measures including </w:t>
      </w:r>
      <w:r w:rsidRPr="00ED5916">
        <w:rPr>
          <w:rFonts w:cs="Times New Roman"/>
          <w:szCs w:val="24"/>
        </w:rPr>
        <w:t>on</w:t>
      </w:r>
      <w:r w:rsidR="00EF7445" w:rsidRPr="00ED5916">
        <w:rPr>
          <w:rFonts w:cs="Times New Roman"/>
          <w:szCs w:val="24"/>
        </w:rPr>
        <w:t>-</w:t>
      </w:r>
      <w:r w:rsidR="00E904A3" w:rsidRPr="00ED5916">
        <w:rPr>
          <w:rFonts w:cs="Times New Roman"/>
          <w:szCs w:val="24"/>
        </w:rPr>
        <w:t>time running, cancellations, and</w:t>
      </w:r>
      <w:r w:rsidRPr="00ED5916">
        <w:rPr>
          <w:rFonts w:cs="Times New Roman"/>
          <w:szCs w:val="24"/>
        </w:rPr>
        <w:t xml:space="preserve"> asset availability.  If </w:t>
      </w:r>
      <w:r w:rsidR="00E904A3" w:rsidRPr="00ED5916">
        <w:rPr>
          <w:rFonts w:cs="Times New Roman"/>
          <w:szCs w:val="24"/>
        </w:rPr>
        <w:t xml:space="preserve">operators </w:t>
      </w:r>
      <w:r w:rsidRPr="00ED5916">
        <w:rPr>
          <w:rFonts w:cs="Times New Roman"/>
          <w:szCs w:val="24"/>
        </w:rPr>
        <w:t xml:space="preserve">exceed the contractual targets they are offered a bonus; failure to meet them </w:t>
      </w:r>
      <w:r w:rsidR="006E64AB" w:rsidRPr="00ED5916">
        <w:rPr>
          <w:rFonts w:cs="Times New Roman"/>
          <w:szCs w:val="24"/>
        </w:rPr>
        <w:t xml:space="preserve">for a prolonged period </w:t>
      </w:r>
      <w:r w:rsidR="00E904A3" w:rsidRPr="00ED5916">
        <w:rPr>
          <w:rFonts w:cs="Times New Roman"/>
          <w:szCs w:val="24"/>
        </w:rPr>
        <w:t>incur</w:t>
      </w:r>
      <w:r w:rsidR="00EF54C8" w:rsidRPr="00ED5916">
        <w:rPr>
          <w:rFonts w:cs="Times New Roman"/>
          <w:szCs w:val="24"/>
        </w:rPr>
        <w:t>s</w:t>
      </w:r>
      <w:r w:rsidR="00E904A3" w:rsidRPr="00ED5916">
        <w:rPr>
          <w:rFonts w:cs="Times New Roman"/>
          <w:szCs w:val="24"/>
        </w:rPr>
        <w:t xml:space="preserve"> penalties</w:t>
      </w:r>
      <w:r w:rsidR="00EF54C8" w:rsidRPr="00ED5916">
        <w:rPr>
          <w:rFonts w:cs="Times New Roman"/>
          <w:szCs w:val="24"/>
        </w:rPr>
        <w:t xml:space="preserve">.  In the event of </w:t>
      </w:r>
      <w:r w:rsidR="002F296F">
        <w:rPr>
          <w:rFonts w:cs="Times New Roman"/>
          <w:szCs w:val="24"/>
        </w:rPr>
        <w:t xml:space="preserve">sustained </w:t>
      </w:r>
      <w:r w:rsidR="00EF54C8" w:rsidRPr="00ED5916">
        <w:rPr>
          <w:rFonts w:cs="Times New Roman"/>
          <w:szCs w:val="24"/>
        </w:rPr>
        <w:t xml:space="preserve">contract breach, operators </w:t>
      </w:r>
      <w:r w:rsidR="002F296F">
        <w:rPr>
          <w:rFonts w:cs="Times New Roman"/>
          <w:szCs w:val="24"/>
        </w:rPr>
        <w:t>can be</w:t>
      </w:r>
      <w:r w:rsidR="002F296F" w:rsidRPr="00ED5916">
        <w:rPr>
          <w:rFonts w:cs="Times New Roman"/>
          <w:szCs w:val="24"/>
        </w:rPr>
        <w:t xml:space="preserve"> </w:t>
      </w:r>
      <w:r w:rsidR="00EF54C8" w:rsidRPr="00ED5916">
        <w:rPr>
          <w:rFonts w:cs="Times New Roman"/>
          <w:szCs w:val="24"/>
        </w:rPr>
        <w:t xml:space="preserve">penalised </w:t>
      </w:r>
      <w:r w:rsidR="009440C5" w:rsidRPr="00ED5916">
        <w:rPr>
          <w:rFonts w:cs="Times New Roman"/>
          <w:szCs w:val="24"/>
        </w:rPr>
        <w:t xml:space="preserve">up to a limit of </w:t>
      </w:r>
      <w:r w:rsidR="006E64AB" w:rsidRPr="00ED5916">
        <w:rPr>
          <w:rFonts w:cs="Times New Roman"/>
          <w:szCs w:val="24"/>
        </w:rPr>
        <w:t xml:space="preserve">the greater of $2m, or $20,000 per day for each day of </w:t>
      </w:r>
      <w:r w:rsidR="00EF54C8" w:rsidRPr="00ED5916">
        <w:rPr>
          <w:rFonts w:cs="Times New Roman"/>
          <w:szCs w:val="24"/>
        </w:rPr>
        <w:t>the</w:t>
      </w:r>
      <w:r w:rsidR="009440C5" w:rsidRPr="00ED5916">
        <w:rPr>
          <w:rFonts w:cs="Times New Roman"/>
          <w:szCs w:val="24"/>
        </w:rPr>
        <w:t xml:space="preserve"> contract breach (</w:t>
      </w:r>
      <w:r w:rsidR="006E64AB" w:rsidRPr="00ED5916">
        <w:rPr>
          <w:rFonts w:cs="Times New Roman"/>
          <w:szCs w:val="24"/>
        </w:rPr>
        <w:t>Section 20.6d of the franchise agreement</w:t>
      </w:r>
      <w:r w:rsidR="00EF54C8" w:rsidRPr="00ED5916">
        <w:rPr>
          <w:rFonts w:cs="Times New Roman"/>
          <w:szCs w:val="24"/>
        </w:rPr>
        <w:t>)</w:t>
      </w:r>
      <w:r w:rsidR="009440C5" w:rsidRPr="00ED5916">
        <w:rPr>
          <w:rFonts w:cs="Times New Roman"/>
          <w:szCs w:val="24"/>
        </w:rPr>
        <w:t xml:space="preserve">. Performance </w:t>
      </w:r>
      <w:r w:rsidR="008601D9" w:rsidRPr="00ED5916">
        <w:rPr>
          <w:rFonts w:cs="Times New Roman"/>
          <w:szCs w:val="24"/>
        </w:rPr>
        <w:t>against these targets</w:t>
      </w:r>
      <w:r w:rsidR="00E904A3" w:rsidRPr="00ED5916">
        <w:rPr>
          <w:rFonts w:cs="Times New Roman"/>
          <w:szCs w:val="24"/>
        </w:rPr>
        <w:t xml:space="preserve"> </w:t>
      </w:r>
      <w:r w:rsidRPr="00ED5916">
        <w:rPr>
          <w:rFonts w:cs="Times New Roman"/>
          <w:szCs w:val="24"/>
        </w:rPr>
        <w:t xml:space="preserve">is a significant consideration in </w:t>
      </w:r>
      <w:r w:rsidR="008601D9" w:rsidRPr="00ED5916">
        <w:rPr>
          <w:rFonts w:cs="Times New Roman"/>
          <w:szCs w:val="24"/>
        </w:rPr>
        <w:t>decisions over</w:t>
      </w:r>
      <w:r w:rsidR="00F969B1">
        <w:rPr>
          <w:rFonts w:cs="Times New Roman"/>
          <w:szCs w:val="24"/>
        </w:rPr>
        <w:t xml:space="preserve"> contract extensions; again detailed information in the public realm is lacking.</w:t>
      </w:r>
    </w:p>
    <w:p w14:paraId="6361E6D5" w14:textId="77777777" w:rsidR="006A36AE" w:rsidRPr="00ED5916" w:rsidRDefault="006A36AE" w:rsidP="00237004">
      <w:pPr>
        <w:spacing w:before="120" w:after="120" w:line="360" w:lineRule="auto"/>
        <w:rPr>
          <w:rFonts w:cs="Times New Roman"/>
          <w:szCs w:val="24"/>
        </w:rPr>
      </w:pPr>
    </w:p>
    <w:p w14:paraId="1B057546" w14:textId="4CAF7605" w:rsidR="004C60AF" w:rsidRPr="00ED5916" w:rsidRDefault="002A2627" w:rsidP="00237004">
      <w:pPr>
        <w:pStyle w:val="Heading1"/>
        <w:spacing w:before="120" w:after="120" w:line="360" w:lineRule="auto"/>
        <w:rPr>
          <w:rFonts w:ascii="Times New Roman" w:hAnsi="Times New Roman" w:cs="Times New Roman"/>
          <w:color w:val="auto"/>
          <w:sz w:val="24"/>
          <w:szCs w:val="24"/>
        </w:rPr>
      </w:pPr>
      <w:r w:rsidRPr="00ED5916">
        <w:rPr>
          <w:rFonts w:ascii="Times New Roman" w:hAnsi="Times New Roman" w:cs="Times New Roman"/>
          <w:color w:val="auto"/>
          <w:sz w:val="24"/>
          <w:szCs w:val="24"/>
        </w:rPr>
        <w:t>3</w:t>
      </w:r>
      <w:r w:rsidRPr="00ED5916">
        <w:rPr>
          <w:rFonts w:ascii="Times New Roman" w:hAnsi="Times New Roman" w:cs="Times New Roman"/>
          <w:color w:val="auto"/>
          <w:sz w:val="24"/>
          <w:szCs w:val="24"/>
        </w:rPr>
        <w:tab/>
      </w:r>
      <w:r w:rsidR="00026FBA" w:rsidRPr="00ED5916">
        <w:rPr>
          <w:rFonts w:ascii="Times New Roman" w:hAnsi="Times New Roman" w:cs="Times New Roman"/>
          <w:color w:val="auto"/>
          <w:sz w:val="24"/>
          <w:szCs w:val="24"/>
        </w:rPr>
        <w:t>Scant</w:t>
      </w:r>
      <w:r w:rsidR="004C60AF" w:rsidRPr="00ED5916">
        <w:rPr>
          <w:rFonts w:ascii="Times New Roman" w:hAnsi="Times New Roman" w:cs="Times New Roman"/>
          <w:color w:val="auto"/>
          <w:sz w:val="24"/>
          <w:szCs w:val="24"/>
        </w:rPr>
        <w:t xml:space="preserve"> public </w:t>
      </w:r>
      <w:r w:rsidR="00EF7445" w:rsidRPr="00ED5916">
        <w:rPr>
          <w:rFonts w:ascii="Times New Roman" w:hAnsi="Times New Roman" w:cs="Times New Roman"/>
          <w:color w:val="auto"/>
          <w:sz w:val="24"/>
          <w:szCs w:val="24"/>
        </w:rPr>
        <w:t xml:space="preserve">information on </w:t>
      </w:r>
      <w:r w:rsidR="004C60AF" w:rsidRPr="00ED5916">
        <w:rPr>
          <w:rFonts w:ascii="Times New Roman" w:hAnsi="Times New Roman" w:cs="Times New Roman"/>
          <w:color w:val="auto"/>
          <w:sz w:val="24"/>
          <w:szCs w:val="24"/>
        </w:rPr>
        <w:t>rollover criteria</w:t>
      </w:r>
    </w:p>
    <w:p w14:paraId="08F35D83" w14:textId="0165D842" w:rsidR="008B0526" w:rsidRPr="002F296F" w:rsidRDefault="008B0526" w:rsidP="008B0526">
      <w:pPr>
        <w:spacing w:before="120" w:after="120" w:line="360" w:lineRule="auto"/>
        <w:rPr>
          <w:szCs w:val="24"/>
        </w:rPr>
      </w:pPr>
      <w:r w:rsidRPr="002F296F">
        <w:rPr>
          <w:szCs w:val="24"/>
        </w:rPr>
        <w:t xml:space="preserve">The literature </w:t>
      </w:r>
      <w:r w:rsidR="002F296F" w:rsidRPr="002F296F">
        <w:rPr>
          <w:szCs w:val="24"/>
        </w:rPr>
        <w:t>on public-</w:t>
      </w:r>
      <w:r w:rsidRPr="002F296F">
        <w:rPr>
          <w:szCs w:val="24"/>
        </w:rPr>
        <w:t>private partnerships (PPPs</w:t>
      </w:r>
      <w:r w:rsidR="001264A6">
        <w:rPr>
          <w:szCs w:val="24"/>
        </w:rPr>
        <w:t>)</w:t>
      </w:r>
      <w:r w:rsidRPr="002F296F">
        <w:rPr>
          <w:szCs w:val="24"/>
        </w:rPr>
        <w:t xml:space="preserve"> and </w:t>
      </w:r>
      <w:proofErr w:type="spellStart"/>
      <w:r w:rsidRPr="002F296F">
        <w:rPr>
          <w:szCs w:val="24"/>
        </w:rPr>
        <w:t>concessioning</w:t>
      </w:r>
      <w:proofErr w:type="spellEnd"/>
      <w:r w:rsidRPr="002F296F">
        <w:rPr>
          <w:szCs w:val="24"/>
        </w:rPr>
        <w:t xml:space="preserve"> clearly stipulates the need for information and process transparency for the procurement model to work effectively and efficiently.  </w:t>
      </w:r>
      <w:proofErr w:type="spellStart"/>
      <w:r w:rsidRPr="002F296F">
        <w:rPr>
          <w:szCs w:val="24"/>
        </w:rPr>
        <w:t>Forrer</w:t>
      </w:r>
      <w:proofErr w:type="spellEnd"/>
      <w:r w:rsidRPr="002F296F">
        <w:rPr>
          <w:szCs w:val="24"/>
        </w:rPr>
        <w:t xml:space="preserve"> et al. (2010) note how PPPs change the process of government accountability, and that the terms and conditions of s</w:t>
      </w:r>
      <w:r w:rsidRPr="00082B7B">
        <w:rPr>
          <w:szCs w:val="24"/>
        </w:rPr>
        <w:t xml:space="preserve">tate involvement in PPPs deserve careful scrutiny as private companies enter into such arrangement for different motivations to the public sector.  </w:t>
      </w:r>
      <w:r w:rsidRPr="001315D0">
        <w:rPr>
          <w:szCs w:val="24"/>
        </w:rPr>
        <w:t>Ortiz et al.</w:t>
      </w:r>
      <w:r w:rsidRPr="002F296F">
        <w:rPr>
          <w:szCs w:val="24"/>
        </w:rPr>
        <w:t xml:space="preserve"> (</w:t>
      </w:r>
      <w:r w:rsidRPr="001315D0">
        <w:rPr>
          <w:szCs w:val="24"/>
        </w:rPr>
        <w:t>2008)</w:t>
      </w:r>
      <w:r w:rsidRPr="002F296F">
        <w:rPr>
          <w:szCs w:val="24"/>
        </w:rPr>
        <w:t xml:space="preserve"> describe how partnerships need a careful balance between synergy and autonomy, which in</w:t>
      </w:r>
      <w:r w:rsidRPr="00082B7B">
        <w:rPr>
          <w:szCs w:val="24"/>
        </w:rPr>
        <w:t xml:space="preserve">corporates mutual accountability and transparency.  Robinson and Scott (2009) argue for </w:t>
      </w:r>
      <w:r w:rsidR="002F296F">
        <w:rPr>
          <w:szCs w:val="24"/>
        </w:rPr>
        <w:t xml:space="preserve">more transparency in </w:t>
      </w:r>
      <w:r w:rsidRPr="002F296F">
        <w:rPr>
          <w:szCs w:val="24"/>
        </w:rPr>
        <w:t xml:space="preserve">the </w:t>
      </w:r>
      <w:r w:rsidR="002F296F" w:rsidRPr="002F296F">
        <w:rPr>
          <w:szCs w:val="24"/>
        </w:rPr>
        <w:t>value</w:t>
      </w:r>
      <w:r w:rsidR="002F296F">
        <w:rPr>
          <w:szCs w:val="24"/>
        </w:rPr>
        <w:t>-</w:t>
      </w:r>
      <w:r w:rsidR="002F296F" w:rsidRPr="002F296F">
        <w:rPr>
          <w:szCs w:val="24"/>
        </w:rPr>
        <w:t>for</w:t>
      </w:r>
      <w:r w:rsidR="002F296F">
        <w:rPr>
          <w:szCs w:val="24"/>
        </w:rPr>
        <w:t>-</w:t>
      </w:r>
      <w:r w:rsidRPr="002F296F">
        <w:rPr>
          <w:szCs w:val="24"/>
        </w:rPr>
        <w:t xml:space="preserve">money assessment </w:t>
      </w:r>
      <w:r w:rsidR="002F296F">
        <w:rPr>
          <w:szCs w:val="24"/>
        </w:rPr>
        <w:t>in</w:t>
      </w:r>
      <w:r w:rsidRPr="002F296F">
        <w:rPr>
          <w:szCs w:val="24"/>
        </w:rPr>
        <w:t xml:space="preserve"> </w:t>
      </w:r>
      <w:r w:rsidRPr="002F296F">
        <w:rPr>
          <w:szCs w:val="24"/>
        </w:rPr>
        <w:lastRenderedPageBreak/>
        <w:t>the justification of a PPP</w:t>
      </w:r>
      <w:r w:rsidRPr="001315D0">
        <w:rPr>
          <w:szCs w:val="24"/>
        </w:rPr>
        <w:t>.</w:t>
      </w:r>
      <w:r w:rsidRPr="002F296F">
        <w:rPr>
          <w:szCs w:val="24"/>
        </w:rPr>
        <w:t xml:space="preserve">  </w:t>
      </w:r>
      <w:proofErr w:type="spellStart"/>
      <w:r w:rsidRPr="002F296F">
        <w:rPr>
          <w:szCs w:val="24"/>
        </w:rPr>
        <w:t>Ingrams</w:t>
      </w:r>
      <w:proofErr w:type="spellEnd"/>
      <w:r w:rsidRPr="002F296F">
        <w:rPr>
          <w:szCs w:val="24"/>
        </w:rPr>
        <w:t xml:space="preserve"> (2017) sees accountability and transparency as intertwined when seeking to understand the performance of the public sector</w:t>
      </w:r>
      <w:r w:rsidR="002F296F">
        <w:rPr>
          <w:szCs w:val="24"/>
        </w:rPr>
        <w:t xml:space="preserve">. </w:t>
      </w:r>
      <w:proofErr w:type="spellStart"/>
      <w:r w:rsidRPr="002F296F">
        <w:rPr>
          <w:szCs w:val="24"/>
        </w:rPr>
        <w:t>Greve</w:t>
      </w:r>
      <w:proofErr w:type="spellEnd"/>
      <w:r w:rsidRPr="002F296F">
        <w:rPr>
          <w:szCs w:val="24"/>
        </w:rPr>
        <w:t xml:space="preserve"> and Hodge (2011) </w:t>
      </w:r>
      <w:r w:rsidR="002F296F">
        <w:rPr>
          <w:szCs w:val="24"/>
        </w:rPr>
        <w:t>sum up t</w:t>
      </w:r>
      <w:r w:rsidR="008A2E7C">
        <w:rPr>
          <w:szCs w:val="24"/>
        </w:rPr>
        <w:t>his general sentiment by arguing</w:t>
      </w:r>
      <w:r w:rsidRPr="002F296F">
        <w:rPr>
          <w:szCs w:val="24"/>
        </w:rPr>
        <w:t>:</w:t>
      </w:r>
    </w:p>
    <w:p w14:paraId="7B570EED" w14:textId="3E5F647C" w:rsidR="008B0526" w:rsidRPr="00B56504" w:rsidRDefault="008A2E7C" w:rsidP="008B0526">
      <w:pPr>
        <w:autoSpaceDE w:val="0"/>
        <w:autoSpaceDN w:val="0"/>
        <w:adjustRightInd w:val="0"/>
        <w:snapToGrid w:val="0"/>
        <w:spacing w:before="120" w:after="120" w:line="360" w:lineRule="auto"/>
        <w:ind w:left="567" w:right="567"/>
        <w:rPr>
          <w:i/>
        </w:rPr>
      </w:pPr>
      <w:r>
        <w:rPr>
          <w:i/>
        </w:rPr>
        <w:t xml:space="preserve">… </w:t>
      </w:r>
      <w:proofErr w:type="gramStart"/>
      <w:r w:rsidR="008B0526" w:rsidRPr="00B56504">
        <w:rPr>
          <w:i/>
        </w:rPr>
        <w:t>transparency</w:t>
      </w:r>
      <w:proofErr w:type="gramEnd"/>
      <w:r w:rsidR="008B0526" w:rsidRPr="00B56504">
        <w:rPr>
          <w:i/>
        </w:rPr>
        <w:t xml:space="preserve"> is threatened by PPPs or other market-type mechanisms. This leads to a potentially paradoxical situation: there is more focus on transparency as an issue in the public sector while more and more tasks are being moved away from the public sector and “priva</w:t>
      </w:r>
      <w:r w:rsidR="001264A6">
        <w:rPr>
          <w:i/>
        </w:rPr>
        <w:t>tized” or transferred to PPPs.</w:t>
      </w:r>
    </w:p>
    <w:p w14:paraId="3B70CA2F" w14:textId="6C9ED072" w:rsidR="00C5082C" w:rsidRPr="00ED5916" w:rsidRDefault="00026FBA" w:rsidP="00237004">
      <w:pPr>
        <w:spacing w:before="120" w:after="120" w:line="360" w:lineRule="auto"/>
        <w:rPr>
          <w:rFonts w:cs="Times New Roman"/>
          <w:szCs w:val="24"/>
        </w:rPr>
      </w:pPr>
      <w:r w:rsidRPr="00ED5916">
        <w:rPr>
          <w:rFonts w:cs="Times New Roman"/>
          <w:szCs w:val="24"/>
        </w:rPr>
        <w:t>In</w:t>
      </w:r>
      <w:r w:rsidR="00C5082C" w:rsidRPr="00ED5916">
        <w:rPr>
          <w:rFonts w:cs="Times New Roman"/>
          <w:szCs w:val="24"/>
        </w:rPr>
        <w:t xml:space="preserve"> December 2015</w:t>
      </w:r>
      <w:r w:rsidR="008A2E7C">
        <w:rPr>
          <w:rFonts w:cs="Times New Roman"/>
          <w:szCs w:val="24"/>
        </w:rPr>
        <w:t>,</w:t>
      </w:r>
      <w:r w:rsidRPr="00ED5916">
        <w:rPr>
          <w:rFonts w:cs="Times New Roman"/>
          <w:szCs w:val="24"/>
        </w:rPr>
        <w:t xml:space="preserve"> </w:t>
      </w:r>
      <w:r w:rsidR="00C5082C" w:rsidRPr="00ED5916">
        <w:rPr>
          <w:rFonts w:cs="Times New Roman"/>
          <w:szCs w:val="24"/>
        </w:rPr>
        <w:t xml:space="preserve">MTM </w:t>
      </w:r>
      <w:r w:rsidRPr="00ED5916">
        <w:rPr>
          <w:rFonts w:cs="Times New Roman"/>
          <w:szCs w:val="24"/>
        </w:rPr>
        <w:t>w</w:t>
      </w:r>
      <w:r w:rsidR="008601D9" w:rsidRPr="00ED5916">
        <w:rPr>
          <w:rFonts w:cs="Times New Roman"/>
          <w:szCs w:val="24"/>
        </w:rPr>
        <w:t>as</w:t>
      </w:r>
      <w:r w:rsidR="00C5082C" w:rsidRPr="00ED5916">
        <w:rPr>
          <w:rFonts w:cs="Times New Roman"/>
          <w:szCs w:val="24"/>
        </w:rPr>
        <w:t xml:space="preserve"> informed </w:t>
      </w:r>
      <w:r w:rsidRPr="00ED5916">
        <w:rPr>
          <w:rFonts w:cs="Times New Roman"/>
          <w:szCs w:val="24"/>
        </w:rPr>
        <w:t>that the</w:t>
      </w:r>
      <w:r w:rsidR="001E0A5F">
        <w:rPr>
          <w:rFonts w:cs="Times New Roman"/>
          <w:szCs w:val="24"/>
        </w:rPr>
        <w:t>ir</w:t>
      </w:r>
      <w:r w:rsidR="00C5082C" w:rsidRPr="00ED5916">
        <w:rPr>
          <w:rFonts w:cs="Times New Roman"/>
          <w:szCs w:val="24"/>
        </w:rPr>
        <w:t xml:space="preserve"> </w:t>
      </w:r>
      <w:r w:rsidR="008A2E7C">
        <w:rPr>
          <w:rFonts w:cs="Times New Roman"/>
          <w:szCs w:val="24"/>
        </w:rPr>
        <w:t xml:space="preserve">contractual </w:t>
      </w:r>
      <w:r w:rsidR="00C5082C" w:rsidRPr="00ED5916">
        <w:rPr>
          <w:rFonts w:cs="Times New Roman"/>
          <w:szCs w:val="24"/>
        </w:rPr>
        <w:t xml:space="preserve">performance benchmarks </w:t>
      </w:r>
      <w:r w:rsidR="00D20E4D" w:rsidRPr="00ED5916">
        <w:rPr>
          <w:rFonts w:cs="Times New Roman"/>
          <w:szCs w:val="24"/>
        </w:rPr>
        <w:t>had been met and that</w:t>
      </w:r>
      <w:r w:rsidR="00C5082C" w:rsidRPr="00ED5916">
        <w:rPr>
          <w:rFonts w:cs="Times New Roman"/>
          <w:szCs w:val="24"/>
        </w:rPr>
        <w:t xml:space="preserve"> </w:t>
      </w:r>
      <w:r w:rsidRPr="00ED5916">
        <w:rPr>
          <w:rFonts w:cs="Times New Roman"/>
          <w:szCs w:val="24"/>
        </w:rPr>
        <w:t>negotiation</w:t>
      </w:r>
      <w:r w:rsidR="00D20E4D" w:rsidRPr="00ED5916">
        <w:rPr>
          <w:rFonts w:cs="Times New Roman"/>
          <w:szCs w:val="24"/>
        </w:rPr>
        <w:t>s for</w:t>
      </w:r>
      <w:r w:rsidRPr="00ED5916">
        <w:rPr>
          <w:rFonts w:cs="Times New Roman"/>
          <w:szCs w:val="24"/>
        </w:rPr>
        <w:t xml:space="preserve"> a </w:t>
      </w:r>
      <w:r w:rsidR="00C5082C" w:rsidRPr="00ED5916">
        <w:rPr>
          <w:rFonts w:cs="Times New Roman"/>
          <w:szCs w:val="24"/>
        </w:rPr>
        <w:t xml:space="preserve">rollover </w:t>
      </w:r>
      <w:r w:rsidRPr="00ED5916">
        <w:rPr>
          <w:rFonts w:cs="Times New Roman"/>
          <w:szCs w:val="24"/>
        </w:rPr>
        <w:t xml:space="preserve">for </w:t>
      </w:r>
      <w:r w:rsidR="00C5082C" w:rsidRPr="00ED5916">
        <w:rPr>
          <w:rFonts w:cs="Times New Roman"/>
          <w:szCs w:val="24"/>
        </w:rPr>
        <w:t>a second term of seven years</w:t>
      </w:r>
      <w:r w:rsidR="00D20E4D" w:rsidRPr="00ED5916">
        <w:rPr>
          <w:rFonts w:cs="Times New Roman"/>
          <w:szCs w:val="24"/>
        </w:rPr>
        <w:t xml:space="preserve"> would begin late </w:t>
      </w:r>
      <w:r w:rsidR="007E0688" w:rsidRPr="00ED5916">
        <w:rPr>
          <w:rFonts w:cs="Times New Roman"/>
          <w:szCs w:val="24"/>
        </w:rPr>
        <w:t xml:space="preserve">in </w:t>
      </w:r>
      <w:r w:rsidR="00D20E4D" w:rsidRPr="00ED5916">
        <w:rPr>
          <w:rFonts w:cs="Times New Roman"/>
          <w:szCs w:val="24"/>
        </w:rPr>
        <w:t>2016</w:t>
      </w:r>
      <w:r w:rsidR="00C5082C" w:rsidRPr="00ED5916">
        <w:rPr>
          <w:rFonts w:cs="Times New Roman"/>
          <w:szCs w:val="24"/>
        </w:rPr>
        <w:t>.   In order</w:t>
      </w:r>
      <w:r w:rsidR="00D20E4D" w:rsidRPr="00ED5916">
        <w:rPr>
          <w:rFonts w:cs="Times New Roman"/>
          <w:szCs w:val="24"/>
        </w:rPr>
        <w:t xml:space="preserve"> to meet the rollover criteria</w:t>
      </w:r>
      <w:r w:rsidR="00C5082C" w:rsidRPr="00ED5916">
        <w:rPr>
          <w:rFonts w:cs="Times New Roman"/>
          <w:szCs w:val="24"/>
        </w:rPr>
        <w:t xml:space="preserve">, the franchisee </w:t>
      </w:r>
      <w:r w:rsidR="00D20E4D" w:rsidRPr="00ED5916">
        <w:rPr>
          <w:rFonts w:cs="Times New Roman"/>
          <w:szCs w:val="24"/>
        </w:rPr>
        <w:t xml:space="preserve">was required to </w:t>
      </w:r>
      <w:r w:rsidR="00C5082C" w:rsidRPr="00ED5916">
        <w:rPr>
          <w:rFonts w:cs="Times New Roman"/>
          <w:szCs w:val="24"/>
        </w:rPr>
        <w:t>meet five performance benchmarks</w:t>
      </w:r>
      <w:r w:rsidR="00D20E4D" w:rsidRPr="00ED5916">
        <w:rPr>
          <w:rFonts w:cs="Times New Roman"/>
          <w:szCs w:val="24"/>
        </w:rPr>
        <w:t xml:space="preserve"> each year</w:t>
      </w:r>
      <w:r w:rsidR="00C5082C" w:rsidRPr="00ED5916">
        <w:rPr>
          <w:rFonts w:cs="Times New Roman"/>
          <w:szCs w:val="24"/>
        </w:rPr>
        <w:t>: two for re</w:t>
      </w:r>
      <w:r w:rsidRPr="00ED5916">
        <w:rPr>
          <w:rFonts w:cs="Times New Roman"/>
          <w:szCs w:val="24"/>
        </w:rPr>
        <w:t>liability and customer service</w:t>
      </w:r>
      <w:r w:rsidR="00C5082C" w:rsidRPr="00ED5916">
        <w:rPr>
          <w:rFonts w:cs="Times New Roman"/>
          <w:szCs w:val="24"/>
        </w:rPr>
        <w:t xml:space="preserve">; three others </w:t>
      </w:r>
      <w:r w:rsidR="001264A6">
        <w:rPr>
          <w:rFonts w:cs="Times New Roman"/>
          <w:szCs w:val="24"/>
        </w:rPr>
        <w:t xml:space="preserve">were </w:t>
      </w:r>
      <w:r w:rsidR="00C5082C" w:rsidRPr="00ED5916">
        <w:rPr>
          <w:rFonts w:cs="Times New Roman"/>
          <w:szCs w:val="24"/>
        </w:rPr>
        <w:t xml:space="preserve">agreed between PTV and </w:t>
      </w:r>
      <w:r w:rsidR="008601D9" w:rsidRPr="00ED5916">
        <w:rPr>
          <w:rFonts w:cs="Times New Roman"/>
          <w:szCs w:val="24"/>
        </w:rPr>
        <w:t xml:space="preserve">the </w:t>
      </w:r>
      <w:r w:rsidR="00C5082C" w:rsidRPr="00ED5916">
        <w:rPr>
          <w:rFonts w:cs="Times New Roman"/>
          <w:szCs w:val="24"/>
        </w:rPr>
        <w:t>franchisee annually</w:t>
      </w:r>
      <w:r w:rsidR="008A2E7C">
        <w:rPr>
          <w:rFonts w:cs="Times New Roman"/>
          <w:szCs w:val="24"/>
        </w:rPr>
        <w:t>, but not publicly reported</w:t>
      </w:r>
      <w:r w:rsidR="00C5082C" w:rsidRPr="00ED5916">
        <w:rPr>
          <w:rFonts w:cs="Times New Roman"/>
          <w:szCs w:val="24"/>
        </w:rPr>
        <w:t>.</w:t>
      </w:r>
      <w:r w:rsidR="00C12017" w:rsidRPr="00ED5916">
        <w:rPr>
          <w:rFonts w:cs="Times New Roman"/>
          <w:szCs w:val="24"/>
        </w:rPr>
        <w:t xml:space="preserve">  </w:t>
      </w:r>
      <w:r w:rsidR="00D20E4D" w:rsidRPr="00ED5916">
        <w:rPr>
          <w:rFonts w:cs="Times New Roman"/>
          <w:szCs w:val="24"/>
        </w:rPr>
        <w:t>O</w:t>
      </w:r>
      <w:r w:rsidRPr="00ED5916">
        <w:rPr>
          <w:rFonts w:cs="Times New Roman"/>
          <w:szCs w:val="24"/>
        </w:rPr>
        <w:t xml:space="preserve">n 30 September 2016, </w:t>
      </w:r>
      <w:r w:rsidR="00D20E4D" w:rsidRPr="00ED5916">
        <w:rPr>
          <w:rFonts w:cs="Times New Roman"/>
          <w:szCs w:val="24"/>
        </w:rPr>
        <w:t xml:space="preserve">the state issued </w:t>
      </w:r>
      <w:r w:rsidRPr="00ED5916">
        <w:rPr>
          <w:rFonts w:cs="Times New Roman"/>
          <w:szCs w:val="24"/>
        </w:rPr>
        <w:t xml:space="preserve">an </w:t>
      </w:r>
      <w:r w:rsidR="00C12017" w:rsidRPr="00ED5916">
        <w:rPr>
          <w:rFonts w:cs="Times New Roman"/>
          <w:szCs w:val="24"/>
        </w:rPr>
        <w:t>invitation to negotiate (ITN)</w:t>
      </w:r>
      <w:r w:rsidRPr="00ED5916">
        <w:rPr>
          <w:rFonts w:cs="Times New Roman"/>
          <w:szCs w:val="24"/>
        </w:rPr>
        <w:t xml:space="preserve">. The </w:t>
      </w:r>
      <w:r w:rsidR="00C12017" w:rsidRPr="00ED5916">
        <w:rPr>
          <w:rFonts w:cs="Times New Roman"/>
          <w:szCs w:val="24"/>
        </w:rPr>
        <w:t>ITN document</w:t>
      </w:r>
      <w:r w:rsidRPr="00ED5916">
        <w:rPr>
          <w:rFonts w:cs="Times New Roman"/>
          <w:szCs w:val="24"/>
        </w:rPr>
        <w:t xml:space="preserve">, though not in the public realm, </w:t>
      </w:r>
      <w:r w:rsidR="00D20E4D" w:rsidRPr="00ED5916">
        <w:rPr>
          <w:rFonts w:cs="Times New Roman"/>
          <w:szCs w:val="24"/>
        </w:rPr>
        <w:t xml:space="preserve">apparently </w:t>
      </w:r>
      <w:r w:rsidRPr="00ED5916">
        <w:rPr>
          <w:rFonts w:cs="Times New Roman"/>
          <w:szCs w:val="24"/>
        </w:rPr>
        <w:t>l</w:t>
      </w:r>
      <w:r w:rsidR="00C12017" w:rsidRPr="00ED5916">
        <w:rPr>
          <w:rFonts w:cs="Times New Roman"/>
          <w:szCs w:val="24"/>
        </w:rPr>
        <w:t>ay</w:t>
      </w:r>
      <w:r w:rsidRPr="00ED5916">
        <w:rPr>
          <w:rFonts w:cs="Times New Roman"/>
          <w:szCs w:val="24"/>
        </w:rPr>
        <w:t>s</w:t>
      </w:r>
      <w:r w:rsidR="00C12017" w:rsidRPr="00ED5916">
        <w:rPr>
          <w:rFonts w:cs="Times New Roman"/>
          <w:szCs w:val="24"/>
        </w:rPr>
        <w:t xml:space="preserve"> out the timetable </w:t>
      </w:r>
      <w:r w:rsidRPr="00ED5916">
        <w:rPr>
          <w:rFonts w:cs="Times New Roman"/>
          <w:szCs w:val="24"/>
        </w:rPr>
        <w:t>for</w:t>
      </w:r>
      <w:r w:rsidR="001E0A5F">
        <w:rPr>
          <w:rFonts w:cs="Times New Roman"/>
          <w:szCs w:val="24"/>
        </w:rPr>
        <w:t xml:space="preserve"> the negotiation process</w:t>
      </w:r>
      <w:r w:rsidR="00C12017" w:rsidRPr="00ED5916">
        <w:rPr>
          <w:rFonts w:cs="Times New Roman"/>
          <w:szCs w:val="24"/>
        </w:rPr>
        <w:t xml:space="preserve"> and any changes PTV wishes to make to the contract in the second term.  Negotiations </w:t>
      </w:r>
      <w:r w:rsidR="008A2E7C">
        <w:rPr>
          <w:rFonts w:cs="Times New Roman"/>
          <w:szCs w:val="24"/>
        </w:rPr>
        <w:t>have proceeded</w:t>
      </w:r>
      <w:r w:rsidR="00C12017" w:rsidRPr="00ED5916">
        <w:rPr>
          <w:rFonts w:cs="Times New Roman"/>
          <w:szCs w:val="24"/>
        </w:rPr>
        <w:t xml:space="preserve"> on an ‘open book’ basis</w:t>
      </w:r>
      <w:r w:rsidRPr="00ED5916">
        <w:rPr>
          <w:rFonts w:cs="Times New Roman"/>
          <w:szCs w:val="24"/>
        </w:rPr>
        <w:t xml:space="preserve">: </w:t>
      </w:r>
      <w:r w:rsidR="00C12017" w:rsidRPr="00ED5916">
        <w:rPr>
          <w:rFonts w:cs="Times New Roman"/>
          <w:szCs w:val="24"/>
        </w:rPr>
        <w:t xml:space="preserve">costs and profit margins </w:t>
      </w:r>
      <w:r w:rsidR="008A2E7C">
        <w:rPr>
          <w:rFonts w:cs="Times New Roman"/>
          <w:szCs w:val="24"/>
        </w:rPr>
        <w:t>are to be</w:t>
      </w:r>
      <w:r w:rsidR="00C12017" w:rsidRPr="00ED5916">
        <w:rPr>
          <w:rFonts w:cs="Times New Roman"/>
          <w:szCs w:val="24"/>
        </w:rPr>
        <w:t xml:space="preserve"> transparent </w:t>
      </w:r>
      <w:r w:rsidR="00D20E4D" w:rsidRPr="00ED5916">
        <w:rPr>
          <w:rFonts w:cs="Times New Roman"/>
          <w:szCs w:val="24"/>
        </w:rPr>
        <w:t xml:space="preserve">(at least to the two parties) </w:t>
      </w:r>
      <w:r w:rsidR="00C12017" w:rsidRPr="00ED5916">
        <w:rPr>
          <w:rFonts w:cs="Times New Roman"/>
          <w:szCs w:val="24"/>
        </w:rPr>
        <w:t xml:space="preserve">and reconciled to </w:t>
      </w:r>
      <w:r w:rsidR="002E2802" w:rsidRPr="00ED5916">
        <w:rPr>
          <w:rFonts w:cs="Times New Roman"/>
          <w:szCs w:val="24"/>
        </w:rPr>
        <w:t>a ‘bottom up’</w:t>
      </w:r>
      <w:r w:rsidR="008601D9" w:rsidRPr="00ED5916">
        <w:rPr>
          <w:rFonts w:cs="Times New Roman"/>
          <w:szCs w:val="24"/>
        </w:rPr>
        <w:t xml:space="preserve"> </w:t>
      </w:r>
      <w:r w:rsidR="002E2802" w:rsidRPr="00ED5916">
        <w:rPr>
          <w:rFonts w:cs="Times New Roman"/>
          <w:szCs w:val="24"/>
        </w:rPr>
        <w:t xml:space="preserve">comparator model </w:t>
      </w:r>
      <w:r w:rsidR="00E50097" w:rsidRPr="00ED5916">
        <w:rPr>
          <w:rFonts w:cs="Times New Roman"/>
          <w:szCs w:val="24"/>
        </w:rPr>
        <w:t>(Public Transport Victoria, 2012)</w:t>
      </w:r>
      <w:r w:rsidR="00C12017" w:rsidRPr="00ED5916">
        <w:rPr>
          <w:rFonts w:cs="Times New Roman"/>
          <w:szCs w:val="24"/>
        </w:rPr>
        <w:t>.</w:t>
      </w:r>
    </w:p>
    <w:p w14:paraId="72936555" w14:textId="250116C0" w:rsidR="001232D1" w:rsidRDefault="00026FBA" w:rsidP="00237004">
      <w:pPr>
        <w:spacing w:before="120" w:after="120" w:line="360" w:lineRule="auto"/>
        <w:rPr>
          <w:rFonts w:cs="Times New Roman"/>
          <w:szCs w:val="24"/>
        </w:rPr>
      </w:pPr>
      <w:r w:rsidRPr="00ED5916">
        <w:rPr>
          <w:rFonts w:cs="Times New Roman"/>
          <w:szCs w:val="24"/>
        </w:rPr>
        <w:t xml:space="preserve">The PTV franchise negotiations team have </w:t>
      </w:r>
      <w:r w:rsidR="0090767D" w:rsidRPr="00ED5916">
        <w:rPr>
          <w:rFonts w:cs="Times New Roman"/>
          <w:szCs w:val="24"/>
        </w:rPr>
        <w:t xml:space="preserve">advised </w:t>
      </w:r>
      <w:r w:rsidR="001264A6">
        <w:rPr>
          <w:rFonts w:cs="Times New Roman"/>
          <w:szCs w:val="24"/>
        </w:rPr>
        <w:t>‘</w:t>
      </w:r>
      <w:r w:rsidRPr="00ED5916">
        <w:rPr>
          <w:rFonts w:cs="Times New Roman"/>
          <w:szCs w:val="24"/>
        </w:rPr>
        <w:t>they are not at liberty</w:t>
      </w:r>
      <w:r w:rsidR="001264A6">
        <w:rPr>
          <w:rFonts w:cs="Times New Roman"/>
          <w:szCs w:val="24"/>
        </w:rPr>
        <w:t>’</w:t>
      </w:r>
      <w:r w:rsidRPr="00ED5916">
        <w:rPr>
          <w:rFonts w:cs="Times New Roman"/>
          <w:szCs w:val="24"/>
        </w:rPr>
        <w:t xml:space="preserve"> to reveal </w:t>
      </w:r>
      <w:r w:rsidR="006242C1" w:rsidRPr="00ED5916">
        <w:rPr>
          <w:rFonts w:cs="Times New Roman"/>
          <w:szCs w:val="24"/>
        </w:rPr>
        <w:t xml:space="preserve">either </w:t>
      </w:r>
      <w:r w:rsidRPr="00ED5916">
        <w:rPr>
          <w:rFonts w:cs="Times New Roman"/>
          <w:szCs w:val="24"/>
        </w:rPr>
        <w:t xml:space="preserve">details of the </w:t>
      </w:r>
      <w:r w:rsidR="00C5082C" w:rsidRPr="00ED5916">
        <w:rPr>
          <w:rFonts w:cs="Times New Roman"/>
          <w:szCs w:val="24"/>
        </w:rPr>
        <w:t>three variable performance benchmarks</w:t>
      </w:r>
      <w:r w:rsidR="006242C1" w:rsidRPr="00ED5916">
        <w:rPr>
          <w:rFonts w:cs="Times New Roman"/>
          <w:szCs w:val="24"/>
        </w:rPr>
        <w:t xml:space="preserve">, </w:t>
      </w:r>
      <w:r w:rsidR="00C5082C" w:rsidRPr="00ED5916">
        <w:rPr>
          <w:rFonts w:cs="Times New Roman"/>
          <w:szCs w:val="24"/>
        </w:rPr>
        <w:t>or communications documenting the rollover</w:t>
      </w:r>
      <w:r w:rsidR="00FC48C2">
        <w:rPr>
          <w:rFonts w:cs="Times New Roman"/>
          <w:szCs w:val="24"/>
        </w:rPr>
        <w:t>.</w:t>
      </w:r>
      <w:r w:rsidRPr="00ED5916">
        <w:rPr>
          <w:rFonts w:cs="Times New Roman"/>
          <w:szCs w:val="24"/>
        </w:rPr>
        <w:t xml:space="preserve"> </w:t>
      </w:r>
      <w:r w:rsidR="008D7278">
        <w:rPr>
          <w:rFonts w:cs="Times New Roman"/>
          <w:szCs w:val="24"/>
        </w:rPr>
        <w:t xml:space="preserve"> </w:t>
      </w:r>
      <w:r w:rsidR="008A2E7C">
        <w:rPr>
          <w:rFonts w:cs="Times New Roman"/>
          <w:szCs w:val="24"/>
        </w:rPr>
        <w:t>We</w:t>
      </w:r>
      <w:r w:rsidR="008D7278">
        <w:rPr>
          <w:rFonts w:cs="Times New Roman"/>
          <w:szCs w:val="24"/>
        </w:rPr>
        <w:t xml:space="preserve"> </w:t>
      </w:r>
      <w:r w:rsidR="008A2E7C">
        <w:rPr>
          <w:rFonts w:cs="Times New Roman"/>
          <w:szCs w:val="24"/>
        </w:rPr>
        <w:t xml:space="preserve">believe </w:t>
      </w:r>
      <w:r w:rsidR="008D7278">
        <w:rPr>
          <w:rFonts w:cs="Times New Roman"/>
          <w:szCs w:val="24"/>
        </w:rPr>
        <w:t>that for the public to be able to gauge the operational performance of the franchisee or the justification for the rollover all performance criteria should be in the public domain.</w:t>
      </w:r>
    </w:p>
    <w:p w14:paraId="668B7BE0" w14:textId="77777777" w:rsidR="005C44B4" w:rsidRPr="00ED5916" w:rsidRDefault="005C44B4" w:rsidP="00237004">
      <w:pPr>
        <w:spacing w:before="120" w:after="120" w:line="360" w:lineRule="auto"/>
        <w:rPr>
          <w:rFonts w:cs="Times New Roman"/>
          <w:szCs w:val="24"/>
        </w:rPr>
      </w:pPr>
    </w:p>
    <w:p w14:paraId="392B76E7" w14:textId="7A88859E" w:rsidR="00C5082C" w:rsidRPr="00ED5916" w:rsidRDefault="002A2627" w:rsidP="00237004">
      <w:pPr>
        <w:pStyle w:val="Heading1"/>
        <w:spacing w:before="120" w:after="120" w:line="360" w:lineRule="auto"/>
        <w:rPr>
          <w:rFonts w:ascii="Times New Roman" w:hAnsi="Times New Roman" w:cs="Times New Roman"/>
          <w:color w:val="auto"/>
          <w:sz w:val="24"/>
          <w:szCs w:val="24"/>
        </w:rPr>
      </w:pPr>
      <w:r w:rsidRPr="00ED5916">
        <w:rPr>
          <w:rFonts w:ascii="Times New Roman" w:hAnsi="Times New Roman" w:cs="Times New Roman"/>
          <w:color w:val="auto"/>
          <w:sz w:val="24"/>
          <w:szCs w:val="24"/>
        </w:rPr>
        <w:t>4</w:t>
      </w:r>
      <w:r w:rsidRPr="00ED5916">
        <w:rPr>
          <w:rFonts w:ascii="Times New Roman" w:hAnsi="Times New Roman" w:cs="Times New Roman"/>
          <w:color w:val="auto"/>
          <w:sz w:val="24"/>
          <w:szCs w:val="24"/>
        </w:rPr>
        <w:tab/>
      </w:r>
      <w:r w:rsidR="000701A9" w:rsidRPr="00ED5916">
        <w:rPr>
          <w:rFonts w:ascii="Times New Roman" w:hAnsi="Times New Roman" w:cs="Times New Roman"/>
          <w:color w:val="auto"/>
          <w:sz w:val="24"/>
          <w:szCs w:val="24"/>
        </w:rPr>
        <w:t>MTM operating performance</w:t>
      </w:r>
    </w:p>
    <w:p w14:paraId="537D5887" w14:textId="46BD6101" w:rsidR="00D0151D" w:rsidRPr="00ED5916" w:rsidRDefault="00C5082C" w:rsidP="00237004">
      <w:pPr>
        <w:spacing w:before="120" w:after="120" w:line="360" w:lineRule="auto"/>
        <w:rPr>
          <w:rFonts w:cs="Times New Roman"/>
          <w:szCs w:val="24"/>
        </w:rPr>
      </w:pPr>
      <w:r w:rsidRPr="00ED5916">
        <w:rPr>
          <w:rFonts w:cs="Times New Roman"/>
          <w:szCs w:val="24"/>
        </w:rPr>
        <w:t xml:space="preserve">MTM </w:t>
      </w:r>
      <w:r w:rsidR="008A2E7C">
        <w:rPr>
          <w:rFonts w:cs="Times New Roman"/>
          <w:szCs w:val="24"/>
        </w:rPr>
        <w:t>argue</w:t>
      </w:r>
      <w:r w:rsidR="008A2E7C" w:rsidRPr="00ED5916">
        <w:rPr>
          <w:rFonts w:cs="Times New Roman"/>
          <w:szCs w:val="24"/>
        </w:rPr>
        <w:t xml:space="preserve"> </w:t>
      </w:r>
      <w:r w:rsidRPr="00ED5916">
        <w:rPr>
          <w:rFonts w:cs="Times New Roman"/>
          <w:szCs w:val="24"/>
        </w:rPr>
        <w:t>that their operating performance has improved over the</w:t>
      </w:r>
      <w:r w:rsidR="00764F47" w:rsidRPr="00ED5916">
        <w:rPr>
          <w:rFonts w:cs="Times New Roman"/>
          <w:szCs w:val="24"/>
        </w:rPr>
        <w:t xml:space="preserve"> life of the franchise (Figure 2</w:t>
      </w:r>
      <w:r w:rsidRPr="00ED5916">
        <w:rPr>
          <w:rFonts w:cs="Times New Roman"/>
          <w:szCs w:val="24"/>
        </w:rPr>
        <w:t xml:space="preserve">), an assertion which is corroborated in PTV’s public performance </w:t>
      </w:r>
      <w:r w:rsidR="000701A9" w:rsidRPr="00ED5916">
        <w:rPr>
          <w:rFonts w:cs="Times New Roman"/>
          <w:szCs w:val="24"/>
        </w:rPr>
        <w:t>reports</w:t>
      </w:r>
      <w:r w:rsidRPr="00ED5916">
        <w:rPr>
          <w:rFonts w:cs="Times New Roman"/>
          <w:szCs w:val="24"/>
        </w:rPr>
        <w:t>, ‘</w:t>
      </w:r>
      <w:r w:rsidRPr="00ED5916">
        <w:rPr>
          <w:rFonts w:cs="Times New Roman"/>
          <w:i/>
          <w:szCs w:val="24"/>
        </w:rPr>
        <w:t>Track Record</w:t>
      </w:r>
      <w:r w:rsidRPr="00ED5916">
        <w:rPr>
          <w:rFonts w:cs="Times New Roman"/>
          <w:szCs w:val="24"/>
        </w:rPr>
        <w:t xml:space="preserve">’ (Public Transport Victoria, 2016).  </w:t>
      </w:r>
    </w:p>
    <w:p w14:paraId="0ABA205E" w14:textId="33B36BCE" w:rsidR="00D0151D" w:rsidRPr="00ED5916" w:rsidRDefault="00D0151D" w:rsidP="00237004">
      <w:pPr>
        <w:spacing w:before="120" w:after="120" w:line="360" w:lineRule="auto"/>
        <w:rPr>
          <w:rFonts w:cs="Times New Roman"/>
          <w:szCs w:val="24"/>
        </w:rPr>
      </w:pPr>
    </w:p>
    <w:p w14:paraId="77ADD971" w14:textId="1E2A831B" w:rsidR="00FB3A90" w:rsidRPr="00ED5916" w:rsidRDefault="00FB3A90" w:rsidP="00237004">
      <w:pPr>
        <w:spacing w:before="120" w:after="120" w:line="360" w:lineRule="auto"/>
        <w:rPr>
          <w:rFonts w:cs="Times New Roman"/>
          <w:szCs w:val="24"/>
        </w:rPr>
      </w:pPr>
      <w:r w:rsidRPr="00ED5916">
        <w:rPr>
          <w:rFonts w:cs="Times New Roman"/>
          <w:b/>
          <w:szCs w:val="24"/>
        </w:rPr>
        <w:t xml:space="preserve">Figure 2: </w:t>
      </w:r>
      <w:r w:rsidRPr="00ED5916">
        <w:rPr>
          <w:rFonts w:cs="Times New Roman"/>
          <w:szCs w:val="24"/>
        </w:rPr>
        <w:t xml:space="preserve">On-time running 2004-2015. (Source: ‘Metro Key </w:t>
      </w:r>
      <w:proofErr w:type="gramStart"/>
      <w:r w:rsidRPr="00ED5916">
        <w:rPr>
          <w:rFonts w:cs="Times New Roman"/>
          <w:szCs w:val="24"/>
        </w:rPr>
        <w:t>Statistics’,</w:t>
      </w:r>
      <w:proofErr w:type="gramEnd"/>
      <w:r w:rsidRPr="00ED5916">
        <w:rPr>
          <w:rFonts w:cs="Times New Roman"/>
          <w:szCs w:val="24"/>
        </w:rPr>
        <w:t xml:space="preserve"> provided by MTM to the authors in January 2016.  </w:t>
      </w:r>
      <w:proofErr w:type="gramStart"/>
      <w:r w:rsidRPr="00ED5916">
        <w:rPr>
          <w:rFonts w:cs="Times New Roman"/>
          <w:szCs w:val="24"/>
        </w:rPr>
        <w:t>Reproduced with permission from MTM).</w:t>
      </w:r>
      <w:proofErr w:type="gramEnd"/>
    </w:p>
    <w:p w14:paraId="4A27E5F6" w14:textId="77777777" w:rsidR="00FB3A90" w:rsidRPr="00ED5916" w:rsidRDefault="00FB3A90" w:rsidP="00237004">
      <w:pPr>
        <w:spacing w:before="120" w:after="120" w:line="360" w:lineRule="auto"/>
        <w:rPr>
          <w:rFonts w:cs="Times New Roman"/>
          <w:szCs w:val="24"/>
        </w:rPr>
      </w:pPr>
    </w:p>
    <w:p w14:paraId="75A780BB" w14:textId="2984E630" w:rsidR="00D0151D" w:rsidRPr="00ED5916" w:rsidRDefault="008A2E7C" w:rsidP="00237004">
      <w:pPr>
        <w:spacing w:before="120" w:after="120" w:line="360" w:lineRule="auto"/>
        <w:rPr>
          <w:rFonts w:cs="Times New Roman"/>
          <w:szCs w:val="24"/>
        </w:rPr>
      </w:pPr>
      <w:r>
        <w:rPr>
          <w:rFonts w:cs="Times New Roman"/>
          <w:szCs w:val="24"/>
        </w:rPr>
        <w:t>While</w:t>
      </w:r>
      <w:r w:rsidR="00C5082C" w:rsidRPr="00ED5916">
        <w:rPr>
          <w:rFonts w:cs="Times New Roman"/>
          <w:szCs w:val="24"/>
        </w:rPr>
        <w:t xml:space="preserve"> the overall summary figure</w:t>
      </w:r>
      <w:r w:rsidR="00A32548" w:rsidRPr="00ED5916">
        <w:rPr>
          <w:rFonts w:cs="Times New Roman"/>
          <w:szCs w:val="24"/>
        </w:rPr>
        <w:t xml:space="preserve"> for on</w:t>
      </w:r>
      <w:r w:rsidR="000701A9" w:rsidRPr="00ED5916">
        <w:rPr>
          <w:rFonts w:cs="Times New Roman"/>
          <w:szCs w:val="24"/>
        </w:rPr>
        <w:t>-</w:t>
      </w:r>
      <w:r w:rsidR="00A32548" w:rsidRPr="00ED5916">
        <w:rPr>
          <w:rFonts w:cs="Times New Roman"/>
          <w:szCs w:val="24"/>
        </w:rPr>
        <w:t>time performance</w:t>
      </w:r>
      <w:r>
        <w:rPr>
          <w:rFonts w:cs="Times New Roman"/>
          <w:szCs w:val="24"/>
        </w:rPr>
        <w:t xml:space="preserve"> do</w:t>
      </w:r>
      <w:r w:rsidR="001264A6">
        <w:rPr>
          <w:rFonts w:cs="Times New Roman"/>
          <w:szCs w:val="24"/>
        </w:rPr>
        <w:t>es</w:t>
      </w:r>
      <w:r>
        <w:rPr>
          <w:rFonts w:cs="Times New Roman"/>
          <w:szCs w:val="24"/>
        </w:rPr>
        <w:t xml:space="preserve"> record improvement</w:t>
      </w:r>
      <w:r w:rsidR="00C5082C" w:rsidRPr="00ED5916">
        <w:rPr>
          <w:rFonts w:cs="Times New Roman"/>
          <w:szCs w:val="24"/>
        </w:rPr>
        <w:t xml:space="preserve">, </w:t>
      </w:r>
      <w:r>
        <w:rPr>
          <w:rFonts w:cs="Times New Roman"/>
          <w:szCs w:val="24"/>
        </w:rPr>
        <w:t>more careful analysis</w:t>
      </w:r>
      <w:r w:rsidR="00A1212F">
        <w:rPr>
          <w:rFonts w:cs="Times New Roman"/>
          <w:szCs w:val="24"/>
        </w:rPr>
        <w:t xml:space="preserve"> </w:t>
      </w:r>
      <w:r w:rsidR="00A32548" w:rsidRPr="00ED5916">
        <w:rPr>
          <w:rFonts w:cs="Times New Roman"/>
          <w:szCs w:val="24"/>
        </w:rPr>
        <w:t>suggest</w:t>
      </w:r>
      <w:r w:rsidR="00A1212F">
        <w:rPr>
          <w:rFonts w:cs="Times New Roman"/>
          <w:szCs w:val="24"/>
        </w:rPr>
        <w:t>s</w:t>
      </w:r>
      <w:r w:rsidR="00D0151D" w:rsidRPr="00ED5916">
        <w:rPr>
          <w:rFonts w:cs="Times New Roman"/>
          <w:szCs w:val="24"/>
        </w:rPr>
        <w:t xml:space="preserve"> that this </w:t>
      </w:r>
      <w:r w:rsidR="00A32548" w:rsidRPr="00ED5916">
        <w:rPr>
          <w:rFonts w:cs="Times New Roman"/>
          <w:szCs w:val="24"/>
        </w:rPr>
        <w:t xml:space="preserve">overall adherence </w:t>
      </w:r>
      <w:r w:rsidR="00123335">
        <w:rPr>
          <w:rFonts w:cs="Times New Roman"/>
          <w:szCs w:val="24"/>
        </w:rPr>
        <w:t>is likely to have</w:t>
      </w:r>
      <w:r w:rsidR="00D0151D" w:rsidRPr="00ED5916">
        <w:rPr>
          <w:rFonts w:cs="Times New Roman"/>
          <w:szCs w:val="24"/>
        </w:rPr>
        <w:t xml:space="preserve"> been achieved through running incomplete services</w:t>
      </w:r>
      <w:r w:rsidR="00826449" w:rsidRPr="00ED5916">
        <w:rPr>
          <w:rFonts w:cs="Times New Roman"/>
          <w:szCs w:val="24"/>
        </w:rPr>
        <w:t xml:space="preserve"> and maximising performance in the less crowded off peak periods, meaning that far </w:t>
      </w:r>
      <w:r w:rsidR="008601D9" w:rsidRPr="00ED5916">
        <w:rPr>
          <w:rFonts w:cs="Times New Roman"/>
          <w:szCs w:val="24"/>
        </w:rPr>
        <w:t>more</w:t>
      </w:r>
      <w:r w:rsidR="00826449" w:rsidRPr="00ED5916">
        <w:rPr>
          <w:rFonts w:cs="Times New Roman"/>
          <w:szCs w:val="24"/>
        </w:rPr>
        <w:t xml:space="preserve"> passengers are affected by delays and cancellations in the peak</w:t>
      </w:r>
      <w:r w:rsidR="00A1212F">
        <w:rPr>
          <w:rFonts w:cs="Times New Roman"/>
          <w:szCs w:val="24"/>
        </w:rPr>
        <w:t xml:space="preserve">. </w:t>
      </w:r>
      <w:r w:rsidR="00A1212F" w:rsidRPr="00ED5916">
        <w:rPr>
          <w:rFonts w:cs="Times New Roman"/>
          <w:i/>
          <w:szCs w:val="24"/>
        </w:rPr>
        <w:t>The Age</w:t>
      </w:r>
      <w:r w:rsidR="00A1212F" w:rsidRPr="00ED5916">
        <w:rPr>
          <w:rFonts w:cs="Times New Roman"/>
          <w:szCs w:val="24"/>
        </w:rPr>
        <w:t xml:space="preserve"> (Carey, 2015a; Carey, 2015b)</w:t>
      </w:r>
      <w:r w:rsidR="00A1212F">
        <w:rPr>
          <w:rFonts w:cs="Times New Roman"/>
          <w:szCs w:val="24"/>
        </w:rPr>
        <w:t xml:space="preserve"> reported that</w:t>
      </w:r>
      <w:r w:rsidR="00D0151D" w:rsidRPr="00ED5916">
        <w:rPr>
          <w:rFonts w:cs="Times New Roman"/>
          <w:szCs w:val="24"/>
        </w:rPr>
        <w:t>:</w:t>
      </w:r>
    </w:p>
    <w:p w14:paraId="36027D25" w14:textId="296E6D93" w:rsidR="00D0151D" w:rsidRPr="00ED5916" w:rsidRDefault="00D0151D" w:rsidP="001315D0">
      <w:pPr>
        <w:spacing w:before="120" w:after="120" w:line="360" w:lineRule="auto"/>
        <w:ind w:left="720"/>
        <w:rPr>
          <w:rFonts w:cs="Times New Roman"/>
          <w:i/>
          <w:iCs/>
          <w:szCs w:val="24"/>
        </w:rPr>
      </w:pPr>
      <w:proofErr w:type="gramStart"/>
      <w:r w:rsidRPr="00ED5916">
        <w:rPr>
          <w:rFonts w:cs="Times New Roman"/>
          <w:i/>
          <w:iCs/>
          <w:szCs w:val="24"/>
        </w:rPr>
        <w:t>‘In the 18 months to September 2015</w:t>
      </w:r>
      <w:r w:rsidR="000701A9" w:rsidRPr="00ED5916">
        <w:rPr>
          <w:rFonts w:cs="Times New Roman"/>
          <w:i/>
          <w:iCs/>
          <w:szCs w:val="24"/>
        </w:rPr>
        <w:t>,</w:t>
      </w:r>
      <w:r w:rsidRPr="00ED5916">
        <w:rPr>
          <w:rFonts w:cs="Times New Roman"/>
          <w:i/>
          <w:iCs/>
          <w:szCs w:val="24"/>
        </w:rPr>
        <w:t xml:space="preserve"> MTM received $16.7 million in incentive bonuses…achieved in part by… running hundreds of incomplete services…’</w:t>
      </w:r>
      <w:proofErr w:type="gramEnd"/>
    </w:p>
    <w:p w14:paraId="1887CDFC" w14:textId="28601197" w:rsidR="006F1248" w:rsidRPr="00ED5916" w:rsidRDefault="00904362" w:rsidP="001315D0">
      <w:pPr>
        <w:spacing w:before="120" w:after="120" w:line="360" w:lineRule="auto"/>
        <w:ind w:left="720"/>
        <w:rPr>
          <w:rFonts w:cs="Times New Roman"/>
          <w:i/>
          <w:iCs/>
          <w:szCs w:val="24"/>
        </w:rPr>
      </w:pPr>
      <w:r w:rsidRPr="00ED5916">
        <w:rPr>
          <w:rFonts w:cs="Times New Roman"/>
          <w:i/>
          <w:iCs/>
          <w:szCs w:val="24"/>
        </w:rPr>
        <w:t>‘…</w:t>
      </w:r>
      <w:r w:rsidR="00225BB8" w:rsidRPr="00ED5916">
        <w:rPr>
          <w:rFonts w:cs="Times New Roman"/>
          <w:i/>
          <w:iCs/>
          <w:szCs w:val="24"/>
        </w:rPr>
        <w:t>M</w:t>
      </w:r>
      <w:r w:rsidRPr="00ED5916">
        <w:rPr>
          <w:rFonts w:cs="Times New Roman"/>
          <w:i/>
          <w:iCs/>
          <w:szCs w:val="24"/>
        </w:rPr>
        <w:t xml:space="preserve">etro ran just 85 per cent of trains on time in the morning peak and 89 per cent of </w:t>
      </w:r>
      <w:r w:rsidR="001E0A5F">
        <w:rPr>
          <w:rFonts w:cs="Times New Roman"/>
          <w:i/>
          <w:iCs/>
          <w:szCs w:val="24"/>
        </w:rPr>
        <w:t xml:space="preserve">afternoon </w:t>
      </w:r>
      <w:r w:rsidR="000701A9" w:rsidRPr="00ED5916">
        <w:rPr>
          <w:rFonts w:cs="Times New Roman"/>
          <w:i/>
          <w:iCs/>
          <w:szCs w:val="24"/>
        </w:rPr>
        <w:t>peak</w:t>
      </w:r>
      <w:r w:rsidR="001E0A5F">
        <w:rPr>
          <w:rFonts w:cs="Times New Roman"/>
          <w:i/>
          <w:iCs/>
          <w:szCs w:val="24"/>
        </w:rPr>
        <w:t xml:space="preserve"> services were punctual…</w:t>
      </w:r>
      <w:r w:rsidRPr="00ED5916">
        <w:rPr>
          <w:rFonts w:cs="Times New Roman"/>
          <w:i/>
          <w:iCs/>
          <w:szCs w:val="24"/>
        </w:rPr>
        <w:t>By contrast, it ran 95 per cent of trains on time on Saturdays and Sundays when patronage is lower and services are less frequent… helping the company to avoid paying out customer compensation to monthly and yearly myki pass holders.’</w:t>
      </w:r>
    </w:p>
    <w:p w14:paraId="7892498C" w14:textId="5B595042" w:rsidR="00E365E1" w:rsidRPr="00ED5916" w:rsidRDefault="00225BB8" w:rsidP="00237004">
      <w:pPr>
        <w:spacing w:before="120" w:after="120" w:line="360" w:lineRule="auto"/>
        <w:rPr>
          <w:rFonts w:cs="Times New Roman"/>
          <w:szCs w:val="24"/>
        </w:rPr>
      </w:pPr>
      <w:r w:rsidRPr="00ED5916">
        <w:rPr>
          <w:rFonts w:cs="Times New Roman"/>
          <w:iCs/>
          <w:szCs w:val="24"/>
        </w:rPr>
        <w:t xml:space="preserve">The contracts </w:t>
      </w:r>
      <w:r w:rsidRPr="00ED5916">
        <w:rPr>
          <w:rFonts w:cs="Times New Roman"/>
          <w:i/>
          <w:iCs/>
          <w:szCs w:val="24"/>
        </w:rPr>
        <w:t>do</w:t>
      </w:r>
      <w:r w:rsidRPr="00ED5916">
        <w:rPr>
          <w:rFonts w:cs="Times New Roman"/>
          <w:iCs/>
          <w:szCs w:val="24"/>
        </w:rPr>
        <w:t xml:space="preserve"> include complicated formulae for ‘Passenger Weighted Minutes’: an attempt to relate delays to the number of passengers affected</w:t>
      </w:r>
      <w:r w:rsidR="00A1212F">
        <w:rPr>
          <w:rFonts w:cs="Times New Roman"/>
          <w:iCs/>
          <w:szCs w:val="24"/>
        </w:rPr>
        <w:t>, however t</w:t>
      </w:r>
      <w:r w:rsidRPr="00ED5916">
        <w:rPr>
          <w:rFonts w:cs="Times New Roman"/>
          <w:iCs/>
          <w:szCs w:val="24"/>
        </w:rPr>
        <w:t>hese are not part of the publicly reported performance measures</w:t>
      </w:r>
      <w:r w:rsidR="00FA473C" w:rsidRPr="00ED5916">
        <w:rPr>
          <w:rFonts w:cs="Times New Roman"/>
          <w:iCs/>
          <w:szCs w:val="24"/>
        </w:rPr>
        <w:t xml:space="preserve">. </w:t>
      </w:r>
      <w:r w:rsidRPr="00ED5916">
        <w:rPr>
          <w:rFonts w:cs="Times New Roman"/>
          <w:iCs/>
          <w:szCs w:val="24"/>
        </w:rPr>
        <w:t xml:space="preserve">MTM can get bonuses for exceeding targets </w:t>
      </w:r>
      <w:r w:rsidR="00EA0F67" w:rsidRPr="00ED5916">
        <w:rPr>
          <w:rFonts w:cs="Times New Roman"/>
          <w:iCs/>
          <w:szCs w:val="24"/>
        </w:rPr>
        <w:t xml:space="preserve">and incur a symmetrical financial penalty for </w:t>
      </w:r>
      <w:r w:rsidRPr="00ED5916">
        <w:rPr>
          <w:rFonts w:cs="Times New Roman"/>
          <w:iCs/>
          <w:szCs w:val="24"/>
        </w:rPr>
        <w:t>fail</w:t>
      </w:r>
      <w:r w:rsidR="00EA0F67" w:rsidRPr="00ED5916">
        <w:rPr>
          <w:rFonts w:cs="Times New Roman"/>
          <w:iCs/>
          <w:szCs w:val="24"/>
        </w:rPr>
        <w:t>ing to meet them</w:t>
      </w:r>
      <w:r w:rsidRPr="00ED5916">
        <w:rPr>
          <w:rFonts w:cs="Times New Roman"/>
          <w:iCs/>
          <w:szCs w:val="24"/>
        </w:rPr>
        <w:t xml:space="preserve">. </w:t>
      </w:r>
      <w:r w:rsidRPr="00ED5916">
        <w:rPr>
          <w:rFonts w:cs="Times New Roman"/>
          <w:szCs w:val="24"/>
        </w:rPr>
        <w:t xml:space="preserve">The practice of skipping stops to meet punctuality targets has received considerable </w:t>
      </w:r>
      <w:r w:rsidR="006242C1" w:rsidRPr="00ED5916">
        <w:rPr>
          <w:rFonts w:cs="Times New Roman"/>
          <w:szCs w:val="24"/>
        </w:rPr>
        <w:t>media</w:t>
      </w:r>
      <w:r w:rsidR="001A165E" w:rsidRPr="00ED5916">
        <w:rPr>
          <w:rFonts w:cs="Times New Roman"/>
          <w:szCs w:val="24"/>
        </w:rPr>
        <w:t xml:space="preserve"> attention</w:t>
      </w:r>
      <w:r w:rsidR="006242C1" w:rsidRPr="00ED5916">
        <w:rPr>
          <w:rFonts w:cs="Times New Roman"/>
          <w:szCs w:val="24"/>
        </w:rPr>
        <w:t xml:space="preserve"> in Melbourne</w:t>
      </w:r>
      <w:r w:rsidR="001A165E" w:rsidRPr="00ED5916">
        <w:rPr>
          <w:rFonts w:cs="Times New Roman"/>
          <w:szCs w:val="24"/>
        </w:rPr>
        <w:t xml:space="preserve">. </w:t>
      </w:r>
      <w:r w:rsidR="005C44B4">
        <w:rPr>
          <w:rFonts w:cs="Times New Roman"/>
          <w:szCs w:val="24"/>
        </w:rPr>
        <w:t xml:space="preserve">  </w:t>
      </w:r>
      <w:r w:rsidR="0071240C" w:rsidRPr="00ED5916">
        <w:rPr>
          <w:rFonts w:cs="Times New Roman"/>
          <w:szCs w:val="24"/>
        </w:rPr>
        <w:t>T</w:t>
      </w:r>
      <w:r w:rsidR="00C61259" w:rsidRPr="00ED5916">
        <w:rPr>
          <w:rFonts w:cs="Times New Roman"/>
          <w:szCs w:val="24"/>
        </w:rPr>
        <w:t xml:space="preserve">he government has already indicated that </w:t>
      </w:r>
      <w:r w:rsidR="0071240C" w:rsidRPr="00ED5916">
        <w:rPr>
          <w:rFonts w:cs="Times New Roman"/>
          <w:szCs w:val="24"/>
        </w:rPr>
        <w:t>tighter standards will be pursued in the current negotiations</w:t>
      </w:r>
      <w:r w:rsidR="00C61259" w:rsidRPr="00ED5916">
        <w:rPr>
          <w:rFonts w:cs="Times New Roman"/>
          <w:szCs w:val="24"/>
        </w:rPr>
        <w:t>.</w:t>
      </w:r>
    </w:p>
    <w:p w14:paraId="250C46DC" w14:textId="77777777" w:rsidR="006A36AE" w:rsidRPr="00ED5916" w:rsidRDefault="006A36AE" w:rsidP="00237004">
      <w:pPr>
        <w:spacing w:before="120" w:after="120" w:line="360" w:lineRule="auto"/>
        <w:rPr>
          <w:rFonts w:cs="Times New Roman"/>
          <w:szCs w:val="24"/>
        </w:rPr>
      </w:pPr>
    </w:p>
    <w:p w14:paraId="42234232" w14:textId="627AF070" w:rsidR="00C45FCE" w:rsidRPr="00ED5916" w:rsidRDefault="002A2627" w:rsidP="00237004">
      <w:pPr>
        <w:pStyle w:val="Heading1"/>
        <w:spacing w:before="120" w:after="120" w:line="360" w:lineRule="auto"/>
        <w:rPr>
          <w:rFonts w:ascii="Times New Roman" w:hAnsi="Times New Roman" w:cs="Times New Roman"/>
          <w:color w:val="auto"/>
          <w:sz w:val="24"/>
          <w:szCs w:val="24"/>
        </w:rPr>
      </w:pPr>
      <w:r w:rsidRPr="00ED5916">
        <w:rPr>
          <w:rFonts w:ascii="Times New Roman" w:hAnsi="Times New Roman" w:cs="Times New Roman"/>
          <w:color w:val="auto"/>
          <w:sz w:val="24"/>
          <w:szCs w:val="24"/>
        </w:rPr>
        <w:t>5</w:t>
      </w:r>
      <w:r w:rsidRPr="00ED5916">
        <w:rPr>
          <w:rFonts w:ascii="Times New Roman" w:hAnsi="Times New Roman" w:cs="Times New Roman"/>
          <w:color w:val="auto"/>
          <w:sz w:val="24"/>
          <w:szCs w:val="24"/>
        </w:rPr>
        <w:tab/>
      </w:r>
      <w:r w:rsidR="001A165E" w:rsidRPr="00ED5916">
        <w:rPr>
          <w:rFonts w:ascii="Times New Roman" w:hAnsi="Times New Roman" w:cs="Times New Roman"/>
          <w:color w:val="auto"/>
          <w:sz w:val="24"/>
          <w:szCs w:val="24"/>
        </w:rPr>
        <w:t>How efficient is the Melbourne system?</w:t>
      </w:r>
    </w:p>
    <w:p w14:paraId="5DAF5200" w14:textId="71DA9379" w:rsidR="00B215AE" w:rsidRPr="00ED5916" w:rsidRDefault="001A165E" w:rsidP="00237004">
      <w:pPr>
        <w:spacing w:before="120" w:after="120" w:line="360" w:lineRule="auto"/>
        <w:rPr>
          <w:rFonts w:cs="Times New Roman"/>
          <w:szCs w:val="24"/>
        </w:rPr>
      </w:pPr>
      <w:r w:rsidRPr="00ED5916">
        <w:rPr>
          <w:rFonts w:cs="Times New Roman"/>
          <w:szCs w:val="24"/>
        </w:rPr>
        <w:t xml:space="preserve">Some of the </w:t>
      </w:r>
      <w:r w:rsidR="00370F3E">
        <w:rPr>
          <w:rFonts w:cs="Times New Roman"/>
          <w:szCs w:val="24"/>
        </w:rPr>
        <w:t xml:space="preserve">suggestions of other cities in Australia </w:t>
      </w:r>
      <w:r w:rsidRPr="00ED5916">
        <w:rPr>
          <w:rFonts w:cs="Times New Roman"/>
          <w:szCs w:val="24"/>
        </w:rPr>
        <w:t xml:space="preserve">adopting the Melbourne model </w:t>
      </w:r>
      <w:r w:rsidR="00042B8B">
        <w:rPr>
          <w:rFonts w:cs="Times New Roman"/>
          <w:szCs w:val="24"/>
        </w:rPr>
        <w:t xml:space="preserve">(see </w:t>
      </w:r>
      <w:r w:rsidR="00042B8B" w:rsidRPr="00042B8B">
        <w:rPr>
          <w:rFonts w:cs="Times New Roman"/>
        </w:rPr>
        <w:t>Moore, 2017)</w:t>
      </w:r>
      <w:r w:rsidR="00042B8B">
        <w:rPr>
          <w:rFonts w:cs="Times New Roman"/>
          <w:szCs w:val="24"/>
        </w:rPr>
        <w:t xml:space="preserve"> </w:t>
      </w:r>
      <w:r w:rsidRPr="00ED5916">
        <w:rPr>
          <w:rFonts w:cs="Times New Roman"/>
          <w:szCs w:val="24"/>
        </w:rPr>
        <w:t>come from claims of greater efficiency</w:t>
      </w:r>
      <w:r w:rsidR="00B50A27">
        <w:rPr>
          <w:rFonts w:cs="Times New Roman"/>
          <w:szCs w:val="24"/>
        </w:rPr>
        <w:t xml:space="preserve"> (for example as described in </w:t>
      </w:r>
      <w:r w:rsidR="00B50A27" w:rsidRPr="00B50A27">
        <w:rPr>
          <w:rFonts w:cs="Times New Roman"/>
        </w:rPr>
        <w:t>IPART, 2015)</w:t>
      </w:r>
      <w:r w:rsidRPr="00ED5916">
        <w:rPr>
          <w:rFonts w:cs="Times New Roman"/>
          <w:szCs w:val="24"/>
        </w:rPr>
        <w:t>.</w:t>
      </w:r>
      <w:r w:rsidR="00370F3E">
        <w:rPr>
          <w:rFonts w:cs="Times New Roman"/>
          <w:szCs w:val="24"/>
        </w:rPr>
        <w:t xml:space="preserve">  </w:t>
      </w:r>
      <w:r w:rsidR="00926EC0" w:rsidRPr="00ED5916">
        <w:rPr>
          <w:rFonts w:cs="Times New Roman"/>
          <w:szCs w:val="24"/>
        </w:rPr>
        <w:t xml:space="preserve">To </w:t>
      </w:r>
      <w:r w:rsidR="004D5DE9" w:rsidRPr="00ED5916">
        <w:rPr>
          <w:rFonts w:cs="Times New Roman"/>
          <w:szCs w:val="24"/>
        </w:rPr>
        <w:t>assess</w:t>
      </w:r>
      <w:r w:rsidR="00926EC0" w:rsidRPr="00ED5916">
        <w:rPr>
          <w:rFonts w:cs="Times New Roman"/>
          <w:szCs w:val="24"/>
        </w:rPr>
        <w:t xml:space="preserve"> the </w:t>
      </w:r>
      <w:r w:rsidR="004D5DE9" w:rsidRPr="00ED5916">
        <w:rPr>
          <w:rFonts w:cs="Times New Roman"/>
          <w:szCs w:val="24"/>
        </w:rPr>
        <w:t xml:space="preserve">relative </w:t>
      </w:r>
      <w:r w:rsidR="00926EC0" w:rsidRPr="00ED5916">
        <w:rPr>
          <w:rFonts w:cs="Times New Roman"/>
          <w:szCs w:val="24"/>
        </w:rPr>
        <w:t xml:space="preserve">performance of rail systems across different geographies, comparative benchmarking is </w:t>
      </w:r>
      <w:r w:rsidR="00B215AE" w:rsidRPr="00ED5916">
        <w:rPr>
          <w:rFonts w:cs="Times New Roman"/>
          <w:szCs w:val="24"/>
        </w:rPr>
        <w:t xml:space="preserve">typically used.  There are several international railway benchmarking </w:t>
      </w:r>
      <w:r w:rsidR="00451215" w:rsidRPr="00ED5916">
        <w:rPr>
          <w:rFonts w:cs="Times New Roman"/>
          <w:szCs w:val="24"/>
        </w:rPr>
        <w:t>consortia</w:t>
      </w:r>
      <w:r w:rsidR="00B215AE" w:rsidRPr="00ED5916">
        <w:rPr>
          <w:rFonts w:cs="Times New Roman"/>
          <w:szCs w:val="24"/>
        </w:rPr>
        <w:t xml:space="preserve"> in existence, the two best known being the International Suburban Rail Benchmarking Group</w:t>
      </w:r>
      <w:r w:rsidR="00451215" w:rsidRPr="00ED5916">
        <w:rPr>
          <w:rFonts w:cs="Times New Roman"/>
          <w:szCs w:val="24"/>
        </w:rPr>
        <w:t xml:space="preserve"> and the Community of Metros</w:t>
      </w:r>
      <w:r w:rsidR="00B215AE" w:rsidRPr="00ED5916">
        <w:rPr>
          <w:rFonts w:cs="Times New Roman"/>
          <w:szCs w:val="24"/>
        </w:rPr>
        <w:t xml:space="preserve"> (</w:t>
      </w:r>
      <w:proofErr w:type="spellStart"/>
      <w:r w:rsidR="00B215AE" w:rsidRPr="00ED5916">
        <w:rPr>
          <w:rFonts w:cs="Times New Roman"/>
          <w:szCs w:val="24"/>
        </w:rPr>
        <w:t>CoMET</w:t>
      </w:r>
      <w:proofErr w:type="spellEnd"/>
      <w:r w:rsidR="00B215AE" w:rsidRPr="00ED5916">
        <w:rPr>
          <w:rFonts w:cs="Times New Roman"/>
          <w:szCs w:val="24"/>
        </w:rPr>
        <w:t xml:space="preserve">, 2016; </w:t>
      </w:r>
      <w:proofErr w:type="spellStart"/>
      <w:r w:rsidR="00B215AE" w:rsidRPr="00ED5916">
        <w:rPr>
          <w:rFonts w:cs="Times New Roman"/>
          <w:szCs w:val="24"/>
        </w:rPr>
        <w:t>ISBeRG</w:t>
      </w:r>
      <w:proofErr w:type="spellEnd"/>
      <w:r w:rsidR="00B215AE" w:rsidRPr="00ED5916">
        <w:rPr>
          <w:rFonts w:cs="Times New Roman"/>
          <w:szCs w:val="24"/>
        </w:rPr>
        <w:t>, 2016).</w:t>
      </w:r>
    </w:p>
    <w:p w14:paraId="29E9C209" w14:textId="5FC1A0B6" w:rsidR="00DA418B" w:rsidRPr="00ED5916" w:rsidRDefault="00B215AE" w:rsidP="00237004">
      <w:pPr>
        <w:spacing w:before="120" w:after="120" w:line="360" w:lineRule="auto"/>
        <w:rPr>
          <w:rFonts w:cs="Times New Roman"/>
          <w:szCs w:val="24"/>
        </w:rPr>
      </w:pPr>
      <w:r w:rsidRPr="00ED5916">
        <w:rPr>
          <w:rFonts w:cs="Times New Roman"/>
          <w:szCs w:val="24"/>
        </w:rPr>
        <w:t xml:space="preserve">Comparative benchmarking is </w:t>
      </w:r>
      <w:r w:rsidR="00926EC0" w:rsidRPr="00ED5916">
        <w:rPr>
          <w:rFonts w:cs="Times New Roman"/>
          <w:szCs w:val="24"/>
        </w:rPr>
        <w:t>a useful tool, provided it is used to inform further analysis, not draw definitive conclusions</w:t>
      </w:r>
      <w:r w:rsidR="001E2E08" w:rsidRPr="00ED5916">
        <w:rPr>
          <w:rFonts w:cs="Times New Roman"/>
          <w:szCs w:val="24"/>
        </w:rPr>
        <w:t xml:space="preserve"> from high level and, typically, non-uniform data</w:t>
      </w:r>
      <w:r w:rsidRPr="00ED5916">
        <w:rPr>
          <w:rFonts w:cs="Times New Roman"/>
          <w:szCs w:val="24"/>
        </w:rPr>
        <w:t xml:space="preserve">.  </w:t>
      </w:r>
      <w:r w:rsidR="00926EC0" w:rsidRPr="00ED5916">
        <w:rPr>
          <w:rFonts w:cs="Times New Roman"/>
          <w:szCs w:val="24"/>
        </w:rPr>
        <w:t xml:space="preserve">It is the presence of exogenous, city-specific, factors that make reaching definitive conclusions from </w:t>
      </w:r>
      <w:r w:rsidR="00926EC0" w:rsidRPr="00ED5916">
        <w:rPr>
          <w:rFonts w:cs="Times New Roman"/>
          <w:szCs w:val="24"/>
        </w:rPr>
        <w:lastRenderedPageBreak/>
        <w:t>benchmarking problematic.  Even within nations</w:t>
      </w:r>
      <w:r w:rsidR="001E2E08" w:rsidRPr="00ED5916">
        <w:rPr>
          <w:rFonts w:cs="Times New Roman"/>
          <w:szCs w:val="24"/>
        </w:rPr>
        <w:t>,</w:t>
      </w:r>
      <w:r w:rsidR="00926EC0" w:rsidRPr="00ED5916">
        <w:rPr>
          <w:rFonts w:cs="Times New Roman"/>
          <w:szCs w:val="24"/>
        </w:rPr>
        <w:t xml:space="preserve"> railways operate within different settings</w:t>
      </w:r>
      <w:r w:rsidR="001E2E08" w:rsidRPr="00ED5916">
        <w:rPr>
          <w:rFonts w:cs="Times New Roman"/>
          <w:szCs w:val="24"/>
        </w:rPr>
        <w:t>,</w:t>
      </w:r>
      <w:r w:rsidR="00926EC0" w:rsidRPr="00ED5916">
        <w:rPr>
          <w:rFonts w:cs="Times New Roman"/>
          <w:szCs w:val="24"/>
        </w:rPr>
        <w:t xml:space="preserve"> and at any point in time bring a plethora of unique variables</w:t>
      </w:r>
      <w:r w:rsidR="00AA3297" w:rsidRPr="00ED5916">
        <w:rPr>
          <w:rFonts w:cs="Times New Roman"/>
          <w:szCs w:val="24"/>
        </w:rPr>
        <w:t xml:space="preserve"> to the analytical process: </w:t>
      </w:r>
      <w:r w:rsidR="00926EC0" w:rsidRPr="00ED5916">
        <w:rPr>
          <w:rFonts w:cs="Times New Roman"/>
          <w:szCs w:val="24"/>
        </w:rPr>
        <w:t>age of assets, regulatory models, operating conditions, maintenance backlogs, fares policy to name a few.  Simply comparing outputs per unit input is an interesting first step in understanding a railway’s performance, but no more</w:t>
      </w:r>
      <w:r w:rsidR="001E2E08" w:rsidRPr="00ED5916">
        <w:rPr>
          <w:rFonts w:cs="Times New Roman"/>
          <w:szCs w:val="24"/>
        </w:rPr>
        <w:t xml:space="preserve">.  </w:t>
      </w:r>
      <w:r w:rsidR="00926EC0" w:rsidRPr="00ED5916">
        <w:rPr>
          <w:rFonts w:cs="Times New Roman"/>
          <w:szCs w:val="24"/>
        </w:rPr>
        <w:t xml:space="preserve">Mau and Ashmore (2004) make this point strongly stating that wrongly used a simple comparison of benchmarked performance indicators can be at best </w:t>
      </w:r>
      <w:r w:rsidR="00123335">
        <w:rPr>
          <w:rFonts w:cs="Times New Roman"/>
          <w:szCs w:val="24"/>
        </w:rPr>
        <w:t>‘i</w:t>
      </w:r>
      <w:r w:rsidR="00926EC0" w:rsidRPr="00ED5916">
        <w:rPr>
          <w:rFonts w:cs="Times New Roman"/>
          <w:szCs w:val="24"/>
        </w:rPr>
        <w:t>rrelevant</w:t>
      </w:r>
      <w:r w:rsidR="00123335">
        <w:rPr>
          <w:rFonts w:cs="Times New Roman"/>
          <w:szCs w:val="24"/>
        </w:rPr>
        <w:t>’</w:t>
      </w:r>
      <w:r w:rsidR="00926EC0" w:rsidRPr="00ED5916">
        <w:rPr>
          <w:rFonts w:cs="Times New Roman"/>
          <w:szCs w:val="24"/>
        </w:rPr>
        <w:t xml:space="preserve"> and at worst </w:t>
      </w:r>
      <w:r w:rsidR="00123335">
        <w:rPr>
          <w:rFonts w:cs="Times New Roman"/>
          <w:szCs w:val="24"/>
        </w:rPr>
        <w:t>‘</w:t>
      </w:r>
      <w:r w:rsidR="00926EC0" w:rsidRPr="00ED5916">
        <w:rPr>
          <w:rFonts w:cs="Times New Roman"/>
          <w:szCs w:val="24"/>
        </w:rPr>
        <w:t>a b</w:t>
      </w:r>
      <w:r w:rsidR="00123335">
        <w:rPr>
          <w:rFonts w:cs="Times New Roman"/>
          <w:szCs w:val="24"/>
        </w:rPr>
        <w:t>asis for crucifying the innocent’</w:t>
      </w:r>
      <w:r w:rsidR="00210CF9" w:rsidRPr="00ED5916">
        <w:rPr>
          <w:rFonts w:cs="Times New Roman"/>
          <w:szCs w:val="24"/>
        </w:rPr>
        <w:t xml:space="preserve"> (p. 293).</w:t>
      </w:r>
    </w:p>
    <w:p w14:paraId="310F9DAE" w14:textId="45A9E536" w:rsidR="00A36C69" w:rsidRDefault="00CA7E82" w:rsidP="00237004">
      <w:pPr>
        <w:spacing w:before="120" w:after="120" w:line="360" w:lineRule="auto"/>
      </w:pPr>
      <w:r w:rsidRPr="00ED5916">
        <w:rPr>
          <w:rFonts w:cs="Times New Roman"/>
          <w:szCs w:val="24"/>
        </w:rPr>
        <w:t>T</w:t>
      </w:r>
      <w:r w:rsidR="00926EC0" w:rsidRPr="00ED5916">
        <w:rPr>
          <w:rFonts w:cs="Times New Roman"/>
          <w:szCs w:val="24"/>
        </w:rPr>
        <w:t xml:space="preserve">he true value </w:t>
      </w:r>
      <w:r w:rsidR="00AA3297" w:rsidRPr="00ED5916">
        <w:rPr>
          <w:rFonts w:cs="Times New Roman"/>
          <w:szCs w:val="24"/>
        </w:rPr>
        <w:t xml:space="preserve">in any comparative exercises </w:t>
      </w:r>
      <w:r w:rsidR="00926EC0" w:rsidRPr="00ED5916">
        <w:rPr>
          <w:rFonts w:cs="Times New Roman"/>
          <w:szCs w:val="24"/>
        </w:rPr>
        <w:t xml:space="preserve">comes from asking ‘why are the numbers different?’ and </w:t>
      </w:r>
      <w:r w:rsidR="001E2E08" w:rsidRPr="00ED5916">
        <w:rPr>
          <w:rFonts w:cs="Times New Roman"/>
          <w:szCs w:val="24"/>
        </w:rPr>
        <w:t xml:space="preserve">in </w:t>
      </w:r>
      <w:r w:rsidR="00926EC0" w:rsidRPr="00ED5916">
        <w:rPr>
          <w:rFonts w:cs="Times New Roman"/>
          <w:szCs w:val="24"/>
        </w:rPr>
        <w:t xml:space="preserve">the production of </w:t>
      </w:r>
      <w:r w:rsidR="00AA3297" w:rsidRPr="00ED5916">
        <w:rPr>
          <w:rFonts w:cs="Times New Roman"/>
          <w:szCs w:val="24"/>
        </w:rPr>
        <w:t>detailed</w:t>
      </w:r>
      <w:r w:rsidR="00926EC0" w:rsidRPr="00ED5916">
        <w:rPr>
          <w:rFonts w:cs="Times New Roman"/>
          <w:szCs w:val="24"/>
        </w:rPr>
        <w:t xml:space="preserve"> case studies to examine these differences.  It is the derivation of these case studies, and </w:t>
      </w:r>
      <w:r w:rsidR="001E2E08" w:rsidRPr="00ED5916">
        <w:rPr>
          <w:rFonts w:cs="Times New Roman"/>
          <w:szCs w:val="24"/>
        </w:rPr>
        <w:t xml:space="preserve">accompanying </w:t>
      </w:r>
      <w:r w:rsidR="00926EC0" w:rsidRPr="00ED5916">
        <w:rPr>
          <w:rFonts w:cs="Times New Roman"/>
          <w:szCs w:val="24"/>
        </w:rPr>
        <w:t>key questions, not the analysis of the numbers</w:t>
      </w:r>
      <w:r w:rsidR="001E2E08" w:rsidRPr="00ED5916">
        <w:rPr>
          <w:rFonts w:cs="Times New Roman"/>
          <w:szCs w:val="24"/>
        </w:rPr>
        <w:t>, that makes comparative</w:t>
      </w:r>
      <w:r w:rsidR="00926EC0" w:rsidRPr="00ED5916">
        <w:rPr>
          <w:rFonts w:cs="Times New Roman"/>
          <w:szCs w:val="24"/>
        </w:rPr>
        <w:t xml:space="preserve"> benchmarking a useful process</w:t>
      </w:r>
      <w:r w:rsidR="00AA3297" w:rsidRPr="00ED5916">
        <w:rPr>
          <w:rFonts w:cs="Times New Roman"/>
          <w:szCs w:val="24"/>
        </w:rPr>
        <w:t xml:space="preserve">. </w:t>
      </w:r>
      <w:r w:rsidR="001E0A5F">
        <w:rPr>
          <w:rFonts w:cs="Times New Roman"/>
          <w:szCs w:val="24"/>
        </w:rPr>
        <w:t xml:space="preserve">  </w:t>
      </w:r>
      <w:r w:rsidR="004D5DE9" w:rsidRPr="00ED5916">
        <w:rPr>
          <w:rFonts w:cs="Times New Roman"/>
          <w:szCs w:val="24"/>
        </w:rPr>
        <w:t>B</w:t>
      </w:r>
      <w:r w:rsidR="00926EC0" w:rsidRPr="00ED5916">
        <w:rPr>
          <w:rFonts w:cs="Times New Roman"/>
          <w:szCs w:val="24"/>
        </w:rPr>
        <w:t xml:space="preserve">enchmarking railways within a nation </w:t>
      </w:r>
      <w:r w:rsidR="00926EC0" w:rsidRPr="00ED5916">
        <w:rPr>
          <w:rFonts w:cs="Times New Roman"/>
          <w:i/>
          <w:szCs w:val="24"/>
        </w:rPr>
        <w:t>is</w:t>
      </w:r>
      <w:r w:rsidR="00926EC0" w:rsidRPr="00ED5916">
        <w:rPr>
          <w:rFonts w:cs="Times New Roman"/>
          <w:szCs w:val="24"/>
        </w:rPr>
        <w:t xml:space="preserve"> preferable to </w:t>
      </w:r>
      <w:r w:rsidR="00AA3297" w:rsidRPr="00ED5916">
        <w:rPr>
          <w:rFonts w:cs="Times New Roman"/>
          <w:szCs w:val="24"/>
        </w:rPr>
        <w:t>using inter</w:t>
      </w:r>
      <w:r w:rsidR="00926EC0" w:rsidRPr="00ED5916">
        <w:rPr>
          <w:rFonts w:cs="Times New Roman"/>
          <w:szCs w:val="24"/>
        </w:rPr>
        <w:t xml:space="preserve">national comparators, as often situational factors </w:t>
      </w:r>
      <w:r w:rsidR="00AA3297" w:rsidRPr="00ED5916">
        <w:rPr>
          <w:rFonts w:cs="Times New Roman"/>
          <w:szCs w:val="24"/>
        </w:rPr>
        <w:t>are more similar</w:t>
      </w:r>
      <w:r w:rsidR="001E2E08" w:rsidRPr="00ED5916">
        <w:rPr>
          <w:rFonts w:cs="Times New Roman"/>
          <w:szCs w:val="24"/>
        </w:rPr>
        <w:t xml:space="preserve">, and currency distortions </w:t>
      </w:r>
      <w:r w:rsidR="00AA3297" w:rsidRPr="00ED5916">
        <w:rPr>
          <w:rFonts w:cs="Times New Roman"/>
          <w:szCs w:val="24"/>
        </w:rPr>
        <w:t xml:space="preserve">are </w:t>
      </w:r>
      <w:r w:rsidR="001E2E08" w:rsidRPr="00ED5916">
        <w:rPr>
          <w:rFonts w:cs="Times New Roman"/>
          <w:szCs w:val="24"/>
        </w:rPr>
        <w:t>removed</w:t>
      </w:r>
      <w:r w:rsidR="00926EC0" w:rsidRPr="00ED5916">
        <w:rPr>
          <w:rFonts w:cs="Times New Roman"/>
          <w:szCs w:val="24"/>
        </w:rPr>
        <w:t>.</w:t>
      </w:r>
      <w:r w:rsidR="00A36C69">
        <w:rPr>
          <w:rFonts w:cs="Times New Roman"/>
          <w:szCs w:val="24"/>
        </w:rPr>
        <w:t xml:space="preserve">  </w:t>
      </w:r>
      <w:r w:rsidR="00A36C69">
        <w:t>This statement recognises that u</w:t>
      </w:r>
      <w:r w:rsidR="00A36C69" w:rsidRPr="00F749AF">
        <w:t>p to a point-however, each state in Australia has differen</w:t>
      </w:r>
      <w:r w:rsidR="00A36C69">
        <w:t>t institutional structures so it</w:t>
      </w:r>
      <w:r w:rsidR="00A36C69" w:rsidRPr="00F749AF">
        <w:t xml:space="preserve"> may not be the case that international benchmarking is less useful than national benchmarking </w:t>
      </w:r>
      <w:r w:rsidR="00A36C69">
        <w:t>when</w:t>
      </w:r>
      <w:r w:rsidR="00A36C69" w:rsidRPr="00F749AF">
        <w:t xml:space="preserve"> making comparisons.</w:t>
      </w:r>
    </w:p>
    <w:p w14:paraId="457D9D9F" w14:textId="783F5892" w:rsidR="00926EC0" w:rsidRPr="00ED5916" w:rsidRDefault="003A54E1" w:rsidP="00237004">
      <w:pPr>
        <w:spacing w:before="120" w:after="120" w:line="360" w:lineRule="auto"/>
        <w:rPr>
          <w:rFonts w:cs="Times New Roman"/>
          <w:szCs w:val="24"/>
        </w:rPr>
      </w:pPr>
      <w:r>
        <w:rPr>
          <w:rFonts w:cs="Times New Roman"/>
          <w:szCs w:val="24"/>
        </w:rPr>
        <w:t>As described t</w:t>
      </w:r>
      <w:r w:rsidR="00AA3297" w:rsidRPr="00ED5916">
        <w:rPr>
          <w:rFonts w:cs="Times New Roman"/>
          <w:szCs w:val="24"/>
        </w:rPr>
        <w:t>he NSW Independent Pricing and Regulatory Tribunal (IPART, 2015) recently co</w:t>
      </w:r>
      <w:r w:rsidR="00926EC0" w:rsidRPr="00ED5916">
        <w:rPr>
          <w:rFonts w:cs="Times New Roman"/>
          <w:szCs w:val="24"/>
        </w:rPr>
        <w:t>mpar</w:t>
      </w:r>
      <w:r w:rsidR="00AA3297" w:rsidRPr="00ED5916">
        <w:rPr>
          <w:rFonts w:cs="Times New Roman"/>
          <w:szCs w:val="24"/>
        </w:rPr>
        <w:t>ed</w:t>
      </w:r>
      <w:r w:rsidR="00926EC0" w:rsidRPr="00ED5916">
        <w:rPr>
          <w:rFonts w:cs="Times New Roman"/>
          <w:szCs w:val="24"/>
        </w:rPr>
        <w:t xml:space="preserve"> the urban rail systems of Melbourne and Sydne</w:t>
      </w:r>
      <w:r w:rsidR="00AA3297" w:rsidRPr="00ED5916">
        <w:rPr>
          <w:rFonts w:cs="Times New Roman"/>
          <w:szCs w:val="24"/>
        </w:rPr>
        <w:t>y</w:t>
      </w:r>
      <w:r w:rsidR="00926EC0" w:rsidRPr="00ED5916">
        <w:rPr>
          <w:rFonts w:cs="Times New Roman"/>
          <w:szCs w:val="24"/>
        </w:rPr>
        <w:t xml:space="preserve">.  As </w:t>
      </w:r>
      <w:r w:rsidR="00764F47" w:rsidRPr="00ED5916">
        <w:rPr>
          <w:rFonts w:cs="Times New Roman"/>
          <w:szCs w:val="24"/>
        </w:rPr>
        <w:t>Figures</w:t>
      </w:r>
      <w:r w:rsidR="00926EC0" w:rsidRPr="00ED5916">
        <w:rPr>
          <w:rFonts w:cs="Times New Roman"/>
          <w:szCs w:val="24"/>
        </w:rPr>
        <w:t xml:space="preserve"> </w:t>
      </w:r>
      <w:r w:rsidR="00764F47" w:rsidRPr="00ED5916">
        <w:rPr>
          <w:rFonts w:cs="Times New Roman"/>
          <w:szCs w:val="24"/>
        </w:rPr>
        <w:t>3</w:t>
      </w:r>
      <w:r w:rsidR="00926EC0" w:rsidRPr="00ED5916">
        <w:rPr>
          <w:rFonts w:cs="Times New Roman"/>
          <w:szCs w:val="24"/>
        </w:rPr>
        <w:t xml:space="preserve"> and </w:t>
      </w:r>
      <w:r w:rsidR="00764F47" w:rsidRPr="00ED5916">
        <w:rPr>
          <w:rFonts w:cs="Times New Roman"/>
          <w:szCs w:val="24"/>
        </w:rPr>
        <w:t>4</w:t>
      </w:r>
      <w:r w:rsidR="00926EC0" w:rsidRPr="00ED5916">
        <w:rPr>
          <w:rFonts w:cs="Times New Roman"/>
          <w:szCs w:val="24"/>
        </w:rPr>
        <w:t xml:space="preserve"> demonstrate</w:t>
      </w:r>
      <w:r w:rsidR="00AA3297" w:rsidRPr="00ED5916">
        <w:rPr>
          <w:rFonts w:cs="Times New Roman"/>
          <w:szCs w:val="24"/>
        </w:rPr>
        <w:t>,</w:t>
      </w:r>
      <w:r w:rsidR="00926EC0" w:rsidRPr="00ED5916">
        <w:rPr>
          <w:rFonts w:cs="Times New Roman"/>
          <w:szCs w:val="24"/>
        </w:rPr>
        <w:t xml:space="preserve"> Sydney and Melbourne have similar labour rates, track lengths, and output kilometres, and as importantly they source their equipment and skills from the same supplier market and deal in the same currency.  This, according to IPART, lessens </w:t>
      </w:r>
      <w:r w:rsidR="004D5DE9" w:rsidRPr="00ED5916">
        <w:rPr>
          <w:rFonts w:cs="Times New Roman"/>
          <w:szCs w:val="24"/>
        </w:rPr>
        <w:t>(</w:t>
      </w:r>
      <w:r w:rsidR="00891BC7" w:rsidRPr="00ED5916">
        <w:rPr>
          <w:rFonts w:cs="Times New Roman"/>
          <w:szCs w:val="24"/>
        </w:rPr>
        <w:t xml:space="preserve">but </w:t>
      </w:r>
      <w:r w:rsidR="004D5DE9" w:rsidRPr="00ED5916">
        <w:rPr>
          <w:rFonts w:cs="Times New Roman"/>
          <w:szCs w:val="24"/>
        </w:rPr>
        <w:t xml:space="preserve">does not remove) </w:t>
      </w:r>
      <w:r w:rsidR="00926EC0" w:rsidRPr="00ED5916">
        <w:rPr>
          <w:rFonts w:cs="Times New Roman"/>
          <w:szCs w:val="24"/>
        </w:rPr>
        <w:t>the distortion effects that local conditions will have when comparing two railways</w:t>
      </w:r>
      <w:r w:rsidR="00737791" w:rsidRPr="00ED5916">
        <w:rPr>
          <w:rFonts w:cs="Times New Roman"/>
          <w:szCs w:val="24"/>
        </w:rPr>
        <w:t>; industrial relations will always be location specific</w:t>
      </w:r>
      <w:r w:rsidR="00926EC0" w:rsidRPr="00ED5916">
        <w:rPr>
          <w:rFonts w:cs="Times New Roman"/>
          <w:szCs w:val="24"/>
        </w:rPr>
        <w:t>.</w:t>
      </w:r>
    </w:p>
    <w:p w14:paraId="7F14A883" w14:textId="588AB0CA" w:rsidR="00926EC0" w:rsidRPr="00ED5916" w:rsidRDefault="00926EC0" w:rsidP="00237004">
      <w:pPr>
        <w:spacing w:before="120" w:after="120" w:line="360" w:lineRule="auto"/>
        <w:rPr>
          <w:rFonts w:cs="Times New Roman"/>
          <w:szCs w:val="24"/>
        </w:rPr>
      </w:pPr>
    </w:p>
    <w:p w14:paraId="56919BEE" w14:textId="12D51D81" w:rsidR="00926EC0" w:rsidRPr="00ED5916" w:rsidRDefault="00764F47" w:rsidP="00237004">
      <w:pPr>
        <w:spacing w:before="120" w:after="120" w:line="360" w:lineRule="auto"/>
        <w:rPr>
          <w:rFonts w:cs="Times New Roman"/>
          <w:szCs w:val="24"/>
        </w:rPr>
      </w:pPr>
      <w:r w:rsidRPr="00ED5916">
        <w:rPr>
          <w:rFonts w:cs="Times New Roman"/>
          <w:szCs w:val="24"/>
        </w:rPr>
        <w:t>Figure 3</w:t>
      </w:r>
      <w:r w:rsidR="00E365E1" w:rsidRPr="00ED5916">
        <w:rPr>
          <w:rFonts w:cs="Times New Roman"/>
          <w:szCs w:val="24"/>
        </w:rPr>
        <w:t xml:space="preserve">: </w:t>
      </w:r>
      <w:r w:rsidR="00926EC0" w:rsidRPr="00ED5916">
        <w:rPr>
          <w:rFonts w:cs="Times New Roman"/>
          <w:szCs w:val="24"/>
        </w:rPr>
        <w:t>Average Wages in the Urban Rail Systems in Sydney, Melbourne and Brisbane - 2015 (IPART, 2015).</w:t>
      </w:r>
    </w:p>
    <w:p w14:paraId="2B17DA7F" w14:textId="77777777" w:rsidR="00926EC0" w:rsidRPr="00ED5916" w:rsidRDefault="00926EC0" w:rsidP="00237004">
      <w:pPr>
        <w:spacing w:before="120" w:after="120" w:line="360" w:lineRule="auto"/>
        <w:rPr>
          <w:rFonts w:cs="Times New Roman"/>
          <w:szCs w:val="24"/>
        </w:rPr>
      </w:pPr>
    </w:p>
    <w:p w14:paraId="4D25F63B" w14:textId="6F49035B" w:rsidR="00926EC0" w:rsidRPr="00ED5916" w:rsidRDefault="00926EC0" w:rsidP="00237004">
      <w:pPr>
        <w:spacing w:before="120" w:after="120" w:line="360" w:lineRule="auto"/>
        <w:rPr>
          <w:rFonts w:cs="Times New Roman"/>
          <w:szCs w:val="24"/>
        </w:rPr>
      </w:pPr>
    </w:p>
    <w:p w14:paraId="446402D6" w14:textId="2E1EE205" w:rsidR="00926EC0" w:rsidRDefault="00764F47" w:rsidP="00237004">
      <w:pPr>
        <w:spacing w:before="120" w:after="120" w:line="360" w:lineRule="auto"/>
        <w:rPr>
          <w:rFonts w:cs="Times New Roman"/>
          <w:szCs w:val="24"/>
        </w:rPr>
      </w:pPr>
      <w:r w:rsidRPr="00ED5916">
        <w:rPr>
          <w:rFonts w:cs="Times New Roman"/>
          <w:szCs w:val="24"/>
        </w:rPr>
        <w:t>Figure 4</w:t>
      </w:r>
      <w:r w:rsidR="00E365E1" w:rsidRPr="00ED5916">
        <w:rPr>
          <w:rFonts w:cs="Times New Roman"/>
          <w:szCs w:val="24"/>
        </w:rPr>
        <w:t xml:space="preserve">: </w:t>
      </w:r>
      <w:r w:rsidR="00926EC0" w:rsidRPr="00ED5916">
        <w:rPr>
          <w:rFonts w:cs="Times New Roman"/>
          <w:szCs w:val="24"/>
        </w:rPr>
        <w:t>Asset and service indicators between Sydney Trains and Melbourne Metro 2015 (IPART, 2015).</w:t>
      </w:r>
    </w:p>
    <w:p w14:paraId="21CB28AD" w14:textId="77777777" w:rsidR="001E0A5F" w:rsidRPr="00ED5916" w:rsidRDefault="001E0A5F" w:rsidP="00237004">
      <w:pPr>
        <w:spacing w:before="120" w:after="120" w:line="360" w:lineRule="auto"/>
        <w:rPr>
          <w:rFonts w:cs="Times New Roman"/>
          <w:szCs w:val="24"/>
        </w:rPr>
      </w:pPr>
    </w:p>
    <w:p w14:paraId="293C8EFD" w14:textId="2FF3CB53" w:rsidR="00926EC0" w:rsidRPr="00ED5916" w:rsidRDefault="00926EC0" w:rsidP="00237004">
      <w:pPr>
        <w:spacing w:before="120" w:after="120" w:line="360" w:lineRule="auto"/>
        <w:rPr>
          <w:rFonts w:cs="Times New Roman"/>
          <w:szCs w:val="24"/>
        </w:rPr>
      </w:pPr>
      <w:r w:rsidRPr="00ED5916">
        <w:rPr>
          <w:rFonts w:cs="Times New Roman"/>
          <w:szCs w:val="24"/>
        </w:rPr>
        <w:lastRenderedPageBreak/>
        <w:t>IPART (2015) c</w:t>
      </w:r>
      <w:r w:rsidR="000768DD" w:rsidRPr="00ED5916">
        <w:rPr>
          <w:rFonts w:cs="Times New Roman"/>
          <w:szCs w:val="24"/>
        </w:rPr>
        <w:t>oncluded</w:t>
      </w:r>
      <w:r w:rsidR="00AC35C3" w:rsidRPr="00ED5916">
        <w:rPr>
          <w:rFonts w:cs="Times New Roman"/>
          <w:szCs w:val="24"/>
        </w:rPr>
        <w:t xml:space="preserve"> </w:t>
      </w:r>
      <w:r w:rsidR="000768DD" w:rsidRPr="00ED5916">
        <w:rPr>
          <w:rFonts w:cs="Times New Roman"/>
          <w:szCs w:val="24"/>
        </w:rPr>
        <w:t>that there</w:t>
      </w:r>
      <w:r w:rsidR="00891BC7" w:rsidRPr="00ED5916">
        <w:rPr>
          <w:rFonts w:cs="Times New Roman"/>
          <w:szCs w:val="24"/>
        </w:rPr>
        <w:t xml:space="preserve"> appeared to be</w:t>
      </w:r>
      <w:r w:rsidR="001E2E08" w:rsidRPr="00ED5916">
        <w:rPr>
          <w:rFonts w:cs="Times New Roman"/>
          <w:szCs w:val="24"/>
        </w:rPr>
        <w:t xml:space="preserve"> </w:t>
      </w:r>
      <w:r w:rsidR="000768DD" w:rsidRPr="00ED5916">
        <w:rPr>
          <w:rFonts w:cs="Times New Roman"/>
          <w:szCs w:val="24"/>
        </w:rPr>
        <w:t xml:space="preserve">moderately </w:t>
      </w:r>
      <w:r w:rsidRPr="00ED5916">
        <w:rPr>
          <w:rFonts w:cs="Times New Roman"/>
          <w:szCs w:val="24"/>
        </w:rPr>
        <w:t>lower unit operating costs (technical efficiency) and costs per passenger (allocative efficiency) in M</w:t>
      </w:r>
      <w:r w:rsidR="000768DD" w:rsidRPr="00ED5916">
        <w:rPr>
          <w:rFonts w:cs="Times New Roman"/>
          <w:szCs w:val="24"/>
        </w:rPr>
        <w:t>elbourne than in Sydney</w:t>
      </w:r>
      <w:r w:rsidRPr="00ED5916">
        <w:rPr>
          <w:rFonts w:cs="Times New Roman"/>
          <w:szCs w:val="24"/>
        </w:rPr>
        <w:t xml:space="preserve"> (</w:t>
      </w:r>
      <w:r w:rsidR="001E2E08" w:rsidRPr="00ED5916">
        <w:rPr>
          <w:rFonts w:cs="Times New Roman"/>
          <w:szCs w:val="24"/>
        </w:rPr>
        <w:t xml:space="preserve">Figures </w:t>
      </w:r>
      <w:r w:rsidR="00764F47" w:rsidRPr="00ED5916">
        <w:rPr>
          <w:rFonts w:cs="Times New Roman"/>
          <w:szCs w:val="24"/>
        </w:rPr>
        <w:t>5</w:t>
      </w:r>
      <w:r w:rsidR="001E2E08" w:rsidRPr="00ED5916">
        <w:rPr>
          <w:rFonts w:cs="Times New Roman"/>
          <w:szCs w:val="24"/>
        </w:rPr>
        <w:t xml:space="preserve"> and </w:t>
      </w:r>
      <w:r w:rsidR="00764F47" w:rsidRPr="00ED5916">
        <w:rPr>
          <w:rFonts w:cs="Times New Roman"/>
          <w:szCs w:val="24"/>
        </w:rPr>
        <w:t>6</w:t>
      </w:r>
      <w:r w:rsidRPr="00ED5916">
        <w:rPr>
          <w:rFonts w:cs="Times New Roman"/>
          <w:szCs w:val="24"/>
        </w:rPr>
        <w:t>).  A broad conclusion was thus drawn that Sydney’s network was less efficient</w:t>
      </w:r>
      <w:r w:rsidR="001E2E08" w:rsidRPr="00ED5916">
        <w:rPr>
          <w:rFonts w:cs="Times New Roman"/>
          <w:szCs w:val="24"/>
        </w:rPr>
        <w:t>,</w:t>
      </w:r>
      <w:r w:rsidRPr="00ED5916">
        <w:rPr>
          <w:rFonts w:cs="Times New Roman"/>
          <w:szCs w:val="24"/>
        </w:rPr>
        <w:t xml:space="preserve"> </w:t>
      </w:r>
      <w:r w:rsidR="000768DD" w:rsidRPr="00ED5916">
        <w:rPr>
          <w:rFonts w:cs="Times New Roman"/>
          <w:szCs w:val="24"/>
        </w:rPr>
        <w:t xml:space="preserve">and that </w:t>
      </w:r>
      <w:r w:rsidRPr="00ED5916">
        <w:rPr>
          <w:rFonts w:cs="Times New Roman"/>
          <w:szCs w:val="24"/>
        </w:rPr>
        <w:t>this should largely be attributed to the franchising model in place in Melbourne</w:t>
      </w:r>
      <w:r w:rsidR="000768DD" w:rsidRPr="00ED5916">
        <w:rPr>
          <w:rFonts w:cs="Times New Roman"/>
          <w:szCs w:val="24"/>
        </w:rPr>
        <w:t xml:space="preserve">.  </w:t>
      </w:r>
      <w:r w:rsidR="00C61259" w:rsidRPr="00ED5916">
        <w:rPr>
          <w:rFonts w:cs="Times New Roman"/>
          <w:szCs w:val="24"/>
        </w:rPr>
        <w:t>Therefore,</w:t>
      </w:r>
      <w:r w:rsidR="000768DD" w:rsidRPr="00ED5916">
        <w:rPr>
          <w:rFonts w:cs="Times New Roman"/>
          <w:szCs w:val="24"/>
        </w:rPr>
        <w:t xml:space="preserve"> it was suggested that Sydney co</w:t>
      </w:r>
      <w:r w:rsidR="001E2E08" w:rsidRPr="00ED5916">
        <w:rPr>
          <w:rFonts w:cs="Times New Roman"/>
          <w:szCs w:val="24"/>
        </w:rPr>
        <w:t>uld therefore lower unit costs through franchising their operations</w:t>
      </w:r>
      <w:r w:rsidRPr="00ED5916">
        <w:rPr>
          <w:rFonts w:cs="Times New Roman"/>
          <w:szCs w:val="24"/>
        </w:rPr>
        <w:t>.  This is a huge leap of faith from a simple comparison</w:t>
      </w:r>
      <w:r w:rsidR="000768DD" w:rsidRPr="00ED5916">
        <w:rPr>
          <w:rFonts w:cs="Times New Roman"/>
          <w:szCs w:val="24"/>
        </w:rPr>
        <w:t xml:space="preserve"> of high level numbers dealing with the complex topic of cost allocation</w:t>
      </w:r>
      <w:r w:rsidRPr="00ED5916">
        <w:rPr>
          <w:rFonts w:cs="Times New Roman"/>
          <w:szCs w:val="24"/>
        </w:rPr>
        <w:t>.</w:t>
      </w:r>
      <w:r w:rsidR="00AC35C3" w:rsidRPr="00ED5916">
        <w:rPr>
          <w:rFonts w:cs="Times New Roman"/>
          <w:szCs w:val="24"/>
        </w:rPr>
        <w:t xml:space="preserve">  </w:t>
      </w:r>
      <w:r w:rsidR="00A1212F">
        <w:rPr>
          <w:rFonts w:cs="Times New Roman"/>
          <w:szCs w:val="24"/>
        </w:rPr>
        <w:t>F</w:t>
      </w:r>
      <w:r w:rsidR="001E0A5F">
        <w:rPr>
          <w:rFonts w:cs="Times New Roman"/>
          <w:szCs w:val="24"/>
        </w:rPr>
        <w:t>urther analysis is required</w:t>
      </w:r>
      <w:r w:rsidR="00ED5251" w:rsidRPr="00ED5916">
        <w:rPr>
          <w:rFonts w:cs="Times New Roman"/>
          <w:szCs w:val="24"/>
        </w:rPr>
        <w:t xml:space="preserve">.  Such analysis </w:t>
      </w:r>
      <w:r w:rsidR="00AC35C3" w:rsidRPr="00ED5916">
        <w:rPr>
          <w:rFonts w:cs="Times New Roman"/>
          <w:szCs w:val="24"/>
        </w:rPr>
        <w:t>would need to go underneath the headline indicator</w:t>
      </w:r>
      <w:r w:rsidR="001E2E08" w:rsidRPr="00ED5916">
        <w:rPr>
          <w:rFonts w:cs="Times New Roman"/>
          <w:szCs w:val="24"/>
        </w:rPr>
        <w:t>s</w:t>
      </w:r>
      <w:r w:rsidR="00AC35C3" w:rsidRPr="00ED5916">
        <w:rPr>
          <w:rFonts w:cs="Times New Roman"/>
          <w:szCs w:val="24"/>
        </w:rPr>
        <w:t xml:space="preserve"> </w:t>
      </w:r>
      <w:r w:rsidR="003A54E1">
        <w:rPr>
          <w:rFonts w:cs="Times New Roman"/>
          <w:szCs w:val="24"/>
        </w:rPr>
        <w:t xml:space="preserve">to </w:t>
      </w:r>
      <w:r w:rsidR="00AC35C3" w:rsidRPr="00ED5916">
        <w:rPr>
          <w:rFonts w:cs="Times New Roman"/>
          <w:szCs w:val="24"/>
        </w:rPr>
        <w:t>examine the cost allocation methods deployed; for example</w:t>
      </w:r>
      <w:r w:rsidR="00891BC7" w:rsidRPr="00ED5916">
        <w:rPr>
          <w:rFonts w:cs="Times New Roman"/>
          <w:szCs w:val="24"/>
        </w:rPr>
        <w:t>,</w:t>
      </w:r>
      <w:r w:rsidR="00AC35C3" w:rsidRPr="00ED5916">
        <w:rPr>
          <w:rFonts w:cs="Times New Roman"/>
          <w:szCs w:val="24"/>
        </w:rPr>
        <w:t xml:space="preserve"> how do</w:t>
      </w:r>
      <w:r w:rsidR="00ED5251" w:rsidRPr="00ED5916">
        <w:rPr>
          <w:rFonts w:cs="Times New Roman"/>
          <w:szCs w:val="24"/>
        </w:rPr>
        <w:t>es</w:t>
      </w:r>
      <w:r w:rsidR="00AC35C3" w:rsidRPr="00ED5916">
        <w:rPr>
          <w:rFonts w:cs="Times New Roman"/>
          <w:szCs w:val="24"/>
        </w:rPr>
        <w:t xml:space="preserve"> each of the railways ‘cost’ individual activities such as maintenance and renewals?</w:t>
      </w:r>
    </w:p>
    <w:p w14:paraId="13463650" w14:textId="77777777" w:rsidR="00A44C27" w:rsidRPr="00ED5916" w:rsidRDefault="00A44C27" w:rsidP="00237004">
      <w:pPr>
        <w:spacing w:before="120" w:after="120" w:line="360" w:lineRule="auto"/>
        <w:rPr>
          <w:rFonts w:cs="Times New Roman"/>
          <w:szCs w:val="24"/>
        </w:rPr>
      </w:pPr>
    </w:p>
    <w:p w14:paraId="079E4999" w14:textId="1EDF92D6" w:rsidR="00926EC0" w:rsidRPr="00ED5916" w:rsidRDefault="00926EC0" w:rsidP="00237004">
      <w:pPr>
        <w:spacing w:before="120" w:after="120" w:line="360" w:lineRule="auto"/>
        <w:rPr>
          <w:rFonts w:cs="Times New Roman"/>
          <w:szCs w:val="24"/>
        </w:rPr>
      </w:pPr>
    </w:p>
    <w:p w14:paraId="5E7A1E57" w14:textId="794C27F4" w:rsidR="00926EC0" w:rsidRPr="00ED5916" w:rsidRDefault="00716F2A" w:rsidP="00237004">
      <w:pPr>
        <w:spacing w:before="120" w:after="120" w:line="360" w:lineRule="auto"/>
        <w:rPr>
          <w:rFonts w:cs="Times New Roman"/>
          <w:szCs w:val="24"/>
        </w:rPr>
      </w:pPr>
      <w:proofErr w:type="gramStart"/>
      <w:r w:rsidRPr="00ED5916">
        <w:rPr>
          <w:rFonts w:cs="Times New Roman"/>
          <w:szCs w:val="24"/>
        </w:rPr>
        <w:t>Figure</w:t>
      </w:r>
      <w:r w:rsidR="00AE1F95" w:rsidRPr="00ED5916">
        <w:rPr>
          <w:rFonts w:cs="Times New Roman"/>
          <w:szCs w:val="24"/>
        </w:rPr>
        <w:t xml:space="preserve"> </w:t>
      </w:r>
      <w:r w:rsidR="00926EC0" w:rsidRPr="00ED5916">
        <w:rPr>
          <w:rFonts w:cs="Times New Roman"/>
          <w:szCs w:val="24"/>
        </w:rPr>
        <w:t xml:space="preserve"> </w:t>
      </w:r>
      <w:r w:rsidR="00764F47" w:rsidRPr="00ED5916">
        <w:rPr>
          <w:rFonts w:cs="Times New Roman"/>
          <w:szCs w:val="24"/>
        </w:rPr>
        <w:t>5</w:t>
      </w:r>
      <w:proofErr w:type="gramEnd"/>
      <w:r w:rsidR="00E365E1" w:rsidRPr="00ED5916">
        <w:rPr>
          <w:rFonts w:cs="Times New Roman"/>
          <w:szCs w:val="24"/>
        </w:rPr>
        <w:t xml:space="preserve">: </w:t>
      </w:r>
      <w:r w:rsidR="00926EC0" w:rsidRPr="00ED5916">
        <w:rPr>
          <w:rFonts w:cs="Times New Roman"/>
          <w:szCs w:val="24"/>
        </w:rPr>
        <w:t>Operating cost comparisons per car</w:t>
      </w:r>
      <w:r w:rsidR="00891BC7" w:rsidRPr="00ED5916">
        <w:rPr>
          <w:rFonts w:cs="Times New Roman"/>
          <w:szCs w:val="24"/>
        </w:rPr>
        <w:t>riage</w:t>
      </w:r>
      <w:r w:rsidR="00926EC0" w:rsidRPr="00ED5916">
        <w:rPr>
          <w:rFonts w:cs="Times New Roman"/>
          <w:szCs w:val="24"/>
        </w:rPr>
        <w:t>-km 2015 (IPART, 2015)</w:t>
      </w:r>
    </w:p>
    <w:p w14:paraId="0DEACC72" w14:textId="77777777" w:rsidR="00926EC0" w:rsidRPr="00ED5916" w:rsidRDefault="00926EC0" w:rsidP="00237004">
      <w:pPr>
        <w:spacing w:before="120" w:after="120" w:line="360" w:lineRule="auto"/>
        <w:rPr>
          <w:rFonts w:cs="Times New Roman"/>
          <w:szCs w:val="24"/>
        </w:rPr>
      </w:pPr>
    </w:p>
    <w:p w14:paraId="03B1E6EB" w14:textId="3679E498" w:rsidR="00926EC0" w:rsidRPr="00ED5916" w:rsidRDefault="00926EC0" w:rsidP="00237004">
      <w:pPr>
        <w:spacing w:before="120" w:after="120" w:line="360" w:lineRule="auto"/>
        <w:rPr>
          <w:rFonts w:cs="Times New Roman"/>
          <w:szCs w:val="24"/>
        </w:rPr>
      </w:pPr>
    </w:p>
    <w:p w14:paraId="5AF46D02" w14:textId="0F59D53D" w:rsidR="00926EC0" w:rsidRPr="00ED5916" w:rsidRDefault="00764F47" w:rsidP="00237004">
      <w:pPr>
        <w:spacing w:before="120" w:after="120" w:line="360" w:lineRule="auto"/>
        <w:rPr>
          <w:rFonts w:cs="Times New Roman"/>
          <w:szCs w:val="24"/>
        </w:rPr>
      </w:pPr>
      <w:r w:rsidRPr="00ED5916">
        <w:rPr>
          <w:rFonts w:cs="Times New Roman"/>
          <w:szCs w:val="24"/>
        </w:rPr>
        <w:t>Figure 6</w:t>
      </w:r>
      <w:r w:rsidR="00E365E1" w:rsidRPr="00ED5916">
        <w:rPr>
          <w:rFonts w:cs="Times New Roman"/>
          <w:szCs w:val="24"/>
        </w:rPr>
        <w:t xml:space="preserve">: </w:t>
      </w:r>
      <w:r w:rsidR="00926EC0" w:rsidRPr="00ED5916">
        <w:rPr>
          <w:rFonts w:cs="Times New Roman"/>
          <w:szCs w:val="24"/>
        </w:rPr>
        <w:t>Operating cost comparisons per passenger 2015 (IPART, 2015)</w:t>
      </w:r>
    </w:p>
    <w:p w14:paraId="21D9420D" w14:textId="77777777" w:rsidR="007B727E" w:rsidRDefault="007B727E" w:rsidP="00237004">
      <w:pPr>
        <w:spacing w:before="120" w:after="120" w:line="360" w:lineRule="auto"/>
        <w:rPr>
          <w:rFonts w:cs="Times New Roman"/>
          <w:szCs w:val="24"/>
        </w:rPr>
      </w:pPr>
    </w:p>
    <w:p w14:paraId="71A21DE4" w14:textId="6BDEDE5E" w:rsidR="002A2627" w:rsidRPr="00ED5916" w:rsidRDefault="00FA6890" w:rsidP="00237004">
      <w:pPr>
        <w:spacing w:before="120" w:after="120" w:line="360" w:lineRule="auto"/>
        <w:rPr>
          <w:rFonts w:cs="Times New Roman"/>
          <w:szCs w:val="24"/>
        </w:rPr>
      </w:pPr>
      <w:r w:rsidRPr="00ED5916">
        <w:rPr>
          <w:rFonts w:cs="Times New Roman"/>
          <w:szCs w:val="24"/>
        </w:rPr>
        <w:t>A</w:t>
      </w:r>
      <w:r w:rsidR="00A13D38" w:rsidRPr="00ED5916">
        <w:rPr>
          <w:rFonts w:cs="Times New Roman"/>
          <w:szCs w:val="24"/>
        </w:rPr>
        <w:t xml:space="preserve"> </w:t>
      </w:r>
      <w:r w:rsidR="001E2E08" w:rsidRPr="00ED5916">
        <w:rPr>
          <w:rFonts w:cs="Times New Roman"/>
          <w:szCs w:val="24"/>
        </w:rPr>
        <w:t xml:space="preserve">key research </w:t>
      </w:r>
      <w:r w:rsidR="00A13D38" w:rsidRPr="00ED5916">
        <w:rPr>
          <w:rFonts w:cs="Times New Roman"/>
          <w:szCs w:val="24"/>
        </w:rPr>
        <w:t xml:space="preserve">imperative is therefore </w:t>
      </w:r>
      <w:r w:rsidR="001E2E08" w:rsidRPr="00ED5916">
        <w:rPr>
          <w:rFonts w:cs="Times New Roman"/>
          <w:szCs w:val="24"/>
        </w:rPr>
        <w:t xml:space="preserve">to </w:t>
      </w:r>
      <w:r w:rsidR="00A13D38" w:rsidRPr="00ED5916">
        <w:rPr>
          <w:rFonts w:cs="Times New Roman"/>
          <w:szCs w:val="24"/>
        </w:rPr>
        <w:t>‘</w:t>
      </w:r>
      <w:r w:rsidR="001E2E08" w:rsidRPr="00ED5916">
        <w:rPr>
          <w:rFonts w:cs="Times New Roman"/>
          <w:szCs w:val="24"/>
        </w:rPr>
        <w:t>get underneath</w:t>
      </w:r>
      <w:r w:rsidR="00A13D38" w:rsidRPr="00ED5916">
        <w:rPr>
          <w:rFonts w:cs="Times New Roman"/>
          <w:szCs w:val="24"/>
        </w:rPr>
        <w:t>’</w:t>
      </w:r>
      <w:r w:rsidR="001E2E08" w:rsidRPr="00ED5916">
        <w:rPr>
          <w:rFonts w:cs="Times New Roman"/>
          <w:szCs w:val="24"/>
        </w:rPr>
        <w:t xml:space="preserve"> </w:t>
      </w:r>
      <w:r w:rsidRPr="00ED5916">
        <w:rPr>
          <w:rFonts w:cs="Times New Roman"/>
          <w:szCs w:val="24"/>
        </w:rPr>
        <w:t xml:space="preserve">any </w:t>
      </w:r>
      <w:r w:rsidR="005374C9" w:rsidRPr="00ED5916">
        <w:rPr>
          <w:rFonts w:cs="Times New Roman"/>
          <w:szCs w:val="24"/>
        </w:rPr>
        <w:t xml:space="preserve">headline </w:t>
      </w:r>
      <w:r w:rsidR="001E2E08" w:rsidRPr="00ED5916">
        <w:rPr>
          <w:rFonts w:cs="Times New Roman"/>
          <w:szCs w:val="24"/>
        </w:rPr>
        <w:t>subsidy payments</w:t>
      </w:r>
      <w:r w:rsidR="008D7278">
        <w:rPr>
          <w:rFonts w:cs="Times New Roman"/>
          <w:szCs w:val="24"/>
        </w:rPr>
        <w:t>, which is tricky given the paucity of the current data</w:t>
      </w:r>
      <w:r w:rsidR="001E2E08" w:rsidRPr="00ED5916">
        <w:rPr>
          <w:rFonts w:cs="Times New Roman"/>
          <w:szCs w:val="24"/>
        </w:rPr>
        <w:t xml:space="preserve">.  </w:t>
      </w:r>
      <w:r w:rsidR="00EE0583" w:rsidRPr="00ED5916">
        <w:rPr>
          <w:rFonts w:cs="Times New Roman"/>
          <w:szCs w:val="24"/>
        </w:rPr>
        <w:t xml:space="preserve">Key questions would include </w:t>
      </w:r>
      <w:r w:rsidR="00FA473C" w:rsidRPr="00ED5916">
        <w:rPr>
          <w:rFonts w:cs="Times New Roman"/>
          <w:szCs w:val="24"/>
        </w:rPr>
        <w:t xml:space="preserve">investigations of </w:t>
      </w:r>
      <w:r w:rsidR="009B4F89" w:rsidRPr="00ED5916">
        <w:rPr>
          <w:rFonts w:cs="Times New Roman"/>
          <w:szCs w:val="24"/>
        </w:rPr>
        <w:t xml:space="preserve">potential </w:t>
      </w:r>
      <w:r w:rsidR="00F128B7" w:rsidRPr="00ED5916">
        <w:rPr>
          <w:rFonts w:cs="Times New Roman"/>
          <w:szCs w:val="24"/>
        </w:rPr>
        <w:t>differences</w:t>
      </w:r>
      <w:r w:rsidR="009B4F89" w:rsidRPr="00ED5916">
        <w:rPr>
          <w:rFonts w:cs="Times New Roman"/>
          <w:szCs w:val="24"/>
        </w:rPr>
        <w:t xml:space="preserve"> in the way revenue is factored into subsidy totals</w:t>
      </w:r>
      <w:r w:rsidR="00EE0583" w:rsidRPr="00ED5916">
        <w:rPr>
          <w:rFonts w:cs="Times New Roman"/>
          <w:szCs w:val="24"/>
        </w:rPr>
        <w:t xml:space="preserve">, and </w:t>
      </w:r>
      <w:r w:rsidR="00A1212F">
        <w:rPr>
          <w:rFonts w:cs="Times New Roman"/>
          <w:szCs w:val="24"/>
        </w:rPr>
        <w:t>whether</w:t>
      </w:r>
      <w:r w:rsidR="00EE0583" w:rsidRPr="00ED5916">
        <w:rPr>
          <w:rFonts w:cs="Times New Roman"/>
          <w:szCs w:val="24"/>
        </w:rPr>
        <w:t xml:space="preserve"> </w:t>
      </w:r>
      <w:r w:rsidR="00123335">
        <w:rPr>
          <w:rFonts w:cs="Times New Roman"/>
          <w:szCs w:val="24"/>
        </w:rPr>
        <w:t xml:space="preserve">the </w:t>
      </w:r>
      <w:r w:rsidR="00EE0583" w:rsidRPr="00ED5916">
        <w:rPr>
          <w:rFonts w:cs="Times New Roman"/>
          <w:szCs w:val="24"/>
        </w:rPr>
        <w:t xml:space="preserve">renewal </w:t>
      </w:r>
      <w:r w:rsidR="009B4F89" w:rsidRPr="00ED5916">
        <w:rPr>
          <w:rFonts w:cs="Times New Roman"/>
          <w:szCs w:val="24"/>
        </w:rPr>
        <w:t xml:space="preserve">of old assets </w:t>
      </w:r>
      <w:r w:rsidR="00123335">
        <w:rPr>
          <w:rFonts w:cs="Times New Roman"/>
          <w:szCs w:val="24"/>
        </w:rPr>
        <w:t xml:space="preserve">is </w:t>
      </w:r>
      <w:r w:rsidR="009B4F89" w:rsidRPr="00ED5916">
        <w:rPr>
          <w:rFonts w:cs="Times New Roman"/>
          <w:szCs w:val="24"/>
        </w:rPr>
        <w:t xml:space="preserve">treated as </w:t>
      </w:r>
      <w:r w:rsidR="00FA473C" w:rsidRPr="00ED5916">
        <w:rPr>
          <w:rFonts w:cs="Times New Roman"/>
          <w:szCs w:val="24"/>
        </w:rPr>
        <w:t>recurrent</w:t>
      </w:r>
      <w:r w:rsidR="00EE0583" w:rsidRPr="00ED5916">
        <w:rPr>
          <w:rFonts w:cs="Times New Roman"/>
          <w:szCs w:val="24"/>
        </w:rPr>
        <w:t xml:space="preserve"> </w:t>
      </w:r>
      <w:r w:rsidR="00FA473C" w:rsidRPr="00ED5916">
        <w:rPr>
          <w:rFonts w:cs="Times New Roman"/>
          <w:szCs w:val="24"/>
        </w:rPr>
        <w:t xml:space="preserve">spending </w:t>
      </w:r>
      <w:r w:rsidR="00EE0583" w:rsidRPr="00ED5916">
        <w:rPr>
          <w:rFonts w:cs="Times New Roman"/>
          <w:szCs w:val="24"/>
        </w:rPr>
        <w:t>or capital</w:t>
      </w:r>
      <w:r w:rsidR="00FA473C" w:rsidRPr="00ED5916">
        <w:rPr>
          <w:rFonts w:cs="Times New Roman"/>
          <w:szCs w:val="24"/>
        </w:rPr>
        <w:t xml:space="preserve"> investment</w:t>
      </w:r>
      <w:r w:rsidR="00EE0583" w:rsidRPr="00ED5916">
        <w:rPr>
          <w:rFonts w:cs="Times New Roman"/>
          <w:szCs w:val="24"/>
        </w:rPr>
        <w:t>?</w:t>
      </w:r>
    </w:p>
    <w:p w14:paraId="022B37C9" w14:textId="77777777" w:rsidR="002A2627" w:rsidRPr="00ED5916" w:rsidRDefault="002A2627" w:rsidP="00237004">
      <w:pPr>
        <w:spacing w:before="120" w:after="120" w:line="360" w:lineRule="auto"/>
        <w:rPr>
          <w:rFonts w:cs="Times New Roman"/>
          <w:szCs w:val="24"/>
        </w:rPr>
      </w:pPr>
    </w:p>
    <w:p w14:paraId="211BFED6" w14:textId="516574A0" w:rsidR="00956846" w:rsidRPr="00ED5916" w:rsidRDefault="002A2627" w:rsidP="00237004">
      <w:pPr>
        <w:pStyle w:val="Heading1"/>
        <w:spacing w:before="120" w:after="120" w:line="360" w:lineRule="auto"/>
        <w:rPr>
          <w:rFonts w:ascii="Times New Roman" w:hAnsi="Times New Roman" w:cs="Times New Roman"/>
          <w:color w:val="auto"/>
          <w:sz w:val="24"/>
          <w:szCs w:val="24"/>
        </w:rPr>
      </w:pPr>
      <w:r w:rsidRPr="00ED5916">
        <w:rPr>
          <w:rFonts w:ascii="Times New Roman" w:hAnsi="Times New Roman" w:cs="Times New Roman"/>
          <w:color w:val="auto"/>
          <w:sz w:val="24"/>
          <w:szCs w:val="24"/>
        </w:rPr>
        <w:t>6</w:t>
      </w:r>
      <w:r w:rsidRPr="00ED5916">
        <w:rPr>
          <w:rFonts w:ascii="Times New Roman" w:hAnsi="Times New Roman" w:cs="Times New Roman"/>
          <w:color w:val="auto"/>
          <w:sz w:val="24"/>
          <w:szCs w:val="24"/>
        </w:rPr>
        <w:tab/>
      </w:r>
      <w:r w:rsidR="00123335">
        <w:rPr>
          <w:rFonts w:ascii="Times New Roman" w:hAnsi="Times New Roman" w:cs="Times New Roman"/>
          <w:color w:val="auto"/>
          <w:sz w:val="24"/>
          <w:szCs w:val="24"/>
        </w:rPr>
        <w:t>Cost escalation</w:t>
      </w:r>
      <w:r w:rsidR="00F128B7" w:rsidRPr="00ED5916">
        <w:rPr>
          <w:rFonts w:ascii="Times New Roman" w:hAnsi="Times New Roman" w:cs="Times New Roman"/>
          <w:color w:val="auto"/>
          <w:sz w:val="24"/>
          <w:szCs w:val="24"/>
        </w:rPr>
        <w:t xml:space="preserve"> and potential c</w:t>
      </w:r>
      <w:r w:rsidR="00543833" w:rsidRPr="00ED5916">
        <w:rPr>
          <w:rFonts w:ascii="Times New Roman" w:hAnsi="Times New Roman" w:cs="Times New Roman"/>
          <w:color w:val="auto"/>
          <w:sz w:val="24"/>
          <w:szCs w:val="24"/>
        </w:rPr>
        <w:t>ross</w:t>
      </w:r>
      <w:r w:rsidR="00F128B7" w:rsidRPr="00ED5916">
        <w:rPr>
          <w:rFonts w:ascii="Times New Roman" w:hAnsi="Times New Roman" w:cs="Times New Roman"/>
          <w:color w:val="auto"/>
          <w:sz w:val="24"/>
          <w:szCs w:val="24"/>
        </w:rPr>
        <w:t>-</w:t>
      </w:r>
      <w:r w:rsidR="00543833" w:rsidRPr="00ED5916">
        <w:rPr>
          <w:rFonts w:ascii="Times New Roman" w:hAnsi="Times New Roman" w:cs="Times New Roman"/>
          <w:color w:val="auto"/>
          <w:sz w:val="24"/>
          <w:szCs w:val="24"/>
        </w:rPr>
        <w:t>subsidisation</w:t>
      </w:r>
      <w:r w:rsidR="00F128B7" w:rsidRPr="00ED5916">
        <w:rPr>
          <w:rFonts w:ascii="Times New Roman" w:hAnsi="Times New Roman" w:cs="Times New Roman"/>
          <w:color w:val="auto"/>
          <w:sz w:val="24"/>
          <w:szCs w:val="24"/>
        </w:rPr>
        <w:t xml:space="preserve"> between MTM’s </w:t>
      </w:r>
      <w:r w:rsidR="00A1212F">
        <w:rPr>
          <w:rFonts w:ascii="Times New Roman" w:hAnsi="Times New Roman" w:cs="Times New Roman"/>
          <w:color w:val="auto"/>
          <w:sz w:val="24"/>
          <w:szCs w:val="24"/>
        </w:rPr>
        <w:t xml:space="preserve">three </w:t>
      </w:r>
      <w:r w:rsidR="00F128B7" w:rsidRPr="00ED5916">
        <w:rPr>
          <w:rFonts w:ascii="Times New Roman" w:hAnsi="Times New Roman" w:cs="Times New Roman"/>
          <w:color w:val="auto"/>
          <w:sz w:val="24"/>
          <w:szCs w:val="24"/>
        </w:rPr>
        <w:t>contracts</w:t>
      </w:r>
    </w:p>
    <w:p w14:paraId="717CA255" w14:textId="506C346D" w:rsidR="00E10DEC" w:rsidRPr="00ED5916" w:rsidRDefault="00543833" w:rsidP="00237004">
      <w:pPr>
        <w:spacing w:before="120" w:after="120" w:line="360" w:lineRule="auto"/>
        <w:rPr>
          <w:rFonts w:cs="Times New Roman"/>
          <w:szCs w:val="24"/>
        </w:rPr>
      </w:pPr>
      <w:r w:rsidRPr="00ED5916">
        <w:rPr>
          <w:rFonts w:cs="Times New Roman"/>
          <w:szCs w:val="24"/>
        </w:rPr>
        <w:t>T</w:t>
      </w:r>
      <w:r w:rsidR="00956846" w:rsidRPr="00ED5916">
        <w:rPr>
          <w:rFonts w:cs="Times New Roman"/>
          <w:szCs w:val="24"/>
        </w:rPr>
        <w:t xml:space="preserve">he nature of the subsidy payments to </w:t>
      </w:r>
      <w:r w:rsidR="00EE0583" w:rsidRPr="00ED5916">
        <w:rPr>
          <w:rFonts w:cs="Times New Roman"/>
          <w:szCs w:val="24"/>
        </w:rPr>
        <w:t>Melbourne’s</w:t>
      </w:r>
      <w:r w:rsidR="0040285D" w:rsidRPr="00ED5916">
        <w:rPr>
          <w:rFonts w:cs="Times New Roman"/>
          <w:szCs w:val="24"/>
        </w:rPr>
        <w:t xml:space="preserve"> rail</w:t>
      </w:r>
      <w:r w:rsidR="00EE0583" w:rsidRPr="00ED5916">
        <w:rPr>
          <w:rFonts w:cs="Times New Roman"/>
          <w:szCs w:val="24"/>
        </w:rPr>
        <w:t xml:space="preserve"> </w:t>
      </w:r>
      <w:r w:rsidR="00956846" w:rsidRPr="00ED5916">
        <w:rPr>
          <w:rFonts w:cs="Times New Roman"/>
          <w:szCs w:val="24"/>
        </w:rPr>
        <w:t>operators has changed noticeably</w:t>
      </w:r>
      <w:r w:rsidR="00F128B7" w:rsidRPr="00ED5916">
        <w:rPr>
          <w:rFonts w:cs="Times New Roman"/>
          <w:szCs w:val="24"/>
        </w:rPr>
        <w:t xml:space="preserve"> over time</w:t>
      </w:r>
      <w:r w:rsidR="005374C9" w:rsidRPr="00ED5916">
        <w:rPr>
          <w:rFonts w:cs="Times New Roman"/>
          <w:szCs w:val="24"/>
        </w:rPr>
        <w:t xml:space="preserve"> and </w:t>
      </w:r>
      <w:r w:rsidR="004B4E7C">
        <w:rPr>
          <w:rFonts w:cs="Times New Roman"/>
          <w:szCs w:val="24"/>
        </w:rPr>
        <w:t>would appear to lack</w:t>
      </w:r>
      <w:r w:rsidR="00F128B7" w:rsidRPr="00ED5916">
        <w:rPr>
          <w:rFonts w:cs="Times New Roman"/>
          <w:szCs w:val="24"/>
        </w:rPr>
        <w:t xml:space="preserve"> consistency in public reporting</w:t>
      </w:r>
      <w:r w:rsidR="005374C9" w:rsidRPr="00ED5916">
        <w:rPr>
          <w:rFonts w:cs="Times New Roman"/>
          <w:szCs w:val="24"/>
        </w:rPr>
        <w:t xml:space="preserve">.  </w:t>
      </w:r>
      <w:r w:rsidR="00731EA7" w:rsidRPr="00ED5916">
        <w:rPr>
          <w:rFonts w:cs="Times New Roman"/>
          <w:szCs w:val="24"/>
        </w:rPr>
        <w:t xml:space="preserve">Figure </w:t>
      </w:r>
      <w:r w:rsidR="00FA6890" w:rsidRPr="00ED5916">
        <w:rPr>
          <w:rFonts w:cs="Times New Roman"/>
          <w:szCs w:val="24"/>
        </w:rPr>
        <w:t>7</w:t>
      </w:r>
      <w:r w:rsidR="00C538AA" w:rsidRPr="00ED5916">
        <w:rPr>
          <w:rFonts w:cs="Times New Roman"/>
          <w:szCs w:val="24"/>
        </w:rPr>
        <w:t xml:space="preserve"> shows the variation in reporting categories and their </w:t>
      </w:r>
      <w:r w:rsidR="0040285D" w:rsidRPr="00ED5916">
        <w:rPr>
          <w:rFonts w:cs="Times New Roman"/>
          <w:szCs w:val="24"/>
        </w:rPr>
        <w:t xml:space="preserve">often </w:t>
      </w:r>
      <w:r w:rsidR="006242C1" w:rsidRPr="00ED5916">
        <w:rPr>
          <w:rFonts w:cs="Times New Roman"/>
          <w:szCs w:val="24"/>
        </w:rPr>
        <w:t xml:space="preserve">shifting </w:t>
      </w:r>
      <w:r w:rsidR="00C538AA" w:rsidRPr="00ED5916">
        <w:rPr>
          <w:rFonts w:cs="Times New Roman"/>
          <w:szCs w:val="24"/>
        </w:rPr>
        <w:t xml:space="preserve">labels.  </w:t>
      </w:r>
    </w:p>
    <w:p w14:paraId="762446AC" w14:textId="7F5ECFB6" w:rsidR="00210CF9" w:rsidRPr="00ED5916" w:rsidRDefault="00210CF9" w:rsidP="00237004">
      <w:pPr>
        <w:spacing w:before="120" w:after="120" w:line="360" w:lineRule="auto"/>
        <w:rPr>
          <w:rFonts w:cs="Times New Roman"/>
          <w:szCs w:val="24"/>
        </w:rPr>
      </w:pPr>
    </w:p>
    <w:p w14:paraId="40C1DFD3" w14:textId="1CFDB91C" w:rsidR="00E10DEC" w:rsidRDefault="005374C9" w:rsidP="00237004">
      <w:pPr>
        <w:spacing w:before="120" w:after="120" w:line="360" w:lineRule="auto"/>
        <w:rPr>
          <w:rFonts w:cs="Times New Roman"/>
          <w:szCs w:val="24"/>
        </w:rPr>
      </w:pPr>
      <w:r w:rsidRPr="00ED5916">
        <w:rPr>
          <w:rFonts w:cs="Times New Roman"/>
          <w:szCs w:val="24"/>
        </w:rPr>
        <w:t xml:space="preserve">Figure </w:t>
      </w:r>
      <w:r w:rsidR="00FA6890" w:rsidRPr="00ED5916">
        <w:rPr>
          <w:rFonts w:cs="Times New Roman"/>
          <w:szCs w:val="24"/>
        </w:rPr>
        <w:t>7</w:t>
      </w:r>
      <w:r w:rsidR="00E365E1" w:rsidRPr="00ED5916">
        <w:rPr>
          <w:rFonts w:cs="Times New Roman"/>
          <w:szCs w:val="24"/>
        </w:rPr>
        <w:t>:</w:t>
      </w:r>
      <w:r w:rsidR="00EE0583" w:rsidRPr="00ED5916">
        <w:rPr>
          <w:rFonts w:cs="Times New Roman"/>
          <w:szCs w:val="24"/>
        </w:rPr>
        <w:t xml:space="preserve"> Payments to Train Franchise Operators 2000 – 2014</w:t>
      </w:r>
      <w:r w:rsidR="00E365E1" w:rsidRPr="00ED5916">
        <w:rPr>
          <w:rFonts w:cs="Times New Roman"/>
          <w:szCs w:val="24"/>
        </w:rPr>
        <w:t xml:space="preserve"> (</w:t>
      </w:r>
      <w:r w:rsidR="00EE0583" w:rsidRPr="00ED5916">
        <w:rPr>
          <w:rFonts w:cs="Times New Roman"/>
          <w:szCs w:val="24"/>
        </w:rPr>
        <w:t>Public Transport Victoria, 2016</w:t>
      </w:r>
      <w:r w:rsidR="00E365E1" w:rsidRPr="00ED5916">
        <w:rPr>
          <w:rFonts w:cs="Times New Roman"/>
          <w:szCs w:val="24"/>
        </w:rPr>
        <w:t>)</w:t>
      </w:r>
    </w:p>
    <w:p w14:paraId="26C7A0F3" w14:textId="77777777" w:rsidR="007B727E" w:rsidRPr="00ED5916" w:rsidRDefault="007B727E" w:rsidP="00237004">
      <w:pPr>
        <w:spacing w:before="120" w:after="120" w:line="360" w:lineRule="auto"/>
        <w:rPr>
          <w:rFonts w:cs="Times New Roman"/>
          <w:szCs w:val="24"/>
        </w:rPr>
      </w:pPr>
    </w:p>
    <w:p w14:paraId="487C6358" w14:textId="3C37F5DE" w:rsidR="00C538AA" w:rsidRPr="00ED5916" w:rsidRDefault="00C538AA" w:rsidP="00237004">
      <w:pPr>
        <w:spacing w:before="120" w:after="120" w:line="360" w:lineRule="auto"/>
        <w:rPr>
          <w:rFonts w:cs="Times New Roman"/>
          <w:szCs w:val="24"/>
        </w:rPr>
      </w:pPr>
      <w:r w:rsidRPr="00ED5916">
        <w:rPr>
          <w:rFonts w:cs="Times New Roman"/>
          <w:szCs w:val="24"/>
        </w:rPr>
        <w:t xml:space="preserve">Figure </w:t>
      </w:r>
      <w:r w:rsidR="00FA6890" w:rsidRPr="00ED5916">
        <w:rPr>
          <w:rFonts w:cs="Times New Roman"/>
          <w:szCs w:val="24"/>
        </w:rPr>
        <w:t>7</w:t>
      </w:r>
      <w:r w:rsidRPr="00ED5916">
        <w:rPr>
          <w:rFonts w:cs="Times New Roman"/>
          <w:szCs w:val="24"/>
        </w:rPr>
        <w:t xml:space="preserve"> also shows</w:t>
      </w:r>
      <w:r w:rsidR="00B95CDB" w:rsidRPr="00ED5916">
        <w:rPr>
          <w:rFonts w:cs="Times New Roman"/>
          <w:szCs w:val="24"/>
        </w:rPr>
        <w:t xml:space="preserve"> </w:t>
      </w:r>
      <w:r w:rsidRPr="00ED5916">
        <w:rPr>
          <w:rFonts w:cs="Times New Roman"/>
          <w:szCs w:val="24"/>
        </w:rPr>
        <w:t xml:space="preserve">the three </w:t>
      </w:r>
      <w:r w:rsidR="00B95CDB" w:rsidRPr="00ED5916">
        <w:rPr>
          <w:rFonts w:cs="Times New Roman"/>
          <w:szCs w:val="24"/>
        </w:rPr>
        <w:t xml:space="preserve">distinct </w:t>
      </w:r>
      <w:r w:rsidRPr="00ED5916">
        <w:rPr>
          <w:rFonts w:cs="Times New Roman"/>
          <w:szCs w:val="24"/>
        </w:rPr>
        <w:t xml:space="preserve">phases of franchising. </w:t>
      </w:r>
      <w:r w:rsidR="00B95CDB" w:rsidRPr="00ED5916">
        <w:rPr>
          <w:rFonts w:cs="Times New Roman"/>
          <w:szCs w:val="24"/>
        </w:rPr>
        <w:t xml:space="preserve">In the first phase, </w:t>
      </w:r>
      <w:r w:rsidRPr="00ED5916">
        <w:rPr>
          <w:rFonts w:cs="Times New Roman"/>
          <w:szCs w:val="24"/>
        </w:rPr>
        <w:t>from 2000-200</w:t>
      </w:r>
      <w:r w:rsidR="00B95CDB" w:rsidRPr="00ED5916">
        <w:rPr>
          <w:rFonts w:cs="Times New Roman"/>
          <w:szCs w:val="24"/>
        </w:rPr>
        <w:t xml:space="preserve">3, the system was divided into two with separate contracts awarded to National Express and </w:t>
      </w:r>
      <w:proofErr w:type="spellStart"/>
      <w:r w:rsidR="00B95CDB" w:rsidRPr="00ED5916">
        <w:rPr>
          <w:rFonts w:cs="Times New Roman"/>
          <w:szCs w:val="24"/>
        </w:rPr>
        <w:t>Connex</w:t>
      </w:r>
      <w:proofErr w:type="spellEnd"/>
      <w:r w:rsidR="00B95CDB" w:rsidRPr="00ED5916">
        <w:rPr>
          <w:rFonts w:cs="Times New Roman"/>
          <w:szCs w:val="24"/>
        </w:rPr>
        <w:t xml:space="preserve"> under </w:t>
      </w:r>
      <w:r w:rsidR="00A1212F" w:rsidRPr="00ED5916">
        <w:rPr>
          <w:rFonts w:cs="Times New Roman"/>
          <w:szCs w:val="24"/>
        </w:rPr>
        <w:t>net</w:t>
      </w:r>
      <w:r w:rsidR="00A1212F">
        <w:rPr>
          <w:rFonts w:cs="Times New Roman"/>
          <w:szCs w:val="24"/>
        </w:rPr>
        <w:t>-</w:t>
      </w:r>
      <w:r w:rsidRPr="00ED5916">
        <w:rPr>
          <w:rFonts w:cs="Times New Roman"/>
          <w:szCs w:val="24"/>
        </w:rPr>
        <w:t xml:space="preserve">cost </w:t>
      </w:r>
      <w:r w:rsidR="00B95CDB" w:rsidRPr="00ED5916">
        <w:rPr>
          <w:rFonts w:cs="Times New Roman"/>
          <w:szCs w:val="24"/>
        </w:rPr>
        <w:t>arrangement</w:t>
      </w:r>
      <w:r w:rsidR="006242C1" w:rsidRPr="00ED5916">
        <w:rPr>
          <w:rFonts w:cs="Times New Roman"/>
          <w:szCs w:val="24"/>
        </w:rPr>
        <w:t>s</w:t>
      </w:r>
      <w:r w:rsidR="00B95CDB" w:rsidRPr="00ED5916">
        <w:rPr>
          <w:rFonts w:cs="Times New Roman"/>
          <w:szCs w:val="24"/>
        </w:rPr>
        <w:t xml:space="preserve">. </w:t>
      </w:r>
      <w:r w:rsidRPr="00ED5916">
        <w:rPr>
          <w:rFonts w:cs="Times New Roman"/>
          <w:szCs w:val="24"/>
        </w:rPr>
        <w:t xml:space="preserve"> </w:t>
      </w:r>
      <w:r w:rsidR="00B95CDB" w:rsidRPr="00ED5916">
        <w:rPr>
          <w:rFonts w:cs="Times New Roman"/>
          <w:szCs w:val="24"/>
        </w:rPr>
        <w:t>R</w:t>
      </w:r>
      <w:r w:rsidRPr="00ED5916">
        <w:rPr>
          <w:rFonts w:cs="Times New Roman"/>
          <w:szCs w:val="24"/>
        </w:rPr>
        <w:t>evenue risk remained with operators and they bid</w:t>
      </w:r>
      <w:r w:rsidR="00C05E6C" w:rsidRPr="00ED5916">
        <w:rPr>
          <w:rFonts w:cs="Times New Roman"/>
          <w:szCs w:val="24"/>
        </w:rPr>
        <w:t xml:space="preserve"> </w:t>
      </w:r>
      <w:r w:rsidRPr="00ED5916">
        <w:rPr>
          <w:rFonts w:cs="Times New Roman"/>
          <w:szCs w:val="24"/>
        </w:rPr>
        <w:t xml:space="preserve">on a </w:t>
      </w:r>
      <w:r w:rsidR="00C05E6C" w:rsidRPr="00ED5916">
        <w:rPr>
          <w:rFonts w:cs="Times New Roman"/>
          <w:szCs w:val="24"/>
        </w:rPr>
        <w:t>‘</w:t>
      </w:r>
      <w:r w:rsidRPr="00ED5916">
        <w:rPr>
          <w:rFonts w:cs="Times New Roman"/>
          <w:szCs w:val="24"/>
        </w:rPr>
        <w:t>net subsidy</w:t>
      </w:r>
      <w:r w:rsidR="00C05E6C" w:rsidRPr="00ED5916">
        <w:rPr>
          <w:rFonts w:cs="Times New Roman"/>
          <w:szCs w:val="24"/>
        </w:rPr>
        <w:t>’</w:t>
      </w:r>
      <w:r w:rsidRPr="00ED5916">
        <w:rPr>
          <w:rFonts w:cs="Times New Roman"/>
          <w:szCs w:val="24"/>
        </w:rPr>
        <w:t xml:space="preserve"> basis</w:t>
      </w:r>
      <w:r w:rsidR="00C05E6C" w:rsidRPr="00ED5916">
        <w:rPr>
          <w:rFonts w:cs="Times New Roman"/>
          <w:szCs w:val="24"/>
        </w:rPr>
        <w:t xml:space="preserve">: fare revenues went </w:t>
      </w:r>
      <w:r w:rsidR="007B727E">
        <w:rPr>
          <w:rFonts w:cs="Times New Roman"/>
          <w:szCs w:val="24"/>
        </w:rPr>
        <w:t>directly</w:t>
      </w:r>
      <w:r w:rsidR="00C05E6C" w:rsidRPr="00ED5916">
        <w:rPr>
          <w:rFonts w:cs="Times New Roman"/>
          <w:szCs w:val="24"/>
        </w:rPr>
        <w:t xml:space="preserve"> to the </w:t>
      </w:r>
      <w:r w:rsidR="00FA473C" w:rsidRPr="00ED5916">
        <w:rPr>
          <w:rFonts w:cs="Times New Roman"/>
          <w:szCs w:val="24"/>
        </w:rPr>
        <w:t>operators</w:t>
      </w:r>
      <w:r w:rsidR="00C05E6C" w:rsidRPr="00ED5916">
        <w:rPr>
          <w:rFonts w:cs="Times New Roman"/>
          <w:szCs w:val="24"/>
        </w:rPr>
        <w:t xml:space="preserve"> </w:t>
      </w:r>
      <w:r w:rsidR="006242C1" w:rsidRPr="00ED5916">
        <w:rPr>
          <w:rFonts w:cs="Times New Roman"/>
          <w:szCs w:val="24"/>
        </w:rPr>
        <w:t xml:space="preserve">so </w:t>
      </w:r>
      <w:r w:rsidR="00210CF9" w:rsidRPr="00ED5916">
        <w:rPr>
          <w:rFonts w:cs="Times New Roman"/>
          <w:szCs w:val="24"/>
        </w:rPr>
        <w:t xml:space="preserve">were </w:t>
      </w:r>
      <w:r w:rsidR="00C05E6C" w:rsidRPr="00ED5916">
        <w:rPr>
          <w:rFonts w:cs="Times New Roman"/>
          <w:szCs w:val="24"/>
        </w:rPr>
        <w:t>not included in the publicly reported payments</w:t>
      </w:r>
      <w:r w:rsidRPr="00ED5916">
        <w:rPr>
          <w:rFonts w:cs="Times New Roman"/>
          <w:szCs w:val="24"/>
        </w:rPr>
        <w:t xml:space="preserve">.  </w:t>
      </w:r>
      <w:r w:rsidR="00B95CDB" w:rsidRPr="00ED5916">
        <w:rPr>
          <w:rFonts w:cs="Times New Roman"/>
          <w:szCs w:val="24"/>
        </w:rPr>
        <w:t xml:space="preserve">These </w:t>
      </w:r>
      <w:r w:rsidR="00210CF9" w:rsidRPr="00ED5916">
        <w:rPr>
          <w:rFonts w:cs="Times New Roman"/>
          <w:szCs w:val="24"/>
        </w:rPr>
        <w:t xml:space="preserve">early </w:t>
      </w:r>
      <w:r w:rsidR="00B95CDB" w:rsidRPr="00ED5916">
        <w:rPr>
          <w:rFonts w:cs="Times New Roman"/>
          <w:szCs w:val="24"/>
        </w:rPr>
        <w:t xml:space="preserve">bids were based on </w:t>
      </w:r>
      <w:r w:rsidR="00CB78B2" w:rsidRPr="00ED5916">
        <w:rPr>
          <w:rFonts w:cs="Times New Roman"/>
          <w:szCs w:val="24"/>
        </w:rPr>
        <w:t>ambitious</w:t>
      </w:r>
      <w:r w:rsidR="00B95CDB" w:rsidRPr="00ED5916">
        <w:rPr>
          <w:rFonts w:cs="Times New Roman"/>
          <w:szCs w:val="24"/>
        </w:rPr>
        <w:t xml:space="preserve"> </w:t>
      </w:r>
      <w:r w:rsidR="0036044C" w:rsidRPr="00ED5916">
        <w:rPr>
          <w:rFonts w:cs="Times New Roman"/>
          <w:szCs w:val="24"/>
        </w:rPr>
        <w:t>cost</w:t>
      </w:r>
      <w:r w:rsidR="00A1212F">
        <w:rPr>
          <w:rFonts w:cs="Times New Roman"/>
          <w:szCs w:val="24"/>
        </w:rPr>
        <w:t>-</w:t>
      </w:r>
      <w:r w:rsidR="0036044C" w:rsidRPr="00ED5916">
        <w:rPr>
          <w:rFonts w:cs="Times New Roman"/>
          <w:szCs w:val="24"/>
        </w:rPr>
        <w:t xml:space="preserve">reduction and </w:t>
      </w:r>
      <w:r w:rsidR="00A1212F" w:rsidRPr="00ED5916">
        <w:rPr>
          <w:rFonts w:cs="Times New Roman"/>
          <w:szCs w:val="24"/>
        </w:rPr>
        <w:t>patronage</w:t>
      </w:r>
      <w:r w:rsidR="00A1212F">
        <w:rPr>
          <w:rFonts w:cs="Times New Roman"/>
          <w:szCs w:val="24"/>
        </w:rPr>
        <w:t>-</w:t>
      </w:r>
      <w:r w:rsidR="00B95CDB" w:rsidRPr="00ED5916">
        <w:rPr>
          <w:rFonts w:cs="Times New Roman"/>
          <w:szCs w:val="24"/>
        </w:rPr>
        <w:t>growth projections and consequent reductions in subsidy payments as can be seen in the 2003 data</w:t>
      </w:r>
      <w:r w:rsidR="00A866DA">
        <w:rPr>
          <w:rFonts w:cs="Times New Roman"/>
          <w:szCs w:val="24"/>
        </w:rPr>
        <w:t xml:space="preserve"> (</w:t>
      </w:r>
      <w:proofErr w:type="spellStart"/>
      <w:r w:rsidR="00A866DA">
        <w:rPr>
          <w:rFonts w:cs="Times New Roman"/>
          <w:szCs w:val="24"/>
        </w:rPr>
        <w:t>Mees</w:t>
      </w:r>
      <w:proofErr w:type="spellEnd"/>
      <w:r w:rsidR="00A866DA">
        <w:rPr>
          <w:rFonts w:cs="Times New Roman"/>
          <w:szCs w:val="24"/>
        </w:rPr>
        <w:t>, 2005)</w:t>
      </w:r>
      <w:r w:rsidR="00B95CDB" w:rsidRPr="00ED5916">
        <w:rPr>
          <w:rFonts w:cs="Times New Roman"/>
          <w:szCs w:val="24"/>
        </w:rPr>
        <w:t xml:space="preserve">. </w:t>
      </w:r>
      <w:r w:rsidR="003A54E1">
        <w:rPr>
          <w:rFonts w:cs="Times New Roman"/>
          <w:szCs w:val="24"/>
        </w:rPr>
        <w:t xml:space="preserve">  </w:t>
      </w:r>
      <w:r w:rsidR="00B95CDB" w:rsidRPr="00ED5916">
        <w:rPr>
          <w:rFonts w:cs="Times New Roman"/>
          <w:szCs w:val="24"/>
        </w:rPr>
        <w:t>Faced with looming losses, National E</w:t>
      </w:r>
      <w:r w:rsidR="00C05E6C" w:rsidRPr="00ED5916">
        <w:rPr>
          <w:rFonts w:cs="Times New Roman"/>
          <w:szCs w:val="24"/>
        </w:rPr>
        <w:t xml:space="preserve">xpress </w:t>
      </w:r>
      <w:r w:rsidR="001118E6" w:rsidRPr="00ED5916">
        <w:rPr>
          <w:rFonts w:cs="Times New Roman"/>
          <w:szCs w:val="24"/>
        </w:rPr>
        <w:t>cancelled the contract,</w:t>
      </w:r>
      <w:r w:rsidR="00C05E6C" w:rsidRPr="00ED5916">
        <w:rPr>
          <w:rFonts w:cs="Times New Roman"/>
          <w:szCs w:val="24"/>
        </w:rPr>
        <w:t xml:space="preserve"> and the government</w:t>
      </w:r>
      <w:r w:rsidR="00CB78B2" w:rsidRPr="00ED5916">
        <w:rPr>
          <w:rFonts w:cs="Times New Roman"/>
          <w:szCs w:val="24"/>
        </w:rPr>
        <w:t xml:space="preserve">, </w:t>
      </w:r>
      <w:r w:rsidR="00E90B79">
        <w:rPr>
          <w:rFonts w:cs="Times New Roman"/>
          <w:szCs w:val="24"/>
        </w:rPr>
        <w:t>confronted</w:t>
      </w:r>
      <w:r w:rsidR="00E90B79" w:rsidRPr="00ED5916">
        <w:rPr>
          <w:rFonts w:cs="Times New Roman"/>
          <w:szCs w:val="24"/>
        </w:rPr>
        <w:t xml:space="preserve"> </w:t>
      </w:r>
      <w:r w:rsidR="00CB78B2" w:rsidRPr="00ED5916">
        <w:rPr>
          <w:rFonts w:cs="Times New Roman"/>
          <w:szCs w:val="24"/>
        </w:rPr>
        <w:t>with the prospect of severe disruptions to services</w:t>
      </w:r>
      <w:r w:rsidR="00E90B79">
        <w:rPr>
          <w:rFonts w:cs="Times New Roman"/>
          <w:szCs w:val="24"/>
        </w:rPr>
        <w:t xml:space="preserve"> and with little appetite </w:t>
      </w:r>
      <w:proofErr w:type="gramStart"/>
      <w:r w:rsidR="00E90B79">
        <w:rPr>
          <w:rFonts w:cs="Times New Roman"/>
          <w:szCs w:val="24"/>
        </w:rPr>
        <w:t>for ‘re</w:t>
      </w:r>
      <w:proofErr w:type="gramEnd"/>
      <w:r w:rsidR="00E90B79">
        <w:rPr>
          <w:rFonts w:cs="Times New Roman"/>
          <w:szCs w:val="24"/>
        </w:rPr>
        <w:t>-nationalisation’</w:t>
      </w:r>
      <w:r w:rsidR="00CB78B2" w:rsidRPr="00ED5916">
        <w:rPr>
          <w:rFonts w:cs="Times New Roman"/>
          <w:szCs w:val="24"/>
        </w:rPr>
        <w:t>,</w:t>
      </w:r>
      <w:r w:rsidR="00C05E6C" w:rsidRPr="00ED5916">
        <w:rPr>
          <w:rFonts w:cs="Times New Roman"/>
          <w:szCs w:val="24"/>
        </w:rPr>
        <w:t xml:space="preserve"> </w:t>
      </w:r>
      <w:r w:rsidR="00CB78B2" w:rsidRPr="00ED5916">
        <w:rPr>
          <w:rFonts w:cs="Times New Roman"/>
          <w:szCs w:val="24"/>
        </w:rPr>
        <w:t xml:space="preserve">felt that it had no option but to </w:t>
      </w:r>
      <w:r w:rsidR="00C05E6C" w:rsidRPr="00ED5916">
        <w:rPr>
          <w:rFonts w:cs="Times New Roman"/>
          <w:szCs w:val="24"/>
        </w:rPr>
        <w:t xml:space="preserve">enter new contracts with </w:t>
      </w:r>
      <w:proofErr w:type="spellStart"/>
      <w:r w:rsidR="00C05E6C" w:rsidRPr="00ED5916">
        <w:rPr>
          <w:rFonts w:cs="Times New Roman"/>
          <w:szCs w:val="24"/>
        </w:rPr>
        <w:t>Connex</w:t>
      </w:r>
      <w:proofErr w:type="spellEnd"/>
      <w:r w:rsidR="00E90B79">
        <w:rPr>
          <w:rFonts w:cs="Times New Roman"/>
          <w:szCs w:val="24"/>
        </w:rPr>
        <w:t xml:space="preserve"> to run the whole rail system</w:t>
      </w:r>
      <w:r w:rsidR="00C05E6C" w:rsidRPr="00ED5916">
        <w:rPr>
          <w:rFonts w:cs="Times New Roman"/>
          <w:szCs w:val="24"/>
        </w:rPr>
        <w:t xml:space="preserve"> (2004-2009). </w:t>
      </w:r>
      <w:r w:rsidR="003A54E1">
        <w:rPr>
          <w:rFonts w:cs="Times New Roman"/>
          <w:szCs w:val="24"/>
        </w:rPr>
        <w:t xml:space="preserve"> </w:t>
      </w:r>
      <w:r w:rsidR="00C05E6C" w:rsidRPr="00ED5916">
        <w:rPr>
          <w:rFonts w:cs="Times New Roman"/>
          <w:szCs w:val="24"/>
        </w:rPr>
        <w:t xml:space="preserve">In this second phase, </w:t>
      </w:r>
      <w:r w:rsidRPr="00ED5916">
        <w:rPr>
          <w:rFonts w:cs="Times New Roman"/>
          <w:szCs w:val="24"/>
        </w:rPr>
        <w:t xml:space="preserve">the revenue </w:t>
      </w:r>
      <w:r w:rsidR="006242C1" w:rsidRPr="00ED5916">
        <w:rPr>
          <w:rFonts w:cs="Times New Roman"/>
          <w:szCs w:val="24"/>
        </w:rPr>
        <w:t>payments were</w:t>
      </w:r>
      <w:r w:rsidR="00210CF9" w:rsidRPr="00ED5916">
        <w:rPr>
          <w:rFonts w:cs="Times New Roman"/>
          <w:szCs w:val="24"/>
        </w:rPr>
        <w:t xml:space="preserve"> </w:t>
      </w:r>
      <w:r w:rsidR="006242C1" w:rsidRPr="00ED5916">
        <w:rPr>
          <w:rFonts w:cs="Times New Roman"/>
          <w:szCs w:val="24"/>
        </w:rPr>
        <w:t>adjusted</w:t>
      </w:r>
      <w:r w:rsidR="00210CF9" w:rsidRPr="00ED5916">
        <w:rPr>
          <w:rFonts w:cs="Times New Roman"/>
          <w:szCs w:val="24"/>
        </w:rPr>
        <w:t xml:space="preserve"> to reflect actual levels</w:t>
      </w:r>
      <w:r w:rsidR="00C05E6C" w:rsidRPr="00ED5916">
        <w:rPr>
          <w:rFonts w:cs="Times New Roman"/>
          <w:szCs w:val="24"/>
        </w:rPr>
        <w:t xml:space="preserve">. The franchise </w:t>
      </w:r>
      <w:r w:rsidR="00210CF9" w:rsidRPr="00ED5916">
        <w:rPr>
          <w:rFonts w:cs="Times New Roman"/>
          <w:szCs w:val="24"/>
        </w:rPr>
        <w:t xml:space="preserve">was </w:t>
      </w:r>
      <w:r w:rsidRPr="00ED5916">
        <w:rPr>
          <w:rFonts w:cs="Times New Roman"/>
          <w:szCs w:val="24"/>
        </w:rPr>
        <w:t xml:space="preserve">operated on a </w:t>
      </w:r>
      <w:r w:rsidR="00C05E6C" w:rsidRPr="00ED5916">
        <w:rPr>
          <w:rFonts w:cs="Times New Roman"/>
          <w:szCs w:val="24"/>
        </w:rPr>
        <w:t>‘</w:t>
      </w:r>
      <w:r w:rsidRPr="00ED5916">
        <w:rPr>
          <w:rFonts w:cs="Times New Roman"/>
          <w:szCs w:val="24"/>
        </w:rPr>
        <w:t>cost plus</w:t>
      </w:r>
      <w:r w:rsidR="005E2CF9" w:rsidRPr="00ED5916">
        <w:rPr>
          <w:rFonts w:cs="Times New Roman"/>
          <w:szCs w:val="24"/>
        </w:rPr>
        <w:t xml:space="preserve"> </w:t>
      </w:r>
      <w:proofErr w:type="spellStart"/>
      <w:r w:rsidR="005E2CF9" w:rsidRPr="00ED5916">
        <w:rPr>
          <w:rFonts w:cs="Times New Roman"/>
          <w:szCs w:val="24"/>
        </w:rPr>
        <w:t>plus</w:t>
      </w:r>
      <w:r w:rsidR="00C05E6C" w:rsidRPr="00ED5916">
        <w:rPr>
          <w:rFonts w:cs="Times New Roman"/>
          <w:szCs w:val="24"/>
        </w:rPr>
        <w:t>’</w:t>
      </w:r>
      <w:proofErr w:type="spellEnd"/>
      <w:r w:rsidR="00C05E6C" w:rsidRPr="00ED5916">
        <w:rPr>
          <w:rFonts w:cs="Times New Roman"/>
          <w:szCs w:val="24"/>
        </w:rPr>
        <w:t xml:space="preserve"> basis (the ‘plus</w:t>
      </w:r>
      <w:r w:rsidR="00FA37A6" w:rsidRPr="00ED5916">
        <w:rPr>
          <w:rFonts w:cs="Times New Roman"/>
          <w:szCs w:val="24"/>
        </w:rPr>
        <w:t>ses</w:t>
      </w:r>
      <w:r w:rsidR="00C05E6C" w:rsidRPr="00ED5916">
        <w:rPr>
          <w:rFonts w:cs="Times New Roman"/>
          <w:szCs w:val="24"/>
        </w:rPr>
        <w:t xml:space="preserve">’ being </w:t>
      </w:r>
      <w:r w:rsidR="005E2CF9" w:rsidRPr="00ED5916">
        <w:rPr>
          <w:rFonts w:cs="Times New Roman"/>
          <w:szCs w:val="24"/>
        </w:rPr>
        <w:t xml:space="preserve">revenue and </w:t>
      </w:r>
      <w:r w:rsidR="00C05E6C" w:rsidRPr="00ED5916">
        <w:rPr>
          <w:rFonts w:cs="Times New Roman"/>
          <w:szCs w:val="24"/>
        </w:rPr>
        <w:t>performance bonus incentives</w:t>
      </w:r>
      <w:r w:rsidR="005E2CF9" w:rsidRPr="00ED5916">
        <w:rPr>
          <w:rFonts w:cs="Times New Roman"/>
          <w:szCs w:val="24"/>
        </w:rPr>
        <w:t xml:space="preserve"> relative to the </w:t>
      </w:r>
      <w:r w:rsidR="00E90B79">
        <w:rPr>
          <w:rFonts w:cs="Times New Roman"/>
          <w:szCs w:val="24"/>
        </w:rPr>
        <w:t>cost estimated</w:t>
      </w:r>
      <w:r w:rsidR="00E90B79" w:rsidRPr="00ED5916">
        <w:rPr>
          <w:rFonts w:cs="Times New Roman"/>
          <w:szCs w:val="24"/>
        </w:rPr>
        <w:t xml:space="preserve"> </w:t>
      </w:r>
      <w:r w:rsidR="005E2CF9" w:rsidRPr="00ED5916">
        <w:rPr>
          <w:rFonts w:cs="Times New Roman"/>
          <w:szCs w:val="24"/>
        </w:rPr>
        <w:t>in the bid</w:t>
      </w:r>
      <w:r w:rsidR="00C05E6C" w:rsidRPr="00ED5916">
        <w:rPr>
          <w:rFonts w:cs="Times New Roman"/>
          <w:szCs w:val="24"/>
        </w:rPr>
        <w:t xml:space="preserve">). </w:t>
      </w:r>
      <w:r w:rsidR="003A54E1">
        <w:rPr>
          <w:rFonts w:cs="Times New Roman"/>
          <w:szCs w:val="24"/>
        </w:rPr>
        <w:t xml:space="preserve"> </w:t>
      </w:r>
      <w:r w:rsidR="00C05E6C" w:rsidRPr="00ED5916">
        <w:rPr>
          <w:rFonts w:cs="Times New Roman"/>
          <w:szCs w:val="24"/>
        </w:rPr>
        <w:t>Ticketing r</w:t>
      </w:r>
      <w:r w:rsidRPr="00ED5916">
        <w:rPr>
          <w:rFonts w:cs="Times New Roman"/>
          <w:szCs w:val="24"/>
        </w:rPr>
        <w:t xml:space="preserve">evenue was added back into the </w:t>
      </w:r>
      <w:r w:rsidR="008601D9" w:rsidRPr="00ED5916">
        <w:rPr>
          <w:rFonts w:cs="Times New Roman"/>
          <w:szCs w:val="24"/>
        </w:rPr>
        <w:t xml:space="preserve">publicly available </w:t>
      </w:r>
      <w:r w:rsidRPr="00ED5916">
        <w:rPr>
          <w:rFonts w:cs="Times New Roman"/>
          <w:szCs w:val="24"/>
        </w:rPr>
        <w:t>data, allowing the full payment stream to be captured.</w:t>
      </w:r>
    </w:p>
    <w:p w14:paraId="66FC0BAC" w14:textId="5D564F46" w:rsidR="00C538AA" w:rsidRPr="00ED5916" w:rsidRDefault="00C05E6C" w:rsidP="00237004">
      <w:pPr>
        <w:spacing w:before="120" w:after="120" w:line="360" w:lineRule="auto"/>
        <w:rPr>
          <w:rFonts w:cs="Times New Roman"/>
          <w:szCs w:val="24"/>
        </w:rPr>
      </w:pPr>
      <w:r w:rsidRPr="00ED5916">
        <w:rPr>
          <w:rFonts w:cs="Times New Roman"/>
          <w:szCs w:val="24"/>
        </w:rPr>
        <w:t>After a tender process i</w:t>
      </w:r>
      <w:r w:rsidR="00C538AA" w:rsidRPr="00ED5916">
        <w:rPr>
          <w:rFonts w:cs="Times New Roman"/>
          <w:szCs w:val="24"/>
        </w:rPr>
        <w:t>n 2009</w:t>
      </w:r>
      <w:r w:rsidRPr="00ED5916">
        <w:rPr>
          <w:rFonts w:cs="Times New Roman"/>
          <w:szCs w:val="24"/>
        </w:rPr>
        <w:t>,</w:t>
      </w:r>
      <w:r w:rsidR="00C538AA" w:rsidRPr="00ED5916">
        <w:rPr>
          <w:rFonts w:cs="Times New Roman"/>
          <w:szCs w:val="24"/>
        </w:rPr>
        <w:t xml:space="preserve"> the franchise </w:t>
      </w:r>
      <w:r w:rsidRPr="00ED5916">
        <w:rPr>
          <w:rFonts w:cs="Times New Roman"/>
          <w:szCs w:val="24"/>
        </w:rPr>
        <w:t>was transferred from</w:t>
      </w:r>
      <w:r w:rsidR="00C538AA" w:rsidRPr="00ED5916">
        <w:rPr>
          <w:rFonts w:cs="Times New Roman"/>
          <w:szCs w:val="24"/>
        </w:rPr>
        <w:t xml:space="preserve"> </w:t>
      </w:r>
      <w:proofErr w:type="spellStart"/>
      <w:r w:rsidR="00C538AA" w:rsidRPr="00ED5916">
        <w:rPr>
          <w:rFonts w:cs="Times New Roman"/>
          <w:szCs w:val="24"/>
        </w:rPr>
        <w:t>Connex</w:t>
      </w:r>
      <w:proofErr w:type="spellEnd"/>
      <w:r w:rsidR="00C538AA" w:rsidRPr="00ED5916">
        <w:rPr>
          <w:rFonts w:cs="Times New Roman"/>
          <w:szCs w:val="24"/>
        </w:rPr>
        <w:t xml:space="preserve"> to MTM and a ‘cap and collar’ was introduced</w:t>
      </w:r>
      <w:r w:rsidR="00507908" w:rsidRPr="00ED5916">
        <w:rPr>
          <w:rFonts w:cs="Times New Roman"/>
          <w:szCs w:val="24"/>
        </w:rPr>
        <w:t xml:space="preserve">. </w:t>
      </w:r>
      <w:r w:rsidR="00123335">
        <w:rPr>
          <w:rFonts w:cs="Times New Roman"/>
          <w:szCs w:val="24"/>
        </w:rPr>
        <w:t>This arrangement</w:t>
      </w:r>
      <w:r w:rsidR="00210CF9" w:rsidRPr="00ED5916">
        <w:rPr>
          <w:rFonts w:cs="Times New Roman"/>
          <w:szCs w:val="24"/>
        </w:rPr>
        <w:t xml:space="preserve"> insulate</w:t>
      </w:r>
      <w:r w:rsidR="00544323" w:rsidRPr="00ED5916">
        <w:rPr>
          <w:rFonts w:cs="Times New Roman"/>
          <w:szCs w:val="24"/>
        </w:rPr>
        <w:t>d</w:t>
      </w:r>
      <w:r w:rsidR="00210CF9" w:rsidRPr="00ED5916">
        <w:rPr>
          <w:rFonts w:cs="Times New Roman"/>
          <w:szCs w:val="24"/>
        </w:rPr>
        <w:t xml:space="preserve"> the operators from significant </w:t>
      </w:r>
      <w:r w:rsidR="00544323" w:rsidRPr="00ED5916">
        <w:rPr>
          <w:rFonts w:cs="Times New Roman"/>
          <w:szCs w:val="24"/>
        </w:rPr>
        <w:t xml:space="preserve">drops in </w:t>
      </w:r>
      <w:r w:rsidR="008601D9" w:rsidRPr="00ED5916">
        <w:rPr>
          <w:rFonts w:cs="Times New Roman"/>
          <w:szCs w:val="24"/>
        </w:rPr>
        <w:t xml:space="preserve">fare </w:t>
      </w:r>
      <w:r w:rsidR="00544323" w:rsidRPr="00ED5916">
        <w:rPr>
          <w:rFonts w:cs="Times New Roman"/>
          <w:szCs w:val="24"/>
        </w:rPr>
        <w:t>revenue</w:t>
      </w:r>
      <w:r w:rsidR="00210CF9" w:rsidRPr="00ED5916">
        <w:rPr>
          <w:rFonts w:cs="Times New Roman"/>
          <w:szCs w:val="24"/>
        </w:rPr>
        <w:t xml:space="preserve">, and </w:t>
      </w:r>
      <w:r w:rsidR="00544323" w:rsidRPr="00ED5916">
        <w:rPr>
          <w:rFonts w:cs="Times New Roman"/>
          <w:szCs w:val="24"/>
        </w:rPr>
        <w:t>e</w:t>
      </w:r>
      <w:r w:rsidR="00C909F3" w:rsidRPr="00ED5916">
        <w:rPr>
          <w:rFonts w:cs="Times New Roman"/>
          <w:szCs w:val="24"/>
        </w:rPr>
        <w:t>nsure</w:t>
      </w:r>
      <w:r w:rsidR="00544323" w:rsidRPr="00ED5916">
        <w:rPr>
          <w:rFonts w:cs="Times New Roman"/>
          <w:szCs w:val="24"/>
        </w:rPr>
        <w:t>d that</w:t>
      </w:r>
      <w:r w:rsidR="00C909F3" w:rsidRPr="00ED5916">
        <w:rPr>
          <w:rFonts w:cs="Times New Roman"/>
          <w:szCs w:val="24"/>
        </w:rPr>
        <w:t xml:space="preserve"> the </w:t>
      </w:r>
      <w:r w:rsidR="00210CF9" w:rsidRPr="00ED5916">
        <w:rPr>
          <w:rFonts w:cs="Times New Roman"/>
          <w:szCs w:val="24"/>
        </w:rPr>
        <w:t xml:space="preserve">government </w:t>
      </w:r>
      <w:r w:rsidR="00C909F3" w:rsidRPr="00ED5916">
        <w:rPr>
          <w:rFonts w:cs="Times New Roman"/>
          <w:szCs w:val="24"/>
        </w:rPr>
        <w:t>benefitted</w:t>
      </w:r>
      <w:r w:rsidR="00210CF9" w:rsidRPr="00ED5916">
        <w:rPr>
          <w:rFonts w:cs="Times New Roman"/>
          <w:szCs w:val="24"/>
        </w:rPr>
        <w:t xml:space="preserve"> from significant growth</w:t>
      </w:r>
      <w:r w:rsidR="00544323" w:rsidRPr="00ED5916">
        <w:rPr>
          <w:rFonts w:cs="Times New Roman"/>
          <w:szCs w:val="24"/>
        </w:rPr>
        <w:t>. In addition,</w:t>
      </w:r>
      <w:r w:rsidR="00507908" w:rsidRPr="00ED5916">
        <w:rPr>
          <w:rFonts w:cs="Times New Roman"/>
          <w:szCs w:val="24"/>
        </w:rPr>
        <w:t xml:space="preserve"> over the period of the introduction of the</w:t>
      </w:r>
      <w:r w:rsidR="00C538AA" w:rsidRPr="00ED5916">
        <w:rPr>
          <w:rFonts w:cs="Times New Roman"/>
          <w:szCs w:val="24"/>
        </w:rPr>
        <w:t xml:space="preserve"> Myki</w:t>
      </w:r>
      <w:r w:rsidR="00507908" w:rsidRPr="00ED5916">
        <w:rPr>
          <w:rFonts w:cs="Times New Roman"/>
          <w:szCs w:val="24"/>
        </w:rPr>
        <w:t xml:space="preserve"> ‘smartcard’ ticketing system, revenues were guaran</w:t>
      </w:r>
      <w:r w:rsidR="00731EA7" w:rsidRPr="00ED5916">
        <w:rPr>
          <w:rFonts w:cs="Times New Roman"/>
          <w:szCs w:val="24"/>
        </w:rPr>
        <w:t>teed by the state</w:t>
      </w:r>
      <w:r w:rsidR="00507908" w:rsidRPr="00ED5916">
        <w:rPr>
          <w:rFonts w:cs="Times New Roman"/>
          <w:szCs w:val="24"/>
        </w:rPr>
        <w:t>. This</w:t>
      </w:r>
      <w:r w:rsidR="00C538AA" w:rsidRPr="00ED5916">
        <w:rPr>
          <w:rFonts w:cs="Times New Roman"/>
          <w:szCs w:val="24"/>
        </w:rPr>
        <w:t xml:space="preserve"> </w:t>
      </w:r>
      <w:r w:rsidR="00544323" w:rsidRPr="00ED5916">
        <w:rPr>
          <w:rFonts w:cs="Times New Roman"/>
          <w:szCs w:val="24"/>
        </w:rPr>
        <w:t xml:space="preserve">guarantee </w:t>
      </w:r>
      <w:r w:rsidR="00C538AA" w:rsidRPr="00ED5916">
        <w:rPr>
          <w:rFonts w:cs="Times New Roman"/>
          <w:szCs w:val="24"/>
        </w:rPr>
        <w:t>was in place until 2013.  Since 2013</w:t>
      </w:r>
      <w:r w:rsidR="00507908" w:rsidRPr="00ED5916">
        <w:rPr>
          <w:rFonts w:cs="Times New Roman"/>
          <w:szCs w:val="24"/>
        </w:rPr>
        <w:t>,</w:t>
      </w:r>
      <w:r w:rsidR="00C538AA" w:rsidRPr="00ED5916">
        <w:rPr>
          <w:rFonts w:cs="Times New Roman"/>
          <w:szCs w:val="24"/>
        </w:rPr>
        <w:t xml:space="preserve"> </w:t>
      </w:r>
      <w:r w:rsidR="00507908" w:rsidRPr="00ED5916">
        <w:rPr>
          <w:rFonts w:cs="Times New Roman"/>
          <w:szCs w:val="24"/>
        </w:rPr>
        <w:t xml:space="preserve">ticketing </w:t>
      </w:r>
      <w:r w:rsidR="00C538AA" w:rsidRPr="00ED5916">
        <w:rPr>
          <w:rFonts w:cs="Times New Roman"/>
          <w:szCs w:val="24"/>
        </w:rPr>
        <w:t xml:space="preserve">revenue </w:t>
      </w:r>
      <w:r w:rsidR="00474B71" w:rsidRPr="00ED5916">
        <w:rPr>
          <w:rFonts w:cs="Times New Roman"/>
          <w:szCs w:val="24"/>
        </w:rPr>
        <w:t xml:space="preserve">has been </w:t>
      </w:r>
      <w:r w:rsidR="00507908" w:rsidRPr="00ED5916">
        <w:rPr>
          <w:rFonts w:cs="Times New Roman"/>
          <w:szCs w:val="24"/>
        </w:rPr>
        <w:t>paid direct to the operator and is no longer reported quarterly by PTV</w:t>
      </w:r>
      <w:r w:rsidR="00C538AA" w:rsidRPr="00ED5916">
        <w:rPr>
          <w:rFonts w:cs="Times New Roman"/>
          <w:szCs w:val="24"/>
        </w:rPr>
        <w:t xml:space="preserve">.  </w:t>
      </w:r>
      <w:r w:rsidR="00507908" w:rsidRPr="00ED5916">
        <w:rPr>
          <w:rFonts w:cs="Times New Roman"/>
          <w:szCs w:val="24"/>
        </w:rPr>
        <w:t>A</w:t>
      </w:r>
      <w:r w:rsidR="00C538AA" w:rsidRPr="00ED5916">
        <w:rPr>
          <w:rFonts w:cs="Times New Roman"/>
          <w:szCs w:val="24"/>
        </w:rPr>
        <w:t xml:space="preserve"> total revenue payment </w:t>
      </w:r>
      <w:r w:rsidR="00507908" w:rsidRPr="00ED5916">
        <w:rPr>
          <w:rFonts w:cs="Times New Roman"/>
          <w:szCs w:val="24"/>
        </w:rPr>
        <w:t xml:space="preserve">from Myki </w:t>
      </w:r>
      <w:r w:rsidR="00C538AA" w:rsidRPr="00ED5916">
        <w:rPr>
          <w:rFonts w:cs="Times New Roman"/>
          <w:szCs w:val="24"/>
        </w:rPr>
        <w:t xml:space="preserve">to operators is </w:t>
      </w:r>
      <w:r w:rsidR="00507908" w:rsidRPr="00ED5916">
        <w:rPr>
          <w:rFonts w:cs="Times New Roman"/>
          <w:szCs w:val="24"/>
        </w:rPr>
        <w:t xml:space="preserve">now reported </w:t>
      </w:r>
      <w:r w:rsidR="00C538AA" w:rsidRPr="00ED5916">
        <w:rPr>
          <w:rFonts w:cs="Times New Roman"/>
          <w:szCs w:val="24"/>
        </w:rPr>
        <w:t xml:space="preserve">in PTV’s </w:t>
      </w:r>
      <w:r w:rsidR="00507908" w:rsidRPr="00ED5916">
        <w:rPr>
          <w:rFonts w:cs="Times New Roman"/>
          <w:szCs w:val="24"/>
        </w:rPr>
        <w:t>A</w:t>
      </w:r>
      <w:r w:rsidR="00C538AA" w:rsidRPr="00ED5916">
        <w:rPr>
          <w:rFonts w:cs="Times New Roman"/>
          <w:szCs w:val="24"/>
        </w:rPr>
        <w:t xml:space="preserve">nnual </w:t>
      </w:r>
      <w:r w:rsidR="00507908" w:rsidRPr="00ED5916">
        <w:rPr>
          <w:rFonts w:cs="Times New Roman"/>
          <w:szCs w:val="24"/>
        </w:rPr>
        <w:t>R</w:t>
      </w:r>
      <w:r w:rsidR="00C538AA" w:rsidRPr="00ED5916">
        <w:rPr>
          <w:rFonts w:cs="Times New Roman"/>
          <w:szCs w:val="24"/>
        </w:rPr>
        <w:t>eport</w:t>
      </w:r>
      <w:r w:rsidR="00507908" w:rsidRPr="00ED5916">
        <w:rPr>
          <w:rFonts w:cs="Times New Roman"/>
          <w:szCs w:val="24"/>
        </w:rPr>
        <w:t>, but</w:t>
      </w:r>
      <w:r w:rsidR="00C538AA" w:rsidRPr="00ED5916">
        <w:rPr>
          <w:rFonts w:cs="Times New Roman"/>
          <w:szCs w:val="24"/>
        </w:rPr>
        <w:t xml:space="preserve"> th</w:t>
      </w:r>
      <w:r w:rsidR="00507908" w:rsidRPr="00ED5916">
        <w:rPr>
          <w:rFonts w:cs="Times New Roman"/>
          <w:szCs w:val="24"/>
        </w:rPr>
        <w:t>is</w:t>
      </w:r>
      <w:r w:rsidR="00C538AA" w:rsidRPr="00ED5916">
        <w:rPr>
          <w:rFonts w:cs="Times New Roman"/>
          <w:szCs w:val="24"/>
        </w:rPr>
        <w:t xml:space="preserve"> </w:t>
      </w:r>
      <w:r w:rsidR="00507908" w:rsidRPr="00ED5916">
        <w:rPr>
          <w:rFonts w:cs="Times New Roman"/>
          <w:szCs w:val="24"/>
        </w:rPr>
        <w:t>payment</w:t>
      </w:r>
      <w:r w:rsidR="00C538AA" w:rsidRPr="00ED5916">
        <w:rPr>
          <w:rFonts w:cs="Times New Roman"/>
          <w:szCs w:val="24"/>
        </w:rPr>
        <w:t xml:space="preserve"> is not broken down by</w:t>
      </w:r>
      <w:r w:rsidR="00507908" w:rsidRPr="00ED5916">
        <w:rPr>
          <w:rFonts w:cs="Times New Roman"/>
          <w:szCs w:val="24"/>
        </w:rPr>
        <w:t xml:space="preserve"> individual</w:t>
      </w:r>
      <w:r w:rsidR="00C538AA" w:rsidRPr="00ED5916">
        <w:rPr>
          <w:rFonts w:cs="Times New Roman"/>
          <w:szCs w:val="24"/>
        </w:rPr>
        <w:t xml:space="preserve"> operators (Public Transport Victoria, 2015).  This </w:t>
      </w:r>
      <w:r w:rsidR="00F83D8C" w:rsidRPr="00ED5916">
        <w:rPr>
          <w:rFonts w:cs="Times New Roman"/>
          <w:szCs w:val="24"/>
        </w:rPr>
        <w:t>change</w:t>
      </w:r>
      <w:r w:rsidR="00C538AA" w:rsidRPr="00ED5916">
        <w:rPr>
          <w:rFonts w:cs="Times New Roman"/>
          <w:szCs w:val="24"/>
        </w:rPr>
        <w:t xml:space="preserve"> makes</w:t>
      </w:r>
      <w:r w:rsidR="00F83D8C" w:rsidRPr="00ED5916">
        <w:rPr>
          <w:rFonts w:cs="Times New Roman"/>
          <w:szCs w:val="24"/>
        </w:rPr>
        <w:t xml:space="preserve"> it impossible to</w:t>
      </w:r>
      <w:r w:rsidR="00C538AA" w:rsidRPr="00ED5916">
        <w:rPr>
          <w:rFonts w:cs="Times New Roman"/>
          <w:szCs w:val="24"/>
        </w:rPr>
        <w:t xml:space="preserve"> draw</w:t>
      </w:r>
      <w:r w:rsidR="00F83D8C" w:rsidRPr="00ED5916">
        <w:rPr>
          <w:rFonts w:cs="Times New Roman"/>
          <w:szCs w:val="24"/>
        </w:rPr>
        <w:t xml:space="preserve"> any conclusions about</w:t>
      </w:r>
      <w:r w:rsidR="00C538AA" w:rsidRPr="00ED5916">
        <w:rPr>
          <w:rFonts w:cs="Times New Roman"/>
          <w:szCs w:val="24"/>
        </w:rPr>
        <w:t xml:space="preserve"> overall payment trend</w:t>
      </w:r>
      <w:r w:rsidR="00F83D8C" w:rsidRPr="00ED5916">
        <w:rPr>
          <w:rFonts w:cs="Times New Roman"/>
          <w:szCs w:val="24"/>
        </w:rPr>
        <w:t>s since 2014</w:t>
      </w:r>
      <w:r w:rsidR="00B92798" w:rsidRPr="00ED5916">
        <w:rPr>
          <w:rFonts w:cs="Times New Roman"/>
          <w:szCs w:val="24"/>
        </w:rPr>
        <w:t>, and into the future</w:t>
      </w:r>
      <w:r w:rsidR="00F83D8C" w:rsidRPr="00ED5916">
        <w:rPr>
          <w:rFonts w:cs="Times New Roman"/>
          <w:szCs w:val="24"/>
        </w:rPr>
        <w:t>.</w:t>
      </w:r>
      <w:r w:rsidR="008D7278">
        <w:rPr>
          <w:rFonts w:cs="Times New Roman"/>
          <w:szCs w:val="24"/>
        </w:rPr>
        <w:t xml:space="preserve">  This is not desirable </w:t>
      </w:r>
      <w:r w:rsidR="004B4E7C">
        <w:rPr>
          <w:rFonts w:cs="Times New Roman"/>
          <w:szCs w:val="24"/>
        </w:rPr>
        <w:t xml:space="preserve">from a </w:t>
      </w:r>
      <w:r w:rsidR="008D7278">
        <w:rPr>
          <w:rFonts w:cs="Times New Roman"/>
          <w:szCs w:val="24"/>
        </w:rPr>
        <w:t>public interest</w:t>
      </w:r>
      <w:r w:rsidR="004B4E7C">
        <w:rPr>
          <w:rFonts w:cs="Times New Roman"/>
          <w:szCs w:val="24"/>
        </w:rPr>
        <w:t xml:space="preserve"> perspective</w:t>
      </w:r>
      <w:r w:rsidR="008D7278">
        <w:rPr>
          <w:rFonts w:cs="Times New Roman"/>
          <w:szCs w:val="24"/>
        </w:rPr>
        <w:t>.</w:t>
      </w:r>
    </w:p>
    <w:p w14:paraId="5432E88B" w14:textId="71AA3903" w:rsidR="00087918" w:rsidRDefault="00C538AA" w:rsidP="00237004">
      <w:pPr>
        <w:spacing w:before="120" w:after="120" w:line="360" w:lineRule="auto"/>
        <w:rPr>
          <w:rFonts w:cs="Times New Roman"/>
          <w:szCs w:val="24"/>
        </w:rPr>
      </w:pPr>
      <w:r w:rsidRPr="00ED5916">
        <w:rPr>
          <w:rFonts w:cs="Times New Roman"/>
          <w:szCs w:val="24"/>
        </w:rPr>
        <w:t xml:space="preserve">Beyond </w:t>
      </w:r>
      <w:r w:rsidR="00C909F3" w:rsidRPr="00ED5916">
        <w:rPr>
          <w:rFonts w:cs="Times New Roman"/>
          <w:szCs w:val="24"/>
        </w:rPr>
        <w:t xml:space="preserve">inconsistency </w:t>
      </w:r>
      <w:r w:rsidRPr="00ED5916">
        <w:rPr>
          <w:rFonts w:cs="Times New Roman"/>
          <w:szCs w:val="24"/>
        </w:rPr>
        <w:t xml:space="preserve">in reporting categories, it is clear </w:t>
      </w:r>
      <w:r w:rsidR="003A54E1">
        <w:rPr>
          <w:rFonts w:cs="Times New Roman"/>
          <w:szCs w:val="24"/>
        </w:rPr>
        <w:t xml:space="preserve">(Figures 7 and 8) </w:t>
      </w:r>
      <w:r w:rsidRPr="00ED5916">
        <w:rPr>
          <w:rFonts w:cs="Times New Roman"/>
          <w:szCs w:val="24"/>
        </w:rPr>
        <w:t xml:space="preserve">that costs have been rising, primarily in maintenance and capital works.  </w:t>
      </w:r>
      <w:r w:rsidR="007F473C" w:rsidRPr="00ED5916">
        <w:rPr>
          <w:rFonts w:cs="Times New Roman"/>
          <w:szCs w:val="24"/>
        </w:rPr>
        <w:t xml:space="preserve">It may be easy, given the obvious age of Melbourne’s rail infrastructure and evidence of many years of under-investment, to provide a </w:t>
      </w:r>
      <w:r w:rsidR="00B92798" w:rsidRPr="00ED5916">
        <w:rPr>
          <w:rFonts w:cs="Times New Roman"/>
          <w:szCs w:val="24"/>
        </w:rPr>
        <w:t xml:space="preserve">summary </w:t>
      </w:r>
      <w:r w:rsidR="007F473C" w:rsidRPr="00ED5916">
        <w:rPr>
          <w:rFonts w:cs="Times New Roman"/>
          <w:szCs w:val="24"/>
        </w:rPr>
        <w:t xml:space="preserve">justification for the increase in spending; however, there is no publicly available evidence of improvements in operating performance or reduced </w:t>
      </w:r>
      <w:r w:rsidRPr="00ED5916">
        <w:rPr>
          <w:rFonts w:cs="Times New Roman"/>
          <w:szCs w:val="24"/>
        </w:rPr>
        <w:t>asset maintenance backlog</w:t>
      </w:r>
      <w:r w:rsidR="003A54E1">
        <w:rPr>
          <w:rFonts w:cs="Times New Roman"/>
          <w:szCs w:val="24"/>
        </w:rPr>
        <w:t xml:space="preserve">.  </w:t>
      </w:r>
      <w:r w:rsidR="007F473C" w:rsidRPr="00ED5916">
        <w:rPr>
          <w:rFonts w:cs="Times New Roman"/>
          <w:szCs w:val="24"/>
        </w:rPr>
        <w:t xml:space="preserve">It is also of concern that the </w:t>
      </w:r>
      <w:r w:rsidR="00716F2A" w:rsidRPr="00ED5916">
        <w:rPr>
          <w:rFonts w:cs="Times New Roman"/>
          <w:szCs w:val="24"/>
        </w:rPr>
        <w:t xml:space="preserve">capital </w:t>
      </w:r>
      <w:r w:rsidR="007F473C" w:rsidRPr="00ED5916">
        <w:rPr>
          <w:rFonts w:cs="Times New Roman"/>
          <w:szCs w:val="24"/>
        </w:rPr>
        <w:t xml:space="preserve">asset renewal </w:t>
      </w:r>
      <w:r w:rsidR="00716F2A" w:rsidRPr="00ED5916">
        <w:rPr>
          <w:rFonts w:cs="Times New Roman"/>
          <w:szCs w:val="24"/>
        </w:rPr>
        <w:t>and maintenance spend</w:t>
      </w:r>
      <w:r w:rsidR="007F473C" w:rsidRPr="00ED5916">
        <w:rPr>
          <w:rFonts w:cs="Times New Roman"/>
          <w:szCs w:val="24"/>
        </w:rPr>
        <w:t xml:space="preserve">ing have been </w:t>
      </w:r>
      <w:r w:rsidR="007F473C" w:rsidRPr="00ED5916">
        <w:rPr>
          <w:rFonts w:cs="Times New Roman"/>
          <w:szCs w:val="24"/>
        </w:rPr>
        <w:lastRenderedPageBreak/>
        <w:t>merged into a single public reporting category since 2013. This is made clear in</w:t>
      </w:r>
      <w:r w:rsidR="00716F2A" w:rsidRPr="00ED5916">
        <w:rPr>
          <w:rFonts w:cs="Times New Roman"/>
          <w:szCs w:val="24"/>
        </w:rPr>
        <w:t xml:space="preserve"> Figure </w:t>
      </w:r>
      <w:r w:rsidR="00FA6890" w:rsidRPr="00ED5916">
        <w:rPr>
          <w:rFonts w:cs="Times New Roman"/>
          <w:szCs w:val="24"/>
        </w:rPr>
        <w:t>8</w:t>
      </w:r>
      <w:r w:rsidR="00716F2A" w:rsidRPr="00ED5916">
        <w:rPr>
          <w:rFonts w:cs="Times New Roman"/>
          <w:szCs w:val="24"/>
        </w:rPr>
        <w:t xml:space="preserve">.  </w:t>
      </w:r>
      <w:r w:rsidR="00CB78B2" w:rsidRPr="00ED5916">
        <w:rPr>
          <w:rFonts w:cs="Times New Roman"/>
          <w:szCs w:val="24"/>
        </w:rPr>
        <w:t xml:space="preserve">This </w:t>
      </w:r>
      <w:r w:rsidR="004B4E7C">
        <w:rPr>
          <w:rFonts w:cs="Times New Roman"/>
          <w:szCs w:val="24"/>
        </w:rPr>
        <w:t>would appear to go</w:t>
      </w:r>
      <w:r w:rsidR="007F473C" w:rsidRPr="00ED5916">
        <w:rPr>
          <w:rFonts w:cs="Times New Roman"/>
          <w:szCs w:val="24"/>
        </w:rPr>
        <w:t xml:space="preserve"> against </w:t>
      </w:r>
      <w:r w:rsidR="00CB78B2" w:rsidRPr="00ED5916">
        <w:rPr>
          <w:rFonts w:cs="Times New Roman"/>
          <w:szCs w:val="24"/>
        </w:rPr>
        <w:t>transparent and accountable book-keeping p</w:t>
      </w:r>
      <w:r w:rsidR="007F473C" w:rsidRPr="00ED5916">
        <w:rPr>
          <w:rFonts w:cs="Times New Roman"/>
          <w:szCs w:val="24"/>
        </w:rPr>
        <w:t>ractice</w:t>
      </w:r>
      <w:r w:rsidR="00474B71" w:rsidRPr="00ED5916">
        <w:rPr>
          <w:rFonts w:cs="Times New Roman"/>
          <w:szCs w:val="24"/>
        </w:rPr>
        <w:t>.</w:t>
      </w:r>
    </w:p>
    <w:p w14:paraId="565FF50C" w14:textId="0E74D224" w:rsidR="00CB0A28" w:rsidRDefault="00474B71" w:rsidP="00237004">
      <w:pPr>
        <w:spacing w:before="120" w:after="120" w:line="360" w:lineRule="auto"/>
        <w:rPr>
          <w:rFonts w:cs="Times New Roman"/>
          <w:szCs w:val="24"/>
        </w:rPr>
      </w:pPr>
      <w:r w:rsidRPr="00ED5916">
        <w:rPr>
          <w:rFonts w:cs="Times New Roman"/>
          <w:szCs w:val="24"/>
        </w:rPr>
        <w:t>M</w:t>
      </w:r>
      <w:r w:rsidR="00716F2A" w:rsidRPr="00ED5916">
        <w:rPr>
          <w:rFonts w:cs="Times New Roman"/>
          <w:szCs w:val="24"/>
        </w:rPr>
        <w:t xml:space="preserve">ore importantly, </w:t>
      </w:r>
      <w:r w:rsidRPr="00ED5916">
        <w:rPr>
          <w:rFonts w:cs="Times New Roman"/>
          <w:szCs w:val="24"/>
        </w:rPr>
        <w:t>the blurring of asset renewal and maintenance payments may be obscuring cross-subsidies between the three contracts under which MTM operates</w:t>
      </w:r>
      <w:r w:rsidR="00CB0A28">
        <w:rPr>
          <w:rFonts w:cs="Times New Roman"/>
          <w:szCs w:val="24"/>
        </w:rPr>
        <w:t xml:space="preserve">.   </w:t>
      </w:r>
      <w:r w:rsidR="00CB0A28" w:rsidRPr="00ED5916">
        <w:rPr>
          <w:rFonts w:cs="Times New Roman"/>
          <w:szCs w:val="24"/>
        </w:rPr>
        <w:t xml:space="preserve">The issue of cross subsidisation is a thorny one, with some parties seeing it as unlocking </w:t>
      </w:r>
      <w:r w:rsidR="00CB0A28" w:rsidRPr="007B727E">
        <w:rPr>
          <w:rFonts w:cs="Times New Roman"/>
          <w:szCs w:val="24"/>
        </w:rPr>
        <w:t xml:space="preserve">value for money, others believing it </w:t>
      </w:r>
      <w:proofErr w:type="gramStart"/>
      <w:r w:rsidR="00E90B79" w:rsidRPr="007B727E">
        <w:rPr>
          <w:rFonts w:cs="Times New Roman"/>
          <w:szCs w:val="24"/>
        </w:rPr>
        <w:t>obscur</w:t>
      </w:r>
      <w:r w:rsidR="00E90B79">
        <w:rPr>
          <w:rFonts w:cs="Times New Roman"/>
          <w:szCs w:val="24"/>
        </w:rPr>
        <w:t>es</w:t>
      </w:r>
      <w:proofErr w:type="gramEnd"/>
      <w:r w:rsidR="00E90B79" w:rsidRPr="007B727E">
        <w:rPr>
          <w:rFonts w:cs="Times New Roman"/>
          <w:szCs w:val="24"/>
        </w:rPr>
        <w:t xml:space="preserve"> </w:t>
      </w:r>
      <w:r w:rsidR="00CB0A28" w:rsidRPr="007B727E">
        <w:rPr>
          <w:rFonts w:cs="Times New Roman"/>
          <w:szCs w:val="24"/>
        </w:rPr>
        <w:t>transparency.  Some argue that cross subsidisation allows flexibility within a contract, an</w:t>
      </w:r>
      <w:r w:rsidR="00B83F2D">
        <w:rPr>
          <w:rFonts w:cs="Times New Roman"/>
          <w:szCs w:val="24"/>
        </w:rPr>
        <w:t>d therefore, an</w:t>
      </w:r>
      <w:r w:rsidR="00CB0A28" w:rsidRPr="007B727E">
        <w:rPr>
          <w:rFonts w:cs="Times New Roman"/>
          <w:szCs w:val="24"/>
        </w:rPr>
        <w:t xml:space="preserve"> ability to extract best value from a contractor. </w:t>
      </w:r>
      <w:r w:rsidR="00CB0A28" w:rsidRPr="007B727E">
        <w:rPr>
          <w:rFonts w:cs="Times New Roman"/>
        </w:rPr>
        <w:t>Copley (2016)</w:t>
      </w:r>
      <w:r w:rsidR="00CB0A28" w:rsidRPr="007B727E">
        <w:rPr>
          <w:rFonts w:cs="Times New Roman"/>
          <w:szCs w:val="24"/>
        </w:rPr>
        <w:t xml:space="preserve">, for example, sees cross subsidies as an essential benefit of the London social housing market.  Others believe there is a risk an incumbent may be in a position to allocate costs advantageously in future bids to distort market mechanisms which are supposed to protect the public interest.  O’Connell (1995) sees cross subsidisation in multi-product firms directly affecting market contestability as each product may not be offered at true marginal cost. </w:t>
      </w:r>
      <w:r w:rsidR="00115A0E">
        <w:rPr>
          <w:rFonts w:cs="Times New Roman"/>
          <w:szCs w:val="24"/>
        </w:rPr>
        <w:t xml:space="preserve"> </w:t>
      </w:r>
      <w:proofErr w:type="spellStart"/>
      <w:r w:rsidR="00CB0A28" w:rsidRPr="007B727E">
        <w:rPr>
          <w:rFonts w:cs="Times New Roman"/>
        </w:rPr>
        <w:t>Heald</w:t>
      </w:r>
      <w:proofErr w:type="spellEnd"/>
      <w:r w:rsidR="00CB0A28" w:rsidRPr="007B727E">
        <w:rPr>
          <w:rFonts w:cs="Times New Roman"/>
        </w:rPr>
        <w:t xml:space="preserve"> (1996)</w:t>
      </w:r>
      <w:r w:rsidR="00CB0A28" w:rsidRPr="007B727E">
        <w:rPr>
          <w:rFonts w:cs="Times New Roman"/>
          <w:szCs w:val="24"/>
        </w:rPr>
        <w:t xml:space="preserve"> stresses the need for clarity in the analysis of franchisee costs by the contracting agency.  The PTV </w:t>
      </w:r>
      <w:r w:rsidR="006E39E8">
        <w:rPr>
          <w:rFonts w:cs="Times New Roman"/>
          <w:szCs w:val="24"/>
        </w:rPr>
        <w:t>has</w:t>
      </w:r>
      <w:r w:rsidR="00CB0A28" w:rsidRPr="007B727E">
        <w:rPr>
          <w:rFonts w:cs="Times New Roman"/>
          <w:szCs w:val="24"/>
        </w:rPr>
        <w:t xml:space="preserve"> informed us that they make a rigorous assessment of an ‘efficient’ operator price</w:t>
      </w:r>
      <w:r w:rsidR="008D7278">
        <w:rPr>
          <w:rFonts w:cs="Times New Roman"/>
          <w:szCs w:val="24"/>
        </w:rPr>
        <w:t xml:space="preserve"> model during the bidding phase; again this information is not in the public domain.</w:t>
      </w:r>
    </w:p>
    <w:p w14:paraId="42AE8D48" w14:textId="2B9C6BD5" w:rsidR="00716F2A" w:rsidRPr="00ED5916" w:rsidRDefault="007B727E" w:rsidP="00237004">
      <w:pPr>
        <w:spacing w:before="120" w:after="120" w:line="360" w:lineRule="auto"/>
        <w:rPr>
          <w:rFonts w:cs="Times New Roman"/>
          <w:szCs w:val="24"/>
        </w:rPr>
      </w:pPr>
      <w:r w:rsidRPr="00ED5916">
        <w:rPr>
          <w:rFonts w:cs="Times New Roman"/>
          <w:szCs w:val="24"/>
        </w:rPr>
        <w:t>As described in earlier, two</w:t>
      </w:r>
      <w:r>
        <w:rPr>
          <w:rFonts w:cs="Times New Roman"/>
          <w:szCs w:val="24"/>
        </w:rPr>
        <w:t xml:space="preserve"> of the MTM</w:t>
      </w:r>
      <w:r w:rsidRPr="00ED5916">
        <w:rPr>
          <w:rFonts w:cs="Times New Roman"/>
          <w:szCs w:val="24"/>
        </w:rPr>
        <w:t xml:space="preserve"> contracts are ‘fixed price’: one for service operations and rolling stock maintenance; and a second for infrastructure maintenance (track, power supply, signals), including some aspects of renewal.  The third is a ‘cost </w:t>
      </w:r>
      <w:proofErr w:type="spellStart"/>
      <w:r w:rsidRPr="00ED5916">
        <w:rPr>
          <w:rFonts w:cs="Times New Roman"/>
          <w:szCs w:val="24"/>
        </w:rPr>
        <w:t>plus’</w:t>
      </w:r>
      <w:proofErr w:type="spellEnd"/>
      <w:r w:rsidRPr="00ED5916">
        <w:rPr>
          <w:rFonts w:cs="Times New Roman"/>
          <w:szCs w:val="24"/>
        </w:rPr>
        <w:t xml:space="preserve"> contract for capital works on the network on an ‘as needed’ basis</w:t>
      </w:r>
      <w:r w:rsidR="00B83F2D">
        <w:rPr>
          <w:rFonts w:cs="Times New Roman"/>
          <w:szCs w:val="24"/>
        </w:rPr>
        <w:t>, established</w:t>
      </w:r>
      <w:r w:rsidRPr="00ED5916">
        <w:rPr>
          <w:rFonts w:cs="Times New Roman"/>
          <w:szCs w:val="24"/>
        </w:rPr>
        <w:t xml:space="preserve"> through discussions between PTV and MTM.  </w:t>
      </w:r>
      <w:r w:rsidR="00087918" w:rsidRPr="00ED5916">
        <w:rPr>
          <w:rFonts w:cs="Times New Roman"/>
          <w:szCs w:val="24"/>
        </w:rPr>
        <w:t xml:space="preserve">MTM </w:t>
      </w:r>
      <w:r w:rsidR="00E32E3F" w:rsidRPr="00ED5916">
        <w:rPr>
          <w:rFonts w:cs="Times New Roman"/>
          <w:szCs w:val="24"/>
        </w:rPr>
        <w:t xml:space="preserve">assert that the greatest single contribution to their overall profit margin is made from these projects (Figure </w:t>
      </w:r>
      <w:r w:rsidR="00FA6890" w:rsidRPr="00ED5916">
        <w:rPr>
          <w:rFonts w:cs="Times New Roman"/>
          <w:szCs w:val="24"/>
        </w:rPr>
        <w:t>9</w:t>
      </w:r>
      <w:r w:rsidR="00E32E3F" w:rsidRPr="00ED5916">
        <w:rPr>
          <w:rFonts w:cs="Times New Roman"/>
          <w:szCs w:val="24"/>
        </w:rPr>
        <w:t>)</w:t>
      </w:r>
      <w:r w:rsidR="00087918" w:rsidRPr="00ED5916">
        <w:rPr>
          <w:rFonts w:cs="Times New Roman"/>
          <w:szCs w:val="24"/>
        </w:rPr>
        <w:t xml:space="preserve">.  It is </w:t>
      </w:r>
      <w:r w:rsidR="00F549D5">
        <w:rPr>
          <w:rFonts w:cs="Times New Roman"/>
          <w:szCs w:val="24"/>
        </w:rPr>
        <w:t>arguably</w:t>
      </w:r>
      <w:r w:rsidR="00087918" w:rsidRPr="00ED5916">
        <w:rPr>
          <w:rFonts w:cs="Times New Roman"/>
          <w:szCs w:val="24"/>
        </w:rPr>
        <w:t xml:space="preserve"> desirable from a public perspective, that individual contracts are not </w:t>
      </w:r>
      <w:r w:rsidR="00E32E3F" w:rsidRPr="00ED5916">
        <w:rPr>
          <w:rFonts w:cs="Times New Roman"/>
          <w:szCs w:val="24"/>
        </w:rPr>
        <w:t>cross-subsidised</w:t>
      </w:r>
      <w:r w:rsidR="00087918" w:rsidRPr="00ED5916">
        <w:rPr>
          <w:rFonts w:cs="Times New Roman"/>
          <w:szCs w:val="24"/>
        </w:rPr>
        <w:t xml:space="preserve"> from others held by the same parties. </w:t>
      </w:r>
      <w:r w:rsidR="00E32E3F" w:rsidRPr="00ED5916">
        <w:rPr>
          <w:rFonts w:cs="Times New Roman"/>
          <w:szCs w:val="24"/>
        </w:rPr>
        <w:t xml:space="preserve">This is because an incumbent may be in a position to allocate costs advantageously in future bids. In short, </w:t>
      </w:r>
      <w:r w:rsidR="00E65C79" w:rsidRPr="00ED5916">
        <w:rPr>
          <w:rFonts w:cs="Times New Roman"/>
          <w:szCs w:val="24"/>
        </w:rPr>
        <w:t>depending upon the degree of true contestability present within the market (</w:t>
      </w:r>
      <w:r w:rsidR="00B83F2D">
        <w:rPr>
          <w:rFonts w:cs="Times New Roman"/>
          <w:szCs w:val="24"/>
        </w:rPr>
        <w:t>for example</w:t>
      </w:r>
      <w:r w:rsidR="00407149">
        <w:rPr>
          <w:rFonts w:cs="Times New Roman"/>
          <w:szCs w:val="24"/>
        </w:rPr>
        <w:t xml:space="preserve"> within the contract there are asset transfer provisions should a franchisee be replaced</w:t>
      </w:r>
      <w:r w:rsidR="00E65C79" w:rsidRPr="00ED5916">
        <w:rPr>
          <w:rFonts w:cs="Times New Roman"/>
          <w:szCs w:val="24"/>
        </w:rPr>
        <w:t xml:space="preserve">) </w:t>
      </w:r>
      <w:r w:rsidR="00E32E3F" w:rsidRPr="00ED5916">
        <w:rPr>
          <w:rFonts w:cs="Times New Roman"/>
          <w:szCs w:val="24"/>
        </w:rPr>
        <w:t>the market mechanisms</w:t>
      </w:r>
      <w:r w:rsidR="00AB06A6" w:rsidRPr="00ED5916">
        <w:rPr>
          <w:rFonts w:cs="Times New Roman"/>
          <w:szCs w:val="24"/>
        </w:rPr>
        <w:t>,</w:t>
      </w:r>
      <w:r w:rsidR="00E32E3F" w:rsidRPr="00ED5916">
        <w:rPr>
          <w:rFonts w:cs="Times New Roman"/>
          <w:szCs w:val="24"/>
        </w:rPr>
        <w:t xml:space="preserve"> </w:t>
      </w:r>
      <w:r w:rsidR="00AB06A6" w:rsidRPr="00ED5916">
        <w:rPr>
          <w:rFonts w:cs="Times New Roman"/>
          <w:szCs w:val="24"/>
        </w:rPr>
        <w:t xml:space="preserve">which are </w:t>
      </w:r>
      <w:r w:rsidR="00E32E3F" w:rsidRPr="00ED5916">
        <w:rPr>
          <w:rFonts w:cs="Times New Roman"/>
          <w:szCs w:val="24"/>
        </w:rPr>
        <w:t>supposed to protect the public interest</w:t>
      </w:r>
      <w:r w:rsidR="00AB06A6" w:rsidRPr="00ED5916">
        <w:rPr>
          <w:rFonts w:cs="Times New Roman"/>
          <w:szCs w:val="24"/>
        </w:rPr>
        <w:t>,</w:t>
      </w:r>
      <w:r w:rsidR="00E32E3F" w:rsidRPr="00ED5916">
        <w:rPr>
          <w:rFonts w:cs="Times New Roman"/>
          <w:szCs w:val="24"/>
        </w:rPr>
        <w:t xml:space="preserve"> may be distorted.</w:t>
      </w:r>
      <w:r w:rsidR="008D7278">
        <w:rPr>
          <w:rFonts w:cs="Times New Roman"/>
          <w:szCs w:val="24"/>
        </w:rPr>
        <w:t xml:space="preserve">  But</w:t>
      </w:r>
      <w:r w:rsidR="00B83F2D">
        <w:rPr>
          <w:rFonts w:cs="Times New Roman"/>
          <w:szCs w:val="24"/>
        </w:rPr>
        <w:t>,</w:t>
      </w:r>
      <w:r w:rsidR="008D7278">
        <w:rPr>
          <w:rFonts w:cs="Times New Roman"/>
          <w:szCs w:val="24"/>
        </w:rPr>
        <w:t xml:space="preserve"> unless the public are aware of the degree of cross subsidisation</w:t>
      </w:r>
      <w:r w:rsidR="00B83F2D">
        <w:rPr>
          <w:rFonts w:cs="Times New Roman"/>
          <w:szCs w:val="24"/>
        </w:rPr>
        <w:t>,</w:t>
      </w:r>
      <w:r w:rsidR="008D7278">
        <w:rPr>
          <w:rFonts w:cs="Times New Roman"/>
          <w:szCs w:val="24"/>
        </w:rPr>
        <w:t xml:space="preserve"> no conclusions can be drawn.</w:t>
      </w:r>
    </w:p>
    <w:p w14:paraId="3D6ED295" w14:textId="2A0A889D" w:rsidR="000E3412" w:rsidRPr="00ED5916" w:rsidRDefault="000E3412" w:rsidP="00237004">
      <w:pPr>
        <w:spacing w:before="120" w:after="120" w:line="360" w:lineRule="auto"/>
        <w:rPr>
          <w:rFonts w:cs="Times New Roman"/>
          <w:szCs w:val="24"/>
        </w:rPr>
      </w:pPr>
    </w:p>
    <w:p w14:paraId="5F916649" w14:textId="554EB886" w:rsidR="004B41A4" w:rsidRPr="00ED5916" w:rsidRDefault="0042631A" w:rsidP="00237004">
      <w:pPr>
        <w:spacing w:before="120" w:after="120" w:line="360" w:lineRule="auto"/>
        <w:rPr>
          <w:rFonts w:cs="Times New Roman"/>
          <w:szCs w:val="24"/>
        </w:rPr>
      </w:pPr>
      <w:r w:rsidRPr="00ED5916">
        <w:rPr>
          <w:rFonts w:cs="Times New Roman"/>
          <w:szCs w:val="24"/>
        </w:rPr>
        <w:t xml:space="preserve">Figure </w:t>
      </w:r>
      <w:r w:rsidR="00FA6890" w:rsidRPr="00ED5916">
        <w:rPr>
          <w:rFonts w:cs="Times New Roman"/>
          <w:szCs w:val="24"/>
        </w:rPr>
        <w:t>8</w:t>
      </w:r>
      <w:r w:rsidR="00E365E1" w:rsidRPr="00ED5916">
        <w:rPr>
          <w:rFonts w:cs="Times New Roman"/>
          <w:szCs w:val="24"/>
        </w:rPr>
        <w:t xml:space="preserve">: </w:t>
      </w:r>
      <w:r w:rsidR="009E1EB2" w:rsidRPr="00ED5916">
        <w:rPr>
          <w:rFonts w:cs="Times New Roman"/>
          <w:szCs w:val="24"/>
        </w:rPr>
        <w:t xml:space="preserve">Merging of capital grant and maintenance payments </w:t>
      </w:r>
      <w:r w:rsidR="008601D9" w:rsidRPr="00ED5916">
        <w:rPr>
          <w:rFonts w:cs="Times New Roman"/>
          <w:szCs w:val="24"/>
        </w:rPr>
        <w:t xml:space="preserve">from </w:t>
      </w:r>
      <w:r w:rsidR="009E1EB2" w:rsidRPr="00ED5916">
        <w:rPr>
          <w:rFonts w:cs="Times New Roman"/>
          <w:szCs w:val="24"/>
        </w:rPr>
        <w:t>2013 (Public Transport Victoria, 2016)</w:t>
      </w:r>
      <w:r w:rsidR="0098716C">
        <w:rPr>
          <w:rFonts w:cs="Times New Roman"/>
          <w:szCs w:val="24"/>
        </w:rPr>
        <w:t>.</w:t>
      </w:r>
    </w:p>
    <w:p w14:paraId="680DD549" w14:textId="77777777" w:rsidR="00087918" w:rsidRPr="00ED5916" w:rsidRDefault="00087918" w:rsidP="00237004">
      <w:pPr>
        <w:spacing w:before="120" w:after="120" w:line="360" w:lineRule="auto"/>
        <w:rPr>
          <w:rFonts w:cs="Times New Roman"/>
          <w:szCs w:val="24"/>
        </w:rPr>
      </w:pPr>
    </w:p>
    <w:p w14:paraId="75BC3865" w14:textId="77777777" w:rsidR="00087918" w:rsidRPr="00ED5916" w:rsidRDefault="00087918" w:rsidP="00237004">
      <w:pPr>
        <w:spacing w:before="120" w:after="120" w:line="360" w:lineRule="auto"/>
        <w:rPr>
          <w:rFonts w:cs="Times New Roman"/>
          <w:szCs w:val="24"/>
        </w:rPr>
      </w:pPr>
    </w:p>
    <w:p w14:paraId="50CC6397" w14:textId="332F3219" w:rsidR="00087918" w:rsidRPr="00ED5916" w:rsidRDefault="00087918" w:rsidP="00237004">
      <w:pPr>
        <w:spacing w:before="120" w:after="120" w:line="360" w:lineRule="auto"/>
        <w:rPr>
          <w:rFonts w:cs="Times New Roman"/>
          <w:szCs w:val="24"/>
        </w:rPr>
      </w:pPr>
    </w:p>
    <w:p w14:paraId="5A3380B2" w14:textId="74293B9C" w:rsidR="00180AE0" w:rsidRPr="00ED5916" w:rsidRDefault="00180AE0" w:rsidP="00237004">
      <w:pPr>
        <w:spacing w:before="120" w:after="120" w:line="360" w:lineRule="auto"/>
        <w:rPr>
          <w:rFonts w:cs="Times New Roman"/>
          <w:szCs w:val="24"/>
        </w:rPr>
      </w:pPr>
      <w:r w:rsidRPr="00ED5916">
        <w:rPr>
          <w:rFonts w:cs="Times New Roman"/>
          <w:b/>
          <w:szCs w:val="24"/>
        </w:rPr>
        <w:t>Figure 9:</w:t>
      </w:r>
      <w:r w:rsidRPr="00ED5916">
        <w:rPr>
          <w:rFonts w:cs="Times New Roman"/>
          <w:szCs w:val="24"/>
        </w:rPr>
        <w:t xml:space="preserve"> MTM profit breakdown.  (Source: ‘Metro Key </w:t>
      </w:r>
      <w:proofErr w:type="gramStart"/>
      <w:r w:rsidRPr="00ED5916">
        <w:rPr>
          <w:rFonts w:cs="Times New Roman"/>
          <w:szCs w:val="24"/>
        </w:rPr>
        <w:t>Statistics’,</w:t>
      </w:r>
      <w:proofErr w:type="gramEnd"/>
      <w:r w:rsidRPr="00ED5916">
        <w:rPr>
          <w:rFonts w:cs="Times New Roman"/>
          <w:szCs w:val="24"/>
        </w:rPr>
        <w:t xml:space="preserve"> provided by MTM to the authors in January 2016.  </w:t>
      </w:r>
      <w:proofErr w:type="gramStart"/>
      <w:r w:rsidRPr="00ED5916">
        <w:rPr>
          <w:rFonts w:cs="Times New Roman"/>
          <w:szCs w:val="24"/>
        </w:rPr>
        <w:t>Reproduced with permission from MTM).</w:t>
      </w:r>
      <w:proofErr w:type="gramEnd"/>
    </w:p>
    <w:p w14:paraId="04DD248E" w14:textId="77777777" w:rsidR="00180AE0" w:rsidRPr="00ED5916" w:rsidRDefault="00180AE0" w:rsidP="00237004">
      <w:pPr>
        <w:spacing w:before="120" w:after="120" w:line="360" w:lineRule="auto"/>
        <w:rPr>
          <w:rFonts w:cs="Times New Roman"/>
          <w:szCs w:val="24"/>
        </w:rPr>
      </w:pPr>
      <w:r w:rsidRPr="00ED5916">
        <w:rPr>
          <w:rFonts w:cs="Times New Roman"/>
          <w:b/>
          <w:szCs w:val="24"/>
        </w:rPr>
        <w:t>Note:</w:t>
      </w:r>
      <w:r w:rsidRPr="00ED5916">
        <w:rPr>
          <w:rFonts w:cs="Times New Roman"/>
          <w:szCs w:val="24"/>
        </w:rPr>
        <w:t xml:space="preserve"> OPR = Operational Performance Regime - bonuses for exceeding contract specifications in train operations; it is not clear what activities make up ‘Business Development’.</w:t>
      </w:r>
    </w:p>
    <w:p w14:paraId="64F954C2" w14:textId="77777777" w:rsidR="006A36AE" w:rsidRPr="00ED5916" w:rsidRDefault="006A36AE" w:rsidP="00237004">
      <w:pPr>
        <w:spacing w:before="120" w:after="120" w:line="360" w:lineRule="auto"/>
        <w:rPr>
          <w:rFonts w:cs="Times New Roman"/>
          <w:szCs w:val="24"/>
        </w:rPr>
      </w:pPr>
    </w:p>
    <w:p w14:paraId="550B1A68" w14:textId="32AE72D0" w:rsidR="00F846E7" w:rsidRPr="00ED5916" w:rsidRDefault="00F549D5" w:rsidP="00237004">
      <w:pPr>
        <w:spacing w:before="120" w:after="120" w:line="360" w:lineRule="auto"/>
        <w:rPr>
          <w:rFonts w:cs="Times New Roman"/>
          <w:szCs w:val="24"/>
        </w:rPr>
      </w:pPr>
      <w:r>
        <w:rPr>
          <w:rFonts w:cs="Times New Roman"/>
          <w:szCs w:val="24"/>
        </w:rPr>
        <w:t xml:space="preserve">It is not clear </w:t>
      </w:r>
      <w:r w:rsidR="004B41A4" w:rsidRPr="00ED5916">
        <w:rPr>
          <w:rFonts w:cs="Times New Roman"/>
          <w:szCs w:val="24"/>
        </w:rPr>
        <w:t xml:space="preserve">if each of the three contracts </w:t>
      </w:r>
      <w:r w:rsidR="002058B4" w:rsidRPr="00ED5916">
        <w:rPr>
          <w:rFonts w:cs="Times New Roman"/>
          <w:szCs w:val="24"/>
        </w:rPr>
        <w:t>is</w:t>
      </w:r>
      <w:r w:rsidR="004B41A4" w:rsidRPr="00ED5916">
        <w:rPr>
          <w:rFonts w:cs="Times New Roman"/>
          <w:szCs w:val="24"/>
        </w:rPr>
        <w:t xml:space="preserve"> profitable</w:t>
      </w:r>
      <w:r w:rsidR="00FA473C" w:rsidRPr="00ED5916">
        <w:rPr>
          <w:rFonts w:cs="Times New Roman"/>
          <w:szCs w:val="24"/>
        </w:rPr>
        <w:t xml:space="preserve"> in isolation</w:t>
      </w:r>
      <w:r w:rsidR="004B41A4" w:rsidRPr="00ED5916">
        <w:rPr>
          <w:rFonts w:cs="Times New Roman"/>
          <w:szCs w:val="24"/>
        </w:rPr>
        <w:t xml:space="preserve">, or if the capital works contract is helping to prop up the others. </w:t>
      </w:r>
      <w:proofErr w:type="spellStart"/>
      <w:r w:rsidRPr="00ED5916">
        <w:rPr>
          <w:rFonts w:cs="Times New Roman"/>
          <w:szCs w:val="24"/>
        </w:rPr>
        <w:t>Alexandersson</w:t>
      </w:r>
      <w:proofErr w:type="spellEnd"/>
      <w:r w:rsidRPr="00ED5916">
        <w:rPr>
          <w:rFonts w:cs="Times New Roman"/>
          <w:szCs w:val="24"/>
        </w:rPr>
        <w:t xml:space="preserve"> and </w:t>
      </w:r>
      <w:proofErr w:type="spellStart"/>
      <w:r w:rsidRPr="00ED5916">
        <w:rPr>
          <w:rFonts w:cs="Times New Roman"/>
          <w:szCs w:val="24"/>
        </w:rPr>
        <w:t>Hulten</w:t>
      </w:r>
      <w:proofErr w:type="spellEnd"/>
      <w:r>
        <w:rPr>
          <w:rFonts w:cs="Times New Roman"/>
          <w:szCs w:val="24"/>
        </w:rPr>
        <w:t xml:space="preserve"> (</w:t>
      </w:r>
      <w:r w:rsidRPr="00ED5916">
        <w:rPr>
          <w:rFonts w:cs="Times New Roman"/>
          <w:szCs w:val="24"/>
        </w:rPr>
        <w:t>2003)</w:t>
      </w:r>
      <w:r>
        <w:rPr>
          <w:rFonts w:cs="Times New Roman"/>
          <w:szCs w:val="24"/>
        </w:rPr>
        <w:t xml:space="preserve"> flag that </w:t>
      </w:r>
      <w:r w:rsidR="00C909F3" w:rsidRPr="00ED5916">
        <w:rPr>
          <w:rFonts w:cs="Times New Roman"/>
          <w:szCs w:val="24"/>
        </w:rPr>
        <w:t xml:space="preserve">railway </w:t>
      </w:r>
      <w:r w:rsidR="004B41A4" w:rsidRPr="00ED5916">
        <w:rPr>
          <w:rFonts w:cs="Times New Roman"/>
          <w:szCs w:val="24"/>
        </w:rPr>
        <w:t xml:space="preserve">capital works contracts </w:t>
      </w:r>
      <w:r w:rsidR="00FA473C" w:rsidRPr="00ED5916">
        <w:rPr>
          <w:rFonts w:cs="Times New Roman"/>
          <w:szCs w:val="24"/>
        </w:rPr>
        <w:t xml:space="preserve">of this type </w:t>
      </w:r>
      <w:r w:rsidR="004B41A4" w:rsidRPr="00ED5916">
        <w:rPr>
          <w:rFonts w:cs="Times New Roman"/>
          <w:szCs w:val="24"/>
        </w:rPr>
        <w:t xml:space="preserve">are vulnerable to exploitation through </w:t>
      </w:r>
      <w:r w:rsidR="00C909F3" w:rsidRPr="00ED5916">
        <w:rPr>
          <w:rFonts w:cs="Times New Roman"/>
          <w:szCs w:val="24"/>
        </w:rPr>
        <w:t xml:space="preserve">contract variations </w:t>
      </w:r>
      <w:r w:rsidR="00B83F2D">
        <w:rPr>
          <w:rFonts w:cs="Times New Roman"/>
          <w:szCs w:val="24"/>
        </w:rPr>
        <w:t xml:space="preserve">following </w:t>
      </w:r>
      <w:r w:rsidR="00C909F3" w:rsidRPr="00ED5916">
        <w:rPr>
          <w:rFonts w:cs="Times New Roman"/>
          <w:szCs w:val="24"/>
        </w:rPr>
        <w:t>the initial bid.</w:t>
      </w:r>
      <w:r w:rsidR="00B83F2D">
        <w:rPr>
          <w:rFonts w:cs="Times New Roman"/>
          <w:szCs w:val="24"/>
        </w:rPr>
        <w:t xml:space="preserve"> This risk clearly exists in Melbourne.</w:t>
      </w:r>
    </w:p>
    <w:p w14:paraId="78923B82" w14:textId="6C718EEE" w:rsidR="00B80214" w:rsidRDefault="00B80214" w:rsidP="00237004">
      <w:pPr>
        <w:spacing w:before="120" w:after="120" w:line="360" w:lineRule="auto"/>
        <w:rPr>
          <w:rFonts w:cs="Times New Roman"/>
          <w:b/>
          <w:szCs w:val="24"/>
        </w:rPr>
      </w:pPr>
    </w:p>
    <w:p w14:paraId="3BAF8183" w14:textId="05D435D0" w:rsidR="003A54E1" w:rsidRPr="003A54E1" w:rsidRDefault="003A54E1" w:rsidP="00237004">
      <w:pPr>
        <w:pStyle w:val="Heading1"/>
        <w:spacing w:before="12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7</w:t>
      </w:r>
      <w:r>
        <w:rPr>
          <w:rFonts w:ascii="Times New Roman" w:hAnsi="Times New Roman" w:cs="Times New Roman"/>
          <w:color w:val="auto"/>
          <w:sz w:val="24"/>
          <w:szCs w:val="24"/>
        </w:rPr>
        <w:tab/>
      </w:r>
      <w:r w:rsidRPr="003A54E1">
        <w:rPr>
          <w:rFonts w:ascii="Times New Roman" w:hAnsi="Times New Roman" w:cs="Times New Roman"/>
          <w:color w:val="auto"/>
          <w:sz w:val="24"/>
          <w:szCs w:val="24"/>
        </w:rPr>
        <w:t>The asset maintenance backlog under short term contracts</w:t>
      </w:r>
    </w:p>
    <w:p w14:paraId="4B349B57" w14:textId="3A537FA8" w:rsidR="00BE634D" w:rsidRPr="00ED5916" w:rsidRDefault="008D7278" w:rsidP="00237004">
      <w:pPr>
        <w:spacing w:before="120" w:after="120" w:line="360" w:lineRule="auto"/>
        <w:rPr>
          <w:rFonts w:cs="Times New Roman"/>
          <w:szCs w:val="24"/>
        </w:rPr>
      </w:pPr>
      <w:r>
        <w:rPr>
          <w:rFonts w:cs="Times New Roman"/>
          <w:szCs w:val="24"/>
        </w:rPr>
        <w:t>There</w:t>
      </w:r>
      <w:r w:rsidR="0002247B" w:rsidRPr="00ED5916">
        <w:rPr>
          <w:rFonts w:cs="Times New Roman"/>
          <w:szCs w:val="24"/>
        </w:rPr>
        <w:t xml:space="preserve"> </w:t>
      </w:r>
      <w:r>
        <w:rPr>
          <w:rFonts w:cs="Times New Roman"/>
          <w:szCs w:val="24"/>
        </w:rPr>
        <w:t>are significant issues with managing</w:t>
      </w:r>
      <w:r w:rsidR="0002247B" w:rsidRPr="00ED5916">
        <w:rPr>
          <w:rFonts w:cs="Times New Roman"/>
          <w:szCs w:val="24"/>
        </w:rPr>
        <w:t xml:space="preserve"> and protect</w:t>
      </w:r>
      <w:r>
        <w:rPr>
          <w:rFonts w:cs="Times New Roman"/>
          <w:szCs w:val="24"/>
        </w:rPr>
        <w:t>ing</w:t>
      </w:r>
      <w:r w:rsidR="0002247B" w:rsidRPr="00ED5916">
        <w:rPr>
          <w:rFonts w:cs="Times New Roman"/>
          <w:szCs w:val="24"/>
        </w:rPr>
        <w:t xml:space="preserve"> assets with working lives of 50 or 100 years through short-term </w:t>
      </w:r>
      <w:r>
        <w:rPr>
          <w:rFonts w:cs="Times New Roman"/>
          <w:szCs w:val="24"/>
        </w:rPr>
        <w:t>contract arrangements</w:t>
      </w:r>
      <w:r w:rsidR="00B83F2D">
        <w:rPr>
          <w:rFonts w:cs="Times New Roman"/>
          <w:szCs w:val="24"/>
        </w:rPr>
        <w:t xml:space="preserve"> over</w:t>
      </w:r>
      <w:r>
        <w:rPr>
          <w:rFonts w:cs="Times New Roman"/>
          <w:szCs w:val="24"/>
        </w:rPr>
        <w:t xml:space="preserve"> ten to fifteen years.</w:t>
      </w:r>
      <w:r w:rsidR="0002247B" w:rsidRPr="00ED5916">
        <w:rPr>
          <w:rFonts w:cs="Times New Roman"/>
          <w:szCs w:val="24"/>
        </w:rPr>
        <w:t xml:space="preserve"> It would be </w:t>
      </w:r>
      <w:r w:rsidR="00B83F2D">
        <w:rPr>
          <w:rFonts w:cs="Times New Roman"/>
          <w:szCs w:val="24"/>
        </w:rPr>
        <w:t>counter-</w:t>
      </w:r>
      <w:r>
        <w:rPr>
          <w:rFonts w:cs="Times New Roman"/>
          <w:szCs w:val="24"/>
        </w:rPr>
        <w:t>intuitive</w:t>
      </w:r>
      <w:r w:rsidR="0002247B" w:rsidRPr="00ED5916">
        <w:rPr>
          <w:rFonts w:cs="Times New Roman"/>
          <w:szCs w:val="24"/>
        </w:rPr>
        <w:t xml:space="preserve"> to </w:t>
      </w:r>
      <w:r>
        <w:rPr>
          <w:rFonts w:cs="Times New Roman"/>
          <w:szCs w:val="24"/>
        </w:rPr>
        <w:t>suggest</w:t>
      </w:r>
      <w:r w:rsidR="0002247B" w:rsidRPr="00ED5916">
        <w:rPr>
          <w:rFonts w:cs="Times New Roman"/>
          <w:szCs w:val="24"/>
        </w:rPr>
        <w:t xml:space="preserve"> that a franchisee would give equal weight to consid</w:t>
      </w:r>
      <w:r>
        <w:rPr>
          <w:rFonts w:cs="Times New Roman"/>
          <w:szCs w:val="24"/>
        </w:rPr>
        <w:t xml:space="preserve">erations beyond their </w:t>
      </w:r>
      <w:r w:rsidR="0002247B" w:rsidRPr="00ED5916">
        <w:rPr>
          <w:rFonts w:cs="Times New Roman"/>
          <w:szCs w:val="24"/>
        </w:rPr>
        <w:t xml:space="preserve">tenure. A </w:t>
      </w:r>
      <w:r>
        <w:rPr>
          <w:rFonts w:cs="Times New Roman"/>
          <w:szCs w:val="24"/>
        </w:rPr>
        <w:t>commercial entity</w:t>
      </w:r>
      <w:r w:rsidR="0002247B" w:rsidRPr="00ED5916">
        <w:rPr>
          <w:rFonts w:cs="Times New Roman"/>
          <w:szCs w:val="24"/>
        </w:rPr>
        <w:t xml:space="preserve"> will always seek to maximise profits over a contract term and to do what it can to strengthen its </w:t>
      </w:r>
      <w:r>
        <w:rPr>
          <w:rFonts w:cs="Times New Roman"/>
          <w:szCs w:val="24"/>
        </w:rPr>
        <w:t xml:space="preserve">market </w:t>
      </w:r>
      <w:r w:rsidR="0002247B" w:rsidRPr="00ED5916">
        <w:rPr>
          <w:rFonts w:cs="Times New Roman"/>
          <w:szCs w:val="24"/>
        </w:rPr>
        <w:t xml:space="preserve">position against competitors at future </w:t>
      </w:r>
      <w:r>
        <w:rPr>
          <w:rFonts w:cs="Times New Roman"/>
          <w:szCs w:val="24"/>
        </w:rPr>
        <w:t xml:space="preserve">contracting stages: not to do so would be to neglect their commercial remit and </w:t>
      </w:r>
      <w:r w:rsidR="00B83F2D">
        <w:rPr>
          <w:rFonts w:cs="Times New Roman"/>
          <w:szCs w:val="24"/>
        </w:rPr>
        <w:t xml:space="preserve">responsibilities to </w:t>
      </w:r>
      <w:r>
        <w:rPr>
          <w:rFonts w:cs="Times New Roman"/>
          <w:szCs w:val="24"/>
        </w:rPr>
        <w:t>stockholders.</w:t>
      </w:r>
      <w:r w:rsidR="00BE634D">
        <w:rPr>
          <w:rFonts w:cs="Times New Roman"/>
          <w:szCs w:val="24"/>
        </w:rPr>
        <w:t xml:space="preserve"> Private partners are ‘understandably focussed on recouping their investment and generating a profit’ </w:t>
      </w:r>
      <w:r w:rsidR="00BE634D" w:rsidRPr="00BE634D">
        <w:rPr>
          <w:rFonts w:cs="Times New Roman"/>
        </w:rPr>
        <w:t>(Posner, 2004</w:t>
      </w:r>
      <w:r w:rsidR="00BE634D">
        <w:rPr>
          <w:rFonts w:cs="Times New Roman"/>
        </w:rPr>
        <w:t>;</w:t>
      </w:r>
      <w:r w:rsidR="00BE634D">
        <w:rPr>
          <w:rFonts w:cs="Times New Roman"/>
          <w:szCs w:val="24"/>
        </w:rPr>
        <w:t xml:space="preserve"> </w:t>
      </w:r>
      <w:r w:rsidR="00BE634D" w:rsidRPr="00BE634D">
        <w:rPr>
          <w:rFonts w:cs="Times New Roman"/>
        </w:rPr>
        <w:t>Ortiz et al., 2008)</w:t>
      </w:r>
      <w:r w:rsidR="00BE634D">
        <w:rPr>
          <w:rFonts w:cs="Times New Roman"/>
          <w:szCs w:val="24"/>
        </w:rPr>
        <w:t xml:space="preserve">. </w:t>
      </w:r>
    </w:p>
    <w:p w14:paraId="43DEA58C" w14:textId="4DF4E487" w:rsidR="00DF4BEA" w:rsidRPr="00E82BA2" w:rsidRDefault="00DF4BEA" w:rsidP="00E82BA2">
      <w:pPr>
        <w:spacing w:before="120" w:after="120" w:line="360" w:lineRule="auto"/>
        <w:rPr>
          <w:rFonts w:cs="Times New Roman"/>
          <w:szCs w:val="24"/>
        </w:rPr>
      </w:pPr>
      <w:r w:rsidRPr="00E82BA2">
        <w:rPr>
          <w:rFonts w:cs="Times New Roman"/>
          <w:szCs w:val="24"/>
        </w:rPr>
        <w:t xml:space="preserve">For </w:t>
      </w:r>
      <w:r w:rsidR="008D7278">
        <w:rPr>
          <w:rFonts w:cs="Times New Roman"/>
          <w:szCs w:val="24"/>
        </w:rPr>
        <w:t xml:space="preserve">procurement models of this nature to work in </w:t>
      </w:r>
      <w:r w:rsidRPr="00E82BA2">
        <w:rPr>
          <w:rFonts w:cs="Times New Roman"/>
          <w:szCs w:val="24"/>
        </w:rPr>
        <w:t xml:space="preserve">practice, the operator must be motivated by the risk of </w:t>
      </w:r>
      <w:r w:rsidR="008D7278">
        <w:rPr>
          <w:rFonts w:cs="Times New Roman"/>
          <w:szCs w:val="24"/>
        </w:rPr>
        <w:t xml:space="preserve">financial </w:t>
      </w:r>
      <w:r w:rsidRPr="00E82BA2">
        <w:rPr>
          <w:rFonts w:cs="Times New Roman"/>
          <w:szCs w:val="24"/>
        </w:rPr>
        <w:t xml:space="preserve">penalties for </w:t>
      </w:r>
      <w:r w:rsidR="008D7278">
        <w:rPr>
          <w:rFonts w:cs="Times New Roman"/>
          <w:szCs w:val="24"/>
        </w:rPr>
        <w:t xml:space="preserve">operational failures to a high enough degree that they will ensure the asset is appropriately maintained.  This may work over a </w:t>
      </w:r>
      <w:r w:rsidR="00B83F2D">
        <w:rPr>
          <w:rFonts w:cs="Times New Roman"/>
          <w:szCs w:val="24"/>
        </w:rPr>
        <w:t>short-</w:t>
      </w:r>
      <w:r w:rsidR="008D7278">
        <w:rPr>
          <w:rFonts w:cs="Times New Roman"/>
          <w:szCs w:val="24"/>
        </w:rPr>
        <w:t>term contract</w:t>
      </w:r>
      <w:r w:rsidR="00B83F2D">
        <w:rPr>
          <w:rFonts w:cs="Times New Roman"/>
          <w:szCs w:val="24"/>
        </w:rPr>
        <w:t>,</w:t>
      </w:r>
      <w:r w:rsidR="008D7278">
        <w:rPr>
          <w:rFonts w:cs="Times New Roman"/>
          <w:szCs w:val="24"/>
        </w:rPr>
        <w:t xml:space="preserve"> but it does not</w:t>
      </w:r>
      <w:r w:rsidR="00B83F2D">
        <w:rPr>
          <w:rFonts w:cs="Times New Roman"/>
          <w:szCs w:val="24"/>
        </w:rPr>
        <w:t xml:space="preserve"> help to define</w:t>
      </w:r>
      <w:r w:rsidR="008D7278">
        <w:rPr>
          <w:rFonts w:cs="Times New Roman"/>
          <w:szCs w:val="24"/>
        </w:rPr>
        <w:t xml:space="preserve"> who will manage and rectify an asset maintenance backlog.  </w:t>
      </w:r>
      <w:r w:rsidRPr="00E82BA2">
        <w:rPr>
          <w:rFonts w:cs="Times New Roman"/>
          <w:szCs w:val="24"/>
        </w:rPr>
        <w:t xml:space="preserve">The </w:t>
      </w:r>
      <w:r w:rsidR="008D7278">
        <w:rPr>
          <w:rFonts w:cs="Times New Roman"/>
          <w:szCs w:val="24"/>
        </w:rPr>
        <w:t xml:space="preserve">Victorian </w:t>
      </w:r>
      <w:r w:rsidRPr="00E82BA2">
        <w:rPr>
          <w:rFonts w:cs="Times New Roman"/>
          <w:szCs w:val="24"/>
        </w:rPr>
        <w:t>Auditor-General has identified this as an issue</w:t>
      </w:r>
      <w:r w:rsidR="008D7278">
        <w:rPr>
          <w:rFonts w:cs="Times New Roman"/>
          <w:szCs w:val="24"/>
        </w:rPr>
        <w:t>:</w:t>
      </w:r>
    </w:p>
    <w:p w14:paraId="430E18BB" w14:textId="7C2A1AF8" w:rsidR="00DF4BEA" w:rsidRPr="008F02FA" w:rsidRDefault="00DF4BEA" w:rsidP="00237004">
      <w:pPr>
        <w:autoSpaceDE w:val="0"/>
        <w:autoSpaceDN w:val="0"/>
        <w:adjustRightInd w:val="0"/>
        <w:snapToGrid w:val="0"/>
        <w:spacing w:after="200" w:line="240" w:lineRule="auto"/>
        <w:ind w:left="720"/>
        <w:rPr>
          <w:rFonts w:cs="Times New Roman"/>
          <w:szCs w:val="24"/>
        </w:rPr>
      </w:pPr>
      <w:r w:rsidRPr="008F02FA">
        <w:rPr>
          <w:rFonts w:cs="Times New Roman"/>
          <w:i/>
          <w:szCs w:val="24"/>
        </w:rPr>
        <w:t xml:space="preserve">We found significant weaknesses in how PTV oversees the maintenance and renewal of assets leased to its franchisees under the current agreements. In particular, PTV does not have adequate medium- to long-term asset strategies for its train and tram </w:t>
      </w:r>
      <w:r w:rsidRPr="008F02FA">
        <w:rPr>
          <w:rFonts w:cs="Times New Roman"/>
          <w:i/>
          <w:szCs w:val="24"/>
        </w:rPr>
        <w:lastRenderedPageBreak/>
        <w:t xml:space="preserve">network assets.  PTV also does not know enough about the condition of the assets used across both the tram and train networks. The lack of meaningful information about asset condition reduces PTV’s capacity to appropriately plan, budget and prioritise maintenance and renewal work. </w:t>
      </w:r>
      <w:r w:rsidRPr="008F02FA">
        <w:rPr>
          <w:rFonts w:cs="Times New Roman"/>
        </w:rPr>
        <w:t>(VAGO 2016, pp. ix)</w:t>
      </w:r>
    </w:p>
    <w:p w14:paraId="7F791D83" w14:textId="053078D2" w:rsidR="00DF4BEA" w:rsidRPr="00F913D4" w:rsidRDefault="00DF4BEA" w:rsidP="008F02FA">
      <w:pPr>
        <w:spacing w:before="120" w:after="120" w:line="360" w:lineRule="auto"/>
        <w:rPr>
          <w:rFonts w:cs="Times New Roman"/>
          <w:szCs w:val="24"/>
        </w:rPr>
      </w:pPr>
      <w:r w:rsidRPr="008F02FA">
        <w:rPr>
          <w:rFonts w:cs="Times New Roman"/>
          <w:szCs w:val="24"/>
        </w:rPr>
        <w:t xml:space="preserve">Railway maintenance backlogs can </w:t>
      </w:r>
      <w:r w:rsidR="008D7278">
        <w:rPr>
          <w:rFonts w:cs="Times New Roman"/>
          <w:szCs w:val="24"/>
        </w:rPr>
        <w:t>extend</w:t>
      </w:r>
      <w:r w:rsidRPr="008F02FA">
        <w:rPr>
          <w:rFonts w:cs="Times New Roman"/>
          <w:szCs w:val="24"/>
        </w:rPr>
        <w:t xml:space="preserve"> to hundreds of years of deferred investment</w:t>
      </w:r>
      <w:r w:rsidR="008D7278">
        <w:rPr>
          <w:rFonts w:cs="Times New Roman"/>
          <w:szCs w:val="24"/>
        </w:rPr>
        <w:t xml:space="preserve">.  It would not be reasonable to pass this risk to a </w:t>
      </w:r>
      <w:r w:rsidR="00B83F2D">
        <w:rPr>
          <w:rFonts w:cs="Times New Roman"/>
          <w:szCs w:val="24"/>
        </w:rPr>
        <w:t>short-</w:t>
      </w:r>
      <w:r w:rsidR="008D7278">
        <w:rPr>
          <w:rFonts w:cs="Times New Roman"/>
          <w:szCs w:val="24"/>
        </w:rPr>
        <w:t>term operator.  It is logical therefore to suggest that l</w:t>
      </w:r>
      <w:r w:rsidRPr="008F02FA">
        <w:rPr>
          <w:rFonts w:cs="Times New Roman"/>
          <w:szCs w:val="24"/>
        </w:rPr>
        <w:t>ong-term asset c</w:t>
      </w:r>
      <w:r w:rsidR="008D7278">
        <w:rPr>
          <w:rFonts w:cs="Times New Roman"/>
          <w:szCs w:val="24"/>
        </w:rPr>
        <w:t xml:space="preserve">ustodianship must </w:t>
      </w:r>
      <w:r w:rsidRPr="008F02FA">
        <w:rPr>
          <w:rFonts w:cs="Times New Roman"/>
          <w:szCs w:val="24"/>
        </w:rPr>
        <w:t xml:space="preserve">remain </w:t>
      </w:r>
      <w:r w:rsidR="008D7278">
        <w:rPr>
          <w:rFonts w:cs="Times New Roman"/>
          <w:szCs w:val="24"/>
        </w:rPr>
        <w:t xml:space="preserve">the state’s </w:t>
      </w:r>
      <w:r w:rsidRPr="008F02FA">
        <w:rPr>
          <w:rFonts w:cs="Times New Roman"/>
          <w:szCs w:val="24"/>
        </w:rPr>
        <w:t>responsibility</w:t>
      </w:r>
      <w:r w:rsidR="008D7278">
        <w:rPr>
          <w:rFonts w:cs="Times New Roman"/>
          <w:szCs w:val="24"/>
        </w:rPr>
        <w:t>.  Again, there is no information in the public domain as to the extent of the asset maintenance backlog</w:t>
      </w:r>
      <w:r w:rsidR="00115A0E">
        <w:rPr>
          <w:rFonts w:cs="Times New Roman"/>
          <w:szCs w:val="24"/>
        </w:rPr>
        <w:t xml:space="preserve">.  There is also no indication if this is being addressed </w:t>
      </w:r>
      <w:r w:rsidR="008D7278">
        <w:rPr>
          <w:rFonts w:cs="Times New Roman"/>
          <w:szCs w:val="24"/>
        </w:rPr>
        <w:t>within the regular maintenance plans</w:t>
      </w:r>
      <w:r w:rsidR="00115A0E">
        <w:rPr>
          <w:rFonts w:cs="Times New Roman"/>
          <w:szCs w:val="24"/>
        </w:rPr>
        <w:t xml:space="preserve">.  This raises a concern that </w:t>
      </w:r>
      <w:r w:rsidR="008D7278">
        <w:rPr>
          <w:rFonts w:cs="Times New Roman"/>
          <w:szCs w:val="24"/>
        </w:rPr>
        <w:t xml:space="preserve">only the </w:t>
      </w:r>
      <w:r w:rsidR="00B83F2D">
        <w:rPr>
          <w:rFonts w:cs="Times New Roman"/>
          <w:szCs w:val="24"/>
        </w:rPr>
        <w:t>short-</w:t>
      </w:r>
      <w:r w:rsidR="008D7278">
        <w:rPr>
          <w:rFonts w:cs="Times New Roman"/>
          <w:szCs w:val="24"/>
        </w:rPr>
        <w:t xml:space="preserve">term imperatives, necessary for maximising bonus payments and current imperatives are being addressed, perhaps to the detriment of the </w:t>
      </w:r>
      <w:r w:rsidR="00B83F2D">
        <w:rPr>
          <w:rFonts w:cs="Times New Roman"/>
          <w:szCs w:val="24"/>
        </w:rPr>
        <w:t>long-</w:t>
      </w:r>
      <w:r w:rsidR="008D7278">
        <w:rPr>
          <w:rFonts w:cs="Times New Roman"/>
          <w:szCs w:val="24"/>
        </w:rPr>
        <w:t xml:space="preserve">term health of the assets.  </w:t>
      </w:r>
      <w:r w:rsidR="00B83F2D">
        <w:rPr>
          <w:rFonts w:cs="Times New Roman"/>
          <w:szCs w:val="24"/>
        </w:rPr>
        <w:t>Globally, t</w:t>
      </w:r>
      <w:r w:rsidR="00B83F2D" w:rsidRPr="008F02FA">
        <w:rPr>
          <w:rFonts w:cs="Times New Roman"/>
          <w:szCs w:val="24"/>
        </w:rPr>
        <w:t xml:space="preserve">his </w:t>
      </w:r>
      <w:r w:rsidRPr="008F02FA">
        <w:rPr>
          <w:rFonts w:cs="Times New Roman"/>
          <w:szCs w:val="24"/>
        </w:rPr>
        <w:t>question has</w:t>
      </w:r>
      <w:r w:rsidR="008D7278">
        <w:rPr>
          <w:rFonts w:cs="Times New Roman"/>
          <w:szCs w:val="24"/>
        </w:rPr>
        <w:t xml:space="preserve"> </w:t>
      </w:r>
      <w:r w:rsidRPr="008F02FA">
        <w:rPr>
          <w:rFonts w:cs="Times New Roman"/>
          <w:szCs w:val="24"/>
        </w:rPr>
        <w:t xml:space="preserve">received scant research </w:t>
      </w:r>
      <w:r w:rsidR="008D7278">
        <w:rPr>
          <w:rFonts w:cs="Times New Roman"/>
          <w:szCs w:val="24"/>
        </w:rPr>
        <w:t>focus</w:t>
      </w:r>
      <w:r w:rsidR="00B83F2D">
        <w:rPr>
          <w:rFonts w:cs="Times New Roman"/>
          <w:szCs w:val="24"/>
        </w:rPr>
        <w:t xml:space="preserve"> in the Anglosphere</w:t>
      </w:r>
      <w:r w:rsidR="008D7278">
        <w:rPr>
          <w:rFonts w:cs="Times New Roman"/>
          <w:szCs w:val="24"/>
        </w:rPr>
        <w:t xml:space="preserve">, with the </w:t>
      </w:r>
      <w:r w:rsidRPr="008F02FA">
        <w:rPr>
          <w:rFonts w:cs="Times New Roman"/>
          <w:szCs w:val="24"/>
        </w:rPr>
        <w:t xml:space="preserve">only reference </w:t>
      </w:r>
      <w:r w:rsidR="00B83F2D">
        <w:rPr>
          <w:rFonts w:cs="Times New Roman"/>
          <w:szCs w:val="24"/>
        </w:rPr>
        <w:t xml:space="preserve">we </w:t>
      </w:r>
      <w:r w:rsidRPr="008F02FA">
        <w:rPr>
          <w:rFonts w:cs="Times New Roman"/>
          <w:szCs w:val="24"/>
        </w:rPr>
        <w:t xml:space="preserve">could find on the </w:t>
      </w:r>
      <w:r w:rsidR="008D7278">
        <w:rPr>
          <w:rFonts w:cs="Times New Roman"/>
          <w:szCs w:val="24"/>
        </w:rPr>
        <w:t xml:space="preserve">passing of maintenance risk under </w:t>
      </w:r>
      <w:r w:rsidR="00B83F2D">
        <w:rPr>
          <w:rFonts w:cs="Times New Roman"/>
          <w:szCs w:val="24"/>
        </w:rPr>
        <w:t>short-</w:t>
      </w:r>
      <w:r w:rsidR="008D7278">
        <w:rPr>
          <w:rFonts w:cs="Times New Roman"/>
          <w:szCs w:val="24"/>
        </w:rPr>
        <w:t xml:space="preserve">term contracts coming from </w:t>
      </w:r>
      <w:r w:rsidRPr="008F02FA">
        <w:rPr>
          <w:rFonts w:cs="Times New Roman"/>
          <w:szCs w:val="24"/>
        </w:rPr>
        <w:t>Balfour Beatty's (2016) submission to the Shaw Report on Network Rail in the UK</w:t>
      </w:r>
      <w:r w:rsidR="00647AFB">
        <w:rPr>
          <w:rFonts w:cs="Times New Roman"/>
          <w:szCs w:val="24"/>
        </w:rPr>
        <w:t xml:space="preserve">.  This report flagged an </w:t>
      </w:r>
      <w:r w:rsidR="00115A0E">
        <w:rPr>
          <w:rFonts w:cs="Times New Roman"/>
          <w:szCs w:val="24"/>
        </w:rPr>
        <w:t>‘</w:t>
      </w:r>
      <w:r w:rsidR="00647AFB">
        <w:rPr>
          <w:rFonts w:cs="Times New Roman"/>
          <w:szCs w:val="24"/>
        </w:rPr>
        <w:t xml:space="preserve">inherent tension </w:t>
      </w:r>
      <w:r w:rsidRPr="008F02FA">
        <w:rPr>
          <w:rFonts w:cs="Times New Roman"/>
          <w:szCs w:val="24"/>
        </w:rPr>
        <w:t xml:space="preserve">between </w:t>
      </w:r>
      <w:r w:rsidR="00647AFB" w:rsidRPr="008F02FA">
        <w:rPr>
          <w:rFonts w:cs="Times New Roman"/>
          <w:szCs w:val="24"/>
        </w:rPr>
        <w:t xml:space="preserve">long term asset management </w:t>
      </w:r>
      <w:r w:rsidR="00647AFB">
        <w:rPr>
          <w:rFonts w:cs="Times New Roman"/>
          <w:szCs w:val="24"/>
        </w:rPr>
        <w:t xml:space="preserve">incentives and those of </w:t>
      </w:r>
      <w:r w:rsidRPr="008F02FA">
        <w:rPr>
          <w:rFonts w:cs="Times New Roman"/>
          <w:szCs w:val="24"/>
        </w:rPr>
        <w:t>short term franchises</w:t>
      </w:r>
      <w:r w:rsidR="00115A0E">
        <w:rPr>
          <w:rFonts w:cs="Times New Roman"/>
          <w:szCs w:val="24"/>
        </w:rPr>
        <w:t>’</w:t>
      </w:r>
      <w:r w:rsidR="00647AFB">
        <w:rPr>
          <w:rFonts w:cs="Times New Roman"/>
          <w:szCs w:val="24"/>
        </w:rPr>
        <w:t>; no solution was offered.</w:t>
      </w:r>
    </w:p>
    <w:p w14:paraId="7B26B09F" w14:textId="77777777" w:rsidR="003A54E1" w:rsidRPr="003A54E1" w:rsidRDefault="003A54E1" w:rsidP="00237004">
      <w:pPr>
        <w:spacing w:before="120" w:after="120" w:line="360" w:lineRule="auto"/>
        <w:rPr>
          <w:rFonts w:cs="Times New Roman"/>
          <w:szCs w:val="24"/>
        </w:rPr>
      </w:pPr>
    </w:p>
    <w:p w14:paraId="70AF1276" w14:textId="55D01304" w:rsidR="004B41A4" w:rsidRPr="00ED5916" w:rsidRDefault="003A54E1" w:rsidP="00237004">
      <w:pPr>
        <w:pStyle w:val="Heading1"/>
        <w:spacing w:before="12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8</w:t>
      </w:r>
      <w:r w:rsidR="002A2627" w:rsidRPr="00ED5916">
        <w:rPr>
          <w:rFonts w:ascii="Times New Roman" w:hAnsi="Times New Roman" w:cs="Times New Roman"/>
          <w:color w:val="auto"/>
          <w:sz w:val="24"/>
          <w:szCs w:val="24"/>
        </w:rPr>
        <w:tab/>
      </w:r>
      <w:r w:rsidR="006E39E8">
        <w:rPr>
          <w:rFonts w:ascii="Times New Roman" w:hAnsi="Times New Roman" w:cs="Times New Roman"/>
          <w:color w:val="auto"/>
          <w:sz w:val="24"/>
          <w:szCs w:val="24"/>
        </w:rPr>
        <w:t>Contestability - c</w:t>
      </w:r>
      <w:r w:rsidR="00FE6CA1" w:rsidRPr="00ED5916">
        <w:rPr>
          <w:rFonts w:ascii="Times New Roman" w:hAnsi="Times New Roman" w:cs="Times New Roman"/>
          <w:color w:val="auto"/>
          <w:sz w:val="24"/>
          <w:szCs w:val="24"/>
        </w:rPr>
        <w:t>an</w:t>
      </w:r>
      <w:r w:rsidR="00AD64F8" w:rsidRPr="00ED5916">
        <w:rPr>
          <w:rFonts w:ascii="Times New Roman" w:hAnsi="Times New Roman" w:cs="Times New Roman"/>
          <w:color w:val="auto"/>
          <w:sz w:val="24"/>
          <w:szCs w:val="24"/>
        </w:rPr>
        <w:t xml:space="preserve"> the Melbourne model protect</w:t>
      </w:r>
      <w:r w:rsidR="00FE6CA1" w:rsidRPr="00ED5916">
        <w:rPr>
          <w:rFonts w:ascii="Times New Roman" w:hAnsi="Times New Roman" w:cs="Times New Roman"/>
          <w:color w:val="auto"/>
          <w:sz w:val="24"/>
          <w:szCs w:val="24"/>
        </w:rPr>
        <w:t xml:space="preserve"> </w:t>
      </w:r>
      <w:r w:rsidR="00AD64F8" w:rsidRPr="00ED5916">
        <w:rPr>
          <w:rFonts w:ascii="Times New Roman" w:hAnsi="Times New Roman" w:cs="Times New Roman"/>
          <w:color w:val="auto"/>
          <w:sz w:val="24"/>
          <w:szCs w:val="24"/>
        </w:rPr>
        <w:t>the public interest</w:t>
      </w:r>
      <w:r w:rsidR="00FE6CA1" w:rsidRPr="00ED5916">
        <w:rPr>
          <w:rFonts w:ascii="Times New Roman" w:hAnsi="Times New Roman" w:cs="Times New Roman"/>
          <w:color w:val="auto"/>
          <w:sz w:val="24"/>
          <w:szCs w:val="24"/>
        </w:rPr>
        <w:t>?</w:t>
      </w:r>
    </w:p>
    <w:p w14:paraId="41E8282C" w14:textId="5BE2F729" w:rsidR="001B6427" w:rsidRPr="00ED5916" w:rsidRDefault="00AB06A6" w:rsidP="00237004">
      <w:pPr>
        <w:spacing w:before="120" w:after="120" w:line="360" w:lineRule="auto"/>
        <w:rPr>
          <w:rFonts w:eastAsia="Times New Roman" w:cs="Times New Roman"/>
          <w:szCs w:val="24"/>
          <w:lang w:eastAsia="en-GB"/>
        </w:rPr>
      </w:pPr>
      <w:r w:rsidRPr="00ED5916">
        <w:rPr>
          <w:rFonts w:cs="Times New Roman"/>
          <w:szCs w:val="24"/>
        </w:rPr>
        <w:t>There are many components of the planning, management and operation of a complex rail system that can be contracted to the private sector</w:t>
      </w:r>
      <w:r w:rsidR="00583B51">
        <w:rPr>
          <w:rFonts w:cs="Times New Roman"/>
          <w:szCs w:val="24"/>
        </w:rPr>
        <w:t xml:space="preserve"> (Gomez-Ibanez, 2003)</w:t>
      </w:r>
      <w:r w:rsidRPr="00ED5916">
        <w:rPr>
          <w:rFonts w:cs="Times New Roman"/>
          <w:szCs w:val="24"/>
        </w:rPr>
        <w:t xml:space="preserve">. </w:t>
      </w:r>
      <w:r w:rsidR="00330A49">
        <w:rPr>
          <w:rFonts w:cs="Times New Roman"/>
          <w:szCs w:val="24"/>
        </w:rPr>
        <w:t xml:space="preserve"> </w:t>
      </w:r>
      <w:r w:rsidRPr="00ED5916">
        <w:rPr>
          <w:rFonts w:cs="Times New Roman"/>
          <w:szCs w:val="24"/>
        </w:rPr>
        <w:t xml:space="preserve">The more that planning and management is contracted out, </w:t>
      </w:r>
      <w:r w:rsidR="006E39E8">
        <w:rPr>
          <w:rFonts w:cs="Times New Roman"/>
          <w:szCs w:val="24"/>
        </w:rPr>
        <w:t xml:space="preserve">however, </w:t>
      </w:r>
      <w:r w:rsidR="00330A49">
        <w:rPr>
          <w:rFonts w:cs="Times New Roman"/>
          <w:szCs w:val="24"/>
        </w:rPr>
        <w:t xml:space="preserve">unless the market is well regulated, </w:t>
      </w:r>
      <w:r w:rsidRPr="00ED5916">
        <w:rPr>
          <w:rFonts w:cs="Times New Roman"/>
          <w:szCs w:val="24"/>
        </w:rPr>
        <w:t xml:space="preserve">the greater the </w:t>
      </w:r>
      <w:r w:rsidR="00330A49">
        <w:rPr>
          <w:rFonts w:cs="Times New Roman"/>
          <w:szCs w:val="24"/>
        </w:rPr>
        <w:t xml:space="preserve">potential of </w:t>
      </w:r>
      <w:r w:rsidRPr="00ED5916">
        <w:rPr>
          <w:rFonts w:cs="Times New Roman"/>
          <w:szCs w:val="24"/>
        </w:rPr>
        <w:t>installing a private monopoly</w:t>
      </w:r>
      <w:r w:rsidR="00330A49">
        <w:rPr>
          <w:rFonts w:cs="Times New Roman"/>
          <w:szCs w:val="24"/>
        </w:rPr>
        <w:t xml:space="preserve">, </w:t>
      </w:r>
      <w:r w:rsidRPr="00ED5916">
        <w:rPr>
          <w:rFonts w:cs="Times New Roman"/>
          <w:szCs w:val="24"/>
        </w:rPr>
        <w:t>reducing the ability of the state t</w:t>
      </w:r>
      <w:r w:rsidR="00330A49">
        <w:rPr>
          <w:rFonts w:cs="Times New Roman"/>
          <w:szCs w:val="24"/>
        </w:rPr>
        <w:t xml:space="preserve">o protect the public interest.  As </w:t>
      </w:r>
      <w:r w:rsidR="00330A49" w:rsidRPr="00ED5916">
        <w:rPr>
          <w:rFonts w:cs="Times New Roman"/>
          <w:szCs w:val="24"/>
        </w:rPr>
        <w:t>Myers and Ashmore</w:t>
      </w:r>
      <w:r w:rsidR="00CB0A28">
        <w:rPr>
          <w:rFonts w:cs="Times New Roman"/>
          <w:szCs w:val="24"/>
        </w:rPr>
        <w:t xml:space="preserve"> (</w:t>
      </w:r>
      <w:r w:rsidR="00330A49" w:rsidRPr="00ED5916">
        <w:rPr>
          <w:rFonts w:cs="Times New Roman"/>
          <w:szCs w:val="24"/>
        </w:rPr>
        <w:t>2007)</w:t>
      </w:r>
      <w:r w:rsidR="00330A49">
        <w:rPr>
          <w:rFonts w:eastAsia="Times New Roman" w:cs="Times New Roman"/>
          <w:szCs w:val="24"/>
          <w:lang w:eastAsia="en-GB"/>
        </w:rPr>
        <w:t xml:space="preserve"> stress it </w:t>
      </w:r>
      <w:r w:rsidR="001B6427" w:rsidRPr="00ED5916">
        <w:rPr>
          <w:rFonts w:cs="Times New Roman"/>
          <w:szCs w:val="24"/>
        </w:rPr>
        <w:t>is difficult to avoid monopolistic</w:t>
      </w:r>
      <w:r w:rsidR="00330A49">
        <w:rPr>
          <w:rFonts w:cs="Times New Roman"/>
          <w:szCs w:val="24"/>
        </w:rPr>
        <w:t xml:space="preserve"> risks</w:t>
      </w:r>
      <w:r w:rsidR="001B6427" w:rsidRPr="00ED5916">
        <w:rPr>
          <w:rFonts w:cs="Times New Roman"/>
          <w:szCs w:val="24"/>
        </w:rPr>
        <w:t xml:space="preserve"> or other distortions in the </w:t>
      </w:r>
      <w:r w:rsidR="00330A49">
        <w:rPr>
          <w:rFonts w:cs="Times New Roman"/>
          <w:szCs w:val="24"/>
        </w:rPr>
        <w:t xml:space="preserve">transport </w:t>
      </w:r>
      <w:r w:rsidR="001B6427" w:rsidRPr="00ED5916">
        <w:rPr>
          <w:rFonts w:cs="Times New Roman"/>
          <w:szCs w:val="24"/>
        </w:rPr>
        <w:t xml:space="preserve">market if assets and other </w:t>
      </w:r>
      <w:r w:rsidR="00330A49">
        <w:rPr>
          <w:rFonts w:cs="Times New Roman"/>
          <w:szCs w:val="24"/>
        </w:rPr>
        <w:t xml:space="preserve">key </w:t>
      </w:r>
      <w:r w:rsidR="001B6427" w:rsidRPr="00ED5916">
        <w:rPr>
          <w:rFonts w:cs="Times New Roman"/>
          <w:szCs w:val="24"/>
        </w:rPr>
        <w:t xml:space="preserve">attributes </w:t>
      </w:r>
      <w:r w:rsidR="00330A49">
        <w:rPr>
          <w:rFonts w:cs="Times New Roman"/>
          <w:szCs w:val="24"/>
        </w:rPr>
        <w:t>of operations</w:t>
      </w:r>
      <w:r w:rsidR="001B6427" w:rsidRPr="00ED5916">
        <w:rPr>
          <w:rFonts w:cs="Times New Roman"/>
          <w:szCs w:val="24"/>
        </w:rPr>
        <w:t xml:space="preserve"> are taken out of state control</w:t>
      </w:r>
      <w:r w:rsidR="001A6997" w:rsidRPr="00ED5916">
        <w:rPr>
          <w:rFonts w:cs="Times New Roman"/>
          <w:szCs w:val="24"/>
        </w:rPr>
        <w:t xml:space="preserve">.  </w:t>
      </w:r>
      <w:r w:rsidR="0002247B">
        <w:rPr>
          <w:rFonts w:cs="Times New Roman"/>
          <w:szCs w:val="24"/>
        </w:rPr>
        <w:t xml:space="preserve">Railways are highly capital intensive entities and market entry is </w:t>
      </w:r>
      <w:r w:rsidR="006E39E8">
        <w:rPr>
          <w:rFonts w:cs="Times New Roman"/>
          <w:szCs w:val="24"/>
        </w:rPr>
        <w:t>often cost prohibitive</w:t>
      </w:r>
      <w:r w:rsidR="0002247B">
        <w:rPr>
          <w:rFonts w:cs="Times New Roman"/>
          <w:szCs w:val="24"/>
        </w:rPr>
        <w:t xml:space="preserve"> </w:t>
      </w:r>
      <w:r w:rsidR="006422AC" w:rsidRPr="006422AC">
        <w:rPr>
          <w:rFonts w:cs="Times New Roman"/>
        </w:rPr>
        <w:t>(Bowman, 2015)</w:t>
      </w:r>
      <w:r w:rsidR="006422AC">
        <w:rPr>
          <w:rFonts w:cs="Times New Roman"/>
          <w:szCs w:val="24"/>
        </w:rPr>
        <w:t xml:space="preserve">.  </w:t>
      </w:r>
      <w:r w:rsidR="001A6997" w:rsidRPr="00ED5916">
        <w:rPr>
          <w:rFonts w:cs="Times New Roman"/>
          <w:szCs w:val="24"/>
        </w:rPr>
        <w:t xml:space="preserve">Often </w:t>
      </w:r>
      <w:r w:rsidRPr="00ED5916">
        <w:rPr>
          <w:rFonts w:eastAsia="Times New Roman" w:cs="Times New Roman"/>
          <w:szCs w:val="24"/>
          <w:lang w:eastAsia="en-GB"/>
        </w:rPr>
        <w:t>g</w:t>
      </w:r>
      <w:r w:rsidR="001A6997" w:rsidRPr="00ED5916">
        <w:rPr>
          <w:rFonts w:eastAsia="Times New Roman" w:cs="Times New Roman"/>
          <w:szCs w:val="24"/>
          <w:lang w:eastAsia="en-GB"/>
        </w:rPr>
        <w:t>overnments opt for negotiated solutions with incumbent operators, rather than tender services in areas where operators control strategic assets</w:t>
      </w:r>
      <w:r w:rsidR="00544323" w:rsidRPr="00ED5916">
        <w:rPr>
          <w:rFonts w:eastAsia="Times New Roman" w:cs="Times New Roman"/>
          <w:szCs w:val="24"/>
          <w:lang w:eastAsia="en-GB"/>
        </w:rPr>
        <w:t xml:space="preserve">. </w:t>
      </w:r>
      <w:r w:rsidR="001B6427" w:rsidRPr="00ED5916">
        <w:rPr>
          <w:rFonts w:cs="Times New Roman"/>
          <w:szCs w:val="24"/>
        </w:rPr>
        <w:t>Under the Melbourne franchise model, assets have been retained by the state and leased to the operator, and revenue risk is shared under th</w:t>
      </w:r>
      <w:r w:rsidR="00330A49">
        <w:rPr>
          <w:rFonts w:cs="Times New Roman"/>
          <w:szCs w:val="24"/>
        </w:rPr>
        <w:t>e ‘cap and collar’ arrangement.</w:t>
      </w:r>
    </w:p>
    <w:p w14:paraId="5B5EEF84" w14:textId="1548FB88" w:rsidR="000B7630" w:rsidRPr="00ED5916" w:rsidRDefault="008559C7" w:rsidP="00237004">
      <w:pPr>
        <w:spacing w:before="120" w:after="120" w:line="360" w:lineRule="auto"/>
        <w:rPr>
          <w:rFonts w:cs="Times New Roman"/>
          <w:szCs w:val="24"/>
        </w:rPr>
      </w:pPr>
      <w:r w:rsidRPr="00ED5916">
        <w:rPr>
          <w:rFonts w:cs="Times New Roman"/>
          <w:szCs w:val="24"/>
        </w:rPr>
        <w:t>Melbourne has adopted only a light-touch arrangement through which one operator can be</w:t>
      </w:r>
      <w:r w:rsidR="00082B7B">
        <w:rPr>
          <w:rFonts w:cs="Times New Roman"/>
          <w:szCs w:val="24"/>
        </w:rPr>
        <w:t xml:space="preserve"> (and has been)</w:t>
      </w:r>
      <w:r w:rsidRPr="00ED5916">
        <w:rPr>
          <w:rFonts w:cs="Times New Roman"/>
          <w:szCs w:val="24"/>
        </w:rPr>
        <w:t xml:space="preserve"> exchanged for another if the public</w:t>
      </w:r>
      <w:r w:rsidR="00082B7B">
        <w:rPr>
          <w:rFonts w:cs="Times New Roman"/>
          <w:szCs w:val="24"/>
        </w:rPr>
        <w:t xml:space="preserve"> or political</w:t>
      </w:r>
      <w:r w:rsidRPr="00ED5916">
        <w:rPr>
          <w:rFonts w:cs="Times New Roman"/>
          <w:szCs w:val="24"/>
        </w:rPr>
        <w:t xml:space="preserve"> interest is not being served. </w:t>
      </w:r>
      <w:r w:rsidR="006E39E8">
        <w:rPr>
          <w:rFonts w:cs="Times New Roman"/>
          <w:szCs w:val="24"/>
        </w:rPr>
        <w:lastRenderedPageBreak/>
        <w:t>T</w:t>
      </w:r>
      <w:r w:rsidRPr="00ED5916">
        <w:rPr>
          <w:rFonts w:cs="Times New Roman"/>
          <w:szCs w:val="24"/>
        </w:rPr>
        <w:t>he emerging evidence</w:t>
      </w:r>
      <w:r w:rsidR="006E39E8">
        <w:rPr>
          <w:rFonts w:cs="Times New Roman"/>
          <w:szCs w:val="24"/>
        </w:rPr>
        <w:t>, however,</w:t>
      </w:r>
      <w:r w:rsidRPr="00ED5916">
        <w:rPr>
          <w:rFonts w:cs="Times New Roman"/>
          <w:szCs w:val="24"/>
        </w:rPr>
        <w:t xml:space="preserve"> seems</w:t>
      </w:r>
      <w:r w:rsidR="006E39E8">
        <w:rPr>
          <w:rFonts w:cs="Times New Roman"/>
          <w:szCs w:val="24"/>
        </w:rPr>
        <w:t xml:space="preserve"> to paint a picture of much greater complexity.  </w:t>
      </w:r>
      <w:r w:rsidR="001B6427" w:rsidRPr="00ED5916">
        <w:rPr>
          <w:rFonts w:cs="Times New Roman"/>
          <w:szCs w:val="24"/>
        </w:rPr>
        <w:t xml:space="preserve">For the public interest to be protected, the theory requires that the market will be contestable at future </w:t>
      </w:r>
      <w:r w:rsidR="00AD64F8" w:rsidRPr="00ED5916">
        <w:rPr>
          <w:rFonts w:cs="Times New Roman"/>
          <w:szCs w:val="24"/>
        </w:rPr>
        <w:t xml:space="preserve">tender points.  A non-contestable market is </w:t>
      </w:r>
      <w:r w:rsidR="001B6427" w:rsidRPr="00ED5916">
        <w:rPr>
          <w:rFonts w:cs="Times New Roman"/>
          <w:szCs w:val="24"/>
        </w:rPr>
        <w:t>one in which</w:t>
      </w:r>
      <w:r w:rsidR="00AD64F8" w:rsidRPr="00ED5916">
        <w:rPr>
          <w:rFonts w:cs="Times New Roman"/>
          <w:szCs w:val="24"/>
        </w:rPr>
        <w:t xml:space="preserve"> few, or no, credible companies offer up competitive bids against an incumbent.  If this </w:t>
      </w:r>
      <w:r w:rsidR="001B6427" w:rsidRPr="00ED5916">
        <w:rPr>
          <w:rFonts w:cs="Times New Roman"/>
          <w:szCs w:val="24"/>
        </w:rPr>
        <w:t>eventuates,</w:t>
      </w:r>
      <w:r w:rsidR="00AD64F8" w:rsidRPr="00ED5916">
        <w:rPr>
          <w:rFonts w:cs="Times New Roman"/>
          <w:szCs w:val="24"/>
        </w:rPr>
        <w:t xml:space="preserve"> the market in effect becomes a private monopoly with all </w:t>
      </w:r>
      <w:r w:rsidR="00C67162" w:rsidRPr="00ED5916">
        <w:rPr>
          <w:rFonts w:cs="Times New Roman"/>
          <w:szCs w:val="24"/>
        </w:rPr>
        <w:t>the consequences of inefficiency and loss of mechanisms to protect the public interest</w:t>
      </w:r>
      <w:r w:rsidR="00AD64F8" w:rsidRPr="00ED5916">
        <w:rPr>
          <w:rFonts w:cs="Times New Roman"/>
          <w:szCs w:val="24"/>
        </w:rPr>
        <w:t xml:space="preserve">.  </w:t>
      </w:r>
    </w:p>
    <w:p w14:paraId="7A5B8246" w14:textId="19EF7DFA" w:rsidR="006A36AE" w:rsidRDefault="001B6427" w:rsidP="00237004">
      <w:pPr>
        <w:spacing w:before="120" w:after="120" w:line="360" w:lineRule="auto"/>
        <w:rPr>
          <w:rFonts w:cs="Times New Roman"/>
          <w:szCs w:val="24"/>
        </w:rPr>
      </w:pPr>
      <w:r w:rsidRPr="00ED5916">
        <w:rPr>
          <w:rFonts w:cs="Times New Roman"/>
          <w:szCs w:val="24"/>
        </w:rPr>
        <w:t>Franchise bids cost millions of dollars to produce, so potential competitors will</w:t>
      </w:r>
      <w:r w:rsidR="00157F95" w:rsidRPr="00ED5916">
        <w:rPr>
          <w:rFonts w:cs="Times New Roman"/>
          <w:szCs w:val="24"/>
        </w:rPr>
        <w:t xml:space="preserve"> </w:t>
      </w:r>
      <w:r w:rsidRPr="00ED5916">
        <w:rPr>
          <w:rFonts w:cs="Times New Roman"/>
          <w:szCs w:val="24"/>
        </w:rPr>
        <w:t xml:space="preserve">not enter a tender process if </w:t>
      </w:r>
      <w:r w:rsidR="00157F95" w:rsidRPr="00ED5916">
        <w:rPr>
          <w:rFonts w:cs="Times New Roman"/>
          <w:szCs w:val="24"/>
        </w:rPr>
        <w:t>they perceive it to be a waste of time and money</w:t>
      </w:r>
      <w:r w:rsidRPr="00ED5916">
        <w:rPr>
          <w:rFonts w:cs="Times New Roman"/>
          <w:szCs w:val="24"/>
        </w:rPr>
        <w:t xml:space="preserve"> because </w:t>
      </w:r>
      <w:r w:rsidR="00157F95" w:rsidRPr="00ED5916">
        <w:rPr>
          <w:rFonts w:cs="Times New Roman"/>
          <w:szCs w:val="24"/>
        </w:rPr>
        <w:t xml:space="preserve">the incumbent is unlikely to be usurped.  </w:t>
      </w:r>
      <w:r w:rsidR="00033719" w:rsidRPr="00ED5916">
        <w:rPr>
          <w:rFonts w:cs="Times New Roman"/>
          <w:szCs w:val="24"/>
        </w:rPr>
        <w:t xml:space="preserve">This </w:t>
      </w:r>
      <w:r w:rsidR="002F3D0D">
        <w:rPr>
          <w:rFonts w:cs="Times New Roman"/>
          <w:szCs w:val="24"/>
        </w:rPr>
        <w:t>may</w:t>
      </w:r>
      <w:r w:rsidR="00033719" w:rsidRPr="00ED5916">
        <w:rPr>
          <w:rFonts w:cs="Times New Roman"/>
          <w:szCs w:val="24"/>
        </w:rPr>
        <w:t xml:space="preserve"> </w:t>
      </w:r>
      <w:proofErr w:type="gramStart"/>
      <w:r w:rsidR="00033719" w:rsidRPr="00ED5916">
        <w:rPr>
          <w:rFonts w:cs="Times New Roman"/>
          <w:szCs w:val="24"/>
        </w:rPr>
        <w:t>occur</w:t>
      </w:r>
      <w:proofErr w:type="gramEnd"/>
      <w:r w:rsidR="00033719" w:rsidRPr="00ED5916">
        <w:rPr>
          <w:rFonts w:cs="Times New Roman"/>
          <w:szCs w:val="24"/>
        </w:rPr>
        <w:t xml:space="preserve"> under </w:t>
      </w:r>
      <w:r w:rsidR="002F3D0D">
        <w:rPr>
          <w:rFonts w:cs="Times New Roman"/>
          <w:szCs w:val="24"/>
        </w:rPr>
        <w:t>three</w:t>
      </w:r>
      <w:r w:rsidR="00033719" w:rsidRPr="00ED5916">
        <w:rPr>
          <w:rFonts w:cs="Times New Roman"/>
          <w:szCs w:val="24"/>
        </w:rPr>
        <w:t xml:space="preserve"> </w:t>
      </w:r>
      <w:r w:rsidR="002025B4" w:rsidRPr="00ED5916">
        <w:rPr>
          <w:rFonts w:cs="Times New Roman"/>
          <w:szCs w:val="24"/>
        </w:rPr>
        <w:t xml:space="preserve">illustrative </w:t>
      </w:r>
      <w:r w:rsidR="00033719" w:rsidRPr="00ED5916">
        <w:rPr>
          <w:rFonts w:cs="Times New Roman"/>
          <w:szCs w:val="24"/>
        </w:rPr>
        <w:t>scenarios</w:t>
      </w:r>
      <w:r w:rsidR="00A64805" w:rsidRPr="00ED5916">
        <w:rPr>
          <w:rFonts w:cs="Times New Roman"/>
          <w:szCs w:val="24"/>
        </w:rPr>
        <w:t xml:space="preserve"> </w:t>
      </w:r>
      <w:r w:rsidR="00016099">
        <w:rPr>
          <w:rFonts w:cs="Times New Roman"/>
          <w:szCs w:val="24"/>
        </w:rPr>
        <w:t>described</w:t>
      </w:r>
      <w:r w:rsidR="00A64805" w:rsidRPr="00ED5916">
        <w:rPr>
          <w:rFonts w:cs="Times New Roman"/>
          <w:szCs w:val="24"/>
        </w:rPr>
        <w:t xml:space="preserve"> below</w:t>
      </w:r>
      <w:r w:rsidR="00437295" w:rsidRPr="00ED5916">
        <w:rPr>
          <w:rFonts w:cs="Times New Roman"/>
          <w:szCs w:val="24"/>
        </w:rPr>
        <w:t xml:space="preserve">. From the information that is currently available </w:t>
      </w:r>
      <w:r w:rsidR="00A64805" w:rsidRPr="00ED5916">
        <w:rPr>
          <w:rFonts w:cs="Times New Roman"/>
          <w:szCs w:val="24"/>
        </w:rPr>
        <w:t>to the public</w:t>
      </w:r>
      <w:r w:rsidR="00437295" w:rsidRPr="00ED5916">
        <w:rPr>
          <w:rFonts w:cs="Times New Roman"/>
          <w:szCs w:val="24"/>
        </w:rPr>
        <w:t xml:space="preserve">, </w:t>
      </w:r>
      <w:r w:rsidR="00A64805" w:rsidRPr="00ED5916">
        <w:rPr>
          <w:rFonts w:cs="Times New Roman"/>
          <w:szCs w:val="24"/>
        </w:rPr>
        <w:t>it is possible that these scenarios are playing out</w:t>
      </w:r>
      <w:r w:rsidR="00437295" w:rsidRPr="00ED5916">
        <w:rPr>
          <w:rFonts w:cs="Times New Roman"/>
          <w:szCs w:val="24"/>
        </w:rPr>
        <w:t xml:space="preserve"> </w:t>
      </w:r>
      <w:r w:rsidR="00C507C7" w:rsidRPr="00ED5916">
        <w:rPr>
          <w:rFonts w:cs="Times New Roman"/>
          <w:szCs w:val="24"/>
        </w:rPr>
        <w:t>in Melbourne</w:t>
      </w:r>
      <w:r w:rsidR="00B238A3" w:rsidRPr="00ED5916">
        <w:rPr>
          <w:rFonts w:cs="Times New Roman"/>
          <w:szCs w:val="24"/>
        </w:rPr>
        <w:t>.</w:t>
      </w:r>
    </w:p>
    <w:p w14:paraId="52FAFBC6" w14:textId="738AC108" w:rsidR="00C507C7" w:rsidRDefault="00016099" w:rsidP="00237004">
      <w:pPr>
        <w:spacing w:before="120" w:after="120" w:line="360" w:lineRule="auto"/>
        <w:rPr>
          <w:rFonts w:cs="Times New Roman"/>
          <w:szCs w:val="24"/>
        </w:rPr>
      </w:pPr>
      <w:proofErr w:type="gramStart"/>
      <w:r>
        <w:rPr>
          <w:rFonts w:cs="Times New Roman"/>
          <w:szCs w:val="24"/>
        </w:rPr>
        <w:t>Scenario 1.</w:t>
      </w:r>
      <w:proofErr w:type="gramEnd"/>
      <w:r>
        <w:rPr>
          <w:rFonts w:cs="Times New Roman"/>
          <w:szCs w:val="24"/>
        </w:rPr>
        <w:t xml:space="preserve">  </w:t>
      </w:r>
      <w:r w:rsidR="00B238A3" w:rsidRPr="00237004">
        <w:rPr>
          <w:rFonts w:cs="Times New Roman"/>
          <w:szCs w:val="24"/>
        </w:rPr>
        <w:t>T</w:t>
      </w:r>
      <w:r w:rsidR="00FE21A3" w:rsidRPr="00237004">
        <w:rPr>
          <w:rFonts w:cs="Times New Roman"/>
          <w:szCs w:val="24"/>
        </w:rPr>
        <w:t xml:space="preserve">he incumbent holds a number of significant contracts and is </w:t>
      </w:r>
      <w:r w:rsidR="006E39E8">
        <w:rPr>
          <w:rFonts w:cs="Times New Roman"/>
          <w:szCs w:val="24"/>
        </w:rPr>
        <w:t xml:space="preserve">thus </w:t>
      </w:r>
      <w:r w:rsidR="00FE21A3" w:rsidRPr="00237004">
        <w:rPr>
          <w:rFonts w:cs="Times New Roman"/>
          <w:szCs w:val="24"/>
        </w:rPr>
        <w:t xml:space="preserve">able to </w:t>
      </w:r>
      <w:r w:rsidR="00033719" w:rsidRPr="00237004">
        <w:rPr>
          <w:rFonts w:cs="Times New Roman"/>
          <w:szCs w:val="24"/>
        </w:rPr>
        <w:t>shift</w:t>
      </w:r>
      <w:r w:rsidR="00157F95" w:rsidRPr="00237004">
        <w:rPr>
          <w:rFonts w:cs="Times New Roman"/>
          <w:szCs w:val="24"/>
        </w:rPr>
        <w:t xml:space="preserve"> overhead</w:t>
      </w:r>
      <w:r w:rsidR="00033719" w:rsidRPr="00237004">
        <w:rPr>
          <w:rFonts w:cs="Times New Roman"/>
          <w:szCs w:val="24"/>
        </w:rPr>
        <w:t>s</w:t>
      </w:r>
      <w:r w:rsidR="00157F95" w:rsidRPr="00237004">
        <w:rPr>
          <w:rFonts w:cs="Times New Roman"/>
          <w:szCs w:val="24"/>
        </w:rPr>
        <w:t xml:space="preserve"> </w:t>
      </w:r>
      <w:r w:rsidR="00033719" w:rsidRPr="00237004">
        <w:rPr>
          <w:rFonts w:cs="Times New Roman"/>
          <w:szCs w:val="24"/>
        </w:rPr>
        <w:t>fro</w:t>
      </w:r>
      <w:r w:rsidR="0040285D" w:rsidRPr="00237004">
        <w:rPr>
          <w:rFonts w:cs="Times New Roman"/>
          <w:szCs w:val="24"/>
        </w:rPr>
        <w:t xml:space="preserve">m one contract to another. </w:t>
      </w:r>
      <w:r w:rsidR="006E39E8">
        <w:rPr>
          <w:rFonts w:cs="Times New Roman"/>
          <w:szCs w:val="24"/>
        </w:rPr>
        <w:t xml:space="preserve">This could enable them </w:t>
      </w:r>
      <w:r w:rsidR="00033719" w:rsidRPr="00237004">
        <w:rPr>
          <w:rFonts w:cs="Times New Roman"/>
          <w:szCs w:val="24"/>
        </w:rPr>
        <w:t>to</w:t>
      </w:r>
      <w:r w:rsidR="00157F95" w:rsidRPr="00237004">
        <w:rPr>
          <w:rFonts w:cs="Times New Roman"/>
          <w:szCs w:val="24"/>
        </w:rPr>
        <w:t xml:space="preserve"> offer </w:t>
      </w:r>
      <w:r w:rsidR="00033719" w:rsidRPr="00237004">
        <w:rPr>
          <w:rFonts w:cs="Times New Roman"/>
          <w:szCs w:val="24"/>
        </w:rPr>
        <w:t>a</w:t>
      </w:r>
      <w:r w:rsidR="00082B7B">
        <w:rPr>
          <w:rFonts w:cs="Times New Roman"/>
          <w:szCs w:val="24"/>
        </w:rPr>
        <w:t>n</w:t>
      </w:r>
      <w:r w:rsidR="00033719" w:rsidRPr="00237004">
        <w:rPr>
          <w:rFonts w:cs="Times New Roman"/>
          <w:szCs w:val="24"/>
        </w:rPr>
        <w:t xml:space="preserve"> </w:t>
      </w:r>
      <w:r w:rsidR="006E39E8">
        <w:rPr>
          <w:rFonts w:cs="Times New Roman"/>
          <w:szCs w:val="24"/>
        </w:rPr>
        <w:t>extremely</w:t>
      </w:r>
      <w:r w:rsidR="00033719" w:rsidRPr="00237004">
        <w:rPr>
          <w:rFonts w:cs="Times New Roman"/>
          <w:szCs w:val="24"/>
        </w:rPr>
        <w:t xml:space="preserve"> attractive </w:t>
      </w:r>
      <w:r w:rsidR="00157F95" w:rsidRPr="00237004">
        <w:rPr>
          <w:rFonts w:cs="Times New Roman"/>
          <w:szCs w:val="24"/>
        </w:rPr>
        <w:t>bid</w:t>
      </w:r>
      <w:r w:rsidR="00033719" w:rsidRPr="00237004">
        <w:rPr>
          <w:rFonts w:cs="Times New Roman"/>
          <w:szCs w:val="24"/>
        </w:rPr>
        <w:t xml:space="preserve"> for one contract while receiving payment to cover its costs from another contract</w:t>
      </w:r>
      <w:r w:rsidR="00B238A3" w:rsidRPr="00237004">
        <w:rPr>
          <w:rFonts w:cs="Times New Roman"/>
          <w:szCs w:val="24"/>
        </w:rPr>
        <w:t>.</w:t>
      </w:r>
      <w:r w:rsidR="00237004">
        <w:rPr>
          <w:rFonts w:cs="Times New Roman"/>
          <w:szCs w:val="24"/>
        </w:rPr>
        <w:t xml:space="preserve">  </w:t>
      </w:r>
      <w:r w:rsidR="00B238A3" w:rsidRPr="00ED5916">
        <w:rPr>
          <w:rFonts w:cs="Times New Roman"/>
          <w:szCs w:val="24"/>
        </w:rPr>
        <w:t>T</w:t>
      </w:r>
      <w:r w:rsidR="00C86917" w:rsidRPr="00ED5916">
        <w:rPr>
          <w:rFonts w:cs="Times New Roman"/>
          <w:szCs w:val="24"/>
        </w:rPr>
        <w:t xml:space="preserve">he structure of the three contracts held by MTM, as described earlier, is not sufficiently transparent for the public to be certain that </w:t>
      </w:r>
      <w:r w:rsidR="00886530" w:rsidRPr="00ED5916">
        <w:rPr>
          <w:rFonts w:cs="Times New Roman"/>
          <w:szCs w:val="24"/>
        </w:rPr>
        <w:t>opportunities</w:t>
      </w:r>
      <w:r w:rsidR="00437295" w:rsidRPr="00ED5916">
        <w:rPr>
          <w:rFonts w:cs="Times New Roman"/>
          <w:szCs w:val="24"/>
        </w:rPr>
        <w:t xml:space="preserve"> for ‘cost shifting’ </w:t>
      </w:r>
      <w:r w:rsidR="00A64805" w:rsidRPr="00ED5916">
        <w:rPr>
          <w:rFonts w:cs="Times New Roman"/>
          <w:szCs w:val="24"/>
        </w:rPr>
        <w:t>do not exist</w:t>
      </w:r>
      <w:r w:rsidR="00536724" w:rsidRPr="00ED5916">
        <w:rPr>
          <w:rFonts w:cs="Times New Roman"/>
          <w:szCs w:val="24"/>
        </w:rPr>
        <w:t>, even if contracts are tendered as a single bundle</w:t>
      </w:r>
      <w:r w:rsidR="00437295" w:rsidRPr="00ED5916">
        <w:rPr>
          <w:rFonts w:cs="Times New Roman"/>
          <w:szCs w:val="24"/>
        </w:rPr>
        <w:t>.</w:t>
      </w:r>
    </w:p>
    <w:p w14:paraId="2BB9FD8F" w14:textId="2D1C373C" w:rsidR="00237004" w:rsidRDefault="00016099" w:rsidP="00237004">
      <w:pPr>
        <w:spacing w:before="120" w:after="120" w:line="360" w:lineRule="auto"/>
        <w:rPr>
          <w:rFonts w:cs="Times New Roman"/>
          <w:szCs w:val="24"/>
        </w:rPr>
      </w:pPr>
      <w:proofErr w:type="gramStart"/>
      <w:r>
        <w:rPr>
          <w:rFonts w:cs="Times New Roman"/>
          <w:szCs w:val="24"/>
        </w:rPr>
        <w:t>Scenario 2.</w:t>
      </w:r>
      <w:proofErr w:type="gramEnd"/>
      <w:r>
        <w:rPr>
          <w:rFonts w:cs="Times New Roman"/>
          <w:szCs w:val="24"/>
        </w:rPr>
        <w:t xml:space="preserve"> </w:t>
      </w:r>
      <w:r w:rsidR="006E39E8">
        <w:rPr>
          <w:rFonts w:cs="Times New Roman"/>
          <w:szCs w:val="24"/>
        </w:rPr>
        <w:t xml:space="preserve">Under </w:t>
      </w:r>
      <w:r w:rsidR="00082B7B">
        <w:rPr>
          <w:rFonts w:cs="Times New Roman"/>
          <w:szCs w:val="24"/>
        </w:rPr>
        <w:t xml:space="preserve">long-term </w:t>
      </w:r>
      <w:r w:rsidR="006E39E8">
        <w:rPr>
          <w:rFonts w:cs="Times New Roman"/>
          <w:szCs w:val="24"/>
        </w:rPr>
        <w:t>franchising arrangements there is also the possibility that s</w:t>
      </w:r>
      <w:r w:rsidR="0040285D" w:rsidRPr="00237004">
        <w:rPr>
          <w:rFonts w:cs="Times New Roman"/>
          <w:szCs w:val="24"/>
        </w:rPr>
        <w:t>tate agencies lose skills</w:t>
      </w:r>
      <w:r w:rsidR="00C67162" w:rsidRPr="00237004">
        <w:rPr>
          <w:rFonts w:cs="Times New Roman"/>
          <w:szCs w:val="24"/>
        </w:rPr>
        <w:t xml:space="preserve"> or</w:t>
      </w:r>
      <w:r w:rsidR="0040285D" w:rsidRPr="00237004">
        <w:rPr>
          <w:rFonts w:cs="Times New Roman"/>
          <w:szCs w:val="24"/>
        </w:rPr>
        <w:t xml:space="preserve"> </w:t>
      </w:r>
      <w:r w:rsidR="00C67162" w:rsidRPr="00237004">
        <w:rPr>
          <w:rFonts w:cs="Times New Roman"/>
          <w:szCs w:val="24"/>
        </w:rPr>
        <w:t>are</w:t>
      </w:r>
      <w:r w:rsidR="0040285D" w:rsidRPr="00237004">
        <w:rPr>
          <w:rFonts w:cs="Times New Roman"/>
          <w:szCs w:val="24"/>
        </w:rPr>
        <w:t xml:space="preserve"> captured by the </w:t>
      </w:r>
      <w:r w:rsidR="00C67162" w:rsidRPr="00237004">
        <w:rPr>
          <w:rFonts w:cs="Times New Roman"/>
          <w:szCs w:val="24"/>
        </w:rPr>
        <w:t xml:space="preserve">incumbent private operator. </w:t>
      </w:r>
      <w:r w:rsidR="00157F95" w:rsidRPr="00237004">
        <w:rPr>
          <w:rFonts w:cs="Times New Roman"/>
          <w:szCs w:val="24"/>
        </w:rPr>
        <w:t xml:space="preserve">Loss of skills </w:t>
      </w:r>
      <w:r w:rsidR="00C67162" w:rsidRPr="00237004">
        <w:rPr>
          <w:rFonts w:cs="Times New Roman"/>
          <w:szCs w:val="24"/>
        </w:rPr>
        <w:t>often follows periods of instability or restructuring of the state agency that manages a contract. Ca</w:t>
      </w:r>
      <w:r w:rsidR="00157F95" w:rsidRPr="00237004">
        <w:rPr>
          <w:rFonts w:cs="Times New Roman"/>
          <w:szCs w:val="24"/>
        </w:rPr>
        <w:t xml:space="preserve">pabilities </w:t>
      </w:r>
      <w:r w:rsidR="00C67162" w:rsidRPr="00237004">
        <w:rPr>
          <w:rFonts w:cs="Times New Roman"/>
          <w:szCs w:val="24"/>
        </w:rPr>
        <w:t>in</w:t>
      </w:r>
      <w:r w:rsidR="00157F95" w:rsidRPr="00237004">
        <w:rPr>
          <w:rFonts w:cs="Times New Roman"/>
          <w:szCs w:val="24"/>
        </w:rPr>
        <w:t xml:space="preserve"> </w:t>
      </w:r>
      <w:r w:rsidR="005F54A0" w:rsidRPr="00237004">
        <w:rPr>
          <w:rFonts w:cs="Times New Roman"/>
          <w:szCs w:val="24"/>
        </w:rPr>
        <w:t xml:space="preserve">service procurement, performance management, </w:t>
      </w:r>
      <w:r w:rsidR="00157F95" w:rsidRPr="00237004">
        <w:rPr>
          <w:rFonts w:cs="Times New Roman"/>
          <w:szCs w:val="24"/>
        </w:rPr>
        <w:t>planning and engineering</w:t>
      </w:r>
      <w:r w:rsidR="00C67162" w:rsidRPr="00237004">
        <w:rPr>
          <w:rFonts w:cs="Times New Roman"/>
          <w:szCs w:val="24"/>
        </w:rPr>
        <w:t xml:space="preserve"> can</w:t>
      </w:r>
      <w:r w:rsidR="00157F95" w:rsidRPr="00237004">
        <w:rPr>
          <w:rFonts w:cs="Times New Roman"/>
          <w:szCs w:val="24"/>
        </w:rPr>
        <w:t xml:space="preserve"> drift to the franchisee, placing the</w:t>
      </w:r>
      <w:r w:rsidR="00C67162" w:rsidRPr="00237004">
        <w:rPr>
          <w:rFonts w:cs="Times New Roman"/>
          <w:szCs w:val="24"/>
        </w:rPr>
        <w:t xml:space="preserve">m at </w:t>
      </w:r>
      <w:r w:rsidR="00157F95" w:rsidRPr="00237004">
        <w:rPr>
          <w:rFonts w:cs="Times New Roman"/>
          <w:szCs w:val="24"/>
        </w:rPr>
        <w:t>an advantage</w:t>
      </w:r>
      <w:r w:rsidR="00C67162" w:rsidRPr="00237004">
        <w:rPr>
          <w:rFonts w:cs="Times New Roman"/>
          <w:szCs w:val="24"/>
        </w:rPr>
        <w:t xml:space="preserve"> in </w:t>
      </w:r>
      <w:r w:rsidR="00157F95" w:rsidRPr="00237004">
        <w:rPr>
          <w:rFonts w:cs="Times New Roman"/>
          <w:szCs w:val="24"/>
        </w:rPr>
        <w:t xml:space="preserve">their knowledge of the </w:t>
      </w:r>
      <w:r w:rsidR="00C67162" w:rsidRPr="00237004">
        <w:rPr>
          <w:rFonts w:cs="Times New Roman"/>
          <w:szCs w:val="24"/>
        </w:rPr>
        <w:t>system</w:t>
      </w:r>
      <w:r w:rsidR="00FE6CA1" w:rsidRPr="00237004">
        <w:rPr>
          <w:rFonts w:cs="Times New Roman"/>
          <w:szCs w:val="24"/>
        </w:rPr>
        <w:t xml:space="preserve">. </w:t>
      </w:r>
      <w:r w:rsidR="00157F95" w:rsidRPr="00237004">
        <w:rPr>
          <w:rFonts w:cs="Times New Roman"/>
          <w:szCs w:val="24"/>
        </w:rPr>
        <w:t xml:space="preserve">Regulatory capture </w:t>
      </w:r>
      <w:r w:rsidR="00C67162" w:rsidRPr="00237004">
        <w:rPr>
          <w:rFonts w:cs="Times New Roman"/>
          <w:szCs w:val="24"/>
        </w:rPr>
        <w:t xml:space="preserve">is </w:t>
      </w:r>
      <w:r w:rsidR="008912DD" w:rsidRPr="00237004">
        <w:rPr>
          <w:rFonts w:cs="Times New Roman"/>
          <w:szCs w:val="24"/>
        </w:rPr>
        <w:t xml:space="preserve">a </w:t>
      </w:r>
      <w:r w:rsidR="00C67162" w:rsidRPr="00237004">
        <w:rPr>
          <w:rFonts w:cs="Times New Roman"/>
          <w:szCs w:val="24"/>
        </w:rPr>
        <w:t xml:space="preserve">process through which </w:t>
      </w:r>
      <w:r w:rsidR="00157F95" w:rsidRPr="00237004">
        <w:rPr>
          <w:rFonts w:cs="Times New Roman"/>
          <w:szCs w:val="24"/>
        </w:rPr>
        <w:t xml:space="preserve">the </w:t>
      </w:r>
      <w:r w:rsidR="00C67162" w:rsidRPr="00237004">
        <w:rPr>
          <w:rFonts w:cs="Times New Roman"/>
          <w:szCs w:val="24"/>
        </w:rPr>
        <w:t>state agency</w:t>
      </w:r>
      <w:r w:rsidR="00157F95" w:rsidRPr="00237004">
        <w:rPr>
          <w:rFonts w:cs="Times New Roman"/>
          <w:szCs w:val="24"/>
        </w:rPr>
        <w:t xml:space="preserve"> ends up looking after the interests of the franchisee over the travelling public</w:t>
      </w:r>
      <w:r w:rsidR="00A70CF4" w:rsidRPr="00237004">
        <w:rPr>
          <w:rFonts w:cs="Times New Roman"/>
          <w:szCs w:val="24"/>
        </w:rPr>
        <w:t>. It</w:t>
      </w:r>
      <w:r w:rsidR="00157F95" w:rsidRPr="00237004">
        <w:rPr>
          <w:rFonts w:cs="Times New Roman"/>
          <w:szCs w:val="24"/>
        </w:rPr>
        <w:t xml:space="preserve"> is a function of a governmen</w:t>
      </w:r>
      <w:r w:rsidR="00A70CF4" w:rsidRPr="00237004">
        <w:rPr>
          <w:rFonts w:cs="Times New Roman"/>
          <w:szCs w:val="24"/>
        </w:rPr>
        <w:t>t’s need to</w:t>
      </w:r>
      <w:r w:rsidR="00157F95" w:rsidRPr="00237004">
        <w:rPr>
          <w:rFonts w:cs="Times New Roman"/>
          <w:szCs w:val="24"/>
        </w:rPr>
        <w:t xml:space="preserve"> </w:t>
      </w:r>
      <w:r w:rsidR="00A70CF4" w:rsidRPr="00237004">
        <w:rPr>
          <w:rFonts w:cs="Times New Roman"/>
          <w:szCs w:val="24"/>
        </w:rPr>
        <w:t>dissuade</w:t>
      </w:r>
      <w:r w:rsidR="00157F95" w:rsidRPr="00237004">
        <w:rPr>
          <w:rFonts w:cs="Times New Roman"/>
          <w:szCs w:val="24"/>
        </w:rPr>
        <w:t xml:space="preserve"> an operator from walking away</w:t>
      </w:r>
      <w:r w:rsidR="00A70CF4" w:rsidRPr="00237004">
        <w:rPr>
          <w:rFonts w:cs="Times New Roman"/>
          <w:szCs w:val="24"/>
        </w:rPr>
        <w:t xml:space="preserve">, </w:t>
      </w:r>
      <w:r w:rsidR="00157F95" w:rsidRPr="00237004">
        <w:rPr>
          <w:rFonts w:cs="Times New Roman"/>
          <w:szCs w:val="24"/>
        </w:rPr>
        <w:t xml:space="preserve">as well as </w:t>
      </w:r>
      <w:r w:rsidR="00A70CF4" w:rsidRPr="00237004">
        <w:rPr>
          <w:rFonts w:cs="Times New Roman"/>
          <w:szCs w:val="24"/>
        </w:rPr>
        <w:t xml:space="preserve">an almost inevitable outcome of </w:t>
      </w:r>
      <w:r w:rsidR="00157F95" w:rsidRPr="00237004">
        <w:rPr>
          <w:rFonts w:cs="Times New Roman"/>
          <w:szCs w:val="24"/>
        </w:rPr>
        <w:t xml:space="preserve">the </w:t>
      </w:r>
      <w:r w:rsidR="00A70CF4" w:rsidRPr="00237004">
        <w:rPr>
          <w:rFonts w:cs="Times New Roman"/>
          <w:szCs w:val="24"/>
        </w:rPr>
        <w:t xml:space="preserve">professional </w:t>
      </w:r>
      <w:r w:rsidR="00157F95" w:rsidRPr="00237004">
        <w:rPr>
          <w:rFonts w:cs="Times New Roman"/>
          <w:szCs w:val="24"/>
        </w:rPr>
        <w:t>relationship between purchaser</w:t>
      </w:r>
      <w:r w:rsidR="00A70CF4" w:rsidRPr="00237004">
        <w:rPr>
          <w:rFonts w:cs="Times New Roman"/>
          <w:szCs w:val="24"/>
        </w:rPr>
        <w:t xml:space="preserve"> and </w:t>
      </w:r>
      <w:r w:rsidR="00157F95" w:rsidRPr="00237004">
        <w:rPr>
          <w:rFonts w:cs="Times New Roman"/>
          <w:szCs w:val="24"/>
        </w:rPr>
        <w:t>provider</w:t>
      </w:r>
      <w:r w:rsidR="00583B51" w:rsidRPr="00237004">
        <w:rPr>
          <w:rFonts w:cs="Times New Roman"/>
          <w:szCs w:val="24"/>
        </w:rPr>
        <w:t xml:space="preserve"> (Flinders and Buller, 2006</w:t>
      </w:r>
      <w:r w:rsidR="00237004">
        <w:rPr>
          <w:rFonts w:cs="Times New Roman"/>
          <w:szCs w:val="24"/>
        </w:rPr>
        <w:t xml:space="preserve">; </w:t>
      </w:r>
      <w:proofErr w:type="spellStart"/>
      <w:r w:rsidR="006B7448" w:rsidRPr="00237004">
        <w:rPr>
          <w:rFonts w:cs="Times New Roman"/>
          <w:szCs w:val="24"/>
        </w:rPr>
        <w:t>Otáhal</w:t>
      </w:r>
      <w:proofErr w:type="spellEnd"/>
      <w:r w:rsidR="006B7448" w:rsidRPr="00237004">
        <w:rPr>
          <w:rFonts w:cs="Times New Roman"/>
          <w:szCs w:val="24"/>
        </w:rPr>
        <w:t>, 2010)</w:t>
      </w:r>
      <w:r w:rsidR="00544323" w:rsidRPr="00237004">
        <w:rPr>
          <w:rFonts w:cs="Times New Roman"/>
          <w:szCs w:val="24"/>
        </w:rPr>
        <w:t>.</w:t>
      </w:r>
    </w:p>
    <w:p w14:paraId="60B3C741" w14:textId="591ADF7C" w:rsidR="00B238A3" w:rsidRDefault="00B238A3" w:rsidP="00237004">
      <w:pPr>
        <w:spacing w:before="120" w:after="120" w:line="360" w:lineRule="auto"/>
        <w:rPr>
          <w:rFonts w:cs="Times New Roman"/>
          <w:szCs w:val="24"/>
        </w:rPr>
      </w:pPr>
      <w:r w:rsidRPr="00ED5916">
        <w:rPr>
          <w:rFonts w:cs="Times New Roman"/>
          <w:szCs w:val="24"/>
        </w:rPr>
        <w:t>P</w:t>
      </w:r>
      <w:r w:rsidR="00437295" w:rsidRPr="00ED5916">
        <w:rPr>
          <w:rFonts w:cs="Times New Roman"/>
          <w:szCs w:val="24"/>
        </w:rPr>
        <w:t xml:space="preserve">TV </w:t>
      </w:r>
      <w:r w:rsidR="00A64805" w:rsidRPr="00ED5916">
        <w:rPr>
          <w:rFonts w:cs="Times New Roman"/>
          <w:szCs w:val="24"/>
        </w:rPr>
        <w:t xml:space="preserve">did not </w:t>
      </w:r>
      <w:r w:rsidR="004B4E7C">
        <w:rPr>
          <w:rFonts w:cs="Times New Roman"/>
          <w:szCs w:val="24"/>
        </w:rPr>
        <w:t xml:space="preserve">appear to have </w:t>
      </w:r>
      <w:r w:rsidR="00437295" w:rsidRPr="00ED5916">
        <w:rPr>
          <w:rFonts w:cs="Times New Roman"/>
          <w:szCs w:val="24"/>
        </w:rPr>
        <w:t xml:space="preserve">a clear mandate or </w:t>
      </w:r>
      <w:r w:rsidR="00A64805" w:rsidRPr="00ED5916">
        <w:rPr>
          <w:rFonts w:cs="Times New Roman"/>
          <w:szCs w:val="24"/>
        </w:rPr>
        <w:t xml:space="preserve">an </w:t>
      </w:r>
      <w:r w:rsidR="00437295" w:rsidRPr="00ED5916">
        <w:rPr>
          <w:rFonts w:cs="Times New Roman"/>
          <w:szCs w:val="24"/>
        </w:rPr>
        <w:t>independen</w:t>
      </w:r>
      <w:r w:rsidR="00A64805" w:rsidRPr="00ED5916">
        <w:rPr>
          <w:rFonts w:cs="Times New Roman"/>
          <w:szCs w:val="24"/>
        </w:rPr>
        <w:t>t structure</w:t>
      </w:r>
      <w:r w:rsidR="00437295" w:rsidRPr="00ED5916">
        <w:rPr>
          <w:rFonts w:cs="Times New Roman"/>
          <w:szCs w:val="24"/>
        </w:rPr>
        <w:t xml:space="preserve"> when </w:t>
      </w:r>
      <w:r w:rsidR="00A64805" w:rsidRPr="00ED5916">
        <w:rPr>
          <w:rFonts w:cs="Times New Roman"/>
          <w:szCs w:val="24"/>
        </w:rPr>
        <w:t xml:space="preserve">it was set up by the Coalition in 2011. </w:t>
      </w:r>
      <w:r w:rsidR="004B4E7C">
        <w:rPr>
          <w:rFonts w:cs="Times New Roman"/>
          <w:szCs w:val="24"/>
        </w:rPr>
        <w:t xml:space="preserve"> </w:t>
      </w:r>
      <w:r w:rsidR="00A64805" w:rsidRPr="00ED5916">
        <w:rPr>
          <w:rFonts w:cs="Times New Roman"/>
          <w:szCs w:val="24"/>
        </w:rPr>
        <w:t>It went through a long re-structure in 2015, and</w:t>
      </w:r>
      <w:r w:rsidR="00AA1D0B">
        <w:rPr>
          <w:rFonts w:cs="Times New Roman"/>
          <w:szCs w:val="24"/>
        </w:rPr>
        <w:t xml:space="preserve"> again in 2016 </w:t>
      </w:r>
      <w:r w:rsidR="00886530" w:rsidRPr="00ED5916">
        <w:rPr>
          <w:rFonts w:cs="Times New Roman"/>
          <w:szCs w:val="24"/>
        </w:rPr>
        <w:t xml:space="preserve">with </w:t>
      </w:r>
      <w:r w:rsidR="004F39FB" w:rsidRPr="00ED5916">
        <w:rPr>
          <w:rFonts w:cs="Times New Roman"/>
          <w:szCs w:val="24"/>
        </w:rPr>
        <w:t>the creation of Transport for Victoria, which</w:t>
      </w:r>
      <w:r w:rsidR="00AA1D0B">
        <w:rPr>
          <w:rFonts w:cs="Times New Roman"/>
          <w:szCs w:val="24"/>
        </w:rPr>
        <w:t xml:space="preserve"> has</w:t>
      </w:r>
      <w:r w:rsidR="004F39FB" w:rsidRPr="00ED5916">
        <w:rPr>
          <w:rFonts w:cs="Times New Roman"/>
          <w:szCs w:val="24"/>
        </w:rPr>
        <w:t xml:space="preserve"> take</w:t>
      </w:r>
      <w:r w:rsidR="00AA1D0B">
        <w:rPr>
          <w:rFonts w:cs="Times New Roman"/>
          <w:szCs w:val="24"/>
        </w:rPr>
        <w:t>n</w:t>
      </w:r>
      <w:r w:rsidR="004F39FB" w:rsidRPr="00ED5916">
        <w:rPr>
          <w:rFonts w:cs="Times New Roman"/>
          <w:szCs w:val="24"/>
        </w:rPr>
        <w:t xml:space="preserve"> the strategic functions of PTV and VicRoads back into </w:t>
      </w:r>
      <w:r w:rsidR="008912DD" w:rsidRPr="00ED5916">
        <w:rPr>
          <w:rFonts w:cs="Times New Roman"/>
          <w:szCs w:val="24"/>
        </w:rPr>
        <w:t>the Department of Economic Development, Jobs Transport and Resources (</w:t>
      </w:r>
      <w:r w:rsidR="004F39FB" w:rsidRPr="00ED5916">
        <w:rPr>
          <w:rFonts w:cs="Times New Roman"/>
          <w:szCs w:val="24"/>
        </w:rPr>
        <w:t>DEDJTR</w:t>
      </w:r>
      <w:r w:rsidR="008912DD" w:rsidRPr="00ED5916">
        <w:rPr>
          <w:rFonts w:cs="Times New Roman"/>
          <w:szCs w:val="24"/>
        </w:rPr>
        <w:t>)</w:t>
      </w:r>
      <w:r w:rsidR="004F39FB" w:rsidRPr="00ED5916">
        <w:rPr>
          <w:rFonts w:cs="Times New Roman"/>
          <w:szCs w:val="24"/>
        </w:rPr>
        <w:t>.</w:t>
      </w:r>
      <w:r w:rsidR="00886530" w:rsidRPr="00ED5916">
        <w:rPr>
          <w:rFonts w:cs="Times New Roman"/>
          <w:szCs w:val="24"/>
        </w:rPr>
        <w:t xml:space="preserve"> </w:t>
      </w:r>
      <w:r w:rsidR="006F2E1C" w:rsidRPr="00ED5916">
        <w:rPr>
          <w:rFonts w:cs="Times New Roman"/>
          <w:szCs w:val="24"/>
        </w:rPr>
        <w:t xml:space="preserve">Such processes are destabilising and </w:t>
      </w:r>
      <w:r w:rsidR="006E39E8">
        <w:rPr>
          <w:rFonts w:cs="Times New Roman"/>
          <w:szCs w:val="24"/>
        </w:rPr>
        <w:t>may</w:t>
      </w:r>
      <w:r w:rsidR="006F2E1C" w:rsidRPr="00ED5916">
        <w:rPr>
          <w:rFonts w:cs="Times New Roman"/>
          <w:szCs w:val="24"/>
        </w:rPr>
        <w:t xml:space="preserve"> contribute to a loss of skills </w:t>
      </w:r>
      <w:r w:rsidR="006F2E1C" w:rsidRPr="00ED5916">
        <w:rPr>
          <w:rFonts w:cs="Times New Roman"/>
          <w:szCs w:val="24"/>
        </w:rPr>
        <w:lastRenderedPageBreak/>
        <w:t xml:space="preserve">and corporate memory. Certainty over the structure and purpose of the state’s public </w:t>
      </w:r>
      <w:r w:rsidR="006F2E1C" w:rsidRPr="00237004">
        <w:rPr>
          <w:rFonts w:cs="Times New Roman"/>
          <w:szCs w:val="24"/>
        </w:rPr>
        <w:t>transport agencies is prerequisite for re-building rail management capability.</w:t>
      </w:r>
    </w:p>
    <w:p w14:paraId="283AB481" w14:textId="76FC7182" w:rsidR="00B238A3" w:rsidRPr="00ED5916" w:rsidRDefault="00016099" w:rsidP="00237004">
      <w:pPr>
        <w:spacing w:before="120" w:after="120" w:line="360" w:lineRule="auto"/>
        <w:rPr>
          <w:rFonts w:cs="Times New Roman"/>
          <w:szCs w:val="24"/>
        </w:rPr>
      </w:pPr>
      <w:proofErr w:type="gramStart"/>
      <w:r>
        <w:rPr>
          <w:rFonts w:cs="Times New Roman"/>
          <w:szCs w:val="24"/>
        </w:rPr>
        <w:t>Scenario 3.</w:t>
      </w:r>
      <w:proofErr w:type="gramEnd"/>
      <w:r>
        <w:rPr>
          <w:rFonts w:cs="Times New Roman"/>
          <w:szCs w:val="24"/>
        </w:rPr>
        <w:t xml:space="preserve">  T</w:t>
      </w:r>
      <w:r w:rsidR="006E64A2" w:rsidRPr="00237004">
        <w:rPr>
          <w:rFonts w:cs="Times New Roman"/>
          <w:szCs w:val="24"/>
        </w:rPr>
        <w:t xml:space="preserve">he franchisee </w:t>
      </w:r>
      <w:r w:rsidR="006E64A2" w:rsidRPr="00ED5916">
        <w:rPr>
          <w:rFonts w:cs="Times New Roman"/>
          <w:szCs w:val="24"/>
        </w:rPr>
        <w:t>or one of its constituent firms holds significant related contracts that extend beyond the franchise period. This can create barriers to competition because the incumbent has the advantage</w:t>
      </w:r>
      <w:r w:rsidR="00E65987">
        <w:rPr>
          <w:rFonts w:cs="Times New Roman"/>
          <w:szCs w:val="24"/>
        </w:rPr>
        <w:t>,</w:t>
      </w:r>
      <w:r w:rsidR="006E64A2" w:rsidRPr="00ED5916">
        <w:rPr>
          <w:rFonts w:cs="Times New Roman"/>
          <w:szCs w:val="24"/>
        </w:rPr>
        <w:t xml:space="preserve"> not only in a strategic or tactical sense from close and on-going relationships with the state agencies, but also because of a commercial advantage from having already invested in relevant plant and equipment.</w:t>
      </w:r>
      <w:r w:rsidR="006E39E8">
        <w:rPr>
          <w:rFonts w:cs="Times New Roman"/>
          <w:szCs w:val="24"/>
        </w:rPr>
        <w:t xml:space="preserve">  </w:t>
      </w:r>
      <w:r w:rsidR="00886530" w:rsidRPr="00ED5916">
        <w:rPr>
          <w:rFonts w:cs="Times New Roman"/>
          <w:szCs w:val="24"/>
        </w:rPr>
        <w:t xml:space="preserve">MTM </w:t>
      </w:r>
      <w:r w:rsidR="00E3124E" w:rsidRPr="00ED5916">
        <w:rPr>
          <w:rFonts w:cs="Times New Roman"/>
          <w:szCs w:val="24"/>
        </w:rPr>
        <w:t>ha</w:t>
      </w:r>
      <w:r w:rsidR="00973D59" w:rsidRPr="00ED5916">
        <w:rPr>
          <w:rFonts w:cs="Times New Roman"/>
          <w:szCs w:val="24"/>
        </w:rPr>
        <w:t>s</w:t>
      </w:r>
      <w:r w:rsidR="00E3124E" w:rsidRPr="00ED5916">
        <w:rPr>
          <w:rFonts w:cs="Times New Roman"/>
          <w:szCs w:val="24"/>
        </w:rPr>
        <w:t xml:space="preserve"> already </w:t>
      </w:r>
      <w:r w:rsidR="004B4E7C">
        <w:rPr>
          <w:rFonts w:cs="Times New Roman"/>
          <w:szCs w:val="24"/>
        </w:rPr>
        <w:t xml:space="preserve">seemingly </w:t>
      </w:r>
      <w:r w:rsidR="00E3124E" w:rsidRPr="00ED5916">
        <w:rPr>
          <w:rFonts w:cs="Times New Roman"/>
          <w:szCs w:val="24"/>
        </w:rPr>
        <w:t xml:space="preserve">made moves in this direction with its </w:t>
      </w:r>
      <w:r w:rsidR="0039216F" w:rsidRPr="00ED5916">
        <w:rPr>
          <w:rFonts w:cs="Times New Roman"/>
          <w:szCs w:val="24"/>
        </w:rPr>
        <w:t>‘</w:t>
      </w:r>
      <w:r w:rsidR="006F2E1C" w:rsidRPr="00ED5916">
        <w:rPr>
          <w:rFonts w:cs="Times New Roman"/>
          <w:szCs w:val="24"/>
        </w:rPr>
        <w:t>market-led</w:t>
      </w:r>
      <w:r w:rsidR="00886530" w:rsidRPr="00ED5916">
        <w:rPr>
          <w:rFonts w:cs="Times New Roman"/>
          <w:szCs w:val="24"/>
        </w:rPr>
        <w:t xml:space="preserve"> proposal</w:t>
      </w:r>
      <w:r w:rsidR="0039216F" w:rsidRPr="00ED5916">
        <w:rPr>
          <w:rFonts w:cs="Times New Roman"/>
          <w:szCs w:val="24"/>
        </w:rPr>
        <w:t>’</w:t>
      </w:r>
      <w:r w:rsidR="00973D59" w:rsidRPr="00ED5916">
        <w:rPr>
          <w:rFonts w:cs="Times New Roman"/>
          <w:szCs w:val="24"/>
        </w:rPr>
        <w:t xml:space="preserve"> in 2014, which would have given it</w:t>
      </w:r>
      <w:r w:rsidR="00E3124E" w:rsidRPr="00ED5916">
        <w:rPr>
          <w:rFonts w:cs="Times New Roman"/>
          <w:szCs w:val="24"/>
        </w:rPr>
        <w:t xml:space="preserve"> virtual long-term control of capital</w:t>
      </w:r>
      <w:r w:rsidR="00973D59" w:rsidRPr="00ED5916">
        <w:rPr>
          <w:rFonts w:cs="Times New Roman"/>
          <w:szCs w:val="24"/>
        </w:rPr>
        <w:t xml:space="preserve"> works</w:t>
      </w:r>
      <w:r w:rsidR="00E3124E" w:rsidRPr="00ED5916">
        <w:rPr>
          <w:rFonts w:cs="Times New Roman"/>
          <w:szCs w:val="24"/>
        </w:rPr>
        <w:t xml:space="preserve"> and maintenance of</w:t>
      </w:r>
      <w:r w:rsidR="00973D59" w:rsidRPr="00ED5916">
        <w:rPr>
          <w:rFonts w:cs="Times New Roman"/>
          <w:szCs w:val="24"/>
        </w:rPr>
        <w:t xml:space="preserve"> large sections of the Cranbourne-Pakenham lines</w:t>
      </w:r>
      <w:r w:rsidR="00583B51">
        <w:rPr>
          <w:rFonts w:cs="Times New Roman"/>
          <w:szCs w:val="24"/>
        </w:rPr>
        <w:t xml:space="preserve"> (Carey and Millar, 2014)</w:t>
      </w:r>
      <w:r w:rsidR="00973D59" w:rsidRPr="00ED5916">
        <w:rPr>
          <w:rFonts w:cs="Times New Roman"/>
          <w:szCs w:val="24"/>
        </w:rPr>
        <w:t>. The ‘unsolicited' or ‘market-led’ proposal is a new form of infrastructure project development</w:t>
      </w:r>
      <w:r w:rsidR="00316CBE" w:rsidRPr="00ED5916">
        <w:rPr>
          <w:rFonts w:cs="Times New Roman"/>
          <w:szCs w:val="24"/>
        </w:rPr>
        <w:t xml:space="preserve"> </w:t>
      </w:r>
      <w:r w:rsidR="00973D59" w:rsidRPr="00ED5916">
        <w:rPr>
          <w:rFonts w:cs="Times New Roman"/>
          <w:szCs w:val="24"/>
        </w:rPr>
        <w:t>through which Australian state governments seek proposals from the private sector and give favoured projects an accelerated path through</w:t>
      </w:r>
      <w:r w:rsidR="0052419F" w:rsidRPr="00ED5916">
        <w:rPr>
          <w:rFonts w:cs="Times New Roman"/>
          <w:szCs w:val="24"/>
        </w:rPr>
        <w:t xml:space="preserve"> formal</w:t>
      </w:r>
      <w:r w:rsidR="00973D59" w:rsidRPr="00ED5916">
        <w:rPr>
          <w:rFonts w:cs="Times New Roman"/>
          <w:szCs w:val="24"/>
        </w:rPr>
        <w:t xml:space="preserve"> planning</w:t>
      </w:r>
      <w:r w:rsidR="0052419F" w:rsidRPr="00ED5916">
        <w:rPr>
          <w:rFonts w:cs="Times New Roman"/>
          <w:szCs w:val="24"/>
        </w:rPr>
        <w:t xml:space="preserve"> processes</w:t>
      </w:r>
      <w:r w:rsidR="00316CBE" w:rsidRPr="00ED5916">
        <w:rPr>
          <w:rFonts w:cs="Times New Roman"/>
          <w:szCs w:val="24"/>
        </w:rPr>
        <w:t xml:space="preserve"> (</w:t>
      </w:r>
      <w:r w:rsidR="001E6228">
        <w:rPr>
          <w:rFonts w:cs="Times New Roman"/>
          <w:szCs w:val="24"/>
        </w:rPr>
        <w:t xml:space="preserve">see </w:t>
      </w:r>
      <w:r w:rsidR="001E6228" w:rsidRPr="001E6228">
        <w:rPr>
          <w:rFonts w:cs="Times New Roman"/>
        </w:rPr>
        <w:t>V</w:t>
      </w:r>
      <w:r w:rsidR="001E6228">
        <w:rPr>
          <w:rFonts w:cs="Times New Roman"/>
        </w:rPr>
        <w:t>ictorian State Government</w:t>
      </w:r>
      <w:r w:rsidR="006E39E8">
        <w:rPr>
          <w:rFonts w:cs="Times New Roman"/>
        </w:rPr>
        <w:t>, 2016</w:t>
      </w:r>
      <w:r w:rsidR="00316CBE" w:rsidRPr="00ED5916">
        <w:rPr>
          <w:rFonts w:cs="Times New Roman"/>
          <w:szCs w:val="24"/>
        </w:rPr>
        <w:t>)</w:t>
      </w:r>
      <w:r w:rsidR="0052419F" w:rsidRPr="00ED5916">
        <w:rPr>
          <w:rFonts w:cs="Times New Roman"/>
          <w:szCs w:val="24"/>
        </w:rPr>
        <w:t xml:space="preserve">. </w:t>
      </w:r>
      <w:r w:rsidR="00973D59" w:rsidRPr="00ED5916">
        <w:rPr>
          <w:rFonts w:cs="Times New Roman"/>
          <w:szCs w:val="24"/>
        </w:rPr>
        <w:t>Th</w:t>
      </w:r>
      <w:r w:rsidR="00F9299C" w:rsidRPr="00ED5916">
        <w:rPr>
          <w:rFonts w:cs="Times New Roman"/>
          <w:szCs w:val="24"/>
        </w:rPr>
        <w:t>e</w:t>
      </w:r>
      <w:r w:rsidR="00973D59" w:rsidRPr="00ED5916">
        <w:rPr>
          <w:rFonts w:cs="Times New Roman"/>
          <w:szCs w:val="24"/>
        </w:rPr>
        <w:t xml:space="preserve"> </w:t>
      </w:r>
      <w:r w:rsidR="00F9299C" w:rsidRPr="00ED5916">
        <w:rPr>
          <w:rFonts w:cs="Times New Roman"/>
          <w:szCs w:val="24"/>
        </w:rPr>
        <w:t xml:space="preserve">MTM </w:t>
      </w:r>
      <w:r w:rsidR="00973D59" w:rsidRPr="00ED5916">
        <w:rPr>
          <w:rFonts w:cs="Times New Roman"/>
          <w:szCs w:val="24"/>
        </w:rPr>
        <w:t xml:space="preserve">proposal was </w:t>
      </w:r>
      <w:r w:rsidR="00F9299C" w:rsidRPr="00ED5916">
        <w:rPr>
          <w:rFonts w:cs="Times New Roman"/>
          <w:szCs w:val="24"/>
        </w:rPr>
        <w:t xml:space="preserve">encouraged by the Coalition </w:t>
      </w:r>
      <w:r w:rsidR="008912DD" w:rsidRPr="00ED5916">
        <w:rPr>
          <w:rFonts w:cs="Times New Roman"/>
          <w:szCs w:val="24"/>
        </w:rPr>
        <w:t xml:space="preserve">government </w:t>
      </w:r>
      <w:r w:rsidR="00F9299C" w:rsidRPr="00ED5916">
        <w:rPr>
          <w:rFonts w:cs="Times New Roman"/>
          <w:szCs w:val="24"/>
        </w:rPr>
        <w:t xml:space="preserve">but </w:t>
      </w:r>
      <w:r w:rsidR="00973D59" w:rsidRPr="00ED5916">
        <w:rPr>
          <w:rFonts w:cs="Times New Roman"/>
          <w:szCs w:val="24"/>
        </w:rPr>
        <w:t>rejected by the ALP</w:t>
      </w:r>
      <w:r w:rsidR="00F9299C" w:rsidRPr="00ED5916">
        <w:rPr>
          <w:rFonts w:cs="Times New Roman"/>
          <w:szCs w:val="24"/>
        </w:rPr>
        <w:t xml:space="preserve"> soon after </w:t>
      </w:r>
      <w:r w:rsidR="008912DD" w:rsidRPr="00ED5916">
        <w:rPr>
          <w:rFonts w:cs="Times New Roman"/>
          <w:szCs w:val="24"/>
        </w:rPr>
        <w:t>its re-election in 2014</w:t>
      </w:r>
      <w:r w:rsidR="00583B51">
        <w:rPr>
          <w:rFonts w:cs="Times New Roman"/>
          <w:szCs w:val="24"/>
        </w:rPr>
        <w:t xml:space="preserve"> (Cole, 2014)</w:t>
      </w:r>
      <w:r w:rsidR="00F9299C" w:rsidRPr="00ED5916">
        <w:rPr>
          <w:rFonts w:cs="Times New Roman"/>
          <w:szCs w:val="24"/>
        </w:rPr>
        <w:t xml:space="preserve">. </w:t>
      </w:r>
    </w:p>
    <w:p w14:paraId="607E9877" w14:textId="57C5D091" w:rsidR="00237004" w:rsidRDefault="00F9299C" w:rsidP="00237004">
      <w:pPr>
        <w:spacing w:before="120" w:after="120" w:line="360" w:lineRule="auto"/>
        <w:rPr>
          <w:rFonts w:cs="Times New Roman"/>
          <w:szCs w:val="24"/>
        </w:rPr>
      </w:pPr>
      <w:r w:rsidRPr="00237004">
        <w:rPr>
          <w:rFonts w:cs="Times New Roman"/>
          <w:szCs w:val="24"/>
        </w:rPr>
        <w:t xml:space="preserve">More recently, John Holland–the large construction firm </w:t>
      </w:r>
      <w:r w:rsidR="00F60284" w:rsidRPr="00237004">
        <w:rPr>
          <w:rFonts w:cs="Times New Roman"/>
          <w:szCs w:val="24"/>
        </w:rPr>
        <w:t xml:space="preserve">in the MTM consortium–has been awarded contracts for </w:t>
      </w:r>
      <w:r w:rsidR="00237004">
        <w:rPr>
          <w:rFonts w:cs="Times New Roman"/>
          <w:szCs w:val="24"/>
        </w:rPr>
        <w:t>significant</w:t>
      </w:r>
      <w:r w:rsidR="005F78AE" w:rsidRPr="00237004">
        <w:rPr>
          <w:rFonts w:cs="Times New Roman"/>
          <w:szCs w:val="24"/>
        </w:rPr>
        <w:t xml:space="preserve"> </w:t>
      </w:r>
      <w:r w:rsidR="006E39E8">
        <w:rPr>
          <w:rFonts w:cs="Times New Roman"/>
          <w:szCs w:val="24"/>
        </w:rPr>
        <w:t xml:space="preserve">long term </w:t>
      </w:r>
      <w:r w:rsidR="00F60284" w:rsidRPr="00237004">
        <w:rPr>
          <w:rFonts w:cs="Times New Roman"/>
          <w:szCs w:val="24"/>
        </w:rPr>
        <w:t>works on the huge Melbourne Metro Rail tunnel</w:t>
      </w:r>
      <w:r w:rsidR="006E39E8">
        <w:rPr>
          <w:rFonts w:cs="Times New Roman"/>
          <w:szCs w:val="24"/>
        </w:rPr>
        <w:t xml:space="preserve"> - a contract of several billion dollars</w:t>
      </w:r>
      <w:r w:rsidR="005F78AE" w:rsidRPr="00237004">
        <w:rPr>
          <w:rFonts w:cs="Times New Roman"/>
          <w:szCs w:val="24"/>
        </w:rPr>
        <w:t xml:space="preserve">. </w:t>
      </w:r>
      <w:r w:rsidR="00544323" w:rsidRPr="00237004">
        <w:rPr>
          <w:rFonts w:cs="Times New Roman"/>
          <w:szCs w:val="24"/>
        </w:rPr>
        <w:t xml:space="preserve">They will </w:t>
      </w:r>
      <w:r w:rsidR="006E39E8">
        <w:rPr>
          <w:rFonts w:cs="Times New Roman"/>
          <w:szCs w:val="24"/>
        </w:rPr>
        <w:t xml:space="preserve">therefore </w:t>
      </w:r>
      <w:r w:rsidR="00544323" w:rsidRPr="00237004">
        <w:rPr>
          <w:rFonts w:cs="Times New Roman"/>
          <w:szCs w:val="24"/>
        </w:rPr>
        <w:t xml:space="preserve">have plant, skills, and knowledge ‘on the ground’ beyond the end of the franchise period of tenure: potentially adding up to </w:t>
      </w:r>
      <w:r w:rsidR="006E39E8">
        <w:rPr>
          <w:rFonts w:cs="Times New Roman"/>
          <w:szCs w:val="24"/>
        </w:rPr>
        <w:t>a strong competitive advantage in future tendering exercises.  Hepworth (</w:t>
      </w:r>
      <w:r w:rsidR="00544323" w:rsidRPr="00237004">
        <w:rPr>
          <w:rFonts w:cs="Times New Roman"/>
          <w:szCs w:val="24"/>
        </w:rPr>
        <w:t>2013</w:t>
      </w:r>
      <w:r w:rsidR="006E39E8">
        <w:rPr>
          <w:rFonts w:cs="Times New Roman"/>
          <w:szCs w:val="24"/>
        </w:rPr>
        <w:t>)</w:t>
      </w:r>
      <w:r w:rsidR="00544323" w:rsidRPr="00237004">
        <w:rPr>
          <w:rFonts w:cs="Times New Roman"/>
          <w:szCs w:val="24"/>
        </w:rPr>
        <w:t xml:space="preserve"> offers the view that the Australian </w:t>
      </w:r>
      <w:r w:rsidR="00E65987">
        <w:rPr>
          <w:rFonts w:cs="Times New Roman"/>
          <w:szCs w:val="24"/>
        </w:rPr>
        <w:t>c</w:t>
      </w:r>
      <w:r w:rsidR="00E65987" w:rsidRPr="00237004">
        <w:rPr>
          <w:rFonts w:cs="Times New Roman"/>
          <w:szCs w:val="24"/>
        </w:rPr>
        <w:t xml:space="preserve">onstruction </w:t>
      </w:r>
      <w:r w:rsidR="00544323" w:rsidRPr="00237004">
        <w:rPr>
          <w:rFonts w:cs="Times New Roman"/>
          <w:szCs w:val="24"/>
        </w:rPr>
        <w:t xml:space="preserve">industry does not encourage international bidders to compete for </w:t>
      </w:r>
      <w:r w:rsidR="006E39E8">
        <w:rPr>
          <w:rFonts w:cs="Times New Roman"/>
          <w:szCs w:val="24"/>
        </w:rPr>
        <w:t xml:space="preserve">major infrastructure contracts.  </w:t>
      </w:r>
      <w:r w:rsidR="00E826E7" w:rsidRPr="00237004">
        <w:rPr>
          <w:rFonts w:cs="Times New Roman"/>
          <w:szCs w:val="24"/>
        </w:rPr>
        <w:t xml:space="preserve">Together, the large pipeline of capital renewal projects obtained through MTM’s </w:t>
      </w:r>
      <w:r w:rsidR="006578F8" w:rsidRPr="00237004">
        <w:rPr>
          <w:rFonts w:cs="Times New Roman"/>
          <w:szCs w:val="24"/>
        </w:rPr>
        <w:t xml:space="preserve">opaque </w:t>
      </w:r>
      <w:r w:rsidR="00E826E7" w:rsidRPr="00237004">
        <w:rPr>
          <w:rFonts w:cs="Times New Roman"/>
          <w:szCs w:val="24"/>
        </w:rPr>
        <w:t>$</w:t>
      </w:r>
      <w:r w:rsidR="008912DD" w:rsidRPr="00237004">
        <w:rPr>
          <w:rFonts w:cs="Times New Roman"/>
          <w:szCs w:val="24"/>
        </w:rPr>
        <w:t>A</w:t>
      </w:r>
      <w:r w:rsidR="00E826E7" w:rsidRPr="00237004">
        <w:rPr>
          <w:rFonts w:cs="Times New Roman"/>
          <w:szCs w:val="24"/>
        </w:rPr>
        <w:t xml:space="preserve">400 million p.a. ‘projects’ contract and John Holland’s expanding role in big projects </w:t>
      </w:r>
      <w:r w:rsidR="0039216F" w:rsidRPr="00237004">
        <w:rPr>
          <w:rFonts w:cs="Times New Roman"/>
          <w:szCs w:val="24"/>
        </w:rPr>
        <w:t xml:space="preserve">such as </w:t>
      </w:r>
      <w:r w:rsidR="00E826E7" w:rsidRPr="00237004">
        <w:rPr>
          <w:rFonts w:cs="Times New Roman"/>
          <w:szCs w:val="24"/>
        </w:rPr>
        <w:t>the Melbourne Metro Rail tunnel, create a situation in which</w:t>
      </w:r>
      <w:r w:rsidR="00886530" w:rsidRPr="00237004">
        <w:rPr>
          <w:rFonts w:cs="Times New Roman"/>
          <w:szCs w:val="24"/>
        </w:rPr>
        <w:t xml:space="preserve"> the</w:t>
      </w:r>
      <w:r w:rsidR="0039216F" w:rsidRPr="00237004">
        <w:rPr>
          <w:rFonts w:cs="Times New Roman"/>
          <w:szCs w:val="24"/>
        </w:rPr>
        <w:t xml:space="preserve">re is a </w:t>
      </w:r>
      <w:r w:rsidR="006E39E8">
        <w:rPr>
          <w:rFonts w:cs="Times New Roman"/>
          <w:szCs w:val="24"/>
        </w:rPr>
        <w:t>strong possibility that the MTM concession may not be as replaceable as the theory would suggest when contracts are retendered.</w:t>
      </w:r>
    </w:p>
    <w:p w14:paraId="38279853" w14:textId="43C477C1" w:rsidR="008A711A" w:rsidRDefault="008A711A" w:rsidP="00237004">
      <w:pPr>
        <w:spacing w:before="120" w:after="120" w:line="360" w:lineRule="auto"/>
        <w:rPr>
          <w:rFonts w:cs="Times New Roman"/>
          <w:szCs w:val="24"/>
        </w:rPr>
      </w:pPr>
      <w:r>
        <w:rPr>
          <w:rFonts w:cs="Times New Roman"/>
          <w:szCs w:val="24"/>
        </w:rPr>
        <w:t xml:space="preserve">Reaching conclusions as to the level of impact the current arrangements have on market contestability is extremely difficult given the limited information available to the public.  Again, </w:t>
      </w:r>
      <w:r w:rsidR="00E65987">
        <w:rPr>
          <w:rFonts w:cs="Times New Roman"/>
          <w:szCs w:val="24"/>
        </w:rPr>
        <w:t>we believe that</w:t>
      </w:r>
      <w:r>
        <w:rPr>
          <w:rFonts w:cs="Times New Roman"/>
          <w:szCs w:val="24"/>
        </w:rPr>
        <w:t xml:space="preserve"> clear accounts for each contract, with the degree of cross subsidisation noted, should be in the public realm.</w:t>
      </w:r>
    </w:p>
    <w:p w14:paraId="0D46582B" w14:textId="77777777" w:rsidR="00237004" w:rsidRPr="00ED5916" w:rsidRDefault="00237004" w:rsidP="00237004">
      <w:pPr>
        <w:spacing w:before="120" w:after="120" w:line="360" w:lineRule="auto"/>
        <w:rPr>
          <w:rFonts w:cs="Times New Roman"/>
          <w:b/>
          <w:szCs w:val="24"/>
        </w:rPr>
      </w:pPr>
    </w:p>
    <w:p w14:paraId="7FDE0F8F" w14:textId="6B7140DF" w:rsidR="004F118D" w:rsidRPr="00ED5916" w:rsidRDefault="003A54E1" w:rsidP="00237004">
      <w:pPr>
        <w:pStyle w:val="Heading1"/>
        <w:spacing w:before="12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9</w:t>
      </w:r>
      <w:r w:rsidR="002A2627" w:rsidRPr="00ED5916">
        <w:rPr>
          <w:rFonts w:ascii="Times New Roman" w:hAnsi="Times New Roman" w:cs="Times New Roman"/>
          <w:color w:val="auto"/>
          <w:sz w:val="24"/>
          <w:szCs w:val="24"/>
        </w:rPr>
        <w:tab/>
      </w:r>
      <w:r w:rsidR="000365FB" w:rsidRPr="00ED5916">
        <w:rPr>
          <w:rFonts w:ascii="Times New Roman" w:hAnsi="Times New Roman" w:cs="Times New Roman"/>
          <w:color w:val="auto"/>
          <w:sz w:val="24"/>
          <w:szCs w:val="24"/>
        </w:rPr>
        <w:t xml:space="preserve">Conclusions: </w:t>
      </w:r>
      <w:r w:rsidR="00877BD0">
        <w:rPr>
          <w:rFonts w:ascii="Times New Roman" w:hAnsi="Times New Roman" w:cs="Times New Roman"/>
          <w:color w:val="auto"/>
          <w:sz w:val="24"/>
          <w:szCs w:val="24"/>
        </w:rPr>
        <w:t>assessing the Melbourne franchising model</w:t>
      </w:r>
    </w:p>
    <w:p w14:paraId="7D23A0E7" w14:textId="2CC05263" w:rsidR="00A04F2A" w:rsidRDefault="00D0387F" w:rsidP="00237004">
      <w:pPr>
        <w:spacing w:before="120" w:after="120" w:line="360" w:lineRule="auto"/>
        <w:rPr>
          <w:rFonts w:cs="Times New Roman"/>
          <w:szCs w:val="24"/>
        </w:rPr>
      </w:pPr>
      <w:r w:rsidRPr="00ED5916">
        <w:rPr>
          <w:rFonts w:cs="Times New Roman"/>
          <w:szCs w:val="24"/>
        </w:rPr>
        <w:t>In</w:t>
      </w:r>
      <w:r w:rsidR="0085649B" w:rsidRPr="00ED5916">
        <w:rPr>
          <w:rFonts w:cs="Times New Roman"/>
          <w:szCs w:val="24"/>
        </w:rPr>
        <w:t xml:space="preserve"> this paper, we </w:t>
      </w:r>
      <w:r w:rsidR="008912DD" w:rsidRPr="00ED5916">
        <w:rPr>
          <w:rFonts w:cs="Times New Roman"/>
          <w:szCs w:val="24"/>
        </w:rPr>
        <w:t xml:space="preserve">have </w:t>
      </w:r>
      <w:r w:rsidR="0085649B" w:rsidRPr="00ED5916">
        <w:rPr>
          <w:rFonts w:cs="Times New Roman"/>
          <w:szCs w:val="24"/>
        </w:rPr>
        <w:t xml:space="preserve">set out some clear requirements for </w:t>
      </w:r>
      <w:r w:rsidRPr="00ED5916">
        <w:rPr>
          <w:rFonts w:cs="Times New Roman"/>
          <w:szCs w:val="24"/>
        </w:rPr>
        <w:t xml:space="preserve">outcomes of </w:t>
      </w:r>
      <w:r w:rsidR="0085649B" w:rsidRPr="00ED5916">
        <w:rPr>
          <w:rFonts w:cs="Times New Roman"/>
          <w:szCs w:val="24"/>
        </w:rPr>
        <w:t>the current contract negotiations</w:t>
      </w:r>
      <w:r w:rsidRPr="00ED5916">
        <w:rPr>
          <w:rFonts w:cs="Times New Roman"/>
          <w:szCs w:val="24"/>
        </w:rPr>
        <w:t>. We have also</w:t>
      </w:r>
      <w:r w:rsidR="0085649B" w:rsidRPr="00ED5916">
        <w:rPr>
          <w:rFonts w:cs="Times New Roman"/>
          <w:szCs w:val="24"/>
        </w:rPr>
        <w:t xml:space="preserve"> pose</w:t>
      </w:r>
      <w:r w:rsidR="008912DD" w:rsidRPr="00ED5916">
        <w:rPr>
          <w:rFonts w:cs="Times New Roman"/>
          <w:szCs w:val="24"/>
        </w:rPr>
        <w:t>d</w:t>
      </w:r>
      <w:r w:rsidR="0085649B" w:rsidRPr="00ED5916">
        <w:rPr>
          <w:rFonts w:cs="Times New Roman"/>
          <w:szCs w:val="24"/>
        </w:rPr>
        <w:t xml:space="preserve"> some questions for </w:t>
      </w:r>
      <w:r w:rsidRPr="00ED5916">
        <w:rPr>
          <w:rFonts w:cs="Times New Roman"/>
          <w:szCs w:val="24"/>
        </w:rPr>
        <w:t>urban policymakers in Melbourne and beyond on the inherent dangers in the Melbourne model as it is currently set up. These questions suggest that</w:t>
      </w:r>
      <w:r w:rsidR="007A284A">
        <w:rPr>
          <w:rFonts w:cs="Times New Roman"/>
          <w:szCs w:val="24"/>
        </w:rPr>
        <w:t xml:space="preserve"> the potential consequences</w:t>
      </w:r>
      <w:r w:rsidR="006E39E8">
        <w:rPr>
          <w:rFonts w:cs="Times New Roman"/>
          <w:szCs w:val="24"/>
        </w:rPr>
        <w:t xml:space="preserve"> of </w:t>
      </w:r>
      <w:r w:rsidR="007A284A">
        <w:rPr>
          <w:rFonts w:cs="Times New Roman"/>
          <w:szCs w:val="24"/>
        </w:rPr>
        <w:t>deregulated</w:t>
      </w:r>
      <w:r w:rsidRPr="00ED5916">
        <w:rPr>
          <w:rFonts w:cs="Times New Roman"/>
          <w:szCs w:val="24"/>
        </w:rPr>
        <w:t xml:space="preserve"> models in urban transport policy need to be carefully assessed before they are adopted or expanded.</w:t>
      </w:r>
      <w:r w:rsidR="008A711A">
        <w:rPr>
          <w:rFonts w:cs="Times New Roman"/>
          <w:szCs w:val="24"/>
        </w:rPr>
        <w:t xml:space="preserve">  </w:t>
      </w:r>
      <w:r w:rsidR="00E65987">
        <w:rPr>
          <w:rFonts w:cs="Times New Roman"/>
          <w:szCs w:val="24"/>
        </w:rPr>
        <w:t xml:space="preserve">Our </w:t>
      </w:r>
      <w:r w:rsidR="008A711A">
        <w:rPr>
          <w:rFonts w:cs="Times New Roman"/>
          <w:szCs w:val="24"/>
        </w:rPr>
        <w:t xml:space="preserve">major conclusion is that despite clear concerns about the public interest, there is insufficient information available to </w:t>
      </w:r>
      <w:r w:rsidR="00E65987">
        <w:rPr>
          <w:rFonts w:cs="Times New Roman"/>
          <w:szCs w:val="24"/>
        </w:rPr>
        <w:t>properly assess the performance of the current franchisee</w:t>
      </w:r>
      <w:r w:rsidR="008A711A">
        <w:rPr>
          <w:rFonts w:cs="Times New Roman"/>
          <w:szCs w:val="24"/>
        </w:rPr>
        <w:t>.  This shortfall of information should be addressed by the state government.</w:t>
      </w:r>
    </w:p>
    <w:p w14:paraId="4D80022C" w14:textId="2C167D6B" w:rsidR="00FE45B2" w:rsidRPr="00ED5916" w:rsidRDefault="008A711A" w:rsidP="00237004">
      <w:pPr>
        <w:spacing w:before="120" w:after="120" w:line="360" w:lineRule="auto"/>
        <w:rPr>
          <w:rFonts w:cs="Times New Roman"/>
          <w:szCs w:val="24"/>
        </w:rPr>
      </w:pPr>
      <w:r>
        <w:rPr>
          <w:rFonts w:cs="Times New Roman"/>
          <w:szCs w:val="24"/>
        </w:rPr>
        <w:t>S</w:t>
      </w:r>
      <w:r w:rsidR="005D029D">
        <w:rPr>
          <w:rFonts w:cs="Times New Roman"/>
          <w:szCs w:val="24"/>
        </w:rPr>
        <w:t>pecifically, s</w:t>
      </w:r>
      <w:r>
        <w:rPr>
          <w:rFonts w:cs="Times New Roman"/>
          <w:szCs w:val="24"/>
        </w:rPr>
        <w:t xml:space="preserve">everal associated concerns </w:t>
      </w:r>
      <w:r w:rsidR="005D029D">
        <w:rPr>
          <w:rFonts w:cs="Times New Roman"/>
          <w:szCs w:val="24"/>
        </w:rPr>
        <w:t>exist</w:t>
      </w:r>
      <w:r>
        <w:rPr>
          <w:rFonts w:cs="Times New Roman"/>
          <w:szCs w:val="24"/>
        </w:rPr>
        <w:t xml:space="preserve">.  </w:t>
      </w:r>
      <w:r w:rsidR="00A04F2A" w:rsidRPr="00ED5916">
        <w:rPr>
          <w:rFonts w:cs="Times New Roman"/>
          <w:szCs w:val="24"/>
        </w:rPr>
        <w:t>First, the</w:t>
      </w:r>
      <w:r w:rsidR="008912DD" w:rsidRPr="00ED5916">
        <w:rPr>
          <w:rFonts w:cs="Times New Roman"/>
          <w:szCs w:val="24"/>
        </w:rPr>
        <w:t>re is the</w:t>
      </w:r>
      <w:r w:rsidR="00A04F2A" w:rsidRPr="00ED5916">
        <w:rPr>
          <w:rFonts w:cs="Times New Roman"/>
          <w:szCs w:val="24"/>
        </w:rPr>
        <w:t xml:space="preserve"> relatively simple task of preventing cost-shifting. </w:t>
      </w:r>
      <w:r w:rsidR="00437295" w:rsidRPr="00ED5916">
        <w:rPr>
          <w:rFonts w:cs="Times New Roman"/>
          <w:szCs w:val="24"/>
        </w:rPr>
        <w:t>Th</w:t>
      </w:r>
      <w:r w:rsidR="00FE45B2" w:rsidRPr="00ED5916">
        <w:rPr>
          <w:rFonts w:cs="Times New Roman"/>
          <w:szCs w:val="24"/>
        </w:rPr>
        <w:t>e</w:t>
      </w:r>
      <w:r w:rsidR="00437295" w:rsidRPr="00ED5916">
        <w:rPr>
          <w:rFonts w:cs="Times New Roman"/>
          <w:szCs w:val="24"/>
        </w:rPr>
        <w:t xml:space="preserve"> risk</w:t>
      </w:r>
      <w:r w:rsidR="00FE45B2" w:rsidRPr="00ED5916">
        <w:rPr>
          <w:rFonts w:cs="Times New Roman"/>
          <w:szCs w:val="24"/>
        </w:rPr>
        <w:t>s associated with cost-shifting</w:t>
      </w:r>
      <w:r w:rsidR="00437295" w:rsidRPr="00ED5916">
        <w:rPr>
          <w:rFonts w:cs="Times New Roman"/>
          <w:szCs w:val="24"/>
        </w:rPr>
        <w:t xml:space="preserve"> can only be countered by complete cost transparency in contract negotiations.</w:t>
      </w:r>
      <w:r w:rsidR="0085649B" w:rsidRPr="00ED5916">
        <w:rPr>
          <w:rFonts w:cs="Times New Roman"/>
          <w:szCs w:val="24"/>
        </w:rPr>
        <w:t xml:space="preserve"> T</w:t>
      </w:r>
      <w:r w:rsidR="00E365E1" w:rsidRPr="00ED5916">
        <w:rPr>
          <w:rFonts w:cs="Times New Roman"/>
          <w:szCs w:val="24"/>
        </w:rPr>
        <w:t xml:space="preserve">here </w:t>
      </w:r>
      <w:r w:rsidR="006E39E8">
        <w:rPr>
          <w:rFonts w:cs="Times New Roman"/>
          <w:szCs w:val="24"/>
        </w:rPr>
        <w:t>should ideally</w:t>
      </w:r>
      <w:r w:rsidR="00E365E1" w:rsidRPr="00ED5916">
        <w:rPr>
          <w:rFonts w:cs="Times New Roman"/>
          <w:szCs w:val="24"/>
        </w:rPr>
        <w:t xml:space="preserve"> be clear </w:t>
      </w:r>
      <w:r w:rsidR="004C11B6" w:rsidRPr="00ED5916">
        <w:rPr>
          <w:rFonts w:cs="Times New Roman"/>
          <w:szCs w:val="24"/>
        </w:rPr>
        <w:t xml:space="preserve">and credible </w:t>
      </w:r>
      <w:r w:rsidR="00E365E1" w:rsidRPr="00ED5916">
        <w:rPr>
          <w:rFonts w:cs="Times New Roman"/>
          <w:szCs w:val="24"/>
        </w:rPr>
        <w:t xml:space="preserve">separation </w:t>
      </w:r>
      <w:r w:rsidR="004C11B6" w:rsidRPr="00ED5916">
        <w:rPr>
          <w:rFonts w:cs="Times New Roman"/>
          <w:szCs w:val="24"/>
        </w:rPr>
        <w:t>of the accounts for the</w:t>
      </w:r>
      <w:r w:rsidR="00E365E1" w:rsidRPr="00ED5916">
        <w:rPr>
          <w:rFonts w:cs="Times New Roman"/>
          <w:szCs w:val="24"/>
        </w:rPr>
        <w:t xml:space="preserve"> operations, maintenance and capital works </w:t>
      </w:r>
      <w:r w:rsidR="0085649B" w:rsidRPr="00ED5916">
        <w:rPr>
          <w:rFonts w:cs="Times New Roman"/>
          <w:szCs w:val="24"/>
        </w:rPr>
        <w:t>contracts</w:t>
      </w:r>
      <w:r w:rsidR="009D3D0A" w:rsidRPr="00ED5916">
        <w:rPr>
          <w:rFonts w:cs="Times New Roman"/>
          <w:szCs w:val="24"/>
        </w:rPr>
        <w:t>,</w:t>
      </w:r>
      <w:r w:rsidR="0085649B" w:rsidRPr="00ED5916">
        <w:rPr>
          <w:rFonts w:cs="Times New Roman"/>
          <w:szCs w:val="24"/>
        </w:rPr>
        <w:t xml:space="preserve"> </w:t>
      </w:r>
      <w:r w:rsidR="00E365E1" w:rsidRPr="00ED5916">
        <w:rPr>
          <w:rFonts w:cs="Times New Roman"/>
          <w:szCs w:val="24"/>
        </w:rPr>
        <w:t xml:space="preserve">so that there can be no cross subsidisation </w:t>
      </w:r>
      <w:r w:rsidR="0039216F" w:rsidRPr="00ED5916">
        <w:rPr>
          <w:rFonts w:cs="Times New Roman"/>
          <w:szCs w:val="24"/>
        </w:rPr>
        <w:t xml:space="preserve">between contracts </w:t>
      </w:r>
      <w:r w:rsidR="008912DD" w:rsidRPr="00ED5916">
        <w:rPr>
          <w:rFonts w:cs="Times New Roman"/>
          <w:szCs w:val="24"/>
        </w:rPr>
        <w:t>and so</w:t>
      </w:r>
      <w:r w:rsidR="005D029D">
        <w:rPr>
          <w:rFonts w:cs="Times New Roman"/>
          <w:szCs w:val="24"/>
        </w:rPr>
        <w:t xml:space="preserve"> no</w:t>
      </w:r>
      <w:r w:rsidR="008912DD" w:rsidRPr="00ED5916">
        <w:rPr>
          <w:rFonts w:cs="Times New Roman"/>
          <w:szCs w:val="24"/>
        </w:rPr>
        <w:t xml:space="preserve"> potential</w:t>
      </w:r>
      <w:r w:rsidR="00E94815" w:rsidRPr="00ED5916">
        <w:rPr>
          <w:rFonts w:cs="Times New Roman"/>
          <w:szCs w:val="24"/>
        </w:rPr>
        <w:t xml:space="preserve"> for</w:t>
      </w:r>
      <w:r w:rsidR="00E365E1" w:rsidRPr="00ED5916">
        <w:rPr>
          <w:rFonts w:cs="Times New Roman"/>
          <w:szCs w:val="24"/>
        </w:rPr>
        <w:t xml:space="preserve"> MTM to under-bid </w:t>
      </w:r>
      <w:r w:rsidR="00E94815" w:rsidRPr="00ED5916">
        <w:rPr>
          <w:rFonts w:cs="Times New Roman"/>
          <w:szCs w:val="24"/>
        </w:rPr>
        <w:t xml:space="preserve">future </w:t>
      </w:r>
      <w:r w:rsidR="00E365E1" w:rsidRPr="00ED5916">
        <w:rPr>
          <w:rFonts w:cs="Times New Roman"/>
          <w:szCs w:val="24"/>
        </w:rPr>
        <w:t xml:space="preserve">potential competitors. </w:t>
      </w:r>
      <w:r w:rsidR="00A753F2" w:rsidRPr="00ED5916">
        <w:rPr>
          <w:rFonts w:cs="Times New Roman"/>
          <w:szCs w:val="24"/>
        </w:rPr>
        <w:t>Overall, t</w:t>
      </w:r>
      <w:r w:rsidR="004C11B6" w:rsidRPr="00ED5916">
        <w:rPr>
          <w:rFonts w:cs="Times New Roman"/>
          <w:szCs w:val="24"/>
        </w:rPr>
        <w:t xml:space="preserve">he state will need to build confidence in the negotiations by </w:t>
      </w:r>
      <w:r w:rsidR="00420571" w:rsidRPr="00ED5916">
        <w:rPr>
          <w:rFonts w:cs="Times New Roman"/>
          <w:szCs w:val="24"/>
        </w:rPr>
        <w:t xml:space="preserve">getting appropriate advice and support, and by </w:t>
      </w:r>
      <w:r w:rsidR="00CF3EE1" w:rsidRPr="00ED5916">
        <w:rPr>
          <w:rFonts w:cs="Times New Roman"/>
          <w:szCs w:val="24"/>
        </w:rPr>
        <w:t>making the process and content of its agreements with MTM</w:t>
      </w:r>
      <w:r w:rsidR="00544323" w:rsidRPr="00ED5916">
        <w:rPr>
          <w:rFonts w:cs="Times New Roman"/>
          <w:szCs w:val="24"/>
        </w:rPr>
        <w:t xml:space="preserve"> much more publicly available</w:t>
      </w:r>
      <w:r w:rsidR="000365FB" w:rsidRPr="00ED5916">
        <w:rPr>
          <w:rFonts w:cs="Times New Roman"/>
          <w:szCs w:val="24"/>
        </w:rPr>
        <w:t xml:space="preserve">. </w:t>
      </w:r>
    </w:p>
    <w:p w14:paraId="626B62F0" w14:textId="3529C492" w:rsidR="00B10CB3" w:rsidRPr="00ED5916" w:rsidRDefault="00A753F2" w:rsidP="00237004">
      <w:pPr>
        <w:spacing w:before="120" w:after="120" w:line="360" w:lineRule="auto"/>
        <w:rPr>
          <w:rFonts w:cs="Times New Roman"/>
          <w:szCs w:val="24"/>
        </w:rPr>
      </w:pPr>
      <w:r w:rsidRPr="00ED5916">
        <w:rPr>
          <w:rFonts w:cs="Times New Roman"/>
          <w:szCs w:val="24"/>
        </w:rPr>
        <w:t>Second, the</w:t>
      </w:r>
      <w:r w:rsidR="008912DD" w:rsidRPr="00ED5916">
        <w:rPr>
          <w:rFonts w:cs="Times New Roman"/>
          <w:szCs w:val="24"/>
        </w:rPr>
        <w:t>re is the</w:t>
      </w:r>
      <w:r w:rsidRPr="00ED5916">
        <w:rPr>
          <w:rFonts w:cs="Times New Roman"/>
          <w:szCs w:val="24"/>
        </w:rPr>
        <w:t xml:space="preserve"> much more complex issue of establishing greater state </w:t>
      </w:r>
      <w:r w:rsidR="00A04F2A" w:rsidRPr="00ED5916">
        <w:rPr>
          <w:rFonts w:cs="Times New Roman"/>
          <w:szCs w:val="24"/>
        </w:rPr>
        <w:t>control of maintenance and asset renewal</w:t>
      </w:r>
      <w:r w:rsidRPr="00ED5916">
        <w:rPr>
          <w:rFonts w:cs="Times New Roman"/>
          <w:szCs w:val="24"/>
        </w:rPr>
        <w:t xml:space="preserve"> within the current franchise model.</w:t>
      </w:r>
      <w:r w:rsidR="006E39E8">
        <w:rPr>
          <w:rFonts w:cs="Times New Roman"/>
          <w:szCs w:val="24"/>
        </w:rPr>
        <w:t xml:space="preserve">  </w:t>
      </w:r>
      <w:r w:rsidRPr="00ED5916">
        <w:rPr>
          <w:rFonts w:cs="Times New Roman"/>
          <w:szCs w:val="24"/>
        </w:rPr>
        <w:t>The first step is for</w:t>
      </w:r>
      <w:r w:rsidR="00A04F2A" w:rsidRPr="00ED5916">
        <w:rPr>
          <w:rFonts w:cs="Times New Roman"/>
          <w:szCs w:val="24"/>
        </w:rPr>
        <w:t xml:space="preserve"> </w:t>
      </w:r>
      <w:r w:rsidRPr="00ED5916">
        <w:rPr>
          <w:rFonts w:cs="Times New Roman"/>
          <w:szCs w:val="24"/>
        </w:rPr>
        <w:t>the government to</w:t>
      </w:r>
      <w:r w:rsidR="00A04F2A" w:rsidRPr="00ED5916">
        <w:rPr>
          <w:rFonts w:cs="Times New Roman"/>
          <w:szCs w:val="24"/>
        </w:rPr>
        <w:t xml:space="preserve"> </w:t>
      </w:r>
      <w:r w:rsidR="00C61259" w:rsidRPr="00ED5916">
        <w:rPr>
          <w:rFonts w:cs="Times New Roman"/>
          <w:szCs w:val="24"/>
        </w:rPr>
        <w:t xml:space="preserve">develop </w:t>
      </w:r>
      <w:r w:rsidR="00A04F2A" w:rsidRPr="00ED5916">
        <w:rPr>
          <w:rFonts w:cs="Times New Roman"/>
          <w:szCs w:val="24"/>
        </w:rPr>
        <w:t xml:space="preserve">a clear strategy </w:t>
      </w:r>
      <w:r w:rsidR="00C61259" w:rsidRPr="00ED5916">
        <w:rPr>
          <w:rFonts w:cs="Times New Roman"/>
          <w:szCs w:val="24"/>
        </w:rPr>
        <w:t>that articulates long-term goals for renewal of legacy assets, and then links this to clear, measurable and publicly reported short-term objectives and outputs stipulated in franchise contracts</w:t>
      </w:r>
      <w:r w:rsidR="006E39E8">
        <w:rPr>
          <w:rFonts w:cs="Times New Roman"/>
          <w:szCs w:val="24"/>
        </w:rPr>
        <w:t xml:space="preserve">.  </w:t>
      </w:r>
      <w:r w:rsidR="0039216F" w:rsidRPr="00ED5916">
        <w:rPr>
          <w:rFonts w:cs="Times New Roman"/>
          <w:szCs w:val="24"/>
        </w:rPr>
        <w:t>Th</w:t>
      </w:r>
      <w:r w:rsidR="00CD17C7" w:rsidRPr="00ED5916">
        <w:rPr>
          <w:rFonts w:cs="Times New Roman"/>
          <w:szCs w:val="24"/>
        </w:rPr>
        <w:t xml:space="preserve">e question of how best to </w:t>
      </w:r>
      <w:r w:rsidR="0039216F" w:rsidRPr="00ED5916">
        <w:rPr>
          <w:rFonts w:cs="Times New Roman"/>
          <w:szCs w:val="24"/>
        </w:rPr>
        <w:t>maint</w:t>
      </w:r>
      <w:r w:rsidR="00CD17C7" w:rsidRPr="00ED5916">
        <w:rPr>
          <w:rFonts w:cs="Times New Roman"/>
          <w:szCs w:val="24"/>
        </w:rPr>
        <w:t>ain</w:t>
      </w:r>
      <w:r w:rsidR="0039216F" w:rsidRPr="00ED5916">
        <w:rPr>
          <w:rFonts w:cs="Times New Roman"/>
          <w:szCs w:val="24"/>
        </w:rPr>
        <w:t xml:space="preserve"> legacy assets within short term franchise agreements </w:t>
      </w:r>
      <w:r w:rsidR="00CD17C7" w:rsidRPr="00ED5916">
        <w:rPr>
          <w:rFonts w:cs="Times New Roman"/>
          <w:szCs w:val="24"/>
        </w:rPr>
        <w:t>requires urgent attention</w:t>
      </w:r>
      <w:r w:rsidR="0039216F" w:rsidRPr="00ED5916">
        <w:rPr>
          <w:rFonts w:cs="Times New Roman"/>
          <w:szCs w:val="24"/>
        </w:rPr>
        <w:t>.</w:t>
      </w:r>
      <w:r w:rsidR="00CD17C7" w:rsidRPr="00ED5916">
        <w:rPr>
          <w:rFonts w:cs="Times New Roman"/>
          <w:szCs w:val="24"/>
        </w:rPr>
        <w:t xml:space="preserve"> It is a problem </w:t>
      </w:r>
      <w:r w:rsidR="00B10CB3" w:rsidRPr="00ED5916">
        <w:rPr>
          <w:rFonts w:cs="Times New Roman"/>
          <w:szCs w:val="24"/>
        </w:rPr>
        <w:t>common to any process of bringing private-sector compet</w:t>
      </w:r>
      <w:r w:rsidR="00FA59CA" w:rsidRPr="00ED5916">
        <w:rPr>
          <w:rFonts w:cs="Times New Roman"/>
          <w:szCs w:val="24"/>
        </w:rPr>
        <w:t>it</w:t>
      </w:r>
      <w:r w:rsidR="00B10CB3" w:rsidRPr="00ED5916">
        <w:rPr>
          <w:rFonts w:cs="Times New Roman"/>
          <w:szCs w:val="24"/>
        </w:rPr>
        <w:t>ion into the management of complex rail systems–something that is oc</w:t>
      </w:r>
      <w:r w:rsidR="007C197D">
        <w:rPr>
          <w:rFonts w:cs="Times New Roman"/>
          <w:szCs w:val="24"/>
        </w:rPr>
        <w:t>curring across the world</w:t>
      </w:r>
      <w:r w:rsidR="00C61259" w:rsidRPr="00ED5916">
        <w:rPr>
          <w:rFonts w:cs="Times New Roman"/>
          <w:szCs w:val="24"/>
        </w:rPr>
        <w:t>. The exploration of</w:t>
      </w:r>
      <w:r w:rsidR="00FA59CA" w:rsidRPr="00ED5916">
        <w:rPr>
          <w:rFonts w:cs="Times New Roman"/>
          <w:szCs w:val="24"/>
        </w:rPr>
        <w:t xml:space="preserve"> the content and conditions for</w:t>
      </w:r>
      <w:r w:rsidR="00C61259" w:rsidRPr="00ED5916">
        <w:rPr>
          <w:rFonts w:cs="Times New Roman"/>
          <w:szCs w:val="24"/>
        </w:rPr>
        <w:t xml:space="preserve"> better contract arrangements</w:t>
      </w:r>
      <w:r w:rsidR="00FA59CA" w:rsidRPr="00ED5916">
        <w:rPr>
          <w:rFonts w:cs="Times New Roman"/>
          <w:szCs w:val="24"/>
        </w:rPr>
        <w:t>, especially in the context of a dwindling number of private companies (or</w:t>
      </w:r>
      <w:r w:rsidR="00C16F37" w:rsidRPr="00ED5916">
        <w:rPr>
          <w:rFonts w:cs="Times New Roman"/>
          <w:szCs w:val="24"/>
        </w:rPr>
        <w:t>, more commonly, the</w:t>
      </w:r>
      <w:r w:rsidR="00FA59CA" w:rsidRPr="00ED5916">
        <w:rPr>
          <w:rFonts w:cs="Times New Roman"/>
          <w:szCs w:val="24"/>
        </w:rPr>
        <w:t xml:space="preserve"> subsidiaries of </w:t>
      </w:r>
      <w:r w:rsidR="00C16F37" w:rsidRPr="00ED5916">
        <w:rPr>
          <w:rFonts w:cs="Times New Roman"/>
          <w:szCs w:val="24"/>
        </w:rPr>
        <w:t xml:space="preserve">large </w:t>
      </w:r>
      <w:r w:rsidR="00FA59CA" w:rsidRPr="00ED5916">
        <w:rPr>
          <w:rFonts w:cs="Times New Roman"/>
          <w:szCs w:val="24"/>
        </w:rPr>
        <w:t xml:space="preserve">state transport agencies) able to enter this competition </w:t>
      </w:r>
      <w:r w:rsidR="005D029D">
        <w:rPr>
          <w:rFonts w:cs="Times New Roman"/>
          <w:szCs w:val="24"/>
        </w:rPr>
        <w:t xml:space="preserve">should be </w:t>
      </w:r>
      <w:r w:rsidR="00C61259" w:rsidRPr="00ED5916">
        <w:rPr>
          <w:rFonts w:cs="Times New Roman"/>
          <w:szCs w:val="24"/>
        </w:rPr>
        <w:t>the subject of on-going international research.</w:t>
      </w:r>
      <w:r w:rsidR="00B10CB3" w:rsidRPr="00ED5916">
        <w:rPr>
          <w:rFonts w:cs="Times New Roman"/>
          <w:szCs w:val="24"/>
        </w:rPr>
        <w:t xml:space="preserve"> </w:t>
      </w:r>
    </w:p>
    <w:p w14:paraId="7842AD85" w14:textId="02DF8879" w:rsidR="00203669" w:rsidRDefault="00130F1B" w:rsidP="00237004">
      <w:pPr>
        <w:spacing w:before="120" w:after="120" w:line="360" w:lineRule="auto"/>
        <w:rPr>
          <w:rFonts w:cs="Times New Roman"/>
          <w:szCs w:val="24"/>
        </w:rPr>
      </w:pPr>
      <w:r w:rsidRPr="00ED5916">
        <w:rPr>
          <w:rFonts w:cs="Times New Roman"/>
          <w:szCs w:val="24"/>
        </w:rPr>
        <w:t xml:space="preserve">Finally, </w:t>
      </w:r>
      <w:r w:rsidR="00FA59CA" w:rsidRPr="00ED5916">
        <w:rPr>
          <w:rFonts w:cs="Times New Roman"/>
          <w:szCs w:val="24"/>
        </w:rPr>
        <w:t xml:space="preserve">there is an absolute need to strengthen public-sector skills in the management of complex rail systems. This is not just because </w:t>
      </w:r>
      <w:r w:rsidR="008912DD" w:rsidRPr="00ED5916">
        <w:rPr>
          <w:rFonts w:cs="Times New Roman"/>
          <w:szCs w:val="24"/>
        </w:rPr>
        <w:t>it</w:t>
      </w:r>
      <w:r w:rsidR="00FA59CA" w:rsidRPr="00ED5916">
        <w:rPr>
          <w:rFonts w:cs="Times New Roman"/>
          <w:szCs w:val="24"/>
        </w:rPr>
        <w:t xml:space="preserve"> is necessary to make the changes to contract arrangements </w:t>
      </w:r>
      <w:r w:rsidR="00AA7B01" w:rsidRPr="00ED5916">
        <w:rPr>
          <w:rFonts w:cs="Times New Roman"/>
          <w:szCs w:val="24"/>
        </w:rPr>
        <w:t xml:space="preserve">as </w:t>
      </w:r>
      <w:r w:rsidR="00FA59CA" w:rsidRPr="00ED5916">
        <w:rPr>
          <w:rFonts w:cs="Times New Roman"/>
          <w:szCs w:val="24"/>
        </w:rPr>
        <w:t xml:space="preserve">described above, but it is also because </w:t>
      </w:r>
      <w:r w:rsidR="00342994">
        <w:rPr>
          <w:rFonts w:cs="Times New Roman"/>
          <w:szCs w:val="24"/>
        </w:rPr>
        <w:t>one of the</w:t>
      </w:r>
      <w:r w:rsidR="00FA59CA" w:rsidRPr="00ED5916">
        <w:rPr>
          <w:rFonts w:cs="Times New Roman"/>
          <w:szCs w:val="24"/>
        </w:rPr>
        <w:t xml:space="preserve"> alternative</w:t>
      </w:r>
      <w:r w:rsidR="00342994">
        <w:rPr>
          <w:rFonts w:cs="Times New Roman"/>
          <w:szCs w:val="24"/>
        </w:rPr>
        <w:t>s</w:t>
      </w:r>
      <w:r w:rsidR="00FA59CA" w:rsidRPr="00ED5916">
        <w:rPr>
          <w:rFonts w:cs="Times New Roman"/>
          <w:szCs w:val="24"/>
        </w:rPr>
        <w:t xml:space="preserve"> to </w:t>
      </w:r>
      <w:r w:rsidR="00AA7B01" w:rsidRPr="00ED5916">
        <w:rPr>
          <w:rFonts w:cs="Times New Roman"/>
          <w:szCs w:val="24"/>
        </w:rPr>
        <w:t>a</w:t>
      </w:r>
      <w:r w:rsidR="00342994">
        <w:rPr>
          <w:rFonts w:cs="Times New Roman"/>
          <w:szCs w:val="24"/>
        </w:rPr>
        <w:t xml:space="preserve">n </w:t>
      </w:r>
      <w:r w:rsidR="00342994">
        <w:rPr>
          <w:rFonts w:cs="Times New Roman"/>
          <w:szCs w:val="24"/>
        </w:rPr>
        <w:lastRenderedPageBreak/>
        <w:t xml:space="preserve">outsourced </w:t>
      </w:r>
      <w:r w:rsidR="00FA59CA" w:rsidRPr="00ED5916">
        <w:rPr>
          <w:rFonts w:cs="Times New Roman"/>
          <w:szCs w:val="24"/>
        </w:rPr>
        <w:t xml:space="preserve">future </w:t>
      </w:r>
      <w:r w:rsidR="00AA7B01" w:rsidRPr="00ED5916">
        <w:rPr>
          <w:rFonts w:cs="Times New Roman"/>
          <w:szCs w:val="24"/>
        </w:rPr>
        <w:t>for</w:t>
      </w:r>
      <w:r w:rsidR="0022585E" w:rsidRPr="00ED5916">
        <w:rPr>
          <w:rFonts w:cs="Times New Roman"/>
          <w:szCs w:val="24"/>
        </w:rPr>
        <w:t xml:space="preserve"> Melbourne</w:t>
      </w:r>
      <w:r w:rsidR="00AA7B01" w:rsidRPr="00ED5916">
        <w:rPr>
          <w:rFonts w:cs="Times New Roman"/>
          <w:szCs w:val="24"/>
        </w:rPr>
        <w:t>’s railways</w:t>
      </w:r>
      <w:r w:rsidR="0022585E" w:rsidRPr="00ED5916">
        <w:rPr>
          <w:rFonts w:cs="Times New Roman"/>
          <w:szCs w:val="24"/>
        </w:rPr>
        <w:t xml:space="preserve"> </w:t>
      </w:r>
      <w:r w:rsidR="00342994">
        <w:rPr>
          <w:rFonts w:cs="Times New Roman"/>
          <w:szCs w:val="24"/>
        </w:rPr>
        <w:t>is th</w:t>
      </w:r>
      <w:r w:rsidR="005B5C48">
        <w:rPr>
          <w:rFonts w:cs="Times New Roman"/>
          <w:szCs w:val="24"/>
        </w:rPr>
        <w:t>e re-</w:t>
      </w:r>
      <w:r w:rsidR="0022585E" w:rsidRPr="00ED5916">
        <w:rPr>
          <w:rFonts w:cs="Times New Roman"/>
          <w:szCs w:val="24"/>
        </w:rPr>
        <w:t>establishment of state control</w:t>
      </w:r>
      <w:r w:rsidR="00E2303D" w:rsidRPr="00ED5916">
        <w:rPr>
          <w:rFonts w:cs="Times New Roman"/>
          <w:szCs w:val="24"/>
        </w:rPr>
        <w:t xml:space="preserve"> in 2023</w:t>
      </w:r>
      <w:r w:rsidR="007C197D">
        <w:rPr>
          <w:rFonts w:cs="Times New Roman"/>
          <w:szCs w:val="24"/>
        </w:rPr>
        <w:t xml:space="preserve">.  </w:t>
      </w:r>
      <w:r w:rsidR="00342994">
        <w:rPr>
          <w:rFonts w:cs="Times New Roman"/>
          <w:szCs w:val="24"/>
        </w:rPr>
        <w:t>S</w:t>
      </w:r>
      <w:r w:rsidR="007C197D">
        <w:rPr>
          <w:rFonts w:cs="Times New Roman"/>
          <w:szCs w:val="24"/>
        </w:rPr>
        <w:t xml:space="preserve">tate control of </w:t>
      </w:r>
      <w:r w:rsidR="005D029D">
        <w:rPr>
          <w:rFonts w:cs="Times New Roman"/>
          <w:szCs w:val="24"/>
        </w:rPr>
        <w:t xml:space="preserve">complex urban </w:t>
      </w:r>
      <w:r w:rsidR="007C197D">
        <w:rPr>
          <w:rFonts w:cs="Times New Roman"/>
          <w:szCs w:val="24"/>
        </w:rPr>
        <w:t>railway systems is a common global model</w:t>
      </w:r>
      <w:r w:rsidR="00342994">
        <w:rPr>
          <w:rFonts w:cs="Times New Roman"/>
          <w:szCs w:val="24"/>
        </w:rPr>
        <w:t>, and whilst it is not being advocated per se in this paper, it</w:t>
      </w:r>
      <w:r w:rsidR="007C197D">
        <w:rPr>
          <w:rFonts w:cs="Times New Roman"/>
          <w:szCs w:val="24"/>
        </w:rPr>
        <w:t xml:space="preserve"> should constantly be ‘on the table’</w:t>
      </w:r>
      <w:r w:rsidR="00342994">
        <w:rPr>
          <w:rFonts w:cs="Times New Roman"/>
          <w:szCs w:val="24"/>
        </w:rPr>
        <w:t>,</w:t>
      </w:r>
      <w:r w:rsidR="007C197D">
        <w:rPr>
          <w:rFonts w:cs="Times New Roman"/>
          <w:szCs w:val="24"/>
        </w:rPr>
        <w:t xml:space="preserve"> within Victoria</w:t>
      </w:r>
      <w:r w:rsidR="00342994">
        <w:rPr>
          <w:rFonts w:cs="Times New Roman"/>
          <w:szCs w:val="24"/>
        </w:rPr>
        <w:t>, as an option</w:t>
      </w:r>
      <w:r w:rsidR="005B5C48">
        <w:rPr>
          <w:rFonts w:cs="Times New Roman"/>
          <w:szCs w:val="24"/>
        </w:rPr>
        <w:t>,</w:t>
      </w:r>
      <w:r w:rsidR="007C197D">
        <w:rPr>
          <w:rFonts w:cs="Times New Roman"/>
          <w:szCs w:val="24"/>
        </w:rPr>
        <w:t xml:space="preserve"> should outsourced models be seen to failing the public interest</w:t>
      </w:r>
      <w:r w:rsidR="0022585E" w:rsidRPr="00ED5916">
        <w:rPr>
          <w:rFonts w:cs="Times New Roman"/>
          <w:szCs w:val="24"/>
        </w:rPr>
        <w:t xml:space="preserve">. </w:t>
      </w:r>
      <w:r w:rsidR="00342994">
        <w:rPr>
          <w:rFonts w:cs="Times New Roman"/>
          <w:szCs w:val="24"/>
        </w:rPr>
        <w:t xml:space="preserve">To ensure this </w:t>
      </w:r>
      <w:r w:rsidR="0004542B" w:rsidRPr="00ED5916">
        <w:rPr>
          <w:rFonts w:cs="Times New Roman"/>
          <w:szCs w:val="24"/>
        </w:rPr>
        <w:t xml:space="preserve">alternative </w:t>
      </w:r>
      <w:r w:rsidR="00342994">
        <w:rPr>
          <w:rFonts w:cs="Times New Roman"/>
          <w:szCs w:val="24"/>
        </w:rPr>
        <w:t xml:space="preserve">remains </w:t>
      </w:r>
      <w:r w:rsidR="0004542B" w:rsidRPr="00ED5916">
        <w:rPr>
          <w:rFonts w:cs="Times New Roman"/>
          <w:szCs w:val="24"/>
        </w:rPr>
        <w:t>viable</w:t>
      </w:r>
      <w:r w:rsidR="00342994">
        <w:rPr>
          <w:rFonts w:cs="Times New Roman"/>
          <w:szCs w:val="24"/>
        </w:rPr>
        <w:t>,</w:t>
      </w:r>
      <w:r w:rsidR="0004542B" w:rsidRPr="00ED5916">
        <w:rPr>
          <w:rFonts w:cs="Times New Roman"/>
          <w:szCs w:val="24"/>
        </w:rPr>
        <w:t xml:space="preserve"> t</w:t>
      </w:r>
      <w:r w:rsidR="00AA7B01" w:rsidRPr="00ED5916">
        <w:rPr>
          <w:rFonts w:cs="Times New Roman"/>
          <w:szCs w:val="24"/>
        </w:rPr>
        <w:t xml:space="preserve">he </w:t>
      </w:r>
      <w:r w:rsidR="00E2303D" w:rsidRPr="00ED5916">
        <w:rPr>
          <w:rFonts w:cs="Times New Roman"/>
          <w:szCs w:val="24"/>
        </w:rPr>
        <w:t xml:space="preserve">political and institutional </w:t>
      </w:r>
      <w:r w:rsidR="00203669" w:rsidRPr="00ED5916">
        <w:rPr>
          <w:rFonts w:cs="Times New Roman"/>
          <w:szCs w:val="24"/>
        </w:rPr>
        <w:t>task of c</w:t>
      </w:r>
      <w:r w:rsidR="00203669">
        <w:rPr>
          <w:rFonts w:cs="Times New Roman"/>
          <w:szCs w:val="24"/>
        </w:rPr>
        <w:t>reating the necessary conditions needs</w:t>
      </w:r>
      <w:r w:rsidR="007C197D">
        <w:rPr>
          <w:rFonts w:cs="Times New Roman"/>
          <w:szCs w:val="24"/>
        </w:rPr>
        <w:t xml:space="preserve"> to be ongoing.</w:t>
      </w:r>
      <w:r w:rsidR="008A711A">
        <w:rPr>
          <w:rFonts w:cs="Times New Roman"/>
          <w:szCs w:val="24"/>
        </w:rPr>
        <w:t xml:space="preserve">  But to have any input</w:t>
      </w:r>
      <w:r w:rsidR="005D029D">
        <w:rPr>
          <w:rFonts w:cs="Times New Roman"/>
          <w:szCs w:val="24"/>
        </w:rPr>
        <w:t xml:space="preserve"> into</w:t>
      </w:r>
      <w:r w:rsidR="008A711A">
        <w:rPr>
          <w:rFonts w:cs="Times New Roman"/>
          <w:szCs w:val="24"/>
        </w:rPr>
        <w:t xml:space="preserve"> decisions of </w:t>
      </w:r>
      <w:r w:rsidR="00342994">
        <w:rPr>
          <w:rFonts w:cs="Times New Roman"/>
          <w:szCs w:val="24"/>
        </w:rPr>
        <w:t>this</w:t>
      </w:r>
      <w:r w:rsidR="008A711A">
        <w:rPr>
          <w:rFonts w:cs="Times New Roman"/>
          <w:szCs w:val="24"/>
        </w:rPr>
        <w:t xml:space="preserve"> nature</w:t>
      </w:r>
      <w:r w:rsidR="005D029D">
        <w:rPr>
          <w:rFonts w:cs="Times New Roman"/>
          <w:szCs w:val="24"/>
        </w:rPr>
        <w:t>,</w:t>
      </w:r>
      <w:r w:rsidR="008A711A">
        <w:rPr>
          <w:rFonts w:cs="Times New Roman"/>
          <w:szCs w:val="24"/>
        </w:rPr>
        <w:t xml:space="preserve"> the public </w:t>
      </w:r>
      <w:r w:rsidR="00342994">
        <w:rPr>
          <w:rFonts w:cs="Times New Roman"/>
          <w:szCs w:val="24"/>
        </w:rPr>
        <w:t xml:space="preserve">and decision makers </w:t>
      </w:r>
      <w:r w:rsidR="008A711A">
        <w:rPr>
          <w:rFonts w:cs="Times New Roman"/>
          <w:szCs w:val="24"/>
        </w:rPr>
        <w:t>need information</w:t>
      </w:r>
      <w:r w:rsidR="005D029D">
        <w:rPr>
          <w:rFonts w:cs="Times New Roman"/>
          <w:szCs w:val="24"/>
        </w:rPr>
        <w:t>:</w:t>
      </w:r>
      <w:r w:rsidR="008A711A">
        <w:rPr>
          <w:rFonts w:cs="Times New Roman"/>
          <w:szCs w:val="24"/>
        </w:rPr>
        <w:t xml:space="preserve"> this is </w:t>
      </w:r>
      <w:r w:rsidR="00342994">
        <w:rPr>
          <w:rFonts w:cs="Times New Roman"/>
          <w:szCs w:val="24"/>
        </w:rPr>
        <w:t>seemingly</w:t>
      </w:r>
      <w:r w:rsidR="008A711A">
        <w:rPr>
          <w:rFonts w:cs="Times New Roman"/>
          <w:szCs w:val="24"/>
        </w:rPr>
        <w:t xml:space="preserve"> lacking</w:t>
      </w:r>
      <w:r w:rsidR="00203669">
        <w:rPr>
          <w:rFonts w:cs="Times New Roman"/>
          <w:szCs w:val="24"/>
        </w:rPr>
        <w:t>.</w:t>
      </w:r>
    </w:p>
    <w:p w14:paraId="3E8C14C8" w14:textId="77777777" w:rsidR="00C25172" w:rsidRDefault="00C25172" w:rsidP="00237004">
      <w:pPr>
        <w:spacing w:before="120" w:after="120" w:line="360" w:lineRule="auto"/>
        <w:rPr>
          <w:rFonts w:cs="Times New Roman"/>
          <w:b/>
          <w:szCs w:val="24"/>
        </w:rPr>
      </w:pPr>
    </w:p>
    <w:p w14:paraId="7C109C7C" w14:textId="09D47F1C" w:rsidR="00F11932" w:rsidRPr="00ED5916" w:rsidRDefault="002A2627" w:rsidP="00237004">
      <w:pPr>
        <w:spacing w:before="120" w:after="120" w:line="360" w:lineRule="auto"/>
        <w:rPr>
          <w:rFonts w:cs="Times New Roman"/>
          <w:b/>
          <w:szCs w:val="24"/>
        </w:rPr>
      </w:pPr>
      <w:r w:rsidRPr="00ED5916">
        <w:rPr>
          <w:rFonts w:cs="Times New Roman"/>
          <w:b/>
          <w:szCs w:val="24"/>
        </w:rPr>
        <w:t>References</w:t>
      </w:r>
    </w:p>
    <w:p w14:paraId="17C085D1" w14:textId="77777777" w:rsidR="00B86C9D" w:rsidRPr="00ED5916" w:rsidRDefault="00B86C9D" w:rsidP="005A38E2">
      <w:pPr>
        <w:spacing w:before="120" w:after="120" w:line="360" w:lineRule="auto"/>
        <w:rPr>
          <w:rFonts w:cs="Times New Roman"/>
          <w:szCs w:val="24"/>
        </w:rPr>
      </w:pPr>
      <w:proofErr w:type="spellStart"/>
      <w:proofErr w:type="gramStart"/>
      <w:r w:rsidRPr="00ED5916">
        <w:rPr>
          <w:rFonts w:cs="Times New Roman"/>
          <w:szCs w:val="24"/>
        </w:rPr>
        <w:t>Alexandersson</w:t>
      </w:r>
      <w:proofErr w:type="spellEnd"/>
      <w:r w:rsidRPr="00ED5916">
        <w:rPr>
          <w:rFonts w:cs="Times New Roman"/>
          <w:szCs w:val="24"/>
        </w:rPr>
        <w:t xml:space="preserve">, G., </w:t>
      </w:r>
      <w:proofErr w:type="spellStart"/>
      <w:r w:rsidRPr="00ED5916">
        <w:rPr>
          <w:rFonts w:cs="Times New Roman"/>
          <w:szCs w:val="24"/>
        </w:rPr>
        <w:t>Hulten</w:t>
      </w:r>
      <w:proofErr w:type="spellEnd"/>
      <w:r w:rsidRPr="00ED5916">
        <w:rPr>
          <w:rFonts w:cs="Times New Roman"/>
          <w:szCs w:val="24"/>
        </w:rPr>
        <w:t>, S., 2003.</w:t>
      </w:r>
      <w:proofErr w:type="gramEnd"/>
      <w:r w:rsidRPr="00ED5916">
        <w:rPr>
          <w:rFonts w:cs="Times New Roman"/>
          <w:szCs w:val="24"/>
        </w:rPr>
        <w:t xml:space="preserve"> </w:t>
      </w:r>
      <w:proofErr w:type="gramStart"/>
      <w:r w:rsidRPr="00ED5916">
        <w:rPr>
          <w:rFonts w:cs="Times New Roman"/>
          <w:szCs w:val="24"/>
        </w:rPr>
        <w:t>The Problem of Predatory Bidding in Competitive Tenders – a Swedish Case Study.</w:t>
      </w:r>
      <w:proofErr w:type="gramEnd"/>
      <w:r w:rsidRPr="00ED5916">
        <w:rPr>
          <w:rFonts w:cs="Times New Roman"/>
          <w:szCs w:val="24"/>
        </w:rPr>
        <w:t xml:space="preserve"> </w:t>
      </w:r>
      <w:proofErr w:type="gramStart"/>
      <w:r w:rsidRPr="00ED5916">
        <w:rPr>
          <w:rFonts w:cs="Times New Roman"/>
          <w:szCs w:val="24"/>
        </w:rPr>
        <w:t>Presented at the 1st Conference on Railroad Industry Structure, Competition and Investment, Toulou</w:t>
      </w:r>
      <w:bookmarkStart w:id="0" w:name="_GoBack"/>
      <w:bookmarkEnd w:id="0"/>
      <w:r w:rsidRPr="00ED5916">
        <w:rPr>
          <w:rFonts w:cs="Times New Roman"/>
          <w:szCs w:val="24"/>
        </w:rPr>
        <w:t>se.</w:t>
      </w:r>
      <w:proofErr w:type="gramEnd"/>
    </w:p>
    <w:p w14:paraId="4FDA5ABF" w14:textId="77777777" w:rsidR="00B86C9D" w:rsidRPr="00ED5916" w:rsidRDefault="00B86C9D" w:rsidP="005A38E2">
      <w:pPr>
        <w:spacing w:before="120" w:after="120" w:line="360" w:lineRule="auto"/>
        <w:rPr>
          <w:rFonts w:cs="Times New Roman"/>
          <w:szCs w:val="24"/>
        </w:rPr>
      </w:pPr>
      <w:proofErr w:type="spellStart"/>
      <w:r w:rsidRPr="00ED5916">
        <w:rPr>
          <w:rFonts w:cs="Times New Roman"/>
          <w:szCs w:val="24"/>
        </w:rPr>
        <w:t>Alexandersson</w:t>
      </w:r>
      <w:proofErr w:type="spellEnd"/>
      <w:r w:rsidRPr="00ED5916">
        <w:rPr>
          <w:rFonts w:cs="Times New Roman"/>
          <w:szCs w:val="24"/>
        </w:rPr>
        <w:t xml:space="preserve">, G., </w:t>
      </w:r>
      <w:proofErr w:type="spellStart"/>
      <w:r w:rsidRPr="00ED5916">
        <w:rPr>
          <w:rFonts w:cs="Times New Roman"/>
          <w:szCs w:val="24"/>
        </w:rPr>
        <w:t>Rigas</w:t>
      </w:r>
      <w:proofErr w:type="spellEnd"/>
      <w:r w:rsidRPr="00ED5916">
        <w:rPr>
          <w:rFonts w:cs="Times New Roman"/>
          <w:szCs w:val="24"/>
        </w:rPr>
        <w:t xml:space="preserve">, K., 2013. </w:t>
      </w:r>
      <w:proofErr w:type="gramStart"/>
      <w:r w:rsidRPr="00ED5916">
        <w:rPr>
          <w:rFonts w:cs="Times New Roman"/>
          <w:szCs w:val="24"/>
        </w:rPr>
        <w:t>Rail liberalisation in Sweden.</w:t>
      </w:r>
      <w:proofErr w:type="gramEnd"/>
      <w:r w:rsidRPr="00ED5916">
        <w:rPr>
          <w:rFonts w:cs="Times New Roman"/>
          <w:szCs w:val="24"/>
        </w:rPr>
        <w:t xml:space="preserve"> </w:t>
      </w:r>
      <w:proofErr w:type="gramStart"/>
      <w:r w:rsidRPr="00ED5916">
        <w:rPr>
          <w:rFonts w:cs="Times New Roman"/>
          <w:szCs w:val="24"/>
        </w:rPr>
        <w:t>Policy development in a European context.</w:t>
      </w:r>
      <w:proofErr w:type="gramEnd"/>
      <w:r w:rsidRPr="00ED5916">
        <w:rPr>
          <w:rFonts w:cs="Times New Roman"/>
          <w:szCs w:val="24"/>
        </w:rPr>
        <w:t xml:space="preserve"> Research in Transportation Business &amp; Management, Railroad privatization and deregulation: Lessons from three decades of experience worldwide 6, 88–98. doi:10.1016/j.rtbm.2012.12.004</w:t>
      </w:r>
    </w:p>
    <w:p w14:paraId="06D83798" w14:textId="77777777" w:rsidR="00B86C9D" w:rsidRDefault="00B86C9D" w:rsidP="005A38E2">
      <w:pPr>
        <w:spacing w:before="120" w:after="120" w:line="360" w:lineRule="auto"/>
        <w:rPr>
          <w:rFonts w:cs="Times New Roman"/>
          <w:szCs w:val="24"/>
        </w:rPr>
      </w:pPr>
      <w:r w:rsidRPr="00ED5916">
        <w:rPr>
          <w:rFonts w:cs="Times New Roman"/>
          <w:szCs w:val="24"/>
        </w:rPr>
        <w:t xml:space="preserve">Amos, P., 2004. </w:t>
      </w:r>
      <w:proofErr w:type="gramStart"/>
      <w:r w:rsidRPr="00ED5916">
        <w:rPr>
          <w:rFonts w:cs="Times New Roman"/>
          <w:szCs w:val="24"/>
        </w:rPr>
        <w:t>Public and private sector roles in the supply of transport infrastructure and services (No. 33897).</w:t>
      </w:r>
      <w:proofErr w:type="gramEnd"/>
      <w:r w:rsidRPr="00ED5916">
        <w:rPr>
          <w:rFonts w:cs="Times New Roman"/>
          <w:szCs w:val="24"/>
        </w:rPr>
        <w:t xml:space="preserve"> </w:t>
      </w:r>
      <w:proofErr w:type="gramStart"/>
      <w:r w:rsidRPr="00ED5916">
        <w:rPr>
          <w:rFonts w:cs="Times New Roman"/>
          <w:szCs w:val="24"/>
        </w:rPr>
        <w:t>The World Bank.</w:t>
      </w:r>
      <w:proofErr w:type="gramEnd"/>
    </w:p>
    <w:p w14:paraId="2FD96C68" w14:textId="77777777" w:rsidR="00B86C9D" w:rsidRPr="000078F7" w:rsidRDefault="00B86C9D" w:rsidP="005A38E2">
      <w:pPr>
        <w:spacing w:before="120" w:after="120" w:line="360" w:lineRule="auto"/>
        <w:rPr>
          <w:rFonts w:cs="Times New Roman"/>
          <w:szCs w:val="24"/>
        </w:rPr>
      </w:pPr>
      <w:r w:rsidRPr="000078F7">
        <w:rPr>
          <w:rFonts w:cs="Times New Roman"/>
          <w:szCs w:val="24"/>
        </w:rPr>
        <w:t>Balfour Beatty, 2016</w:t>
      </w:r>
      <w:r>
        <w:rPr>
          <w:rFonts w:cs="Times New Roman"/>
          <w:szCs w:val="24"/>
        </w:rPr>
        <w:t>,</w:t>
      </w:r>
      <w:r w:rsidRPr="000078F7">
        <w:rPr>
          <w:rFonts w:cs="Times New Roman"/>
          <w:szCs w:val="24"/>
        </w:rPr>
        <w:t xml:space="preserve"> Submission to the Shaw Report’s inquiry into Network</w:t>
      </w:r>
      <w:r>
        <w:rPr>
          <w:rFonts w:cs="Times New Roman"/>
          <w:szCs w:val="24"/>
        </w:rPr>
        <w:t xml:space="preserve"> Rail’s structure and financing, viewed 7</w:t>
      </w:r>
      <w:r w:rsidRPr="003011AB">
        <w:rPr>
          <w:rFonts w:cs="Times New Roman"/>
          <w:szCs w:val="24"/>
          <w:vertAlign w:val="superscript"/>
        </w:rPr>
        <w:t>th</w:t>
      </w:r>
      <w:r>
        <w:rPr>
          <w:rFonts w:cs="Times New Roman"/>
          <w:szCs w:val="24"/>
        </w:rPr>
        <w:t xml:space="preserve"> October 2016, &lt;</w:t>
      </w:r>
      <w:r w:rsidRPr="006975F9">
        <w:rPr>
          <w:rFonts w:cs="Times New Roman"/>
          <w:szCs w:val="24"/>
        </w:rPr>
        <w:t>http://www.balfourbeatty.com/media/29697/shaw-report-submission.pdf</w:t>
      </w:r>
      <w:r>
        <w:rPr>
          <w:rFonts w:cs="Times New Roman"/>
          <w:szCs w:val="24"/>
        </w:rPr>
        <w:t>&gt;.</w:t>
      </w:r>
    </w:p>
    <w:p w14:paraId="43208F5F"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Beria, P., </w:t>
      </w:r>
      <w:proofErr w:type="spellStart"/>
      <w:r w:rsidRPr="00ED5916">
        <w:rPr>
          <w:rFonts w:cs="Times New Roman"/>
          <w:szCs w:val="24"/>
        </w:rPr>
        <w:t>Quinet</w:t>
      </w:r>
      <w:proofErr w:type="spellEnd"/>
      <w:r w:rsidRPr="00ED5916">
        <w:rPr>
          <w:rFonts w:cs="Times New Roman"/>
          <w:szCs w:val="24"/>
        </w:rPr>
        <w:t xml:space="preserve">, E., de </w:t>
      </w:r>
      <w:proofErr w:type="spellStart"/>
      <w:r w:rsidRPr="00ED5916">
        <w:rPr>
          <w:rFonts w:cs="Times New Roman"/>
          <w:szCs w:val="24"/>
        </w:rPr>
        <w:t>Rus</w:t>
      </w:r>
      <w:proofErr w:type="spellEnd"/>
      <w:r w:rsidRPr="00ED5916">
        <w:rPr>
          <w:rFonts w:cs="Times New Roman"/>
          <w:szCs w:val="24"/>
        </w:rPr>
        <w:t xml:space="preserve">, G., Schulz, C., 2012. A comparison of rail liberalisation levels across four European countries. </w:t>
      </w:r>
      <w:proofErr w:type="gramStart"/>
      <w:r w:rsidRPr="00ED5916">
        <w:rPr>
          <w:rFonts w:cs="Times New Roman"/>
          <w:szCs w:val="24"/>
        </w:rPr>
        <w:t>Research in Transportation Economics, Selected papers from the 12th WCTR Topic Area Transport Economics and Finance 36, 110–120.</w:t>
      </w:r>
      <w:proofErr w:type="gramEnd"/>
      <w:r w:rsidRPr="00ED5916">
        <w:rPr>
          <w:rFonts w:cs="Times New Roman"/>
          <w:szCs w:val="24"/>
        </w:rPr>
        <w:t xml:space="preserve"> doi:10.1016/j.retrec.2012.03.014</w:t>
      </w:r>
    </w:p>
    <w:p w14:paraId="53291530"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 xml:space="preserve">Bowman, A., Folkman, P., </w:t>
      </w:r>
      <w:proofErr w:type="spellStart"/>
      <w:r w:rsidRPr="00ED5916">
        <w:rPr>
          <w:rFonts w:cs="Times New Roman"/>
          <w:szCs w:val="24"/>
        </w:rPr>
        <w:t>Froud</w:t>
      </w:r>
      <w:proofErr w:type="spellEnd"/>
      <w:r w:rsidRPr="00ED5916">
        <w:rPr>
          <w:rFonts w:cs="Times New Roman"/>
          <w:szCs w:val="24"/>
        </w:rPr>
        <w:t xml:space="preserve">, J., </w:t>
      </w:r>
      <w:proofErr w:type="spellStart"/>
      <w:r w:rsidRPr="00ED5916">
        <w:rPr>
          <w:rFonts w:cs="Times New Roman"/>
          <w:szCs w:val="24"/>
        </w:rPr>
        <w:t>Sukhdev</w:t>
      </w:r>
      <w:proofErr w:type="spellEnd"/>
      <w:r w:rsidRPr="00ED5916">
        <w:rPr>
          <w:rFonts w:cs="Times New Roman"/>
          <w:szCs w:val="24"/>
        </w:rPr>
        <w:t>, J., Law, J., Leaver, A., Moran, M., Williams, K., 2013.</w:t>
      </w:r>
      <w:proofErr w:type="gramEnd"/>
      <w:r w:rsidRPr="00ED5916">
        <w:rPr>
          <w:rFonts w:cs="Times New Roman"/>
          <w:szCs w:val="24"/>
        </w:rPr>
        <w:t xml:space="preserve"> </w:t>
      </w:r>
      <w:proofErr w:type="gramStart"/>
      <w:r w:rsidRPr="00ED5916">
        <w:rPr>
          <w:rFonts w:cs="Times New Roman"/>
          <w:szCs w:val="24"/>
        </w:rPr>
        <w:t>The Great Train Robbery - Rail Privatisation and After.</w:t>
      </w:r>
      <w:proofErr w:type="gramEnd"/>
      <w:r w:rsidRPr="00ED5916">
        <w:rPr>
          <w:rFonts w:cs="Times New Roman"/>
          <w:szCs w:val="24"/>
        </w:rPr>
        <w:t xml:space="preserve"> </w:t>
      </w:r>
      <w:proofErr w:type="gramStart"/>
      <w:r w:rsidRPr="00ED5916">
        <w:rPr>
          <w:rFonts w:cs="Times New Roman"/>
          <w:szCs w:val="24"/>
        </w:rPr>
        <w:t>CRESC- Centre for Research on Socio-Cultural Change.</w:t>
      </w:r>
      <w:proofErr w:type="gramEnd"/>
    </w:p>
    <w:p w14:paraId="6A1EBEEE"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Carey, A. &amp; Millar, R. 2014.</w:t>
      </w:r>
      <w:proofErr w:type="gramEnd"/>
      <w:r w:rsidRPr="00ED5916">
        <w:rPr>
          <w:rFonts w:cs="Times New Roman"/>
          <w:szCs w:val="24"/>
        </w:rPr>
        <w:t xml:space="preserve"> Victorians hit for $1 million a day for rail upgrade The Age, 3 May 2014.</w:t>
      </w:r>
    </w:p>
    <w:p w14:paraId="388FB143" w14:textId="77777777" w:rsidR="00B86C9D" w:rsidRPr="00ED5916" w:rsidRDefault="00B86C9D" w:rsidP="005A38E2">
      <w:pPr>
        <w:spacing w:before="120" w:after="120" w:line="360" w:lineRule="auto"/>
        <w:rPr>
          <w:rFonts w:cs="Times New Roman"/>
          <w:szCs w:val="24"/>
        </w:rPr>
      </w:pPr>
      <w:r w:rsidRPr="00ED5916">
        <w:rPr>
          <w:rFonts w:cs="Times New Roman"/>
          <w:szCs w:val="24"/>
        </w:rPr>
        <w:lastRenderedPageBreak/>
        <w:t xml:space="preserve">Carey, A., 2015a. Metro trains pull up short to meet performance targets. </w:t>
      </w:r>
      <w:proofErr w:type="gramStart"/>
      <w:r w:rsidRPr="00ED5916">
        <w:rPr>
          <w:rFonts w:cs="Times New Roman"/>
          <w:szCs w:val="24"/>
        </w:rPr>
        <w:t>The Age.</w:t>
      </w:r>
      <w:proofErr w:type="gramEnd"/>
      <w:r w:rsidRPr="00ED5916">
        <w:rPr>
          <w:rFonts w:cs="Times New Roman"/>
          <w:szCs w:val="24"/>
        </w:rPr>
        <w:t xml:space="preserve"> URL http://www.theage.com.au/victoria/metro-pulls-up-short-to-meet-performance-targets-20150324-1m6mel.html (accessed 9.23.16).</w:t>
      </w:r>
    </w:p>
    <w:p w14:paraId="7B903A64"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Carey, A., 2015b. Punctual off-peak trains help Metro meet its performance targets. </w:t>
      </w:r>
      <w:proofErr w:type="gramStart"/>
      <w:r w:rsidRPr="00ED5916">
        <w:rPr>
          <w:rFonts w:cs="Times New Roman"/>
          <w:szCs w:val="24"/>
        </w:rPr>
        <w:t>The Age.</w:t>
      </w:r>
      <w:proofErr w:type="gramEnd"/>
      <w:r w:rsidRPr="00ED5916">
        <w:rPr>
          <w:rFonts w:cs="Times New Roman"/>
          <w:szCs w:val="24"/>
        </w:rPr>
        <w:t xml:space="preserve"> URL http://www.theage.com.au/victoria/punctual-offpeak-trains-help-metro-meet-its-performance-targets-20150324-1m6p0w.html (accessed 9.23.16).</w:t>
      </w:r>
    </w:p>
    <w:p w14:paraId="671D1379"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Cole, A., 2014. </w:t>
      </w:r>
      <w:proofErr w:type="gramStart"/>
      <w:r w:rsidRPr="00ED5916">
        <w:rPr>
          <w:rFonts w:cs="Times New Roman"/>
          <w:szCs w:val="24"/>
        </w:rPr>
        <w:t>Unsolicited proposals and public transport planning in Melbourne.</w:t>
      </w:r>
      <w:proofErr w:type="gramEnd"/>
      <w:r w:rsidRPr="00ED5916">
        <w:rPr>
          <w:rFonts w:cs="Times New Roman"/>
          <w:szCs w:val="24"/>
        </w:rPr>
        <w:t xml:space="preserve"> </w:t>
      </w:r>
      <w:proofErr w:type="gramStart"/>
      <w:r w:rsidRPr="00ED5916">
        <w:rPr>
          <w:rFonts w:cs="Times New Roman"/>
          <w:szCs w:val="24"/>
        </w:rPr>
        <w:t>University of Melbourne.</w:t>
      </w:r>
      <w:proofErr w:type="gramEnd"/>
    </w:p>
    <w:p w14:paraId="6181009E" w14:textId="77777777" w:rsidR="00B86C9D" w:rsidRPr="00ED5916" w:rsidRDefault="00B86C9D" w:rsidP="005A38E2">
      <w:pPr>
        <w:spacing w:before="120" w:after="120" w:line="360" w:lineRule="auto"/>
        <w:rPr>
          <w:rFonts w:cs="Times New Roman"/>
          <w:szCs w:val="24"/>
        </w:rPr>
      </w:pPr>
      <w:proofErr w:type="spellStart"/>
      <w:proofErr w:type="gramStart"/>
      <w:r w:rsidRPr="00ED5916">
        <w:rPr>
          <w:rFonts w:cs="Times New Roman"/>
          <w:szCs w:val="24"/>
        </w:rPr>
        <w:t>CoMET</w:t>
      </w:r>
      <w:proofErr w:type="spellEnd"/>
      <w:r w:rsidRPr="00ED5916">
        <w:rPr>
          <w:rFonts w:cs="Times New Roman"/>
          <w:szCs w:val="24"/>
        </w:rPr>
        <w:t>, 2016.</w:t>
      </w:r>
      <w:proofErr w:type="gramEnd"/>
      <w:r w:rsidRPr="00ED5916">
        <w:rPr>
          <w:rFonts w:cs="Times New Roman"/>
          <w:szCs w:val="24"/>
        </w:rPr>
        <w:t xml:space="preserve"> </w:t>
      </w:r>
      <w:proofErr w:type="gramStart"/>
      <w:r w:rsidRPr="00ED5916">
        <w:rPr>
          <w:rFonts w:cs="Times New Roman"/>
          <w:szCs w:val="24"/>
        </w:rPr>
        <w:t>Community of Metros.</w:t>
      </w:r>
      <w:proofErr w:type="gramEnd"/>
      <w:r w:rsidRPr="00ED5916">
        <w:rPr>
          <w:rFonts w:cs="Times New Roman"/>
          <w:szCs w:val="24"/>
        </w:rPr>
        <w:t xml:space="preserve"> URL http://cometandnova.org/</w:t>
      </w:r>
    </w:p>
    <w:p w14:paraId="2D018A50"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European Commission, 2013.</w:t>
      </w:r>
      <w:proofErr w:type="gramEnd"/>
      <w:r w:rsidRPr="00ED5916">
        <w:rPr>
          <w:rFonts w:cs="Times New Roman"/>
          <w:szCs w:val="24"/>
        </w:rPr>
        <w:t xml:space="preserve"> Proposal for a regulation of the European Parliament and of the council amending Regulation (EC) No 1370/2007 concerning the opening of the market for domestic passenger transport services by rail Brussels: European Commission.</w:t>
      </w:r>
    </w:p>
    <w:p w14:paraId="2F23DB88"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Flinders, M. &amp; Buller, J., 2006.</w:t>
      </w:r>
      <w:proofErr w:type="gramEnd"/>
      <w:r w:rsidRPr="00ED5916">
        <w:rPr>
          <w:rFonts w:cs="Times New Roman"/>
          <w:szCs w:val="24"/>
        </w:rPr>
        <w:t xml:space="preserve"> </w:t>
      </w:r>
      <w:proofErr w:type="spellStart"/>
      <w:r w:rsidRPr="00ED5916">
        <w:rPr>
          <w:rFonts w:cs="Times New Roman"/>
          <w:szCs w:val="24"/>
        </w:rPr>
        <w:t>Depoliticisation</w:t>
      </w:r>
      <w:proofErr w:type="spellEnd"/>
      <w:r w:rsidRPr="00ED5916">
        <w:rPr>
          <w:rFonts w:cs="Times New Roman"/>
          <w:szCs w:val="24"/>
        </w:rPr>
        <w:t>: principles, tactics and tools. British Politics, 1, 293-318.</w:t>
      </w:r>
    </w:p>
    <w:p w14:paraId="0DA9BA4A" w14:textId="77777777" w:rsidR="00B86C9D" w:rsidRDefault="00B86C9D" w:rsidP="005A38E2">
      <w:pPr>
        <w:spacing w:before="120" w:after="120" w:line="360" w:lineRule="auto"/>
        <w:rPr>
          <w:rFonts w:cs="Times New Roman"/>
          <w:szCs w:val="24"/>
        </w:rPr>
      </w:pPr>
      <w:proofErr w:type="spellStart"/>
      <w:r w:rsidRPr="00F3692E">
        <w:rPr>
          <w:rFonts w:cs="Times New Roman"/>
          <w:szCs w:val="24"/>
        </w:rPr>
        <w:t>Forrer</w:t>
      </w:r>
      <w:proofErr w:type="spellEnd"/>
      <w:r w:rsidRPr="00F3692E">
        <w:rPr>
          <w:rFonts w:cs="Times New Roman"/>
          <w:szCs w:val="24"/>
        </w:rPr>
        <w:t xml:space="preserve">, J., </w:t>
      </w:r>
      <w:proofErr w:type="spellStart"/>
      <w:r w:rsidRPr="00F3692E">
        <w:rPr>
          <w:rFonts w:cs="Times New Roman"/>
          <w:szCs w:val="24"/>
        </w:rPr>
        <w:t>Kee</w:t>
      </w:r>
      <w:proofErr w:type="spellEnd"/>
      <w:r w:rsidRPr="00F3692E">
        <w:rPr>
          <w:rFonts w:cs="Times New Roman"/>
          <w:szCs w:val="24"/>
        </w:rPr>
        <w:t xml:space="preserve">, J.E., Newcomer, K.E., Boyer, E., 2010. </w:t>
      </w:r>
      <w:proofErr w:type="gramStart"/>
      <w:r w:rsidRPr="00F3692E">
        <w:rPr>
          <w:rFonts w:cs="Times New Roman"/>
          <w:szCs w:val="24"/>
        </w:rPr>
        <w:t>Public–Private Partnerships and the Public Accountability Question.</w:t>
      </w:r>
      <w:proofErr w:type="gramEnd"/>
      <w:r w:rsidRPr="00F3692E">
        <w:rPr>
          <w:rFonts w:cs="Times New Roman"/>
          <w:szCs w:val="24"/>
        </w:rPr>
        <w:t xml:space="preserve"> Public Adm. Rev. 70, 475–484. doi:10.1111/j.1540-6210.2010.02161.x</w:t>
      </w:r>
    </w:p>
    <w:p w14:paraId="75CE078B" w14:textId="77777777" w:rsidR="00707F2B" w:rsidRPr="008A0C1F" w:rsidRDefault="00707F2B" w:rsidP="005A38E2">
      <w:pPr>
        <w:spacing w:before="120" w:after="120" w:line="360" w:lineRule="auto"/>
      </w:pPr>
      <w:proofErr w:type="spellStart"/>
      <w:proofErr w:type="gramStart"/>
      <w:r w:rsidRPr="008A0C1F">
        <w:t>Fourie</w:t>
      </w:r>
      <w:proofErr w:type="spellEnd"/>
      <w:r w:rsidRPr="008A0C1F">
        <w:t xml:space="preserve">, David, and Wayne </w:t>
      </w:r>
      <w:proofErr w:type="spellStart"/>
      <w:r w:rsidRPr="008A0C1F">
        <w:t>Poggenpoel</w:t>
      </w:r>
      <w:proofErr w:type="spellEnd"/>
      <w:r w:rsidRPr="008A0C1F">
        <w:t>.</w:t>
      </w:r>
      <w:proofErr w:type="gramEnd"/>
      <w:r w:rsidRPr="008A0C1F">
        <w:t xml:space="preserve"> 2017. ‘Public Sector Inefficiencies: Are We Addressing the Root Causes?’ South African Journal of Accounting Research 31 (3): 169–80. doi:10.1080/10291954.2016.1160197.</w:t>
      </w:r>
    </w:p>
    <w:p w14:paraId="435C601B"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Gomez-</w:t>
      </w:r>
      <w:proofErr w:type="spellStart"/>
      <w:r w:rsidRPr="00ED5916">
        <w:rPr>
          <w:rFonts w:cs="Times New Roman"/>
          <w:szCs w:val="24"/>
        </w:rPr>
        <w:t>Ibañez</w:t>
      </w:r>
      <w:proofErr w:type="spellEnd"/>
      <w:r w:rsidRPr="00ED5916">
        <w:rPr>
          <w:rFonts w:cs="Times New Roman"/>
          <w:szCs w:val="24"/>
        </w:rPr>
        <w:t>, J., 2003.</w:t>
      </w:r>
      <w:proofErr w:type="gramEnd"/>
      <w:r w:rsidRPr="00ED5916">
        <w:rPr>
          <w:rFonts w:cs="Times New Roman"/>
          <w:szCs w:val="24"/>
        </w:rPr>
        <w:t xml:space="preserve"> Regulating Infrastructure: Monopoly, Contracts and Discretion Cambridge, Mass.: Harvard University Press.</w:t>
      </w:r>
    </w:p>
    <w:p w14:paraId="49DFC0A1" w14:textId="77777777" w:rsidR="00B86C9D" w:rsidRPr="00F3692E" w:rsidRDefault="00B86C9D" w:rsidP="005A38E2">
      <w:pPr>
        <w:spacing w:before="120" w:after="120" w:line="360" w:lineRule="auto"/>
        <w:rPr>
          <w:rFonts w:cs="Times New Roman"/>
          <w:szCs w:val="24"/>
        </w:rPr>
      </w:pPr>
      <w:proofErr w:type="spellStart"/>
      <w:r w:rsidRPr="00F3692E">
        <w:rPr>
          <w:rFonts w:cs="Times New Roman"/>
          <w:szCs w:val="24"/>
        </w:rPr>
        <w:t>Greve</w:t>
      </w:r>
      <w:proofErr w:type="spellEnd"/>
      <w:r w:rsidRPr="00F3692E">
        <w:rPr>
          <w:rFonts w:cs="Times New Roman"/>
          <w:szCs w:val="24"/>
        </w:rPr>
        <w:t>, C., Hodge, G., 2011. Transparency in Public-Private Partnerships: Some Lessons from Scandinavia and Australia. Presented at the Paper presented at the 1st Global Conference on Transparency Research, Rutgers University, Newark, 19-20 May.</w:t>
      </w:r>
    </w:p>
    <w:p w14:paraId="27EDABA5"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Hatch, P., 2016.</w:t>
      </w:r>
      <w:proofErr w:type="gramEnd"/>
      <w:r w:rsidRPr="00ED5916">
        <w:rPr>
          <w:rFonts w:cs="Times New Roman"/>
          <w:szCs w:val="24"/>
        </w:rPr>
        <w:t xml:space="preserve"> Privatisation has damaged the economy, says ACCC chief. </w:t>
      </w:r>
      <w:proofErr w:type="gramStart"/>
      <w:r w:rsidRPr="00ED5916">
        <w:rPr>
          <w:rFonts w:cs="Times New Roman"/>
          <w:szCs w:val="24"/>
        </w:rPr>
        <w:t>The Age.</w:t>
      </w:r>
      <w:proofErr w:type="gramEnd"/>
    </w:p>
    <w:p w14:paraId="63DE9389"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Hepworth, A., 2013. Building duopoly slammed. </w:t>
      </w:r>
      <w:proofErr w:type="gramStart"/>
      <w:r w:rsidRPr="00ED5916">
        <w:rPr>
          <w:rFonts w:cs="Times New Roman"/>
          <w:szCs w:val="24"/>
        </w:rPr>
        <w:t>The Australian.</w:t>
      </w:r>
      <w:proofErr w:type="gramEnd"/>
    </w:p>
    <w:p w14:paraId="6CCECA41" w14:textId="77777777" w:rsidR="00B86C9D" w:rsidRPr="00ED5916" w:rsidRDefault="00B86C9D" w:rsidP="005A38E2">
      <w:pPr>
        <w:spacing w:before="120" w:after="120" w:line="360" w:lineRule="auto"/>
        <w:rPr>
          <w:rFonts w:cs="Times New Roman"/>
          <w:szCs w:val="24"/>
        </w:rPr>
      </w:pPr>
      <w:r w:rsidRPr="00ED5916">
        <w:rPr>
          <w:rFonts w:cs="Times New Roman"/>
          <w:szCs w:val="24"/>
        </w:rPr>
        <w:t>Hutchens, G. 2016. ACCC's Rod Sims says privatisations 'severely damaging' economy The Guardian Australia, 27 July 2016.</w:t>
      </w:r>
    </w:p>
    <w:p w14:paraId="5432177F" w14:textId="77777777" w:rsidR="00B86C9D" w:rsidRPr="00F3692E" w:rsidRDefault="00B86C9D" w:rsidP="005A38E2">
      <w:pPr>
        <w:spacing w:before="120" w:after="120" w:line="360" w:lineRule="auto"/>
        <w:rPr>
          <w:rFonts w:cs="Times New Roman"/>
          <w:szCs w:val="24"/>
        </w:rPr>
      </w:pPr>
      <w:proofErr w:type="spellStart"/>
      <w:r w:rsidRPr="00F3692E">
        <w:rPr>
          <w:rFonts w:cs="Times New Roman"/>
          <w:szCs w:val="24"/>
        </w:rPr>
        <w:lastRenderedPageBreak/>
        <w:t>Ingrams</w:t>
      </w:r>
      <w:proofErr w:type="spellEnd"/>
      <w:r w:rsidRPr="00F3692E">
        <w:rPr>
          <w:rFonts w:cs="Times New Roman"/>
          <w:szCs w:val="24"/>
        </w:rPr>
        <w:t>, A., 2017. Transparency for Results: Testing a Model of Performance Management in Open Government Initiatives. Int. J. Public Adm. 0, 1–14. doi:10.1080/01900692.2017.1318400</w:t>
      </w:r>
    </w:p>
    <w:p w14:paraId="20BC54F4"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IPART, 2015.</w:t>
      </w:r>
      <w:proofErr w:type="gramEnd"/>
      <w:r w:rsidRPr="00ED5916">
        <w:rPr>
          <w:rFonts w:cs="Times New Roman"/>
          <w:szCs w:val="24"/>
        </w:rPr>
        <w:t xml:space="preserve"> </w:t>
      </w:r>
      <w:proofErr w:type="gramStart"/>
      <w:r w:rsidRPr="00ED5916">
        <w:rPr>
          <w:rFonts w:cs="Times New Roman"/>
          <w:szCs w:val="24"/>
        </w:rPr>
        <w:t>Efficiency of NSW public transport services.</w:t>
      </w:r>
      <w:proofErr w:type="gramEnd"/>
      <w:r w:rsidRPr="00ED5916">
        <w:rPr>
          <w:rFonts w:cs="Times New Roman"/>
          <w:szCs w:val="24"/>
        </w:rPr>
        <w:t xml:space="preserve"> URL http://www.ipart.nsw.gov.au/Home/Industries/Transport/Reviews/Public_Transport_Fares/Public_Transport_Fares_in_Sydney_and_Surrounds/21_Dec_2015_-_Consultants_report_-_CIE/Consultant_Report_-_CIE_-_Efficiency_of_NSW_public_transport_services_-_December_2015 (accessed 8.4.16).</w:t>
      </w:r>
    </w:p>
    <w:p w14:paraId="7413EB1B" w14:textId="77777777" w:rsidR="00B86C9D" w:rsidRPr="00ED5916" w:rsidRDefault="00B86C9D" w:rsidP="005A38E2">
      <w:pPr>
        <w:spacing w:before="120" w:after="120" w:line="360" w:lineRule="auto"/>
        <w:rPr>
          <w:rFonts w:cs="Times New Roman"/>
          <w:szCs w:val="24"/>
        </w:rPr>
      </w:pPr>
      <w:proofErr w:type="spellStart"/>
      <w:proofErr w:type="gramStart"/>
      <w:r w:rsidRPr="00ED5916">
        <w:rPr>
          <w:rFonts w:cs="Times New Roman"/>
          <w:szCs w:val="24"/>
        </w:rPr>
        <w:t>ISBeRG</w:t>
      </w:r>
      <w:proofErr w:type="spellEnd"/>
      <w:r w:rsidRPr="00ED5916">
        <w:rPr>
          <w:rFonts w:cs="Times New Roman"/>
          <w:szCs w:val="24"/>
        </w:rPr>
        <w:t>, 2016.</w:t>
      </w:r>
      <w:proofErr w:type="gramEnd"/>
      <w:r w:rsidRPr="00ED5916">
        <w:rPr>
          <w:rFonts w:cs="Times New Roman"/>
          <w:szCs w:val="24"/>
        </w:rPr>
        <w:t xml:space="preserve"> </w:t>
      </w:r>
      <w:proofErr w:type="gramStart"/>
      <w:r w:rsidRPr="00ED5916">
        <w:rPr>
          <w:rFonts w:cs="Times New Roman"/>
          <w:szCs w:val="24"/>
        </w:rPr>
        <w:t>International Suburban Rail Benchmarking Group [WWW Document].</w:t>
      </w:r>
      <w:proofErr w:type="gramEnd"/>
      <w:r w:rsidRPr="00ED5916">
        <w:rPr>
          <w:rFonts w:cs="Times New Roman"/>
          <w:szCs w:val="24"/>
        </w:rPr>
        <w:t xml:space="preserve"> URL http://www.isberg-web.org/about-isberg/</w:t>
      </w:r>
    </w:p>
    <w:p w14:paraId="3B2F5C2D"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Mau, F., Ashmore, D., 2004.</w:t>
      </w:r>
      <w:proofErr w:type="gramEnd"/>
      <w:r w:rsidRPr="00ED5916">
        <w:rPr>
          <w:rFonts w:cs="Times New Roman"/>
          <w:szCs w:val="24"/>
        </w:rPr>
        <w:t xml:space="preserve"> Please handle with care. </w:t>
      </w:r>
      <w:proofErr w:type="gramStart"/>
      <w:r w:rsidRPr="00ED5916">
        <w:rPr>
          <w:rFonts w:cs="Times New Roman"/>
          <w:szCs w:val="24"/>
        </w:rPr>
        <w:t>Railway Gazette International, May, p 293.</w:t>
      </w:r>
      <w:proofErr w:type="gramEnd"/>
    </w:p>
    <w:p w14:paraId="22EFFD72" w14:textId="77777777" w:rsidR="00B86C9D" w:rsidRPr="00E66D9E" w:rsidRDefault="00B86C9D" w:rsidP="005A38E2">
      <w:pPr>
        <w:spacing w:before="120" w:after="120" w:line="360" w:lineRule="auto"/>
        <w:rPr>
          <w:rFonts w:cs="Times New Roman"/>
          <w:szCs w:val="24"/>
        </w:rPr>
      </w:pPr>
      <w:proofErr w:type="spellStart"/>
      <w:r w:rsidRPr="00E66D9E">
        <w:rPr>
          <w:rFonts w:cs="Times New Roman"/>
          <w:szCs w:val="24"/>
        </w:rPr>
        <w:t>Mees</w:t>
      </w:r>
      <w:proofErr w:type="spellEnd"/>
      <w:r w:rsidRPr="00E66D9E">
        <w:rPr>
          <w:rFonts w:cs="Times New Roman"/>
          <w:szCs w:val="24"/>
        </w:rPr>
        <w:t>, P., 2005. Privatization of rail and tram services in Melbourne: what went wrong? Transport Reviews, 25, 433-449.</w:t>
      </w:r>
    </w:p>
    <w:p w14:paraId="6BDAC2BF" w14:textId="77777777" w:rsidR="00B86C9D" w:rsidRPr="00ED5916" w:rsidRDefault="00B86C9D" w:rsidP="005A38E2">
      <w:pPr>
        <w:spacing w:before="120" w:after="120" w:line="360" w:lineRule="auto"/>
        <w:rPr>
          <w:rFonts w:cs="Times New Roman"/>
          <w:szCs w:val="24"/>
        </w:rPr>
      </w:pPr>
      <w:proofErr w:type="spellStart"/>
      <w:r w:rsidRPr="00ED5916">
        <w:rPr>
          <w:rFonts w:cs="Times New Roman"/>
          <w:szCs w:val="24"/>
        </w:rPr>
        <w:t>Mees</w:t>
      </w:r>
      <w:proofErr w:type="spellEnd"/>
      <w:r w:rsidRPr="00ED5916">
        <w:rPr>
          <w:rFonts w:cs="Times New Roman"/>
          <w:szCs w:val="24"/>
        </w:rPr>
        <w:t xml:space="preserve">, P., 2010. Transport for Suburbia: Beyond the Automobile Age London: </w:t>
      </w:r>
      <w:proofErr w:type="spellStart"/>
      <w:r w:rsidRPr="00ED5916">
        <w:rPr>
          <w:rFonts w:cs="Times New Roman"/>
          <w:szCs w:val="24"/>
        </w:rPr>
        <w:t>Earthscan</w:t>
      </w:r>
      <w:proofErr w:type="spellEnd"/>
      <w:r w:rsidRPr="00ED5916">
        <w:rPr>
          <w:rFonts w:cs="Times New Roman"/>
          <w:szCs w:val="24"/>
        </w:rPr>
        <w:t>.</w:t>
      </w:r>
    </w:p>
    <w:p w14:paraId="426E0C67" w14:textId="77777777" w:rsidR="00B86C9D" w:rsidRPr="00F3692E" w:rsidRDefault="00B86C9D" w:rsidP="005A38E2">
      <w:pPr>
        <w:pStyle w:val="Bibliography"/>
        <w:spacing w:before="120" w:after="120" w:line="360" w:lineRule="auto"/>
        <w:ind w:left="0" w:firstLine="0"/>
        <w:rPr>
          <w:rFonts w:cs="Times New Roman"/>
          <w:szCs w:val="24"/>
        </w:rPr>
      </w:pPr>
      <w:proofErr w:type="gramStart"/>
      <w:r w:rsidRPr="00F3692E">
        <w:rPr>
          <w:rFonts w:cs="Times New Roman"/>
          <w:szCs w:val="24"/>
        </w:rPr>
        <w:t>Moore, T., 2017.</w:t>
      </w:r>
      <w:proofErr w:type="gramEnd"/>
      <w:r w:rsidRPr="00F3692E">
        <w:rPr>
          <w:rFonts w:cs="Times New Roman"/>
          <w:szCs w:val="24"/>
        </w:rPr>
        <w:t xml:space="preserve"> Public transport “franchising” could fund Cross River Rail: report. </w:t>
      </w:r>
      <w:proofErr w:type="gramStart"/>
      <w:r w:rsidRPr="00F3692E">
        <w:rPr>
          <w:rFonts w:cs="Times New Roman"/>
          <w:szCs w:val="24"/>
        </w:rPr>
        <w:t>Brisbane Times.</w:t>
      </w:r>
      <w:proofErr w:type="gramEnd"/>
    </w:p>
    <w:p w14:paraId="12DE9E5E"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Myers, J., Ashmore, D., 2007. When to tender, when to negotiate: why are we ignoring the elephants in the room? </w:t>
      </w:r>
      <w:proofErr w:type="gramStart"/>
      <w:r w:rsidRPr="00ED5916">
        <w:rPr>
          <w:rFonts w:cs="Times New Roman"/>
          <w:szCs w:val="24"/>
        </w:rPr>
        <w:t xml:space="preserve">Presented at the </w:t>
      </w:r>
      <w:proofErr w:type="spellStart"/>
      <w:r w:rsidRPr="00ED5916">
        <w:rPr>
          <w:rFonts w:cs="Times New Roman"/>
          <w:szCs w:val="24"/>
        </w:rPr>
        <w:t>Thredbo</w:t>
      </w:r>
      <w:proofErr w:type="spellEnd"/>
      <w:r w:rsidRPr="00ED5916">
        <w:rPr>
          <w:rFonts w:cs="Times New Roman"/>
          <w:szCs w:val="24"/>
        </w:rPr>
        <w:t xml:space="preserve"> 10 - International Conference Series on Competition and Ownership in Land Passenger Transport, Hamilton Island.</w:t>
      </w:r>
      <w:proofErr w:type="gramEnd"/>
    </w:p>
    <w:p w14:paraId="016E328D"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Nash, C., 2010. </w:t>
      </w:r>
      <w:proofErr w:type="gramStart"/>
      <w:r w:rsidRPr="00ED5916">
        <w:rPr>
          <w:rFonts w:cs="Times New Roman"/>
          <w:szCs w:val="24"/>
        </w:rPr>
        <w:t>European rail reform and passenger services – the next steps.</w:t>
      </w:r>
      <w:proofErr w:type="gramEnd"/>
      <w:r w:rsidRPr="00ED5916">
        <w:rPr>
          <w:rFonts w:cs="Times New Roman"/>
          <w:szCs w:val="24"/>
        </w:rPr>
        <w:t xml:space="preserve"> </w:t>
      </w:r>
      <w:proofErr w:type="gramStart"/>
      <w:r w:rsidRPr="00ED5916">
        <w:rPr>
          <w:rFonts w:cs="Times New Roman"/>
          <w:szCs w:val="24"/>
        </w:rPr>
        <w:t>Research in Transportation Economics, Reforming Public Transport throughout the World 29, 204–211.</w:t>
      </w:r>
      <w:proofErr w:type="gramEnd"/>
      <w:r w:rsidRPr="00ED5916">
        <w:rPr>
          <w:rFonts w:cs="Times New Roman"/>
          <w:szCs w:val="24"/>
        </w:rPr>
        <w:t xml:space="preserve"> doi:10.1016/j.retrec.2010.07.025</w:t>
      </w:r>
    </w:p>
    <w:p w14:paraId="7B95F9C0" w14:textId="77777777" w:rsidR="00B86C9D" w:rsidRPr="00ED5916" w:rsidRDefault="00B86C9D" w:rsidP="005A38E2">
      <w:pPr>
        <w:spacing w:before="120" w:after="120" w:line="360" w:lineRule="auto"/>
        <w:rPr>
          <w:rFonts w:cs="Times New Roman"/>
          <w:szCs w:val="24"/>
        </w:rPr>
      </w:pPr>
      <w:proofErr w:type="spellStart"/>
      <w:proofErr w:type="gramStart"/>
      <w:r w:rsidRPr="00ED5916">
        <w:rPr>
          <w:rFonts w:cs="Times New Roman"/>
          <w:szCs w:val="24"/>
        </w:rPr>
        <w:t>Nikitinas</w:t>
      </w:r>
      <w:proofErr w:type="spellEnd"/>
      <w:r w:rsidRPr="00ED5916">
        <w:rPr>
          <w:rFonts w:cs="Times New Roman"/>
          <w:szCs w:val="24"/>
        </w:rPr>
        <w:t xml:space="preserve">, V., </w:t>
      </w:r>
      <w:proofErr w:type="spellStart"/>
      <w:r w:rsidRPr="00ED5916">
        <w:rPr>
          <w:rFonts w:cs="Times New Roman"/>
          <w:szCs w:val="24"/>
        </w:rPr>
        <w:t>Dailydka</w:t>
      </w:r>
      <w:proofErr w:type="spellEnd"/>
      <w:r w:rsidRPr="00ED5916">
        <w:rPr>
          <w:rFonts w:cs="Times New Roman"/>
          <w:szCs w:val="24"/>
        </w:rPr>
        <w:t>, S., 2016.</w:t>
      </w:r>
      <w:proofErr w:type="gramEnd"/>
      <w:r w:rsidRPr="00ED5916">
        <w:rPr>
          <w:rFonts w:cs="Times New Roman"/>
          <w:szCs w:val="24"/>
        </w:rPr>
        <w:t xml:space="preserve"> The Models of Management of Railway Companies in the European Union: Holding, the German Experience. Procedia Engineering 134, 80–88. doi:10.1016/j.proeng.2016.01.042</w:t>
      </w:r>
    </w:p>
    <w:p w14:paraId="439B333C" w14:textId="77777777" w:rsidR="00B86C9D" w:rsidRPr="00BE634D" w:rsidRDefault="00B86C9D" w:rsidP="005A38E2">
      <w:pPr>
        <w:spacing w:before="120" w:after="120" w:line="360" w:lineRule="auto"/>
        <w:rPr>
          <w:rFonts w:cs="Times New Roman"/>
          <w:szCs w:val="24"/>
        </w:rPr>
      </w:pPr>
      <w:proofErr w:type="gramStart"/>
      <w:r w:rsidRPr="00BE634D">
        <w:rPr>
          <w:rFonts w:cs="Times New Roman"/>
          <w:szCs w:val="24"/>
        </w:rPr>
        <w:t xml:space="preserve">Ortiz, I., </w:t>
      </w:r>
      <w:proofErr w:type="spellStart"/>
      <w:r w:rsidRPr="00BE634D">
        <w:rPr>
          <w:rFonts w:cs="Times New Roman"/>
          <w:szCs w:val="24"/>
        </w:rPr>
        <w:t>Buxbaum</w:t>
      </w:r>
      <w:proofErr w:type="spellEnd"/>
      <w:r w:rsidRPr="00BE634D">
        <w:rPr>
          <w:rFonts w:cs="Times New Roman"/>
          <w:szCs w:val="24"/>
        </w:rPr>
        <w:t>, J., Little, R., 2008.</w:t>
      </w:r>
      <w:proofErr w:type="gramEnd"/>
      <w:r w:rsidRPr="00BE634D">
        <w:rPr>
          <w:rFonts w:cs="Times New Roman"/>
          <w:szCs w:val="24"/>
        </w:rPr>
        <w:t xml:space="preserve"> </w:t>
      </w:r>
      <w:proofErr w:type="gramStart"/>
      <w:r w:rsidRPr="00BE634D">
        <w:rPr>
          <w:rFonts w:cs="Times New Roman"/>
          <w:szCs w:val="24"/>
        </w:rPr>
        <w:t>Protecting the Public Interest: Role of Long-Term Concession Agreements for Providing Transportation Infrastructure.</w:t>
      </w:r>
      <w:proofErr w:type="gramEnd"/>
      <w:r w:rsidRPr="00BE634D">
        <w:rPr>
          <w:rFonts w:cs="Times New Roman"/>
          <w:szCs w:val="24"/>
        </w:rPr>
        <w:t xml:space="preserve"> Transportation Research Record: Journal of the Transportation Research Board 2079, 88–95. </w:t>
      </w:r>
      <w:proofErr w:type="gramStart"/>
      <w:r w:rsidRPr="00BE634D">
        <w:rPr>
          <w:rFonts w:cs="Times New Roman"/>
          <w:szCs w:val="24"/>
        </w:rPr>
        <w:t>doi:</w:t>
      </w:r>
      <w:proofErr w:type="gramEnd"/>
      <w:r w:rsidRPr="00BE634D">
        <w:rPr>
          <w:rFonts w:cs="Times New Roman"/>
          <w:szCs w:val="24"/>
        </w:rPr>
        <w:t>10.3141/2079-12</w:t>
      </w:r>
    </w:p>
    <w:p w14:paraId="34096D2C" w14:textId="77777777" w:rsidR="00B86C9D" w:rsidRPr="00ED5916" w:rsidRDefault="00B86C9D" w:rsidP="005A38E2">
      <w:pPr>
        <w:spacing w:before="120" w:after="120" w:line="360" w:lineRule="auto"/>
        <w:rPr>
          <w:rFonts w:cs="Times New Roman"/>
          <w:szCs w:val="24"/>
        </w:rPr>
      </w:pPr>
      <w:proofErr w:type="spellStart"/>
      <w:proofErr w:type="gramStart"/>
      <w:r w:rsidRPr="00ED5916">
        <w:rPr>
          <w:rFonts w:cs="Times New Roman"/>
          <w:szCs w:val="24"/>
        </w:rPr>
        <w:lastRenderedPageBreak/>
        <w:t>Otáhal</w:t>
      </w:r>
      <w:proofErr w:type="spellEnd"/>
      <w:r w:rsidRPr="00ED5916">
        <w:rPr>
          <w:rFonts w:cs="Times New Roman"/>
          <w:szCs w:val="24"/>
        </w:rPr>
        <w:t>, T., 2010.</w:t>
      </w:r>
      <w:proofErr w:type="gramEnd"/>
      <w:r w:rsidRPr="00ED5916">
        <w:rPr>
          <w:rFonts w:cs="Times New Roman"/>
          <w:szCs w:val="24"/>
        </w:rPr>
        <w:t xml:space="preserve"> Regulatory Capture in Railways Industry: A Short Survey. </w:t>
      </w:r>
      <w:proofErr w:type="gramStart"/>
      <w:r w:rsidRPr="00ED5916">
        <w:rPr>
          <w:rFonts w:cs="Times New Roman"/>
          <w:szCs w:val="24"/>
        </w:rPr>
        <w:t>SSRN Electronic Journal.</w:t>
      </w:r>
      <w:proofErr w:type="gramEnd"/>
      <w:r w:rsidRPr="00ED5916">
        <w:rPr>
          <w:rFonts w:cs="Times New Roman"/>
          <w:szCs w:val="24"/>
        </w:rPr>
        <w:t xml:space="preserve"> doi:10.2139/ssrn.1809614</w:t>
      </w:r>
    </w:p>
    <w:p w14:paraId="68AE0BCC" w14:textId="77777777" w:rsidR="00B86C9D" w:rsidRPr="00BE634D" w:rsidRDefault="00B86C9D" w:rsidP="005A38E2">
      <w:pPr>
        <w:spacing w:before="120" w:after="120" w:line="360" w:lineRule="auto"/>
        <w:rPr>
          <w:rFonts w:cs="Times New Roman"/>
          <w:szCs w:val="24"/>
        </w:rPr>
      </w:pPr>
      <w:r w:rsidRPr="00BE634D">
        <w:rPr>
          <w:rFonts w:cs="Times New Roman"/>
          <w:szCs w:val="24"/>
        </w:rPr>
        <w:t xml:space="preserve">Posner, P.L., 2004. Accountability challenges of third party governance. </w:t>
      </w:r>
      <w:proofErr w:type="gramStart"/>
      <w:r w:rsidRPr="00BE634D">
        <w:rPr>
          <w:rFonts w:cs="Times New Roman"/>
          <w:szCs w:val="24"/>
        </w:rPr>
        <w:t>Presented at the Paper presented to the 20th anniversary structure and organisation of government research committee of the international political science association, Vancouver, pp. 1–52.</w:t>
      </w:r>
      <w:proofErr w:type="gramEnd"/>
    </w:p>
    <w:p w14:paraId="780770A4"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Public Transport Victoria, 2012.</w:t>
      </w:r>
      <w:proofErr w:type="gramEnd"/>
      <w:r w:rsidRPr="00ED5916">
        <w:rPr>
          <w:rFonts w:cs="Times New Roman"/>
          <w:szCs w:val="24"/>
        </w:rPr>
        <w:t xml:space="preserve"> Public transport partnership agreements - franchise agreements train. URL http://ptv.vic.gov.au/about-ptv/victoria-s-pt-network/public-transport-partnership-agreements/ (accessed 8.1.16).</w:t>
      </w:r>
    </w:p>
    <w:p w14:paraId="5079341F"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Public Transport Victoria, 2015.</w:t>
      </w:r>
      <w:proofErr w:type="gramEnd"/>
      <w:r w:rsidRPr="00ED5916">
        <w:rPr>
          <w:rFonts w:cs="Times New Roman"/>
          <w:szCs w:val="24"/>
        </w:rPr>
        <w:t xml:space="preserve"> PTV Annual Report 2014-15. URL https://www.ptv.vic.gov.au/about-ptv/ptv-data-and-reports/annual-report/ (accessed 9.21.16).</w:t>
      </w:r>
    </w:p>
    <w:p w14:paraId="54D15C5B" w14:textId="77777777" w:rsidR="00B86C9D" w:rsidRPr="00ED5916" w:rsidRDefault="00B86C9D" w:rsidP="005A38E2">
      <w:pPr>
        <w:spacing w:before="120" w:after="120" w:line="360" w:lineRule="auto"/>
        <w:rPr>
          <w:rFonts w:cs="Times New Roman"/>
          <w:szCs w:val="24"/>
        </w:rPr>
      </w:pPr>
      <w:proofErr w:type="gramStart"/>
      <w:r w:rsidRPr="00ED5916">
        <w:rPr>
          <w:rFonts w:cs="Times New Roman"/>
          <w:szCs w:val="24"/>
        </w:rPr>
        <w:t>Public Transport Victoria, 2016.</w:t>
      </w:r>
      <w:proofErr w:type="gramEnd"/>
      <w:r w:rsidRPr="00ED5916">
        <w:rPr>
          <w:rFonts w:cs="Times New Roman"/>
          <w:szCs w:val="24"/>
        </w:rPr>
        <w:t xml:space="preserve"> </w:t>
      </w:r>
      <w:proofErr w:type="gramStart"/>
      <w:r w:rsidRPr="00ED5916">
        <w:rPr>
          <w:rFonts w:cs="Times New Roman"/>
          <w:szCs w:val="24"/>
        </w:rPr>
        <w:t>Track Record.</w:t>
      </w:r>
      <w:proofErr w:type="gramEnd"/>
      <w:r w:rsidRPr="00ED5916">
        <w:rPr>
          <w:rFonts w:cs="Times New Roman"/>
          <w:szCs w:val="24"/>
        </w:rPr>
        <w:t xml:space="preserve"> URL http://ptv.vic.gov.au/about-ptv/ptv-data-and-reports/track-record-2/</w:t>
      </w:r>
    </w:p>
    <w:p w14:paraId="7ED0F9C1" w14:textId="77777777" w:rsidR="00B86C9D" w:rsidRPr="00F3692E" w:rsidRDefault="00B86C9D" w:rsidP="005A38E2">
      <w:pPr>
        <w:spacing w:before="120" w:after="120" w:line="360" w:lineRule="auto"/>
        <w:rPr>
          <w:rFonts w:cs="Times New Roman"/>
          <w:szCs w:val="24"/>
        </w:rPr>
      </w:pPr>
      <w:r w:rsidRPr="00F3692E">
        <w:rPr>
          <w:rFonts w:cs="Times New Roman"/>
          <w:szCs w:val="24"/>
        </w:rPr>
        <w:t xml:space="preserve">Robinson, H.S., Scott, J., 2009. </w:t>
      </w:r>
      <w:proofErr w:type="gramStart"/>
      <w:r w:rsidRPr="00F3692E">
        <w:rPr>
          <w:rFonts w:cs="Times New Roman"/>
          <w:szCs w:val="24"/>
        </w:rPr>
        <w:t>Service delivery and performance monitoring in PFI/PPP projects.</w:t>
      </w:r>
      <w:proofErr w:type="gramEnd"/>
      <w:r w:rsidRPr="00F3692E">
        <w:rPr>
          <w:rFonts w:cs="Times New Roman"/>
          <w:szCs w:val="24"/>
        </w:rPr>
        <w:t xml:space="preserve"> Constr. </w:t>
      </w:r>
      <w:proofErr w:type="spellStart"/>
      <w:r w:rsidRPr="00F3692E">
        <w:rPr>
          <w:rFonts w:cs="Times New Roman"/>
          <w:szCs w:val="24"/>
        </w:rPr>
        <w:t>Manag</w:t>
      </w:r>
      <w:proofErr w:type="spellEnd"/>
      <w:r w:rsidRPr="00F3692E">
        <w:rPr>
          <w:rFonts w:cs="Times New Roman"/>
          <w:szCs w:val="24"/>
        </w:rPr>
        <w:t xml:space="preserve">. </w:t>
      </w:r>
      <w:proofErr w:type="gramStart"/>
      <w:r w:rsidRPr="00F3692E">
        <w:rPr>
          <w:rFonts w:cs="Times New Roman"/>
          <w:szCs w:val="24"/>
        </w:rPr>
        <w:t>Econ.</w:t>
      </w:r>
      <w:proofErr w:type="gramEnd"/>
      <w:r w:rsidRPr="00F3692E">
        <w:rPr>
          <w:rFonts w:cs="Times New Roman"/>
          <w:szCs w:val="24"/>
        </w:rPr>
        <w:t xml:space="preserve"> 27, 181–197. </w:t>
      </w:r>
      <w:proofErr w:type="gramStart"/>
      <w:r w:rsidRPr="00F3692E">
        <w:rPr>
          <w:rFonts w:cs="Times New Roman"/>
          <w:szCs w:val="24"/>
        </w:rPr>
        <w:t>doi:</w:t>
      </w:r>
      <w:proofErr w:type="gramEnd"/>
      <w:r w:rsidRPr="00F3692E">
        <w:rPr>
          <w:rFonts w:cs="Times New Roman"/>
          <w:szCs w:val="24"/>
        </w:rPr>
        <w:t>10.1080/01446190802614163</w:t>
      </w:r>
    </w:p>
    <w:p w14:paraId="320A5421" w14:textId="77777777" w:rsidR="00B86C9D" w:rsidRPr="00ED5916" w:rsidRDefault="00B86C9D" w:rsidP="005A38E2">
      <w:pPr>
        <w:spacing w:before="120" w:after="120" w:line="360" w:lineRule="auto"/>
        <w:rPr>
          <w:rFonts w:cs="Times New Roman"/>
          <w:szCs w:val="24"/>
        </w:rPr>
      </w:pPr>
      <w:r w:rsidRPr="00ED5916">
        <w:rPr>
          <w:rFonts w:cs="Times New Roman"/>
          <w:szCs w:val="24"/>
        </w:rPr>
        <w:t>Stone, J., 2010. Turning over a new franchise: Assessing the health of public transport management in Melbourne. 33rd Australasian Transport Research Forum, Canberra: ATRF.</w:t>
      </w:r>
    </w:p>
    <w:p w14:paraId="514A48EF" w14:textId="77777777" w:rsidR="00B86C9D" w:rsidRPr="00ED5916" w:rsidRDefault="00B86C9D" w:rsidP="005A38E2">
      <w:pPr>
        <w:spacing w:before="120" w:after="120" w:line="360" w:lineRule="auto"/>
        <w:rPr>
          <w:rFonts w:cs="Times New Roman"/>
          <w:szCs w:val="24"/>
        </w:rPr>
      </w:pPr>
      <w:r w:rsidRPr="00ED5916">
        <w:rPr>
          <w:rFonts w:cs="Times New Roman"/>
          <w:szCs w:val="24"/>
        </w:rPr>
        <w:t xml:space="preserve">Stone, J., Kirk, Y., Odgers, J., 2015. Melbourne’s public transport: performance and prospects after 15 years of “privatisation.” </w:t>
      </w:r>
      <w:proofErr w:type="gramStart"/>
      <w:r w:rsidRPr="00ED5916">
        <w:rPr>
          <w:rFonts w:cs="Times New Roman"/>
          <w:szCs w:val="24"/>
        </w:rPr>
        <w:t>Presented at the State Of Australian Cities Conference 2015, Gold Coast, Queensland.</w:t>
      </w:r>
      <w:proofErr w:type="gramEnd"/>
    </w:p>
    <w:p w14:paraId="29DCD596" w14:textId="77777777" w:rsidR="00B86C9D" w:rsidRDefault="00B86C9D" w:rsidP="005A38E2">
      <w:pPr>
        <w:spacing w:before="120" w:after="120" w:line="360" w:lineRule="auto"/>
        <w:rPr>
          <w:rFonts w:cs="Times New Roman"/>
          <w:szCs w:val="24"/>
        </w:rPr>
      </w:pPr>
      <w:proofErr w:type="gramStart"/>
      <w:r w:rsidRPr="00ED5916">
        <w:rPr>
          <w:rFonts w:cs="Times New Roman"/>
          <w:szCs w:val="24"/>
        </w:rPr>
        <w:t>UK Department for Transport, 2012.</w:t>
      </w:r>
      <w:proofErr w:type="gramEnd"/>
      <w:r w:rsidRPr="00ED5916">
        <w:rPr>
          <w:rFonts w:cs="Times New Roman"/>
          <w:szCs w:val="24"/>
        </w:rPr>
        <w:t xml:space="preserve"> Railways Act 2005 Statement, </w:t>
      </w:r>
      <w:r w:rsidRPr="00E82BA2">
        <w:rPr>
          <w:rFonts w:cs="Times New Roman"/>
          <w:szCs w:val="24"/>
        </w:rPr>
        <w:t>https://www.gov.uk/government/uploads/system/uploads/attachment_data/file/3641/railways-act-2005.pdf</w:t>
      </w:r>
      <w:r w:rsidRPr="00ED5916">
        <w:rPr>
          <w:rFonts w:cs="Times New Roman"/>
          <w:szCs w:val="24"/>
        </w:rPr>
        <w:t>.</w:t>
      </w:r>
    </w:p>
    <w:p w14:paraId="4789110D" w14:textId="055B3A69" w:rsidR="002D358A" w:rsidRDefault="00B86C9D" w:rsidP="00237004">
      <w:pPr>
        <w:spacing w:before="120" w:after="120" w:line="360" w:lineRule="auto"/>
        <w:rPr>
          <w:rFonts w:cs="Times New Roman"/>
          <w:szCs w:val="24"/>
        </w:rPr>
      </w:pPr>
      <w:proofErr w:type="gramStart"/>
      <w:r w:rsidRPr="000078F7">
        <w:rPr>
          <w:rFonts w:cs="Times New Roman"/>
          <w:szCs w:val="24"/>
        </w:rPr>
        <w:t>VAGO, 2016</w:t>
      </w:r>
      <w:r>
        <w:rPr>
          <w:rFonts w:cs="Times New Roman"/>
          <w:szCs w:val="24"/>
        </w:rPr>
        <w:t>,</w:t>
      </w:r>
      <w:r w:rsidRPr="000078F7">
        <w:rPr>
          <w:rFonts w:cs="Times New Roman"/>
          <w:szCs w:val="24"/>
        </w:rPr>
        <w:t xml:space="preserve"> Managing the Performance of Rail Franchisees</w:t>
      </w:r>
      <w:r>
        <w:rPr>
          <w:rFonts w:cs="Times New Roman"/>
          <w:szCs w:val="24"/>
        </w:rPr>
        <w:t xml:space="preserve">, Report from the </w:t>
      </w:r>
      <w:r w:rsidRPr="000078F7">
        <w:rPr>
          <w:rFonts w:cs="Times New Roman"/>
          <w:szCs w:val="24"/>
        </w:rPr>
        <w:t xml:space="preserve">Victorian Auditor General’s Office, </w:t>
      </w:r>
      <w:r>
        <w:rPr>
          <w:rFonts w:cs="Times New Roman"/>
          <w:szCs w:val="24"/>
        </w:rPr>
        <w:t>accessed 20</w:t>
      </w:r>
      <w:r w:rsidRPr="00161BF4">
        <w:rPr>
          <w:rFonts w:cs="Times New Roman"/>
          <w:szCs w:val="24"/>
        </w:rPr>
        <w:t>th</w:t>
      </w:r>
      <w:r>
        <w:rPr>
          <w:rFonts w:cs="Times New Roman"/>
          <w:szCs w:val="24"/>
        </w:rPr>
        <w:t xml:space="preserve"> </w:t>
      </w:r>
      <w:proofErr w:type="spellStart"/>
      <w:r>
        <w:rPr>
          <w:rFonts w:cs="Times New Roman"/>
          <w:szCs w:val="24"/>
        </w:rPr>
        <w:t>Devember</w:t>
      </w:r>
      <w:proofErr w:type="spellEnd"/>
      <w:r>
        <w:rPr>
          <w:rFonts w:cs="Times New Roman"/>
          <w:szCs w:val="24"/>
        </w:rPr>
        <w:t xml:space="preserve"> 2016, &lt;</w:t>
      </w:r>
      <w:r w:rsidRPr="000078F7">
        <w:rPr>
          <w:rFonts w:cs="Times New Roman"/>
          <w:szCs w:val="24"/>
        </w:rPr>
        <w:t>http://www.audit.vic.gov.au/reports_and_publications/latest_reports/2016-17/</w:t>
      </w:r>
      <w:r>
        <w:rPr>
          <w:rFonts w:cs="Times New Roman"/>
          <w:szCs w:val="24"/>
        </w:rPr>
        <w:t>20161107-rail-franchisees.aspx&gt;.</w:t>
      </w:r>
      <w:proofErr w:type="gramEnd"/>
    </w:p>
    <w:p w14:paraId="17DC9135" w14:textId="77777777" w:rsidR="002D358A" w:rsidRDefault="002D358A">
      <w:pPr>
        <w:spacing w:after="200" w:line="276" w:lineRule="auto"/>
        <w:rPr>
          <w:rFonts w:cs="Times New Roman"/>
          <w:szCs w:val="24"/>
        </w:rPr>
      </w:pPr>
      <w:r>
        <w:rPr>
          <w:rFonts w:cs="Times New Roman"/>
          <w:szCs w:val="24"/>
        </w:rPr>
        <w:br w:type="page"/>
      </w:r>
    </w:p>
    <w:p w14:paraId="53BFEFB1" w14:textId="477FBEF9" w:rsidR="002A2627" w:rsidRPr="002D358A" w:rsidRDefault="002D358A" w:rsidP="00237004">
      <w:pPr>
        <w:spacing w:before="120" w:after="120" w:line="360" w:lineRule="auto"/>
        <w:rPr>
          <w:rFonts w:cs="Times New Roman"/>
          <w:b/>
          <w:szCs w:val="24"/>
        </w:rPr>
      </w:pPr>
      <w:r w:rsidRPr="002D358A">
        <w:rPr>
          <w:rFonts w:cs="Times New Roman"/>
          <w:b/>
          <w:szCs w:val="24"/>
        </w:rPr>
        <w:lastRenderedPageBreak/>
        <w:t>List of figures</w:t>
      </w:r>
    </w:p>
    <w:p w14:paraId="03BB678A" w14:textId="34F2A4C0" w:rsidR="002D358A" w:rsidRDefault="002D358A" w:rsidP="00237004">
      <w:pPr>
        <w:spacing w:before="120" w:after="120" w:line="360" w:lineRule="auto"/>
        <w:rPr>
          <w:rFonts w:cs="Times New Roman"/>
          <w:szCs w:val="24"/>
        </w:rPr>
      </w:pPr>
      <w:r w:rsidRPr="002D358A">
        <w:rPr>
          <w:rFonts w:cs="Times New Roman"/>
          <w:szCs w:val="24"/>
        </w:rPr>
        <w:t>Figure 1:</w:t>
      </w:r>
      <w:r w:rsidRPr="00ED5916">
        <w:rPr>
          <w:rFonts w:cs="Times New Roman"/>
          <w:szCs w:val="24"/>
        </w:rPr>
        <w:t xml:space="preserve"> MTM’s contracts with the PTV. (Source: email from MTM to the authors, 9 August 2016; reproduced with permission from MTM).</w:t>
      </w:r>
    </w:p>
    <w:p w14:paraId="6A65AB1A" w14:textId="77777777" w:rsidR="002D358A" w:rsidRPr="00ED5916" w:rsidRDefault="002D358A" w:rsidP="002D358A">
      <w:pPr>
        <w:spacing w:before="120" w:after="120" w:line="360" w:lineRule="auto"/>
        <w:rPr>
          <w:rFonts w:cs="Times New Roman"/>
          <w:szCs w:val="24"/>
        </w:rPr>
      </w:pPr>
      <w:r w:rsidRPr="002D358A">
        <w:rPr>
          <w:rFonts w:cs="Times New Roman"/>
          <w:szCs w:val="24"/>
        </w:rPr>
        <w:t>Figure 2</w:t>
      </w:r>
      <w:r w:rsidRPr="00ED5916">
        <w:rPr>
          <w:rFonts w:cs="Times New Roman"/>
          <w:b/>
          <w:szCs w:val="24"/>
        </w:rPr>
        <w:t xml:space="preserve">: </w:t>
      </w:r>
      <w:r w:rsidRPr="00ED5916">
        <w:rPr>
          <w:rFonts w:cs="Times New Roman"/>
          <w:szCs w:val="24"/>
        </w:rPr>
        <w:t xml:space="preserve">On-time running 2004-2015. (Source: ‘Metro Key </w:t>
      </w:r>
      <w:proofErr w:type="gramStart"/>
      <w:r w:rsidRPr="00ED5916">
        <w:rPr>
          <w:rFonts w:cs="Times New Roman"/>
          <w:szCs w:val="24"/>
        </w:rPr>
        <w:t>Statistics’,</w:t>
      </w:r>
      <w:proofErr w:type="gramEnd"/>
      <w:r w:rsidRPr="00ED5916">
        <w:rPr>
          <w:rFonts w:cs="Times New Roman"/>
          <w:szCs w:val="24"/>
        </w:rPr>
        <w:t xml:space="preserve"> provided by MTM to the authors in January 2016.  </w:t>
      </w:r>
      <w:proofErr w:type="gramStart"/>
      <w:r w:rsidRPr="00ED5916">
        <w:rPr>
          <w:rFonts w:cs="Times New Roman"/>
          <w:szCs w:val="24"/>
        </w:rPr>
        <w:t>Reproduced with permission from MTM).</w:t>
      </w:r>
      <w:proofErr w:type="gramEnd"/>
    </w:p>
    <w:p w14:paraId="216503B5" w14:textId="77777777" w:rsidR="002D358A" w:rsidRPr="00ED5916" w:rsidRDefault="002D358A" w:rsidP="002D358A">
      <w:pPr>
        <w:spacing w:before="120" w:after="120" w:line="360" w:lineRule="auto"/>
        <w:rPr>
          <w:rFonts w:cs="Times New Roman"/>
          <w:szCs w:val="24"/>
        </w:rPr>
      </w:pPr>
      <w:r w:rsidRPr="00ED5916">
        <w:rPr>
          <w:rFonts w:cs="Times New Roman"/>
          <w:szCs w:val="24"/>
        </w:rPr>
        <w:t>Figure 3: Average Wages in the Urban Rail Systems in Sydney, Melbourne and Brisbane - 2015 (IPART, 2015).</w:t>
      </w:r>
    </w:p>
    <w:p w14:paraId="362400E7" w14:textId="77777777" w:rsidR="002D358A" w:rsidRDefault="002D358A" w:rsidP="002D358A">
      <w:pPr>
        <w:spacing w:before="120" w:after="120" w:line="360" w:lineRule="auto"/>
        <w:rPr>
          <w:rFonts w:cs="Times New Roman"/>
          <w:szCs w:val="24"/>
        </w:rPr>
      </w:pPr>
      <w:r w:rsidRPr="00ED5916">
        <w:rPr>
          <w:rFonts w:cs="Times New Roman"/>
          <w:szCs w:val="24"/>
        </w:rPr>
        <w:t>Figure 4: Asset and service indicators between Sydney Trains and Melbourne Metro 2015 (IPART, 2015).</w:t>
      </w:r>
    </w:p>
    <w:p w14:paraId="3412629A" w14:textId="77777777" w:rsidR="002D358A" w:rsidRPr="00ED5916" w:rsidRDefault="002D358A" w:rsidP="002D358A">
      <w:pPr>
        <w:spacing w:before="120" w:after="120" w:line="360" w:lineRule="auto"/>
        <w:rPr>
          <w:rFonts w:cs="Times New Roman"/>
          <w:szCs w:val="24"/>
        </w:rPr>
      </w:pPr>
      <w:proofErr w:type="gramStart"/>
      <w:r w:rsidRPr="00ED5916">
        <w:rPr>
          <w:rFonts w:cs="Times New Roman"/>
          <w:szCs w:val="24"/>
        </w:rPr>
        <w:t>Figure  5</w:t>
      </w:r>
      <w:proofErr w:type="gramEnd"/>
      <w:r w:rsidRPr="00ED5916">
        <w:rPr>
          <w:rFonts w:cs="Times New Roman"/>
          <w:szCs w:val="24"/>
        </w:rPr>
        <w:t>: Operating cost comparisons per carriage-km 2015 (IPART, 2015)</w:t>
      </w:r>
    </w:p>
    <w:p w14:paraId="773AB198" w14:textId="77777777" w:rsidR="002D358A" w:rsidRPr="00ED5916" w:rsidRDefault="002D358A" w:rsidP="002D358A">
      <w:pPr>
        <w:spacing w:before="120" w:after="120" w:line="360" w:lineRule="auto"/>
        <w:rPr>
          <w:rFonts w:cs="Times New Roman"/>
          <w:szCs w:val="24"/>
        </w:rPr>
      </w:pPr>
      <w:r w:rsidRPr="00ED5916">
        <w:rPr>
          <w:rFonts w:cs="Times New Roman"/>
          <w:szCs w:val="24"/>
        </w:rPr>
        <w:t>Figure 6: Operating cost comparisons per passenger 2015 (IPART, 2015)</w:t>
      </w:r>
    </w:p>
    <w:p w14:paraId="25CCB427" w14:textId="77777777" w:rsidR="002D358A" w:rsidRDefault="002D358A" w:rsidP="002D358A">
      <w:pPr>
        <w:spacing w:before="120" w:after="120" w:line="360" w:lineRule="auto"/>
        <w:rPr>
          <w:rFonts w:cs="Times New Roman"/>
          <w:szCs w:val="24"/>
        </w:rPr>
      </w:pPr>
      <w:r w:rsidRPr="00ED5916">
        <w:rPr>
          <w:rFonts w:cs="Times New Roman"/>
          <w:szCs w:val="24"/>
        </w:rPr>
        <w:t>Figure 7: Payments to Train Franchise Operators 2000 – 2014 (Public Transport Victoria, 2016)</w:t>
      </w:r>
    </w:p>
    <w:p w14:paraId="511AC552" w14:textId="77777777" w:rsidR="002D358A" w:rsidRPr="00ED5916" w:rsidRDefault="002D358A" w:rsidP="002D358A">
      <w:pPr>
        <w:spacing w:before="120" w:after="120" w:line="360" w:lineRule="auto"/>
        <w:rPr>
          <w:rFonts w:cs="Times New Roman"/>
          <w:szCs w:val="24"/>
        </w:rPr>
      </w:pPr>
      <w:r w:rsidRPr="00ED5916">
        <w:rPr>
          <w:rFonts w:cs="Times New Roman"/>
          <w:szCs w:val="24"/>
        </w:rPr>
        <w:t>Figure 8: Merging of capital grant and maintenance payments from 2013 (Public Transport Victoria, 2016)</w:t>
      </w:r>
      <w:r>
        <w:rPr>
          <w:rFonts w:cs="Times New Roman"/>
          <w:szCs w:val="24"/>
        </w:rPr>
        <w:t>.</w:t>
      </w:r>
    </w:p>
    <w:p w14:paraId="2FD915BF" w14:textId="067A5BA3" w:rsidR="002D358A" w:rsidRPr="00ED5916" w:rsidRDefault="002D358A" w:rsidP="00237004">
      <w:pPr>
        <w:spacing w:before="120" w:after="120" w:line="360" w:lineRule="auto"/>
        <w:rPr>
          <w:rFonts w:cs="Times New Roman"/>
          <w:szCs w:val="24"/>
        </w:rPr>
      </w:pPr>
      <w:r w:rsidRPr="002D358A">
        <w:rPr>
          <w:rFonts w:cs="Times New Roman"/>
          <w:szCs w:val="24"/>
        </w:rPr>
        <w:t>Figure 9:</w:t>
      </w:r>
      <w:r w:rsidRPr="00ED5916">
        <w:rPr>
          <w:rFonts w:cs="Times New Roman"/>
          <w:szCs w:val="24"/>
        </w:rPr>
        <w:t xml:space="preserve"> MTM profit breakdown.  (Source: ‘Metro Key </w:t>
      </w:r>
      <w:proofErr w:type="gramStart"/>
      <w:r w:rsidRPr="00ED5916">
        <w:rPr>
          <w:rFonts w:cs="Times New Roman"/>
          <w:szCs w:val="24"/>
        </w:rPr>
        <w:t>Statistics’,</w:t>
      </w:r>
      <w:proofErr w:type="gramEnd"/>
      <w:r w:rsidRPr="00ED5916">
        <w:rPr>
          <w:rFonts w:cs="Times New Roman"/>
          <w:szCs w:val="24"/>
        </w:rPr>
        <w:t xml:space="preserve"> provided by MTM to the authors in January 2016.  </w:t>
      </w:r>
      <w:proofErr w:type="gramStart"/>
      <w:r w:rsidRPr="00ED5916">
        <w:rPr>
          <w:rFonts w:cs="Times New Roman"/>
          <w:szCs w:val="24"/>
        </w:rPr>
        <w:t>Reproduced with permission from MTM).</w:t>
      </w:r>
      <w:proofErr w:type="gramEnd"/>
    </w:p>
    <w:sectPr w:rsidR="002D358A" w:rsidRPr="00ED5916" w:rsidSect="001232D1">
      <w:footerReference w:type="default" r:id="rId9"/>
      <w:endnotePr>
        <w:numFmt w:val="decimal"/>
      </w:endnotePr>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3D84ED" w15:done="0"/>
  <w15:commentEx w15:paraId="608B95A1" w15:done="0"/>
  <w15:commentEx w15:paraId="672CBB52" w15:done="0"/>
  <w15:commentEx w15:paraId="5ECD0E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6D678" w14:textId="77777777" w:rsidR="0001653A" w:rsidRDefault="0001653A" w:rsidP="004F78D3">
      <w:pPr>
        <w:spacing w:after="0" w:line="240" w:lineRule="auto"/>
      </w:pPr>
      <w:r>
        <w:separator/>
      </w:r>
    </w:p>
  </w:endnote>
  <w:endnote w:type="continuationSeparator" w:id="0">
    <w:p w14:paraId="2CFDE03A" w14:textId="77777777" w:rsidR="0001653A" w:rsidRDefault="0001653A" w:rsidP="004F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189036"/>
      <w:docPartObj>
        <w:docPartGallery w:val="Page Numbers (Bottom of Page)"/>
        <w:docPartUnique/>
      </w:docPartObj>
    </w:sdtPr>
    <w:sdtEndPr>
      <w:rPr>
        <w:noProof/>
      </w:rPr>
    </w:sdtEndPr>
    <w:sdtContent>
      <w:p w14:paraId="59275171" w14:textId="63835E1E" w:rsidR="00B83F2D" w:rsidRDefault="00B83F2D" w:rsidP="00C9061A">
        <w:pPr>
          <w:pStyle w:val="Footer"/>
          <w:jc w:val="center"/>
        </w:pPr>
        <w:r>
          <w:fldChar w:fldCharType="begin"/>
        </w:r>
        <w:r>
          <w:instrText xml:space="preserve"> PAGE   \* MERGEFORMAT </w:instrText>
        </w:r>
        <w:r>
          <w:fldChar w:fldCharType="separate"/>
        </w:r>
        <w:r w:rsidR="001E21A2">
          <w:rPr>
            <w:noProof/>
          </w:rPr>
          <w:t>18</w:t>
        </w:r>
        <w:r>
          <w:rPr>
            <w:noProof/>
          </w:rPr>
          <w:fldChar w:fldCharType="end"/>
        </w:r>
      </w:p>
    </w:sdtContent>
  </w:sdt>
  <w:p w14:paraId="546C4C84" w14:textId="77777777" w:rsidR="00B83F2D" w:rsidRDefault="00B83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DBDF" w14:textId="77777777" w:rsidR="0001653A" w:rsidRDefault="0001653A" w:rsidP="004F78D3">
      <w:pPr>
        <w:spacing w:after="0" w:line="240" w:lineRule="auto"/>
      </w:pPr>
      <w:r>
        <w:separator/>
      </w:r>
    </w:p>
  </w:footnote>
  <w:footnote w:type="continuationSeparator" w:id="0">
    <w:p w14:paraId="6432F209" w14:textId="77777777" w:rsidR="0001653A" w:rsidRDefault="0001653A" w:rsidP="004F78D3">
      <w:pPr>
        <w:spacing w:after="0" w:line="240" w:lineRule="auto"/>
      </w:pPr>
      <w:r>
        <w:continuationSeparator/>
      </w:r>
    </w:p>
  </w:footnote>
  <w:footnote w:id="1">
    <w:p w14:paraId="30593FA6" w14:textId="2BB792A4" w:rsidR="0061251C" w:rsidRDefault="0061251C" w:rsidP="0061251C">
      <w:pPr>
        <w:pStyle w:val="FootnoteText"/>
      </w:pPr>
      <w:r>
        <w:rPr>
          <w:rStyle w:val="FootnoteReference"/>
        </w:rPr>
        <w:footnoteRef/>
      </w:r>
      <w:r>
        <w:t xml:space="preserve"> </w:t>
      </w:r>
      <w:proofErr w:type="gramStart"/>
      <w:r>
        <w:t>Corresponding author.</w:t>
      </w:r>
      <w:proofErr w:type="gramEnd"/>
      <w:r>
        <w:t xml:space="preserve"> Email </w:t>
      </w:r>
      <w:r>
        <w:rPr>
          <w:lang w:val="de-DE"/>
        </w:rPr>
        <w:t>david.ashmore</w:t>
      </w:r>
      <w:r w:rsidRPr="00BB5B1E">
        <w:rPr>
          <w:lang w:val="de-DE"/>
        </w:rPr>
        <w:t>@unimelb.edu.au</w:t>
      </w:r>
      <w:r>
        <w:rPr>
          <w:lang w:val="de-DE"/>
        </w:rPr>
        <w:t xml:space="preserve">; </w:t>
      </w:r>
      <w:r w:rsidRPr="00ED5916">
        <w:rPr>
          <w:rFonts w:cs="Times New Roman"/>
          <w:szCs w:val="24"/>
        </w:rPr>
        <w:t>Telephone  +61 (0)3 8344 6453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B19"/>
    <w:multiLevelType w:val="hybridMultilevel"/>
    <w:tmpl w:val="E626D7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A63F62"/>
    <w:multiLevelType w:val="hybridMultilevel"/>
    <w:tmpl w:val="E8BAA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1E13C2"/>
    <w:multiLevelType w:val="hybridMultilevel"/>
    <w:tmpl w:val="67F0D20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59A5A13"/>
    <w:multiLevelType w:val="hybridMultilevel"/>
    <w:tmpl w:val="996AFE42"/>
    <w:lvl w:ilvl="0" w:tplc="B278402C">
      <w:start w:val="1"/>
      <w:numFmt w:val="bullet"/>
      <w:lvlText w:val="–"/>
      <w:lvlJc w:val="left"/>
      <w:pPr>
        <w:tabs>
          <w:tab w:val="num" w:pos="720"/>
        </w:tabs>
        <w:ind w:left="720" w:hanging="360"/>
      </w:pPr>
      <w:rPr>
        <w:rFonts w:ascii="Arial" w:hAnsi="Arial" w:hint="default"/>
      </w:rPr>
    </w:lvl>
    <w:lvl w:ilvl="1" w:tplc="3E7EB0E8">
      <w:start w:val="1"/>
      <w:numFmt w:val="bullet"/>
      <w:lvlText w:val="–"/>
      <w:lvlJc w:val="left"/>
      <w:pPr>
        <w:tabs>
          <w:tab w:val="num" w:pos="1440"/>
        </w:tabs>
        <w:ind w:left="1440" w:hanging="360"/>
      </w:pPr>
      <w:rPr>
        <w:rFonts w:ascii="Arial" w:hAnsi="Arial" w:hint="default"/>
      </w:rPr>
    </w:lvl>
    <w:lvl w:ilvl="2" w:tplc="4D8E9218" w:tentative="1">
      <w:start w:val="1"/>
      <w:numFmt w:val="bullet"/>
      <w:lvlText w:val="–"/>
      <w:lvlJc w:val="left"/>
      <w:pPr>
        <w:tabs>
          <w:tab w:val="num" w:pos="2160"/>
        </w:tabs>
        <w:ind w:left="2160" w:hanging="360"/>
      </w:pPr>
      <w:rPr>
        <w:rFonts w:ascii="Arial" w:hAnsi="Arial" w:hint="default"/>
      </w:rPr>
    </w:lvl>
    <w:lvl w:ilvl="3" w:tplc="3F5E69E4" w:tentative="1">
      <w:start w:val="1"/>
      <w:numFmt w:val="bullet"/>
      <w:lvlText w:val="–"/>
      <w:lvlJc w:val="left"/>
      <w:pPr>
        <w:tabs>
          <w:tab w:val="num" w:pos="2880"/>
        </w:tabs>
        <w:ind w:left="2880" w:hanging="360"/>
      </w:pPr>
      <w:rPr>
        <w:rFonts w:ascii="Arial" w:hAnsi="Arial" w:hint="default"/>
      </w:rPr>
    </w:lvl>
    <w:lvl w:ilvl="4" w:tplc="BFC8DDBE" w:tentative="1">
      <w:start w:val="1"/>
      <w:numFmt w:val="bullet"/>
      <w:lvlText w:val="–"/>
      <w:lvlJc w:val="left"/>
      <w:pPr>
        <w:tabs>
          <w:tab w:val="num" w:pos="3600"/>
        </w:tabs>
        <w:ind w:left="3600" w:hanging="360"/>
      </w:pPr>
      <w:rPr>
        <w:rFonts w:ascii="Arial" w:hAnsi="Arial" w:hint="default"/>
      </w:rPr>
    </w:lvl>
    <w:lvl w:ilvl="5" w:tplc="6DBE7CCA" w:tentative="1">
      <w:start w:val="1"/>
      <w:numFmt w:val="bullet"/>
      <w:lvlText w:val="–"/>
      <w:lvlJc w:val="left"/>
      <w:pPr>
        <w:tabs>
          <w:tab w:val="num" w:pos="4320"/>
        </w:tabs>
        <w:ind w:left="4320" w:hanging="360"/>
      </w:pPr>
      <w:rPr>
        <w:rFonts w:ascii="Arial" w:hAnsi="Arial" w:hint="default"/>
      </w:rPr>
    </w:lvl>
    <w:lvl w:ilvl="6" w:tplc="CFDE24AA" w:tentative="1">
      <w:start w:val="1"/>
      <w:numFmt w:val="bullet"/>
      <w:lvlText w:val="–"/>
      <w:lvlJc w:val="left"/>
      <w:pPr>
        <w:tabs>
          <w:tab w:val="num" w:pos="5040"/>
        </w:tabs>
        <w:ind w:left="5040" w:hanging="360"/>
      </w:pPr>
      <w:rPr>
        <w:rFonts w:ascii="Arial" w:hAnsi="Arial" w:hint="default"/>
      </w:rPr>
    </w:lvl>
    <w:lvl w:ilvl="7" w:tplc="FACCFA46" w:tentative="1">
      <w:start w:val="1"/>
      <w:numFmt w:val="bullet"/>
      <w:lvlText w:val="–"/>
      <w:lvlJc w:val="left"/>
      <w:pPr>
        <w:tabs>
          <w:tab w:val="num" w:pos="5760"/>
        </w:tabs>
        <w:ind w:left="5760" w:hanging="360"/>
      </w:pPr>
      <w:rPr>
        <w:rFonts w:ascii="Arial" w:hAnsi="Arial" w:hint="default"/>
      </w:rPr>
    </w:lvl>
    <w:lvl w:ilvl="8" w:tplc="DC0A2E04" w:tentative="1">
      <w:start w:val="1"/>
      <w:numFmt w:val="bullet"/>
      <w:lvlText w:val="–"/>
      <w:lvlJc w:val="left"/>
      <w:pPr>
        <w:tabs>
          <w:tab w:val="num" w:pos="6480"/>
        </w:tabs>
        <w:ind w:left="6480" w:hanging="360"/>
      </w:pPr>
      <w:rPr>
        <w:rFonts w:ascii="Arial" w:hAnsi="Arial" w:hint="default"/>
      </w:rPr>
    </w:lvl>
  </w:abstractNum>
  <w:abstractNum w:abstractNumId="4">
    <w:nsid w:val="23A10D2B"/>
    <w:multiLevelType w:val="hybridMultilevel"/>
    <w:tmpl w:val="B1049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B93928"/>
    <w:multiLevelType w:val="hybridMultilevel"/>
    <w:tmpl w:val="7F44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5B3A0F"/>
    <w:multiLevelType w:val="hybridMultilevel"/>
    <w:tmpl w:val="E626D7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1B56D8"/>
    <w:multiLevelType w:val="hybridMultilevel"/>
    <w:tmpl w:val="BC1AA786"/>
    <w:lvl w:ilvl="0" w:tplc="EF205CF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E552FE"/>
    <w:multiLevelType w:val="hybridMultilevel"/>
    <w:tmpl w:val="60CCF1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F864653"/>
    <w:multiLevelType w:val="hybridMultilevel"/>
    <w:tmpl w:val="45067E74"/>
    <w:lvl w:ilvl="0" w:tplc="BF000046">
      <w:start w:val="1"/>
      <w:numFmt w:val="decimal"/>
      <w:lvlText w:val="%1."/>
      <w:lvlJc w:val="left"/>
      <w:pPr>
        <w:tabs>
          <w:tab w:val="num" w:pos="720"/>
        </w:tabs>
        <w:ind w:left="720" w:hanging="360"/>
      </w:pPr>
    </w:lvl>
    <w:lvl w:ilvl="1" w:tplc="D7322112" w:tentative="1">
      <w:start w:val="1"/>
      <w:numFmt w:val="decimal"/>
      <w:lvlText w:val="%2."/>
      <w:lvlJc w:val="left"/>
      <w:pPr>
        <w:tabs>
          <w:tab w:val="num" w:pos="1440"/>
        </w:tabs>
        <w:ind w:left="1440" w:hanging="360"/>
      </w:pPr>
    </w:lvl>
    <w:lvl w:ilvl="2" w:tplc="30BE4BD8" w:tentative="1">
      <w:start w:val="1"/>
      <w:numFmt w:val="decimal"/>
      <w:lvlText w:val="%3."/>
      <w:lvlJc w:val="left"/>
      <w:pPr>
        <w:tabs>
          <w:tab w:val="num" w:pos="2160"/>
        </w:tabs>
        <w:ind w:left="2160" w:hanging="360"/>
      </w:pPr>
    </w:lvl>
    <w:lvl w:ilvl="3" w:tplc="02AA9672" w:tentative="1">
      <w:start w:val="1"/>
      <w:numFmt w:val="decimal"/>
      <w:lvlText w:val="%4."/>
      <w:lvlJc w:val="left"/>
      <w:pPr>
        <w:tabs>
          <w:tab w:val="num" w:pos="2880"/>
        </w:tabs>
        <w:ind w:left="2880" w:hanging="360"/>
      </w:pPr>
    </w:lvl>
    <w:lvl w:ilvl="4" w:tplc="1AD6FF20" w:tentative="1">
      <w:start w:val="1"/>
      <w:numFmt w:val="decimal"/>
      <w:lvlText w:val="%5."/>
      <w:lvlJc w:val="left"/>
      <w:pPr>
        <w:tabs>
          <w:tab w:val="num" w:pos="3600"/>
        </w:tabs>
        <w:ind w:left="3600" w:hanging="360"/>
      </w:pPr>
    </w:lvl>
    <w:lvl w:ilvl="5" w:tplc="2834B18C" w:tentative="1">
      <w:start w:val="1"/>
      <w:numFmt w:val="decimal"/>
      <w:lvlText w:val="%6."/>
      <w:lvlJc w:val="left"/>
      <w:pPr>
        <w:tabs>
          <w:tab w:val="num" w:pos="4320"/>
        </w:tabs>
        <w:ind w:left="4320" w:hanging="360"/>
      </w:pPr>
    </w:lvl>
    <w:lvl w:ilvl="6" w:tplc="F4EE0E42" w:tentative="1">
      <w:start w:val="1"/>
      <w:numFmt w:val="decimal"/>
      <w:lvlText w:val="%7."/>
      <w:lvlJc w:val="left"/>
      <w:pPr>
        <w:tabs>
          <w:tab w:val="num" w:pos="5040"/>
        </w:tabs>
        <w:ind w:left="5040" w:hanging="360"/>
      </w:pPr>
    </w:lvl>
    <w:lvl w:ilvl="7" w:tplc="3E2A4AC6" w:tentative="1">
      <w:start w:val="1"/>
      <w:numFmt w:val="decimal"/>
      <w:lvlText w:val="%8."/>
      <w:lvlJc w:val="left"/>
      <w:pPr>
        <w:tabs>
          <w:tab w:val="num" w:pos="5760"/>
        </w:tabs>
        <w:ind w:left="5760" w:hanging="360"/>
      </w:pPr>
    </w:lvl>
    <w:lvl w:ilvl="8" w:tplc="074A1A0E" w:tentative="1">
      <w:start w:val="1"/>
      <w:numFmt w:val="decimal"/>
      <w:lvlText w:val="%9."/>
      <w:lvlJc w:val="left"/>
      <w:pPr>
        <w:tabs>
          <w:tab w:val="num" w:pos="6480"/>
        </w:tabs>
        <w:ind w:left="6480" w:hanging="360"/>
      </w:pPr>
    </w:lvl>
  </w:abstractNum>
  <w:abstractNum w:abstractNumId="10">
    <w:nsid w:val="43B83966"/>
    <w:multiLevelType w:val="hybridMultilevel"/>
    <w:tmpl w:val="56707218"/>
    <w:lvl w:ilvl="0" w:tplc="66BA65F6">
      <w:start w:val="1"/>
      <w:numFmt w:val="bullet"/>
      <w:lvlText w:val="•"/>
      <w:lvlJc w:val="left"/>
      <w:pPr>
        <w:tabs>
          <w:tab w:val="num" w:pos="720"/>
        </w:tabs>
        <w:ind w:left="720" w:hanging="360"/>
      </w:pPr>
      <w:rPr>
        <w:rFonts w:ascii="Arial" w:hAnsi="Arial" w:hint="default"/>
      </w:rPr>
    </w:lvl>
    <w:lvl w:ilvl="1" w:tplc="EE84C82E">
      <w:start w:val="1693"/>
      <w:numFmt w:val="bullet"/>
      <w:lvlText w:val="–"/>
      <w:lvlJc w:val="left"/>
      <w:pPr>
        <w:tabs>
          <w:tab w:val="num" w:pos="1440"/>
        </w:tabs>
        <w:ind w:left="1440" w:hanging="360"/>
      </w:pPr>
      <w:rPr>
        <w:rFonts w:ascii="Arial" w:hAnsi="Arial" w:hint="default"/>
      </w:rPr>
    </w:lvl>
    <w:lvl w:ilvl="2" w:tplc="38D82188" w:tentative="1">
      <w:start w:val="1"/>
      <w:numFmt w:val="bullet"/>
      <w:lvlText w:val="•"/>
      <w:lvlJc w:val="left"/>
      <w:pPr>
        <w:tabs>
          <w:tab w:val="num" w:pos="2160"/>
        </w:tabs>
        <w:ind w:left="2160" w:hanging="360"/>
      </w:pPr>
      <w:rPr>
        <w:rFonts w:ascii="Arial" w:hAnsi="Arial" w:hint="default"/>
      </w:rPr>
    </w:lvl>
    <w:lvl w:ilvl="3" w:tplc="D480B74E" w:tentative="1">
      <w:start w:val="1"/>
      <w:numFmt w:val="bullet"/>
      <w:lvlText w:val="•"/>
      <w:lvlJc w:val="left"/>
      <w:pPr>
        <w:tabs>
          <w:tab w:val="num" w:pos="2880"/>
        </w:tabs>
        <w:ind w:left="2880" w:hanging="360"/>
      </w:pPr>
      <w:rPr>
        <w:rFonts w:ascii="Arial" w:hAnsi="Arial" w:hint="default"/>
      </w:rPr>
    </w:lvl>
    <w:lvl w:ilvl="4" w:tplc="E4FAD574" w:tentative="1">
      <w:start w:val="1"/>
      <w:numFmt w:val="bullet"/>
      <w:lvlText w:val="•"/>
      <w:lvlJc w:val="left"/>
      <w:pPr>
        <w:tabs>
          <w:tab w:val="num" w:pos="3600"/>
        </w:tabs>
        <w:ind w:left="3600" w:hanging="360"/>
      </w:pPr>
      <w:rPr>
        <w:rFonts w:ascii="Arial" w:hAnsi="Arial" w:hint="default"/>
      </w:rPr>
    </w:lvl>
    <w:lvl w:ilvl="5" w:tplc="62F6EDEE" w:tentative="1">
      <w:start w:val="1"/>
      <w:numFmt w:val="bullet"/>
      <w:lvlText w:val="•"/>
      <w:lvlJc w:val="left"/>
      <w:pPr>
        <w:tabs>
          <w:tab w:val="num" w:pos="4320"/>
        </w:tabs>
        <w:ind w:left="4320" w:hanging="360"/>
      </w:pPr>
      <w:rPr>
        <w:rFonts w:ascii="Arial" w:hAnsi="Arial" w:hint="default"/>
      </w:rPr>
    </w:lvl>
    <w:lvl w:ilvl="6" w:tplc="45D425CE" w:tentative="1">
      <w:start w:val="1"/>
      <w:numFmt w:val="bullet"/>
      <w:lvlText w:val="•"/>
      <w:lvlJc w:val="left"/>
      <w:pPr>
        <w:tabs>
          <w:tab w:val="num" w:pos="5040"/>
        </w:tabs>
        <w:ind w:left="5040" w:hanging="360"/>
      </w:pPr>
      <w:rPr>
        <w:rFonts w:ascii="Arial" w:hAnsi="Arial" w:hint="default"/>
      </w:rPr>
    </w:lvl>
    <w:lvl w:ilvl="7" w:tplc="B56C5DBA" w:tentative="1">
      <w:start w:val="1"/>
      <w:numFmt w:val="bullet"/>
      <w:lvlText w:val="•"/>
      <w:lvlJc w:val="left"/>
      <w:pPr>
        <w:tabs>
          <w:tab w:val="num" w:pos="5760"/>
        </w:tabs>
        <w:ind w:left="5760" w:hanging="360"/>
      </w:pPr>
      <w:rPr>
        <w:rFonts w:ascii="Arial" w:hAnsi="Arial" w:hint="default"/>
      </w:rPr>
    </w:lvl>
    <w:lvl w:ilvl="8" w:tplc="0FF2FC2C" w:tentative="1">
      <w:start w:val="1"/>
      <w:numFmt w:val="bullet"/>
      <w:lvlText w:val="•"/>
      <w:lvlJc w:val="left"/>
      <w:pPr>
        <w:tabs>
          <w:tab w:val="num" w:pos="6480"/>
        </w:tabs>
        <w:ind w:left="6480" w:hanging="360"/>
      </w:pPr>
      <w:rPr>
        <w:rFonts w:ascii="Arial" w:hAnsi="Arial" w:hint="default"/>
      </w:rPr>
    </w:lvl>
  </w:abstractNum>
  <w:abstractNum w:abstractNumId="11">
    <w:nsid w:val="50AC2A8F"/>
    <w:multiLevelType w:val="hybridMultilevel"/>
    <w:tmpl w:val="C7802FB0"/>
    <w:lvl w:ilvl="0" w:tplc="DEBED86A">
      <w:start w:val="1"/>
      <w:numFmt w:val="bullet"/>
      <w:lvlText w:val="•"/>
      <w:lvlJc w:val="left"/>
      <w:pPr>
        <w:tabs>
          <w:tab w:val="num" w:pos="720"/>
        </w:tabs>
        <w:ind w:left="720" w:hanging="360"/>
      </w:pPr>
      <w:rPr>
        <w:rFonts w:ascii="Arial" w:hAnsi="Arial" w:hint="default"/>
      </w:rPr>
    </w:lvl>
    <w:lvl w:ilvl="1" w:tplc="1A20BA2C">
      <w:start w:val="1"/>
      <w:numFmt w:val="bullet"/>
      <w:lvlText w:val="•"/>
      <w:lvlJc w:val="left"/>
      <w:pPr>
        <w:tabs>
          <w:tab w:val="num" w:pos="1440"/>
        </w:tabs>
        <w:ind w:left="1440" w:hanging="360"/>
      </w:pPr>
      <w:rPr>
        <w:rFonts w:ascii="Arial" w:hAnsi="Arial" w:hint="default"/>
      </w:rPr>
    </w:lvl>
    <w:lvl w:ilvl="2" w:tplc="C47E8994" w:tentative="1">
      <w:start w:val="1"/>
      <w:numFmt w:val="bullet"/>
      <w:lvlText w:val="•"/>
      <w:lvlJc w:val="left"/>
      <w:pPr>
        <w:tabs>
          <w:tab w:val="num" w:pos="2160"/>
        </w:tabs>
        <w:ind w:left="2160" w:hanging="360"/>
      </w:pPr>
      <w:rPr>
        <w:rFonts w:ascii="Arial" w:hAnsi="Arial" w:hint="default"/>
      </w:rPr>
    </w:lvl>
    <w:lvl w:ilvl="3" w:tplc="7DDCF9F8" w:tentative="1">
      <w:start w:val="1"/>
      <w:numFmt w:val="bullet"/>
      <w:lvlText w:val="•"/>
      <w:lvlJc w:val="left"/>
      <w:pPr>
        <w:tabs>
          <w:tab w:val="num" w:pos="2880"/>
        </w:tabs>
        <w:ind w:left="2880" w:hanging="360"/>
      </w:pPr>
      <w:rPr>
        <w:rFonts w:ascii="Arial" w:hAnsi="Arial" w:hint="default"/>
      </w:rPr>
    </w:lvl>
    <w:lvl w:ilvl="4" w:tplc="4148D302" w:tentative="1">
      <w:start w:val="1"/>
      <w:numFmt w:val="bullet"/>
      <w:lvlText w:val="•"/>
      <w:lvlJc w:val="left"/>
      <w:pPr>
        <w:tabs>
          <w:tab w:val="num" w:pos="3600"/>
        </w:tabs>
        <w:ind w:left="3600" w:hanging="360"/>
      </w:pPr>
      <w:rPr>
        <w:rFonts w:ascii="Arial" w:hAnsi="Arial" w:hint="default"/>
      </w:rPr>
    </w:lvl>
    <w:lvl w:ilvl="5" w:tplc="80C8ECD0" w:tentative="1">
      <w:start w:val="1"/>
      <w:numFmt w:val="bullet"/>
      <w:lvlText w:val="•"/>
      <w:lvlJc w:val="left"/>
      <w:pPr>
        <w:tabs>
          <w:tab w:val="num" w:pos="4320"/>
        </w:tabs>
        <w:ind w:left="4320" w:hanging="360"/>
      </w:pPr>
      <w:rPr>
        <w:rFonts w:ascii="Arial" w:hAnsi="Arial" w:hint="default"/>
      </w:rPr>
    </w:lvl>
    <w:lvl w:ilvl="6" w:tplc="91CE1BA6" w:tentative="1">
      <w:start w:val="1"/>
      <w:numFmt w:val="bullet"/>
      <w:lvlText w:val="•"/>
      <w:lvlJc w:val="left"/>
      <w:pPr>
        <w:tabs>
          <w:tab w:val="num" w:pos="5040"/>
        </w:tabs>
        <w:ind w:left="5040" w:hanging="360"/>
      </w:pPr>
      <w:rPr>
        <w:rFonts w:ascii="Arial" w:hAnsi="Arial" w:hint="default"/>
      </w:rPr>
    </w:lvl>
    <w:lvl w:ilvl="7" w:tplc="FE34DCA4" w:tentative="1">
      <w:start w:val="1"/>
      <w:numFmt w:val="bullet"/>
      <w:lvlText w:val="•"/>
      <w:lvlJc w:val="left"/>
      <w:pPr>
        <w:tabs>
          <w:tab w:val="num" w:pos="5760"/>
        </w:tabs>
        <w:ind w:left="5760" w:hanging="360"/>
      </w:pPr>
      <w:rPr>
        <w:rFonts w:ascii="Arial" w:hAnsi="Arial" w:hint="default"/>
      </w:rPr>
    </w:lvl>
    <w:lvl w:ilvl="8" w:tplc="072C8650" w:tentative="1">
      <w:start w:val="1"/>
      <w:numFmt w:val="bullet"/>
      <w:lvlText w:val="•"/>
      <w:lvlJc w:val="left"/>
      <w:pPr>
        <w:tabs>
          <w:tab w:val="num" w:pos="6480"/>
        </w:tabs>
        <w:ind w:left="6480" w:hanging="360"/>
      </w:pPr>
      <w:rPr>
        <w:rFonts w:ascii="Arial" w:hAnsi="Arial" w:hint="default"/>
      </w:rPr>
    </w:lvl>
  </w:abstractNum>
  <w:abstractNum w:abstractNumId="12">
    <w:nsid w:val="59B41B5D"/>
    <w:multiLevelType w:val="hybridMultilevel"/>
    <w:tmpl w:val="6394BA54"/>
    <w:lvl w:ilvl="0" w:tplc="EC32F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AD6CA5"/>
    <w:multiLevelType w:val="hybridMultilevel"/>
    <w:tmpl w:val="4E6E2E34"/>
    <w:lvl w:ilvl="0" w:tplc="910053C6">
      <w:start w:val="7"/>
      <w:numFmt w:val="decimal"/>
      <w:lvlText w:val="%1"/>
      <w:lvlJc w:val="left"/>
      <w:pPr>
        <w:ind w:left="3196" w:hanging="360"/>
      </w:pPr>
      <w:rPr>
        <w:rFonts w:hint="default"/>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14">
    <w:nsid w:val="68654AA7"/>
    <w:multiLevelType w:val="hybridMultilevel"/>
    <w:tmpl w:val="D65C2132"/>
    <w:lvl w:ilvl="0" w:tplc="A0927700">
      <w:start w:val="1"/>
      <w:numFmt w:val="decimal"/>
      <w:lvlText w:val="%1"/>
      <w:lvlJc w:val="left"/>
      <w:pPr>
        <w:ind w:left="3556" w:hanging="720"/>
      </w:pPr>
      <w:rPr>
        <w:rFonts w:hint="default"/>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15">
    <w:nsid w:val="68FA1A7B"/>
    <w:multiLevelType w:val="hybridMultilevel"/>
    <w:tmpl w:val="4796C63C"/>
    <w:lvl w:ilvl="0" w:tplc="766A641A">
      <w:start w:val="1"/>
      <w:numFmt w:val="bullet"/>
      <w:lvlText w:val="•"/>
      <w:lvlJc w:val="left"/>
      <w:pPr>
        <w:tabs>
          <w:tab w:val="num" w:pos="720"/>
        </w:tabs>
        <w:ind w:left="720" w:hanging="360"/>
      </w:pPr>
      <w:rPr>
        <w:rFonts w:ascii="Arial" w:hAnsi="Arial" w:hint="default"/>
      </w:rPr>
    </w:lvl>
    <w:lvl w:ilvl="1" w:tplc="D5C2FF0C">
      <w:start w:val="969"/>
      <w:numFmt w:val="bullet"/>
      <w:lvlText w:val="–"/>
      <w:lvlJc w:val="left"/>
      <w:pPr>
        <w:tabs>
          <w:tab w:val="num" w:pos="1440"/>
        </w:tabs>
        <w:ind w:left="1440" w:hanging="360"/>
      </w:pPr>
      <w:rPr>
        <w:rFonts w:ascii="Arial" w:hAnsi="Arial" w:hint="default"/>
      </w:rPr>
    </w:lvl>
    <w:lvl w:ilvl="2" w:tplc="04DA7810" w:tentative="1">
      <w:start w:val="1"/>
      <w:numFmt w:val="bullet"/>
      <w:lvlText w:val="•"/>
      <w:lvlJc w:val="left"/>
      <w:pPr>
        <w:tabs>
          <w:tab w:val="num" w:pos="2160"/>
        </w:tabs>
        <w:ind w:left="2160" w:hanging="360"/>
      </w:pPr>
      <w:rPr>
        <w:rFonts w:ascii="Arial" w:hAnsi="Arial" w:hint="default"/>
      </w:rPr>
    </w:lvl>
    <w:lvl w:ilvl="3" w:tplc="7B1ECA2C" w:tentative="1">
      <w:start w:val="1"/>
      <w:numFmt w:val="bullet"/>
      <w:lvlText w:val="•"/>
      <w:lvlJc w:val="left"/>
      <w:pPr>
        <w:tabs>
          <w:tab w:val="num" w:pos="2880"/>
        </w:tabs>
        <w:ind w:left="2880" w:hanging="360"/>
      </w:pPr>
      <w:rPr>
        <w:rFonts w:ascii="Arial" w:hAnsi="Arial" w:hint="default"/>
      </w:rPr>
    </w:lvl>
    <w:lvl w:ilvl="4" w:tplc="946C82A0" w:tentative="1">
      <w:start w:val="1"/>
      <w:numFmt w:val="bullet"/>
      <w:lvlText w:val="•"/>
      <w:lvlJc w:val="left"/>
      <w:pPr>
        <w:tabs>
          <w:tab w:val="num" w:pos="3600"/>
        </w:tabs>
        <w:ind w:left="3600" w:hanging="360"/>
      </w:pPr>
      <w:rPr>
        <w:rFonts w:ascii="Arial" w:hAnsi="Arial" w:hint="default"/>
      </w:rPr>
    </w:lvl>
    <w:lvl w:ilvl="5" w:tplc="C22A63A0" w:tentative="1">
      <w:start w:val="1"/>
      <w:numFmt w:val="bullet"/>
      <w:lvlText w:val="•"/>
      <w:lvlJc w:val="left"/>
      <w:pPr>
        <w:tabs>
          <w:tab w:val="num" w:pos="4320"/>
        </w:tabs>
        <w:ind w:left="4320" w:hanging="360"/>
      </w:pPr>
      <w:rPr>
        <w:rFonts w:ascii="Arial" w:hAnsi="Arial" w:hint="default"/>
      </w:rPr>
    </w:lvl>
    <w:lvl w:ilvl="6" w:tplc="5E00B230" w:tentative="1">
      <w:start w:val="1"/>
      <w:numFmt w:val="bullet"/>
      <w:lvlText w:val="•"/>
      <w:lvlJc w:val="left"/>
      <w:pPr>
        <w:tabs>
          <w:tab w:val="num" w:pos="5040"/>
        </w:tabs>
        <w:ind w:left="5040" w:hanging="360"/>
      </w:pPr>
      <w:rPr>
        <w:rFonts w:ascii="Arial" w:hAnsi="Arial" w:hint="default"/>
      </w:rPr>
    </w:lvl>
    <w:lvl w:ilvl="7" w:tplc="4902678A" w:tentative="1">
      <w:start w:val="1"/>
      <w:numFmt w:val="bullet"/>
      <w:lvlText w:val="•"/>
      <w:lvlJc w:val="left"/>
      <w:pPr>
        <w:tabs>
          <w:tab w:val="num" w:pos="5760"/>
        </w:tabs>
        <w:ind w:left="5760" w:hanging="360"/>
      </w:pPr>
      <w:rPr>
        <w:rFonts w:ascii="Arial" w:hAnsi="Arial" w:hint="default"/>
      </w:rPr>
    </w:lvl>
    <w:lvl w:ilvl="8" w:tplc="809080D8" w:tentative="1">
      <w:start w:val="1"/>
      <w:numFmt w:val="bullet"/>
      <w:lvlText w:val="•"/>
      <w:lvlJc w:val="left"/>
      <w:pPr>
        <w:tabs>
          <w:tab w:val="num" w:pos="6480"/>
        </w:tabs>
        <w:ind w:left="6480" w:hanging="360"/>
      </w:pPr>
      <w:rPr>
        <w:rFonts w:ascii="Arial" w:hAnsi="Arial" w:hint="default"/>
      </w:rPr>
    </w:lvl>
  </w:abstractNum>
  <w:abstractNum w:abstractNumId="16">
    <w:nsid w:val="69D302D0"/>
    <w:multiLevelType w:val="hybridMultilevel"/>
    <w:tmpl w:val="46D60806"/>
    <w:lvl w:ilvl="0" w:tplc="22A8C89C">
      <w:start w:val="1"/>
      <w:numFmt w:val="bullet"/>
      <w:lvlText w:val="•"/>
      <w:lvlJc w:val="left"/>
      <w:pPr>
        <w:tabs>
          <w:tab w:val="num" w:pos="720"/>
        </w:tabs>
        <w:ind w:left="720" w:hanging="360"/>
      </w:pPr>
      <w:rPr>
        <w:rFonts w:ascii="Arial" w:hAnsi="Arial" w:hint="default"/>
      </w:rPr>
    </w:lvl>
    <w:lvl w:ilvl="1" w:tplc="A3408046">
      <w:start w:val="1"/>
      <w:numFmt w:val="bullet"/>
      <w:lvlText w:val="•"/>
      <w:lvlJc w:val="left"/>
      <w:pPr>
        <w:tabs>
          <w:tab w:val="num" w:pos="1440"/>
        </w:tabs>
        <w:ind w:left="1440" w:hanging="360"/>
      </w:pPr>
      <w:rPr>
        <w:rFonts w:ascii="Arial" w:hAnsi="Arial" w:hint="default"/>
      </w:rPr>
    </w:lvl>
    <w:lvl w:ilvl="2" w:tplc="8D9E83F4" w:tentative="1">
      <w:start w:val="1"/>
      <w:numFmt w:val="bullet"/>
      <w:lvlText w:val="•"/>
      <w:lvlJc w:val="left"/>
      <w:pPr>
        <w:tabs>
          <w:tab w:val="num" w:pos="2160"/>
        </w:tabs>
        <w:ind w:left="2160" w:hanging="360"/>
      </w:pPr>
      <w:rPr>
        <w:rFonts w:ascii="Arial" w:hAnsi="Arial" w:hint="default"/>
      </w:rPr>
    </w:lvl>
    <w:lvl w:ilvl="3" w:tplc="A746D7A2" w:tentative="1">
      <w:start w:val="1"/>
      <w:numFmt w:val="bullet"/>
      <w:lvlText w:val="•"/>
      <w:lvlJc w:val="left"/>
      <w:pPr>
        <w:tabs>
          <w:tab w:val="num" w:pos="2880"/>
        </w:tabs>
        <w:ind w:left="2880" w:hanging="360"/>
      </w:pPr>
      <w:rPr>
        <w:rFonts w:ascii="Arial" w:hAnsi="Arial" w:hint="default"/>
      </w:rPr>
    </w:lvl>
    <w:lvl w:ilvl="4" w:tplc="1A082A46" w:tentative="1">
      <w:start w:val="1"/>
      <w:numFmt w:val="bullet"/>
      <w:lvlText w:val="•"/>
      <w:lvlJc w:val="left"/>
      <w:pPr>
        <w:tabs>
          <w:tab w:val="num" w:pos="3600"/>
        </w:tabs>
        <w:ind w:left="3600" w:hanging="360"/>
      </w:pPr>
      <w:rPr>
        <w:rFonts w:ascii="Arial" w:hAnsi="Arial" w:hint="default"/>
      </w:rPr>
    </w:lvl>
    <w:lvl w:ilvl="5" w:tplc="2612CF60" w:tentative="1">
      <w:start w:val="1"/>
      <w:numFmt w:val="bullet"/>
      <w:lvlText w:val="•"/>
      <w:lvlJc w:val="left"/>
      <w:pPr>
        <w:tabs>
          <w:tab w:val="num" w:pos="4320"/>
        </w:tabs>
        <w:ind w:left="4320" w:hanging="360"/>
      </w:pPr>
      <w:rPr>
        <w:rFonts w:ascii="Arial" w:hAnsi="Arial" w:hint="default"/>
      </w:rPr>
    </w:lvl>
    <w:lvl w:ilvl="6" w:tplc="0B14431C" w:tentative="1">
      <w:start w:val="1"/>
      <w:numFmt w:val="bullet"/>
      <w:lvlText w:val="•"/>
      <w:lvlJc w:val="left"/>
      <w:pPr>
        <w:tabs>
          <w:tab w:val="num" w:pos="5040"/>
        </w:tabs>
        <w:ind w:left="5040" w:hanging="360"/>
      </w:pPr>
      <w:rPr>
        <w:rFonts w:ascii="Arial" w:hAnsi="Arial" w:hint="default"/>
      </w:rPr>
    </w:lvl>
    <w:lvl w:ilvl="7" w:tplc="E8DA740A" w:tentative="1">
      <w:start w:val="1"/>
      <w:numFmt w:val="bullet"/>
      <w:lvlText w:val="•"/>
      <w:lvlJc w:val="left"/>
      <w:pPr>
        <w:tabs>
          <w:tab w:val="num" w:pos="5760"/>
        </w:tabs>
        <w:ind w:left="5760" w:hanging="360"/>
      </w:pPr>
      <w:rPr>
        <w:rFonts w:ascii="Arial" w:hAnsi="Arial" w:hint="default"/>
      </w:rPr>
    </w:lvl>
    <w:lvl w:ilvl="8" w:tplc="2B02303A" w:tentative="1">
      <w:start w:val="1"/>
      <w:numFmt w:val="bullet"/>
      <w:lvlText w:val="•"/>
      <w:lvlJc w:val="left"/>
      <w:pPr>
        <w:tabs>
          <w:tab w:val="num" w:pos="6480"/>
        </w:tabs>
        <w:ind w:left="6480" w:hanging="360"/>
      </w:pPr>
      <w:rPr>
        <w:rFonts w:ascii="Arial" w:hAnsi="Arial" w:hint="default"/>
      </w:rPr>
    </w:lvl>
  </w:abstractNum>
  <w:abstractNum w:abstractNumId="17">
    <w:nsid w:val="72A164C7"/>
    <w:multiLevelType w:val="hybridMultilevel"/>
    <w:tmpl w:val="3190C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5CB3BB7"/>
    <w:multiLevelType w:val="hybridMultilevel"/>
    <w:tmpl w:val="5B1A8EF0"/>
    <w:lvl w:ilvl="0" w:tplc="2026B6A0">
      <w:start w:val="1"/>
      <w:numFmt w:val="bullet"/>
      <w:lvlText w:val="•"/>
      <w:lvlJc w:val="left"/>
      <w:pPr>
        <w:tabs>
          <w:tab w:val="num" w:pos="720"/>
        </w:tabs>
        <w:ind w:left="720" w:hanging="360"/>
      </w:pPr>
      <w:rPr>
        <w:rFonts w:ascii="Arial" w:hAnsi="Arial" w:hint="default"/>
      </w:rPr>
    </w:lvl>
    <w:lvl w:ilvl="1" w:tplc="CB620254">
      <w:start w:val="1"/>
      <w:numFmt w:val="bullet"/>
      <w:lvlText w:val="•"/>
      <w:lvlJc w:val="left"/>
      <w:pPr>
        <w:tabs>
          <w:tab w:val="num" w:pos="1440"/>
        </w:tabs>
        <w:ind w:left="1440" w:hanging="360"/>
      </w:pPr>
      <w:rPr>
        <w:rFonts w:ascii="Arial" w:hAnsi="Arial" w:hint="default"/>
      </w:rPr>
    </w:lvl>
    <w:lvl w:ilvl="2" w:tplc="8B5A6F6E" w:tentative="1">
      <w:start w:val="1"/>
      <w:numFmt w:val="bullet"/>
      <w:lvlText w:val="•"/>
      <w:lvlJc w:val="left"/>
      <w:pPr>
        <w:tabs>
          <w:tab w:val="num" w:pos="2160"/>
        </w:tabs>
        <w:ind w:left="2160" w:hanging="360"/>
      </w:pPr>
      <w:rPr>
        <w:rFonts w:ascii="Arial" w:hAnsi="Arial" w:hint="default"/>
      </w:rPr>
    </w:lvl>
    <w:lvl w:ilvl="3" w:tplc="538EE8F2" w:tentative="1">
      <w:start w:val="1"/>
      <w:numFmt w:val="bullet"/>
      <w:lvlText w:val="•"/>
      <w:lvlJc w:val="left"/>
      <w:pPr>
        <w:tabs>
          <w:tab w:val="num" w:pos="2880"/>
        </w:tabs>
        <w:ind w:left="2880" w:hanging="360"/>
      </w:pPr>
      <w:rPr>
        <w:rFonts w:ascii="Arial" w:hAnsi="Arial" w:hint="default"/>
      </w:rPr>
    </w:lvl>
    <w:lvl w:ilvl="4" w:tplc="2BAE1F26" w:tentative="1">
      <w:start w:val="1"/>
      <w:numFmt w:val="bullet"/>
      <w:lvlText w:val="•"/>
      <w:lvlJc w:val="left"/>
      <w:pPr>
        <w:tabs>
          <w:tab w:val="num" w:pos="3600"/>
        </w:tabs>
        <w:ind w:left="3600" w:hanging="360"/>
      </w:pPr>
      <w:rPr>
        <w:rFonts w:ascii="Arial" w:hAnsi="Arial" w:hint="default"/>
      </w:rPr>
    </w:lvl>
    <w:lvl w:ilvl="5" w:tplc="4AF2793E" w:tentative="1">
      <w:start w:val="1"/>
      <w:numFmt w:val="bullet"/>
      <w:lvlText w:val="•"/>
      <w:lvlJc w:val="left"/>
      <w:pPr>
        <w:tabs>
          <w:tab w:val="num" w:pos="4320"/>
        </w:tabs>
        <w:ind w:left="4320" w:hanging="360"/>
      </w:pPr>
      <w:rPr>
        <w:rFonts w:ascii="Arial" w:hAnsi="Arial" w:hint="default"/>
      </w:rPr>
    </w:lvl>
    <w:lvl w:ilvl="6" w:tplc="9DCABED8" w:tentative="1">
      <w:start w:val="1"/>
      <w:numFmt w:val="bullet"/>
      <w:lvlText w:val="•"/>
      <w:lvlJc w:val="left"/>
      <w:pPr>
        <w:tabs>
          <w:tab w:val="num" w:pos="5040"/>
        </w:tabs>
        <w:ind w:left="5040" w:hanging="360"/>
      </w:pPr>
      <w:rPr>
        <w:rFonts w:ascii="Arial" w:hAnsi="Arial" w:hint="default"/>
      </w:rPr>
    </w:lvl>
    <w:lvl w:ilvl="7" w:tplc="140435C2" w:tentative="1">
      <w:start w:val="1"/>
      <w:numFmt w:val="bullet"/>
      <w:lvlText w:val="•"/>
      <w:lvlJc w:val="left"/>
      <w:pPr>
        <w:tabs>
          <w:tab w:val="num" w:pos="5760"/>
        </w:tabs>
        <w:ind w:left="5760" w:hanging="360"/>
      </w:pPr>
      <w:rPr>
        <w:rFonts w:ascii="Arial" w:hAnsi="Arial" w:hint="default"/>
      </w:rPr>
    </w:lvl>
    <w:lvl w:ilvl="8" w:tplc="B93A997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7"/>
  </w:num>
  <w:num w:numId="3">
    <w:abstractNumId w:val="5"/>
  </w:num>
  <w:num w:numId="4">
    <w:abstractNumId w:val="11"/>
  </w:num>
  <w:num w:numId="5">
    <w:abstractNumId w:val="16"/>
  </w:num>
  <w:num w:numId="6">
    <w:abstractNumId w:val="15"/>
  </w:num>
  <w:num w:numId="7">
    <w:abstractNumId w:val="3"/>
  </w:num>
  <w:num w:numId="8">
    <w:abstractNumId w:val="18"/>
  </w:num>
  <w:num w:numId="9">
    <w:abstractNumId w:val="13"/>
  </w:num>
  <w:num w:numId="10">
    <w:abstractNumId w:val="10"/>
  </w:num>
  <w:num w:numId="11">
    <w:abstractNumId w:val="0"/>
  </w:num>
  <w:num w:numId="12">
    <w:abstractNumId w:val="1"/>
  </w:num>
  <w:num w:numId="13">
    <w:abstractNumId w:val="17"/>
  </w:num>
  <w:num w:numId="14">
    <w:abstractNumId w:val="6"/>
  </w:num>
  <w:num w:numId="15">
    <w:abstractNumId w:val="2"/>
  </w:num>
  <w:num w:numId="16">
    <w:abstractNumId w:val="9"/>
  </w:num>
  <w:num w:numId="17">
    <w:abstractNumId w:val="12"/>
  </w:num>
  <w:num w:numId="18">
    <w:abstractNumId w:val="4"/>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w15:presenceInfo w15:providerId="None" w15:userId="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F-X 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4F78D3"/>
    <w:rsid w:val="00000044"/>
    <w:rsid w:val="0000312D"/>
    <w:rsid w:val="00003C3F"/>
    <w:rsid w:val="000104EA"/>
    <w:rsid w:val="000107D8"/>
    <w:rsid w:val="000142E7"/>
    <w:rsid w:val="00015383"/>
    <w:rsid w:val="00016099"/>
    <w:rsid w:val="0001653A"/>
    <w:rsid w:val="00020E46"/>
    <w:rsid w:val="0002247B"/>
    <w:rsid w:val="00023034"/>
    <w:rsid w:val="000257B8"/>
    <w:rsid w:val="00026FBA"/>
    <w:rsid w:val="00033719"/>
    <w:rsid w:val="000365FB"/>
    <w:rsid w:val="00042B8B"/>
    <w:rsid w:val="00043C5E"/>
    <w:rsid w:val="0004542B"/>
    <w:rsid w:val="00060AA9"/>
    <w:rsid w:val="000701A9"/>
    <w:rsid w:val="00071CF4"/>
    <w:rsid w:val="00073A90"/>
    <w:rsid w:val="000768DD"/>
    <w:rsid w:val="00081949"/>
    <w:rsid w:val="00082B7B"/>
    <w:rsid w:val="00083632"/>
    <w:rsid w:val="00084502"/>
    <w:rsid w:val="00087586"/>
    <w:rsid w:val="00087918"/>
    <w:rsid w:val="00090565"/>
    <w:rsid w:val="000A113E"/>
    <w:rsid w:val="000A2524"/>
    <w:rsid w:val="000A6093"/>
    <w:rsid w:val="000B010D"/>
    <w:rsid w:val="000B5EE8"/>
    <w:rsid w:val="000B7630"/>
    <w:rsid w:val="000C43FF"/>
    <w:rsid w:val="000C4825"/>
    <w:rsid w:val="000C70C7"/>
    <w:rsid w:val="000D27B0"/>
    <w:rsid w:val="000D79CD"/>
    <w:rsid w:val="000E3412"/>
    <w:rsid w:val="000E5A67"/>
    <w:rsid w:val="000F4EDB"/>
    <w:rsid w:val="001101BC"/>
    <w:rsid w:val="001118E6"/>
    <w:rsid w:val="001120E9"/>
    <w:rsid w:val="00112BF9"/>
    <w:rsid w:val="00115A0E"/>
    <w:rsid w:val="00116E1D"/>
    <w:rsid w:val="00117137"/>
    <w:rsid w:val="00117EB0"/>
    <w:rsid w:val="001232D1"/>
    <w:rsid w:val="00123335"/>
    <w:rsid w:val="00124A45"/>
    <w:rsid w:val="00125436"/>
    <w:rsid w:val="001264A6"/>
    <w:rsid w:val="001278F9"/>
    <w:rsid w:val="00130F1B"/>
    <w:rsid w:val="001315D0"/>
    <w:rsid w:val="00133A99"/>
    <w:rsid w:val="001464A7"/>
    <w:rsid w:val="00151DDE"/>
    <w:rsid w:val="00157F95"/>
    <w:rsid w:val="00161BF4"/>
    <w:rsid w:val="00170E1E"/>
    <w:rsid w:val="00175383"/>
    <w:rsid w:val="0017730C"/>
    <w:rsid w:val="00180846"/>
    <w:rsid w:val="00180AE0"/>
    <w:rsid w:val="00190D29"/>
    <w:rsid w:val="0019394F"/>
    <w:rsid w:val="001953BB"/>
    <w:rsid w:val="001A165E"/>
    <w:rsid w:val="001A4542"/>
    <w:rsid w:val="001A6997"/>
    <w:rsid w:val="001B0067"/>
    <w:rsid w:val="001B6427"/>
    <w:rsid w:val="001B7111"/>
    <w:rsid w:val="001C0E76"/>
    <w:rsid w:val="001D20BB"/>
    <w:rsid w:val="001D2CF3"/>
    <w:rsid w:val="001E0A5F"/>
    <w:rsid w:val="001E0B47"/>
    <w:rsid w:val="001E21A2"/>
    <w:rsid w:val="001E2E08"/>
    <w:rsid w:val="001E4ECD"/>
    <w:rsid w:val="001E5CD8"/>
    <w:rsid w:val="001E6228"/>
    <w:rsid w:val="001F3975"/>
    <w:rsid w:val="001F79F1"/>
    <w:rsid w:val="00200122"/>
    <w:rsid w:val="00201BFE"/>
    <w:rsid w:val="00201DDC"/>
    <w:rsid w:val="002025B4"/>
    <w:rsid w:val="00203669"/>
    <w:rsid w:val="002058B4"/>
    <w:rsid w:val="00210CF9"/>
    <w:rsid w:val="00216211"/>
    <w:rsid w:val="002162B4"/>
    <w:rsid w:val="0022585E"/>
    <w:rsid w:val="00225BB8"/>
    <w:rsid w:val="00226D96"/>
    <w:rsid w:val="00237004"/>
    <w:rsid w:val="00242F48"/>
    <w:rsid w:val="002449DE"/>
    <w:rsid w:val="0024758C"/>
    <w:rsid w:val="00252D7B"/>
    <w:rsid w:val="002539E1"/>
    <w:rsid w:val="002544BD"/>
    <w:rsid w:val="00254647"/>
    <w:rsid w:val="00261E7C"/>
    <w:rsid w:val="00262C03"/>
    <w:rsid w:val="002767D1"/>
    <w:rsid w:val="00290AA9"/>
    <w:rsid w:val="002A2627"/>
    <w:rsid w:val="002A2B99"/>
    <w:rsid w:val="002A4D5C"/>
    <w:rsid w:val="002A5BAA"/>
    <w:rsid w:val="002B0630"/>
    <w:rsid w:val="002D358A"/>
    <w:rsid w:val="002E277A"/>
    <w:rsid w:val="002E2802"/>
    <w:rsid w:val="002E2901"/>
    <w:rsid w:val="002E5AFA"/>
    <w:rsid w:val="002F296F"/>
    <w:rsid w:val="002F3D0D"/>
    <w:rsid w:val="002F4039"/>
    <w:rsid w:val="002F55CD"/>
    <w:rsid w:val="00306164"/>
    <w:rsid w:val="00316CBE"/>
    <w:rsid w:val="00321AFD"/>
    <w:rsid w:val="00325E6C"/>
    <w:rsid w:val="003268F6"/>
    <w:rsid w:val="00330A49"/>
    <w:rsid w:val="00341479"/>
    <w:rsid w:val="00342994"/>
    <w:rsid w:val="0035045F"/>
    <w:rsid w:val="003506A5"/>
    <w:rsid w:val="00353BF7"/>
    <w:rsid w:val="00355795"/>
    <w:rsid w:val="003561F9"/>
    <w:rsid w:val="0036044C"/>
    <w:rsid w:val="003613C1"/>
    <w:rsid w:val="00365D7E"/>
    <w:rsid w:val="0036674E"/>
    <w:rsid w:val="00370F3E"/>
    <w:rsid w:val="00372A29"/>
    <w:rsid w:val="00373294"/>
    <w:rsid w:val="00383148"/>
    <w:rsid w:val="00391542"/>
    <w:rsid w:val="0039216F"/>
    <w:rsid w:val="00392805"/>
    <w:rsid w:val="003A0D8F"/>
    <w:rsid w:val="003A54E1"/>
    <w:rsid w:val="003B18BF"/>
    <w:rsid w:val="003B3B9E"/>
    <w:rsid w:val="003B43BB"/>
    <w:rsid w:val="003C7BD4"/>
    <w:rsid w:val="003E3FCA"/>
    <w:rsid w:val="003E7531"/>
    <w:rsid w:val="003F614C"/>
    <w:rsid w:val="00400FCD"/>
    <w:rsid w:val="0040285D"/>
    <w:rsid w:val="00407149"/>
    <w:rsid w:val="00413CB6"/>
    <w:rsid w:val="00420571"/>
    <w:rsid w:val="004209F5"/>
    <w:rsid w:val="0042631A"/>
    <w:rsid w:val="00427B6D"/>
    <w:rsid w:val="004305E8"/>
    <w:rsid w:val="0043675E"/>
    <w:rsid w:val="00437295"/>
    <w:rsid w:val="00451215"/>
    <w:rsid w:val="00462122"/>
    <w:rsid w:val="00473418"/>
    <w:rsid w:val="00474B71"/>
    <w:rsid w:val="00474EF4"/>
    <w:rsid w:val="00475D14"/>
    <w:rsid w:val="004763F5"/>
    <w:rsid w:val="004831BD"/>
    <w:rsid w:val="0048759F"/>
    <w:rsid w:val="00495C20"/>
    <w:rsid w:val="004A11F9"/>
    <w:rsid w:val="004A1420"/>
    <w:rsid w:val="004A152A"/>
    <w:rsid w:val="004A676D"/>
    <w:rsid w:val="004B177C"/>
    <w:rsid w:val="004B41A4"/>
    <w:rsid w:val="004B4E7C"/>
    <w:rsid w:val="004C11B6"/>
    <w:rsid w:val="004C60AF"/>
    <w:rsid w:val="004C7090"/>
    <w:rsid w:val="004D43C8"/>
    <w:rsid w:val="004D5D4B"/>
    <w:rsid w:val="004D5DE9"/>
    <w:rsid w:val="004D6FF5"/>
    <w:rsid w:val="004F118D"/>
    <w:rsid w:val="004F18C0"/>
    <w:rsid w:val="004F39FB"/>
    <w:rsid w:val="004F78D3"/>
    <w:rsid w:val="00503278"/>
    <w:rsid w:val="00503AA8"/>
    <w:rsid w:val="00504808"/>
    <w:rsid w:val="00507908"/>
    <w:rsid w:val="005113A4"/>
    <w:rsid w:val="005127C2"/>
    <w:rsid w:val="0052419F"/>
    <w:rsid w:val="00531DB8"/>
    <w:rsid w:val="005332A7"/>
    <w:rsid w:val="00536724"/>
    <w:rsid w:val="005374C9"/>
    <w:rsid w:val="00540D6A"/>
    <w:rsid w:val="00543833"/>
    <w:rsid w:val="00544323"/>
    <w:rsid w:val="005525B3"/>
    <w:rsid w:val="00553C43"/>
    <w:rsid w:val="00575137"/>
    <w:rsid w:val="005768D9"/>
    <w:rsid w:val="00583B51"/>
    <w:rsid w:val="00584025"/>
    <w:rsid w:val="00594D71"/>
    <w:rsid w:val="00596073"/>
    <w:rsid w:val="005A0FCC"/>
    <w:rsid w:val="005A266A"/>
    <w:rsid w:val="005A38E2"/>
    <w:rsid w:val="005B3960"/>
    <w:rsid w:val="005B4F49"/>
    <w:rsid w:val="005B5C48"/>
    <w:rsid w:val="005B6562"/>
    <w:rsid w:val="005C44B4"/>
    <w:rsid w:val="005D029D"/>
    <w:rsid w:val="005D25C3"/>
    <w:rsid w:val="005D6658"/>
    <w:rsid w:val="005D720A"/>
    <w:rsid w:val="005E2CF9"/>
    <w:rsid w:val="005E46FC"/>
    <w:rsid w:val="005E646B"/>
    <w:rsid w:val="005F17C1"/>
    <w:rsid w:val="005F54A0"/>
    <w:rsid w:val="005F78AE"/>
    <w:rsid w:val="00610F69"/>
    <w:rsid w:val="0061140C"/>
    <w:rsid w:val="0061251C"/>
    <w:rsid w:val="00612D2D"/>
    <w:rsid w:val="00614ECA"/>
    <w:rsid w:val="006242C1"/>
    <w:rsid w:val="00640704"/>
    <w:rsid w:val="00641D6C"/>
    <w:rsid w:val="006422AC"/>
    <w:rsid w:val="00646D38"/>
    <w:rsid w:val="00647AFB"/>
    <w:rsid w:val="006556A5"/>
    <w:rsid w:val="006578F8"/>
    <w:rsid w:val="0067702A"/>
    <w:rsid w:val="006808FD"/>
    <w:rsid w:val="006A36AE"/>
    <w:rsid w:val="006A3B5C"/>
    <w:rsid w:val="006A4106"/>
    <w:rsid w:val="006B241B"/>
    <w:rsid w:val="006B24EA"/>
    <w:rsid w:val="006B7448"/>
    <w:rsid w:val="006C1677"/>
    <w:rsid w:val="006C5709"/>
    <w:rsid w:val="006C7489"/>
    <w:rsid w:val="006D08E8"/>
    <w:rsid w:val="006D6630"/>
    <w:rsid w:val="006E08B8"/>
    <w:rsid w:val="006E39E8"/>
    <w:rsid w:val="006E4178"/>
    <w:rsid w:val="006E64A2"/>
    <w:rsid w:val="006E64AB"/>
    <w:rsid w:val="006F1248"/>
    <w:rsid w:val="006F2E1C"/>
    <w:rsid w:val="00707F2B"/>
    <w:rsid w:val="0071240C"/>
    <w:rsid w:val="00716F2A"/>
    <w:rsid w:val="007255CE"/>
    <w:rsid w:val="00726533"/>
    <w:rsid w:val="0073079B"/>
    <w:rsid w:val="00731EA7"/>
    <w:rsid w:val="00737791"/>
    <w:rsid w:val="00741175"/>
    <w:rsid w:val="0074686D"/>
    <w:rsid w:val="00747372"/>
    <w:rsid w:val="0075459D"/>
    <w:rsid w:val="00760FF9"/>
    <w:rsid w:val="00763FF0"/>
    <w:rsid w:val="00764641"/>
    <w:rsid w:val="00764F47"/>
    <w:rsid w:val="007910AE"/>
    <w:rsid w:val="007A284A"/>
    <w:rsid w:val="007A330D"/>
    <w:rsid w:val="007B0939"/>
    <w:rsid w:val="007B530F"/>
    <w:rsid w:val="007B727E"/>
    <w:rsid w:val="007C03A1"/>
    <w:rsid w:val="007C197D"/>
    <w:rsid w:val="007D4AC8"/>
    <w:rsid w:val="007E0688"/>
    <w:rsid w:val="007E6281"/>
    <w:rsid w:val="007F473C"/>
    <w:rsid w:val="007F6DAE"/>
    <w:rsid w:val="007F767B"/>
    <w:rsid w:val="00801A60"/>
    <w:rsid w:val="008038DF"/>
    <w:rsid w:val="00810589"/>
    <w:rsid w:val="00825BC1"/>
    <w:rsid w:val="00826449"/>
    <w:rsid w:val="00831B87"/>
    <w:rsid w:val="008321E3"/>
    <w:rsid w:val="008338B6"/>
    <w:rsid w:val="00833934"/>
    <w:rsid w:val="008370AC"/>
    <w:rsid w:val="008405AB"/>
    <w:rsid w:val="0085046C"/>
    <w:rsid w:val="0085096A"/>
    <w:rsid w:val="008559C7"/>
    <w:rsid w:val="0085649B"/>
    <w:rsid w:val="008601D9"/>
    <w:rsid w:val="00862BF4"/>
    <w:rsid w:val="00865D71"/>
    <w:rsid w:val="00865FFA"/>
    <w:rsid w:val="00874919"/>
    <w:rsid w:val="00877BD0"/>
    <w:rsid w:val="008816AE"/>
    <w:rsid w:val="00886530"/>
    <w:rsid w:val="008912DD"/>
    <w:rsid w:val="00891BC7"/>
    <w:rsid w:val="00895B11"/>
    <w:rsid w:val="008A2E7C"/>
    <w:rsid w:val="008A711A"/>
    <w:rsid w:val="008A7B9E"/>
    <w:rsid w:val="008B0526"/>
    <w:rsid w:val="008B5AEB"/>
    <w:rsid w:val="008C02EF"/>
    <w:rsid w:val="008D2FC3"/>
    <w:rsid w:val="008D7278"/>
    <w:rsid w:val="008F02FA"/>
    <w:rsid w:val="008F2A0C"/>
    <w:rsid w:val="00900439"/>
    <w:rsid w:val="00904362"/>
    <w:rsid w:val="009055B4"/>
    <w:rsid w:val="00907631"/>
    <w:rsid w:val="0090767D"/>
    <w:rsid w:val="00916099"/>
    <w:rsid w:val="00924DBB"/>
    <w:rsid w:val="00926D36"/>
    <w:rsid w:val="00926EC0"/>
    <w:rsid w:val="00932A30"/>
    <w:rsid w:val="00936D17"/>
    <w:rsid w:val="00937DA9"/>
    <w:rsid w:val="009440C5"/>
    <w:rsid w:val="009549A8"/>
    <w:rsid w:val="00956846"/>
    <w:rsid w:val="009606FF"/>
    <w:rsid w:val="00964703"/>
    <w:rsid w:val="00970E71"/>
    <w:rsid w:val="00973D59"/>
    <w:rsid w:val="00977F81"/>
    <w:rsid w:val="00981A3B"/>
    <w:rsid w:val="0098716C"/>
    <w:rsid w:val="009919E7"/>
    <w:rsid w:val="009B49A4"/>
    <w:rsid w:val="009B4F89"/>
    <w:rsid w:val="009B605C"/>
    <w:rsid w:val="009C1F34"/>
    <w:rsid w:val="009C6FBC"/>
    <w:rsid w:val="009C7CDC"/>
    <w:rsid w:val="009D3D0A"/>
    <w:rsid w:val="009D547E"/>
    <w:rsid w:val="009D59A2"/>
    <w:rsid w:val="009E1EB2"/>
    <w:rsid w:val="009E6DEE"/>
    <w:rsid w:val="009F1DAD"/>
    <w:rsid w:val="009F4AD0"/>
    <w:rsid w:val="00A01258"/>
    <w:rsid w:val="00A041B4"/>
    <w:rsid w:val="00A04F2A"/>
    <w:rsid w:val="00A064FA"/>
    <w:rsid w:val="00A07940"/>
    <w:rsid w:val="00A10AC3"/>
    <w:rsid w:val="00A1212F"/>
    <w:rsid w:val="00A13D38"/>
    <w:rsid w:val="00A322CE"/>
    <w:rsid w:val="00A32548"/>
    <w:rsid w:val="00A327D9"/>
    <w:rsid w:val="00A36C69"/>
    <w:rsid w:val="00A37EA5"/>
    <w:rsid w:val="00A41A98"/>
    <w:rsid w:val="00A44C27"/>
    <w:rsid w:val="00A47176"/>
    <w:rsid w:val="00A52E52"/>
    <w:rsid w:val="00A62606"/>
    <w:rsid w:val="00A64805"/>
    <w:rsid w:val="00A67637"/>
    <w:rsid w:val="00A70CF4"/>
    <w:rsid w:val="00A71555"/>
    <w:rsid w:val="00A753F2"/>
    <w:rsid w:val="00A77B98"/>
    <w:rsid w:val="00A8216E"/>
    <w:rsid w:val="00A866DA"/>
    <w:rsid w:val="00A929AF"/>
    <w:rsid w:val="00A94909"/>
    <w:rsid w:val="00AA1D0B"/>
    <w:rsid w:val="00AA3297"/>
    <w:rsid w:val="00AA7B01"/>
    <w:rsid w:val="00AB06A6"/>
    <w:rsid w:val="00AB2E99"/>
    <w:rsid w:val="00AB4C53"/>
    <w:rsid w:val="00AC01A6"/>
    <w:rsid w:val="00AC2B9D"/>
    <w:rsid w:val="00AC354A"/>
    <w:rsid w:val="00AC35C3"/>
    <w:rsid w:val="00AC4FE8"/>
    <w:rsid w:val="00AC5787"/>
    <w:rsid w:val="00AD64F8"/>
    <w:rsid w:val="00AE1CE3"/>
    <w:rsid w:val="00AE1F95"/>
    <w:rsid w:val="00AE3CA3"/>
    <w:rsid w:val="00AE4C2B"/>
    <w:rsid w:val="00AF149E"/>
    <w:rsid w:val="00AF52BD"/>
    <w:rsid w:val="00AF5598"/>
    <w:rsid w:val="00B01B43"/>
    <w:rsid w:val="00B05BD5"/>
    <w:rsid w:val="00B06BA9"/>
    <w:rsid w:val="00B0720C"/>
    <w:rsid w:val="00B10CB3"/>
    <w:rsid w:val="00B14AD5"/>
    <w:rsid w:val="00B14DA8"/>
    <w:rsid w:val="00B2132B"/>
    <w:rsid w:val="00B215AE"/>
    <w:rsid w:val="00B2241C"/>
    <w:rsid w:val="00B238A3"/>
    <w:rsid w:val="00B23AD5"/>
    <w:rsid w:val="00B255FA"/>
    <w:rsid w:val="00B32050"/>
    <w:rsid w:val="00B44AA9"/>
    <w:rsid w:val="00B474F7"/>
    <w:rsid w:val="00B50A27"/>
    <w:rsid w:val="00B518C9"/>
    <w:rsid w:val="00B5557F"/>
    <w:rsid w:val="00B570A2"/>
    <w:rsid w:val="00B6287C"/>
    <w:rsid w:val="00B64558"/>
    <w:rsid w:val="00B66151"/>
    <w:rsid w:val="00B66956"/>
    <w:rsid w:val="00B66E31"/>
    <w:rsid w:val="00B80214"/>
    <w:rsid w:val="00B835BD"/>
    <w:rsid w:val="00B83F2D"/>
    <w:rsid w:val="00B86C9D"/>
    <w:rsid w:val="00B92798"/>
    <w:rsid w:val="00B95CDB"/>
    <w:rsid w:val="00BA65AB"/>
    <w:rsid w:val="00BB3FCE"/>
    <w:rsid w:val="00BB5B1E"/>
    <w:rsid w:val="00BB7FF8"/>
    <w:rsid w:val="00BC251C"/>
    <w:rsid w:val="00BC66DC"/>
    <w:rsid w:val="00BD4128"/>
    <w:rsid w:val="00BE45FA"/>
    <w:rsid w:val="00BE5DF5"/>
    <w:rsid w:val="00BE634D"/>
    <w:rsid w:val="00BF386F"/>
    <w:rsid w:val="00BF3E06"/>
    <w:rsid w:val="00C05044"/>
    <w:rsid w:val="00C05E6C"/>
    <w:rsid w:val="00C10501"/>
    <w:rsid w:val="00C12017"/>
    <w:rsid w:val="00C16F37"/>
    <w:rsid w:val="00C201B9"/>
    <w:rsid w:val="00C22322"/>
    <w:rsid w:val="00C25172"/>
    <w:rsid w:val="00C26500"/>
    <w:rsid w:val="00C4255E"/>
    <w:rsid w:val="00C45311"/>
    <w:rsid w:val="00C45FCE"/>
    <w:rsid w:val="00C507C7"/>
    <w:rsid w:val="00C5082C"/>
    <w:rsid w:val="00C538AA"/>
    <w:rsid w:val="00C61259"/>
    <w:rsid w:val="00C61FDF"/>
    <w:rsid w:val="00C6306E"/>
    <w:rsid w:val="00C64D47"/>
    <w:rsid w:val="00C67162"/>
    <w:rsid w:val="00C72793"/>
    <w:rsid w:val="00C86917"/>
    <w:rsid w:val="00C875B3"/>
    <w:rsid w:val="00C9061A"/>
    <w:rsid w:val="00C909F3"/>
    <w:rsid w:val="00C92235"/>
    <w:rsid w:val="00C9529A"/>
    <w:rsid w:val="00C96C77"/>
    <w:rsid w:val="00CA0A44"/>
    <w:rsid w:val="00CA16E6"/>
    <w:rsid w:val="00CA2B6C"/>
    <w:rsid w:val="00CA3D3F"/>
    <w:rsid w:val="00CA7E82"/>
    <w:rsid w:val="00CB0A28"/>
    <w:rsid w:val="00CB548A"/>
    <w:rsid w:val="00CB78B2"/>
    <w:rsid w:val="00CC1CA6"/>
    <w:rsid w:val="00CC1F89"/>
    <w:rsid w:val="00CD06F1"/>
    <w:rsid w:val="00CD17C7"/>
    <w:rsid w:val="00CE046D"/>
    <w:rsid w:val="00CE432F"/>
    <w:rsid w:val="00CE5839"/>
    <w:rsid w:val="00CF0D14"/>
    <w:rsid w:val="00CF17DF"/>
    <w:rsid w:val="00CF3EE1"/>
    <w:rsid w:val="00D0151D"/>
    <w:rsid w:val="00D029A3"/>
    <w:rsid w:val="00D0387F"/>
    <w:rsid w:val="00D100E6"/>
    <w:rsid w:val="00D15A99"/>
    <w:rsid w:val="00D178E8"/>
    <w:rsid w:val="00D20E4D"/>
    <w:rsid w:val="00D31FA5"/>
    <w:rsid w:val="00D52B1D"/>
    <w:rsid w:val="00D52E20"/>
    <w:rsid w:val="00D55FC4"/>
    <w:rsid w:val="00D627D9"/>
    <w:rsid w:val="00D667A9"/>
    <w:rsid w:val="00D7177B"/>
    <w:rsid w:val="00D74AAF"/>
    <w:rsid w:val="00D74D68"/>
    <w:rsid w:val="00D76AF3"/>
    <w:rsid w:val="00D77710"/>
    <w:rsid w:val="00D832AE"/>
    <w:rsid w:val="00D8616E"/>
    <w:rsid w:val="00D90A3F"/>
    <w:rsid w:val="00D94479"/>
    <w:rsid w:val="00D9548C"/>
    <w:rsid w:val="00D97FB4"/>
    <w:rsid w:val="00DA418B"/>
    <w:rsid w:val="00DB705D"/>
    <w:rsid w:val="00DC314D"/>
    <w:rsid w:val="00DC5521"/>
    <w:rsid w:val="00DC69DE"/>
    <w:rsid w:val="00DD2096"/>
    <w:rsid w:val="00DD20BF"/>
    <w:rsid w:val="00DD307A"/>
    <w:rsid w:val="00DD6DF1"/>
    <w:rsid w:val="00DE479E"/>
    <w:rsid w:val="00DE6EB4"/>
    <w:rsid w:val="00DF0899"/>
    <w:rsid w:val="00DF2E32"/>
    <w:rsid w:val="00DF4BEA"/>
    <w:rsid w:val="00DF4CE2"/>
    <w:rsid w:val="00DF5D9B"/>
    <w:rsid w:val="00E0017E"/>
    <w:rsid w:val="00E10DEC"/>
    <w:rsid w:val="00E2303D"/>
    <w:rsid w:val="00E25C53"/>
    <w:rsid w:val="00E3124E"/>
    <w:rsid w:val="00E32E3F"/>
    <w:rsid w:val="00E365E1"/>
    <w:rsid w:val="00E45061"/>
    <w:rsid w:val="00E45EF3"/>
    <w:rsid w:val="00E50097"/>
    <w:rsid w:val="00E60E8F"/>
    <w:rsid w:val="00E61EA6"/>
    <w:rsid w:val="00E62874"/>
    <w:rsid w:val="00E62AD0"/>
    <w:rsid w:val="00E65603"/>
    <w:rsid w:val="00E65987"/>
    <w:rsid w:val="00E65C79"/>
    <w:rsid w:val="00E66D9E"/>
    <w:rsid w:val="00E718A6"/>
    <w:rsid w:val="00E80553"/>
    <w:rsid w:val="00E826E7"/>
    <w:rsid w:val="00E82810"/>
    <w:rsid w:val="00E8283F"/>
    <w:rsid w:val="00E82BA2"/>
    <w:rsid w:val="00E87384"/>
    <w:rsid w:val="00E900DC"/>
    <w:rsid w:val="00E904A3"/>
    <w:rsid w:val="00E90B79"/>
    <w:rsid w:val="00E91D48"/>
    <w:rsid w:val="00E94815"/>
    <w:rsid w:val="00EA0F67"/>
    <w:rsid w:val="00EA1154"/>
    <w:rsid w:val="00EA161F"/>
    <w:rsid w:val="00EA5EDD"/>
    <w:rsid w:val="00EB50A6"/>
    <w:rsid w:val="00EB5784"/>
    <w:rsid w:val="00EC2072"/>
    <w:rsid w:val="00ED05CC"/>
    <w:rsid w:val="00ED4618"/>
    <w:rsid w:val="00ED5251"/>
    <w:rsid w:val="00ED5916"/>
    <w:rsid w:val="00EE0583"/>
    <w:rsid w:val="00EE1D9E"/>
    <w:rsid w:val="00EE6FC5"/>
    <w:rsid w:val="00EF543C"/>
    <w:rsid w:val="00EF54C8"/>
    <w:rsid w:val="00EF6BBF"/>
    <w:rsid w:val="00EF7445"/>
    <w:rsid w:val="00F11932"/>
    <w:rsid w:val="00F128B7"/>
    <w:rsid w:val="00F131D1"/>
    <w:rsid w:val="00F26B34"/>
    <w:rsid w:val="00F26DC8"/>
    <w:rsid w:val="00F30832"/>
    <w:rsid w:val="00F311F2"/>
    <w:rsid w:val="00F363EB"/>
    <w:rsid w:val="00F3692E"/>
    <w:rsid w:val="00F41EE9"/>
    <w:rsid w:val="00F4274D"/>
    <w:rsid w:val="00F460B6"/>
    <w:rsid w:val="00F518EC"/>
    <w:rsid w:val="00F549D5"/>
    <w:rsid w:val="00F60284"/>
    <w:rsid w:val="00F629EF"/>
    <w:rsid w:val="00F662F4"/>
    <w:rsid w:val="00F83D8C"/>
    <w:rsid w:val="00F846E7"/>
    <w:rsid w:val="00F904E2"/>
    <w:rsid w:val="00F9051D"/>
    <w:rsid w:val="00F9299C"/>
    <w:rsid w:val="00F969B1"/>
    <w:rsid w:val="00FA37A6"/>
    <w:rsid w:val="00FA473C"/>
    <w:rsid w:val="00FA59CA"/>
    <w:rsid w:val="00FA6315"/>
    <w:rsid w:val="00FA6890"/>
    <w:rsid w:val="00FB3A90"/>
    <w:rsid w:val="00FB7EE1"/>
    <w:rsid w:val="00FC3A5E"/>
    <w:rsid w:val="00FC48C2"/>
    <w:rsid w:val="00FD1BDE"/>
    <w:rsid w:val="00FD23D6"/>
    <w:rsid w:val="00FD275E"/>
    <w:rsid w:val="00FD3985"/>
    <w:rsid w:val="00FD7A39"/>
    <w:rsid w:val="00FE21A3"/>
    <w:rsid w:val="00FE45B2"/>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F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39"/>
    <w:pPr>
      <w:spacing w:after="240" w:line="480" w:lineRule="auto"/>
    </w:pPr>
    <w:rPr>
      <w:sz w:val="24"/>
    </w:rPr>
  </w:style>
  <w:style w:type="paragraph" w:styleId="Heading1">
    <w:name w:val="heading 1"/>
    <w:basedOn w:val="Normal"/>
    <w:next w:val="Normal"/>
    <w:link w:val="Heading1Char"/>
    <w:uiPriority w:val="9"/>
    <w:qFormat/>
    <w:rsid w:val="00ED5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70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8D3"/>
  </w:style>
  <w:style w:type="paragraph" w:styleId="Footer">
    <w:name w:val="footer"/>
    <w:basedOn w:val="Normal"/>
    <w:link w:val="FooterChar"/>
    <w:uiPriority w:val="99"/>
    <w:unhideWhenUsed/>
    <w:rsid w:val="004F7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8D3"/>
  </w:style>
  <w:style w:type="paragraph" w:styleId="BalloonText">
    <w:name w:val="Balloon Text"/>
    <w:basedOn w:val="Normal"/>
    <w:link w:val="BalloonTextChar"/>
    <w:uiPriority w:val="99"/>
    <w:semiHidden/>
    <w:unhideWhenUsed/>
    <w:rsid w:val="004F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8D3"/>
    <w:rPr>
      <w:rFonts w:ascii="Tahoma" w:hAnsi="Tahoma" w:cs="Tahoma"/>
      <w:sz w:val="16"/>
      <w:szCs w:val="16"/>
    </w:rPr>
  </w:style>
  <w:style w:type="paragraph" w:styleId="ListParagraph">
    <w:name w:val="List Paragraph"/>
    <w:basedOn w:val="Normal"/>
    <w:uiPriority w:val="34"/>
    <w:qFormat/>
    <w:rsid w:val="00F460B6"/>
    <w:pPr>
      <w:ind w:left="720"/>
      <w:contextualSpacing/>
    </w:pPr>
  </w:style>
  <w:style w:type="character" w:styleId="HTMLCite">
    <w:name w:val="HTML Cite"/>
    <w:basedOn w:val="DefaultParagraphFont"/>
    <w:uiPriority w:val="99"/>
    <w:semiHidden/>
    <w:unhideWhenUsed/>
    <w:rsid w:val="002767D1"/>
    <w:rPr>
      <w:i/>
      <w:iCs/>
    </w:rPr>
  </w:style>
  <w:style w:type="character" w:styleId="Hyperlink">
    <w:name w:val="Hyperlink"/>
    <w:basedOn w:val="DefaultParagraphFont"/>
    <w:uiPriority w:val="99"/>
    <w:unhideWhenUsed/>
    <w:rsid w:val="002767D1"/>
    <w:rPr>
      <w:color w:val="0000FF"/>
      <w:u w:val="single"/>
    </w:rPr>
  </w:style>
  <w:style w:type="character" w:customStyle="1" w:styleId="reference-accessdate">
    <w:name w:val="reference-accessdate"/>
    <w:basedOn w:val="DefaultParagraphFont"/>
    <w:rsid w:val="002767D1"/>
  </w:style>
  <w:style w:type="character" w:customStyle="1" w:styleId="nowrap">
    <w:name w:val="nowrap"/>
    <w:basedOn w:val="DefaultParagraphFont"/>
    <w:rsid w:val="002767D1"/>
  </w:style>
  <w:style w:type="character" w:styleId="FollowedHyperlink">
    <w:name w:val="FollowedHyperlink"/>
    <w:basedOn w:val="DefaultParagraphFont"/>
    <w:uiPriority w:val="99"/>
    <w:semiHidden/>
    <w:unhideWhenUsed/>
    <w:rsid w:val="00C9061A"/>
    <w:rPr>
      <w:color w:val="800080" w:themeColor="followedHyperlink"/>
      <w:u w:val="single"/>
    </w:rPr>
  </w:style>
  <w:style w:type="paragraph" w:styleId="FootnoteText">
    <w:name w:val="footnote text"/>
    <w:basedOn w:val="Normal"/>
    <w:link w:val="FootnoteTextChar"/>
    <w:uiPriority w:val="99"/>
    <w:semiHidden/>
    <w:unhideWhenUsed/>
    <w:rsid w:val="00C906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61A"/>
    <w:rPr>
      <w:sz w:val="20"/>
      <w:szCs w:val="20"/>
    </w:rPr>
  </w:style>
  <w:style w:type="character" w:styleId="FootnoteReference">
    <w:name w:val="footnote reference"/>
    <w:basedOn w:val="DefaultParagraphFont"/>
    <w:uiPriority w:val="99"/>
    <w:semiHidden/>
    <w:unhideWhenUsed/>
    <w:rsid w:val="00C9061A"/>
    <w:rPr>
      <w:vertAlign w:val="superscript"/>
    </w:rPr>
  </w:style>
  <w:style w:type="character" w:styleId="CommentReference">
    <w:name w:val="annotation reference"/>
    <w:basedOn w:val="DefaultParagraphFont"/>
    <w:uiPriority w:val="99"/>
    <w:semiHidden/>
    <w:unhideWhenUsed/>
    <w:rsid w:val="00865D71"/>
    <w:rPr>
      <w:sz w:val="16"/>
      <w:szCs w:val="16"/>
    </w:rPr>
  </w:style>
  <w:style w:type="paragraph" w:styleId="CommentText">
    <w:name w:val="annotation text"/>
    <w:basedOn w:val="Normal"/>
    <w:link w:val="CommentTextChar"/>
    <w:uiPriority w:val="99"/>
    <w:semiHidden/>
    <w:unhideWhenUsed/>
    <w:rsid w:val="00865D71"/>
    <w:pPr>
      <w:spacing w:line="240" w:lineRule="auto"/>
    </w:pPr>
    <w:rPr>
      <w:sz w:val="20"/>
      <w:szCs w:val="20"/>
    </w:rPr>
  </w:style>
  <w:style w:type="character" w:customStyle="1" w:styleId="CommentTextChar">
    <w:name w:val="Comment Text Char"/>
    <w:basedOn w:val="DefaultParagraphFont"/>
    <w:link w:val="CommentText"/>
    <w:uiPriority w:val="99"/>
    <w:semiHidden/>
    <w:rsid w:val="00865D71"/>
    <w:rPr>
      <w:sz w:val="20"/>
      <w:szCs w:val="20"/>
    </w:rPr>
  </w:style>
  <w:style w:type="paragraph" w:styleId="CommentSubject">
    <w:name w:val="annotation subject"/>
    <w:basedOn w:val="CommentText"/>
    <w:next w:val="CommentText"/>
    <w:link w:val="CommentSubjectChar"/>
    <w:uiPriority w:val="99"/>
    <w:semiHidden/>
    <w:unhideWhenUsed/>
    <w:rsid w:val="00865D71"/>
    <w:rPr>
      <w:b/>
      <w:bCs/>
    </w:rPr>
  </w:style>
  <w:style w:type="character" w:customStyle="1" w:styleId="CommentSubjectChar">
    <w:name w:val="Comment Subject Char"/>
    <w:basedOn w:val="CommentTextChar"/>
    <w:link w:val="CommentSubject"/>
    <w:uiPriority w:val="99"/>
    <w:semiHidden/>
    <w:rsid w:val="00865D71"/>
    <w:rPr>
      <w:b/>
      <w:bCs/>
      <w:sz w:val="20"/>
      <w:szCs w:val="20"/>
    </w:rPr>
  </w:style>
  <w:style w:type="table" w:styleId="TableGrid">
    <w:name w:val="Table Grid"/>
    <w:basedOn w:val="TableNormal"/>
    <w:uiPriority w:val="59"/>
    <w:rsid w:val="0001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20E46"/>
    <w:pPr>
      <w:spacing w:after="0" w:line="240" w:lineRule="auto"/>
      <w:ind w:left="720" w:hanging="720"/>
    </w:pPr>
  </w:style>
  <w:style w:type="paragraph" w:styleId="NormalWeb">
    <w:name w:val="Normal (Web)"/>
    <w:basedOn w:val="Normal"/>
    <w:uiPriority w:val="99"/>
    <w:semiHidden/>
    <w:unhideWhenUsed/>
    <w:rsid w:val="00FA6315"/>
    <w:pPr>
      <w:spacing w:before="100" w:beforeAutospacing="1" w:after="100" w:afterAutospacing="1" w:line="240" w:lineRule="auto"/>
    </w:pPr>
    <w:rPr>
      <w:rFonts w:eastAsia="Times New Roman" w:cs="Times New Roman"/>
      <w:szCs w:val="24"/>
      <w:lang w:eastAsia="en-GB"/>
    </w:rPr>
  </w:style>
  <w:style w:type="character" w:styleId="Emphasis">
    <w:name w:val="Emphasis"/>
    <w:uiPriority w:val="20"/>
    <w:qFormat/>
    <w:rsid w:val="007B0939"/>
    <w:rPr>
      <w:i/>
      <w:iCs/>
    </w:rPr>
  </w:style>
  <w:style w:type="paragraph" w:styleId="EndnoteText">
    <w:name w:val="endnote text"/>
    <w:basedOn w:val="Normal"/>
    <w:link w:val="EndnoteTextChar"/>
    <w:uiPriority w:val="99"/>
    <w:semiHidden/>
    <w:unhideWhenUsed/>
    <w:rsid w:val="007F76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767B"/>
    <w:rPr>
      <w:sz w:val="20"/>
      <w:szCs w:val="20"/>
    </w:rPr>
  </w:style>
  <w:style w:type="character" w:styleId="EndnoteReference">
    <w:name w:val="endnote reference"/>
    <w:basedOn w:val="DefaultParagraphFont"/>
    <w:uiPriority w:val="99"/>
    <w:semiHidden/>
    <w:unhideWhenUsed/>
    <w:rsid w:val="007F767B"/>
    <w:rPr>
      <w:vertAlign w:val="superscript"/>
    </w:rPr>
  </w:style>
  <w:style w:type="paragraph" w:customStyle="1" w:styleId="EndNoteBibliographyTitle">
    <w:name w:val="EndNote Bibliography Title"/>
    <w:basedOn w:val="Normal"/>
    <w:link w:val="EndNoteBibliographyTitleChar"/>
    <w:rsid w:val="00BE5DF5"/>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BE5DF5"/>
    <w:rPr>
      <w:rFonts w:cs="Times New Roman"/>
      <w:noProof/>
      <w:sz w:val="24"/>
      <w:lang w:val="en-US"/>
    </w:rPr>
  </w:style>
  <w:style w:type="paragraph" w:customStyle="1" w:styleId="EndNoteBibliography">
    <w:name w:val="EndNote Bibliography"/>
    <w:basedOn w:val="Normal"/>
    <w:link w:val="EndNoteBibliographyChar"/>
    <w:rsid w:val="00BE5DF5"/>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BE5DF5"/>
    <w:rPr>
      <w:rFonts w:cs="Times New Roman"/>
      <w:noProof/>
      <w:sz w:val="24"/>
      <w:lang w:val="en-US"/>
    </w:rPr>
  </w:style>
  <w:style w:type="paragraph" w:styleId="Title">
    <w:name w:val="Title"/>
    <w:basedOn w:val="Normal"/>
    <w:next w:val="Normal"/>
    <w:link w:val="TitleChar"/>
    <w:uiPriority w:val="10"/>
    <w:qFormat/>
    <w:rsid w:val="00AA7B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B01"/>
    <w:rPr>
      <w:rFonts w:asciiTheme="majorHAnsi" w:eastAsiaTheme="majorEastAsia" w:hAnsiTheme="majorHAnsi" w:cstheme="majorBidi"/>
      <w:spacing w:val="-10"/>
      <w:kern w:val="28"/>
      <w:sz w:val="56"/>
      <w:szCs w:val="56"/>
    </w:rPr>
  </w:style>
  <w:style w:type="character" w:customStyle="1" w:styleId="highlight">
    <w:name w:val="highlight"/>
    <w:basedOn w:val="DefaultParagraphFont"/>
    <w:rsid w:val="001A6997"/>
  </w:style>
  <w:style w:type="character" w:customStyle="1" w:styleId="Heading1Char">
    <w:name w:val="Heading 1 Char"/>
    <w:basedOn w:val="DefaultParagraphFont"/>
    <w:link w:val="Heading1"/>
    <w:uiPriority w:val="9"/>
    <w:rsid w:val="00ED5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700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39"/>
    <w:pPr>
      <w:spacing w:after="240" w:line="480" w:lineRule="auto"/>
    </w:pPr>
    <w:rPr>
      <w:sz w:val="24"/>
    </w:rPr>
  </w:style>
  <w:style w:type="paragraph" w:styleId="Heading1">
    <w:name w:val="heading 1"/>
    <w:basedOn w:val="Normal"/>
    <w:next w:val="Normal"/>
    <w:link w:val="Heading1Char"/>
    <w:uiPriority w:val="9"/>
    <w:qFormat/>
    <w:rsid w:val="00ED5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70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8D3"/>
  </w:style>
  <w:style w:type="paragraph" w:styleId="Footer">
    <w:name w:val="footer"/>
    <w:basedOn w:val="Normal"/>
    <w:link w:val="FooterChar"/>
    <w:uiPriority w:val="99"/>
    <w:unhideWhenUsed/>
    <w:rsid w:val="004F7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8D3"/>
  </w:style>
  <w:style w:type="paragraph" w:styleId="BalloonText">
    <w:name w:val="Balloon Text"/>
    <w:basedOn w:val="Normal"/>
    <w:link w:val="BalloonTextChar"/>
    <w:uiPriority w:val="99"/>
    <w:semiHidden/>
    <w:unhideWhenUsed/>
    <w:rsid w:val="004F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8D3"/>
    <w:rPr>
      <w:rFonts w:ascii="Tahoma" w:hAnsi="Tahoma" w:cs="Tahoma"/>
      <w:sz w:val="16"/>
      <w:szCs w:val="16"/>
    </w:rPr>
  </w:style>
  <w:style w:type="paragraph" w:styleId="ListParagraph">
    <w:name w:val="List Paragraph"/>
    <w:basedOn w:val="Normal"/>
    <w:uiPriority w:val="34"/>
    <w:qFormat/>
    <w:rsid w:val="00F460B6"/>
    <w:pPr>
      <w:ind w:left="720"/>
      <w:contextualSpacing/>
    </w:pPr>
  </w:style>
  <w:style w:type="character" w:styleId="HTMLCite">
    <w:name w:val="HTML Cite"/>
    <w:basedOn w:val="DefaultParagraphFont"/>
    <w:uiPriority w:val="99"/>
    <w:semiHidden/>
    <w:unhideWhenUsed/>
    <w:rsid w:val="002767D1"/>
    <w:rPr>
      <w:i/>
      <w:iCs/>
    </w:rPr>
  </w:style>
  <w:style w:type="character" w:styleId="Hyperlink">
    <w:name w:val="Hyperlink"/>
    <w:basedOn w:val="DefaultParagraphFont"/>
    <w:uiPriority w:val="99"/>
    <w:unhideWhenUsed/>
    <w:rsid w:val="002767D1"/>
    <w:rPr>
      <w:color w:val="0000FF"/>
      <w:u w:val="single"/>
    </w:rPr>
  </w:style>
  <w:style w:type="character" w:customStyle="1" w:styleId="reference-accessdate">
    <w:name w:val="reference-accessdate"/>
    <w:basedOn w:val="DefaultParagraphFont"/>
    <w:rsid w:val="002767D1"/>
  </w:style>
  <w:style w:type="character" w:customStyle="1" w:styleId="nowrap">
    <w:name w:val="nowrap"/>
    <w:basedOn w:val="DefaultParagraphFont"/>
    <w:rsid w:val="002767D1"/>
  </w:style>
  <w:style w:type="character" w:styleId="FollowedHyperlink">
    <w:name w:val="FollowedHyperlink"/>
    <w:basedOn w:val="DefaultParagraphFont"/>
    <w:uiPriority w:val="99"/>
    <w:semiHidden/>
    <w:unhideWhenUsed/>
    <w:rsid w:val="00C9061A"/>
    <w:rPr>
      <w:color w:val="800080" w:themeColor="followedHyperlink"/>
      <w:u w:val="single"/>
    </w:rPr>
  </w:style>
  <w:style w:type="paragraph" w:styleId="FootnoteText">
    <w:name w:val="footnote text"/>
    <w:basedOn w:val="Normal"/>
    <w:link w:val="FootnoteTextChar"/>
    <w:uiPriority w:val="99"/>
    <w:semiHidden/>
    <w:unhideWhenUsed/>
    <w:rsid w:val="00C906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61A"/>
    <w:rPr>
      <w:sz w:val="20"/>
      <w:szCs w:val="20"/>
    </w:rPr>
  </w:style>
  <w:style w:type="character" w:styleId="FootnoteReference">
    <w:name w:val="footnote reference"/>
    <w:basedOn w:val="DefaultParagraphFont"/>
    <w:uiPriority w:val="99"/>
    <w:semiHidden/>
    <w:unhideWhenUsed/>
    <w:rsid w:val="00C9061A"/>
    <w:rPr>
      <w:vertAlign w:val="superscript"/>
    </w:rPr>
  </w:style>
  <w:style w:type="character" w:styleId="CommentReference">
    <w:name w:val="annotation reference"/>
    <w:basedOn w:val="DefaultParagraphFont"/>
    <w:uiPriority w:val="99"/>
    <w:semiHidden/>
    <w:unhideWhenUsed/>
    <w:rsid w:val="00865D71"/>
    <w:rPr>
      <w:sz w:val="16"/>
      <w:szCs w:val="16"/>
    </w:rPr>
  </w:style>
  <w:style w:type="paragraph" w:styleId="CommentText">
    <w:name w:val="annotation text"/>
    <w:basedOn w:val="Normal"/>
    <w:link w:val="CommentTextChar"/>
    <w:uiPriority w:val="99"/>
    <w:semiHidden/>
    <w:unhideWhenUsed/>
    <w:rsid w:val="00865D71"/>
    <w:pPr>
      <w:spacing w:line="240" w:lineRule="auto"/>
    </w:pPr>
    <w:rPr>
      <w:sz w:val="20"/>
      <w:szCs w:val="20"/>
    </w:rPr>
  </w:style>
  <w:style w:type="character" w:customStyle="1" w:styleId="CommentTextChar">
    <w:name w:val="Comment Text Char"/>
    <w:basedOn w:val="DefaultParagraphFont"/>
    <w:link w:val="CommentText"/>
    <w:uiPriority w:val="99"/>
    <w:semiHidden/>
    <w:rsid w:val="00865D71"/>
    <w:rPr>
      <w:sz w:val="20"/>
      <w:szCs w:val="20"/>
    </w:rPr>
  </w:style>
  <w:style w:type="paragraph" w:styleId="CommentSubject">
    <w:name w:val="annotation subject"/>
    <w:basedOn w:val="CommentText"/>
    <w:next w:val="CommentText"/>
    <w:link w:val="CommentSubjectChar"/>
    <w:uiPriority w:val="99"/>
    <w:semiHidden/>
    <w:unhideWhenUsed/>
    <w:rsid w:val="00865D71"/>
    <w:rPr>
      <w:b/>
      <w:bCs/>
    </w:rPr>
  </w:style>
  <w:style w:type="character" w:customStyle="1" w:styleId="CommentSubjectChar">
    <w:name w:val="Comment Subject Char"/>
    <w:basedOn w:val="CommentTextChar"/>
    <w:link w:val="CommentSubject"/>
    <w:uiPriority w:val="99"/>
    <w:semiHidden/>
    <w:rsid w:val="00865D71"/>
    <w:rPr>
      <w:b/>
      <w:bCs/>
      <w:sz w:val="20"/>
      <w:szCs w:val="20"/>
    </w:rPr>
  </w:style>
  <w:style w:type="table" w:styleId="TableGrid">
    <w:name w:val="Table Grid"/>
    <w:basedOn w:val="TableNormal"/>
    <w:uiPriority w:val="59"/>
    <w:rsid w:val="0001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20E46"/>
    <w:pPr>
      <w:spacing w:after="0" w:line="240" w:lineRule="auto"/>
      <w:ind w:left="720" w:hanging="720"/>
    </w:pPr>
  </w:style>
  <w:style w:type="paragraph" w:styleId="NormalWeb">
    <w:name w:val="Normal (Web)"/>
    <w:basedOn w:val="Normal"/>
    <w:uiPriority w:val="99"/>
    <w:semiHidden/>
    <w:unhideWhenUsed/>
    <w:rsid w:val="00FA6315"/>
    <w:pPr>
      <w:spacing w:before="100" w:beforeAutospacing="1" w:after="100" w:afterAutospacing="1" w:line="240" w:lineRule="auto"/>
    </w:pPr>
    <w:rPr>
      <w:rFonts w:eastAsia="Times New Roman" w:cs="Times New Roman"/>
      <w:szCs w:val="24"/>
      <w:lang w:eastAsia="en-GB"/>
    </w:rPr>
  </w:style>
  <w:style w:type="character" w:styleId="Emphasis">
    <w:name w:val="Emphasis"/>
    <w:uiPriority w:val="20"/>
    <w:qFormat/>
    <w:rsid w:val="007B0939"/>
    <w:rPr>
      <w:i/>
      <w:iCs/>
    </w:rPr>
  </w:style>
  <w:style w:type="paragraph" w:styleId="EndnoteText">
    <w:name w:val="endnote text"/>
    <w:basedOn w:val="Normal"/>
    <w:link w:val="EndnoteTextChar"/>
    <w:uiPriority w:val="99"/>
    <w:semiHidden/>
    <w:unhideWhenUsed/>
    <w:rsid w:val="007F76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767B"/>
    <w:rPr>
      <w:sz w:val="20"/>
      <w:szCs w:val="20"/>
    </w:rPr>
  </w:style>
  <w:style w:type="character" w:styleId="EndnoteReference">
    <w:name w:val="endnote reference"/>
    <w:basedOn w:val="DefaultParagraphFont"/>
    <w:uiPriority w:val="99"/>
    <w:semiHidden/>
    <w:unhideWhenUsed/>
    <w:rsid w:val="007F767B"/>
    <w:rPr>
      <w:vertAlign w:val="superscript"/>
    </w:rPr>
  </w:style>
  <w:style w:type="paragraph" w:customStyle="1" w:styleId="EndNoteBibliographyTitle">
    <w:name w:val="EndNote Bibliography Title"/>
    <w:basedOn w:val="Normal"/>
    <w:link w:val="EndNoteBibliographyTitleChar"/>
    <w:rsid w:val="00BE5DF5"/>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BE5DF5"/>
    <w:rPr>
      <w:rFonts w:cs="Times New Roman"/>
      <w:noProof/>
      <w:sz w:val="24"/>
      <w:lang w:val="en-US"/>
    </w:rPr>
  </w:style>
  <w:style w:type="paragraph" w:customStyle="1" w:styleId="EndNoteBibliography">
    <w:name w:val="EndNote Bibliography"/>
    <w:basedOn w:val="Normal"/>
    <w:link w:val="EndNoteBibliographyChar"/>
    <w:rsid w:val="00BE5DF5"/>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BE5DF5"/>
    <w:rPr>
      <w:rFonts w:cs="Times New Roman"/>
      <w:noProof/>
      <w:sz w:val="24"/>
      <w:lang w:val="en-US"/>
    </w:rPr>
  </w:style>
  <w:style w:type="paragraph" w:styleId="Title">
    <w:name w:val="Title"/>
    <w:basedOn w:val="Normal"/>
    <w:next w:val="Normal"/>
    <w:link w:val="TitleChar"/>
    <w:uiPriority w:val="10"/>
    <w:qFormat/>
    <w:rsid w:val="00AA7B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B01"/>
    <w:rPr>
      <w:rFonts w:asciiTheme="majorHAnsi" w:eastAsiaTheme="majorEastAsia" w:hAnsiTheme="majorHAnsi" w:cstheme="majorBidi"/>
      <w:spacing w:val="-10"/>
      <w:kern w:val="28"/>
      <w:sz w:val="56"/>
      <w:szCs w:val="56"/>
    </w:rPr>
  </w:style>
  <w:style w:type="character" w:customStyle="1" w:styleId="highlight">
    <w:name w:val="highlight"/>
    <w:basedOn w:val="DefaultParagraphFont"/>
    <w:rsid w:val="001A6997"/>
  </w:style>
  <w:style w:type="character" w:customStyle="1" w:styleId="Heading1Char">
    <w:name w:val="Heading 1 Char"/>
    <w:basedOn w:val="DefaultParagraphFont"/>
    <w:link w:val="Heading1"/>
    <w:uiPriority w:val="9"/>
    <w:rsid w:val="00ED5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700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2628">
      <w:bodyDiv w:val="1"/>
      <w:marLeft w:val="0"/>
      <w:marRight w:val="0"/>
      <w:marTop w:val="0"/>
      <w:marBottom w:val="0"/>
      <w:divBdr>
        <w:top w:val="none" w:sz="0" w:space="0" w:color="auto"/>
        <w:left w:val="none" w:sz="0" w:space="0" w:color="auto"/>
        <w:bottom w:val="none" w:sz="0" w:space="0" w:color="auto"/>
        <w:right w:val="none" w:sz="0" w:space="0" w:color="auto"/>
      </w:divBdr>
    </w:div>
    <w:div w:id="682127673">
      <w:bodyDiv w:val="1"/>
      <w:marLeft w:val="0"/>
      <w:marRight w:val="0"/>
      <w:marTop w:val="0"/>
      <w:marBottom w:val="0"/>
      <w:divBdr>
        <w:top w:val="none" w:sz="0" w:space="0" w:color="auto"/>
        <w:left w:val="none" w:sz="0" w:space="0" w:color="auto"/>
        <w:bottom w:val="none" w:sz="0" w:space="0" w:color="auto"/>
        <w:right w:val="none" w:sz="0" w:space="0" w:color="auto"/>
      </w:divBdr>
      <w:divsChild>
        <w:div w:id="100533162">
          <w:marLeft w:val="1138"/>
          <w:marRight w:val="0"/>
          <w:marTop w:val="240"/>
          <w:marBottom w:val="0"/>
          <w:divBdr>
            <w:top w:val="none" w:sz="0" w:space="0" w:color="auto"/>
            <w:left w:val="none" w:sz="0" w:space="0" w:color="auto"/>
            <w:bottom w:val="none" w:sz="0" w:space="0" w:color="auto"/>
            <w:right w:val="none" w:sz="0" w:space="0" w:color="auto"/>
          </w:divBdr>
        </w:div>
        <w:div w:id="988745960">
          <w:marLeft w:val="1138"/>
          <w:marRight w:val="0"/>
          <w:marTop w:val="240"/>
          <w:marBottom w:val="0"/>
          <w:divBdr>
            <w:top w:val="none" w:sz="0" w:space="0" w:color="auto"/>
            <w:left w:val="none" w:sz="0" w:space="0" w:color="auto"/>
            <w:bottom w:val="none" w:sz="0" w:space="0" w:color="auto"/>
            <w:right w:val="none" w:sz="0" w:space="0" w:color="auto"/>
          </w:divBdr>
        </w:div>
      </w:divsChild>
    </w:div>
    <w:div w:id="893929881">
      <w:bodyDiv w:val="1"/>
      <w:marLeft w:val="0"/>
      <w:marRight w:val="0"/>
      <w:marTop w:val="0"/>
      <w:marBottom w:val="0"/>
      <w:divBdr>
        <w:top w:val="none" w:sz="0" w:space="0" w:color="auto"/>
        <w:left w:val="none" w:sz="0" w:space="0" w:color="auto"/>
        <w:bottom w:val="none" w:sz="0" w:space="0" w:color="auto"/>
        <w:right w:val="none" w:sz="0" w:space="0" w:color="auto"/>
      </w:divBdr>
    </w:div>
    <w:div w:id="1121456423">
      <w:bodyDiv w:val="1"/>
      <w:marLeft w:val="0"/>
      <w:marRight w:val="0"/>
      <w:marTop w:val="0"/>
      <w:marBottom w:val="0"/>
      <w:divBdr>
        <w:top w:val="none" w:sz="0" w:space="0" w:color="auto"/>
        <w:left w:val="none" w:sz="0" w:space="0" w:color="auto"/>
        <w:bottom w:val="none" w:sz="0" w:space="0" w:color="auto"/>
        <w:right w:val="none" w:sz="0" w:space="0" w:color="auto"/>
      </w:divBdr>
      <w:divsChild>
        <w:div w:id="75134179">
          <w:marLeft w:val="720"/>
          <w:marRight w:val="0"/>
          <w:marTop w:val="240"/>
          <w:marBottom w:val="240"/>
          <w:divBdr>
            <w:top w:val="none" w:sz="0" w:space="0" w:color="auto"/>
            <w:left w:val="none" w:sz="0" w:space="0" w:color="auto"/>
            <w:bottom w:val="none" w:sz="0" w:space="0" w:color="auto"/>
            <w:right w:val="none" w:sz="0" w:space="0" w:color="auto"/>
          </w:divBdr>
        </w:div>
        <w:div w:id="108666668">
          <w:marLeft w:val="720"/>
          <w:marRight w:val="0"/>
          <w:marTop w:val="240"/>
          <w:marBottom w:val="240"/>
          <w:divBdr>
            <w:top w:val="none" w:sz="0" w:space="0" w:color="auto"/>
            <w:left w:val="none" w:sz="0" w:space="0" w:color="auto"/>
            <w:bottom w:val="none" w:sz="0" w:space="0" w:color="auto"/>
            <w:right w:val="none" w:sz="0" w:space="0" w:color="auto"/>
          </w:divBdr>
        </w:div>
        <w:div w:id="1663003685">
          <w:marLeft w:val="720"/>
          <w:marRight w:val="0"/>
          <w:marTop w:val="240"/>
          <w:marBottom w:val="240"/>
          <w:divBdr>
            <w:top w:val="none" w:sz="0" w:space="0" w:color="auto"/>
            <w:left w:val="none" w:sz="0" w:space="0" w:color="auto"/>
            <w:bottom w:val="none" w:sz="0" w:space="0" w:color="auto"/>
            <w:right w:val="none" w:sz="0" w:space="0" w:color="auto"/>
          </w:divBdr>
        </w:div>
        <w:div w:id="2041972431">
          <w:marLeft w:val="720"/>
          <w:marRight w:val="0"/>
          <w:marTop w:val="240"/>
          <w:marBottom w:val="240"/>
          <w:divBdr>
            <w:top w:val="none" w:sz="0" w:space="0" w:color="auto"/>
            <w:left w:val="none" w:sz="0" w:space="0" w:color="auto"/>
            <w:bottom w:val="none" w:sz="0" w:space="0" w:color="auto"/>
            <w:right w:val="none" w:sz="0" w:space="0" w:color="auto"/>
          </w:divBdr>
        </w:div>
        <w:div w:id="2075856912">
          <w:marLeft w:val="720"/>
          <w:marRight w:val="0"/>
          <w:marTop w:val="240"/>
          <w:marBottom w:val="240"/>
          <w:divBdr>
            <w:top w:val="none" w:sz="0" w:space="0" w:color="auto"/>
            <w:left w:val="none" w:sz="0" w:space="0" w:color="auto"/>
            <w:bottom w:val="none" w:sz="0" w:space="0" w:color="auto"/>
            <w:right w:val="none" w:sz="0" w:space="0" w:color="auto"/>
          </w:divBdr>
        </w:div>
      </w:divsChild>
    </w:div>
    <w:div w:id="1284724253">
      <w:bodyDiv w:val="1"/>
      <w:marLeft w:val="0"/>
      <w:marRight w:val="0"/>
      <w:marTop w:val="0"/>
      <w:marBottom w:val="0"/>
      <w:divBdr>
        <w:top w:val="none" w:sz="0" w:space="0" w:color="auto"/>
        <w:left w:val="none" w:sz="0" w:space="0" w:color="auto"/>
        <w:bottom w:val="none" w:sz="0" w:space="0" w:color="auto"/>
        <w:right w:val="none" w:sz="0" w:space="0" w:color="auto"/>
      </w:divBdr>
      <w:divsChild>
        <w:div w:id="1058671071">
          <w:marLeft w:val="0"/>
          <w:marRight w:val="0"/>
          <w:marTop w:val="0"/>
          <w:marBottom w:val="0"/>
          <w:divBdr>
            <w:top w:val="none" w:sz="0" w:space="0" w:color="auto"/>
            <w:left w:val="none" w:sz="0" w:space="0" w:color="auto"/>
            <w:bottom w:val="none" w:sz="0" w:space="0" w:color="auto"/>
            <w:right w:val="none" w:sz="0" w:space="0" w:color="auto"/>
          </w:divBdr>
        </w:div>
      </w:divsChild>
    </w:div>
    <w:div w:id="1371764145">
      <w:bodyDiv w:val="1"/>
      <w:marLeft w:val="0"/>
      <w:marRight w:val="0"/>
      <w:marTop w:val="0"/>
      <w:marBottom w:val="0"/>
      <w:divBdr>
        <w:top w:val="none" w:sz="0" w:space="0" w:color="auto"/>
        <w:left w:val="none" w:sz="0" w:space="0" w:color="auto"/>
        <w:bottom w:val="none" w:sz="0" w:space="0" w:color="auto"/>
        <w:right w:val="none" w:sz="0" w:space="0" w:color="auto"/>
      </w:divBdr>
      <w:divsChild>
        <w:div w:id="346450280">
          <w:marLeft w:val="1138"/>
          <w:marRight w:val="0"/>
          <w:marTop w:val="240"/>
          <w:marBottom w:val="0"/>
          <w:divBdr>
            <w:top w:val="none" w:sz="0" w:space="0" w:color="auto"/>
            <w:left w:val="none" w:sz="0" w:space="0" w:color="auto"/>
            <w:bottom w:val="none" w:sz="0" w:space="0" w:color="auto"/>
            <w:right w:val="none" w:sz="0" w:space="0" w:color="auto"/>
          </w:divBdr>
        </w:div>
        <w:div w:id="702512079">
          <w:marLeft w:val="418"/>
          <w:marRight w:val="0"/>
          <w:marTop w:val="240"/>
          <w:marBottom w:val="0"/>
          <w:divBdr>
            <w:top w:val="none" w:sz="0" w:space="0" w:color="auto"/>
            <w:left w:val="none" w:sz="0" w:space="0" w:color="auto"/>
            <w:bottom w:val="none" w:sz="0" w:space="0" w:color="auto"/>
            <w:right w:val="none" w:sz="0" w:space="0" w:color="auto"/>
          </w:divBdr>
        </w:div>
        <w:div w:id="716203491">
          <w:marLeft w:val="418"/>
          <w:marRight w:val="0"/>
          <w:marTop w:val="240"/>
          <w:marBottom w:val="0"/>
          <w:divBdr>
            <w:top w:val="none" w:sz="0" w:space="0" w:color="auto"/>
            <w:left w:val="none" w:sz="0" w:space="0" w:color="auto"/>
            <w:bottom w:val="none" w:sz="0" w:space="0" w:color="auto"/>
            <w:right w:val="none" w:sz="0" w:space="0" w:color="auto"/>
          </w:divBdr>
        </w:div>
        <w:div w:id="731775221">
          <w:marLeft w:val="1138"/>
          <w:marRight w:val="0"/>
          <w:marTop w:val="240"/>
          <w:marBottom w:val="0"/>
          <w:divBdr>
            <w:top w:val="none" w:sz="0" w:space="0" w:color="auto"/>
            <w:left w:val="none" w:sz="0" w:space="0" w:color="auto"/>
            <w:bottom w:val="none" w:sz="0" w:space="0" w:color="auto"/>
            <w:right w:val="none" w:sz="0" w:space="0" w:color="auto"/>
          </w:divBdr>
        </w:div>
        <w:div w:id="885337712">
          <w:marLeft w:val="1138"/>
          <w:marRight w:val="0"/>
          <w:marTop w:val="240"/>
          <w:marBottom w:val="0"/>
          <w:divBdr>
            <w:top w:val="none" w:sz="0" w:space="0" w:color="auto"/>
            <w:left w:val="none" w:sz="0" w:space="0" w:color="auto"/>
            <w:bottom w:val="none" w:sz="0" w:space="0" w:color="auto"/>
            <w:right w:val="none" w:sz="0" w:space="0" w:color="auto"/>
          </w:divBdr>
        </w:div>
        <w:div w:id="998578502">
          <w:marLeft w:val="1138"/>
          <w:marRight w:val="0"/>
          <w:marTop w:val="240"/>
          <w:marBottom w:val="0"/>
          <w:divBdr>
            <w:top w:val="none" w:sz="0" w:space="0" w:color="auto"/>
            <w:left w:val="none" w:sz="0" w:space="0" w:color="auto"/>
            <w:bottom w:val="none" w:sz="0" w:space="0" w:color="auto"/>
            <w:right w:val="none" w:sz="0" w:space="0" w:color="auto"/>
          </w:divBdr>
        </w:div>
        <w:div w:id="1192645263">
          <w:marLeft w:val="418"/>
          <w:marRight w:val="0"/>
          <w:marTop w:val="240"/>
          <w:marBottom w:val="0"/>
          <w:divBdr>
            <w:top w:val="none" w:sz="0" w:space="0" w:color="auto"/>
            <w:left w:val="none" w:sz="0" w:space="0" w:color="auto"/>
            <w:bottom w:val="none" w:sz="0" w:space="0" w:color="auto"/>
            <w:right w:val="none" w:sz="0" w:space="0" w:color="auto"/>
          </w:divBdr>
        </w:div>
        <w:div w:id="1819223554">
          <w:marLeft w:val="1138"/>
          <w:marRight w:val="0"/>
          <w:marTop w:val="240"/>
          <w:marBottom w:val="0"/>
          <w:divBdr>
            <w:top w:val="none" w:sz="0" w:space="0" w:color="auto"/>
            <w:left w:val="none" w:sz="0" w:space="0" w:color="auto"/>
            <w:bottom w:val="none" w:sz="0" w:space="0" w:color="auto"/>
            <w:right w:val="none" w:sz="0" w:space="0" w:color="auto"/>
          </w:divBdr>
        </w:div>
      </w:divsChild>
    </w:div>
    <w:div w:id="1476483023">
      <w:bodyDiv w:val="1"/>
      <w:marLeft w:val="0"/>
      <w:marRight w:val="0"/>
      <w:marTop w:val="0"/>
      <w:marBottom w:val="0"/>
      <w:divBdr>
        <w:top w:val="none" w:sz="0" w:space="0" w:color="auto"/>
        <w:left w:val="none" w:sz="0" w:space="0" w:color="auto"/>
        <w:bottom w:val="none" w:sz="0" w:space="0" w:color="auto"/>
        <w:right w:val="none" w:sz="0" w:space="0" w:color="auto"/>
      </w:divBdr>
      <w:divsChild>
        <w:div w:id="422148087">
          <w:marLeft w:val="418"/>
          <w:marRight w:val="0"/>
          <w:marTop w:val="240"/>
          <w:marBottom w:val="240"/>
          <w:divBdr>
            <w:top w:val="none" w:sz="0" w:space="0" w:color="auto"/>
            <w:left w:val="none" w:sz="0" w:space="0" w:color="auto"/>
            <w:bottom w:val="none" w:sz="0" w:space="0" w:color="auto"/>
            <w:right w:val="none" w:sz="0" w:space="0" w:color="auto"/>
          </w:divBdr>
        </w:div>
        <w:div w:id="804658258">
          <w:marLeft w:val="418"/>
          <w:marRight w:val="0"/>
          <w:marTop w:val="240"/>
          <w:marBottom w:val="240"/>
          <w:divBdr>
            <w:top w:val="none" w:sz="0" w:space="0" w:color="auto"/>
            <w:left w:val="none" w:sz="0" w:space="0" w:color="auto"/>
            <w:bottom w:val="none" w:sz="0" w:space="0" w:color="auto"/>
            <w:right w:val="none" w:sz="0" w:space="0" w:color="auto"/>
          </w:divBdr>
        </w:div>
        <w:div w:id="841972272">
          <w:marLeft w:val="418"/>
          <w:marRight w:val="0"/>
          <w:marTop w:val="240"/>
          <w:marBottom w:val="240"/>
          <w:divBdr>
            <w:top w:val="none" w:sz="0" w:space="0" w:color="auto"/>
            <w:left w:val="none" w:sz="0" w:space="0" w:color="auto"/>
            <w:bottom w:val="none" w:sz="0" w:space="0" w:color="auto"/>
            <w:right w:val="none" w:sz="0" w:space="0" w:color="auto"/>
          </w:divBdr>
        </w:div>
        <w:div w:id="1158958979">
          <w:marLeft w:val="418"/>
          <w:marRight w:val="0"/>
          <w:marTop w:val="240"/>
          <w:marBottom w:val="240"/>
          <w:divBdr>
            <w:top w:val="none" w:sz="0" w:space="0" w:color="auto"/>
            <w:left w:val="none" w:sz="0" w:space="0" w:color="auto"/>
            <w:bottom w:val="none" w:sz="0" w:space="0" w:color="auto"/>
            <w:right w:val="none" w:sz="0" w:space="0" w:color="auto"/>
          </w:divBdr>
        </w:div>
        <w:div w:id="1382048444">
          <w:marLeft w:val="418"/>
          <w:marRight w:val="0"/>
          <w:marTop w:val="240"/>
          <w:marBottom w:val="240"/>
          <w:divBdr>
            <w:top w:val="none" w:sz="0" w:space="0" w:color="auto"/>
            <w:left w:val="none" w:sz="0" w:space="0" w:color="auto"/>
            <w:bottom w:val="none" w:sz="0" w:space="0" w:color="auto"/>
            <w:right w:val="none" w:sz="0" w:space="0" w:color="auto"/>
          </w:divBdr>
        </w:div>
        <w:div w:id="1409035129">
          <w:marLeft w:val="1138"/>
          <w:marRight w:val="0"/>
          <w:marTop w:val="240"/>
          <w:marBottom w:val="240"/>
          <w:divBdr>
            <w:top w:val="none" w:sz="0" w:space="0" w:color="auto"/>
            <w:left w:val="none" w:sz="0" w:space="0" w:color="auto"/>
            <w:bottom w:val="none" w:sz="0" w:space="0" w:color="auto"/>
            <w:right w:val="none" w:sz="0" w:space="0" w:color="auto"/>
          </w:divBdr>
        </w:div>
      </w:divsChild>
    </w:div>
    <w:div w:id="1531450013">
      <w:bodyDiv w:val="1"/>
      <w:marLeft w:val="0"/>
      <w:marRight w:val="0"/>
      <w:marTop w:val="0"/>
      <w:marBottom w:val="0"/>
      <w:divBdr>
        <w:top w:val="none" w:sz="0" w:space="0" w:color="auto"/>
        <w:left w:val="none" w:sz="0" w:space="0" w:color="auto"/>
        <w:bottom w:val="none" w:sz="0" w:space="0" w:color="auto"/>
        <w:right w:val="none" w:sz="0" w:space="0" w:color="auto"/>
      </w:divBdr>
      <w:divsChild>
        <w:div w:id="880678399">
          <w:marLeft w:val="1138"/>
          <w:marRight w:val="0"/>
          <w:marTop w:val="240"/>
          <w:marBottom w:val="0"/>
          <w:divBdr>
            <w:top w:val="none" w:sz="0" w:space="0" w:color="auto"/>
            <w:left w:val="none" w:sz="0" w:space="0" w:color="auto"/>
            <w:bottom w:val="none" w:sz="0" w:space="0" w:color="auto"/>
            <w:right w:val="none" w:sz="0" w:space="0" w:color="auto"/>
          </w:divBdr>
        </w:div>
      </w:divsChild>
    </w:div>
    <w:div w:id="1557201898">
      <w:bodyDiv w:val="1"/>
      <w:marLeft w:val="0"/>
      <w:marRight w:val="0"/>
      <w:marTop w:val="0"/>
      <w:marBottom w:val="0"/>
      <w:divBdr>
        <w:top w:val="none" w:sz="0" w:space="0" w:color="auto"/>
        <w:left w:val="none" w:sz="0" w:space="0" w:color="auto"/>
        <w:bottom w:val="none" w:sz="0" w:space="0" w:color="auto"/>
        <w:right w:val="none" w:sz="0" w:space="0" w:color="auto"/>
      </w:divBdr>
      <w:divsChild>
        <w:div w:id="1035807948">
          <w:marLeft w:val="0"/>
          <w:marRight w:val="0"/>
          <w:marTop w:val="0"/>
          <w:marBottom w:val="0"/>
          <w:divBdr>
            <w:top w:val="none" w:sz="0" w:space="0" w:color="auto"/>
            <w:left w:val="none" w:sz="0" w:space="0" w:color="auto"/>
            <w:bottom w:val="none" w:sz="0" w:space="0" w:color="auto"/>
            <w:right w:val="none" w:sz="0" w:space="0" w:color="auto"/>
          </w:divBdr>
        </w:div>
        <w:div w:id="489179381">
          <w:marLeft w:val="0"/>
          <w:marRight w:val="0"/>
          <w:marTop w:val="0"/>
          <w:marBottom w:val="0"/>
          <w:divBdr>
            <w:top w:val="none" w:sz="0" w:space="0" w:color="auto"/>
            <w:left w:val="none" w:sz="0" w:space="0" w:color="auto"/>
            <w:bottom w:val="none" w:sz="0" w:space="0" w:color="auto"/>
            <w:right w:val="none" w:sz="0" w:space="0" w:color="auto"/>
          </w:divBdr>
        </w:div>
        <w:div w:id="1803113533">
          <w:marLeft w:val="0"/>
          <w:marRight w:val="0"/>
          <w:marTop w:val="0"/>
          <w:marBottom w:val="0"/>
          <w:divBdr>
            <w:top w:val="none" w:sz="0" w:space="0" w:color="auto"/>
            <w:left w:val="none" w:sz="0" w:space="0" w:color="auto"/>
            <w:bottom w:val="none" w:sz="0" w:space="0" w:color="auto"/>
            <w:right w:val="none" w:sz="0" w:space="0" w:color="auto"/>
          </w:divBdr>
        </w:div>
        <w:div w:id="949698820">
          <w:marLeft w:val="0"/>
          <w:marRight w:val="0"/>
          <w:marTop w:val="0"/>
          <w:marBottom w:val="0"/>
          <w:divBdr>
            <w:top w:val="none" w:sz="0" w:space="0" w:color="auto"/>
            <w:left w:val="none" w:sz="0" w:space="0" w:color="auto"/>
            <w:bottom w:val="none" w:sz="0" w:space="0" w:color="auto"/>
            <w:right w:val="none" w:sz="0" w:space="0" w:color="auto"/>
          </w:divBdr>
        </w:div>
        <w:div w:id="1403257605">
          <w:marLeft w:val="0"/>
          <w:marRight w:val="0"/>
          <w:marTop w:val="0"/>
          <w:marBottom w:val="0"/>
          <w:divBdr>
            <w:top w:val="none" w:sz="0" w:space="0" w:color="auto"/>
            <w:left w:val="none" w:sz="0" w:space="0" w:color="auto"/>
            <w:bottom w:val="none" w:sz="0" w:space="0" w:color="auto"/>
            <w:right w:val="none" w:sz="0" w:space="0" w:color="auto"/>
          </w:divBdr>
        </w:div>
      </w:divsChild>
    </w:div>
    <w:div w:id="1595548620">
      <w:bodyDiv w:val="1"/>
      <w:marLeft w:val="0"/>
      <w:marRight w:val="0"/>
      <w:marTop w:val="0"/>
      <w:marBottom w:val="0"/>
      <w:divBdr>
        <w:top w:val="none" w:sz="0" w:space="0" w:color="auto"/>
        <w:left w:val="none" w:sz="0" w:space="0" w:color="auto"/>
        <w:bottom w:val="none" w:sz="0" w:space="0" w:color="auto"/>
        <w:right w:val="none" w:sz="0" w:space="0" w:color="auto"/>
      </w:divBdr>
    </w:div>
    <w:div w:id="1679844187">
      <w:bodyDiv w:val="1"/>
      <w:marLeft w:val="0"/>
      <w:marRight w:val="0"/>
      <w:marTop w:val="0"/>
      <w:marBottom w:val="0"/>
      <w:divBdr>
        <w:top w:val="none" w:sz="0" w:space="0" w:color="auto"/>
        <w:left w:val="none" w:sz="0" w:space="0" w:color="auto"/>
        <w:bottom w:val="none" w:sz="0" w:space="0" w:color="auto"/>
        <w:right w:val="none" w:sz="0" w:space="0" w:color="auto"/>
      </w:divBdr>
      <w:divsChild>
        <w:div w:id="30736935">
          <w:marLeft w:val="0"/>
          <w:marRight w:val="0"/>
          <w:marTop w:val="0"/>
          <w:marBottom w:val="0"/>
          <w:divBdr>
            <w:top w:val="none" w:sz="0" w:space="0" w:color="auto"/>
            <w:left w:val="none" w:sz="0" w:space="0" w:color="auto"/>
            <w:bottom w:val="none" w:sz="0" w:space="0" w:color="auto"/>
            <w:right w:val="none" w:sz="0" w:space="0" w:color="auto"/>
          </w:divBdr>
        </w:div>
        <w:div w:id="286401643">
          <w:marLeft w:val="0"/>
          <w:marRight w:val="0"/>
          <w:marTop w:val="0"/>
          <w:marBottom w:val="0"/>
          <w:divBdr>
            <w:top w:val="none" w:sz="0" w:space="0" w:color="auto"/>
            <w:left w:val="none" w:sz="0" w:space="0" w:color="auto"/>
            <w:bottom w:val="none" w:sz="0" w:space="0" w:color="auto"/>
            <w:right w:val="none" w:sz="0" w:space="0" w:color="auto"/>
          </w:divBdr>
        </w:div>
        <w:div w:id="396710339">
          <w:marLeft w:val="0"/>
          <w:marRight w:val="0"/>
          <w:marTop w:val="0"/>
          <w:marBottom w:val="0"/>
          <w:divBdr>
            <w:top w:val="none" w:sz="0" w:space="0" w:color="auto"/>
            <w:left w:val="none" w:sz="0" w:space="0" w:color="auto"/>
            <w:bottom w:val="none" w:sz="0" w:space="0" w:color="auto"/>
            <w:right w:val="none" w:sz="0" w:space="0" w:color="auto"/>
          </w:divBdr>
        </w:div>
        <w:div w:id="481891935">
          <w:marLeft w:val="0"/>
          <w:marRight w:val="0"/>
          <w:marTop w:val="0"/>
          <w:marBottom w:val="0"/>
          <w:divBdr>
            <w:top w:val="none" w:sz="0" w:space="0" w:color="auto"/>
            <w:left w:val="none" w:sz="0" w:space="0" w:color="auto"/>
            <w:bottom w:val="none" w:sz="0" w:space="0" w:color="auto"/>
            <w:right w:val="none" w:sz="0" w:space="0" w:color="auto"/>
          </w:divBdr>
        </w:div>
        <w:div w:id="524905434">
          <w:marLeft w:val="0"/>
          <w:marRight w:val="0"/>
          <w:marTop w:val="0"/>
          <w:marBottom w:val="0"/>
          <w:divBdr>
            <w:top w:val="none" w:sz="0" w:space="0" w:color="auto"/>
            <w:left w:val="none" w:sz="0" w:space="0" w:color="auto"/>
            <w:bottom w:val="none" w:sz="0" w:space="0" w:color="auto"/>
            <w:right w:val="none" w:sz="0" w:space="0" w:color="auto"/>
          </w:divBdr>
        </w:div>
        <w:div w:id="915213288">
          <w:marLeft w:val="0"/>
          <w:marRight w:val="0"/>
          <w:marTop w:val="0"/>
          <w:marBottom w:val="0"/>
          <w:divBdr>
            <w:top w:val="none" w:sz="0" w:space="0" w:color="auto"/>
            <w:left w:val="none" w:sz="0" w:space="0" w:color="auto"/>
            <w:bottom w:val="none" w:sz="0" w:space="0" w:color="auto"/>
            <w:right w:val="none" w:sz="0" w:space="0" w:color="auto"/>
          </w:divBdr>
        </w:div>
        <w:div w:id="1122264324">
          <w:marLeft w:val="0"/>
          <w:marRight w:val="0"/>
          <w:marTop w:val="0"/>
          <w:marBottom w:val="0"/>
          <w:divBdr>
            <w:top w:val="none" w:sz="0" w:space="0" w:color="auto"/>
            <w:left w:val="none" w:sz="0" w:space="0" w:color="auto"/>
            <w:bottom w:val="none" w:sz="0" w:space="0" w:color="auto"/>
            <w:right w:val="none" w:sz="0" w:space="0" w:color="auto"/>
          </w:divBdr>
        </w:div>
        <w:div w:id="1137406795">
          <w:marLeft w:val="0"/>
          <w:marRight w:val="0"/>
          <w:marTop w:val="0"/>
          <w:marBottom w:val="0"/>
          <w:divBdr>
            <w:top w:val="none" w:sz="0" w:space="0" w:color="auto"/>
            <w:left w:val="none" w:sz="0" w:space="0" w:color="auto"/>
            <w:bottom w:val="none" w:sz="0" w:space="0" w:color="auto"/>
            <w:right w:val="none" w:sz="0" w:space="0" w:color="auto"/>
          </w:divBdr>
        </w:div>
        <w:div w:id="1225604013">
          <w:marLeft w:val="0"/>
          <w:marRight w:val="0"/>
          <w:marTop w:val="0"/>
          <w:marBottom w:val="0"/>
          <w:divBdr>
            <w:top w:val="none" w:sz="0" w:space="0" w:color="auto"/>
            <w:left w:val="none" w:sz="0" w:space="0" w:color="auto"/>
            <w:bottom w:val="none" w:sz="0" w:space="0" w:color="auto"/>
            <w:right w:val="none" w:sz="0" w:space="0" w:color="auto"/>
          </w:divBdr>
        </w:div>
      </w:divsChild>
    </w:div>
    <w:div w:id="2048482272">
      <w:bodyDiv w:val="1"/>
      <w:marLeft w:val="0"/>
      <w:marRight w:val="0"/>
      <w:marTop w:val="0"/>
      <w:marBottom w:val="0"/>
      <w:divBdr>
        <w:top w:val="none" w:sz="0" w:space="0" w:color="auto"/>
        <w:left w:val="none" w:sz="0" w:space="0" w:color="auto"/>
        <w:bottom w:val="none" w:sz="0" w:space="0" w:color="auto"/>
        <w:right w:val="none" w:sz="0" w:space="0" w:color="auto"/>
      </w:divBdr>
      <w:divsChild>
        <w:div w:id="2033334869">
          <w:marLeft w:val="1138"/>
          <w:marRight w:val="0"/>
          <w:marTop w:val="240"/>
          <w:marBottom w:val="0"/>
          <w:divBdr>
            <w:top w:val="none" w:sz="0" w:space="0" w:color="auto"/>
            <w:left w:val="none" w:sz="0" w:space="0" w:color="auto"/>
            <w:bottom w:val="none" w:sz="0" w:space="0" w:color="auto"/>
            <w:right w:val="none" w:sz="0" w:space="0" w:color="auto"/>
          </w:divBdr>
        </w:div>
      </w:divsChild>
    </w:div>
    <w:div w:id="2056466256">
      <w:bodyDiv w:val="1"/>
      <w:marLeft w:val="0"/>
      <w:marRight w:val="0"/>
      <w:marTop w:val="0"/>
      <w:marBottom w:val="0"/>
      <w:divBdr>
        <w:top w:val="none" w:sz="0" w:space="0" w:color="auto"/>
        <w:left w:val="none" w:sz="0" w:space="0" w:color="auto"/>
        <w:bottom w:val="none" w:sz="0" w:space="0" w:color="auto"/>
        <w:right w:val="none" w:sz="0" w:space="0" w:color="auto"/>
      </w:divBdr>
      <w:divsChild>
        <w:div w:id="642542251">
          <w:marLeft w:val="1138"/>
          <w:marRight w:val="0"/>
          <w:marTop w:val="0"/>
          <w:marBottom w:val="120"/>
          <w:divBdr>
            <w:top w:val="none" w:sz="0" w:space="0" w:color="auto"/>
            <w:left w:val="none" w:sz="0" w:space="0" w:color="auto"/>
            <w:bottom w:val="none" w:sz="0" w:space="0" w:color="auto"/>
            <w:right w:val="none" w:sz="0" w:space="0" w:color="auto"/>
          </w:divBdr>
        </w:div>
        <w:div w:id="904725150">
          <w:marLeft w:val="1138"/>
          <w:marRight w:val="0"/>
          <w:marTop w:val="0"/>
          <w:marBottom w:val="120"/>
          <w:divBdr>
            <w:top w:val="none" w:sz="0" w:space="0" w:color="auto"/>
            <w:left w:val="none" w:sz="0" w:space="0" w:color="auto"/>
            <w:bottom w:val="none" w:sz="0" w:space="0" w:color="auto"/>
            <w:right w:val="none" w:sz="0" w:space="0" w:color="auto"/>
          </w:divBdr>
        </w:div>
        <w:div w:id="1500805297">
          <w:marLeft w:val="113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3B0D-B96B-41C3-8E3A-9D0BC53F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7208</Words>
  <Characters>41090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Ashmore</dc:creator>
  <cp:lastModifiedBy>David Ashmore</cp:lastModifiedBy>
  <cp:revision>14</cp:revision>
  <dcterms:created xsi:type="dcterms:W3CDTF">2018-03-01T04:50:00Z</dcterms:created>
  <dcterms:modified xsi:type="dcterms:W3CDTF">2018-05-25T03:34:00Z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zotero-version="4.0.29.21"&gt;&lt;session id="Z5iTrIFY"/&gt;&lt;style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value=""/&gt;&lt;pref name="noteType" value=""/&gt;&lt;/prefs&gt;&lt;/data&gt;</vt:lpwstr>
  </property>
</Properties>
</file>