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42D2B" w14:textId="606F0A39" w:rsidR="4B37E46A" w:rsidRDefault="00267066" w:rsidP="00610382">
      <w:pPr>
        <w:pStyle w:val="Heading1"/>
        <w:spacing w:line="360" w:lineRule="auto"/>
        <w:rPr>
          <w:lang w:val="en-US"/>
        </w:rPr>
      </w:pPr>
      <w:r w:rsidRPr="42A3B06F">
        <w:rPr>
          <w:lang w:val="en-US"/>
        </w:rPr>
        <w:t xml:space="preserve">Global burden of </w:t>
      </w:r>
      <w:r w:rsidRPr="00F70661">
        <w:rPr>
          <w:lang w:val="en-US"/>
        </w:rPr>
        <w:t>2</w:t>
      </w:r>
      <w:r w:rsidR="00A257C6" w:rsidRPr="00F70661">
        <w:rPr>
          <w:lang w:val="en-US"/>
        </w:rPr>
        <w:t>8</w:t>
      </w:r>
      <w:r w:rsidR="002E17AC" w:rsidRPr="00F70661">
        <w:rPr>
          <w:lang w:val="en-US"/>
        </w:rPr>
        <w:t>8</w:t>
      </w:r>
      <w:r w:rsidRPr="42A3B06F">
        <w:rPr>
          <w:lang w:val="en-US"/>
        </w:rPr>
        <w:t xml:space="preserve"> causes of death</w:t>
      </w:r>
      <w:r w:rsidR="4B37E46A" w:rsidRPr="42A3B06F">
        <w:rPr>
          <w:lang w:val="en-US"/>
        </w:rPr>
        <w:t xml:space="preserve"> </w:t>
      </w:r>
      <w:r w:rsidR="00481AF2" w:rsidRPr="42A3B06F">
        <w:rPr>
          <w:lang w:val="en-US"/>
        </w:rPr>
        <w:t>and life</w:t>
      </w:r>
      <w:r w:rsidR="05C33237" w:rsidRPr="65E5150A">
        <w:rPr>
          <w:lang w:val="en-US"/>
        </w:rPr>
        <w:t xml:space="preserve"> </w:t>
      </w:r>
      <w:r w:rsidR="00481AF2" w:rsidRPr="42A3B06F">
        <w:rPr>
          <w:lang w:val="en-US"/>
        </w:rPr>
        <w:t xml:space="preserve">expectancy decomposition </w:t>
      </w:r>
      <w:r w:rsidR="4B37E46A" w:rsidRPr="42A3B06F">
        <w:rPr>
          <w:lang w:val="en-US"/>
        </w:rPr>
        <w:t xml:space="preserve">in 204 countries </w:t>
      </w:r>
      <w:r w:rsidR="5B33CCDD" w:rsidRPr="5FFFB61C">
        <w:rPr>
          <w:lang w:val="en-US"/>
        </w:rPr>
        <w:t xml:space="preserve">and territories </w:t>
      </w:r>
      <w:r w:rsidR="4B37E46A" w:rsidRPr="5FFFB61C">
        <w:rPr>
          <w:lang w:val="en-US"/>
        </w:rPr>
        <w:t>an</w:t>
      </w:r>
      <w:r w:rsidR="4B37E46A" w:rsidRPr="00F70661">
        <w:rPr>
          <w:lang w:val="en-US"/>
        </w:rPr>
        <w:t xml:space="preserve">d </w:t>
      </w:r>
      <w:r w:rsidR="3D948993" w:rsidRPr="00F70661">
        <w:rPr>
          <w:lang w:val="en-US"/>
        </w:rPr>
        <w:t xml:space="preserve">811 </w:t>
      </w:r>
      <w:r w:rsidR="008C5CCC" w:rsidRPr="00F70661">
        <w:rPr>
          <w:lang w:val="en-US"/>
        </w:rPr>
        <w:t>s</w:t>
      </w:r>
      <w:r w:rsidR="008C5CCC" w:rsidRPr="42A3B06F">
        <w:rPr>
          <w:lang w:val="en-US"/>
        </w:rPr>
        <w:t>ubnational locations</w:t>
      </w:r>
      <w:r w:rsidR="4B37E46A" w:rsidRPr="42A3B06F">
        <w:rPr>
          <w:lang w:val="en-US"/>
        </w:rPr>
        <w:t>, 1990</w:t>
      </w:r>
      <w:r w:rsidR="00766E8C" w:rsidRPr="42A3B06F">
        <w:rPr>
          <w:lang w:val="en-US"/>
        </w:rPr>
        <w:t>–</w:t>
      </w:r>
      <w:r w:rsidR="4B37E46A" w:rsidRPr="42A3B06F">
        <w:rPr>
          <w:lang w:val="en-US"/>
        </w:rPr>
        <w:t>202</w:t>
      </w:r>
      <w:r w:rsidR="002E17AC" w:rsidRPr="42A3B06F">
        <w:rPr>
          <w:lang w:val="en-US"/>
        </w:rPr>
        <w:t>1</w:t>
      </w:r>
      <w:r w:rsidR="4B37E46A" w:rsidRPr="42A3B06F">
        <w:rPr>
          <w:lang w:val="en-US"/>
        </w:rPr>
        <w:t>: a systematic analysis for the Global Burden of Disease Study 202</w:t>
      </w:r>
      <w:r w:rsidR="3505132C" w:rsidRPr="42A3B06F">
        <w:rPr>
          <w:lang w:val="en-US"/>
        </w:rPr>
        <w:t>1</w:t>
      </w:r>
    </w:p>
    <w:p w14:paraId="19209384" w14:textId="77777777" w:rsidR="00C9243E" w:rsidRPr="00C9243E" w:rsidRDefault="00C9243E" w:rsidP="00610382">
      <w:pPr>
        <w:spacing w:line="360" w:lineRule="auto"/>
        <w:rPr>
          <w:rFonts w:cs="Times New Roman"/>
        </w:rPr>
      </w:pPr>
    </w:p>
    <w:p w14:paraId="11C7E55B" w14:textId="60D06A3C" w:rsidR="00C9243E" w:rsidRPr="00736491" w:rsidRDefault="005C87D1" w:rsidP="00610382">
      <w:pPr>
        <w:spacing w:line="360" w:lineRule="auto"/>
        <w:rPr>
          <w:rFonts w:cs="Times New Roman"/>
        </w:rPr>
      </w:pPr>
      <w:r w:rsidRPr="25F6581B">
        <w:rPr>
          <w:rFonts w:cs="Times New Roman"/>
        </w:rPr>
        <w:t xml:space="preserve">GBD </w:t>
      </w:r>
      <w:r w:rsidR="0E42FFE1" w:rsidRPr="25F6581B">
        <w:rPr>
          <w:rFonts w:cs="Times New Roman"/>
        </w:rPr>
        <w:t>2</w:t>
      </w:r>
      <w:r w:rsidR="0DFE0981" w:rsidRPr="25F6581B">
        <w:rPr>
          <w:rFonts w:cs="Times New Roman"/>
        </w:rPr>
        <w:t>02</w:t>
      </w:r>
      <w:r w:rsidR="00753D5B" w:rsidRPr="25F6581B">
        <w:rPr>
          <w:rFonts w:cs="Times New Roman"/>
        </w:rPr>
        <w:t>1</w:t>
      </w:r>
      <w:r w:rsidR="0DFE0981" w:rsidRPr="25F6581B">
        <w:rPr>
          <w:rFonts w:cs="Times New Roman"/>
        </w:rPr>
        <w:t xml:space="preserve"> </w:t>
      </w:r>
      <w:r w:rsidR="00267066" w:rsidRPr="25F6581B">
        <w:rPr>
          <w:rFonts w:cs="Times New Roman"/>
        </w:rPr>
        <w:t xml:space="preserve">Causes of Death </w:t>
      </w:r>
      <w:r w:rsidR="0DFE0981" w:rsidRPr="25F6581B">
        <w:rPr>
          <w:rFonts w:cs="Times New Roman"/>
        </w:rPr>
        <w:t>C</w:t>
      </w:r>
      <w:r w:rsidRPr="25F6581B">
        <w:rPr>
          <w:rFonts w:cs="Times New Roman"/>
        </w:rPr>
        <w:t>ollaborator</w:t>
      </w:r>
      <w:r w:rsidR="000B23A2">
        <w:rPr>
          <w:rFonts w:cs="Times New Roman"/>
        </w:rPr>
        <w:t>s</w:t>
      </w:r>
    </w:p>
    <w:p w14:paraId="01E0804B" w14:textId="77777777" w:rsidR="00736491" w:rsidRPr="00952E9E" w:rsidRDefault="00736491" w:rsidP="00610382">
      <w:pPr>
        <w:spacing w:line="360" w:lineRule="auto"/>
        <w:rPr>
          <w:rFonts w:cs="Times New Roman"/>
        </w:rPr>
      </w:pPr>
    </w:p>
    <w:p w14:paraId="154FF3F9" w14:textId="2F714643" w:rsidR="00736491" w:rsidRPr="004218E1" w:rsidRDefault="00736491" w:rsidP="00610382">
      <w:pPr>
        <w:spacing w:line="360" w:lineRule="auto"/>
        <w:rPr>
          <w:rFonts w:cs="Times New Roman"/>
        </w:rPr>
      </w:pPr>
      <w:r w:rsidRPr="003678D7">
        <w:rPr>
          <w:rFonts w:cs="Times New Roman"/>
          <w:b/>
        </w:rPr>
        <w:t>Key words:</w:t>
      </w:r>
      <w:r>
        <w:rPr>
          <w:rFonts w:cs="Times New Roman"/>
        </w:rPr>
        <w:t xml:space="preserve"> </w:t>
      </w:r>
      <w:r w:rsidR="00FC463B">
        <w:rPr>
          <w:rFonts w:cs="Times New Roman"/>
        </w:rPr>
        <w:t xml:space="preserve">causes of death, </w:t>
      </w:r>
      <w:r>
        <w:rPr>
          <w:rFonts w:cs="Times New Roman"/>
        </w:rPr>
        <w:t>life expectancy</w:t>
      </w:r>
      <w:r w:rsidR="00FC463B">
        <w:rPr>
          <w:rFonts w:cs="Times New Roman"/>
        </w:rPr>
        <w:t xml:space="preserve"> decomposition</w:t>
      </w:r>
      <w:r>
        <w:rPr>
          <w:rFonts w:cs="Times New Roman"/>
        </w:rPr>
        <w:t xml:space="preserve">, mortality, </w:t>
      </w:r>
      <w:r w:rsidR="00FC463B">
        <w:rPr>
          <w:rFonts w:cs="Times New Roman"/>
        </w:rPr>
        <w:t xml:space="preserve">mortality </w:t>
      </w:r>
      <w:r w:rsidR="00123769" w:rsidRPr="65D1B0CF">
        <w:rPr>
          <w:rFonts w:cs="Times New Roman"/>
        </w:rPr>
        <w:t>concentration</w:t>
      </w:r>
      <w:r w:rsidR="00DE19B4">
        <w:rPr>
          <w:rFonts w:cs="Times New Roman"/>
        </w:rPr>
        <w:t xml:space="preserve">, </w:t>
      </w:r>
      <w:r>
        <w:rPr>
          <w:rFonts w:cs="Times New Roman"/>
        </w:rPr>
        <w:t>epidemiological transition, COVID-19</w:t>
      </w:r>
      <w:r w:rsidR="00FC463B">
        <w:rPr>
          <w:rFonts w:cs="Times New Roman"/>
        </w:rPr>
        <w:t>, global health</w:t>
      </w:r>
      <w:r>
        <w:rPr>
          <w:rFonts w:cs="Times New Roman"/>
        </w:rPr>
        <w:t>.</w:t>
      </w:r>
    </w:p>
    <w:p w14:paraId="47392139" w14:textId="77777777" w:rsidR="00B434C0" w:rsidRPr="00952E9E" w:rsidRDefault="00B434C0" w:rsidP="00B434C0">
      <w:pPr>
        <w:spacing w:line="360" w:lineRule="auto"/>
        <w:rPr>
          <w:rFonts w:cs="Times New Roman"/>
        </w:rPr>
      </w:pPr>
    </w:p>
    <w:p w14:paraId="6E0831EA" w14:textId="00C5F424" w:rsidR="00B434C0" w:rsidRPr="004E23C6" w:rsidRDefault="00B434C0" w:rsidP="00B434C0">
      <w:pPr>
        <w:spacing w:line="360" w:lineRule="auto"/>
        <w:rPr>
          <w:rFonts w:cs="Times New Roman"/>
        </w:rPr>
      </w:pPr>
      <w:r w:rsidRPr="00680053">
        <w:rPr>
          <w:rFonts w:cs="Times New Roman"/>
        </w:rPr>
        <w:t xml:space="preserve">Main </w:t>
      </w:r>
      <w:r w:rsidR="000E78D0">
        <w:rPr>
          <w:rFonts w:cs="Times New Roman"/>
        </w:rPr>
        <w:t>t</w:t>
      </w:r>
      <w:r w:rsidRPr="00680053">
        <w:rPr>
          <w:rFonts w:cs="Times New Roman"/>
        </w:rPr>
        <w:t>ext</w:t>
      </w:r>
      <w:r w:rsidR="00D026F5">
        <w:rPr>
          <w:rFonts w:cs="Times New Roman"/>
        </w:rPr>
        <w:t xml:space="preserve"> wor</w:t>
      </w:r>
      <w:r w:rsidR="00D026F5" w:rsidRPr="004E23C6">
        <w:rPr>
          <w:rFonts w:cs="Times New Roman"/>
        </w:rPr>
        <w:t>d count</w:t>
      </w:r>
      <w:r w:rsidRPr="004E23C6">
        <w:rPr>
          <w:rFonts w:cs="Times New Roman"/>
        </w:rPr>
        <w:t xml:space="preserve">: </w:t>
      </w:r>
      <w:r w:rsidR="0011403A" w:rsidRPr="00024D3C">
        <w:rPr>
          <w:rFonts w:cs="Times New Roman"/>
        </w:rPr>
        <w:t>10,</w:t>
      </w:r>
      <w:r w:rsidR="00D5028B">
        <w:rPr>
          <w:rFonts w:cs="Times New Roman"/>
        </w:rPr>
        <w:t>186</w:t>
      </w:r>
    </w:p>
    <w:p w14:paraId="6D1E0B48" w14:textId="6DE958D7" w:rsidR="00D026F5" w:rsidRPr="004E23C6" w:rsidRDefault="00D026F5" w:rsidP="00D026F5">
      <w:pPr>
        <w:spacing w:line="360" w:lineRule="auto"/>
        <w:rPr>
          <w:rFonts w:cs="Times New Roman"/>
        </w:rPr>
      </w:pPr>
      <w:r w:rsidRPr="004E23C6">
        <w:rPr>
          <w:rFonts w:cs="Times New Roman"/>
        </w:rPr>
        <w:t xml:space="preserve">Summary word count: </w:t>
      </w:r>
      <w:r w:rsidR="00B54AB7" w:rsidRPr="00024D3C">
        <w:rPr>
          <w:rFonts w:cs="Times New Roman"/>
        </w:rPr>
        <w:t>1</w:t>
      </w:r>
      <w:r w:rsidR="0011403A" w:rsidRPr="00024D3C">
        <w:rPr>
          <w:rFonts w:cs="Times New Roman"/>
        </w:rPr>
        <w:t>,</w:t>
      </w:r>
      <w:r w:rsidR="00B54AB7" w:rsidRPr="00024D3C">
        <w:rPr>
          <w:rFonts w:cs="Times New Roman"/>
        </w:rPr>
        <w:t>0</w:t>
      </w:r>
      <w:r w:rsidR="00633E1C">
        <w:rPr>
          <w:rFonts w:cs="Times New Roman"/>
        </w:rPr>
        <w:t>70</w:t>
      </w:r>
    </w:p>
    <w:p w14:paraId="59517AC0" w14:textId="2C022F56" w:rsidR="000E78D0" w:rsidRDefault="000E78D0" w:rsidP="00D026F5">
      <w:pPr>
        <w:spacing w:line="360" w:lineRule="auto"/>
        <w:rPr>
          <w:rFonts w:cs="Times New Roman"/>
        </w:rPr>
      </w:pPr>
      <w:r w:rsidRPr="004E23C6">
        <w:rPr>
          <w:rFonts w:cs="Times New Roman"/>
        </w:rPr>
        <w:t xml:space="preserve">RIC word count: </w:t>
      </w:r>
      <w:r w:rsidR="008859C4" w:rsidRPr="00024D3C">
        <w:rPr>
          <w:rFonts w:cs="Times New Roman"/>
        </w:rPr>
        <w:t>71</w:t>
      </w:r>
      <w:r w:rsidR="00B30BD0" w:rsidRPr="00311050">
        <w:rPr>
          <w:rFonts w:cs="Times New Roman"/>
        </w:rPr>
        <w:t>8</w:t>
      </w:r>
    </w:p>
    <w:p w14:paraId="7C0D8015" w14:textId="3008330B" w:rsidR="00C01F80" w:rsidRPr="00394CA5" w:rsidRDefault="00C01F80" w:rsidP="00C01F80">
      <w:pPr>
        <w:rPr>
          <w:rFonts w:cs="Times New Roman"/>
        </w:rPr>
      </w:pPr>
      <w:r w:rsidRPr="00394CA5">
        <w:rPr>
          <w:rFonts w:cs="Times New Roman"/>
        </w:rPr>
        <w:t xml:space="preserve">Per prior agreements with </w:t>
      </w:r>
      <w:r w:rsidRPr="00394CA5">
        <w:rPr>
          <w:rFonts w:cs="Times New Roman"/>
          <w:i/>
        </w:rPr>
        <w:t>The Lancet</w:t>
      </w:r>
      <w:r w:rsidRPr="00394CA5">
        <w:rPr>
          <w:rFonts w:cs="Times New Roman"/>
        </w:rPr>
        <w:t xml:space="preserve"> and as detailed in the cover letter, we have uploaded appendix 1 (methods appendix) and appendix 2 (supplementary results appendix) to a Cloud folder. The folder can be accessed here: </w:t>
      </w:r>
      <w:hyperlink r:id="rId11" w:tgtFrame="_blank" w:history="1">
        <w:r w:rsidR="00257D86">
          <w:rPr>
            <w:rStyle w:val="Hyperlink"/>
            <w:rFonts w:ascii="Arial" w:hAnsi="Arial" w:cs="Arial"/>
            <w:sz w:val="23"/>
            <w:szCs w:val="23"/>
            <w:shd w:val="clear" w:color="auto" w:fill="F8F8F8"/>
          </w:rPr>
          <w:t>https://cloud.ihme.washington.edu/s/Q7nnHz9CBbTErrx</w:t>
        </w:r>
      </w:hyperlink>
      <w:r w:rsidR="00257D86">
        <w:t xml:space="preserve"> </w:t>
      </w:r>
      <w:r w:rsidRPr="00394CA5">
        <w:rPr>
          <w:rFonts w:cs="Times New Roman"/>
        </w:rPr>
        <w:t>(password</w:t>
      </w:r>
      <w:r w:rsidRPr="00745CD9">
        <w:rPr>
          <w:rFonts w:cs="Times New Roman"/>
        </w:rPr>
        <w:t xml:space="preserve">: </w:t>
      </w:r>
      <w:r w:rsidR="005C318D" w:rsidRPr="00745CD9">
        <w:rPr>
          <w:rFonts w:cs="Times New Roman"/>
        </w:rPr>
        <w:t>2021</w:t>
      </w:r>
      <w:r w:rsidR="004218E1" w:rsidRPr="00745CD9">
        <w:rPr>
          <w:rFonts w:cs="Times New Roman"/>
        </w:rPr>
        <w:t>COD</w:t>
      </w:r>
      <w:r w:rsidRPr="00745CD9">
        <w:rPr>
          <w:rFonts w:cs="Times New Roman"/>
        </w:rPr>
        <w:t>).</w:t>
      </w:r>
      <w:r w:rsidRPr="00394CA5">
        <w:rPr>
          <w:rFonts w:cs="Times New Roman"/>
        </w:rPr>
        <w:t xml:space="preserve"> This folder should only be accessed by </w:t>
      </w:r>
      <w:r w:rsidRPr="00DE350A">
        <w:rPr>
          <w:rFonts w:cs="Times New Roman"/>
          <w:i/>
        </w:rPr>
        <w:t>The Lancet</w:t>
      </w:r>
      <w:r w:rsidRPr="00394CA5">
        <w:rPr>
          <w:rFonts w:cs="Times New Roman"/>
        </w:rPr>
        <w:t xml:space="preserve"> and reviewers; please do not share elsewhere.</w:t>
      </w:r>
    </w:p>
    <w:p w14:paraId="21C48275" w14:textId="2BFFD895" w:rsidR="00B434C0" w:rsidRPr="00952E9E" w:rsidRDefault="00B434C0" w:rsidP="00610382">
      <w:pPr>
        <w:spacing w:line="360" w:lineRule="auto"/>
        <w:rPr>
          <w:rFonts w:cs="Times New Roman"/>
        </w:rPr>
      </w:pPr>
    </w:p>
    <w:p w14:paraId="2144CFA9" w14:textId="4A307BA7" w:rsidR="00C9243E" w:rsidRPr="003678D7" w:rsidRDefault="00C9243E" w:rsidP="00610382">
      <w:pPr>
        <w:spacing w:after="0" w:line="360" w:lineRule="auto"/>
        <w:rPr>
          <w:rFonts w:cs="Times New Roman"/>
          <w:b/>
        </w:rPr>
      </w:pPr>
      <w:r w:rsidRPr="003678D7">
        <w:rPr>
          <w:rFonts w:cs="Times New Roman"/>
          <w:b/>
        </w:rPr>
        <w:t>Corresponding author:</w:t>
      </w:r>
    </w:p>
    <w:p w14:paraId="1D325083" w14:textId="77777777" w:rsidR="003678D7" w:rsidRPr="003678D7" w:rsidRDefault="003678D7" w:rsidP="00610382">
      <w:pPr>
        <w:spacing w:after="0" w:line="360" w:lineRule="auto"/>
        <w:rPr>
          <w:rFonts w:eastAsia="Times New Roman" w:cs="Times New Roman"/>
          <w:color w:val="000000" w:themeColor="text1"/>
          <w:lang w:val="en-US"/>
        </w:rPr>
      </w:pPr>
      <w:r w:rsidRPr="003678D7">
        <w:rPr>
          <w:rFonts w:eastAsia="Times New Roman" w:cs="Times New Roman"/>
          <w:color w:val="000000" w:themeColor="text1"/>
          <w:lang w:val="en-US"/>
        </w:rPr>
        <w:t>Mohsen Naghavi, MD, PhD</w:t>
      </w:r>
    </w:p>
    <w:p w14:paraId="2E476238" w14:textId="77777777" w:rsidR="003678D7" w:rsidRPr="003678D7" w:rsidRDefault="003678D7" w:rsidP="00610382">
      <w:pPr>
        <w:spacing w:after="0" w:line="360" w:lineRule="auto"/>
        <w:rPr>
          <w:rFonts w:eastAsia="Times New Roman" w:cs="Times New Roman"/>
          <w:color w:val="000000" w:themeColor="text1"/>
          <w:lang w:val="en-US"/>
        </w:rPr>
      </w:pPr>
      <w:r w:rsidRPr="003678D7">
        <w:rPr>
          <w:rFonts w:eastAsia="Times New Roman" w:cs="Times New Roman"/>
          <w:color w:val="000000" w:themeColor="text1"/>
          <w:lang w:val="en-US"/>
        </w:rPr>
        <w:t>Professor, Department of Health Metrics Sciences</w:t>
      </w:r>
    </w:p>
    <w:p w14:paraId="038FD3C4" w14:textId="77777777" w:rsidR="003678D7" w:rsidRPr="003678D7" w:rsidRDefault="003678D7" w:rsidP="00610382">
      <w:pPr>
        <w:spacing w:after="0" w:line="360" w:lineRule="auto"/>
        <w:rPr>
          <w:rFonts w:eastAsia="Times New Roman" w:cs="Times New Roman"/>
          <w:color w:val="000000" w:themeColor="text1"/>
          <w:lang w:val="en-US"/>
        </w:rPr>
      </w:pPr>
      <w:r w:rsidRPr="003678D7">
        <w:rPr>
          <w:rFonts w:eastAsia="Times New Roman" w:cs="Times New Roman"/>
          <w:color w:val="000000" w:themeColor="text1"/>
          <w:lang w:val="en-US"/>
        </w:rPr>
        <w:t>Director of Subnational Burden of Disease Estimation</w:t>
      </w:r>
    </w:p>
    <w:p w14:paraId="3FBBBC60" w14:textId="77777777" w:rsidR="003678D7" w:rsidRPr="003678D7" w:rsidRDefault="003678D7" w:rsidP="00610382">
      <w:pPr>
        <w:spacing w:after="0" w:line="360" w:lineRule="auto"/>
        <w:rPr>
          <w:rFonts w:eastAsia="Times New Roman" w:cs="Times New Roman"/>
          <w:color w:val="000000" w:themeColor="text1"/>
          <w:lang w:val="en-US"/>
        </w:rPr>
      </w:pPr>
      <w:r w:rsidRPr="003678D7">
        <w:rPr>
          <w:rFonts w:eastAsia="Times New Roman" w:cs="Times New Roman"/>
          <w:color w:val="000000" w:themeColor="text1"/>
          <w:lang w:val="en-US"/>
        </w:rPr>
        <w:t xml:space="preserve">Institute for Health Metrics and Evaluation </w:t>
      </w:r>
    </w:p>
    <w:p w14:paraId="2036953B" w14:textId="77777777" w:rsidR="003678D7" w:rsidRPr="003678D7" w:rsidRDefault="003678D7" w:rsidP="00610382">
      <w:pPr>
        <w:spacing w:after="0" w:line="360" w:lineRule="auto"/>
        <w:rPr>
          <w:rFonts w:eastAsia="Times New Roman" w:cs="Times New Roman"/>
          <w:color w:val="000000" w:themeColor="text1"/>
          <w:lang w:val="en-US"/>
        </w:rPr>
      </w:pPr>
      <w:r w:rsidRPr="003678D7">
        <w:rPr>
          <w:rFonts w:eastAsia="Times New Roman" w:cs="Times New Roman"/>
          <w:color w:val="000000" w:themeColor="text1"/>
          <w:lang w:val="en-US"/>
        </w:rPr>
        <w:t>School of Medicine</w:t>
      </w:r>
    </w:p>
    <w:p w14:paraId="6907B08D" w14:textId="77777777" w:rsidR="003678D7" w:rsidRPr="003678D7" w:rsidRDefault="003678D7" w:rsidP="00610382">
      <w:pPr>
        <w:spacing w:after="0" w:line="360" w:lineRule="auto"/>
        <w:rPr>
          <w:rFonts w:eastAsia="Times New Roman" w:cs="Times New Roman"/>
          <w:color w:val="000000" w:themeColor="text1"/>
          <w:lang w:val="en-US"/>
        </w:rPr>
      </w:pPr>
      <w:r w:rsidRPr="003678D7">
        <w:rPr>
          <w:rFonts w:eastAsia="Times New Roman" w:cs="Times New Roman"/>
          <w:color w:val="000000" w:themeColor="text1"/>
          <w:lang w:val="en-US"/>
        </w:rPr>
        <w:t>University of Washington</w:t>
      </w:r>
    </w:p>
    <w:p w14:paraId="670D134C" w14:textId="77777777" w:rsidR="003678D7" w:rsidRPr="003678D7" w:rsidRDefault="003678D7" w:rsidP="00610382">
      <w:pPr>
        <w:spacing w:after="0" w:line="360" w:lineRule="auto"/>
        <w:rPr>
          <w:rFonts w:eastAsia="Times New Roman" w:cs="Times New Roman"/>
          <w:color w:val="000000" w:themeColor="text1"/>
          <w:lang w:val="en-US"/>
        </w:rPr>
      </w:pPr>
      <w:r w:rsidRPr="003678D7">
        <w:rPr>
          <w:rFonts w:eastAsia="Times New Roman" w:cs="Times New Roman"/>
          <w:color w:val="000000" w:themeColor="text1"/>
          <w:lang w:val="en-US"/>
        </w:rPr>
        <w:t>3980 15th Ave. NE, Seattle, WA 98195, USA</w:t>
      </w:r>
    </w:p>
    <w:p w14:paraId="7BAA3108" w14:textId="3665DF9E" w:rsidR="003678D7" w:rsidRPr="003678D7" w:rsidRDefault="003678D7" w:rsidP="00610382">
      <w:pPr>
        <w:spacing w:after="0" w:line="360" w:lineRule="auto"/>
        <w:rPr>
          <w:rFonts w:eastAsia="Times New Roman" w:cs="Times New Roman"/>
          <w:color w:val="000000" w:themeColor="text1"/>
          <w:lang w:val="en-US"/>
        </w:rPr>
      </w:pPr>
      <w:r>
        <w:rPr>
          <w:rFonts w:eastAsia="Times New Roman" w:cs="Times New Roman"/>
          <w:color w:val="000000" w:themeColor="text1"/>
          <w:lang w:val="en-US"/>
        </w:rPr>
        <w:t xml:space="preserve">+ </w:t>
      </w:r>
      <w:r w:rsidRPr="003678D7">
        <w:rPr>
          <w:rFonts w:eastAsia="Times New Roman" w:cs="Times New Roman"/>
          <w:color w:val="000000" w:themeColor="text1"/>
          <w:lang w:val="en-US"/>
        </w:rPr>
        <w:t>1 (206) 897 2818</w:t>
      </w:r>
    </w:p>
    <w:p w14:paraId="4868D8DE" w14:textId="18B77B19" w:rsidR="00651CDC" w:rsidRDefault="00DF1935" w:rsidP="00E328C2">
      <w:pPr>
        <w:spacing w:after="0" w:line="360" w:lineRule="auto"/>
        <w:rPr>
          <w:rStyle w:val="Hyperlink"/>
          <w:rFonts w:eastAsia="Times New Roman" w:cs="Times New Roman"/>
        </w:rPr>
      </w:pPr>
      <w:hyperlink r:id="rId12" w:history="1">
        <w:r w:rsidR="003678D7" w:rsidRPr="003678D7">
          <w:rPr>
            <w:rStyle w:val="Hyperlink"/>
            <w:rFonts w:eastAsia="Times New Roman" w:cs="Times New Roman"/>
            <w:lang w:val="en-US"/>
          </w:rPr>
          <w:t>nagham@uw.edu</w:t>
        </w:r>
      </w:hyperlink>
      <w:r w:rsidR="00651CDC">
        <w:rPr>
          <w:rStyle w:val="Hyperlink"/>
          <w:rFonts w:eastAsia="Times New Roman" w:cs="Times New Roman"/>
        </w:rPr>
        <w:br w:type="page"/>
      </w:r>
    </w:p>
    <w:p w14:paraId="6FB02331" w14:textId="5FCB651F" w:rsidR="00C9243E" w:rsidRPr="00EE0D4A" w:rsidRDefault="00C9243E" w:rsidP="00610382">
      <w:pPr>
        <w:pStyle w:val="Heading2"/>
        <w:spacing w:before="0" w:after="0" w:line="360" w:lineRule="auto"/>
      </w:pPr>
      <w:r w:rsidRPr="00EE0D4A">
        <w:lastRenderedPageBreak/>
        <w:t>Summary</w:t>
      </w:r>
    </w:p>
    <w:p w14:paraId="4B958E49" w14:textId="77777777" w:rsidR="00C9243E" w:rsidRDefault="00857C4A" w:rsidP="00610382">
      <w:pPr>
        <w:pStyle w:val="Heading3"/>
        <w:spacing w:line="360" w:lineRule="auto"/>
      </w:pPr>
      <w:r>
        <w:t>Background</w:t>
      </w:r>
    </w:p>
    <w:p w14:paraId="463ECCE0" w14:textId="236E00D1" w:rsidR="008B698E" w:rsidRDefault="006040D8" w:rsidP="00610382">
      <w:pPr>
        <w:spacing w:line="360" w:lineRule="auto"/>
        <w:rPr>
          <w:rFonts w:cs="Times New Roman"/>
        </w:rPr>
      </w:pPr>
      <w:r w:rsidRPr="232FCED6">
        <w:rPr>
          <w:rFonts w:cs="Times New Roman"/>
        </w:rPr>
        <w:t xml:space="preserve">Regular, detailed reporting on </w:t>
      </w:r>
      <w:r w:rsidR="00EE727B" w:rsidRPr="232FCED6">
        <w:rPr>
          <w:rFonts w:cs="Times New Roman"/>
        </w:rPr>
        <w:t xml:space="preserve">population health by underlying cause </w:t>
      </w:r>
      <w:r w:rsidR="004C5876">
        <w:rPr>
          <w:rFonts w:cs="Times New Roman"/>
        </w:rPr>
        <w:t>of death</w:t>
      </w:r>
      <w:r w:rsidR="00EE727B" w:rsidRPr="232FCED6">
        <w:rPr>
          <w:rFonts w:cs="Times New Roman"/>
        </w:rPr>
        <w:t xml:space="preserve"> is </w:t>
      </w:r>
      <w:r w:rsidR="005B2202">
        <w:rPr>
          <w:rFonts w:cs="Times New Roman"/>
        </w:rPr>
        <w:t>fundamental</w:t>
      </w:r>
      <w:r w:rsidR="00550F06">
        <w:rPr>
          <w:rFonts w:cs="Times New Roman"/>
        </w:rPr>
        <w:t xml:space="preserve"> </w:t>
      </w:r>
      <w:r w:rsidR="00244F33">
        <w:rPr>
          <w:rFonts w:cs="Times New Roman"/>
        </w:rPr>
        <w:t>for public health decision making</w:t>
      </w:r>
      <w:r w:rsidR="008B698E" w:rsidRPr="232FCED6">
        <w:rPr>
          <w:rFonts w:cs="Times New Roman"/>
        </w:rPr>
        <w:t xml:space="preserve">. </w:t>
      </w:r>
      <w:r w:rsidR="00A27AC3">
        <w:rPr>
          <w:rFonts w:cs="Times New Roman"/>
        </w:rPr>
        <w:t xml:space="preserve">Cause-specific </w:t>
      </w:r>
      <w:r w:rsidR="007101A0">
        <w:rPr>
          <w:rFonts w:cs="Times New Roman"/>
        </w:rPr>
        <w:t xml:space="preserve">estimates </w:t>
      </w:r>
      <w:r w:rsidR="009E5F40">
        <w:rPr>
          <w:rFonts w:cs="Times New Roman"/>
        </w:rPr>
        <w:t>of</w:t>
      </w:r>
      <w:r w:rsidR="00A27AC3">
        <w:rPr>
          <w:rFonts w:cs="Times New Roman"/>
        </w:rPr>
        <w:t xml:space="preserve"> mortality </w:t>
      </w:r>
      <w:r w:rsidR="0085053B">
        <w:rPr>
          <w:rFonts w:cs="Times New Roman"/>
        </w:rPr>
        <w:t xml:space="preserve">and </w:t>
      </w:r>
      <w:r w:rsidR="006947E5">
        <w:rPr>
          <w:rFonts w:cs="Times New Roman"/>
        </w:rPr>
        <w:t>the subsequent</w:t>
      </w:r>
      <w:r w:rsidR="0085053B">
        <w:rPr>
          <w:rFonts w:cs="Times New Roman"/>
        </w:rPr>
        <w:t xml:space="preserve"> impact on life expectancy</w:t>
      </w:r>
      <w:r w:rsidR="00A27AC3">
        <w:rPr>
          <w:rFonts w:cs="Times New Roman"/>
        </w:rPr>
        <w:t xml:space="preserve"> </w:t>
      </w:r>
      <w:r w:rsidR="00E36C55">
        <w:rPr>
          <w:rFonts w:cs="Times New Roman"/>
        </w:rPr>
        <w:t xml:space="preserve">worldwide </w:t>
      </w:r>
      <w:r w:rsidR="00631B46">
        <w:rPr>
          <w:rFonts w:cs="Times New Roman"/>
        </w:rPr>
        <w:t>are</w:t>
      </w:r>
      <w:r w:rsidR="0034546F">
        <w:rPr>
          <w:rFonts w:cs="Times New Roman"/>
        </w:rPr>
        <w:t xml:space="preserve"> valuable metric</w:t>
      </w:r>
      <w:r w:rsidR="009E5F40">
        <w:rPr>
          <w:rFonts w:cs="Times New Roman"/>
        </w:rPr>
        <w:t>s</w:t>
      </w:r>
      <w:r w:rsidR="0034546F">
        <w:rPr>
          <w:rFonts w:cs="Times New Roman"/>
        </w:rPr>
        <w:t xml:space="preserve"> to gauge progress in reducing mortality rates.</w:t>
      </w:r>
      <w:r w:rsidR="006D496B">
        <w:rPr>
          <w:rFonts w:cs="Times New Roman"/>
        </w:rPr>
        <w:t xml:space="preserve"> </w:t>
      </w:r>
      <w:r w:rsidR="002070E0">
        <w:rPr>
          <w:rFonts w:cs="Times New Roman"/>
        </w:rPr>
        <w:t xml:space="preserve">This is </w:t>
      </w:r>
      <w:r w:rsidR="006A2259">
        <w:rPr>
          <w:rFonts w:cs="Times New Roman"/>
        </w:rPr>
        <w:t xml:space="preserve">uniquely useful </w:t>
      </w:r>
      <w:r w:rsidR="00330133">
        <w:rPr>
          <w:rFonts w:cs="Times New Roman"/>
        </w:rPr>
        <w:t xml:space="preserve">following </w:t>
      </w:r>
      <w:r w:rsidR="0077462D">
        <w:rPr>
          <w:rFonts w:cs="Times New Roman"/>
        </w:rPr>
        <w:t>the COVID-19 pandemic</w:t>
      </w:r>
      <w:r w:rsidR="009E5F40">
        <w:rPr>
          <w:rFonts w:cs="Times New Roman"/>
        </w:rPr>
        <w:t xml:space="preserve"> and for other large-scale mortality shocks in the future</w:t>
      </w:r>
      <w:r w:rsidR="00127745">
        <w:rPr>
          <w:rFonts w:cs="Times New Roman"/>
        </w:rPr>
        <w:t xml:space="preserve">. </w:t>
      </w:r>
      <w:r w:rsidR="003716AB">
        <w:rPr>
          <w:rFonts w:cs="Times New Roman"/>
        </w:rPr>
        <w:t xml:space="preserve">When systematically </w:t>
      </w:r>
      <w:r w:rsidR="00EB6CD7">
        <w:rPr>
          <w:rFonts w:cs="Times New Roman"/>
        </w:rPr>
        <w:t>analysed</w:t>
      </w:r>
      <w:r w:rsidR="009E5F40">
        <w:rPr>
          <w:rFonts w:cs="Times New Roman"/>
        </w:rPr>
        <w:t>,</w:t>
      </w:r>
      <w:r w:rsidR="00EB6CD7">
        <w:rPr>
          <w:rFonts w:cs="Times New Roman"/>
        </w:rPr>
        <w:t xml:space="preserve"> </w:t>
      </w:r>
      <w:r w:rsidR="000A1D8D">
        <w:rPr>
          <w:rFonts w:cs="Times New Roman"/>
        </w:rPr>
        <w:t>mortality rates and life expectancy</w:t>
      </w:r>
      <w:r w:rsidR="003716AB">
        <w:rPr>
          <w:rFonts w:cs="Times New Roman"/>
        </w:rPr>
        <w:t xml:space="preserve"> </w:t>
      </w:r>
      <w:r w:rsidR="00A03FC0">
        <w:rPr>
          <w:rFonts w:cs="Times New Roman"/>
        </w:rPr>
        <w:t xml:space="preserve">allow </w:t>
      </w:r>
      <w:r w:rsidR="00EB6CD7">
        <w:rPr>
          <w:rFonts w:cs="Times New Roman"/>
        </w:rPr>
        <w:t>comparison</w:t>
      </w:r>
      <w:r w:rsidR="002A2FE2">
        <w:rPr>
          <w:rFonts w:cs="Times New Roman"/>
        </w:rPr>
        <w:t>s</w:t>
      </w:r>
      <w:r w:rsidR="00EB6CD7" w:rsidRPr="232FCED6">
        <w:rPr>
          <w:rFonts w:cs="Times New Roman"/>
        </w:rPr>
        <w:t xml:space="preserve"> </w:t>
      </w:r>
      <w:r w:rsidR="008B698E" w:rsidRPr="232FCED6">
        <w:rPr>
          <w:rFonts w:cs="Times New Roman"/>
        </w:rPr>
        <w:t xml:space="preserve">of </w:t>
      </w:r>
      <w:r w:rsidR="00B03B9D" w:rsidRPr="571800CE">
        <w:rPr>
          <w:rFonts w:cs="Times New Roman"/>
        </w:rPr>
        <w:t>the</w:t>
      </w:r>
      <w:r w:rsidR="00FB3953">
        <w:rPr>
          <w:rFonts w:cs="Times New Roman"/>
        </w:rPr>
        <w:t xml:space="preserve"> </w:t>
      </w:r>
      <w:r w:rsidR="008F036A">
        <w:rPr>
          <w:rFonts w:cs="Times New Roman"/>
        </w:rPr>
        <w:t xml:space="preserve">consequences </w:t>
      </w:r>
      <w:r w:rsidR="00B03B9D">
        <w:rPr>
          <w:rFonts w:cs="Times New Roman"/>
        </w:rPr>
        <w:t>of</w:t>
      </w:r>
      <w:r w:rsidR="00A760D9">
        <w:rPr>
          <w:rFonts w:cs="Times New Roman"/>
        </w:rPr>
        <w:t xml:space="preserve"> causes of mortality</w:t>
      </w:r>
      <w:r w:rsidR="00555961">
        <w:rPr>
          <w:rFonts w:cs="Times New Roman"/>
        </w:rPr>
        <w:t xml:space="preserve"> </w:t>
      </w:r>
      <w:r w:rsidR="00294D6F">
        <w:rPr>
          <w:rFonts w:cs="Times New Roman"/>
        </w:rPr>
        <w:t>globally</w:t>
      </w:r>
      <w:r w:rsidR="008B698E" w:rsidRPr="232FCED6">
        <w:rPr>
          <w:rFonts w:cs="Times New Roman"/>
        </w:rPr>
        <w:t xml:space="preserve"> and </w:t>
      </w:r>
      <w:r w:rsidR="008A77E8" w:rsidRPr="571800CE">
        <w:rPr>
          <w:rFonts w:cs="Times New Roman"/>
        </w:rPr>
        <w:t>over</w:t>
      </w:r>
      <w:r w:rsidR="00294D6F">
        <w:rPr>
          <w:rFonts w:cs="Times New Roman"/>
        </w:rPr>
        <w:t xml:space="preserve"> </w:t>
      </w:r>
      <w:r w:rsidR="00555961">
        <w:rPr>
          <w:rFonts w:cs="Times New Roman"/>
        </w:rPr>
        <w:t>time</w:t>
      </w:r>
      <w:r w:rsidR="00FB3953">
        <w:rPr>
          <w:rFonts w:cs="Times New Roman"/>
        </w:rPr>
        <w:t xml:space="preserve">, </w:t>
      </w:r>
      <w:r w:rsidR="00BD2A33" w:rsidRPr="571800CE">
        <w:rPr>
          <w:rFonts w:cs="Times New Roman"/>
        </w:rPr>
        <w:t>providing</w:t>
      </w:r>
      <w:r w:rsidR="00FB3953">
        <w:rPr>
          <w:rFonts w:cs="Times New Roman"/>
        </w:rPr>
        <w:t xml:space="preserve"> a </w:t>
      </w:r>
      <w:r w:rsidR="00EB2D3F">
        <w:rPr>
          <w:rFonts w:cs="Times New Roman"/>
        </w:rPr>
        <w:t xml:space="preserve">more nuanced </w:t>
      </w:r>
      <w:r w:rsidR="00C53471">
        <w:rPr>
          <w:rFonts w:cs="Times New Roman"/>
        </w:rPr>
        <w:t xml:space="preserve">understanding of </w:t>
      </w:r>
      <w:r w:rsidR="00361030" w:rsidRPr="232FCED6">
        <w:rPr>
          <w:rFonts w:cs="Times New Roman"/>
        </w:rPr>
        <w:t>the</w:t>
      </w:r>
      <w:r w:rsidR="002A2FE2">
        <w:rPr>
          <w:rFonts w:cs="Times New Roman"/>
        </w:rPr>
        <w:t>ir</w:t>
      </w:r>
      <w:r w:rsidR="00361030" w:rsidRPr="232FCED6">
        <w:rPr>
          <w:rFonts w:cs="Times New Roman"/>
        </w:rPr>
        <w:t xml:space="preserve"> </w:t>
      </w:r>
      <w:r w:rsidR="00C53471">
        <w:rPr>
          <w:rFonts w:cs="Times New Roman"/>
        </w:rPr>
        <w:t>impact</w:t>
      </w:r>
      <w:r w:rsidR="00404AE0">
        <w:rPr>
          <w:rFonts w:cs="Times New Roman"/>
        </w:rPr>
        <w:t xml:space="preserve"> </w:t>
      </w:r>
      <w:r w:rsidR="00C53471">
        <w:rPr>
          <w:rFonts w:cs="Times New Roman"/>
        </w:rPr>
        <w:t>on global population</w:t>
      </w:r>
      <w:r w:rsidR="00905F4F">
        <w:rPr>
          <w:rFonts w:cs="Times New Roman"/>
        </w:rPr>
        <w:t>s</w:t>
      </w:r>
      <w:r w:rsidR="00854FBB">
        <w:rPr>
          <w:rFonts w:cs="Times New Roman"/>
        </w:rPr>
        <w:t>.</w:t>
      </w:r>
    </w:p>
    <w:p w14:paraId="7246796D" w14:textId="77777777" w:rsidR="008B698E" w:rsidRDefault="008B698E" w:rsidP="00610382">
      <w:pPr>
        <w:pStyle w:val="Heading3"/>
        <w:spacing w:line="360" w:lineRule="auto"/>
      </w:pPr>
      <w:r>
        <w:t>Methods</w:t>
      </w:r>
    </w:p>
    <w:p w14:paraId="79DB194A" w14:textId="0AC2EBC2" w:rsidR="00974A92" w:rsidRDefault="1B8584E2" w:rsidP="2D185C6D">
      <w:pPr>
        <w:spacing w:line="360" w:lineRule="auto"/>
        <w:rPr>
          <w:highlight w:val="cyan"/>
        </w:rPr>
      </w:pPr>
      <w:r w:rsidRPr="78695F38">
        <w:rPr>
          <w:rFonts w:cs="Times New Roman"/>
        </w:rPr>
        <w:t xml:space="preserve">The </w:t>
      </w:r>
      <w:r w:rsidR="00435DF4" w:rsidRPr="78695F38">
        <w:rPr>
          <w:rFonts w:cs="Times New Roman"/>
        </w:rPr>
        <w:t xml:space="preserve">GBD </w:t>
      </w:r>
      <w:r w:rsidR="55B80261" w:rsidRPr="78695F38">
        <w:rPr>
          <w:rFonts w:cs="Times New Roman"/>
        </w:rPr>
        <w:t>202</w:t>
      </w:r>
      <w:r w:rsidR="00472362">
        <w:rPr>
          <w:rFonts w:cs="Times New Roman"/>
        </w:rPr>
        <w:t xml:space="preserve">1 </w:t>
      </w:r>
      <w:r w:rsidR="1FC11FBA" w:rsidRPr="78695F38">
        <w:rPr>
          <w:rFonts w:cs="Times New Roman"/>
        </w:rPr>
        <w:t xml:space="preserve">cause of death analysis estimated mortality </w:t>
      </w:r>
      <w:r w:rsidR="008B698E" w:rsidRPr="78695F38">
        <w:rPr>
          <w:rFonts w:cs="Times New Roman"/>
        </w:rPr>
        <w:t>and years of life lost (YLLs)</w:t>
      </w:r>
      <w:r w:rsidR="003A6183" w:rsidRPr="78695F38">
        <w:rPr>
          <w:rFonts w:cs="Times New Roman"/>
        </w:rPr>
        <w:t xml:space="preserve"> fr</w:t>
      </w:r>
      <w:r w:rsidR="003A6183" w:rsidRPr="009B6929">
        <w:rPr>
          <w:rFonts w:cs="Times New Roman"/>
        </w:rPr>
        <w:t xml:space="preserve">om </w:t>
      </w:r>
      <w:r w:rsidR="003A6183" w:rsidRPr="002F4DC0">
        <w:rPr>
          <w:rFonts w:cs="Times New Roman"/>
        </w:rPr>
        <w:t>28</w:t>
      </w:r>
      <w:r w:rsidR="007E5DEF" w:rsidRPr="002F4DC0">
        <w:rPr>
          <w:rFonts w:cs="Times New Roman"/>
        </w:rPr>
        <w:t>8</w:t>
      </w:r>
      <w:r w:rsidR="007E5DEF" w:rsidRPr="009B6929">
        <w:rPr>
          <w:rFonts w:cs="Times New Roman"/>
        </w:rPr>
        <w:t xml:space="preserve"> </w:t>
      </w:r>
      <w:r w:rsidR="003A6183" w:rsidRPr="009B6929">
        <w:rPr>
          <w:rFonts w:cs="Times New Roman"/>
        </w:rPr>
        <w:t>c</w:t>
      </w:r>
      <w:r w:rsidR="003A6183" w:rsidRPr="78695F38">
        <w:rPr>
          <w:rFonts w:cs="Times New Roman"/>
        </w:rPr>
        <w:t xml:space="preserve">auses of death by age-sex-location-year in </w:t>
      </w:r>
      <w:r w:rsidR="003A6183" w:rsidRPr="002F4DC0">
        <w:rPr>
          <w:rFonts w:cs="Times New Roman"/>
        </w:rPr>
        <w:t>204</w:t>
      </w:r>
      <w:r w:rsidR="003A6183" w:rsidRPr="78695F38">
        <w:rPr>
          <w:rFonts w:cs="Times New Roman"/>
        </w:rPr>
        <w:t xml:space="preserve"> countries and territories</w:t>
      </w:r>
      <w:r w:rsidR="00E477A1">
        <w:rPr>
          <w:rFonts w:cs="Times New Roman"/>
        </w:rPr>
        <w:t xml:space="preserve"> and </w:t>
      </w:r>
      <w:r w:rsidR="7D57ACB3">
        <w:rPr>
          <w:rFonts w:cs="Times New Roman"/>
        </w:rPr>
        <w:t>811</w:t>
      </w:r>
      <w:r w:rsidR="00E477A1">
        <w:rPr>
          <w:rFonts w:cs="Times New Roman"/>
        </w:rPr>
        <w:t xml:space="preserve"> </w:t>
      </w:r>
      <w:r w:rsidR="003F7529">
        <w:rPr>
          <w:rFonts w:cs="Times New Roman"/>
        </w:rPr>
        <w:t>subnational locations</w:t>
      </w:r>
      <w:r w:rsidR="003A6183" w:rsidRPr="78695F38">
        <w:rPr>
          <w:rFonts w:cs="Times New Roman"/>
        </w:rPr>
        <w:t xml:space="preserve"> for each year from </w:t>
      </w:r>
      <w:r w:rsidR="003A6183" w:rsidRPr="004B6789">
        <w:rPr>
          <w:rFonts w:cs="Times New Roman"/>
        </w:rPr>
        <w:t>1990</w:t>
      </w:r>
      <w:r w:rsidR="003A6183" w:rsidRPr="78695F38">
        <w:rPr>
          <w:rFonts w:cs="Times New Roman"/>
        </w:rPr>
        <w:t xml:space="preserve"> through </w:t>
      </w:r>
      <w:r w:rsidR="003A6183" w:rsidRPr="004B6789">
        <w:rPr>
          <w:rFonts w:cs="Times New Roman"/>
        </w:rPr>
        <w:t>202</w:t>
      </w:r>
      <w:r w:rsidR="001E1118" w:rsidRPr="004B6789">
        <w:rPr>
          <w:rFonts w:cs="Times New Roman"/>
        </w:rPr>
        <w:t>1</w:t>
      </w:r>
      <w:r w:rsidR="08FFB75B" w:rsidRPr="78695F38">
        <w:rPr>
          <w:rFonts w:cs="Times New Roman"/>
        </w:rPr>
        <w:t>.</w:t>
      </w:r>
      <w:r w:rsidR="008B698E" w:rsidRPr="78695F38">
        <w:rPr>
          <w:rFonts w:cs="Times New Roman"/>
        </w:rPr>
        <w:t xml:space="preserve"> </w:t>
      </w:r>
      <w:r w:rsidR="159FE93B" w:rsidRPr="78695F38">
        <w:rPr>
          <w:rFonts w:cs="Times New Roman"/>
        </w:rPr>
        <w:t>The analysis u</w:t>
      </w:r>
      <w:r w:rsidR="159FE93B" w:rsidRPr="2D185C6D">
        <w:rPr>
          <w:rFonts w:eastAsia="Times New Roman" w:cs="Times New Roman"/>
        </w:rPr>
        <w:t>sed</w:t>
      </w:r>
      <w:r w:rsidR="6F7B2397" w:rsidRPr="2D185C6D">
        <w:rPr>
          <w:rFonts w:eastAsia="Times New Roman" w:cs="Times New Roman"/>
        </w:rPr>
        <w:t xml:space="preserve"> 56</w:t>
      </w:r>
      <w:r w:rsidR="00C936FB">
        <w:rPr>
          <w:rFonts w:eastAsia="Times New Roman" w:cs="Times New Roman"/>
        </w:rPr>
        <w:t xml:space="preserve"> </w:t>
      </w:r>
      <w:r w:rsidR="6F7B2397" w:rsidRPr="2D185C6D">
        <w:rPr>
          <w:rFonts w:eastAsia="Times New Roman" w:cs="Times New Roman"/>
        </w:rPr>
        <w:t xml:space="preserve">604 </w:t>
      </w:r>
      <w:r w:rsidR="159FE93B" w:rsidRPr="2D185C6D">
        <w:rPr>
          <w:rFonts w:eastAsia="Times New Roman" w:cs="Times New Roman"/>
        </w:rPr>
        <w:t xml:space="preserve">total </w:t>
      </w:r>
      <w:r w:rsidR="209E94C2" w:rsidRPr="2D185C6D">
        <w:rPr>
          <w:rFonts w:eastAsia="Times New Roman" w:cs="Times New Roman"/>
        </w:rPr>
        <w:t>so</w:t>
      </w:r>
      <w:r w:rsidR="209E94C2" w:rsidRPr="78695F38">
        <w:rPr>
          <w:rFonts w:cs="Times New Roman"/>
        </w:rPr>
        <w:t>urces of data</w:t>
      </w:r>
      <w:r w:rsidR="004D18DE">
        <w:rPr>
          <w:rFonts w:cs="Times New Roman"/>
        </w:rPr>
        <w:t>,</w:t>
      </w:r>
      <w:r w:rsidR="7F899D83" w:rsidRPr="78695F38">
        <w:rPr>
          <w:rFonts w:cs="Times New Roman"/>
        </w:rPr>
        <w:t xml:space="preserve"> including </w:t>
      </w:r>
      <w:r w:rsidR="33EB00E9" w:rsidRPr="78695F38">
        <w:rPr>
          <w:rFonts w:cs="Times New Roman"/>
        </w:rPr>
        <w:t xml:space="preserve">data from </w:t>
      </w:r>
      <w:r w:rsidR="7F899D83" w:rsidRPr="78695F38">
        <w:rPr>
          <w:rFonts w:cs="Times New Roman"/>
        </w:rPr>
        <w:t xml:space="preserve">vital registration and verbal autopsy </w:t>
      </w:r>
      <w:r w:rsidR="1ED42993" w:rsidRPr="78695F38">
        <w:rPr>
          <w:rFonts w:cs="Times New Roman"/>
        </w:rPr>
        <w:t>as well as survey</w:t>
      </w:r>
      <w:r w:rsidR="06C66669" w:rsidRPr="78695F38">
        <w:rPr>
          <w:rFonts w:cs="Times New Roman"/>
        </w:rPr>
        <w:t>s</w:t>
      </w:r>
      <w:r w:rsidR="1ED42993" w:rsidRPr="78695F38">
        <w:rPr>
          <w:rFonts w:cs="Times New Roman"/>
        </w:rPr>
        <w:t>, census</w:t>
      </w:r>
      <w:r w:rsidR="6DF4A652" w:rsidRPr="78695F38">
        <w:rPr>
          <w:rFonts w:cs="Times New Roman"/>
        </w:rPr>
        <w:t>es</w:t>
      </w:r>
      <w:r w:rsidR="1ED42993" w:rsidRPr="78695F38">
        <w:rPr>
          <w:rFonts w:cs="Times New Roman"/>
        </w:rPr>
        <w:t>, surveillance</w:t>
      </w:r>
      <w:r w:rsidR="2D0706CD" w:rsidRPr="78695F38">
        <w:rPr>
          <w:rFonts w:cs="Times New Roman"/>
        </w:rPr>
        <w:t xml:space="preserve"> systems</w:t>
      </w:r>
      <w:r w:rsidR="1ED42993" w:rsidRPr="78695F38">
        <w:rPr>
          <w:rFonts w:cs="Times New Roman"/>
        </w:rPr>
        <w:t xml:space="preserve">, </w:t>
      </w:r>
      <w:r w:rsidR="00FB260A" w:rsidRPr="3A3D2D42">
        <w:rPr>
          <w:rFonts w:cs="Times New Roman"/>
        </w:rPr>
        <w:t xml:space="preserve">and </w:t>
      </w:r>
      <w:r w:rsidR="1ED42993" w:rsidRPr="78695F38">
        <w:rPr>
          <w:rFonts w:cs="Times New Roman"/>
        </w:rPr>
        <w:t>ca</w:t>
      </w:r>
      <w:r w:rsidR="77D56F3F" w:rsidRPr="78695F38">
        <w:rPr>
          <w:rFonts w:cs="Times New Roman"/>
        </w:rPr>
        <w:t>ncer registr</w:t>
      </w:r>
      <w:r w:rsidR="4F118042" w:rsidRPr="78695F38">
        <w:rPr>
          <w:rFonts w:cs="Times New Roman"/>
        </w:rPr>
        <w:t>ies</w:t>
      </w:r>
      <w:r w:rsidR="77D56F3F" w:rsidRPr="78695F38">
        <w:rPr>
          <w:rFonts w:cs="Times New Roman"/>
        </w:rPr>
        <w:t xml:space="preserve">, </w:t>
      </w:r>
      <w:r w:rsidR="00B32C3D">
        <w:rPr>
          <w:rFonts w:cs="Times New Roman"/>
        </w:rPr>
        <w:t>among others</w:t>
      </w:r>
      <w:r w:rsidR="7D1FCC52" w:rsidRPr="78695F38">
        <w:rPr>
          <w:rFonts w:cs="Times New Roman"/>
        </w:rPr>
        <w:t>.</w:t>
      </w:r>
      <w:r w:rsidR="00B425CD">
        <w:rPr>
          <w:rFonts w:cs="Times New Roman"/>
        </w:rPr>
        <w:t xml:space="preserve"> </w:t>
      </w:r>
      <w:r w:rsidR="7CCAF9A6" w:rsidRPr="00BC2A12">
        <w:rPr>
          <w:rFonts w:cs="Times New Roman"/>
        </w:rPr>
        <w:t>As with previous GBD rounds, c</w:t>
      </w:r>
      <w:r w:rsidR="008A3183" w:rsidRPr="00BC2A12">
        <w:rPr>
          <w:rFonts w:cs="Times New Roman"/>
        </w:rPr>
        <w:t>ause</w:t>
      </w:r>
      <w:r w:rsidR="00ED1D6D" w:rsidRPr="00BC2A12">
        <w:rPr>
          <w:rFonts w:cs="Times New Roman"/>
        </w:rPr>
        <w:t xml:space="preserve">-specific death rates for most causes </w:t>
      </w:r>
      <w:r w:rsidR="00664CFA" w:rsidRPr="00BC2A12">
        <w:rPr>
          <w:rFonts w:cs="Times New Roman"/>
        </w:rPr>
        <w:t xml:space="preserve">were </w:t>
      </w:r>
      <w:r w:rsidR="00ED1D6D" w:rsidRPr="00BC2A12">
        <w:rPr>
          <w:rFonts w:cs="Times New Roman"/>
        </w:rPr>
        <w:t>estimated using the Cause of Death Ensemble model (CODEm)</w:t>
      </w:r>
      <w:r w:rsidR="7CE0631E" w:rsidRPr="00BC2A12">
        <w:rPr>
          <w:rFonts w:cs="Times New Roman"/>
        </w:rPr>
        <w:t>—</w:t>
      </w:r>
      <w:r w:rsidR="00140630" w:rsidRPr="00BC2A12">
        <w:rPr>
          <w:rFonts w:cs="Times New Roman"/>
        </w:rPr>
        <w:t xml:space="preserve">a modelling tool </w:t>
      </w:r>
      <w:r w:rsidR="00AC1037" w:rsidRPr="00BC2A12">
        <w:rPr>
          <w:rFonts w:cs="Times New Roman"/>
        </w:rPr>
        <w:t>developed for GBD to evaluate the out-of-sample predictive validity of different statistical models and covariate permutations</w:t>
      </w:r>
      <w:r w:rsidR="00CA1A07" w:rsidRPr="00BC2A12">
        <w:rPr>
          <w:rFonts w:cs="Times New Roman"/>
        </w:rPr>
        <w:t xml:space="preserve"> </w:t>
      </w:r>
      <w:r w:rsidR="00306632" w:rsidRPr="00BC2A12">
        <w:rPr>
          <w:rFonts w:cs="Times New Roman"/>
        </w:rPr>
        <w:t>and combine those results</w:t>
      </w:r>
      <w:r w:rsidR="00CA1A07" w:rsidRPr="00BC2A12">
        <w:rPr>
          <w:rFonts w:cs="Times New Roman"/>
        </w:rPr>
        <w:t xml:space="preserve"> to produce cause-specific fatal burden estimates</w:t>
      </w:r>
      <w:r w:rsidR="5A54107D" w:rsidRPr="00BC2A12">
        <w:rPr>
          <w:rFonts w:cs="Times New Roman"/>
        </w:rPr>
        <w:t>—</w:t>
      </w:r>
      <w:r w:rsidR="008A3183" w:rsidRPr="00BC2A12">
        <w:rPr>
          <w:rFonts w:cs="Times New Roman"/>
        </w:rPr>
        <w:t>with</w:t>
      </w:r>
      <w:r w:rsidR="00ED1D6D" w:rsidRPr="00BC2A12">
        <w:rPr>
          <w:rFonts w:cs="Times New Roman"/>
        </w:rPr>
        <w:t xml:space="preserve"> alternative strategies </w:t>
      </w:r>
      <w:r w:rsidR="008A3183" w:rsidRPr="00BC2A12">
        <w:rPr>
          <w:rFonts w:cs="Times New Roman"/>
        </w:rPr>
        <w:t>adapted to</w:t>
      </w:r>
      <w:r w:rsidR="00ED1D6D" w:rsidRPr="00BC2A12">
        <w:rPr>
          <w:rFonts w:cs="Times New Roman"/>
        </w:rPr>
        <w:t xml:space="preserve"> model causes with very limited data, substantial changes in reporting over the study period, or unusual epidemiology.</w:t>
      </w:r>
      <w:r w:rsidR="00ED1D6D" w:rsidRPr="78695F38">
        <w:rPr>
          <w:rFonts w:cs="Times New Roman"/>
        </w:rPr>
        <w:t xml:space="preserve"> </w:t>
      </w:r>
      <w:r w:rsidR="10D3B845" w:rsidRPr="78695F38">
        <w:rPr>
          <w:rFonts w:cs="Times New Roman"/>
        </w:rPr>
        <w:t xml:space="preserve">YLLs were computed </w:t>
      </w:r>
      <w:r w:rsidR="3035BF7E" w:rsidRPr="78695F38">
        <w:rPr>
          <w:rFonts w:cs="Times New Roman"/>
        </w:rPr>
        <w:t>as the product of the number of deaths for each cause-age-sex-location-year and the standard life expectancy a</w:t>
      </w:r>
      <w:r w:rsidR="6401A699" w:rsidRPr="78695F38">
        <w:rPr>
          <w:rFonts w:cs="Times New Roman"/>
        </w:rPr>
        <w:t xml:space="preserve">t each age. As part of the modelling process, uncertainty intervals (UIs) were generated using the </w:t>
      </w:r>
      <w:r w:rsidR="6401A699" w:rsidRPr="002F4DC0">
        <w:rPr>
          <w:rFonts w:cs="Times New Roman"/>
        </w:rPr>
        <w:t>2</w:t>
      </w:r>
      <w:r w:rsidR="009876E3" w:rsidRPr="002F4DC0">
        <w:rPr>
          <w:rFonts w:cs="Times New Roman"/>
        </w:rPr>
        <w:t>.</w:t>
      </w:r>
      <w:r w:rsidR="6401A699" w:rsidRPr="002F4DC0">
        <w:rPr>
          <w:rFonts w:cs="Times New Roman"/>
        </w:rPr>
        <w:t>5</w:t>
      </w:r>
      <w:r w:rsidR="6401A699" w:rsidRPr="002F4DC0">
        <w:rPr>
          <w:rFonts w:cs="Times New Roman"/>
          <w:vertAlign w:val="superscript"/>
        </w:rPr>
        <w:t>th</w:t>
      </w:r>
      <w:r w:rsidR="6401A699" w:rsidRPr="78695F38">
        <w:rPr>
          <w:rFonts w:cs="Times New Roman"/>
        </w:rPr>
        <w:t xml:space="preserve"> and </w:t>
      </w:r>
      <w:r w:rsidR="6401A699" w:rsidRPr="002F4DC0">
        <w:rPr>
          <w:rFonts w:cs="Times New Roman"/>
        </w:rPr>
        <w:t>97</w:t>
      </w:r>
      <w:r w:rsidR="009876E3" w:rsidRPr="002F4DC0">
        <w:rPr>
          <w:rFonts w:cs="Times New Roman"/>
        </w:rPr>
        <w:t>.</w:t>
      </w:r>
      <w:r w:rsidR="6401A699" w:rsidRPr="002F4DC0">
        <w:rPr>
          <w:rFonts w:cs="Times New Roman"/>
        </w:rPr>
        <w:t>5</w:t>
      </w:r>
      <w:r w:rsidR="6401A699" w:rsidRPr="002F4DC0">
        <w:rPr>
          <w:rFonts w:cs="Times New Roman"/>
          <w:vertAlign w:val="superscript"/>
        </w:rPr>
        <w:t>th</w:t>
      </w:r>
      <w:r w:rsidR="6401A699" w:rsidRPr="78695F38">
        <w:rPr>
          <w:rFonts w:cs="Times New Roman"/>
        </w:rPr>
        <w:t xml:space="preserve"> </w:t>
      </w:r>
      <w:r w:rsidR="009876E3">
        <w:rPr>
          <w:rFonts w:cs="Times New Roman"/>
        </w:rPr>
        <w:t xml:space="preserve">percentiles from a </w:t>
      </w:r>
      <w:r w:rsidR="00AB64D5" w:rsidRPr="002F4DC0">
        <w:rPr>
          <w:rFonts w:cs="Times New Roman"/>
        </w:rPr>
        <w:t>1000</w:t>
      </w:r>
      <w:r w:rsidR="004D18DE">
        <w:rPr>
          <w:rFonts w:cs="Times New Roman"/>
        </w:rPr>
        <w:t>-</w:t>
      </w:r>
      <w:r w:rsidR="009876E3">
        <w:rPr>
          <w:rFonts w:cs="Times New Roman"/>
        </w:rPr>
        <w:t>draw dist</w:t>
      </w:r>
      <w:r w:rsidR="6401A699" w:rsidRPr="78695F38">
        <w:rPr>
          <w:rFonts w:cs="Times New Roman"/>
        </w:rPr>
        <w:t xml:space="preserve">ribution for each metric. </w:t>
      </w:r>
      <w:r w:rsidR="00557735">
        <w:rPr>
          <w:rFonts w:cs="Times New Roman"/>
        </w:rPr>
        <w:t>We decomposed life expectancy by cause of death, location, and year to show cause</w:t>
      </w:r>
      <w:r w:rsidR="00644FDB">
        <w:rPr>
          <w:rFonts w:cs="Times New Roman"/>
        </w:rPr>
        <w:t>-</w:t>
      </w:r>
      <w:r w:rsidR="00557735">
        <w:rPr>
          <w:rFonts w:cs="Times New Roman"/>
        </w:rPr>
        <w:t xml:space="preserve">specific effects on life expectancy from 1990 to 2021. </w:t>
      </w:r>
      <w:r w:rsidR="00557735" w:rsidRPr="00F751CD">
        <w:rPr>
          <w:rFonts w:cs="Times New Roman"/>
        </w:rPr>
        <w:t>We used the coefficient of variation and</w:t>
      </w:r>
      <w:r w:rsidR="24235599" w:rsidRPr="00F751CD">
        <w:rPr>
          <w:rFonts w:cs="Times New Roman"/>
        </w:rPr>
        <w:t xml:space="preserve"> the fraction of population affected by 90% of deaths,</w:t>
      </w:r>
      <w:r w:rsidR="00557735" w:rsidRPr="00F751CD">
        <w:rPr>
          <w:rFonts w:cs="Times New Roman"/>
        </w:rPr>
        <w:t xml:space="preserve"> to highlight </w:t>
      </w:r>
      <w:r w:rsidR="16731A42" w:rsidRPr="00F751CD">
        <w:rPr>
          <w:rFonts w:cs="Times New Roman"/>
        </w:rPr>
        <w:t>concentrations</w:t>
      </w:r>
      <w:r w:rsidR="00557735" w:rsidRPr="00F751CD">
        <w:rPr>
          <w:rFonts w:cs="Times New Roman"/>
        </w:rPr>
        <w:t xml:space="preserve"> of mortality that </w:t>
      </w:r>
      <w:r w:rsidR="16731A42" w:rsidRPr="00F751CD">
        <w:rPr>
          <w:rFonts w:cs="Times New Roman"/>
        </w:rPr>
        <w:t xml:space="preserve">may </w:t>
      </w:r>
      <w:r w:rsidR="008A58F7" w:rsidRPr="00F751CD">
        <w:rPr>
          <w:rFonts w:cs="Times New Roman"/>
        </w:rPr>
        <w:t>inform</w:t>
      </w:r>
      <w:r w:rsidR="16731A42" w:rsidRPr="00F751CD">
        <w:rPr>
          <w:rFonts w:cs="Times New Roman"/>
        </w:rPr>
        <w:t xml:space="preserve"> </w:t>
      </w:r>
      <w:r w:rsidR="43BFEF19" w:rsidRPr="00F751CD">
        <w:rPr>
          <w:rFonts w:cs="Times New Roman"/>
        </w:rPr>
        <w:t>cause-specific policy</w:t>
      </w:r>
      <w:r w:rsidR="000269A6" w:rsidRPr="00F751CD">
        <w:rPr>
          <w:rFonts w:cs="Times New Roman"/>
        </w:rPr>
        <w:t>-</w:t>
      </w:r>
      <w:r w:rsidR="43BFEF19" w:rsidRPr="00F751CD">
        <w:rPr>
          <w:rFonts w:cs="Times New Roman"/>
        </w:rPr>
        <w:t>relevant insights</w:t>
      </w:r>
      <w:r w:rsidR="67113644" w:rsidRPr="00F751CD">
        <w:rPr>
          <w:rFonts w:cs="Times New Roman"/>
        </w:rPr>
        <w:t>.</w:t>
      </w:r>
      <w:r w:rsidR="00557735">
        <w:rPr>
          <w:rFonts w:cs="Times New Roman"/>
        </w:rPr>
        <w:t xml:space="preserve"> </w:t>
      </w:r>
      <w:r w:rsidR="6401A699" w:rsidRPr="78695F38">
        <w:rPr>
          <w:rFonts w:cs="Times New Roman"/>
        </w:rPr>
        <w:t>Findings are reported in counts and age-standardised rates.</w:t>
      </w:r>
      <w:r w:rsidR="003319D1">
        <w:rPr>
          <w:rFonts w:cs="Times New Roman"/>
          <w:shd w:val="clear" w:color="auto" w:fill="FFFFFF"/>
        </w:rPr>
        <w:t xml:space="preserve"> </w:t>
      </w:r>
      <w:r w:rsidR="00ED1D6D" w:rsidRPr="00925F2A">
        <w:rPr>
          <w:rFonts w:cs="Times New Roman"/>
        </w:rPr>
        <w:t xml:space="preserve">Methodological improvements for cause of death estimates in </w:t>
      </w:r>
      <w:r w:rsidR="002A6026">
        <w:rPr>
          <w:rFonts w:cs="Times New Roman"/>
        </w:rPr>
        <w:t xml:space="preserve">GBD 2021 </w:t>
      </w:r>
      <w:r w:rsidR="00EA6470">
        <w:rPr>
          <w:rFonts w:cs="Times New Roman"/>
        </w:rPr>
        <w:t>include</w:t>
      </w:r>
      <w:r w:rsidR="00CB3DD1">
        <w:rPr>
          <w:rFonts w:cs="Times New Roman"/>
        </w:rPr>
        <w:t xml:space="preserve"> th</w:t>
      </w:r>
      <w:r w:rsidR="006B1327">
        <w:rPr>
          <w:rFonts w:cs="Times New Roman"/>
        </w:rPr>
        <w:t>e expansion of</w:t>
      </w:r>
      <w:r w:rsidR="00112B25">
        <w:rPr>
          <w:rFonts w:cs="Times New Roman"/>
        </w:rPr>
        <w:t xml:space="preserve"> under</w:t>
      </w:r>
      <w:r w:rsidR="00644FDB">
        <w:rPr>
          <w:rFonts w:cs="Times New Roman"/>
        </w:rPr>
        <w:t>-</w:t>
      </w:r>
      <w:r w:rsidR="00112B25">
        <w:rPr>
          <w:rFonts w:cs="Times New Roman"/>
        </w:rPr>
        <w:t xml:space="preserve">5 ages to include four new age groups, </w:t>
      </w:r>
      <w:r w:rsidR="0043792B">
        <w:rPr>
          <w:rFonts w:cs="Times New Roman"/>
        </w:rPr>
        <w:t>enhanced</w:t>
      </w:r>
      <w:r w:rsidR="001F725E" w:rsidRPr="001F725E">
        <w:rPr>
          <w:rFonts w:cs="Times New Roman"/>
        </w:rPr>
        <w:t xml:space="preserve"> methods</w:t>
      </w:r>
      <w:r w:rsidR="001D183B">
        <w:rPr>
          <w:rFonts w:cs="Times New Roman"/>
        </w:rPr>
        <w:t xml:space="preserve"> to</w:t>
      </w:r>
      <w:r w:rsidR="001F725E" w:rsidRPr="001F725E">
        <w:rPr>
          <w:rFonts w:cs="Times New Roman"/>
        </w:rPr>
        <w:t xml:space="preserve"> account for stochastic variation </w:t>
      </w:r>
      <w:r w:rsidR="0082239B">
        <w:rPr>
          <w:rFonts w:cs="Times New Roman"/>
        </w:rPr>
        <w:t>of sparse data</w:t>
      </w:r>
      <w:r w:rsidR="00A16EB2">
        <w:rPr>
          <w:rFonts w:cs="Times New Roman"/>
        </w:rPr>
        <w:t xml:space="preserve">, and the inclusion of </w:t>
      </w:r>
      <w:r w:rsidR="00E32A6D">
        <w:rPr>
          <w:rFonts w:cs="Times New Roman"/>
        </w:rPr>
        <w:t>pandemic</w:t>
      </w:r>
      <w:r w:rsidR="006E6E17">
        <w:rPr>
          <w:rFonts w:cs="Times New Roman"/>
        </w:rPr>
        <w:t>-specific</w:t>
      </w:r>
      <w:r w:rsidR="00E32A6D">
        <w:rPr>
          <w:rFonts w:cs="Times New Roman"/>
        </w:rPr>
        <w:t xml:space="preserve"> </w:t>
      </w:r>
      <w:r w:rsidR="006530A2">
        <w:rPr>
          <w:rFonts w:cs="Times New Roman"/>
        </w:rPr>
        <w:t>mortality from</w:t>
      </w:r>
      <w:r w:rsidR="00E32A6D">
        <w:rPr>
          <w:rFonts w:cs="Times New Roman"/>
        </w:rPr>
        <w:t xml:space="preserve"> COVID-19 and </w:t>
      </w:r>
      <w:r w:rsidR="00B82A13">
        <w:rPr>
          <w:rFonts w:cs="Times New Roman"/>
        </w:rPr>
        <w:t>“</w:t>
      </w:r>
      <w:r w:rsidR="00E32A6D">
        <w:rPr>
          <w:rFonts w:cs="Times New Roman"/>
        </w:rPr>
        <w:t xml:space="preserve">other pandemic-related </w:t>
      </w:r>
      <w:r w:rsidR="00B17972">
        <w:rPr>
          <w:rFonts w:cs="Times New Roman"/>
        </w:rPr>
        <w:t>mortality</w:t>
      </w:r>
      <w:r w:rsidR="00B82A13">
        <w:rPr>
          <w:rFonts w:cs="Times New Roman"/>
        </w:rPr>
        <w:t>”</w:t>
      </w:r>
      <w:r w:rsidR="0038330E">
        <w:rPr>
          <w:rFonts w:cs="Times New Roman"/>
        </w:rPr>
        <w:t xml:space="preserve"> (OPRM)</w:t>
      </w:r>
      <w:r w:rsidR="0038330E" w:rsidRPr="78695F38">
        <w:rPr>
          <w:rFonts w:cs="Times New Roman"/>
        </w:rPr>
        <w:t>—</w:t>
      </w:r>
      <w:r w:rsidR="0038330E">
        <w:rPr>
          <w:rFonts w:cs="Times New Roman"/>
        </w:rPr>
        <w:t xml:space="preserve">which includes </w:t>
      </w:r>
      <w:r w:rsidR="0038330E" w:rsidRPr="06EAB780">
        <w:rPr>
          <w:rFonts w:cs="Times New Roman"/>
        </w:rPr>
        <w:t xml:space="preserve">excess </w:t>
      </w:r>
      <w:r w:rsidR="0038330E">
        <w:rPr>
          <w:rFonts w:cs="Times New Roman"/>
        </w:rPr>
        <w:t>mortality associated with the pandemic</w:t>
      </w:r>
      <w:r w:rsidR="0038330E" w:rsidRPr="3CC5B8B0">
        <w:rPr>
          <w:rFonts w:cs="Times New Roman"/>
        </w:rPr>
        <w:t>, excluding</w:t>
      </w:r>
      <w:r w:rsidR="0038330E">
        <w:rPr>
          <w:rFonts w:cs="Times New Roman"/>
        </w:rPr>
        <w:t xml:space="preserve"> COVID-19, lower respiratory infections, measles, malaria, and pertussis causes.</w:t>
      </w:r>
      <w:r w:rsidR="001B707A">
        <w:rPr>
          <w:rFonts w:cs="Times New Roman"/>
        </w:rPr>
        <w:t xml:space="preserve"> </w:t>
      </w:r>
      <w:r w:rsidR="00871796">
        <w:rPr>
          <w:rFonts w:cs="Times New Roman"/>
        </w:rPr>
        <w:t xml:space="preserve">For </w:t>
      </w:r>
      <w:r w:rsidR="005D1728">
        <w:rPr>
          <w:rFonts w:cs="Times New Roman"/>
        </w:rPr>
        <w:t>this analysis</w:t>
      </w:r>
      <w:r w:rsidR="00871796">
        <w:rPr>
          <w:rFonts w:cs="Times New Roman"/>
        </w:rPr>
        <w:t xml:space="preserve">, </w:t>
      </w:r>
      <w:r w:rsidR="01F4F94A" w:rsidRPr="12BF32BF">
        <w:rPr>
          <w:rFonts w:cs="Times New Roman"/>
        </w:rPr>
        <w:t>19</w:t>
      </w:r>
      <w:r w:rsidR="681B5412">
        <w:rPr>
          <w:rFonts w:cs="Times New Roman"/>
        </w:rPr>
        <w:t>9</w:t>
      </w:r>
      <w:r w:rsidR="001F725E" w:rsidRPr="001F725E">
        <w:rPr>
          <w:rFonts w:cs="Times New Roman"/>
        </w:rPr>
        <w:t xml:space="preserve"> new </w:t>
      </w:r>
      <w:r w:rsidR="22109D7F" w:rsidRPr="12BF32BF">
        <w:rPr>
          <w:rFonts w:cs="Times New Roman"/>
        </w:rPr>
        <w:t>country</w:t>
      </w:r>
      <w:r w:rsidR="00644FDB" w:rsidRPr="12BF32BF">
        <w:rPr>
          <w:rFonts w:cs="Times New Roman"/>
        </w:rPr>
        <w:t>-</w:t>
      </w:r>
      <w:r w:rsidR="001F725E" w:rsidRPr="001F725E">
        <w:rPr>
          <w:rFonts w:cs="Times New Roman"/>
        </w:rPr>
        <w:t>years of vital registration cause of death data</w:t>
      </w:r>
      <w:r w:rsidR="00461DB8">
        <w:rPr>
          <w:rFonts w:cs="Times New Roman"/>
        </w:rPr>
        <w:t>,</w:t>
      </w:r>
      <w:r w:rsidR="001F725E" w:rsidRPr="001F725E">
        <w:rPr>
          <w:rFonts w:cs="Times New Roman"/>
        </w:rPr>
        <w:t xml:space="preserve"> </w:t>
      </w:r>
      <w:r w:rsidR="00AA21F3">
        <w:rPr>
          <w:rFonts w:cs="Times New Roman"/>
        </w:rPr>
        <w:t>five</w:t>
      </w:r>
      <w:r w:rsidR="001F725E" w:rsidRPr="001F725E">
        <w:rPr>
          <w:rFonts w:cs="Times New Roman"/>
        </w:rPr>
        <w:t xml:space="preserve"> </w:t>
      </w:r>
      <w:r w:rsidR="215B13E0" w:rsidRPr="12BF32BF">
        <w:rPr>
          <w:rFonts w:cs="Times New Roman"/>
        </w:rPr>
        <w:t>country</w:t>
      </w:r>
      <w:r w:rsidR="00644FDB" w:rsidRPr="12BF32BF">
        <w:rPr>
          <w:rFonts w:cs="Times New Roman"/>
        </w:rPr>
        <w:t>-</w:t>
      </w:r>
      <w:r w:rsidR="001F725E" w:rsidRPr="001F725E">
        <w:rPr>
          <w:rFonts w:cs="Times New Roman"/>
        </w:rPr>
        <w:t xml:space="preserve">years of surveillance data, </w:t>
      </w:r>
      <w:r w:rsidR="001F725E" w:rsidRPr="004B6789">
        <w:rPr>
          <w:rFonts w:cs="Times New Roman"/>
        </w:rPr>
        <w:t>21</w:t>
      </w:r>
      <w:r w:rsidR="001F725E" w:rsidRPr="001F725E">
        <w:rPr>
          <w:rFonts w:cs="Times New Roman"/>
        </w:rPr>
        <w:t xml:space="preserve"> </w:t>
      </w:r>
      <w:r w:rsidR="5359A4D6" w:rsidRPr="12BF32BF">
        <w:rPr>
          <w:rFonts w:cs="Times New Roman"/>
        </w:rPr>
        <w:t>country</w:t>
      </w:r>
      <w:r w:rsidR="00644FDB" w:rsidRPr="12BF32BF">
        <w:rPr>
          <w:rFonts w:cs="Times New Roman"/>
        </w:rPr>
        <w:t>-</w:t>
      </w:r>
      <w:r w:rsidR="001F725E" w:rsidRPr="001F725E">
        <w:rPr>
          <w:rFonts w:cs="Times New Roman"/>
        </w:rPr>
        <w:lastRenderedPageBreak/>
        <w:t>years of verbal autopsy data</w:t>
      </w:r>
      <w:r w:rsidR="007B3D16">
        <w:rPr>
          <w:rFonts w:cs="Times New Roman"/>
        </w:rPr>
        <w:t>,</w:t>
      </w:r>
      <w:r w:rsidR="001F725E" w:rsidRPr="001F725E">
        <w:rPr>
          <w:rFonts w:cs="Times New Roman"/>
        </w:rPr>
        <w:t xml:space="preserve"> and </w:t>
      </w:r>
      <w:r w:rsidR="73468521" w:rsidRPr="12BF32BF">
        <w:rPr>
          <w:rFonts w:cs="Times New Roman"/>
        </w:rPr>
        <w:t>94</w:t>
      </w:r>
      <w:r w:rsidR="001F725E" w:rsidRPr="001F725E">
        <w:rPr>
          <w:rFonts w:cs="Times New Roman"/>
        </w:rPr>
        <w:t xml:space="preserve"> </w:t>
      </w:r>
      <w:r w:rsidR="6945A7D7" w:rsidRPr="12BF32BF">
        <w:rPr>
          <w:rFonts w:cs="Times New Roman"/>
        </w:rPr>
        <w:t>country</w:t>
      </w:r>
      <w:r w:rsidR="00644FDB" w:rsidRPr="12BF32BF">
        <w:rPr>
          <w:rFonts w:cs="Times New Roman"/>
        </w:rPr>
        <w:t>-</w:t>
      </w:r>
      <w:r w:rsidR="001F725E" w:rsidRPr="001F725E">
        <w:rPr>
          <w:rFonts w:cs="Times New Roman"/>
        </w:rPr>
        <w:t>years of other data types</w:t>
      </w:r>
      <w:r w:rsidR="00BD5FBE">
        <w:rPr>
          <w:rFonts w:cs="Times New Roman"/>
        </w:rPr>
        <w:t xml:space="preserve"> were added</w:t>
      </w:r>
      <w:r w:rsidR="00FC157A">
        <w:rPr>
          <w:rFonts w:cs="Times New Roman"/>
        </w:rPr>
        <w:t xml:space="preserve"> to </w:t>
      </w:r>
      <w:r w:rsidR="22387866" w:rsidRPr="3A3D2D42">
        <w:rPr>
          <w:rFonts w:cs="Times New Roman"/>
        </w:rPr>
        <w:t>those</w:t>
      </w:r>
      <w:r w:rsidR="00FC157A">
        <w:rPr>
          <w:rFonts w:cs="Times New Roman"/>
        </w:rPr>
        <w:t xml:space="preserve"> used in previous GBD rounds</w:t>
      </w:r>
      <w:r w:rsidR="001F725E" w:rsidRPr="001F725E">
        <w:rPr>
          <w:rFonts w:cs="Times New Roman"/>
        </w:rPr>
        <w:t>.</w:t>
      </w:r>
    </w:p>
    <w:p w14:paraId="59E0A043" w14:textId="6C857FB2" w:rsidR="002D6B35" w:rsidRDefault="00A27D01" w:rsidP="00E67EFA">
      <w:pPr>
        <w:pStyle w:val="Heading3"/>
        <w:spacing w:line="360" w:lineRule="auto"/>
      </w:pPr>
      <w:r>
        <w:t>Findings</w:t>
      </w:r>
    </w:p>
    <w:p w14:paraId="4008FCBC" w14:textId="590D8567" w:rsidR="00A826CD" w:rsidRPr="006565F2" w:rsidRDefault="003E30A2" w:rsidP="7071A0E8">
      <w:pPr>
        <w:spacing w:line="360" w:lineRule="auto"/>
        <w:rPr>
          <w:rFonts w:eastAsia="Times New Roman" w:cs="Times New Roman"/>
        </w:rPr>
      </w:pPr>
      <w:r w:rsidRPr="00773247">
        <w:t>T</w:t>
      </w:r>
      <w:r w:rsidR="002B5DB9" w:rsidRPr="00773247">
        <w:t>he leading</w:t>
      </w:r>
      <w:r w:rsidR="00817A4A" w:rsidRPr="00773247">
        <w:t xml:space="preserve"> causes of </w:t>
      </w:r>
      <w:r w:rsidR="2248095E" w:rsidRPr="00773247">
        <w:t xml:space="preserve">age-standardised </w:t>
      </w:r>
      <w:r w:rsidR="00817A4A" w:rsidRPr="00773247">
        <w:t>death</w:t>
      </w:r>
      <w:r w:rsidR="5AD0AA73" w:rsidRPr="00773247">
        <w:t>s</w:t>
      </w:r>
      <w:r w:rsidR="0050583E" w:rsidRPr="00773247">
        <w:t xml:space="preserve"> globally</w:t>
      </w:r>
      <w:r w:rsidR="00462AFC" w:rsidRPr="00773247">
        <w:t xml:space="preserve"> were the same in 2019 as in 1990</w:t>
      </w:r>
      <w:r w:rsidR="00406BDD" w:rsidRPr="00773247">
        <w:t>;</w:t>
      </w:r>
      <w:r w:rsidR="00462AFC" w:rsidRPr="00773247">
        <w:t xml:space="preserve"> </w:t>
      </w:r>
      <w:r w:rsidR="001A3C04" w:rsidRPr="00773247">
        <w:t xml:space="preserve">these were, </w:t>
      </w:r>
      <w:r w:rsidR="00005B60" w:rsidRPr="00773247">
        <w:t xml:space="preserve">in descending order, </w:t>
      </w:r>
      <w:r w:rsidR="008F7C46" w:rsidRPr="00773247">
        <w:t>isch</w:t>
      </w:r>
      <w:r w:rsidR="000B20B9" w:rsidRPr="00773247">
        <w:t>a</w:t>
      </w:r>
      <w:r w:rsidR="008F7C46" w:rsidRPr="00773247">
        <w:t>emic heart disease, stroke, chronic obstructive pulmonary disease, and lower respiratory infections</w:t>
      </w:r>
      <w:r w:rsidR="008F2A2C" w:rsidRPr="00773247">
        <w:t>.</w:t>
      </w:r>
      <w:r w:rsidR="00FB3AF3">
        <w:t xml:space="preserve"> </w:t>
      </w:r>
      <w:r w:rsidR="004C3EB5">
        <w:t xml:space="preserve">In 2021, </w:t>
      </w:r>
      <w:r w:rsidR="007234C7">
        <w:t xml:space="preserve">however, </w:t>
      </w:r>
      <w:r w:rsidR="004C3EB5">
        <w:t>COVID-19 replaced stroke as the second</w:t>
      </w:r>
      <w:r w:rsidR="04115B8D">
        <w:t>-</w:t>
      </w:r>
      <w:r w:rsidR="004C3EB5">
        <w:t xml:space="preserve">leading </w:t>
      </w:r>
      <w:r w:rsidR="094BD0A1">
        <w:t xml:space="preserve">age-standardised </w:t>
      </w:r>
      <w:r w:rsidR="004C3EB5">
        <w:t>cause of death, with 94</w:t>
      </w:r>
      <w:r w:rsidR="00C4507A">
        <w:t>.</w:t>
      </w:r>
      <w:r w:rsidR="494FA37B">
        <w:t>0</w:t>
      </w:r>
      <w:r w:rsidR="004C3EB5">
        <w:t xml:space="preserve"> deaths (95% UI 89.</w:t>
      </w:r>
      <w:r w:rsidR="2E4C6758">
        <w:t>2</w:t>
      </w:r>
      <w:r w:rsidR="004C3EB5">
        <w:t>–100.</w:t>
      </w:r>
      <w:r w:rsidR="3CCA9484">
        <w:t>0</w:t>
      </w:r>
      <w:r w:rsidR="004C3EB5">
        <w:t xml:space="preserve">) per 100 000. </w:t>
      </w:r>
      <w:r w:rsidR="00F07601">
        <w:t>The</w:t>
      </w:r>
      <w:r w:rsidR="007020F2">
        <w:t xml:space="preserve"> COVID-19</w:t>
      </w:r>
      <w:r w:rsidR="00F07601">
        <w:t xml:space="preserve"> pandemic shifted the rankings</w:t>
      </w:r>
      <w:r w:rsidR="00626CC7">
        <w:t xml:space="preserve"> of</w:t>
      </w:r>
      <w:r w:rsidR="00C63160">
        <w:t xml:space="preserve"> </w:t>
      </w:r>
      <w:r w:rsidR="004C3EB5">
        <w:t xml:space="preserve">the leading five causes, </w:t>
      </w:r>
      <w:r w:rsidR="00B5266C">
        <w:t xml:space="preserve">lowering </w:t>
      </w:r>
      <w:r w:rsidR="004C3EB5">
        <w:t>stroke and chronic obstructive pulmonary disease to the third and fourth places, respectively.</w:t>
      </w:r>
      <w:r w:rsidR="00F11521">
        <w:t xml:space="preserve"> </w:t>
      </w:r>
      <w:r w:rsidR="00F31ACD">
        <w:t xml:space="preserve">In 2021, the </w:t>
      </w:r>
      <w:r w:rsidR="00B2509C">
        <w:t xml:space="preserve">highest age-standardised </w:t>
      </w:r>
      <w:r w:rsidR="00AD2890">
        <w:t>death rates from COVID-19 occurred in</w:t>
      </w:r>
      <w:r w:rsidR="00F31ACD">
        <w:t xml:space="preserve"> sub-Saharan Africa </w:t>
      </w:r>
      <w:r w:rsidR="00F31ACD" w:rsidRPr="00E37F71">
        <w:t>(271</w:t>
      </w:r>
      <w:r w:rsidR="43983E3B">
        <w:t>.0</w:t>
      </w:r>
      <w:r w:rsidR="007363AC" w:rsidRPr="00E37F71">
        <w:t xml:space="preserve"> deaths</w:t>
      </w:r>
      <w:r w:rsidR="00F31ACD" w:rsidRPr="00E37F71">
        <w:t xml:space="preserve"> [250</w:t>
      </w:r>
      <w:r w:rsidR="21B5F9A2">
        <w:t>.1</w:t>
      </w:r>
      <w:r w:rsidR="00F31ACD" w:rsidRPr="2A5BC196">
        <w:rPr>
          <w:rFonts w:cs="Times New Roman"/>
        </w:rPr>
        <w:t>–</w:t>
      </w:r>
      <w:r w:rsidR="00F31ACD">
        <w:t>29</w:t>
      </w:r>
      <w:r w:rsidR="60962431">
        <w:t>0.7</w:t>
      </w:r>
      <w:r w:rsidR="00F31ACD" w:rsidRPr="00E37F71">
        <w:t>]</w:t>
      </w:r>
      <w:r w:rsidR="00F31ACD">
        <w:t xml:space="preserve"> per 100 000)</w:t>
      </w:r>
      <w:r w:rsidR="00AD2890">
        <w:t xml:space="preserve"> and</w:t>
      </w:r>
      <w:r w:rsidR="00F31ACD">
        <w:t xml:space="preserve"> Latin America and </w:t>
      </w:r>
      <w:r w:rsidR="007363AC">
        <w:t xml:space="preserve">the </w:t>
      </w:r>
      <w:r w:rsidR="00F31ACD">
        <w:t xml:space="preserve">Caribbean </w:t>
      </w:r>
      <w:r w:rsidR="00F31ACD" w:rsidRPr="00E37F71">
        <w:t>(195</w:t>
      </w:r>
      <w:r w:rsidR="5742A69D">
        <w:t>.4</w:t>
      </w:r>
      <w:r w:rsidR="007363AC" w:rsidRPr="00E37F71">
        <w:t xml:space="preserve"> deaths</w:t>
      </w:r>
      <w:r w:rsidR="00F31ACD" w:rsidRPr="00E37F71">
        <w:t xml:space="preserve"> [182</w:t>
      </w:r>
      <w:r w:rsidR="685CB548">
        <w:t>.1</w:t>
      </w:r>
      <w:r w:rsidR="00F31ACD" w:rsidRPr="00E37F71">
        <w:rPr>
          <w:rFonts w:cs="Times New Roman"/>
        </w:rPr>
        <w:t>–</w:t>
      </w:r>
      <w:r w:rsidR="00F31ACD" w:rsidRPr="00E37F71">
        <w:t>211</w:t>
      </w:r>
      <w:r w:rsidR="7F6D8240">
        <w:t>.4</w:t>
      </w:r>
      <w:r w:rsidR="00F31ACD" w:rsidRPr="00E37F71">
        <w:t>]</w:t>
      </w:r>
      <w:r w:rsidR="00F31ACD">
        <w:t xml:space="preserve"> per 100 000)</w:t>
      </w:r>
      <w:r w:rsidR="00AD2890">
        <w:t xml:space="preserve">. The lowest </w:t>
      </w:r>
      <w:r w:rsidR="23014898">
        <w:t xml:space="preserve">age-standardised </w:t>
      </w:r>
      <w:r w:rsidR="00AD2890">
        <w:t xml:space="preserve">death rates </w:t>
      </w:r>
      <w:r w:rsidR="00414EAA">
        <w:t xml:space="preserve">from COVID-19 </w:t>
      </w:r>
      <w:r w:rsidR="00AD2890">
        <w:t xml:space="preserve">were observed in </w:t>
      </w:r>
      <w:r w:rsidR="21B84FFE">
        <w:t xml:space="preserve">the </w:t>
      </w:r>
      <w:r w:rsidR="000B20B9">
        <w:t>high</w:t>
      </w:r>
      <w:r w:rsidR="02140D5E">
        <w:t xml:space="preserve">-income </w:t>
      </w:r>
      <w:r w:rsidR="33D45601">
        <w:t>super-region</w:t>
      </w:r>
      <w:r w:rsidR="02140D5E">
        <w:t xml:space="preserve"> (</w:t>
      </w:r>
      <w:r w:rsidR="02140D5E" w:rsidRPr="00E37F71">
        <w:t>48</w:t>
      </w:r>
      <w:r w:rsidR="389818AD" w:rsidRPr="00E37F71">
        <w:t>.1</w:t>
      </w:r>
      <w:r w:rsidR="02140D5E" w:rsidRPr="00E37F71">
        <w:t xml:space="preserve"> </w:t>
      </w:r>
      <w:r w:rsidR="00D9340D" w:rsidRPr="00E37F71">
        <w:t>deaths</w:t>
      </w:r>
      <w:r w:rsidR="02140D5E" w:rsidRPr="00E37F71">
        <w:t xml:space="preserve"> [47</w:t>
      </w:r>
      <w:r w:rsidR="3ABDCF77" w:rsidRPr="00E37F71">
        <w:t>.4</w:t>
      </w:r>
      <w:r w:rsidR="421853AA" w:rsidRPr="2A5BC196">
        <w:rPr>
          <w:rFonts w:cs="Times New Roman"/>
        </w:rPr>
        <w:t>–</w:t>
      </w:r>
      <w:r w:rsidR="02140D5E" w:rsidRPr="00E37F71">
        <w:t>4</w:t>
      </w:r>
      <w:r w:rsidR="26017442" w:rsidRPr="00E37F71">
        <w:t>8.8</w:t>
      </w:r>
      <w:r w:rsidR="02140D5E" w:rsidRPr="00E37F71">
        <w:t>]</w:t>
      </w:r>
      <w:r w:rsidR="00D9340D" w:rsidRPr="00E37F71">
        <w:t xml:space="preserve"> per 100 000</w:t>
      </w:r>
      <w:r w:rsidR="02140D5E">
        <w:t xml:space="preserve">) </w:t>
      </w:r>
      <w:r w:rsidR="00F31ACD">
        <w:t xml:space="preserve">and southeast Asia, east Asia, and Oceania </w:t>
      </w:r>
      <w:r w:rsidR="00F31ACD" w:rsidRPr="00E37F71">
        <w:t>(23.</w:t>
      </w:r>
      <w:r w:rsidR="5B022F1E" w:rsidRPr="00E37F71">
        <w:t>2</w:t>
      </w:r>
      <w:r w:rsidR="00F31ACD">
        <w:t xml:space="preserve"> </w:t>
      </w:r>
      <w:r w:rsidR="00D9340D">
        <w:t>deaths</w:t>
      </w:r>
      <w:r w:rsidR="00F31ACD">
        <w:t xml:space="preserve"> [</w:t>
      </w:r>
      <w:r w:rsidR="00F31ACD" w:rsidRPr="00E37F71">
        <w:t>16.</w:t>
      </w:r>
      <w:r w:rsidR="7AF9A84F" w:rsidRPr="00E37F71">
        <w:t>3</w:t>
      </w:r>
      <w:r w:rsidR="00F31ACD" w:rsidRPr="35694AC5">
        <w:rPr>
          <w:rFonts w:cs="Times New Roman"/>
        </w:rPr>
        <w:t>–</w:t>
      </w:r>
      <w:r w:rsidR="00F31ACD" w:rsidRPr="00E37F71">
        <w:t>37.</w:t>
      </w:r>
      <w:r w:rsidR="035A66DD" w:rsidRPr="00E37F71">
        <w:t>2</w:t>
      </w:r>
      <w:r w:rsidR="00F31ACD">
        <w:t>] per 100 000</w:t>
      </w:r>
      <w:r w:rsidR="007F47B0">
        <w:t>)</w:t>
      </w:r>
      <w:r w:rsidR="00F31ACD">
        <w:t>.</w:t>
      </w:r>
      <w:r w:rsidR="004C1E96">
        <w:t xml:space="preserve"> </w:t>
      </w:r>
      <w:r w:rsidR="00A648E6">
        <w:t>Globall</w:t>
      </w:r>
      <w:r w:rsidR="00FE7476">
        <w:t>y</w:t>
      </w:r>
      <w:r w:rsidR="00A648E6">
        <w:t>, t</w:t>
      </w:r>
      <w:r w:rsidR="00995582">
        <w:t xml:space="preserve">rends in life expectancy </w:t>
      </w:r>
      <w:r w:rsidR="30C1EE1A">
        <w:t>showed</w:t>
      </w:r>
      <w:r w:rsidR="00E06A5A">
        <w:t xml:space="preserve"> steady improvements</w:t>
      </w:r>
      <w:r w:rsidR="004F661F">
        <w:t xml:space="preserve"> </w:t>
      </w:r>
      <w:r w:rsidR="6E2AA08E">
        <w:t>between</w:t>
      </w:r>
      <w:r w:rsidR="007F0E12">
        <w:t xml:space="preserve"> </w:t>
      </w:r>
      <w:r w:rsidR="00FE29EF">
        <w:t>1990</w:t>
      </w:r>
      <w:r w:rsidR="0ECA1CEF">
        <w:t xml:space="preserve"> </w:t>
      </w:r>
      <w:r w:rsidR="22A65175">
        <w:t xml:space="preserve">and 2019 </w:t>
      </w:r>
      <w:r w:rsidR="593D6FF3" w:rsidRPr="00CB12EB">
        <w:t xml:space="preserve">for </w:t>
      </w:r>
      <w:r w:rsidR="001D2B05" w:rsidRPr="00CB12EB">
        <w:t>18 of the 22 investigated</w:t>
      </w:r>
      <w:r w:rsidR="00D15B3F" w:rsidRPr="00CB12EB">
        <w:t xml:space="preserve"> causes</w:t>
      </w:r>
      <w:r w:rsidR="00794F3F">
        <w:t>. D</w:t>
      </w:r>
      <w:r w:rsidR="3B4F49F3">
        <w:t>ecomposition of global and regional life expectancy demonstrates the positive impact that reductions in enteric infections, lower respiratory infections, stroke, and neonatal deaths, among others, have contributed to i</w:t>
      </w:r>
      <w:r w:rsidR="00FD0588">
        <w:t>ncreased</w:t>
      </w:r>
      <w:r w:rsidR="3B4F49F3">
        <w:t xml:space="preserve"> </w:t>
      </w:r>
      <w:r w:rsidR="00794F3F">
        <w:t>survival</w:t>
      </w:r>
      <w:r w:rsidR="3B4F49F3">
        <w:t xml:space="preserve">. </w:t>
      </w:r>
      <w:r w:rsidR="00E91F8D">
        <w:t xml:space="preserve">Despite these improvements in </w:t>
      </w:r>
      <w:r w:rsidR="00A32881">
        <w:t>causes of death until 2019, a</w:t>
      </w:r>
      <w:r w:rsidR="00BB39E8">
        <w:t xml:space="preserve"> n</w:t>
      </w:r>
      <w:r w:rsidR="3BDF8ABE">
        <w:t>et</w:t>
      </w:r>
      <w:r w:rsidR="00BB39E8">
        <w:t xml:space="preserve"> drop </w:t>
      </w:r>
      <w:r w:rsidR="0070528F">
        <w:t>of 1.</w:t>
      </w:r>
      <w:r w:rsidR="070F51FF">
        <w:t>6</w:t>
      </w:r>
      <w:r w:rsidR="00FC0128">
        <w:t xml:space="preserve"> years </w:t>
      </w:r>
      <w:r w:rsidR="00BB39E8">
        <w:t xml:space="preserve">occurred </w:t>
      </w:r>
      <w:r w:rsidR="00C35617">
        <w:t>in</w:t>
      </w:r>
      <w:r w:rsidR="07273B1D">
        <w:t xml:space="preserve"> global </w:t>
      </w:r>
      <w:r w:rsidR="00C35617">
        <w:t>life expectancy</w:t>
      </w:r>
      <w:r w:rsidR="00EC428D">
        <w:t xml:space="preserve"> </w:t>
      </w:r>
      <w:r w:rsidR="007D2527">
        <w:t xml:space="preserve">between </w:t>
      </w:r>
      <w:r w:rsidR="7D451759">
        <w:t>2019</w:t>
      </w:r>
      <w:r w:rsidR="00F86DE4">
        <w:t xml:space="preserve"> and </w:t>
      </w:r>
      <w:r w:rsidR="00F86DE4" w:rsidRPr="000B1BDA">
        <w:t>2021</w:t>
      </w:r>
      <w:r w:rsidR="00391215">
        <w:t>,</w:t>
      </w:r>
      <w:r w:rsidR="003E678F">
        <w:t xml:space="preserve"> </w:t>
      </w:r>
      <w:r w:rsidR="493F3D3C">
        <w:t>primarily</w:t>
      </w:r>
      <w:r w:rsidR="003E678F">
        <w:t xml:space="preserve"> </w:t>
      </w:r>
      <w:r w:rsidR="3BD3C695">
        <w:t>due to</w:t>
      </w:r>
      <w:r w:rsidR="00CE74F5">
        <w:t xml:space="preserve"> elevated</w:t>
      </w:r>
      <w:r w:rsidR="000015D3">
        <w:t xml:space="preserve"> </w:t>
      </w:r>
      <w:r w:rsidR="00CE74F5">
        <w:t>death</w:t>
      </w:r>
      <w:r w:rsidR="007D59BA">
        <w:t xml:space="preserve"> </w:t>
      </w:r>
      <w:r w:rsidR="000015D3">
        <w:t xml:space="preserve">rates </w:t>
      </w:r>
      <w:r w:rsidR="00CE74F5">
        <w:t>due to COVID-19</w:t>
      </w:r>
      <w:r w:rsidR="060C6BD7">
        <w:t xml:space="preserve"> and OPRM</w:t>
      </w:r>
      <w:r w:rsidR="00A32881">
        <w:t>.</w:t>
      </w:r>
      <w:r w:rsidR="008B6DE7">
        <w:t xml:space="preserve"> </w:t>
      </w:r>
      <w:r w:rsidR="0004585E">
        <w:t xml:space="preserve">Examining the </w:t>
      </w:r>
      <w:r w:rsidR="008B6DE7" w:rsidRPr="00773247">
        <w:t>impact of COVID-19</w:t>
      </w:r>
      <w:r w:rsidR="00764ACD" w:rsidRPr="00773247">
        <w:t xml:space="preserve"> on</w:t>
      </w:r>
      <w:r w:rsidR="008B6DE7" w:rsidRPr="00773247">
        <w:t xml:space="preserve"> life expectancy between 2019</w:t>
      </w:r>
      <w:r w:rsidR="00BE29F2">
        <w:t>–</w:t>
      </w:r>
      <w:r w:rsidR="008B6DE7" w:rsidRPr="00773247">
        <w:t>2021</w:t>
      </w:r>
      <w:r w:rsidR="79A9C621" w:rsidRPr="00773247">
        <w:t xml:space="preserve"> </w:t>
      </w:r>
      <w:r w:rsidR="003F13C1">
        <w:t>is</w:t>
      </w:r>
      <w:r w:rsidR="006E730A">
        <w:t xml:space="preserve"> crucial </w:t>
      </w:r>
      <w:r w:rsidR="008B6DE7" w:rsidRPr="00773247">
        <w:t>because each of the seven</w:t>
      </w:r>
      <w:r w:rsidR="003E28E7" w:rsidRPr="00773247">
        <w:t xml:space="preserve"> </w:t>
      </w:r>
      <w:r w:rsidR="229612BD" w:rsidRPr="00773247">
        <w:t xml:space="preserve">GBD </w:t>
      </w:r>
      <w:r w:rsidR="003E28E7" w:rsidRPr="00773247">
        <w:t xml:space="preserve">super-regions </w:t>
      </w:r>
      <w:r w:rsidRPr="00773247">
        <w:t>show</w:t>
      </w:r>
      <w:r w:rsidR="10993356" w:rsidRPr="00773247">
        <w:t>ed</w:t>
      </w:r>
      <w:r w:rsidR="009C6D6E" w:rsidRPr="00773247">
        <w:t xml:space="preserve"> an</w:t>
      </w:r>
      <w:r w:rsidR="0035486A" w:rsidRPr="00773247">
        <w:t xml:space="preserve"> overall</w:t>
      </w:r>
      <w:r w:rsidR="009C6D6E" w:rsidRPr="00773247">
        <w:t xml:space="preserve"> </w:t>
      </w:r>
      <w:r w:rsidR="00074A2C" w:rsidRPr="00773247">
        <w:t>improvement</w:t>
      </w:r>
      <w:r w:rsidR="005772D3" w:rsidRPr="00773247">
        <w:t xml:space="preserve"> </w:t>
      </w:r>
      <w:r w:rsidR="00DC7C94" w:rsidRPr="00773247">
        <w:t xml:space="preserve">from </w:t>
      </w:r>
      <w:r w:rsidR="008367FF" w:rsidRPr="00773247">
        <w:t>1990 to 2021</w:t>
      </w:r>
      <w:r w:rsidR="009B2E15" w:rsidRPr="00773247">
        <w:t>, obscuring the negative impact on life expectancy isolated in the years of pandemic</w:t>
      </w:r>
      <w:r w:rsidR="00764ACD" w:rsidRPr="00773247">
        <w:t>.</w:t>
      </w:r>
      <w:r w:rsidR="433F6D13" w:rsidRPr="00A60775">
        <w:t xml:space="preserve"> </w:t>
      </w:r>
      <w:r w:rsidR="7BBE7B5F" w:rsidRPr="00A60775">
        <w:t>There was high variability between super-regions</w:t>
      </w:r>
      <w:r w:rsidR="6B1A6EA3" w:rsidRPr="00A60775">
        <w:t xml:space="preserve">, with </w:t>
      </w:r>
      <w:r w:rsidR="2646985C" w:rsidRPr="00A60775">
        <w:t>s</w:t>
      </w:r>
      <w:r w:rsidR="00582BD8" w:rsidRPr="00A60775">
        <w:t>outh</w:t>
      </w:r>
      <w:r w:rsidR="1D1E9E94" w:rsidRPr="00A60775">
        <w:t xml:space="preserve">east Asia, </w:t>
      </w:r>
      <w:r w:rsidR="21E36496" w:rsidRPr="00A60775">
        <w:t>e</w:t>
      </w:r>
      <w:r w:rsidR="1D1E9E94" w:rsidRPr="00A60775">
        <w:t>ast Asia, and Oceania</w:t>
      </w:r>
      <w:r w:rsidR="00582BD8" w:rsidRPr="00A60775">
        <w:t xml:space="preserve"> gain</w:t>
      </w:r>
      <w:r w:rsidR="1DC0A861" w:rsidRPr="00A60775">
        <w:t>ing</w:t>
      </w:r>
      <w:r w:rsidR="00137A33" w:rsidRPr="00A60775">
        <w:t xml:space="preserve"> 8.</w:t>
      </w:r>
      <w:r w:rsidR="6C9EF6C1" w:rsidRPr="00A60775">
        <w:t>3</w:t>
      </w:r>
      <w:r w:rsidR="00137A33" w:rsidRPr="00A60775">
        <w:t xml:space="preserve"> years </w:t>
      </w:r>
      <w:r w:rsidR="001C41F8" w:rsidRPr="00A60775">
        <w:rPr>
          <w:rFonts w:eastAsia="Times New Roman" w:cs="Times New Roman"/>
        </w:rPr>
        <w:t>(</w:t>
      </w:r>
      <w:r w:rsidR="062AD1A5" w:rsidRPr="00A60775">
        <w:rPr>
          <w:rFonts w:eastAsia="Times New Roman" w:cs="Times New Roman"/>
        </w:rPr>
        <w:t>6.7</w:t>
      </w:r>
      <w:r w:rsidR="001C41F8" w:rsidRPr="00A60775">
        <w:rPr>
          <w:rFonts w:eastAsia="Times New Roman" w:cs="Times New Roman"/>
        </w:rPr>
        <w:t>–</w:t>
      </w:r>
      <w:r w:rsidR="432F33B0" w:rsidRPr="00A60775">
        <w:rPr>
          <w:rFonts w:eastAsia="Times New Roman" w:cs="Times New Roman"/>
        </w:rPr>
        <w:t>9.9</w:t>
      </w:r>
      <w:r w:rsidR="001C41F8" w:rsidRPr="00A60775">
        <w:rPr>
          <w:rFonts w:eastAsia="Times New Roman" w:cs="Times New Roman"/>
        </w:rPr>
        <w:t xml:space="preserve">) </w:t>
      </w:r>
      <w:r w:rsidR="00740B96" w:rsidRPr="00A60775">
        <w:t>of life expectancy</w:t>
      </w:r>
      <w:r w:rsidR="00830E2C" w:rsidRPr="00A60775">
        <w:t xml:space="preserve"> overall</w:t>
      </w:r>
      <w:r w:rsidR="00240569" w:rsidRPr="00A60775">
        <w:t>,</w:t>
      </w:r>
      <w:r w:rsidR="00740B96" w:rsidRPr="00A60775">
        <w:t xml:space="preserve"> </w:t>
      </w:r>
      <w:r w:rsidR="79E51971" w:rsidRPr="00A60775">
        <w:t xml:space="preserve">while displaying the smallest reduction in life expectancy due to </w:t>
      </w:r>
      <w:r w:rsidR="5F54CDDE" w:rsidRPr="00A60775">
        <w:t>COVID-19</w:t>
      </w:r>
      <w:r w:rsidR="79E51971" w:rsidRPr="00A60775">
        <w:t xml:space="preserve"> of 0.4 years.</w:t>
      </w:r>
      <w:r w:rsidR="00D07397" w:rsidRPr="00A60775">
        <w:t xml:space="preserve"> The largest </w:t>
      </w:r>
      <w:r w:rsidR="004E73BE" w:rsidRPr="00A60775">
        <w:t>decline</w:t>
      </w:r>
      <w:r w:rsidR="00D07397" w:rsidRPr="00A60775">
        <w:t xml:space="preserve"> in life expectancy due to COVID-19 occurred in Latin America and </w:t>
      </w:r>
      <w:r w:rsidR="000B20B9" w:rsidRPr="00A60775">
        <w:t>the</w:t>
      </w:r>
      <w:r w:rsidR="00D07397" w:rsidRPr="00A60775">
        <w:t xml:space="preserve"> Car</w:t>
      </w:r>
      <w:r w:rsidR="00641447" w:rsidRPr="00A60775">
        <w:t>ibbean</w:t>
      </w:r>
      <w:r w:rsidR="00CC5CEC" w:rsidRPr="00A60775">
        <w:t xml:space="preserve">, which lost </w:t>
      </w:r>
      <w:r w:rsidR="00771461" w:rsidRPr="00A60775">
        <w:t>3.6 years</w:t>
      </w:r>
      <w:r w:rsidR="7E836DB6" w:rsidRPr="00A60775">
        <w:t>.</w:t>
      </w:r>
      <w:r w:rsidR="000C4132">
        <w:t xml:space="preserve"> </w:t>
      </w:r>
      <w:r w:rsidR="00023126">
        <w:t>In a</w:t>
      </w:r>
      <w:r w:rsidR="7110688B">
        <w:t>ddition</w:t>
      </w:r>
      <w:r w:rsidR="00023126">
        <w:t>,</w:t>
      </w:r>
      <w:r w:rsidR="7110688B">
        <w:t xml:space="preserve"> </w:t>
      </w:r>
      <w:r w:rsidR="2FFAC36B">
        <w:t xml:space="preserve">we found that </w:t>
      </w:r>
      <w:r w:rsidR="7110688B">
        <w:t xml:space="preserve">53 of the 288 causes of death were </w:t>
      </w:r>
      <w:r w:rsidR="65FECEF2">
        <w:t xml:space="preserve">highly </w:t>
      </w:r>
      <w:r w:rsidR="003B2379">
        <w:t>concentrated in</w:t>
      </w:r>
      <w:r w:rsidR="7110688B">
        <w:t xml:space="preserve"> locations that contained less than 50% of the global population as of 2021, and that these </w:t>
      </w:r>
      <w:r w:rsidR="00817C11">
        <w:t xml:space="preserve">causes of death </w:t>
      </w:r>
      <w:r w:rsidR="0A02A499">
        <w:t>became</w:t>
      </w:r>
      <w:r w:rsidR="7110688B">
        <w:t xml:space="preserve"> progressively more concentrated since 1990</w:t>
      </w:r>
      <w:r w:rsidR="74088F78">
        <w:t>,</w:t>
      </w:r>
      <w:r w:rsidR="008F2B50">
        <w:t xml:space="preserve"> when only </w:t>
      </w:r>
      <w:r w:rsidR="4208E73C">
        <w:t>44</w:t>
      </w:r>
      <w:r w:rsidR="04C610AB">
        <w:t xml:space="preserve"> of </w:t>
      </w:r>
      <w:r w:rsidR="008F2B50">
        <w:t>2</w:t>
      </w:r>
      <w:r w:rsidR="00DE3543">
        <w:t>88 showed</w:t>
      </w:r>
      <w:r w:rsidR="00C925A7">
        <w:t xml:space="preserve"> </w:t>
      </w:r>
      <w:r w:rsidR="00F24A77">
        <w:t xml:space="preserve">this </w:t>
      </w:r>
      <w:r w:rsidR="00C925A7">
        <w:t>pattern</w:t>
      </w:r>
      <w:r w:rsidR="6660C898">
        <w:t>.</w:t>
      </w:r>
      <w:r w:rsidR="008C4BD3">
        <w:t xml:space="preserve"> </w:t>
      </w:r>
      <w:r w:rsidR="008C4BD3" w:rsidRPr="2A5BC196">
        <w:rPr>
          <w:rFonts w:cs="Times New Roman"/>
        </w:rPr>
        <w:t xml:space="preserve">The concentration phenomenon is </w:t>
      </w:r>
      <w:r w:rsidR="001F2A7E" w:rsidRPr="2A5BC196">
        <w:rPr>
          <w:rFonts w:cs="Times New Roman"/>
        </w:rPr>
        <w:t>discussed</w:t>
      </w:r>
      <w:r w:rsidR="008C4BD3" w:rsidRPr="2A5BC196">
        <w:rPr>
          <w:rFonts w:cs="Times New Roman"/>
        </w:rPr>
        <w:t xml:space="preserve"> heuristically</w:t>
      </w:r>
      <w:r w:rsidR="003B2379" w:rsidRPr="2A5BC196">
        <w:rPr>
          <w:rFonts w:cs="Times New Roman"/>
        </w:rPr>
        <w:t xml:space="preserve"> with respect to </w:t>
      </w:r>
      <w:r w:rsidR="03DA892B">
        <w:t xml:space="preserve">enteric and lower respiratory infections, malaria, HIV/AIDS, neonatal disorders, tuberculosis, </w:t>
      </w:r>
      <w:r w:rsidR="00F77A37">
        <w:t xml:space="preserve">and </w:t>
      </w:r>
      <w:r w:rsidR="00854B05" w:rsidRPr="0081566C">
        <w:t>measles</w:t>
      </w:r>
      <w:r w:rsidR="003B2379">
        <w:rPr>
          <w:rFonts w:cs="Times New Roman"/>
        </w:rPr>
        <w:t>.</w:t>
      </w:r>
    </w:p>
    <w:p w14:paraId="5FAFEC02" w14:textId="262050F2" w:rsidR="00405967" w:rsidRDefault="00405967" w:rsidP="00610382">
      <w:pPr>
        <w:pStyle w:val="Heading3"/>
        <w:spacing w:line="360" w:lineRule="auto"/>
      </w:pPr>
      <w:r>
        <w:t>Interpretation</w:t>
      </w:r>
    </w:p>
    <w:p w14:paraId="4C63B0D0" w14:textId="2C573851" w:rsidR="00925F2A" w:rsidRDefault="009902F7" w:rsidP="00610382">
      <w:pPr>
        <w:spacing w:line="360" w:lineRule="auto"/>
      </w:pPr>
      <w:r>
        <w:t>L</w:t>
      </w:r>
      <w:r w:rsidR="00E26EE9">
        <w:t xml:space="preserve">ongstanding </w:t>
      </w:r>
      <w:r w:rsidR="00B66BC5">
        <w:t>gains</w:t>
      </w:r>
      <w:r w:rsidR="00227DEB">
        <w:t xml:space="preserve"> in life expectancy and reduc</w:t>
      </w:r>
      <w:r w:rsidR="000B2713">
        <w:t>tion</w:t>
      </w:r>
      <w:r w:rsidR="00E237BF">
        <w:t>s</w:t>
      </w:r>
      <w:r w:rsidR="000B2713">
        <w:t xml:space="preserve"> in</w:t>
      </w:r>
      <w:r w:rsidR="00227DEB">
        <w:t xml:space="preserve"> many of the leading causes of death</w:t>
      </w:r>
      <w:r w:rsidR="0081497C">
        <w:t xml:space="preserve"> </w:t>
      </w:r>
      <w:r w:rsidR="00C863AF">
        <w:t>have been disrupted by</w:t>
      </w:r>
      <w:r w:rsidR="009F5E6A">
        <w:t xml:space="preserve"> COVID-19</w:t>
      </w:r>
      <w:r w:rsidR="00A64B42">
        <w:t>,</w:t>
      </w:r>
      <w:r w:rsidR="008C7C39">
        <w:t xml:space="preserve"> </w:t>
      </w:r>
      <w:r w:rsidR="00001150">
        <w:t>t</w:t>
      </w:r>
      <w:r w:rsidR="008C7C39">
        <w:t xml:space="preserve">he adverse effects of </w:t>
      </w:r>
      <w:r w:rsidR="00001150">
        <w:t xml:space="preserve">which were spread unevenly </w:t>
      </w:r>
      <w:r w:rsidR="002F1E4F">
        <w:t>among population</w:t>
      </w:r>
      <w:r w:rsidR="007837F2">
        <w:t>s</w:t>
      </w:r>
      <w:r w:rsidR="00891F36">
        <w:t xml:space="preserve">. </w:t>
      </w:r>
      <w:r w:rsidR="00891F36" w:rsidRPr="00ED564B">
        <w:t>Despite</w:t>
      </w:r>
      <w:r w:rsidR="00BD4CD0" w:rsidRPr="00ED564B">
        <w:t xml:space="preserve"> </w:t>
      </w:r>
      <w:r w:rsidR="008D4A32" w:rsidRPr="00ED564B">
        <w:lastRenderedPageBreak/>
        <w:t>the pandemic</w:t>
      </w:r>
      <w:r w:rsidR="00B47B41" w:rsidRPr="00ED564B">
        <w:t xml:space="preserve">, </w:t>
      </w:r>
      <w:r w:rsidR="00790006" w:rsidRPr="00ED564B">
        <w:t xml:space="preserve">there has been </w:t>
      </w:r>
      <w:r w:rsidR="003B36B7" w:rsidRPr="00ED564B">
        <w:t xml:space="preserve">continued </w:t>
      </w:r>
      <w:r w:rsidR="00790006" w:rsidRPr="00ED564B">
        <w:t xml:space="preserve">progress in combatting several </w:t>
      </w:r>
      <w:r w:rsidR="00214326" w:rsidRPr="00ED564B">
        <w:t>notable causes</w:t>
      </w:r>
      <w:r w:rsidR="2E563422" w:rsidRPr="00ED564B">
        <w:t xml:space="preserve"> of death</w:t>
      </w:r>
      <w:r w:rsidR="00214326" w:rsidRPr="00ED564B">
        <w:t xml:space="preserve">, </w:t>
      </w:r>
      <w:r w:rsidR="00EB0898" w:rsidRPr="00ED564B">
        <w:t>leading to</w:t>
      </w:r>
      <w:r w:rsidR="00C34035" w:rsidRPr="00ED564B">
        <w:t xml:space="preserve"> improved </w:t>
      </w:r>
      <w:r w:rsidR="00E20D3D" w:rsidRPr="00ED564B">
        <w:t xml:space="preserve">global </w:t>
      </w:r>
      <w:r w:rsidR="000D319B" w:rsidRPr="00ED564B">
        <w:t xml:space="preserve">life </w:t>
      </w:r>
      <w:r w:rsidR="000761DC" w:rsidRPr="00ED564B">
        <w:t>expectancy</w:t>
      </w:r>
      <w:r w:rsidR="005D3BC2" w:rsidRPr="00ED564B">
        <w:t xml:space="preserve"> over the </w:t>
      </w:r>
      <w:r w:rsidR="00EF1E3F" w:rsidRPr="00ED564B">
        <w:t xml:space="preserve">study </w:t>
      </w:r>
      <w:r w:rsidR="005D3BC2" w:rsidRPr="00ED564B">
        <w:t>period</w:t>
      </w:r>
      <w:r w:rsidR="00886DBB" w:rsidRPr="00ED564B">
        <w:t>,</w:t>
      </w:r>
      <w:r w:rsidR="00E20D3D" w:rsidRPr="00ED564B">
        <w:t xml:space="preserve"> </w:t>
      </w:r>
      <w:r w:rsidR="00886DBB" w:rsidRPr="00ED564B">
        <w:t>wit</w:t>
      </w:r>
      <w:r w:rsidR="007D70C5" w:rsidRPr="00ED564B">
        <w:t>h</w:t>
      </w:r>
      <w:r w:rsidR="1C853DE4" w:rsidRPr="00ED564B">
        <w:t xml:space="preserve"> </w:t>
      </w:r>
      <w:r w:rsidR="531717D3" w:rsidRPr="00ED564B">
        <w:t>t</w:t>
      </w:r>
      <w:r w:rsidR="518F03E9" w:rsidRPr="00ED564B">
        <w:t xml:space="preserve">he </w:t>
      </w:r>
      <w:r w:rsidR="00450E2A" w:rsidRPr="00ED564B">
        <w:t xml:space="preserve">biggest gains </w:t>
      </w:r>
      <w:r w:rsidR="00120C77" w:rsidRPr="00ED564B">
        <w:t xml:space="preserve">attributed to </w:t>
      </w:r>
      <w:r w:rsidR="00742C0B" w:rsidRPr="00ED564B">
        <w:t>reductions in mortality due to</w:t>
      </w:r>
      <w:r w:rsidR="190728E9" w:rsidRPr="00ED564B">
        <w:t xml:space="preserve"> enteric infections, lower respiratory infections, stroke, and neonatal deaths</w:t>
      </w:r>
      <w:r w:rsidR="00212103" w:rsidRPr="00ED564B">
        <w:t>.</w:t>
      </w:r>
      <w:r w:rsidR="004C2F4D" w:rsidRPr="00ED564B">
        <w:t xml:space="preserve"> </w:t>
      </w:r>
      <w:r w:rsidR="00C14FC4" w:rsidRPr="00ED564B">
        <w:t xml:space="preserve">Our findings about </w:t>
      </w:r>
      <w:r w:rsidR="4998397A" w:rsidRPr="00ED564B">
        <w:t>r</w:t>
      </w:r>
      <w:r w:rsidR="0CBFE365" w:rsidRPr="00ED564B">
        <w:t>egional</w:t>
      </w:r>
      <w:r w:rsidR="00120C77" w:rsidRPr="00ED564B">
        <w:t xml:space="preserve"> variation </w:t>
      </w:r>
      <w:r w:rsidR="001B4665" w:rsidRPr="00ED564B">
        <w:t>driving</w:t>
      </w:r>
      <w:r w:rsidR="00E771F1" w:rsidRPr="00ED564B">
        <w:t xml:space="preserve"> increases </w:t>
      </w:r>
      <w:r w:rsidR="6435D209" w:rsidRPr="00ED564B">
        <w:t>in</w:t>
      </w:r>
      <w:r w:rsidR="000E793F" w:rsidRPr="00ED564B">
        <w:t xml:space="preserve"> life</w:t>
      </w:r>
      <w:r w:rsidR="3B4FB3D8" w:rsidRPr="00ED564B">
        <w:t xml:space="preserve"> </w:t>
      </w:r>
      <w:r w:rsidR="000E793F" w:rsidRPr="00ED564B">
        <w:t xml:space="preserve">expectancy have </w:t>
      </w:r>
      <w:r w:rsidR="52629FAA" w:rsidRPr="00ED564B">
        <w:t>clear</w:t>
      </w:r>
      <w:r w:rsidR="000E793F" w:rsidRPr="00ED564B">
        <w:t xml:space="preserve"> </w:t>
      </w:r>
      <w:r w:rsidR="00EC5C4A" w:rsidRPr="00ED564B">
        <w:t>policy utility</w:t>
      </w:r>
      <w:r w:rsidR="587C1435" w:rsidRPr="00ED564B">
        <w:t>,</w:t>
      </w:r>
      <w:r w:rsidR="00A35565" w:rsidRPr="00ED564B">
        <w:t xml:space="preserve"> as does our an</w:t>
      </w:r>
      <w:r w:rsidR="006803E5" w:rsidRPr="00ED564B">
        <w:t>aly</w:t>
      </w:r>
      <w:r w:rsidR="00DC27CA" w:rsidRPr="00ED564B">
        <w:t>s</w:t>
      </w:r>
      <w:r w:rsidR="006803E5" w:rsidRPr="00ED564B">
        <w:t>is of</w:t>
      </w:r>
      <w:r w:rsidR="00EC5C4A" w:rsidRPr="00ED564B">
        <w:t xml:space="preserve"> </w:t>
      </w:r>
      <w:r w:rsidR="00846258" w:rsidRPr="00ED564B">
        <w:t xml:space="preserve">changing </w:t>
      </w:r>
      <w:r w:rsidR="004C2F4D" w:rsidRPr="00ED564B">
        <w:t xml:space="preserve">mortality </w:t>
      </w:r>
      <w:r w:rsidR="00846258" w:rsidRPr="00ED564B">
        <w:t>trends</w:t>
      </w:r>
      <w:r w:rsidR="20A2903C" w:rsidRPr="00ED564B">
        <w:t>.</w:t>
      </w:r>
      <w:r w:rsidR="00060004">
        <w:t xml:space="preserve"> </w:t>
      </w:r>
      <w:r w:rsidR="00B11B6F">
        <w:t xml:space="preserve">Deaths from </w:t>
      </w:r>
      <w:r w:rsidR="26F42E13">
        <w:t>enteric and lower respiratory infections, malaria, HIV/AIDS, neonatal disorders, tuberculosis, measles,</w:t>
      </w:r>
      <w:r w:rsidR="26F42E13" w:rsidRPr="57630076">
        <w:rPr>
          <w:rFonts w:cs="Times New Roman"/>
        </w:rPr>
        <w:t xml:space="preserve"> and other causes</w:t>
      </w:r>
      <w:r w:rsidR="319C5F59">
        <w:t xml:space="preserve"> that </w:t>
      </w:r>
      <w:r w:rsidR="00741537">
        <w:t>w</w:t>
      </w:r>
      <w:r w:rsidR="00F665A6">
        <w:t>ere</w:t>
      </w:r>
      <w:r w:rsidR="319C5F59">
        <w:t xml:space="preserve"> once widespread globally </w:t>
      </w:r>
      <w:r w:rsidR="00F665A6">
        <w:t>are</w:t>
      </w:r>
      <w:r w:rsidR="319C5F59">
        <w:t xml:space="preserve"> now increasingly </w:t>
      </w:r>
      <w:r w:rsidR="676FEA11">
        <w:t>concentrated</w:t>
      </w:r>
      <w:r w:rsidR="3BE4D397">
        <w:t>.</w:t>
      </w:r>
      <w:r w:rsidR="3DBA2610">
        <w:t xml:space="preserve"> </w:t>
      </w:r>
      <w:r w:rsidR="00212103">
        <w:t>The</w:t>
      </w:r>
      <w:r w:rsidR="00685A5E">
        <w:t xml:space="preserve"> changes to</w:t>
      </w:r>
      <w:r w:rsidR="00630222">
        <w:t xml:space="preserve"> </w:t>
      </w:r>
      <w:r w:rsidR="001A7C5E">
        <w:t>mortality</w:t>
      </w:r>
      <w:r w:rsidR="002B2916">
        <w:t xml:space="preserve"> </w:t>
      </w:r>
      <w:r w:rsidR="052DB10D">
        <w:t>concentration</w:t>
      </w:r>
      <w:r w:rsidR="002B2916">
        <w:t xml:space="preserve"> </w:t>
      </w:r>
      <w:r w:rsidR="20A2903C">
        <w:t>reveal</w:t>
      </w:r>
      <w:r w:rsidR="00060004">
        <w:t xml:space="preserve"> </w:t>
      </w:r>
      <w:r w:rsidR="007F1FE5">
        <w:t xml:space="preserve">marked </w:t>
      </w:r>
      <w:r w:rsidR="006F0F12">
        <w:t xml:space="preserve">regional differences in </w:t>
      </w:r>
      <w:r w:rsidR="003A20E2">
        <w:t xml:space="preserve">public health </w:t>
      </w:r>
      <w:r w:rsidR="006F0F12">
        <w:t xml:space="preserve">success, which alongside further </w:t>
      </w:r>
      <w:r w:rsidR="00C63706">
        <w:t xml:space="preserve">investigation </w:t>
      </w:r>
      <w:r w:rsidR="007F1FE5">
        <w:t xml:space="preserve">of </w:t>
      </w:r>
      <w:r w:rsidR="003A20E2">
        <w:t xml:space="preserve">changing risks, </w:t>
      </w:r>
      <w:r w:rsidR="001E474C">
        <w:t>interventions,</w:t>
      </w:r>
      <w:r w:rsidR="007F1FE5">
        <w:t xml:space="preserve"> </w:t>
      </w:r>
      <w:r w:rsidR="003A20E2">
        <w:t xml:space="preserve">and </w:t>
      </w:r>
      <w:r w:rsidR="00FA4A47">
        <w:t xml:space="preserve">relevant </w:t>
      </w:r>
      <w:r w:rsidR="003A20E2">
        <w:t>policy</w:t>
      </w:r>
      <w:r w:rsidR="008A29C0">
        <w:t xml:space="preserve">, </w:t>
      </w:r>
      <w:r w:rsidR="002B2916">
        <w:t xml:space="preserve">provides an important opportunity </w:t>
      </w:r>
      <w:r w:rsidR="008A29C0">
        <w:t xml:space="preserve">to </w:t>
      </w:r>
      <w:r w:rsidR="00CDAA0A">
        <w:t>better</w:t>
      </w:r>
      <w:r w:rsidR="003A20E2">
        <w:t xml:space="preserve"> </w:t>
      </w:r>
      <w:r w:rsidR="00CC479D">
        <w:t xml:space="preserve">understand </w:t>
      </w:r>
      <w:r w:rsidR="31BB4FEA">
        <w:t xml:space="preserve">how to reduce </w:t>
      </w:r>
      <w:r w:rsidR="5223962F">
        <w:t>mortality</w:t>
      </w:r>
      <w:r w:rsidR="39405FD2">
        <w:t xml:space="preserve">. </w:t>
      </w:r>
      <w:r w:rsidR="54A99FDB">
        <w:t>T</w:t>
      </w:r>
      <w:r w:rsidR="6C71814D">
        <w:t>ranslating</w:t>
      </w:r>
      <w:r w:rsidR="006E14DD">
        <w:t xml:space="preserve"> </w:t>
      </w:r>
      <w:r w:rsidR="00D37DBA">
        <w:t xml:space="preserve">these </w:t>
      </w:r>
      <w:r w:rsidR="664C6C37">
        <w:t xml:space="preserve">successes </w:t>
      </w:r>
      <w:r w:rsidR="00D40221">
        <w:t xml:space="preserve">to </w:t>
      </w:r>
      <w:r w:rsidR="352DCEC0">
        <w:t xml:space="preserve">locations </w:t>
      </w:r>
      <w:r w:rsidR="00B46EB6">
        <w:t xml:space="preserve">where </w:t>
      </w:r>
      <w:r w:rsidR="6F27C113">
        <w:t>certain</w:t>
      </w:r>
      <w:r w:rsidR="5F5FDA70">
        <w:t xml:space="preserve"> causes of death</w:t>
      </w:r>
      <w:r w:rsidR="00093F4D">
        <w:t xml:space="preserve"> remain entrenched</w:t>
      </w:r>
      <w:r w:rsidR="654FCC1C">
        <w:t xml:space="preserve"> can inform policies that </w:t>
      </w:r>
      <w:r w:rsidR="57C1FDED">
        <w:t xml:space="preserve">work to </w:t>
      </w:r>
      <w:r w:rsidR="654FCC1C">
        <w:t xml:space="preserve">improve life expectancy for people </w:t>
      </w:r>
      <w:r w:rsidR="2B86AFAC">
        <w:t>everywhere</w:t>
      </w:r>
      <w:r w:rsidR="50CEDE6E">
        <w:t>.</w:t>
      </w:r>
      <w:r w:rsidR="006A7D95">
        <w:t xml:space="preserve"> </w:t>
      </w:r>
      <w:r w:rsidR="006A7D95" w:rsidRPr="004E50C3">
        <w:t>The pandemic highlighted inequities in existing health systems as well as health system preparedness, both of which were highly heterogenous globally in terms of population mortality outcomes. This has rightly prompted new calls for increasing equity in pandemic preparedness alongside calls for strengthening existing health systems.</w:t>
      </w:r>
    </w:p>
    <w:p w14:paraId="64DF4BFB" w14:textId="4D65ACEF" w:rsidR="00405967" w:rsidRDefault="00405967" w:rsidP="00610382">
      <w:pPr>
        <w:pStyle w:val="Heading3"/>
        <w:spacing w:line="360" w:lineRule="auto"/>
      </w:pPr>
      <w:r>
        <w:t>Funding</w:t>
      </w:r>
    </w:p>
    <w:p w14:paraId="1E948FF8" w14:textId="39ABF13A" w:rsidR="00903F78" w:rsidRPr="00704BD6" w:rsidRDefault="00405967" w:rsidP="00610382">
      <w:pPr>
        <w:spacing w:line="360" w:lineRule="auto"/>
      </w:pPr>
      <w:r>
        <w:t>Bill &amp; Melinda Gates Foundation</w:t>
      </w:r>
      <w:r w:rsidR="00964B72">
        <w:t>.</w:t>
      </w:r>
      <w:r w:rsidR="00903F78">
        <w:br w:type="page"/>
      </w:r>
    </w:p>
    <w:p w14:paraId="0F4DB137" w14:textId="10592CE0" w:rsidR="00924A51" w:rsidRPr="00F1143E" w:rsidRDefault="00903F78" w:rsidP="00610382">
      <w:pPr>
        <w:pStyle w:val="Heading2"/>
        <w:spacing w:before="0" w:after="0" w:line="360" w:lineRule="auto"/>
      </w:pPr>
      <w:r w:rsidRPr="00F1143E">
        <w:lastRenderedPageBreak/>
        <w:t>Research in context</w:t>
      </w:r>
    </w:p>
    <w:p w14:paraId="6634052E" w14:textId="3EB6A8D0" w:rsidR="001200AE" w:rsidRPr="001200AE" w:rsidRDefault="2CE4E4C4" w:rsidP="00610382">
      <w:pPr>
        <w:pStyle w:val="Heading3"/>
        <w:spacing w:line="360" w:lineRule="auto"/>
      </w:pPr>
      <w:r>
        <w:t>Evidence before this study</w:t>
      </w:r>
    </w:p>
    <w:p w14:paraId="44B9C6CD" w14:textId="70D88824" w:rsidR="001200AE" w:rsidRDefault="79C3A58C" w:rsidP="00610382">
      <w:pPr>
        <w:spacing w:line="360" w:lineRule="auto"/>
        <w:rPr>
          <w:rFonts w:eastAsia="Calibri" w:cs="Arial"/>
        </w:rPr>
      </w:pPr>
      <w:r w:rsidRPr="00354888">
        <w:t xml:space="preserve">The Global Burden of Diseases, Injuries, and Risk Factors Study (GBD) </w:t>
      </w:r>
      <w:r w:rsidR="577AD141" w:rsidRPr="00354888">
        <w:t xml:space="preserve">has provided regular updates on the </w:t>
      </w:r>
      <w:r w:rsidR="55B79670" w:rsidRPr="00354888">
        <w:t xml:space="preserve">complex patterns and trends in population health </w:t>
      </w:r>
      <w:r w:rsidR="577AD141" w:rsidRPr="00354888">
        <w:t xml:space="preserve">around the world since the first GBD publication in </w:t>
      </w:r>
      <w:r w:rsidR="577AD141" w:rsidRPr="001B1E38">
        <w:t>1993</w:t>
      </w:r>
      <w:r w:rsidR="577AD141" w:rsidRPr="00354888">
        <w:t xml:space="preserve">. </w:t>
      </w:r>
      <w:r w:rsidR="437AF250" w:rsidRPr="00354888">
        <w:t xml:space="preserve">With each subsequent </w:t>
      </w:r>
      <w:r w:rsidR="0055264B">
        <w:t>iteration</w:t>
      </w:r>
      <w:r w:rsidR="437AF250" w:rsidRPr="00354888">
        <w:t>, there have been important methodological updates</w:t>
      </w:r>
      <w:r w:rsidR="210605D8" w:rsidRPr="00354888">
        <w:t xml:space="preserve">, </w:t>
      </w:r>
      <w:r w:rsidR="5703F06E" w:rsidRPr="00354888">
        <w:t>new datasets</w:t>
      </w:r>
      <w:r w:rsidR="65F5E8E0" w:rsidRPr="00354888">
        <w:t xml:space="preserve"> included</w:t>
      </w:r>
      <w:r w:rsidR="28EFD3A0" w:rsidRPr="00354888">
        <w:t xml:space="preserve">, and an expanded list of causes, risk factors, and locations for which burden of disease estimates are produced. </w:t>
      </w:r>
      <w:r w:rsidR="4C08510F" w:rsidRPr="00354888">
        <w:t xml:space="preserve">In the 1993 World Bank Report, where GBD estimates were first published, mortality and years of life lost </w:t>
      </w:r>
      <w:r w:rsidR="347EC007" w:rsidRPr="00354888">
        <w:t xml:space="preserve">(YLLs) </w:t>
      </w:r>
      <w:r w:rsidR="4C08510F" w:rsidRPr="00354888">
        <w:t xml:space="preserve">were reported for </w:t>
      </w:r>
      <w:r w:rsidR="4C08510F" w:rsidRPr="004B6789">
        <w:t>10</w:t>
      </w:r>
      <w:r w:rsidR="73302840" w:rsidRPr="004B6789">
        <w:t>7</w:t>
      </w:r>
      <w:r w:rsidR="4C08510F" w:rsidRPr="00354888">
        <w:t xml:space="preserve"> c</w:t>
      </w:r>
      <w:r w:rsidR="48737AB1" w:rsidRPr="00354888">
        <w:t xml:space="preserve">ategories of diseases that covered all possible causes of death, for </w:t>
      </w:r>
      <w:r w:rsidR="48737AB1" w:rsidRPr="004B6789">
        <w:t>eight</w:t>
      </w:r>
      <w:r w:rsidR="48737AB1" w:rsidRPr="00354888">
        <w:t xml:space="preserve"> regions. In the </w:t>
      </w:r>
      <w:r w:rsidR="46AA1EEF" w:rsidRPr="00354888">
        <w:t>la</w:t>
      </w:r>
      <w:r w:rsidR="00252817">
        <w:t>st</w:t>
      </w:r>
      <w:r w:rsidR="46AA1EEF" w:rsidRPr="00354888">
        <w:t xml:space="preserve"> GBD cycle</w:t>
      </w:r>
      <w:r w:rsidR="00EB161B">
        <w:t>—</w:t>
      </w:r>
      <w:r w:rsidR="46AA1EEF" w:rsidRPr="00354888">
        <w:t>GBD 2019</w:t>
      </w:r>
      <w:r w:rsidR="00EB161B">
        <w:t>—</w:t>
      </w:r>
      <w:r w:rsidR="7B3F3D53" w:rsidRPr="00354888">
        <w:t xml:space="preserve">mortality and YLL estimates were produced for </w:t>
      </w:r>
      <w:r w:rsidR="1103B8A4" w:rsidRPr="005A76C6">
        <w:t>28</w:t>
      </w:r>
      <w:r w:rsidR="702355DC" w:rsidRPr="005A76C6">
        <w:t>6</w:t>
      </w:r>
      <w:r w:rsidR="60BE105F" w:rsidRPr="00354888">
        <w:t xml:space="preserve"> causes of death in </w:t>
      </w:r>
      <w:r w:rsidR="60BE105F" w:rsidRPr="005A76C6">
        <w:t>204</w:t>
      </w:r>
      <w:r w:rsidR="60BE105F" w:rsidRPr="00354888">
        <w:t xml:space="preserve"> countries and territories, including all WHO member states, and for subnational locations in </w:t>
      </w:r>
      <w:r w:rsidR="60BE105F" w:rsidRPr="004B6789">
        <w:t>21</w:t>
      </w:r>
      <w:r w:rsidR="60BE105F" w:rsidRPr="00354888">
        <w:t xml:space="preserve"> countries and territories, for every year from </w:t>
      </w:r>
      <w:r w:rsidR="60BE105F" w:rsidRPr="005A76C6">
        <w:t>1990</w:t>
      </w:r>
      <w:r w:rsidR="60BE105F" w:rsidRPr="00354888">
        <w:t xml:space="preserve"> t</w:t>
      </w:r>
      <w:r w:rsidR="5ADBAC1D" w:rsidRPr="00354888">
        <w:t xml:space="preserve">o </w:t>
      </w:r>
      <w:r w:rsidR="5ADBAC1D" w:rsidRPr="005A76C6">
        <w:t>2019.</w:t>
      </w:r>
      <w:r w:rsidR="5ADBAC1D" w:rsidRPr="00354888">
        <w:t xml:space="preserve"> </w:t>
      </w:r>
      <w:r w:rsidR="00F6A686" w:rsidRPr="00354888">
        <w:t>While many groups have reported on national-level cause-specific mortal</w:t>
      </w:r>
      <w:r w:rsidR="7B144243" w:rsidRPr="00354888">
        <w:t>ity and other population health metrics in recent years, including the WHO World Health Statistics report</w:t>
      </w:r>
      <w:r w:rsidR="00911499">
        <w:t>s</w:t>
      </w:r>
      <w:r w:rsidR="7B144243">
        <w:t>,</w:t>
      </w:r>
      <w:r w:rsidR="7B144243" w:rsidRPr="00354888">
        <w:t xml:space="preserve"> GBD is the most detailed and transparent research effort to date. </w:t>
      </w:r>
      <w:r w:rsidR="07E05F9F" w:rsidRPr="005740F7">
        <w:t>Further, while estimates of COVID-19</w:t>
      </w:r>
      <w:r w:rsidR="46AA1EEF" w:rsidRPr="005740F7">
        <w:t xml:space="preserve"> </w:t>
      </w:r>
      <w:r w:rsidR="09A941D3" w:rsidRPr="005740F7">
        <w:t>deaths in 2020</w:t>
      </w:r>
      <w:r w:rsidR="00F34960" w:rsidRPr="005740F7">
        <w:t xml:space="preserve"> and 2021</w:t>
      </w:r>
      <w:r w:rsidR="09A941D3" w:rsidRPr="005740F7">
        <w:t xml:space="preserve"> have been reported by numerous sources,</w:t>
      </w:r>
      <w:r w:rsidR="004819F7" w:rsidRPr="005740F7">
        <w:t xml:space="preserve"> including</w:t>
      </w:r>
      <w:r w:rsidR="00C27542" w:rsidRPr="005740F7">
        <w:t xml:space="preserve"> GBD studies </w:t>
      </w:r>
      <w:r w:rsidR="5747711A" w:rsidRPr="005740F7">
        <w:t>that</w:t>
      </w:r>
      <w:r w:rsidR="00D46FC6" w:rsidRPr="005740F7">
        <w:t xml:space="preserve"> have quantified</w:t>
      </w:r>
      <w:r w:rsidR="00C27542" w:rsidRPr="005740F7">
        <w:t xml:space="preserve"> </w:t>
      </w:r>
      <w:r w:rsidR="00D20599" w:rsidRPr="005740F7">
        <w:t xml:space="preserve">excess mortality </w:t>
      </w:r>
      <w:r w:rsidR="00F63E11" w:rsidRPr="005740F7">
        <w:t xml:space="preserve">due to the pandemic </w:t>
      </w:r>
      <w:r w:rsidR="00AC0B17" w:rsidRPr="005740F7">
        <w:t>within a subset of GBD locations,</w:t>
      </w:r>
      <w:r w:rsidR="00F63E11" w:rsidRPr="005740F7">
        <w:t xml:space="preserve"> </w:t>
      </w:r>
      <w:r w:rsidR="09A941D3" w:rsidRPr="005740F7">
        <w:t xml:space="preserve">there have been no prior publications to quantify </w:t>
      </w:r>
      <w:r w:rsidR="00EA6AB2" w:rsidRPr="005740F7">
        <w:t xml:space="preserve">the impact of </w:t>
      </w:r>
      <w:r w:rsidR="09A941D3" w:rsidRPr="005740F7">
        <w:t xml:space="preserve">COVID-19 </w:t>
      </w:r>
      <w:r w:rsidR="00777689" w:rsidRPr="005740F7">
        <w:t>on life expectancy, while comparing to</w:t>
      </w:r>
      <w:r w:rsidR="04A7074D" w:rsidRPr="005740F7">
        <w:t xml:space="preserve"> the full </w:t>
      </w:r>
      <w:r w:rsidR="00BA5323" w:rsidRPr="005740F7">
        <w:t>spectrum</w:t>
      </w:r>
      <w:r w:rsidR="04A7074D" w:rsidRPr="005740F7">
        <w:t xml:space="preserve"> of disease</w:t>
      </w:r>
      <w:r w:rsidR="3B4ABF0A" w:rsidRPr="005740F7">
        <w:t xml:space="preserve"> </w:t>
      </w:r>
      <w:r w:rsidR="00777689" w:rsidRPr="005740F7">
        <w:t xml:space="preserve">mortality and impact on life expectancy </w:t>
      </w:r>
      <w:r w:rsidR="3B4ABF0A" w:rsidRPr="005740F7">
        <w:t>over the past three decades</w:t>
      </w:r>
      <w:r w:rsidR="00C9456A" w:rsidRPr="005740F7">
        <w:t>, across all countries an</w:t>
      </w:r>
      <w:r w:rsidR="0054611C" w:rsidRPr="005740F7">
        <w:t xml:space="preserve">d </w:t>
      </w:r>
      <w:r w:rsidR="00D95AE9" w:rsidRPr="005740F7">
        <w:t>territories</w:t>
      </w:r>
      <w:r w:rsidR="00AB278B" w:rsidRPr="005740F7">
        <w:t>.</w:t>
      </w:r>
    </w:p>
    <w:p w14:paraId="018D0929" w14:textId="3EB6A8D0" w:rsidR="00903F78" w:rsidRDefault="2CE4E4C4" w:rsidP="00610382">
      <w:pPr>
        <w:pStyle w:val="Heading3"/>
        <w:spacing w:line="360" w:lineRule="auto"/>
      </w:pPr>
      <w:r>
        <w:t>Added value of this study</w:t>
      </w:r>
    </w:p>
    <w:p w14:paraId="006F1023" w14:textId="55B93ECF" w:rsidR="00F16199" w:rsidRPr="005A76C6" w:rsidRDefault="3AB133C5" w:rsidP="00610382">
      <w:pPr>
        <w:spacing w:line="360" w:lineRule="auto"/>
        <w:rPr>
          <w:color w:val="000000" w:themeColor="text1"/>
          <w:highlight w:val="green"/>
        </w:rPr>
      </w:pPr>
      <w:r>
        <w:t>This study—GBD 202</w:t>
      </w:r>
      <w:r w:rsidR="003678D7">
        <w:t>1</w:t>
      </w:r>
      <w:r>
        <w:t xml:space="preserve">—is the first of its kind to </w:t>
      </w:r>
      <w:r w:rsidR="0E5E0D70">
        <w:t>publish 202</w:t>
      </w:r>
      <w:r w:rsidR="008A5325">
        <w:t>1</w:t>
      </w:r>
      <w:r w:rsidR="0E5E0D70">
        <w:t xml:space="preserve"> COVID-19 deaths and YLLs for 204 countries and territories in the context of the </w:t>
      </w:r>
      <w:r w:rsidR="00BA5323">
        <w:t>global</w:t>
      </w:r>
      <w:r w:rsidR="0E5E0D70">
        <w:t xml:space="preserve"> burden of disease. </w:t>
      </w:r>
      <w:r w:rsidR="512AB1F4">
        <w:t xml:space="preserve">While other publications have estimated deaths due to COVID-19, those deaths have not previously been </w:t>
      </w:r>
      <w:r w:rsidR="512AB1F4" w:rsidDel="000F230D">
        <w:t>comparable</w:t>
      </w:r>
      <w:r w:rsidR="000F230D">
        <w:t xml:space="preserve"> </w:t>
      </w:r>
      <w:r w:rsidR="512AB1F4">
        <w:t>to deaths from other causes</w:t>
      </w:r>
      <w:r w:rsidR="004F2939">
        <w:t>.</w:t>
      </w:r>
      <w:r w:rsidR="608A71C7">
        <w:t xml:space="preserve"> By modelling COVID-19 deaths within a hierarchy of mutually exclusive and collectively exhaustive causes of death</w:t>
      </w:r>
      <w:r w:rsidR="3E1E5776">
        <w:t xml:space="preserve">, this study provides policy makers with information that is </w:t>
      </w:r>
      <w:r w:rsidR="04FAB543">
        <w:t>essential for</w:t>
      </w:r>
      <w:r w:rsidR="3E1E5776">
        <w:t xml:space="preserve"> </w:t>
      </w:r>
      <w:r w:rsidR="00C5706A">
        <w:t xml:space="preserve">setting </w:t>
      </w:r>
      <w:r w:rsidR="2B0F2EF6">
        <w:t xml:space="preserve">health </w:t>
      </w:r>
      <w:r w:rsidR="001B5B32">
        <w:t xml:space="preserve">priorities </w:t>
      </w:r>
      <w:r w:rsidR="15821A41">
        <w:t>around the world.</w:t>
      </w:r>
      <w:r w:rsidR="007241B0">
        <w:t xml:space="preserve"> </w:t>
      </w:r>
      <w:r w:rsidR="00390A6F">
        <w:t>In addition, l</w:t>
      </w:r>
      <w:r w:rsidR="00D46266" w:rsidRPr="4C6ADF82">
        <w:rPr>
          <w:color w:val="000000" w:themeColor="text1"/>
        </w:rPr>
        <w:t xml:space="preserve">ife expectancy at birth serves as a sensitive indicator that summarises overall mortality </w:t>
      </w:r>
      <w:r w:rsidR="009E356C">
        <w:rPr>
          <w:color w:val="000000" w:themeColor="text1"/>
        </w:rPr>
        <w:t>expectations of populations</w:t>
      </w:r>
      <w:r w:rsidR="00D46266" w:rsidRPr="4C6ADF82">
        <w:rPr>
          <w:color w:val="000000" w:themeColor="text1"/>
        </w:rPr>
        <w:t>. To obtain more comprehensive insight</w:t>
      </w:r>
      <w:r w:rsidR="009741E6">
        <w:rPr>
          <w:color w:val="000000" w:themeColor="text1"/>
        </w:rPr>
        <w:t>s</w:t>
      </w:r>
      <w:r w:rsidR="00D46266" w:rsidRPr="4C6ADF82">
        <w:rPr>
          <w:color w:val="000000" w:themeColor="text1"/>
        </w:rPr>
        <w:t xml:space="preserve"> from this measure, it </w:t>
      </w:r>
      <w:r w:rsidR="006B205F">
        <w:rPr>
          <w:color w:val="000000" w:themeColor="text1"/>
        </w:rPr>
        <w:t>is necessary</w:t>
      </w:r>
      <w:r w:rsidR="00D46266" w:rsidRPr="4C6ADF82">
        <w:rPr>
          <w:color w:val="000000" w:themeColor="text1"/>
        </w:rPr>
        <w:t xml:space="preserve"> to break it down into age-specific mortality, which is influenced by cause-specific mortality rates. </w:t>
      </w:r>
      <w:r w:rsidR="006F2222">
        <w:rPr>
          <w:color w:val="000000" w:themeColor="text1"/>
        </w:rPr>
        <w:t>Our analysis evaluate</w:t>
      </w:r>
      <w:r w:rsidR="00F90C15">
        <w:rPr>
          <w:color w:val="000000" w:themeColor="text1"/>
        </w:rPr>
        <w:t>d</w:t>
      </w:r>
      <w:r w:rsidR="00D46266" w:rsidRPr="4C6ADF82">
        <w:rPr>
          <w:color w:val="000000" w:themeColor="text1"/>
        </w:rPr>
        <w:t xml:space="preserve"> the impact of COVID-19 and other causes </w:t>
      </w:r>
      <w:r w:rsidR="006F2222">
        <w:rPr>
          <w:color w:val="000000" w:themeColor="text1"/>
        </w:rPr>
        <w:t>of death</w:t>
      </w:r>
      <w:r w:rsidR="00D46266" w:rsidRPr="4C6ADF82">
        <w:rPr>
          <w:color w:val="000000" w:themeColor="text1"/>
        </w:rPr>
        <w:t xml:space="preserve"> on life expectancy by decomposing </w:t>
      </w:r>
      <w:r w:rsidR="00AA7034">
        <w:rPr>
          <w:color w:val="000000" w:themeColor="text1"/>
        </w:rPr>
        <w:t>death counts</w:t>
      </w:r>
      <w:r w:rsidR="00AA7034" w:rsidRPr="4C6ADF82">
        <w:rPr>
          <w:color w:val="000000" w:themeColor="text1"/>
        </w:rPr>
        <w:t xml:space="preserve"> </w:t>
      </w:r>
      <w:r w:rsidR="00D46266" w:rsidRPr="4C6ADF82">
        <w:rPr>
          <w:color w:val="000000" w:themeColor="text1"/>
        </w:rPr>
        <w:t>into different cause-specific mortality rates across various dimensions, including country</w:t>
      </w:r>
      <w:r w:rsidR="4D236F29" w:rsidRPr="049CD2C8">
        <w:rPr>
          <w:color w:val="000000" w:themeColor="text1"/>
        </w:rPr>
        <w:t xml:space="preserve"> </w:t>
      </w:r>
      <w:r w:rsidR="4D236F29" w:rsidRPr="614ABCC0">
        <w:rPr>
          <w:color w:val="000000" w:themeColor="text1"/>
        </w:rPr>
        <w:t>or territory</w:t>
      </w:r>
      <w:r w:rsidR="00D46266" w:rsidRPr="4C6ADF82">
        <w:rPr>
          <w:color w:val="000000" w:themeColor="text1"/>
        </w:rPr>
        <w:t>, region, super</w:t>
      </w:r>
      <w:r w:rsidR="008870E0">
        <w:rPr>
          <w:color w:val="000000" w:themeColor="text1"/>
        </w:rPr>
        <w:t>-</w:t>
      </w:r>
      <w:r w:rsidR="00D46266" w:rsidRPr="4C6ADF82">
        <w:rPr>
          <w:color w:val="000000" w:themeColor="text1"/>
        </w:rPr>
        <w:t xml:space="preserve">region, and </w:t>
      </w:r>
      <w:r w:rsidR="00D46266" w:rsidRPr="007A4F10">
        <w:rPr>
          <w:color w:val="000000" w:themeColor="text1"/>
        </w:rPr>
        <w:t>f</w:t>
      </w:r>
      <w:r w:rsidR="007F1FD8" w:rsidRPr="007A4F10">
        <w:rPr>
          <w:color w:val="000000" w:themeColor="text1"/>
        </w:rPr>
        <w:t>ive</w:t>
      </w:r>
      <w:r w:rsidR="00D46266" w:rsidRPr="4C6ADF82">
        <w:rPr>
          <w:color w:val="000000" w:themeColor="text1"/>
        </w:rPr>
        <w:t xml:space="preserve"> distinct time periods: 1990</w:t>
      </w:r>
      <w:r w:rsidR="00D46266">
        <w:t>–</w:t>
      </w:r>
      <w:r w:rsidR="00D46266" w:rsidRPr="4C6ADF82">
        <w:rPr>
          <w:color w:val="000000" w:themeColor="text1"/>
        </w:rPr>
        <w:t>2000, 2000</w:t>
      </w:r>
      <w:r w:rsidR="00D46266">
        <w:t>–</w:t>
      </w:r>
      <w:r w:rsidR="00D46266" w:rsidRPr="4C6ADF82">
        <w:rPr>
          <w:color w:val="000000" w:themeColor="text1"/>
        </w:rPr>
        <w:t>2010, 2010</w:t>
      </w:r>
      <w:r w:rsidR="00D46266">
        <w:t>–</w:t>
      </w:r>
      <w:r w:rsidR="00D46266" w:rsidRPr="4C6ADF82">
        <w:rPr>
          <w:color w:val="000000" w:themeColor="text1"/>
        </w:rPr>
        <w:t xml:space="preserve">2019, </w:t>
      </w:r>
      <w:r w:rsidR="007F1FD8" w:rsidRPr="4C6ADF82">
        <w:rPr>
          <w:color w:val="000000" w:themeColor="text1"/>
        </w:rPr>
        <w:t>201</w:t>
      </w:r>
      <w:r w:rsidR="00742ED2" w:rsidRPr="4C6ADF82">
        <w:rPr>
          <w:color w:val="000000" w:themeColor="text1"/>
        </w:rPr>
        <w:t>9</w:t>
      </w:r>
      <w:r w:rsidR="00742ED2">
        <w:t xml:space="preserve">–2021, </w:t>
      </w:r>
      <w:r w:rsidR="00D46266" w:rsidRPr="4C6ADF82">
        <w:rPr>
          <w:color w:val="000000" w:themeColor="text1"/>
        </w:rPr>
        <w:t>and 1990</w:t>
      </w:r>
      <w:r w:rsidR="00D46266">
        <w:t>–</w:t>
      </w:r>
      <w:r w:rsidR="00D46266" w:rsidRPr="4C6ADF82">
        <w:rPr>
          <w:color w:val="000000" w:themeColor="text1"/>
        </w:rPr>
        <w:t>2021.</w:t>
      </w:r>
      <w:r w:rsidR="00F97E5A" w:rsidRPr="4C6ADF82">
        <w:rPr>
          <w:color w:val="000000" w:themeColor="text1"/>
        </w:rPr>
        <w:t xml:space="preserve"> </w:t>
      </w:r>
      <w:r w:rsidR="00AE71E0">
        <w:rPr>
          <w:color w:val="000000" w:themeColor="text1"/>
        </w:rPr>
        <w:t xml:space="preserve">This allowed the impact of the COVID-19 pandemic to be </w:t>
      </w:r>
      <w:r w:rsidR="007C6BDA">
        <w:rPr>
          <w:color w:val="000000" w:themeColor="text1"/>
        </w:rPr>
        <w:t xml:space="preserve">systematically calibrated against other causes of mortality </w:t>
      </w:r>
      <w:r w:rsidR="00681FB2">
        <w:rPr>
          <w:color w:val="000000" w:themeColor="text1"/>
        </w:rPr>
        <w:t>over the period</w:t>
      </w:r>
      <w:r w:rsidR="007C6BDA">
        <w:rPr>
          <w:color w:val="000000" w:themeColor="text1"/>
        </w:rPr>
        <w:t xml:space="preserve"> 1990</w:t>
      </w:r>
      <w:r w:rsidR="00A71C68">
        <w:rPr>
          <w:color w:val="000000" w:themeColor="text1"/>
        </w:rPr>
        <w:t>–2021</w:t>
      </w:r>
      <w:r w:rsidR="007C6BDA">
        <w:rPr>
          <w:color w:val="000000" w:themeColor="text1"/>
        </w:rPr>
        <w:t xml:space="preserve">. </w:t>
      </w:r>
      <w:r w:rsidR="52259AAB" w:rsidRPr="4C6ADF82">
        <w:rPr>
          <w:color w:val="000000" w:themeColor="text1"/>
        </w:rPr>
        <w:t>Finally</w:t>
      </w:r>
      <w:r w:rsidR="267D0E4F" w:rsidRPr="4C6ADF82">
        <w:rPr>
          <w:color w:val="000000" w:themeColor="text1"/>
        </w:rPr>
        <w:t xml:space="preserve">, we </w:t>
      </w:r>
      <w:r w:rsidR="00857AE2">
        <w:rPr>
          <w:color w:val="000000" w:themeColor="text1"/>
        </w:rPr>
        <w:t>identified</w:t>
      </w:r>
      <w:r w:rsidR="267D0E4F" w:rsidRPr="4C6ADF82">
        <w:rPr>
          <w:color w:val="000000" w:themeColor="text1"/>
        </w:rPr>
        <w:t xml:space="preserve"> causes </w:t>
      </w:r>
      <w:r w:rsidR="00857AE2">
        <w:rPr>
          <w:color w:val="000000" w:themeColor="text1"/>
        </w:rPr>
        <w:t xml:space="preserve">of death </w:t>
      </w:r>
      <w:r w:rsidR="267D0E4F" w:rsidRPr="4C6ADF82">
        <w:rPr>
          <w:color w:val="000000" w:themeColor="text1"/>
        </w:rPr>
        <w:t xml:space="preserve">that experienced </w:t>
      </w:r>
      <w:r w:rsidR="00857AE2">
        <w:rPr>
          <w:color w:val="000000" w:themeColor="text1"/>
        </w:rPr>
        <w:t xml:space="preserve">increasing </w:t>
      </w:r>
      <w:r w:rsidR="267D0E4F" w:rsidRPr="4C6ADF82" w:rsidDel="007C6BDA">
        <w:rPr>
          <w:color w:val="000000" w:themeColor="text1"/>
        </w:rPr>
        <w:t>geographic</w:t>
      </w:r>
      <w:r w:rsidR="00287A25" w:rsidDel="007C6BDA">
        <w:rPr>
          <w:color w:val="000000" w:themeColor="text1"/>
        </w:rPr>
        <w:t>al</w:t>
      </w:r>
      <w:r w:rsidR="267D0E4F" w:rsidRPr="4C6ADF82" w:rsidDel="007C6BDA">
        <w:rPr>
          <w:color w:val="000000" w:themeColor="text1"/>
        </w:rPr>
        <w:t xml:space="preserve"> </w:t>
      </w:r>
      <w:r w:rsidR="00652A4E" w:rsidRPr="69FE41B5">
        <w:rPr>
          <w:color w:val="000000" w:themeColor="text1"/>
        </w:rPr>
        <w:t>concentration</w:t>
      </w:r>
      <w:r w:rsidR="00652A4E" w:rsidRPr="4C6ADF82">
        <w:rPr>
          <w:color w:val="000000" w:themeColor="text1"/>
        </w:rPr>
        <w:t xml:space="preserve"> </w:t>
      </w:r>
      <w:r w:rsidR="00857AE2">
        <w:rPr>
          <w:color w:val="000000" w:themeColor="text1"/>
        </w:rPr>
        <w:t xml:space="preserve">over this </w:t>
      </w:r>
      <w:proofErr w:type="gramStart"/>
      <w:r w:rsidR="00857AE2">
        <w:rPr>
          <w:color w:val="000000" w:themeColor="text1"/>
        </w:rPr>
        <w:lastRenderedPageBreak/>
        <w:t>time period</w:t>
      </w:r>
      <w:proofErr w:type="gramEnd"/>
      <w:r w:rsidR="001C2361">
        <w:rPr>
          <w:color w:val="000000" w:themeColor="text1"/>
        </w:rPr>
        <w:t>. This</w:t>
      </w:r>
      <w:r w:rsidR="62D1693E" w:rsidRPr="1169E828">
        <w:rPr>
          <w:color w:val="000000" w:themeColor="text1"/>
        </w:rPr>
        <w:t xml:space="preserve"> </w:t>
      </w:r>
      <w:r w:rsidR="21324B8E" w:rsidRPr="7809D273">
        <w:rPr>
          <w:color w:val="000000" w:themeColor="text1"/>
        </w:rPr>
        <w:t xml:space="preserve">provides </w:t>
      </w:r>
      <w:r w:rsidR="21324B8E" w:rsidRPr="7DC25B68">
        <w:rPr>
          <w:color w:val="000000" w:themeColor="text1"/>
        </w:rPr>
        <w:t xml:space="preserve">policy </w:t>
      </w:r>
      <w:r w:rsidR="21324B8E" w:rsidRPr="618CF128">
        <w:rPr>
          <w:color w:val="000000" w:themeColor="text1"/>
        </w:rPr>
        <w:t xml:space="preserve">makers important </w:t>
      </w:r>
      <w:r w:rsidR="21324B8E" w:rsidRPr="4550967C">
        <w:rPr>
          <w:color w:val="000000" w:themeColor="text1"/>
        </w:rPr>
        <w:t xml:space="preserve">information </w:t>
      </w:r>
      <w:r w:rsidR="16F9B631" w:rsidRPr="0D7E2A20">
        <w:rPr>
          <w:color w:val="000000" w:themeColor="text1"/>
        </w:rPr>
        <w:t>on</w:t>
      </w:r>
      <w:r w:rsidR="15E75687">
        <w:t xml:space="preserve"> </w:t>
      </w:r>
      <w:r w:rsidR="00E57E3E">
        <w:rPr>
          <w:color w:val="000000" w:themeColor="text1"/>
        </w:rPr>
        <w:t xml:space="preserve">regional </w:t>
      </w:r>
      <w:r w:rsidR="00E124C3">
        <w:rPr>
          <w:color w:val="000000" w:themeColor="text1"/>
        </w:rPr>
        <w:t xml:space="preserve">variation </w:t>
      </w:r>
      <w:r w:rsidR="124A405E" w:rsidRPr="0D7E2A20">
        <w:rPr>
          <w:color w:val="000000" w:themeColor="text1"/>
        </w:rPr>
        <w:t>and inequ</w:t>
      </w:r>
      <w:r w:rsidR="001C2361">
        <w:rPr>
          <w:color w:val="000000" w:themeColor="text1"/>
        </w:rPr>
        <w:t>al</w:t>
      </w:r>
      <w:r w:rsidR="124A405E" w:rsidRPr="0D7E2A20">
        <w:rPr>
          <w:color w:val="000000" w:themeColor="text1"/>
        </w:rPr>
        <w:t>ities</w:t>
      </w:r>
      <w:r w:rsidR="00E124C3" w:rsidRPr="0D7E2A20">
        <w:rPr>
          <w:color w:val="000000" w:themeColor="text1"/>
        </w:rPr>
        <w:t xml:space="preserve"> </w:t>
      </w:r>
      <w:r w:rsidR="00E57E3E">
        <w:rPr>
          <w:color w:val="000000" w:themeColor="text1"/>
        </w:rPr>
        <w:t xml:space="preserve">in </w:t>
      </w:r>
      <w:r w:rsidR="00E124C3">
        <w:rPr>
          <w:color w:val="000000" w:themeColor="text1"/>
        </w:rPr>
        <w:t>cause</w:t>
      </w:r>
      <w:r w:rsidR="00416857">
        <w:rPr>
          <w:color w:val="000000" w:themeColor="text1"/>
        </w:rPr>
        <w:t>-</w:t>
      </w:r>
      <w:r w:rsidR="00E124C3">
        <w:rPr>
          <w:color w:val="000000" w:themeColor="text1"/>
        </w:rPr>
        <w:t xml:space="preserve">specific </w:t>
      </w:r>
      <w:r w:rsidR="00E57E3E">
        <w:rPr>
          <w:color w:val="000000" w:themeColor="text1"/>
        </w:rPr>
        <w:t>mortality</w:t>
      </w:r>
      <w:r w:rsidR="27AB733A" w:rsidRPr="0D7E2A20">
        <w:rPr>
          <w:color w:val="000000" w:themeColor="text1"/>
        </w:rPr>
        <w:t>.</w:t>
      </w:r>
      <w:r w:rsidR="23F65EC5" w:rsidRPr="58E84165">
        <w:rPr>
          <w:color w:val="000000" w:themeColor="text1"/>
        </w:rPr>
        <w:t xml:space="preserve"> </w:t>
      </w:r>
      <w:r w:rsidR="00F40522">
        <w:rPr>
          <w:color w:val="000000" w:themeColor="text1"/>
        </w:rPr>
        <w:t>A</w:t>
      </w:r>
      <w:r w:rsidR="00147966">
        <w:rPr>
          <w:color w:val="000000" w:themeColor="text1"/>
        </w:rPr>
        <w:t>l</w:t>
      </w:r>
      <w:r w:rsidR="00F40522">
        <w:rPr>
          <w:color w:val="000000" w:themeColor="text1"/>
        </w:rPr>
        <w:t>so new</w:t>
      </w:r>
      <w:r w:rsidR="003678D7">
        <w:rPr>
          <w:color w:val="000000" w:themeColor="text1"/>
        </w:rPr>
        <w:t xml:space="preserve"> </w:t>
      </w:r>
      <w:r w:rsidR="00147966">
        <w:rPr>
          <w:color w:val="000000" w:themeColor="text1"/>
        </w:rPr>
        <w:t>to</w:t>
      </w:r>
      <w:r w:rsidR="003678D7">
        <w:t xml:space="preserve"> GBD 2021</w:t>
      </w:r>
      <w:r w:rsidR="00050613">
        <w:t>,</w:t>
      </w:r>
      <w:r w:rsidR="310572E2">
        <w:t xml:space="preserve"> </w:t>
      </w:r>
      <w:r w:rsidR="00050613">
        <w:t>w</w:t>
      </w:r>
      <w:r w:rsidR="310572E2">
        <w:t xml:space="preserve">e report on </w:t>
      </w:r>
      <w:r w:rsidR="000B6836">
        <w:t xml:space="preserve">12 </w:t>
      </w:r>
      <w:r w:rsidR="00050613">
        <w:t>additional</w:t>
      </w:r>
      <w:r w:rsidR="310572E2">
        <w:t xml:space="preserve"> causes of death: </w:t>
      </w:r>
      <w:r w:rsidR="0019530E">
        <w:t>COVID-19 other pandemic</w:t>
      </w:r>
      <w:r w:rsidR="00726CBA">
        <w:t>-</w:t>
      </w:r>
      <w:r w:rsidR="0019530E">
        <w:t>related mortality</w:t>
      </w:r>
      <w:r w:rsidR="00FB2205">
        <w:t xml:space="preserve"> (OPRM)</w:t>
      </w:r>
      <w:r w:rsidR="00C2532F">
        <w:t>,</w:t>
      </w:r>
      <w:r w:rsidR="53A8E52A">
        <w:t xml:space="preserve"> </w:t>
      </w:r>
      <w:r w:rsidR="08A7E7C3">
        <w:t>pulmonary arterial hypertension</w:t>
      </w:r>
      <w:r w:rsidR="007C01E1">
        <w:t>,</w:t>
      </w:r>
      <w:r w:rsidR="474CCCF4">
        <w:t xml:space="preserve"> and nine cancer types</w:t>
      </w:r>
      <w:r w:rsidR="00A32B8A">
        <w:t>—</w:t>
      </w:r>
      <w:r w:rsidR="00C60CFC">
        <w:t>hepatoblastoma</w:t>
      </w:r>
      <w:r w:rsidR="00C35074">
        <w:t>;</w:t>
      </w:r>
      <w:r w:rsidR="00C60CFC">
        <w:t xml:space="preserve"> </w:t>
      </w:r>
      <w:r w:rsidR="00EB610C">
        <w:t>Burkitt lymp</w:t>
      </w:r>
      <w:r w:rsidR="00275DEF">
        <w:t>homa</w:t>
      </w:r>
      <w:r w:rsidR="00C35074">
        <w:t>;</w:t>
      </w:r>
      <w:r w:rsidR="00275DEF">
        <w:t xml:space="preserve"> other non-Hod</w:t>
      </w:r>
      <w:r w:rsidR="00C209D5">
        <w:t>gkin lymphoma</w:t>
      </w:r>
      <w:r w:rsidR="00C35074">
        <w:t>;</w:t>
      </w:r>
      <w:r w:rsidR="00C209D5">
        <w:t xml:space="preserve"> eye cancer</w:t>
      </w:r>
      <w:r w:rsidR="00C35074">
        <w:t>;</w:t>
      </w:r>
      <w:r w:rsidR="00C209D5">
        <w:t xml:space="preserve"> re</w:t>
      </w:r>
      <w:r w:rsidR="006D0377">
        <w:t>tinoblastoma</w:t>
      </w:r>
      <w:r w:rsidR="00C35074">
        <w:t>;</w:t>
      </w:r>
      <w:r w:rsidR="006D0377">
        <w:t xml:space="preserve"> other eye cancers</w:t>
      </w:r>
      <w:r w:rsidR="00C35074">
        <w:t>;</w:t>
      </w:r>
      <w:r w:rsidR="002E72AB">
        <w:t xml:space="preserve"> soft tissue and other ext</w:t>
      </w:r>
      <w:r w:rsidR="00C16633">
        <w:t>raosseous sarcomas</w:t>
      </w:r>
      <w:r w:rsidR="00C35074">
        <w:t>;</w:t>
      </w:r>
      <w:r w:rsidR="00C16633">
        <w:t xml:space="preserve"> malignant neoplasm of bone and articular cartilage</w:t>
      </w:r>
      <w:r w:rsidR="00C35074">
        <w:t>;</w:t>
      </w:r>
      <w:r w:rsidR="00C16633">
        <w:t xml:space="preserve"> and </w:t>
      </w:r>
      <w:r w:rsidR="00230AA4">
        <w:t>n</w:t>
      </w:r>
      <w:r w:rsidR="00A250BE">
        <w:t>euroblastoma and other peripheral nervous cell tumours</w:t>
      </w:r>
      <w:r w:rsidR="019231CB">
        <w:t>.</w:t>
      </w:r>
      <w:r w:rsidR="474CCCF4">
        <w:t xml:space="preserve"> </w:t>
      </w:r>
      <w:r w:rsidR="00A37AF7">
        <w:t>G</w:t>
      </w:r>
      <w:r w:rsidR="4082C613">
        <w:t>ranularity of u</w:t>
      </w:r>
      <w:r w:rsidR="25A4DB36">
        <w:t>nder</w:t>
      </w:r>
      <w:r w:rsidR="00001ABF">
        <w:t>-</w:t>
      </w:r>
      <w:r w:rsidR="25A4DB36">
        <w:t xml:space="preserve">5 estimation </w:t>
      </w:r>
      <w:r w:rsidR="12ADCA1C">
        <w:t>was</w:t>
      </w:r>
      <w:r w:rsidR="25A4DB36">
        <w:t xml:space="preserve"> </w:t>
      </w:r>
      <w:r w:rsidR="00ED15DD">
        <w:t>enhanced</w:t>
      </w:r>
      <w:r w:rsidR="25A4DB36">
        <w:t xml:space="preserve"> </w:t>
      </w:r>
      <w:r w:rsidR="5FCC1B13">
        <w:t xml:space="preserve">by </w:t>
      </w:r>
      <w:r w:rsidR="00ED15DD">
        <w:t xml:space="preserve">the addition </w:t>
      </w:r>
      <w:r w:rsidR="5FCC1B13">
        <w:t>of</w:t>
      </w:r>
      <w:r w:rsidR="25A4DB36">
        <w:t xml:space="preserve"> four new age groups: 1</w:t>
      </w:r>
      <w:r w:rsidR="00BF7C50">
        <w:t>–</w:t>
      </w:r>
      <w:r w:rsidR="25A4DB36">
        <w:t>5 months, 6</w:t>
      </w:r>
      <w:r w:rsidR="00BF7C50">
        <w:t>–</w:t>
      </w:r>
      <w:r w:rsidR="25A4DB36">
        <w:t>11 months, 12</w:t>
      </w:r>
      <w:r w:rsidR="00BF7C50">
        <w:t>–</w:t>
      </w:r>
      <w:r w:rsidR="25A4DB36">
        <w:t>23 months, and 2</w:t>
      </w:r>
      <w:r w:rsidR="00BF7C50">
        <w:t>–</w:t>
      </w:r>
      <w:r w:rsidR="25A4DB36">
        <w:t>4 years.</w:t>
      </w:r>
    </w:p>
    <w:p w14:paraId="7CBAC682" w14:textId="49A8BAB2" w:rsidR="00DC25E3" w:rsidRDefault="00903F78" w:rsidP="00610382">
      <w:pPr>
        <w:pStyle w:val="Heading3"/>
        <w:spacing w:line="360" w:lineRule="auto"/>
      </w:pPr>
      <w:r>
        <w:t>Implications of all the available evidence</w:t>
      </w:r>
    </w:p>
    <w:p w14:paraId="7AD3442A" w14:textId="06A3F0F4" w:rsidR="007E5338" w:rsidRDefault="00D60D88" w:rsidP="00130C78">
      <w:pPr>
        <w:spacing w:line="360" w:lineRule="auto"/>
      </w:pPr>
      <w:r>
        <w:t xml:space="preserve">Our study provides a </w:t>
      </w:r>
      <w:r w:rsidR="008A640A">
        <w:t>full</w:t>
      </w:r>
      <w:r>
        <w:t xml:space="preserve"> analysis of causes of death worldwide</w:t>
      </w:r>
      <w:r w:rsidR="00963718">
        <w:t xml:space="preserve"> and across time, </w:t>
      </w:r>
      <w:r w:rsidR="000D2B70">
        <w:t xml:space="preserve">alongside the changing patterns in life expectancy </w:t>
      </w:r>
      <w:r w:rsidR="000739EE">
        <w:t>precipita</w:t>
      </w:r>
      <w:r w:rsidR="00E01186">
        <w:t>ted by those cau</w:t>
      </w:r>
      <w:r w:rsidR="00523472">
        <w:t xml:space="preserve">ses. </w:t>
      </w:r>
      <w:r w:rsidR="00B9753C">
        <w:t xml:space="preserve">Increasing geographical </w:t>
      </w:r>
      <w:r w:rsidR="2B181D1C">
        <w:t xml:space="preserve">concentration </w:t>
      </w:r>
      <w:r w:rsidR="00B9753C">
        <w:t>of mortality</w:t>
      </w:r>
      <w:r w:rsidR="2B181D1C">
        <w:t xml:space="preserve"> was </w:t>
      </w:r>
      <w:r w:rsidR="009503E8">
        <w:t xml:space="preserve">observed </w:t>
      </w:r>
      <w:r w:rsidR="00123DB2">
        <w:t>for many causes</w:t>
      </w:r>
      <w:r w:rsidR="00926AB9">
        <w:t xml:space="preserve"> of death</w:t>
      </w:r>
      <w:r w:rsidR="00123DB2">
        <w:t xml:space="preserve">, highlighting </w:t>
      </w:r>
      <w:r w:rsidR="00EB085B">
        <w:t>disparities</w:t>
      </w:r>
      <w:r w:rsidR="1DA4E884">
        <w:t xml:space="preserve"> between regions and </w:t>
      </w:r>
      <w:r w:rsidR="007D19F9">
        <w:t xml:space="preserve">significant differences in </w:t>
      </w:r>
      <w:r w:rsidR="00AF4F7E">
        <w:t>cause-</w:t>
      </w:r>
      <w:r w:rsidR="005B1D3C">
        <w:t xml:space="preserve">specific </w:t>
      </w:r>
      <w:r w:rsidR="000D744C">
        <w:t xml:space="preserve">contributions to </w:t>
      </w:r>
      <w:r w:rsidR="004340A4">
        <w:t>life</w:t>
      </w:r>
      <w:r w:rsidR="0C01A954">
        <w:t xml:space="preserve"> </w:t>
      </w:r>
      <w:r w:rsidR="000D744C">
        <w:t>expectancy</w:t>
      </w:r>
      <w:r w:rsidR="00DE6001">
        <w:t>.</w:t>
      </w:r>
      <w:r w:rsidR="00AD7313">
        <w:t xml:space="preserve"> </w:t>
      </w:r>
      <w:r w:rsidR="00FA7F74">
        <w:t xml:space="preserve">On a </w:t>
      </w:r>
      <w:r w:rsidR="00127524">
        <w:t>global scale</w:t>
      </w:r>
      <w:r w:rsidR="00FA7F74">
        <w:t xml:space="preserve">, this </w:t>
      </w:r>
      <w:r w:rsidR="00173D24">
        <w:t>information</w:t>
      </w:r>
      <w:r w:rsidR="00FA7F74">
        <w:t xml:space="preserve"> </w:t>
      </w:r>
      <w:r w:rsidR="00AF4F7E">
        <w:t>provides</w:t>
      </w:r>
      <w:r w:rsidR="009F0F74">
        <w:t xml:space="preserve"> an opportunity to </w:t>
      </w:r>
      <w:r w:rsidR="00D86E11">
        <w:t xml:space="preserve">examine </w:t>
      </w:r>
      <w:r w:rsidR="008F4570">
        <w:t>if reductions in mortality were</w:t>
      </w:r>
      <w:r w:rsidR="00996E59">
        <w:t xml:space="preserve"> </w:t>
      </w:r>
      <w:r w:rsidR="00B70AD9">
        <w:t xml:space="preserve">resilient to </w:t>
      </w:r>
      <w:r w:rsidR="00AE1D78">
        <w:t xml:space="preserve">the onset </w:t>
      </w:r>
      <w:r w:rsidR="001665C6">
        <w:t>of a novel pandemic</w:t>
      </w:r>
      <w:r w:rsidR="00DE2107">
        <w:t xml:space="preserve">. On a </w:t>
      </w:r>
      <w:r w:rsidR="00B70AD9">
        <w:t>regional</w:t>
      </w:r>
      <w:r w:rsidR="00DE2107">
        <w:t xml:space="preserve"> level, the estimates </w:t>
      </w:r>
      <w:r w:rsidR="00B15B7A">
        <w:t>generated by our study</w:t>
      </w:r>
      <w:r w:rsidR="00DE2107">
        <w:t xml:space="preserve"> provide </w:t>
      </w:r>
      <w:r w:rsidR="005A1A9E">
        <w:t xml:space="preserve">important </w:t>
      </w:r>
      <w:r w:rsidR="00BD46FC">
        <w:t>detail on</w:t>
      </w:r>
      <w:r w:rsidR="00DE2107">
        <w:t xml:space="preserve"> the</w:t>
      </w:r>
      <w:r w:rsidR="00EC698A">
        <w:t xml:space="preserve"> evolving</w:t>
      </w:r>
      <w:r w:rsidR="00DE2107">
        <w:t xml:space="preserve"> </w:t>
      </w:r>
      <w:r w:rsidR="545A2A95">
        <w:t xml:space="preserve">impact of causes of death </w:t>
      </w:r>
      <w:r w:rsidR="000D0185">
        <w:t xml:space="preserve">among countries, </w:t>
      </w:r>
      <w:r w:rsidR="00FD0B87">
        <w:t xml:space="preserve">allowing </w:t>
      </w:r>
      <w:r w:rsidR="00664CBA">
        <w:t xml:space="preserve">crucial </w:t>
      </w:r>
      <w:r w:rsidR="00D152D3">
        <w:t xml:space="preserve">insight </w:t>
      </w:r>
      <w:r w:rsidR="008A227C">
        <w:t>in</w:t>
      </w:r>
      <w:r w:rsidR="00D152D3">
        <w:t xml:space="preserve">to </w:t>
      </w:r>
      <w:r w:rsidR="007E5338">
        <w:t>differential</w:t>
      </w:r>
      <w:r w:rsidR="00D152D3">
        <w:t xml:space="preserve"> success by </w:t>
      </w:r>
      <w:r w:rsidR="007E5338">
        <w:t>geography</w:t>
      </w:r>
      <w:r w:rsidR="00D152D3">
        <w:t>,</w:t>
      </w:r>
      <w:r w:rsidR="004B14B8">
        <w:t xml:space="preserve"> time</w:t>
      </w:r>
      <w:r w:rsidR="000B4056">
        <w:t>,</w:t>
      </w:r>
      <w:r w:rsidR="004B14B8">
        <w:t xml:space="preserve"> </w:t>
      </w:r>
      <w:r w:rsidR="00D152D3">
        <w:t>and cause.</w:t>
      </w:r>
      <w:r w:rsidR="008223C3">
        <w:t xml:space="preserve"> </w:t>
      </w:r>
      <w:r w:rsidR="00E60A78" w:rsidRPr="003D63A3">
        <w:t xml:space="preserve">The </w:t>
      </w:r>
      <w:r w:rsidR="007E5338" w:rsidRPr="003D63A3">
        <w:t xml:space="preserve">comprehensive nature of GBD 2021 cause of death estimation </w:t>
      </w:r>
      <w:r w:rsidR="005F5D36" w:rsidRPr="003D63A3">
        <w:t xml:space="preserve">provides </w:t>
      </w:r>
      <w:r w:rsidR="00AB27FF" w:rsidRPr="003D63A3">
        <w:t>valuable</w:t>
      </w:r>
      <w:r w:rsidR="00CA3E1B" w:rsidRPr="003D63A3">
        <w:t xml:space="preserve"> opportunities to </w:t>
      </w:r>
      <w:r w:rsidR="00CC35C2" w:rsidRPr="003D63A3">
        <w:t xml:space="preserve">learn from </w:t>
      </w:r>
      <w:r w:rsidR="00140494" w:rsidRPr="003D63A3">
        <w:t xml:space="preserve">mortality </w:t>
      </w:r>
      <w:r w:rsidR="00037ECA" w:rsidRPr="003D63A3">
        <w:t>gains and losses</w:t>
      </w:r>
      <w:r w:rsidR="0078579E">
        <w:t>, helping to</w:t>
      </w:r>
      <w:r w:rsidR="006C37EB" w:rsidRPr="003D63A3">
        <w:t xml:space="preserve"> accelerate progress</w:t>
      </w:r>
      <w:r w:rsidR="007165C8">
        <w:t xml:space="preserve"> in</w:t>
      </w:r>
      <w:r w:rsidR="00455688" w:rsidRPr="003D63A3">
        <w:t xml:space="preserve"> reducing mortality</w:t>
      </w:r>
      <w:r w:rsidR="006C37EB" w:rsidRPr="003D63A3">
        <w:t>.</w:t>
      </w:r>
    </w:p>
    <w:p w14:paraId="46472E86" w14:textId="61B1BE02" w:rsidR="00C97693" w:rsidRPr="00130C78" w:rsidRDefault="00C97693" w:rsidP="00130C78">
      <w:pPr>
        <w:spacing w:line="360" w:lineRule="auto"/>
      </w:pPr>
      <w:r>
        <w:br w:type="page"/>
      </w:r>
    </w:p>
    <w:p w14:paraId="5FBE26A0" w14:textId="5414147E" w:rsidR="00924A51" w:rsidRPr="00327592" w:rsidRDefault="00AE3C4A" w:rsidP="00610382">
      <w:pPr>
        <w:pStyle w:val="Heading2"/>
        <w:spacing w:before="0" w:after="0" w:line="360" w:lineRule="auto"/>
      </w:pPr>
      <w:r>
        <w:lastRenderedPageBreak/>
        <w:t>Introduction</w:t>
      </w:r>
    </w:p>
    <w:p w14:paraId="033A8239" w14:textId="235EBC7E" w:rsidR="005D1ED9" w:rsidRDefault="5F57FD96" w:rsidP="00610382">
      <w:pPr>
        <w:spacing w:line="360" w:lineRule="auto"/>
      </w:pPr>
      <w:r>
        <w:t xml:space="preserve">For </w:t>
      </w:r>
      <w:r w:rsidR="6837D43B">
        <w:t>more than</w:t>
      </w:r>
      <w:r w:rsidR="5D6FCC00">
        <w:t xml:space="preserve"> three </w:t>
      </w:r>
      <w:r>
        <w:t>decades,</w:t>
      </w:r>
      <w:r w:rsidR="001F77B3">
        <w:t xml:space="preserve"> starting in 1993</w:t>
      </w:r>
      <w:r>
        <w:t>, the Global Burden of Diseases, Injuries, and Risk Factors Study (GBD) has been systematically and comprehensively recording and analysing causes of human death stratified by age, sex, and time across the world.</w:t>
      </w:r>
      <w:r w:rsidR="00C61122">
        <w:fldChar w:fldCharType="begin"/>
      </w:r>
      <w:r w:rsidR="00F06174">
        <w:instrText xml:space="preserve"> ADDIN ZOTERO_ITEM CSL_CITATION {"citationID":"FQ3RvSke","properties":{"formattedCitation":"\\super 1,2\\nosupersub{}","plainCitation":"1,2","noteIndex":0},"citationItems":[{"id":127733,"uris":["http://zotero.org/groups/2154524/items/CSB68M2X"],"itemData":{"id":127733,"type":"article-journal","abstract":"The Global Burden of Disease Study (GBD) began 30 years ago with the goal of providing timely, valid and relevant assessments of critical health outcomes. Over this period, the GBD has become progressively more granular. The latest iteration provides assessments of thousands of outcomes for diseases, injuries and risk factors in more than 200 countries and territories and at the subnational level in more than 20 countries. The GBD is now produced by an active collaboration of over 8,000 scientists and analysts from more than 150 countries. With each GBD iteration, the data, data processing and methods used for data synthesis have evolved, with the goal of enhancing transparency and comparability of measurements and communicating various sources of uncertainty. The GBD has many limitations, but it remains a dynamic, iterative and rigorous attempt to provide meaningful health measurement to a wide range of stakeholders.","container-title":"Nature Medicine","DOI":"10.1038/s41591-022-01990-1","ISSN":"1546-170X","issue":"10","journalAbbreviation":"Nat Med","language":"en","license":"2022 Springer Nature America, Inc.","note":"number: 10\npublisher: Nature Publishing Group","page":"2019-2026","source":"www.nature.com","title":"The Global Burden of Disease Study at 30 years","volume":"28","author":[{"family":"Murray","given":"Christopher J. L."}],"issued":{"date-parts":[["2022",10]]}},"label":"page"},{"id":93825,"uris":["http://zotero.org/groups/2154524/items/YBQFHHQ5"],"itemData":{"id":93825,"type":"report","event-place":"Washington, D.C.","publisher":"Oxford University Press","publisher-place":"Washington, D.C.","title":"World development report 1993: investing in health","URL":"https://openknowledge.worldbank.org/handle/10986/5976","author":[{"literal":"World Bank"}],"issued":{"date-parts":[["1993"]]}},"label":"page"}],"schema":"https://github.com/citation-style-language/schema/raw/master/csl-citation.json"} </w:instrText>
      </w:r>
      <w:r w:rsidR="00C61122">
        <w:fldChar w:fldCharType="separate"/>
      </w:r>
      <w:r w:rsidR="00C61122" w:rsidRPr="00C61122">
        <w:rPr>
          <w:rFonts w:cs="Times New Roman"/>
          <w:szCs w:val="24"/>
          <w:vertAlign w:val="superscript"/>
        </w:rPr>
        <w:t>1,2</w:t>
      </w:r>
      <w:r w:rsidR="00C61122">
        <w:fldChar w:fldCharType="end"/>
      </w:r>
      <w:r>
        <w:t xml:space="preserve"> As a global public good, this information has been used to guide policy solutions, reduce modifiable risk factors, </w:t>
      </w:r>
      <w:r w:rsidR="1AC900D3">
        <w:t>monitor and evaluate national and subnational health interventions,</w:t>
      </w:r>
      <w:r w:rsidR="3E94B257">
        <w:t xml:space="preserve"> </w:t>
      </w:r>
      <w:r>
        <w:t>and ultimately improve health recommendations at both regional and local levels.</w:t>
      </w:r>
      <w:r w:rsidR="009A5C63">
        <w:fldChar w:fldCharType="begin"/>
      </w:r>
      <w:r w:rsidR="009A5C63">
        <w:instrText xml:space="preserve"> ADDIN ZOTERO_ITEM CSL_CITATION {"citationID":"UC4l5tKL","properties":{"formattedCitation":"\\super 1\\nosupersub{}","plainCitation":"1","noteIndex":0},"citationItems":[{"id":127733,"uris":["http://zotero.org/groups/2154524/items/CSB68M2X"],"itemData":{"id":127733,"type":"article-journal","abstract":"The Global Burden of Disease Study (GBD) began 30 years ago with the goal of providing timely, valid and relevant assessments of critical health outcomes. Over this period, the GBD has become progressively more granular. The latest iteration provides assessments of thousands of outcomes for diseases, injuries and risk factors in more than 200 countries and territories and at the subnational level in more than 20 countries. The GBD is now produced by an active collaboration of over 8,000 scientists and analysts from more than 150 countries. With each GBD iteration, the data, data processing and methods used for data synthesis have evolved, with the goal of enhancing transparency and comparability of measurements and communicating various sources of uncertainty. The GBD has many limitations, but it remains a dynamic, iterative and rigorous attempt to provide meaningful health measurement to a wide range of stakeholders.","container-title":"Nature Medicine","DOI":"10.1038/s41591-022-01990-1","ISSN":"1546-170X","issue":"10","journalAbbreviation":"Nat Med","language":"en","license":"2022 Springer Nature America, Inc.","note":"number: 10\npublisher: Nature Publishing Group","page":"2019-2026","source":"www.nature.com","title":"The Global Burden of Disease Study at 30 years","volume":"28","author":[{"family":"Murray","given":"Christopher J. L."}],"issued":{"date-parts":[["2022",10]]}}}],"schema":"https://github.com/citation-style-language/schema/raw/master/csl-citation.json"} </w:instrText>
      </w:r>
      <w:r w:rsidR="009A5C63">
        <w:fldChar w:fldCharType="separate"/>
      </w:r>
      <w:r w:rsidR="009A5C63" w:rsidRPr="009A5C63">
        <w:rPr>
          <w:rFonts w:cs="Times New Roman"/>
          <w:szCs w:val="24"/>
          <w:vertAlign w:val="superscript"/>
        </w:rPr>
        <w:t>1</w:t>
      </w:r>
      <w:r w:rsidR="009A5C63">
        <w:fldChar w:fldCharType="end"/>
      </w:r>
      <w:r w:rsidR="69ADB7FB">
        <w:t xml:space="preserve"> </w:t>
      </w:r>
      <w:r w:rsidR="00992628" w:rsidRPr="00D261A2">
        <w:t>A</w:t>
      </w:r>
      <w:r w:rsidRPr="00D261A2">
        <w:t xml:space="preserve">ssessing trends in cause-specific mortality is essential to inform health policy </w:t>
      </w:r>
      <w:r w:rsidR="359A2F72" w:rsidRPr="00D261A2">
        <w:t>that</w:t>
      </w:r>
      <w:r w:rsidR="320D642A" w:rsidRPr="00D261A2">
        <w:t xml:space="preserve"> </w:t>
      </w:r>
      <w:r w:rsidRPr="00D261A2">
        <w:t xml:space="preserve">must continuously </w:t>
      </w:r>
      <w:r w:rsidR="320D642A" w:rsidRPr="00D261A2">
        <w:t>evolve to account for</w:t>
      </w:r>
      <w:r w:rsidRPr="00D261A2">
        <w:t xml:space="preserve"> rapid chang</w:t>
      </w:r>
      <w:r w:rsidR="004A165C" w:rsidRPr="00D261A2">
        <w:t>es to the</w:t>
      </w:r>
      <w:r w:rsidRPr="00D261A2">
        <w:t xml:space="preserve"> </w:t>
      </w:r>
      <w:r w:rsidR="6181325C" w:rsidRPr="00D261A2">
        <w:t xml:space="preserve">global </w:t>
      </w:r>
      <w:r w:rsidR="00177F4B" w:rsidRPr="00D261A2">
        <w:t xml:space="preserve">health </w:t>
      </w:r>
      <w:r w:rsidRPr="00D261A2">
        <w:t xml:space="preserve">landscape </w:t>
      </w:r>
      <w:r w:rsidR="004A165C" w:rsidRPr="00D261A2">
        <w:t xml:space="preserve">such </w:t>
      </w:r>
      <w:r w:rsidR="00992628" w:rsidRPr="00D261A2">
        <w:t>as the</w:t>
      </w:r>
      <w:r w:rsidR="00317639" w:rsidRPr="00D261A2">
        <w:t xml:space="preserve"> </w:t>
      </w:r>
      <w:r w:rsidR="00992628" w:rsidRPr="00D261A2">
        <w:t>COVID-19</w:t>
      </w:r>
      <w:r w:rsidR="00317639" w:rsidRPr="00D261A2">
        <w:t xml:space="preserve"> pandemic.</w:t>
      </w:r>
      <w:r w:rsidR="00586EBA" w:rsidRPr="00D261A2">
        <w:fldChar w:fldCharType="begin"/>
      </w:r>
      <w:r w:rsidR="00F06174" w:rsidRPr="00D261A2">
        <w:instrText xml:space="preserve"> ADDIN ZOTERO_ITEM CSL_CITATION {"citationID":"XnXpNgl5","properties":{"formattedCitation":"\\super 3\\nosupersub{}","plainCitation":"3","noteIndex":0},"citationItems":[{"id":116965,"uris":["http://zotero.org/groups/2154524/items/ATTD2D5J"],"itemData":{"id":116965,"type":"article-journal","abstract":"BACKGROUND: Mortality statistics are fundamental to public health decision making. Mortality varies by time and location, and its measurement is affected by well known biases that have been exacerbated during the COVID-19 pandemic. This paper aims to estimate excess mortality from the COVID-19 pandemic in 191 countries and territories, and 252 subnational units for selected countries, from Jan 1, 2020, to Dec 31, 2021.\nMETHODS: All-cause mortality reports were collected for 74 countries and territories and 266 subnational locations (including 31 locations in low-income and middle-income countries) that had reported either weekly or monthly deaths from all causes during the pandemic in 2020 and 2021, and for up to 11 year previously. In addition, we obtained excess mortality data for 12 states in India. Excess mortality over time was calculated as observed mortality, after excluding data from periods affected by late registration and anomalies such as heat waves, minus expected mortality. Six models were used to estimate expected mortality; final estimates of expected mortality were based on an ensemble of these models. Ensemble weights were based on root mean squared errors derived from an out-of-sample predictive validity test. As mortality records are incomplete worldwide, we built a statistical model that predicted the excess mortality rate for locations and periods where all-cause mortality data were not available. We used least absolute shrinkage and selection operator (LASSO) regression as a variable selection mechanism and selected 15 covariates, including both covariates pertaining to the COVID-19 pandemic, such as seroprevalence, and to background population health metrics, such as the Healthcare Access and Quality Index, with direction of effects on excess mortality concordant with a meta-analysis by the US Centers for Disease Control and Prevention. With the selected best model, we ran a prediction process using 100 draws for each covariate and 100 draws of estimated coefficients and residuals, estimated from the regressions run at the draw level using draw-level input data on both excess mortality and covariates. Mean values and 95% uncertainty intervals were then generated at national, regional, and global levels. Out-of-sample predictive validity testing was done on the basis of our final model specification.\nFINDINGS: Although reported COVID-19 deaths between Jan 1, 2020, and Dec 31, 2021, totalled 5·94 million worldwide, we estimate that 18·2 million (95% uncertainty interval 17·1-19·6) people died worldwide because of the COVID-19 pandemic (as measured by excess mortality) over that period. The global all-age rate of excess mortality due to the COVID-19 pandemic was 120·3 deaths (113·1-129·3) per 100 000 of the population, and excess mortality rate exceeded 300 deaths per 100 000 of the population in 21 countries. The number of excess deaths due to COVID-19 was largest in the regions of south Asia, north Africa and the Middle East, and eastern Europe. At the country level, the highest numbers of cumulative excess deaths due to COVID-19 were estimated in India (4·07 million [3·71-4·36]), the USA (1·13 million [1·08-1·18]), Russia (1·07 million [1·06-1·08]), Mexico (798 000 [741 000-867 000]), Brazil (792 000 [730 000-847 000]), Indonesia (736 000 [594 000-955 000]), and Pakistan (664 000 [498 000-847 000]). Among these countries, the excess mortality rate was highest in Russia (374·6 deaths [369·7-378·4] per 100 000) and Mexico (325·1 [301·6-353·3] per 100 000), and was similar in Brazil (186·9 [172·2-199·8] per 100 000) and the USA (179·3 [170·7-187·5] per 100 000).\nINTERPRETATION: The full impact of the pandemic has been much greater than what is indicated by reported deaths due to COVID-19 alone. Strengthening death registration systems around the world, long understood to be crucial to global public health strategy, is necessary for improved monitoring of this pandemic and future pandemics. In addition, further research is warranted to help distinguish the proportion of excess mortality that was directly caused by SARS-CoV-2 infection and the changes in causes of death as an indirect consequence of the pandemic.\nFUNDING: Bill &amp; Melinda Gates Foundation, J Stanton, T Gillespie, and J and E Nordstrom.","container-title":"Lancet","DOI":"10.1016/S0140-6736(21)02796-3","ISSN":"1474-547X","issue":"10334","journalAbbreviation":"Lancet","language":"eng","note":"PMID: 35279232\nPMCID: PMC8912932","page":"1513-1536","source":"PubMed","title":"Estimating excess mortality due to the COVID-19 pandemic: a systematic analysis of COVID-19-related mortality, 2020-21","title-short":"Estimating excess mortality due to the COVID-19 pandemic","volume":"399","author":[{"literal":"COVID-19 Excess Mortality Collaborators"}],"issued":{"date-parts":[["2022",4,16]]}}}],"schema":"https://github.com/citation-style-language/schema/raw/master/csl-citation.json"} </w:instrText>
      </w:r>
      <w:r w:rsidR="00586EBA" w:rsidRPr="00D261A2">
        <w:fldChar w:fldCharType="separate"/>
      </w:r>
      <w:r w:rsidR="00CA25CC" w:rsidRPr="00D261A2">
        <w:rPr>
          <w:rFonts w:cs="Times New Roman"/>
          <w:szCs w:val="24"/>
          <w:vertAlign w:val="superscript"/>
        </w:rPr>
        <w:t>3</w:t>
      </w:r>
      <w:r w:rsidR="00586EBA" w:rsidRPr="00D261A2">
        <w:fldChar w:fldCharType="end"/>
      </w:r>
      <w:r w:rsidRPr="00D261A2">
        <w:t xml:space="preserve"> Comprehensive updates to levels and trends in causes of </w:t>
      </w:r>
      <w:r w:rsidR="3D57DA1A" w:rsidRPr="00D261A2">
        <w:t xml:space="preserve">death </w:t>
      </w:r>
      <w:r w:rsidRPr="00D261A2">
        <w:t>give insight into emerging glob</w:t>
      </w:r>
      <w:r w:rsidR="43BC77EA" w:rsidRPr="00D261A2">
        <w:t xml:space="preserve">al health challenges and </w:t>
      </w:r>
      <w:r w:rsidRPr="00D261A2">
        <w:t>can facilitate benchmarking in the case of a new pandemic or other events that can lead to a staggering loss of life.</w:t>
      </w:r>
    </w:p>
    <w:p w14:paraId="02389AFE" w14:textId="1D13321C" w:rsidR="00C91228" w:rsidRDefault="5F57FD96" w:rsidP="00610382">
      <w:pPr>
        <w:spacing w:line="360" w:lineRule="auto"/>
      </w:pPr>
      <w:r>
        <w:t>Causes of death are not uniformly distributed between populations; rather, large variability in the leading causes often reflect</w:t>
      </w:r>
      <w:r w:rsidR="004F5C98">
        <w:t>s</w:t>
      </w:r>
      <w:r>
        <w:t xml:space="preserve"> </w:t>
      </w:r>
      <w:r w:rsidR="39504026">
        <w:t>important social and geographical differences</w:t>
      </w:r>
      <w:r w:rsidR="00892D2A">
        <w:t>.</w:t>
      </w:r>
      <w:r>
        <w:fldChar w:fldCharType="begin"/>
      </w:r>
      <w:r>
        <w:instrText xml:space="preserve"> ADDIN ZOTERO_ITEM CSL_CITATION {"citationID":"nCSqcJRx","properties":{"formattedCitation":"\\super 4\\nosupersub{}","plainCitation":"4","noteIndex":0},"citationItems":[{"id":122209,"uris":["http://zotero.org/groups/2154524/items/GTZJ53C7"],"itemData":{"id":122209,"type":"article-journal","abstract":"BACKGROUND: Global development goals increasingly rely on country-specific estimates for benchmarking a nation's progress. To meet this need, the Global Burden of Diseases, Injuries, and Risk Factors Study (GBD) 2016 estimated global, regional, national, and, for selected locations, subnational cause-specific mortality beginning in the year 1980. Here we report an update to that study, making use of newly available data and improved methods. GBD 2017 provides a comprehensive assessment of cause-specific mortality for 282 causes in 195 countries and territories from 1980 to 2017.\nMETHODS: The causes of death database is composed of vital registration (VR), verbal autopsy (VA), registry, survey, police, and surveillance data. GBD 2017 added ten VA studies, 127 country-years of VR data, 502 cancer-registry country-years, and an additional surveillance country-year. Expansions of the GBD cause of death hierarchy resulted in 18 additional causes estimated for GBD 2017. Newly available data led to subnational estimates for five additional countries-Ethiopia, Iran, New Zealand, Norway, and Russia. Deaths assigned International Classification of Diseases (ICD) codes for non-specific, implausible, or intermediate causes of death were reassigned to underlying causes by redistribution algorithms that were incorporated into uncertainty estimation. We used statistical modelling tools developed for GBD, including the Cause of Death Ensemble model (CODEm), to generate cause fractions and cause-specific death rates for each location, year, age, and sex. Instead of using UN estimates as in previous versions, GBD 2017 independently estimated population size and fertility rate for all locations. Years of life lost (YLLs) were then calculated as the sum of each death multiplied by the standard life expectancy at each age. All rates reported here are age-standardised.\nFINDINGS: At the broadest grouping of causes of death (Level 1), non-communicable diseases (NCDs) comprised the greatest fraction of deaths, contributing to 73·4% (95% uncertainty interval [UI] 72·5-74·1) of total deaths in 2017, while communicable, maternal, neonatal, and nutritional (CMNN) causes accounted for 18·6% (17·9-19·6), and injuries 8·0% (7·7-8·2). Total numbers of deaths from NCD causes increased from 2007 to 2017 by 22·7% (21·5-23·9), representing an additional 7·61 million (7·20-8·01) deaths estimated in 2017 versus 2007. The death rate from NCDs decreased globally by 7·9% (7·0-8·8). The number of deaths for CMNN causes decreased by 22·2% (20·0-24·0) and the death rate by 31·8% (30·1-33·3). Total deaths from injuries increased by 2·3% (0·5-4·0) between 2007 and 2017, and the death rate from injuries decreased by 13·7% (12·2-15·1) to 57·9 deaths (55·9-59·2) per 100 000 in 2017. Deaths from substance use disorders also increased, rising from 284 000 deaths (268 000-289 000) globally in 2007 to 352 000 (334 000-363 000) in 2017. Between 2007 and 2017, total deaths from conflict and terrorism increased by 118·0% (88·8-148·6). A greater reduction in total deaths and death rates was observed for some CMNN causes among children younger than 5 years than for older adults, such as a 36·4% (32·2-40·6) reduction in deaths from lower respiratory infections for children younger than 5 years compared with a 33·6% (31·2-36·1) increase in adults older than 70 years. Globally, the number of deaths was greater for men than for women at most ages in 2017, except at ages older than 85 years. Trends in global YLLs reflect an epidemiological transition, with decreases in total YLLs from enteric infections, respiratory infections and tuberculosis, and maternal and neonatal disorders between 1990 and 2017; these were generally greater in magnitude at the lowest levels of the Socio-demographic Index (SDI). At the same time, there were large increases in YLLs from neoplasms and cardiovascular diseases. YLL rates decreased across the five leading Level 2 causes in all SDI quintiles. The leading causes of YLLs in 1990-neonatal disorders, lower respiratory infections, and diarrhoeal diseases-were ranked second, fourth, and fifth, in 2017. Meanwhile, estimated YLLs increased for ischaemic heart disease (ranked first in 2017) and stroke (ranked third), even though YLL rates decreased. Population growth contributed to increased total deaths across the 20 leading Level 2 causes of mortality between 2007 and 2017. Decreases in the cause-specific mortality rate reduced the effect of population growth for all but three causes: substance use disorders, neurological disorders, and skin and subcutaneous diseases.\nINTERPRETATION: Improvements in global health have been unevenly distributed among populations. Deaths due to injuries, substance use disorders, armed conflict and terrorism, neoplasms, and cardiovascular disease are expanding threats to global health. For causes of death such as lower respiratory and enteric infections, more rapid progress occurred for children than for the oldest adults, and there is continuing disparity in mortality rates by sex across age groups. Reductions in the death rate of some common diseases are themselves slowing or have ceased, primarily for NCDs, and the death rate for selected causes has increased in the past decade.\nFUNDING: Bill &amp; Melinda Gates Foundation.","container-title":"Lancet","DOI":"10.1016/S0140-6736(18)32203-7","ISSN":"1474-547X","issue":"10159","journalAbbreviation":"Lancet","language":"eng","note":"PMID: 30496103\nPMCID: PMC6227606","page":"1736-1788","source":"PubMed","title":"Global, regional, and national age-sex-specific mortality for 282 causes of death in 195 countries and territories, 1980-2017: a systematic analysis for the Global Burden of Disease Study 2017","title-short":"Global, regional, and national age-sex-specific mortality for 282 causes of death in 195 countries and territories, 1980-2017","volume":"392","author":[{"literal":"GBD 2017 Causes of Death Collaborators"}],"issued":{"date-parts":[["2018",11,10]]}}}],"schema":"https://github.com/citation-style-language/schema/raw/master/csl-citation.json"} </w:instrText>
      </w:r>
      <w:r>
        <w:fldChar w:fldCharType="separate"/>
      </w:r>
      <w:r w:rsidR="00A53F25" w:rsidRPr="2D185C6D">
        <w:rPr>
          <w:rFonts w:cs="Times New Roman"/>
          <w:vertAlign w:val="superscript"/>
        </w:rPr>
        <w:t>4</w:t>
      </w:r>
      <w:r>
        <w:fldChar w:fldCharType="end"/>
      </w:r>
      <w:r w:rsidR="0B169C9B">
        <w:t xml:space="preserve"> </w:t>
      </w:r>
      <w:r>
        <w:t>These</w:t>
      </w:r>
      <w:r w:rsidR="003F4B57">
        <w:t xml:space="preserve"> differences</w:t>
      </w:r>
      <w:r>
        <w:t xml:space="preserve"> can include access to and quality of health care, </w:t>
      </w:r>
      <w:r w:rsidR="5250419C">
        <w:t xml:space="preserve">timeliness of health system </w:t>
      </w:r>
      <w:r w:rsidR="1D916A2A">
        <w:t>responsiveness</w:t>
      </w:r>
      <w:r w:rsidR="522374E8">
        <w:t xml:space="preserve">, </w:t>
      </w:r>
      <w:r>
        <w:t xml:space="preserve">and exposure to causes that are endemic </w:t>
      </w:r>
      <w:r w:rsidR="224A6A91">
        <w:t>to</w:t>
      </w:r>
      <w:r>
        <w:t xml:space="preserve"> specific geographic</w:t>
      </w:r>
      <w:r w:rsidR="004F5C98">
        <w:t>al</w:t>
      </w:r>
      <w:r>
        <w:t xml:space="preserve"> locations.</w:t>
      </w:r>
      <w:r>
        <w:fldChar w:fldCharType="begin"/>
      </w:r>
      <w:r>
        <w:instrText xml:space="preserve"> ADDIN ZOTERO_ITEM CSL_CITATION {"citationID":"GfCu5tEn","properties":{"formattedCitation":"\\super 4\\nosupersub{}","plainCitation":"4","noteIndex":0},"citationItems":[{"id":122209,"uris":["http://zotero.org/groups/2154524/items/GTZJ53C7"],"itemData":{"id":122209,"type":"article-journal","abstract":"BACKGROUND: Global development goals increasingly rely on country-specific estimates for benchmarking a nation's progress. To meet this need, the Global Burden of Diseases, Injuries, and Risk Factors Study (GBD) 2016 estimated global, regional, national, and, for selected locations, subnational cause-specific mortality beginning in the year 1980. Here we report an update to that study, making use of newly available data and improved methods. GBD 2017 provides a comprehensive assessment of cause-specific mortality for 282 causes in 195 countries and territories from 1980 to 2017.\nMETHODS: The causes of death database is composed of vital registration (VR), verbal autopsy (VA), registry, survey, police, and surveillance data. GBD 2017 added ten VA studies, 127 country-years of VR data, 502 cancer-registry country-years, and an additional surveillance country-year. Expansions of the GBD cause of death hierarchy resulted in 18 additional causes estimated for GBD 2017. Newly available data led to subnational estimates for five additional countries-Ethiopia, Iran, New Zealand, Norway, and Russia. Deaths assigned International Classification of Diseases (ICD) codes for non-specific, implausible, or intermediate causes of death were reassigned to underlying causes by redistribution algorithms that were incorporated into uncertainty estimation. We used statistical modelling tools developed for GBD, including the Cause of Death Ensemble model (CODEm), to generate cause fractions and cause-specific death rates for each location, year, age, and sex. Instead of using UN estimates as in previous versions, GBD 2017 independently estimated population size and fertility rate for all locations. Years of life lost (YLLs) were then calculated as the sum of each death multiplied by the standard life expectancy at each age. All rates reported here are age-standardised.\nFINDINGS: At the broadest grouping of causes of death (Level 1), non-communicable diseases (NCDs) comprised the greatest fraction of deaths, contributing to 73·4% (95% uncertainty interval [UI] 72·5-74·1) of total deaths in 2017, while communicable, maternal, neonatal, and nutritional (CMNN) causes accounted for 18·6% (17·9-19·6), and injuries 8·0% (7·7-8·2). Total numbers of deaths from NCD causes increased from 2007 to 2017 by 22·7% (21·5-23·9), representing an additional 7·61 million (7·20-8·01) deaths estimated in 2017 versus 2007. The death rate from NCDs decreased globally by 7·9% (7·0-8·8). The number of deaths for CMNN causes decreased by 22·2% (20·0-24·0) and the death rate by 31·8% (30·1-33·3). Total deaths from injuries increased by 2·3% (0·5-4·0) between 2007 and 2017, and the death rate from injuries decreased by 13·7% (12·2-15·1) to 57·9 deaths (55·9-59·2) per 100 000 in 2017. Deaths from substance use disorders also increased, rising from 284 000 deaths (268 000-289 000) globally in 2007 to 352 000 (334 000-363 000) in 2017. Between 2007 and 2017, total deaths from conflict and terrorism increased by 118·0% (88·8-148·6). A greater reduction in total deaths and death rates was observed for some CMNN causes among children younger than 5 years than for older adults, such as a 36·4% (32·2-40·6) reduction in deaths from lower respiratory infections for children younger than 5 years compared with a 33·6% (31·2-36·1) increase in adults older than 70 years. Globally, the number of deaths was greater for men than for women at most ages in 2017, except at ages older than 85 years. Trends in global YLLs reflect an epidemiological transition, with decreases in total YLLs from enteric infections, respiratory infections and tuberculosis, and maternal and neonatal disorders between 1990 and 2017; these were generally greater in magnitude at the lowest levels of the Socio-demographic Index (SDI). At the same time, there were large increases in YLLs from neoplasms and cardiovascular diseases. YLL rates decreased across the five leading Level 2 causes in all SDI quintiles. The leading causes of YLLs in 1990-neonatal disorders, lower respiratory infections, and diarrhoeal diseases-were ranked second, fourth, and fifth, in 2017. Meanwhile, estimated YLLs increased for ischaemic heart disease (ranked first in 2017) and stroke (ranked third), even though YLL rates decreased. Population growth contributed to increased total deaths across the 20 leading Level 2 causes of mortality between 2007 and 2017. Decreases in the cause-specific mortality rate reduced the effect of population growth for all but three causes: substance use disorders, neurological disorders, and skin and subcutaneous diseases.\nINTERPRETATION: Improvements in global health have been unevenly distributed among populations. Deaths due to injuries, substance use disorders, armed conflict and terrorism, neoplasms, and cardiovascular disease are expanding threats to global health. For causes of death such as lower respiratory and enteric infections, more rapid progress occurred for children than for the oldest adults, and there is continuing disparity in mortality rates by sex across age groups. Reductions in the death rate of some common diseases are themselves slowing or have ceased, primarily for NCDs, and the death rate for selected causes has increased in the past decade.\nFUNDING: Bill &amp; Melinda Gates Foundation.","container-title":"Lancet","DOI":"10.1016/S0140-6736(18)32203-7","ISSN":"1474-547X","issue":"10159","journalAbbreviation":"Lancet","language":"eng","note":"PMID: 30496103\nPMCID: PMC6227606","page":"1736-1788","source":"PubMed","title":"Global, regional, and national age-sex-specific mortality for 282 causes of death in 195 countries and territories, 1980-2017: a systematic analysis for the Global Burden of Disease Study 2017","title-short":"Global, regional, and national age-sex-specific mortality for 282 causes of death in 195 countries and territories, 1980-2017","volume":"392","author":[{"literal":"GBD 2017 Causes of Death Collaborators"}],"issued":{"date-parts":[["2018",11,10]]}}}],"schema":"https://github.com/citation-style-language/schema/raw/master/csl-citation.json"} </w:instrText>
      </w:r>
      <w:r>
        <w:fldChar w:fldCharType="separate"/>
      </w:r>
      <w:r w:rsidR="007442BF" w:rsidRPr="2D185C6D">
        <w:rPr>
          <w:rFonts w:cs="Times New Roman"/>
          <w:vertAlign w:val="superscript"/>
        </w:rPr>
        <w:t>4</w:t>
      </w:r>
      <w:r>
        <w:fldChar w:fldCharType="end"/>
      </w:r>
      <w:r w:rsidR="00833F06" w:rsidRPr="2D185C6D">
        <w:rPr>
          <w:color w:val="2B579A"/>
        </w:rPr>
        <w:t xml:space="preserve"> </w:t>
      </w:r>
      <w:r w:rsidR="00833F06">
        <w:t xml:space="preserve">Patterns in the leading causes continually evolve, as some areas become successful in their efforts to reduce them, while other causes persist within specific locations. The past 30 years have seen improvements among many </w:t>
      </w:r>
      <w:r w:rsidR="0024579D">
        <w:t>causes</w:t>
      </w:r>
      <w:r w:rsidR="00833F06">
        <w:t xml:space="preserve"> of mortality, some of which have significantly narrowed in scope and are now </w:t>
      </w:r>
      <w:r w:rsidR="00244208">
        <w:t xml:space="preserve">concentrated within smaller areas worldwide. This enables us to pinpoint the resulting mortality </w:t>
      </w:r>
      <w:r w:rsidR="2F1C3017">
        <w:t>concentrations</w:t>
      </w:r>
      <w:r w:rsidR="004F5C98">
        <w:t>—</w:t>
      </w:r>
      <w:r w:rsidR="00244208">
        <w:t xml:space="preserve">areas where deaths from that cause </w:t>
      </w:r>
      <w:r w:rsidR="00C21C44">
        <w:t>are occurring within a limited fraction of the global population.</w:t>
      </w:r>
      <w:r w:rsidR="00177426">
        <w:t xml:space="preserve"> </w:t>
      </w:r>
      <w:r w:rsidR="009245DB">
        <w:t>Our</w:t>
      </w:r>
      <w:r w:rsidR="4BC761A6">
        <w:t xml:space="preserve"> analysis provides an opportunity to answer critical epidemiological questions that have been at the forefront of global and public health </w:t>
      </w:r>
      <w:r w:rsidR="002F396C">
        <w:t>discourse</w:t>
      </w:r>
      <w:r w:rsidR="004F5C98">
        <w:t>,</w:t>
      </w:r>
      <w:r w:rsidR="4BC761A6">
        <w:t xml:space="preserve"> such as which causes have contributed to the largest increase or decrease in life expectancy, </w:t>
      </w:r>
      <w:r w:rsidR="2AD20EB0">
        <w:t>wh</w:t>
      </w:r>
      <w:r w:rsidR="00CF7327">
        <w:t>ich locations are experiencing greater</w:t>
      </w:r>
      <w:r w:rsidR="2AD20EB0">
        <w:t xml:space="preserve"> </w:t>
      </w:r>
      <w:r w:rsidR="2A1B1DE3">
        <w:t>concentrations</w:t>
      </w:r>
      <w:r w:rsidR="2AD20EB0">
        <w:t xml:space="preserve"> of preventable causes of death, and </w:t>
      </w:r>
      <w:r w:rsidR="539B3432">
        <w:t>how has</w:t>
      </w:r>
      <w:r w:rsidR="00733CB6">
        <w:t xml:space="preserve"> </w:t>
      </w:r>
      <w:r w:rsidR="539B3432">
        <w:t xml:space="preserve">COVID-19 and </w:t>
      </w:r>
      <w:r w:rsidR="00515898">
        <w:t xml:space="preserve">other </w:t>
      </w:r>
      <w:r w:rsidR="539B3432">
        <w:t>pandemic</w:t>
      </w:r>
      <w:r w:rsidR="00E84F8B">
        <w:t>-</w:t>
      </w:r>
      <w:r w:rsidR="539B3432">
        <w:t>related mortality impacted life expectancy and the overall fatal burden of diseases</w:t>
      </w:r>
      <w:r w:rsidR="0B271D70">
        <w:t>.</w:t>
      </w:r>
      <w:r w:rsidR="4BC761A6">
        <w:t xml:space="preserve"> </w:t>
      </w:r>
      <w:r w:rsidR="001B471B">
        <w:t>R</w:t>
      </w:r>
      <w:r w:rsidR="4BC761A6">
        <w:t xml:space="preserve">egional variation in many of the leading causes of death </w:t>
      </w:r>
      <w:r w:rsidR="00CA4160">
        <w:t>remain</w:t>
      </w:r>
      <w:r w:rsidR="004F5C98">
        <w:t>s</w:t>
      </w:r>
      <w:r w:rsidR="00CA4160">
        <w:t xml:space="preserve"> evident </w:t>
      </w:r>
      <w:r w:rsidR="00BE423D">
        <w:t xml:space="preserve">in </w:t>
      </w:r>
      <w:r w:rsidR="008332F0">
        <w:t>these most recent estimates</w:t>
      </w:r>
      <w:r w:rsidR="4BC761A6">
        <w:t xml:space="preserve">, representing important opportunities for creating tailored health policy to improve disparities and alleviate </w:t>
      </w:r>
      <w:r w:rsidR="2F37C6F1">
        <w:t>concentrations</w:t>
      </w:r>
      <w:r w:rsidR="4BC761A6">
        <w:t xml:space="preserve"> of mortality.</w:t>
      </w:r>
    </w:p>
    <w:p w14:paraId="6F37E45B" w14:textId="1F8C674C" w:rsidR="0097079A" w:rsidRDefault="50E4FE95" w:rsidP="00610382">
      <w:pPr>
        <w:spacing w:line="360" w:lineRule="auto"/>
        <w:rPr>
          <w:color w:val="2B579A"/>
        </w:rPr>
      </w:pPr>
      <w:r>
        <w:t xml:space="preserve">GBD 2021 </w:t>
      </w:r>
      <w:r w:rsidR="54546E4B">
        <w:t>provides a</w:t>
      </w:r>
      <w:r w:rsidR="00850BEC">
        <w:t xml:space="preserve">n </w:t>
      </w:r>
      <w:r w:rsidR="00F97602">
        <w:t>updated,</w:t>
      </w:r>
      <w:r w:rsidR="54546E4B">
        <w:t xml:space="preserve"> comprehensive set of</w:t>
      </w:r>
      <w:r>
        <w:t xml:space="preserve"> </w:t>
      </w:r>
      <w:r w:rsidR="00474869">
        <w:t xml:space="preserve">the </w:t>
      </w:r>
      <w:r w:rsidR="00474869" w:rsidRPr="00CB0B6D">
        <w:t>fatal burden of disease summari</w:t>
      </w:r>
      <w:r w:rsidR="00474869">
        <w:t>s</w:t>
      </w:r>
      <w:r w:rsidR="00474869" w:rsidRPr="00CB0B6D">
        <w:t xml:space="preserve">ed with </w:t>
      </w:r>
      <w:r w:rsidR="00474869" w:rsidRPr="4AFA8258">
        <w:rPr>
          <w:rFonts w:cs="Times New Roman"/>
        </w:rPr>
        <w:t xml:space="preserve">cause-specific mortality </w:t>
      </w:r>
      <w:r w:rsidR="00474869">
        <w:rPr>
          <w:rFonts w:cs="Times New Roman"/>
        </w:rPr>
        <w:t xml:space="preserve">metrics and years </w:t>
      </w:r>
      <w:r w:rsidR="00474869">
        <w:t>of life lost (YLLs) metrics</w:t>
      </w:r>
      <w:r>
        <w:t xml:space="preserve"> </w:t>
      </w:r>
      <w:r w:rsidR="00BF19D3">
        <w:t xml:space="preserve">for 288 causes </w:t>
      </w:r>
      <w:r>
        <w:t>by age and sex across 204 countries and territories from 1990</w:t>
      </w:r>
      <w:r w:rsidR="00B86550">
        <w:t xml:space="preserve"> to </w:t>
      </w:r>
      <w:r>
        <w:t>202</w:t>
      </w:r>
      <w:r w:rsidR="00B40FA5">
        <w:t>1</w:t>
      </w:r>
      <w:r w:rsidR="005B03D5">
        <w:t xml:space="preserve">, an update from the previously published estimates </w:t>
      </w:r>
      <w:r w:rsidR="00D069BC">
        <w:t xml:space="preserve">covering </w:t>
      </w:r>
      <w:r w:rsidR="005B03D5">
        <w:t>1990</w:t>
      </w:r>
      <w:r w:rsidR="00EA6A63">
        <w:t>–</w:t>
      </w:r>
      <w:r w:rsidR="005B03D5">
        <w:t>2019</w:t>
      </w:r>
      <w:r>
        <w:t>.</w:t>
      </w:r>
      <w:r w:rsidR="00D069BC">
        <w:t xml:space="preserve"> </w:t>
      </w:r>
      <w:r w:rsidR="00F97602" w:rsidRPr="00B578F4">
        <w:t>New in</w:t>
      </w:r>
      <w:r w:rsidR="00D069BC" w:rsidRPr="00B578F4">
        <w:t xml:space="preserve"> this study, we </w:t>
      </w:r>
      <w:r w:rsidR="00F267C5" w:rsidRPr="00B578F4">
        <w:t>present</w:t>
      </w:r>
      <w:r w:rsidR="00D069BC" w:rsidRPr="00B578F4">
        <w:t xml:space="preserve"> mortality concentrations</w:t>
      </w:r>
      <w:r w:rsidR="00FF5D13" w:rsidRPr="00B578F4">
        <w:t xml:space="preserve"> and</w:t>
      </w:r>
      <w:r w:rsidR="00D069BC" w:rsidRPr="00B578F4">
        <w:t xml:space="preserve"> a decomposition analysis of life expectancy due to different causes of death</w:t>
      </w:r>
      <w:r w:rsidR="00F267C5" w:rsidRPr="00B578F4">
        <w:t xml:space="preserve"> and illust</w:t>
      </w:r>
      <w:r w:rsidR="00FF5D13" w:rsidRPr="00B578F4">
        <w:t>rate the impact of causes of death on global, regional</w:t>
      </w:r>
      <w:r w:rsidR="00AF39EA" w:rsidRPr="00B578F4">
        <w:t>,</w:t>
      </w:r>
      <w:r w:rsidR="00FF5D13" w:rsidRPr="00B578F4">
        <w:t xml:space="preserve"> and country</w:t>
      </w:r>
      <w:r w:rsidR="00AF39EA" w:rsidRPr="00B578F4">
        <w:t>-</w:t>
      </w:r>
      <w:r w:rsidR="00FF5D13" w:rsidRPr="00B578F4">
        <w:t>specific life expectancy</w:t>
      </w:r>
      <w:r w:rsidR="008B3078" w:rsidRPr="00B578F4">
        <w:t>,</w:t>
      </w:r>
      <w:r w:rsidR="00FF5D13" w:rsidRPr="00B578F4">
        <w:t xml:space="preserve"> while highlighting </w:t>
      </w:r>
      <w:r w:rsidR="001C4886" w:rsidRPr="00B578F4">
        <w:t xml:space="preserve">locations that are most impacted by </w:t>
      </w:r>
      <w:r w:rsidR="001C4886" w:rsidRPr="00B578F4">
        <w:lastRenderedPageBreak/>
        <w:t>concentrated geographic mortality burden</w:t>
      </w:r>
      <w:r w:rsidR="00D069BC" w:rsidRPr="00B578F4">
        <w:t>.</w:t>
      </w:r>
      <w:r w:rsidR="00D069BC">
        <w:t xml:space="preserve"> </w:t>
      </w:r>
      <w:r>
        <w:t>As with previous iterations of the GBD, this cycle incorporates newly available data sources and improved methodological approaches to re-estimate the entire time series, providing updated estimates that supersede all prior GBD cause of death publications.</w:t>
      </w:r>
      <w:r w:rsidR="3D8A42E6">
        <w:t xml:space="preserve"> </w:t>
      </w:r>
      <w:r w:rsidR="223D918A">
        <w:t>GBD 202</w:t>
      </w:r>
      <w:r w:rsidR="19BABFCE">
        <w:t>1</w:t>
      </w:r>
      <w:r w:rsidR="223D918A">
        <w:t xml:space="preserve"> includes estimation of numerous different models for disease and injury outcomes.</w:t>
      </w:r>
      <w:r w:rsidR="003E7C8F">
        <w:t xml:space="preserve"> </w:t>
      </w:r>
      <w:r w:rsidR="00C91228">
        <w:t>This manuscript was produced as part of the GBD Collaborator Network and in accordance with the GBD P</w:t>
      </w:r>
      <w:r w:rsidR="00366CC6">
        <w:t>rotocol.</w:t>
      </w:r>
      <w:r w:rsidR="00366CC6" w:rsidRPr="7B4FDF1B">
        <w:rPr>
          <w:color w:val="2B579A"/>
        </w:rPr>
        <w:fldChar w:fldCharType="begin"/>
      </w:r>
      <w:r w:rsidR="007442BF">
        <w:instrText xml:space="preserve"> ADDIN ZOTERO_ITEM CSL_CITATION {"citationID":"rP3yPYvP","properties":{"formattedCitation":"\\super 5\\nosupersub{}","plainCitation":"5","noteIndex":0},"citationItems":[{"id":116941,"uris":["http://zotero.org/groups/2154524/items/GQ8J4KEY"],"itemData":{"id":116941,"type":"report","number":"Version 4.0","title":"Protocol for the Global Burden of Diseases, Injuries, and Risk Factors Study (GBD)","author":[{"literal":"Institute for Health Metrics and Evaluation"}],"issued":{"date-parts":[["2020",3]]}}}],"schema":"https://github.com/citation-style-language/schema/raw/master/csl-citation.json"} </w:instrText>
      </w:r>
      <w:r w:rsidR="00366CC6" w:rsidRPr="7B4FDF1B">
        <w:rPr>
          <w:color w:val="2B579A"/>
        </w:rPr>
        <w:fldChar w:fldCharType="separate"/>
      </w:r>
      <w:r w:rsidR="007442BF" w:rsidRPr="007442BF">
        <w:rPr>
          <w:rFonts w:cs="Times New Roman"/>
          <w:szCs w:val="24"/>
          <w:vertAlign w:val="superscript"/>
        </w:rPr>
        <w:t>5</w:t>
      </w:r>
      <w:r w:rsidR="00366CC6" w:rsidRPr="7B4FDF1B">
        <w:rPr>
          <w:color w:val="2B579A"/>
        </w:rPr>
        <w:fldChar w:fldCharType="end"/>
      </w:r>
    </w:p>
    <w:p w14:paraId="3CC5AF25" w14:textId="63705313" w:rsidR="00B66438" w:rsidRDefault="00B66438" w:rsidP="00610382">
      <w:pPr>
        <w:spacing w:line="360" w:lineRule="auto"/>
        <w:rPr>
          <w:color w:val="2B579A"/>
        </w:rPr>
      </w:pPr>
    </w:p>
    <w:p w14:paraId="5D22D44B" w14:textId="0F737D03" w:rsidR="00EB465F" w:rsidRPr="00327592" w:rsidRDefault="00AF631E" w:rsidP="00610382">
      <w:pPr>
        <w:pStyle w:val="Heading2"/>
        <w:spacing w:before="0" w:after="0" w:line="360" w:lineRule="auto"/>
      </w:pPr>
      <w:r>
        <w:t>Methods</w:t>
      </w:r>
    </w:p>
    <w:p w14:paraId="6CF07A82" w14:textId="26E6923D" w:rsidR="00AF631E" w:rsidRDefault="00AF631E" w:rsidP="00610382">
      <w:pPr>
        <w:pStyle w:val="Heading3"/>
        <w:spacing w:line="360" w:lineRule="auto"/>
      </w:pPr>
      <w:r>
        <w:t>Overview</w:t>
      </w:r>
    </w:p>
    <w:p w14:paraId="61118478" w14:textId="659E91CE" w:rsidR="0080110F" w:rsidRPr="0080110F" w:rsidRDefault="00A257C6" w:rsidP="00610382">
      <w:pPr>
        <w:spacing w:line="360" w:lineRule="auto"/>
      </w:pPr>
      <w:r>
        <w:t xml:space="preserve">GBD </w:t>
      </w:r>
      <w:r w:rsidR="00A103A3">
        <w:t>2021</w:t>
      </w:r>
      <w:r w:rsidR="4E6D1CAD">
        <w:t xml:space="preserve"> </w:t>
      </w:r>
      <w:r>
        <w:t>produce</w:t>
      </w:r>
      <w:r w:rsidR="002A4F38">
        <w:t>d</w:t>
      </w:r>
      <w:r>
        <w:t xml:space="preserve"> estimates for each epidemiological quantity of interest </w:t>
      </w:r>
      <w:r w:rsidR="00E36E75">
        <w:t>f</w:t>
      </w:r>
      <w:r w:rsidR="00E36E75" w:rsidRPr="00E96BB8">
        <w:t xml:space="preserve">or </w:t>
      </w:r>
      <w:r w:rsidR="00E36E75" w:rsidRPr="0072728B">
        <w:t>28</w:t>
      </w:r>
      <w:r w:rsidR="00310BEA" w:rsidRPr="0072728B">
        <w:t>8</w:t>
      </w:r>
      <w:r w:rsidR="00E36E75" w:rsidRPr="00E96BB8">
        <w:t xml:space="preserve"> c</w:t>
      </w:r>
      <w:r w:rsidR="00E36E75">
        <w:t xml:space="preserve">auses of death </w:t>
      </w:r>
      <w:r>
        <w:t xml:space="preserve">by age-sex-location-year for </w:t>
      </w:r>
      <w:r w:rsidRPr="000E2311">
        <w:t>2</w:t>
      </w:r>
      <w:r w:rsidR="00A73892" w:rsidRPr="000E2311">
        <w:t>5</w:t>
      </w:r>
      <w:r>
        <w:t xml:space="preserve"> age groups from birth to </w:t>
      </w:r>
      <w:r w:rsidRPr="0072728B">
        <w:t>95</w:t>
      </w:r>
      <w:r>
        <w:t xml:space="preserve"> years and older; for males, females, and </w:t>
      </w:r>
      <w:r w:rsidR="006C50D8">
        <w:t xml:space="preserve">all </w:t>
      </w:r>
      <w:r>
        <w:t xml:space="preserve">sexes combined; in </w:t>
      </w:r>
      <w:r w:rsidRPr="0072728B">
        <w:t>204</w:t>
      </w:r>
      <w:r>
        <w:t xml:space="preserve"> countries and territories grouped into </w:t>
      </w:r>
      <w:r w:rsidRPr="0072728B">
        <w:t>21</w:t>
      </w:r>
      <w:r>
        <w:t xml:space="preserve"> regions and </w:t>
      </w:r>
      <w:r w:rsidRPr="0072728B">
        <w:t>seven</w:t>
      </w:r>
      <w:r>
        <w:t xml:space="preserve"> super-regions; and for every year from </w:t>
      </w:r>
      <w:r w:rsidRPr="0072728B">
        <w:t>1990</w:t>
      </w:r>
      <w:r w:rsidR="00705B0E">
        <w:rPr>
          <w:rFonts w:cs="Times New Roman"/>
        </w:rPr>
        <w:t xml:space="preserve"> to </w:t>
      </w:r>
      <w:r w:rsidRPr="0072728B">
        <w:t>202</w:t>
      </w:r>
      <w:r w:rsidR="2FE3DE4A" w:rsidRPr="0072728B">
        <w:t>1</w:t>
      </w:r>
      <w:r>
        <w:t xml:space="preserve">. </w:t>
      </w:r>
      <w:r w:rsidR="000919E8" w:rsidRPr="0087163C">
        <w:t xml:space="preserve">GBD 2021 also includes subnational analyses for </w:t>
      </w:r>
      <w:r w:rsidRPr="0072728B" w:rsidDel="0ED3AEA9">
        <w:t>2</w:t>
      </w:r>
      <w:r w:rsidR="4BA4EA3B" w:rsidRPr="0072728B" w:rsidDel="0ED3AEA9">
        <w:t>1</w:t>
      </w:r>
      <w:r w:rsidR="000919E8" w:rsidRPr="0087163C">
        <w:t xml:space="preserve"> countries and territories (see </w:t>
      </w:r>
      <w:r w:rsidR="252A620A">
        <w:t>a</w:t>
      </w:r>
      <w:r w:rsidR="00A47816">
        <w:t>ppendix 1</w:t>
      </w:r>
      <w:r w:rsidR="009157AC">
        <w:t xml:space="preserve"> section </w:t>
      </w:r>
      <w:r w:rsidR="009C22C5">
        <w:t>2.1</w:t>
      </w:r>
      <w:r w:rsidR="00A47816">
        <w:t xml:space="preserve"> </w:t>
      </w:r>
      <w:r w:rsidR="000919E8" w:rsidRPr="0087163C">
        <w:t>[</w:t>
      </w:r>
      <w:r w:rsidR="00AA4CA1">
        <w:t>note to editors and reviewers</w:t>
      </w:r>
      <w:r w:rsidR="00A47816">
        <w:t xml:space="preserve">: </w:t>
      </w:r>
      <w:r w:rsidR="00A47816">
        <w:rPr>
          <w:rFonts w:eastAsia="Times New Roman" w:cs="Times New Roman"/>
          <w:lang w:val="en-US"/>
        </w:rPr>
        <w:t>t</w:t>
      </w:r>
      <w:r w:rsidR="00AA4CA1" w:rsidRPr="00DC446F">
        <w:rPr>
          <w:rFonts w:eastAsia="Times New Roman" w:cs="Times New Roman"/>
          <w:lang w:val="en-US"/>
        </w:rPr>
        <w:t>hese materials are available during peer review at</w:t>
      </w:r>
      <w:r w:rsidR="00AA4CA1" w:rsidRPr="00394CA5">
        <w:rPr>
          <w:rFonts w:cs="Times New Roman"/>
        </w:rPr>
        <w:t xml:space="preserve">: </w:t>
      </w:r>
      <w:hyperlink r:id="rId13" w:tgtFrame="_blank" w:history="1">
        <w:r w:rsidR="004B6789" w:rsidRPr="00A9099F">
          <w:rPr>
            <w:rStyle w:val="Hyperlink"/>
            <w:rFonts w:cs="Times New Roman"/>
            <w:shd w:val="clear" w:color="auto" w:fill="F8F8F8"/>
          </w:rPr>
          <w:t>https://cloud.ihme.washington.edu/s/Q7nnHz9CBbTErrx</w:t>
        </w:r>
      </w:hyperlink>
      <w:r w:rsidR="004B6789">
        <w:t xml:space="preserve"> </w:t>
      </w:r>
      <w:r w:rsidR="004B6789" w:rsidRPr="00394CA5">
        <w:rPr>
          <w:rFonts w:cs="Times New Roman"/>
        </w:rPr>
        <w:t>password</w:t>
      </w:r>
      <w:r w:rsidR="004B6789" w:rsidRPr="00745CD9">
        <w:rPr>
          <w:rFonts w:cs="Times New Roman"/>
        </w:rPr>
        <w:t>: 2021COD</w:t>
      </w:r>
      <w:r w:rsidR="00C86A7B">
        <w:rPr>
          <w:rFonts w:cs="Times New Roman"/>
        </w:rPr>
        <w:t>]</w:t>
      </w:r>
      <w:r w:rsidR="000919E8" w:rsidRPr="0087163C">
        <w:t>)</w:t>
      </w:r>
      <w:r w:rsidR="00830B95">
        <w:t>.</w:t>
      </w:r>
      <w:r w:rsidR="000919E8" w:rsidRPr="0087163C">
        <w:t xml:space="preserve"> </w:t>
      </w:r>
      <w:r>
        <w:rPr>
          <w:rFonts w:cs="Times New Roman"/>
        </w:rPr>
        <w:t>An international network of collaborators provides, reviews, and analyses the available data to generate these metrics; the 202</w:t>
      </w:r>
      <w:r w:rsidR="008B7245">
        <w:rPr>
          <w:rFonts w:cs="Times New Roman"/>
        </w:rPr>
        <w:t>1</w:t>
      </w:r>
      <w:r>
        <w:rPr>
          <w:rFonts w:cs="Times New Roman"/>
        </w:rPr>
        <w:t xml:space="preserve"> GBD round drew on the expertise of </w:t>
      </w:r>
      <w:r w:rsidR="009E15BD">
        <w:rPr>
          <w:rFonts w:cs="Times New Roman"/>
        </w:rPr>
        <w:t xml:space="preserve">more than 10 000 </w:t>
      </w:r>
      <w:r>
        <w:rPr>
          <w:rFonts w:cs="Times New Roman"/>
        </w:rPr>
        <w:t xml:space="preserve">collaborators from </w:t>
      </w:r>
      <w:r w:rsidR="00F11B93">
        <w:rPr>
          <w:rFonts w:cs="Times New Roman"/>
        </w:rPr>
        <w:t xml:space="preserve">more than </w:t>
      </w:r>
      <w:r w:rsidRPr="0072728B">
        <w:rPr>
          <w:rFonts w:cs="Times New Roman"/>
        </w:rPr>
        <w:t>1</w:t>
      </w:r>
      <w:r w:rsidR="009851FA" w:rsidRPr="0072728B">
        <w:rPr>
          <w:rFonts w:cs="Times New Roman"/>
        </w:rPr>
        <w:t>5</w:t>
      </w:r>
      <w:r w:rsidR="00F11B93">
        <w:rPr>
          <w:rFonts w:cs="Times New Roman"/>
        </w:rPr>
        <w:t>0</w:t>
      </w:r>
      <w:r w:rsidRPr="0084756D">
        <w:rPr>
          <w:rFonts w:cs="Times New Roman"/>
        </w:rPr>
        <w:t xml:space="preserve"> countries a</w:t>
      </w:r>
      <w:r w:rsidRPr="0080110F">
        <w:t>nd territories.</w:t>
      </w:r>
    </w:p>
    <w:p w14:paraId="5F36945D" w14:textId="686387B4" w:rsidR="00361E2C" w:rsidRPr="0080110F" w:rsidRDefault="00361E2C" w:rsidP="00610382">
      <w:pPr>
        <w:spacing w:line="360" w:lineRule="auto"/>
        <w:rPr>
          <w:rFonts w:eastAsia="Times New Roman" w:cs="Times New Roman"/>
          <w:lang w:val="en-US"/>
        </w:rPr>
      </w:pPr>
      <w:r w:rsidRPr="0080110F">
        <w:t>The methods used to generate these estimates</w:t>
      </w:r>
      <w:r w:rsidRPr="003319D1">
        <w:rPr>
          <w:rFonts w:eastAsia="Times New Roman" w:cs="Times New Roman"/>
          <w:lang w:val="en-US"/>
        </w:rPr>
        <w:t xml:space="preserve"> closely followed those for</w:t>
      </w:r>
      <w:r w:rsidR="006A072A">
        <w:rPr>
          <w:rFonts w:eastAsia="Times New Roman" w:cs="Times New Roman"/>
          <w:lang w:val="en-US"/>
        </w:rPr>
        <w:t xml:space="preserve"> </w:t>
      </w:r>
      <w:r w:rsidR="006A072A">
        <w:rPr>
          <w:rFonts w:cs="Times New Roman"/>
          <w:shd w:val="clear" w:color="auto" w:fill="FFFFFF"/>
        </w:rPr>
        <w:t>GBD 2019.</w:t>
      </w:r>
      <w:r w:rsidR="00B5660B">
        <w:rPr>
          <w:rFonts w:cs="Times New Roman"/>
          <w:shd w:val="clear" w:color="auto" w:fill="FFFFFF"/>
        </w:rPr>
        <w:fldChar w:fldCharType="begin"/>
      </w:r>
      <w:r w:rsidR="007442BF">
        <w:rPr>
          <w:rFonts w:cs="Times New Roman"/>
          <w:shd w:val="clear" w:color="auto" w:fill="FFFFFF"/>
        </w:rPr>
        <w:instrText xml:space="preserve"> ADDIN ZOTERO_ITEM CSL_CITATION {"citationID":"AB2HB34u","properties":{"formattedCitation":"\\super 6\\nosupersub{}","plainCitation":"6","noteIndex":0},"citationItems":[{"id":122058,"uris":["http://zotero.org/groups/2154524/items/YY37YSNX"],"itemData":{"id":122058,"type":"article-journal","container-title":"Lancet","DOI":"https://doi.org/10.1016/S0140-6736(20)30925-9","issue":"10258","journalAbbreviation":"Lancet","page":"1204-22","title":"Global burden of 369 diseases and injuries in 204 countries and territories, 1990–2019: a systematic analysis for the Global Burden of Disease Study 2019","volume":"396","author":[{"literal":"GBD 2019 Diseases and Injuries Collaborators"}],"issued":{"date-parts":[["2020"]]}}}],"schema":"https://github.com/citation-style-language/schema/raw/master/csl-citation.json"} </w:instrText>
      </w:r>
      <w:r w:rsidR="00B5660B">
        <w:rPr>
          <w:rFonts w:cs="Times New Roman"/>
          <w:shd w:val="clear" w:color="auto" w:fill="FFFFFF"/>
        </w:rPr>
        <w:fldChar w:fldCharType="separate"/>
      </w:r>
      <w:r w:rsidR="007442BF" w:rsidRPr="007442BF">
        <w:rPr>
          <w:rFonts w:cs="Times New Roman"/>
          <w:szCs w:val="24"/>
          <w:vertAlign w:val="superscript"/>
        </w:rPr>
        <w:t>6</w:t>
      </w:r>
      <w:r w:rsidR="00B5660B">
        <w:rPr>
          <w:rFonts w:cs="Times New Roman"/>
          <w:shd w:val="clear" w:color="auto" w:fill="FFFFFF"/>
        </w:rPr>
        <w:fldChar w:fldCharType="end"/>
      </w:r>
      <w:r w:rsidR="006A072A">
        <w:rPr>
          <w:rFonts w:cs="Times New Roman"/>
          <w:shd w:val="clear" w:color="auto" w:fill="FFFFFF"/>
        </w:rPr>
        <w:t xml:space="preserve"> </w:t>
      </w:r>
      <w:r w:rsidRPr="003319D1">
        <w:rPr>
          <w:rFonts w:eastAsia="Times New Roman" w:cs="Times New Roman"/>
          <w:lang w:val="en-US"/>
        </w:rPr>
        <w:t>These methods have been extensively peer-review</w:t>
      </w:r>
      <w:r w:rsidRPr="0004558D">
        <w:rPr>
          <w:rFonts w:eastAsia="Times New Roman" w:cs="Times New Roman"/>
          <w:lang w:val="en-US"/>
        </w:rPr>
        <w:t xml:space="preserve">ed over previous rounds of the GBD </w:t>
      </w:r>
      <w:r w:rsidR="009E2A03" w:rsidRPr="0004558D">
        <w:rPr>
          <w:rFonts w:eastAsia="Times New Roman" w:cs="Times New Roman"/>
          <w:lang w:val="en-US"/>
        </w:rPr>
        <w:t>s</w:t>
      </w:r>
      <w:r w:rsidR="00705B0E" w:rsidRPr="0004558D">
        <w:rPr>
          <w:rFonts w:eastAsia="Times New Roman" w:cs="Times New Roman"/>
          <w:lang w:val="en-US"/>
        </w:rPr>
        <w:t>tudy</w:t>
      </w:r>
      <w:r w:rsidR="00705B0E" w:rsidRPr="0004558D">
        <w:rPr>
          <w:rFonts w:eastAsia="Times New Roman" w:cs="Times New Roman"/>
          <w:lang w:val="en-US"/>
        </w:rPr>
        <w:fldChar w:fldCharType="begin"/>
      </w:r>
      <w:r w:rsidR="007442BF">
        <w:rPr>
          <w:rFonts w:eastAsia="Times New Roman" w:cs="Times New Roman"/>
          <w:lang w:val="en-US"/>
        </w:rPr>
        <w:instrText xml:space="preserve"> ADDIN ZOTERO_ITEM CSL_CITATION {"citationID":"VkIXozus","properties":{"formattedCitation":"\\super 4,6\\uc0\\u8211{}9\\nosupersub{}","plainCitation":"4,6–9","noteIndex":0},"citationItems":[{"id":122212,"uris":["http://zotero.org/groups/2154524/items/ZNPDIW9B"],"itemData":{"id":122212,"type":"article-journal","container-title":"Lancet","page":"117–71","title":"Global, regional, and national age–sex specific all-cause and cause-specific mortality for 240 causes of death, 1990–2013: a systematic analysis for the Global Burden of Disease Study 2013","volume":"385","author":[{"literal":"GBD 2013 Mortality and Causes of Death Collaborators"}],"issued":{"date-parts":[["2014",12,18]]}},"label":"page"},{"id":122203,"uris":["http://zotero.org/groups/2154524/items/KKN8CQMU"],"itemData":{"id":122203,"type":"article-journal","abstract":"BACKGROUND: Improving survival and extending the longevity of life for all populations requires timely, robust evidence on local mortality levels and trends. The Global Burden of Disease 2015 Study (GBD 2015) provides a comprehensive assessment of all-cause and cause-specific mortality for 249 causes in 195 countries and territories from 1980 to 2015. These results informed an in-depth investigation of observed and expected mortality patterns based on sociodemographic measures.\nMETHODS: We estimated all-cause mortality by age, sex, geography, and year using an improved analytical approach originally developed for GBD 2013 and GBD 2010. Improvements included refinements to the estimation of child and adult mortality and corresponding uncertainty, parameter selection for under-5 mortality synthesis by spatiotemporal Gaussian process regression, and sibling history data processing. We also expanded the database of vital registration, survey, and census data to 14 294 geography-year datapoints. For GBD 2015, eight causes, including Ebola virus disease, were added to the previous GBD cause list for mortality. We used six modelling approaches to assess cause-specific mortality, with the Cause of Death Ensemble Model (CODEm) generating estimates for most causes. We used a series of novel analyses to systematically quantify the drivers of trends in mortality across geographies. First, we assessed observed and expected levels and trends of cause-specific mortality as they relate to the Socio-demographic Index (SDI), a summary indicator derived from measures of income per capita, educational attainment, and fertility. Second, we examined factors affecting total mortality patterns through a series of counterfactual scenarios, testing the magnitude by which population growth, population age structures, and epidemiological changes contributed to shifts in mortality. Finally, we attributed changes in life expectancy to changes in cause of death. We documented each step of the GBD 2015 estimation processes, as well as data sources, in accordance with Guidelines for Accurate and Transparent Health Estimates Reporting (GATHER).\nFINDINGS: Globally, life expectancy from birth increased from 61·7 years (95% uncertainty interval 61·4-61·9) in 1980 to 71·8 years (71·5-72·2) in 2015. Several countries in sub-Saharan Africa had very large gains in life expectancy from 2005 to 2015, rebounding from an era of exceedingly high loss of life due to HIV/AIDS. At the same time, many geographies saw life expectancy stagnate or decline, particularly for men and in countries with rising mortality from war or interpersonal violence. From 2005 to 2015, male life expectancy in Syria dropped by 11·3 years (3·7-17·4), to 62·6 years (56·5-70·2). Total deaths increased by 4·1% (2·6-5·6) from 2005 to 2015, rising to 55·8 million (54·9 million to 56·6 million) in 2015, but age-standardised death rates fell by 17·0% (15·8-18·1) during this time, underscoring changes in population growth and shifts in global age structures. The result was similar for non-communicable diseases (NCDs), with total deaths from these causes increasing by 14·1% (12·6-16·0) to 39·8 million (39·2 million to 40·5 million) in 2015, whereas age-standardised rates decreased by 13·1% (11·9-14·3). Globally, this mortality pattern emerged for several NCDs, including several types of cancer, ischaemic heart disease, cirrhosis, and Alzheimer's disease and other dementias. By contrast, both total deaths and age-standardised death rates due to communicable, maternal, neonatal, and nutritional conditions significantly declined from 2005 to 2015, gains largely attributable to decreases in mortality rates due to HIV/AIDS (42·1%, 39·1-44·6), malaria (43·1%, 34·7-51·8), neonatal preterm birth complications (29·8%, 24·8-34·9), and maternal disorders (29·1%, 19·3-37·1). Progress was slower for several causes, such as lower respiratory infections and nutritional deficiencies, whereas deaths increased for others, including dengue and drug use disorders. Age-standardised death rates due to injuries significantly declined from 2005 to 2015, yet interpersonal violence and war claimed increasingly more lives in some regions, particularly in the Middle East. In 2015, rotaviral enteritis (rotavirus) was the leading cause of under-5 deaths due to diarrhoea (146 000 deaths, 118 000-183 000) and pneumococcal pneumonia was the leading cause of under-5 deaths due to lower respiratory infections (393 000 deaths, 228 000-532 000), although pathogen-specific mortality varied by region. Globally, the effects of population growth, ageing, and changes in age-standardised death rates substantially differed by cause. Our analyses on the expected associations between cause-specific mortality and SDI show the regular shifts in cause of death composition and population age structure with rising SDI. Country patterns of premature mortality (measured as years of life lost [YLLs]) and how they differ from the level expected on the basis of SDI alone revealed distinct but highly heterogeneous patterns by region and country or territory. Ischaemic heart disease, stroke, and diabetes were among the leading causes of YLLs in most regions, but in many cases, intraregional results sharply diverged for ratios of observed and expected YLLs based on SDI. Communicable, maternal, neonatal, and nutritional diseases caused the most YLLs throughout sub-Saharan Africa, with observed YLLs far exceeding expected YLLs for countries in which malaria or HIV/AIDS remained the leading causes of early death.\nINTERPRETATION: At the global scale, age-specific mortality has steadily improved over the past 35 years; this pattern of general progress continued in the past decade. Progress has been faster in most countries than expected on the basis of development measured by the SDI. Against this background of progress, some countries have seen falls in life expectancy, and age-standardised death rates for some causes are increasing. Despite progress in reducing age-standardised death rates, population growth and ageing mean that the number of deaths from most non-communicable causes are increasing in most countries, putting increased demands on health systems.\nFUNDING: Bill &amp; Melinda Gates Foundation.","container-title":"Lancet","DOI":"10.1016/S0140-6736(16)31012-1","ISSN":"1474-547X","issue":"10053","journalAbbreviation":"Lancet","language":"eng","note":"PMID: 27733281\nPMCID: PMC5388903","page":"1459-1544","source":"PubMed","title":"Global, regional, and national life expectancy, all-cause mortality, and cause-specific mortality for 249 causes of death, 1980-2015: a systematic analysis for the Global Burden of Disease Study 2015","title-short":"Global, regional, and national life expectancy, all-cause mortality, and cause-specific mortality for 249 causes of death, 1980-2015","volume":"388","author":[{"literal":"GBD 2015 Mortality and Causes of Death Collaborators"}],"issued":{"date-parts":[["2016",10,8]]}},"label":"page"},{"id":122206,"uris":["http://zotero.org/groups/2154524/items/WF8HACKA"],"itemData":{"id":122206,"type":"article-journal","abstract":"BACKGROUND: Monitoring levels and trends in premature mortality is crucial to understanding how societies can address prominent sources of early death. The Global Burden of Disease 2016 Study (GBD 2016) provides a comprehensive assessment of cause-specific mortality for 264 causes in 195 locations from 1980 to 2016. This assessment includes evaluation of the expected epidemiological transition with changes in development and where local patterns deviate from these trends.\nMETHODS: We estimated cause-specific deaths and years of life lost (YLLs) by age, sex, geography, and year. YLLs were calculated from the sum of each death multiplied by the standard life expectancy at each age. We used the GBD cause of death database composed of: vital registration (VR) data corrected for under-registration and garbage coding; national and subnational verbal autopsy (VA) studies corrected for garbage coding; and other sources including surveys and surveillance systems for specific causes such as maternal mortality. To facilitate assessment of quality, we reported on the fraction of deaths assigned to GBD Level 1 or Level 2 causes that cannot be underlying causes of death (major garbage codes) by location and year. Based on completeness, garbage coding, cause list detail, and time periods covered, we provided an overall data quality rating for each location with scores ranging from 0 stars (worst) to 5 stars (best). We used robust statistical methods including the Cause of Death Ensemble model (CODEm) to generate estimates for each location, year, age, and sex. We assessed observed and expected levels and trends of cause-specific deaths in relation to the Socio-demographic Index (SDI), a summary indicator derived from measures of average income per capita, educational attainment, and total fertility, with locations grouped into quintiles by SDI. Relative to GBD 2015, we expanded the GBD cause hierarchy by 18 causes of death for GBD 2016.\nFINDINGS: The quality of available data varied by location. Data quality in 25 countries rated in the highest category (5 stars), while 48, 30, 21, and 44 countries were rated at each of the succeeding data quality levels. Vital registration or verbal autopsy data were not available in 27 countries, resulting in the assignment of a zero value for data quality. Deaths from non-communicable diseases (NCDs) represented 72·3% (95% uncertainty interval [UI] 71·2-73·2) of deaths in 2016 with 19·3% (18·5-20·4) of deaths in that year occurring from communicable, maternal, neonatal, and nutritional (CMNN) diseases and a further 8·43% (8·00-8·67) from injuries. Although age-standardised rates of death from NCDs decreased globally between 2006 and 2016, total numbers of these deaths increased; both numbers and age-standardised rates of death from CMNN causes decreased in the decade 2006-16-age-standardised rates of deaths from injuries decreased but total numbers varied little. In 2016, the three leading global causes of death in children under-5 were lower respiratory infections, neonatal preterm birth complications, and neonatal encephalopathy due to birth asphyxia and trauma, combined resulting in 1·80 million deaths (95% UI 1·59 million to 1·89 million). Between 1990 and 2016, a profound shift toward deaths at older ages occurred with a 178% (95% UI 176-181) increase in deaths in ages 90-94 years and a 210% (208-212) increase in deaths older than age 95 years. The ten leading causes by rates of age-standardised YLL significantly decreased from 2006 to 2016 (median annualised rate of change was a decrease of 2·89%); the median annualised rate of change for all other causes was lower (a decrease of 1·59%) during the same interval. Globally, the five leading causes of total YLLs in 2016 were cardiovascular diseases; diarrhoea, lower respiratory infections, and other common infectious diseases; neoplasms; neonatal disorders; and HIV/AIDS and tuberculosis. At a finer level of disaggregation within cause groupings, the ten leading causes of total YLLs in 2016 were ischaemic heart disease, cerebrovascular disease, lower respiratory infections, diarrhoeal diseases, road injuries, malaria, neonatal preterm birth complications, HIV/AIDS, chronic obstructive pulmonary disease, and neonatal encephalopathy due to birth asphyxia and trauma. Ischaemic heart disease was the leading cause of total YLLs in 113 countries for men and 97 countries for women. Comparisons of observed levels of YLLs by countries, relative to the level of YLLs expected on the basis of SDI alone, highlighted distinct regional patterns including the greater than expected level of YLLs from malaria and from HIV/AIDS across sub-Saharan Africa; diabetes mellitus, especially in Oceania; interpersonal violence, notably within Latin America and the Caribbean; and cardiomyopathy and myocarditis, particularly in eastern and central Europe. The level of YLLs from ischaemic heart disease was less than expected in 117 of 195 locations. Other leading causes of YLLs for which YLLs were notably lower than expected included neonatal preterm birth complications in many locations in both south Asia and southeast Asia, and cerebrovascular disease in western Europe.\nINTERPRETATION: The past 37 years have featured declining rates of communicable, maternal, neonatal, and nutritional diseases across all quintiles of SDI, with faster than expected gains for many locations relative to their SDI. A global shift towards deaths at older ages suggests success in reducing many causes of early death. YLLs have increased globally for causes such as diabetes mellitus or some neoplasms, and in some locations for causes such as drug use disorders, and conflict and terrorism. Increasing levels of YLLs might reflect outcomes from conditions that required high levels of care but for which effective treatments remain elusive, potentially increasing costs to health systems.\nFUNDING: Bill &amp; Melinda Gates Foundation.","container-title":"Lancet","DOI":"10.1016/S0140-6736(17)32152-9","ISSN":"1474-547X","issue":"10100","journalAbbreviation":"Lancet","language":"eng","note":"PMID: 28919116\nPMCID: PMC5605883","page":"1151-1210","source":"PubMed","title":"Global, regional, and national age-sex specific mortality for 264 causes of death, 1980-2016: a systematic analysis for the Global Burden of Disease Study 2016","title-short":"Global, regional, and national age-sex specific mortality for 264 causes of death, 1980-2016","volume":"390","author":[{"literal":"GBD 2016 Causes of Death Collaborators"}],"issued":{"date-parts":[["2017",9,16]]}},"label":"page"},{"id":122209,"uris":["http://zotero.org/groups/2154524/items/GTZJ53C7"],"itemData":{"id":122209,"type":"article-journal","abstract":"BACKGROUND: Global development goals increasingly rely on country-specific estimates for benchmarking a nation's progress. To meet this need, the Global Burden of Diseases, Injuries, and Risk Factors Study (GBD) 2016 estimated global, regional, national, and, for selected locations, subnational cause-specific mortality beginning in the year 1980. Here we report an update to that study, making use of newly available data and improved methods. GBD 2017 provides a comprehensive assessment of cause-specific mortality for 282 causes in 195 countries and territories from 1980 to 2017.\nMETHODS: The causes of death database is composed of vital registration (VR), verbal autopsy (VA), registry, survey, police, and surveillance data. GBD 2017 added ten VA studies, 127 country-years of VR data, 502 cancer-registry country-years, and an additional surveillance country-year. Expansions of the GBD cause of death hierarchy resulted in 18 additional causes estimated for GBD 2017. Newly available data led to subnational estimates for five additional countries-Ethiopia, Iran, New Zealand, Norway, and Russia. Deaths assigned International Classification of Diseases (ICD) codes for non-specific, implausible, or intermediate causes of death were reassigned to underlying causes by redistribution algorithms that were incorporated into uncertainty estimation. We used statistical modelling tools developed for GBD, including the Cause of Death Ensemble model (CODEm), to generate cause fractions and cause-specific death rates for each location, year, age, and sex. Instead of using UN estimates as in previous versions, GBD 2017 independently estimated population size and fertility rate for all locations. Years of life lost (YLLs) were then calculated as the sum of each death multiplied by the standard life expectancy at each age. All rates reported here are age-standardised.\nFINDINGS: At the broadest grouping of causes of death (Level 1), non-communicable diseases (NCDs) comprised the greatest fraction of deaths, contributing to 73·4% (95% uncertainty interval [UI] 72·5-74·1) of total deaths in 2017, while communicable, maternal, neonatal, and nutritional (CMNN) causes accounted for 18·6% (17·9-19·6), and injuries 8·0% (7·7-8·2). Total numbers of deaths from NCD causes increased from 2007 to 2017 by 22·7% (21·5-23·9), representing an additional 7·61 million (7·20-8·01) deaths estimated in 2017 versus 2007. The death rate from NCDs decreased globally by 7·9% (7·0-8·8). The number of deaths for CMNN causes decreased by 22·2% (20·0-24·0) and the death rate by 31·8% (30·1-33·3). Total deaths from injuries increased by 2·3% (0·5-4·0) between 2007 and 2017, and the death rate from injuries decreased by 13·7% (12·2-15·1) to 57·9 deaths (55·9-59·2) per 100 000 in 2017. Deaths from substance use disorders also increased, rising from 284 000 deaths (268 000-289 000) globally in 2007 to 352 000 (334 000-363 000) in 2017. Between 2007 and 2017, total deaths from conflict and terrorism increased by 118·0% (88·8-148·6). A greater reduction in total deaths and death rates was observed for some CMNN causes among children younger than 5 years than for older adults, such as a 36·4% (32·2-40·6) reduction in deaths from lower respiratory infections for children younger than 5 years compared with a 33·6% (31·2-36·1) increase in adults older than 70 years. Globally, the number of deaths was greater for men than for women at most ages in 2017, except at ages older than 85 years. Trends in global YLLs reflect an epidemiological transition, with decreases in total YLLs from enteric infections, respiratory infections and tuberculosis, and maternal and neonatal disorders between 1990 and 2017; these were generally greater in magnitude at the lowest levels of the Socio-demographic Index (SDI). At the same time, there were large increases in YLLs from neoplasms and cardiovascular diseases. YLL rates decreased across the five leading Level 2 causes in all SDI quintiles. The leading causes of YLLs in 1990-neonatal disorders, lower respiratory infections, and diarrhoeal diseases-were ranked second, fourth, and fifth, in 2017. Meanwhile, estimated YLLs increased for ischaemic heart disease (ranked first in 2017) and stroke (ranked third), even though YLL rates decreased. Population growth contributed to increased total deaths across the 20 leading Level 2 causes of mortality between 2007 and 2017. Decreases in the cause-specific mortality rate reduced the effect of population growth for all but three causes: substance use disorders, neurological disorders, and skin and subcutaneous diseases.\nINTERPRETATION: Improvements in global health have been unevenly distributed among populations. Deaths due to injuries, substance use disorders, armed conflict and terrorism, neoplasms, and cardiovascular disease are expanding threats to global health. For causes of death such as lower respiratory and enteric infections, more rapid progress occurred for children than for the oldest adults, and there is continuing disparity in mortality rates by sex across age groups. Reductions in the death rate of some common diseases are themselves slowing or have ceased, primarily for NCDs, and the death rate for selected causes has increased in the past decade.\nFUNDING: Bill &amp; Melinda Gates Foundation.","container-title":"Lancet","DOI":"10.1016/S0140-6736(18)32203-7","ISSN":"1474-547X","issue":"10159","journalAbbreviation":"Lancet","language":"eng","note":"PMID: 30496103\nPMCID: PMC6227606","page":"1736-1788","source":"PubMed","title":"Global, regional, and national age-sex-specific mortality for 282 causes of death in 195 countries and territories, 1980-2017: a systematic analysis for the Global Burden of Disease Study 2017","title-short":"Global, regional, and national age-sex-specific mortality for 282 causes of death in 195 countries and territories, 1980-2017","volume":"392","author":[{"literal":"GBD 2017 Causes of Death Collaborators"}],"issued":{"date-parts":[["2018",11,10]]}},"label":"page"},{"id":122058,"uris":["http://zotero.org/groups/2154524/items/YY37YSNX"],"itemData":{"id":122058,"type":"article-journal","container-title":"Lancet","DOI":"https://doi.org/10.1016/S0140-6736(20)30925-9","issue":"10258","journalAbbreviation":"Lancet","page":"1204-22","title":"Global burden of 369 diseases and injuries in 204 countries and territories, 1990–2019: a systematic analysis for the Global Burden of Disease Study 2019","volume":"396","author":[{"literal":"GBD 2019 Diseases and Injuries Collaborators"}],"issued":{"date-parts":[["2020"]]}},"label":"page"}],"schema":"https://github.com/citation-style-language/schema/raw/master/csl-citation.json"} </w:instrText>
      </w:r>
      <w:r w:rsidR="00705B0E" w:rsidRPr="0004558D">
        <w:rPr>
          <w:rFonts w:eastAsia="Times New Roman" w:cs="Times New Roman"/>
          <w:lang w:val="en-US"/>
        </w:rPr>
        <w:fldChar w:fldCharType="separate"/>
      </w:r>
      <w:r w:rsidR="007442BF" w:rsidRPr="007442BF">
        <w:rPr>
          <w:rFonts w:cs="Times New Roman"/>
          <w:szCs w:val="24"/>
          <w:vertAlign w:val="superscript"/>
        </w:rPr>
        <w:t>4,6–9</w:t>
      </w:r>
      <w:r w:rsidR="00705B0E" w:rsidRPr="0004558D">
        <w:rPr>
          <w:rFonts w:eastAsia="Times New Roman" w:cs="Times New Roman"/>
          <w:lang w:val="en-US"/>
        </w:rPr>
        <w:fldChar w:fldCharType="end"/>
      </w:r>
      <w:r w:rsidRPr="0004558D">
        <w:rPr>
          <w:rFonts w:eastAsia="Times New Roman" w:cs="Times New Roman"/>
          <w:lang w:val="en-US"/>
        </w:rPr>
        <w:t xml:space="preserve"> and concurrently as part of the peer review process for GBD 2021. Here we provide an overview of the methods with an emphasis on the main methodology changes since GBD 2019;</w:t>
      </w:r>
      <w:r w:rsidR="00906797">
        <w:rPr>
          <w:rFonts w:eastAsia="Times New Roman" w:cs="Times New Roman"/>
          <w:lang w:val="en-US"/>
        </w:rPr>
        <w:t xml:space="preserve"> </w:t>
      </w:r>
      <w:r w:rsidRPr="0004558D">
        <w:rPr>
          <w:rFonts w:eastAsia="Times New Roman" w:cs="Times New Roman"/>
          <w:lang w:val="en-US"/>
        </w:rPr>
        <w:t xml:space="preserve">a comprehensive description of the analytical methods for GBD 2021 is provided in </w:t>
      </w:r>
      <w:r w:rsidR="009851FA" w:rsidRPr="0004558D">
        <w:rPr>
          <w:rFonts w:eastAsia="Times New Roman" w:cs="Times New Roman"/>
          <w:lang w:val="en-US"/>
        </w:rPr>
        <w:t>a</w:t>
      </w:r>
      <w:r w:rsidRPr="0004558D">
        <w:rPr>
          <w:rFonts w:eastAsia="Times New Roman" w:cs="Times New Roman"/>
          <w:lang w:val="en-US"/>
        </w:rPr>
        <w:t xml:space="preserve">ppendix </w:t>
      </w:r>
      <w:r w:rsidR="00566B82" w:rsidRPr="0004558D">
        <w:rPr>
          <w:rFonts w:eastAsia="Times New Roman" w:cs="Times New Roman"/>
          <w:lang w:val="en-US"/>
        </w:rPr>
        <w:t>1</w:t>
      </w:r>
      <w:r w:rsidR="00322FF2">
        <w:rPr>
          <w:rFonts w:cs="Times New Roman"/>
        </w:rPr>
        <w:t>.</w:t>
      </w:r>
    </w:p>
    <w:p w14:paraId="0EABA7A0" w14:textId="2C987554" w:rsidR="001436A2" w:rsidRPr="001436A2" w:rsidRDefault="00E36E75" w:rsidP="001436A2">
      <w:pPr>
        <w:spacing w:line="360" w:lineRule="auto"/>
        <w:rPr>
          <w:rFonts w:cs="Times New Roman"/>
        </w:rPr>
      </w:pPr>
      <w:r w:rsidRPr="001436A2">
        <w:rPr>
          <w:rFonts w:cs="Times New Roman"/>
          <w:shd w:val="clear" w:color="auto" w:fill="FFFFFF"/>
        </w:rPr>
        <w:t>The GBD 202</w:t>
      </w:r>
      <w:r w:rsidR="008B7245" w:rsidRPr="001436A2">
        <w:rPr>
          <w:rFonts w:cs="Times New Roman"/>
          <w:shd w:val="clear" w:color="auto" w:fill="FFFFFF"/>
        </w:rPr>
        <w:t>1</w:t>
      </w:r>
      <w:r w:rsidRPr="001436A2">
        <w:rPr>
          <w:rFonts w:cs="Times New Roman"/>
          <w:shd w:val="clear" w:color="auto" w:fill="FFFFFF"/>
        </w:rPr>
        <w:t xml:space="preserve"> cause of death estimates described here include cause-specific mortality and premature death (YLL) metrics.</w:t>
      </w:r>
      <w:r w:rsidR="008D48AB" w:rsidRPr="00143184">
        <w:rPr>
          <w:rFonts w:cs="Times New Roman"/>
        </w:rPr>
        <w:t xml:space="preserve"> </w:t>
      </w:r>
      <w:r w:rsidR="00607035" w:rsidRPr="001436A2">
        <w:rPr>
          <w:rFonts w:cs="Times New Roman"/>
          <w:shd w:val="clear" w:color="auto" w:fill="FFFFFF"/>
        </w:rPr>
        <w:t xml:space="preserve">YLLs were calculated as the number of deaths for each cause-age-sex-location-year multiplied by the standard life expectancy at each age. </w:t>
      </w:r>
      <w:r w:rsidR="005C7EFC" w:rsidRPr="00143184">
        <w:rPr>
          <w:rFonts w:cs="Times New Roman"/>
        </w:rPr>
        <w:t>Standard life expectancy is calculated from lowest age specific mortality rate between countries.</w:t>
      </w:r>
      <w:r w:rsidR="00424CC1" w:rsidRPr="00143184">
        <w:rPr>
          <w:rFonts w:cs="Times New Roman"/>
        </w:rPr>
        <w:fldChar w:fldCharType="begin"/>
      </w:r>
      <w:r w:rsidR="00424CC1" w:rsidRPr="00143184">
        <w:rPr>
          <w:rFonts w:cs="Times New Roman"/>
        </w:rPr>
        <w:instrText xml:space="preserve"> ADDIN ZOTERO_ITEM CSL_CITATION {"citationID":"WBwwWCpO","properties":{"formattedCitation":"\\super 10\\nosupersub{}","plainCitation":"10","noteIndex":0},"citationItems":[{"id":126526,"uris":["http://zotero.org/groups/2154524/items/CVUR4VAE"],"itemData":{"id":126526,"type":"article-journal","abstract":"BACKGROUND: Accurate and up-to-date assessment of demographic metrics is crucial for understanding a wide range of social, economic, and public health issues that affect populations worldwide. The Global Burden of Diseases, Injuries, and Risk Factors Study (GBD) 2019 produced updated and comprehensive demographic assessments of the key indicators of fertility, mortality, migration, and population for 204 countries and territories and selected subnational locations from 1950 to 2019.\nMETHODS: 8078 country-years of vital registration and sample registration data, 938 surveys, 349 censuses, and 238 other sources were identified and used to estimate age-specific fertility. Spatiotemporal Gaussian process regression (ST-GPR) was used to generate age-specific fertility rates for 5-year age groups between ages 15 and 49 years. With extensions to age groups 10-14 and 50-54 years, the total fertility rate (TFR) was then aggregated using the estimated age-specific fertility between ages 10 and 54 years. 7417 sources were used for under-5 mortality estimation and 7355 for adult mortality. ST-GPR was used to synthesise data sources after correction for known biases. Adult mortality was measured as the probability of death between ages 15 and 60 years based on vital registration, sample registration, and sibling histories, and was also estimated using ST-GPR. HIV-free life tables were then estimated using estimates of under-5 and adult mortality rates using a relational model life table system created for GBD, which closely tracks observed age-specific mortality rates from complete vital registration when available. Independent estimates of HIV-specific mortality generated by an epidemiological analysis of HIV prevalence surveys and antenatal clinic serosurveillance and other sources were incorporated into the estimates in countries with large epidemics. Annual and single-year age estimates of net migration and population for each country and territory were generated using a Bayesian hierarchical cohort component model that analysed estimated age-specific fertility and mortality rates along with 1250 censuses and 747 population registry years. We classified location-years into seven categories on the basis of the natural rate of increase in population (calculated by subtracting the crude death rate from the crude birth rate) and the net migration rate. We computed healthy life expectancy (HALE) using years lived with disability (YLDs) per capita, life tables, and standard demographic methods. Uncertainty was propagated throughout the demographic estimation process, including fertility, mortality, and population, with 1000 draw-level estimates produced for each metric.\nFINDINGS: The global TFR decreased from 2·72 (95% uncertainty interval [UI] 2·66-2·79) in 2000 to 2·31 (2·17-2·46) in 2019. Global annual livebirths increased from 134·5 million (131·5-137·8) in 2000 to a peak of 139·6 million (133·0-146·9) in 2016. Global livebirths then declined to 135·3 million (127·2-144·1) in 2019. Of the 204 countries and territories included in this study, in 2019, 102 had a TFR lower than 2·1, which is considered a good approximation of replacement-level fertility. All countries in sub-Saharan Africa had TFRs above replacement level in 2019 and accounted for 27·1% (95% UI 26·4-27·8) of global livebirths. Global life expectancy at birth increased from 67·2 years (95% UI 66·8-67·6) in 2000 to 73·5 years (72·8-74·3) in 2019. The total number of deaths increased from 50·7 million (49·5-51·9) in 2000 to 56·5 million (53·7-59·2) in 2019. Under-5 deaths declined from 9·6 million (9·1-10·3) in 2000 to 5·0 million (4·3-6·0) in 2019. Global population increased by 25·7%, from 6·2 billion (6·0-6·3) in 2000 to 7·7 billion (7·5-8·0) in 2019. In 2019, 34 countries had negative natural rates of increase; in 17 of these, the population declined because immigration was not sufficient to counteract the negative rate of decline. Globally, HALE increased from 58·6 years (56·1-60·8) in 2000 to 63·5 years (60·8-66·1) in 2019. HALE increased in 202 of 204 countries and territories between 2000 and 2019.\nINTERPRETATION: Over the past 20 years, fertility rates have been dropping steadily and life expectancy has been increasing, with few exceptions. Much of this change follows historical patterns linking social and economic determinants, such as those captured by the GBD Socio-demographic Index, with demographic outcomes. More recently, several countries have experienced a combination of low fertility and stagnating improvement in mortality rates, pushing more populations into the late stages of the demographic transition. Tracking demographic change and the emergence of new patterns will be essential for global health monitoring.\nFUNDING: Bill &amp; Melinda Gates Foundation.","container-title":"Lancet","DOI":"10.1016/S0140-6736(20)30977-6","ISSN":"1474-547X","issue":"10258","journalAbbreviation":"Lancet","language":"eng","note":"PMID: 33069325\nPMCID: PMC7566045","page":"1160-1203","source":"PubMed","title":"Global age-sex-specific fertility, mortality, healthy life expectancy (HALE), and population estimates in 204 countries and territories, 1950-2019: a comprehensive demographic analysis for the Global Burden of Disease Study 2019","title-short":"Global age-sex-specific fertility, mortality, healthy life expectancy (HALE), and population estimates in 204 countries and territories, 1950-2019","volume":"396","author":[{"literal":"GBD 2019 Demographics Collaborators"}],"issued":{"date-parts":[["2020",10,17]]}}}],"schema":"https://github.com/citation-style-language/schema/raw/master/csl-citation.json"} </w:instrText>
      </w:r>
      <w:r w:rsidR="00424CC1" w:rsidRPr="00143184">
        <w:rPr>
          <w:rFonts w:cs="Times New Roman"/>
        </w:rPr>
        <w:fldChar w:fldCharType="separate"/>
      </w:r>
      <w:r w:rsidR="00424CC1" w:rsidRPr="00143184">
        <w:rPr>
          <w:rFonts w:cs="Times New Roman"/>
          <w:szCs w:val="24"/>
          <w:vertAlign w:val="superscript"/>
        </w:rPr>
        <w:t>10</w:t>
      </w:r>
      <w:r w:rsidR="00424CC1" w:rsidRPr="00143184">
        <w:rPr>
          <w:rFonts w:cs="Times New Roman"/>
        </w:rPr>
        <w:fldChar w:fldCharType="end"/>
      </w:r>
      <w:r w:rsidR="008D48AB" w:rsidRPr="001436A2">
        <w:rPr>
          <w:rFonts w:cs="Times New Roman"/>
          <w:shd w:val="clear" w:color="auto" w:fill="FFFFFF"/>
        </w:rPr>
        <w:t xml:space="preserve"> </w:t>
      </w:r>
      <w:r w:rsidRPr="001436A2">
        <w:rPr>
          <w:rFonts w:cs="Times New Roman"/>
          <w:shd w:val="clear" w:color="auto" w:fill="FFFFFF"/>
        </w:rPr>
        <w:t xml:space="preserve">In brief, cause-specific </w:t>
      </w:r>
      <w:r w:rsidR="004A0C80" w:rsidRPr="001436A2">
        <w:rPr>
          <w:rFonts w:cs="Times New Roman"/>
          <w:shd w:val="clear" w:color="auto" w:fill="FFFFFF"/>
        </w:rPr>
        <w:t xml:space="preserve">death rates </w:t>
      </w:r>
      <w:r w:rsidR="009079E4" w:rsidRPr="001436A2">
        <w:rPr>
          <w:rFonts w:cs="Times New Roman"/>
          <w:shd w:val="clear" w:color="auto" w:fill="FFFFFF"/>
        </w:rPr>
        <w:t xml:space="preserve">for most causes </w:t>
      </w:r>
      <w:r w:rsidRPr="001436A2">
        <w:rPr>
          <w:rFonts w:cs="Times New Roman"/>
          <w:shd w:val="clear" w:color="auto" w:fill="FFFFFF"/>
        </w:rPr>
        <w:t>w</w:t>
      </w:r>
      <w:r w:rsidR="004A0C80" w:rsidRPr="001436A2">
        <w:rPr>
          <w:rFonts w:cs="Times New Roman"/>
          <w:shd w:val="clear" w:color="auto" w:fill="FFFFFF"/>
        </w:rPr>
        <w:t>ere</w:t>
      </w:r>
      <w:r w:rsidRPr="001436A2">
        <w:rPr>
          <w:rFonts w:cs="Times New Roman"/>
          <w:shd w:val="clear" w:color="auto" w:fill="FFFFFF"/>
        </w:rPr>
        <w:t xml:space="preserve"> estimated </w:t>
      </w:r>
      <w:r w:rsidR="004A0C80" w:rsidRPr="001436A2">
        <w:rPr>
          <w:rFonts w:cs="Times New Roman"/>
          <w:shd w:val="clear" w:color="auto" w:fill="FFFFFF"/>
        </w:rPr>
        <w:t xml:space="preserve">using the </w:t>
      </w:r>
      <w:r w:rsidR="009079E4" w:rsidRPr="001436A2">
        <w:rPr>
          <w:rFonts w:cs="Times New Roman"/>
          <w:shd w:val="clear" w:color="auto" w:fill="FFFFFF"/>
        </w:rPr>
        <w:t>Cause of Death Ensemble model</w:t>
      </w:r>
      <w:r w:rsidR="004A0C80" w:rsidRPr="001436A2">
        <w:rPr>
          <w:rFonts w:cs="Times New Roman"/>
          <w:shd w:val="clear" w:color="auto" w:fill="FFFFFF"/>
        </w:rPr>
        <w:t xml:space="preserve"> (CODEm)</w:t>
      </w:r>
      <w:r w:rsidR="009079E4" w:rsidRPr="001436A2">
        <w:rPr>
          <w:rFonts w:cs="Times New Roman"/>
          <w:shd w:val="clear" w:color="auto" w:fill="FFFFFF"/>
        </w:rPr>
        <w:t>, while alternative strategies were used to model causes with very limited data, substantial changes in reporting over the study period, or unusual epidemiology</w:t>
      </w:r>
      <w:r w:rsidR="00464EE5">
        <w:rPr>
          <w:rFonts w:cs="Times New Roman"/>
          <w:shd w:val="clear" w:color="auto" w:fill="FFFFFF"/>
        </w:rPr>
        <w:t>.</w:t>
      </w:r>
      <w:r w:rsidR="0001013C">
        <w:rPr>
          <w:rFonts w:cs="Times New Roman"/>
          <w:shd w:val="clear" w:color="auto" w:fill="FFFFFF"/>
        </w:rPr>
        <w:t xml:space="preserve"> </w:t>
      </w:r>
      <w:r w:rsidR="00464EE5">
        <w:rPr>
          <w:rFonts w:cs="Times New Roman"/>
          <w:shd w:val="clear" w:color="auto" w:fill="FFFFFF"/>
        </w:rPr>
        <w:t>T</w:t>
      </w:r>
      <w:r w:rsidR="0001013C">
        <w:rPr>
          <w:rFonts w:cs="Times New Roman"/>
          <w:shd w:val="clear" w:color="auto" w:fill="FFFFFF"/>
        </w:rPr>
        <w:t>he modelling strategy used for all causes of death can be found in appendix table 10</w:t>
      </w:r>
      <w:r w:rsidRPr="001436A2">
        <w:rPr>
          <w:rFonts w:cs="Times New Roman"/>
          <w:shd w:val="clear" w:color="auto" w:fill="FFFFFF"/>
        </w:rPr>
        <w:t>.</w:t>
      </w:r>
      <w:r w:rsidRPr="001436A2" w:rsidDel="00E36E75">
        <w:rPr>
          <w:rFonts w:cs="Times New Roman"/>
          <w:shd w:val="clear" w:color="auto" w:fill="FFFFFF"/>
        </w:rPr>
        <w:t xml:space="preserve"> </w:t>
      </w:r>
      <w:r w:rsidR="2BC259C6" w:rsidRPr="001436A2">
        <w:rPr>
          <w:rFonts w:cs="Times New Roman"/>
          <w:shd w:val="clear" w:color="auto" w:fill="FFFFFF"/>
        </w:rPr>
        <w:t xml:space="preserve">CODEm is a modelling tool developed specifically for GBD that </w:t>
      </w:r>
      <w:r w:rsidR="0FB0F794" w:rsidRPr="001436A2">
        <w:rPr>
          <w:rFonts w:cs="Times New Roman"/>
          <w:shd w:val="clear" w:color="auto" w:fill="FFFFFF"/>
        </w:rPr>
        <w:t>evaluates the out-of-sample predictive validity of different statistical models and covariate permutations and then combines the results from those eva</w:t>
      </w:r>
      <w:r w:rsidR="54384107" w:rsidRPr="001436A2">
        <w:rPr>
          <w:rFonts w:cs="Times New Roman"/>
          <w:shd w:val="clear" w:color="auto" w:fill="FFFFFF"/>
        </w:rPr>
        <w:t>luations to produce cause-specific fatal burden estimates.</w:t>
      </w:r>
      <w:r w:rsidR="00345B14" w:rsidRPr="001436A2">
        <w:rPr>
          <w:rFonts w:cs="Times New Roman"/>
        </w:rPr>
        <w:t xml:space="preserve"> </w:t>
      </w:r>
      <w:r w:rsidR="001436A2" w:rsidRPr="001436A2">
        <w:rPr>
          <w:rFonts w:cs="Times New Roman"/>
        </w:rPr>
        <w:t xml:space="preserve">Methodological improvements for </w:t>
      </w:r>
      <w:r w:rsidR="001436A2" w:rsidRPr="001436A2">
        <w:rPr>
          <w:rFonts w:cs="Times New Roman"/>
        </w:rPr>
        <w:lastRenderedPageBreak/>
        <w:t>cause of death estimates in the current round of estimation focused on several key areas. First, causes of death data were updated to retain age detail for the following under</w:t>
      </w:r>
      <w:r w:rsidR="00E82A27">
        <w:rPr>
          <w:rFonts w:cs="Times New Roman"/>
        </w:rPr>
        <w:t>-</w:t>
      </w:r>
      <w:r w:rsidR="001436A2" w:rsidRPr="001436A2">
        <w:rPr>
          <w:rFonts w:cs="Times New Roman"/>
        </w:rPr>
        <w:t>5 age groups: 1</w:t>
      </w:r>
      <w:r w:rsidR="00E82A27">
        <w:t>–</w:t>
      </w:r>
      <w:r w:rsidR="001436A2" w:rsidRPr="001436A2">
        <w:rPr>
          <w:rFonts w:cs="Times New Roman"/>
        </w:rPr>
        <w:t>5 months, 6</w:t>
      </w:r>
      <w:r w:rsidR="00E82A27">
        <w:t>–</w:t>
      </w:r>
      <w:r w:rsidR="001436A2" w:rsidRPr="001436A2">
        <w:rPr>
          <w:rFonts w:cs="Times New Roman"/>
        </w:rPr>
        <w:t>11 months, 12</w:t>
      </w:r>
      <w:r w:rsidR="00E82A27">
        <w:t>–</w:t>
      </w:r>
      <w:r w:rsidR="001436A2" w:rsidRPr="001436A2">
        <w:rPr>
          <w:rFonts w:cs="Times New Roman"/>
        </w:rPr>
        <w:t>23 months, and 2</w:t>
      </w:r>
      <w:r w:rsidR="00E82A27">
        <w:t>–</w:t>
      </w:r>
      <w:r w:rsidR="001436A2" w:rsidRPr="001436A2">
        <w:rPr>
          <w:rFonts w:cs="Times New Roman"/>
        </w:rPr>
        <w:t xml:space="preserve">4 years. Second, enhanced methods were implemented to account for stochastic variation in causes of death data and improve the estimation of </w:t>
      </w:r>
      <w:r w:rsidR="00E224D1">
        <w:rPr>
          <w:rFonts w:cs="Times New Roman"/>
        </w:rPr>
        <w:t>small</w:t>
      </w:r>
      <w:r w:rsidR="001436A2" w:rsidRPr="001436A2">
        <w:rPr>
          <w:rFonts w:cs="Times New Roman"/>
        </w:rPr>
        <w:t xml:space="preserve"> cause fractions. Third, we added </w:t>
      </w:r>
      <w:r w:rsidR="2A8345A0" w:rsidRPr="12BF32BF">
        <w:rPr>
          <w:rFonts w:cs="Times New Roman"/>
        </w:rPr>
        <w:t>19</w:t>
      </w:r>
      <w:r w:rsidR="10E79C5D" w:rsidRPr="001436A2">
        <w:rPr>
          <w:rFonts w:cs="Times New Roman"/>
        </w:rPr>
        <w:t>9</w:t>
      </w:r>
      <w:r w:rsidR="001436A2" w:rsidRPr="001436A2">
        <w:rPr>
          <w:rFonts w:cs="Times New Roman"/>
        </w:rPr>
        <w:t xml:space="preserve"> new </w:t>
      </w:r>
      <w:r w:rsidR="5550B62B" w:rsidRPr="12BF32BF">
        <w:rPr>
          <w:rFonts w:cs="Times New Roman"/>
        </w:rPr>
        <w:t>country</w:t>
      </w:r>
      <w:r w:rsidR="00E82A27" w:rsidRPr="12BF32BF">
        <w:rPr>
          <w:rFonts w:cs="Times New Roman"/>
        </w:rPr>
        <w:t>-</w:t>
      </w:r>
      <w:r w:rsidR="001436A2" w:rsidRPr="001436A2">
        <w:rPr>
          <w:rFonts w:cs="Times New Roman"/>
        </w:rPr>
        <w:t xml:space="preserve">years of vital registration cause of death data, </w:t>
      </w:r>
      <w:r w:rsidR="213B8C35" w:rsidRPr="12BF32BF">
        <w:rPr>
          <w:rFonts w:cs="Times New Roman"/>
        </w:rPr>
        <w:t>5</w:t>
      </w:r>
      <w:r w:rsidR="001436A2" w:rsidRPr="001436A2">
        <w:rPr>
          <w:rFonts w:cs="Times New Roman"/>
        </w:rPr>
        <w:t xml:space="preserve"> </w:t>
      </w:r>
      <w:r w:rsidR="479147ED" w:rsidRPr="12BF32BF">
        <w:rPr>
          <w:rFonts w:cs="Times New Roman"/>
        </w:rPr>
        <w:t>country</w:t>
      </w:r>
      <w:r w:rsidR="00E82A27" w:rsidRPr="12BF32BF">
        <w:rPr>
          <w:rFonts w:cs="Times New Roman"/>
        </w:rPr>
        <w:t>-</w:t>
      </w:r>
      <w:r w:rsidR="001436A2" w:rsidRPr="001436A2">
        <w:rPr>
          <w:rFonts w:cs="Times New Roman"/>
        </w:rPr>
        <w:t xml:space="preserve">years of surveillance data, </w:t>
      </w:r>
      <w:r w:rsidR="001436A2" w:rsidRPr="004B6789">
        <w:rPr>
          <w:rFonts w:cs="Times New Roman"/>
        </w:rPr>
        <w:t>21</w:t>
      </w:r>
      <w:r w:rsidR="001436A2" w:rsidRPr="001436A2">
        <w:rPr>
          <w:rFonts w:cs="Times New Roman"/>
        </w:rPr>
        <w:t xml:space="preserve"> </w:t>
      </w:r>
      <w:r w:rsidR="1E41D16F" w:rsidRPr="12BF32BF">
        <w:rPr>
          <w:rFonts w:cs="Times New Roman"/>
        </w:rPr>
        <w:t>country</w:t>
      </w:r>
      <w:r w:rsidR="00E82A27" w:rsidRPr="12BF32BF">
        <w:rPr>
          <w:rFonts w:cs="Times New Roman"/>
        </w:rPr>
        <w:t>-</w:t>
      </w:r>
      <w:r w:rsidR="001436A2" w:rsidRPr="001436A2">
        <w:rPr>
          <w:rFonts w:cs="Times New Roman"/>
        </w:rPr>
        <w:t xml:space="preserve">years of verbal autopsy data, and </w:t>
      </w:r>
      <w:r w:rsidR="79D26165" w:rsidRPr="12BF32BF">
        <w:rPr>
          <w:rFonts w:cs="Times New Roman"/>
        </w:rPr>
        <w:t>94</w:t>
      </w:r>
      <w:r w:rsidR="001436A2" w:rsidRPr="001436A2">
        <w:rPr>
          <w:rFonts w:cs="Times New Roman"/>
        </w:rPr>
        <w:t xml:space="preserve"> </w:t>
      </w:r>
      <w:r w:rsidR="7D0A7023" w:rsidRPr="12BF32BF">
        <w:rPr>
          <w:rFonts w:cs="Times New Roman"/>
        </w:rPr>
        <w:t>country</w:t>
      </w:r>
      <w:r w:rsidR="00E82A27" w:rsidRPr="12BF32BF">
        <w:rPr>
          <w:rFonts w:cs="Times New Roman"/>
        </w:rPr>
        <w:t>-</w:t>
      </w:r>
      <w:r w:rsidR="001436A2" w:rsidRPr="001436A2">
        <w:rPr>
          <w:rFonts w:cs="Times New Roman"/>
        </w:rPr>
        <w:t xml:space="preserve">years of other data types. Lastly, we incorporated COVID-19 and other pandemic-related mortality (OPRM)—which includes excess mortality associated with the </w:t>
      </w:r>
      <w:r w:rsidR="00782FA6">
        <w:rPr>
          <w:rFonts w:cs="Times New Roman"/>
        </w:rPr>
        <w:t xml:space="preserve">COVID-19 </w:t>
      </w:r>
      <w:r w:rsidR="001436A2" w:rsidRPr="001436A2">
        <w:rPr>
          <w:rFonts w:cs="Times New Roman"/>
        </w:rPr>
        <w:t>pandemic, excluding COVID-19, lower respiratory infections, measles, malaria, and pertussis causes.</w:t>
      </w:r>
    </w:p>
    <w:p w14:paraId="7C55A062" w14:textId="681CDA61" w:rsidR="00807F95" w:rsidRPr="007E58CB" w:rsidRDefault="00D07246" w:rsidP="00610382">
      <w:pPr>
        <w:pStyle w:val="Heading3"/>
        <w:spacing w:line="360" w:lineRule="auto"/>
      </w:pPr>
      <w:r>
        <w:t xml:space="preserve">The </w:t>
      </w:r>
      <w:r w:rsidR="002A18BC">
        <w:t xml:space="preserve">GBD </w:t>
      </w:r>
      <w:r w:rsidR="00ED48A3">
        <w:t>disease and injury hierarchy</w:t>
      </w:r>
    </w:p>
    <w:p w14:paraId="49A1C18C" w14:textId="30D6CB17" w:rsidR="00C61C3B" w:rsidRDefault="00822B8D" w:rsidP="00610382">
      <w:pPr>
        <w:spacing w:line="360" w:lineRule="auto"/>
        <w:rPr>
          <w:rFonts w:cs="Times New Roman"/>
        </w:rPr>
      </w:pPr>
      <w:r>
        <w:t>GBD classifies</w:t>
      </w:r>
      <w:r w:rsidR="00ED48A3">
        <w:t xml:space="preserve"> diseases and injuries</w:t>
      </w:r>
      <w:r>
        <w:t xml:space="preserve"> into a hierarchy with four levels</w:t>
      </w:r>
      <w:r w:rsidR="000C37C8">
        <w:t xml:space="preserve"> that include both fatal and non</w:t>
      </w:r>
      <w:r w:rsidR="00E82A27">
        <w:t>-</w:t>
      </w:r>
      <w:r w:rsidR="000C37C8">
        <w:t>fatal causes</w:t>
      </w:r>
      <w:r>
        <w:t xml:space="preserve">. </w:t>
      </w:r>
      <w:r w:rsidR="00466E5B">
        <w:t xml:space="preserve">Level 1 </w:t>
      </w:r>
      <w:r w:rsidR="00ED48A3">
        <w:t>causes</w:t>
      </w:r>
      <w:r w:rsidR="00466E5B">
        <w:t xml:space="preserve"> include three broad aggregate categories (</w:t>
      </w:r>
      <w:r w:rsidR="00ED48A3">
        <w:t>communicable, maternal, neonatal, and nutritional diseases; non-communicable diseases; and injuries); Level 2</w:t>
      </w:r>
      <w:r w:rsidR="00466E5B">
        <w:t xml:space="preserve"> </w:t>
      </w:r>
      <w:r w:rsidR="0060607D">
        <w:t>disaggregates</w:t>
      </w:r>
      <w:r w:rsidR="00A469CA">
        <w:t xml:space="preserve"> those categories into </w:t>
      </w:r>
      <w:r w:rsidR="00466E5B" w:rsidRPr="00411C20">
        <w:t>2</w:t>
      </w:r>
      <w:r w:rsidR="00ED48A3" w:rsidRPr="00411C20">
        <w:t>2</w:t>
      </w:r>
      <w:r w:rsidR="00466E5B">
        <w:t xml:space="preserve"> </w:t>
      </w:r>
      <w:r w:rsidR="00ED48A3">
        <w:t>clusters of causes</w:t>
      </w:r>
      <w:r w:rsidR="00207378">
        <w:t xml:space="preserve"> which are further disaggregated into</w:t>
      </w:r>
      <w:r w:rsidR="00466E5B">
        <w:t xml:space="preserve"> Level 3</w:t>
      </w:r>
      <w:r w:rsidR="007940D5">
        <w:t xml:space="preserve"> and Level 4 causes. At the most detailed level, </w:t>
      </w:r>
      <w:r w:rsidR="00ED48A3" w:rsidRPr="00411C20">
        <w:t>28</w:t>
      </w:r>
      <w:r w:rsidR="00310BEA" w:rsidRPr="00411C20">
        <w:t>8</w:t>
      </w:r>
      <w:r w:rsidR="00ED48A3">
        <w:t xml:space="preserve"> fatal</w:t>
      </w:r>
      <w:r w:rsidR="007940D5">
        <w:t xml:space="preserve"> causes are estimated</w:t>
      </w:r>
      <w:r w:rsidR="00466E5B">
        <w:t xml:space="preserve">. For a full list of </w:t>
      </w:r>
      <w:r w:rsidR="00ED48A3">
        <w:t>causes</w:t>
      </w:r>
      <w:r w:rsidR="000C37C8">
        <w:t xml:space="preserve"> of death</w:t>
      </w:r>
      <w:r w:rsidR="00466E5B">
        <w:t xml:space="preserve"> by </w:t>
      </w:r>
      <w:r w:rsidR="00E82A27">
        <w:t>level</w:t>
      </w:r>
      <w:r w:rsidR="00466E5B">
        <w:t xml:space="preserve">, see </w:t>
      </w:r>
      <w:r w:rsidR="006A4E5A">
        <w:t>appendix 1</w:t>
      </w:r>
      <w:r w:rsidR="0036591A">
        <w:t xml:space="preserve"> (</w:t>
      </w:r>
      <w:r w:rsidR="00C1054E">
        <w:t>table S2</w:t>
      </w:r>
      <w:r w:rsidR="0036591A">
        <w:t>).</w:t>
      </w:r>
      <w:r w:rsidR="00C61C3B">
        <w:t xml:space="preserve"> For GBD </w:t>
      </w:r>
      <w:r w:rsidR="003A6CE1">
        <w:t>2021</w:t>
      </w:r>
      <w:r w:rsidR="00C61C3B">
        <w:t xml:space="preserve">, we </w:t>
      </w:r>
      <w:r w:rsidR="0024317F">
        <w:t xml:space="preserve">separately </w:t>
      </w:r>
      <w:r w:rsidR="00C61C3B">
        <w:t xml:space="preserve">report </w:t>
      </w:r>
      <w:r w:rsidR="00E36E75">
        <w:t xml:space="preserve">on </w:t>
      </w:r>
      <w:r w:rsidR="472FF606">
        <w:t>12</w:t>
      </w:r>
      <w:r w:rsidR="00E36E75" w:rsidRPr="004B6789">
        <w:t xml:space="preserve"> causes</w:t>
      </w:r>
      <w:r w:rsidR="00E36E75">
        <w:t xml:space="preserve"> of death for the first time</w:t>
      </w:r>
      <w:r w:rsidR="00C61C3B">
        <w:t>: COVID-19</w:t>
      </w:r>
      <w:r w:rsidR="00336B14">
        <w:t>;</w:t>
      </w:r>
      <w:r w:rsidR="00C61C3B">
        <w:t xml:space="preserve"> </w:t>
      </w:r>
      <w:r w:rsidR="00B1087D">
        <w:rPr>
          <w:rFonts w:cs="Times New Roman"/>
        </w:rPr>
        <w:t>OPRM</w:t>
      </w:r>
      <w:r w:rsidR="00655A2C" w:rsidRPr="184561F7">
        <w:rPr>
          <w:rFonts w:cs="Times New Roman"/>
        </w:rPr>
        <w:t xml:space="preserve">, </w:t>
      </w:r>
      <w:r w:rsidR="00655A2C">
        <w:t>pulmonary arterial hypertension, and nine cancer types: hepatoblastoma</w:t>
      </w:r>
      <w:r w:rsidR="00335BA2">
        <w:t>;</w:t>
      </w:r>
      <w:r w:rsidR="00655A2C">
        <w:t xml:space="preserve"> Burkitt lymphoma</w:t>
      </w:r>
      <w:r w:rsidR="00335BA2">
        <w:t>;</w:t>
      </w:r>
      <w:r w:rsidR="00655A2C">
        <w:t xml:space="preserve"> other non-Hodgkin lymphoma</w:t>
      </w:r>
      <w:r w:rsidR="00335BA2">
        <w:t>;</w:t>
      </w:r>
      <w:r w:rsidR="00655A2C">
        <w:t xml:space="preserve"> eye cancer</w:t>
      </w:r>
      <w:r w:rsidR="00335BA2">
        <w:t>;</w:t>
      </w:r>
      <w:r w:rsidR="00655A2C">
        <w:t xml:space="preserve"> retinoblastoma</w:t>
      </w:r>
      <w:r w:rsidR="00335BA2">
        <w:t>;</w:t>
      </w:r>
      <w:r w:rsidR="00655A2C">
        <w:t xml:space="preserve"> other eye cancers</w:t>
      </w:r>
      <w:r w:rsidR="00335BA2">
        <w:t>;</w:t>
      </w:r>
      <w:r w:rsidR="00655A2C">
        <w:t xml:space="preserve"> soft tissue and other extraosseous sarcomas</w:t>
      </w:r>
      <w:r w:rsidR="00335BA2">
        <w:t>;</w:t>
      </w:r>
      <w:r w:rsidR="00655A2C">
        <w:t xml:space="preserve"> malignant neoplasm of bone and articular cartilage</w:t>
      </w:r>
      <w:r w:rsidR="00ED2596">
        <w:t>;</w:t>
      </w:r>
      <w:r w:rsidR="00655A2C">
        <w:t xml:space="preserve"> and neuroblastoma and other peripheral nervous cell tumours.</w:t>
      </w:r>
    </w:p>
    <w:p w14:paraId="3002FC0B" w14:textId="1AC03DF8" w:rsidR="003479C5" w:rsidRPr="007766D9" w:rsidRDefault="00AF631E" w:rsidP="007766D9">
      <w:pPr>
        <w:pStyle w:val="Heading3"/>
        <w:spacing w:line="360" w:lineRule="auto"/>
      </w:pPr>
      <w:r>
        <w:t>Data sources</w:t>
      </w:r>
      <w:r w:rsidR="006F7CC0">
        <w:t>, processing, and assessing for completene</w:t>
      </w:r>
      <w:r w:rsidR="0016422E">
        <w:t>ss</w:t>
      </w:r>
    </w:p>
    <w:p w14:paraId="08450C9F" w14:textId="200E6850" w:rsidR="00944BC5" w:rsidRDefault="0016422E" w:rsidP="2D185C6D">
      <w:pPr>
        <w:spacing w:line="360" w:lineRule="auto"/>
        <w:rPr>
          <w:rFonts w:cs="Times New Roman"/>
        </w:rPr>
      </w:pPr>
      <w:r>
        <w:rPr>
          <w:rFonts w:cs="Times New Roman"/>
          <w:shd w:val="clear" w:color="auto" w:fill="FFFFFF"/>
        </w:rPr>
        <w:t xml:space="preserve">The </w:t>
      </w:r>
      <w:r w:rsidR="00E36E75">
        <w:rPr>
          <w:rFonts w:cs="Times New Roman"/>
          <w:shd w:val="clear" w:color="auto" w:fill="FFFFFF"/>
        </w:rPr>
        <w:t>GBD 202</w:t>
      </w:r>
      <w:r w:rsidR="00562185">
        <w:rPr>
          <w:rFonts w:cs="Times New Roman"/>
          <w:shd w:val="clear" w:color="auto" w:fill="FFFFFF"/>
        </w:rPr>
        <w:t>1</w:t>
      </w:r>
      <w:r w:rsidR="00E36E75">
        <w:rPr>
          <w:rFonts w:cs="Times New Roman"/>
          <w:shd w:val="clear" w:color="auto" w:fill="FFFFFF"/>
        </w:rPr>
        <w:t xml:space="preserve"> cause of death database </w:t>
      </w:r>
      <w:r w:rsidR="006F7CC0">
        <w:rPr>
          <w:rFonts w:cs="Times New Roman"/>
          <w:shd w:val="clear" w:color="auto" w:fill="FFFFFF"/>
        </w:rPr>
        <w:t>included data sources identified in previous rounds of estimation in addition t</w:t>
      </w:r>
      <w:r w:rsidR="006F7CC0" w:rsidRPr="2D185C6D">
        <w:rPr>
          <w:rFonts w:eastAsia="Times New Roman" w:cs="Times New Roman"/>
          <w:shd w:val="clear" w:color="auto" w:fill="FFFFFF"/>
        </w:rPr>
        <w:t xml:space="preserve">o </w:t>
      </w:r>
      <w:r w:rsidR="297773CE" w:rsidRPr="2D185C6D">
        <w:rPr>
          <w:rFonts w:eastAsia="Times New Roman" w:cs="Times New Roman"/>
          <w:color w:val="172B4D"/>
        </w:rPr>
        <w:t>9248</w:t>
      </w:r>
      <w:r w:rsidR="297773CE" w:rsidRPr="2D185C6D">
        <w:rPr>
          <w:rFonts w:eastAsia="Times New Roman" w:cs="Times New Roman"/>
        </w:rPr>
        <w:t xml:space="preserve"> </w:t>
      </w:r>
      <w:r w:rsidR="006F7CC0" w:rsidRPr="2D185C6D">
        <w:rPr>
          <w:rFonts w:eastAsia="Times New Roman" w:cs="Times New Roman"/>
          <w:shd w:val="clear" w:color="auto" w:fill="FFFFFF"/>
        </w:rPr>
        <w:t>new s</w:t>
      </w:r>
      <w:r w:rsidR="006F7CC0">
        <w:rPr>
          <w:rFonts w:cs="Times New Roman"/>
          <w:shd w:val="clear" w:color="auto" w:fill="FFFFFF"/>
        </w:rPr>
        <w:t xml:space="preserve">ources—these sources are detailed in </w:t>
      </w:r>
      <w:r w:rsidR="003B14EA">
        <w:rPr>
          <w:rFonts w:cs="Times New Roman"/>
          <w:shd w:val="clear" w:color="auto" w:fill="FFFFFF"/>
        </w:rPr>
        <w:t>appendix 1</w:t>
      </w:r>
      <w:r w:rsidR="00013B03">
        <w:rPr>
          <w:rFonts w:cs="Times New Roman"/>
          <w:shd w:val="clear" w:color="auto" w:fill="FFFFFF"/>
        </w:rPr>
        <w:t>, table S5</w:t>
      </w:r>
      <w:r w:rsidR="004B6789" w:rsidRPr="00394CA5">
        <w:rPr>
          <w:rFonts w:cs="Times New Roman"/>
        </w:rPr>
        <w:t xml:space="preserve"> </w:t>
      </w:r>
      <w:r w:rsidR="0036591A">
        <w:rPr>
          <w:rFonts w:cs="Times New Roman"/>
        </w:rPr>
        <w:t>(section</w:t>
      </w:r>
      <w:r w:rsidR="00AA69B5">
        <w:rPr>
          <w:rFonts w:cs="Times New Roman"/>
        </w:rPr>
        <w:t xml:space="preserve"> 9) </w:t>
      </w:r>
      <w:r w:rsidR="006F7CC0">
        <w:rPr>
          <w:rFonts w:cs="Times New Roman"/>
          <w:shd w:val="clear" w:color="auto" w:fill="FFFFFF"/>
        </w:rPr>
        <w:t xml:space="preserve">and can </w:t>
      </w:r>
      <w:r w:rsidR="00C858CE">
        <w:rPr>
          <w:rFonts w:cs="Times New Roman"/>
          <w:shd w:val="clear" w:color="auto" w:fill="FFFFFF"/>
        </w:rPr>
        <w:t xml:space="preserve">also </w:t>
      </w:r>
      <w:r w:rsidR="006F7CC0">
        <w:rPr>
          <w:rFonts w:cs="Times New Roman"/>
          <w:shd w:val="clear" w:color="auto" w:fill="FFFFFF"/>
        </w:rPr>
        <w:t>be a</w:t>
      </w:r>
      <w:r w:rsidR="00DB5E92" w:rsidRPr="004B6789">
        <w:rPr>
          <w:rFonts w:cs="Times New Roman"/>
          <w:shd w:val="clear" w:color="auto" w:fill="FFFFFF"/>
        </w:rPr>
        <w:t>c</w:t>
      </w:r>
      <w:r w:rsidR="00B811FD" w:rsidRPr="004B6789">
        <w:rPr>
          <w:rFonts w:cs="Times New Roman"/>
          <w:shd w:val="clear" w:color="auto" w:fill="FFFFFF"/>
        </w:rPr>
        <w:t>c</w:t>
      </w:r>
      <w:r w:rsidR="006F7CC0">
        <w:rPr>
          <w:rFonts w:cs="Times New Roman"/>
          <w:shd w:val="clear" w:color="auto" w:fill="FFFFFF"/>
        </w:rPr>
        <w:t xml:space="preserve">essed through the </w:t>
      </w:r>
      <w:proofErr w:type="spellStart"/>
      <w:r w:rsidR="006F7CC0">
        <w:rPr>
          <w:rFonts w:cs="Times New Roman"/>
          <w:shd w:val="clear" w:color="auto" w:fill="FFFFFF"/>
        </w:rPr>
        <w:t>GHDx</w:t>
      </w:r>
      <w:proofErr w:type="spellEnd"/>
      <w:r w:rsidR="006F7CC0">
        <w:rPr>
          <w:rFonts w:cs="Times New Roman"/>
          <w:shd w:val="clear" w:color="auto" w:fill="FFFFFF"/>
        </w:rPr>
        <w:t xml:space="preserve"> [</w:t>
      </w:r>
      <w:hyperlink r:id="rId14" w:history="1">
        <w:r w:rsidR="008710E3" w:rsidRPr="008E2A35">
          <w:rPr>
            <w:rFonts w:cs="Times New Roman"/>
            <w:shd w:val="clear" w:color="auto" w:fill="FFFFFF"/>
          </w:rPr>
          <w:t>http://ghdx.healthdata.org/gbd-2021</w:t>
        </w:r>
      </w:hyperlink>
      <w:r w:rsidR="00C858CE">
        <w:rPr>
          <w:rFonts w:cs="Times New Roman"/>
          <w:shd w:val="clear" w:color="auto" w:fill="FFFFFF"/>
        </w:rPr>
        <w:t xml:space="preserve">; </w:t>
      </w:r>
      <w:r w:rsidR="00C858CE" w:rsidRPr="2D185C6D">
        <w:rPr>
          <w:rFonts w:cs="Times New Roman"/>
          <w:i/>
          <w:iCs/>
          <w:shd w:val="clear" w:color="auto" w:fill="FFFFFF"/>
        </w:rPr>
        <w:t xml:space="preserve">note to editors and reviewers that this </w:t>
      </w:r>
      <w:r w:rsidR="006F7CC0" w:rsidRPr="2D185C6D">
        <w:rPr>
          <w:rFonts w:cs="Times New Roman"/>
          <w:i/>
          <w:iCs/>
          <w:shd w:val="clear" w:color="auto" w:fill="FFFFFF"/>
        </w:rPr>
        <w:t>link</w:t>
      </w:r>
      <w:r w:rsidR="00C858CE" w:rsidRPr="2D185C6D">
        <w:rPr>
          <w:rFonts w:cs="Times New Roman"/>
          <w:i/>
          <w:iCs/>
          <w:shd w:val="clear" w:color="auto" w:fill="FFFFFF"/>
        </w:rPr>
        <w:t xml:space="preserve"> will be made available prior to publication but is not currently live</w:t>
      </w:r>
      <w:r w:rsidR="006F7CC0">
        <w:rPr>
          <w:rFonts w:cs="Times New Roman"/>
          <w:shd w:val="clear" w:color="auto" w:fill="FFFFFF"/>
        </w:rPr>
        <w:t xml:space="preserve">]. </w:t>
      </w:r>
      <w:r w:rsidR="00C509E2" w:rsidRPr="004B6789">
        <w:rPr>
          <w:rFonts w:cs="Times New Roman"/>
          <w:shd w:val="clear" w:color="auto" w:fill="FFFFFF"/>
        </w:rPr>
        <w:t>Multiple data</w:t>
      </w:r>
      <w:r w:rsidR="00C509E2" w:rsidRPr="63629BD0">
        <w:rPr>
          <w:rFonts w:cs="Times New Roman"/>
        </w:rPr>
        <w:t xml:space="preserve"> types </w:t>
      </w:r>
      <w:r w:rsidR="7C5C5D39" w:rsidRPr="63629BD0">
        <w:rPr>
          <w:rFonts w:cs="Times New Roman"/>
        </w:rPr>
        <w:t>we</w:t>
      </w:r>
      <w:r w:rsidR="626CAD23" w:rsidRPr="63629BD0">
        <w:rPr>
          <w:rFonts w:cs="Times New Roman"/>
        </w:rPr>
        <w:t>re</w:t>
      </w:r>
      <w:r w:rsidR="00C509E2" w:rsidRPr="63629BD0">
        <w:rPr>
          <w:rFonts w:cs="Times New Roman"/>
        </w:rPr>
        <w:t xml:space="preserve"> included to capture the </w:t>
      </w:r>
      <w:r w:rsidR="000F013F" w:rsidRPr="63629BD0">
        <w:rPr>
          <w:rFonts w:cs="Times New Roman"/>
        </w:rPr>
        <w:t xml:space="preserve">widest array of information including </w:t>
      </w:r>
      <w:r w:rsidR="00C509E2" w:rsidRPr="63629BD0">
        <w:rPr>
          <w:rFonts w:cs="Times New Roman"/>
        </w:rPr>
        <w:t xml:space="preserve">vital registration (VR) </w:t>
      </w:r>
      <w:r w:rsidR="14BA939D" w:rsidRPr="63629BD0">
        <w:rPr>
          <w:rFonts w:cs="Times New Roman"/>
        </w:rPr>
        <w:t>and</w:t>
      </w:r>
      <w:r w:rsidR="626CAD23" w:rsidRPr="63629BD0">
        <w:rPr>
          <w:rFonts w:cs="Times New Roman"/>
        </w:rPr>
        <w:t xml:space="preserve"> </w:t>
      </w:r>
      <w:r w:rsidR="00C509E2" w:rsidRPr="63629BD0">
        <w:rPr>
          <w:rFonts w:cs="Times New Roman"/>
        </w:rPr>
        <w:t>verbal autopsy (VA</w:t>
      </w:r>
      <w:r w:rsidR="626CAD23" w:rsidRPr="63629BD0">
        <w:rPr>
          <w:rFonts w:cs="Times New Roman"/>
        </w:rPr>
        <w:t>)</w:t>
      </w:r>
      <w:r w:rsidR="03A084F2" w:rsidRPr="63629BD0">
        <w:rPr>
          <w:rFonts w:cs="Times New Roman"/>
        </w:rPr>
        <w:t xml:space="preserve"> for </w:t>
      </w:r>
      <w:r w:rsidR="00621D2F" w:rsidRPr="001A5EC8">
        <w:rPr>
          <w:rFonts w:cs="Times New Roman"/>
        </w:rPr>
        <w:t>all</w:t>
      </w:r>
      <w:r w:rsidR="03A084F2" w:rsidRPr="001A5EC8">
        <w:rPr>
          <w:rFonts w:cs="Times New Roman"/>
        </w:rPr>
        <w:t xml:space="preserve"> </w:t>
      </w:r>
      <w:r w:rsidR="00621D2F" w:rsidRPr="00143184">
        <w:rPr>
          <w:rFonts w:cs="Times New Roman"/>
        </w:rPr>
        <w:t>288</w:t>
      </w:r>
      <w:r w:rsidR="00307D57" w:rsidRPr="00143184">
        <w:rPr>
          <w:rFonts w:cs="Times New Roman"/>
        </w:rPr>
        <w:t xml:space="preserve"> </w:t>
      </w:r>
      <w:r w:rsidR="03A084F2" w:rsidRPr="001A5EC8">
        <w:rPr>
          <w:rFonts w:cs="Times New Roman"/>
        </w:rPr>
        <w:t>ca</w:t>
      </w:r>
      <w:r w:rsidR="03A084F2" w:rsidRPr="63629BD0">
        <w:rPr>
          <w:rFonts w:cs="Times New Roman"/>
        </w:rPr>
        <w:t xml:space="preserve">uses as well as survey, census, surveillance, cancer registry, police record, </w:t>
      </w:r>
      <w:r w:rsidR="159D7212" w:rsidRPr="63629BD0">
        <w:rPr>
          <w:rFonts w:cs="Times New Roman"/>
        </w:rPr>
        <w:t>open-source database</w:t>
      </w:r>
      <w:r w:rsidR="003177C9">
        <w:rPr>
          <w:rFonts w:cs="Times New Roman"/>
        </w:rPr>
        <w:t>s</w:t>
      </w:r>
      <w:r w:rsidR="159D7212" w:rsidRPr="63629BD0">
        <w:rPr>
          <w:rFonts w:cs="Times New Roman"/>
        </w:rPr>
        <w:t xml:space="preserve">, and </w:t>
      </w:r>
      <w:r w:rsidR="03A084F2" w:rsidRPr="63629BD0">
        <w:rPr>
          <w:rFonts w:cs="Times New Roman"/>
        </w:rPr>
        <w:t>minimally invasive tissue sampling</w:t>
      </w:r>
      <w:r w:rsidR="626CAD23" w:rsidRPr="63629BD0">
        <w:rPr>
          <w:rFonts w:cs="Times New Roman"/>
        </w:rPr>
        <w:t>.</w:t>
      </w:r>
      <w:r w:rsidR="00C509E2" w:rsidRPr="63629BD0">
        <w:rPr>
          <w:rFonts w:cs="Times New Roman"/>
        </w:rPr>
        <w:t xml:space="preserve"> </w:t>
      </w:r>
      <w:r w:rsidR="00106CA2">
        <w:rPr>
          <w:rFonts w:cs="Times New Roman"/>
          <w:shd w:val="clear" w:color="auto" w:fill="FFFFFF"/>
        </w:rPr>
        <w:t>To standardise these data</w:t>
      </w:r>
      <w:r w:rsidR="000F3C54">
        <w:rPr>
          <w:rFonts w:cs="Times New Roman"/>
          <w:shd w:val="clear" w:color="auto" w:fill="FFFFFF"/>
        </w:rPr>
        <w:t xml:space="preserve"> </w:t>
      </w:r>
      <w:r w:rsidR="00CC5524">
        <w:rPr>
          <w:rFonts w:cs="Times New Roman"/>
          <w:shd w:val="clear" w:color="auto" w:fill="FFFFFF"/>
        </w:rPr>
        <w:t xml:space="preserve">so that they can be compared by cause, age, sex, location and time, </w:t>
      </w:r>
      <w:r w:rsidR="00D2140A">
        <w:rPr>
          <w:rFonts w:cs="Times New Roman"/>
          <w:shd w:val="clear" w:color="auto" w:fill="FFFFFF"/>
        </w:rPr>
        <w:t>a set of data processing corrections are applied. First</w:t>
      </w:r>
      <w:r w:rsidR="00A94177">
        <w:rPr>
          <w:rFonts w:cs="Times New Roman"/>
          <w:shd w:val="clear" w:color="auto" w:fill="FFFFFF"/>
        </w:rPr>
        <w:t xml:space="preserve"> </w:t>
      </w:r>
      <w:r w:rsidR="00F3568E">
        <w:rPr>
          <w:rFonts w:cs="Times New Roman"/>
          <w:shd w:val="clear" w:color="auto" w:fill="FFFFFF"/>
        </w:rPr>
        <w:t>deaths</w:t>
      </w:r>
      <w:r w:rsidR="00106CA2">
        <w:rPr>
          <w:rFonts w:cs="Times New Roman"/>
          <w:shd w:val="clear" w:color="auto" w:fill="FFFFFF"/>
        </w:rPr>
        <w:t xml:space="preserve"> with </w:t>
      </w:r>
      <w:r w:rsidR="20BFDF15">
        <w:rPr>
          <w:rFonts w:cs="Times New Roman"/>
          <w:shd w:val="clear" w:color="auto" w:fill="FFFFFF"/>
        </w:rPr>
        <w:t>insufficient</w:t>
      </w:r>
      <w:r w:rsidR="05B8FD0F">
        <w:rPr>
          <w:rFonts w:cs="Times New Roman"/>
          <w:shd w:val="clear" w:color="auto" w:fill="FFFFFF"/>
        </w:rPr>
        <w:t xml:space="preserve"> </w:t>
      </w:r>
      <w:r w:rsidR="007C7A4F">
        <w:rPr>
          <w:rFonts w:cs="Times New Roman"/>
          <w:shd w:val="clear" w:color="auto" w:fill="FFFFFF"/>
        </w:rPr>
        <w:t>age detail to estimate the GBD age groups</w:t>
      </w:r>
      <w:r w:rsidR="05B8FD0F">
        <w:rPr>
          <w:rFonts w:cs="Times New Roman"/>
          <w:shd w:val="clear" w:color="auto" w:fill="FFFFFF"/>
        </w:rPr>
        <w:t xml:space="preserve"> </w:t>
      </w:r>
      <w:r w:rsidR="2274B7C0" w:rsidRPr="4BA78EE1">
        <w:rPr>
          <w:rFonts w:cs="Times New Roman"/>
        </w:rPr>
        <w:t>or missing</w:t>
      </w:r>
      <w:r w:rsidR="00106CA2" w:rsidRPr="4BA78EE1">
        <w:rPr>
          <w:rFonts w:cs="Times New Roman"/>
        </w:rPr>
        <w:t xml:space="preserve"> </w:t>
      </w:r>
      <w:r w:rsidR="00106CA2">
        <w:rPr>
          <w:rFonts w:cs="Times New Roman"/>
          <w:shd w:val="clear" w:color="auto" w:fill="FFFFFF"/>
        </w:rPr>
        <w:t xml:space="preserve">age and sex </w:t>
      </w:r>
      <w:r w:rsidR="15760931">
        <w:rPr>
          <w:rFonts w:cs="Times New Roman"/>
          <w:shd w:val="clear" w:color="auto" w:fill="FFFFFF"/>
        </w:rPr>
        <w:t>detail</w:t>
      </w:r>
      <w:r w:rsidR="00A94177">
        <w:rPr>
          <w:rFonts w:cs="Times New Roman"/>
          <w:shd w:val="clear" w:color="auto" w:fill="FFFFFF"/>
        </w:rPr>
        <w:t xml:space="preserve"> </w:t>
      </w:r>
      <w:r w:rsidR="1F2D3CED" w:rsidRPr="4BA78EE1">
        <w:rPr>
          <w:rFonts w:cs="Times New Roman"/>
        </w:rPr>
        <w:t xml:space="preserve">undergo age and sex splitting to </w:t>
      </w:r>
      <w:r w:rsidR="2712748D" w:rsidRPr="4BA78EE1">
        <w:rPr>
          <w:rFonts w:cs="Times New Roman"/>
        </w:rPr>
        <w:t>assign GBD age groups as well as male or female</w:t>
      </w:r>
      <w:r w:rsidR="00C315FB">
        <w:rPr>
          <w:rFonts w:cs="Times New Roman"/>
        </w:rPr>
        <w:t xml:space="preserve"> (appendix</w:t>
      </w:r>
      <w:r w:rsidR="002F4AF0">
        <w:rPr>
          <w:rFonts w:cs="Times New Roman"/>
        </w:rPr>
        <w:t xml:space="preserve"> 1</w:t>
      </w:r>
      <w:r w:rsidR="00A53587">
        <w:rPr>
          <w:rFonts w:cs="Times New Roman"/>
        </w:rPr>
        <w:t xml:space="preserve"> section </w:t>
      </w:r>
      <w:r w:rsidR="0073244B">
        <w:rPr>
          <w:rFonts w:cs="Times New Roman"/>
        </w:rPr>
        <w:t>3.5</w:t>
      </w:r>
      <w:r w:rsidR="004C25B8">
        <w:rPr>
          <w:rFonts w:cs="Times New Roman"/>
        </w:rPr>
        <w:t>)</w:t>
      </w:r>
      <w:r w:rsidR="2712748D" w:rsidRPr="4BA78EE1">
        <w:rPr>
          <w:rFonts w:cs="Times New Roman"/>
        </w:rPr>
        <w:t>.</w:t>
      </w:r>
      <w:r w:rsidR="00764026">
        <w:rPr>
          <w:rFonts w:cs="Times New Roman"/>
        </w:rPr>
        <w:t xml:space="preserve"> </w:t>
      </w:r>
      <w:r w:rsidR="502169A7" w:rsidRPr="0AC71BF1">
        <w:rPr>
          <w:rFonts w:cs="Times New Roman"/>
        </w:rPr>
        <w:t xml:space="preserve">In addition, </w:t>
      </w:r>
      <w:r w:rsidR="6B7E6DFD" w:rsidRPr="4DE57863" w:rsidDel="73099A6F">
        <w:rPr>
          <w:rFonts w:cs="Times New Roman"/>
        </w:rPr>
        <w:t>g</w:t>
      </w:r>
      <w:r w:rsidR="0FCCE2FE">
        <w:rPr>
          <w:rFonts w:cs="Times New Roman"/>
          <w:shd w:val="clear" w:color="auto" w:fill="FFFFFF"/>
        </w:rPr>
        <w:t>arbage</w:t>
      </w:r>
      <w:r w:rsidR="00800429">
        <w:rPr>
          <w:rFonts w:cs="Times New Roman"/>
          <w:shd w:val="clear" w:color="auto" w:fill="FFFFFF"/>
        </w:rPr>
        <w:t xml:space="preserve"> codes</w:t>
      </w:r>
      <w:r w:rsidR="007B5BCE">
        <w:rPr>
          <w:rFonts w:cs="Times New Roman"/>
        </w:rPr>
        <w:t>, which are</w:t>
      </w:r>
      <w:r w:rsidR="00D42782" w:rsidRPr="63629BD0">
        <w:rPr>
          <w:rFonts w:cs="Times New Roman"/>
        </w:rPr>
        <w:t xml:space="preserve"> non-specific, implausible, or intermediate rather than underlying cause of death codes </w:t>
      </w:r>
      <w:r w:rsidR="5487470F" w:rsidRPr="63629BD0">
        <w:rPr>
          <w:rFonts w:cs="Times New Roman"/>
        </w:rPr>
        <w:t>from the International Classification of Diseases</w:t>
      </w:r>
      <w:r w:rsidR="00D42782" w:rsidRPr="63629BD0">
        <w:rPr>
          <w:rFonts w:cs="Times New Roman"/>
        </w:rPr>
        <w:t xml:space="preserve"> </w:t>
      </w:r>
      <w:r w:rsidR="5487470F" w:rsidRPr="63629BD0">
        <w:rPr>
          <w:rFonts w:cs="Times New Roman"/>
        </w:rPr>
        <w:t>(ICD)</w:t>
      </w:r>
      <w:r w:rsidR="004B4780">
        <w:rPr>
          <w:rFonts w:cs="Times New Roman"/>
        </w:rPr>
        <w:t>,</w:t>
      </w:r>
      <w:r w:rsidR="00D42782" w:rsidRPr="63629BD0">
        <w:rPr>
          <w:rFonts w:cs="Times New Roman"/>
        </w:rPr>
        <w:t xml:space="preserve"> </w:t>
      </w:r>
      <w:r w:rsidR="78405CE6" w:rsidRPr="63629BD0">
        <w:rPr>
          <w:rFonts w:cs="Times New Roman"/>
        </w:rPr>
        <w:t>were redistributed</w:t>
      </w:r>
      <w:r w:rsidR="00D42782" w:rsidRPr="63629BD0">
        <w:rPr>
          <w:rFonts w:cs="Times New Roman"/>
        </w:rPr>
        <w:t xml:space="preserve"> </w:t>
      </w:r>
      <w:r w:rsidR="147C9780" w:rsidRPr="36C452E8">
        <w:rPr>
          <w:rFonts w:cs="Times New Roman"/>
        </w:rPr>
        <w:t>to appro</w:t>
      </w:r>
      <w:r w:rsidR="147C9780" w:rsidRPr="63629BD0">
        <w:rPr>
          <w:rFonts w:cs="Times New Roman"/>
        </w:rPr>
        <w:t xml:space="preserve">priate </w:t>
      </w:r>
      <w:r w:rsidR="147C9780" w:rsidRPr="63629BD0">
        <w:rPr>
          <w:rFonts w:cs="Times New Roman"/>
        </w:rPr>
        <w:lastRenderedPageBreak/>
        <w:t>targets</w:t>
      </w:r>
      <w:r w:rsidR="00150659">
        <w:rPr>
          <w:rFonts w:cs="Times New Roman"/>
        </w:rPr>
        <w:t xml:space="preserve"> </w:t>
      </w:r>
      <w:r w:rsidR="000C5F02">
        <w:rPr>
          <w:rFonts w:cs="Times New Roman"/>
        </w:rPr>
        <w:t>to assign the underlying cause of death</w:t>
      </w:r>
      <w:r w:rsidR="00C97D19" w:rsidRPr="63629BD0">
        <w:rPr>
          <w:rFonts w:cs="Times New Roman"/>
        </w:rPr>
        <w:t>.</w:t>
      </w:r>
      <w:r w:rsidR="00155278">
        <w:rPr>
          <w:rFonts w:cs="Times New Roman"/>
          <w:color w:val="2B579A"/>
          <w:shd w:val="clear" w:color="auto" w:fill="E6E6E6"/>
        </w:rPr>
        <w:fldChar w:fldCharType="begin"/>
      </w:r>
      <w:r w:rsidR="00424CC1">
        <w:rPr>
          <w:rFonts w:cs="Times New Roman"/>
        </w:rPr>
        <w:instrText xml:space="preserve"> ADDIN ZOTERO_ITEM CSL_CITATION {"citationID":"F4wcASl1","properties":{"formattedCitation":"\\super 11\\nosupersub{}","plainCitation":"11","noteIndex":0},"citationItems":[{"id":112372,"uris":["http://zotero.org/groups/2154524/items/Y3Y2WYKT"],"itemData":{"id":112372,"type":"article-journal","abstract":"Background\nAccurate, comprehensive, cause-specific mortality estimates are crucial for informing public health decision making worldwide. Incorrectly or vaguely assigned deaths, defined as garbage-coded deaths, mask the true cause distribution. The Global Burden of Disease (GBD) study has developed methods to create comparable, timely, cause-specific mortality estimates; an impactful data processing method is the reallocation of garbage-coded deaths to a plausible underlying cause of death. We identify the pattern of garbage-coded deaths in the world and present the methods used to determine their redistribution to generate more plausible cause of death assignments.\n\nMethods\nWe describe the methods developed for the GBD 2019 study and subsequent iterations to redistribute garbage-coded deaths in vital registration data to plausible underlying causes. These methods include analysis of multiple cause data, negative correlation, impairment, and proportional redistribution. We classify garbage codes into classes according to the level of specificity of the reported cause of death (CoD) and capture trends in the global pattern of proportion of garbage-coded deaths, disaggregated by these classes, and the relationship between this proportion and the Socio-Demographic Index. We examine the relative importance of the top four garbage codes by age and sex and demonstrate the impact of redistribution on the annual GBD CoD rankings.\n\nResults\nThe proportion of least-specific (class 1 and 2) garbage-coded deaths ranged from 3.7% of all vital registration deaths to 67.3% in 2015, and the age-standardized proportion had an overall negative association with the Socio-Demographic Index. When broken down by age and sex, the category for unspecified lower respiratory infections was responsible for nearly 30% of garbage-coded deaths in those under 1 year of age for both sexes, representing the largest proportion of garbage codes for that age group. We show how the cause distribution by number of deaths changes before and after redistribution for four countries: Brazil, the United States, Japan, and France, highlighting the necessity of accounting for garbage-coded deaths in the GBD.\n\nConclusions\nWe provide a detailed description of redistribution methods developed for CoD data in the GBD; these methods represent an overall improvement in empiricism compared to past reliance on a priori knowledge.\n\nSupplementary Information\nThe online version contains supplementary material available at 10.1186/s12911-021-01501-1.","container-title":"BMC Medical Informatics and Decision Making","DOI":"10.1186/s12911-021-01501-1","ISSN":"1472-6947","journalAbbreviation":"BMC Med Inform Decis Mak","note":"PMID: 34078366\nPMCID: PMC8170729","page":"175","source":"PubMed Central","title":"Public health utility of cause of death data: applying empirical algorithms to improve data quality","title-short":"Public health utility of cause of death data","volume":"21","author":[{"family":"Johnson","given":"Sarah Charlotte"},{"family":"Cunningham","given":"Matthew"},{"family":"Dippenaar","given":"Ilse N."},{"family":"Sharara","given":"Fablina"},{"family":"Wool","given":"Eve E."},{"family":"Agesa","given":"Kareha M."},{"family":"Han","given":"Chieh"},{"family":"Miller-Petrie","given":"Molly K."},{"family":"Wilson","given":"Shadrach"},{"family":"Fuller","given":"John E."},{"family":"Balassyano","given":"Shelly"},{"family":"Bertolacci","given":"Gregory J."},{"family":"Davis Weaver","given":"Nicole"},{"family":"Lopez","given":"Alan D."},{"family":"Murray","given":"Christopher J. L."},{"family":"Naghavi","given":"Mohsen"}],"issued":{"date-parts":[["2021",6,2]]}}}],"schema":"https://github.com/citation-style-language/schema/raw/master/csl-citation.json"} </w:instrText>
      </w:r>
      <w:r w:rsidR="00155278">
        <w:rPr>
          <w:rFonts w:cs="Times New Roman"/>
          <w:color w:val="2B579A"/>
          <w:shd w:val="clear" w:color="auto" w:fill="E6E6E6"/>
        </w:rPr>
        <w:fldChar w:fldCharType="separate"/>
      </w:r>
      <w:r w:rsidR="00424CC1" w:rsidRPr="00143184">
        <w:rPr>
          <w:rFonts w:cs="Times New Roman"/>
          <w:szCs w:val="24"/>
          <w:vertAlign w:val="superscript"/>
        </w:rPr>
        <w:t>11</w:t>
      </w:r>
      <w:r w:rsidR="00155278">
        <w:rPr>
          <w:rFonts w:cs="Times New Roman"/>
          <w:color w:val="2B579A"/>
          <w:shd w:val="clear" w:color="auto" w:fill="E6E6E6"/>
        </w:rPr>
        <w:fldChar w:fldCharType="end"/>
      </w:r>
      <w:r w:rsidR="00C97D19" w:rsidRPr="63629BD0">
        <w:rPr>
          <w:rFonts w:cs="Times New Roman"/>
        </w:rPr>
        <w:t xml:space="preserve"> </w:t>
      </w:r>
      <w:r w:rsidR="0098115B" w:rsidRPr="63629BD0">
        <w:rPr>
          <w:rFonts w:cs="Times New Roman"/>
        </w:rPr>
        <w:t>D</w:t>
      </w:r>
      <w:r w:rsidR="00800429">
        <w:rPr>
          <w:rFonts w:cs="Times New Roman"/>
          <w:shd w:val="clear" w:color="auto" w:fill="FFFFFF"/>
        </w:rPr>
        <w:t xml:space="preserve">ata sources with more than </w:t>
      </w:r>
      <w:r w:rsidR="00800429" w:rsidRPr="00FA2594">
        <w:rPr>
          <w:rFonts w:cs="Times New Roman"/>
          <w:shd w:val="clear" w:color="auto" w:fill="FFFFFF"/>
        </w:rPr>
        <w:t>50%</w:t>
      </w:r>
      <w:r w:rsidR="00800429">
        <w:rPr>
          <w:rFonts w:cs="Times New Roman"/>
          <w:shd w:val="clear" w:color="auto" w:fill="FFFFFF"/>
        </w:rPr>
        <w:t xml:space="preserve"> of all deaths assigned to major garbage codes </w:t>
      </w:r>
      <w:r w:rsidR="3AB5E789" w:rsidRPr="63629BD0">
        <w:rPr>
          <w:rFonts w:cs="Times New Roman"/>
        </w:rPr>
        <w:t>(</w:t>
      </w:r>
      <w:r w:rsidR="63E0FA6B" w:rsidRPr="63629BD0">
        <w:rPr>
          <w:rFonts w:cs="Times New Roman"/>
        </w:rPr>
        <w:t>Class</w:t>
      </w:r>
      <w:r w:rsidR="3AB5E789" w:rsidRPr="63629BD0">
        <w:rPr>
          <w:rFonts w:cs="Times New Roman"/>
        </w:rPr>
        <w:t xml:space="preserve"> 1 or </w:t>
      </w:r>
      <w:r w:rsidR="0905F6EB" w:rsidRPr="63629BD0">
        <w:rPr>
          <w:rFonts w:cs="Times New Roman"/>
        </w:rPr>
        <w:t>Class</w:t>
      </w:r>
      <w:r w:rsidR="3AB5E789" w:rsidRPr="63629BD0">
        <w:rPr>
          <w:rFonts w:cs="Times New Roman"/>
        </w:rPr>
        <w:t xml:space="preserve"> 2 </w:t>
      </w:r>
      <w:r w:rsidR="72CE0C8E" w:rsidRPr="63629BD0">
        <w:rPr>
          <w:rFonts w:cs="Times New Roman"/>
        </w:rPr>
        <w:t>garbage codes</w:t>
      </w:r>
      <w:r w:rsidR="3AB5E789" w:rsidRPr="63629BD0">
        <w:rPr>
          <w:rFonts w:cs="Times New Roman"/>
        </w:rPr>
        <w:t xml:space="preserve">) </w:t>
      </w:r>
      <w:r w:rsidR="00944BC5" w:rsidRPr="29575BA3">
        <w:rPr>
          <w:rFonts w:cs="Times New Roman"/>
        </w:rPr>
        <w:t xml:space="preserve">in any location-year </w:t>
      </w:r>
      <w:r w:rsidR="00781D5D">
        <w:rPr>
          <w:rFonts w:cs="Times New Roman"/>
        </w:rPr>
        <w:t xml:space="preserve">were excluded </w:t>
      </w:r>
      <w:r w:rsidR="00944BC5" w:rsidRPr="29575BA3">
        <w:rPr>
          <w:rFonts w:cs="Times New Roman"/>
        </w:rPr>
        <w:t>to mitigate the potenti</w:t>
      </w:r>
      <w:r w:rsidR="00800429">
        <w:rPr>
          <w:rFonts w:cs="Times New Roman"/>
        </w:rPr>
        <w:t>al for bias from these sources</w:t>
      </w:r>
      <w:r w:rsidR="000404D2">
        <w:rPr>
          <w:rFonts w:cs="Times New Roman"/>
        </w:rPr>
        <w:t xml:space="preserve"> (appendix </w:t>
      </w:r>
      <w:r w:rsidR="00727996">
        <w:rPr>
          <w:rFonts w:cs="Times New Roman"/>
        </w:rPr>
        <w:t>1</w:t>
      </w:r>
      <w:r w:rsidR="00A53587">
        <w:rPr>
          <w:rFonts w:cs="Times New Roman"/>
        </w:rPr>
        <w:t xml:space="preserve"> section </w:t>
      </w:r>
      <w:r w:rsidR="002A0301">
        <w:rPr>
          <w:rFonts w:cs="Times New Roman"/>
        </w:rPr>
        <w:t>3.7</w:t>
      </w:r>
      <w:r w:rsidR="000404D2">
        <w:rPr>
          <w:rFonts w:cs="Times New Roman"/>
        </w:rPr>
        <w:t>).</w:t>
      </w:r>
      <w:r w:rsidR="00781D5D">
        <w:rPr>
          <w:rFonts w:cs="Times New Roman"/>
        </w:rPr>
        <w:t xml:space="preserve"> </w:t>
      </w:r>
      <w:r w:rsidR="00781D5D" w:rsidDel="004565DA">
        <w:rPr>
          <w:rFonts w:cs="Times New Roman"/>
        </w:rPr>
        <w:t>For GBD 202</w:t>
      </w:r>
      <w:r w:rsidR="00FE66F3">
        <w:rPr>
          <w:rFonts w:cs="Times New Roman"/>
        </w:rPr>
        <w:t>1</w:t>
      </w:r>
      <w:r w:rsidR="00781D5D" w:rsidDel="004565DA">
        <w:rPr>
          <w:rFonts w:cs="Times New Roman"/>
        </w:rPr>
        <w:t xml:space="preserve">, we established a buffer system so location-years </w:t>
      </w:r>
      <w:r w:rsidR="368CF328" w:rsidRPr="63629BD0">
        <w:rPr>
          <w:rFonts w:cs="Times New Roman"/>
        </w:rPr>
        <w:t>that were included in the previous</w:t>
      </w:r>
      <w:r w:rsidR="00781D5D" w:rsidRPr="63629BD0">
        <w:rPr>
          <w:rFonts w:cs="Times New Roman"/>
        </w:rPr>
        <w:t xml:space="preserve"> </w:t>
      </w:r>
      <w:r w:rsidR="368CF328" w:rsidRPr="63629BD0">
        <w:rPr>
          <w:rFonts w:cs="Times New Roman"/>
        </w:rPr>
        <w:t xml:space="preserve">GBD cycle would </w:t>
      </w:r>
      <w:r w:rsidR="79EDA1D7" w:rsidRPr="63629BD0">
        <w:rPr>
          <w:rFonts w:cs="Times New Roman"/>
        </w:rPr>
        <w:t>not be dropped from</w:t>
      </w:r>
      <w:r w:rsidR="368CF328" w:rsidRPr="63629BD0">
        <w:rPr>
          <w:rFonts w:cs="Times New Roman"/>
        </w:rPr>
        <w:t xml:space="preserve"> the current cycle </w:t>
      </w:r>
      <w:r w:rsidR="7AFA8D27" w:rsidRPr="63629BD0">
        <w:rPr>
          <w:rFonts w:cs="Times New Roman"/>
        </w:rPr>
        <w:t xml:space="preserve">as long as less than </w:t>
      </w:r>
      <w:r w:rsidR="7AFA8D27" w:rsidRPr="00FA2594">
        <w:rPr>
          <w:rFonts w:cs="Times New Roman"/>
        </w:rPr>
        <w:t>55%</w:t>
      </w:r>
      <w:r w:rsidR="7AFA8D27" w:rsidRPr="63629BD0">
        <w:rPr>
          <w:rFonts w:cs="Times New Roman"/>
        </w:rPr>
        <w:t xml:space="preserve"> of all deaths were assigned to major garbage codes.</w:t>
      </w:r>
      <w:r w:rsidR="368CF328" w:rsidRPr="63629BD0">
        <w:rPr>
          <w:rFonts w:cs="Times New Roman"/>
        </w:rPr>
        <w:t xml:space="preserve"> </w:t>
      </w:r>
      <w:r w:rsidR="10C6DC07" w:rsidRPr="63629BD0">
        <w:rPr>
          <w:rFonts w:cs="Times New Roman"/>
        </w:rPr>
        <w:t xml:space="preserve">This </w:t>
      </w:r>
      <w:r w:rsidR="10C6DC07" w:rsidRPr="00FA2594">
        <w:rPr>
          <w:rFonts w:cs="Times New Roman"/>
        </w:rPr>
        <w:t>5%</w:t>
      </w:r>
      <w:r w:rsidR="10C6DC07" w:rsidRPr="63629BD0">
        <w:rPr>
          <w:rFonts w:cs="Times New Roman"/>
        </w:rPr>
        <w:t xml:space="preserve"> buffer ensured greater</w:t>
      </w:r>
      <w:r w:rsidR="141955CE" w:rsidRPr="63629BD0">
        <w:rPr>
          <w:rFonts w:cs="Times New Roman"/>
        </w:rPr>
        <w:t xml:space="preserve"> </w:t>
      </w:r>
      <w:r w:rsidR="10C6DC07" w:rsidRPr="63629BD0">
        <w:rPr>
          <w:rFonts w:cs="Times New Roman"/>
        </w:rPr>
        <w:t xml:space="preserve">consistency in data source </w:t>
      </w:r>
      <w:r w:rsidR="00D2140A">
        <w:rPr>
          <w:rFonts w:cs="Times New Roman"/>
        </w:rPr>
        <w:t>inclusion</w:t>
      </w:r>
      <w:r w:rsidR="10C6DC07" w:rsidRPr="63629BD0">
        <w:rPr>
          <w:rFonts w:cs="Times New Roman"/>
        </w:rPr>
        <w:t xml:space="preserve"> from one cycle to the next.</w:t>
      </w:r>
    </w:p>
    <w:p w14:paraId="3C6AB22E" w14:textId="33B9074C" w:rsidR="00480FB9" w:rsidRPr="00FC5543" w:rsidRDefault="00C13C51" w:rsidP="59229D7F">
      <w:pPr>
        <w:spacing w:line="360" w:lineRule="auto"/>
        <w:rPr>
          <w:lang w:val="en-US"/>
        </w:rPr>
      </w:pPr>
      <w:r>
        <w:rPr>
          <w:rFonts w:cs="Times New Roman"/>
          <w:shd w:val="clear" w:color="auto" w:fill="FFFFFF"/>
        </w:rPr>
        <w:t>Assessing data complet</w:t>
      </w:r>
      <w:r w:rsidRPr="00FA2594">
        <w:rPr>
          <w:rFonts w:cs="Times New Roman"/>
          <w:shd w:val="clear" w:color="auto" w:fill="FFFFFF"/>
        </w:rPr>
        <w:t xml:space="preserve">eness </w:t>
      </w:r>
      <w:r w:rsidR="1F594BF4" w:rsidRPr="00FA2594">
        <w:rPr>
          <w:rFonts w:cs="Times New Roman"/>
          <w:shd w:val="clear" w:color="auto" w:fill="FFFFFF"/>
        </w:rPr>
        <w:t>illustrates the coverage from a data source on overall mortality for the country.</w:t>
      </w:r>
      <w:r w:rsidR="000F4E3D" w:rsidRPr="00FA2594">
        <w:rPr>
          <w:rFonts w:cs="Times New Roman"/>
          <w:shd w:val="clear" w:color="auto" w:fill="FFFFFF"/>
        </w:rPr>
        <w:t xml:space="preserve"> </w:t>
      </w:r>
      <w:r w:rsidR="735A6A7E" w:rsidRPr="00FA2594">
        <w:rPr>
          <w:rFonts w:cs="Times New Roman"/>
        </w:rPr>
        <w:t>V</w:t>
      </w:r>
      <w:r w:rsidR="41421874" w:rsidRPr="00FA2594">
        <w:rPr>
          <w:rFonts w:cs="Times New Roman"/>
        </w:rPr>
        <w:t>R</w:t>
      </w:r>
      <w:r w:rsidR="007331E4">
        <w:rPr>
          <w:rFonts w:cs="Times New Roman"/>
        </w:rPr>
        <w:t xml:space="preserve"> and VA</w:t>
      </w:r>
      <w:r w:rsidR="00DC6F1B" w:rsidRPr="00FA2594">
        <w:rPr>
          <w:rFonts w:cs="Times New Roman"/>
        </w:rPr>
        <w:t xml:space="preserve"> </w:t>
      </w:r>
      <w:r w:rsidR="00895D7A" w:rsidRPr="00FA2594">
        <w:rPr>
          <w:rFonts w:cs="Times New Roman"/>
          <w:shd w:val="clear" w:color="auto" w:fill="FFFFFF"/>
        </w:rPr>
        <w:t xml:space="preserve">data </w:t>
      </w:r>
      <w:r w:rsidR="00895D7A">
        <w:rPr>
          <w:rFonts w:cs="Times New Roman"/>
          <w:shd w:val="clear" w:color="auto" w:fill="FFFFFF"/>
        </w:rPr>
        <w:t>completeness</w:t>
      </w:r>
      <w:r w:rsidRPr="63629BD0" w:rsidDel="00895D7A">
        <w:rPr>
          <w:rFonts w:cs="Times New Roman"/>
        </w:rPr>
        <w:t>—</w:t>
      </w:r>
      <w:r w:rsidR="00895D7A">
        <w:rPr>
          <w:rFonts w:cs="Times New Roman"/>
          <w:shd w:val="clear" w:color="auto" w:fill="FFFFFF"/>
        </w:rPr>
        <w:t>a source-specific estimate of the percentage of total cause-specific deaths that are reported in a given location and year</w:t>
      </w:r>
      <w:r w:rsidRPr="63629BD0" w:rsidDel="00895D7A">
        <w:rPr>
          <w:rFonts w:cs="Times New Roman"/>
        </w:rPr>
        <w:t>—</w:t>
      </w:r>
      <w:r w:rsidR="00125EE4" w:rsidRPr="00125EE4">
        <w:rPr>
          <w:rFonts w:cs="Times New Roman"/>
          <w:shd w:val="clear" w:color="auto" w:fill="FFFFFF"/>
        </w:rPr>
        <w:t xml:space="preserve">was assessed by location-year, and sources with less than </w:t>
      </w:r>
      <w:r w:rsidR="00125EE4" w:rsidRPr="00FA2594">
        <w:rPr>
          <w:rFonts w:cs="Times New Roman"/>
          <w:shd w:val="clear" w:color="auto" w:fill="FFFFFF"/>
        </w:rPr>
        <w:t>50%</w:t>
      </w:r>
      <w:r w:rsidR="00125EE4" w:rsidRPr="00125EE4">
        <w:rPr>
          <w:rFonts w:cs="Times New Roman"/>
          <w:shd w:val="clear" w:color="auto" w:fill="FFFFFF"/>
        </w:rPr>
        <w:t xml:space="preserve"> completeness were excluded</w:t>
      </w:r>
      <w:r w:rsidR="62DBAAD5" w:rsidRPr="7966B604">
        <w:rPr>
          <w:rFonts w:cs="Times New Roman"/>
        </w:rPr>
        <w:t xml:space="preserve">. </w:t>
      </w:r>
      <w:r w:rsidR="00850210">
        <w:rPr>
          <w:rFonts w:cs="Times New Roman"/>
        </w:rPr>
        <w:t xml:space="preserve">We excluded </w:t>
      </w:r>
      <w:r w:rsidR="000A1FA7" w:rsidRPr="00143184">
        <w:rPr>
          <w:rFonts w:cs="Times New Roman"/>
        </w:rPr>
        <w:t>142</w:t>
      </w:r>
      <w:r w:rsidR="00D567A3" w:rsidRPr="00143184">
        <w:rPr>
          <w:rFonts w:cs="Times New Roman"/>
        </w:rPr>
        <w:t xml:space="preserve"> </w:t>
      </w:r>
      <w:r w:rsidR="007C319F">
        <w:rPr>
          <w:rFonts w:cs="Times New Roman"/>
        </w:rPr>
        <w:t>country</w:t>
      </w:r>
      <w:r w:rsidR="00850210">
        <w:rPr>
          <w:rFonts w:cs="Times New Roman"/>
        </w:rPr>
        <w:t xml:space="preserve"> years of data</w:t>
      </w:r>
      <w:r w:rsidR="00E3651E">
        <w:rPr>
          <w:rFonts w:cs="Times New Roman"/>
        </w:rPr>
        <w:t xml:space="preserve"> due to completeness.</w:t>
      </w:r>
      <w:r w:rsidR="62DBAAD5" w:rsidRPr="7966B604">
        <w:rPr>
          <w:rFonts w:cs="Times New Roman"/>
        </w:rPr>
        <w:t xml:space="preserve"> As with garbage codes, we employed a </w:t>
      </w:r>
      <w:r w:rsidR="62DBAAD5" w:rsidRPr="00FA2594">
        <w:rPr>
          <w:rFonts w:cs="Times New Roman"/>
        </w:rPr>
        <w:t>5%</w:t>
      </w:r>
      <w:r w:rsidR="62DBAAD5" w:rsidRPr="7966B604">
        <w:rPr>
          <w:rFonts w:cs="Times New Roman"/>
        </w:rPr>
        <w:t xml:space="preserve"> buffer so sources included in the previous GBD cycle would not be excluded from the current cycle </w:t>
      </w:r>
      <w:r w:rsidR="00453C17" w:rsidRPr="7966B604">
        <w:rPr>
          <w:rFonts w:cs="Times New Roman"/>
        </w:rPr>
        <w:t>if</w:t>
      </w:r>
      <w:r w:rsidR="7649BE6C" w:rsidRPr="7966B604">
        <w:rPr>
          <w:rFonts w:cs="Times New Roman"/>
        </w:rPr>
        <w:t xml:space="preserve"> they had at least </w:t>
      </w:r>
      <w:r w:rsidR="7649BE6C" w:rsidRPr="00FA2594">
        <w:rPr>
          <w:rFonts w:cs="Times New Roman"/>
        </w:rPr>
        <w:t>45%</w:t>
      </w:r>
      <w:r w:rsidR="7649BE6C" w:rsidRPr="7966B604">
        <w:rPr>
          <w:rFonts w:cs="Times New Roman"/>
        </w:rPr>
        <w:t xml:space="preserve"> completeness</w:t>
      </w:r>
      <w:r w:rsidR="00046AD7">
        <w:rPr>
          <w:rFonts w:cs="Times New Roman"/>
        </w:rPr>
        <w:t xml:space="preserve"> </w:t>
      </w:r>
      <w:r w:rsidR="006A3567">
        <w:rPr>
          <w:rFonts w:cs="Times New Roman"/>
        </w:rPr>
        <w:t xml:space="preserve">allowing us to retain </w:t>
      </w:r>
      <w:r w:rsidR="006A75BB" w:rsidRPr="00143184">
        <w:rPr>
          <w:rFonts w:cs="Times New Roman"/>
        </w:rPr>
        <w:t>24</w:t>
      </w:r>
      <w:r w:rsidR="006A3567">
        <w:rPr>
          <w:rFonts w:cs="Times New Roman"/>
        </w:rPr>
        <w:t xml:space="preserve"> </w:t>
      </w:r>
      <w:r w:rsidR="2B321835" w:rsidRPr="00BC60E6">
        <w:rPr>
          <w:rFonts w:cs="Times New Roman"/>
        </w:rPr>
        <w:t>coun</w:t>
      </w:r>
      <w:r w:rsidR="2B321835" w:rsidRPr="2F43C4A3">
        <w:rPr>
          <w:rFonts w:cs="Times New Roman"/>
        </w:rPr>
        <w:t>try</w:t>
      </w:r>
      <w:r w:rsidR="006A3567">
        <w:rPr>
          <w:rFonts w:cs="Times New Roman"/>
        </w:rPr>
        <w:t xml:space="preserve"> years that had previously been dropped</w:t>
      </w:r>
      <w:r w:rsidR="00503B32">
        <w:rPr>
          <w:rFonts w:cs="Times New Roman"/>
        </w:rPr>
        <w:t>.</w:t>
      </w:r>
      <w:r w:rsidR="00046AD7">
        <w:rPr>
          <w:rFonts w:cs="Times New Roman"/>
        </w:rPr>
        <w:t xml:space="preserve"> </w:t>
      </w:r>
      <w:r w:rsidR="00781D5D">
        <w:rPr>
          <w:rFonts w:cs="Times New Roman"/>
          <w:shd w:val="clear" w:color="auto" w:fill="FFFFFF"/>
        </w:rPr>
        <w:t xml:space="preserve">The </w:t>
      </w:r>
      <w:r w:rsidR="00125EE4" w:rsidRPr="00125EE4">
        <w:rPr>
          <w:rFonts w:cs="Times New Roman"/>
          <w:shd w:val="clear" w:color="auto" w:fill="FFFFFF"/>
        </w:rPr>
        <w:t xml:space="preserve">estimated all-cause mortality for each age-sex-location-year </w:t>
      </w:r>
      <w:r w:rsidR="00781D5D">
        <w:rPr>
          <w:rFonts w:cs="Times New Roman"/>
          <w:shd w:val="clear" w:color="auto" w:fill="FFFFFF"/>
        </w:rPr>
        <w:t xml:space="preserve">was then multiplied </w:t>
      </w:r>
      <w:r w:rsidR="00125EE4" w:rsidRPr="00125EE4">
        <w:rPr>
          <w:rFonts w:cs="Times New Roman"/>
          <w:shd w:val="clear" w:color="auto" w:fill="FFFFFF"/>
        </w:rPr>
        <w:t xml:space="preserve">by the cause fraction for the corresponding age-sex-location-year to adjust all included sources to </w:t>
      </w:r>
      <w:r w:rsidR="00125EE4" w:rsidRPr="00FA2594">
        <w:rPr>
          <w:rFonts w:cs="Times New Roman"/>
          <w:shd w:val="clear" w:color="auto" w:fill="FFFFFF"/>
        </w:rPr>
        <w:t>100%</w:t>
      </w:r>
      <w:r w:rsidR="00125EE4" w:rsidRPr="00125EE4">
        <w:rPr>
          <w:rFonts w:cs="Times New Roman"/>
          <w:shd w:val="clear" w:color="auto" w:fill="FFFFFF"/>
        </w:rPr>
        <w:t xml:space="preserve"> completeness. VA and VR data availability</w:t>
      </w:r>
      <w:r w:rsidR="00895D7A">
        <w:rPr>
          <w:rFonts w:cs="Times New Roman"/>
          <w:shd w:val="clear" w:color="auto" w:fill="FFFFFF"/>
        </w:rPr>
        <w:t>,</w:t>
      </w:r>
      <w:r w:rsidR="00125EE4" w:rsidRPr="00125EE4">
        <w:rPr>
          <w:rFonts w:cs="Times New Roman"/>
          <w:shd w:val="clear" w:color="auto" w:fill="FFFFFF"/>
        </w:rPr>
        <w:t xml:space="preserve"> completeness</w:t>
      </w:r>
      <w:r w:rsidR="00895D7A">
        <w:rPr>
          <w:rFonts w:cs="Times New Roman"/>
          <w:shd w:val="clear" w:color="auto" w:fill="FFFFFF"/>
        </w:rPr>
        <w:t>, and five-star quality rating</w:t>
      </w:r>
      <w:r w:rsidR="00125EE4" w:rsidRPr="00125EE4">
        <w:rPr>
          <w:rFonts w:cs="Times New Roman"/>
          <w:shd w:val="clear" w:color="auto" w:fill="FFFFFF"/>
        </w:rPr>
        <w:t xml:space="preserve"> </w:t>
      </w:r>
      <w:r w:rsidR="003072BD" w:rsidRPr="00125EE4">
        <w:rPr>
          <w:rFonts w:cs="Times New Roman"/>
          <w:shd w:val="clear" w:color="auto" w:fill="FFFFFF"/>
        </w:rPr>
        <w:t>for</w:t>
      </w:r>
      <w:r w:rsidR="00125EE4" w:rsidRPr="00125EE4">
        <w:rPr>
          <w:rFonts w:cs="Times New Roman"/>
          <w:shd w:val="clear" w:color="auto" w:fill="FFFFFF"/>
        </w:rPr>
        <w:t xml:space="preserve"> each location-year </w:t>
      </w:r>
      <w:r w:rsidR="00781D5D">
        <w:rPr>
          <w:rFonts w:cs="Times New Roman"/>
          <w:shd w:val="clear" w:color="auto" w:fill="FFFFFF"/>
        </w:rPr>
        <w:t xml:space="preserve">are </w:t>
      </w:r>
      <w:r w:rsidR="00895D7A">
        <w:rPr>
          <w:rFonts w:cs="Times New Roman"/>
          <w:shd w:val="clear" w:color="auto" w:fill="FFFFFF"/>
        </w:rPr>
        <w:t>available</w:t>
      </w:r>
      <w:r w:rsidR="00781D5D">
        <w:rPr>
          <w:rFonts w:cs="Times New Roman"/>
          <w:shd w:val="clear" w:color="auto" w:fill="FFFFFF"/>
        </w:rPr>
        <w:t xml:space="preserve"> </w:t>
      </w:r>
      <w:r w:rsidR="00895D7A">
        <w:rPr>
          <w:rFonts w:cs="Times New Roman"/>
        </w:rPr>
        <w:t xml:space="preserve">in the </w:t>
      </w:r>
      <w:r w:rsidR="00712BA6">
        <w:rPr>
          <w:rFonts w:cs="Times New Roman"/>
        </w:rPr>
        <w:t>appendix 1</w:t>
      </w:r>
      <w:r w:rsidR="00A53587">
        <w:rPr>
          <w:rFonts w:cs="Times New Roman"/>
        </w:rPr>
        <w:t xml:space="preserve"> section</w:t>
      </w:r>
      <w:r w:rsidR="00DE0D9A">
        <w:rPr>
          <w:rFonts w:cs="Times New Roman"/>
        </w:rPr>
        <w:t xml:space="preserve"> 3</w:t>
      </w:r>
      <w:r w:rsidR="00771C08">
        <w:rPr>
          <w:rFonts w:cs="Times New Roman"/>
        </w:rPr>
        <w:t>.</w:t>
      </w:r>
      <w:r w:rsidR="0085696E">
        <w:rPr>
          <w:rFonts w:cs="Times New Roman"/>
        </w:rPr>
        <w:t xml:space="preserve"> Full details on all data processing corrections can be found in appendix 1 section</w:t>
      </w:r>
      <w:r w:rsidR="00B84150">
        <w:rPr>
          <w:rFonts w:cs="Times New Roman"/>
        </w:rPr>
        <w:t xml:space="preserve"> 3</w:t>
      </w:r>
      <w:r w:rsidR="0085696E">
        <w:rPr>
          <w:rFonts w:cs="Times New Roman"/>
        </w:rPr>
        <w:t>.</w:t>
      </w:r>
    </w:p>
    <w:p w14:paraId="2DE9DB87" w14:textId="17936B33" w:rsidR="00F3568E" w:rsidRPr="004204BE" w:rsidRDefault="28F653C7" w:rsidP="00610382">
      <w:pPr>
        <w:pStyle w:val="Heading3"/>
        <w:spacing w:line="360" w:lineRule="auto"/>
      </w:pPr>
      <w:r w:rsidRPr="00EA36D2">
        <w:t>Improvement</w:t>
      </w:r>
      <w:r w:rsidRPr="00EA36D2">
        <w:rPr>
          <w:rStyle w:val="toptext"/>
        </w:rPr>
        <w:t>s in G</w:t>
      </w:r>
      <w:r w:rsidRPr="004204BE">
        <w:t xml:space="preserve">BD 2021 to </w:t>
      </w:r>
      <w:r w:rsidR="005A108F" w:rsidRPr="004204BE">
        <w:t>c</w:t>
      </w:r>
      <w:r w:rsidRPr="004204BE">
        <w:t xml:space="preserve">ause of </w:t>
      </w:r>
      <w:r w:rsidR="005A108F" w:rsidRPr="004204BE">
        <w:t>d</w:t>
      </w:r>
      <w:r w:rsidRPr="004204BE">
        <w:t xml:space="preserve">eath </w:t>
      </w:r>
      <w:r w:rsidR="005A108F" w:rsidRPr="004204BE">
        <w:t>d</w:t>
      </w:r>
      <w:r w:rsidRPr="004204BE">
        <w:t xml:space="preserve">ata </w:t>
      </w:r>
      <w:r w:rsidR="005A108F" w:rsidRPr="004204BE">
        <w:t>p</w:t>
      </w:r>
      <w:r w:rsidRPr="004204BE">
        <w:t>rocessing</w:t>
      </w:r>
      <w:r w:rsidR="007968E1">
        <w:t xml:space="preserve"> and estimation</w:t>
      </w:r>
    </w:p>
    <w:p w14:paraId="2C5C1F95" w14:textId="01CB13EB" w:rsidR="5E95D0FD" w:rsidRPr="003C4751" w:rsidRDefault="3B971F62" w:rsidP="004204BE">
      <w:pPr>
        <w:pStyle w:val="Heading5"/>
        <w:spacing w:line="360" w:lineRule="auto"/>
        <w:rPr>
          <w:b/>
          <w:i w:val="0"/>
        </w:rPr>
      </w:pPr>
      <w:r w:rsidRPr="004204BE">
        <w:t xml:space="preserve">Adjustments for </w:t>
      </w:r>
      <w:r w:rsidR="00A53BD0" w:rsidRPr="004204BE">
        <w:t>s</w:t>
      </w:r>
      <w:r w:rsidRPr="004204BE">
        <w:t xml:space="preserve">tochastic </w:t>
      </w:r>
      <w:r w:rsidR="00A53BD0" w:rsidRPr="004204BE">
        <w:t>v</w:t>
      </w:r>
      <w:r w:rsidRPr="004204BE">
        <w:t>ariation</w:t>
      </w:r>
    </w:p>
    <w:p w14:paraId="4D3EFDB7" w14:textId="6FD959A4" w:rsidR="68CBCB25" w:rsidRPr="00330733" w:rsidRDefault="3B971F62" w:rsidP="004204BE">
      <w:pPr>
        <w:spacing w:line="360" w:lineRule="auto"/>
      </w:pPr>
      <w:r>
        <w:t>In GBD</w:t>
      </w:r>
      <w:r w:rsidR="00811F88">
        <w:t xml:space="preserve"> </w:t>
      </w:r>
      <w:r>
        <w:t>2021</w:t>
      </w:r>
      <w:r w:rsidR="00811F88">
        <w:t>,</w:t>
      </w:r>
      <w:r>
        <w:t xml:space="preserve"> two primary improvements were made to the methods used to reduce stochastic variation</w:t>
      </w:r>
      <w:r w:rsidR="00F24712">
        <w:t>, most impacting causes of death</w:t>
      </w:r>
      <w:r>
        <w:t xml:space="preserve"> with small sample size. First, the Bayesian algorithm used in the noise reduction of these data</w:t>
      </w:r>
      <w:r w:rsidR="00DE0122">
        <w:t xml:space="preserve"> was updated to </w:t>
      </w:r>
      <w:r w:rsidR="002A246B">
        <w:t>improve the</w:t>
      </w:r>
      <w:r>
        <w:t xml:space="preserve"> preserv</w:t>
      </w:r>
      <w:r w:rsidR="002A246B">
        <w:t>ation of</w:t>
      </w:r>
      <w:r>
        <w:t xml:space="preserve"> real trends in data with large sample size, while imparting additional information from regional trends for data with small sample size. Second, the non-zero floor, a method that addresses distorted data shapes and non</w:t>
      </w:r>
      <w:r w:rsidR="00E82A27">
        <w:t>-</w:t>
      </w:r>
      <w:r>
        <w:t>sensical trends caused by small numbers when transformed to log space, was updated to be time</w:t>
      </w:r>
      <w:r w:rsidR="00E82A27">
        <w:t>-</w:t>
      </w:r>
      <w:r>
        <w:t xml:space="preserve">invariant and independent of demographic inputs. The full details of these two key improvements, as well as other improvements </w:t>
      </w:r>
      <w:r w:rsidR="00502929">
        <w:t>that address</w:t>
      </w:r>
      <w:r>
        <w:t xml:space="preserve"> </w:t>
      </w:r>
      <w:r w:rsidR="2F78BC0F">
        <w:t>stochastic</w:t>
      </w:r>
      <w:r>
        <w:t xml:space="preserve"> variation, can be found in appendix 1</w:t>
      </w:r>
      <w:r w:rsidR="00A53587">
        <w:t xml:space="preserve"> section </w:t>
      </w:r>
      <w:r w:rsidR="00B31CE4">
        <w:t>3.14</w:t>
      </w:r>
      <w:r w:rsidR="004D15D2">
        <w:t>.</w:t>
      </w:r>
    </w:p>
    <w:p w14:paraId="5A9FE5D8" w14:textId="43A508CB" w:rsidR="00CF234C" w:rsidRDefault="3E9DD3C4" w:rsidP="00CF234C">
      <w:pPr>
        <w:pStyle w:val="Heading5"/>
        <w:spacing w:line="360" w:lineRule="auto"/>
      </w:pPr>
      <w:r>
        <w:t xml:space="preserve">COVID-19 </w:t>
      </w:r>
      <w:r w:rsidR="007B0569">
        <w:t xml:space="preserve">and other pandemic-related </w:t>
      </w:r>
      <w:r w:rsidR="005E65B6">
        <w:t xml:space="preserve">mortality (OPRM) </w:t>
      </w:r>
      <w:r w:rsidR="00FE01E9">
        <w:t>e</w:t>
      </w:r>
      <w:r>
        <w:t>stimation</w:t>
      </w:r>
    </w:p>
    <w:p w14:paraId="2E204911" w14:textId="0DBF39B5" w:rsidR="003B5751" w:rsidRDefault="00B25FB5" w:rsidP="006750EF">
      <w:pPr>
        <w:spacing w:line="360" w:lineRule="auto"/>
      </w:pPr>
      <w:r>
        <w:t xml:space="preserve">COVID-19 </w:t>
      </w:r>
      <w:r w:rsidR="00AB0A87">
        <w:t xml:space="preserve">and OPRM </w:t>
      </w:r>
      <w:r>
        <w:t>estimates</w:t>
      </w:r>
      <w:r w:rsidR="00E51BA2">
        <w:t xml:space="preserve"> were derived from an </w:t>
      </w:r>
      <w:r w:rsidR="00B75D5D" w:rsidRPr="7904EA52">
        <w:t xml:space="preserve">analysis of </w:t>
      </w:r>
      <w:r w:rsidR="00A70781">
        <w:t>the overall</w:t>
      </w:r>
      <w:r w:rsidR="00B75D5D" w:rsidRPr="7904EA52">
        <w:t xml:space="preserve"> excess mortality due to the COVID-19 pandemic from Jan</w:t>
      </w:r>
      <w:r w:rsidR="00E82A27">
        <w:t>uary</w:t>
      </w:r>
      <w:r w:rsidR="00B75D5D" w:rsidRPr="7904EA52">
        <w:t xml:space="preserve"> 1, 2020, to Dec</w:t>
      </w:r>
      <w:r w:rsidR="00E82A27">
        <w:t>ember</w:t>
      </w:r>
      <w:r w:rsidR="00B75D5D" w:rsidRPr="7904EA52">
        <w:t xml:space="preserve"> 31, 2021</w:t>
      </w:r>
      <w:r w:rsidR="00CF1923">
        <w:t xml:space="preserve">. </w:t>
      </w:r>
      <w:r w:rsidR="00EA61A1">
        <w:rPr>
          <w:lang w:val="en-US"/>
        </w:rPr>
        <w:t xml:space="preserve">Full details of the estimation of excess mortality, COVID-19 deaths, and OPRM </w:t>
      </w:r>
      <w:r w:rsidR="00706129">
        <w:rPr>
          <w:lang w:val="en-US"/>
        </w:rPr>
        <w:t xml:space="preserve">are provided in appendix 1 section </w:t>
      </w:r>
      <w:r w:rsidR="000779A6">
        <w:rPr>
          <w:lang w:val="en-US"/>
        </w:rPr>
        <w:t>5</w:t>
      </w:r>
      <w:r w:rsidR="00706129">
        <w:rPr>
          <w:lang w:val="en-US"/>
        </w:rPr>
        <w:t xml:space="preserve">. </w:t>
      </w:r>
      <w:r w:rsidR="00350C84">
        <w:t xml:space="preserve">To estimate excess mortality, </w:t>
      </w:r>
      <w:r w:rsidR="00B75D5D" w:rsidRPr="7904EA52">
        <w:t xml:space="preserve">we </w:t>
      </w:r>
      <w:r w:rsidR="00350C84">
        <w:t xml:space="preserve">first </w:t>
      </w:r>
      <w:r w:rsidR="00B75D5D" w:rsidRPr="7904EA52">
        <w:t xml:space="preserve">developed a database of all-cause mortality by week and month after accounting for </w:t>
      </w:r>
      <w:r w:rsidR="00B75D5D" w:rsidRPr="7904EA52">
        <w:lastRenderedPageBreak/>
        <w:t xml:space="preserve">reporting lags, anomalies such as heat waves, and under-registration of death. </w:t>
      </w:r>
      <w:r w:rsidR="00350C84">
        <w:t>Next</w:t>
      </w:r>
      <w:r w:rsidR="00B75D5D" w:rsidRPr="7904EA52">
        <w:t xml:space="preserve">, we developed an ensemble model to predict expected deaths in the absence of the COVID-19 pandemic for </w:t>
      </w:r>
      <w:r w:rsidR="00BF4D13">
        <w:t xml:space="preserve">the </w:t>
      </w:r>
      <w:r w:rsidR="00B75D5D" w:rsidRPr="7904EA52">
        <w:t xml:space="preserve">years 2020 and 2021. In location and time combinations with data </w:t>
      </w:r>
      <w:r w:rsidR="00FE6A30">
        <w:t>used fo</w:t>
      </w:r>
      <w:r w:rsidR="008467F1">
        <w:t>r these models</w:t>
      </w:r>
      <w:r w:rsidR="00B75D5D" w:rsidRPr="7904EA52">
        <w:t xml:space="preserve">, excess mortality was estimated as observed mortality minus expected mortality. </w:t>
      </w:r>
      <w:r w:rsidR="00350C84">
        <w:t>To</w:t>
      </w:r>
      <w:r w:rsidR="00B75D5D" w:rsidRPr="7904EA52">
        <w:t xml:space="preserve"> estimate excess </w:t>
      </w:r>
      <w:r w:rsidR="003E58E3">
        <w:t xml:space="preserve">mortality </w:t>
      </w:r>
      <w:r w:rsidR="00B75D5D" w:rsidRPr="7904EA52">
        <w:t xml:space="preserve">for </w:t>
      </w:r>
      <w:r w:rsidR="00AD02FC">
        <w:t>location</w:t>
      </w:r>
      <w:r w:rsidR="00350C84">
        <w:t>-years without data</w:t>
      </w:r>
      <w:r w:rsidR="00B75D5D" w:rsidRPr="7904EA52">
        <w:t>, we developed a statistical model to directly predict the excess mortality due to COVID-19, using covariates that pertained to both the COVID-19 pandemic and background population</w:t>
      </w:r>
      <w:r w:rsidR="008515CF">
        <w:t>-</w:t>
      </w:r>
      <w:r w:rsidR="00B75D5D" w:rsidRPr="7904EA52">
        <w:t xml:space="preserve">health-related metrics at the population level before SARS-CoV-2 emerged. </w:t>
      </w:r>
      <w:r w:rsidR="009914A9">
        <w:t xml:space="preserve">Uncertainty was propagated </w:t>
      </w:r>
      <w:r w:rsidR="003B5751">
        <w:t>through</w:t>
      </w:r>
      <w:r w:rsidR="00B75D5D" w:rsidRPr="7904EA52">
        <w:t xml:space="preserve"> each step</w:t>
      </w:r>
      <w:r w:rsidR="003B5751">
        <w:t xml:space="preserve"> of this estimation procedure</w:t>
      </w:r>
      <w:r w:rsidR="00B75D5D" w:rsidRPr="7904EA52">
        <w:t>.</w:t>
      </w:r>
      <w:r w:rsidR="00E215A1">
        <w:fldChar w:fldCharType="begin"/>
      </w:r>
      <w:r w:rsidR="00E215A1">
        <w:instrText xml:space="preserve"> ADDIN ZOTERO_ITEM CSL_CITATION {"citationID":"fCHtAYnd","properties":{"formattedCitation":"\\super 12\\nosupersub{}","plainCitation":"12","noteIndex":0},"citationItems":[{"id":127594,"uris":["http://zotero.org/groups/2154524/items/RCH9UKLW"],"itemData":{"id":127594,"type":"article-journal","container-title":"Lancet","title":"Global age-sex-specific mortality, life expectancy, and population estimates in 204 countries and territories and 811 subnational locations, 1950–2021: a comprehensive demographic analysis for the Global Burden of Disease Study 2021","author":[{"literal":"GBD 2021 Demographics Collaborators"}],"issued":{"literal":"submitted; under review"}}}],"schema":"https://github.com/citation-style-language/schema/raw/master/csl-citation.json"} </w:instrText>
      </w:r>
      <w:r w:rsidR="00E215A1">
        <w:fldChar w:fldCharType="separate"/>
      </w:r>
      <w:r w:rsidR="00E215A1" w:rsidRPr="00E215A1">
        <w:rPr>
          <w:rFonts w:cs="Times New Roman"/>
          <w:szCs w:val="24"/>
          <w:vertAlign w:val="superscript"/>
        </w:rPr>
        <w:t>12</w:t>
      </w:r>
      <w:r w:rsidR="00E215A1">
        <w:fldChar w:fldCharType="end"/>
      </w:r>
      <w:r w:rsidR="00525D8B">
        <w:t xml:space="preserve"> </w:t>
      </w:r>
    </w:p>
    <w:p w14:paraId="78947E11" w14:textId="50AA6545" w:rsidR="5B1F255F" w:rsidRDefault="008B171C" w:rsidP="006750EF">
      <w:pPr>
        <w:spacing w:line="360" w:lineRule="auto"/>
      </w:pPr>
      <w:r w:rsidRPr="7904EA52">
        <w:t>To produce the final COVID-19 deaths used in GBD 2021,</w:t>
      </w:r>
      <w:r w:rsidR="00525420" w:rsidRPr="7904EA52">
        <w:t xml:space="preserve"> </w:t>
      </w:r>
      <w:r w:rsidR="00F674EC" w:rsidRPr="00F674EC">
        <w:t>we use a counterfactual approach. The counterfactual estimate</w:t>
      </w:r>
      <w:r w:rsidR="00F674EC">
        <w:t>s</w:t>
      </w:r>
      <w:r w:rsidR="00F674EC" w:rsidRPr="00F674EC">
        <w:t xml:space="preserve"> </w:t>
      </w:r>
      <w:r w:rsidR="00F674EC">
        <w:t>the number of deaths if infection detection rates were at the highest observed value</w:t>
      </w:r>
      <w:r w:rsidR="00007B82">
        <w:t xml:space="preserve"> for each location-year</w:t>
      </w:r>
      <w:r w:rsidR="00F674EC" w:rsidRPr="00F674EC">
        <w:t xml:space="preserve">. </w:t>
      </w:r>
      <w:r w:rsidR="00173583">
        <w:t>Using the</w:t>
      </w:r>
      <w:r w:rsidR="00F674EC" w:rsidRPr="00F674EC">
        <w:t xml:space="preserve"> ratio of counterfactual over </w:t>
      </w:r>
      <w:r w:rsidR="00173583">
        <w:t>estimated</w:t>
      </w:r>
      <w:r w:rsidR="00F674EC" w:rsidRPr="00F674EC">
        <w:t xml:space="preserve"> excess deaths and the ratio of </w:t>
      </w:r>
      <w:r w:rsidR="00461D07">
        <w:t xml:space="preserve">reported </w:t>
      </w:r>
      <w:r w:rsidR="00F674EC" w:rsidRPr="00F674EC">
        <w:t>COVID</w:t>
      </w:r>
      <w:r w:rsidR="00461D07">
        <w:t>-19</w:t>
      </w:r>
      <w:r w:rsidR="00F674EC" w:rsidRPr="00F674EC">
        <w:t xml:space="preserve"> </w:t>
      </w:r>
      <w:r w:rsidR="00461D07">
        <w:t xml:space="preserve">deaths </w:t>
      </w:r>
      <w:r w:rsidR="00F674EC" w:rsidRPr="00F674EC">
        <w:t xml:space="preserve">over excess deaths, we calculate the ratio of </w:t>
      </w:r>
      <w:r w:rsidR="00007B82">
        <w:t>total COVID-19 deaths</w:t>
      </w:r>
      <w:r w:rsidR="00F674EC" w:rsidRPr="00F674EC">
        <w:t xml:space="preserve"> over reported COVID</w:t>
      </w:r>
      <w:r w:rsidR="00007B82">
        <w:t xml:space="preserve">-19 deaths and multiply this by reported COVID-19 deaths </w:t>
      </w:r>
      <w:r w:rsidR="00367F21">
        <w:t>to arr</w:t>
      </w:r>
      <w:r w:rsidR="004B0923">
        <w:t>ive at our final estimates of</w:t>
      </w:r>
      <w:r w:rsidR="00367F21">
        <w:t xml:space="preserve"> COVID-19 deaths.</w:t>
      </w:r>
      <w:r w:rsidR="00986E4C">
        <w:fldChar w:fldCharType="begin"/>
      </w:r>
      <w:r w:rsidR="00986E4C">
        <w:instrText xml:space="preserve"> ADDIN ZOTERO_ITEM CSL_CITATION {"citationID":"7JHBH7Fc","properties":{"formattedCitation":"\\super 12\\nosupersub{}","plainCitation":"12","noteIndex":0},"citationItems":[{"id":127594,"uris":["http://zotero.org/groups/2154524/items/RCH9UKLW"],"itemData":{"id":127594,"type":"article-journal","container-title":"Lancet","title":"Global age-sex-specific mortality, life expectancy, and population estimates in 204 countries and territories and 811 subnational locations, 1950–2021: a comprehensive demographic analysis for the Global Burden of Disease Study 2021","author":[{"literal":"GBD 2021 Demographics Collaborators"}],"issued":{"literal":"submitted; under review"}}}],"schema":"https://github.com/citation-style-language/schema/raw/master/csl-citation.json"} </w:instrText>
      </w:r>
      <w:r w:rsidR="00986E4C">
        <w:fldChar w:fldCharType="separate"/>
      </w:r>
      <w:r w:rsidR="00986E4C" w:rsidRPr="00986E4C">
        <w:rPr>
          <w:rFonts w:cs="Times New Roman"/>
          <w:szCs w:val="24"/>
          <w:vertAlign w:val="superscript"/>
        </w:rPr>
        <w:t>12</w:t>
      </w:r>
      <w:r w:rsidR="00986E4C">
        <w:fldChar w:fldCharType="end"/>
      </w:r>
      <w:r w:rsidR="00367F21">
        <w:t xml:space="preserve"> </w:t>
      </w:r>
    </w:p>
    <w:p w14:paraId="36377922" w14:textId="6A57E836" w:rsidR="00F3473B" w:rsidRPr="00D246D8" w:rsidRDefault="518D344A" w:rsidP="00610382">
      <w:pPr>
        <w:spacing w:line="360" w:lineRule="auto"/>
        <w:rPr>
          <w:lang w:val="en-US"/>
        </w:rPr>
      </w:pPr>
      <w:r w:rsidRPr="007F1BB4">
        <w:rPr>
          <w:lang w:val="en-US"/>
        </w:rPr>
        <w:t xml:space="preserve">To account for increases in excess mortality in 2020 and 2021 that could not be attributed to </w:t>
      </w:r>
      <w:proofErr w:type="gramStart"/>
      <w:r w:rsidRPr="007F1BB4">
        <w:rPr>
          <w:lang w:val="en-US"/>
        </w:rPr>
        <w:t>particular causes</w:t>
      </w:r>
      <w:proofErr w:type="gramEnd"/>
      <w:r w:rsidRPr="007F1BB4">
        <w:rPr>
          <w:lang w:val="en-US"/>
        </w:rPr>
        <w:t xml:space="preserve">, we introduced a residual cause, </w:t>
      </w:r>
      <w:r w:rsidRPr="003238BD">
        <w:rPr>
          <w:lang w:val="en-US"/>
        </w:rPr>
        <w:t>OPRM</w:t>
      </w:r>
      <w:r w:rsidR="00874D29">
        <w:rPr>
          <w:lang w:val="en-US"/>
        </w:rPr>
        <w:t xml:space="preserve">. </w:t>
      </w:r>
      <w:r w:rsidR="00DA3F2B">
        <w:rPr>
          <w:lang w:val="en-US"/>
        </w:rPr>
        <w:t>Four causes of death—</w:t>
      </w:r>
      <w:r w:rsidR="00DA3F2B" w:rsidRPr="00DA3F2B">
        <w:rPr>
          <w:lang w:val="en-US"/>
        </w:rPr>
        <w:t xml:space="preserve"> </w:t>
      </w:r>
      <w:r w:rsidR="00DA3F2B">
        <w:rPr>
          <w:lang w:val="en-US"/>
        </w:rPr>
        <w:t>lower respiratory infections</w:t>
      </w:r>
      <w:r w:rsidR="00DA3F2B" w:rsidRPr="69BE969F">
        <w:rPr>
          <w:lang w:val="en-US"/>
        </w:rPr>
        <w:t xml:space="preserve">, measles, </w:t>
      </w:r>
      <w:r w:rsidR="00DA3F2B" w:rsidRPr="643564D3">
        <w:rPr>
          <w:lang w:val="en-US"/>
        </w:rPr>
        <w:t>malaria</w:t>
      </w:r>
      <w:r w:rsidR="00DA3F2B">
        <w:rPr>
          <w:lang w:val="en-US"/>
        </w:rPr>
        <w:t>,</w:t>
      </w:r>
      <w:r w:rsidR="00DA3F2B" w:rsidRPr="643564D3">
        <w:rPr>
          <w:lang w:val="en-US"/>
        </w:rPr>
        <w:t xml:space="preserve"> and</w:t>
      </w:r>
      <w:r w:rsidR="00DA3F2B" w:rsidRPr="69BE969F">
        <w:rPr>
          <w:lang w:val="en-US"/>
        </w:rPr>
        <w:t xml:space="preserve"> pertussis</w:t>
      </w:r>
      <w:r w:rsidR="00DA3F2B">
        <w:rPr>
          <w:lang w:val="en-US"/>
        </w:rPr>
        <w:t>—</w:t>
      </w:r>
      <w:r w:rsidR="00D63EF2">
        <w:rPr>
          <w:lang w:val="en-US"/>
        </w:rPr>
        <w:t xml:space="preserve">were identified as related to the COVID-19 pandemic and having reliable </w:t>
      </w:r>
      <w:r w:rsidR="00E279FE">
        <w:rPr>
          <w:lang w:val="en-US"/>
        </w:rPr>
        <w:t xml:space="preserve">enough </w:t>
      </w:r>
      <w:r w:rsidR="00D63EF2">
        <w:rPr>
          <w:lang w:val="en-US"/>
        </w:rPr>
        <w:t>estimates</w:t>
      </w:r>
      <w:r w:rsidR="00E279FE">
        <w:rPr>
          <w:lang w:val="en-US"/>
        </w:rPr>
        <w:t xml:space="preserve"> to not </w:t>
      </w:r>
      <w:r w:rsidR="003A13A0">
        <w:rPr>
          <w:lang w:val="en-US"/>
        </w:rPr>
        <w:t xml:space="preserve">contribute to OPRM. Thus, OPRM </w:t>
      </w:r>
      <w:r w:rsidRPr="003238BD">
        <w:rPr>
          <w:lang w:val="en-US"/>
        </w:rPr>
        <w:t xml:space="preserve">was calculated as </w:t>
      </w:r>
      <w:r w:rsidR="00AD6E6C">
        <w:rPr>
          <w:lang w:val="en-US"/>
        </w:rPr>
        <w:t xml:space="preserve">the difference between </w:t>
      </w:r>
      <w:r w:rsidRPr="003238BD">
        <w:rPr>
          <w:lang w:val="en-US"/>
        </w:rPr>
        <w:t xml:space="preserve">excess mortality </w:t>
      </w:r>
      <w:r w:rsidR="003E05E0">
        <w:rPr>
          <w:lang w:val="en-US"/>
        </w:rPr>
        <w:t>and the sum of deaths due to</w:t>
      </w:r>
      <w:r w:rsidR="003E05E0" w:rsidRPr="4BBBBE15">
        <w:rPr>
          <w:lang w:val="en-US"/>
        </w:rPr>
        <w:t xml:space="preserve"> </w:t>
      </w:r>
      <w:r w:rsidR="35AA4538" w:rsidRPr="4BBBBE15">
        <w:rPr>
          <w:lang w:val="en-US"/>
        </w:rPr>
        <w:t>COVID-19 and</w:t>
      </w:r>
      <w:r w:rsidR="006D5436">
        <w:rPr>
          <w:lang w:val="en-US"/>
        </w:rPr>
        <w:t xml:space="preserve"> </w:t>
      </w:r>
      <w:r w:rsidRPr="003238BD">
        <w:rPr>
          <w:lang w:val="en-US"/>
        </w:rPr>
        <w:t>the</w:t>
      </w:r>
      <w:r w:rsidR="003E05E0">
        <w:rPr>
          <w:lang w:val="en-US"/>
        </w:rPr>
        <w:t>se</w:t>
      </w:r>
      <w:r w:rsidRPr="003238BD">
        <w:rPr>
          <w:lang w:val="en-US"/>
        </w:rPr>
        <w:t xml:space="preserve"> </w:t>
      </w:r>
      <w:r w:rsidR="00377F76">
        <w:rPr>
          <w:lang w:val="en-US"/>
        </w:rPr>
        <w:t>four</w:t>
      </w:r>
      <w:r w:rsidRPr="003238BD">
        <w:rPr>
          <w:lang w:val="en-US"/>
        </w:rPr>
        <w:t xml:space="preserve"> causes</w:t>
      </w:r>
      <w:r w:rsidR="00AD6E6C">
        <w:rPr>
          <w:lang w:val="en-US"/>
        </w:rPr>
        <w:t>.</w:t>
      </w:r>
      <w:r w:rsidR="00986E4C">
        <w:rPr>
          <w:lang w:val="en-US"/>
        </w:rPr>
        <w:fldChar w:fldCharType="begin"/>
      </w:r>
      <w:r w:rsidR="00986E4C">
        <w:rPr>
          <w:lang w:val="en-US"/>
        </w:rPr>
        <w:instrText xml:space="preserve"> ADDIN ZOTERO_ITEM CSL_CITATION {"citationID":"dUNSvwAV","properties":{"formattedCitation":"\\super 12\\nosupersub{}","plainCitation":"12","noteIndex":0},"citationItems":[{"id":127594,"uris":["http://zotero.org/groups/2154524/items/RCH9UKLW"],"itemData":{"id":127594,"type":"article-journal","container-title":"Lancet","title":"Global age-sex-specific mortality, life expectancy, and population estimates in 204 countries and territories and 811 subnational locations, 1950–2021: a comprehensive demographic analysis for the Global Burden of Disease Study 2021","author":[{"literal":"GBD 2021 Demographics Collaborators"}],"issued":{"literal":"submitted; under review"}}}],"schema":"https://github.com/citation-style-language/schema/raw/master/csl-citation.json"} </w:instrText>
      </w:r>
      <w:r w:rsidR="00986E4C">
        <w:rPr>
          <w:lang w:val="en-US"/>
        </w:rPr>
        <w:fldChar w:fldCharType="separate"/>
      </w:r>
      <w:r w:rsidR="00986E4C" w:rsidRPr="00986E4C">
        <w:rPr>
          <w:rFonts w:cs="Times New Roman"/>
          <w:szCs w:val="24"/>
          <w:vertAlign w:val="superscript"/>
        </w:rPr>
        <w:t>12</w:t>
      </w:r>
      <w:r w:rsidR="00986E4C">
        <w:rPr>
          <w:lang w:val="en-US"/>
        </w:rPr>
        <w:fldChar w:fldCharType="end"/>
      </w:r>
      <w:r w:rsidR="003E05E0">
        <w:rPr>
          <w:lang w:val="en-US"/>
        </w:rPr>
        <w:t xml:space="preserve"> </w:t>
      </w:r>
    </w:p>
    <w:p w14:paraId="495C0606" w14:textId="7BA498AA" w:rsidR="00EF7D1C" w:rsidRPr="00620BA6" w:rsidRDefault="00EF7D1C" w:rsidP="00610382">
      <w:pPr>
        <w:pStyle w:val="Heading3"/>
        <w:spacing w:line="360" w:lineRule="auto"/>
      </w:pPr>
      <w:r w:rsidRPr="00620BA6">
        <w:t xml:space="preserve">Presentation of </w:t>
      </w:r>
      <w:r w:rsidR="00BA6055">
        <w:t xml:space="preserve">cause-specific mortality </w:t>
      </w:r>
      <w:r w:rsidRPr="00620BA6">
        <w:t>estimates</w:t>
      </w:r>
    </w:p>
    <w:p w14:paraId="654634F4" w14:textId="36001B14" w:rsidR="00D246D8" w:rsidRPr="00ED02DF" w:rsidRDefault="00C81597" w:rsidP="00610382">
      <w:pPr>
        <w:spacing w:line="360" w:lineRule="auto"/>
        <w:rPr>
          <w:lang w:val="en-US"/>
        </w:rPr>
      </w:pPr>
      <w:r>
        <w:t>Cause-specific mortality</w:t>
      </w:r>
      <w:r w:rsidR="00EC3F7D">
        <w:t xml:space="preserve"> estimates </w:t>
      </w:r>
      <w:r w:rsidR="00BC2BF9">
        <w:t>for 2021</w:t>
      </w:r>
      <w:r w:rsidR="00D373AC">
        <w:t xml:space="preserve"> </w:t>
      </w:r>
      <w:r w:rsidR="00EC3F7D">
        <w:t xml:space="preserve">are given in </w:t>
      </w:r>
      <w:r>
        <w:t>death</w:t>
      </w:r>
      <w:r w:rsidR="00FB2804">
        <w:t xml:space="preserve"> </w:t>
      </w:r>
      <w:r w:rsidR="00EC3F7D">
        <w:t>counts and age-standardised rates per 100 000 population, calculated using the GBD standard population structure</w:t>
      </w:r>
      <w:r w:rsidR="00FB2804">
        <w:t>.</w:t>
      </w:r>
      <w:r w:rsidR="000C1471">
        <w:fldChar w:fldCharType="begin"/>
      </w:r>
      <w:r w:rsidR="000C1471">
        <w:instrText xml:space="preserve"> ADDIN ZOTERO_ITEM CSL_CITATION {"citationID":"x05oGCJY","properties":{"formattedCitation":"\\super 10\\nosupersub{}","plainCitation":"10","noteIndex":0},"citationItems":[{"id":126526,"uris":["http://zotero.org/groups/2154524/items/CVUR4VAE"],"itemData":{"id":126526,"type":"article-journal","abstract":"BACKGROUND: Accurate and up-to-date assessment of demographic metrics is crucial for understanding a wide range of social, economic, and public health issues that affect populations worldwide. The Global Burden of Diseases, Injuries, and Risk Factors Study (GBD) 2019 produced updated and comprehensive demographic assessments of the key indicators of fertility, mortality, migration, and population for 204 countries and territories and selected subnational locations from 1950 to 2019.\nMETHODS: 8078 country-years of vital registration and sample registration data, 938 surveys, 349 censuses, and 238 other sources were identified and used to estimate age-specific fertility. Spatiotemporal Gaussian process regression (ST-GPR) was used to generate age-specific fertility rates for 5-year age groups between ages 15 and 49 years. With extensions to age groups 10-14 and 50-54 years, the total fertility rate (TFR) was then aggregated using the estimated age-specific fertility between ages 10 and 54 years. 7417 sources were used for under-5 mortality estimation and 7355 for adult mortality. ST-GPR was used to synthesise data sources after correction for known biases. Adult mortality was measured as the probability of death between ages 15 and 60 years based on vital registration, sample registration, and sibling histories, and was also estimated using ST-GPR. HIV-free life tables were then estimated using estimates of under-5 and adult mortality rates using a relational model life table system created for GBD, which closely tracks observed age-specific mortality rates from complete vital registration when available. Independent estimates of HIV-specific mortality generated by an epidemiological analysis of HIV prevalence surveys and antenatal clinic serosurveillance and other sources were incorporated into the estimates in countries with large epidemics. Annual and single-year age estimates of net migration and population for each country and territory were generated using a Bayesian hierarchical cohort component model that analysed estimated age-specific fertility and mortality rates along with 1250 censuses and 747 population registry years. We classified location-years into seven categories on the basis of the natural rate of increase in population (calculated by subtracting the crude death rate from the crude birth rate) and the net migration rate. We computed healthy life expectancy (HALE) using years lived with disability (YLDs) per capita, life tables, and standard demographic methods. Uncertainty was propagated throughout the demographic estimation process, including fertility, mortality, and population, with 1000 draw-level estimates produced for each metric.\nFINDINGS: The global TFR decreased from 2·72 (95% uncertainty interval [UI] 2·66-2·79) in 2000 to 2·31 (2·17-2·46) in 2019. Global annual livebirths increased from 134·5 million (131·5-137·8) in 2000 to a peak of 139·6 million (133·0-146·9) in 2016. Global livebirths then declined to 135·3 million (127·2-144·1) in 2019. Of the 204 countries and territories included in this study, in 2019, 102 had a TFR lower than 2·1, which is considered a good approximation of replacement-level fertility. All countries in sub-Saharan Africa had TFRs above replacement level in 2019 and accounted for 27·1% (95% UI 26·4-27·8) of global livebirths. Global life expectancy at birth increased from 67·2 years (95% UI 66·8-67·6) in 2000 to 73·5 years (72·8-74·3) in 2019. The total number of deaths increased from 50·7 million (49·5-51·9) in 2000 to 56·5 million (53·7-59·2) in 2019. Under-5 deaths declined from 9·6 million (9·1-10·3) in 2000 to 5·0 million (4·3-6·0) in 2019. Global population increased by 25·7%, from 6·2 billion (6·0-6·3) in 2000 to 7·7 billion (7·5-8·0) in 2019. In 2019, 34 countries had negative natural rates of increase; in 17 of these, the population declined because immigration was not sufficient to counteract the negative rate of decline. Globally, HALE increased from 58·6 years (56·1-60·8) in 2000 to 63·5 years (60·8-66·1) in 2019. HALE increased in 202 of 204 countries and territories between 2000 and 2019.\nINTERPRETATION: Over the past 20 years, fertility rates have been dropping steadily and life expectancy has been increasing, with few exceptions. Much of this change follows historical patterns linking social and economic determinants, such as those captured by the GBD Socio-demographic Index, with demographic outcomes. More recently, several countries have experienced a combination of low fertility and stagnating improvement in mortality rates, pushing more populations into the late stages of the demographic transition. Tracking demographic change and the emergence of new patterns will be essential for global health monitoring.\nFUNDING: Bill &amp; Melinda Gates Foundation.","container-title":"Lancet","DOI":"10.1016/S0140-6736(20)30977-6","ISSN":"1474-547X","issue":"10258","journalAbbreviation":"Lancet","language":"eng","note":"PMID: 33069325\nPMCID: PMC7566045","page":"1160-1203","source":"PubMed","title":"Global age-sex-specific fertility, mortality, healthy life expectancy (HALE), and population estimates in 204 countries and territories, 1950-2019: a comprehensive demographic analysis for the Global Burden of Disease Study 2019","title-short":"Global age-sex-specific fertility, mortality, healthy life expectancy (HALE), and population estimates in 204 countries and territories, 1950-2019","volume":"396","author":[{"literal":"GBD 2019 Demographics Collaborators"}],"issued":{"date-parts":[["2020",10,17]]}}}],"schema":"https://github.com/citation-style-language/schema/raw/master/csl-citation.json"} </w:instrText>
      </w:r>
      <w:r w:rsidR="000C1471">
        <w:fldChar w:fldCharType="separate"/>
      </w:r>
      <w:r w:rsidR="000C1471" w:rsidRPr="00143184">
        <w:rPr>
          <w:rFonts w:cs="Times New Roman"/>
          <w:szCs w:val="24"/>
          <w:vertAlign w:val="superscript"/>
        </w:rPr>
        <w:t>10</w:t>
      </w:r>
      <w:r w:rsidR="000C1471">
        <w:fldChar w:fldCharType="end"/>
      </w:r>
      <w:r w:rsidR="00D373AC">
        <w:t xml:space="preserve"> </w:t>
      </w:r>
      <w:r w:rsidR="00EC3F7D">
        <w:t xml:space="preserve">For changes over time, </w:t>
      </w:r>
      <w:r w:rsidR="00D373AC">
        <w:t xml:space="preserve">we present percentage changes over the period </w:t>
      </w:r>
      <w:r w:rsidR="00D373AC" w:rsidRPr="00FA2594">
        <w:t>1990–202</w:t>
      </w:r>
      <w:r w:rsidR="00FE6167" w:rsidRPr="00FA2594">
        <w:t>1</w:t>
      </w:r>
      <w:r w:rsidR="00D373AC">
        <w:t xml:space="preserve">, and annualised rates of change (ARCs) as the difference in the natural log of the values at the start and end of the time interval divided by the number of years in the interval. </w:t>
      </w:r>
      <w:r w:rsidR="00913DE3" w:rsidRPr="00913DE3">
        <w:rPr>
          <w:lang w:val="en-US"/>
        </w:rPr>
        <w:t>Uncertainty intervals</w:t>
      </w:r>
      <w:r w:rsidR="0047101E">
        <w:rPr>
          <w:lang w:val="en-US"/>
        </w:rPr>
        <w:t xml:space="preserve"> (UIs)</w:t>
      </w:r>
      <w:r w:rsidR="00913DE3" w:rsidRPr="00913DE3">
        <w:rPr>
          <w:lang w:val="en-US"/>
        </w:rPr>
        <w:t xml:space="preserve"> for all metrics are computed using the mean estimate across </w:t>
      </w:r>
      <w:r w:rsidR="00B85E91" w:rsidRPr="00FA2594">
        <w:rPr>
          <w:lang w:val="en-US"/>
        </w:rPr>
        <w:t xml:space="preserve">1000 </w:t>
      </w:r>
      <w:r w:rsidR="00913DE3" w:rsidRPr="00FA2594">
        <w:rPr>
          <w:lang w:val="en-US"/>
        </w:rPr>
        <w:t>d</w:t>
      </w:r>
      <w:r w:rsidR="00913DE3" w:rsidRPr="00913DE3">
        <w:rPr>
          <w:lang w:val="en-US"/>
        </w:rPr>
        <w:t>raws (see </w:t>
      </w:r>
      <w:r w:rsidR="00CC4AFA">
        <w:rPr>
          <w:lang w:val="en-US"/>
        </w:rPr>
        <w:t>a</w:t>
      </w:r>
      <w:r w:rsidR="00913DE3" w:rsidRPr="00913DE3">
        <w:rPr>
          <w:lang w:val="en-US"/>
        </w:rPr>
        <w:t xml:space="preserve">ppendix </w:t>
      </w:r>
      <w:r w:rsidR="009B5F6D">
        <w:rPr>
          <w:lang w:val="en-US"/>
        </w:rPr>
        <w:t xml:space="preserve">1 </w:t>
      </w:r>
      <w:r w:rsidR="00913DE3" w:rsidRPr="00913DE3">
        <w:rPr>
          <w:lang w:val="en-US"/>
        </w:rPr>
        <w:t>section</w:t>
      </w:r>
      <w:r w:rsidR="009B5F6D">
        <w:rPr>
          <w:lang w:val="en-US"/>
        </w:rPr>
        <w:t xml:space="preserve"> 2 and 3</w:t>
      </w:r>
      <w:r w:rsidR="00913DE3" w:rsidRPr="00913DE3">
        <w:rPr>
          <w:lang w:val="en-US"/>
        </w:rPr>
        <w:t> for details)</w:t>
      </w:r>
      <w:r w:rsidR="00DF442D">
        <w:rPr>
          <w:lang w:val="en-US"/>
        </w:rPr>
        <w:t>,</w:t>
      </w:r>
      <w:r w:rsidR="00913DE3" w:rsidRPr="00913DE3">
        <w:rPr>
          <w:lang w:val="en-US"/>
        </w:rPr>
        <w:t xml:space="preserve"> and </w:t>
      </w:r>
      <w:r w:rsidR="00913DE3" w:rsidRPr="00FA2594">
        <w:rPr>
          <w:lang w:val="en-US"/>
        </w:rPr>
        <w:t>95%</w:t>
      </w:r>
      <w:r w:rsidR="00913DE3" w:rsidRPr="00913DE3">
        <w:rPr>
          <w:lang w:val="en-US"/>
        </w:rPr>
        <w:t xml:space="preserve"> U</w:t>
      </w:r>
      <w:r w:rsidR="00C40EE5">
        <w:rPr>
          <w:lang w:val="en-US"/>
        </w:rPr>
        <w:t>I</w:t>
      </w:r>
      <w:r w:rsidR="00913DE3" w:rsidRPr="00913DE3">
        <w:rPr>
          <w:lang w:val="en-US"/>
        </w:rPr>
        <w:t xml:space="preserve">s are given as the </w:t>
      </w:r>
      <w:r w:rsidR="00913DE3" w:rsidRPr="002F6F26">
        <w:rPr>
          <w:lang w:val="en-US"/>
        </w:rPr>
        <w:t>2.5</w:t>
      </w:r>
      <w:r w:rsidR="00DF442D">
        <w:rPr>
          <w:lang w:val="en-US"/>
        </w:rPr>
        <w:t>th</w:t>
      </w:r>
      <w:r w:rsidR="00913DE3" w:rsidRPr="00913DE3">
        <w:rPr>
          <w:lang w:val="en-US"/>
        </w:rPr>
        <w:t xml:space="preserve"> and </w:t>
      </w:r>
      <w:r w:rsidR="00913DE3" w:rsidRPr="002F6F26">
        <w:rPr>
          <w:lang w:val="en-US"/>
        </w:rPr>
        <w:t>97.5</w:t>
      </w:r>
      <w:r w:rsidR="00DF442D">
        <w:rPr>
          <w:lang w:val="en-US"/>
        </w:rPr>
        <w:t>th</w:t>
      </w:r>
      <w:r w:rsidR="00913DE3" w:rsidRPr="00913DE3">
        <w:rPr>
          <w:lang w:val="en-US"/>
        </w:rPr>
        <w:t xml:space="preserve"> percentiles of that distribution.</w:t>
      </w:r>
    </w:p>
    <w:p w14:paraId="3239FDA5" w14:textId="60425821" w:rsidR="00F86669" w:rsidRPr="00680053" w:rsidRDefault="00F86669" w:rsidP="00610382">
      <w:pPr>
        <w:pStyle w:val="Heading3"/>
        <w:spacing w:line="360" w:lineRule="auto"/>
      </w:pPr>
      <w:r w:rsidRPr="00680053">
        <w:t xml:space="preserve">Life </w:t>
      </w:r>
      <w:r w:rsidR="008557A9" w:rsidRPr="00680053">
        <w:t>e</w:t>
      </w:r>
      <w:r w:rsidRPr="00680053">
        <w:t xml:space="preserve">xpectancy </w:t>
      </w:r>
      <w:r w:rsidR="008557A9" w:rsidRPr="00680053">
        <w:t>d</w:t>
      </w:r>
      <w:r w:rsidRPr="00680053">
        <w:t>ecomposition</w:t>
      </w:r>
    </w:p>
    <w:p w14:paraId="3CABC43E" w14:textId="519C1466" w:rsidR="001A1361" w:rsidRPr="0074404F" w:rsidRDefault="00F86669" w:rsidP="00610382">
      <w:pPr>
        <w:spacing w:line="360" w:lineRule="auto"/>
        <w:rPr>
          <w:rStyle w:val="cf01"/>
          <w:rFonts w:ascii="Times New Roman" w:hAnsi="Times New Roman" w:cs="Times New Roman"/>
          <w:sz w:val="22"/>
          <w:szCs w:val="22"/>
        </w:rPr>
      </w:pPr>
      <w:r w:rsidRPr="004C0E18">
        <w:t>The objective</w:t>
      </w:r>
      <w:r w:rsidR="588E3307">
        <w:t xml:space="preserve"> of</w:t>
      </w:r>
      <w:r w:rsidRPr="004C0E18">
        <w:t xml:space="preserve"> life expectancy decomposition </w:t>
      </w:r>
      <w:r w:rsidR="00594FF3">
        <w:t xml:space="preserve">is to analyse </w:t>
      </w:r>
      <w:r w:rsidRPr="004C0E18">
        <w:t>the difference in life expectancy by age and location</w:t>
      </w:r>
      <w:r w:rsidR="00314DBF">
        <w:t xml:space="preserve">, quantifying contributions from specific causes. </w:t>
      </w:r>
      <w:r w:rsidR="00386E2C">
        <w:rPr>
          <w:lang w:val="en-US"/>
        </w:rPr>
        <w:t>Full details of the</w:t>
      </w:r>
      <w:r w:rsidR="00474140">
        <w:rPr>
          <w:lang w:val="en-US"/>
        </w:rPr>
        <w:t xml:space="preserve"> life expectancy decomposition</w:t>
      </w:r>
      <w:r w:rsidR="00386E2C">
        <w:rPr>
          <w:lang w:val="en-US"/>
        </w:rPr>
        <w:t xml:space="preserve"> estimation of are provided in appendix 1 section </w:t>
      </w:r>
      <w:r w:rsidR="00474140">
        <w:rPr>
          <w:lang w:val="en-US"/>
        </w:rPr>
        <w:t>7</w:t>
      </w:r>
      <w:r w:rsidR="00386E2C">
        <w:rPr>
          <w:lang w:val="en-US"/>
        </w:rPr>
        <w:t>.</w:t>
      </w:r>
      <w:r w:rsidR="00474140">
        <w:rPr>
          <w:lang w:val="en-US"/>
        </w:rPr>
        <w:t xml:space="preserve"> </w:t>
      </w:r>
      <w:r w:rsidR="00103083">
        <w:t>We</w:t>
      </w:r>
      <w:r w:rsidR="00FB5B58">
        <w:t xml:space="preserve"> examine</w:t>
      </w:r>
      <w:r w:rsidR="00103083">
        <w:t>d</w:t>
      </w:r>
      <w:r w:rsidR="00FC54BF">
        <w:t xml:space="preserve"> temporal trends </w:t>
      </w:r>
      <w:r w:rsidR="00F67024">
        <w:t xml:space="preserve">in </w:t>
      </w:r>
      <w:r w:rsidR="00FC54BF">
        <w:t xml:space="preserve">causes over concatenated time periods across different locations. </w:t>
      </w:r>
      <w:r w:rsidR="00B139AF">
        <w:t xml:space="preserve">We </w:t>
      </w:r>
      <w:r w:rsidRPr="004C0E18">
        <w:t xml:space="preserve">aimed to identify the impact of causes of death </w:t>
      </w:r>
      <w:r w:rsidRPr="004C0E18">
        <w:lastRenderedPageBreak/>
        <w:t>on life expectancy</w:t>
      </w:r>
      <w:r w:rsidR="00037044">
        <w:t xml:space="preserve"> by utilising three main decomposition step</w:t>
      </w:r>
      <w:r w:rsidR="111C18F2">
        <w:t>s</w:t>
      </w:r>
      <w:r w:rsidR="005C1765">
        <w:t>.</w:t>
      </w:r>
      <w:r>
        <w:t xml:space="preserve"> </w:t>
      </w:r>
      <w:r w:rsidR="00304F24" w:rsidRPr="006750EF">
        <w:rPr>
          <w:rStyle w:val="cf01"/>
          <w:rFonts w:ascii="Times New Roman" w:hAnsi="Times New Roman" w:cs="Times New Roman"/>
          <w:sz w:val="22"/>
          <w:szCs w:val="22"/>
        </w:rPr>
        <w:t>For this study</w:t>
      </w:r>
      <w:r w:rsidR="00304F24">
        <w:rPr>
          <w:rStyle w:val="cf01"/>
          <w:rFonts w:ascii="Times New Roman" w:hAnsi="Times New Roman" w:cs="Times New Roman"/>
          <w:sz w:val="22"/>
          <w:szCs w:val="22"/>
        </w:rPr>
        <w:t>,</w:t>
      </w:r>
      <w:r w:rsidR="00304F24" w:rsidRPr="006750EF">
        <w:rPr>
          <w:rStyle w:val="cf01"/>
          <w:rFonts w:ascii="Times New Roman" w:hAnsi="Times New Roman" w:cs="Times New Roman"/>
          <w:sz w:val="22"/>
          <w:szCs w:val="22"/>
        </w:rPr>
        <w:t xml:space="preserve"> we investigated the top 20 </w:t>
      </w:r>
      <w:r w:rsidR="00304F24">
        <w:rPr>
          <w:rStyle w:val="cf01"/>
          <w:rFonts w:ascii="Times New Roman" w:hAnsi="Times New Roman" w:cs="Times New Roman"/>
          <w:sz w:val="22"/>
          <w:szCs w:val="22"/>
        </w:rPr>
        <w:t>L</w:t>
      </w:r>
      <w:r w:rsidR="00304F24" w:rsidRPr="006750EF">
        <w:rPr>
          <w:rStyle w:val="cf01"/>
          <w:rFonts w:ascii="Times New Roman" w:hAnsi="Times New Roman" w:cs="Times New Roman"/>
          <w:sz w:val="22"/>
          <w:szCs w:val="22"/>
        </w:rPr>
        <w:t>evel 2</w:t>
      </w:r>
      <w:r w:rsidR="00304F24">
        <w:rPr>
          <w:rStyle w:val="cf01"/>
          <w:rFonts w:ascii="Times New Roman" w:hAnsi="Times New Roman" w:cs="Times New Roman"/>
          <w:sz w:val="22"/>
          <w:szCs w:val="22"/>
        </w:rPr>
        <w:t xml:space="preserve"> and</w:t>
      </w:r>
      <w:r w:rsidR="00304F24" w:rsidRPr="006750EF">
        <w:rPr>
          <w:rStyle w:val="cf01"/>
          <w:rFonts w:ascii="Times New Roman" w:hAnsi="Times New Roman" w:cs="Times New Roman"/>
          <w:sz w:val="22"/>
          <w:szCs w:val="22"/>
        </w:rPr>
        <w:t xml:space="preserve"> </w:t>
      </w:r>
      <w:r w:rsidR="00304F24">
        <w:rPr>
          <w:rStyle w:val="cf01"/>
          <w:rFonts w:ascii="Times New Roman" w:hAnsi="Times New Roman" w:cs="Times New Roman"/>
          <w:sz w:val="22"/>
          <w:szCs w:val="22"/>
        </w:rPr>
        <w:t xml:space="preserve">Level </w:t>
      </w:r>
      <w:r w:rsidR="00304F24" w:rsidRPr="006750EF">
        <w:rPr>
          <w:rStyle w:val="cf01"/>
          <w:rFonts w:ascii="Times New Roman" w:hAnsi="Times New Roman" w:cs="Times New Roman"/>
          <w:sz w:val="22"/>
          <w:szCs w:val="22"/>
        </w:rPr>
        <w:t>3</w:t>
      </w:r>
      <w:r w:rsidR="00304F24" w:rsidRPr="31421506">
        <w:rPr>
          <w:rStyle w:val="cf01"/>
          <w:rFonts w:ascii="Times New Roman" w:hAnsi="Times New Roman" w:cs="Times New Roman"/>
          <w:sz w:val="22"/>
          <w:szCs w:val="22"/>
        </w:rPr>
        <w:t xml:space="preserve"> </w:t>
      </w:r>
      <w:r w:rsidR="00304F24" w:rsidRPr="006750EF">
        <w:rPr>
          <w:rStyle w:val="cf01"/>
          <w:rFonts w:ascii="Times New Roman" w:hAnsi="Times New Roman" w:cs="Times New Roman"/>
          <w:sz w:val="22"/>
          <w:szCs w:val="22"/>
        </w:rPr>
        <w:t xml:space="preserve">GBD </w:t>
      </w:r>
      <w:r w:rsidR="00304F24" w:rsidRPr="5ED66502">
        <w:rPr>
          <w:rStyle w:val="cf01"/>
          <w:rFonts w:ascii="Times New Roman" w:hAnsi="Times New Roman" w:cs="Times New Roman"/>
          <w:sz w:val="22"/>
          <w:szCs w:val="22"/>
        </w:rPr>
        <w:t>causes</w:t>
      </w:r>
      <w:r w:rsidR="00304F24" w:rsidRPr="006750EF">
        <w:rPr>
          <w:rStyle w:val="cf01"/>
          <w:rFonts w:ascii="Times New Roman" w:hAnsi="Times New Roman" w:cs="Times New Roman"/>
          <w:sz w:val="22"/>
          <w:szCs w:val="22"/>
        </w:rPr>
        <w:t xml:space="preserve"> contributing to change in life expectancy. The remainder of causes were then combined </w:t>
      </w:r>
      <w:r w:rsidR="00304F24">
        <w:rPr>
          <w:rStyle w:val="cf01"/>
          <w:rFonts w:ascii="Times New Roman" w:hAnsi="Times New Roman" w:cs="Times New Roman"/>
          <w:sz w:val="22"/>
          <w:szCs w:val="22"/>
        </w:rPr>
        <w:t>as</w:t>
      </w:r>
      <w:r w:rsidR="00304F24" w:rsidRPr="006750EF">
        <w:rPr>
          <w:rStyle w:val="cf01"/>
          <w:rFonts w:ascii="Times New Roman" w:hAnsi="Times New Roman" w:cs="Times New Roman"/>
          <w:sz w:val="22"/>
          <w:szCs w:val="22"/>
        </w:rPr>
        <w:t xml:space="preserve"> </w:t>
      </w:r>
      <w:r w:rsidR="00304F24">
        <w:rPr>
          <w:rStyle w:val="cf01"/>
          <w:rFonts w:ascii="Times New Roman" w:hAnsi="Times New Roman" w:cs="Times New Roman"/>
          <w:sz w:val="22"/>
          <w:szCs w:val="22"/>
        </w:rPr>
        <w:t>“o</w:t>
      </w:r>
      <w:r w:rsidR="00304F24" w:rsidRPr="006750EF">
        <w:rPr>
          <w:rStyle w:val="cf01"/>
          <w:rFonts w:ascii="Times New Roman" w:hAnsi="Times New Roman" w:cs="Times New Roman"/>
          <w:sz w:val="22"/>
          <w:szCs w:val="22"/>
        </w:rPr>
        <w:t xml:space="preserve">ther </w:t>
      </w:r>
      <w:r w:rsidR="00304F24">
        <w:rPr>
          <w:rStyle w:val="cf01"/>
          <w:rFonts w:ascii="Times New Roman" w:hAnsi="Times New Roman" w:cs="Times New Roman"/>
          <w:sz w:val="22"/>
          <w:szCs w:val="22"/>
        </w:rPr>
        <w:t>c</w:t>
      </w:r>
      <w:r w:rsidR="00304F24" w:rsidRPr="006750EF">
        <w:rPr>
          <w:rStyle w:val="cf01"/>
          <w:rFonts w:ascii="Times New Roman" w:hAnsi="Times New Roman" w:cs="Times New Roman"/>
          <w:sz w:val="22"/>
          <w:szCs w:val="22"/>
        </w:rPr>
        <w:t xml:space="preserve">ommunicable and </w:t>
      </w:r>
      <w:r w:rsidR="00304F24">
        <w:rPr>
          <w:rStyle w:val="cf01"/>
          <w:rFonts w:ascii="Times New Roman" w:hAnsi="Times New Roman" w:cs="Times New Roman"/>
          <w:sz w:val="22"/>
          <w:szCs w:val="22"/>
        </w:rPr>
        <w:t>m</w:t>
      </w:r>
      <w:r w:rsidR="00304F24" w:rsidRPr="006750EF">
        <w:rPr>
          <w:rStyle w:val="cf01"/>
          <w:rFonts w:ascii="Times New Roman" w:hAnsi="Times New Roman" w:cs="Times New Roman"/>
          <w:sz w:val="22"/>
          <w:szCs w:val="22"/>
        </w:rPr>
        <w:t xml:space="preserve">aternal </w:t>
      </w:r>
      <w:r w:rsidR="00304F24">
        <w:rPr>
          <w:rStyle w:val="cf01"/>
          <w:rFonts w:ascii="Times New Roman" w:hAnsi="Times New Roman" w:cs="Times New Roman"/>
          <w:sz w:val="22"/>
          <w:szCs w:val="22"/>
        </w:rPr>
        <w:t>d</w:t>
      </w:r>
      <w:r w:rsidR="00304F24" w:rsidRPr="006750EF">
        <w:rPr>
          <w:rStyle w:val="cf01"/>
          <w:rFonts w:ascii="Times New Roman" w:hAnsi="Times New Roman" w:cs="Times New Roman"/>
          <w:sz w:val="22"/>
          <w:szCs w:val="22"/>
        </w:rPr>
        <w:t>isorders</w:t>
      </w:r>
      <w:r w:rsidR="00304F24">
        <w:rPr>
          <w:rStyle w:val="cf01"/>
          <w:rFonts w:ascii="Times New Roman" w:hAnsi="Times New Roman" w:cs="Times New Roman"/>
          <w:sz w:val="22"/>
          <w:szCs w:val="22"/>
        </w:rPr>
        <w:t>”</w:t>
      </w:r>
      <w:r w:rsidR="00304F24" w:rsidRPr="006750EF">
        <w:rPr>
          <w:rStyle w:val="cf01"/>
          <w:rFonts w:ascii="Times New Roman" w:hAnsi="Times New Roman" w:cs="Times New Roman"/>
          <w:sz w:val="22"/>
          <w:szCs w:val="22"/>
        </w:rPr>
        <w:t xml:space="preserve">, or </w:t>
      </w:r>
      <w:r w:rsidR="00304F24">
        <w:rPr>
          <w:rStyle w:val="cf01"/>
          <w:rFonts w:ascii="Times New Roman" w:hAnsi="Times New Roman" w:cs="Times New Roman"/>
          <w:sz w:val="22"/>
          <w:szCs w:val="22"/>
        </w:rPr>
        <w:t>“o</w:t>
      </w:r>
      <w:r w:rsidR="00304F24" w:rsidRPr="006750EF">
        <w:rPr>
          <w:rStyle w:val="cf01"/>
          <w:rFonts w:ascii="Times New Roman" w:hAnsi="Times New Roman" w:cs="Times New Roman"/>
          <w:sz w:val="22"/>
          <w:szCs w:val="22"/>
        </w:rPr>
        <w:t xml:space="preserve">ther </w:t>
      </w:r>
      <w:r w:rsidR="00304F24">
        <w:rPr>
          <w:rStyle w:val="cf01"/>
          <w:rFonts w:ascii="Times New Roman" w:hAnsi="Times New Roman" w:cs="Times New Roman"/>
          <w:sz w:val="22"/>
          <w:szCs w:val="22"/>
        </w:rPr>
        <w:t>n</w:t>
      </w:r>
      <w:r w:rsidR="00304F24" w:rsidRPr="006750EF">
        <w:rPr>
          <w:rStyle w:val="cf01"/>
          <w:rFonts w:ascii="Times New Roman" w:hAnsi="Times New Roman" w:cs="Times New Roman"/>
          <w:sz w:val="22"/>
          <w:szCs w:val="22"/>
        </w:rPr>
        <w:t>on-</w:t>
      </w:r>
      <w:r w:rsidR="00304F24">
        <w:rPr>
          <w:rStyle w:val="cf01"/>
          <w:rFonts w:ascii="Times New Roman" w:hAnsi="Times New Roman" w:cs="Times New Roman"/>
          <w:sz w:val="22"/>
          <w:szCs w:val="22"/>
        </w:rPr>
        <w:t>c</w:t>
      </w:r>
      <w:r w:rsidR="00304F24" w:rsidRPr="006750EF">
        <w:rPr>
          <w:rStyle w:val="cf01"/>
          <w:rFonts w:ascii="Times New Roman" w:hAnsi="Times New Roman" w:cs="Times New Roman"/>
          <w:sz w:val="22"/>
          <w:szCs w:val="22"/>
        </w:rPr>
        <w:t xml:space="preserve">ommunicable </w:t>
      </w:r>
      <w:r w:rsidR="00304F24">
        <w:rPr>
          <w:rStyle w:val="cf01"/>
          <w:rFonts w:ascii="Times New Roman" w:hAnsi="Times New Roman" w:cs="Times New Roman"/>
          <w:sz w:val="22"/>
          <w:szCs w:val="22"/>
        </w:rPr>
        <w:t>d</w:t>
      </w:r>
      <w:r w:rsidR="00304F24" w:rsidRPr="006750EF">
        <w:rPr>
          <w:rStyle w:val="cf01"/>
          <w:rFonts w:ascii="Times New Roman" w:hAnsi="Times New Roman" w:cs="Times New Roman"/>
          <w:sz w:val="22"/>
          <w:szCs w:val="22"/>
        </w:rPr>
        <w:t>iseases</w:t>
      </w:r>
      <w:r w:rsidR="00304F24">
        <w:rPr>
          <w:rStyle w:val="cf01"/>
          <w:rFonts w:ascii="Times New Roman" w:hAnsi="Times New Roman" w:cs="Times New Roman"/>
          <w:sz w:val="22"/>
          <w:szCs w:val="22"/>
        </w:rPr>
        <w:t>”</w:t>
      </w:r>
      <w:r w:rsidR="00341AB5">
        <w:rPr>
          <w:rStyle w:val="cf01"/>
          <w:rFonts w:ascii="Times New Roman" w:hAnsi="Times New Roman" w:cs="Times New Roman"/>
          <w:sz w:val="22"/>
          <w:szCs w:val="22"/>
        </w:rPr>
        <w:t xml:space="preserve">. </w:t>
      </w:r>
      <w:r w:rsidRPr="004C0E18">
        <w:t>The first step involved decomposing the difference in life expectancy by age. Age-specific contributions were calculated to understand the variation in life expectancy across different age groups.</w:t>
      </w:r>
      <w:r>
        <w:t xml:space="preserve"> </w:t>
      </w:r>
      <w:r w:rsidRPr="0074404F">
        <w:t>In the second step, each age-specific contribution was further decomposed into cause-age-specific contributions. This analysis allowed for the identification of the specific causes of death that contributed to the differences in life expectancy within each age group.</w:t>
      </w:r>
      <w:r>
        <w:t xml:space="preserve"> </w:t>
      </w:r>
      <w:r w:rsidRPr="0074404F">
        <w:t>Finally, the cause-age-specific contributions were aggregated across age groups to produce cause-specific contributions to the overall difference in life expectancy. This aggregation provided a comprehensive understanding of how different causes of death contributed to the observed variations in life expectancy.</w:t>
      </w:r>
      <w:r w:rsidR="005C1765">
        <w:t xml:space="preserve"> </w:t>
      </w:r>
      <w:r w:rsidRPr="0074404F">
        <w:t xml:space="preserve">By applying this decomposition approach, </w:t>
      </w:r>
      <w:r w:rsidR="00D40AC7">
        <w:t>we</w:t>
      </w:r>
      <w:r w:rsidRPr="0074404F">
        <w:t xml:space="preserve"> gain insights into the relative impact of different causes of death on changes in life expectancy</w:t>
      </w:r>
      <w:r w:rsidR="00D40AC7">
        <w:t xml:space="preserve"> by</w:t>
      </w:r>
      <w:r w:rsidRPr="0074404F">
        <w:t xml:space="preserve"> age and location.</w:t>
      </w:r>
      <w:r w:rsidR="000E6F9D">
        <w:rPr>
          <w:rStyle w:val="cf01"/>
          <w:rFonts w:ascii="Times New Roman" w:hAnsi="Times New Roman" w:cs="Times New Roman"/>
          <w:sz w:val="22"/>
          <w:szCs w:val="22"/>
        </w:rPr>
        <w:t xml:space="preserve"> </w:t>
      </w:r>
    </w:p>
    <w:p w14:paraId="756EE6CB" w14:textId="5B4D562A" w:rsidR="00F86669" w:rsidRPr="00680053" w:rsidRDefault="00C34D9C" w:rsidP="00610382">
      <w:pPr>
        <w:pStyle w:val="Heading3"/>
        <w:spacing w:line="360" w:lineRule="auto"/>
      </w:pPr>
      <w:r>
        <w:t xml:space="preserve">Calculation of </w:t>
      </w:r>
      <w:r w:rsidR="001C7C9A">
        <w:t>m</w:t>
      </w:r>
      <w:r w:rsidR="76FE2EA6">
        <w:t xml:space="preserve">ortality </w:t>
      </w:r>
      <w:r w:rsidR="001C7C9A">
        <w:t>c</w:t>
      </w:r>
      <w:r w:rsidR="2587006B">
        <w:t>oncentration</w:t>
      </w:r>
    </w:p>
    <w:p w14:paraId="26B2F9DD" w14:textId="44E415DB" w:rsidR="00F51823" w:rsidRPr="00E47834" w:rsidRDefault="72D6FA3F" w:rsidP="00610382">
      <w:pPr>
        <w:spacing w:line="360" w:lineRule="auto"/>
      </w:pPr>
      <w:r w:rsidRPr="13780C91">
        <w:rPr>
          <w:lang w:val="en-US"/>
        </w:rPr>
        <w:t>Concentrated</w:t>
      </w:r>
      <w:r w:rsidR="00F86669" w:rsidRPr="00162109">
        <w:rPr>
          <w:lang w:val="en-US"/>
        </w:rPr>
        <w:t xml:space="preserve"> causes in GBD refer to causes that exhibit </w:t>
      </w:r>
      <w:r w:rsidR="006168EF">
        <w:rPr>
          <w:lang w:val="en-US"/>
        </w:rPr>
        <w:t xml:space="preserve">a </w:t>
      </w:r>
      <w:r w:rsidR="00F86669" w:rsidRPr="00162109">
        <w:rPr>
          <w:lang w:val="en-US"/>
        </w:rPr>
        <w:t>disproportionate impact in a specific geographic</w:t>
      </w:r>
      <w:r w:rsidR="00D2174D">
        <w:rPr>
          <w:lang w:val="en-US"/>
        </w:rPr>
        <w:t>al</w:t>
      </w:r>
      <w:r w:rsidR="00F86669" w:rsidRPr="00162109">
        <w:rPr>
          <w:lang w:val="en-US"/>
        </w:rPr>
        <w:t xml:space="preserve"> subset of the data compared to the rest of the global observations. In GBD</w:t>
      </w:r>
      <w:r w:rsidR="002D67CB">
        <w:rPr>
          <w:lang w:val="en-US"/>
        </w:rPr>
        <w:t xml:space="preserve"> </w:t>
      </w:r>
      <w:r w:rsidR="00F86669" w:rsidRPr="00162109">
        <w:rPr>
          <w:lang w:val="en-US"/>
        </w:rPr>
        <w:t>2021,</w:t>
      </w:r>
      <w:r w:rsidR="00CC2857">
        <w:rPr>
          <w:lang w:val="en-US"/>
        </w:rPr>
        <w:t xml:space="preserve"> two</w:t>
      </w:r>
      <w:r w:rsidR="00F86669" w:rsidRPr="00162109">
        <w:rPr>
          <w:lang w:val="en-US"/>
        </w:rPr>
        <w:t xml:space="preserve"> different methods were employed to identify these </w:t>
      </w:r>
      <w:r w:rsidR="52D69C21" w:rsidRPr="3A64D70B">
        <w:rPr>
          <w:lang w:val="en-US"/>
        </w:rPr>
        <w:t>concentrated</w:t>
      </w:r>
      <w:r w:rsidR="00F86669" w:rsidRPr="00162109">
        <w:rPr>
          <w:lang w:val="en-US"/>
        </w:rPr>
        <w:t xml:space="preserve"> causes: </w:t>
      </w:r>
      <w:r w:rsidR="00407FE2">
        <w:rPr>
          <w:lang w:val="en-US"/>
        </w:rPr>
        <w:t>c</w:t>
      </w:r>
      <w:r w:rsidR="00F86669" w:rsidRPr="00162109">
        <w:rPr>
          <w:lang w:val="en-US"/>
        </w:rPr>
        <w:t xml:space="preserve">oefficient of </w:t>
      </w:r>
      <w:r w:rsidR="00407FE2">
        <w:rPr>
          <w:lang w:val="en-US"/>
        </w:rPr>
        <w:t>v</w:t>
      </w:r>
      <w:r w:rsidR="00F86669" w:rsidRPr="00162109">
        <w:rPr>
          <w:lang w:val="en-US"/>
        </w:rPr>
        <w:t>ariation</w:t>
      </w:r>
      <w:r w:rsidR="00CC2857">
        <w:rPr>
          <w:lang w:val="en-US"/>
        </w:rPr>
        <w:t xml:space="preserve"> </w:t>
      </w:r>
      <w:r w:rsidR="00F86669" w:rsidRPr="00162109">
        <w:rPr>
          <w:lang w:val="en-US"/>
        </w:rPr>
        <w:t xml:space="preserve">and </w:t>
      </w:r>
      <w:r w:rsidR="1CF1B2DE">
        <w:t>mortality concentration</w:t>
      </w:r>
      <w:r w:rsidR="00F86669">
        <w:t>.</w:t>
      </w:r>
      <w:r w:rsidR="00F86669" w:rsidRPr="00E47834">
        <w:t xml:space="preserve"> The</w:t>
      </w:r>
      <w:r w:rsidR="00407FE2">
        <w:t>se</w:t>
      </w:r>
      <w:r w:rsidR="00F86669" w:rsidRPr="00E47834">
        <w:t xml:space="preserve"> methods are described below.</w:t>
      </w:r>
    </w:p>
    <w:p w14:paraId="60E3C04A" w14:textId="2A0AAD33" w:rsidR="00F86669" w:rsidRPr="00162109" w:rsidRDefault="00F86669" w:rsidP="13780C91">
      <w:pPr>
        <w:pStyle w:val="Heading4"/>
        <w:spacing w:before="0" w:after="0" w:line="360" w:lineRule="auto"/>
        <w:rPr>
          <w:lang w:val="en-US"/>
        </w:rPr>
      </w:pPr>
      <w:r w:rsidRPr="58559043">
        <w:rPr>
          <w:b w:val="0"/>
          <w:i/>
        </w:rPr>
        <w:t>Co</w:t>
      </w:r>
      <w:r w:rsidRPr="58559043">
        <w:rPr>
          <w:b w:val="0"/>
          <w:i/>
          <w:lang w:val="en-US"/>
        </w:rPr>
        <w:t xml:space="preserve">efficient of </w:t>
      </w:r>
      <w:r w:rsidR="007452B6" w:rsidRPr="58559043">
        <w:rPr>
          <w:b w:val="0"/>
          <w:i/>
          <w:lang w:val="en-US"/>
        </w:rPr>
        <w:t>v</w:t>
      </w:r>
      <w:r w:rsidRPr="58559043">
        <w:rPr>
          <w:b w:val="0"/>
          <w:i/>
          <w:lang w:val="en-US"/>
        </w:rPr>
        <w:t>ariation</w:t>
      </w:r>
    </w:p>
    <w:p w14:paraId="473EE7AE" w14:textId="57A20340" w:rsidR="00F51823" w:rsidRPr="00B61E95" w:rsidRDefault="36C53DEA" w:rsidP="70CF3019">
      <w:pPr>
        <w:pStyle w:val="Heading4"/>
        <w:spacing w:before="0" w:after="0" w:line="360" w:lineRule="auto"/>
        <w:rPr>
          <w:b w:val="0"/>
        </w:rPr>
      </w:pPr>
      <w:r w:rsidRPr="13780C91">
        <w:rPr>
          <w:b w:val="0"/>
          <w:lang w:val="en-US"/>
        </w:rPr>
        <w:t>For each GBD cause, a</w:t>
      </w:r>
      <w:r w:rsidR="00F86669" w:rsidRPr="13780C91">
        <w:rPr>
          <w:b w:val="0"/>
          <w:lang w:val="en-US"/>
        </w:rPr>
        <w:t xml:space="preserve"> </w:t>
      </w:r>
      <w:r w:rsidR="009558F3" w:rsidRPr="13780C91">
        <w:rPr>
          <w:b w:val="0"/>
          <w:lang w:val="en-US"/>
        </w:rPr>
        <w:t>c</w:t>
      </w:r>
      <w:r w:rsidR="00F86669" w:rsidRPr="13780C91">
        <w:rPr>
          <w:b w:val="0"/>
          <w:lang w:val="en-US"/>
        </w:rPr>
        <w:t xml:space="preserve">oefficient of </w:t>
      </w:r>
      <w:r w:rsidR="009558F3" w:rsidRPr="13780C91">
        <w:rPr>
          <w:b w:val="0"/>
          <w:lang w:val="en-US"/>
        </w:rPr>
        <w:t>v</w:t>
      </w:r>
      <w:r w:rsidR="00F86669" w:rsidRPr="13780C91">
        <w:rPr>
          <w:b w:val="0"/>
          <w:lang w:val="en-US"/>
        </w:rPr>
        <w:t>ariation</w:t>
      </w:r>
      <w:r w:rsidR="0077311F">
        <w:rPr>
          <w:b w:val="0"/>
          <w:lang w:val="en-US"/>
        </w:rPr>
        <w:t>—</w:t>
      </w:r>
      <w:r w:rsidR="00F86669" w:rsidRPr="13780C91">
        <w:rPr>
          <w:b w:val="0"/>
          <w:lang w:val="en-US"/>
        </w:rPr>
        <w:t>a statistical measure used to assess the variability of a population relative its mean</w:t>
      </w:r>
      <w:r w:rsidR="0077311F">
        <w:rPr>
          <w:b w:val="0"/>
          <w:lang w:val="en-US"/>
        </w:rPr>
        <w:t>—</w:t>
      </w:r>
      <w:r w:rsidR="00F86669" w:rsidRPr="13780C91">
        <w:rPr>
          <w:b w:val="0"/>
          <w:lang w:val="en-US"/>
        </w:rPr>
        <w:t>was calculated</w:t>
      </w:r>
      <w:r w:rsidRPr="13780C91">
        <w:rPr>
          <w:b w:val="0"/>
          <w:lang w:val="en-US"/>
        </w:rPr>
        <w:t xml:space="preserve"> from standard methods</w:t>
      </w:r>
      <w:r w:rsidR="11436D92" w:rsidRPr="75C61DA1">
        <w:rPr>
          <w:b w:val="0"/>
          <w:lang w:val="en-US"/>
        </w:rPr>
        <w:t>.</w:t>
      </w:r>
      <w:r w:rsidR="007060FA">
        <w:rPr>
          <w:b w:val="0"/>
          <w:lang w:val="en-US"/>
        </w:rPr>
        <w:fldChar w:fldCharType="begin"/>
      </w:r>
      <w:r w:rsidR="00B153C0">
        <w:rPr>
          <w:b w:val="0"/>
          <w:lang w:val="en-US"/>
        </w:rPr>
        <w:instrText xml:space="preserve"> ADDIN ZOTERO_ITEM CSL_CITATION {"citationID":"TVo87EmT","properties":{"formattedCitation":"\\super 13\\nosupersub{}","plainCitation":"13","noteIndex":0},"citationItems":[{"id":128160,"uris":["http://zotero.org/groups/2154524/items/HNWDMEHB"],"itemData":{"id":128160,"type":"book","abstract":"“Methods of Clinical Epidemiology” serves as a text on methods useful to clinical researchers. It provides a clear introduction to the common research methodology specific to clinical research for both students and researchers. This book sets out to fill the gap left by texts that concentrate on public health epidemiology and focuses on what is not covered well in such texts. The four sections cover methods that have not previously been brought together in one text and serves as a second level textbook of clinical epidemiology methodology. This book will be of use to postgraduate students in clinical epidemiology as well as clinical researchers at the start of their careers.","event-place":"Berlin Heidelberg","ISBN":"978-3-642-37131-8","language":"en","note":"Google-Books-ID: kR9GAAAAQBAJ","number-of-pages":"289","publisher":"Springer","publisher-place":"Berlin Heidelberg","source":"Google Books","title":"Methods of Clinical Epidemiology","editor":[{"family":"Doi","given":"Suhail A. R."},{"family":"Williams","given":"Gail M."}],"issued":{"date-parts":[["2013",6,1]]}}}],"schema":"https://github.com/citation-style-language/schema/raw/master/csl-citation.json"} </w:instrText>
      </w:r>
      <w:r w:rsidR="007060FA">
        <w:rPr>
          <w:b w:val="0"/>
          <w:lang w:val="en-US"/>
        </w:rPr>
        <w:fldChar w:fldCharType="separate"/>
      </w:r>
      <w:r w:rsidR="00B153C0" w:rsidRPr="00B153C0">
        <w:rPr>
          <w:rFonts w:cs="Times New Roman"/>
          <w:szCs w:val="24"/>
          <w:vertAlign w:val="superscript"/>
        </w:rPr>
        <w:t>13</w:t>
      </w:r>
      <w:r w:rsidR="007060FA">
        <w:rPr>
          <w:b w:val="0"/>
          <w:lang w:val="en-US"/>
        </w:rPr>
        <w:fldChar w:fldCharType="end"/>
      </w:r>
      <w:r w:rsidRPr="13780C91">
        <w:rPr>
          <w:b w:val="0"/>
          <w:lang w:val="en-US"/>
        </w:rPr>
        <w:t xml:space="preserve"> </w:t>
      </w:r>
      <w:r w:rsidR="00F86669" w:rsidRPr="242EB317">
        <w:rPr>
          <w:b w:val="0"/>
          <w:lang w:val="en-US"/>
        </w:rPr>
        <w:t>The observations considered for this calculation were national, age-</w:t>
      </w:r>
      <w:proofErr w:type="spellStart"/>
      <w:r w:rsidR="00F86669" w:rsidRPr="242EB317">
        <w:rPr>
          <w:b w:val="0"/>
          <w:lang w:val="en-US"/>
        </w:rPr>
        <w:t>standardi</w:t>
      </w:r>
      <w:r w:rsidR="00DA5F9B" w:rsidRPr="242EB317">
        <w:rPr>
          <w:b w:val="0"/>
          <w:lang w:val="en-US"/>
        </w:rPr>
        <w:t>s</w:t>
      </w:r>
      <w:r w:rsidR="00F86669" w:rsidRPr="242EB317">
        <w:rPr>
          <w:b w:val="0"/>
          <w:lang w:val="en-US"/>
        </w:rPr>
        <w:t>ed</w:t>
      </w:r>
      <w:proofErr w:type="spellEnd"/>
      <w:r w:rsidR="00F86669" w:rsidRPr="242EB317">
        <w:rPr>
          <w:b w:val="0"/>
          <w:lang w:val="en-US"/>
        </w:rPr>
        <w:t xml:space="preserve">, both-sex mortality rates, using the average mortality rate between 2019 and 2021. </w:t>
      </w:r>
      <w:r w:rsidR="3BDF8C92" w:rsidRPr="242EB317">
        <w:rPr>
          <w:b w:val="0"/>
          <w:lang w:val="en-US"/>
        </w:rPr>
        <w:t xml:space="preserve">Causes with </w:t>
      </w:r>
      <w:r w:rsidR="55FD196B" w:rsidRPr="242EB317">
        <w:rPr>
          <w:b w:val="0"/>
          <w:lang w:val="en-US"/>
        </w:rPr>
        <w:t>l</w:t>
      </w:r>
      <w:r w:rsidR="00F86669" w:rsidRPr="242EB317">
        <w:rPr>
          <w:b w:val="0"/>
          <w:lang w:val="en-US"/>
        </w:rPr>
        <w:t xml:space="preserve">arger coefficients of variation </w:t>
      </w:r>
      <w:r w:rsidR="0BA17752" w:rsidRPr="242EB317">
        <w:rPr>
          <w:b w:val="0"/>
          <w:lang w:val="en-US"/>
        </w:rPr>
        <w:t>have</w:t>
      </w:r>
      <w:r w:rsidR="00F86669" w:rsidRPr="242EB317">
        <w:rPr>
          <w:b w:val="0"/>
          <w:lang w:val="en-US"/>
        </w:rPr>
        <w:t xml:space="preserve"> data that </w:t>
      </w:r>
      <w:r w:rsidR="37FFE3D1" w:rsidRPr="242EB317">
        <w:rPr>
          <w:b w:val="0"/>
          <w:lang w:val="en-US"/>
        </w:rPr>
        <w:t>are</w:t>
      </w:r>
      <w:r w:rsidR="00F86669" w:rsidRPr="242EB317">
        <w:rPr>
          <w:b w:val="0"/>
          <w:lang w:val="en-US"/>
        </w:rPr>
        <w:t xml:space="preserve"> less centered around the mean </w:t>
      </w:r>
      <w:r w:rsidR="709DA3B6">
        <w:rPr>
          <w:b w:val="0"/>
        </w:rPr>
        <w:t xml:space="preserve">and indicate </w:t>
      </w:r>
      <w:r w:rsidR="00F86669">
        <w:rPr>
          <w:b w:val="0"/>
        </w:rPr>
        <w:t xml:space="preserve">a greater likelihood of a </w:t>
      </w:r>
      <w:r w:rsidR="063158B8" w:rsidRPr="7DC2CF4D">
        <w:rPr>
          <w:b w:val="0"/>
          <w:lang w:val="en-US"/>
        </w:rPr>
        <w:t>concentrat</w:t>
      </w:r>
      <w:r w:rsidR="7C479716" w:rsidRPr="7DC2CF4D">
        <w:rPr>
          <w:b w:val="0"/>
          <w:lang w:val="en-US"/>
        </w:rPr>
        <w:t xml:space="preserve">ed </w:t>
      </w:r>
      <w:r w:rsidR="7C479716" w:rsidRPr="235B6BD5">
        <w:rPr>
          <w:b w:val="0"/>
          <w:lang w:val="en-US"/>
        </w:rPr>
        <w:t>cause</w:t>
      </w:r>
      <w:r w:rsidR="00DB3B7D" w:rsidRPr="1B0A9B72">
        <w:rPr>
          <w:b w:val="0"/>
          <w:lang w:val="en-US"/>
        </w:rPr>
        <w:t>.</w:t>
      </w:r>
    </w:p>
    <w:p w14:paraId="595F7D6C" w14:textId="4A3E6901" w:rsidR="3840DF34" w:rsidRDefault="3840DF34" w:rsidP="0074494C">
      <w:pPr>
        <w:spacing w:after="0"/>
      </w:pPr>
    </w:p>
    <w:p w14:paraId="220C085F" w14:textId="7798785E" w:rsidR="00F86669" w:rsidRPr="006B1D22" w:rsidRDefault="0EC59AD0" w:rsidP="00610382">
      <w:pPr>
        <w:pStyle w:val="Heading4"/>
        <w:spacing w:before="0" w:after="0" w:line="360" w:lineRule="auto"/>
        <w:rPr>
          <w:b w:val="0"/>
          <w:i/>
          <w:lang w:val="en-US"/>
        </w:rPr>
      </w:pPr>
      <w:r w:rsidRPr="006B1D22">
        <w:rPr>
          <w:b w:val="0"/>
          <w:bCs/>
          <w:i/>
          <w:iCs w:val="0"/>
          <w:lang w:val="en-US"/>
        </w:rPr>
        <w:t>Mortality</w:t>
      </w:r>
      <w:r w:rsidR="00F86669" w:rsidRPr="006B1D22">
        <w:rPr>
          <w:b w:val="0"/>
          <w:bCs/>
          <w:i/>
          <w:iCs w:val="0"/>
          <w:lang w:val="en-US"/>
        </w:rPr>
        <w:t xml:space="preserve"> </w:t>
      </w:r>
      <w:r w:rsidR="7187AC56" w:rsidRPr="006B1D22">
        <w:rPr>
          <w:b w:val="0"/>
          <w:bCs/>
          <w:i/>
          <w:iCs w:val="0"/>
          <w:lang w:val="en-US"/>
        </w:rPr>
        <w:t>concentration</w:t>
      </w:r>
    </w:p>
    <w:p w14:paraId="16C810F6" w14:textId="3D3A2D19" w:rsidR="008F209D" w:rsidRPr="008F209D" w:rsidRDefault="007A00D1" w:rsidP="0034365A">
      <w:pPr>
        <w:spacing w:line="360" w:lineRule="auto"/>
        <w:rPr>
          <w:lang w:val="en-US"/>
        </w:rPr>
      </w:pPr>
      <w:bookmarkStart w:id="0" w:name="_Int_wN2gwVJi"/>
      <w:proofErr w:type="gramStart"/>
      <w:r>
        <w:rPr>
          <w:lang w:val="en-US"/>
        </w:rPr>
        <w:t>In order to</w:t>
      </w:r>
      <w:bookmarkEnd w:id="0"/>
      <w:proofErr w:type="gramEnd"/>
      <w:r>
        <w:rPr>
          <w:lang w:val="en-US"/>
        </w:rPr>
        <w:t xml:space="preserve"> identify </w:t>
      </w:r>
      <w:r w:rsidR="2C04202E" w:rsidRPr="13780C91">
        <w:rPr>
          <w:lang w:val="en-US"/>
        </w:rPr>
        <w:t>concentrations</w:t>
      </w:r>
      <w:r>
        <w:rPr>
          <w:lang w:val="en-US"/>
        </w:rPr>
        <w:t xml:space="preserve"> of mortality</w:t>
      </w:r>
      <w:r w:rsidR="38EF4596" w:rsidRPr="7F5851AC">
        <w:rPr>
          <w:lang w:val="en-US"/>
        </w:rPr>
        <w:t>—</w:t>
      </w:r>
      <w:r>
        <w:rPr>
          <w:lang w:val="en-US"/>
        </w:rPr>
        <w:t>geographic locations or groups of locations with populations that are disproportionately</w:t>
      </w:r>
      <w:r w:rsidR="00FF515E">
        <w:rPr>
          <w:lang w:val="en-US"/>
        </w:rPr>
        <w:t xml:space="preserve"> affected by a particular cause</w:t>
      </w:r>
      <w:r w:rsidR="7831CEEE" w:rsidRPr="3E3DE3D7">
        <w:rPr>
          <w:lang w:val="en-US"/>
        </w:rPr>
        <w:t>—</w:t>
      </w:r>
      <w:r w:rsidR="008F209D" w:rsidRPr="0034365A">
        <w:rPr>
          <w:lang w:val="en-US"/>
        </w:rPr>
        <w:t xml:space="preserve">we first </w:t>
      </w:r>
      <w:r w:rsidR="00D52E92">
        <w:rPr>
          <w:lang w:val="en-US"/>
        </w:rPr>
        <w:t>calculated</w:t>
      </w:r>
      <w:r w:rsidR="008F209D" w:rsidRPr="0034365A">
        <w:rPr>
          <w:lang w:val="en-US"/>
        </w:rPr>
        <w:t xml:space="preserve"> the total number of all-age, both-sex deaths in 2021 </w:t>
      </w:r>
      <w:r w:rsidR="00023A04">
        <w:rPr>
          <w:lang w:val="en-US"/>
        </w:rPr>
        <w:t xml:space="preserve">by cause </w:t>
      </w:r>
      <w:r w:rsidR="008F209D" w:rsidRPr="0034365A">
        <w:rPr>
          <w:lang w:val="en-US"/>
        </w:rPr>
        <w:t>in each of the 811 most detailed GBD locations and sorted th</w:t>
      </w:r>
      <w:r w:rsidR="00A27D6E">
        <w:rPr>
          <w:lang w:val="en-US"/>
        </w:rPr>
        <w:t>ese locations</w:t>
      </w:r>
      <w:r w:rsidR="006750CE">
        <w:rPr>
          <w:lang w:val="en-US"/>
        </w:rPr>
        <w:t xml:space="preserve"> by deaths </w:t>
      </w:r>
      <w:r w:rsidR="008F209D" w:rsidRPr="00F91DCB">
        <w:rPr>
          <w:lang w:val="en-US"/>
        </w:rPr>
        <w:t xml:space="preserve">in descending order. We then calculated the cumulative percentage of deaths by dividing </w:t>
      </w:r>
      <w:r w:rsidR="00445736">
        <w:rPr>
          <w:lang w:val="en-US"/>
        </w:rPr>
        <w:t>location-specific</w:t>
      </w:r>
      <w:r w:rsidR="008F209D" w:rsidRPr="00F91DCB">
        <w:rPr>
          <w:lang w:val="en-US"/>
        </w:rPr>
        <w:t xml:space="preserve"> cumulative deaths by the </w:t>
      </w:r>
      <w:r w:rsidR="009E671D">
        <w:rPr>
          <w:lang w:val="en-US"/>
        </w:rPr>
        <w:t>global</w:t>
      </w:r>
      <w:r w:rsidR="008F209D" w:rsidRPr="00F91DCB">
        <w:rPr>
          <w:lang w:val="en-US"/>
        </w:rPr>
        <w:t xml:space="preserve"> deaths </w:t>
      </w:r>
      <w:r w:rsidR="009E671D">
        <w:rPr>
          <w:lang w:val="en-US"/>
        </w:rPr>
        <w:t>for</w:t>
      </w:r>
      <w:r w:rsidR="00CA6CD6">
        <w:rPr>
          <w:lang w:val="en-US"/>
        </w:rPr>
        <w:t xml:space="preserve"> each cause</w:t>
      </w:r>
      <w:r w:rsidR="008F209D" w:rsidRPr="00F91DCB">
        <w:rPr>
          <w:lang w:val="en-US"/>
        </w:rPr>
        <w:t>. When the cumulative percentage reached or exceeded 90% for a given cause, we divided the population of the geographic subset included in that cumulative percentage by the total global population in 2021</w:t>
      </w:r>
      <w:r w:rsidR="006326AB">
        <w:rPr>
          <w:lang w:val="en-US"/>
        </w:rPr>
        <w:t xml:space="preserve"> using</w:t>
      </w:r>
      <w:r w:rsidR="00CA133C">
        <w:rPr>
          <w:lang w:val="en-US"/>
        </w:rPr>
        <w:t xml:space="preserve"> p</w:t>
      </w:r>
      <w:r w:rsidR="00086320">
        <w:rPr>
          <w:lang w:val="en-US"/>
        </w:rPr>
        <w:t xml:space="preserve">opulation estimates </w:t>
      </w:r>
      <w:r w:rsidR="00817A2C">
        <w:rPr>
          <w:lang w:val="en-US"/>
        </w:rPr>
        <w:t>from</w:t>
      </w:r>
      <w:r w:rsidR="001249CA">
        <w:rPr>
          <w:lang w:val="en-US"/>
        </w:rPr>
        <w:t xml:space="preserve"> </w:t>
      </w:r>
      <w:r w:rsidR="006D35C8">
        <w:rPr>
          <w:lang w:val="en-US"/>
        </w:rPr>
        <w:t xml:space="preserve">the </w:t>
      </w:r>
      <w:r w:rsidR="001A55B6">
        <w:rPr>
          <w:lang w:val="en-US"/>
        </w:rPr>
        <w:t>GBD</w:t>
      </w:r>
      <w:r w:rsidR="003753BC">
        <w:rPr>
          <w:lang w:val="en-US"/>
        </w:rPr>
        <w:t xml:space="preserve"> </w:t>
      </w:r>
      <w:r w:rsidR="001A55B6">
        <w:rPr>
          <w:lang w:val="en-US"/>
        </w:rPr>
        <w:t xml:space="preserve">population model </w:t>
      </w:r>
      <w:r w:rsidR="003753BC">
        <w:rPr>
          <w:lang w:val="en-US"/>
        </w:rPr>
        <w:t>described in previous</w:t>
      </w:r>
      <w:r w:rsidR="00FF6804">
        <w:rPr>
          <w:lang w:val="en-US"/>
        </w:rPr>
        <w:t xml:space="preserve"> publications</w:t>
      </w:r>
      <w:r w:rsidR="00644800">
        <w:rPr>
          <w:lang w:val="en-US"/>
        </w:rPr>
        <w:t>.</w:t>
      </w:r>
      <w:r w:rsidR="00D6279D">
        <w:rPr>
          <w:lang w:val="en-US"/>
        </w:rPr>
        <w:fldChar w:fldCharType="begin"/>
      </w:r>
      <w:r w:rsidR="00B153C0">
        <w:rPr>
          <w:lang w:val="en-US"/>
        </w:rPr>
        <w:instrText xml:space="preserve"> ADDIN ZOTERO_ITEM CSL_CITATION {"citationID":"HMpvy7KJ","properties":{"formattedCitation":"\\super 10,12\\nosupersub{}","plainCitation":"10,12","noteIndex":0},"citationItems":[{"id":126526,"uris":["http://zotero.org/groups/2154524/items/CVUR4VAE"],"itemData":{"id":126526,"type":"article-journal","abstract":"BACKGROUND: Accurate and up-to-date assessment of demographic metrics is crucial for understanding a wide range of social, economic, and public health issues that affect populations worldwide. The Global Burden of Diseases, Injuries, and Risk Factors Study (GBD) 2019 produced updated and comprehensive demographic assessments of the key indicators of fertility, mortality, migration, and population for 204 countries and territories and selected subnational locations from 1950 to 2019.\nMETHODS: 8078 country-years of vital registration and sample registration data, 938 surveys, 349 censuses, and 238 other sources were identified and used to estimate age-specific fertility. Spatiotemporal Gaussian process regression (ST-GPR) was used to generate age-specific fertility rates for 5-year age groups between ages 15 and 49 years. With extensions to age groups 10-14 and 50-54 years, the total fertility rate (TFR) was then aggregated using the estimated age-specific fertility between ages 10 and 54 years. 7417 sources were used for under-5 mortality estimation and 7355 for adult mortality. ST-GPR was used to synthesise data sources after correction for known biases. Adult mortality was measured as the probability of death between ages 15 and 60 years based on vital registration, sample registration, and sibling histories, and was also estimated using ST-GPR. HIV-free life tables were then estimated using estimates of under-5 and adult mortality rates using a relational model life table system created for GBD, which closely tracks observed age-specific mortality rates from complete vital registration when available. Independent estimates of HIV-specific mortality generated by an epidemiological analysis of HIV prevalence surveys and antenatal clinic serosurveillance and other sources were incorporated into the estimates in countries with large epidemics. Annual and single-year age estimates of net migration and population for each country and territory were generated using a Bayesian hierarchical cohort component model that analysed estimated age-specific fertility and mortality rates along with 1250 censuses and 747 population registry years. We classified location-years into seven categories on the basis of the natural rate of increase in population (calculated by subtracting the crude death rate from the crude birth rate) and the net migration rate. We computed healthy life expectancy (HALE) using years lived with disability (YLDs) per capita, life tables, and standard demographic methods. Uncertainty was propagated throughout the demographic estimation process, including fertility, mortality, and population, with 1000 draw-level estimates produced for each metric.\nFINDINGS: The global TFR decreased from 2·72 (95% uncertainty interval [UI] 2·66-2·79) in 2000 to 2·31 (2·17-2·46) in 2019. Global annual livebirths increased from 134·5 million (131·5-137·8) in 2000 to a peak of 139·6 million (133·0-146·9) in 2016. Global livebirths then declined to 135·3 million (127·2-144·1) in 2019. Of the 204 countries and territories included in this study, in 2019, 102 had a TFR lower than 2·1, which is considered a good approximation of replacement-level fertility. All countries in sub-Saharan Africa had TFRs above replacement level in 2019 and accounted for 27·1% (95% UI 26·4-27·8) of global livebirths. Global life expectancy at birth increased from 67·2 years (95% UI 66·8-67·6) in 2000 to 73·5 years (72·8-74·3) in 2019. The total number of deaths increased from 50·7 million (49·5-51·9) in 2000 to 56·5 million (53·7-59·2) in 2019. Under-5 deaths declined from 9·6 million (9·1-10·3) in 2000 to 5·0 million (4·3-6·0) in 2019. Global population increased by 25·7%, from 6·2 billion (6·0-6·3) in 2000 to 7·7 billion (7·5-8·0) in 2019. In 2019, 34 countries had negative natural rates of increase; in 17 of these, the population declined because immigration was not sufficient to counteract the negative rate of decline. Globally, HALE increased from 58·6 years (56·1-60·8) in 2000 to 63·5 years (60·8-66·1) in 2019. HALE increased in 202 of 204 countries and territories between 2000 and 2019.\nINTERPRETATION: Over the past 20 years, fertility rates have been dropping steadily and life expectancy has been increasing, with few exceptions. Much of this change follows historical patterns linking social and economic determinants, such as those captured by the GBD Socio-demographic Index, with demographic outcomes. More recently, several countries have experienced a combination of low fertility and stagnating improvement in mortality rates, pushing more populations into the late stages of the demographic transition. Tracking demographic change and the emergence of new patterns will be essential for global health monitoring.\nFUNDING: Bill &amp; Melinda Gates Foundation.","container-title":"Lancet","DOI":"10.1016/S0140-6736(20)30977-6","ISSN":"1474-547X","issue":"10258","journalAbbreviation":"Lancet","language":"eng","note":"PMID: 33069325\nPMCID: PMC7566045","page":"1160-1203","source":"PubMed","title":"Global age-sex-specific fertility, mortality, healthy life expectancy (HALE), and population estimates in 204 countries and territories, 1950-2019: a comprehensive demographic analysis for the Global Burden of Disease Study 2019","title-short":"Global age-sex-specific fertility, mortality, healthy life expectancy (HALE), and population estimates in 204 countries and territories, 1950-2019","volume":"396","author":[{"literal":"GBD 2019 Demographics Collaborators"}],"issued":{"date-parts":[["2020",10,17]]}},"label":"page"},{"id":127594,"uris":["http://zotero.org/groups/2154524/items/RCH9UKLW"],"itemData":{"id":127594,"type":"article-journal","container-title":"Lancet","title":"Global age-sex-specific mortality, life expectancy, and population estimates in 204 countries and territories and 811 subnational locations, 1950–2021: a comprehensive demographic analysis for the Global Burden of Disease Study 2021","author":[{"literal":"GBD 2021 Demographics Collaborators"}],"issued":{"literal":"submitted; under review"}},"label":"page"}],"schema":"https://github.com/citation-style-language/schema/raw/master/csl-citation.json"} </w:instrText>
      </w:r>
      <w:r w:rsidR="00D6279D">
        <w:rPr>
          <w:lang w:val="en-US"/>
        </w:rPr>
        <w:fldChar w:fldCharType="separate"/>
      </w:r>
      <w:r w:rsidR="00B153C0" w:rsidRPr="00B153C0">
        <w:rPr>
          <w:rFonts w:cs="Times New Roman"/>
          <w:szCs w:val="24"/>
          <w:vertAlign w:val="superscript"/>
        </w:rPr>
        <w:t>10,12</w:t>
      </w:r>
      <w:r w:rsidR="00D6279D">
        <w:rPr>
          <w:lang w:val="en-US"/>
        </w:rPr>
        <w:fldChar w:fldCharType="end"/>
      </w:r>
      <w:r w:rsidR="00817A2C">
        <w:rPr>
          <w:lang w:val="en-US"/>
        </w:rPr>
        <w:t xml:space="preserve"> </w:t>
      </w:r>
      <w:r w:rsidR="00C8752B">
        <w:rPr>
          <w:lang w:val="en-US"/>
        </w:rPr>
        <w:t xml:space="preserve">This </w:t>
      </w:r>
      <w:r w:rsidR="00C8752B">
        <w:rPr>
          <w:lang w:val="en-US"/>
        </w:rPr>
        <w:lastRenderedPageBreak/>
        <w:t>identification of</w:t>
      </w:r>
      <w:r w:rsidR="000D74E9">
        <w:rPr>
          <w:lang w:val="en-US"/>
        </w:rPr>
        <w:t xml:space="preserve"> g</w:t>
      </w:r>
      <w:r w:rsidR="00B016AE">
        <w:rPr>
          <w:lang w:val="en-US"/>
        </w:rPr>
        <w:t>eographic subset</w:t>
      </w:r>
      <w:r w:rsidR="00532A29">
        <w:rPr>
          <w:lang w:val="en-US"/>
        </w:rPr>
        <w:t>s</w:t>
      </w:r>
      <w:r w:rsidR="00B016AE">
        <w:rPr>
          <w:lang w:val="en-US"/>
        </w:rPr>
        <w:t xml:space="preserve"> </w:t>
      </w:r>
      <w:r w:rsidR="00C8752B">
        <w:rPr>
          <w:lang w:val="en-US"/>
        </w:rPr>
        <w:t>that contain</w:t>
      </w:r>
      <w:r w:rsidR="00B15816">
        <w:rPr>
          <w:lang w:val="en-US"/>
        </w:rPr>
        <w:t xml:space="preserve"> at least 90% of deaths </w:t>
      </w:r>
      <w:r w:rsidR="000D74E9">
        <w:rPr>
          <w:lang w:val="en-US"/>
        </w:rPr>
        <w:t xml:space="preserve">from a given cause </w:t>
      </w:r>
      <w:r w:rsidR="00B15816">
        <w:rPr>
          <w:lang w:val="en-US"/>
        </w:rPr>
        <w:t xml:space="preserve">but </w:t>
      </w:r>
      <w:r w:rsidR="516D694F" w:rsidRPr="14D2A1DB">
        <w:rPr>
          <w:lang w:val="en-US"/>
        </w:rPr>
        <w:t>represent</w:t>
      </w:r>
      <w:r w:rsidR="00B15816" w:rsidRPr="031A21EB">
        <w:rPr>
          <w:lang w:val="en-US"/>
        </w:rPr>
        <w:t xml:space="preserve"> </w:t>
      </w:r>
      <w:r w:rsidR="67105891" w:rsidRPr="031A21EB">
        <w:rPr>
          <w:lang w:val="en-US"/>
        </w:rPr>
        <w:t>a</w:t>
      </w:r>
      <w:r w:rsidR="00B15816">
        <w:rPr>
          <w:lang w:val="en-US"/>
        </w:rPr>
        <w:t xml:space="preserve"> </w:t>
      </w:r>
      <w:r w:rsidR="005B2235">
        <w:rPr>
          <w:lang w:val="en-US"/>
        </w:rPr>
        <w:t>comparatively small</w:t>
      </w:r>
      <w:r w:rsidR="008F209D" w:rsidRPr="09FD7ADE">
        <w:rPr>
          <w:lang w:val="en-US"/>
        </w:rPr>
        <w:t xml:space="preserve"> </w:t>
      </w:r>
      <w:r w:rsidR="588AFBCB" w:rsidRPr="14D2A1DB">
        <w:rPr>
          <w:lang w:val="en-US"/>
        </w:rPr>
        <w:t>share</w:t>
      </w:r>
      <w:r w:rsidR="008F209D" w:rsidRPr="09FD7ADE">
        <w:rPr>
          <w:lang w:val="en-US"/>
        </w:rPr>
        <w:t xml:space="preserve"> of the global population</w:t>
      </w:r>
      <w:r w:rsidR="008F209D" w:rsidRPr="14D2A1DB">
        <w:rPr>
          <w:lang w:val="en-US"/>
        </w:rPr>
        <w:t xml:space="preserve"> </w:t>
      </w:r>
      <w:r w:rsidR="78CACC94" w:rsidRPr="14D2A1DB">
        <w:rPr>
          <w:lang w:val="en-US"/>
        </w:rPr>
        <w:t>is</w:t>
      </w:r>
      <w:r w:rsidR="00DE1647">
        <w:rPr>
          <w:lang w:val="en-US"/>
        </w:rPr>
        <w:t xml:space="preserve"> used to </w:t>
      </w:r>
      <w:r w:rsidR="3442DDA8" w:rsidRPr="14D2A1DB">
        <w:rPr>
          <w:lang w:val="en-US"/>
        </w:rPr>
        <w:t>identify</w:t>
      </w:r>
      <w:r w:rsidR="00310252">
        <w:rPr>
          <w:lang w:val="en-US"/>
        </w:rPr>
        <w:t xml:space="preserve"> potential</w:t>
      </w:r>
      <w:r w:rsidR="008F209D">
        <w:rPr>
          <w:lang w:val="en-US"/>
        </w:rPr>
        <w:t xml:space="preserve"> inequalit</w:t>
      </w:r>
      <w:r w:rsidR="00310252">
        <w:rPr>
          <w:lang w:val="en-US"/>
        </w:rPr>
        <w:t>ies</w:t>
      </w:r>
      <w:r w:rsidR="008F209D">
        <w:rPr>
          <w:lang w:val="en-US"/>
        </w:rPr>
        <w:t xml:space="preserve"> </w:t>
      </w:r>
      <w:r w:rsidR="008D2BD1">
        <w:rPr>
          <w:lang w:val="en-US"/>
        </w:rPr>
        <w:t>in the impact of mortality between locations and populations.</w:t>
      </w:r>
      <w:r w:rsidR="00066327">
        <w:rPr>
          <w:lang w:val="en-US"/>
        </w:rPr>
        <w:t xml:space="preserve"> </w:t>
      </w:r>
      <w:r w:rsidR="192CA8C8" w:rsidRPr="2A5BC196">
        <w:rPr>
          <w:lang w:val="en-US"/>
        </w:rPr>
        <w:t xml:space="preserve">In addition to identifying these concentrations of mortality in 2021, we repeated this same analysis for 1990. By comparing the respective proportions of affected global population in these two years, we were able to differentiate causes that showed increased, decreased, or static </w:t>
      </w:r>
      <w:r w:rsidR="00B27B62">
        <w:rPr>
          <w:lang w:val="en-US"/>
        </w:rPr>
        <w:t>concentration of mortality</w:t>
      </w:r>
      <w:r w:rsidR="4023DCA6" w:rsidRPr="2A5BC196">
        <w:rPr>
          <w:lang w:val="en-US"/>
        </w:rPr>
        <w:t>.</w:t>
      </w:r>
      <w:r w:rsidR="00066327" w:rsidRPr="2A5BC196">
        <w:rPr>
          <w:lang w:val="en-US"/>
        </w:rPr>
        <w:t xml:space="preserve"> </w:t>
      </w:r>
      <w:r w:rsidR="6CA6553D" w:rsidRPr="2A5BC196">
        <w:rPr>
          <w:lang w:val="en-US"/>
        </w:rPr>
        <w:t xml:space="preserve">The causes highlighted in this study were </w:t>
      </w:r>
      <w:r w:rsidR="70C5AD23" w:rsidRPr="2A5BC196">
        <w:rPr>
          <w:lang w:val="en-US"/>
        </w:rPr>
        <w:t xml:space="preserve">those </w:t>
      </w:r>
      <w:proofErr w:type="spellStart"/>
      <w:r w:rsidR="70C5AD23" w:rsidRPr="2A5BC196">
        <w:rPr>
          <w:lang w:val="en-US"/>
        </w:rPr>
        <w:t>characterised</w:t>
      </w:r>
      <w:proofErr w:type="spellEnd"/>
      <w:r w:rsidR="6CA6553D" w:rsidRPr="2A5BC196">
        <w:rPr>
          <w:lang w:val="en-US"/>
        </w:rPr>
        <w:t xml:space="preserve"> by </w:t>
      </w:r>
      <w:r w:rsidR="0BB6D9D1" w:rsidRPr="2A5BC196">
        <w:rPr>
          <w:lang w:val="en-US"/>
        </w:rPr>
        <w:t>a</w:t>
      </w:r>
      <w:r w:rsidR="3936DACC" w:rsidRPr="2A5BC196">
        <w:rPr>
          <w:lang w:val="en-US"/>
        </w:rPr>
        <w:t>n age-</w:t>
      </w:r>
      <w:proofErr w:type="spellStart"/>
      <w:r w:rsidR="3936DACC" w:rsidRPr="2A5BC196">
        <w:rPr>
          <w:lang w:val="en-US"/>
        </w:rPr>
        <w:t>standardised</w:t>
      </w:r>
      <w:proofErr w:type="spellEnd"/>
      <w:r w:rsidR="0BB6D9D1" w:rsidRPr="2A5BC196">
        <w:rPr>
          <w:lang w:val="en-US"/>
        </w:rPr>
        <w:t xml:space="preserve"> mortality rate greater than </w:t>
      </w:r>
      <w:r w:rsidR="5091FA0C" w:rsidRPr="2A5BC196">
        <w:rPr>
          <w:lang w:val="en-US"/>
        </w:rPr>
        <w:t>0.5 per 100</w:t>
      </w:r>
      <w:r w:rsidR="00B16124">
        <w:rPr>
          <w:lang w:val="en-US"/>
        </w:rPr>
        <w:t xml:space="preserve"> </w:t>
      </w:r>
      <w:r w:rsidR="5091FA0C" w:rsidRPr="2A5BC196">
        <w:rPr>
          <w:lang w:val="en-US"/>
        </w:rPr>
        <w:t>000</w:t>
      </w:r>
      <w:r w:rsidRPr="2A5BC196" w:rsidDel="0BB6D9D1">
        <w:rPr>
          <w:lang w:val="en-US"/>
        </w:rPr>
        <w:t>.</w:t>
      </w:r>
      <w:r w:rsidR="1AD8619C" w:rsidRPr="2A5BC196">
        <w:rPr>
          <w:lang w:val="en-US"/>
        </w:rPr>
        <w:t xml:space="preserve"> We </w:t>
      </w:r>
      <w:r w:rsidR="72698316" w:rsidRPr="2A5BC196">
        <w:rPr>
          <w:lang w:val="en-US"/>
        </w:rPr>
        <w:t>did not address</w:t>
      </w:r>
      <w:r w:rsidR="1AD8619C" w:rsidRPr="2A5BC196">
        <w:rPr>
          <w:lang w:val="en-US"/>
        </w:rPr>
        <w:t xml:space="preserve"> causes </w:t>
      </w:r>
      <w:r w:rsidR="377B1F9D" w:rsidRPr="2A5BC196">
        <w:rPr>
          <w:lang w:val="en-US"/>
        </w:rPr>
        <w:t xml:space="preserve">that </w:t>
      </w:r>
      <w:r w:rsidR="1AD8619C" w:rsidRPr="2A5BC196">
        <w:rPr>
          <w:lang w:val="en-US"/>
        </w:rPr>
        <w:t xml:space="preserve">are </w:t>
      </w:r>
      <w:r w:rsidR="72B0B43F" w:rsidRPr="2A5BC196">
        <w:rPr>
          <w:lang w:val="en-US"/>
        </w:rPr>
        <w:t>inherently</w:t>
      </w:r>
      <w:r w:rsidR="0BB6D9D1" w:rsidRPr="2A5BC196">
        <w:rPr>
          <w:lang w:val="en-US"/>
        </w:rPr>
        <w:t xml:space="preserve"> endemic to certain regions, </w:t>
      </w:r>
      <w:r w:rsidR="55F59A1C" w:rsidRPr="2A5BC196">
        <w:rPr>
          <w:lang w:val="en-US"/>
        </w:rPr>
        <w:t>such as</w:t>
      </w:r>
      <w:r w:rsidR="0BB6D9D1" w:rsidRPr="2A5BC196">
        <w:rPr>
          <w:lang w:val="en-US"/>
        </w:rPr>
        <w:t xml:space="preserve"> Chagas</w:t>
      </w:r>
      <w:r w:rsidR="1952E11A" w:rsidRPr="2A5BC196">
        <w:rPr>
          <w:lang w:val="en-US"/>
        </w:rPr>
        <w:t>.</w:t>
      </w:r>
    </w:p>
    <w:p w14:paraId="61DAF081" w14:textId="11B8C4BF" w:rsidR="00C839E0" w:rsidRPr="009876B0" w:rsidRDefault="00C839E0" w:rsidP="009876B0">
      <w:pPr>
        <w:pStyle w:val="Heading3"/>
        <w:spacing w:line="360" w:lineRule="auto"/>
      </w:pPr>
      <w:r>
        <w:t>GBD research and reporting practices</w:t>
      </w:r>
    </w:p>
    <w:p w14:paraId="1941433C" w14:textId="7E295E6A" w:rsidR="009876B0" w:rsidRPr="009876B0" w:rsidRDefault="0000331F" w:rsidP="00BF7679">
      <w:pPr>
        <w:spacing w:line="360" w:lineRule="auto"/>
      </w:pPr>
      <w:r w:rsidRPr="009876B0">
        <w:t>This re</w:t>
      </w:r>
      <w:r w:rsidRPr="009876B0">
        <w:rPr>
          <w:lang w:val="en-US"/>
        </w:rPr>
        <w:t>search is</w:t>
      </w:r>
      <w:r w:rsidR="00F54D13" w:rsidRPr="009876B0">
        <w:rPr>
          <w:lang w:val="en-US"/>
        </w:rPr>
        <w:t xml:space="preserve"> compliant</w:t>
      </w:r>
      <w:r w:rsidRPr="009876B0">
        <w:t xml:space="preserve"> with the </w:t>
      </w:r>
      <w:r w:rsidR="0048227E">
        <w:t>Guide</w:t>
      </w:r>
      <w:r w:rsidR="000B3694">
        <w:t xml:space="preserve">lines for Accurate and </w:t>
      </w:r>
      <w:r w:rsidR="000B3694" w:rsidRPr="0004558D">
        <w:t>Transparent Health Estimates Reporting</w:t>
      </w:r>
      <w:r w:rsidRPr="0004558D">
        <w:t xml:space="preserve"> recommendations</w:t>
      </w:r>
      <w:r w:rsidR="00477966" w:rsidRPr="0004558D">
        <w:t xml:space="preserve"> (GATHER)</w:t>
      </w:r>
      <w:r w:rsidRPr="0004558D">
        <w:t>;</w:t>
      </w:r>
      <w:r w:rsidRPr="0004558D">
        <w:rPr>
          <w:shd w:val="clear" w:color="auto" w:fill="E6E6E6"/>
        </w:rPr>
        <w:fldChar w:fldCharType="begin"/>
      </w:r>
      <w:r w:rsidR="007442BF">
        <w:instrText xml:space="preserve"> ADDIN ZOTERO_ITEM CSL_CITATION {"citationID":"AISgkmjF","properties":{"formattedCitation":"\\super 14\\nosupersub{}","plainCitation":"14","noteIndex":0},"citationItems":[{"id":93390,"uris":["http://zotero.org/groups/2154524/items/KURIGTPD"],"itemData":{"id":93390,"type":"article-journal","abstract":"&lt;h2&gt;Summary&lt;/h2&gt;&lt;p&gt;Measurements of health indicators are rarely available for every population and period of interest, and available data may not be comparable. The Guidelines for Accurate and Transparent Health Estimates Reporting (GATHER) define best reporting practices for studies that calculate health estimates for multiple populations (in time or space) using multiple information sources. Health estimates that fall within the scope of GATHER include all quantitative population-level estimates (including global, regional, national, or subnational estimates) of health indicators, including indicators of health status, incidence and prevalence of diseases, injuries, and disability and functioning; and indicators of health determinants, including health behaviours and health exposures. GATHER comprises a checklist of 18 items that are essential for best reporting practice. A more detailed explanation and elaboration document, describing the interpretation and rationale of each reporting item along with examples of good reporting, is available on the GATHER website.&lt;/p&gt;","container-title":"Lancet","DOI":"10.1016/S0140-6736(16)30388-9","ISSN":"0140-6736, 1474-547X","issue":"10062","journalAbbreviation":"Lancet","language":"English","note":"publisher: Elsevier\nPMID: 27371184","page":"e19-e23","source":"www.thelancet.com","title":"Guidelines for Accurate and Transparent Health Estimates Reporting: the GATHER statement","title-short":"Guidelines for Accurate and Transparent Health Estimates Reporting","volume":"388","author":[{"family":"Stevens","given":"Gretchen A."},{"family":"Alkema","given":"Leontine"},{"family":"Black","given":"Robert E."},{"family":"Boerma","given":"J. Ties"},{"family":"Collins","given":"Gary S."},{"family":"Ezzati","given":"Majid"},{"family":"Grove","given":"John T."},{"family":"Hogan","given":"Daniel R."},{"family":"Hogan","given":"Margaret C."},{"family":"Horton","given":"Richard"},{"family":"Lawn","given":"Joy E."},{"family":"Marušić","given":"Ana"},{"family":"Mathers","given":"Colin D."},{"family":"Murray","given":"Christopher J. L."},{"family":"Rudan","given":"Igor"},{"family":"Salomon","given":"Joshua A."},{"family":"Simpson","given":"Paul J."},{"family":"Vos","given":"Theo"},{"family":"Welch","given":"Vivian"}],"issued":{"date-parts":[["2016",12,10]]}}}],"schema":"https://github.com/citation-style-language/schema/raw/master/csl-citation.json"} </w:instrText>
      </w:r>
      <w:r w:rsidRPr="0004558D">
        <w:rPr>
          <w:shd w:val="clear" w:color="auto" w:fill="E6E6E6"/>
        </w:rPr>
        <w:fldChar w:fldCharType="separate"/>
      </w:r>
      <w:r w:rsidR="007442BF" w:rsidRPr="007442BF">
        <w:rPr>
          <w:rFonts w:cs="Times New Roman"/>
          <w:szCs w:val="24"/>
          <w:vertAlign w:val="superscript"/>
        </w:rPr>
        <w:t>14</w:t>
      </w:r>
      <w:r w:rsidRPr="0004558D">
        <w:rPr>
          <w:shd w:val="clear" w:color="auto" w:fill="E6E6E6"/>
        </w:rPr>
        <w:fldChar w:fldCharType="end"/>
      </w:r>
      <w:r w:rsidRPr="0004558D">
        <w:t xml:space="preserve"> a completed GATHER checklist</w:t>
      </w:r>
      <w:r w:rsidR="00D16079" w:rsidRPr="0004558D">
        <w:t xml:space="preserve"> is provided in </w:t>
      </w:r>
      <w:r w:rsidR="001E65A7">
        <w:t>a</w:t>
      </w:r>
      <w:r w:rsidR="009E640C" w:rsidRPr="0004558D">
        <w:t xml:space="preserve">ppendix </w:t>
      </w:r>
      <w:r w:rsidR="00F560F1">
        <w:t>2</w:t>
      </w:r>
      <w:r w:rsidR="009E640C" w:rsidRPr="0004558D">
        <w:t xml:space="preserve"> </w:t>
      </w:r>
      <w:r w:rsidR="001E65A7">
        <w:t>t</w:t>
      </w:r>
      <w:r w:rsidR="009E640C" w:rsidRPr="0004558D">
        <w:t xml:space="preserve">able S4. </w:t>
      </w:r>
      <w:r w:rsidRPr="0004558D">
        <w:t>Software packages used in the causes of death analysis for GBD 2021 were Python</w:t>
      </w:r>
      <w:r w:rsidRPr="00C61CFF">
        <w:t xml:space="preserve"> version 3.10.4, Stata version 13.1, and R version 4.2.1</w:t>
      </w:r>
      <w:r w:rsidRPr="009876B0">
        <w:t>.</w:t>
      </w:r>
      <w:r w:rsidRPr="009876B0">
        <w:rPr>
          <w:shd w:val="clear" w:color="auto" w:fill="FFFFFF"/>
        </w:rPr>
        <w:t xml:space="preserve"> </w:t>
      </w:r>
      <w:r w:rsidRPr="009876B0">
        <w:rPr>
          <w:rStyle w:val="normaltextrun"/>
          <w:shd w:val="clear" w:color="auto" w:fill="FFFFFF"/>
        </w:rPr>
        <w:t>Statistical code used for GBD estimation is publicly available online</w:t>
      </w:r>
      <w:r w:rsidR="00C63657" w:rsidRPr="00D12B3B">
        <w:rPr>
          <w:rStyle w:val="normaltextrun"/>
          <w:shd w:val="clear" w:color="auto" w:fill="FFFFFF"/>
        </w:rPr>
        <w:t xml:space="preserve"> </w:t>
      </w:r>
      <w:r w:rsidR="00E02860" w:rsidRPr="008E2A35">
        <w:rPr>
          <w:rStyle w:val="normaltextrun"/>
          <w:shd w:val="clear" w:color="auto" w:fill="FFFFFF"/>
        </w:rPr>
        <w:t>[</w:t>
      </w:r>
      <w:hyperlink r:id="rId15" w:history="1">
        <w:r w:rsidR="00E02860" w:rsidRPr="00D12B3B">
          <w:rPr>
            <w:rStyle w:val="normaltextrun"/>
            <w:shd w:val="clear" w:color="auto" w:fill="FFFFFF"/>
          </w:rPr>
          <w:t>http://ghdx.healthdata.org/gbd-2021/code</w:t>
        </w:r>
      </w:hyperlink>
      <w:r w:rsidR="00E02860" w:rsidRPr="00D12B3B">
        <w:rPr>
          <w:rStyle w:val="normaltextrun"/>
          <w:shd w:val="clear" w:color="auto" w:fill="FFFFFF"/>
        </w:rPr>
        <w:t>;</w:t>
      </w:r>
      <w:r w:rsidR="00EC5E15">
        <w:rPr>
          <w:rStyle w:val="normaltextrun"/>
          <w:shd w:val="clear" w:color="auto" w:fill="FFFFFF"/>
        </w:rPr>
        <w:t xml:space="preserve"> </w:t>
      </w:r>
      <w:r w:rsidR="00C63657" w:rsidRPr="00D12B3B">
        <w:rPr>
          <w:rStyle w:val="normaltextrun"/>
          <w:i/>
          <w:shd w:val="clear" w:color="auto" w:fill="FFFFFF"/>
        </w:rPr>
        <w:t>note</w:t>
      </w:r>
      <w:r w:rsidR="00C63657" w:rsidRPr="00C63657">
        <w:rPr>
          <w:rStyle w:val="normaltextrun"/>
          <w:i/>
          <w:iCs/>
        </w:rPr>
        <w:t xml:space="preserve"> to editors and reviewers</w:t>
      </w:r>
      <w:r w:rsidR="00AF306F">
        <w:rPr>
          <w:rStyle w:val="normaltextrun"/>
          <w:i/>
          <w:iCs/>
        </w:rPr>
        <w:t>,</w:t>
      </w:r>
      <w:r w:rsidR="00E43664">
        <w:rPr>
          <w:rStyle w:val="normaltextrun"/>
          <w:i/>
          <w:iCs/>
        </w:rPr>
        <w:t xml:space="preserve"> </w:t>
      </w:r>
      <w:r w:rsidR="00C63657" w:rsidRPr="00C63657">
        <w:rPr>
          <w:rStyle w:val="normaltextrun"/>
          <w:i/>
          <w:iCs/>
        </w:rPr>
        <w:t>this link will be made available prior to publication but is not currently live</w:t>
      </w:r>
      <w:r w:rsidRPr="009876B0">
        <w:rPr>
          <w:rStyle w:val="normaltextrun"/>
          <w:shd w:val="clear" w:color="auto" w:fill="FFFFFF"/>
        </w:rPr>
        <w:t>].</w:t>
      </w:r>
    </w:p>
    <w:p w14:paraId="77F4A62B" w14:textId="65BFFE13" w:rsidR="00C76E28" w:rsidRPr="00F03EE9" w:rsidRDefault="00C76E28" w:rsidP="00BE568F">
      <w:pPr>
        <w:pStyle w:val="Heading3"/>
        <w:spacing w:line="360" w:lineRule="auto"/>
      </w:pPr>
      <w:r w:rsidRPr="00F03EE9">
        <w:t>Role of the funding source</w:t>
      </w:r>
    </w:p>
    <w:p w14:paraId="264D659D" w14:textId="0C54A91E" w:rsidR="00887646" w:rsidRDefault="00C76E28" w:rsidP="00BE568F">
      <w:pPr>
        <w:spacing w:line="360" w:lineRule="auto"/>
      </w:pPr>
      <w:r>
        <w:t>The funders of this study had no role in study design, data collection, data analysis, data interpretation, or the writing of the report. The corresponding author had full access to the data in the study and final responsibility for the decision to submit for publication.</w:t>
      </w:r>
    </w:p>
    <w:p w14:paraId="002B3192" w14:textId="77777777" w:rsidR="007C64B1" w:rsidRDefault="007C64B1" w:rsidP="00610382">
      <w:pPr>
        <w:spacing w:after="0" w:line="360" w:lineRule="auto"/>
      </w:pPr>
    </w:p>
    <w:p w14:paraId="1B7B7DB0" w14:textId="70F555EB" w:rsidR="02EDF746" w:rsidRPr="00DA1C7C" w:rsidRDefault="0048426B" w:rsidP="00610382">
      <w:pPr>
        <w:pStyle w:val="Heading2"/>
        <w:spacing w:before="0" w:after="0" w:line="360" w:lineRule="auto"/>
      </w:pPr>
      <w:r>
        <w:t>Results</w:t>
      </w:r>
    </w:p>
    <w:p w14:paraId="1E36BA67" w14:textId="0EBBE6DB" w:rsidR="009D747C" w:rsidRDefault="00484A17" w:rsidP="00610382">
      <w:pPr>
        <w:pStyle w:val="Heading3"/>
        <w:spacing w:line="360" w:lineRule="auto"/>
      </w:pPr>
      <w:r w:rsidRPr="00DA1C7C">
        <w:t>Global causes of death</w:t>
      </w:r>
    </w:p>
    <w:p w14:paraId="62C552FD" w14:textId="1998EFCB" w:rsidR="00441A1D" w:rsidRPr="00F94B8D" w:rsidRDefault="00F04E95" w:rsidP="0090253A">
      <w:pPr>
        <w:spacing w:line="360" w:lineRule="auto"/>
        <w:rPr>
          <w:rFonts w:cs="Times New Roman"/>
        </w:rPr>
      </w:pPr>
      <w:r w:rsidDel="00D275FA">
        <w:t xml:space="preserve">From 1990 to 2019, </w:t>
      </w:r>
      <w:r w:rsidR="00FA7F2B">
        <w:t xml:space="preserve">the annual rate of change in </w:t>
      </w:r>
      <w:r w:rsidR="01BFC4BF">
        <w:t>global</w:t>
      </w:r>
      <w:r w:rsidR="3E989C6E">
        <w:t xml:space="preserve"> </w:t>
      </w:r>
      <w:r w:rsidR="00FA7F2B">
        <w:t xml:space="preserve">deaths </w:t>
      </w:r>
      <w:r w:rsidR="487025B4">
        <w:t>from all causes</w:t>
      </w:r>
      <w:r w:rsidR="00FA7F2B">
        <w:t xml:space="preserve"> ranged from </w:t>
      </w:r>
      <w:r w:rsidR="00562C5D">
        <w:t>-</w:t>
      </w:r>
      <w:r w:rsidR="00481134">
        <w:t>0.9%</w:t>
      </w:r>
      <w:r w:rsidR="00383CE8">
        <w:t xml:space="preserve"> </w:t>
      </w:r>
      <w:r w:rsidR="524C9767" w:rsidRPr="00B36566">
        <w:t>(</w:t>
      </w:r>
      <w:r w:rsidR="000D4F36">
        <w:t xml:space="preserve">95% UI </w:t>
      </w:r>
      <w:r w:rsidR="00F17DC5" w:rsidRPr="00B36566">
        <w:t>–</w:t>
      </w:r>
      <w:r w:rsidR="6ADA8097" w:rsidRPr="00073BCD">
        <w:t>2.7</w:t>
      </w:r>
      <w:r w:rsidR="00F17DC5">
        <w:rPr>
          <w:rFonts w:cs="Times New Roman"/>
        </w:rPr>
        <w:t xml:space="preserve"> to </w:t>
      </w:r>
      <w:r w:rsidR="6530340F" w:rsidRPr="00073BCD">
        <w:rPr>
          <w:rFonts w:cs="Times New Roman"/>
        </w:rPr>
        <w:t>0.</w:t>
      </w:r>
      <w:r w:rsidR="657D0C6A" w:rsidRPr="00073BCD">
        <w:rPr>
          <w:rFonts w:cs="Times New Roman"/>
        </w:rPr>
        <w:t>8</w:t>
      </w:r>
      <w:r w:rsidR="00383CE8">
        <w:rPr>
          <w:rFonts w:cs="Times New Roman"/>
        </w:rPr>
        <w:t>)</w:t>
      </w:r>
      <w:r w:rsidR="00FA7F2B" w:rsidRPr="775A10F8">
        <w:rPr>
          <w:rFonts w:cs="Times New Roman"/>
        </w:rPr>
        <w:t xml:space="preserve"> </w:t>
      </w:r>
      <w:r w:rsidR="082E4360" w:rsidRPr="775A10F8">
        <w:rPr>
          <w:rFonts w:cs="Times New Roman"/>
        </w:rPr>
        <w:t>in 2006</w:t>
      </w:r>
      <w:r w:rsidR="00FA7F2B">
        <w:t xml:space="preserve"> to an increase </w:t>
      </w:r>
      <w:r w:rsidR="00411576">
        <w:t>o</w:t>
      </w:r>
      <w:r w:rsidR="00FA7F2B">
        <w:t>f 2.4%</w:t>
      </w:r>
      <w:r w:rsidR="00383CE8">
        <w:t xml:space="preserve"> (</w:t>
      </w:r>
      <w:r w:rsidR="4883DE2B">
        <w:t>0.</w:t>
      </w:r>
      <w:r w:rsidR="27A0728E">
        <w:t>1</w:t>
      </w:r>
      <w:r w:rsidR="4A0A017D" w:rsidRPr="00F10F1F">
        <w:rPr>
          <w:rFonts w:cs="Times New Roman"/>
        </w:rPr>
        <w:t>–</w:t>
      </w:r>
      <w:r w:rsidR="71498638" w:rsidRPr="00F10F1F">
        <w:rPr>
          <w:rFonts w:cs="Times New Roman"/>
        </w:rPr>
        <w:t>4.</w:t>
      </w:r>
      <w:r w:rsidR="4C9279BB" w:rsidRPr="00F10F1F">
        <w:rPr>
          <w:rFonts w:cs="Times New Roman"/>
        </w:rPr>
        <w:t>7</w:t>
      </w:r>
      <w:r w:rsidR="00383CE8">
        <w:rPr>
          <w:rFonts w:cs="Times New Roman"/>
        </w:rPr>
        <w:t>)</w:t>
      </w:r>
      <w:r w:rsidR="00FA7F2B" w:rsidRPr="775A10F8">
        <w:rPr>
          <w:rFonts w:cs="Times New Roman"/>
        </w:rPr>
        <w:t xml:space="preserve"> </w:t>
      </w:r>
      <w:r w:rsidR="36D11FB7" w:rsidRPr="775A10F8">
        <w:rPr>
          <w:rFonts w:cs="Times New Roman"/>
        </w:rPr>
        <w:t xml:space="preserve">in </w:t>
      </w:r>
      <w:r w:rsidR="36D11FB7" w:rsidRPr="165CE23F">
        <w:rPr>
          <w:rFonts w:cs="Times New Roman"/>
        </w:rPr>
        <w:t>1994</w:t>
      </w:r>
      <w:r w:rsidR="00FA7F2B">
        <w:t xml:space="preserve"> (</w:t>
      </w:r>
      <w:r w:rsidR="00FA7F2B" w:rsidDel="00C46E97">
        <w:t>a</w:t>
      </w:r>
      <w:r w:rsidR="00FA7F2B" w:rsidRPr="00B36566">
        <w:t>ppendix</w:t>
      </w:r>
      <w:r w:rsidR="00734640" w:rsidRPr="00B36566">
        <w:t xml:space="preserve"> 2</w:t>
      </w:r>
      <w:r w:rsidR="00FA7F2B" w:rsidRPr="00B36566">
        <w:t xml:space="preserve"> table </w:t>
      </w:r>
      <w:r w:rsidR="00734640" w:rsidRPr="00B36566">
        <w:t>S</w:t>
      </w:r>
      <w:r w:rsidR="00FA7F2B" w:rsidRPr="00B36566">
        <w:t xml:space="preserve">1 and figure </w:t>
      </w:r>
      <w:r w:rsidR="00734640" w:rsidRPr="00B36566">
        <w:t>S</w:t>
      </w:r>
      <w:r w:rsidR="00FA7F2B" w:rsidRPr="00B36566">
        <w:t>1</w:t>
      </w:r>
      <w:r w:rsidR="00FA7F2B">
        <w:t xml:space="preserve">). The corresponding </w:t>
      </w:r>
      <w:r w:rsidR="334A2529">
        <w:t xml:space="preserve">annual rates of </w:t>
      </w:r>
      <w:r w:rsidR="334A2529" w:rsidRPr="00B36566">
        <w:t>change</w:t>
      </w:r>
      <w:r w:rsidR="00FA7F2B" w:rsidRPr="00B36566">
        <w:t xml:space="preserve"> in </w:t>
      </w:r>
      <w:r w:rsidR="7D25B863">
        <w:t xml:space="preserve">the global </w:t>
      </w:r>
      <w:r w:rsidR="00FA7F2B">
        <w:t xml:space="preserve">age-standardised mortality rate fell within a range of </w:t>
      </w:r>
      <w:r w:rsidR="00F17DC5">
        <w:t>–</w:t>
      </w:r>
      <w:r w:rsidR="00FA7F2B">
        <w:t xml:space="preserve">3.3% </w:t>
      </w:r>
      <w:r w:rsidR="3E620809" w:rsidRPr="00B36566">
        <w:t>(</w:t>
      </w:r>
      <w:r w:rsidR="00F544C6">
        <w:t>–</w:t>
      </w:r>
      <w:r w:rsidR="0DB2141E" w:rsidRPr="00B36566">
        <w:t>5.</w:t>
      </w:r>
      <w:r w:rsidR="288EE1FB" w:rsidRPr="00B36566">
        <w:t>0</w:t>
      </w:r>
      <w:r w:rsidR="00F544C6">
        <w:rPr>
          <w:rFonts w:cs="Times New Roman"/>
        </w:rPr>
        <w:t xml:space="preserve"> to </w:t>
      </w:r>
      <w:r w:rsidR="00F544C6">
        <w:t>–</w:t>
      </w:r>
      <w:r w:rsidR="04389401" w:rsidRPr="00B36566">
        <w:rPr>
          <w:rFonts w:cs="Times New Roman"/>
        </w:rPr>
        <w:t>1.</w:t>
      </w:r>
      <w:r w:rsidR="2DB15428" w:rsidRPr="00B36566">
        <w:rPr>
          <w:rFonts w:cs="Times New Roman"/>
        </w:rPr>
        <w:t>6</w:t>
      </w:r>
      <w:r w:rsidR="008B70AF">
        <w:rPr>
          <w:rFonts w:cs="Times New Roman"/>
        </w:rPr>
        <w:t xml:space="preserve">) </w:t>
      </w:r>
      <w:r w:rsidR="00FA7F2B">
        <w:t>to 0.4%</w:t>
      </w:r>
      <w:r w:rsidR="008B70AF">
        <w:t xml:space="preserve"> </w:t>
      </w:r>
      <w:r w:rsidR="3E620809">
        <w:t>(</w:t>
      </w:r>
      <w:r w:rsidR="00F544C6">
        <w:t>–</w:t>
      </w:r>
      <w:r w:rsidR="5EC3E7E3" w:rsidRPr="00F10F1F">
        <w:t>1.</w:t>
      </w:r>
      <w:r w:rsidR="5445C9C1" w:rsidRPr="00F10F1F">
        <w:t>9</w:t>
      </w:r>
      <w:r w:rsidR="00F544C6">
        <w:rPr>
          <w:rFonts w:cs="Times New Roman"/>
        </w:rPr>
        <w:t xml:space="preserve"> to </w:t>
      </w:r>
      <w:r w:rsidR="5C69A43E" w:rsidRPr="00F10F1F">
        <w:rPr>
          <w:rFonts w:cs="Times New Roman"/>
        </w:rPr>
        <w:t>2.</w:t>
      </w:r>
      <w:r w:rsidR="061D2946" w:rsidRPr="00F10F1F">
        <w:rPr>
          <w:rFonts w:cs="Times New Roman"/>
        </w:rPr>
        <w:t>5</w:t>
      </w:r>
      <w:r w:rsidR="008B70AF">
        <w:rPr>
          <w:rFonts w:cs="Times New Roman"/>
        </w:rPr>
        <w:t>)</w:t>
      </w:r>
      <w:r w:rsidR="00FA7F2B">
        <w:t xml:space="preserve"> </w:t>
      </w:r>
      <w:r w:rsidR="005B70DB" w:rsidRPr="00B36566">
        <w:t>from</w:t>
      </w:r>
      <w:r w:rsidR="0079021B" w:rsidRPr="00B36566">
        <w:t xml:space="preserve"> 1990</w:t>
      </w:r>
      <w:r w:rsidR="00F6046E" w:rsidRPr="00B36566">
        <w:t xml:space="preserve"> to 2019</w:t>
      </w:r>
      <w:r w:rsidR="00FA7F2B" w:rsidRPr="00B36566">
        <w:t>.</w:t>
      </w:r>
      <w:r w:rsidR="00FA7F2B">
        <w:t xml:space="preserve"> </w:t>
      </w:r>
      <w:r w:rsidR="00F83117">
        <w:rPr>
          <w:rStyle w:val="normaltextrun"/>
          <w:color w:val="000000"/>
          <w:bdr w:val="none" w:sz="0" w:space="0" w:color="auto" w:frame="1"/>
        </w:rPr>
        <w:t>In 2020, the total number of deaths worldwide increased by</w:t>
      </w:r>
      <w:r w:rsidR="00DA5E2E">
        <w:t xml:space="preserve"> </w:t>
      </w:r>
      <w:r w:rsidR="00FA7F2B">
        <w:t xml:space="preserve">10.8% </w:t>
      </w:r>
      <w:r w:rsidR="008B70AF" w:rsidRPr="00F10F1F">
        <w:t>(</w:t>
      </w:r>
      <w:r w:rsidR="688065B6" w:rsidRPr="00F10F1F">
        <w:t>6.</w:t>
      </w:r>
      <w:r w:rsidR="1AC4935F" w:rsidRPr="00F10F1F">
        <w:t>4</w:t>
      </w:r>
      <w:r w:rsidR="3E620809" w:rsidRPr="00F10F1F">
        <w:rPr>
          <w:rFonts w:cs="Times New Roman"/>
        </w:rPr>
        <w:t>–</w:t>
      </w:r>
      <w:r w:rsidR="1B751780" w:rsidRPr="00F10F1F">
        <w:rPr>
          <w:rFonts w:cs="Times New Roman"/>
        </w:rPr>
        <w:t>15.</w:t>
      </w:r>
      <w:r w:rsidR="1D13D202" w:rsidRPr="00F10F1F">
        <w:rPr>
          <w:rFonts w:cs="Times New Roman"/>
        </w:rPr>
        <w:t>4</w:t>
      </w:r>
      <w:r w:rsidR="008B70AF">
        <w:rPr>
          <w:rFonts w:cs="Times New Roman"/>
        </w:rPr>
        <w:t xml:space="preserve">) </w:t>
      </w:r>
      <w:r w:rsidR="00FA7F2B">
        <w:t>compared to 2019</w:t>
      </w:r>
      <w:r w:rsidR="48EB089E">
        <w:t>, from 57.0 million (54.9–59.5) deaths in 2019 to 63.1 million (60.6–65.9) deaths in 2020</w:t>
      </w:r>
      <w:r w:rsidR="00FA7F2B">
        <w:t>. This</w:t>
      </w:r>
      <w:r w:rsidR="001569CA">
        <w:t xml:space="preserve"> trend</w:t>
      </w:r>
      <w:r w:rsidR="00FA7F2B">
        <w:t xml:space="preserve"> persisted in 2021, with a</w:t>
      </w:r>
      <w:r w:rsidR="00C45646">
        <w:t>n increase of</w:t>
      </w:r>
      <w:r w:rsidR="00FA7F2B">
        <w:t xml:space="preserve"> </w:t>
      </w:r>
      <w:r w:rsidR="00FA7F2B" w:rsidDel="00786BE4">
        <w:t>7.5</w:t>
      </w:r>
      <w:r w:rsidR="00FA7F2B">
        <w:t>%</w:t>
      </w:r>
      <w:r w:rsidR="008B70AF">
        <w:t xml:space="preserve"> </w:t>
      </w:r>
      <w:r w:rsidR="008B70AF" w:rsidRPr="00F10F1F">
        <w:t>(</w:t>
      </w:r>
      <w:r w:rsidR="72267DB3" w:rsidRPr="00F10F1F">
        <w:t>3.</w:t>
      </w:r>
      <w:r w:rsidR="09A9EF13" w:rsidRPr="00F10F1F">
        <w:t>1</w:t>
      </w:r>
      <w:r w:rsidR="008B70AF" w:rsidRPr="00F10F1F">
        <w:rPr>
          <w:rFonts w:cs="Times New Roman"/>
        </w:rPr>
        <w:t>–</w:t>
      </w:r>
      <w:r w:rsidR="3CD78845" w:rsidRPr="00F10F1F">
        <w:rPr>
          <w:rFonts w:cs="Times New Roman"/>
        </w:rPr>
        <w:t>12.</w:t>
      </w:r>
      <w:r w:rsidR="0BC2562A" w:rsidRPr="00F10F1F">
        <w:rPr>
          <w:rFonts w:cs="Times New Roman"/>
        </w:rPr>
        <w:t>4</w:t>
      </w:r>
      <w:r w:rsidR="008B70AF">
        <w:rPr>
          <w:rFonts w:cs="Times New Roman"/>
        </w:rPr>
        <w:t>)</w:t>
      </w:r>
      <w:r w:rsidR="00FA7F2B">
        <w:t xml:space="preserve"> relative to 202</w:t>
      </w:r>
      <w:r w:rsidR="00585611">
        <w:t>0</w:t>
      </w:r>
      <w:r w:rsidR="24C5EADD">
        <w:t>,</w:t>
      </w:r>
      <w:r w:rsidR="4419F499">
        <w:t xml:space="preserve"> to 67.9 million (65.0–70.8) deaths. </w:t>
      </w:r>
      <w:r w:rsidR="00FA7F2B">
        <w:t>The age-standardised mortality rate followed a similar pattern,</w:t>
      </w:r>
      <w:r w:rsidR="00585611">
        <w:t xml:space="preserve"> increasing</w:t>
      </w:r>
      <w:r w:rsidR="00FA7F2B">
        <w:t xml:space="preserve"> </w:t>
      </w:r>
      <w:r w:rsidR="6C9F982C">
        <w:t>8.</w:t>
      </w:r>
      <w:r w:rsidR="11939E03">
        <w:t>1</w:t>
      </w:r>
      <w:r w:rsidR="00FA7F2B">
        <w:t>%</w:t>
      </w:r>
      <w:r w:rsidR="001D39D8">
        <w:t xml:space="preserve"> </w:t>
      </w:r>
      <w:r w:rsidR="001D39D8" w:rsidRPr="00F10F1F">
        <w:t>(</w:t>
      </w:r>
      <w:r w:rsidR="2B8639C4" w:rsidRPr="00F10F1F">
        <w:t>3.</w:t>
      </w:r>
      <w:r w:rsidR="2B75B09C" w:rsidRPr="00F10F1F">
        <w:t>9</w:t>
      </w:r>
      <w:r w:rsidR="001D39D8" w:rsidRPr="00F10F1F">
        <w:rPr>
          <w:rFonts w:cs="Times New Roman"/>
        </w:rPr>
        <w:t>–</w:t>
      </w:r>
      <w:r w:rsidR="6A71190F" w:rsidRPr="00F10F1F">
        <w:rPr>
          <w:rFonts w:cs="Times New Roman"/>
        </w:rPr>
        <w:t>12.</w:t>
      </w:r>
      <w:r w:rsidR="211876D5" w:rsidRPr="00F10F1F">
        <w:rPr>
          <w:rFonts w:cs="Times New Roman"/>
        </w:rPr>
        <w:t>4</w:t>
      </w:r>
      <w:r w:rsidR="001D39D8">
        <w:rPr>
          <w:rFonts w:cs="Times New Roman"/>
        </w:rPr>
        <w:t>)</w:t>
      </w:r>
      <w:r w:rsidR="00FA7F2B">
        <w:t xml:space="preserve"> </w:t>
      </w:r>
      <w:r w:rsidR="00383CE8">
        <w:t>i</w:t>
      </w:r>
      <w:r w:rsidR="00FA7F2B">
        <w:t>n 2020 and a</w:t>
      </w:r>
      <w:r w:rsidR="00147A5B">
        <w:t>n additional</w:t>
      </w:r>
      <w:r w:rsidR="00FA7F2B">
        <w:t xml:space="preserve"> 5.</w:t>
      </w:r>
      <w:r w:rsidR="1E9ACBC1">
        <w:t>2</w:t>
      </w:r>
      <w:r w:rsidR="00FA7F2B">
        <w:t>%</w:t>
      </w:r>
      <w:r w:rsidR="001D39D8">
        <w:t xml:space="preserve"> </w:t>
      </w:r>
      <w:r w:rsidR="001D39D8" w:rsidRPr="00F10F1F">
        <w:t>(</w:t>
      </w:r>
      <w:r w:rsidR="00FA7F2B" w:rsidRPr="00F10F1F">
        <w:t>1</w:t>
      </w:r>
      <w:r w:rsidR="025D8845" w:rsidRPr="00F10F1F">
        <w:t>.</w:t>
      </w:r>
      <w:r w:rsidR="6E394415" w:rsidRPr="00F10F1F">
        <w:t>0</w:t>
      </w:r>
      <w:r w:rsidR="001D39D8" w:rsidRPr="00F10F1F">
        <w:rPr>
          <w:rFonts w:cs="Times New Roman"/>
        </w:rPr>
        <w:t>–</w:t>
      </w:r>
      <w:r w:rsidR="7429B9FE" w:rsidRPr="00F10F1F">
        <w:rPr>
          <w:rFonts w:cs="Times New Roman"/>
        </w:rPr>
        <w:t>9.</w:t>
      </w:r>
      <w:r w:rsidR="3AAFD05D" w:rsidRPr="00F10F1F">
        <w:rPr>
          <w:rFonts w:cs="Times New Roman"/>
        </w:rPr>
        <w:t>7</w:t>
      </w:r>
      <w:r w:rsidR="001D39D8">
        <w:rPr>
          <w:rFonts w:cs="Times New Roman"/>
        </w:rPr>
        <w:t>)</w:t>
      </w:r>
      <w:r w:rsidR="00FA7F2B">
        <w:t xml:space="preserve"> in 2021</w:t>
      </w:r>
      <w:r w:rsidR="57718AB4">
        <w:t xml:space="preserve"> (appendix 2 figure S1)</w:t>
      </w:r>
      <w:r w:rsidR="00FA7F2B">
        <w:t>.</w:t>
      </w:r>
      <w:r w:rsidR="00DE5DB6">
        <w:t xml:space="preserve"> </w:t>
      </w:r>
      <w:r w:rsidR="00DA52E7" w:rsidRPr="7071A0E8">
        <w:rPr>
          <w:rFonts w:cs="Times New Roman"/>
        </w:rPr>
        <w:t>In 2020 and 2021</w:t>
      </w:r>
      <w:r w:rsidR="009D2BD9">
        <w:rPr>
          <w:rFonts w:cs="Times New Roman"/>
        </w:rPr>
        <w:t>, deaths from COVID-19 and OPRM chan</w:t>
      </w:r>
      <w:r w:rsidR="003E25B8" w:rsidRPr="7071A0E8">
        <w:rPr>
          <w:rFonts w:cs="Times New Roman"/>
        </w:rPr>
        <w:t xml:space="preserve">ged the pattern of mortality </w:t>
      </w:r>
      <w:r w:rsidR="00E72B94" w:rsidRPr="7071A0E8">
        <w:rPr>
          <w:rFonts w:cs="Times New Roman"/>
        </w:rPr>
        <w:t xml:space="preserve">for the leading causes of </w:t>
      </w:r>
      <w:r w:rsidR="441C705D" w:rsidRPr="2A5BC196">
        <w:rPr>
          <w:rFonts w:cs="Times New Roman"/>
        </w:rPr>
        <w:t xml:space="preserve">age-standardised </w:t>
      </w:r>
      <w:r w:rsidR="00E72B94" w:rsidRPr="0028E38F">
        <w:rPr>
          <w:rFonts w:cs="Times New Roman"/>
        </w:rPr>
        <w:t>deat</w:t>
      </w:r>
      <w:r w:rsidR="00264402" w:rsidRPr="0028E38F">
        <w:rPr>
          <w:rFonts w:cs="Times New Roman"/>
        </w:rPr>
        <w:t>h</w:t>
      </w:r>
      <w:r w:rsidR="003744F1">
        <w:rPr>
          <w:rFonts w:cs="Times New Roman"/>
        </w:rPr>
        <w:t xml:space="preserve"> </w:t>
      </w:r>
      <w:r w:rsidR="000E06DE" w:rsidRPr="7071A0E8">
        <w:rPr>
          <w:rFonts w:cs="Times New Roman"/>
        </w:rPr>
        <w:t>(</w:t>
      </w:r>
      <w:r w:rsidR="000E06DE" w:rsidRPr="00B36566">
        <w:rPr>
          <w:rFonts w:cs="Times New Roman"/>
        </w:rPr>
        <w:t>figures 1 and 2 and table 1</w:t>
      </w:r>
      <w:r w:rsidR="000E06DE" w:rsidRPr="7071A0E8">
        <w:rPr>
          <w:rFonts w:cs="Times New Roman"/>
        </w:rPr>
        <w:t xml:space="preserve">). </w:t>
      </w:r>
      <w:r w:rsidR="00DD3C73" w:rsidRPr="7071A0E8">
        <w:rPr>
          <w:rFonts w:cs="Times New Roman"/>
        </w:rPr>
        <w:t>At Level 3 of th</w:t>
      </w:r>
      <w:r w:rsidR="00090749" w:rsidRPr="7071A0E8">
        <w:rPr>
          <w:rFonts w:cs="Times New Roman"/>
        </w:rPr>
        <w:t xml:space="preserve">e </w:t>
      </w:r>
      <w:r w:rsidR="005B7726" w:rsidRPr="7071A0E8">
        <w:rPr>
          <w:rFonts w:cs="Times New Roman"/>
        </w:rPr>
        <w:lastRenderedPageBreak/>
        <w:t xml:space="preserve">GBD cause classification </w:t>
      </w:r>
      <w:r w:rsidR="00DD3C73" w:rsidRPr="7071A0E8">
        <w:rPr>
          <w:rFonts w:cs="Times New Roman"/>
        </w:rPr>
        <w:t xml:space="preserve">hierarchy, the </w:t>
      </w:r>
      <w:r w:rsidR="1003E713" w:rsidRPr="7071A0E8">
        <w:rPr>
          <w:rFonts w:cs="Times New Roman"/>
        </w:rPr>
        <w:t>ranking</w:t>
      </w:r>
      <w:r w:rsidR="00251557">
        <w:rPr>
          <w:rFonts w:cs="Times New Roman"/>
        </w:rPr>
        <w:t>s</w:t>
      </w:r>
      <w:r w:rsidR="00B5499B" w:rsidRPr="7071A0E8">
        <w:rPr>
          <w:rFonts w:cs="Times New Roman"/>
        </w:rPr>
        <w:t xml:space="preserve"> of the </w:t>
      </w:r>
      <w:r w:rsidR="0520654E" w:rsidRPr="2A5BC196">
        <w:rPr>
          <w:rFonts w:cs="Times New Roman"/>
        </w:rPr>
        <w:t xml:space="preserve">four </w:t>
      </w:r>
      <w:r w:rsidR="00DD3C73" w:rsidRPr="7071A0E8">
        <w:rPr>
          <w:rFonts w:cs="Times New Roman"/>
        </w:rPr>
        <w:t xml:space="preserve">causes of death </w:t>
      </w:r>
      <w:r w:rsidR="73A9C929" w:rsidRPr="2A5BC196">
        <w:rPr>
          <w:rFonts w:cs="Times New Roman"/>
        </w:rPr>
        <w:t xml:space="preserve">with the </w:t>
      </w:r>
      <w:r w:rsidR="0FE9470D" w:rsidRPr="2A5BC196">
        <w:rPr>
          <w:rFonts w:cs="Times New Roman"/>
        </w:rPr>
        <w:t xml:space="preserve">highest age-standardised </w:t>
      </w:r>
      <w:r w:rsidR="47CD7D52" w:rsidRPr="2A5BC196">
        <w:rPr>
          <w:rFonts w:cs="Times New Roman"/>
        </w:rPr>
        <w:t>mortality</w:t>
      </w:r>
      <w:r w:rsidR="0FE9470D" w:rsidRPr="2A5BC196">
        <w:rPr>
          <w:rFonts w:cs="Times New Roman"/>
        </w:rPr>
        <w:t xml:space="preserve"> rates </w:t>
      </w:r>
      <w:r w:rsidR="00DD3C73" w:rsidRPr="7071A0E8">
        <w:rPr>
          <w:rFonts w:cs="Times New Roman"/>
        </w:rPr>
        <w:t xml:space="preserve">were the same in </w:t>
      </w:r>
      <w:r w:rsidR="00F22C9A" w:rsidRPr="7071A0E8">
        <w:rPr>
          <w:rFonts w:cs="Times New Roman"/>
        </w:rPr>
        <w:t xml:space="preserve">2019 as they were in </w:t>
      </w:r>
      <w:r w:rsidR="0089673A" w:rsidRPr="7071A0E8">
        <w:rPr>
          <w:rFonts w:cs="Times New Roman"/>
        </w:rPr>
        <w:t xml:space="preserve">1990, with each showing </w:t>
      </w:r>
      <w:r w:rsidR="000C283A" w:rsidRPr="7071A0E8">
        <w:rPr>
          <w:rFonts w:cs="Times New Roman"/>
        </w:rPr>
        <w:t>a</w:t>
      </w:r>
      <w:r w:rsidR="00232E54" w:rsidRPr="7071A0E8">
        <w:rPr>
          <w:rFonts w:cs="Times New Roman"/>
        </w:rPr>
        <w:t xml:space="preserve"> steady </w:t>
      </w:r>
      <w:r w:rsidR="00232E54" w:rsidRPr="00F10F1F">
        <w:rPr>
          <w:rFonts w:cs="Times New Roman"/>
        </w:rPr>
        <w:t>decline</w:t>
      </w:r>
      <w:r w:rsidR="00232E54" w:rsidRPr="7071A0E8">
        <w:rPr>
          <w:rFonts w:cs="Times New Roman"/>
        </w:rPr>
        <w:t xml:space="preserve"> in </w:t>
      </w:r>
      <w:r w:rsidR="00251557">
        <w:rPr>
          <w:rFonts w:cs="Times New Roman"/>
        </w:rPr>
        <w:t>its</w:t>
      </w:r>
      <w:r w:rsidR="00251557" w:rsidRPr="7071A0E8">
        <w:rPr>
          <w:rFonts w:cs="Times New Roman"/>
        </w:rPr>
        <w:t xml:space="preserve"> </w:t>
      </w:r>
      <w:r w:rsidR="00232E54" w:rsidRPr="7071A0E8">
        <w:rPr>
          <w:rFonts w:cs="Times New Roman"/>
        </w:rPr>
        <w:t>age-standardised death rate</w:t>
      </w:r>
      <w:r w:rsidR="00B0324F" w:rsidRPr="7071A0E8">
        <w:rPr>
          <w:rFonts w:cs="Times New Roman"/>
        </w:rPr>
        <w:t xml:space="preserve"> (</w:t>
      </w:r>
      <w:r w:rsidR="00B0324F" w:rsidRPr="00B36566">
        <w:rPr>
          <w:rFonts w:cs="Times New Roman"/>
        </w:rPr>
        <w:t>figure 1</w:t>
      </w:r>
      <w:r w:rsidR="00B0324F" w:rsidRPr="7071A0E8">
        <w:rPr>
          <w:rFonts w:cs="Times New Roman"/>
        </w:rPr>
        <w:t xml:space="preserve">). These causes were, in descending order, </w:t>
      </w:r>
      <w:r w:rsidR="00B0324F" w:rsidRPr="00F10F1F">
        <w:rPr>
          <w:rFonts w:cs="Times New Roman"/>
        </w:rPr>
        <w:t>isch</w:t>
      </w:r>
      <w:r w:rsidR="009D06D8">
        <w:rPr>
          <w:rFonts w:cs="Times New Roman"/>
        </w:rPr>
        <w:t>a</w:t>
      </w:r>
      <w:r w:rsidR="00B0324F" w:rsidRPr="00F10F1F">
        <w:rPr>
          <w:rFonts w:cs="Times New Roman"/>
        </w:rPr>
        <w:t>emic heart disease</w:t>
      </w:r>
      <w:r w:rsidR="003518CE" w:rsidRPr="7071A0E8">
        <w:rPr>
          <w:rFonts w:cs="Times New Roman"/>
        </w:rPr>
        <w:t xml:space="preserve">, </w:t>
      </w:r>
      <w:r w:rsidR="003518CE" w:rsidRPr="00F10F1F">
        <w:rPr>
          <w:rFonts w:cs="Times New Roman"/>
        </w:rPr>
        <w:t>stroke</w:t>
      </w:r>
      <w:r w:rsidR="003518CE" w:rsidRPr="7071A0E8">
        <w:rPr>
          <w:rFonts w:cs="Times New Roman"/>
        </w:rPr>
        <w:t xml:space="preserve">, </w:t>
      </w:r>
      <w:r w:rsidR="00E832BF" w:rsidRPr="00F10F1F">
        <w:rPr>
          <w:rFonts w:cs="Times New Roman"/>
        </w:rPr>
        <w:t>chronic obstructive pulmonary disease</w:t>
      </w:r>
      <w:r w:rsidR="00C87707" w:rsidRPr="7071A0E8">
        <w:rPr>
          <w:rFonts w:cs="Times New Roman"/>
        </w:rPr>
        <w:t xml:space="preserve"> (COPD)</w:t>
      </w:r>
      <w:r w:rsidR="00E832BF" w:rsidRPr="7071A0E8">
        <w:rPr>
          <w:rFonts w:cs="Times New Roman"/>
        </w:rPr>
        <w:t xml:space="preserve">, and </w:t>
      </w:r>
      <w:r w:rsidR="00E832BF" w:rsidRPr="00F10F1F">
        <w:rPr>
          <w:rFonts w:cs="Times New Roman"/>
        </w:rPr>
        <w:t>lower respiratory infections</w:t>
      </w:r>
      <w:r w:rsidR="00E832BF" w:rsidRPr="7071A0E8">
        <w:rPr>
          <w:rFonts w:cs="Times New Roman"/>
        </w:rPr>
        <w:t>.</w:t>
      </w:r>
      <w:r w:rsidR="007075B6" w:rsidRPr="7071A0E8">
        <w:rPr>
          <w:rFonts w:cs="Times New Roman"/>
        </w:rPr>
        <w:t xml:space="preserve"> </w:t>
      </w:r>
      <w:r w:rsidR="007075B6" w:rsidRPr="00397FE9">
        <w:rPr>
          <w:rFonts w:cs="Times New Roman"/>
        </w:rPr>
        <w:t xml:space="preserve">In 2021, </w:t>
      </w:r>
      <w:r w:rsidR="355F2BE0" w:rsidRPr="00397FE9">
        <w:rPr>
          <w:rFonts w:cs="Times New Roman"/>
        </w:rPr>
        <w:t>however</w:t>
      </w:r>
      <w:r w:rsidR="007075B6" w:rsidRPr="7071A0E8">
        <w:rPr>
          <w:rFonts w:cs="Times New Roman"/>
        </w:rPr>
        <w:t xml:space="preserve">, COVID-19 replaced stroke as the </w:t>
      </w:r>
      <w:r w:rsidR="007075B6" w:rsidRPr="00F10F1F">
        <w:rPr>
          <w:rFonts w:cs="Times New Roman"/>
        </w:rPr>
        <w:t>second</w:t>
      </w:r>
      <w:r w:rsidR="17336141" w:rsidRPr="2A5BC196">
        <w:rPr>
          <w:rFonts w:cs="Times New Roman"/>
        </w:rPr>
        <w:t>-</w:t>
      </w:r>
      <w:r w:rsidR="007075B6" w:rsidRPr="7071A0E8">
        <w:rPr>
          <w:rFonts w:cs="Times New Roman"/>
        </w:rPr>
        <w:t xml:space="preserve">leading cause of </w:t>
      </w:r>
      <w:r w:rsidR="74DC39DF" w:rsidRPr="2A5BC196">
        <w:rPr>
          <w:rFonts w:cs="Times New Roman"/>
        </w:rPr>
        <w:t xml:space="preserve">age-standardised </w:t>
      </w:r>
      <w:r w:rsidR="007075B6" w:rsidRPr="2A5BC196">
        <w:rPr>
          <w:rFonts w:cs="Times New Roman"/>
        </w:rPr>
        <w:t xml:space="preserve">death </w:t>
      </w:r>
      <w:r w:rsidR="007075B6" w:rsidRPr="7071A0E8">
        <w:rPr>
          <w:rFonts w:cs="Times New Roman"/>
        </w:rPr>
        <w:t>globally</w:t>
      </w:r>
      <w:r w:rsidR="009B5798" w:rsidRPr="7071A0E8">
        <w:rPr>
          <w:rFonts w:cs="Times New Roman"/>
        </w:rPr>
        <w:t xml:space="preserve"> </w:t>
      </w:r>
      <w:r w:rsidR="009571D8" w:rsidRPr="7071A0E8">
        <w:rPr>
          <w:rFonts w:cs="Times New Roman"/>
        </w:rPr>
        <w:t>(</w:t>
      </w:r>
      <w:r w:rsidR="009B5798" w:rsidRPr="7071A0E8">
        <w:rPr>
          <w:rFonts w:cs="Times New Roman"/>
        </w:rPr>
        <w:t xml:space="preserve">with </w:t>
      </w:r>
      <w:r w:rsidR="009B5798" w:rsidRPr="00F10F1F">
        <w:rPr>
          <w:rFonts w:cs="Times New Roman"/>
        </w:rPr>
        <w:t>94.</w:t>
      </w:r>
      <w:r w:rsidR="1922833A" w:rsidRPr="00F10F1F">
        <w:rPr>
          <w:rFonts w:cs="Times New Roman"/>
        </w:rPr>
        <w:t>0</w:t>
      </w:r>
      <w:r w:rsidR="009B5798" w:rsidRPr="7071A0E8">
        <w:rPr>
          <w:rFonts w:cs="Times New Roman"/>
        </w:rPr>
        <w:t xml:space="preserve"> deaths </w:t>
      </w:r>
      <w:r w:rsidR="009571D8" w:rsidRPr="7071A0E8">
        <w:rPr>
          <w:rFonts w:cs="Times New Roman"/>
        </w:rPr>
        <w:t>[</w:t>
      </w:r>
      <w:r w:rsidR="009B5798" w:rsidRPr="7071A0E8">
        <w:rPr>
          <w:rFonts w:cs="Times New Roman"/>
        </w:rPr>
        <w:t xml:space="preserve">95% UI </w:t>
      </w:r>
      <w:r w:rsidR="009B5798" w:rsidRPr="00F10F1F">
        <w:rPr>
          <w:rFonts w:cs="Times New Roman"/>
        </w:rPr>
        <w:t>89.</w:t>
      </w:r>
      <w:r w:rsidR="06F6C88F" w:rsidRPr="00F10F1F">
        <w:rPr>
          <w:rFonts w:cs="Times New Roman"/>
        </w:rPr>
        <w:t>2</w:t>
      </w:r>
      <w:r w:rsidR="009B5798" w:rsidRPr="7071A0E8">
        <w:rPr>
          <w:rFonts w:cs="Times New Roman"/>
        </w:rPr>
        <w:t>–</w:t>
      </w:r>
      <w:r w:rsidR="009B5798" w:rsidRPr="00F10F1F">
        <w:rPr>
          <w:rFonts w:cs="Times New Roman"/>
        </w:rPr>
        <w:t>100.</w:t>
      </w:r>
      <w:r w:rsidR="30C887AB" w:rsidRPr="00F10F1F">
        <w:rPr>
          <w:rFonts w:cs="Times New Roman"/>
        </w:rPr>
        <w:t>0</w:t>
      </w:r>
      <w:r w:rsidR="009571D8" w:rsidRPr="7071A0E8">
        <w:rPr>
          <w:rFonts w:cs="Times New Roman"/>
        </w:rPr>
        <w:t>]</w:t>
      </w:r>
      <w:r w:rsidR="009B5798" w:rsidRPr="7071A0E8">
        <w:rPr>
          <w:rFonts w:cs="Times New Roman"/>
        </w:rPr>
        <w:t xml:space="preserve"> per 100 000</w:t>
      </w:r>
      <w:r w:rsidR="009571D8" w:rsidRPr="7071A0E8">
        <w:rPr>
          <w:rFonts w:cs="Times New Roman"/>
        </w:rPr>
        <w:t>)</w:t>
      </w:r>
      <w:r w:rsidR="00A13851" w:rsidRPr="7071A0E8">
        <w:rPr>
          <w:rFonts w:cs="Times New Roman"/>
        </w:rPr>
        <w:t>, pushing stroke down to the thi</w:t>
      </w:r>
      <w:r w:rsidR="009559D8" w:rsidRPr="7071A0E8">
        <w:rPr>
          <w:rFonts w:cs="Times New Roman"/>
        </w:rPr>
        <w:t xml:space="preserve">rd </w:t>
      </w:r>
      <w:r w:rsidR="00C87707" w:rsidRPr="7071A0E8">
        <w:rPr>
          <w:rFonts w:cs="Times New Roman"/>
        </w:rPr>
        <w:t>position. COPD was consequently moved to the fourth rank.</w:t>
      </w:r>
      <w:r w:rsidR="00E2292A" w:rsidRPr="7071A0E8">
        <w:rPr>
          <w:rFonts w:cs="Times New Roman"/>
        </w:rPr>
        <w:t xml:space="preserve"> Additionally, </w:t>
      </w:r>
      <w:r w:rsidR="00B55E83" w:rsidRPr="7071A0E8">
        <w:rPr>
          <w:rFonts w:cs="Times New Roman"/>
        </w:rPr>
        <w:t>OPRM</w:t>
      </w:r>
      <w:r w:rsidR="00B55E83" w:rsidRPr="00397FE9">
        <w:rPr>
          <w:rFonts w:cs="Times New Roman"/>
        </w:rPr>
        <w:t>—</w:t>
      </w:r>
      <w:r w:rsidR="009343AB" w:rsidRPr="7071A0E8">
        <w:rPr>
          <w:rFonts w:cs="Times New Roman"/>
        </w:rPr>
        <w:t>which includes excess mortality associated with the pandemic, excluding COVID-19, lower respiratory infections, measles, and pertussis cause</w:t>
      </w:r>
      <w:r w:rsidR="00152598" w:rsidRPr="7071A0E8">
        <w:rPr>
          <w:rFonts w:cs="Times New Roman"/>
        </w:rPr>
        <w:t>s</w:t>
      </w:r>
      <w:r w:rsidR="00152598" w:rsidRPr="00397FE9">
        <w:rPr>
          <w:rFonts w:cs="Times New Roman"/>
        </w:rPr>
        <w:t>—</w:t>
      </w:r>
      <w:r w:rsidR="00152598" w:rsidRPr="7071A0E8">
        <w:rPr>
          <w:rFonts w:cs="Times New Roman"/>
        </w:rPr>
        <w:t xml:space="preserve">emerged as </w:t>
      </w:r>
      <w:r w:rsidR="00DF0FFE" w:rsidRPr="7071A0E8">
        <w:rPr>
          <w:rFonts w:cs="Times New Roman"/>
        </w:rPr>
        <w:t xml:space="preserve">the </w:t>
      </w:r>
      <w:r w:rsidR="00152598" w:rsidRPr="7071A0E8">
        <w:rPr>
          <w:rFonts w:cs="Times New Roman"/>
        </w:rPr>
        <w:t xml:space="preserve">fifth leading cause </w:t>
      </w:r>
      <w:r w:rsidR="36A242E3" w:rsidRPr="2A5BC196">
        <w:rPr>
          <w:rFonts w:cs="Times New Roman"/>
        </w:rPr>
        <w:t>of age-standardised deaths</w:t>
      </w:r>
      <w:r w:rsidR="00152598" w:rsidRPr="2A5BC196">
        <w:rPr>
          <w:rFonts w:cs="Times New Roman"/>
        </w:rPr>
        <w:t xml:space="preserve"> </w:t>
      </w:r>
      <w:r w:rsidR="00152598" w:rsidRPr="7071A0E8">
        <w:rPr>
          <w:rFonts w:cs="Times New Roman"/>
        </w:rPr>
        <w:t>in 2021</w:t>
      </w:r>
      <w:r w:rsidR="009D06D8" w:rsidRPr="00397FE9">
        <w:rPr>
          <w:rFonts w:cs="Times New Roman"/>
        </w:rPr>
        <w:t>;</w:t>
      </w:r>
      <w:r w:rsidR="00152598" w:rsidRPr="7071A0E8">
        <w:rPr>
          <w:rFonts w:cs="Times New Roman"/>
        </w:rPr>
        <w:t xml:space="preserve"> </w:t>
      </w:r>
      <w:r w:rsidR="000E7259" w:rsidRPr="7071A0E8">
        <w:rPr>
          <w:rFonts w:cs="Times New Roman"/>
        </w:rPr>
        <w:t xml:space="preserve">these changes </w:t>
      </w:r>
      <w:r w:rsidR="000345A0" w:rsidRPr="7071A0E8">
        <w:rPr>
          <w:rFonts w:cs="Times New Roman"/>
        </w:rPr>
        <w:t>shift</w:t>
      </w:r>
      <w:r w:rsidR="000E7259" w:rsidRPr="7071A0E8">
        <w:rPr>
          <w:rFonts w:cs="Times New Roman"/>
        </w:rPr>
        <w:t>ed</w:t>
      </w:r>
      <w:r w:rsidR="00AD11CD" w:rsidRPr="7071A0E8">
        <w:rPr>
          <w:rFonts w:cs="Times New Roman"/>
        </w:rPr>
        <w:t xml:space="preserve"> </w:t>
      </w:r>
      <w:r w:rsidR="00AD11CD" w:rsidRPr="00E21BFF">
        <w:rPr>
          <w:rFonts w:cs="Times New Roman"/>
        </w:rPr>
        <w:t>lower respiratory infections</w:t>
      </w:r>
      <w:r w:rsidR="00A66914" w:rsidRPr="7071A0E8">
        <w:rPr>
          <w:rFonts w:cs="Times New Roman"/>
        </w:rPr>
        <w:t xml:space="preserve"> </w:t>
      </w:r>
      <w:r w:rsidR="00FB0714" w:rsidRPr="7071A0E8">
        <w:rPr>
          <w:rFonts w:cs="Times New Roman"/>
        </w:rPr>
        <w:t xml:space="preserve">from the fourth to the </w:t>
      </w:r>
      <w:r w:rsidR="57A5723D" w:rsidRPr="7071A0E8">
        <w:rPr>
          <w:rFonts w:cs="Times New Roman"/>
        </w:rPr>
        <w:t xml:space="preserve">seventh </w:t>
      </w:r>
      <w:r w:rsidR="4BB7A20B" w:rsidRPr="7071A0E8">
        <w:rPr>
          <w:rFonts w:cs="Times New Roman"/>
        </w:rPr>
        <w:t>posi</w:t>
      </w:r>
      <w:r w:rsidR="6014D640" w:rsidRPr="7071A0E8">
        <w:rPr>
          <w:rFonts w:cs="Times New Roman"/>
        </w:rPr>
        <w:t>tion</w:t>
      </w:r>
      <w:r w:rsidR="77176772" w:rsidRPr="7071A0E8">
        <w:rPr>
          <w:rFonts w:cs="Times New Roman"/>
        </w:rPr>
        <w:t>.</w:t>
      </w:r>
      <w:r w:rsidR="3E06D4E0" w:rsidRPr="7071A0E8">
        <w:rPr>
          <w:rFonts w:cs="Times New Roman"/>
        </w:rPr>
        <w:t xml:space="preserve"> </w:t>
      </w:r>
      <w:r w:rsidR="000D45F4" w:rsidRPr="00397FE9">
        <w:rPr>
          <w:rFonts w:cs="Times New Roman"/>
        </w:rPr>
        <w:t>Table 1</w:t>
      </w:r>
      <w:r w:rsidR="000D45F4" w:rsidRPr="7071A0E8">
        <w:rPr>
          <w:rFonts w:cs="Times New Roman"/>
        </w:rPr>
        <w:t xml:space="preserve"> and </w:t>
      </w:r>
      <w:r w:rsidR="000D45F4" w:rsidRPr="00397FE9">
        <w:rPr>
          <w:rFonts w:cs="Times New Roman"/>
        </w:rPr>
        <w:t>f</w:t>
      </w:r>
      <w:r w:rsidR="006C4934" w:rsidRPr="00397FE9">
        <w:rPr>
          <w:rFonts w:cs="Times New Roman"/>
        </w:rPr>
        <w:t>igure 2</w:t>
      </w:r>
      <w:r w:rsidR="006C4934" w:rsidRPr="7071A0E8">
        <w:rPr>
          <w:rFonts w:cs="Times New Roman"/>
        </w:rPr>
        <w:t xml:space="preserve"> show </w:t>
      </w:r>
      <w:r w:rsidR="0C8DED4A" w:rsidRPr="2A5BC196">
        <w:rPr>
          <w:rFonts w:cs="Times New Roman"/>
        </w:rPr>
        <w:t xml:space="preserve">age-standardised </w:t>
      </w:r>
      <w:r w:rsidR="006C4934" w:rsidRPr="7071A0E8">
        <w:rPr>
          <w:rFonts w:cs="Times New Roman"/>
        </w:rPr>
        <w:t xml:space="preserve">death rates of the leading ten causes </w:t>
      </w:r>
      <w:r w:rsidR="00ED0E32" w:rsidRPr="7071A0E8">
        <w:rPr>
          <w:rFonts w:cs="Times New Roman"/>
        </w:rPr>
        <w:t>over the fi</w:t>
      </w:r>
      <w:r w:rsidR="006C4934" w:rsidRPr="7071A0E8">
        <w:rPr>
          <w:rFonts w:cs="Times New Roman"/>
        </w:rPr>
        <w:t>rst two years of the pandemic.</w:t>
      </w:r>
      <w:r w:rsidR="0048698A" w:rsidRPr="7071A0E8">
        <w:rPr>
          <w:rFonts w:cs="Times New Roman"/>
        </w:rPr>
        <w:t xml:space="preserve"> </w:t>
      </w:r>
      <w:r w:rsidR="009F1BB3" w:rsidRPr="7071A0E8">
        <w:rPr>
          <w:rFonts w:cs="Times New Roman"/>
        </w:rPr>
        <w:t xml:space="preserve">The impact of </w:t>
      </w:r>
      <w:r w:rsidR="7DFAD3D9" w:rsidRPr="7071A0E8">
        <w:rPr>
          <w:rFonts w:eastAsia="Calibri" w:cs="Times New Roman"/>
        </w:rPr>
        <w:t>C</w:t>
      </w:r>
      <w:r w:rsidR="005A5A90" w:rsidRPr="7071A0E8">
        <w:rPr>
          <w:rFonts w:eastAsia="Calibri" w:cs="Times New Roman"/>
        </w:rPr>
        <w:t>OVID</w:t>
      </w:r>
      <w:r w:rsidR="009F1BB3" w:rsidRPr="7071A0E8">
        <w:rPr>
          <w:rFonts w:eastAsia="Calibri" w:cs="Times New Roman"/>
        </w:rPr>
        <w:t>-19</w:t>
      </w:r>
      <w:r w:rsidR="7DFAD3D9" w:rsidRPr="7071A0E8">
        <w:rPr>
          <w:rFonts w:eastAsia="Calibri" w:cs="Times New Roman"/>
        </w:rPr>
        <w:t xml:space="preserve"> on </w:t>
      </w:r>
      <w:r w:rsidR="2D473EDA" w:rsidRPr="2A5BC196">
        <w:rPr>
          <w:rFonts w:eastAsia="Calibri" w:cs="Times New Roman"/>
        </w:rPr>
        <w:t xml:space="preserve">age-standardised </w:t>
      </w:r>
      <w:r w:rsidR="7DFAD3D9" w:rsidRPr="7071A0E8">
        <w:rPr>
          <w:rFonts w:eastAsia="Calibri" w:cs="Times New Roman"/>
        </w:rPr>
        <w:t xml:space="preserve">mortality was comparable to </w:t>
      </w:r>
      <w:r w:rsidR="009F1BB3" w:rsidRPr="7071A0E8">
        <w:rPr>
          <w:rFonts w:eastAsia="Calibri" w:cs="Times New Roman"/>
        </w:rPr>
        <w:t>chronic obstructive pulmonary disorder</w:t>
      </w:r>
      <w:r w:rsidR="7DFAD3D9" w:rsidRPr="7071A0E8">
        <w:rPr>
          <w:rFonts w:eastAsia="Calibri" w:cs="Times New Roman"/>
        </w:rPr>
        <w:t xml:space="preserve"> in 2020 but increased by </w:t>
      </w:r>
      <w:r w:rsidR="68F73710" w:rsidRPr="7071A0E8">
        <w:rPr>
          <w:rFonts w:eastAsia="Calibri" w:cs="Times New Roman"/>
        </w:rPr>
        <w:t>60.</w:t>
      </w:r>
      <w:r w:rsidR="309D3EC4" w:rsidRPr="7071A0E8">
        <w:rPr>
          <w:rFonts w:eastAsia="Calibri" w:cs="Times New Roman"/>
        </w:rPr>
        <w:t>2%</w:t>
      </w:r>
      <w:r w:rsidR="7DFAD3D9" w:rsidRPr="7071A0E8">
        <w:rPr>
          <w:rFonts w:eastAsia="Calibri" w:cs="Times New Roman"/>
        </w:rPr>
        <w:t xml:space="preserve"> (</w:t>
      </w:r>
      <w:r w:rsidR="76F7473C" w:rsidRPr="7071A0E8">
        <w:rPr>
          <w:rFonts w:eastAsia="Calibri" w:cs="Times New Roman"/>
        </w:rPr>
        <w:t>53.</w:t>
      </w:r>
      <w:r w:rsidR="03C71B9A" w:rsidRPr="7071A0E8">
        <w:rPr>
          <w:rFonts w:eastAsia="Calibri" w:cs="Times New Roman"/>
        </w:rPr>
        <w:t>1</w:t>
      </w:r>
      <w:r w:rsidR="008B21B9" w:rsidRPr="7071A0E8">
        <w:rPr>
          <w:rFonts w:cs="Times New Roman"/>
        </w:rPr>
        <w:t>–</w:t>
      </w:r>
      <w:r w:rsidR="44645507" w:rsidRPr="7071A0E8">
        <w:rPr>
          <w:rFonts w:cs="Times New Roman"/>
        </w:rPr>
        <w:t>67.</w:t>
      </w:r>
      <w:r w:rsidR="60957AB8" w:rsidRPr="7071A0E8">
        <w:rPr>
          <w:rFonts w:cs="Times New Roman"/>
        </w:rPr>
        <w:t>6</w:t>
      </w:r>
      <w:r w:rsidR="7DFAD3D9" w:rsidRPr="7071A0E8">
        <w:rPr>
          <w:rFonts w:eastAsia="Calibri" w:cs="Times New Roman"/>
        </w:rPr>
        <w:t xml:space="preserve">) in 2021 to be comparable to </w:t>
      </w:r>
      <w:r w:rsidR="005E0B48" w:rsidRPr="7071A0E8">
        <w:rPr>
          <w:rFonts w:eastAsia="Calibri" w:cs="Times New Roman"/>
        </w:rPr>
        <w:t>s</w:t>
      </w:r>
      <w:r w:rsidR="7DFAD3D9" w:rsidRPr="7071A0E8">
        <w:rPr>
          <w:rFonts w:eastAsia="Calibri" w:cs="Times New Roman"/>
        </w:rPr>
        <w:t xml:space="preserve">troke and </w:t>
      </w:r>
      <w:r w:rsidR="005E0B48" w:rsidRPr="7071A0E8">
        <w:rPr>
          <w:rFonts w:eastAsia="Calibri" w:cs="Times New Roman"/>
        </w:rPr>
        <w:t>isch</w:t>
      </w:r>
      <w:r w:rsidR="009D06D8">
        <w:rPr>
          <w:rFonts w:eastAsia="Calibri" w:cs="Times New Roman"/>
        </w:rPr>
        <w:t>a</w:t>
      </w:r>
      <w:r w:rsidR="005E0B48" w:rsidRPr="7071A0E8">
        <w:rPr>
          <w:rFonts w:eastAsia="Calibri" w:cs="Times New Roman"/>
        </w:rPr>
        <w:t>emic heart disease</w:t>
      </w:r>
      <w:r w:rsidR="005E308E">
        <w:rPr>
          <w:rFonts w:eastAsia="Calibri" w:cs="Times New Roman"/>
        </w:rPr>
        <w:t xml:space="preserve"> </w:t>
      </w:r>
      <w:r w:rsidR="00441A1D" w:rsidRPr="7071A0E8">
        <w:rPr>
          <w:rFonts w:cs="Times New Roman"/>
        </w:rPr>
        <w:t>(</w:t>
      </w:r>
      <w:r w:rsidR="00441A1D" w:rsidRPr="00397FE9">
        <w:rPr>
          <w:rFonts w:cs="Times New Roman"/>
        </w:rPr>
        <w:t>figure 2</w:t>
      </w:r>
      <w:r w:rsidR="00441A1D" w:rsidRPr="7071A0E8">
        <w:rPr>
          <w:rFonts w:cs="Times New Roman"/>
        </w:rPr>
        <w:t>).</w:t>
      </w:r>
    </w:p>
    <w:p w14:paraId="286A6930" w14:textId="72D03475" w:rsidR="003260EF" w:rsidRPr="00680053" w:rsidRDefault="003260EF" w:rsidP="00610382">
      <w:pPr>
        <w:pStyle w:val="Heading3"/>
        <w:spacing w:line="360" w:lineRule="auto"/>
      </w:pPr>
      <w:r w:rsidRPr="00680053">
        <w:t>COVID-19</w:t>
      </w:r>
      <w:r w:rsidR="00F25CFB" w:rsidRPr="00680053">
        <w:t xml:space="preserve"> and </w:t>
      </w:r>
      <w:r w:rsidR="0708A162">
        <w:t>other pandemic-related mortality</w:t>
      </w:r>
    </w:p>
    <w:p w14:paraId="53B5C54B" w14:textId="3C065797" w:rsidR="0080680F" w:rsidRDefault="009E2F50" w:rsidP="00861C44">
      <w:pPr>
        <w:spacing w:line="360" w:lineRule="auto"/>
      </w:pPr>
      <w:r>
        <w:t xml:space="preserve">Our estimates show </w:t>
      </w:r>
      <w:r w:rsidRPr="00D6212B">
        <w:t>4.</w:t>
      </w:r>
      <w:r>
        <w:t>8</w:t>
      </w:r>
      <w:r w:rsidR="41841DE3">
        <w:t>0</w:t>
      </w:r>
      <w:r>
        <w:t xml:space="preserve"> million (95% UI </w:t>
      </w:r>
      <w:r w:rsidRPr="00D6212B">
        <w:t>4.</w:t>
      </w:r>
      <w:r w:rsidR="00C52E1A">
        <w:t>56</w:t>
      </w:r>
      <w:r w:rsidR="005A7DB9" w:rsidRPr="00F94B8D">
        <w:rPr>
          <w:rFonts w:cs="Times New Roman"/>
        </w:rPr>
        <w:t>–</w:t>
      </w:r>
      <w:r w:rsidRPr="00D6212B">
        <w:t>5.</w:t>
      </w:r>
      <w:r>
        <w:t>1</w:t>
      </w:r>
      <w:r w:rsidR="406818EA">
        <w:t>1</w:t>
      </w:r>
      <w:r>
        <w:t>) deaths globally due to COVID-19 occurred in 2020</w:t>
      </w:r>
      <w:r w:rsidR="00251557">
        <w:t>,</w:t>
      </w:r>
      <w:r>
        <w:t xml:space="preserve"> and </w:t>
      </w:r>
      <w:r w:rsidRPr="00D6212B">
        <w:t>7.</w:t>
      </w:r>
      <w:r w:rsidR="17302ABE">
        <w:t>89</w:t>
      </w:r>
      <w:r>
        <w:t xml:space="preserve"> million (</w:t>
      </w:r>
      <w:r w:rsidRPr="00D6212B">
        <w:t>7.</w:t>
      </w:r>
      <w:r w:rsidR="58510F9B">
        <w:t>49</w:t>
      </w:r>
      <w:r w:rsidR="005A7DB9" w:rsidRPr="00F94B8D">
        <w:rPr>
          <w:rFonts w:cs="Times New Roman"/>
        </w:rPr>
        <w:t>–</w:t>
      </w:r>
      <w:r w:rsidRPr="5FE77B26">
        <w:rPr>
          <w:rFonts w:cs="Times New Roman"/>
        </w:rPr>
        <w:t>8.</w:t>
      </w:r>
      <w:r w:rsidR="431CE903" w:rsidRPr="6E6F4AC0">
        <w:rPr>
          <w:rFonts w:cs="Times New Roman"/>
        </w:rPr>
        <w:t>40</w:t>
      </w:r>
      <w:r>
        <w:t xml:space="preserve">) occurred in 2021. </w:t>
      </w:r>
      <w:r w:rsidRPr="00397FE9">
        <w:t>Table 1</w:t>
      </w:r>
      <w:r>
        <w:t xml:space="preserve"> provides a breakdown of the number of deaths due to COVID</w:t>
      </w:r>
      <w:r w:rsidR="199704CB">
        <w:t>-19</w:t>
      </w:r>
      <w:r>
        <w:t xml:space="preserve"> compared to the other leading </w:t>
      </w:r>
      <w:r w:rsidR="00305D14">
        <w:t xml:space="preserve">ten </w:t>
      </w:r>
      <w:r>
        <w:t>causes of death, in addition to estimates of age-standardised rates</w:t>
      </w:r>
      <w:r w:rsidR="00CC6645">
        <w:rPr>
          <w:rFonts w:cs="Times New Roman"/>
        </w:rPr>
        <w:t>—</w:t>
      </w:r>
      <w:r>
        <w:t xml:space="preserve">to account for differences in population </w:t>
      </w:r>
      <w:r w:rsidR="008A73B5">
        <w:t>size and</w:t>
      </w:r>
      <w:r>
        <w:t xml:space="preserve"> age </w:t>
      </w:r>
      <w:r w:rsidR="008A73B5">
        <w:t>distribution</w:t>
      </w:r>
      <w:r w:rsidR="00CC6645">
        <w:rPr>
          <w:rFonts w:cs="Times New Roman"/>
        </w:rPr>
        <w:t>—</w:t>
      </w:r>
      <w:r>
        <w:t xml:space="preserve">among each of the super-regions, in 2020 and 2021. </w:t>
      </w:r>
      <w:r w:rsidR="57A70193">
        <w:t xml:space="preserve">Age-standardised </w:t>
      </w:r>
      <w:r w:rsidR="2FD7A3FC">
        <w:t>d</w:t>
      </w:r>
      <w:r>
        <w:t xml:space="preserve">eath rates </w:t>
      </w:r>
      <w:r w:rsidR="006869E0">
        <w:t xml:space="preserve">due to COVID-19 </w:t>
      </w:r>
      <w:r>
        <w:t xml:space="preserve">were highly variable among </w:t>
      </w:r>
      <w:r w:rsidR="006D6405">
        <w:t xml:space="preserve">GBD </w:t>
      </w:r>
      <w:r>
        <w:t>super-regions</w:t>
      </w:r>
      <w:r w:rsidR="00461F71">
        <w:t>,</w:t>
      </w:r>
      <w:r>
        <w:t xml:space="preserve"> with the lowest in 2020 occurring in southeast Asia, east Asia, and Oceania (</w:t>
      </w:r>
      <w:r w:rsidRPr="00D6212B">
        <w:t>6.0</w:t>
      </w:r>
      <w:r>
        <w:t xml:space="preserve"> </w:t>
      </w:r>
      <w:r w:rsidR="00CC6645">
        <w:t>deaths</w:t>
      </w:r>
      <w:r>
        <w:t xml:space="preserve"> [</w:t>
      </w:r>
      <w:r w:rsidRPr="00D6212B">
        <w:t>2.0</w:t>
      </w:r>
      <w:r w:rsidR="005A7DB9" w:rsidRPr="00F94B8D">
        <w:rPr>
          <w:rFonts w:cs="Times New Roman"/>
        </w:rPr>
        <w:t>–</w:t>
      </w:r>
      <w:r w:rsidRPr="00D6212B">
        <w:t>12.0</w:t>
      </w:r>
      <w:r>
        <w:t>]) per 100 000, and the highest in sub-Saharan Africa (</w:t>
      </w:r>
      <w:r w:rsidRPr="00D6212B">
        <w:t>159.0</w:t>
      </w:r>
      <w:r>
        <w:t xml:space="preserve"> </w:t>
      </w:r>
      <w:r w:rsidR="00CC6645">
        <w:t>deaths</w:t>
      </w:r>
      <w:r>
        <w:t xml:space="preserve"> [</w:t>
      </w:r>
      <w:r w:rsidRPr="00D6212B">
        <w:t>148.0</w:t>
      </w:r>
      <w:r w:rsidR="005A7DB9" w:rsidRPr="00F94B8D">
        <w:rPr>
          <w:rFonts w:cs="Times New Roman"/>
        </w:rPr>
        <w:t>–</w:t>
      </w:r>
      <w:r w:rsidRPr="00D6212B">
        <w:t>170.0</w:t>
      </w:r>
      <w:r>
        <w:t>] per 100 000)</w:t>
      </w:r>
      <w:r w:rsidR="5278EA98">
        <w:t xml:space="preserve"> (figure 3)</w:t>
      </w:r>
      <w:r>
        <w:t>. In 2021, the rankings among super-regions, from highest to lowest, were sub-Saharan Africa (</w:t>
      </w:r>
      <w:r w:rsidRPr="00D6212B">
        <w:t>271</w:t>
      </w:r>
      <w:r w:rsidR="3633F8DE">
        <w:t>.0</w:t>
      </w:r>
      <w:r>
        <w:t xml:space="preserve"> </w:t>
      </w:r>
      <w:r w:rsidR="00CC6645">
        <w:t>deaths</w:t>
      </w:r>
      <w:r>
        <w:t xml:space="preserve"> [</w:t>
      </w:r>
      <w:r w:rsidRPr="00D6212B">
        <w:t>250</w:t>
      </w:r>
      <w:r w:rsidR="55D14575">
        <w:t>.1</w:t>
      </w:r>
      <w:r w:rsidR="005A7DB9" w:rsidRPr="00F94B8D">
        <w:rPr>
          <w:rFonts w:cs="Times New Roman"/>
        </w:rPr>
        <w:t>–</w:t>
      </w:r>
      <w:r>
        <w:t>29</w:t>
      </w:r>
      <w:r w:rsidR="6926A6D3">
        <w:t>0.7</w:t>
      </w:r>
      <w:r>
        <w:t xml:space="preserve">] per 100 000); Latin America and </w:t>
      </w:r>
      <w:r w:rsidR="00CC6645">
        <w:t>the</w:t>
      </w:r>
      <w:r>
        <w:t xml:space="preserve"> Caribbean (</w:t>
      </w:r>
      <w:r w:rsidRPr="00D6212B">
        <w:t>195</w:t>
      </w:r>
      <w:r w:rsidR="78651E8B">
        <w:t>.4</w:t>
      </w:r>
      <w:r>
        <w:t xml:space="preserve"> </w:t>
      </w:r>
      <w:r w:rsidR="00CC6645">
        <w:t>deaths</w:t>
      </w:r>
      <w:r>
        <w:t xml:space="preserve"> [</w:t>
      </w:r>
      <w:r w:rsidRPr="00D6212B">
        <w:t>182</w:t>
      </w:r>
      <w:r w:rsidR="0BBA7FEA">
        <w:t>.1</w:t>
      </w:r>
      <w:r w:rsidR="005A7DB9" w:rsidRPr="00F94B8D">
        <w:rPr>
          <w:rFonts w:cs="Times New Roman"/>
        </w:rPr>
        <w:t>–</w:t>
      </w:r>
      <w:r w:rsidRPr="00D6212B">
        <w:t>211</w:t>
      </w:r>
      <w:r w:rsidR="103015E3">
        <w:t>.4</w:t>
      </w:r>
      <w:r>
        <w:t xml:space="preserve">] per 100 000); north Africa and </w:t>
      </w:r>
      <w:r w:rsidR="00CC6645">
        <w:t xml:space="preserve">the </w:t>
      </w:r>
      <w:r>
        <w:t>Middle East (172</w:t>
      </w:r>
      <w:r w:rsidR="6385FEF7">
        <w:t>.4</w:t>
      </w:r>
      <w:r>
        <w:t xml:space="preserve"> </w:t>
      </w:r>
      <w:r w:rsidR="00CC6645">
        <w:t xml:space="preserve">deaths </w:t>
      </w:r>
      <w:r>
        <w:t>[150</w:t>
      </w:r>
      <w:r w:rsidR="2E4F686D">
        <w:t>.3</w:t>
      </w:r>
      <w:r w:rsidR="005A7DB9" w:rsidRPr="3B8339B9">
        <w:rPr>
          <w:rFonts w:cs="Times New Roman"/>
        </w:rPr>
        <w:t>–</w:t>
      </w:r>
      <w:r>
        <w:t>19</w:t>
      </w:r>
      <w:r w:rsidR="6EAC7D9C">
        <w:t>1.5</w:t>
      </w:r>
      <w:r>
        <w:t>]) per 100 000; central Europe, eastern Europe, and central Asia (16</w:t>
      </w:r>
      <w:r w:rsidR="149F34D4">
        <w:t>8.8</w:t>
      </w:r>
      <w:r>
        <w:t xml:space="preserve"> </w:t>
      </w:r>
      <w:r w:rsidR="00CC6645">
        <w:t>deaths</w:t>
      </w:r>
      <w:r>
        <w:t xml:space="preserve"> [15</w:t>
      </w:r>
      <w:r w:rsidR="7498872D">
        <w:t>0.6</w:t>
      </w:r>
      <w:r w:rsidR="005A7DB9" w:rsidRPr="410794E0">
        <w:rPr>
          <w:rFonts w:cs="Times New Roman"/>
        </w:rPr>
        <w:t>–</w:t>
      </w:r>
      <w:r>
        <w:t>186</w:t>
      </w:r>
      <w:r w:rsidR="101DDAB2">
        <w:t>.1</w:t>
      </w:r>
      <w:r>
        <w:t>] per 100 000); south Asia (15</w:t>
      </w:r>
      <w:r w:rsidR="0E9ED138">
        <w:t>6.5</w:t>
      </w:r>
      <w:r>
        <w:t xml:space="preserve"> </w:t>
      </w:r>
      <w:r w:rsidR="00CC6645">
        <w:t xml:space="preserve">deaths </w:t>
      </w:r>
      <w:r>
        <w:t>[150</w:t>
      </w:r>
      <w:r w:rsidR="384BE49C">
        <w:t>.4</w:t>
      </w:r>
      <w:r w:rsidR="005A7DB9" w:rsidRPr="6FD1AD3D">
        <w:rPr>
          <w:rFonts w:cs="Times New Roman"/>
        </w:rPr>
        <w:t>–</w:t>
      </w:r>
      <w:r>
        <w:t>164</w:t>
      </w:r>
      <w:r w:rsidR="266BE769">
        <w:t>.4</w:t>
      </w:r>
      <w:r>
        <w:t xml:space="preserve">] per 100 000); </w:t>
      </w:r>
      <w:r w:rsidR="345B93DF">
        <w:t>high-income (4</w:t>
      </w:r>
      <w:r w:rsidR="11AA74C5">
        <w:t>8</w:t>
      </w:r>
      <w:r w:rsidR="24E9AFA8">
        <w:t>.1</w:t>
      </w:r>
      <w:r w:rsidR="345B93DF">
        <w:t xml:space="preserve"> deaths</w:t>
      </w:r>
      <w:r>
        <w:t xml:space="preserve"> </w:t>
      </w:r>
      <w:r w:rsidR="345B93DF">
        <w:t>[</w:t>
      </w:r>
      <w:r w:rsidR="6FA4C936">
        <w:t>4</w:t>
      </w:r>
      <w:r w:rsidR="4AF7F4F5">
        <w:t>7</w:t>
      </w:r>
      <w:r w:rsidR="43D00027">
        <w:t>.4</w:t>
      </w:r>
      <w:r w:rsidR="00463AD6" w:rsidRPr="245E182F">
        <w:rPr>
          <w:rFonts w:cs="Times New Roman"/>
        </w:rPr>
        <w:t>–</w:t>
      </w:r>
      <w:r w:rsidR="6FA4C936">
        <w:t>4</w:t>
      </w:r>
      <w:r w:rsidR="195CFE3B">
        <w:t>8.8</w:t>
      </w:r>
      <w:r w:rsidR="6FA4C936">
        <w:t>] per 100 000);</w:t>
      </w:r>
      <w:r>
        <w:t xml:space="preserve"> and southeast Asia, east Asia, and Oceania </w:t>
      </w:r>
      <w:r w:rsidRPr="00D6212B">
        <w:t>(23.</w:t>
      </w:r>
      <w:r w:rsidR="3D135352">
        <w:t>2</w:t>
      </w:r>
      <w:r>
        <w:t xml:space="preserve"> </w:t>
      </w:r>
      <w:r w:rsidR="00CC6645">
        <w:t>deaths</w:t>
      </w:r>
      <w:r>
        <w:t xml:space="preserve"> [</w:t>
      </w:r>
      <w:r w:rsidRPr="00D6212B">
        <w:t>16.</w:t>
      </w:r>
      <w:r w:rsidR="6EF16849">
        <w:t>3</w:t>
      </w:r>
      <w:r w:rsidR="005A7DB9" w:rsidRPr="00F94B8D">
        <w:rPr>
          <w:rFonts w:cs="Times New Roman"/>
        </w:rPr>
        <w:t>–</w:t>
      </w:r>
      <w:r w:rsidRPr="00D6212B">
        <w:t>37.</w:t>
      </w:r>
      <w:r w:rsidR="506BE2F7">
        <w:t>2</w:t>
      </w:r>
      <w:r>
        <w:t>]) per 100 000</w:t>
      </w:r>
      <w:r w:rsidR="00926B03">
        <w:t>.</w:t>
      </w:r>
    </w:p>
    <w:p w14:paraId="0A1325B5" w14:textId="5F1492B0" w:rsidR="007331E9" w:rsidRDefault="00224E7F" w:rsidP="00861C44">
      <w:pPr>
        <w:spacing w:line="360" w:lineRule="auto"/>
      </w:pPr>
      <w:r>
        <w:t>Deaths from</w:t>
      </w:r>
      <w:r w:rsidR="00AF7372">
        <w:t xml:space="preserve"> </w:t>
      </w:r>
      <w:r w:rsidR="00915915">
        <w:t xml:space="preserve">both </w:t>
      </w:r>
      <w:r w:rsidR="00AF7372">
        <w:t xml:space="preserve">COVID-19 and OPRM </w:t>
      </w:r>
      <w:r w:rsidR="00CE61B8">
        <w:t>a</w:t>
      </w:r>
      <w:r w:rsidR="00816862">
        <w:t xml:space="preserve">lso </w:t>
      </w:r>
      <w:r w:rsidR="00816862" w:rsidRPr="00397FE9">
        <w:t>var</w:t>
      </w:r>
      <w:r w:rsidR="00E20421" w:rsidRPr="00397FE9">
        <w:t>ied</w:t>
      </w:r>
      <w:r w:rsidR="00816862">
        <w:t xml:space="preserve"> substantially</w:t>
      </w:r>
      <w:r w:rsidR="00CE61B8">
        <w:t xml:space="preserve"> by age</w:t>
      </w:r>
      <w:r w:rsidR="009563AA">
        <w:t xml:space="preserve">, </w:t>
      </w:r>
      <w:r w:rsidR="0042518D">
        <w:t xml:space="preserve">with </w:t>
      </w:r>
      <w:r w:rsidR="00E70097">
        <w:t>older ages being disproportionately impacted</w:t>
      </w:r>
      <w:r w:rsidR="00F11B18">
        <w:t xml:space="preserve"> (</w:t>
      </w:r>
      <w:r w:rsidR="00F11B18" w:rsidRPr="00397FE9">
        <w:t>table 2).</w:t>
      </w:r>
      <w:r w:rsidR="006B33F8">
        <w:t xml:space="preserve"> The </w:t>
      </w:r>
      <w:r w:rsidR="00F776C4" w:rsidRPr="00D6212B">
        <w:t>70</w:t>
      </w:r>
      <w:r w:rsidR="005A7DB9" w:rsidRPr="00F94B8D">
        <w:rPr>
          <w:rFonts w:cs="Times New Roman"/>
        </w:rPr>
        <w:t>–</w:t>
      </w:r>
      <w:r w:rsidR="00F776C4" w:rsidRPr="00D6212B">
        <w:t>74</w:t>
      </w:r>
      <w:r w:rsidR="006B33F8">
        <w:t xml:space="preserve"> age group had the highest number of deaths from both COVID-19 and OPRM in 2020 and again in 2021. The highest cause-fraction of deaths from COVID-19 was found in those aged </w:t>
      </w:r>
      <w:r w:rsidR="00F776C4">
        <w:t>40</w:t>
      </w:r>
      <w:r w:rsidR="00E20421" w:rsidRPr="00397FE9">
        <w:t>–</w:t>
      </w:r>
      <w:r w:rsidR="00F776C4" w:rsidRPr="00397FE9">
        <w:t>44</w:t>
      </w:r>
      <w:r w:rsidR="006B33F8" w:rsidRPr="00397FE9">
        <w:t>,</w:t>
      </w:r>
      <w:r w:rsidR="006B33F8">
        <w:t xml:space="preserve"> </w:t>
      </w:r>
      <w:r w:rsidR="00E720B9">
        <w:t xml:space="preserve">whereas </w:t>
      </w:r>
      <w:r w:rsidR="006B33F8">
        <w:t xml:space="preserve">the highest mortality rate occurred </w:t>
      </w:r>
      <w:r w:rsidR="00D65AAC">
        <w:t xml:space="preserve">in those </w:t>
      </w:r>
      <w:r w:rsidR="665A57A9">
        <w:t xml:space="preserve">ages 95 </w:t>
      </w:r>
      <w:r w:rsidR="00FD2224">
        <w:t xml:space="preserve">years </w:t>
      </w:r>
      <w:r w:rsidR="665A57A9">
        <w:t>and</w:t>
      </w:r>
      <w:r w:rsidR="00FD2224" w:rsidRPr="00397FE9">
        <w:t xml:space="preserve"> over</w:t>
      </w:r>
      <w:r w:rsidR="00F776C4" w:rsidRPr="00397FE9">
        <w:t>.</w:t>
      </w:r>
      <w:r w:rsidR="00E54B36">
        <w:t xml:space="preserve"> Death rates from</w:t>
      </w:r>
      <w:r w:rsidR="00405FBC">
        <w:t xml:space="preserve"> </w:t>
      </w:r>
      <w:r w:rsidR="00405FBC" w:rsidRPr="00D6212B">
        <w:t>OPRM</w:t>
      </w:r>
      <w:r w:rsidR="00405FBC">
        <w:t xml:space="preserve"> were hi</w:t>
      </w:r>
      <w:r w:rsidR="002A18D8">
        <w:t xml:space="preserve">gh among older </w:t>
      </w:r>
      <w:r w:rsidR="008C533B">
        <w:t xml:space="preserve">age </w:t>
      </w:r>
      <w:r w:rsidR="002A18D8">
        <w:t>gro</w:t>
      </w:r>
      <w:r w:rsidR="006E4858">
        <w:t>ups,</w:t>
      </w:r>
      <w:r w:rsidR="008C533B">
        <w:t xml:space="preserve"> </w:t>
      </w:r>
      <w:r w:rsidR="00827E5B">
        <w:t>and among the</w:t>
      </w:r>
      <w:r w:rsidR="00B73CD2">
        <w:t xml:space="preserve"> youngest ages</w:t>
      </w:r>
      <w:r w:rsidR="00845D0C">
        <w:t>,</w:t>
      </w:r>
      <w:r w:rsidR="00B73CD2">
        <w:t xml:space="preserve"> with a </w:t>
      </w:r>
      <w:r w:rsidR="00B73CD2">
        <w:lastRenderedPageBreak/>
        <w:t xml:space="preserve">rate of </w:t>
      </w:r>
      <w:r w:rsidR="14A86787">
        <w:t>141.2</w:t>
      </w:r>
      <w:r w:rsidR="00B73CD2">
        <w:t xml:space="preserve"> </w:t>
      </w:r>
      <w:r w:rsidR="00322F17">
        <w:t xml:space="preserve">deaths </w:t>
      </w:r>
      <w:r w:rsidR="00FF5689" w:rsidRPr="00E213AE">
        <w:rPr>
          <w:rFonts w:eastAsia="Times New Roman" w:cs="Times New Roman"/>
        </w:rPr>
        <w:t xml:space="preserve">(95% UI </w:t>
      </w:r>
      <w:r w:rsidR="0EC60345" w:rsidRPr="081D2BAD">
        <w:rPr>
          <w:rFonts w:eastAsia="Times New Roman" w:cs="Times New Roman"/>
        </w:rPr>
        <w:t>58.0</w:t>
      </w:r>
      <w:r w:rsidR="00FF5689" w:rsidRPr="00D6212B">
        <w:rPr>
          <w:rFonts w:eastAsia="Times New Roman" w:cs="Times New Roman"/>
        </w:rPr>
        <w:t>–</w:t>
      </w:r>
      <w:r w:rsidR="42892404" w:rsidRPr="00D6212B">
        <w:rPr>
          <w:rFonts w:eastAsia="Times New Roman" w:cs="Times New Roman"/>
        </w:rPr>
        <w:t>277.5</w:t>
      </w:r>
      <w:r w:rsidR="00FF5689" w:rsidRPr="081D2BAD">
        <w:rPr>
          <w:rFonts w:eastAsia="Times New Roman" w:cs="Times New Roman"/>
        </w:rPr>
        <w:t>)</w:t>
      </w:r>
      <w:r w:rsidR="00FF5689">
        <w:rPr>
          <w:rFonts w:eastAsia="Times New Roman" w:cs="Times New Roman"/>
        </w:rPr>
        <w:t xml:space="preserve"> </w:t>
      </w:r>
      <w:r w:rsidR="00322F17">
        <w:t xml:space="preserve">per 100 000 for </w:t>
      </w:r>
      <w:r w:rsidR="002B2007">
        <w:t>infants</w:t>
      </w:r>
      <w:r w:rsidR="003C1F6F">
        <w:t xml:space="preserve"> </w:t>
      </w:r>
      <w:r w:rsidR="003C1F6F" w:rsidRPr="00D6212B">
        <w:t>0</w:t>
      </w:r>
      <w:r w:rsidR="00E720B9" w:rsidRPr="00397FE9">
        <w:t>–</w:t>
      </w:r>
      <w:r w:rsidR="003C1F6F" w:rsidRPr="00D6212B">
        <w:t>6</w:t>
      </w:r>
      <w:r w:rsidR="003C1F6F">
        <w:t xml:space="preserve"> days old</w:t>
      </w:r>
      <w:r w:rsidR="0093476D">
        <w:t xml:space="preserve">, and </w:t>
      </w:r>
      <w:r w:rsidR="0093476D" w:rsidRPr="00CC3AFE">
        <w:t>77.3</w:t>
      </w:r>
      <w:r w:rsidR="0093476D">
        <w:t xml:space="preserve"> deaths </w:t>
      </w:r>
      <w:r w:rsidR="0BF2284E">
        <w:t>(</w:t>
      </w:r>
      <w:r w:rsidR="079FAEA9" w:rsidRPr="00765EDA">
        <w:t>44.0</w:t>
      </w:r>
      <w:r w:rsidR="005A7DB9" w:rsidRPr="133E4DCB">
        <w:rPr>
          <w:rFonts w:cs="Times New Roman"/>
        </w:rPr>
        <w:t>–</w:t>
      </w:r>
      <w:r w:rsidR="7862465D" w:rsidRPr="133E4DCB">
        <w:rPr>
          <w:rFonts w:cs="Times New Roman"/>
        </w:rPr>
        <w:t>118.0</w:t>
      </w:r>
      <w:r w:rsidR="0093476D">
        <w:t>) per 100 000 in infants 7</w:t>
      </w:r>
      <w:r w:rsidR="00E720B9" w:rsidRPr="00397FE9">
        <w:t>–</w:t>
      </w:r>
      <w:r w:rsidR="0093476D">
        <w:t>27 days old.</w:t>
      </w:r>
      <w:r w:rsidR="000457A3" w:rsidRPr="000457A3">
        <w:t xml:space="preserve"> </w:t>
      </w:r>
      <w:r w:rsidR="00E67EFC">
        <w:t>The age and sex distribution of COVID-19 and OPRM</w:t>
      </w:r>
      <w:r w:rsidR="00465D69">
        <w:t xml:space="preserve"> </w:t>
      </w:r>
      <w:r w:rsidR="00E67EFC">
        <w:t xml:space="preserve">can be seen in </w:t>
      </w:r>
      <w:r w:rsidR="00E67EFC" w:rsidRPr="00397FE9">
        <w:t xml:space="preserve">appendix </w:t>
      </w:r>
      <w:r w:rsidR="0019774B" w:rsidRPr="00397FE9">
        <w:t>2</w:t>
      </w:r>
      <w:r w:rsidR="00E67EFC" w:rsidRPr="00397FE9">
        <w:t xml:space="preserve"> figure </w:t>
      </w:r>
      <w:r w:rsidR="0019774B" w:rsidRPr="00397FE9">
        <w:t>S</w:t>
      </w:r>
      <w:r w:rsidR="00A46103" w:rsidRPr="00397FE9">
        <w:t>5</w:t>
      </w:r>
      <w:r w:rsidR="00E67EFC" w:rsidRPr="00A87D9F">
        <w:t>.</w:t>
      </w:r>
      <w:r w:rsidR="009173DF">
        <w:t xml:space="preserve"> </w:t>
      </w:r>
      <w:r w:rsidR="00DF3652">
        <w:t>A</w:t>
      </w:r>
      <w:r w:rsidR="000457A3" w:rsidRPr="000457A3">
        <w:t xml:space="preserve">t a global scale, COVID-19 deaths and OPRM were slightly </w:t>
      </w:r>
      <w:r w:rsidR="000457A3" w:rsidRPr="00765EDA">
        <w:t>highe</w:t>
      </w:r>
      <w:r w:rsidR="000457A3" w:rsidRPr="000457A3">
        <w:t>r for males than for females in most age groups in 2021. Exceptions to this include older age groups</w:t>
      </w:r>
      <w:r w:rsidR="00BD2563">
        <w:t>:</w:t>
      </w:r>
      <w:r w:rsidR="000457A3" w:rsidRPr="000457A3">
        <w:t xml:space="preserve"> </w:t>
      </w:r>
      <w:r w:rsidR="000457A3">
        <w:t>90</w:t>
      </w:r>
      <w:r w:rsidR="00E20421" w:rsidRPr="00397FE9">
        <w:rPr>
          <w:rFonts w:cs="Times New Roman"/>
        </w:rPr>
        <w:t>–</w:t>
      </w:r>
      <w:r w:rsidR="000457A3">
        <w:t>94</w:t>
      </w:r>
      <w:r w:rsidR="000457A3" w:rsidRPr="000457A3">
        <w:t xml:space="preserve"> and </w:t>
      </w:r>
      <w:r w:rsidR="000457A3" w:rsidRPr="00765EDA">
        <w:t>95</w:t>
      </w:r>
      <w:r w:rsidR="000457A3" w:rsidRPr="000457A3">
        <w:t xml:space="preserve"> </w:t>
      </w:r>
      <w:r w:rsidR="003D4209" w:rsidRPr="00397FE9">
        <w:t>and</w:t>
      </w:r>
      <w:r w:rsidR="003D4209">
        <w:t xml:space="preserve"> older</w:t>
      </w:r>
      <w:r w:rsidR="000457A3" w:rsidRPr="000457A3">
        <w:t>.</w:t>
      </w:r>
    </w:p>
    <w:p w14:paraId="2E2EE0A2" w14:textId="118858FA" w:rsidR="007C3355" w:rsidRDefault="007C3355" w:rsidP="0042469A">
      <w:pPr>
        <w:pStyle w:val="Heading3"/>
        <w:spacing w:line="360" w:lineRule="auto"/>
      </w:pPr>
      <w:r>
        <w:t>Leading causes of global YLLs</w:t>
      </w:r>
    </w:p>
    <w:p w14:paraId="047DB725" w14:textId="2DDE999F" w:rsidR="007C3355" w:rsidRDefault="005441D8" w:rsidP="007331E9">
      <w:pPr>
        <w:spacing w:line="360" w:lineRule="auto"/>
      </w:pPr>
      <w:r>
        <w:t>The causes of</w:t>
      </w:r>
      <w:r w:rsidR="16428C22">
        <w:t xml:space="preserve"> death with the highest age-standardised YLL rates</w:t>
      </w:r>
      <w:r>
        <w:t xml:space="preserve"> show shifting epidemiological trends from </w:t>
      </w:r>
      <w:r w:rsidR="00025A7A">
        <w:t xml:space="preserve">communicable, maternal, neonatal, and nutritional </w:t>
      </w:r>
      <w:r w:rsidR="00AA5771">
        <w:t>(</w:t>
      </w:r>
      <w:r>
        <w:t>CMNN</w:t>
      </w:r>
      <w:r w:rsidR="00AA5771">
        <w:t>)</w:t>
      </w:r>
      <w:r>
        <w:t xml:space="preserve"> diseases to </w:t>
      </w:r>
      <w:r w:rsidR="00D378DF">
        <w:t>non-communicable diseases (</w:t>
      </w:r>
      <w:r>
        <w:t>NCDs</w:t>
      </w:r>
      <w:r w:rsidR="00D378DF">
        <w:t>)</w:t>
      </w:r>
      <w:r>
        <w:t xml:space="preserve"> at Level 3 of the cause hierarchy (</w:t>
      </w:r>
      <w:r w:rsidRPr="00397FE9" w:rsidDel="003E73D1">
        <w:t>a</w:t>
      </w:r>
      <w:r w:rsidRPr="00397FE9">
        <w:t>ppendix 2</w:t>
      </w:r>
      <w:r w:rsidR="0019774B" w:rsidRPr="00397FE9">
        <w:t xml:space="preserve"> </w:t>
      </w:r>
      <w:r w:rsidR="00BC6F7D" w:rsidRPr="00397FE9">
        <w:t>f</w:t>
      </w:r>
      <w:r w:rsidRPr="00397FE9">
        <w:t xml:space="preserve">igure </w:t>
      </w:r>
      <w:r w:rsidR="00BC33E6" w:rsidRPr="00397FE9">
        <w:t>S</w:t>
      </w:r>
      <w:r w:rsidR="4C68ED20">
        <w:t>2</w:t>
      </w:r>
      <w:r w:rsidRPr="00397FE9">
        <w:t>).</w:t>
      </w:r>
      <w:r>
        <w:t xml:space="preserve"> Globally, the leading three causes of </w:t>
      </w:r>
      <w:bookmarkStart w:id="1" w:name="_Int_kmX9NjYV"/>
      <w:r w:rsidR="351044E2">
        <w:t>age-standardised</w:t>
      </w:r>
      <w:bookmarkEnd w:id="1"/>
      <w:r w:rsidR="351044E2">
        <w:t xml:space="preserve"> </w:t>
      </w:r>
      <w:r>
        <w:t>YLLs in 1990 were all CMNN diseases</w:t>
      </w:r>
      <w:r w:rsidR="007769D1" w:rsidRPr="00397FE9">
        <w:t>;</w:t>
      </w:r>
      <w:r>
        <w:t xml:space="preserve"> ranked in descending order, t</w:t>
      </w:r>
      <w:r w:rsidR="000C5FB4">
        <w:t>hese were neonatal disorders, lower respiratory infections, and diarrh</w:t>
      </w:r>
      <w:r w:rsidR="00CC626B">
        <w:t>o</w:t>
      </w:r>
      <w:r w:rsidR="000C5FB4">
        <w:t xml:space="preserve">eal diseases. In 2019, </w:t>
      </w:r>
      <w:r w:rsidR="00CD48F8">
        <w:t xml:space="preserve">neonatal disorders remained the leading cause of </w:t>
      </w:r>
      <w:bookmarkStart w:id="2" w:name="_Int_9FXnzS2q"/>
      <w:r w:rsidR="2627E39B">
        <w:t>age-standardised</w:t>
      </w:r>
      <w:bookmarkEnd w:id="2"/>
      <w:r w:rsidR="00CD48F8">
        <w:t xml:space="preserve"> YLLs, but the </w:t>
      </w:r>
      <w:r w:rsidR="0028347C">
        <w:t>second and third causes were replaced by NCDs: isch</w:t>
      </w:r>
      <w:r w:rsidR="003D4209">
        <w:t>a</w:t>
      </w:r>
      <w:r w:rsidR="0028347C">
        <w:t xml:space="preserve">emic heart disease (ranked second) and stroke (ranked third). Two years later, COVID-19 </w:t>
      </w:r>
      <w:r w:rsidR="00D50156">
        <w:t>was the second</w:t>
      </w:r>
      <w:r w:rsidR="007769D1">
        <w:t>-</w:t>
      </w:r>
      <w:r w:rsidR="00D50156">
        <w:t xml:space="preserve">leading cause of global </w:t>
      </w:r>
      <w:r w:rsidR="73881DCF">
        <w:t xml:space="preserve">age-standardised </w:t>
      </w:r>
      <w:r w:rsidR="00D50156">
        <w:t xml:space="preserve">YLLs, </w:t>
      </w:r>
      <w:r w:rsidR="00CC2C20">
        <w:t xml:space="preserve">making the leading two causes </w:t>
      </w:r>
      <w:r w:rsidR="0060199A">
        <w:t xml:space="preserve">CMNN </w:t>
      </w:r>
      <w:r w:rsidR="007921C1">
        <w:t>diseases</w:t>
      </w:r>
      <w:r w:rsidR="007769D1">
        <w:t xml:space="preserve"> (</w:t>
      </w:r>
      <w:r w:rsidR="007921C1">
        <w:t xml:space="preserve">with </w:t>
      </w:r>
      <w:r w:rsidR="007769D1">
        <w:t>neonatal disorders ranked first)</w:t>
      </w:r>
      <w:r w:rsidR="007921C1">
        <w:t xml:space="preserve">, </w:t>
      </w:r>
      <w:r w:rsidR="001D4EA7">
        <w:t xml:space="preserve">and </w:t>
      </w:r>
      <w:r w:rsidR="007921C1">
        <w:t>isch</w:t>
      </w:r>
      <w:r w:rsidR="003D4209">
        <w:t>a</w:t>
      </w:r>
      <w:r w:rsidR="007921C1">
        <w:t>emic heart disease ranked third.</w:t>
      </w:r>
      <w:r w:rsidR="00F00DBF">
        <w:t xml:space="preserve"> A</w:t>
      </w:r>
      <w:r w:rsidR="00DA727D">
        <w:t>mong the leading</w:t>
      </w:r>
      <w:r w:rsidR="00A70B9D">
        <w:t xml:space="preserve"> causes of </w:t>
      </w:r>
      <w:r w:rsidR="6FB2F08F">
        <w:t xml:space="preserve">age-standardised </w:t>
      </w:r>
      <w:r w:rsidR="00A70B9D">
        <w:t xml:space="preserve">YLLs, malaria was the only cause to </w:t>
      </w:r>
      <w:r w:rsidR="00AD37FA">
        <w:t xml:space="preserve">show an increase in age-standardised </w:t>
      </w:r>
      <w:r w:rsidR="00A15E47">
        <w:t>YLL rates between 2019 and 2021</w:t>
      </w:r>
      <w:r w:rsidR="009173DF">
        <w:t xml:space="preserve"> (ranking </w:t>
      </w:r>
      <w:r w:rsidR="003D4209">
        <w:t xml:space="preserve">ninth </w:t>
      </w:r>
      <w:r w:rsidR="009173DF">
        <w:t xml:space="preserve">in 2019 and </w:t>
      </w:r>
      <w:r w:rsidR="003D4209">
        <w:t xml:space="preserve">seventh </w:t>
      </w:r>
      <w:r w:rsidR="009173DF">
        <w:t>in 2021).</w:t>
      </w:r>
    </w:p>
    <w:p w14:paraId="366EEFED" w14:textId="4189A505" w:rsidR="00CC6DD0" w:rsidRPr="00DA1C7C" w:rsidRDefault="00CC6DD0" w:rsidP="00CC6DD0">
      <w:pPr>
        <w:pStyle w:val="Heading3"/>
        <w:spacing w:line="360" w:lineRule="auto"/>
      </w:pPr>
      <w:r>
        <w:t>Decomposition of</w:t>
      </w:r>
      <w:r w:rsidR="00996853">
        <w:t xml:space="preserve"> global</w:t>
      </w:r>
      <w:r>
        <w:t xml:space="preserve"> life expectancy</w:t>
      </w:r>
    </w:p>
    <w:p w14:paraId="59EF7D90" w14:textId="5E3AE378" w:rsidR="00EB46B5" w:rsidRPr="006425A0" w:rsidRDefault="00CC6DD0" w:rsidP="00EB46B5">
      <w:pPr>
        <w:spacing w:line="360" w:lineRule="auto"/>
        <w:rPr>
          <w:color w:val="000000" w:themeColor="text1"/>
        </w:rPr>
      </w:pPr>
      <w:r>
        <w:t xml:space="preserve">Longstanding positive trends in global life expectancy </w:t>
      </w:r>
      <w:r w:rsidR="007769D1" w:rsidRPr="00397FE9">
        <w:t>were</w:t>
      </w:r>
      <w:r>
        <w:t xml:space="preserve"> observed since the early 1990s, with steady increases occurring across each decade between 1990 and 2019 (</w:t>
      </w:r>
      <w:r w:rsidR="001E6A2A">
        <w:t>a</w:t>
      </w:r>
      <w:r w:rsidRPr="00397FE9">
        <w:t>ppendix</w:t>
      </w:r>
      <w:r w:rsidR="009A4760" w:rsidRPr="00397FE9">
        <w:t xml:space="preserve"> 2</w:t>
      </w:r>
      <w:r w:rsidRPr="00397FE9">
        <w:t xml:space="preserve"> </w:t>
      </w:r>
      <w:r w:rsidR="000123E4">
        <w:t>t</w:t>
      </w:r>
      <w:r w:rsidRPr="00397FE9">
        <w:t xml:space="preserve">able </w:t>
      </w:r>
      <w:r w:rsidR="009A4760" w:rsidRPr="00397FE9">
        <w:t>S</w:t>
      </w:r>
      <w:r w:rsidR="00E934E3" w:rsidRPr="00397FE9">
        <w:t>4</w:t>
      </w:r>
      <w:r w:rsidRPr="00397FE9">
        <w:t>).</w:t>
      </w:r>
      <w:r>
        <w:t xml:space="preserve"> Altogether, the global increase from 1990 to 2019 totalled 7.</w:t>
      </w:r>
      <w:r w:rsidR="4B45C91F">
        <w:t>8</w:t>
      </w:r>
      <w:r w:rsidR="1053B2A0">
        <w:t xml:space="preserve"> years</w:t>
      </w:r>
      <w:r w:rsidR="7B9277EC">
        <w:t xml:space="preserve"> </w:t>
      </w:r>
      <w:r w:rsidR="7B9277EC" w:rsidRPr="7071A0E8">
        <w:rPr>
          <w:rFonts w:eastAsia="Times New Roman" w:cs="Times New Roman"/>
        </w:rPr>
        <w:t xml:space="preserve">(95% UI </w:t>
      </w:r>
      <w:r w:rsidR="4A52D425" w:rsidRPr="7071A0E8">
        <w:rPr>
          <w:rFonts w:eastAsia="Times New Roman" w:cs="Times New Roman"/>
        </w:rPr>
        <w:t>7.1</w:t>
      </w:r>
      <w:r w:rsidR="7B9277EC" w:rsidRPr="7071A0E8">
        <w:rPr>
          <w:rFonts w:eastAsia="Times New Roman" w:cs="Times New Roman"/>
        </w:rPr>
        <w:t>–</w:t>
      </w:r>
      <w:r w:rsidR="30F5D569" w:rsidRPr="7071A0E8">
        <w:rPr>
          <w:rFonts w:eastAsia="Times New Roman" w:cs="Times New Roman"/>
        </w:rPr>
        <w:t>8.5</w:t>
      </w:r>
      <w:r w:rsidR="7B9277EC" w:rsidRPr="7071A0E8">
        <w:rPr>
          <w:rFonts w:eastAsia="Times New Roman" w:cs="Times New Roman"/>
        </w:rPr>
        <w:t>)</w:t>
      </w:r>
      <w:r w:rsidR="1053B2A0">
        <w:t>.</w:t>
      </w:r>
      <w:r>
        <w:t xml:space="preserve"> In the years from 2019 to 2021, however, there was a global decline in life expectancy of </w:t>
      </w:r>
      <w:r w:rsidR="4CEB1A9D">
        <w:t>2.</w:t>
      </w:r>
      <w:r w:rsidR="62B84A5A" w:rsidRPr="00397FE9">
        <w:t>2</w:t>
      </w:r>
      <w:r>
        <w:t xml:space="preserve"> years</w:t>
      </w:r>
      <w:r w:rsidR="00077CE9">
        <w:t xml:space="preserve"> </w:t>
      </w:r>
      <w:r>
        <w:t>due to deaths from COVID-19 and OPRM</w:t>
      </w:r>
      <w:r w:rsidR="70C28C82">
        <w:t xml:space="preserve"> combined</w:t>
      </w:r>
      <w:r w:rsidR="00EC1A12">
        <w:t xml:space="preserve">. </w:t>
      </w:r>
      <w:r w:rsidR="002A4A68">
        <w:t>This decrease</w:t>
      </w:r>
      <w:r w:rsidR="00A305D6">
        <w:t xml:space="preserve"> was</w:t>
      </w:r>
      <w:r w:rsidR="70C28C82">
        <w:t xml:space="preserve"> partially offset by reductions in other diseases for a net </w:t>
      </w:r>
      <w:r w:rsidR="7CF0B615">
        <w:t>reduction</w:t>
      </w:r>
      <w:r w:rsidR="70C28C82">
        <w:t xml:space="preserve"> in global life expectancy of 1.6 years</w:t>
      </w:r>
      <w:r>
        <w:t xml:space="preserve">. Despite this notable drop, we can observe an overall increase </w:t>
      </w:r>
      <w:r w:rsidR="00FA034C">
        <w:t>in life expectancy</w:t>
      </w:r>
      <w:r>
        <w:t xml:space="preserve"> across the </w:t>
      </w:r>
      <w:r w:rsidR="001C254A">
        <w:t xml:space="preserve">entire </w:t>
      </w:r>
      <w:r>
        <w:t>study period of 6.</w:t>
      </w:r>
      <w:r w:rsidR="3F9DAD37">
        <w:t>2</w:t>
      </w:r>
      <w:r>
        <w:t xml:space="preserve"> years</w:t>
      </w:r>
      <w:r w:rsidR="0068112F">
        <w:t xml:space="preserve"> (</w:t>
      </w:r>
      <w:r w:rsidR="11A595B7">
        <w:t>5.</w:t>
      </w:r>
      <w:r w:rsidR="1E88C6A7">
        <w:t>4</w:t>
      </w:r>
      <w:r w:rsidR="0068112F" w:rsidRPr="7071A0E8">
        <w:rPr>
          <w:rFonts w:eastAsia="Times New Roman" w:cs="Times New Roman"/>
        </w:rPr>
        <w:t>–</w:t>
      </w:r>
      <w:r w:rsidR="63DF7F04" w:rsidRPr="7071A0E8">
        <w:rPr>
          <w:rFonts w:eastAsia="Times New Roman" w:cs="Times New Roman"/>
        </w:rPr>
        <w:t>7.</w:t>
      </w:r>
      <w:r w:rsidR="4C138E54" w:rsidRPr="7071A0E8">
        <w:rPr>
          <w:rFonts w:eastAsia="Times New Roman" w:cs="Times New Roman"/>
        </w:rPr>
        <w:t>0</w:t>
      </w:r>
      <w:r w:rsidR="0068112F" w:rsidRPr="7071A0E8">
        <w:rPr>
          <w:rFonts w:eastAsia="Times New Roman" w:cs="Times New Roman"/>
        </w:rPr>
        <w:t>)</w:t>
      </w:r>
      <w:r>
        <w:t>.</w:t>
      </w:r>
      <w:r w:rsidR="0088616F" w:rsidRPr="7071A0E8">
        <w:rPr>
          <w:color w:val="000000" w:themeColor="text1"/>
        </w:rPr>
        <w:t xml:space="preserve"> </w:t>
      </w:r>
      <w:r w:rsidRPr="7071A0E8">
        <w:rPr>
          <w:color w:val="000000" w:themeColor="text1"/>
        </w:rPr>
        <w:t xml:space="preserve">This decomposition analysis provides insights into the specific causes that influenced changes in life expectancy over the defined time periods. A detailed breakdown of the leading causes responsible for either an improvement or a decline in global life expectancy </w:t>
      </w:r>
      <w:r w:rsidR="008E709C" w:rsidRPr="7071A0E8">
        <w:rPr>
          <w:color w:val="000000" w:themeColor="text1"/>
        </w:rPr>
        <w:t xml:space="preserve">over the decades between 1990 and 2021 </w:t>
      </w:r>
      <w:r w:rsidRPr="7071A0E8">
        <w:rPr>
          <w:color w:val="000000" w:themeColor="text1"/>
        </w:rPr>
        <w:t xml:space="preserve">is visually represented in </w:t>
      </w:r>
      <w:r w:rsidRPr="00397FE9">
        <w:rPr>
          <w:color w:val="000000" w:themeColor="text1"/>
        </w:rPr>
        <w:t xml:space="preserve">figure </w:t>
      </w:r>
      <w:r w:rsidR="00330BDF" w:rsidRPr="00397FE9">
        <w:rPr>
          <w:color w:val="000000" w:themeColor="text1"/>
        </w:rPr>
        <w:t>4</w:t>
      </w:r>
      <w:r w:rsidRPr="7071A0E8">
        <w:rPr>
          <w:color w:val="000000" w:themeColor="text1"/>
        </w:rPr>
        <w:t xml:space="preserve">. Among the various contributing factors, the </w:t>
      </w:r>
      <w:r w:rsidR="00AB12BE">
        <w:rPr>
          <w:color w:val="000000" w:themeColor="text1"/>
        </w:rPr>
        <w:t>cause with the greatest impact</w:t>
      </w:r>
      <w:r w:rsidRPr="7071A0E8">
        <w:rPr>
          <w:color w:val="000000" w:themeColor="text1"/>
        </w:rPr>
        <w:t xml:space="preserve"> </w:t>
      </w:r>
      <w:r w:rsidR="00AB12BE">
        <w:rPr>
          <w:color w:val="000000" w:themeColor="text1"/>
        </w:rPr>
        <w:t>on the</w:t>
      </w:r>
      <w:r w:rsidRPr="7071A0E8">
        <w:rPr>
          <w:color w:val="000000" w:themeColor="text1"/>
        </w:rPr>
        <w:t xml:space="preserve"> rise in life expectancy worldwide was the reduction in deaths caused by </w:t>
      </w:r>
      <w:r w:rsidRPr="00765EDA">
        <w:rPr>
          <w:color w:val="000000" w:themeColor="text1"/>
        </w:rPr>
        <w:t>enteric</w:t>
      </w:r>
      <w:r w:rsidRPr="7071A0E8">
        <w:rPr>
          <w:color w:val="000000" w:themeColor="text1"/>
        </w:rPr>
        <w:t xml:space="preserve"> infections. This category includes diarrhoeal, typhoid, and paratyphoid diseases. </w:t>
      </w:r>
      <w:r w:rsidR="004E6D9A" w:rsidRPr="00397FE9">
        <w:rPr>
          <w:color w:val="000000" w:themeColor="text1"/>
        </w:rPr>
        <w:t>A reduction in deaths from these diseases</w:t>
      </w:r>
      <w:r w:rsidRPr="7071A0E8">
        <w:rPr>
          <w:color w:val="000000" w:themeColor="text1"/>
        </w:rPr>
        <w:t xml:space="preserve"> is responsible for a substantial increase </w:t>
      </w:r>
      <w:r w:rsidR="003D4209">
        <w:rPr>
          <w:color w:val="000000" w:themeColor="text1"/>
        </w:rPr>
        <w:t>in life expectancy</w:t>
      </w:r>
      <w:r w:rsidRPr="7071A0E8">
        <w:rPr>
          <w:color w:val="000000" w:themeColor="text1"/>
        </w:rPr>
        <w:t xml:space="preserve"> of </w:t>
      </w:r>
      <w:r w:rsidRPr="00765EDA">
        <w:rPr>
          <w:color w:val="000000" w:themeColor="text1"/>
        </w:rPr>
        <w:t>1.1</w:t>
      </w:r>
      <w:r w:rsidR="00B23B82" w:rsidRPr="7071A0E8">
        <w:rPr>
          <w:color w:val="000000" w:themeColor="text1"/>
        </w:rPr>
        <w:t xml:space="preserve"> </w:t>
      </w:r>
      <w:r w:rsidRPr="7071A0E8">
        <w:rPr>
          <w:color w:val="000000" w:themeColor="text1"/>
        </w:rPr>
        <w:t>years</w:t>
      </w:r>
      <w:r w:rsidR="00D63A1F" w:rsidRPr="7071A0E8">
        <w:rPr>
          <w:color w:val="000000" w:themeColor="text1"/>
        </w:rPr>
        <w:t xml:space="preserve"> </w:t>
      </w:r>
      <w:r w:rsidRPr="7071A0E8">
        <w:rPr>
          <w:color w:val="000000" w:themeColor="text1"/>
        </w:rPr>
        <w:t>during the period from 1990 to 2021</w:t>
      </w:r>
      <w:r w:rsidR="003D4209">
        <w:rPr>
          <w:color w:val="000000" w:themeColor="text1"/>
        </w:rPr>
        <w:t>,</w:t>
      </w:r>
      <w:r w:rsidRPr="7071A0E8">
        <w:rPr>
          <w:color w:val="000000" w:themeColor="text1"/>
        </w:rPr>
        <w:t xml:space="preserve"> but </w:t>
      </w:r>
      <w:r w:rsidR="00106FA4" w:rsidRPr="00397FE9">
        <w:rPr>
          <w:color w:val="000000" w:themeColor="text1"/>
        </w:rPr>
        <w:t>th</w:t>
      </w:r>
      <w:r w:rsidR="008B6359" w:rsidRPr="00397FE9">
        <w:rPr>
          <w:color w:val="000000" w:themeColor="text1"/>
        </w:rPr>
        <w:t>is</w:t>
      </w:r>
      <w:r w:rsidR="00106FA4">
        <w:rPr>
          <w:color w:val="000000" w:themeColor="text1"/>
        </w:rPr>
        <w:t xml:space="preserve"> increase </w:t>
      </w:r>
      <w:r w:rsidRPr="7071A0E8">
        <w:rPr>
          <w:color w:val="000000" w:themeColor="text1"/>
        </w:rPr>
        <w:t>was most pronounced between 1990</w:t>
      </w:r>
      <w:r>
        <w:t xml:space="preserve"> </w:t>
      </w:r>
      <w:r w:rsidR="00106FA4">
        <w:t xml:space="preserve">and </w:t>
      </w:r>
      <w:r w:rsidRPr="7071A0E8">
        <w:rPr>
          <w:color w:val="000000" w:themeColor="text1"/>
        </w:rPr>
        <w:t xml:space="preserve">2000 compared to other time periods. The second-largest effect on increasing life </w:t>
      </w:r>
      <w:r w:rsidRPr="7071A0E8">
        <w:rPr>
          <w:color w:val="000000" w:themeColor="text1"/>
        </w:rPr>
        <w:lastRenderedPageBreak/>
        <w:t xml:space="preserve">expectancy is attributed to the reduction in lower respiratory infectious deaths, contributing </w:t>
      </w:r>
      <w:r w:rsidRPr="00765EDA">
        <w:rPr>
          <w:color w:val="000000" w:themeColor="text1"/>
        </w:rPr>
        <w:t>0.9</w:t>
      </w:r>
      <w:r w:rsidRPr="7071A0E8">
        <w:rPr>
          <w:color w:val="000000" w:themeColor="text1"/>
        </w:rPr>
        <w:t xml:space="preserve"> years </w:t>
      </w:r>
      <w:r w:rsidR="00DC60D9" w:rsidRPr="00397FE9">
        <w:rPr>
          <w:color w:val="000000" w:themeColor="text1"/>
        </w:rPr>
        <w:t xml:space="preserve">of </w:t>
      </w:r>
      <w:r w:rsidR="56535EA4" w:rsidRPr="2A5BC196">
        <w:rPr>
          <w:color w:val="000000" w:themeColor="text1"/>
        </w:rPr>
        <w:t xml:space="preserve">added </w:t>
      </w:r>
      <w:r w:rsidR="00DC60D9" w:rsidRPr="00397FE9">
        <w:rPr>
          <w:color w:val="000000" w:themeColor="text1"/>
        </w:rPr>
        <w:t xml:space="preserve">life expectancy </w:t>
      </w:r>
      <w:r w:rsidRPr="7071A0E8">
        <w:rPr>
          <w:color w:val="000000" w:themeColor="text1"/>
        </w:rPr>
        <w:t>from 1990</w:t>
      </w:r>
      <w:r>
        <w:t xml:space="preserve"> to </w:t>
      </w:r>
      <w:r w:rsidRPr="7071A0E8">
        <w:rPr>
          <w:color w:val="000000" w:themeColor="text1"/>
        </w:rPr>
        <w:t>2021. Other leading factors include reduc</w:t>
      </w:r>
      <w:r w:rsidR="00DC1C1F" w:rsidRPr="7071A0E8">
        <w:rPr>
          <w:color w:val="000000" w:themeColor="text1"/>
        </w:rPr>
        <w:t>ed</w:t>
      </w:r>
      <w:r w:rsidR="005E0331" w:rsidRPr="7071A0E8">
        <w:rPr>
          <w:color w:val="000000" w:themeColor="text1"/>
        </w:rPr>
        <w:t xml:space="preserve"> mortality from</w:t>
      </w:r>
      <w:r w:rsidRPr="7071A0E8">
        <w:rPr>
          <w:color w:val="000000" w:themeColor="text1"/>
        </w:rPr>
        <w:t xml:space="preserve"> stroke, </w:t>
      </w:r>
      <w:r w:rsidR="00C54764" w:rsidRPr="7071A0E8">
        <w:rPr>
          <w:color w:val="000000" w:themeColor="text1"/>
        </w:rPr>
        <w:t>CMNN diseases</w:t>
      </w:r>
      <w:r w:rsidRPr="7071A0E8">
        <w:rPr>
          <w:color w:val="000000" w:themeColor="text1"/>
        </w:rPr>
        <w:t xml:space="preserve">, neonatal deaths, </w:t>
      </w:r>
      <w:r w:rsidRPr="00397FE9">
        <w:rPr>
          <w:color w:val="000000" w:themeColor="text1"/>
        </w:rPr>
        <w:t>isch</w:t>
      </w:r>
      <w:r w:rsidR="00106FA4" w:rsidRPr="00397FE9">
        <w:rPr>
          <w:color w:val="000000" w:themeColor="text1"/>
        </w:rPr>
        <w:t>a</w:t>
      </w:r>
      <w:r w:rsidRPr="00397FE9">
        <w:rPr>
          <w:color w:val="000000" w:themeColor="text1"/>
        </w:rPr>
        <w:t>emic</w:t>
      </w:r>
      <w:r w:rsidRPr="7071A0E8">
        <w:rPr>
          <w:color w:val="000000" w:themeColor="text1"/>
        </w:rPr>
        <w:t xml:space="preserve"> heart disease, and neoplasms, each of which increased global life expectancy between </w:t>
      </w:r>
      <w:r w:rsidRPr="00D41549">
        <w:rPr>
          <w:color w:val="000000" w:themeColor="text1"/>
        </w:rPr>
        <w:t>0.</w:t>
      </w:r>
      <w:r w:rsidR="4BED73EA" w:rsidRPr="00D41549">
        <w:rPr>
          <w:color w:val="000000" w:themeColor="text1"/>
        </w:rPr>
        <w:t>6</w:t>
      </w:r>
      <w:r w:rsidR="005F2D97">
        <w:t xml:space="preserve"> and </w:t>
      </w:r>
      <w:r w:rsidRPr="00765EDA">
        <w:rPr>
          <w:color w:val="000000" w:themeColor="text1"/>
        </w:rPr>
        <w:t>0.</w:t>
      </w:r>
      <w:r w:rsidR="614D2E6F" w:rsidRPr="00765EDA">
        <w:rPr>
          <w:color w:val="000000" w:themeColor="text1"/>
        </w:rPr>
        <w:t>8</w:t>
      </w:r>
      <w:r w:rsidRPr="7071A0E8">
        <w:rPr>
          <w:color w:val="000000" w:themeColor="text1"/>
        </w:rPr>
        <w:t xml:space="preserve"> years over the study period. </w:t>
      </w:r>
      <w:r w:rsidR="37C7624A" w:rsidRPr="2A5BC196">
        <w:rPr>
          <w:color w:val="000000" w:themeColor="text1"/>
        </w:rPr>
        <w:t xml:space="preserve">Changing rates of </w:t>
      </w:r>
      <w:r w:rsidRPr="7071A0E8">
        <w:rPr>
          <w:color w:val="000000" w:themeColor="text1"/>
        </w:rPr>
        <w:t>HIV/AIDS and malaria</w:t>
      </w:r>
      <w:r w:rsidRPr="2A5BC196">
        <w:rPr>
          <w:color w:val="000000" w:themeColor="text1"/>
        </w:rPr>
        <w:t xml:space="preserve"> </w:t>
      </w:r>
      <w:r w:rsidR="65E5CDF3">
        <w:t>mortality</w:t>
      </w:r>
      <w:r w:rsidRPr="7071A0E8">
        <w:rPr>
          <w:color w:val="000000" w:themeColor="text1"/>
        </w:rPr>
        <w:t xml:space="preserve"> both contributed positively to the overall global life expectancy in some years but negatively impacted it in others. Beginning in </w:t>
      </w:r>
      <w:r w:rsidRPr="00D41549">
        <w:rPr>
          <w:color w:val="000000" w:themeColor="text1"/>
        </w:rPr>
        <w:t>200</w:t>
      </w:r>
      <w:r w:rsidRPr="00D41549" w:rsidDel="00CC6DD0">
        <w:rPr>
          <w:color w:val="000000" w:themeColor="text1"/>
        </w:rPr>
        <w:t>0</w:t>
      </w:r>
      <w:r w:rsidRPr="7071A0E8">
        <w:rPr>
          <w:color w:val="000000" w:themeColor="text1"/>
        </w:rPr>
        <w:t xml:space="preserve">, </w:t>
      </w:r>
      <w:r w:rsidR="00CF1CFE">
        <w:rPr>
          <w:color w:val="000000" w:themeColor="text1"/>
        </w:rPr>
        <w:t>reductions</w:t>
      </w:r>
      <w:r w:rsidRPr="7071A0E8">
        <w:rPr>
          <w:color w:val="000000" w:themeColor="text1"/>
        </w:rPr>
        <w:t xml:space="preserve"> in HIV/AIDS </w:t>
      </w:r>
      <w:r w:rsidR="00BD761A">
        <w:rPr>
          <w:color w:val="000000" w:themeColor="text1"/>
        </w:rPr>
        <w:t xml:space="preserve">mortality </w:t>
      </w:r>
      <w:r w:rsidR="00CF1CFE">
        <w:rPr>
          <w:color w:val="000000" w:themeColor="text1"/>
        </w:rPr>
        <w:t>were</w:t>
      </w:r>
      <w:r w:rsidRPr="7071A0E8">
        <w:rPr>
          <w:color w:val="000000" w:themeColor="text1"/>
        </w:rPr>
        <w:t xml:space="preserve"> evident following substantial negative impacts in earlier years. </w:t>
      </w:r>
      <w:r w:rsidR="00F665D0">
        <w:rPr>
          <w:color w:val="000000" w:themeColor="text1"/>
        </w:rPr>
        <w:t>Reductions</w:t>
      </w:r>
      <w:r w:rsidR="00F665D0" w:rsidRPr="7071A0E8">
        <w:rPr>
          <w:color w:val="000000" w:themeColor="text1"/>
        </w:rPr>
        <w:t xml:space="preserve"> </w:t>
      </w:r>
      <w:r w:rsidRPr="7071A0E8">
        <w:rPr>
          <w:color w:val="000000" w:themeColor="text1"/>
        </w:rPr>
        <w:t xml:space="preserve">in </w:t>
      </w:r>
      <w:r w:rsidR="00F665D0">
        <w:rPr>
          <w:color w:val="000000" w:themeColor="text1"/>
        </w:rPr>
        <w:t>deaths from</w:t>
      </w:r>
      <w:r w:rsidRPr="7071A0E8">
        <w:rPr>
          <w:color w:val="000000" w:themeColor="text1"/>
        </w:rPr>
        <w:t xml:space="preserve"> malaria, however, were less </w:t>
      </w:r>
      <w:r w:rsidR="00F17FC1">
        <w:rPr>
          <w:color w:val="000000" w:themeColor="text1"/>
        </w:rPr>
        <w:t>sustained</w:t>
      </w:r>
      <w:r w:rsidRPr="7071A0E8">
        <w:rPr>
          <w:color w:val="000000" w:themeColor="text1"/>
        </w:rPr>
        <w:t>,</w:t>
      </w:r>
      <w:r w:rsidR="00390AB4" w:rsidRPr="7071A0E8">
        <w:rPr>
          <w:color w:val="000000" w:themeColor="text1"/>
        </w:rPr>
        <w:t xml:space="preserve"> </w:t>
      </w:r>
      <w:r w:rsidRPr="7071A0E8">
        <w:rPr>
          <w:color w:val="000000" w:themeColor="text1"/>
        </w:rPr>
        <w:t xml:space="preserve">increasing life expectancy by </w:t>
      </w:r>
      <w:r w:rsidRPr="00765EDA">
        <w:rPr>
          <w:color w:val="000000" w:themeColor="text1"/>
        </w:rPr>
        <w:t>0.1</w:t>
      </w:r>
      <w:r w:rsidRPr="7071A0E8">
        <w:rPr>
          <w:color w:val="000000" w:themeColor="text1"/>
        </w:rPr>
        <w:t xml:space="preserve"> years </w:t>
      </w:r>
      <w:r>
        <w:t xml:space="preserve">from 2010 to </w:t>
      </w:r>
      <w:r w:rsidR="00390AB4">
        <w:t>2019 but</w:t>
      </w:r>
      <w:r>
        <w:t xml:space="preserve"> </w:t>
      </w:r>
      <w:r w:rsidR="4A244E40">
        <w:t>having no effect</w:t>
      </w:r>
      <w:r w:rsidR="0032766B" w:rsidRPr="7071A0E8">
        <w:rPr>
          <w:rFonts w:eastAsia="Times New Roman" w:cs="Times New Roman"/>
        </w:rPr>
        <w:t xml:space="preserve"> </w:t>
      </w:r>
      <w:r>
        <w:t>from 2019 to 2021.</w:t>
      </w:r>
      <w:r w:rsidRPr="7071A0E8">
        <w:rPr>
          <w:color w:val="000000" w:themeColor="text1"/>
        </w:rPr>
        <w:t xml:space="preserve"> Across all causes, the most significant impact on the change in global life expectancy was due to COVID-19, which resulted in a decline of </w:t>
      </w:r>
      <w:r w:rsidRPr="00765EDA">
        <w:rPr>
          <w:color w:val="000000" w:themeColor="text1"/>
        </w:rPr>
        <w:t>1.6</w:t>
      </w:r>
      <w:r w:rsidRPr="7071A0E8">
        <w:rPr>
          <w:color w:val="000000" w:themeColor="text1"/>
        </w:rPr>
        <w:t xml:space="preserve"> years</w:t>
      </w:r>
      <w:r w:rsidR="0032766B" w:rsidRPr="7071A0E8">
        <w:rPr>
          <w:color w:val="000000" w:themeColor="text1"/>
        </w:rPr>
        <w:t xml:space="preserve"> </w:t>
      </w:r>
      <w:r w:rsidRPr="7071A0E8">
        <w:rPr>
          <w:color w:val="000000" w:themeColor="text1"/>
        </w:rPr>
        <w:t>between 2019</w:t>
      </w:r>
      <w:r>
        <w:t xml:space="preserve"> and 2021</w:t>
      </w:r>
      <w:r w:rsidRPr="7071A0E8">
        <w:rPr>
          <w:color w:val="000000" w:themeColor="text1"/>
        </w:rPr>
        <w:t>.</w:t>
      </w:r>
    </w:p>
    <w:p w14:paraId="53B0D833" w14:textId="505A1509" w:rsidR="00EB46B5" w:rsidRPr="00680053" w:rsidRDefault="007563B2" w:rsidP="00EB46B5">
      <w:pPr>
        <w:pStyle w:val="Heading3"/>
        <w:spacing w:line="360" w:lineRule="auto"/>
      </w:pPr>
      <w:r>
        <w:t xml:space="preserve">Decomposition of </w:t>
      </w:r>
      <w:r w:rsidR="004C3018">
        <w:t>s</w:t>
      </w:r>
      <w:r>
        <w:t>uper</w:t>
      </w:r>
      <w:r w:rsidR="004C3018">
        <w:t>-r</w:t>
      </w:r>
      <w:r>
        <w:t xml:space="preserve">egion, </w:t>
      </w:r>
      <w:r w:rsidR="004C3018">
        <w:t>r</w:t>
      </w:r>
      <w:r>
        <w:t>egional</w:t>
      </w:r>
      <w:r w:rsidR="004C3018">
        <w:t>,</w:t>
      </w:r>
      <w:r>
        <w:t xml:space="preserve"> and </w:t>
      </w:r>
      <w:r w:rsidR="004C3018">
        <w:t>c</w:t>
      </w:r>
      <w:r>
        <w:t>ountry</w:t>
      </w:r>
      <w:r w:rsidR="004C3018">
        <w:t>-level</w:t>
      </w:r>
      <w:r w:rsidR="00EB46B5" w:rsidRPr="00680053">
        <w:t xml:space="preserve"> life expectancy</w:t>
      </w:r>
    </w:p>
    <w:p w14:paraId="42630308" w14:textId="7850E7AE" w:rsidR="00EB46B5" w:rsidRDefault="00EB46B5" w:rsidP="00EB46B5">
      <w:pPr>
        <w:spacing w:line="360" w:lineRule="auto"/>
      </w:pPr>
      <w:r>
        <w:t xml:space="preserve">Each of the seven super-regions experienced an overall </w:t>
      </w:r>
      <w:r w:rsidRPr="00765EDA">
        <w:t>increase</w:t>
      </w:r>
      <w:r>
        <w:t xml:space="preserve"> in life expectancy between 1990 and 2021, despite progress in each being differentially impacted by COVID-19 (figure</w:t>
      </w:r>
      <w:r w:rsidR="7C219F79">
        <w:t>s</w:t>
      </w:r>
      <w:r w:rsidRPr="00D41549">
        <w:t xml:space="preserve"> </w:t>
      </w:r>
      <w:r w:rsidR="00E6604D" w:rsidRPr="00D41549">
        <w:t xml:space="preserve">3 and </w:t>
      </w:r>
      <w:r w:rsidR="0088599A" w:rsidRPr="00D41549">
        <w:t>5</w:t>
      </w:r>
      <w:r>
        <w:t xml:space="preserve">). </w:t>
      </w:r>
      <w:r w:rsidR="00862B66">
        <w:t>Southeast Asia, east Asia, and Oceania sh</w:t>
      </w:r>
      <w:r>
        <w:t xml:space="preserve">owed the highest gain, with </w:t>
      </w:r>
      <w:r w:rsidR="0025207A">
        <w:t xml:space="preserve">a net </w:t>
      </w:r>
      <w:r>
        <w:t>improvement of 8.</w:t>
      </w:r>
      <w:r w:rsidR="00942D3F">
        <w:t>3</w:t>
      </w:r>
      <w:r>
        <w:t xml:space="preserve"> years</w:t>
      </w:r>
      <w:r w:rsidR="0032766B">
        <w:t xml:space="preserve"> </w:t>
      </w:r>
      <w:r w:rsidR="0032766B" w:rsidRPr="7071A0E8">
        <w:rPr>
          <w:rFonts w:eastAsia="Times New Roman" w:cs="Times New Roman"/>
        </w:rPr>
        <w:t xml:space="preserve">(95% UI </w:t>
      </w:r>
      <w:r w:rsidR="4329493B" w:rsidRPr="7071A0E8">
        <w:rPr>
          <w:rFonts w:eastAsia="Times New Roman" w:cs="Times New Roman"/>
        </w:rPr>
        <w:t>6.</w:t>
      </w:r>
      <w:r w:rsidR="4F9DBB4B" w:rsidRPr="7071A0E8">
        <w:rPr>
          <w:rFonts w:eastAsia="Times New Roman" w:cs="Times New Roman"/>
        </w:rPr>
        <w:t>7</w:t>
      </w:r>
      <w:r w:rsidR="321285BC" w:rsidRPr="7071A0E8">
        <w:rPr>
          <w:rFonts w:eastAsia="Times New Roman" w:cs="Times New Roman"/>
        </w:rPr>
        <w:t>–9</w:t>
      </w:r>
      <w:r w:rsidR="5892ABB5" w:rsidRPr="7071A0E8">
        <w:rPr>
          <w:rFonts w:eastAsia="Times New Roman" w:cs="Times New Roman"/>
        </w:rPr>
        <w:t>.</w:t>
      </w:r>
      <w:r w:rsidR="0032766B" w:rsidRPr="7071A0E8">
        <w:rPr>
          <w:rFonts w:eastAsia="Times New Roman" w:cs="Times New Roman"/>
        </w:rPr>
        <w:t>9)</w:t>
      </w:r>
      <w:r>
        <w:t xml:space="preserve">, </w:t>
      </w:r>
      <w:r w:rsidR="3679EEC4">
        <w:t xml:space="preserve">while also being the least impacted by COVID-19, which </w:t>
      </w:r>
      <w:r w:rsidR="001552AB">
        <w:t>contributed</w:t>
      </w:r>
      <w:r w:rsidR="3679EEC4">
        <w:t xml:space="preserve"> a</w:t>
      </w:r>
      <w:r>
        <w:t xml:space="preserve"> loss </w:t>
      </w:r>
      <w:r w:rsidR="004D0CC6">
        <w:t xml:space="preserve">in life expectancy </w:t>
      </w:r>
      <w:r>
        <w:t xml:space="preserve">of </w:t>
      </w:r>
      <w:r w:rsidR="001552AB">
        <w:t xml:space="preserve">just </w:t>
      </w:r>
      <w:r w:rsidR="7BA0055A">
        <w:t>0.</w:t>
      </w:r>
      <w:r w:rsidR="41B3A97E">
        <w:t>4</w:t>
      </w:r>
      <w:r>
        <w:t xml:space="preserve"> years</w:t>
      </w:r>
      <w:r w:rsidR="6B9AB7C0" w:rsidRPr="7071A0E8">
        <w:rPr>
          <w:rFonts w:eastAsia="Times New Roman" w:cs="Times New Roman"/>
        </w:rPr>
        <w:t>.</w:t>
      </w:r>
      <w:r>
        <w:t xml:space="preserve"> The overall increase in </w:t>
      </w:r>
      <w:r w:rsidR="002E4CE8">
        <w:t xml:space="preserve">life expectancy </w:t>
      </w:r>
      <w:r>
        <w:t xml:space="preserve">in </w:t>
      </w:r>
      <w:r w:rsidR="007F23C5">
        <w:t>s</w:t>
      </w:r>
      <w:r w:rsidR="3AEA1697">
        <w:t xml:space="preserve">outheast Asia, </w:t>
      </w:r>
      <w:r w:rsidR="007F23C5">
        <w:t>e</w:t>
      </w:r>
      <w:r w:rsidR="3AEA1697">
        <w:t>ast Asia, and Oceania</w:t>
      </w:r>
      <w:r>
        <w:t xml:space="preserve"> can </w:t>
      </w:r>
      <w:bookmarkStart w:id="3" w:name="_Int_FFG06tLv"/>
      <w:r>
        <w:t>largely be</w:t>
      </w:r>
      <w:bookmarkEnd w:id="3"/>
      <w:r>
        <w:t xml:space="preserve"> attributed to </w:t>
      </w:r>
      <w:r w:rsidR="00992BEA">
        <w:t>reduced mortality</w:t>
      </w:r>
      <w:r>
        <w:t xml:space="preserve"> </w:t>
      </w:r>
      <w:r w:rsidR="00497704">
        <w:t>from</w:t>
      </w:r>
      <w:r>
        <w:t xml:space="preserve"> </w:t>
      </w:r>
      <w:r w:rsidR="31685943">
        <w:t>chronic respiratory diseases</w:t>
      </w:r>
      <w:r>
        <w:t>, contributing to a</w:t>
      </w:r>
      <w:r w:rsidR="0089130D">
        <w:t xml:space="preserve"> </w:t>
      </w:r>
      <w:r>
        <w:t xml:space="preserve">gain of </w:t>
      </w:r>
      <w:r w:rsidR="47FBF015">
        <w:t>1.</w:t>
      </w:r>
      <w:r w:rsidR="3D771E63">
        <w:t>2</w:t>
      </w:r>
      <w:r>
        <w:t xml:space="preserve"> years, while </w:t>
      </w:r>
      <w:r w:rsidR="00E250CB">
        <w:t>reduced mortality from</w:t>
      </w:r>
      <w:r>
        <w:t xml:space="preserve"> </w:t>
      </w:r>
      <w:r w:rsidR="5BE958AC">
        <w:t>stroke,</w:t>
      </w:r>
      <w:r w:rsidR="00E0564C">
        <w:t xml:space="preserve"> </w:t>
      </w:r>
      <w:r>
        <w:t xml:space="preserve">lower respiratory infections, </w:t>
      </w:r>
      <w:r w:rsidR="5308E176">
        <w:t>and neoplasms</w:t>
      </w:r>
      <w:r>
        <w:t xml:space="preserve"> were among other causes that contributed to the 8.</w:t>
      </w:r>
      <w:r w:rsidR="7D5B64DA">
        <w:t>3</w:t>
      </w:r>
      <w:r>
        <w:t xml:space="preserve">-year </w:t>
      </w:r>
      <w:r w:rsidR="0032766B" w:rsidRPr="7071A0E8">
        <w:rPr>
          <w:rFonts w:eastAsia="Times New Roman" w:cs="Times New Roman"/>
        </w:rPr>
        <w:t>(</w:t>
      </w:r>
      <w:r w:rsidR="4A11D443" w:rsidRPr="7071A0E8">
        <w:rPr>
          <w:rFonts w:eastAsia="Times New Roman" w:cs="Times New Roman"/>
        </w:rPr>
        <w:t>6.</w:t>
      </w:r>
      <w:r w:rsidR="4DFCDEC6" w:rsidRPr="7071A0E8">
        <w:rPr>
          <w:rFonts w:eastAsia="Times New Roman" w:cs="Times New Roman"/>
        </w:rPr>
        <w:t>7</w:t>
      </w:r>
      <w:r w:rsidR="321285BC" w:rsidRPr="7071A0E8">
        <w:rPr>
          <w:rFonts w:eastAsia="Times New Roman" w:cs="Times New Roman"/>
        </w:rPr>
        <w:t>–</w:t>
      </w:r>
      <w:r w:rsidR="6E0C5A63" w:rsidRPr="7071A0E8">
        <w:rPr>
          <w:rFonts w:eastAsia="Times New Roman" w:cs="Times New Roman"/>
        </w:rPr>
        <w:t>9.</w:t>
      </w:r>
      <w:r w:rsidR="64E08B00" w:rsidRPr="7071A0E8">
        <w:rPr>
          <w:rFonts w:eastAsia="Times New Roman" w:cs="Times New Roman"/>
        </w:rPr>
        <w:t>9</w:t>
      </w:r>
      <w:r w:rsidR="0032766B" w:rsidRPr="7071A0E8">
        <w:rPr>
          <w:rFonts w:eastAsia="Times New Roman" w:cs="Times New Roman"/>
        </w:rPr>
        <w:t xml:space="preserve">) </w:t>
      </w:r>
      <w:r>
        <w:t xml:space="preserve">increase. </w:t>
      </w:r>
      <w:r w:rsidR="51CAA5D9">
        <w:t>The second</w:t>
      </w:r>
      <w:r w:rsidR="00E61E7B">
        <w:t>-</w:t>
      </w:r>
      <w:r w:rsidR="51CAA5D9">
        <w:t xml:space="preserve">largest </w:t>
      </w:r>
      <w:r w:rsidR="00AC0EF9">
        <w:t>gain</w:t>
      </w:r>
      <w:r w:rsidR="51CAA5D9">
        <w:t xml:space="preserve"> </w:t>
      </w:r>
      <w:r w:rsidR="002A60D5">
        <w:t>occurred</w:t>
      </w:r>
      <w:r>
        <w:t xml:space="preserve"> in </w:t>
      </w:r>
      <w:r w:rsidR="00DD0DC3">
        <w:t>s</w:t>
      </w:r>
      <w:r w:rsidR="3807AB7C">
        <w:t>outh Asia</w:t>
      </w:r>
      <w:r w:rsidR="4A240C34">
        <w:t>, where life expectancy</w:t>
      </w:r>
      <w:r>
        <w:t xml:space="preserve"> increased by </w:t>
      </w:r>
      <w:r w:rsidR="52077D6C">
        <w:t>7.</w:t>
      </w:r>
      <w:r>
        <w:t>8 years</w:t>
      </w:r>
      <w:r w:rsidR="0032766B">
        <w:t xml:space="preserve"> </w:t>
      </w:r>
      <w:r w:rsidR="0032766B" w:rsidRPr="7071A0E8">
        <w:rPr>
          <w:rFonts w:eastAsia="Times New Roman" w:cs="Times New Roman"/>
        </w:rPr>
        <w:t>(</w:t>
      </w:r>
      <w:r w:rsidR="31A779C0" w:rsidRPr="7071A0E8">
        <w:rPr>
          <w:rFonts w:eastAsia="Times New Roman" w:cs="Times New Roman"/>
        </w:rPr>
        <w:t>6.</w:t>
      </w:r>
      <w:r w:rsidR="5F39C72D" w:rsidRPr="7071A0E8">
        <w:rPr>
          <w:rFonts w:eastAsia="Times New Roman" w:cs="Times New Roman"/>
        </w:rPr>
        <w:t>7</w:t>
      </w:r>
      <w:r w:rsidR="0032766B" w:rsidRPr="7071A0E8">
        <w:rPr>
          <w:rFonts w:eastAsia="Times New Roman" w:cs="Times New Roman"/>
        </w:rPr>
        <w:t>–</w:t>
      </w:r>
      <w:r w:rsidR="51115C99" w:rsidRPr="7071A0E8">
        <w:rPr>
          <w:rFonts w:eastAsia="Times New Roman" w:cs="Times New Roman"/>
        </w:rPr>
        <w:t>8.</w:t>
      </w:r>
      <w:r w:rsidR="41669183" w:rsidRPr="7071A0E8">
        <w:rPr>
          <w:rFonts w:eastAsia="Times New Roman" w:cs="Times New Roman"/>
        </w:rPr>
        <w:t>9</w:t>
      </w:r>
      <w:r w:rsidR="0032766B" w:rsidRPr="7071A0E8">
        <w:rPr>
          <w:rFonts w:eastAsia="Times New Roman" w:cs="Times New Roman"/>
        </w:rPr>
        <w:t>)</w:t>
      </w:r>
      <w:r>
        <w:t xml:space="preserve">, which </w:t>
      </w:r>
      <w:r w:rsidR="2E58DBB0">
        <w:t xml:space="preserve">can be largely attributed to </w:t>
      </w:r>
      <w:r w:rsidR="00E250CB">
        <w:t>reduced mortality from</w:t>
      </w:r>
      <w:r w:rsidR="2E58DBB0">
        <w:t xml:space="preserve"> enteric infectious diseases, contributing a substantial gain of </w:t>
      </w:r>
      <w:r w:rsidR="3778838A">
        <w:t>3.1</w:t>
      </w:r>
      <w:r w:rsidR="643946E0">
        <w:t xml:space="preserve"> years in life expectancy.</w:t>
      </w:r>
      <w:r w:rsidR="00A4631C">
        <w:t xml:space="preserve"> </w:t>
      </w:r>
      <w:r>
        <w:t xml:space="preserve">The most significant reduction in overall life expectancy due to COVID-19 occurred in the Latin America and </w:t>
      </w:r>
      <w:r w:rsidR="00E61E7B">
        <w:t xml:space="preserve">the </w:t>
      </w:r>
      <w:r>
        <w:t xml:space="preserve">Caribbean super-region, which experienced a loss of </w:t>
      </w:r>
      <w:r w:rsidRPr="00EB0F83">
        <w:t>3.</w:t>
      </w:r>
      <w:r w:rsidR="00513E3F" w:rsidRPr="00EB0F83">
        <w:t>6</w:t>
      </w:r>
      <w:r>
        <w:t xml:space="preserve"> years.</w:t>
      </w:r>
      <w:r w:rsidR="00EF7F71">
        <w:t xml:space="preserve"> </w:t>
      </w:r>
      <w:r w:rsidR="00D01E2F">
        <w:t>R</w:t>
      </w:r>
      <w:r w:rsidR="00177A27">
        <w:t xml:space="preserve">eductions in deaths due to malaria throughout sub-Saharan Africa led to an increase in life expectancy of </w:t>
      </w:r>
      <w:r w:rsidR="7128DC02" w:rsidRPr="00D41549">
        <w:t>0</w:t>
      </w:r>
      <w:r w:rsidR="29625BE8">
        <w:t>.8</w:t>
      </w:r>
      <w:r w:rsidR="00177A27">
        <w:t xml:space="preserve"> year</w:t>
      </w:r>
      <w:r w:rsidR="00D14991">
        <w:t>s for the</w:t>
      </w:r>
      <w:r w:rsidR="0018272A">
        <w:t xml:space="preserve"> sup</w:t>
      </w:r>
      <w:r w:rsidR="00F0742B">
        <w:t>er-region.</w:t>
      </w:r>
    </w:p>
    <w:p w14:paraId="78094A33" w14:textId="566A9582" w:rsidR="00EB46B5" w:rsidRPr="00040BAD" w:rsidRDefault="00EB46B5" w:rsidP="00EB46B5">
      <w:pPr>
        <w:spacing w:line="360" w:lineRule="auto"/>
        <w:rPr>
          <w:color w:val="000000" w:themeColor="text1"/>
        </w:rPr>
      </w:pPr>
      <w:r>
        <w:t>The differential impact of COVID-19 on reduced life expectancy can be observed across regions (</w:t>
      </w:r>
      <w:r w:rsidR="00443244" w:rsidRPr="003E3FDF">
        <w:t>f</w:t>
      </w:r>
      <w:r w:rsidRPr="003E3FDF">
        <w:t xml:space="preserve">igure </w:t>
      </w:r>
      <w:r w:rsidR="00F858B4" w:rsidRPr="003E3FDF">
        <w:t>6</w:t>
      </w:r>
      <w:r>
        <w:t xml:space="preserve">). Although most regions experienced overall improvements in life expectancy between 1990 </w:t>
      </w:r>
      <w:r w:rsidR="005931E6">
        <w:t xml:space="preserve">and </w:t>
      </w:r>
      <w:r>
        <w:t xml:space="preserve">2021, a </w:t>
      </w:r>
      <w:r w:rsidRPr="006A681A">
        <w:t>reduction</w:t>
      </w:r>
      <w:r>
        <w:t xml:space="preserve"> occurred in southern sub-Saharan Africa, which faced the </w:t>
      </w:r>
      <w:r w:rsidRPr="006A681A">
        <w:t>greatest</w:t>
      </w:r>
      <w:r>
        <w:t xml:space="preserve"> impact of HIV and was </w:t>
      </w:r>
      <w:r w:rsidR="00C67F14">
        <w:t>also heavily</w:t>
      </w:r>
      <w:r>
        <w:t xml:space="preserve"> impacted by COVID-19. The overall </w:t>
      </w:r>
      <w:r w:rsidR="00263927">
        <w:t>decrease</w:t>
      </w:r>
      <w:r>
        <w:t xml:space="preserve"> </w:t>
      </w:r>
      <w:r w:rsidR="00D92B0D">
        <w:t xml:space="preserve">in life expectancy </w:t>
      </w:r>
      <w:r>
        <w:t xml:space="preserve">of </w:t>
      </w:r>
      <w:r w:rsidR="5DA9AF2A">
        <w:t>4.</w:t>
      </w:r>
      <w:r w:rsidR="6ADC1F99">
        <w:t>3</w:t>
      </w:r>
      <w:r>
        <w:t xml:space="preserve"> years </w:t>
      </w:r>
      <w:r w:rsidR="003660B8" w:rsidRPr="79F47CFA">
        <w:rPr>
          <w:rFonts w:eastAsia="Times New Roman" w:cs="Times New Roman"/>
        </w:rPr>
        <w:t xml:space="preserve">(95% UI </w:t>
      </w:r>
      <w:r w:rsidR="7CFF5837" w:rsidRPr="79F47CFA">
        <w:rPr>
          <w:rFonts w:eastAsia="Times New Roman" w:cs="Times New Roman"/>
        </w:rPr>
        <w:t>3.0</w:t>
      </w:r>
      <w:r w:rsidR="003660B8" w:rsidRPr="79F47CFA">
        <w:rPr>
          <w:rFonts w:eastAsia="Times New Roman" w:cs="Times New Roman"/>
        </w:rPr>
        <w:t>–</w:t>
      </w:r>
      <w:r w:rsidR="7FCCBF3D" w:rsidRPr="79F47CFA">
        <w:rPr>
          <w:rFonts w:eastAsia="Times New Roman" w:cs="Times New Roman"/>
        </w:rPr>
        <w:t>5.</w:t>
      </w:r>
      <w:r w:rsidR="29C7B54F" w:rsidRPr="79F47CFA">
        <w:rPr>
          <w:rFonts w:eastAsia="Times New Roman" w:cs="Times New Roman"/>
        </w:rPr>
        <w:t>8</w:t>
      </w:r>
      <w:r w:rsidR="003660B8" w:rsidRPr="79F47CFA">
        <w:rPr>
          <w:rFonts w:eastAsia="Times New Roman" w:cs="Times New Roman"/>
        </w:rPr>
        <w:t xml:space="preserve">) </w:t>
      </w:r>
      <w:r>
        <w:t xml:space="preserve">included a </w:t>
      </w:r>
      <w:r w:rsidRPr="79F47CFA">
        <w:rPr>
          <w:color w:val="000000" w:themeColor="text1"/>
        </w:rPr>
        <w:t xml:space="preserve">reduction of </w:t>
      </w:r>
      <w:r w:rsidR="34B2D686" w:rsidRPr="79F47CFA">
        <w:rPr>
          <w:color w:val="000000" w:themeColor="text1"/>
        </w:rPr>
        <w:t>2.</w:t>
      </w:r>
      <w:r w:rsidR="15829E3C" w:rsidRPr="79F47CFA">
        <w:rPr>
          <w:color w:val="000000" w:themeColor="text1"/>
        </w:rPr>
        <w:t>4</w:t>
      </w:r>
      <w:r w:rsidRPr="79F47CFA">
        <w:rPr>
          <w:color w:val="000000" w:themeColor="text1"/>
        </w:rPr>
        <w:t xml:space="preserve"> years due to HIV and </w:t>
      </w:r>
      <w:r w:rsidRPr="006A681A">
        <w:rPr>
          <w:color w:val="000000" w:themeColor="text1"/>
        </w:rPr>
        <w:t>3.4</w:t>
      </w:r>
      <w:r w:rsidRPr="79F47CFA">
        <w:rPr>
          <w:color w:val="000000" w:themeColor="text1"/>
        </w:rPr>
        <w:t xml:space="preserve"> </w:t>
      </w:r>
      <w:r w:rsidR="007459CC" w:rsidRPr="79F47CFA">
        <w:rPr>
          <w:color w:val="000000" w:themeColor="text1"/>
        </w:rPr>
        <w:t>years due</w:t>
      </w:r>
      <w:r w:rsidRPr="79F47CFA">
        <w:rPr>
          <w:color w:val="000000" w:themeColor="text1"/>
        </w:rPr>
        <w:t xml:space="preserve"> to COVID-19</w:t>
      </w:r>
      <w:r w:rsidR="009B3AA7">
        <w:rPr>
          <w:color w:val="000000" w:themeColor="text1"/>
        </w:rPr>
        <w:t xml:space="preserve">, which were </w:t>
      </w:r>
      <w:r w:rsidR="009A0577">
        <w:rPr>
          <w:color w:val="000000" w:themeColor="text1"/>
        </w:rPr>
        <w:t xml:space="preserve">only </w:t>
      </w:r>
      <w:r w:rsidR="009B3AA7">
        <w:rPr>
          <w:color w:val="000000" w:themeColor="text1"/>
        </w:rPr>
        <w:t xml:space="preserve">partially offset </w:t>
      </w:r>
      <w:r w:rsidR="009A0577">
        <w:rPr>
          <w:color w:val="000000" w:themeColor="text1"/>
        </w:rPr>
        <w:t>by declines in mortality due to other causes</w:t>
      </w:r>
      <w:r w:rsidRPr="79F47CFA">
        <w:rPr>
          <w:color w:val="000000" w:themeColor="text1"/>
        </w:rPr>
        <w:t xml:space="preserve">. </w:t>
      </w:r>
      <w:r>
        <w:t xml:space="preserve">Notably, COVID-19 reduced life expectancy in Andean Latin America by </w:t>
      </w:r>
      <w:r w:rsidRPr="006A681A">
        <w:t>4.9</w:t>
      </w:r>
      <w:r>
        <w:t xml:space="preserve"> years, although the region sustained an overall </w:t>
      </w:r>
      <w:r w:rsidR="00640B22">
        <w:t>gain</w:t>
      </w:r>
      <w:r>
        <w:t xml:space="preserve"> of </w:t>
      </w:r>
      <w:r w:rsidR="546A5627">
        <w:t>2.</w:t>
      </w:r>
      <w:r w:rsidR="3E3F65BF">
        <w:t>6</w:t>
      </w:r>
      <w:r>
        <w:t xml:space="preserve"> years</w:t>
      </w:r>
      <w:r w:rsidR="003660B8">
        <w:t xml:space="preserve"> </w:t>
      </w:r>
      <w:r w:rsidR="003660B8" w:rsidRPr="79F47CFA">
        <w:rPr>
          <w:rFonts w:eastAsia="Times New Roman" w:cs="Times New Roman"/>
        </w:rPr>
        <w:t>(</w:t>
      </w:r>
      <w:r w:rsidR="30D890EF" w:rsidRPr="79F47CFA">
        <w:rPr>
          <w:rFonts w:eastAsia="Times New Roman" w:cs="Times New Roman"/>
        </w:rPr>
        <w:t>1.</w:t>
      </w:r>
      <w:r w:rsidR="04EA6EB5" w:rsidRPr="79F47CFA">
        <w:rPr>
          <w:rFonts w:eastAsia="Times New Roman" w:cs="Times New Roman"/>
        </w:rPr>
        <w:t>0</w:t>
      </w:r>
      <w:r w:rsidR="29402DA4" w:rsidRPr="79F47CFA">
        <w:rPr>
          <w:rFonts w:eastAsia="Times New Roman" w:cs="Times New Roman"/>
        </w:rPr>
        <w:t>–</w:t>
      </w:r>
      <w:r w:rsidR="04B8DCF1" w:rsidRPr="79F47CFA">
        <w:rPr>
          <w:rFonts w:eastAsia="Times New Roman" w:cs="Times New Roman"/>
        </w:rPr>
        <w:t>4.</w:t>
      </w:r>
      <w:r w:rsidR="0090CF6D" w:rsidRPr="79F47CFA">
        <w:rPr>
          <w:rFonts w:eastAsia="Times New Roman" w:cs="Times New Roman"/>
        </w:rPr>
        <w:t>1</w:t>
      </w:r>
      <w:r w:rsidR="003660B8" w:rsidRPr="076FE360">
        <w:rPr>
          <w:rFonts w:eastAsia="Times New Roman" w:cs="Times New Roman"/>
        </w:rPr>
        <w:t>)</w:t>
      </w:r>
      <w:r w:rsidR="46B1866C" w:rsidRPr="076FE360">
        <w:rPr>
          <w:rFonts w:eastAsia="Times New Roman" w:cs="Times New Roman"/>
        </w:rPr>
        <w:t xml:space="preserve"> </w:t>
      </w:r>
      <w:r w:rsidR="46B1866C" w:rsidRPr="067C533E">
        <w:rPr>
          <w:rFonts w:eastAsia="Times New Roman" w:cs="Times New Roman"/>
        </w:rPr>
        <w:t>between 1990</w:t>
      </w:r>
      <w:r w:rsidR="66BD9F64" w:rsidRPr="64F22111">
        <w:rPr>
          <w:rFonts w:eastAsia="Times New Roman" w:cs="Times New Roman"/>
        </w:rPr>
        <w:t xml:space="preserve"> </w:t>
      </w:r>
      <w:r w:rsidR="66BD9F64" w:rsidRPr="42BCF02A">
        <w:rPr>
          <w:rFonts w:eastAsia="Times New Roman" w:cs="Times New Roman"/>
        </w:rPr>
        <w:t xml:space="preserve">and </w:t>
      </w:r>
      <w:r w:rsidR="46B1866C" w:rsidRPr="42BCF02A">
        <w:rPr>
          <w:rFonts w:eastAsia="Times New Roman" w:cs="Times New Roman"/>
        </w:rPr>
        <w:t>2021</w:t>
      </w:r>
      <w:r>
        <w:t xml:space="preserve">. The impact of COVID-19 in eastern sub-Saharan Africa, which resulted in a decline of </w:t>
      </w:r>
      <w:r w:rsidRPr="006A681A">
        <w:t>2.7</w:t>
      </w:r>
      <w:r>
        <w:t xml:space="preserve"> years, was offset by steady improvements across many different causes</w:t>
      </w:r>
      <w:r w:rsidR="00A60BF7">
        <w:t>,</w:t>
      </w:r>
      <w:r>
        <w:t xml:space="preserve"> which resulted in </w:t>
      </w:r>
      <w:r>
        <w:lastRenderedPageBreak/>
        <w:t xml:space="preserve">the highest overall increase in life expectancy among </w:t>
      </w:r>
      <w:r w:rsidR="007A5586">
        <w:t xml:space="preserve">GBD </w:t>
      </w:r>
      <w:r>
        <w:t xml:space="preserve">regions: </w:t>
      </w:r>
      <w:r w:rsidR="54D7B80C">
        <w:t>10.7</w:t>
      </w:r>
      <w:r w:rsidR="008F796D">
        <w:t xml:space="preserve"> </w:t>
      </w:r>
      <w:r>
        <w:t>years</w:t>
      </w:r>
      <w:r w:rsidR="003660B8">
        <w:t xml:space="preserve"> </w:t>
      </w:r>
      <w:r w:rsidR="003660B8" w:rsidRPr="79F47CFA">
        <w:rPr>
          <w:rFonts w:eastAsia="Times New Roman" w:cs="Times New Roman"/>
        </w:rPr>
        <w:t>(</w:t>
      </w:r>
      <w:r w:rsidR="25FDC59E" w:rsidRPr="79F47CFA">
        <w:rPr>
          <w:rFonts w:eastAsia="Times New Roman" w:cs="Times New Roman"/>
        </w:rPr>
        <w:t>9.</w:t>
      </w:r>
      <w:r w:rsidR="395CD533" w:rsidRPr="79F47CFA">
        <w:rPr>
          <w:rFonts w:eastAsia="Times New Roman" w:cs="Times New Roman"/>
        </w:rPr>
        <w:t>0</w:t>
      </w:r>
      <w:r w:rsidR="003660B8" w:rsidRPr="79F47CFA">
        <w:rPr>
          <w:rFonts w:eastAsia="Times New Roman" w:cs="Times New Roman"/>
        </w:rPr>
        <w:t>–</w:t>
      </w:r>
      <w:r w:rsidR="25B8CEAF" w:rsidRPr="79F47CFA">
        <w:rPr>
          <w:rFonts w:eastAsia="Times New Roman" w:cs="Times New Roman"/>
        </w:rPr>
        <w:t>12.</w:t>
      </w:r>
      <w:r w:rsidR="75FBD40F" w:rsidRPr="79F47CFA">
        <w:rPr>
          <w:rFonts w:eastAsia="Times New Roman" w:cs="Times New Roman"/>
        </w:rPr>
        <w:t>2</w:t>
      </w:r>
      <w:r w:rsidR="003660B8" w:rsidRPr="79F47CFA">
        <w:rPr>
          <w:rFonts w:eastAsia="Times New Roman" w:cs="Times New Roman"/>
        </w:rPr>
        <w:t>)</w:t>
      </w:r>
      <w:r>
        <w:t xml:space="preserve">. Control of enteric infections in this region contributed to an increase of </w:t>
      </w:r>
      <w:r w:rsidR="24E3276B">
        <w:t>1.</w:t>
      </w:r>
      <w:r w:rsidR="777BFDEA">
        <w:t>9</w:t>
      </w:r>
      <w:r>
        <w:t xml:space="preserve"> years, along with reductions in lower respiratory infections</w:t>
      </w:r>
      <w:r w:rsidR="031AA478">
        <w:t xml:space="preserve"> and</w:t>
      </w:r>
      <w:r>
        <w:t xml:space="preserve"> </w:t>
      </w:r>
      <w:r w:rsidR="001C5CC0">
        <w:t>tuberculosis, each</w:t>
      </w:r>
      <w:r>
        <w:t xml:space="preserve"> of which contributed to an additional 1.</w:t>
      </w:r>
      <w:r w:rsidR="38CD1D53">
        <w:t>6</w:t>
      </w:r>
      <w:r>
        <w:t xml:space="preserve"> years.</w:t>
      </w:r>
      <w:r w:rsidRPr="79F47CFA">
        <w:rPr>
          <w:color w:val="000000" w:themeColor="text1"/>
        </w:rPr>
        <w:t xml:space="preserve"> Each region in sub-Saharan Africa experienced reductions in enteric infections</w:t>
      </w:r>
      <w:r w:rsidR="00A60BF7">
        <w:rPr>
          <w:color w:val="000000" w:themeColor="text1"/>
        </w:rPr>
        <w:t>,</w:t>
      </w:r>
      <w:r w:rsidRPr="79F47CFA">
        <w:rPr>
          <w:color w:val="000000" w:themeColor="text1"/>
        </w:rPr>
        <w:t xml:space="preserve"> which improved life expectancy in those regions between 0.</w:t>
      </w:r>
      <w:r w:rsidR="046B823B" w:rsidRPr="79F47CFA">
        <w:rPr>
          <w:color w:val="000000" w:themeColor="text1"/>
        </w:rPr>
        <w:t>8</w:t>
      </w:r>
      <w:r w:rsidR="00A60BF7">
        <w:t xml:space="preserve"> and </w:t>
      </w:r>
      <w:r>
        <w:t>2.</w:t>
      </w:r>
      <w:r w:rsidR="33530AB3">
        <w:t>4</w:t>
      </w:r>
      <w:r>
        <w:t xml:space="preserve"> years.</w:t>
      </w:r>
    </w:p>
    <w:p w14:paraId="17706DDB" w14:textId="6FDE9EED" w:rsidR="00EB46B5" w:rsidRDefault="00EB46B5" w:rsidP="00EB46B5">
      <w:pPr>
        <w:spacing w:line="360" w:lineRule="auto"/>
        <w:rPr>
          <w:color w:val="000000" w:themeColor="text1"/>
        </w:rPr>
      </w:pPr>
      <w:r w:rsidRPr="79F47CFA">
        <w:rPr>
          <w:color w:val="000000" w:themeColor="text1"/>
        </w:rPr>
        <w:t>HIV/AIDS had a substantial negative impact on life expectancy trends in southern sub-Saharan Africa from 1990</w:t>
      </w:r>
      <w:r>
        <w:t xml:space="preserve"> to </w:t>
      </w:r>
      <w:r w:rsidRPr="79F47CFA">
        <w:rPr>
          <w:color w:val="000000" w:themeColor="text1"/>
        </w:rPr>
        <w:t>2021 (</w:t>
      </w:r>
      <w:r w:rsidR="00443244" w:rsidRPr="00B36566">
        <w:rPr>
          <w:color w:val="000000" w:themeColor="text1"/>
        </w:rPr>
        <w:t>a</w:t>
      </w:r>
      <w:r w:rsidR="00C05174" w:rsidRPr="00B36566">
        <w:rPr>
          <w:color w:val="000000" w:themeColor="text1"/>
        </w:rPr>
        <w:t xml:space="preserve">ppendix 2 </w:t>
      </w:r>
      <w:r w:rsidR="00443244" w:rsidRPr="00B36566">
        <w:rPr>
          <w:color w:val="000000" w:themeColor="text1"/>
        </w:rPr>
        <w:t>f</w:t>
      </w:r>
      <w:r w:rsidR="00C05174" w:rsidRPr="00B36566">
        <w:rPr>
          <w:color w:val="000000" w:themeColor="text1"/>
        </w:rPr>
        <w:t>igure S27</w:t>
      </w:r>
      <w:r w:rsidRPr="00B36566">
        <w:rPr>
          <w:color w:val="000000" w:themeColor="text1"/>
        </w:rPr>
        <w:t>).</w:t>
      </w:r>
      <w:r w:rsidRPr="79F47CFA">
        <w:rPr>
          <w:color w:val="000000" w:themeColor="text1"/>
        </w:rPr>
        <w:t xml:space="preserve"> Despite improvements in each of the time periods </w:t>
      </w:r>
      <w:r w:rsidRPr="006A681A">
        <w:rPr>
          <w:color w:val="000000" w:themeColor="text1"/>
        </w:rPr>
        <w:t>2000</w:t>
      </w:r>
      <w:r w:rsidRPr="006A681A">
        <w:t>–2010, 2010–2019, and 2019–2021</w:t>
      </w:r>
      <w:r>
        <w:t xml:space="preserve">, this region has been unable to recover the </w:t>
      </w:r>
      <w:r w:rsidR="5EBEECBF">
        <w:t>9.0</w:t>
      </w:r>
      <w:r>
        <w:t xml:space="preserve"> years lost during the years</w:t>
      </w:r>
      <w:r w:rsidR="008C0E31">
        <w:t xml:space="preserve"> from</w:t>
      </w:r>
      <w:r>
        <w:t xml:space="preserve"> </w:t>
      </w:r>
      <w:r w:rsidRPr="006A681A">
        <w:t>1990 to 2000</w:t>
      </w:r>
      <w:r>
        <w:t>.</w:t>
      </w:r>
      <w:r w:rsidRPr="79F47CFA">
        <w:rPr>
          <w:color w:val="000000" w:themeColor="text1"/>
        </w:rPr>
        <w:t xml:space="preserve"> Although </w:t>
      </w:r>
      <w:r w:rsidR="00E524FF">
        <w:rPr>
          <w:color w:val="000000" w:themeColor="text1"/>
        </w:rPr>
        <w:t xml:space="preserve">there was a net decline in </w:t>
      </w:r>
      <w:r w:rsidRPr="79F47CFA">
        <w:rPr>
          <w:color w:val="000000" w:themeColor="text1"/>
        </w:rPr>
        <w:t>deaths due to HIV/AIDS between 2000</w:t>
      </w:r>
      <w:r>
        <w:t xml:space="preserve"> and 2019, improvements slowed </w:t>
      </w:r>
      <w:bookmarkStart w:id="4" w:name="_Int_55tXTQnz"/>
      <w:r>
        <w:t>substantially from</w:t>
      </w:r>
      <w:bookmarkEnd w:id="4"/>
      <w:r>
        <w:t xml:space="preserve"> 2019 to 2021, when only </w:t>
      </w:r>
      <w:r w:rsidR="171A725D">
        <w:t>0.2</w:t>
      </w:r>
      <w:r>
        <w:t xml:space="preserve"> years</w:t>
      </w:r>
      <w:r w:rsidR="0026301B" w:rsidRPr="79F47CFA">
        <w:rPr>
          <w:rFonts w:eastAsia="Times New Roman" w:cs="Times New Roman"/>
        </w:rPr>
        <w:t xml:space="preserve"> </w:t>
      </w:r>
      <w:r>
        <w:t xml:space="preserve">in life expectancy were gained </w:t>
      </w:r>
      <w:proofErr w:type="gramStart"/>
      <w:r>
        <w:t xml:space="preserve">as a result </w:t>
      </w:r>
      <w:r w:rsidR="00120F29" w:rsidRPr="00B36566">
        <w:t>of</w:t>
      </w:r>
      <w:proofErr w:type="gramEnd"/>
      <w:r w:rsidR="00120F29" w:rsidRPr="00B36566">
        <w:t xml:space="preserve"> </w:t>
      </w:r>
      <w:r w:rsidR="00D507A2" w:rsidRPr="00B36566">
        <w:t>reduced</w:t>
      </w:r>
      <w:r w:rsidR="00120F29">
        <w:t xml:space="preserve"> </w:t>
      </w:r>
      <w:r>
        <w:t xml:space="preserve">HIV/AIDS </w:t>
      </w:r>
      <w:r w:rsidR="00D507A2" w:rsidRPr="00B36566">
        <w:t>mortality</w:t>
      </w:r>
      <w:r w:rsidRPr="00B36566">
        <w:t>.</w:t>
      </w:r>
      <w:r>
        <w:t xml:space="preserve"> Conversely,</w:t>
      </w:r>
      <w:r w:rsidRPr="79F47CFA">
        <w:rPr>
          <w:color w:val="000000" w:themeColor="text1"/>
        </w:rPr>
        <w:t xml:space="preserve"> eastern sub-Saharan Africa demonstrated the highest level of recovery </w:t>
      </w:r>
      <w:r w:rsidR="00992BEA">
        <w:rPr>
          <w:color w:val="000000" w:themeColor="text1"/>
        </w:rPr>
        <w:t>to their life expectancy</w:t>
      </w:r>
      <w:r w:rsidRPr="79F47CFA">
        <w:rPr>
          <w:color w:val="000000" w:themeColor="text1"/>
        </w:rPr>
        <w:t xml:space="preserve"> among the regions, gaining </w:t>
      </w:r>
      <w:r w:rsidRPr="006A681A">
        <w:rPr>
          <w:color w:val="000000" w:themeColor="text1"/>
        </w:rPr>
        <w:t>1.5</w:t>
      </w:r>
      <w:r w:rsidRPr="79F47CFA">
        <w:rPr>
          <w:color w:val="000000" w:themeColor="text1"/>
        </w:rPr>
        <w:t xml:space="preserve"> years of life expectancy</w:t>
      </w:r>
      <w:r w:rsidR="4D011EF2" w:rsidRPr="2A5BC196">
        <w:rPr>
          <w:color w:val="000000" w:themeColor="text1"/>
        </w:rPr>
        <w:t xml:space="preserve"> </w:t>
      </w:r>
      <w:r w:rsidR="3B04F1FB" w:rsidRPr="2A5BC196">
        <w:rPr>
          <w:color w:val="000000" w:themeColor="text1"/>
        </w:rPr>
        <w:t>over</w:t>
      </w:r>
      <w:r w:rsidR="4D011EF2" w:rsidRPr="2A5BC196">
        <w:rPr>
          <w:color w:val="000000" w:themeColor="text1"/>
        </w:rPr>
        <w:t xml:space="preserve"> the entire study period</w:t>
      </w:r>
      <w:r w:rsidRPr="2A5BC196">
        <w:rPr>
          <w:color w:val="000000" w:themeColor="text1"/>
        </w:rPr>
        <w:t>.</w:t>
      </w:r>
    </w:p>
    <w:p w14:paraId="79DCF0DE" w14:textId="452F3B73" w:rsidR="00EB46B5" w:rsidRPr="00680053" w:rsidRDefault="00EB46B5" w:rsidP="006A681A">
      <w:pPr>
        <w:spacing w:line="360" w:lineRule="auto"/>
      </w:pPr>
      <w:r>
        <w:t xml:space="preserve">In 1990, malaria-related deaths had a </w:t>
      </w:r>
      <w:r w:rsidR="00621ED9">
        <w:t>minimal</w:t>
      </w:r>
      <w:r>
        <w:t xml:space="preserve"> impact on life expectancy i</w:t>
      </w:r>
      <w:r w:rsidRPr="006A681A">
        <w:rPr>
          <w:rFonts w:eastAsiaTheme="minorEastAsia"/>
        </w:rPr>
        <w:t xml:space="preserve">n eight </w:t>
      </w:r>
      <w:r>
        <w:t>out of t</w:t>
      </w:r>
      <w:r w:rsidRPr="006A681A">
        <w:rPr>
          <w:rFonts w:eastAsiaTheme="minorEastAsia"/>
        </w:rPr>
        <w:t>he 21 GBD</w:t>
      </w:r>
      <w:r>
        <w:t xml:space="preserve"> regions (</w:t>
      </w:r>
      <w:r w:rsidR="00443244" w:rsidRPr="003E3FDF">
        <w:t>a</w:t>
      </w:r>
      <w:r w:rsidR="00555A1C" w:rsidRPr="003E3FDF">
        <w:t xml:space="preserve">ppendix 2 </w:t>
      </w:r>
      <w:r w:rsidR="00443244" w:rsidRPr="003E3FDF">
        <w:t>f</w:t>
      </w:r>
      <w:r w:rsidR="00555A1C" w:rsidRPr="003E3FDF">
        <w:t>igure S13</w:t>
      </w:r>
      <w:r w:rsidRPr="003E3FDF">
        <w:t>).</w:t>
      </w:r>
      <w:r>
        <w:t xml:space="preserve"> By 2021, however, </w:t>
      </w:r>
      <w:r w:rsidRPr="006A681A">
        <w:rPr>
          <w:rFonts w:eastAsiaTheme="minorEastAsia"/>
        </w:rPr>
        <w:t>90%</w:t>
      </w:r>
      <w:r>
        <w:t xml:space="preserve"> of malaria deaths across all age groups occurred in</w:t>
      </w:r>
      <w:r w:rsidR="28D9AE96">
        <w:t xml:space="preserve"> location</w:t>
      </w:r>
      <w:r w:rsidR="52752BDC">
        <w:t>s</w:t>
      </w:r>
      <w:r>
        <w:t xml:space="preserve"> with only </w:t>
      </w:r>
      <w:r w:rsidRPr="006A681A">
        <w:t>12%</w:t>
      </w:r>
      <w:r>
        <w:t xml:space="preserve"> of the </w:t>
      </w:r>
      <w:r w:rsidR="00881F68">
        <w:t xml:space="preserve">global </w:t>
      </w:r>
      <w:r>
        <w:t xml:space="preserve">population. Over the years, efforts to control malaria in various regions of sub-Saharan Africa have yielded modest gains in life expectancy. Central sub-Saharan Africa gained </w:t>
      </w:r>
      <w:r w:rsidRPr="006A681A">
        <w:t>0.7</w:t>
      </w:r>
      <w:r>
        <w:t xml:space="preserve"> </w:t>
      </w:r>
      <w:r w:rsidR="001A525B">
        <w:t xml:space="preserve">years </w:t>
      </w:r>
      <w:r w:rsidR="001A525B" w:rsidRPr="7071A0E8">
        <w:rPr>
          <w:rFonts w:eastAsia="Times New Roman" w:cs="Times New Roman"/>
        </w:rPr>
        <w:t>between</w:t>
      </w:r>
      <w:r>
        <w:t xml:space="preserve"> 2000 and 2010, western sub-Saharan Africa saw an increase of </w:t>
      </w:r>
      <w:r w:rsidRPr="006A681A">
        <w:t>0.9</w:t>
      </w:r>
      <w:r>
        <w:t xml:space="preserve"> </w:t>
      </w:r>
      <w:r w:rsidR="00FD7B82">
        <w:t xml:space="preserve">years </w:t>
      </w:r>
      <w:r w:rsidR="00FD7B82" w:rsidRPr="7071A0E8">
        <w:rPr>
          <w:rFonts w:eastAsia="Times New Roman" w:cs="Times New Roman"/>
        </w:rPr>
        <w:t>during</w:t>
      </w:r>
      <w:r>
        <w:t xml:space="preserve"> 2010</w:t>
      </w:r>
      <w:r w:rsidR="00120F29">
        <w:t>–</w:t>
      </w:r>
      <w:r>
        <w:t xml:space="preserve">2019, and eastern sub-Saharan Africa gained </w:t>
      </w:r>
      <w:r w:rsidR="23303093">
        <w:t>0.7</w:t>
      </w:r>
      <w:r>
        <w:t xml:space="preserve"> years in the period of 2000</w:t>
      </w:r>
      <w:r w:rsidR="00723283">
        <w:t>–</w:t>
      </w:r>
      <w:r>
        <w:t xml:space="preserve">2010. Despite these advancements, it is evident that many regions with malaria transmission experienced a decline in life expectancy from </w:t>
      </w:r>
      <w:r w:rsidRPr="006A681A">
        <w:t>2019 to 2021</w:t>
      </w:r>
      <w:r>
        <w:t xml:space="preserve">. The most noticeable reductions were observed in eastern sub-Saharan Africa, with a decrease of </w:t>
      </w:r>
      <w:r w:rsidRPr="006A681A">
        <w:t>0.2</w:t>
      </w:r>
      <w:r>
        <w:t xml:space="preserve"> years, followed by western sub-Saharan Africa, which lost </w:t>
      </w:r>
      <w:r w:rsidR="452F6519">
        <w:t>0.1</w:t>
      </w:r>
      <w:r>
        <w:t xml:space="preserve"> years</w:t>
      </w:r>
      <w:r w:rsidR="00821C8E" w:rsidRPr="7071A0E8">
        <w:rPr>
          <w:rFonts w:eastAsia="Times New Roman" w:cs="Times New Roman"/>
        </w:rPr>
        <w:t xml:space="preserve"> </w:t>
      </w:r>
      <w:r>
        <w:t>over the same period.</w:t>
      </w:r>
    </w:p>
    <w:p w14:paraId="224B5E27" w14:textId="1428E88D" w:rsidR="00EB46B5" w:rsidRPr="00673438" w:rsidRDefault="004057F1" w:rsidP="7904EA52">
      <w:pPr>
        <w:spacing w:line="360" w:lineRule="auto"/>
        <w:rPr>
          <w:color w:val="000000" w:themeColor="text1"/>
        </w:rPr>
      </w:pPr>
      <w:r>
        <w:rPr>
          <w:color w:val="000000" w:themeColor="text1"/>
        </w:rPr>
        <w:t>At the national level, s</w:t>
      </w:r>
      <w:r w:rsidR="006D7430">
        <w:rPr>
          <w:color w:val="000000" w:themeColor="text1"/>
        </w:rPr>
        <w:t xml:space="preserve">ome of the </w:t>
      </w:r>
      <w:r w:rsidR="0BC4DA08" w:rsidRPr="7071A0E8">
        <w:rPr>
          <w:color w:val="000000" w:themeColor="text1"/>
        </w:rPr>
        <w:t>highest gains in</w:t>
      </w:r>
      <w:r w:rsidR="00CE34FC">
        <w:rPr>
          <w:color w:val="000000" w:themeColor="text1"/>
        </w:rPr>
        <w:t xml:space="preserve"> </w:t>
      </w:r>
      <w:r w:rsidR="0BC4DA08" w:rsidRPr="7071A0E8">
        <w:rPr>
          <w:color w:val="000000" w:themeColor="text1"/>
        </w:rPr>
        <w:t>life expectancy betwe</w:t>
      </w:r>
      <w:r w:rsidR="593EEB57" w:rsidRPr="7071A0E8">
        <w:rPr>
          <w:color w:val="000000" w:themeColor="text1"/>
        </w:rPr>
        <w:t>en 1990</w:t>
      </w:r>
      <w:r w:rsidR="593EEB57">
        <w:t xml:space="preserve"> and </w:t>
      </w:r>
      <w:r w:rsidR="593EEB57" w:rsidRPr="7071A0E8">
        <w:rPr>
          <w:color w:val="000000" w:themeColor="text1"/>
        </w:rPr>
        <w:t xml:space="preserve">2021 </w:t>
      </w:r>
      <w:r w:rsidR="00381268">
        <w:rPr>
          <w:color w:val="000000" w:themeColor="text1"/>
        </w:rPr>
        <w:t>occurred</w:t>
      </w:r>
      <w:r w:rsidR="593EEB57" w:rsidRPr="7071A0E8">
        <w:rPr>
          <w:color w:val="000000" w:themeColor="text1"/>
        </w:rPr>
        <w:t xml:space="preserve"> in the eastern region of </w:t>
      </w:r>
      <w:r w:rsidR="593EEB57" w:rsidRPr="006A681A">
        <w:rPr>
          <w:color w:val="000000" w:themeColor="text1"/>
        </w:rPr>
        <w:t>sub-Saharan Africa</w:t>
      </w:r>
      <w:r w:rsidR="593EEB57" w:rsidRPr="7071A0E8">
        <w:rPr>
          <w:color w:val="000000" w:themeColor="text1"/>
        </w:rPr>
        <w:t xml:space="preserve"> (</w:t>
      </w:r>
      <w:r w:rsidR="00443244" w:rsidRPr="003E3FDF">
        <w:rPr>
          <w:color w:val="000000" w:themeColor="text1"/>
        </w:rPr>
        <w:t>a</w:t>
      </w:r>
      <w:r w:rsidR="00C05850" w:rsidRPr="003E3FDF">
        <w:rPr>
          <w:color w:val="000000" w:themeColor="text1"/>
        </w:rPr>
        <w:t xml:space="preserve">ppendix 2 </w:t>
      </w:r>
      <w:r w:rsidR="593EEB57" w:rsidRPr="7071A0E8">
        <w:rPr>
          <w:color w:val="000000" w:themeColor="text1"/>
        </w:rPr>
        <w:t xml:space="preserve">figure </w:t>
      </w:r>
      <w:r w:rsidR="00C05850" w:rsidRPr="003E3FDF">
        <w:rPr>
          <w:color w:val="000000" w:themeColor="text1"/>
        </w:rPr>
        <w:t>S12</w:t>
      </w:r>
      <w:r w:rsidR="593EEB57" w:rsidRPr="7071A0E8">
        <w:rPr>
          <w:color w:val="000000" w:themeColor="text1"/>
        </w:rPr>
        <w:t xml:space="preserve">). Life expectancy in Ethiopia increased </w:t>
      </w:r>
      <w:r w:rsidR="2BFB7FA9" w:rsidRPr="7071A0E8">
        <w:rPr>
          <w:color w:val="000000" w:themeColor="text1"/>
        </w:rPr>
        <w:t>18.</w:t>
      </w:r>
      <w:r w:rsidR="1A4EE435" w:rsidRPr="7071A0E8">
        <w:rPr>
          <w:color w:val="000000" w:themeColor="text1"/>
        </w:rPr>
        <w:t>2</w:t>
      </w:r>
      <w:r w:rsidR="593EEB57" w:rsidRPr="7071A0E8">
        <w:rPr>
          <w:color w:val="000000" w:themeColor="text1"/>
        </w:rPr>
        <w:t xml:space="preserve"> years</w:t>
      </w:r>
      <w:r w:rsidR="0B337157" w:rsidRPr="7071A0E8">
        <w:rPr>
          <w:color w:val="000000" w:themeColor="text1"/>
        </w:rPr>
        <w:t xml:space="preserve"> </w:t>
      </w:r>
      <w:r w:rsidR="0B337157" w:rsidRPr="7071A0E8">
        <w:rPr>
          <w:rFonts w:eastAsia="Times New Roman" w:cs="Times New Roman"/>
        </w:rPr>
        <w:t xml:space="preserve">(95% UI </w:t>
      </w:r>
      <w:r w:rsidR="3FF5DE45" w:rsidRPr="7071A0E8">
        <w:rPr>
          <w:rFonts w:eastAsia="Times New Roman" w:cs="Times New Roman"/>
        </w:rPr>
        <w:t>16.</w:t>
      </w:r>
      <w:r w:rsidR="5A55D301" w:rsidRPr="7071A0E8">
        <w:rPr>
          <w:rFonts w:eastAsia="Times New Roman" w:cs="Times New Roman"/>
        </w:rPr>
        <w:t>3</w:t>
      </w:r>
      <w:r w:rsidR="0B337157" w:rsidRPr="7071A0E8">
        <w:rPr>
          <w:rFonts w:eastAsia="Times New Roman" w:cs="Times New Roman"/>
        </w:rPr>
        <w:t>–</w:t>
      </w:r>
      <w:r w:rsidR="7BBB061D" w:rsidRPr="7071A0E8">
        <w:rPr>
          <w:rFonts w:eastAsia="Times New Roman" w:cs="Times New Roman"/>
        </w:rPr>
        <w:t>19.</w:t>
      </w:r>
      <w:r w:rsidR="693A18F5" w:rsidRPr="7071A0E8">
        <w:rPr>
          <w:rFonts w:eastAsia="Times New Roman" w:cs="Times New Roman"/>
        </w:rPr>
        <w:t>8</w:t>
      </w:r>
      <w:r w:rsidR="0B337157" w:rsidRPr="7071A0E8">
        <w:rPr>
          <w:rFonts w:eastAsia="Times New Roman" w:cs="Times New Roman"/>
        </w:rPr>
        <w:t>)</w:t>
      </w:r>
      <w:r w:rsidR="7E51EDE3" w:rsidRPr="7071A0E8">
        <w:rPr>
          <w:color w:val="000000" w:themeColor="text1"/>
        </w:rPr>
        <w:t xml:space="preserve"> </w:t>
      </w:r>
      <w:proofErr w:type="gramStart"/>
      <w:r w:rsidR="593EEB57" w:rsidRPr="7071A0E8">
        <w:rPr>
          <w:color w:val="000000" w:themeColor="text1"/>
        </w:rPr>
        <w:t>as a result of</w:t>
      </w:r>
      <w:proofErr w:type="gramEnd"/>
      <w:r w:rsidR="593EEB57" w:rsidRPr="7071A0E8">
        <w:rPr>
          <w:color w:val="000000" w:themeColor="text1"/>
        </w:rPr>
        <w:t xml:space="preserve"> reductions in</w:t>
      </w:r>
      <w:r w:rsidR="0FDF1642" w:rsidRPr="7071A0E8">
        <w:rPr>
          <w:color w:val="000000" w:themeColor="text1"/>
        </w:rPr>
        <w:t xml:space="preserve"> </w:t>
      </w:r>
      <w:r w:rsidR="10777B68" w:rsidRPr="2A5BC196">
        <w:rPr>
          <w:color w:val="000000" w:themeColor="text1"/>
        </w:rPr>
        <w:t xml:space="preserve">deaths from many causes, most </w:t>
      </w:r>
      <w:r w:rsidR="4D9C97E2" w:rsidRPr="3A3D2D42">
        <w:rPr>
          <w:color w:val="000000" w:themeColor="text1"/>
        </w:rPr>
        <w:t>notably</w:t>
      </w:r>
      <w:r w:rsidR="0FDF1642" w:rsidRPr="2A5BC196">
        <w:rPr>
          <w:color w:val="000000" w:themeColor="text1"/>
        </w:rPr>
        <w:t xml:space="preserve"> </w:t>
      </w:r>
      <w:r w:rsidR="0FDF1642" w:rsidRPr="7071A0E8">
        <w:rPr>
          <w:color w:val="000000" w:themeColor="text1"/>
        </w:rPr>
        <w:t xml:space="preserve">other communicable and maternal disorders, </w:t>
      </w:r>
      <w:r w:rsidR="02A87645" w:rsidRPr="7071A0E8">
        <w:rPr>
          <w:color w:val="000000" w:themeColor="text1"/>
        </w:rPr>
        <w:t xml:space="preserve">tuberculosis, and </w:t>
      </w:r>
      <w:r w:rsidR="088C4EFE" w:rsidRPr="7071A0E8">
        <w:rPr>
          <w:color w:val="000000" w:themeColor="text1"/>
        </w:rPr>
        <w:t>enteric</w:t>
      </w:r>
      <w:r w:rsidR="02A87645" w:rsidRPr="7071A0E8">
        <w:rPr>
          <w:color w:val="000000" w:themeColor="text1"/>
        </w:rPr>
        <w:t xml:space="preserve"> infectio</w:t>
      </w:r>
      <w:r w:rsidR="3DC71D01" w:rsidRPr="7071A0E8">
        <w:rPr>
          <w:color w:val="000000" w:themeColor="text1"/>
        </w:rPr>
        <w:t>us diseases</w:t>
      </w:r>
      <w:r w:rsidR="0F4C6985" w:rsidRPr="2A5BC196">
        <w:rPr>
          <w:color w:val="000000" w:themeColor="text1"/>
        </w:rPr>
        <w:t>. Reductions in these three causes alone</w:t>
      </w:r>
      <w:r w:rsidR="593EEB57" w:rsidRPr="7071A0E8">
        <w:rPr>
          <w:color w:val="000000" w:themeColor="text1"/>
        </w:rPr>
        <w:t xml:space="preserve"> increased </w:t>
      </w:r>
      <w:r w:rsidR="593EEB57" w:rsidRPr="2A5BC196">
        <w:rPr>
          <w:color w:val="000000" w:themeColor="text1"/>
        </w:rPr>
        <w:t>the</w:t>
      </w:r>
      <w:r w:rsidR="33BCE8FB" w:rsidRPr="2A5BC196">
        <w:rPr>
          <w:color w:val="000000" w:themeColor="text1"/>
        </w:rPr>
        <w:t xml:space="preserve"> country’s</w:t>
      </w:r>
      <w:r w:rsidR="593EEB57" w:rsidRPr="7071A0E8">
        <w:rPr>
          <w:color w:val="000000" w:themeColor="text1"/>
        </w:rPr>
        <w:t xml:space="preserve"> life expectancy by </w:t>
      </w:r>
      <w:r w:rsidR="13B3AB00" w:rsidRPr="7071A0E8">
        <w:rPr>
          <w:color w:val="000000" w:themeColor="text1"/>
        </w:rPr>
        <w:t>3.2</w:t>
      </w:r>
      <w:r w:rsidR="593EEB57" w:rsidRPr="7071A0E8">
        <w:rPr>
          <w:color w:val="000000" w:themeColor="text1"/>
        </w:rPr>
        <w:t xml:space="preserve"> years, 3</w:t>
      </w:r>
      <w:r w:rsidR="088A5255" w:rsidRPr="7071A0E8">
        <w:rPr>
          <w:color w:val="000000" w:themeColor="text1"/>
        </w:rPr>
        <w:t>.1</w:t>
      </w:r>
      <w:r w:rsidR="593EEB57" w:rsidRPr="7071A0E8">
        <w:rPr>
          <w:color w:val="000000" w:themeColor="text1"/>
        </w:rPr>
        <w:t xml:space="preserve"> years, and </w:t>
      </w:r>
      <w:r w:rsidR="2F9E1DB2" w:rsidRPr="7071A0E8">
        <w:rPr>
          <w:color w:val="000000" w:themeColor="text1"/>
        </w:rPr>
        <w:t>2.</w:t>
      </w:r>
      <w:r w:rsidR="26F59854" w:rsidRPr="7071A0E8">
        <w:rPr>
          <w:color w:val="000000" w:themeColor="text1"/>
        </w:rPr>
        <w:t>4</w:t>
      </w:r>
      <w:r w:rsidR="593EEB57" w:rsidRPr="7071A0E8">
        <w:rPr>
          <w:color w:val="000000" w:themeColor="text1"/>
        </w:rPr>
        <w:t xml:space="preserve"> years, respectively. The largest decline in life expectancy </w:t>
      </w:r>
      <w:r w:rsidR="009100F7">
        <w:rPr>
          <w:color w:val="000000" w:themeColor="text1"/>
        </w:rPr>
        <w:t xml:space="preserve">occurred </w:t>
      </w:r>
      <w:r w:rsidR="593EEB57" w:rsidRPr="7071A0E8">
        <w:rPr>
          <w:color w:val="000000" w:themeColor="text1"/>
        </w:rPr>
        <w:t>in</w:t>
      </w:r>
      <w:r w:rsidR="593EEB57" w:rsidRPr="7071A0E8" w:rsidDel="008E6DA0">
        <w:rPr>
          <w:color w:val="000000" w:themeColor="text1"/>
        </w:rPr>
        <w:t xml:space="preserve"> </w:t>
      </w:r>
      <w:r w:rsidR="593EEB57" w:rsidRPr="7071A0E8">
        <w:rPr>
          <w:color w:val="000000" w:themeColor="text1"/>
        </w:rPr>
        <w:t>Lesotho</w:t>
      </w:r>
      <w:r w:rsidR="528BB128" w:rsidRPr="2A5BC196">
        <w:rPr>
          <w:color w:val="000000" w:themeColor="text1"/>
        </w:rPr>
        <w:t>, at</w:t>
      </w:r>
      <w:r w:rsidR="593EEB57" w:rsidRPr="7071A0E8">
        <w:rPr>
          <w:color w:val="000000" w:themeColor="text1"/>
        </w:rPr>
        <w:t xml:space="preserve"> </w:t>
      </w:r>
      <w:r w:rsidR="4D31E464" w:rsidRPr="7071A0E8">
        <w:rPr>
          <w:color w:val="000000" w:themeColor="text1"/>
        </w:rPr>
        <w:t>12.9</w:t>
      </w:r>
      <w:r w:rsidR="593EEB57" w:rsidRPr="7071A0E8">
        <w:rPr>
          <w:color w:val="000000" w:themeColor="text1"/>
        </w:rPr>
        <w:t xml:space="preserve"> years</w:t>
      </w:r>
      <w:r w:rsidR="7DB0A862" w:rsidRPr="7071A0E8">
        <w:rPr>
          <w:color w:val="000000" w:themeColor="text1"/>
        </w:rPr>
        <w:t xml:space="preserve"> </w:t>
      </w:r>
      <w:r w:rsidR="7DB0A862" w:rsidRPr="7071A0E8">
        <w:rPr>
          <w:rFonts w:eastAsia="Times New Roman" w:cs="Times New Roman"/>
        </w:rPr>
        <w:t xml:space="preserve">(95% UI </w:t>
      </w:r>
      <w:r w:rsidR="0E235DC6" w:rsidRPr="7071A0E8">
        <w:rPr>
          <w:rFonts w:eastAsia="Times New Roman" w:cs="Times New Roman"/>
        </w:rPr>
        <w:t>10.1</w:t>
      </w:r>
      <w:r w:rsidR="7DB0A862" w:rsidRPr="7071A0E8">
        <w:rPr>
          <w:rFonts w:eastAsia="Times New Roman" w:cs="Times New Roman"/>
        </w:rPr>
        <w:t>–</w:t>
      </w:r>
      <w:r w:rsidR="4D4287AA" w:rsidRPr="7071A0E8">
        <w:rPr>
          <w:rFonts w:eastAsia="Times New Roman" w:cs="Times New Roman"/>
        </w:rPr>
        <w:t>15.7</w:t>
      </w:r>
      <w:r w:rsidR="7DB0A862" w:rsidRPr="7071A0E8">
        <w:rPr>
          <w:rFonts w:eastAsia="Times New Roman" w:cs="Times New Roman"/>
        </w:rPr>
        <w:t>)</w:t>
      </w:r>
      <w:r w:rsidR="00B86EDB">
        <w:rPr>
          <w:color w:val="000000" w:themeColor="text1"/>
        </w:rPr>
        <w:t xml:space="preserve">, </w:t>
      </w:r>
      <w:r w:rsidR="005D0600">
        <w:rPr>
          <w:color w:val="000000" w:themeColor="text1"/>
        </w:rPr>
        <w:t xml:space="preserve">largely attributed to </w:t>
      </w:r>
      <w:r w:rsidR="593EEB57" w:rsidRPr="7071A0E8">
        <w:rPr>
          <w:color w:val="000000" w:themeColor="text1"/>
        </w:rPr>
        <w:t xml:space="preserve">increased HIV, which resulted in a loss of </w:t>
      </w:r>
      <w:r w:rsidR="038C2AF2" w:rsidRPr="7071A0E8">
        <w:rPr>
          <w:color w:val="000000" w:themeColor="text1"/>
        </w:rPr>
        <w:t>7.3</w:t>
      </w:r>
      <w:r w:rsidR="593EEB57" w:rsidRPr="7071A0E8">
        <w:rPr>
          <w:color w:val="000000" w:themeColor="text1"/>
        </w:rPr>
        <w:t xml:space="preserve"> years</w:t>
      </w:r>
      <w:r w:rsidR="027BBA88" w:rsidRPr="7071A0E8">
        <w:rPr>
          <w:rFonts w:eastAsia="Times New Roman" w:cs="Times New Roman"/>
        </w:rPr>
        <w:t xml:space="preserve"> </w:t>
      </w:r>
      <w:r w:rsidR="593EEB57" w:rsidRPr="7071A0E8">
        <w:rPr>
          <w:color w:val="000000" w:themeColor="text1"/>
        </w:rPr>
        <w:t>(</w:t>
      </w:r>
      <w:r w:rsidR="593EEB57" w:rsidRPr="003E3FDF" w:rsidDel="00E73B32">
        <w:rPr>
          <w:color w:val="000000" w:themeColor="text1"/>
        </w:rPr>
        <w:t>a</w:t>
      </w:r>
      <w:r w:rsidR="593EEB57" w:rsidRPr="003E3FDF">
        <w:rPr>
          <w:color w:val="000000" w:themeColor="text1"/>
        </w:rPr>
        <w:t>ppendix</w:t>
      </w:r>
      <w:r w:rsidR="00000B92" w:rsidRPr="003E3FDF">
        <w:rPr>
          <w:color w:val="000000" w:themeColor="text1"/>
        </w:rPr>
        <w:t xml:space="preserve"> 2</w:t>
      </w:r>
      <w:r w:rsidR="593EEB57" w:rsidRPr="003E3FDF">
        <w:rPr>
          <w:color w:val="000000" w:themeColor="text1"/>
        </w:rPr>
        <w:t xml:space="preserve"> figures </w:t>
      </w:r>
      <w:r w:rsidR="00E73B32" w:rsidRPr="003E3FDF">
        <w:rPr>
          <w:color w:val="000000" w:themeColor="text1"/>
        </w:rPr>
        <w:t>S</w:t>
      </w:r>
      <w:r w:rsidR="00E92DFF" w:rsidRPr="003E3FDF">
        <w:rPr>
          <w:color w:val="000000" w:themeColor="text1"/>
        </w:rPr>
        <w:t>12</w:t>
      </w:r>
      <w:r w:rsidR="00E73B32" w:rsidRPr="003E3FDF">
        <w:rPr>
          <w:color w:val="000000" w:themeColor="text1"/>
        </w:rPr>
        <w:t>, S</w:t>
      </w:r>
      <w:r w:rsidR="00E92DFF" w:rsidRPr="003E3FDF">
        <w:rPr>
          <w:color w:val="000000" w:themeColor="text1"/>
        </w:rPr>
        <w:t>27</w:t>
      </w:r>
      <w:r w:rsidR="593EEB57" w:rsidRPr="003E3FDF">
        <w:rPr>
          <w:color w:val="000000" w:themeColor="text1"/>
        </w:rPr>
        <w:t xml:space="preserve"> and table </w:t>
      </w:r>
      <w:r w:rsidR="00914FA5" w:rsidRPr="003E3FDF">
        <w:rPr>
          <w:color w:val="000000" w:themeColor="text1"/>
        </w:rPr>
        <w:t>S4</w:t>
      </w:r>
      <w:r w:rsidR="593EEB57" w:rsidRPr="7071A0E8">
        <w:rPr>
          <w:color w:val="000000" w:themeColor="text1"/>
        </w:rPr>
        <w:t>).</w:t>
      </w:r>
    </w:p>
    <w:p w14:paraId="1AEC350F" w14:textId="2AE5D323" w:rsidR="00523558" w:rsidRPr="00F3341F" w:rsidRDefault="00F3341F" w:rsidP="00824E88">
      <w:pPr>
        <w:pStyle w:val="Heading3"/>
        <w:spacing w:line="360" w:lineRule="auto"/>
      </w:pPr>
      <w:r>
        <w:lastRenderedPageBreak/>
        <w:t xml:space="preserve">Communicable, </w:t>
      </w:r>
      <w:r w:rsidR="005331C1">
        <w:t>m</w:t>
      </w:r>
      <w:r>
        <w:t xml:space="preserve">aternal, </w:t>
      </w:r>
      <w:r w:rsidR="005331C1">
        <w:t>n</w:t>
      </w:r>
      <w:r>
        <w:t xml:space="preserve">eonatal, and </w:t>
      </w:r>
      <w:r w:rsidR="005331C1">
        <w:t>n</w:t>
      </w:r>
      <w:r>
        <w:t xml:space="preserve">utritional </w:t>
      </w:r>
      <w:r w:rsidR="005331C1">
        <w:t>d</w:t>
      </w:r>
      <w:r w:rsidR="00F53CC0">
        <w:t>iseases</w:t>
      </w:r>
      <w:r>
        <w:t xml:space="preserve"> (CMNN) </w:t>
      </w:r>
      <w:r w:rsidR="00C643B4">
        <w:t>impact on life expectancy and trends in</w:t>
      </w:r>
      <w:r>
        <w:t xml:space="preserve"> </w:t>
      </w:r>
      <w:r w:rsidR="430F8CC7">
        <w:t>mortality concentration</w:t>
      </w:r>
    </w:p>
    <w:p w14:paraId="3BFAFBEC" w14:textId="57921441" w:rsidR="00523558" w:rsidRDefault="18C22C91" w:rsidP="00824E88">
      <w:pPr>
        <w:spacing w:line="360" w:lineRule="auto"/>
      </w:pPr>
      <w:r>
        <w:t>Among CMNN</w:t>
      </w:r>
      <w:r w:rsidR="52257064">
        <w:t xml:space="preserve"> causes</w:t>
      </w:r>
      <w:r>
        <w:t>, several key trends emerge</w:t>
      </w:r>
      <w:r w:rsidR="3748F14D">
        <w:t xml:space="preserve"> in their impact on global life expectancy and the locali</w:t>
      </w:r>
      <w:r w:rsidR="00B96506">
        <w:t>s</w:t>
      </w:r>
      <w:r w:rsidR="3748F14D">
        <w:t>ation of deaths over time.</w:t>
      </w:r>
      <w:r>
        <w:t xml:space="preserve"> First, enteric disease mortality control had a significant impact on global life expectancy, with notable regional variations</w:t>
      </w:r>
      <w:r w:rsidR="00964BF6">
        <w:t xml:space="preserve"> (</w:t>
      </w:r>
      <w:r w:rsidR="00CC40E7" w:rsidRPr="003E3FDF">
        <w:t>f</w:t>
      </w:r>
      <w:r w:rsidR="00964BF6" w:rsidRPr="003E3FDF">
        <w:t xml:space="preserve">igure </w:t>
      </w:r>
      <w:r w:rsidR="00DE434A" w:rsidRPr="003E3FDF">
        <w:t>7</w:t>
      </w:r>
      <w:r w:rsidR="00964BF6" w:rsidRPr="003E3FDF">
        <w:t>)</w:t>
      </w:r>
      <w:r w:rsidRPr="003E3FDF">
        <w:t>.</w:t>
      </w:r>
      <w:r>
        <w:t xml:space="preserve"> As </w:t>
      </w:r>
      <w:r w:rsidR="001953E7">
        <w:t>160</w:t>
      </w:r>
      <w:r w:rsidR="008A003C">
        <w:t xml:space="preserve"> </w:t>
      </w:r>
      <w:r>
        <w:t xml:space="preserve">countries </w:t>
      </w:r>
      <w:r w:rsidR="4356E592">
        <w:t xml:space="preserve">and territories </w:t>
      </w:r>
      <w:r>
        <w:t xml:space="preserve">made progress in controlling this cause of mortality, </w:t>
      </w:r>
      <w:r w:rsidR="23AAE48D">
        <w:t>mortality</w:t>
      </w:r>
      <w:r w:rsidR="7E2DE677">
        <w:t xml:space="preserve"> concentration</w:t>
      </w:r>
      <w:r>
        <w:t xml:space="preserve"> </w:t>
      </w:r>
      <w:r w:rsidR="1939FA17">
        <w:t>emerged</w:t>
      </w:r>
      <w:r w:rsidR="00274E34">
        <w:t>.</w:t>
      </w:r>
      <w:r w:rsidR="1939FA17">
        <w:t xml:space="preserve"> </w:t>
      </w:r>
      <w:r w:rsidR="00274E34">
        <w:t>D</w:t>
      </w:r>
      <w:r w:rsidR="1812AF65">
        <w:t xml:space="preserve">eaths </w:t>
      </w:r>
      <w:r w:rsidR="4958AEB2">
        <w:t>became more concentrated</w:t>
      </w:r>
      <w:r w:rsidR="1812AF65">
        <w:t xml:space="preserve"> into certain countries or regions,</w:t>
      </w:r>
      <w:r>
        <w:t xml:space="preserve"> persist</w:t>
      </w:r>
      <w:r w:rsidR="1812AF65">
        <w:t>ing</w:t>
      </w:r>
      <w:r>
        <w:t xml:space="preserve"> alongside advancements</w:t>
      </w:r>
      <w:r w:rsidR="1812AF65">
        <w:t xml:space="preserve"> made in other parts of </w:t>
      </w:r>
      <w:r w:rsidR="7CB45669">
        <w:t>the</w:t>
      </w:r>
      <w:r w:rsidR="1812AF65">
        <w:t xml:space="preserve"> world</w:t>
      </w:r>
      <w:r>
        <w:t>. An illustrative example is the shift in under-</w:t>
      </w:r>
      <w:r w:rsidR="00B96506">
        <w:t xml:space="preserve">5 </w:t>
      </w:r>
      <w:r>
        <w:t xml:space="preserve">deaths due to enteric diseases, with </w:t>
      </w:r>
      <w:r w:rsidRPr="003E3FDF">
        <w:t>90%</w:t>
      </w:r>
      <w:r>
        <w:t xml:space="preserve"> of deaths occurring in </w:t>
      </w:r>
      <w:r w:rsidR="00F42644">
        <w:t>locations</w:t>
      </w:r>
      <w:r>
        <w:t xml:space="preserve"> </w:t>
      </w:r>
      <w:r w:rsidR="00F42644">
        <w:t>containing</w:t>
      </w:r>
      <w:r>
        <w:t xml:space="preserve"> </w:t>
      </w:r>
      <w:r w:rsidRPr="003E3FDF">
        <w:t>63%</w:t>
      </w:r>
      <w:r>
        <w:t xml:space="preserve"> of the under-</w:t>
      </w:r>
      <w:r w:rsidR="00B96506">
        <w:t xml:space="preserve">5 </w:t>
      </w:r>
      <w:r>
        <w:t xml:space="preserve">population in 1990, decreasing to </w:t>
      </w:r>
      <w:r w:rsidR="1121E65A">
        <w:t xml:space="preserve">locations containing </w:t>
      </w:r>
      <w:r w:rsidR="7245652D">
        <w:t>51%</w:t>
      </w:r>
      <w:r>
        <w:t xml:space="preserve"> of the population by 2021</w:t>
      </w:r>
      <w:r w:rsidR="0015235D">
        <w:t xml:space="preserve"> </w:t>
      </w:r>
      <w:r w:rsidR="02562824">
        <w:t>(</w:t>
      </w:r>
      <w:r w:rsidR="001B36B6" w:rsidRPr="003E3FDF">
        <w:t>a</w:t>
      </w:r>
      <w:r w:rsidR="00860B20" w:rsidRPr="003E3FDF">
        <w:t xml:space="preserve">ppendix 2 </w:t>
      </w:r>
      <w:r w:rsidR="001B36B6" w:rsidRPr="003E3FDF">
        <w:t>f</w:t>
      </w:r>
      <w:r w:rsidR="00860B20" w:rsidRPr="003E3FDF">
        <w:t>igure S28</w:t>
      </w:r>
      <w:r w:rsidR="02562824">
        <w:t>).</w:t>
      </w:r>
      <w:r>
        <w:t xml:space="preserve"> Second, the control of lower respiratory infections yielded </w:t>
      </w:r>
      <w:r w:rsidR="00F375FB">
        <w:t>positive impacts on life expectancy in</w:t>
      </w:r>
      <w:r>
        <w:t xml:space="preserve"> </w:t>
      </w:r>
      <w:r w:rsidR="00F375FB">
        <w:t>some</w:t>
      </w:r>
      <w:r w:rsidR="000C5745">
        <w:t xml:space="preserve"> </w:t>
      </w:r>
      <w:r>
        <w:t xml:space="preserve">regions. Regions such as Andean Latin America </w:t>
      </w:r>
      <w:r w:rsidR="00B96506">
        <w:t xml:space="preserve">and </w:t>
      </w:r>
      <w:r w:rsidR="42E2E678">
        <w:t>w</w:t>
      </w:r>
      <w:r>
        <w:t xml:space="preserve">estern and </w:t>
      </w:r>
      <w:r w:rsidR="42E2E678">
        <w:t>e</w:t>
      </w:r>
      <w:r>
        <w:t xml:space="preserve">astern </w:t>
      </w:r>
      <w:r w:rsidR="42E2E678">
        <w:t>s</w:t>
      </w:r>
      <w:r>
        <w:t>ub-Saharan Africa</w:t>
      </w:r>
      <w:r w:rsidR="57C8A182">
        <w:t xml:space="preserve"> </w:t>
      </w:r>
      <w:r>
        <w:t>achieved</w:t>
      </w:r>
      <w:r w:rsidR="38912F09">
        <w:t xml:space="preserve"> </w:t>
      </w:r>
      <w:r w:rsidR="13063127">
        <w:t xml:space="preserve">gains </w:t>
      </w:r>
      <w:r w:rsidR="00434E40">
        <w:t>of 1.6</w:t>
      </w:r>
      <w:r w:rsidR="26249848">
        <w:t xml:space="preserve"> </w:t>
      </w:r>
      <w:r w:rsidR="00434E40">
        <w:t>years in</w:t>
      </w:r>
      <w:r>
        <w:t xml:space="preserve"> life expectancy due to reduced </w:t>
      </w:r>
      <w:r w:rsidR="76863E69">
        <w:t>lower respiratory infection</w:t>
      </w:r>
      <w:r>
        <w:t xml:space="preserve"> deaths. This progress is further underscored by the transformation from </w:t>
      </w:r>
      <w:r w:rsidRPr="003E3FDF">
        <w:t>90</w:t>
      </w:r>
      <w:r>
        <w:t>% of under-</w:t>
      </w:r>
      <w:r w:rsidR="00B96506">
        <w:t xml:space="preserve">5 </w:t>
      </w:r>
      <w:r w:rsidR="5CD60AD0">
        <w:t xml:space="preserve">lower respiratory infection </w:t>
      </w:r>
      <w:r>
        <w:t xml:space="preserve">deaths occurring in </w:t>
      </w:r>
      <w:r w:rsidR="00246F6C">
        <w:t xml:space="preserve">locations </w:t>
      </w:r>
      <w:r>
        <w:t xml:space="preserve">with </w:t>
      </w:r>
      <w:r w:rsidRPr="003E3FDF">
        <w:t>71</w:t>
      </w:r>
      <w:r>
        <w:t>% of the under-</w:t>
      </w:r>
      <w:r w:rsidR="00B96506">
        <w:t xml:space="preserve">5 </w:t>
      </w:r>
      <w:r>
        <w:t xml:space="preserve">population in 1990 to </w:t>
      </w:r>
      <w:r w:rsidRPr="003E3FDF">
        <w:t>90</w:t>
      </w:r>
      <w:r>
        <w:t xml:space="preserve">% occurring in </w:t>
      </w:r>
      <w:r w:rsidR="00246F6C">
        <w:t xml:space="preserve">locations </w:t>
      </w:r>
      <w:r>
        <w:t xml:space="preserve">with </w:t>
      </w:r>
      <w:r w:rsidRPr="003E3FDF">
        <w:t>58</w:t>
      </w:r>
      <w:r>
        <w:t>% of the under-</w:t>
      </w:r>
      <w:r w:rsidR="00B96506">
        <w:t xml:space="preserve">5 </w:t>
      </w:r>
      <w:r>
        <w:t xml:space="preserve">population by 2021, </w:t>
      </w:r>
      <w:r w:rsidR="00FC77BD">
        <w:t>s</w:t>
      </w:r>
      <w:r w:rsidR="006968E7">
        <w:t xml:space="preserve">ignalling significant improvements in some regions and increased </w:t>
      </w:r>
      <w:r w:rsidR="0E37741B">
        <w:t>concentration</w:t>
      </w:r>
      <w:r w:rsidR="006968E7">
        <w:t xml:space="preserve"> of this cause in others </w:t>
      </w:r>
      <w:r w:rsidR="36D69B78">
        <w:t>(</w:t>
      </w:r>
      <w:r w:rsidR="001C64AD" w:rsidRPr="003E3FDF">
        <w:t>f</w:t>
      </w:r>
      <w:r w:rsidR="36D69B78" w:rsidRPr="003E3FDF">
        <w:t xml:space="preserve">igure </w:t>
      </w:r>
      <w:r w:rsidR="000D2215" w:rsidRPr="003E3FDF">
        <w:t xml:space="preserve">8 and </w:t>
      </w:r>
      <w:r w:rsidR="36D69B78" w:rsidRPr="003E3FDF">
        <w:t xml:space="preserve">appendix </w:t>
      </w:r>
      <w:r w:rsidR="000D2215" w:rsidRPr="003E3FDF">
        <w:t>2 figure</w:t>
      </w:r>
      <w:r w:rsidR="003A12D2" w:rsidRPr="003E3FDF">
        <w:t xml:space="preserve"> S29</w:t>
      </w:r>
      <w:r w:rsidR="36D69B78">
        <w:t>).</w:t>
      </w:r>
      <w:r>
        <w:t xml:space="preserve"> </w:t>
      </w:r>
      <w:proofErr w:type="gramStart"/>
      <w:r>
        <w:t xml:space="preserve">Third, </w:t>
      </w:r>
      <w:r w:rsidR="022F266E" w:rsidRPr="4C219100">
        <w:rPr>
          <w:rFonts w:ascii="Segoe UI" w:eastAsia="Segoe UI" w:hAnsi="Segoe UI" w:cs="Segoe UI"/>
          <w:color w:val="333333"/>
          <w:sz w:val="18"/>
          <w:szCs w:val="18"/>
        </w:rPr>
        <w:t xml:space="preserve"> </w:t>
      </w:r>
      <w:r w:rsidR="452B47D2">
        <w:t>(</w:t>
      </w:r>
      <w:proofErr w:type="gramEnd"/>
      <w:r w:rsidR="001C64AD" w:rsidRPr="003E3FDF">
        <w:t>a</w:t>
      </w:r>
      <w:r w:rsidR="003A12D2" w:rsidRPr="003E3FDF">
        <w:t>ppendix 2, figure</w:t>
      </w:r>
      <w:r w:rsidR="00B02F6E" w:rsidRPr="003E3FDF">
        <w:t xml:space="preserve"> S27 and S30</w:t>
      </w:r>
      <w:r w:rsidR="452B47D2">
        <w:t xml:space="preserve">). </w:t>
      </w:r>
      <w:r w:rsidR="7D1DDB8E">
        <w:t xml:space="preserve">Despite its prominent level of concentration, it is notable that HIV </w:t>
      </w:r>
      <w:r w:rsidR="6B18F1DA">
        <w:t>was</w:t>
      </w:r>
      <w:r w:rsidR="7D1DDB8E">
        <w:t xml:space="preserve"> less concentrated in 2021 than in 199</w:t>
      </w:r>
      <w:r w:rsidR="4B988BA4">
        <w:t>0</w:t>
      </w:r>
      <w:r w:rsidR="7D1DDB8E">
        <w:t>.</w:t>
      </w:r>
      <w:r w:rsidR="452B47D2">
        <w:t xml:space="preserve"> </w:t>
      </w:r>
      <w:r>
        <w:t xml:space="preserve">Fourth, efforts to control malaria in </w:t>
      </w:r>
      <w:r w:rsidR="42E2E678">
        <w:t>s</w:t>
      </w:r>
      <w:r>
        <w:t>ub-Saharan Africa resulted in modest gains in life expectancy</w:t>
      </w:r>
      <w:r w:rsidR="07402E84">
        <w:t>.</w:t>
      </w:r>
      <w:r w:rsidR="15357A17">
        <w:t xml:space="preserve"> Likewise,</w:t>
      </w:r>
      <w:r w:rsidR="04FDE0B1">
        <w:t xml:space="preserve"> </w:t>
      </w:r>
      <w:r w:rsidRPr="003E3FDF">
        <w:t>9</w:t>
      </w:r>
      <w:r>
        <w:t xml:space="preserve">0% of malaria deaths </w:t>
      </w:r>
      <w:r w:rsidR="0AA1E467">
        <w:t xml:space="preserve">in 2021 </w:t>
      </w:r>
      <w:r>
        <w:t xml:space="preserve">occurred in </w:t>
      </w:r>
      <w:r w:rsidR="00246F6C">
        <w:t>locations</w:t>
      </w:r>
      <w:r>
        <w:t xml:space="preserve"> </w:t>
      </w:r>
      <w:r w:rsidR="004C08A3">
        <w:t xml:space="preserve">containing </w:t>
      </w:r>
      <w:r>
        <w:t xml:space="preserve">only </w:t>
      </w:r>
      <w:r w:rsidRPr="008E2A35">
        <w:t>12</w:t>
      </w:r>
      <w:r>
        <w:t>% of the</w:t>
      </w:r>
      <w:r w:rsidR="002C29E7">
        <w:t xml:space="preserve"> entire</w:t>
      </w:r>
      <w:r>
        <w:t xml:space="preserve"> population</w:t>
      </w:r>
      <w:r w:rsidR="009D5226">
        <w:t xml:space="preserve"> and </w:t>
      </w:r>
      <w:r w:rsidR="685536A6">
        <w:t>20%</w:t>
      </w:r>
      <w:r w:rsidR="009D5226">
        <w:t xml:space="preserve"> of the under-</w:t>
      </w:r>
      <w:r w:rsidR="00B96506">
        <w:t xml:space="preserve">5 </w:t>
      </w:r>
      <w:r w:rsidR="009D5226">
        <w:t>population</w:t>
      </w:r>
      <w:r>
        <w:t xml:space="preserve">, </w:t>
      </w:r>
      <w:proofErr w:type="spellStart"/>
      <w:r>
        <w:t>illustratin</w:t>
      </w:r>
      <w:proofErr w:type="spellEnd"/>
      <w:r w:rsidR="4D5ABDF7">
        <w:t xml:space="preserve"> </w:t>
      </w:r>
      <w:r w:rsidR="6676D9D6">
        <w:t xml:space="preserve">HIV/AIDS had a substantial impact on life expectancy trends, particularly in southern sub-Saharan Africa, </w:t>
      </w:r>
      <w:proofErr w:type="gramStart"/>
      <w:r w:rsidR="6676D9D6">
        <w:t>and also</w:t>
      </w:r>
      <w:proofErr w:type="gramEnd"/>
      <w:r w:rsidR="6676D9D6">
        <w:t xml:space="preserve"> showed evidence of mortality concentration, with 90% of deaths concentrated in locations containing 46% of the entire population. As well as all age, in under-5-year age, 90% of death due to HIV/AIDS in this age group concentrated in locations with 39% of the under-5 population in </w:t>
      </w:r>
      <w:r w:rsidR="4D5ABDF7">
        <w:t>2021</w:t>
      </w:r>
      <w:r w:rsidR="3FFB6E83">
        <w:t xml:space="preserve"> (</w:t>
      </w:r>
      <w:r w:rsidR="3FFB6E83" w:rsidRPr="008E2A35" w:rsidDel="00861249">
        <w:t>f</w:t>
      </w:r>
      <w:r w:rsidR="3FFB6E83" w:rsidRPr="008E2A35">
        <w:t xml:space="preserve">igure </w:t>
      </w:r>
      <w:r w:rsidR="00F1684E" w:rsidRPr="008E2A35">
        <w:t>5</w:t>
      </w:r>
      <w:r w:rsidR="00861249" w:rsidRPr="008E2A35">
        <w:t xml:space="preserve"> and </w:t>
      </w:r>
      <w:r w:rsidR="001C64AD" w:rsidRPr="008E2A35">
        <w:t>a</w:t>
      </w:r>
      <w:r w:rsidR="0058210B" w:rsidRPr="008E2A35">
        <w:t xml:space="preserve">ppendix 2 </w:t>
      </w:r>
      <w:r w:rsidR="3FFB6E83" w:rsidRPr="008E2A35">
        <w:t xml:space="preserve">figure </w:t>
      </w:r>
      <w:r w:rsidR="00CF70F6" w:rsidRPr="008E2A35">
        <w:t xml:space="preserve">S13 </w:t>
      </w:r>
      <w:r w:rsidR="0076354A">
        <w:t>and</w:t>
      </w:r>
      <w:r w:rsidR="00CF70F6" w:rsidRPr="008E2A35">
        <w:t xml:space="preserve"> S31</w:t>
      </w:r>
      <w:r w:rsidR="3FFB6E83">
        <w:t>).</w:t>
      </w:r>
      <w:r>
        <w:t xml:space="preserve"> Fifth, </w:t>
      </w:r>
      <w:r w:rsidR="3C461984">
        <w:t xml:space="preserve">reductions in </w:t>
      </w:r>
      <w:r>
        <w:t xml:space="preserve">tuberculosis </w:t>
      </w:r>
      <w:r w:rsidRPr="008E2A35">
        <w:t>death</w:t>
      </w:r>
      <w:r w:rsidR="5357F5E9">
        <w:t>s</w:t>
      </w:r>
      <w:r w:rsidRPr="008E2A35">
        <w:t xml:space="preserve"> </w:t>
      </w:r>
      <w:r>
        <w:t>had a positive effect on life expectancy across all regions</w:t>
      </w:r>
      <w:r w:rsidR="00B96506">
        <w:t>,</w:t>
      </w:r>
      <w:r>
        <w:t xml:space="preserve"> and </w:t>
      </w:r>
      <w:r w:rsidR="2B84963B">
        <w:t xml:space="preserve">changes in death </w:t>
      </w:r>
      <w:r w:rsidR="007C4EEA">
        <w:t>mortality rates</w:t>
      </w:r>
      <w:r w:rsidR="2B84963B">
        <w:t xml:space="preserve"> indicated mortality concentration, </w:t>
      </w:r>
      <w:r>
        <w:t xml:space="preserve">with </w:t>
      </w:r>
      <w:r w:rsidRPr="008E2A35">
        <w:t>90</w:t>
      </w:r>
      <w:r>
        <w:t xml:space="preserve">% of deaths occurring in </w:t>
      </w:r>
      <w:r w:rsidR="004C08A3" w:rsidRPr="008E2A35">
        <w:t>locations</w:t>
      </w:r>
      <w:r w:rsidR="004C08A3">
        <w:t xml:space="preserve"> containing</w:t>
      </w:r>
      <w:r>
        <w:t xml:space="preserve"> </w:t>
      </w:r>
      <w:r w:rsidRPr="008E2A35">
        <w:t>66</w:t>
      </w:r>
      <w:r>
        <w:t>% of the</w:t>
      </w:r>
      <w:r w:rsidR="00224A53">
        <w:t xml:space="preserve"> entire</w:t>
      </w:r>
      <w:r>
        <w:t xml:space="preserve"> population in 1990, decreasing to </w:t>
      </w:r>
      <w:r w:rsidR="69D9D792">
        <w:t>62%</w:t>
      </w:r>
      <w:r>
        <w:t xml:space="preserve"> by 2021</w:t>
      </w:r>
      <w:r w:rsidR="63B0B2D2">
        <w:t xml:space="preserve"> (</w:t>
      </w:r>
      <w:r w:rsidR="008806AC" w:rsidRPr="008E2A35">
        <w:rPr>
          <w:rFonts w:cs="Times New Roman"/>
        </w:rPr>
        <w:t>f</w:t>
      </w:r>
      <w:r w:rsidR="63B0B2D2" w:rsidRPr="008E2A35">
        <w:rPr>
          <w:rFonts w:cs="Times New Roman"/>
        </w:rPr>
        <w:t xml:space="preserve">igure </w:t>
      </w:r>
      <w:r w:rsidR="00110725" w:rsidRPr="008E2A35">
        <w:rPr>
          <w:rFonts w:cs="Times New Roman"/>
        </w:rPr>
        <w:t>9</w:t>
      </w:r>
      <w:r w:rsidR="00264CB4" w:rsidRPr="008E2A35">
        <w:rPr>
          <w:rFonts w:cs="Times New Roman"/>
        </w:rPr>
        <w:t xml:space="preserve"> and </w:t>
      </w:r>
      <w:r w:rsidR="008806AC" w:rsidRPr="008E2A35">
        <w:rPr>
          <w:rFonts w:cs="Times New Roman"/>
        </w:rPr>
        <w:t>a</w:t>
      </w:r>
      <w:r w:rsidR="00264CB4" w:rsidRPr="008E2A35">
        <w:rPr>
          <w:rFonts w:cs="Times New Roman"/>
        </w:rPr>
        <w:t xml:space="preserve">ppendix 2 </w:t>
      </w:r>
      <w:r w:rsidR="63B0B2D2" w:rsidRPr="008E2A35" w:rsidDel="00264CB4">
        <w:rPr>
          <w:rFonts w:cs="Times New Roman"/>
        </w:rPr>
        <w:t xml:space="preserve">figure </w:t>
      </w:r>
      <w:r w:rsidR="00264CB4" w:rsidRPr="008E2A35">
        <w:rPr>
          <w:rFonts w:cs="Times New Roman"/>
        </w:rPr>
        <w:t>S14</w:t>
      </w:r>
      <w:r w:rsidR="63B0B2D2">
        <w:t>).</w:t>
      </w:r>
      <w:r>
        <w:t xml:space="preserve"> Lastly, while measles had a relatively small global impact on life expectancy, it </w:t>
      </w:r>
      <w:r w:rsidR="2CBA4CCB">
        <w:t xml:space="preserve">showed </w:t>
      </w:r>
      <w:r w:rsidR="539A0866">
        <w:t xml:space="preserve">high </w:t>
      </w:r>
      <w:r w:rsidR="2CBA4CCB">
        <w:t xml:space="preserve">mortality </w:t>
      </w:r>
      <w:r w:rsidR="30488DE5">
        <w:t>concentration</w:t>
      </w:r>
      <w:r>
        <w:t xml:space="preserve">. The disease remained contained globally, with </w:t>
      </w:r>
      <w:r w:rsidRPr="008E2A35">
        <w:t>90</w:t>
      </w:r>
      <w:r>
        <w:t xml:space="preserve">% of deaths concentrated in </w:t>
      </w:r>
      <w:r w:rsidR="004C08A3" w:rsidRPr="008E2A35">
        <w:t>locations</w:t>
      </w:r>
      <w:r w:rsidR="004C08A3">
        <w:t xml:space="preserve"> containing</w:t>
      </w:r>
      <w:r>
        <w:t xml:space="preserve"> only </w:t>
      </w:r>
      <w:r w:rsidR="4396570B">
        <w:t>15%</w:t>
      </w:r>
      <w:r>
        <w:t xml:space="preserve"> of the</w:t>
      </w:r>
      <w:r w:rsidR="00395459">
        <w:t xml:space="preserve"> entire</w:t>
      </w:r>
      <w:r>
        <w:t xml:space="preserve"> population </w:t>
      </w:r>
      <w:r w:rsidR="00846070">
        <w:t xml:space="preserve">and </w:t>
      </w:r>
      <w:r w:rsidR="42E5A224">
        <w:t>24%</w:t>
      </w:r>
      <w:r w:rsidR="00846070">
        <w:t xml:space="preserve"> of the under</w:t>
      </w:r>
      <w:r w:rsidR="00B96506">
        <w:t xml:space="preserve">-5 </w:t>
      </w:r>
      <w:r w:rsidR="00846070">
        <w:t xml:space="preserve">population </w:t>
      </w:r>
      <w:r>
        <w:t>in 2021</w:t>
      </w:r>
      <w:r w:rsidR="7A5E77B8">
        <w:t xml:space="preserve"> (</w:t>
      </w:r>
      <w:r w:rsidR="7A5E77B8" w:rsidRPr="003E3FDF">
        <w:t xml:space="preserve">figure </w:t>
      </w:r>
      <w:r w:rsidR="00C07F94" w:rsidRPr="003E3FDF">
        <w:t xml:space="preserve">4 and </w:t>
      </w:r>
      <w:r w:rsidR="00DE28C2" w:rsidRPr="003E3FDF">
        <w:t>a</w:t>
      </w:r>
      <w:r w:rsidR="00C07F94" w:rsidRPr="003E3FDF">
        <w:t xml:space="preserve">ppendix 2 </w:t>
      </w:r>
      <w:r w:rsidR="00DE28C2" w:rsidRPr="003E3FDF">
        <w:t>f</w:t>
      </w:r>
      <w:r w:rsidR="00C07F94" w:rsidRPr="003E3FDF">
        <w:t>igure S15</w:t>
      </w:r>
      <w:r w:rsidR="7A5E77B8">
        <w:t>).</w:t>
      </w:r>
    </w:p>
    <w:p w14:paraId="3201ECF8" w14:textId="57297529" w:rsidR="00555812" w:rsidRDefault="00523558" w:rsidP="00824E88">
      <w:pPr>
        <w:spacing w:line="360" w:lineRule="auto"/>
      </w:pPr>
      <w:r>
        <w:t xml:space="preserve">Reductions in neonatal deaths contributed to a </w:t>
      </w:r>
      <w:r w:rsidR="00D925A0">
        <w:t>substantial</w:t>
      </w:r>
      <w:r>
        <w:t xml:space="preserve"> </w:t>
      </w:r>
      <w:r w:rsidRPr="003E3FDF">
        <w:t>0.6</w:t>
      </w:r>
      <w:r>
        <w:t xml:space="preserve">-year increase in global life expectancy. There was also a shift towards </w:t>
      </w:r>
      <w:r w:rsidR="6E095968">
        <w:t>concentration</w:t>
      </w:r>
      <w:r>
        <w:t xml:space="preserve">, as </w:t>
      </w:r>
      <w:r w:rsidRPr="003E3FDF">
        <w:t>90</w:t>
      </w:r>
      <w:r>
        <w:t xml:space="preserve">% of neonatal deaths were concentrated in </w:t>
      </w:r>
      <w:r w:rsidR="004C08A3">
        <w:t xml:space="preserve">locations </w:t>
      </w:r>
      <w:r w:rsidR="004C08A3">
        <w:lastRenderedPageBreak/>
        <w:t xml:space="preserve">containing </w:t>
      </w:r>
      <w:r w:rsidRPr="003E3FDF">
        <w:t>71</w:t>
      </w:r>
      <w:r>
        <w:t xml:space="preserve">% of the population in 1990, decreasing to </w:t>
      </w:r>
      <w:r w:rsidRPr="003E3FDF">
        <w:t>51</w:t>
      </w:r>
      <w:r>
        <w:t>% by 2021</w:t>
      </w:r>
      <w:r w:rsidR="00C2288E">
        <w:t xml:space="preserve"> (</w:t>
      </w:r>
      <w:r w:rsidR="00C2288E" w:rsidRPr="003E3FDF" w:rsidDel="00593BC9">
        <w:t>a</w:t>
      </w:r>
      <w:r w:rsidR="00C2288E" w:rsidRPr="003E3FDF">
        <w:t xml:space="preserve">ppendix </w:t>
      </w:r>
      <w:r w:rsidR="00593BC9" w:rsidRPr="003E3FDF">
        <w:t>2,</w:t>
      </w:r>
      <w:r w:rsidR="00C2288E" w:rsidRPr="003E3FDF">
        <w:t xml:space="preserve"> figure </w:t>
      </w:r>
      <w:r w:rsidR="00593BC9" w:rsidRPr="003E3FDF">
        <w:t>S1</w:t>
      </w:r>
      <w:r w:rsidR="00B721D2" w:rsidRPr="003E3FDF">
        <w:t>6</w:t>
      </w:r>
      <w:r w:rsidR="00593BC9" w:rsidRPr="003E3FDF">
        <w:t xml:space="preserve"> and S34</w:t>
      </w:r>
      <w:r w:rsidR="00C2288E">
        <w:t xml:space="preserve">). </w:t>
      </w:r>
      <w:r>
        <w:t xml:space="preserve">Finally, nutritional deficiencies had a relatively </w:t>
      </w:r>
      <w:r w:rsidR="00E67BF7">
        <w:t xml:space="preserve">small </w:t>
      </w:r>
      <w:r>
        <w:t>global impact on life expectancy but significant effects on specific regions</w:t>
      </w:r>
      <w:r w:rsidR="6FA1F86E">
        <w:t>:</w:t>
      </w:r>
      <w:r>
        <w:t xml:space="preserve"> </w:t>
      </w:r>
      <w:r w:rsidR="00D925A0">
        <w:t>e</w:t>
      </w:r>
      <w:r>
        <w:t xml:space="preserve">astern </w:t>
      </w:r>
      <w:r w:rsidR="00D925A0">
        <w:t>s</w:t>
      </w:r>
      <w:r>
        <w:t xml:space="preserve">ub-Saharan Africa, </w:t>
      </w:r>
      <w:r w:rsidR="00D925A0">
        <w:t>c</w:t>
      </w:r>
      <w:r>
        <w:t xml:space="preserve">entral </w:t>
      </w:r>
      <w:r w:rsidR="00D925A0">
        <w:t>s</w:t>
      </w:r>
      <w:r>
        <w:t xml:space="preserve">ub-Saharan Africa, and </w:t>
      </w:r>
      <w:r w:rsidR="00D925A0">
        <w:t>s</w:t>
      </w:r>
      <w:r>
        <w:t xml:space="preserve">outh Asia saw notable increases. Over time, there was a shift towards </w:t>
      </w:r>
      <w:r w:rsidR="27F06C0B">
        <w:t>mortality concentration</w:t>
      </w:r>
      <w:r>
        <w:t xml:space="preserve">, with </w:t>
      </w:r>
      <w:r w:rsidRPr="003E3FDF">
        <w:t>90</w:t>
      </w:r>
      <w:r>
        <w:t>% of nutritional deficiency deaths in</w:t>
      </w:r>
      <w:r w:rsidR="00B63371">
        <w:t xml:space="preserve"> children</w:t>
      </w:r>
      <w:r>
        <w:t xml:space="preserve"> under</w:t>
      </w:r>
      <w:r w:rsidR="00B63371">
        <w:t xml:space="preserve"> the age of </w:t>
      </w:r>
      <w:r>
        <w:t xml:space="preserve">5 concentrated in </w:t>
      </w:r>
      <w:r w:rsidR="004C08A3" w:rsidRPr="003E3FDF">
        <w:t>locations</w:t>
      </w:r>
      <w:r w:rsidR="004C08A3">
        <w:t xml:space="preserve"> containing</w:t>
      </w:r>
      <w:r>
        <w:t xml:space="preserve"> </w:t>
      </w:r>
      <w:r w:rsidR="3B37F31D">
        <w:t>49%</w:t>
      </w:r>
      <w:r>
        <w:t xml:space="preserve"> of the population in this age group by 2021, compared to </w:t>
      </w:r>
      <w:r w:rsidR="0EDFB4EF">
        <w:t>59%</w:t>
      </w:r>
      <w:r w:rsidR="00B96506">
        <w:t xml:space="preserve"> </w:t>
      </w:r>
      <w:r>
        <w:t>in 1990</w:t>
      </w:r>
      <w:r w:rsidR="00C22C82">
        <w:t xml:space="preserve"> (</w:t>
      </w:r>
      <w:r w:rsidR="00DE28C2" w:rsidRPr="003E3FDF">
        <w:t>a</w:t>
      </w:r>
      <w:r w:rsidR="005B161A" w:rsidRPr="003E3FDF">
        <w:t xml:space="preserve">ppendix 2, </w:t>
      </w:r>
      <w:r w:rsidR="000F081B" w:rsidRPr="003E3FDF">
        <w:t>f</w:t>
      </w:r>
      <w:r w:rsidR="005B161A" w:rsidRPr="003E3FDF">
        <w:t>igure S1</w:t>
      </w:r>
      <w:r w:rsidR="003E0DFD">
        <w:t>8</w:t>
      </w:r>
      <w:r w:rsidR="005B161A" w:rsidRPr="003E3FDF">
        <w:t xml:space="preserve"> and S35</w:t>
      </w:r>
      <w:r w:rsidR="00C22C82">
        <w:t>).</w:t>
      </w:r>
      <w:r w:rsidR="00EC1CA5">
        <w:t xml:space="preserve"> </w:t>
      </w:r>
      <w:r w:rsidR="00FA5BE4">
        <w:t>Overall, trends from CMNN</w:t>
      </w:r>
      <w:r w:rsidR="00555812">
        <w:t xml:space="preserve"> diseases </w:t>
      </w:r>
      <w:r w:rsidR="004F2FED">
        <w:t xml:space="preserve">exhibit a large degree of </w:t>
      </w:r>
      <w:r w:rsidR="1AE4B124">
        <w:t>mortality concentration</w:t>
      </w:r>
      <w:r w:rsidR="004F2FED">
        <w:t>.</w:t>
      </w:r>
    </w:p>
    <w:p w14:paraId="5E67478C" w14:textId="1915BC72" w:rsidR="007A229D" w:rsidRDefault="007A229D" w:rsidP="00B46B68">
      <w:pPr>
        <w:pStyle w:val="Heading3"/>
        <w:spacing w:line="360" w:lineRule="auto"/>
      </w:pPr>
      <w:r>
        <w:t>Non</w:t>
      </w:r>
      <w:r w:rsidR="005331C1">
        <w:t>-</w:t>
      </w:r>
      <w:r w:rsidR="00E53EFB">
        <w:t>c</w:t>
      </w:r>
      <w:r>
        <w:t xml:space="preserve">ommunicable </w:t>
      </w:r>
      <w:r w:rsidR="00E53EFB">
        <w:t>d</w:t>
      </w:r>
      <w:r>
        <w:t xml:space="preserve">iseases </w:t>
      </w:r>
      <w:r w:rsidR="00C643B4">
        <w:t xml:space="preserve">impact on life expectancy and trends in </w:t>
      </w:r>
      <w:r w:rsidR="4ED4B1B7">
        <w:t>mortality concentration</w:t>
      </w:r>
      <w:r w:rsidR="00C643B4" w:rsidDel="00C643B4">
        <w:t xml:space="preserve"> </w:t>
      </w:r>
    </w:p>
    <w:p w14:paraId="11B31757" w14:textId="069C13D5" w:rsidR="00C85C27" w:rsidRDefault="002678D3" w:rsidP="001B3ED4">
      <w:pPr>
        <w:spacing w:line="360" w:lineRule="auto"/>
      </w:pPr>
      <w:r>
        <w:t>Among</w:t>
      </w:r>
      <w:r w:rsidRPr="00BF0E00">
        <w:t xml:space="preserve"> non-communicable diseases (NCDs), </w:t>
      </w:r>
      <w:r w:rsidR="00CD09B3">
        <w:t xml:space="preserve">there are several </w:t>
      </w:r>
      <w:r w:rsidR="00367549">
        <w:t>findings</w:t>
      </w:r>
      <w:r w:rsidR="00C66997">
        <w:t xml:space="preserve"> that reflect their impact on global life expectancy and death </w:t>
      </w:r>
      <w:r w:rsidR="7A14CC34">
        <w:t>concentration</w:t>
      </w:r>
      <w:r w:rsidR="00C66997">
        <w:t>.</w:t>
      </w:r>
      <w:r w:rsidRPr="00BF0E00">
        <w:t xml:space="preserve"> Stroke control and prevention strategies led to a notable gain of </w:t>
      </w:r>
      <w:r w:rsidRPr="003E3FDF">
        <w:t>0.</w:t>
      </w:r>
      <w:r w:rsidR="00804689" w:rsidRPr="003E3FDF">
        <w:t>8</w:t>
      </w:r>
      <w:r w:rsidR="00804689">
        <w:t xml:space="preserve"> years</w:t>
      </w:r>
      <w:r w:rsidRPr="00BF0E00">
        <w:t xml:space="preserve">, </w:t>
      </w:r>
      <w:r w:rsidR="002D0335">
        <w:t>but</w:t>
      </w:r>
      <w:r w:rsidRPr="00BF0E00">
        <w:t xml:space="preserve"> stroke deaths displayed a lack of concentration, with 90% occurring in locations </w:t>
      </w:r>
      <w:r w:rsidR="004C08A3">
        <w:t>containing</w:t>
      </w:r>
      <w:r w:rsidR="004C08A3" w:rsidRPr="00BF0E00">
        <w:t xml:space="preserve"> </w:t>
      </w:r>
      <w:r w:rsidRPr="003E3FDF">
        <w:t>84</w:t>
      </w:r>
      <w:r w:rsidRPr="00BF0E00">
        <w:t>% of the global population</w:t>
      </w:r>
      <w:r w:rsidR="005155C3">
        <w:t xml:space="preserve"> (</w:t>
      </w:r>
      <w:r w:rsidR="00B25B37">
        <w:t xml:space="preserve">appendix </w:t>
      </w:r>
      <w:r w:rsidR="00B5036E" w:rsidRPr="003E3FDF">
        <w:t xml:space="preserve">2 </w:t>
      </w:r>
      <w:r w:rsidR="00B25B37">
        <w:t xml:space="preserve">figure </w:t>
      </w:r>
      <w:r w:rsidR="00CE682C" w:rsidRPr="003E3FDF">
        <w:t>S</w:t>
      </w:r>
      <w:r w:rsidR="00304B96">
        <w:t>23</w:t>
      </w:r>
      <w:r w:rsidR="00CE682C" w:rsidRPr="003E3FDF">
        <w:t xml:space="preserve"> and </w:t>
      </w:r>
      <w:r w:rsidR="00B5036E" w:rsidRPr="003E3FDF">
        <w:t>S3</w:t>
      </w:r>
      <w:r w:rsidR="00A94212" w:rsidRPr="003E3FDF">
        <w:t>6</w:t>
      </w:r>
      <w:r w:rsidR="00B25B37" w:rsidRPr="003E3FDF">
        <w:t>).</w:t>
      </w:r>
      <w:r w:rsidRPr="00BF0E00">
        <w:t xml:space="preserve"> Similarly, isch</w:t>
      </w:r>
      <w:r w:rsidR="00B96506">
        <w:t>a</w:t>
      </w:r>
      <w:r w:rsidRPr="00BF0E00">
        <w:t>emic heart disease had a substantial impact</w:t>
      </w:r>
      <w:r>
        <w:t xml:space="preserve"> on improvement to life expectancy</w:t>
      </w:r>
      <w:r w:rsidRPr="00BF0E00">
        <w:t xml:space="preserve">, contributing </w:t>
      </w:r>
      <w:r w:rsidR="004C7DFD" w:rsidRPr="003E3FDF">
        <w:t>0.6</w:t>
      </w:r>
      <w:r w:rsidR="004C7DFD" w:rsidRPr="004C7DFD">
        <w:t xml:space="preserve"> years</w:t>
      </w:r>
      <w:r>
        <w:t xml:space="preserve"> </w:t>
      </w:r>
      <w:r w:rsidRPr="00BF0E00">
        <w:t>to global life expectancy</w:t>
      </w:r>
      <w:r w:rsidR="00B96506" w:rsidRPr="003E3FDF">
        <w:t>;</w:t>
      </w:r>
      <w:r w:rsidRPr="00BF0E00">
        <w:t xml:space="preserve"> </w:t>
      </w:r>
      <w:r w:rsidR="00B25B37">
        <w:t>y</w:t>
      </w:r>
      <w:r w:rsidRPr="00BF0E00">
        <w:t>et, like stroke, isch</w:t>
      </w:r>
      <w:r w:rsidR="00B96506">
        <w:t>a</w:t>
      </w:r>
      <w:r w:rsidRPr="00BF0E00">
        <w:t xml:space="preserve">emic heart disease showed limited </w:t>
      </w:r>
      <w:r w:rsidR="638EFE7D">
        <w:t xml:space="preserve">mortality </w:t>
      </w:r>
      <w:r w:rsidR="67CE9C39">
        <w:t>concentration</w:t>
      </w:r>
      <w:r w:rsidRPr="00BF0E00">
        <w:t xml:space="preserve">, with 90% of deaths concentrated in </w:t>
      </w:r>
      <w:r w:rsidR="004C08A3">
        <w:t>locations</w:t>
      </w:r>
      <w:r w:rsidR="004C08A3" w:rsidRPr="00BF0E00">
        <w:t xml:space="preserve"> </w:t>
      </w:r>
      <w:r w:rsidR="004C08A3">
        <w:t>containing</w:t>
      </w:r>
      <w:r w:rsidRPr="00BF0E00">
        <w:t xml:space="preserve"> </w:t>
      </w:r>
      <w:r w:rsidRPr="003E3FDF">
        <w:t>84</w:t>
      </w:r>
      <w:r w:rsidRPr="00BF0E00">
        <w:t>% of the population in 2021</w:t>
      </w:r>
      <w:r w:rsidR="00B25B37">
        <w:t xml:space="preserve"> (</w:t>
      </w:r>
      <w:r w:rsidR="00525AFF">
        <w:t xml:space="preserve">appendix </w:t>
      </w:r>
      <w:r w:rsidR="006865F2" w:rsidRPr="003E3FDF">
        <w:t xml:space="preserve">2 </w:t>
      </w:r>
      <w:r w:rsidR="00525AFF">
        <w:t xml:space="preserve">figure </w:t>
      </w:r>
      <w:r w:rsidR="006865F2" w:rsidRPr="003E3FDF">
        <w:t>S1</w:t>
      </w:r>
      <w:r w:rsidR="00304B96">
        <w:t>7</w:t>
      </w:r>
      <w:r w:rsidR="006865F2" w:rsidRPr="003E3FDF">
        <w:t xml:space="preserve"> and </w:t>
      </w:r>
      <w:r w:rsidR="00DF78E8" w:rsidRPr="003E3FDF">
        <w:t>S3</w:t>
      </w:r>
      <w:r w:rsidR="00A94212" w:rsidRPr="003E3FDF">
        <w:t>7</w:t>
      </w:r>
      <w:r w:rsidR="00525AFF" w:rsidRPr="003E3FDF">
        <w:t>).</w:t>
      </w:r>
      <w:r w:rsidR="00525AFF">
        <w:t xml:space="preserve"> </w:t>
      </w:r>
      <w:r w:rsidRPr="00BF0E00">
        <w:t xml:space="preserve">Neoplasms added </w:t>
      </w:r>
      <w:r w:rsidRPr="003E3FDF">
        <w:t>0.6</w:t>
      </w:r>
      <w:r w:rsidR="00D36E2A">
        <w:t xml:space="preserve"> </w:t>
      </w:r>
      <w:r w:rsidRPr="00BF0E00">
        <w:t>years to life expectancy, with high-income regions significantly benefiting</w:t>
      </w:r>
      <w:r w:rsidR="00260753">
        <w:t>;</w:t>
      </w:r>
      <w:r w:rsidRPr="00BF0E00">
        <w:t xml:space="preserve"> </w:t>
      </w:r>
      <w:r w:rsidR="00F65621">
        <w:t>like</w:t>
      </w:r>
      <w:r w:rsidRPr="00BF0E00">
        <w:t xml:space="preserve"> other NCDs, 90% of neoplasms deaths occurred in </w:t>
      </w:r>
      <w:r w:rsidR="00FB3E01" w:rsidRPr="003E3FDF">
        <w:t>locations</w:t>
      </w:r>
      <w:r w:rsidR="00FB3E01">
        <w:t xml:space="preserve"> containing</w:t>
      </w:r>
      <w:r w:rsidRPr="00BF0E00">
        <w:t xml:space="preserve"> </w:t>
      </w:r>
      <w:r w:rsidRPr="003E3FDF">
        <w:t>86</w:t>
      </w:r>
      <w:r w:rsidRPr="00BF0E00">
        <w:t xml:space="preserve">% of the population in </w:t>
      </w:r>
      <w:r w:rsidR="3A9C6715">
        <w:t>2021</w:t>
      </w:r>
      <w:r w:rsidR="00260753">
        <w:t>,</w:t>
      </w:r>
      <w:r>
        <w:t xml:space="preserve"> </w:t>
      </w:r>
      <w:r w:rsidRPr="00BF0E00">
        <w:t xml:space="preserve">indicating a </w:t>
      </w:r>
      <w:r w:rsidR="00F65621" w:rsidRPr="00BF0E00">
        <w:t>consistent</w:t>
      </w:r>
      <w:r w:rsidRPr="00BF0E00">
        <w:t xml:space="preserve"> risk of dying from cancer regardless of geography</w:t>
      </w:r>
      <w:r w:rsidR="00525AFF">
        <w:t xml:space="preserve"> (appendix </w:t>
      </w:r>
      <w:r w:rsidR="00B10E80" w:rsidRPr="003E3FDF">
        <w:t xml:space="preserve">2 </w:t>
      </w:r>
      <w:r w:rsidR="00525AFF">
        <w:t xml:space="preserve">figure </w:t>
      </w:r>
      <w:r w:rsidR="00B10E80" w:rsidRPr="003E3FDF">
        <w:t>S</w:t>
      </w:r>
      <w:r w:rsidR="00304B96">
        <w:t>19</w:t>
      </w:r>
      <w:r w:rsidR="00B10E80" w:rsidRPr="003E3FDF">
        <w:t xml:space="preserve"> and</w:t>
      </w:r>
      <w:r w:rsidR="00D6717D" w:rsidRPr="003E3FDF">
        <w:t xml:space="preserve"> S3</w:t>
      </w:r>
      <w:r w:rsidR="00A94212" w:rsidRPr="003E3FDF">
        <w:t>8</w:t>
      </w:r>
      <w:r w:rsidR="00525AFF" w:rsidRPr="003E3FDF">
        <w:t>).</w:t>
      </w:r>
      <w:r w:rsidRPr="00BF0E00">
        <w:t xml:space="preserve"> Chronic respiratory diseases contributed an increase of </w:t>
      </w:r>
      <w:r w:rsidR="36EA17A4">
        <w:t>0.5</w:t>
      </w:r>
      <w:r w:rsidRPr="00BF0E00">
        <w:t xml:space="preserve"> years to life expectancy</w:t>
      </w:r>
      <w:r w:rsidR="00351449">
        <w:t>,</w:t>
      </w:r>
      <w:r w:rsidR="006968E7" w:rsidRPr="006968E7">
        <w:rPr>
          <w:rFonts w:ascii="Segoe UI" w:hAnsi="Segoe UI" w:cs="Segoe UI"/>
          <w:sz w:val="18"/>
          <w:szCs w:val="18"/>
        </w:rPr>
        <w:t xml:space="preserve"> </w:t>
      </w:r>
      <w:r w:rsidR="006968E7" w:rsidRPr="006968E7">
        <w:t>with east Asia contributing the most to this increase through significant improvements in Chin</w:t>
      </w:r>
      <w:r w:rsidR="006968E7">
        <w:t>a.</w:t>
      </w:r>
      <w:r w:rsidR="00767BB0">
        <w:t xml:space="preserve"> Li</w:t>
      </w:r>
      <w:r w:rsidRPr="00BF0E00">
        <w:t xml:space="preserve">ke other NCDs, chronic respiratory diseases exhibited limited </w:t>
      </w:r>
      <w:r w:rsidR="25DE2385">
        <w:t>mortality concentration</w:t>
      </w:r>
      <w:r w:rsidRPr="00BF0E00">
        <w:t xml:space="preserve">, with 90% of deaths occurring in locations </w:t>
      </w:r>
      <w:r w:rsidR="00FB3E01">
        <w:t>containing</w:t>
      </w:r>
      <w:r w:rsidR="00FB3E01" w:rsidRPr="00BF0E00">
        <w:t xml:space="preserve"> </w:t>
      </w:r>
      <w:r w:rsidRPr="003E3FDF">
        <w:t>79</w:t>
      </w:r>
      <w:r w:rsidRPr="00BF0E00">
        <w:t>% of the population</w:t>
      </w:r>
      <w:r w:rsidR="00886644">
        <w:t xml:space="preserve"> (appendix </w:t>
      </w:r>
      <w:r w:rsidR="00076ABD" w:rsidRPr="003E3FDF">
        <w:t xml:space="preserve">2 </w:t>
      </w:r>
      <w:r w:rsidR="00886644">
        <w:t xml:space="preserve">figure </w:t>
      </w:r>
      <w:r w:rsidR="00076ABD" w:rsidRPr="003E3FDF">
        <w:t>S2</w:t>
      </w:r>
      <w:r w:rsidR="00974FB6">
        <w:t>0</w:t>
      </w:r>
      <w:r w:rsidR="00076ABD" w:rsidRPr="003E3FDF">
        <w:t xml:space="preserve"> </w:t>
      </w:r>
      <w:r w:rsidR="000862EF" w:rsidRPr="003E3FDF">
        <w:t>and</w:t>
      </w:r>
      <w:r w:rsidR="00076ABD" w:rsidRPr="003E3FDF">
        <w:t xml:space="preserve"> S</w:t>
      </w:r>
      <w:r w:rsidR="00400507" w:rsidRPr="003E3FDF">
        <w:t>39</w:t>
      </w:r>
      <w:r w:rsidR="00886644" w:rsidRPr="003E3FDF">
        <w:t>).</w:t>
      </w:r>
      <w:r w:rsidRPr="00BF0E00">
        <w:t xml:space="preserve"> </w:t>
      </w:r>
      <w:r w:rsidR="00AC2AA8">
        <w:t>Digestive diseases and c</w:t>
      </w:r>
      <w:r w:rsidRPr="00BF0E00">
        <w:t xml:space="preserve">irrhosis had a substantial negative effect on life expectancy, with minimal improvement from 2010 to 2019, and showed little </w:t>
      </w:r>
      <w:r w:rsidR="2754971D">
        <w:t>mortality concentration</w:t>
      </w:r>
      <w:r w:rsidRPr="00BF0E00">
        <w:t>,</w:t>
      </w:r>
      <w:r w:rsidR="00C23A90">
        <w:t xml:space="preserve"> </w:t>
      </w:r>
      <w:r w:rsidR="00C23A90" w:rsidRPr="00C23A90">
        <w:t>representing 90% and 88% of the population respectively</w:t>
      </w:r>
      <w:r w:rsidRPr="00BF0E00">
        <w:t xml:space="preserve"> </w:t>
      </w:r>
      <w:r w:rsidR="00886644" w:rsidRPr="003E3FDF">
        <w:t>(</w:t>
      </w:r>
      <w:r w:rsidR="00AC182F" w:rsidRPr="003E3FDF">
        <w:rPr>
          <w:rFonts w:cs="Times New Roman"/>
        </w:rPr>
        <w:t>a</w:t>
      </w:r>
      <w:r w:rsidR="00A953BD" w:rsidRPr="003E3FDF">
        <w:rPr>
          <w:rFonts w:cs="Times New Roman"/>
        </w:rPr>
        <w:t xml:space="preserve">ppendix 2 </w:t>
      </w:r>
      <w:r w:rsidR="00AC182F" w:rsidRPr="003E3FDF">
        <w:rPr>
          <w:rFonts w:cs="Times New Roman"/>
        </w:rPr>
        <w:t>f</w:t>
      </w:r>
      <w:r w:rsidR="00A953BD" w:rsidRPr="003E3FDF">
        <w:rPr>
          <w:rFonts w:cs="Times New Roman"/>
        </w:rPr>
        <w:t>igure S2</w:t>
      </w:r>
      <w:r w:rsidR="00D04DB2">
        <w:rPr>
          <w:rFonts w:cs="Times New Roman"/>
        </w:rPr>
        <w:t>1</w:t>
      </w:r>
      <w:r w:rsidR="00CE7002" w:rsidRPr="003E3FDF">
        <w:rPr>
          <w:rFonts w:cs="Times New Roman"/>
        </w:rPr>
        <w:t xml:space="preserve"> </w:t>
      </w:r>
      <w:r w:rsidR="00B124BC" w:rsidRPr="003E3FDF">
        <w:rPr>
          <w:rFonts w:cs="Times New Roman"/>
        </w:rPr>
        <w:t>and</w:t>
      </w:r>
      <w:r w:rsidR="00CE7002" w:rsidRPr="003E3FDF">
        <w:rPr>
          <w:rFonts w:cs="Times New Roman"/>
        </w:rPr>
        <w:t xml:space="preserve"> S4</w:t>
      </w:r>
      <w:r w:rsidR="008E2EB0" w:rsidRPr="003E3FDF">
        <w:rPr>
          <w:rFonts w:cs="Times New Roman"/>
        </w:rPr>
        <w:t>0</w:t>
      </w:r>
      <w:r w:rsidR="00CE7002" w:rsidRPr="003E3FDF">
        <w:rPr>
          <w:rFonts w:cs="Times New Roman"/>
        </w:rPr>
        <w:t>)</w:t>
      </w:r>
      <w:r w:rsidR="00C714B5">
        <w:rPr>
          <w:rFonts w:cs="Times New Roman"/>
        </w:rPr>
        <w:t>.</w:t>
      </w:r>
      <w:r w:rsidR="00CE7002">
        <w:rPr>
          <w:rFonts w:ascii="Arial" w:hAnsi="Arial" w:cs="Arial"/>
          <w:color w:val="434343"/>
          <w:sz w:val="20"/>
          <w:szCs w:val="20"/>
        </w:rPr>
        <w:t xml:space="preserve"> </w:t>
      </w:r>
      <w:r w:rsidRPr="00BF0E00">
        <w:t xml:space="preserve">Diabetes and kidney diseases had a negative impact on life expectancy, resulting in a global loss of </w:t>
      </w:r>
      <w:r w:rsidRPr="003E3FDF">
        <w:t>0.</w:t>
      </w:r>
      <w:r w:rsidR="00967BE3" w:rsidRPr="003E3FDF">
        <w:t>1</w:t>
      </w:r>
      <w:r w:rsidRPr="00BF0E00">
        <w:t xml:space="preserve"> years</w:t>
      </w:r>
      <w:r w:rsidR="36E6505A" w:rsidRPr="7D15E7EC">
        <w:rPr>
          <w:rFonts w:eastAsia="Times New Roman" w:cs="Times New Roman"/>
        </w:rPr>
        <w:t>.</w:t>
      </w:r>
      <w:r w:rsidRPr="00BF0E00">
        <w:t xml:space="preserve"> </w:t>
      </w:r>
      <w:r>
        <w:t>This</w:t>
      </w:r>
      <w:r w:rsidRPr="00BF0E00">
        <w:t xml:space="preserve"> cause also displayed limited </w:t>
      </w:r>
      <w:r w:rsidR="33375EFB">
        <w:t>mortality concentration</w:t>
      </w:r>
      <w:r w:rsidRPr="00BF0E00">
        <w:t xml:space="preserve">, with 90% of deaths occurring in </w:t>
      </w:r>
      <w:r w:rsidR="00FB3E01">
        <w:t>locations</w:t>
      </w:r>
      <w:r w:rsidR="00FB3E01" w:rsidRPr="00BF0E00">
        <w:t xml:space="preserve"> </w:t>
      </w:r>
      <w:r w:rsidRPr="00BF0E00">
        <w:t xml:space="preserve">representing </w:t>
      </w:r>
      <w:r w:rsidRPr="003E3FDF">
        <w:t>89</w:t>
      </w:r>
      <w:r w:rsidRPr="00BF0E00">
        <w:t>% of the population</w:t>
      </w:r>
      <w:r w:rsidR="004717E2">
        <w:t xml:space="preserve"> (</w:t>
      </w:r>
      <w:r w:rsidR="00A003A6" w:rsidRPr="003E3FDF">
        <w:t>a</w:t>
      </w:r>
      <w:r w:rsidR="00B124BC" w:rsidRPr="003E3FDF">
        <w:t xml:space="preserve">ppendix 2 </w:t>
      </w:r>
      <w:r w:rsidR="00A003A6" w:rsidRPr="003E3FDF">
        <w:t>f</w:t>
      </w:r>
      <w:r w:rsidR="00B124BC" w:rsidRPr="003E3FDF">
        <w:t>igure S2</w:t>
      </w:r>
      <w:r w:rsidR="00D04DB2">
        <w:t>2</w:t>
      </w:r>
      <w:r w:rsidR="004717E2" w:rsidRPr="003E3FDF">
        <w:t xml:space="preserve">, </w:t>
      </w:r>
      <w:r w:rsidR="00B124BC" w:rsidRPr="003E3FDF">
        <w:t xml:space="preserve">and </w:t>
      </w:r>
      <w:r w:rsidR="000862EF" w:rsidRPr="003E3FDF">
        <w:rPr>
          <w:rFonts w:ascii="Arial" w:hAnsi="Arial" w:cs="Arial"/>
          <w:color w:val="434343"/>
          <w:sz w:val="20"/>
          <w:szCs w:val="20"/>
        </w:rPr>
        <w:t>S4</w:t>
      </w:r>
      <w:r w:rsidR="008E2EB0" w:rsidRPr="003E3FDF">
        <w:rPr>
          <w:rFonts w:ascii="Arial" w:hAnsi="Arial" w:cs="Arial"/>
          <w:color w:val="434343"/>
          <w:sz w:val="20"/>
          <w:szCs w:val="20"/>
        </w:rPr>
        <w:t>1</w:t>
      </w:r>
      <w:r w:rsidR="004717E2" w:rsidRPr="003E3FDF">
        <w:t>).</w:t>
      </w:r>
      <w:r w:rsidR="008554BD">
        <w:t xml:space="preserve"> Overall, trends from NCDs did not exhibit a large degree of </w:t>
      </w:r>
      <w:r w:rsidR="70F2EEAF">
        <w:t>concentration</w:t>
      </w:r>
      <w:r w:rsidR="00197B33">
        <w:t xml:space="preserve">, </w:t>
      </w:r>
      <w:r w:rsidR="00735E6A">
        <w:t>meaning that we do not ob</w:t>
      </w:r>
      <w:r w:rsidR="00CC75DB">
        <w:t xml:space="preserve">serve </w:t>
      </w:r>
      <w:r w:rsidR="00592F66">
        <w:t xml:space="preserve">mortality from these causes moving towards </w:t>
      </w:r>
      <w:r w:rsidR="000E0B42">
        <w:t xml:space="preserve">more </w:t>
      </w:r>
      <w:r w:rsidR="002467C1">
        <w:t>restricted</w:t>
      </w:r>
      <w:r w:rsidR="000E0B42">
        <w:t xml:space="preserve"> geographical areas</w:t>
      </w:r>
      <w:r w:rsidR="67084D37" w:rsidRPr="003E3FDF">
        <w:t xml:space="preserve"> (</w:t>
      </w:r>
      <w:r w:rsidR="003E3FDF">
        <w:t>a</w:t>
      </w:r>
      <w:r w:rsidR="67084D37" w:rsidRPr="003E3FDF">
        <w:t xml:space="preserve">ppendix 2 </w:t>
      </w:r>
      <w:r w:rsidR="003E3FDF">
        <w:t>f</w:t>
      </w:r>
      <w:r w:rsidR="67084D37" w:rsidRPr="003E3FDF">
        <w:t>igure S42</w:t>
      </w:r>
      <w:r w:rsidR="003E3FDF">
        <w:t>)</w:t>
      </w:r>
      <w:r w:rsidR="5E6D8BF8" w:rsidRPr="003E3FDF">
        <w:t>.</w:t>
      </w:r>
    </w:p>
    <w:p w14:paraId="25B1C1D1" w14:textId="1403B1BB" w:rsidR="007331E9" w:rsidRPr="00157D06" w:rsidRDefault="00802139" w:rsidP="00B46B68">
      <w:pPr>
        <w:pStyle w:val="Heading3"/>
        <w:spacing w:line="360" w:lineRule="auto"/>
      </w:pPr>
      <w:r>
        <w:rPr>
          <w:lang w:val="en-US"/>
        </w:rPr>
        <w:lastRenderedPageBreak/>
        <w:t xml:space="preserve">Injuries </w:t>
      </w:r>
      <w:r w:rsidR="00C643B4">
        <w:t>impact on life expectancy and trends in mortality concentration</w:t>
      </w:r>
      <w:r w:rsidR="00C643B4" w:rsidDel="00C643B4">
        <w:rPr>
          <w:lang w:val="en-US"/>
        </w:rPr>
        <w:t xml:space="preserve"> </w:t>
      </w:r>
    </w:p>
    <w:p w14:paraId="6686CC35" w14:textId="6CC5FD6A" w:rsidR="00ED403E" w:rsidRPr="007331E9" w:rsidRDefault="00653D6C" w:rsidP="00ED403E">
      <w:pPr>
        <w:spacing w:line="360" w:lineRule="auto"/>
        <w:rPr>
          <w:lang w:val="en-US"/>
        </w:rPr>
      </w:pPr>
      <w:r>
        <w:t xml:space="preserve">Key trends regarding the impact of injuries on global life expectancy and death </w:t>
      </w:r>
      <w:r w:rsidR="7F0BBC1F">
        <w:t>concentration</w:t>
      </w:r>
      <w:r>
        <w:t xml:space="preserve"> were observed</w:t>
      </w:r>
      <w:r w:rsidR="00646FAE">
        <w:t xml:space="preserve">. </w:t>
      </w:r>
      <w:r w:rsidR="005F6E98" w:rsidRPr="005F6E98">
        <w:t xml:space="preserve">The reduction in transport injuries had a positive impact on life expectancy, contributing to a gain of </w:t>
      </w:r>
      <w:r w:rsidR="005F6E98" w:rsidRPr="003E3FDF">
        <w:t>0.2</w:t>
      </w:r>
      <w:r w:rsidR="005F6E98" w:rsidRPr="005F6E98">
        <w:t xml:space="preserve"> years. However, </w:t>
      </w:r>
      <w:r w:rsidR="00EC22EB" w:rsidRPr="005F6E98">
        <w:t>like</w:t>
      </w:r>
      <w:r w:rsidR="005F6E98" w:rsidRPr="005F6E98">
        <w:t xml:space="preserve"> </w:t>
      </w:r>
      <w:r w:rsidR="00510CB0">
        <w:t>NCDs</w:t>
      </w:r>
      <w:r w:rsidR="005F6E98" w:rsidRPr="005F6E98">
        <w:t>, transport injuries</w:t>
      </w:r>
      <w:r w:rsidR="00254C8B">
        <w:t xml:space="preserve"> did not</w:t>
      </w:r>
      <w:r w:rsidR="005F6E98" w:rsidRPr="005F6E98">
        <w:t xml:space="preserve"> display</w:t>
      </w:r>
      <w:r w:rsidR="00254C8B">
        <w:t xml:space="preserve"> patterns of </w:t>
      </w:r>
      <w:r w:rsidR="09C262AE">
        <w:t>mortality concentration</w:t>
      </w:r>
      <w:r w:rsidR="005F6E98" w:rsidRPr="005F6E98">
        <w:t xml:space="preserve">, with 90% of deaths concentrated in </w:t>
      </w:r>
      <w:r w:rsidR="00FB3E01" w:rsidRPr="008E2A35">
        <w:t>locations</w:t>
      </w:r>
      <w:r w:rsidR="00FB3E01">
        <w:t xml:space="preserve"> containing</w:t>
      </w:r>
      <w:r w:rsidR="005F6E98" w:rsidRPr="005F6E98">
        <w:t xml:space="preserve"> </w:t>
      </w:r>
      <w:r w:rsidR="005F6E98" w:rsidRPr="008E2A35">
        <w:t>88</w:t>
      </w:r>
      <w:r w:rsidR="005F6E98" w:rsidRPr="005F6E98">
        <w:t xml:space="preserve">% of the population in 1990, decreasing slightly to </w:t>
      </w:r>
      <w:r w:rsidR="005F6E98" w:rsidRPr="008E2A35">
        <w:t>84</w:t>
      </w:r>
      <w:r w:rsidR="005F6E98" w:rsidRPr="005F6E98">
        <w:t>% of the population by 2021</w:t>
      </w:r>
      <w:r w:rsidR="00774836">
        <w:t xml:space="preserve"> (</w:t>
      </w:r>
      <w:r w:rsidR="00774836" w:rsidRPr="008E2A35">
        <w:t xml:space="preserve">appendix </w:t>
      </w:r>
      <w:r w:rsidR="00C13488" w:rsidRPr="008E2A35">
        <w:t xml:space="preserve">2 </w:t>
      </w:r>
      <w:r w:rsidR="00774836" w:rsidRPr="008E2A35">
        <w:t xml:space="preserve">figure </w:t>
      </w:r>
      <w:r w:rsidR="00C13488" w:rsidRPr="008E2A35">
        <w:t xml:space="preserve">S24 and </w:t>
      </w:r>
      <w:r w:rsidR="00117033" w:rsidRPr="008E2A35">
        <w:t>S4</w:t>
      </w:r>
      <w:r w:rsidR="404499CF" w:rsidRPr="008E2A35">
        <w:t>3</w:t>
      </w:r>
      <w:r w:rsidR="00774836">
        <w:t>).</w:t>
      </w:r>
      <w:r w:rsidR="00EC22EB">
        <w:t xml:space="preserve"> </w:t>
      </w:r>
      <w:r w:rsidR="005F6E98" w:rsidRPr="005F6E98">
        <w:t>Unintentional injurie</w:t>
      </w:r>
      <w:r w:rsidR="00D85696">
        <w:t>s also</w:t>
      </w:r>
      <w:r w:rsidR="005F6E98" w:rsidRPr="005F6E98">
        <w:t xml:space="preserve"> showed limited </w:t>
      </w:r>
      <w:r w:rsidR="3A7CEC37">
        <w:t>mortality concentration</w:t>
      </w:r>
      <w:r w:rsidR="005F6E98" w:rsidRPr="005F6E98">
        <w:t xml:space="preserve">, with 90% of deaths occurring in </w:t>
      </w:r>
      <w:r w:rsidR="00FB3E01" w:rsidRPr="008E2A35">
        <w:t>locations</w:t>
      </w:r>
      <w:r w:rsidR="00FB3E01">
        <w:t xml:space="preserve"> containing</w:t>
      </w:r>
      <w:r w:rsidR="005F6E98" w:rsidRPr="005F6E98">
        <w:t xml:space="preserve"> </w:t>
      </w:r>
      <w:r w:rsidR="005F6E98">
        <w:t>8</w:t>
      </w:r>
      <w:r w:rsidR="005F6E98" w:rsidRPr="008E2A35">
        <w:t>8</w:t>
      </w:r>
      <w:r w:rsidR="005F6E98" w:rsidRPr="005F6E98">
        <w:t xml:space="preserve">% of the population in </w:t>
      </w:r>
      <w:r w:rsidR="557272E5">
        <w:t>2021</w:t>
      </w:r>
      <w:r w:rsidR="0054302E">
        <w:t xml:space="preserve"> (appendix </w:t>
      </w:r>
      <w:r w:rsidR="004E1DC8" w:rsidRPr="008E2A35">
        <w:t xml:space="preserve">2 </w:t>
      </w:r>
      <w:r w:rsidR="0054302E">
        <w:t xml:space="preserve">figure </w:t>
      </w:r>
      <w:r w:rsidR="004E1DC8" w:rsidRPr="008E2A35">
        <w:t>S2</w:t>
      </w:r>
      <w:r w:rsidR="009B5BAB">
        <w:t>6</w:t>
      </w:r>
      <w:r w:rsidR="004E1DC8" w:rsidRPr="008E2A35">
        <w:t xml:space="preserve"> and S</w:t>
      </w:r>
      <w:r w:rsidR="003E73D1" w:rsidRPr="008E2A35">
        <w:t>4</w:t>
      </w:r>
      <w:r w:rsidR="1E6AEB18" w:rsidRPr="008E2A35">
        <w:t>4</w:t>
      </w:r>
      <w:r w:rsidR="0054302E" w:rsidRPr="008E2A35">
        <w:t>).</w:t>
      </w:r>
      <w:r w:rsidR="005F6E98" w:rsidRPr="005F6E98">
        <w:t xml:space="preserve"> Lastly, the overall reduction in mortality rates from self-harm and interpersonal violence contributed to a </w:t>
      </w:r>
      <w:r w:rsidR="005F6E98" w:rsidRPr="008E2A35">
        <w:t>0.2</w:t>
      </w:r>
      <w:r w:rsidR="005F6E98" w:rsidRPr="005F6E98">
        <w:t>-year increase in life expectancy</w:t>
      </w:r>
      <w:r w:rsidR="00EC22EB">
        <w:t xml:space="preserve"> </w:t>
      </w:r>
      <w:r w:rsidR="005F6E98" w:rsidRPr="005F6E98">
        <w:t>w</w:t>
      </w:r>
      <w:r w:rsidR="00EC22EB">
        <w:t>ith</w:t>
      </w:r>
      <w:r w:rsidR="005F6E98" w:rsidRPr="005F6E98">
        <w:t xml:space="preserve"> </w:t>
      </w:r>
      <w:r w:rsidR="6D38F0C0" w:rsidRPr="008E2A35">
        <w:t>variable</w:t>
      </w:r>
      <w:r w:rsidR="005F6E98" w:rsidRPr="005F6E98">
        <w:t xml:space="preserve"> </w:t>
      </w:r>
      <w:r w:rsidR="5CB437D4">
        <w:t>mortality concentration</w:t>
      </w:r>
      <w:r w:rsidR="3D3FD26F" w:rsidRPr="008E2A35">
        <w:t xml:space="preserve">, showing </w:t>
      </w:r>
      <w:r w:rsidR="08F4EDB1">
        <w:t>concentration</w:t>
      </w:r>
      <w:r w:rsidR="005F6E98">
        <w:t xml:space="preserve"> in</w:t>
      </w:r>
      <w:r w:rsidR="41242F94">
        <w:t xml:space="preserve"> </w:t>
      </w:r>
      <w:r w:rsidR="19ECA6C8">
        <w:t>c</w:t>
      </w:r>
      <w:r w:rsidR="3D3FD26F">
        <w:t>entral</w:t>
      </w:r>
      <w:r w:rsidR="3D3FD26F" w:rsidRPr="008E2A35">
        <w:t xml:space="preserve"> and </w:t>
      </w:r>
      <w:r w:rsidR="141C7BC3">
        <w:t>t</w:t>
      </w:r>
      <w:r w:rsidR="005F6E98">
        <w:t>ropical</w:t>
      </w:r>
      <w:r w:rsidR="005F6E98" w:rsidRPr="005F6E98">
        <w:t xml:space="preserve"> Latin America and </w:t>
      </w:r>
      <w:r w:rsidR="3D3FD26F">
        <w:t>South</w:t>
      </w:r>
      <w:r w:rsidR="005F6E98" w:rsidRPr="005F6E98">
        <w:t xml:space="preserve"> Africa</w:t>
      </w:r>
      <w:r w:rsidR="3D3FD26F">
        <w:t>, but not exclusively these locations (</w:t>
      </w:r>
      <w:r w:rsidR="00A003A6">
        <w:t>a</w:t>
      </w:r>
      <w:r w:rsidR="3D3FD26F">
        <w:t xml:space="preserve">ppendix 2 </w:t>
      </w:r>
      <w:r w:rsidR="00501BAA">
        <w:t xml:space="preserve">figure </w:t>
      </w:r>
      <w:r w:rsidR="3D3FD26F">
        <w:t>S</w:t>
      </w:r>
      <w:r w:rsidR="009B5BAB">
        <w:t xml:space="preserve">25 and </w:t>
      </w:r>
      <w:r w:rsidR="3D3FD26F">
        <w:t>S45</w:t>
      </w:r>
      <w:r w:rsidR="00501BAA">
        <w:t>).</w:t>
      </w:r>
      <w:r w:rsidR="004D4058">
        <w:br w:type="page"/>
      </w:r>
    </w:p>
    <w:p w14:paraId="67FC54BD" w14:textId="342C1374" w:rsidR="00463121" w:rsidRPr="0057057F" w:rsidRDefault="00463121" w:rsidP="00610382">
      <w:pPr>
        <w:pStyle w:val="Heading2"/>
        <w:spacing w:before="0" w:after="0" w:line="360" w:lineRule="auto"/>
      </w:pPr>
      <w:r w:rsidRPr="0057057F">
        <w:lastRenderedPageBreak/>
        <w:t>Discussion</w:t>
      </w:r>
    </w:p>
    <w:p w14:paraId="4CBCF66A" w14:textId="0D82CE12" w:rsidR="00463121" w:rsidRDefault="0084705C" w:rsidP="00610382">
      <w:pPr>
        <w:pStyle w:val="Heading3"/>
        <w:spacing w:line="360" w:lineRule="auto"/>
      </w:pPr>
      <w:r>
        <w:t xml:space="preserve">High-level findings </w:t>
      </w:r>
      <w:r w:rsidR="00011259">
        <w:t>on causes of death</w:t>
      </w:r>
    </w:p>
    <w:p w14:paraId="4DD43291" w14:textId="355BBFED" w:rsidR="007D3726" w:rsidRPr="00143184" w:rsidRDefault="00266D31" w:rsidP="0096552F">
      <w:pPr>
        <w:spacing w:line="360" w:lineRule="auto"/>
      </w:pPr>
      <w:r>
        <w:t>The</w:t>
      </w:r>
      <w:r w:rsidR="00463121">
        <w:t xml:space="preserve"> COVID-19 pandemic </w:t>
      </w:r>
      <w:r>
        <w:t xml:space="preserve">has </w:t>
      </w:r>
      <w:r w:rsidR="00463121">
        <w:t xml:space="preserve">emerged as one of the most defining global health events of recent history. </w:t>
      </w:r>
      <w:r w:rsidR="00463121">
        <w:rPr>
          <w:color w:val="000000" w:themeColor="text1"/>
        </w:rPr>
        <w:t xml:space="preserve">Our latest comprehensive estimates of cause-specific mortality give insight into the global landscape of disease prior to and during the first two years of the pandemic, revealing the important changes in disease burden </w:t>
      </w:r>
      <w:r w:rsidR="487D076E" w:rsidRPr="2A5BC196">
        <w:rPr>
          <w:color w:val="000000" w:themeColor="text1"/>
        </w:rPr>
        <w:t xml:space="preserve">patterns </w:t>
      </w:r>
      <w:r w:rsidR="00463121">
        <w:rPr>
          <w:color w:val="000000" w:themeColor="text1"/>
        </w:rPr>
        <w:t xml:space="preserve">that followed. </w:t>
      </w:r>
      <w:r w:rsidR="00B660FA">
        <w:rPr>
          <w:color w:val="000000" w:themeColor="text1"/>
        </w:rPr>
        <w:t>After more than three decades of relatively consistent improvements in global life expectancy and declining age-standardised death rates, COVID-19 reversed longstanding progress and disrupted trends in the epidemiological transition</w:t>
      </w:r>
      <w:r w:rsidR="00B660FA" w:rsidRPr="00B660FA" w:rsidDel="00951FA8">
        <w:rPr>
          <w:color w:val="000000" w:themeColor="text1"/>
        </w:rPr>
        <w:t>.</w:t>
      </w:r>
      <w:r w:rsidR="00B660FA" w:rsidRPr="00B660FA">
        <w:rPr>
          <w:color w:val="000000" w:themeColor="text1"/>
        </w:rPr>
        <w:t xml:space="preserve"> </w:t>
      </w:r>
      <w:r w:rsidR="00B660FA" w:rsidRPr="00143184">
        <w:rPr>
          <w:color w:val="000000" w:themeColor="text1"/>
        </w:rPr>
        <w:t>As the second-leading cause of age-standardised deaths in 2021, COVID-19 had a pronounced influence on the drop in global life expectancy that occurred</w:t>
      </w:r>
      <w:r w:rsidR="00B660FA">
        <w:rPr>
          <w:color w:val="000000" w:themeColor="text1"/>
        </w:rPr>
        <w:t>.</w:t>
      </w:r>
      <w:r w:rsidR="003236B4">
        <w:rPr>
          <w:color w:val="000000" w:themeColor="text1"/>
        </w:rPr>
        <w:t xml:space="preserve"> The </w:t>
      </w:r>
      <w:r w:rsidR="003236B4" w:rsidRPr="6CE5CB9D">
        <w:rPr>
          <w:color w:val="000000" w:themeColor="text1"/>
        </w:rPr>
        <w:t>heterogeneous</w:t>
      </w:r>
      <w:r w:rsidR="003236B4">
        <w:rPr>
          <w:color w:val="000000" w:themeColor="text1"/>
        </w:rPr>
        <w:t xml:space="preserve"> influence of the virus across the globe pr</w:t>
      </w:r>
      <w:r w:rsidR="003236B4" w:rsidRPr="005F50DB">
        <w:t xml:space="preserve">ovides </w:t>
      </w:r>
      <w:r w:rsidR="003236B4">
        <w:t>important</w:t>
      </w:r>
      <w:r w:rsidR="003236B4" w:rsidRPr="005F50DB">
        <w:t xml:space="preserve"> in</w:t>
      </w:r>
      <w:r w:rsidR="003236B4">
        <w:t>sights</w:t>
      </w:r>
      <w:r w:rsidR="003236B4" w:rsidRPr="005F50DB">
        <w:t xml:space="preserve"> for</w:t>
      </w:r>
      <w:r w:rsidR="003236B4">
        <w:t xml:space="preserve"> improving future</w:t>
      </w:r>
      <w:r w:rsidR="003236B4" w:rsidRPr="005F50DB">
        <w:t xml:space="preserve"> pande</w:t>
      </w:r>
      <w:r w:rsidR="003236B4" w:rsidRPr="00913D67">
        <w:t xml:space="preserve">mic preparedness and ensuring </w:t>
      </w:r>
      <w:r w:rsidR="003236B4">
        <w:t xml:space="preserve">that </w:t>
      </w:r>
      <w:r w:rsidR="003236B4" w:rsidRPr="00913D67">
        <w:t xml:space="preserve">nations are equitably equipped </w:t>
      </w:r>
      <w:r w:rsidR="003236B4">
        <w:t>to respond to</w:t>
      </w:r>
      <w:r w:rsidR="003236B4" w:rsidRPr="00913D67">
        <w:t xml:space="preserve"> </w:t>
      </w:r>
      <w:r w:rsidR="003236B4">
        <w:t xml:space="preserve">new </w:t>
      </w:r>
      <w:r w:rsidR="003236B4" w:rsidRPr="00913D67">
        <w:t>outbreaks.</w:t>
      </w:r>
      <w:r w:rsidR="00C202DB">
        <w:t xml:space="preserve"> In addition, our analysis of geographical and temporal trends in mortality enables us to observe the changing patterns in causes of death worldwide. Many causes have exhibited a reduced geographical reach</w:t>
      </w:r>
      <w:r w:rsidR="00C202DB">
        <w:rPr>
          <w:rFonts w:cs="Times New Roman"/>
        </w:rPr>
        <w:t>—</w:t>
      </w:r>
      <w:r w:rsidR="00C202DB">
        <w:t>a reflection of dedicated and persistent mitigation efforts to reduce them, as well as potential changes to risk factor exposure.</w:t>
      </w:r>
      <w:r w:rsidR="00C202DB">
        <w:fldChar w:fldCharType="begin"/>
      </w:r>
      <w:r w:rsidR="00DC37DC">
        <w:instrText xml:space="preserve"> ADDIN ZOTERO_ITEM CSL_CITATION {"citationID":"wzxs8dhC","properties":{"formattedCitation":"\\super 15\\nosupersub{}","plainCitation":"15","noteIndex":0},"citationItems":[{"id":128179,"uris":["http://zotero.org/groups/2154524/items/ZUH93LJB"],"itemData":{"id":128179,"type":"article-journal","abstract":"BACKGROUND: Rigorous analysis of levels and trends in exposure to leading risk factors and quantification of their effect on human health are important to identify where public health is making progress and in which cases current efforts are inadequate. The Global Burden of Diseases, Injuries, and Risk Factors Study (GBD) 2019 provides a standardised and comprehensive assessment of the magnitude of risk factor exposure, relative risk, and attributable burden of disease.\nMETHODS: GBD 2019 estimated attributable mortality, years of life lost (YLLs), years of life lived with disability (YLDs), and disability-adjusted life-years (DALYs) for 87 risk factors and combinations of risk factors, at the global level, regionally, and for 204 countries and territories. GBD uses a hierarchical list of risk factors so that specific risk factors (eg, sodium intake), and related aggregates (eg, diet quality), are both evaluated. This method has six analytical steps. (1) We included 560 risk-outcome pairs that met criteria for convincing or probable evidence on the basis of research studies. 12 risk-outcome pairs included in GBD 2017 no longer met inclusion criteria and 47 risk-outcome pairs for risks already included in GBD 2017 were added based on new evidence. (2) Relative risks were estimated as a function of exposure based on published systematic reviews, 81 systematic reviews done for GBD 2019, and meta-regression. (3) Levels of exposure in each age-sex-location-year included in the study were estimated based on all available data sources using spatiotemporal Gaussian process regression, DisMod-MR 2.1, a Bayesian meta-regression method, or alternative methods. (4) We determined, from published trials or cohort studies, the level of exposure associated with minimum risk, called the theoretical minimum risk exposure level. (5) Attributable deaths, YLLs, YLDs, and DALYs were computed by multiplying population attributable fractions (PAFs) by the relevant outcome quantity for each age-sex-location-year. (6) PAFs and attributable burden for combinations of risk factors were estimated taking into account mediation of different risk factors through other risk factors. Across all six analytical steps, 30 652 distinct data sources were used in the analysis. Uncertainty in each step of the analysis was propagated into the final estimates of attributable burden. Exposure levels for dichotomous, polytomous, and continuous risk factors were summarised with use of the summary exposure value to facilitate comparisons over time, across location, and across risks. Because the entire time series from 1990 to 2019 has been re-estimated with use of consistent data and methods, these results supersede previously published GBD estimates of attributable burden.\nFINDINGS: The largest declines in risk exposure from 2010 to 2019 were among a set of risks that are strongly linked to social and economic development, including household air pollution; unsafe water, sanitation, and handwashing; and child growth failure. Global declines also occurred for tobacco smoking and lead exposure. The largest increases in risk exposure were for ambient particulate matter pollution, drug use, high fasting plasma glucose, and high body-mass index. In 2019, the leading Level 2 risk factor globally for attributable deaths was high systolic blood pressure, which accounted for 10·8 million (95% uncertainty interval [UI] 9·51-12·1) deaths (19·2% [16·9-21·3] of all deaths in 2019), followed by tobacco (smoked, second-hand, and chewing), which accounted for 8·71 million (8·12-9·31) deaths (15·4% [14·6-16·2] of all deaths in 2019). The leading Level 2 risk factor for attributable DALYs globally in 2019 was child and maternal malnutrition, which largely affects health in the youngest age groups and accounted for 295 million (253-350) DALYs (11·6% [10·3-13·1] of all global DALYs that year). The risk factor burden varied considerably in 2019 between age groups and locations. Among children aged 0-9 years, the three leading detailed risk factors for attributable DALYs were all related to malnutrition. Iron deficiency was the leading risk factor for those aged 10-24 years, alcohol use for those aged 25-49 years, and high systolic blood pressure for those aged 50-74 years and 75 years and older.\nINTERPRETATION: Overall, the record for reducing exposure to harmful risks over the past three decades is poor. Success with reducing smoking and lead exposure through regulatory policy might point the way for a stronger role for public policy on other risks in addition to continued efforts to provide information on risk factor harm to the general public.\nFUNDING: Bill &amp; Melinda Gates Foundation.","container-title":"Lancet (London, England)","DOI":"10.1016/S0140-6736(20)30752-2","ISSN":"1474-547X","issue":"10258","journalAbbreviation":"Lancet","language":"eng","note":"PMID: 33069327\nPMCID: PMC7566194","page":"1223-1249","source":"PubMed","title":"Global burden of 87 risk factors in 204 countries and territories, 1990-2019: a systematic analysis for the Global Burden of Disease Study 2019","title-short":"Global burden of 87 risk factors in 204 countries and territories, 1990-2019","volume":"396","author":[{"literal":"GBD 2019 Risk Factors Collaborators"}],"issued":{"date-parts":[["2020",10,17]]}}}],"schema":"https://github.com/citation-style-language/schema/raw/master/csl-citation.json"} </w:instrText>
      </w:r>
      <w:r w:rsidR="00C202DB">
        <w:fldChar w:fldCharType="separate"/>
      </w:r>
      <w:r w:rsidR="00DC37DC" w:rsidRPr="00143184">
        <w:rPr>
          <w:rFonts w:cs="Times New Roman"/>
          <w:szCs w:val="24"/>
          <w:vertAlign w:val="superscript"/>
        </w:rPr>
        <w:t>15</w:t>
      </w:r>
      <w:r w:rsidR="00C202DB">
        <w:fldChar w:fldCharType="end"/>
      </w:r>
      <w:r w:rsidR="00C202DB">
        <w:t xml:space="preserve"> This study offers an opportunity to apply the lessons learned from these successes to further reduce deaths from causes that are now present within smaller, more concentrated areas throughout the world.</w:t>
      </w:r>
    </w:p>
    <w:p w14:paraId="2E636CC8" w14:textId="297C3ED4" w:rsidR="00463121" w:rsidRPr="00680053" w:rsidRDefault="002E3814" w:rsidP="00610382">
      <w:pPr>
        <w:pStyle w:val="Heading3"/>
        <w:spacing w:line="360" w:lineRule="auto"/>
      </w:pPr>
      <w:proofErr w:type="spellStart"/>
      <w:r>
        <w:t>T</w:t>
      </w:r>
      <w:r w:rsidR="00097FDA">
        <w:t>T</w:t>
      </w:r>
      <w:r w:rsidR="00753BE3">
        <w:t>he</w:t>
      </w:r>
      <w:proofErr w:type="spellEnd"/>
      <w:r w:rsidR="00753BE3">
        <w:t xml:space="preserve"> </w:t>
      </w:r>
      <w:r w:rsidR="00463121" w:rsidRPr="00680053">
        <w:t xml:space="preserve">COVID-19 </w:t>
      </w:r>
      <w:r w:rsidR="00753BE3">
        <w:t>pandemic</w:t>
      </w:r>
    </w:p>
    <w:p w14:paraId="4977F1D0" w14:textId="279E1878" w:rsidR="00884613" w:rsidRDefault="0040493E" w:rsidP="00897B57">
      <w:pPr>
        <w:spacing w:line="360" w:lineRule="auto"/>
        <w:rPr>
          <w:rFonts w:cs="Times New Roman"/>
          <w:vertAlign w:val="superscript"/>
        </w:rPr>
      </w:pPr>
      <w:r>
        <w:t xml:space="preserve">The emergence and spread of COVID-19 follows a similar pattern of regional heterogeneity that is </w:t>
      </w:r>
      <w:r w:rsidR="00646C51">
        <w:t xml:space="preserve">common </w:t>
      </w:r>
      <w:r>
        <w:t xml:space="preserve">among many leading </w:t>
      </w:r>
      <w:r w:rsidR="00870614">
        <w:t xml:space="preserve">communicable </w:t>
      </w:r>
      <w:r>
        <w:t xml:space="preserve">causes of death, with higher rates of infection and increased </w:t>
      </w:r>
      <w:r w:rsidR="00710FC2">
        <w:t>fatalities</w:t>
      </w:r>
      <w:r>
        <w:t xml:space="preserve"> occurring in low</w:t>
      </w:r>
      <w:r w:rsidR="003D242B">
        <w:t>er</w:t>
      </w:r>
      <w:r>
        <w:t>-res</w:t>
      </w:r>
      <w:r w:rsidRPr="00E302D6">
        <w:t>ource settings.</w:t>
      </w:r>
      <w:r w:rsidRPr="00E302D6">
        <w:rPr>
          <w:color w:val="2B579A"/>
        </w:rPr>
        <w:fldChar w:fldCharType="begin"/>
      </w:r>
      <w:r w:rsidR="00DC37DC">
        <w:instrText xml:space="preserve"> ADDIN ZOTERO_ITEM CSL_CITATION {"citationID":"RYimwR1G","properties":{"formattedCitation":"\\super 6,16,17\\nosupersub{}","plainCitation":"6,16,17","noteIndex":0},"citationItems":[{"id":122058,"uris":["http://zotero.org/groups/2154524/items/YY37YSNX"],"itemData":{"id":122058,"type":"article-journal","container-title":"Lancet","DOI":"https://doi.org/10.1016/S0140-6736(20)30925-9","issue":"10258","journalAbbreviation":"Lancet","page":"1204-22","title":"Global burden of 369 diseases and injuries in 204 countries and territories, 1990–2019: a systematic analysis for the Global Burden of Disease Study 2019","volume":"396","author":[{"literal":"GBD 2019 Diseases and Injuries Collaborators"}],"issued":{"date-parts":[["2020"]]}},"label":"page"},{"id":116968,"uris":["http://zotero.org/groups/2154524/items/B89NCLMD"],"itemData":{"id":116968,"type":"article-journal","abstract":"INTRODUCTION: The infection fatality rate (IFR) of COVID-19 has been carefully measured and analysed in high-income countries, whereas there has been no systematic analysis of age-specific seroprevalence or IFR for developing countries.\nMETHODS: We systematically reviewed the literature to identify all COVID-19 serology studies in developing countries that were conducted using representative samples collected by February 2021. For each of the antibody assays used in these serology studies, we identified data on assay characteristics, including the extent of seroreversion over time. We analysed the serology data using a Bayesian model that incorporates conventional sampling uncertainty as well as uncertainties about assay sensitivity and specificity. We then calculated IFRs using individual case reports or aggregated public health updates, including age-specific estimates whenever feasible.\nRESULTS: In most locations in developing countries, seroprevalence among older adults was similar to that of younger age cohorts, underscoring the limited capacity that these nations have to protect older age groups.Age-specific IFRs were roughly 2 times higher than in high-income countries. The median value of the population IFR was about 0.5%, similar to that of high-income countries, because disparities in healthcare access were roughly offset by differences in population age structure.\nCONCLUSION: The burden of COVID-19 is far higher in developing countries than in high-income countries, reflecting a combination of elevated transmission to middle-aged and older adults as well as limited access to adequate healthcare. These results underscore the critical need to ensure medical equity to populations in developing countries through provision of vaccine doses and effective medications.","container-title":"BMJ global health","DOI":"10.1136/bmjgh-2022-008477","ISSN":"2059-7908","issue":"5","journalAbbreviation":"BMJ Glob Health","language":"eng","note":"PMID: 35618305\nPMCID: PMC9136695","page":"e008477","source":"PubMed","title":"Assessing the burden of COVID-19 in developing countries: systematic review, meta-analysis and public policy implications","title-short":"Assessing the burden of COVID-19 in developing countries","volume":"7","author":[{"family":"Levin","given":"Andrew T."},{"family":"Owusu-Boaitey","given":"Nana"},{"family":"Pugh","given":"Sierra"},{"family":"Fosdick","given":"Bailey K."},{"family":"Zwi","given":"Anthony B."},{"family":"Malani","given":"Anup"},{"family":"Soman","given":"Satej"},{"family":"Besançon","given":"Lonni"},{"family":"Kashnitsky","given":"Ilya"},{"family":"Ganesh","given":"Sachin"},{"family":"McLaughlin","given":"Aloysius"},{"family":"Song","given":"Gayeong"},{"family":"Uhm","given":"Rine"},{"family":"Herrera-Esposito","given":"Daniel"},{"family":"Los Campos","given":"Gustavo","non-dropping-particle":"de"},{"family":"Peçanha Antonio","given":"Ana Carolina Pecanha"},{"family":"Tadese","given":"Enyew Birru"},{"family":"Meyerowitz-Katz","given":"Gideon"}],"issued":{"date-parts":[["2022",5]]}},"label":"page"},{"id":127977,"uris":["http://zotero.org/groups/2154524/items/QLU8U8UY"],"itemData":{"id":127977,"type":"article-journal","container-title":"The Lancet","DOI":"10.1016/S0140-6736(22)00484-6","ISSN":"0140-6736, 1474-547X","issue":"10344","journalAbbreviation":"The Lancet","language":"English","note":"publisher: Elsevier\nPMID: 35405084","page":"2351-2380","source":"www.thelancet.com","title":"Estimating global, regional, and national daily and cumulative infections with SARS-CoV-2 through Nov 14, 2021: a statistical analysis","title-short":"Estimating global, regional, and national daily and cumulative infections with SARS-CoV-2 through Nov 14, 2021","volume":"399","author":[{"family":"Barber","given":"Ryan M."},{"family":"Sorensen","given":"Reed J. D."},{"family":"Pigott","given":"David M."},{"family":"Bisignano","given":"Catherine"},{"family":"Carter","given":"Austin"},{"family":"Amlag","given":"Joanne O."},{"family":"Collins","given":"James K."},{"family":"Abbafati","given":"Cristiana"},{"family":"Adolph","given":"Christopher"},{"family":"Allorant","given":"Adrien"},{"family":"Aravkin","given":"Aleksandr Y."},{"family":"Bang-Jensen","given":"Bree L."},{"family":"Castro","given":"Emma"},{"family":"Chakrabarti","given":"Suman"},{"family":"Cogen","given":"Rebecca M."},{"family":"Combs","given":"Emily"},{"family":"Comfort","given":"Haley"},{"family":"Cooperrider","given":"Kimberly"},{"family":"Dai","given":"Xiaochen"},{"family":"Daoud","given":"Farah"},{"family":"Deen","given":"Amanda"},{"family":"Earl","given":"Lucas"},{"family":"Erickson","given":"Megan"},{"family":"Ewald","given":"Samuel B."},{"family":"Ferrari","given":"Alize J."},{"family":"Flaxman","given":"Abraham D."},{"family":"Frostad","given":"Joseph Jon"},{"family":"Fullman","given":"Nancy"},{"family":"Giles","given":"John R."},{"family":"Guo","given":"Gaorui"},{"family":"He","given":"Jiawei"},{"family":"Helak","given":"Monika"},{"family":"Hulland","given":"Erin N."},{"family":"Huntley","given":"Bethany M."},{"family":"Lazzar-Atwood","given":"Alice"},{"family":"LeGrand","given":"Kate E."},{"family":"Lim","given":"Stephen S."},{"family":"Lindstrom","given":"Akiaja"},{"family":"Linebarger","given":"Emily"},{"family":"Lozano","given":"Rafael"},{"family":"Magistro","given":"Beatrice"},{"family":"Malta","given":"Deborah Carvalho"},{"family":"Månsson","given":"Johan"},{"family":"Herrera","given":"Ana M. Mantilla"},{"family":"Mokdad","given":"Ali H."},{"family":"Monasta","given":"Lorenzo"},{"family":"Naghavi","given":"Mohsen"},{"family":"Nomura","given":"Shuhei"},{"family":"Odell","given":"Christopher M."},{"family":"Olana","given":"Latera Tesfaye"},{"family":"Ostroff","given":"Samuel M."},{"family":"Pasovic","given":"Maja"},{"family":"Pease","given":"Spencer A."},{"family":"Jr","given":"Robert C. Reiner"},{"family":"Reinke","given":"Grace"},{"family":"Ribeiro","given":"Antonio Luiz P."},{"family":"Santomauro","given":"Damian F."},{"family":"Sholokhov","given":"Aleksei"},{"family":"Spurlock","given":"Emma E."},{"family":"Syailendrawati","given":"Ruri"},{"family":"Topor-Madry","given":"Roman"},{"family":"Vo","given":"Anh Truc"},{"family":"Vos","given":"Theo"},{"family":"Walcott","given":"Rebecca"},{"family":"Walker","given":"Ally"},{"family":"Wiens","given":"Kirsten E."},{"family":"Wiysonge","given":"Charles Shey"},{"family":"Worku","given":"Nahom Alemseged"},{"family":"Zheng","given":"Peng"},{"family":"Hay","given":"Simon I."},{"family":"Gakidou","given":"Emmanuela"},{"family":"Murray","given":"Christopher J. L."}],"issued":{"date-parts":[["2022",6,25]]}},"label":"page"}],"schema":"https://github.com/citation-style-language/schema/raw/master/csl-citation.json"} </w:instrText>
      </w:r>
      <w:r w:rsidRPr="00E302D6">
        <w:rPr>
          <w:color w:val="2B579A"/>
        </w:rPr>
        <w:fldChar w:fldCharType="separate"/>
      </w:r>
      <w:r w:rsidR="00DC37DC" w:rsidRPr="00143184">
        <w:rPr>
          <w:rFonts w:cs="Times New Roman"/>
          <w:szCs w:val="24"/>
          <w:vertAlign w:val="superscript"/>
        </w:rPr>
        <w:t>6,16,17</w:t>
      </w:r>
      <w:r w:rsidRPr="00E302D6">
        <w:rPr>
          <w:color w:val="2B579A"/>
        </w:rPr>
        <w:fldChar w:fldCharType="end"/>
      </w:r>
      <w:r w:rsidR="09964177">
        <w:t xml:space="preserve"> </w:t>
      </w:r>
      <w:r w:rsidR="2F76728B">
        <w:t xml:space="preserve">While heterogeneity in </w:t>
      </w:r>
      <w:r w:rsidR="4C84F002">
        <w:t>COVID</w:t>
      </w:r>
      <w:r w:rsidR="2F76728B">
        <w:t xml:space="preserve">-19 </w:t>
      </w:r>
      <w:r w:rsidR="62B3E21A">
        <w:t>outcomes</w:t>
      </w:r>
      <w:r w:rsidR="5785DD00">
        <w:t xml:space="preserve"> in 2020 and 2021</w:t>
      </w:r>
      <w:r w:rsidR="62B3E21A">
        <w:t xml:space="preserve"> </w:t>
      </w:r>
      <w:r w:rsidR="2F76728B">
        <w:t>varie</w:t>
      </w:r>
      <w:r w:rsidR="7E382631">
        <w:t>d</w:t>
      </w:r>
      <w:r w:rsidR="2F76728B">
        <w:t xml:space="preserve"> by the income status of a country</w:t>
      </w:r>
      <w:r w:rsidR="65B0E5A1">
        <w:t xml:space="preserve"> or territory</w:t>
      </w:r>
      <w:r w:rsidR="2F76728B">
        <w:t xml:space="preserve">, it </w:t>
      </w:r>
      <w:r w:rsidR="1A1E44E3">
        <w:t>was</w:t>
      </w:r>
      <w:r w:rsidR="2F76728B">
        <w:t xml:space="preserve"> also directly related to age, government action</w:t>
      </w:r>
      <w:r w:rsidR="18975F87">
        <w:t>s</w:t>
      </w:r>
      <w:r w:rsidR="2F76728B">
        <w:t xml:space="preserve"> to close borders</w:t>
      </w:r>
      <w:r w:rsidR="7545497F">
        <w:t>,</w:t>
      </w:r>
      <w:r w:rsidR="2F76728B">
        <w:t xml:space="preserve"> and the implementation of transmission reduction policies.</w:t>
      </w:r>
      <w:r w:rsidR="009B3024">
        <w:fldChar w:fldCharType="begin"/>
      </w:r>
      <w:r w:rsidR="00DC37DC">
        <w:instrText xml:space="preserve"> ADDIN ZOTERO_ITEM CSL_CITATION {"citationID":"hhbkfwZC","properties":{"formattedCitation":"\\super 18\\nosupersub{}","plainCitation":"18","noteIndex":0},"citationItems":[{"id":128161,"uris":["http://zotero.org/groups/2154524/items/QYWPXRW9"],"itemData":{"id":128161,"type":"article-journal","abstract":"Background: Daily new COVID-19 cases from January to April 2020 demonstrate varying patterns of SARS-CoV-2 transmission across different geographical regions. Constant infection rates were observed in some countries, whereas China and South Korea had a very low number of daily new cases. In fact, China and South Korea successfully and quickly flattened their COVID-19 curve. To understand why this was the case, this paper investigated possible aerosol-forming patterns in the atmosphere and their relationship to the policy measures adopted by select countries. Objective: The main research objective was to compare the outcomes of policies adopted by countries between January and April 2020. Policies included physical distancing measures that in some cases were associated with mask use and city disinfection. We investigated whether the type of social distancing framework adopted by some countries (ie, without mask use and city disinfection) led to the continual dissemination of SARS-CoV-2 (daily new cases) in the community during the study period. Methods: We examined the policies used as a preventive framework for virus community transmission in some countries and compared them to the policies adopted by China and South Korea. Countries that used a policy of social distancing by 1-2 m were divided into two groups. The first group consisted of countries that implemented social distancing (1-2 m) only, and the second comprised China and South Korea, which implemented distancing with additional transmission/isolation measures using masks and city disinfection. Global daily case maps from Johns Hopkins University were used to provide time-series data for the analysis. Results: The results showed that virus transmission was reduced due to policies affecting SARS-CoV-2 propagation over time. Remarkably, China and South Korea obtained substantially better results than other countries at the beginning of the epidemic due to their adoption of social distancing (1-2 m) with the additional use of masks and sanitization (city disinfection). These measures proved to be effective due to the atmosphere carrier potential of SARS-CoV-2 transmission. Conclusions: Our findings confirm that social distancing by 1-2 m with mask use and city disinfection yields positive outcomes. These strategies should be incorporated into prevention and control policies and be adopted both globally and by individuals as a method to fight the COVID-19 pandemic.","container-title":"JMIR Public Health and Surveillance","DOI":"10.2196/20699","issue":"4","language":"en","note":"publisher: JMIR Publications Inc., Toronto, Canada","page":"e20699","source":"publichealth-jmir-org.offcampus.lib.washington.edu","title":"The impact of COVID-19 management policies tailored to airborne SARS-CoV-2 transmission: policy analysis","title-short":"The Impact of COVID-19 Management Policies Tailored to Airborne SARS-CoV-2 Transmission","volume":"7","author":[{"family":"Telles","given":"Charles Roberto"},{"family":"Roy","given":"Archisman"},{"family":"Ajmal","given":"Mohammad Rehan"},{"family":"Mustafa","given":"Syed Khalid"},{"family":"Ahmad","given":"Mohammad Ayaz"},{"family":"Serna","given":"Juan Moises","dropping-particle":"de la"},{"family":"Frigo","given":"Elisandro Pires"},{"family":"Rosales","given":"Manuel Hernández"}],"issued":{"date-parts":[["2021",4,21]]}}}],"schema":"https://github.com/citation-style-language/schema/raw/master/csl-citation.json"} </w:instrText>
      </w:r>
      <w:r w:rsidR="009B3024">
        <w:fldChar w:fldCharType="separate"/>
      </w:r>
      <w:r w:rsidR="00DC37DC" w:rsidRPr="00143184">
        <w:rPr>
          <w:rFonts w:cs="Times New Roman"/>
          <w:szCs w:val="24"/>
          <w:vertAlign w:val="superscript"/>
        </w:rPr>
        <w:t>18</w:t>
      </w:r>
      <w:r w:rsidR="009B3024">
        <w:fldChar w:fldCharType="end"/>
      </w:r>
      <w:r w:rsidRPr="00E302D6">
        <w:t xml:space="preserve"> </w:t>
      </w:r>
      <w:r w:rsidR="0021181C">
        <w:t>This general pattern</w:t>
      </w:r>
      <w:r w:rsidR="005E0B6F">
        <w:t xml:space="preserve"> </w:t>
      </w:r>
      <w:r w:rsidR="00B7075F">
        <w:t xml:space="preserve">did </w:t>
      </w:r>
      <w:r w:rsidR="005E0B6F">
        <w:t xml:space="preserve">not </w:t>
      </w:r>
      <w:r w:rsidR="0091241A">
        <w:t xml:space="preserve">always </w:t>
      </w:r>
      <w:r w:rsidR="005E0B6F">
        <w:t>hold true at the national level, however, where</w:t>
      </w:r>
      <w:r w:rsidR="002B46E2">
        <w:t xml:space="preserve"> estimates from</w:t>
      </w:r>
      <w:r w:rsidR="0035700F">
        <w:t xml:space="preserve"> some</w:t>
      </w:r>
      <w:r w:rsidR="0052432C">
        <w:t xml:space="preserve"> high-income countries</w:t>
      </w:r>
      <w:r w:rsidR="00E670E5">
        <w:t xml:space="preserve"> </w:t>
      </w:r>
      <w:r w:rsidR="002B46E2">
        <w:t>show</w:t>
      </w:r>
      <w:r w:rsidR="00B7075F">
        <w:t>ed</w:t>
      </w:r>
      <w:r w:rsidR="002B46E2">
        <w:t xml:space="preserve"> a </w:t>
      </w:r>
      <w:r w:rsidR="00292048">
        <w:t>much</w:t>
      </w:r>
      <w:r w:rsidR="002B46E2">
        <w:t xml:space="preserve"> greater burden than </w:t>
      </w:r>
      <w:r w:rsidR="00C87378">
        <w:t>would</w:t>
      </w:r>
      <w:r w:rsidR="00E006CB">
        <w:t xml:space="preserve"> have </w:t>
      </w:r>
      <w:r w:rsidR="00C87378">
        <w:t>been expected</w:t>
      </w:r>
      <w:r w:rsidR="00A539CF">
        <w:t>,</w:t>
      </w:r>
      <w:r w:rsidR="00C87378">
        <w:t xml:space="preserve"> indicating </w:t>
      </w:r>
      <w:r w:rsidR="00527872">
        <w:t xml:space="preserve">significant </w:t>
      </w:r>
      <w:r w:rsidR="00C87378">
        <w:t xml:space="preserve">opportunities </w:t>
      </w:r>
      <w:r w:rsidR="001B0C20">
        <w:t xml:space="preserve">for better </w:t>
      </w:r>
      <w:r w:rsidR="00B44FFB">
        <w:t xml:space="preserve">pandemic </w:t>
      </w:r>
      <w:r w:rsidR="006E32BB">
        <w:t>preparedness</w:t>
      </w:r>
      <w:r w:rsidR="00881F2F">
        <w:t xml:space="preserve"> </w:t>
      </w:r>
      <w:r w:rsidR="00527872">
        <w:t xml:space="preserve">and response </w:t>
      </w:r>
      <w:r w:rsidR="00881F2F">
        <w:t>in these nations</w:t>
      </w:r>
      <w:r w:rsidR="00B04620">
        <w:t>.</w:t>
      </w:r>
      <w:r w:rsidR="00523CBB">
        <w:fldChar w:fldCharType="begin"/>
      </w:r>
      <w:r w:rsidR="00DC37DC">
        <w:instrText xml:space="preserve"> ADDIN ZOTERO_ITEM CSL_CITATION {"citationID":"HGmpPxd0","properties":{"formattedCitation":"\\super 19\\nosupersub{}","plainCitation":"19","noteIndex":0},"citationItems":[{"id":127829,"uris":["http://zotero.org/groups/2154524/items/49ZZ2C5W"],"itemData":{"id":127829,"type":"article-journal","container-title":"The Lancet","DOI":"10.1016/S0140-6736(22)00172-6","ISSN":"0140-6736, 1474-547X","issue":"10334","journalAbbreviation":"The Lancet","language":"English","note":"publisher: Elsevier\nPMID: 35120592","page":"1489-1512","source":"www.thelancet.com","title":"Pandemic preparedness and COVID-19: an exploratory analysis of infection and fatality rates, and contextual factors associated with preparedness in 177 countries, from Jan 1, 2020, to Sept 30, 2021","title-short":"Pandemic preparedness and COVID-19","volume":"399","author":[{"family":"Bollyky","given":"Thomas J."},{"family":"Hulland","given":"Erin N."},{"family":"Barber","given":"Ryan M."},{"family":"Collins","given":"James K."},{"family":"Kiernan","given":"Samantha"},{"family":"Moses","given":"Mark"},{"family":"Pigott","given":"David M."},{"family":"Jr","given":"Robert C. Reiner"},{"family":"Sorensen","given":"Reed J. D."},{"family":"Abbafati","given":"Cristiana"},{"family":"Adolph","given":"Christopher"},{"family":"Allorant","given":"Adrien"},{"family":"Amlag","given":"Joanne O."},{"family":"Aravkin","given":"Aleksandr Y."},{"family":"Bang-Jensen","given":"Bree"},{"family":"Carter","given":"Austin"},{"family":"Castellano","given":"Rachel"},{"family":"Castro","given":"Emma"},{"family":"Chakrabarti","given":"Suman"},{"family":"Combs","given":"Emily"},{"family":"Dai","given":"Xiaochen"},{"family":"Dangel","given":"William James"},{"family":"Dapper","given":"Carolyn"},{"family":"Deen","given":"Amanda"},{"family":"Duncan","given":"Bruce B."},{"family":"Earl","given":"Lucas"},{"family":"Erickson","given":"Megan"},{"family":"Ewald","given":"Samuel B."},{"family":"Fedosseeva","given":"Tatiana"},{"family":"Ferrari","given":"Alize J."},{"family":"Flaxman","given":"Abraham D."},{"family":"Fullman","given":"Nancy"},{"family":"Gakidou","given":"Emmanuela"},{"family":"Galal","given":"Bayan"},{"family":"Gallagher","given":"John"},{"family":"Giles","given":"John R."},{"family":"Guo","given":"Gaorui"},{"family":"He","given":"Jiawei"},{"family":"Helak","given":"Monika"},{"family":"Huntley","given":"Bethany M."},{"family":"Idrisov","given":"Bulat"},{"family":"Johanns","given":"Casey"},{"family":"LeGrand","given":"Kate E."},{"family":"Letourneau","given":"Ian D."},{"family":"Lindstrom","given":"Akiaja"},{"family":"Linebarger","given":"Emily"},{"family":"Lotufo","given":"Paulo A."},{"family":"Lozano","given":"Rafael"},{"family":"Magistro","given":"Beatrice"},{"family":"Malta","given":"Deborah Carvalho"},{"family":"Månsson","given":"Johan"},{"family":"Herrera","given":"Ana M. Mantilla"},{"family":"Marinho","given":"Fatima"},{"family":"Mirkuzie","given":"Alemnesh H."},{"family":"Mokdad","given":"Ali H."},{"family":"Monasta","given":"Lorenzo"},{"family":"Naik","given":"Paulami"},{"family":"Nomura","given":"Shuhei"},{"family":"O'Halloran","given":"James Kevin"},{"family":"Odell","given":"Christopher M."},{"family":"Olana","given":"Latera Tesfaye"},{"family":"Ostroff","given":"Samuel M."},{"family":"Pasovic","given":"Maja"},{"family":"Passos","given":"Valeria Maria de Azeredo"},{"family":"Penberthy","given":"Louise"},{"family":"Reinke","given":"Grace"},{"family":"Santomauro","given":"Damian Francesco"},{"family":"Schmidt","given":"Maria Inês"},{"family":"Sholokhov","given":"Aleksei"},{"family":"Spurlock","given":"Emma"},{"family":"Troeger","given":"Christopher E."},{"family":"Varavikova","given":"Elena"},{"family":"Vo","given":"Anh T."},{"family":"Vos","given":"Theo"},{"family":"Walcott","given":"Rebecca"},{"family":"Walker","given":"Ally"},{"family":"Wigley","given":"Simon D."},{"family":"Wiysonge","given":"Charles Shey"},{"family":"Worku","given":"Nahom Alemseged"},{"family":"Wu","given":"Yifan"},{"family":"Hanson","given":"Sarah Wulf"},{"family":"Zheng","given":"Peng"},{"family":"Hay","given":"Simon I."},{"family":"Murray","given":"Christopher J. L."},{"family":"Dieleman","given":"Joseph L."}],"issued":{"date-parts":[["2022",4,16]]}}}],"schema":"https://github.com/citation-style-language/schema/raw/master/csl-citation.json"} </w:instrText>
      </w:r>
      <w:r w:rsidR="00523CBB">
        <w:fldChar w:fldCharType="separate"/>
      </w:r>
      <w:r w:rsidR="00DC37DC" w:rsidRPr="00143184">
        <w:rPr>
          <w:rFonts w:cs="Times New Roman"/>
          <w:szCs w:val="24"/>
          <w:vertAlign w:val="superscript"/>
        </w:rPr>
        <w:t>19</w:t>
      </w:r>
      <w:r w:rsidR="00523CBB">
        <w:fldChar w:fldCharType="end"/>
      </w:r>
      <w:r w:rsidR="0091241A">
        <w:t xml:space="preserve"> </w:t>
      </w:r>
      <w:r w:rsidR="00710FC2" w:rsidRPr="00E302D6">
        <w:t>The varying degree of impact across locations emphasi</w:t>
      </w:r>
      <w:r w:rsidR="004F7415">
        <w:t>s</w:t>
      </w:r>
      <w:r w:rsidR="00710FC2" w:rsidRPr="00E302D6">
        <w:t>es the complexity of the pandemic</w:t>
      </w:r>
      <w:r w:rsidR="00BF6896">
        <w:t>’s effects.</w:t>
      </w:r>
      <w:r w:rsidR="007867BC" w:rsidRPr="00E302D6">
        <w:t xml:space="preserve"> Diverse social, economic, and political influence</w:t>
      </w:r>
      <w:r w:rsidR="006F3922">
        <w:t>s</w:t>
      </w:r>
      <w:r w:rsidR="00881F2F">
        <w:rPr>
          <w:rFonts w:cs="Times New Roman"/>
        </w:rPr>
        <w:t xml:space="preserve"> </w:t>
      </w:r>
      <w:r w:rsidR="007867BC" w:rsidRPr="00E302D6">
        <w:t>contribute</w:t>
      </w:r>
      <w:r w:rsidR="00CF5CF0">
        <w:t>d</w:t>
      </w:r>
      <w:r w:rsidR="007867BC" w:rsidRPr="00E302D6">
        <w:t xml:space="preserve"> to the variations in death rates observed between locations</w:t>
      </w:r>
      <w:r w:rsidR="00E96492">
        <w:t>.</w:t>
      </w:r>
      <w:r w:rsidR="00C22F43" w:rsidRPr="00E302D6">
        <w:t xml:space="preserve"> In general, a</w:t>
      </w:r>
      <w:r w:rsidR="002E663E" w:rsidRPr="00E302D6">
        <w:t>reas with advanced health</w:t>
      </w:r>
      <w:r w:rsidR="004F7415">
        <w:t>-</w:t>
      </w:r>
      <w:r w:rsidR="002E663E" w:rsidRPr="00E302D6">
        <w:t xml:space="preserve">care systems and </w:t>
      </w:r>
      <w:r w:rsidR="00EA19E0" w:rsidRPr="00E302D6">
        <w:t>robust medical facilities</w:t>
      </w:r>
      <w:r w:rsidR="003F62C1" w:rsidRPr="00E302D6">
        <w:t xml:space="preserve"> </w:t>
      </w:r>
      <w:r w:rsidR="0015557F">
        <w:t>were</w:t>
      </w:r>
      <w:r w:rsidR="0015557F" w:rsidRPr="00E302D6">
        <w:t xml:space="preserve"> </w:t>
      </w:r>
      <w:r w:rsidR="00F13A27" w:rsidRPr="00E302D6">
        <w:t>better</w:t>
      </w:r>
      <w:r w:rsidR="009148F7" w:rsidRPr="00E302D6">
        <w:t xml:space="preserve"> </w:t>
      </w:r>
      <w:r w:rsidR="0072459D" w:rsidRPr="00E302D6">
        <w:t>able</w:t>
      </w:r>
      <w:r w:rsidR="009148F7" w:rsidRPr="00E302D6">
        <w:t xml:space="preserve"> to manage </w:t>
      </w:r>
      <w:r w:rsidR="00E5681E" w:rsidRPr="00E302D6">
        <w:t>abrupt increases in the number of COVID-19 cases</w:t>
      </w:r>
      <w:r w:rsidR="0030615D" w:rsidRPr="00E302D6">
        <w:t xml:space="preserve">. In contrast, </w:t>
      </w:r>
      <w:r w:rsidR="007E2781" w:rsidRPr="00E302D6">
        <w:t>locations</w:t>
      </w:r>
      <w:r w:rsidR="0030615D" w:rsidRPr="00E302D6">
        <w:t xml:space="preserve"> with limited health</w:t>
      </w:r>
      <w:r w:rsidR="004F7415">
        <w:t>-</w:t>
      </w:r>
      <w:r w:rsidR="0030615D" w:rsidRPr="00E302D6">
        <w:t xml:space="preserve">care infrastructure were less </w:t>
      </w:r>
      <w:r w:rsidR="0072459D" w:rsidRPr="00E302D6">
        <w:t>equipped</w:t>
      </w:r>
      <w:r w:rsidR="008E5C84" w:rsidRPr="00E302D6">
        <w:t xml:space="preserve"> to </w:t>
      </w:r>
      <w:r w:rsidR="00E37681" w:rsidRPr="00E302D6">
        <w:t xml:space="preserve">handle the surge in </w:t>
      </w:r>
      <w:r w:rsidR="00EA0364" w:rsidRPr="00E302D6">
        <w:t>infections that occurred</w:t>
      </w:r>
      <w:r w:rsidR="00CE5D8B">
        <w:t>,</w:t>
      </w:r>
      <w:r w:rsidR="00BD67CB" w:rsidRPr="00E302D6">
        <w:fldChar w:fldCharType="begin"/>
      </w:r>
      <w:r w:rsidR="00DC37DC">
        <w:instrText xml:space="preserve"> ADDIN ZOTERO_ITEM CSL_CITATION {"citationID":"zyD3XAPH","properties":{"formattedCitation":"\\super 20\\nosupersub{}","plainCitation":"20","noteIndex":0},"citationItems":[{"id":127726,"uris":["http://zotero.org/groups/2154524/items/YVPUUKNN"],"itemData":{"id":127726,"type":"article-journal","abstract":"Beginning in December 2019, the world faced a critical new public health stressor with the emergence of SARS-CoV-2. Its spread was extraordinarily rapid, and in a matter of weeks countries across the world were affected, notably in their ability to manage health care needs. While many sectors of public structures were impacted by the pandemic, it particularly highlighted shortcomings in medical care infrastructures around the world that underscored the need to reorganize medical systems, as they were vastly unprepared and ill-equipped to manage a pandemic and simultaneously provide general and specialized medical care. This paper presents modalities in approaches to the pandemic by various countries, and the triaged reorganization of medical sections not considered first-line in the pandemic that was in many cases transformed into wards for treating COVID-19 cases. As new viruses and structural variants emerge, it is important to find solutions to streamline medical care in hospitals, which includes the expansion of digital network medicine (i.e., telemedicine and mobile health apps) for patients to continue to receive appropriate care without risking exposure to contagions. Mobile health app development continues to evolve with specialized diagnostics capabilities via external attachments that can provide rapid information sharing between patients and care providers while eliminating the need for office visits. Telemedicine, still in the early stages of adoption, especially in the developing world, can ensure access to medical information and contact with care providers, with the potential to release emergency rooms from excessive cases, and offer multidisciplinary access for patients and care providers that can also be a means to avoid contact during a pandemic. As this pandemic illustrated, an overhaul to streamline health care is essential, and a move towards greater use of mobile health and telemedicine will greatly benefit public health to control the spread of new variants and future outbreaks.","container-title":"Journal of Personalized Medicine","DOI":"10.3390/jpm12081295","ISSN":"2075-4426","issue":"8","journalAbbreviation":"J Pers Med","note":"PMID: 36013244\nPMCID: PMC9409667","page":"1295","source":"PubMed Central","title":"Global challenges to public health care systems during the COVID-19 pandemic: a review of pandemic measures and problems","title-short":"Global challenges to public health care systems during the covid-19 pandemic","volume":"12","author":[{"family":"Filip","given":"Roxana"},{"family":"Gheorghita Puscaselu","given":"Roxana"},{"family":"Anchidin-Norocel","given":"Liliana"},{"family":"Dimian","given":"Mihai"},{"family":"Savage","given":"Wesley K."}],"issued":{"date-parts":[["2022",8,7]]}}}],"schema":"https://github.com/citation-style-language/schema/raw/master/csl-citation.json"} </w:instrText>
      </w:r>
      <w:r w:rsidR="00BD67CB" w:rsidRPr="00E302D6">
        <w:fldChar w:fldCharType="separate"/>
      </w:r>
      <w:r w:rsidR="00DC37DC" w:rsidRPr="00143184">
        <w:rPr>
          <w:rFonts w:cs="Times New Roman"/>
          <w:szCs w:val="24"/>
          <w:vertAlign w:val="superscript"/>
        </w:rPr>
        <w:t>20</w:t>
      </w:r>
      <w:r w:rsidR="00BD67CB" w:rsidRPr="00E302D6">
        <w:fldChar w:fldCharType="end"/>
      </w:r>
      <w:r w:rsidR="008F0CC8" w:rsidRPr="00E302D6">
        <w:t xml:space="preserve"> </w:t>
      </w:r>
      <w:r w:rsidR="005D6DE9">
        <w:t>al</w:t>
      </w:r>
      <w:r w:rsidR="00547DBE">
        <w:t>though</w:t>
      </w:r>
      <w:r w:rsidR="00CE5D8B">
        <w:t xml:space="preserve"> </w:t>
      </w:r>
      <w:r w:rsidR="0037439F">
        <w:t>strong health</w:t>
      </w:r>
      <w:r w:rsidR="004F7415">
        <w:t>-</w:t>
      </w:r>
      <w:r w:rsidR="0037439F">
        <w:t>care systems</w:t>
      </w:r>
      <w:r w:rsidR="004B5096">
        <w:t xml:space="preserve"> </w:t>
      </w:r>
      <w:r w:rsidR="00547DBE">
        <w:t xml:space="preserve">did </w:t>
      </w:r>
      <w:r w:rsidR="004B5096">
        <w:t>not singularly determine</w:t>
      </w:r>
      <w:r w:rsidR="00774909">
        <w:t xml:space="preserve"> </w:t>
      </w:r>
      <w:r w:rsidR="00076754">
        <w:t xml:space="preserve">the outcome of </w:t>
      </w:r>
      <w:r w:rsidR="001A4C45">
        <w:t xml:space="preserve">the </w:t>
      </w:r>
      <w:r w:rsidR="00076754">
        <w:t>pandemic.</w:t>
      </w:r>
      <w:r w:rsidR="0002289E">
        <w:fldChar w:fldCharType="begin"/>
      </w:r>
      <w:r w:rsidR="00DC37DC">
        <w:instrText xml:space="preserve"> ADDIN ZOTERO_ITEM CSL_CITATION {"citationID":"b5hdJLEP","properties":{"formattedCitation":"\\super 19\\nosupersub{}","plainCitation":"19","noteIndex":0},"citationItems":[{"id":127829,"uris":["http://zotero.org/groups/2154524/items/49ZZ2C5W"],"itemData":{"id":127829,"type":"article-journal","container-title":"The Lancet","DOI":"10.1016/S0140-6736(22)00172-6","ISSN":"0140-6736, 1474-547X","issue":"10334","journalAbbreviation":"The Lancet","language":"English","note":"publisher: Elsevier\nPMID: 35120592","page":"1489-1512","source":"www.thelancet.com","title":"Pandemic preparedness and COVID-19: an exploratory analysis of infection and fatality rates, and contextual factors associated with preparedness in 177 countries, from Jan 1, 2020, to Sept 30, 2021","title-short":"Pandemic preparedness and COVID-19","volume":"399","author":[{"family":"Bollyky","given":"Thomas J."},{"family":"Hulland","given":"Erin N."},{"family":"Barber","given":"Ryan M."},{"family":"Collins","given":"James K."},{"family":"Kiernan","given":"Samantha"},{"family":"Moses","given":"Mark"},{"family":"Pigott","given":"David M."},{"family":"Jr","given":"Robert C. Reiner"},{"family":"Sorensen","given":"Reed J. D."},{"family":"Abbafati","given":"Cristiana"},{"family":"Adolph","given":"Christopher"},{"family":"Allorant","given":"Adrien"},{"family":"Amlag","given":"Joanne O."},{"family":"Aravkin","given":"Aleksandr Y."},{"family":"Bang-Jensen","given":"Bree"},{"family":"Carter","given":"Austin"},{"family":"Castellano","given":"Rachel"},{"family":"Castro","given":"Emma"},{"family":"Chakrabarti","given":"Suman"},{"family":"Combs","given":"Emily"},{"family":"Dai","given":"Xiaochen"},{"family":"Dangel","given":"William James"},{"family":"Dapper","given":"Carolyn"},{"family":"Deen","given":"Amanda"},{"family":"Duncan","given":"Bruce B."},{"family":"Earl","given":"Lucas"},{"family":"Erickson","given":"Megan"},{"family":"Ewald","given":"Samuel B."},{"family":"Fedosseeva","given":"Tatiana"},{"family":"Ferrari","given":"Alize J."},{"family":"Flaxman","given":"Abraham D."},{"family":"Fullman","given":"Nancy"},{"family":"Gakidou","given":"Emmanuela"},{"family":"Galal","given":"Bayan"},{"family":"Gallagher","given":"John"},{"family":"Giles","given":"John R."},{"family":"Guo","given":"Gaorui"},{"family":"He","given":"Jiawei"},{"family":"Helak","given":"Monika"},{"family":"Huntley","given":"Bethany M."},{"family":"Idrisov","given":"Bulat"},{"family":"Johanns","given":"Casey"},{"family":"LeGrand","given":"Kate E."},{"family":"Letourneau","given":"Ian D."},{"family":"Lindstrom","given":"Akiaja"},{"family":"Linebarger","given":"Emily"},{"family":"Lotufo","given":"Paulo A."},{"family":"Lozano","given":"Rafael"},{"family":"Magistro","given":"Beatrice"},{"family":"Malta","given":"Deborah Carvalho"},{"family":"Månsson","given":"Johan"},{"family":"Herrera","given":"Ana M. Mantilla"},{"family":"Marinho","given":"Fatima"},{"family":"Mirkuzie","given":"Alemnesh H."},{"family":"Mokdad","given":"Ali H."},{"family":"Monasta","given":"Lorenzo"},{"family":"Naik","given":"Paulami"},{"family":"Nomura","given":"Shuhei"},{"family":"O'Halloran","given":"James Kevin"},{"family":"Odell","given":"Christopher M."},{"family":"Olana","given":"Latera Tesfaye"},{"family":"Ostroff","given":"Samuel M."},{"family":"Pasovic","given":"Maja"},{"family":"Passos","given":"Valeria Maria de Azeredo"},{"family":"Penberthy","given":"Louise"},{"family":"Reinke","given":"Grace"},{"family":"Santomauro","given":"Damian Francesco"},{"family":"Schmidt","given":"Maria Inês"},{"family":"Sholokhov","given":"Aleksei"},{"family":"Spurlock","given":"Emma"},{"family":"Troeger","given":"Christopher E."},{"family":"Varavikova","given":"Elena"},{"family":"Vo","given":"Anh T."},{"family":"Vos","given":"Theo"},{"family":"Walcott","given":"Rebecca"},{"family":"Walker","given":"Ally"},{"family":"Wigley","given":"Simon D."},{"family":"Wiysonge","given":"Charles Shey"},{"family":"Worku","given":"Nahom Alemseged"},{"family":"Wu","given":"Yifan"},{"family":"Hanson","given":"Sarah Wulf"},{"family":"Zheng","given":"Peng"},{"family":"Hay","given":"Simon I."},{"family":"Murray","given":"Christopher J. L."},{"family":"Dieleman","given":"Joseph L."}],"issued":{"date-parts":[["2022",4,16]]}}}],"schema":"https://github.com/citation-style-language/schema/raw/master/csl-citation.json"} </w:instrText>
      </w:r>
      <w:r w:rsidR="0002289E">
        <w:fldChar w:fldCharType="separate"/>
      </w:r>
      <w:r w:rsidR="00DC37DC" w:rsidRPr="00143184">
        <w:rPr>
          <w:rFonts w:cs="Times New Roman"/>
          <w:szCs w:val="24"/>
          <w:vertAlign w:val="superscript"/>
        </w:rPr>
        <w:t>19</w:t>
      </w:r>
      <w:r w:rsidR="0002289E">
        <w:fldChar w:fldCharType="end"/>
      </w:r>
      <w:r w:rsidR="002415AF">
        <w:t xml:space="preserve"> </w:t>
      </w:r>
      <w:r w:rsidR="004646BB">
        <w:t xml:space="preserve">It has been suggested that </w:t>
      </w:r>
      <w:r w:rsidR="004401AC">
        <w:t>improving prepar</w:t>
      </w:r>
      <w:r w:rsidR="0043026F">
        <w:t xml:space="preserve">edness </w:t>
      </w:r>
      <w:r w:rsidR="00544313">
        <w:t xml:space="preserve">for future pandemics </w:t>
      </w:r>
      <w:r w:rsidR="0043026F">
        <w:t xml:space="preserve">should </w:t>
      </w:r>
      <w:r w:rsidR="00D77B53">
        <w:t xml:space="preserve">also include </w:t>
      </w:r>
      <w:r w:rsidR="00DD1260">
        <w:t>engagement strategies</w:t>
      </w:r>
      <w:r w:rsidR="00250E33">
        <w:t xml:space="preserve"> to </w:t>
      </w:r>
      <w:r w:rsidR="00C63D2A">
        <w:t>enhance</w:t>
      </w:r>
      <w:r w:rsidR="008803D0">
        <w:t xml:space="preserve"> the</w:t>
      </w:r>
      <w:r w:rsidR="00C63D2A">
        <w:t xml:space="preserve"> trust that </w:t>
      </w:r>
      <w:r w:rsidR="00C63D2A">
        <w:lastRenderedPageBreak/>
        <w:t>individuals place in public health recommendations.</w:t>
      </w:r>
      <w:r w:rsidR="00C63D2A">
        <w:fldChar w:fldCharType="begin"/>
      </w:r>
      <w:r w:rsidR="00DC37DC">
        <w:instrText xml:space="preserve"> ADDIN ZOTERO_ITEM CSL_CITATION {"citationID":"u2eijTFx","properties":{"formattedCitation":"\\super 19\\nosupersub{}","plainCitation":"19","noteIndex":0},"citationItems":[{"id":127829,"uris":["http://zotero.org/groups/2154524/items/49ZZ2C5W"],"itemData":{"id":127829,"type":"article-journal","container-title":"The Lancet","DOI":"10.1016/S0140-6736(22)00172-6","ISSN":"0140-6736, 1474-547X","issue":"10334","journalAbbreviation":"The Lancet","language":"English","note":"publisher: Elsevier\nPMID: 35120592","page":"1489-1512","source":"www.thelancet.com","title":"Pandemic preparedness and COVID-19: an exploratory analysis of infection and fatality rates, and contextual factors associated with preparedness in 177 countries, from Jan 1, 2020, to Sept 30, 2021","title-short":"Pandemic preparedness and COVID-19","volume":"399","author":[{"family":"Bollyky","given":"Thomas J."},{"family":"Hulland","given":"Erin N."},{"family":"Barber","given":"Ryan M."},{"family":"Collins","given":"James K."},{"family":"Kiernan","given":"Samantha"},{"family":"Moses","given":"Mark"},{"family":"Pigott","given":"David M."},{"family":"Jr","given":"Robert C. Reiner"},{"family":"Sorensen","given":"Reed J. D."},{"family":"Abbafati","given":"Cristiana"},{"family":"Adolph","given":"Christopher"},{"family":"Allorant","given":"Adrien"},{"family":"Amlag","given":"Joanne O."},{"family":"Aravkin","given":"Aleksandr Y."},{"family":"Bang-Jensen","given":"Bree"},{"family":"Carter","given":"Austin"},{"family":"Castellano","given":"Rachel"},{"family":"Castro","given":"Emma"},{"family":"Chakrabarti","given":"Suman"},{"family":"Combs","given":"Emily"},{"family":"Dai","given":"Xiaochen"},{"family":"Dangel","given":"William James"},{"family":"Dapper","given":"Carolyn"},{"family":"Deen","given":"Amanda"},{"family":"Duncan","given":"Bruce B."},{"family":"Earl","given":"Lucas"},{"family":"Erickson","given":"Megan"},{"family":"Ewald","given":"Samuel B."},{"family":"Fedosseeva","given":"Tatiana"},{"family":"Ferrari","given":"Alize J."},{"family":"Flaxman","given":"Abraham D."},{"family":"Fullman","given":"Nancy"},{"family":"Gakidou","given":"Emmanuela"},{"family":"Galal","given":"Bayan"},{"family":"Gallagher","given":"John"},{"family":"Giles","given":"John R."},{"family":"Guo","given":"Gaorui"},{"family":"He","given":"Jiawei"},{"family":"Helak","given":"Monika"},{"family":"Huntley","given":"Bethany M."},{"family":"Idrisov","given":"Bulat"},{"family":"Johanns","given":"Casey"},{"family":"LeGrand","given":"Kate E."},{"family":"Letourneau","given":"Ian D."},{"family":"Lindstrom","given":"Akiaja"},{"family":"Linebarger","given":"Emily"},{"family":"Lotufo","given":"Paulo A."},{"family":"Lozano","given":"Rafael"},{"family":"Magistro","given":"Beatrice"},{"family":"Malta","given":"Deborah Carvalho"},{"family":"Månsson","given":"Johan"},{"family":"Herrera","given":"Ana M. Mantilla"},{"family":"Marinho","given":"Fatima"},{"family":"Mirkuzie","given":"Alemnesh H."},{"family":"Mokdad","given":"Ali H."},{"family":"Monasta","given":"Lorenzo"},{"family":"Naik","given":"Paulami"},{"family":"Nomura","given":"Shuhei"},{"family":"O'Halloran","given":"James Kevin"},{"family":"Odell","given":"Christopher M."},{"family":"Olana","given":"Latera Tesfaye"},{"family":"Ostroff","given":"Samuel M."},{"family":"Pasovic","given":"Maja"},{"family":"Passos","given":"Valeria Maria de Azeredo"},{"family":"Penberthy","given":"Louise"},{"family":"Reinke","given":"Grace"},{"family":"Santomauro","given":"Damian Francesco"},{"family":"Schmidt","given":"Maria Inês"},{"family":"Sholokhov","given":"Aleksei"},{"family":"Spurlock","given":"Emma"},{"family":"Troeger","given":"Christopher E."},{"family":"Varavikova","given":"Elena"},{"family":"Vo","given":"Anh T."},{"family":"Vos","given":"Theo"},{"family":"Walcott","given":"Rebecca"},{"family":"Walker","given":"Ally"},{"family":"Wigley","given":"Simon D."},{"family":"Wiysonge","given":"Charles Shey"},{"family":"Worku","given":"Nahom Alemseged"},{"family":"Wu","given":"Yifan"},{"family":"Hanson","given":"Sarah Wulf"},{"family":"Zheng","given":"Peng"},{"family":"Hay","given":"Simon I."},{"family":"Murray","given":"Christopher J. L."},{"family":"Dieleman","given":"Joseph L."}],"issued":{"date-parts":[["2022",4,16]]}}}],"schema":"https://github.com/citation-style-language/schema/raw/master/csl-citation.json"} </w:instrText>
      </w:r>
      <w:r w:rsidR="00C63D2A">
        <w:fldChar w:fldCharType="separate"/>
      </w:r>
      <w:r w:rsidR="00DC37DC" w:rsidRPr="00143184">
        <w:rPr>
          <w:rFonts w:cs="Times New Roman"/>
          <w:szCs w:val="24"/>
          <w:vertAlign w:val="superscript"/>
        </w:rPr>
        <w:t>19</w:t>
      </w:r>
      <w:r w:rsidR="00C63D2A">
        <w:fldChar w:fldCharType="end"/>
      </w:r>
      <w:r w:rsidR="00C63D2A">
        <w:t xml:space="preserve"> </w:t>
      </w:r>
      <w:r w:rsidR="00EF012E">
        <w:t>In addition, identifying methods to enhance death reporting systems</w:t>
      </w:r>
      <w:r w:rsidR="00F06174">
        <w:fldChar w:fldCharType="begin"/>
      </w:r>
      <w:r w:rsidR="00F06174">
        <w:instrText xml:space="preserve"> ADDIN ZOTERO_ITEM CSL_CITATION {"citationID":"hvvjLAHt","properties":{"formattedCitation":"\\super 3\\nosupersub{}","plainCitation":"3","noteIndex":0},"citationItems":[{"id":116965,"uris":["http://zotero.org/groups/2154524/items/ATTD2D5J"],"itemData":{"id":116965,"type":"article-journal","abstract":"BACKGROUND: Mortality statistics are fundamental to public health decision making. Mortality varies by time and location, and its measurement is affected by well known biases that have been exacerbated during the COVID-19 pandemic. This paper aims to estimate excess mortality from the COVID-19 pandemic in 191 countries and territories, and 252 subnational units for selected countries, from Jan 1, 2020, to Dec 31, 2021.\nMETHODS: All-cause mortality reports were collected for 74 countries and territories and 266 subnational locations (including 31 locations in low-income and middle-income countries) that had reported either weekly or monthly deaths from all causes during the pandemic in 2020 and 2021, and for up to 11 year previously. In addition, we obtained excess mortality data for 12 states in India. Excess mortality over time was calculated as observed mortality, after excluding data from periods affected by late registration and anomalies such as heat waves, minus expected mortality. Six models were used to estimate expected mortality; final estimates of expected mortality were based on an ensemble of these models. Ensemble weights were based on root mean squared errors derived from an out-of-sample predictive validity test. As mortality records are incomplete worldwide, we built a statistical model that predicted the excess mortality rate for locations and periods where all-cause mortality data were not available. We used least absolute shrinkage and selection operator (LASSO) regression as a variable selection mechanism and selected 15 covariates, including both covariates pertaining to the COVID-19 pandemic, such as seroprevalence, and to background population health metrics, such as the Healthcare Access and Quality Index, with direction of effects on excess mortality concordant with a meta-analysis by the US Centers for Disease Control and Prevention. With the selected best model, we ran a prediction process using 100 draws for each covariate and 100 draws of estimated coefficients and residuals, estimated from the regressions run at the draw level using draw-level input data on both excess mortality and covariates. Mean values and 95% uncertainty intervals were then generated at national, regional, and global levels. Out-of-sample predictive validity testing was done on the basis of our final model specification.\nFINDINGS: Although reported COVID-19 deaths between Jan 1, 2020, and Dec 31, 2021, totalled 5·94 million worldwide, we estimate that 18·2 million (95% uncertainty interval 17·1-19·6) people died worldwide because of the COVID-19 pandemic (as measured by excess mortality) over that period. The global all-age rate of excess mortality due to the COVID-19 pandemic was 120·3 deaths (113·1-129·3) per 100 000 of the population, and excess mortality rate exceeded 300 deaths per 100 000 of the population in 21 countries. The number of excess deaths due to COVID-19 was largest in the regions of south Asia, north Africa and the Middle East, and eastern Europe. At the country level, the highest numbers of cumulative excess deaths due to COVID-19 were estimated in India (4·07 million [3·71-4·36]), the USA (1·13 million [1·08-1·18]), Russia (1·07 million [1·06-1·08]), Mexico (798 000 [741 000-867 000]), Brazil (792 000 [730 000-847 000]), Indonesia (736 000 [594 000-955 000]), and Pakistan (664 000 [498 000-847 000]). Among these countries, the excess mortality rate was highest in Russia (374·6 deaths [369·7-378·4] per 100 000) and Mexico (325·1 [301·6-353·3] per 100 000), and was similar in Brazil (186·9 [172·2-199·8] per 100 000) and the USA (179·3 [170·7-187·5] per 100 000).\nINTERPRETATION: The full impact of the pandemic has been much greater than what is indicated by reported deaths due to COVID-19 alone. Strengthening death registration systems around the world, long understood to be crucial to global public health strategy, is necessary for improved monitoring of this pandemic and future pandemics. In addition, further research is warranted to help distinguish the proportion of excess mortality that was directly caused by SARS-CoV-2 infection and the changes in causes of death as an indirect consequence of the pandemic.\nFUNDING: Bill &amp; Melinda Gates Foundation, J Stanton, T Gillespie, and J and E Nordstrom.","container-title":"Lancet","DOI":"10.1016/S0140-6736(21)02796-3","ISSN":"1474-547X","issue":"10334","journalAbbreviation":"Lancet","language":"eng","note":"PMID: 35279232\nPMCID: PMC8912932","page":"1513-1536","source":"PubMed","title":"Estimating excess mortality due to the COVID-19 pandemic: a systematic analysis of COVID-19-related mortality, 2020-21","title-short":"Estimating excess mortality due to the COVID-19 pandemic","volume":"399","author":[{"literal":"COVID-19 Excess Mortality Collaborators"}],"issued":{"date-parts":[["2022",4,16]]}}}],"schema":"https://github.com/citation-style-language/schema/raw/master/csl-citation.json"} </w:instrText>
      </w:r>
      <w:r w:rsidR="00F06174">
        <w:fldChar w:fldCharType="separate"/>
      </w:r>
      <w:r w:rsidR="00F06174" w:rsidRPr="4395051C">
        <w:rPr>
          <w:rFonts w:cs="Times New Roman"/>
          <w:vertAlign w:val="superscript"/>
        </w:rPr>
        <w:t>3</w:t>
      </w:r>
      <w:r w:rsidR="00F06174">
        <w:fldChar w:fldCharType="end"/>
      </w:r>
      <w:r w:rsidR="00EF012E">
        <w:t xml:space="preserve"> and overcome political obstacles to ensure accurate reporting will be </w:t>
      </w:r>
      <w:r w:rsidR="00F3420B">
        <w:t xml:space="preserve">crucial </w:t>
      </w:r>
      <w:r w:rsidR="00EF012E">
        <w:t>steps for monitoring COVID-19 and future pandemic occurrences.</w:t>
      </w:r>
      <w:r w:rsidR="001C104D">
        <w:fldChar w:fldCharType="begin"/>
      </w:r>
      <w:r w:rsidR="00DC37DC">
        <w:instrText xml:space="preserve"> ADDIN ZOTERO_ITEM CSL_CITATION {"citationID":"U05WPxVC","properties":{"formattedCitation":"\\super 21,22\\nosupersub{}","plainCitation":"21,22","noteIndex":0},"citationItems":[{"id":128241,"uris":["http://zotero.org/groups/2154524/items/WZJHI66Q"],"itemData":{"id":128241,"type":"document","title":"COVID-19: make it the last pandemic","URL":"https://theindependentpanel.org","author":[{"literal":"The Independent Panel for Pandemic Preparedness and Response"}],"accessed":{"date-parts":[["2023",11,9]]},"issued":{"date-parts":[["2021",5]]}},"label":"page"},{"id":128242,"uris":["http://zotero.org/groups/2154524/items/4YKEWLKR"],"itemData":{"id":128242,"type":"article-journal","abstract":"Despite notable scientific and medical advances, broader political, socioeconomic and behavioural factors continue to undercut the response to the COVID-19 pandemic1,2. Here we convened, as part of this Delphi study, a diverse, multidisciplinary panel of 386 academic, health, non-governmental organization, government and other experts in COVID-19 response from 112 countries and territories to recommend specific actions to end this persistent global threat to public health. The panel developed a set of 41 consensus statements and 57 recommendations to governments, health systems, industry and other key stakeholders across six domains: communication; health systems; vaccination; prevention; treatment and care; and inequities. In the wake of nearly three years of fragmented global and national responses, it is instructive to note that three of the highest-ranked recommendations call for the adoption of whole-of-society and whole-of-government approaches1, while maintaining proven prevention measures using a vaccines-plus approach2 that employs a range of public health and financial support measures to complement vaccination. Other recommendations with at least 99% combined agreement advise governments and other stakeholders to improve communication, rebuild public trust and engage communities3 in the management of pandemic responses. The findings of the study, which have been further endorsed by 184 organizations globally, include points of unanimous agreement, as well as six recommendations with &gt;5% disagreement, that provide health and social policy actions to address inadequacies in the pandemic response and help to bring this public health threat to an end.","container-title":"Nature","DOI":"10.1038/s41586-022-05398-2","ISSN":"1476-4687","issue":"7935","language":"en","license":"2022 The Author(s)","note":"number: 7935\npublisher: Nature Publishing Group","page":"332-345","source":"www.nature.com","title":"A multinational Delphi consensus to end the COVID-19 public health threat","volume":"611","author":[{"family":"Lazarus","given":"Jeffrey V."},{"family":"Romero","given":"Diana"},{"family":"Kopka","given":"Christopher J."},{"family":"Karim","given":"Salim Abdool"},{"family":"Abu-Raddad","given":"Laith J."},{"family":"Almeida","given":"Gisele"},{"family":"Baptista-Leite","given":"Ricardo"},{"family":"Barocas","given":"Joshua A."},{"family":"Barreto","given":"Mauricio L."},{"family":"Bar-Yam","given":"Yaneer"},{"family":"Bassat","given":"Quique"},{"family":"Batista","given":"Carolina"},{"family":"Bazilian","given":"Morgan"},{"family":"Chiou","given":"Shu-Ti"},{"family":"Rio","given":"Carlos","non-dropping-particle":"del"},{"family":"Dore","given":"Gregory J."},{"family":"Gao","given":"George F."},{"family":"Gostin","given":"Lawrence O."},{"family":"Hellard","given":"Margaret"},{"family":"Jimenez","given":"Jose L."},{"family":"Kang","given":"Gagandeep"},{"family":"Lee","given":"Nancy"},{"family":"Matičič","given":"Mojca"},{"family":"McKee","given":"Martin"},{"family":"Nsanzimana","given":"Sabin"},{"family":"Oliu-Barton","given":"Miquel"},{"family":"Pradelski","given":"Bary"},{"family":"Pyzik","given":"Oksana"},{"family":"Rabin","given":"Kenneth"},{"family":"Raina","given":"Sunil"},{"family":"Rashid","given":"Sabina Faiz"},{"family":"Rathe","given":"Magdalena"},{"family":"Saenz","given":"Rocio"},{"family":"Singh","given":"Sudhvir"},{"family":"Trock-Hempler","given":"Malene"},{"family":"Villapol","given":"Sonia"},{"family":"Yap","given":"Peiling"},{"family":"Binagwaho","given":"Agnes"},{"family":"Kamarulzaman","given":"Adeeba"},{"family":"El-Mohandes","given":"Ayman"}],"issued":{"date-parts":[["2022",11]]}},"label":"page"}],"schema":"https://github.com/citation-style-language/schema/raw/master/csl-citation.json"} </w:instrText>
      </w:r>
      <w:r w:rsidR="001C104D">
        <w:fldChar w:fldCharType="separate"/>
      </w:r>
      <w:r w:rsidR="00DC37DC" w:rsidRPr="00143184">
        <w:rPr>
          <w:rFonts w:cs="Times New Roman"/>
          <w:szCs w:val="24"/>
          <w:vertAlign w:val="superscript"/>
        </w:rPr>
        <w:t>21,22</w:t>
      </w:r>
      <w:r w:rsidR="001C104D">
        <w:fldChar w:fldCharType="end"/>
      </w:r>
    </w:p>
    <w:p w14:paraId="3BE1BACD" w14:textId="118A6A5E" w:rsidR="001459A2" w:rsidRDefault="00C5611F" w:rsidP="0085497C">
      <w:pPr>
        <w:spacing w:line="360" w:lineRule="auto"/>
      </w:pPr>
      <w:r>
        <w:t xml:space="preserve">Our study </w:t>
      </w:r>
      <w:r w:rsidR="008C4AC3">
        <w:t xml:space="preserve">confirms </w:t>
      </w:r>
      <w:r w:rsidR="00145ABF">
        <w:t xml:space="preserve">that </w:t>
      </w:r>
      <w:r>
        <w:t xml:space="preserve">COVID-19 </w:t>
      </w:r>
      <w:r w:rsidR="00145ABF">
        <w:t>w</w:t>
      </w:r>
      <w:r>
        <w:t>as one of the leading global causes of death during the</w:t>
      </w:r>
      <w:r w:rsidR="000975A6">
        <w:t xml:space="preserve"> first two years of the pandemic</w:t>
      </w:r>
      <w:r w:rsidR="00E17B07">
        <w:t xml:space="preserve"> and provides an opportunity to </w:t>
      </w:r>
      <w:r w:rsidR="00BF23E5">
        <w:t>del</w:t>
      </w:r>
      <w:r w:rsidR="00562945">
        <w:t>ineate</w:t>
      </w:r>
      <w:r w:rsidR="00E9515F">
        <w:t xml:space="preserve"> </w:t>
      </w:r>
      <w:r w:rsidR="004205E0">
        <w:t xml:space="preserve">between </w:t>
      </w:r>
      <w:r w:rsidR="009719A0">
        <w:t xml:space="preserve">its direct </w:t>
      </w:r>
      <w:r w:rsidR="00C81381">
        <w:t>and</w:t>
      </w:r>
      <w:r w:rsidR="00BE5645">
        <w:t xml:space="preserve"> indirect </w:t>
      </w:r>
      <w:r w:rsidR="00C81381">
        <w:t xml:space="preserve">mortality </w:t>
      </w:r>
      <w:r w:rsidR="009719A0">
        <w:t>effects</w:t>
      </w:r>
      <w:r w:rsidR="00E92C81">
        <w:t xml:space="preserve"> as well as its impact on life expectancy</w:t>
      </w:r>
      <w:r w:rsidR="00BE5645">
        <w:t>.</w:t>
      </w:r>
      <w:r w:rsidR="005F3848">
        <w:t xml:space="preserve"> </w:t>
      </w:r>
      <w:r w:rsidR="00E57CA3">
        <w:t>As previously predicted,</w:t>
      </w:r>
      <w:r w:rsidR="00FC357E">
        <w:fldChar w:fldCharType="begin"/>
      </w:r>
      <w:r w:rsidR="00F06174">
        <w:instrText xml:space="preserve"> ADDIN ZOTERO_ITEM CSL_CITATION {"citationID":"Iyrry4qR","properties":{"formattedCitation":"\\super 3\\nosupersub{}","plainCitation":"3","noteIndex":0},"citationItems":[{"id":116965,"uris":["http://zotero.org/groups/2154524/items/ATTD2D5J"],"itemData":{"id":116965,"type":"article-journal","abstract":"BACKGROUND: Mortality statistics are fundamental to public health decision making. Mortality varies by time and location, and its measurement is affected by well known biases that have been exacerbated during the COVID-19 pandemic. This paper aims to estimate excess mortality from the COVID-19 pandemic in 191 countries and territories, and 252 subnational units for selected countries, from Jan 1, 2020, to Dec 31, 2021.\nMETHODS: All-cause mortality reports were collected for 74 countries and territories and 266 subnational locations (including 31 locations in low-income and middle-income countries) that had reported either weekly or monthly deaths from all causes during the pandemic in 2020 and 2021, and for up to 11 year previously. In addition, we obtained excess mortality data for 12 states in India. Excess mortality over time was calculated as observed mortality, after excluding data from periods affected by late registration and anomalies such as heat waves, minus expected mortality. Six models were used to estimate expected mortality; final estimates of expected mortality were based on an ensemble of these models. Ensemble weights were based on root mean squared errors derived from an out-of-sample predictive validity test. As mortality records are incomplete worldwide, we built a statistical model that predicted the excess mortality rate for locations and periods where all-cause mortality data were not available. We used least absolute shrinkage and selection operator (LASSO) regression as a variable selection mechanism and selected 15 covariates, including both covariates pertaining to the COVID-19 pandemic, such as seroprevalence, and to background population health metrics, such as the Healthcare Access and Quality Index, with direction of effects on excess mortality concordant with a meta-analysis by the US Centers for Disease Control and Prevention. With the selected best model, we ran a prediction process using 100 draws for each covariate and 100 draws of estimated coefficients and residuals, estimated from the regressions run at the draw level using draw-level input data on both excess mortality and covariates. Mean values and 95% uncertainty intervals were then generated at national, regional, and global levels. Out-of-sample predictive validity testing was done on the basis of our final model specification.\nFINDINGS: Although reported COVID-19 deaths between Jan 1, 2020, and Dec 31, 2021, totalled 5·94 million worldwide, we estimate that 18·2 million (95% uncertainty interval 17·1-19·6) people died worldwide because of the COVID-19 pandemic (as measured by excess mortality) over that period. The global all-age rate of excess mortality due to the COVID-19 pandemic was 120·3 deaths (113·1-129·3) per 100 000 of the population, and excess mortality rate exceeded 300 deaths per 100 000 of the population in 21 countries. The number of excess deaths due to COVID-19 was largest in the regions of south Asia, north Africa and the Middle East, and eastern Europe. At the country level, the highest numbers of cumulative excess deaths due to COVID-19 were estimated in India (4·07 million [3·71-4·36]), the USA (1·13 million [1·08-1·18]), Russia (1·07 million [1·06-1·08]), Mexico (798 000 [741 000-867 000]), Brazil (792 000 [730 000-847 000]), Indonesia (736 000 [594 000-955 000]), and Pakistan (664 000 [498 000-847 000]). Among these countries, the excess mortality rate was highest in Russia (374·6 deaths [369·7-378·4] per 100 000) and Mexico (325·1 [301·6-353·3] per 100 000), and was similar in Brazil (186·9 [172·2-199·8] per 100 000) and the USA (179·3 [170·7-187·5] per 100 000).\nINTERPRETATION: The full impact of the pandemic has been much greater than what is indicated by reported deaths due to COVID-19 alone. Strengthening death registration systems around the world, long understood to be crucial to global public health strategy, is necessary for improved monitoring of this pandemic and future pandemics. In addition, further research is warranted to help distinguish the proportion of excess mortality that was directly caused by SARS-CoV-2 infection and the changes in causes of death as an indirect consequence of the pandemic.\nFUNDING: Bill &amp; Melinda Gates Foundation, J Stanton, T Gillespie, and J and E Nordstrom.","container-title":"Lancet","DOI":"10.1016/S0140-6736(21)02796-3","ISSN":"1474-547X","issue":"10334","journalAbbreviation":"Lancet","language":"eng","note":"PMID: 35279232\nPMCID: PMC8912932","page":"1513-1536","source":"PubMed","title":"Estimating excess mortality due to the COVID-19 pandemic: a systematic analysis of COVID-19-related mortality, 2020-21","title-short":"Estimating excess mortality due to the COVID-19 pandemic","volume":"399","author":[{"literal":"COVID-19 Excess Mortality Collaborators"}],"issued":{"date-parts":[["2022",4,16]]}}}],"schema":"https://github.com/citation-style-language/schema/raw/master/csl-citation.json"} </w:instrText>
      </w:r>
      <w:r w:rsidR="00FC357E">
        <w:fldChar w:fldCharType="separate"/>
      </w:r>
      <w:r w:rsidR="00CA25CC" w:rsidRPr="717F8421">
        <w:rPr>
          <w:rFonts w:cs="Times New Roman"/>
          <w:vertAlign w:val="superscript"/>
        </w:rPr>
        <w:t>3</w:t>
      </w:r>
      <w:r w:rsidR="00FC357E">
        <w:fldChar w:fldCharType="end"/>
      </w:r>
      <w:r w:rsidR="00E57CA3">
        <w:t xml:space="preserve"> </w:t>
      </w:r>
      <w:r w:rsidR="005F3848">
        <w:t>COVID</w:t>
      </w:r>
      <w:r w:rsidR="0089317E">
        <w:t>-19</w:t>
      </w:r>
      <w:r w:rsidR="005F3848">
        <w:t xml:space="preserve"> shifted baseline patterns of mortality for diseases and injuries that were impacted by social distancing measures and other government-mandated restrictions</w:t>
      </w:r>
      <w:r w:rsidR="008956B1">
        <w:t xml:space="preserve">. </w:t>
      </w:r>
      <w:r w:rsidR="00F65080">
        <w:t xml:space="preserve">Deferred care-seeking during the height of the pandemic </w:t>
      </w:r>
      <w:r w:rsidR="005D50C4">
        <w:t xml:space="preserve">also </w:t>
      </w:r>
      <w:r w:rsidR="00384001">
        <w:t>likely contributed to shifts in</w:t>
      </w:r>
      <w:r w:rsidR="005D50C4">
        <w:t xml:space="preserve"> patterns of mortality for some diseases and injuries, and likewise </w:t>
      </w:r>
      <w:r w:rsidR="00384001">
        <w:t xml:space="preserve">may have </w:t>
      </w:r>
      <w:r w:rsidR="005D50C4">
        <w:t xml:space="preserve">contributed to </w:t>
      </w:r>
      <w:r w:rsidR="0036228B">
        <w:t xml:space="preserve">the emergence of </w:t>
      </w:r>
      <w:r w:rsidR="00B013C8">
        <w:t>pandemic-related deaths not attributable directly to COVID-19, lower respiratory infections,</w:t>
      </w:r>
      <w:r w:rsidR="00B013C8" w:rsidRPr="00B013C8">
        <w:rPr>
          <w:rFonts w:cs="Times New Roman"/>
        </w:rPr>
        <w:t xml:space="preserve"> </w:t>
      </w:r>
      <w:r w:rsidR="00B013C8">
        <w:rPr>
          <w:rFonts w:cs="Times New Roman"/>
        </w:rPr>
        <w:t xml:space="preserve">measles, malaria, or pertussis (OPRM). Deferred care-seeking </w:t>
      </w:r>
      <w:r w:rsidR="00F65080">
        <w:t xml:space="preserve">may </w:t>
      </w:r>
      <w:r w:rsidR="00384001">
        <w:t>also</w:t>
      </w:r>
      <w:r w:rsidR="00F65080">
        <w:t xml:space="preserve"> have been a contributing factor in the notable </w:t>
      </w:r>
      <w:r w:rsidR="00AC3DD0">
        <w:t xml:space="preserve">divergence in the </w:t>
      </w:r>
      <w:r w:rsidR="00F65080">
        <w:t>a</w:t>
      </w:r>
      <w:r w:rsidR="004E3511" w:rsidRPr="00510CDF">
        <w:t xml:space="preserve">ge-distribution in deaths </w:t>
      </w:r>
      <w:r w:rsidR="00775E51">
        <w:t>between</w:t>
      </w:r>
      <w:r w:rsidR="00775E51" w:rsidRPr="00510CDF">
        <w:t xml:space="preserve"> </w:t>
      </w:r>
      <w:r w:rsidR="004E3511" w:rsidRPr="00510CDF">
        <w:t>COVID-19 and OPRM, where</w:t>
      </w:r>
      <w:r w:rsidR="00F34E21" w:rsidRPr="00510CDF">
        <w:t xml:space="preserve"> COVID-19 deaths were dramatically higher in older ages, </w:t>
      </w:r>
      <w:r w:rsidR="00A44089">
        <w:t>while</w:t>
      </w:r>
      <w:r w:rsidR="00A44089" w:rsidRPr="00510CDF">
        <w:t xml:space="preserve"> </w:t>
      </w:r>
      <w:r w:rsidR="008C27A6" w:rsidRPr="00510CDF">
        <w:t xml:space="preserve">the </w:t>
      </w:r>
      <w:r w:rsidR="00136837">
        <w:t>high</w:t>
      </w:r>
      <w:r w:rsidR="0012061F">
        <w:t>est mortality</w:t>
      </w:r>
      <w:r w:rsidR="2CCDF97F">
        <w:t xml:space="preserve"> of OPRM were seen in both the older ages as well as </w:t>
      </w:r>
      <w:r w:rsidR="00A44089">
        <w:t xml:space="preserve">in </w:t>
      </w:r>
      <w:r w:rsidR="2CCDF97F">
        <w:t>children under 23 months</w:t>
      </w:r>
      <w:r w:rsidR="00326E90">
        <w:t>.</w:t>
      </w:r>
      <w:r w:rsidR="00326E90" w:rsidRPr="00510CDF">
        <w:t xml:space="preserve"> </w:t>
      </w:r>
      <w:r w:rsidR="000B6AA7" w:rsidRPr="00510CDF">
        <w:t>The y</w:t>
      </w:r>
      <w:r w:rsidR="000B6AA7">
        <w:t>oungest ages m</w:t>
      </w:r>
      <w:r w:rsidR="009512C0">
        <w:t>ay</w:t>
      </w:r>
      <w:r w:rsidR="000B6AA7">
        <w:t xml:space="preserve"> have experienced </w:t>
      </w:r>
      <w:r w:rsidR="00571F7F">
        <w:t>higher mortality as</w:t>
      </w:r>
      <w:r w:rsidR="00E55BCF">
        <w:t xml:space="preserve"> </w:t>
      </w:r>
      <w:r w:rsidR="77D41385">
        <w:t xml:space="preserve">caregivers </w:t>
      </w:r>
      <w:r w:rsidR="26667E54">
        <w:t>may have hesitated</w:t>
      </w:r>
      <w:r w:rsidR="00E55BCF">
        <w:t xml:space="preserve"> to seek </w:t>
      </w:r>
      <w:r w:rsidR="008A39F0">
        <w:t xml:space="preserve">medical </w:t>
      </w:r>
      <w:r w:rsidR="00E55BCF">
        <w:t xml:space="preserve">care </w:t>
      </w:r>
      <w:r w:rsidR="00376791">
        <w:t xml:space="preserve">during the </w:t>
      </w:r>
      <w:r w:rsidR="003F58F9">
        <w:t xml:space="preserve">peak </w:t>
      </w:r>
      <w:r w:rsidR="00376791">
        <w:t>of the virus’</w:t>
      </w:r>
      <w:r w:rsidR="004D7920">
        <w:t>s</w:t>
      </w:r>
      <w:r w:rsidR="00376791">
        <w:t xml:space="preserve"> spread. Understanding these disparities is imperative for shaping future health policie</w:t>
      </w:r>
      <w:r w:rsidR="000F56EF">
        <w:t>s and preparedness efforts.</w:t>
      </w:r>
    </w:p>
    <w:p w14:paraId="04DEA953" w14:textId="061F5EBC" w:rsidR="00C62CBE" w:rsidRDefault="00C62CBE" w:rsidP="00143184">
      <w:pPr>
        <w:pStyle w:val="Heading3"/>
        <w:spacing w:line="360" w:lineRule="auto"/>
      </w:pPr>
      <w:r>
        <w:t>Important trends in life expectancy</w:t>
      </w:r>
    </w:p>
    <w:p w14:paraId="4FF4672C" w14:textId="0A75C1BA" w:rsidR="003721CF" w:rsidRDefault="00EF32F6" w:rsidP="001459A2">
      <w:pPr>
        <w:spacing w:line="360" w:lineRule="auto"/>
      </w:pPr>
      <w:r>
        <w:t>Advancements over the past three decades in the prevention and control of infectious diseases have contributed to prolonged life in many locations, resulting in lengthening life expectancies and an enhanced need to support populations living with NCDs.</w:t>
      </w:r>
      <w:r>
        <w:fldChar w:fldCharType="begin"/>
      </w:r>
      <w:r>
        <w:instrText xml:space="preserve"> ADDIN ZOTERO_ITEM CSL_CITATION {"citationID":"b6rh5myj","properties":{"formattedCitation":"\\super 23\\nosupersub{}","plainCitation":"23","noteIndex":0},"citationItems":[{"id":127762,"uris":["http://zotero.org/groups/2154524/items/9NNEEV4T"],"itemData":{"id":127762,"type":"article-journal","abstract":"BACKGROUND: How long one lives, how many years of life are spent in good and poor health, and how the population's state of health and leading causes of disability change over time all have implications for policy, planning, and provision of services. We comparatively assessed the patterns and trends of healthy life expectancy (HALE), which quantifies the number of years of life expected to be lived in good health, and the complementary measure of disability-adjusted life-years (DALYs), a composite measure of disease burden capturing both premature mortality and prevalence and severity of ill health, for 359 diseases and injuries for 195 countries and territories over the past 28 years.\nMETHODS: We used data for age-specific mortality rates, years of life lost (YLLs) due to premature mortality, and years lived with disability (YLDs) from the Global Burden of Diseases, Injuries, and Risk Factors Study (GBD) 2017 to calculate HALE and DALYs from 1990 to 2017. We calculated HALE using age-specific mortality rates and YLDs per capita for each location, age, sex, and year. We calculated DALYs for 359 causes as the sum of YLLs and YLDs. We assessed how observed HALE and DALYs differed by country and sex from expected trends based on Socio-demographic Index (SDI). We also analysed HALE by decomposing years of life gained into years spent in good health and in poor health, between 1990 and 2017, and extra years lived by females compared with males.\nFINDINGS: Globally, from 1990 to 2017, life expectancy at birth increased by 7·4 years (95% uncertainty interval 7·1-7·8), from 65·6 years (65·3-65·8) in 1990 to 73·0 years (72·7-73·3) in 2017. The increase in years of life varied from 5·1 years (5·0-5·3) in high SDI countries to 12·0 years (11·3-12·8) in low SDI countries. Of the additional years of life expected at birth, 26·3% (20·1-33·1) were expected to be spent in poor health in high SDI countries compared with 11·7% (8·8-15·1) in low-middle SDI countries. HALE at birth increased by 6·3 years (5·9-6·7), from 57·0 years (54·6-59·1) in 1990 to 63·3 years (60·5-65·7) in 2017. The increase varied from 3·8 years (3·4-4·1) in high SDI countries to 10·5 years (9·8-11·2) in low SDI countries. Even larger variations in HALE than these were observed between countries, ranging from 1·0 year (0·4-1·7) in Saint Vincent and the Grenadines (62·4 years [59·9-64·7] in 1990 to 63·5 years [60·9-65·8] in 2017) to 23·7 years (21·9-25·6) in Eritrea (30·7 years [28·9-32·2] in 1990 to 54·4 years [51·5-57·1] in 2017). In most countries, the increase in HALE was smaller than the increase in overall life expectancy, indicating more years lived in poor health. In 180 of 195 countries and territories, females were expected to live longer than males in 2017, with extra years lived varying from 1·4 years (0·6-2·3) in Algeria to 11·9 years (10·9-12·9) in Ukraine. Of the extra years gained, the proportion spent in poor health varied largely across countries, with less than 20% of additional years spent in poor health in Bosnia and Herzegovina, Burundi, and Slovakia, whereas in Bahrain all the extra years were spent in poor health. In 2017, the highest estimate of HALE at birth was in Singapore for both females (75·8 years [72·4-78·7]) and males (72·6 years [69·8-75·0]) and the lowest estimates were in Central African Republic (47·0 years [43·7-50·2] for females and 42·8 years [40·1-45·6] for males). Globally, in 2017, the five leading causes of DALYs were neonatal disorders, ischaemic heart disease, stroke, lower respiratory infections, and chronic obstructive pulmonary disease. Between 1990 and 2017, age-standardised DALY rates decreased by 41·3% (38·8-43·5) for communicable diseases and by 49·8% (47·9-51·6) for neonatal disorders. For non-communicable diseases, global DALYs increased by 40·1% (36·8-43·0), although age-standardised DALY rates decreased by 18·1% (16·0-20·2).\nINTERPRETATION: With increasing life expectancy in most countries, the question of whether the additional years of life gained are spent in good health or poor health has been increasingly relevant because of the potential policy implications, such as health-care provisions and extending retirement ages. In some locations, a large proportion of those additional years are spent in poor health. Large inequalities in HALE and disease burden exist across countries in different SDI quintiles and between sexes. The burden of disabling conditions has serious implications for health system planning and health-related expenditures. Despite the progress made in reducing the burden of communicable diseases and neonatal disorders in low SDI countries, the speed of this progress could be increased by scaling up proven interventions. The global trends among non-communicable diseases indicate that more effort is needed to maximise HALE, such as risk prevention and attention to upstream determinants of health.\nFUNDING: Bill &amp; Melinda Gates Foundation.","container-title":"Lancet","DOI":"10.1016/S0140-6736(18)32335-3","ISSN":"1474-547X","issue":"10159","journalAbbreviation":"Lancet","language":"eng","note":"PMID: 30415748\nPMCID: PMC6252083","page":"1859-1922","source":"PubMed","title":"Global, regional, and national disability-adjusted life-years (DALYs) for 359 diseases and injuries and healthy life expectancy (HALE) for 195 countries and territories, 1990-2017: a systematic analysis for the Global Burden of Disease Study 2017","title-short":"Global, regional, and national disability-adjusted life-years (DALYs) for 359 diseases and injuries and healthy life expectancy (HALE) for 195 countries and territories, 1990-2017","volume":"392","author":[{"literal":"GBD 2017 DALYs and HALE Collaborators"}],"issued":{"date-parts":[["2018",11,10]]}}}],"schema":"https://github.com/citation-style-language/schema/raw/master/csl-citation.json"} </w:instrText>
      </w:r>
      <w:r>
        <w:fldChar w:fldCharType="separate"/>
      </w:r>
      <w:r w:rsidRPr="007442BF">
        <w:rPr>
          <w:rFonts w:cs="Times New Roman"/>
          <w:szCs w:val="24"/>
          <w:vertAlign w:val="superscript"/>
        </w:rPr>
        <w:t>23</w:t>
      </w:r>
      <w:r>
        <w:fldChar w:fldCharType="end"/>
      </w:r>
      <w:r>
        <w:t xml:space="preserve"> The global decline in life expectancy that occurred in 2020 and 2021, confounds the secular trend of increase.</w:t>
      </w:r>
      <w:r>
        <w:fldChar w:fldCharType="begin"/>
      </w:r>
      <w:r w:rsidR="00DC37DC">
        <w:instrText xml:space="preserve"> ADDIN ZOTERO_ITEM CSL_CITATION {"citationID":"Mr4faSU2","properties":{"formattedCitation":"\\super 10\\nosupersub{}","plainCitation":"10","noteIndex":0},"citationItems":[{"id":126526,"uris":["http://zotero.org/groups/2154524/items/CVUR4VAE"],"itemData":{"id":126526,"type":"article-journal","abstract":"BACKGROUND: Accurate and up-to-date assessment of demographic metrics is crucial for understanding a wide range of social, economic, and public health issues that affect populations worldwide. The Global Burden of Diseases, Injuries, and Risk Factors Study (GBD) 2019 produced updated and comprehensive demographic assessments of the key indicators of fertility, mortality, migration, and population for 204 countries and territories and selected subnational locations from 1950 to 2019.\nMETHODS: 8078 country-years of vital registration and sample registration data, 938 surveys, 349 censuses, and 238 other sources were identified and used to estimate age-specific fertility. Spatiotemporal Gaussian process regression (ST-GPR) was used to generate age-specific fertility rates for 5-year age groups between ages 15 and 49 years. With extensions to age groups 10-14 and 50-54 years, the total fertility rate (TFR) was then aggregated using the estimated age-specific fertility between ages 10 and 54 years. 7417 sources were used for under-5 mortality estimation and 7355 for adult mortality. ST-GPR was used to synthesise data sources after correction for known biases. Adult mortality was measured as the probability of death between ages 15 and 60 years based on vital registration, sample registration, and sibling histories, and was also estimated using ST-GPR. HIV-free life tables were then estimated using estimates of under-5 and adult mortality rates using a relational model life table system created for GBD, which closely tracks observed age-specific mortality rates from complete vital registration when available. Independent estimates of HIV-specific mortality generated by an epidemiological analysis of HIV prevalence surveys and antenatal clinic serosurveillance and other sources were incorporated into the estimates in countries with large epidemics. Annual and single-year age estimates of net migration and population for each country and territory were generated using a Bayesian hierarchical cohort component model that analysed estimated age-specific fertility and mortality rates along with 1250 censuses and 747 population registry years. We classified location-years into seven categories on the basis of the natural rate of increase in population (calculated by subtracting the crude death rate from the crude birth rate) and the net migration rate. We computed healthy life expectancy (HALE) using years lived with disability (YLDs) per capita, life tables, and standard demographic methods. Uncertainty was propagated throughout the demographic estimation process, including fertility, mortality, and population, with 1000 draw-level estimates produced for each metric.\nFINDINGS: The global TFR decreased from 2·72 (95% uncertainty interval [UI] 2·66-2·79) in 2000 to 2·31 (2·17-2·46) in 2019. Global annual livebirths increased from 134·5 million (131·5-137·8) in 2000 to a peak of 139·6 million (133·0-146·9) in 2016. Global livebirths then declined to 135·3 million (127·2-144·1) in 2019. Of the 204 countries and territories included in this study, in 2019, 102 had a TFR lower than 2·1, which is considered a good approximation of replacement-level fertility. All countries in sub-Saharan Africa had TFRs above replacement level in 2019 and accounted for 27·1% (95% UI 26·4-27·8) of global livebirths. Global life expectancy at birth increased from 67·2 years (95% UI 66·8-67·6) in 2000 to 73·5 years (72·8-74·3) in 2019. The total number of deaths increased from 50·7 million (49·5-51·9) in 2000 to 56·5 million (53·7-59·2) in 2019. Under-5 deaths declined from 9·6 million (9·1-10·3) in 2000 to 5·0 million (4·3-6·0) in 2019. Global population increased by 25·7%, from 6·2 billion (6·0-6·3) in 2000 to 7·7 billion (7·5-8·0) in 2019. In 2019, 34 countries had negative natural rates of increase; in 17 of these, the population declined because immigration was not sufficient to counteract the negative rate of decline. Globally, HALE increased from 58·6 years (56·1-60·8) in 2000 to 63·5 years (60·8-66·1) in 2019. HALE increased in 202 of 204 countries and territories between 2000 and 2019.\nINTERPRETATION: Over the past 20 years, fertility rates have been dropping steadily and life expectancy has been increasing, with few exceptions. Much of this change follows historical patterns linking social and economic determinants, such as those captured by the GBD Socio-demographic Index, with demographic outcomes. More recently, several countries have experienced a combination of low fertility and stagnating improvement in mortality rates, pushing more populations into the late stages of the demographic transition. Tracking demographic change and the emergence of new patterns will be essential for global health monitoring.\nFUNDING: Bill &amp; Melinda Gates Foundation.","container-title":"Lancet","DOI":"10.1016/S0140-6736(20)30977-6","ISSN":"1474-547X","issue":"10258","journalAbbreviation":"Lancet","language":"eng","note":"PMID: 33069325\nPMCID: PMC7566045","page":"1160-1203","source":"PubMed","title":"Global age-sex-specific fertility, mortality, healthy life expectancy (HALE), and population estimates in 204 countries and territories, 1950-2019: a comprehensive demographic analysis for the Global Burden of Disease Study 2019","title-short":"Global age-sex-specific fertility, mortality, healthy life expectancy (HALE), and population estimates in 204 countries and territories, 1950-2019","volume":"396","author":[{"literal":"GBD 2019 Demographics Collaborators"}],"issued":{"date-parts":[["2020",10,17]]}}}],"schema":"https://github.com/citation-style-language/schema/raw/master/csl-citation.json"} </w:instrText>
      </w:r>
      <w:r>
        <w:fldChar w:fldCharType="separate"/>
      </w:r>
      <w:r w:rsidR="00DC37DC" w:rsidRPr="00143184">
        <w:rPr>
          <w:rFonts w:cs="Times New Roman"/>
          <w:szCs w:val="24"/>
          <w:vertAlign w:val="superscript"/>
        </w:rPr>
        <w:t>10</w:t>
      </w:r>
      <w:r>
        <w:fldChar w:fldCharType="end"/>
      </w:r>
      <w:r>
        <w:t xml:space="preserve"> </w:t>
      </w:r>
      <w:r w:rsidR="001459A2" w:rsidRPr="00470F5C">
        <w:t>Our decomposition analysis suggests that th</w:t>
      </w:r>
      <w:r w:rsidR="009812BC">
        <w:t>is</w:t>
      </w:r>
      <w:r w:rsidR="001459A2" w:rsidRPr="00470F5C">
        <w:t xml:space="preserve"> decline was predominantly a result of the pandemic (combined COVID-19 and OPRM), </w:t>
      </w:r>
      <w:r w:rsidR="001459A2">
        <w:t xml:space="preserve">but the degree of severity varied dramatically by location. </w:t>
      </w:r>
      <w:r w:rsidR="008A796B">
        <w:t xml:space="preserve">Although large improvements in many causes—including HIV/AIDS and lower respiratory and enteric infections—somewhat counterbalanced the decline, the decrease in life expectancy was also compounded by increasing rates of mortality from other causes, like diabetes and kidney diseases (figure 1 and figure 4). </w:t>
      </w:r>
    </w:p>
    <w:p w14:paraId="0E162454" w14:textId="14A8B3A3" w:rsidR="001459A2" w:rsidRPr="00143184" w:rsidRDefault="00662534" w:rsidP="001459A2">
      <w:pPr>
        <w:spacing w:line="360" w:lineRule="auto"/>
      </w:pPr>
      <w:r>
        <w:t>The impact of COVID-19 on life expectancy shows varying degrees of severity, ranging from a large loss of 4.9 years in Andean Latin America, to comparatively minimal change</w:t>
      </w:r>
      <w:r w:rsidR="001459A2">
        <w:t xml:space="preserve"> in ea</w:t>
      </w:r>
      <w:r w:rsidR="001459A2" w:rsidRPr="007C4650">
        <w:t xml:space="preserve">st Asia (figure 9). </w:t>
      </w:r>
      <w:r w:rsidR="001459A2" w:rsidRPr="0006606B">
        <w:t>From 1990 to 2021, reductions in many of the leading causes of death resulted in overall life expectancy increases across most regions, despite heavy setbacks for many, because of the pandemic.</w:t>
      </w:r>
      <w:r w:rsidR="001459A2">
        <w:t xml:space="preserve"> We found that despite </w:t>
      </w:r>
      <w:r w:rsidR="001459A2" w:rsidRPr="00527EFF">
        <w:t xml:space="preserve">Andean Latin America </w:t>
      </w:r>
      <w:r w:rsidR="001459A2">
        <w:t>suffering the largest regional decline in life expectancy due to the pandemic, overall life expectancy declines across the region were tempered</w:t>
      </w:r>
      <w:r w:rsidR="001459A2" w:rsidRPr="00527EFF">
        <w:t xml:space="preserve"> </w:t>
      </w:r>
      <w:r w:rsidR="001459A2">
        <w:t>by</w:t>
      </w:r>
      <w:r w:rsidR="001459A2" w:rsidRPr="00527EFF">
        <w:t xml:space="preserve"> improvements </w:t>
      </w:r>
      <w:r w:rsidR="001459A2">
        <w:t>in</w:t>
      </w:r>
      <w:r w:rsidR="001459A2" w:rsidRPr="00527EFF">
        <w:t xml:space="preserve"> other </w:t>
      </w:r>
      <w:r w:rsidR="001459A2" w:rsidRPr="00527EFF">
        <w:lastRenderedPageBreak/>
        <w:t>causes</w:t>
      </w:r>
      <w:r w:rsidR="001459A2">
        <w:t>,</w:t>
      </w:r>
      <w:r w:rsidR="001459A2" w:rsidRPr="00527EFF">
        <w:t xml:space="preserve"> </w:t>
      </w:r>
      <w:r w:rsidR="001459A2">
        <w:t>with declines in rates of death from</w:t>
      </w:r>
      <w:r w:rsidR="001459A2" w:rsidRPr="00527EFF">
        <w:t xml:space="preserve"> lower respiratory infections and neonatal disorders</w:t>
      </w:r>
      <w:r w:rsidR="001459A2">
        <w:t xml:space="preserve"> allowing the region to gain 2.6 years overall between 1990 and 2021. The impressive reductions in neonatal disorders throughout many countries in Andean Latin America have been attributed to the improvements made in implementing effective maternal and neonatal health intervention strategies.</w:t>
      </w:r>
      <w:r w:rsidR="001459A2">
        <w:fldChar w:fldCharType="begin"/>
      </w:r>
      <w:r w:rsidR="00DC37DC">
        <w:instrText xml:space="preserve"> ADDIN ZOTERO_ITEM CSL_CITATION {"citationID":"GIs4GJVL","properties":{"formattedCitation":"\\super 24\\nosupersub{}","plainCitation":"24","noteIndex":0},"citationItems":[{"id":127976,"uris":["http://zotero.org/groups/2154524/items/9T9XSZ5H"],"itemData":{"id":127976,"type":"report","publisher":"Johns Hopkins University, CORE Group","title":"Innovative community-based interventions to improve newborn health in Latin America and the Caribbean","URL":"https://coregroup.org/wp-content/uploads/2020/03/LAC-Neonatal-english_final_pdf.pdf","author":[{"family":"Haws","given":"Rachel"},{"family":"Winch","given":"Peter J"},{"family":"Castillo","given":"Jaime"}],"issued":{"date-parts":[["2004"]]}}}],"schema":"https://github.com/citation-style-language/schema/raw/master/csl-citation.json"} </w:instrText>
      </w:r>
      <w:r w:rsidR="001459A2">
        <w:fldChar w:fldCharType="separate"/>
      </w:r>
      <w:r w:rsidR="00DC37DC" w:rsidRPr="00143184">
        <w:rPr>
          <w:rFonts w:cs="Times New Roman"/>
          <w:szCs w:val="24"/>
          <w:vertAlign w:val="superscript"/>
        </w:rPr>
        <w:t>24</w:t>
      </w:r>
      <w:r w:rsidR="001459A2">
        <w:fldChar w:fldCharType="end"/>
      </w:r>
    </w:p>
    <w:p w14:paraId="027C5BF9" w14:textId="2ADDDD5B" w:rsidR="001459A2" w:rsidRDefault="001459A2" w:rsidP="001459A2">
      <w:pPr>
        <w:spacing w:line="360" w:lineRule="auto"/>
      </w:pPr>
      <w:r>
        <w:t xml:space="preserve">The decline in life expectancy in </w:t>
      </w:r>
      <w:r w:rsidRPr="00527EFF">
        <w:t xml:space="preserve">southern sub-Saharan Africa </w:t>
      </w:r>
      <w:r>
        <w:t>also exceeded the global average</w:t>
      </w:r>
      <w:r w:rsidRPr="00527EFF">
        <w:t xml:space="preserve"> by a substantial margin</w:t>
      </w:r>
      <w:r>
        <w:t>, with a loss of 3.4 years due to COVID-19.</w:t>
      </w:r>
      <w:r w:rsidRPr="00527EFF">
        <w:t xml:space="preserve"> </w:t>
      </w:r>
      <w:r>
        <w:t>While life expectancy in t</w:t>
      </w:r>
      <w:r w:rsidRPr="00527EFF">
        <w:t xml:space="preserve">he region was </w:t>
      </w:r>
      <w:r>
        <w:t>substantially</w:t>
      </w:r>
      <w:r w:rsidRPr="00527EFF">
        <w:t xml:space="preserve"> </w:t>
      </w:r>
      <w:r>
        <w:t xml:space="preserve">impacted </w:t>
      </w:r>
      <w:r w:rsidRPr="00527EFF">
        <w:t xml:space="preserve">by </w:t>
      </w:r>
      <w:r w:rsidR="00954835">
        <w:t>the pandemic</w:t>
      </w:r>
      <w:r w:rsidRPr="00527EFF">
        <w:t xml:space="preserve">, </w:t>
      </w:r>
      <w:r>
        <w:t>the</w:t>
      </w:r>
      <w:r w:rsidR="00366110">
        <w:t xml:space="preserve"> decline </w:t>
      </w:r>
      <w:r>
        <w:t xml:space="preserve">was also attributable to high mortality rates from HIV/AIDS. Some nations with high pandemic-related death tolls were among those already burdened by high rates of other infectious diseases. Several countries in southern sub-Saharan Africa navigated the challenges of the pandemic, alongside long histories of combatting </w:t>
      </w:r>
      <w:r w:rsidRPr="00C074D6">
        <w:t>some of the highest HIV/AID</w:t>
      </w:r>
      <w:r>
        <w:t>S</w:t>
      </w:r>
      <w:r w:rsidRPr="00C074D6">
        <w:t xml:space="preserve"> prevalence rates anywhere in the world.</w:t>
      </w:r>
      <w:r w:rsidRPr="00C074D6">
        <w:fldChar w:fldCharType="begin"/>
      </w:r>
      <w:r w:rsidR="00DC37DC">
        <w:instrText xml:space="preserve"> ADDIN ZOTERO_ITEM CSL_CITATION {"citationID":"dM1UbaNC","properties":{"formattedCitation":"\\super 25,26\\nosupersub{}","plainCitation":"25,26","noteIndex":0},"citationItems":[{"id":127716,"uris":["http://zotero.org/groups/2154524/items/UTMCXS8D"],"itemData":{"id":127716,"type":"article-journal","abstract":"Background\nSwaziland is experiencing the world’s worst HIV and AIDS epidemic. Prevalence rose from four percent of antenatal clinic attendees in 1992 to 42.6 percent in 2004. The Report ‘Reviewing ‘Emergencies’ for Swaziland: Shifting the Paradigm in a New Era’ published in 2007 bought together social and economic indicators. It built a picture of the epidemic as a humanitarian emergency, requiring urgent action from international organisations, donors, and governments. Following a targeted communications effort, the report was believed to have raised the profile of the issue and Swaziland - a success story for HIV and AIDS research.\n\nMethods\nKeen to understand how, where and why the report had an impact, Health Economics and HIV/AIDS Research Division commissioned an assessment to track and evaluate the influence of the research. This tapped into literature on the significance of understanding the research-to-policy interface. This paper outlines the report and its impact. It explores key findings from the assessment and suggests lessons for future research projects.\n\nResults\nThe paper demonstrates that, although complex, and not without methodological issues, impact assessment of research can be of real value to researchers in understanding the research-to-policy interface.\n\nConclusion\nOnly by gaining insight into this process can researchers move forward in delivering effective research.","container-title":"Health Research Policy and Systems","DOI":"10.1186/1478-4505-9-S1-S9","ISSN":"1478-4505","issue":"Suppl 1","journalAbbreviation":"Health Res Policy Syst","note":"PMID: 21679390\nPMCID: PMC3121140","page":"S9","source":"PubMed Central","title":"The impact of HIV and AIDS research: a case study from Swaziland","title-short":"The impact of HIV and AIDS research","volume":"9","author":[{"family":"Whiteside","given":"Alan"},{"family":"Henry","given":"Fiona E"}],"issued":{"date-parts":[["2011",6,16]]}},"label":"page"},{"id":127714,"uris":["http://zotero.org/groups/2154524/items/TYJ4H8WP"],"itemData":{"id":127714,"type":"article-journal","abstract":"HIV/AIDS is a leading cause of disease burden in sub-Saharan Africa. Existing evidence has demonstrated that there is substantial local variation in the prevalence of HIV; however, subnational variation has not been investigated at a high spatial resolution across the continent. Here we explore within-country variation at a 5 × 5-km resolution in sub-Saharan Africa by estimating the prevalence of HIV among adults (aged 15–49 years) and the corresponding number of people living with HIV from 2000 to 2017. Our analysis reveals substantial within-country variation in the prevalence of HIV throughout sub-Saharan Africa and local differences in both the direction and rate of change in HIV prevalence between 2000 and 2017, highlighting the degree to which important local differences are masked when examining trends at the country level. These fine-scale estimates of HIV prevalence across space and time provide an important tool for precisely targeting the interventions that are necessary to bringing HIV infections under control in sub-Saharan Africa.","container-title":"Nature","DOI":"10.1038/s41586-019-1200-9","ISSN":"1476-4687","issue":"7760","language":"en","license":"2019 The Author(s)","note":"number: 7760\npublisher: Nature Publishing Group","page":"189-193","source":"www.nature.com","title":"Mapping HIV prevalence in sub-Saharan Africa between 2000 and 2017","volume":"570","author":[{"family":"Dwyer-Lindgren","given":"Laura"},{"family":"Cork","given":"Michael A."},{"family":"Sligar","given":"Amber"},{"family":"Steuben","given":"Krista M."},{"family":"Wilson","given":"Kate F."},{"family":"Provost","given":"Naomi R."},{"family":"Mayala","given":"Benjamin K."},{"family":"VanderHeide","given":"John D."},{"family":"Collison","given":"Michael L."},{"family":"Hall","given":"Jason B."},{"family":"Biehl","given":"Molly H."},{"family":"Carter","given":"Austin"},{"family":"Frank","given":"Tahvi"},{"family":"Douwes-Schultz","given":"Dirk"},{"family":"Burstein","given":"Roy"},{"family":"Casey","given":"Daniel C."},{"family":"Deshpande","given":"Aniruddha"},{"family":"Earl","given":"Lucas"},{"family":"El Bcheraoui","given":"Charbel"},{"family":"Farag","given":"Tamer H."},{"family":"Henry","given":"Nathaniel J."},{"family":"Kinyoki","given":"Damaris"},{"family":"Marczak","given":"Laurie B."},{"family":"Nixon","given":"Molly R."},{"family":"Osgood-Zimmerman","given":"Aaron"},{"family":"Pigott","given":"David"},{"family":"Reiner","given":"Robert C."},{"family":"Ross","given":"Jennifer M."},{"family":"Schaeffer","given":"Lauren E."},{"family":"Smith","given":"David L."},{"family":"Davis Weaver","given":"Nicole"},{"family":"Wiens","given":"Kirsten E."},{"family":"Eaton","given":"Jeffrey W."},{"family":"Justman","given":"Jessica E."},{"family":"Opio","given":"Alex"},{"family":"Sartorius","given":"Benn"},{"family":"Tanser","given":"Frank"},{"family":"Wabiri","given":"Njeri"},{"family":"Piot","given":"Peter"},{"family":"Murray","given":"Christopher J. L."},{"family":"Hay","given":"Simon I."}],"issued":{"date-parts":[["2019",6]]}},"label":"page"}],"schema":"https://github.com/citation-style-language/schema/raw/master/csl-citation.json"} </w:instrText>
      </w:r>
      <w:r w:rsidRPr="00C074D6">
        <w:fldChar w:fldCharType="separate"/>
      </w:r>
      <w:r w:rsidR="00DC37DC" w:rsidRPr="00143184">
        <w:rPr>
          <w:rFonts w:cs="Times New Roman"/>
          <w:szCs w:val="24"/>
          <w:vertAlign w:val="superscript"/>
        </w:rPr>
        <w:t>25,26</w:t>
      </w:r>
      <w:r w:rsidRPr="00C074D6">
        <w:fldChar w:fldCharType="end"/>
      </w:r>
      <w:r w:rsidRPr="00C074D6">
        <w:t xml:space="preserve"> </w:t>
      </w:r>
      <w:r>
        <w:t>A subset of</w:t>
      </w:r>
      <w:r w:rsidRPr="00C074D6">
        <w:t xml:space="preserve"> countries were faced with a triple burden of COVID-19, HIV, and tuberculosis simultaneously.</w:t>
      </w:r>
      <w:r w:rsidRPr="00C074D6">
        <w:fldChar w:fldCharType="begin"/>
      </w:r>
      <w:r w:rsidR="00DC37DC">
        <w:instrText xml:space="preserve"> ADDIN ZOTERO_ITEM CSL_CITATION {"citationID":"uos0ZvJm","properties":{"formattedCitation":"\\super 27\\nosupersub{}","plainCitation":"27","noteIndex":0},"citationItems":[{"id":127719,"uris":["http://zotero.org/groups/2154524/items/RT2LYVNU"],"itemData":{"id":127719,"type":"article-journal","abstract":"In this perspective, we discuss the impact of COVID-19 on tuberculosis (TB)/HIV health services and approaches to mitigating the growing burden of these three colliding epidemics in sub-Saharan Africa (SSA). SSA countries bear significantly high proportions of TB and HIV cases reported worldwide, compared to countries in the West. Whilst COVID-19 epidemiology appears to vary across Africa, most countries in this region have reported relatively lower-case counts compared to the West. Nevertheless, the COVID-19 pandemic has added an additional burden to already overstretched health systems in SSA, which, among other things, have been focused on the longstanding dual epidemics of TB and HIV. As with these dual epidemics, inadequate resources and poor case identification and reporting may be contributing to underestimations of the COVID-19 case burden in SSA. Modelling studies predict that the pandemic-related disruptions in TB and HIV services will result in significant increases in associated morbidity and mortality over the next five years. Furthermore, limited empirical evidence suggests that SARS-CoV-2 coinfections with TB and HIV are associated with increased mortality risk in SSA. However, predictive models require a better evidence-base to accurately define the impact of COVID-19, not only on communicable diseases such as TB and HIV, but on non-communicable disease comorbidities. Further research is needed to assess morbidity and mortality data among both adults and children across the African continent, paying attention to geographic disparities, as well as the clinical and socio-economic determinants of COVID-19 in the setting of TB and/or HIV.","collection-title":"Commemorating World Tuberculosis Day March 24th, 2021: “The Clock is Ticking”","container-title":"International Journal of Infectious Diseases","DOI":"10.1016/j.ijid.2021.03.038","ISSN":"1201-9712","journalAbbreviation":"International Journal of Infectious Diseases","page":"S16-S21","source":"ScienceDirect","title":"Minimizing the impact of the triple burden of COVID-19, tuberculosis and HIV on health services in sub-Saharan Africa","volume":"113","author":[{"family":"Nachega","given":"Jean B."},{"family":"Kapata","given":"Nathan"},{"family":"Sam-Agudu","given":"Nadia A."},{"family":"Decloedt","given":"Eric H."},{"family":"Katoto","given":"Patrick D. M. C."},{"family":"Nagu","given":"Tumaini"},{"family":"Mwaba","given":"Peter"},{"family":"Yeboah-Manu","given":"Dorothy"},{"family":"Chanda-Kapata","given":"Pascalina"},{"family":"Ntoumi","given":"Francine"},{"family":"Geng","given":"Elvin H."},{"family":"Zumla","given":"Alimuddin"}],"issued":{"date-parts":[["2021",12,1]]}}}],"schema":"https://github.com/citation-style-language/schema/raw/master/csl-citation.json"} </w:instrText>
      </w:r>
      <w:r w:rsidRPr="00C074D6">
        <w:fldChar w:fldCharType="separate"/>
      </w:r>
      <w:r w:rsidR="00DC37DC" w:rsidRPr="00143184">
        <w:rPr>
          <w:rFonts w:cs="Times New Roman"/>
          <w:szCs w:val="24"/>
          <w:vertAlign w:val="superscript"/>
        </w:rPr>
        <w:t>27</w:t>
      </w:r>
      <w:r w:rsidRPr="00C074D6">
        <w:fldChar w:fldCharType="end"/>
      </w:r>
      <w:r w:rsidRPr="00C074D6">
        <w:t xml:space="preserve"> </w:t>
      </w:r>
      <w:r>
        <w:t xml:space="preserve">The combined burden of these causes across southern sub-Saharan Africa was not </w:t>
      </w:r>
      <w:r w:rsidRPr="00C074D6">
        <w:t xml:space="preserve">offset by </w:t>
      </w:r>
      <w:r>
        <w:t xml:space="preserve">sufficient </w:t>
      </w:r>
      <w:r w:rsidRPr="00C074D6">
        <w:t xml:space="preserve">improvements in </w:t>
      </w:r>
      <w:r>
        <w:t xml:space="preserve">mortality from </w:t>
      </w:r>
      <w:r w:rsidRPr="00C074D6">
        <w:t>other causes</w:t>
      </w:r>
      <w:r>
        <w:t>, leading to an overall decline in the region’s life expectancy of more than four years over the entire study period.</w:t>
      </w:r>
    </w:p>
    <w:p w14:paraId="75889963" w14:textId="64CACAB9" w:rsidR="00FD2467" w:rsidRDefault="61567D27" w:rsidP="003F1F4D">
      <w:pPr>
        <w:pStyle w:val="Heading3"/>
        <w:spacing w:line="360" w:lineRule="auto"/>
      </w:pPr>
      <w:r>
        <w:t xml:space="preserve">Cause-specific </w:t>
      </w:r>
      <w:r w:rsidR="432E94BB">
        <w:t>p</w:t>
      </w:r>
      <w:r w:rsidR="00B73377">
        <w:t xml:space="preserve">atterns of </w:t>
      </w:r>
      <w:r w:rsidR="6CE783AE">
        <w:t>mor</w:t>
      </w:r>
      <w:r w:rsidR="42B4438D">
        <w:t>tality concentration</w:t>
      </w:r>
    </w:p>
    <w:p w14:paraId="6CCE4843" w14:textId="383899FD" w:rsidR="00F72214" w:rsidRDefault="21AED6EA" w:rsidP="76A38651">
      <w:pPr>
        <w:spacing w:line="360" w:lineRule="auto"/>
      </w:pPr>
      <w:r>
        <w:t>Estimates of m</w:t>
      </w:r>
      <w:r w:rsidR="581E4DE1">
        <w:t>ortality</w:t>
      </w:r>
      <w:r w:rsidR="00A879DA">
        <w:t xml:space="preserve"> </w:t>
      </w:r>
      <w:r w:rsidR="3D625034">
        <w:t>concentration</w:t>
      </w:r>
      <w:r w:rsidR="00B067A6">
        <w:t xml:space="preserve"> </w:t>
      </w:r>
      <w:r w:rsidR="04A0D49D">
        <w:t>reflect</w:t>
      </w:r>
      <w:r w:rsidR="0E06E379">
        <w:t xml:space="preserve"> </w:t>
      </w:r>
      <w:r w:rsidR="00A879DA">
        <w:t xml:space="preserve">shifting patterns of disease </w:t>
      </w:r>
      <w:r w:rsidR="00312D1A">
        <w:t>over</w:t>
      </w:r>
      <w:r w:rsidR="00F25838">
        <w:t xml:space="preserve"> time,</w:t>
      </w:r>
      <w:r w:rsidR="00A879DA">
        <w:t xml:space="preserve"> </w:t>
      </w:r>
      <w:r w:rsidR="0087698C">
        <w:t xml:space="preserve">from </w:t>
      </w:r>
      <w:r w:rsidR="003E7E04">
        <w:t>cosmopolitan impacts</w:t>
      </w:r>
      <w:r w:rsidR="00FE2E15">
        <w:t xml:space="preserve"> to more </w:t>
      </w:r>
      <w:r w:rsidR="5E787B3F">
        <w:t>geographically</w:t>
      </w:r>
      <w:r w:rsidR="00FE2E15">
        <w:t xml:space="preserve"> </w:t>
      </w:r>
      <w:r w:rsidR="00F25838">
        <w:t>reduced</w:t>
      </w:r>
      <w:r w:rsidR="4A9EC4DF">
        <w:t xml:space="preserve"> subsets of the global population</w:t>
      </w:r>
      <w:r w:rsidR="2663882D">
        <w:t>.</w:t>
      </w:r>
      <w:r w:rsidR="005830FF">
        <w:t xml:space="preserve"> </w:t>
      </w:r>
      <w:r w:rsidR="00D42B12">
        <w:t>T</w:t>
      </w:r>
      <w:r w:rsidR="00CA13CA">
        <w:t xml:space="preserve">hese changes </w:t>
      </w:r>
      <w:r w:rsidR="008F69C4">
        <w:t>highlight</w:t>
      </w:r>
      <w:r w:rsidR="00CB5734">
        <w:t xml:space="preserve"> </w:t>
      </w:r>
      <w:r w:rsidR="008F69C4">
        <w:t>di</w:t>
      </w:r>
      <w:r w:rsidR="00CB5734">
        <w:t>fferences</w:t>
      </w:r>
      <w:r w:rsidR="005F4AB3">
        <w:t xml:space="preserve"> between </w:t>
      </w:r>
      <w:r w:rsidR="34A96A84">
        <w:t>populations</w:t>
      </w:r>
      <w:r w:rsidR="005F4AB3">
        <w:t xml:space="preserve"> and their progress </w:t>
      </w:r>
      <w:r w:rsidR="008F69C4">
        <w:t>toward</w:t>
      </w:r>
      <w:r w:rsidR="7FB59BB2">
        <w:t xml:space="preserve"> reducing</w:t>
      </w:r>
      <w:r w:rsidR="005F4AB3">
        <w:t xml:space="preserve"> mortality</w:t>
      </w:r>
      <w:r w:rsidR="4B98EB47">
        <w:t xml:space="preserve"> due to </w:t>
      </w:r>
      <w:r w:rsidR="00771958">
        <w:t>diseases</w:t>
      </w:r>
      <w:r w:rsidR="4B98EB47">
        <w:t xml:space="preserve"> and injuries</w:t>
      </w:r>
      <w:r w:rsidR="005C38EB">
        <w:t xml:space="preserve">. </w:t>
      </w:r>
      <w:r w:rsidR="00792723">
        <w:t>They</w:t>
      </w:r>
      <w:r w:rsidR="008F69C4">
        <w:t xml:space="preserve"> also </w:t>
      </w:r>
      <w:r w:rsidR="005830FF">
        <w:t>provid</w:t>
      </w:r>
      <w:r w:rsidR="00CA13CA">
        <w:t>e</w:t>
      </w:r>
      <w:r w:rsidR="005830FF">
        <w:t xml:space="preserve"> an </w:t>
      </w:r>
      <w:r w:rsidR="008F69C4">
        <w:t xml:space="preserve">important </w:t>
      </w:r>
      <w:r w:rsidR="005830FF">
        <w:t xml:space="preserve">opportunity </w:t>
      </w:r>
      <w:r w:rsidR="005C3C52">
        <w:t xml:space="preserve">to </w:t>
      </w:r>
      <w:r w:rsidR="00771958">
        <w:t>apply best public health practices</w:t>
      </w:r>
      <w:r w:rsidR="00145538">
        <w:t xml:space="preserve"> </w:t>
      </w:r>
      <w:r w:rsidR="00771958">
        <w:t>more strategically</w:t>
      </w:r>
      <w:r w:rsidR="00145538">
        <w:t xml:space="preserve"> </w:t>
      </w:r>
      <w:r w:rsidR="001E1851">
        <w:t xml:space="preserve">to further </w:t>
      </w:r>
      <w:r w:rsidR="73E83D4C">
        <w:t xml:space="preserve">disease </w:t>
      </w:r>
      <w:r w:rsidR="001E1851">
        <w:t>reduction</w:t>
      </w:r>
      <w:r w:rsidR="00E25E61">
        <w:t>.</w:t>
      </w:r>
      <w:r w:rsidR="0048278F">
        <w:t xml:space="preserve"> </w:t>
      </w:r>
      <w:r w:rsidR="00EE1515">
        <w:t xml:space="preserve">Broadly, </w:t>
      </w:r>
      <w:r w:rsidR="22C72543">
        <w:t>widespread declines</w:t>
      </w:r>
      <w:r w:rsidR="00EE1515">
        <w:t xml:space="preserve"> in many</w:t>
      </w:r>
      <w:r w:rsidR="007712FC">
        <w:t xml:space="preserve"> communicable</w:t>
      </w:r>
      <w:r w:rsidR="00EE1515">
        <w:t xml:space="preserve"> </w:t>
      </w:r>
      <w:r w:rsidR="00F4454F">
        <w:t xml:space="preserve">diseases resulted in </w:t>
      </w:r>
      <w:r w:rsidR="00DD6079">
        <w:t>mortality from</w:t>
      </w:r>
      <w:r w:rsidR="00F4454F">
        <w:t xml:space="preserve"> these causes </w:t>
      </w:r>
      <w:r w:rsidR="4A817A19">
        <w:t xml:space="preserve">exhibiting </w:t>
      </w:r>
      <w:r w:rsidR="00F4454F">
        <w:t>more concentrated geographic</w:t>
      </w:r>
      <w:r w:rsidR="00B067A6">
        <w:t>al</w:t>
      </w:r>
      <w:r w:rsidR="00F4454F">
        <w:t xml:space="preserve"> distribution</w:t>
      </w:r>
      <w:r w:rsidR="183F5134">
        <w:t>s</w:t>
      </w:r>
      <w:r w:rsidR="00F4454F" w:rsidDel="008E6DA0">
        <w:t xml:space="preserve"> </w:t>
      </w:r>
      <w:r w:rsidR="00A879DA" w:rsidDel="005B5873">
        <w:t>in</w:t>
      </w:r>
      <w:r w:rsidR="005B5873" w:rsidDel="006D040E">
        <w:t xml:space="preserve"> </w:t>
      </w:r>
      <w:r w:rsidR="29B5ED58">
        <w:t>2021</w:t>
      </w:r>
      <w:r w:rsidR="75A09F01">
        <w:t>,</w:t>
      </w:r>
      <w:r w:rsidR="005B5873">
        <w:t xml:space="preserve"> </w:t>
      </w:r>
      <w:r w:rsidR="00F4454F">
        <w:t>re</w:t>
      </w:r>
      <w:r w:rsidR="00DB5C24">
        <w:t xml:space="preserve">lative to </w:t>
      </w:r>
      <w:r w:rsidR="005B5873">
        <w:t xml:space="preserve">patterns </w:t>
      </w:r>
      <w:r w:rsidR="00DB5C24">
        <w:t>seen in 1990.</w:t>
      </w:r>
      <w:r w:rsidR="004249CD">
        <w:t xml:space="preserve"> </w:t>
      </w:r>
      <w:r w:rsidR="00336EFF" w:rsidRPr="00452E38">
        <w:t xml:space="preserve">The degree of </w:t>
      </w:r>
      <w:r w:rsidR="1B2A198A" w:rsidRPr="00452E38">
        <w:t>mortality</w:t>
      </w:r>
      <w:r w:rsidR="00336EFF" w:rsidRPr="00452E38">
        <w:t xml:space="preserve"> </w:t>
      </w:r>
      <w:r w:rsidR="427D3373" w:rsidRPr="00452E38">
        <w:t>concentration</w:t>
      </w:r>
      <w:r w:rsidR="24A8A9CC" w:rsidRPr="00452E38">
        <w:t xml:space="preserve"> </w:t>
      </w:r>
      <w:r w:rsidR="0C9E45BC" w:rsidRPr="00452E38">
        <w:t>estimated by this study for</w:t>
      </w:r>
      <w:r w:rsidR="00336EFF" w:rsidRPr="00452E38">
        <w:t xml:space="preserve"> enteric </w:t>
      </w:r>
      <w:r w:rsidR="00DE7CD3" w:rsidRPr="00452E38">
        <w:t>and lower respiratory infections</w:t>
      </w:r>
      <w:r w:rsidR="3FFB6554" w:rsidRPr="00452E38">
        <w:t>,</w:t>
      </w:r>
      <w:r w:rsidR="29736E9E" w:rsidRPr="00452E38">
        <w:t xml:space="preserve"> malaria</w:t>
      </w:r>
      <w:r w:rsidR="00DE7CD3" w:rsidRPr="00452E38">
        <w:t xml:space="preserve">, HIV/AIDS, </w:t>
      </w:r>
      <w:r w:rsidR="4F90D9C6" w:rsidRPr="00452E38">
        <w:t>neonatal disorders</w:t>
      </w:r>
      <w:r w:rsidR="0D940186" w:rsidRPr="00452E38">
        <w:t>,</w:t>
      </w:r>
      <w:r w:rsidR="00DE7CD3" w:rsidRPr="00452E38">
        <w:t xml:space="preserve"> </w:t>
      </w:r>
      <w:r w:rsidR="00045535">
        <w:t xml:space="preserve">and </w:t>
      </w:r>
      <w:r w:rsidR="00DE7CD3" w:rsidRPr="00452E38">
        <w:t>tuberculosis</w:t>
      </w:r>
      <w:r w:rsidR="00045535">
        <w:t xml:space="preserve"> </w:t>
      </w:r>
      <w:r w:rsidR="00DE7CD3" w:rsidRPr="00452E38">
        <w:t xml:space="preserve">reflects substantial global progress </w:t>
      </w:r>
      <w:r w:rsidR="003B1523" w:rsidRPr="00452E38">
        <w:t>in reducing mortality from these causes</w:t>
      </w:r>
      <w:r w:rsidR="00DE7CD3" w:rsidRPr="00452E38">
        <w:t xml:space="preserve"> over the study period</w:t>
      </w:r>
      <w:r w:rsidR="0090687A" w:rsidRPr="00452E38">
        <w:t>, underscoring</w:t>
      </w:r>
      <w:r w:rsidR="00A4703C" w:rsidRPr="00452E38">
        <w:t xml:space="preserve"> </w:t>
      </w:r>
      <w:r w:rsidR="00D65802" w:rsidRPr="00452E38">
        <w:t>the success of</w:t>
      </w:r>
      <w:r w:rsidR="00A25C99" w:rsidRPr="00452E38">
        <w:t xml:space="preserve"> numerous </w:t>
      </w:r>
      <w:r w:rsidR="00F2531D" w:rsidRPr="00452E38">
        <w:t>public</w:t>
      </w:r>
      <w:r w:rsidR="00243836" w:rsidRPr="00452E38">
        <w:t xml:space="preserve"> health campaigns</w:t>
      </w:r>
      <w:r w:rsidR="00B26A89" w:rsidRPr="00452E38">
        <w:t xml:space="preserve">, </w:t>
      </w:r>
      <w:r w:rsidR="003F783F" w:rsidRPr="00452E38">
        <w:t>global commitments</w:t>
      </w:r>
      <w:r w:rsidR="00E76BC2" w:rsidRPr="00452E38">
        <w:t>,</w:t>
      </w:r>
      <w:r w:rsidR="0039403A" w:rsidRPr="00452E38">
        <w:t xml:space="preserve"> and</w:t>
      </w:r>
      <w:r w:rsidR="00BE1C59" w:rsidRPr="00452E38">
        <w:t xml:space="preserve"> improvements in communicable disease program</w:t>
      </w:r>
      <w:r w:rsidR="009E364E" w:rsidRPr="00452E38">
        <w:t>mes</w:t>
      </w:r>
      <w:r w:rsidR="0082442C" w:rsidRPr="00452E38">
        <w:t>.</w:t>
      </w:r>
      <w:r w:rsidR="00142144" w:rsidRPr="00452E38">
        <w:fldChar w:fldCharType="begin"/>
      </w:r>
      <w:r w:rsidR="00BB7651">
        <w:instrText xml:space="preserve"> ADDIN ZOTERO_ITEM CSL_CITATION {"citationID":"lWsbNzWG","properties":{"formattedCitation":"\\super 28\\uc0\\u8211{}30\\nosupersub{}","plainCitation":"28–30","noteIndex":0},"citationItems":[{"id":127812,"uris":["http://zotero.org/groups/2154524/items/UTDRLVR8"],"itemData":{"id":127812,"type":"article-journal","container-title":"Jornal Brasileiro de Pneumologia","DOI":"10.1590/S1806-37562017000000449","ISSN":"1806-3713","issue":"2","journalAbbreviation":"J Bras Pneumol","note":"PMID: 29791551\nPMCID: PMC6044666","page":"73-76","source":"PubMed Central","title":"Eliminating tuberculosis in Latin America: making it the point","title-short":"Eliminating tuberculosis in Latin America","volume":"44","author":[{"family":"Duarte","given":"Raquel"},{"family":"Silva","given":"Denise Rossato"},{"family":"Rendon","given":"Adrian"},{"family":"Alves","given":"Tatiana Galvẫo"},{"family":"Rabahi","given":"Marcelo Fouad"},{"family":"Centis","given":"Rosella"},{"family":"Kritski","given":"Afrânio"},{"family":"Migliori","given":"Giovanni Battista"}],"issued":{"date-parts":[["2018"]]}},"label":"page"},{"id":116958,"uris":["http://zotero.org/groups/2154524/items/HDNDDX7I"],"itemData":{"id":116958,"type":"report","event-place":"Geneva","publisher-place":"Geneva","title":"World health statistics 2022: monitoring health for the SDGs, sustainable development goals.","URL":"https://www.who.int/data/gho/publications/world-health-statistics","author":[{"literal":"WHO"}],"accessed":{"date-parts":[["2022",9,16]]},"issued":{"date-parts":[["2022"]]}},"label":"page"},{"id":127827,"uris":["http://zotero.org/groups/2154524/items/IZJKBMY5"],"itemData":{"id":127827,"type":"report","abstract":"The 2023 edition reviews more than 50 health-related indicators from the Sustainable Development Goals (SDGs) and WHO’s Thirteenth General Programme of Work (GPW 13).","language":"en","title":"World health statistics 2023: monitoring health for the SDGs, sustainable development goals","title-short":"World health statistics 2023","URL":"https://www.who.int/publications-detail-redirect/9789240074323","author":[{"literal":"WHO"}],"accessed":{"date-parts":[["2023",10,27]]},"issued":{"date-parts":[["2023",5,19]]}},"label":"page"}],"schema":"https://github.com/citation-style-language/schema/raw/master/csl-citation.json"} </w:instrText>
      </w:r>
      <w:r w:rsidR="00142144" w:rsidRPr="00452E38">
        <w:fldChar w:fldCharType="separate"/>
      </w:r>
      <w:r w:rsidR="00BB7651" w:rsidRPr="00BB7651">
        <w:rPr>
          <w:rFonts w:cs="Times New Roman"/>
          <w:szCs w:val="24"/>
          <w:vertAlign w:val="superscript"/>
        </w:rPr>
        <w:t>28–30</w:t>
      </w:r>
      <w:r w:rsidR="00142144" w:rsidRPr="00452E38">
        <w:fldChar w:fldCharType="end"/>
      </w:r>
      <w:r w:rsidR="0082442C">
        <w:t xml:space="preserve"> </w:t>
      </w:r>
      <w:r w:rsidR="70831698">
        <w:t>Estimates of mortality concentration</w:t>
      </w:r>
      <w:r w:rsidR="219D6F86">
        <w:t xml:space="preserve"> can be used to examine where disease mitigation strategies </w:t>
      </w:r>
      <w:r w:rsidR="00026603">
        <w:t xml:space="preserve">have been </w:t>
      </w:r>
      <w:r w:rsidR="32D55A06">
        <w:t>successful</w:t>
      </w:r>
      <w:r w:rsidR="71618CFE">
        <w:t>,</w:t>
      </w:r>
      <w:r w:rsidR="219D6F86">
        <w:t xml:space="preserve"> where they can be </w:t>
      </w:r>
      <w:r w:rsidR="2A47CAFA">
        <w:t>further</w:t>
      </w:r>
      <w:r w:rsidR="219D6F86">
        <w:t xml:space="preserve"> implemented to reduce inequality</w:t>
      </w:r>
      <w:r w:rsidR="74905AEF">
        <w:t>,</w:t>
      </w:r>
      <w:r w:rsidR="0433EF24">
        <w:t xml:space="preserve"> and where more research </w:t>
      </w:r>
      <w:r w:rsidR="00AF2570">
        <w:t xml:space="preserve">may </w:t>
      </w:r>
      <w:r w:rsidR="00596F1A">
        <w:t>be</w:t>
      </w:r>
      <w:r w:rsidR="0433EF24">
        <w:t xml:space="preserve"> needed to develop </w:t>
      </w:r>
      <w:r w:rsidR="4E8FA63B">
        <w:t>effective</w:t>
      </w:r>
      <w:r w:rsidR="0433EF24">
        <w:t xml:space="preserve"> </w:t>
      </w:r>
      <w:r w:rsidR="00596F1A">
        <w:t xml:space="preserve">treatment and </w:t>
      </w:r>
      <w:r w:rsidR="0433EF24">
        <w:t>intervention</w:t>
      </w:r>
      <w:r w:rsidR="00596F1A">
        <w:t xml:space="preserve"> </w:t>
      </w:r>
      <w:r w:rsidR="0433EF24">
        <w:t>s</w:t>
      </w:r>
      <w:r w:rsidR="00596F1A">
        <w:t>trategies</w:t>
      </w:r>
      <w:r w:rsidR="219D6F86">
        <w:t>.</w:t>
      </w:r>
    </w:p>
    <w:p w14:paraId="1D60E481" w14:textId="7F45ECF1" w:rsidR="00D55B2D" w:rsidRDefault="314C2D84" w:rsidP="00336EFF">
      <w:pPr>
        <w:spacing w:line="360" w:lineRule="auto"/>
      </w:pPr>
      <w:r>
        <w:t xml:space="preserve">Notably, </w:t>
      </w:r>
      <w:r w:rsidR="00C40495">
        <w:t>our estimates</w:t>
      </w:r>
      <w:r w:rsidR="00D944D4">
        <w:t xml:space="preserve"> show </w:t>
      </w:r>
      <w:r w:rsidR="00EC7927">
        <w:t xml:space="preserve">deaths from </w:t>
      </w:r>
      <w:r>
        <w:t>malaria</w:t>
      </w:r>
      <w:r w:rsidR="3FFB6554">
        <w:t xml:space="preserve"> </w:t>
      </w:r>
      <w:r w:rsidR="00D944D4">
        <w:t>exhibit</w:t>
      </w:r>
      <w:r w:rsidR="608AF654">
        <w:t xml:space="preserve"> a</w:t>
      </w:r>
      <w:r w:rsidR="00116823">
        <w:t>n increasing</w:t>
      </w:r>
      <w:r w:rsidR="3FFB6554">
        <w:t xml:space="preserve"> degree of </w:t>
      </w:r>
      <w:r w:rsidR="6459AC8C">
        <w:t xml:space="preserve">concentration </w:t>
      </w:r>
      <w:r w:rsidR="2921A2F9">
        <w:t xml:space="preserve">over </w:t>
      </w:r>
      <w:r w:rsidR="0F2401DC">
        <w:t>the study</w:t>
      </w:r>
      <w:r w:rsidR="00C249F1">
        <w:t xml:space="preserve"> period</w:t>
      </w:r>
      <w:r w:rsidR="00967F4A">
        <w:t xml:space="preserve"> and</w:t>
      </w:r>
      <w:r w:rsidR="00637E37" w:rsidDel="00A32017">
        <w:t xml:space="preserve"> </w:t>
      </w:r>
      <w:r w:rsidR="00637E37">
        <w:t xml:space="preserve">are now </w:t>
      </w:r>
      <w:r w:rsidR="003B3D86">
        <w:t xml:space="preserve">particularly </w:t>
      </w:r>
      <w:r w:rsidR="00FE5088">
        <w:t>concentrated</w:t>
      </w:r>
      <w:r w:rsidR="00637E37">
        <w:t xml:space="preserve"> </w:t>
      </w:r>
      <w:r w:rsidR="00093129">
        <w:t xml:space="preserve">within </w:t>
      </w:r>
      <w:r w:rsidR="00093129" w:rsidRPr="006006BF">
        <w:t>western sub-Saharan Africa</w:t>
      </w:r>
      <w:r w:rsidR="005B2936">
        <w:t>,</w:t>
      </w:r>
      <w:r w:rsidR="00247DBB">
        <w:t xml:space="preserve"> with an additional </w:t>
      </w:r>
      <w:r w:rsidR="00AB2B59">
        <w:t xml:space="preserve">corridor running </w:t>
      </w:r>
      <w:r w:rsidR="003B3D86">
        <w:t>through central Africa and in</w:t>
      </w:r>
      <w:r w:rsidR="00AB2B59">
        <w:t>to Mozambique</w:t>
      </w:r>
      <w:r w:rsidR="000B122B" w:rsidRPr="006006BF">
        <w:t>.</w:t>
      </w:r>
      <w:r w:rsidR="0090137C">
        <w:fldChar w:fldCharType="begin"/>
      </w:r>
      <w:r w:rsidR="00BB7651">
        <w:instrText xml:space="preserve"> ADDIN ZOTERO_ITEM CSL_CITATION {"citationID":"FFLLupC4","properties":{"formattedCitation":"\\super 31\\nosupersub{}","plainCitation":"31","noteIndex":0},"citationItems":[{"id":128264,"uris":["http://zotero.org/groups/2154524/items/VK9WNIS9"],"itemData":{"id":128264,"type":"article-journal","container-title":"The American Journal of Tropical Medicine and Hygiene","DOI":"10.4269/ajtmh.18-0997","ISSN":"0002-9637","issue":"2","journalAbbreviation":"Am J Trop Med Hyg","note":"PMID: 30628572\nPMCID: PMC6367613","page":"239-241","source":"PubMed Central","title":"Malaria: how are we doing and how can we do better?","title-short":"Malaria","volume":"100","author":[{"family":"Rosenthal","given":"Philip J."},{"family":"John","given":"Chandy C."},{"family":"Rabinovich","given":"N. Regina"}],"issued":{"date-parts":[["2019",2]]}}}],"schema":"https://github.com/citation-style-language/schema/raw/master/csl-citation.json"} </w:instrText>
      </w:r>
      <w:r w:rsidR="0090137C">
        <w:fldChar w:fldCharType="separate"/>
      </w:r>
      <w:r w:rsidR="00BB7651" w:rsidRPr="00BB7651">
        <w:rPr>
          <w:rFonts w:cs="Times New Roman"/>
          <w:szCs w:val="24"/>
          <w:vertAlign w:val="superscript"/>
        </w:rPr>
        <w:t>31</w:t>
      </w:r>
      <w:r w:rsidR="0090137C">
        <w:fldChar w:fldCharType="end"/>
      </w:r>
      <w:r w:rsidR="00A879DA" w:rsidDel="00093129">
        <w:t xml:space="preserve"> </w:t>
      </w:r>
      <w:r w:rsidR="26E78A7B">
        <w:t xml:space="preserve">Countries in </w:t>
      </w:r>
      <w:r w:rsidR="6FD9B52B">
        <w:t>w</w:t>
      </w:r>
      <w:r w:rsidR="26E78A7B">
        <w:t>estern</w:t>
      </w:r>
      <w:r w:rsidR="7C2A3646">
        <w:t xml:space="preserve"> </w:t>
      </w:r>
      <w:r w:rsidR="7E59F806">
        <w:t>s</w:t>
      </w:r>
      <w:r w:rsidR="26E78A7B">
        <w:t>ub</w:t>
      </w:r>
      <w:r w:rsidR="7C2A3646">
        <w:t>-</w:t>
      </w:r>
      <w:r w:rsidR="26E78A7B">
        <w:t xml:space="preserve">Saharan Africa with the highest under-5 death rates from </w:t>
      </w:r>
      <w:r w:rsidR="001A088E">
        <w:t>m</w:t>
      </w:r>
      <w:r w:rsidR="26E78A7B">
        <w:t xml:space="preserve">alaria in 2021 included Burkina Faso, Sierra Leone, and </w:t>
      </w:r>
      <w:r w:rsidR="26E78A7B">
        <w:lastRenderedPageBreak/>
        <w:t>Niger</w:t>
      </w:r>
      <w:r w:rsidR="4A6D7A2B">
        <w:t>.</w:t>
      </w:r>
      <w:r w:rsidR="00D46B3D">
        <w:t xml:space="preserve"> This</w:t>
      </w:r>
      <w:r w:rsidR="0096612F">
        <w:t xml:space="preserve"> </w:t>
      </w:r>
      <w:r w:rsidR="008E0BF9">
        <w:t>mala</w:t>
      </w:r>
      <w:r w:rsidR="00CD2EF6">
        <w:t xml:space="preserve">ria </w:t>
      </w:r>
      <w:r w:rsidR="0096612F">
        <w:t>mortality</w:t>
      </w:r>
      <w:r w:rsidR="000E3723">
        <w:t xml:space="preserve"> </w:t>
      </w:r>
      <w:r w:rsidR="21828404">
        <w:t xml:space="preserve">concentration </w:t>
      </w:r>
      <w:r w:rsidR="009346DC">
        <w:t>reflects both differential rates of population growth across Africa, as well as the varying rates of progress in reducing transmission, most notably by long lasting insecticide treated nets and in strengthening case management.</w:t>
      </w:r>
      <w:r w:rsidR="00DC37DC">
        <w:fldChar w:fldCharType="begin"/>
      </w:r>
      <w:r w:rsidR="00BB7651">
        <w:instrText xml:space="preserve"> ADDIN ZOTERO_ITEM CSL_CITATION {"citationID":"khsM4r1q","properties":{"formattedCitation":"\\super 32\\nosupersub{}","plainCitation":"32","noteIndex":0},"citationItems":[{"id":128267,"uris":["http://zotero.org/groups/2154524/items/2AES72ER"],"itemData":{"id":128267,"type":"article-journal","abstract":"Since the year 2000, a concerted campaign against malaria has led to unprecedented levels of intervention coverage across sub-Saharan Africa. Understanding the effect of this control effort is vital to inform future control planning. However, the effect of malaria interventions across the varied epidemiological settings of Africa remains poorly understood owing to the absence of reliable surveillance data and the simplistic approaches underlying current disease estimates. Here we link a large database of malaria field surveys with detailed reconstructions of changing intervention coverage to directly evaluate trends from 2000 to 2015, and quantify the attributable effect of malaria disease control efforts. We found that Plasmodium falciparum infection prevalence in endemic Africa halved and the incidence of clinical disease fell by 40% between 2000 and 2015. We estimate that interventions have averted 663 (542–753 credible interval) million clinical cases since 2000. Insecticide-treated nets, the most widespread intervention, were by far the largest contributor (68% of cases averted). Although still below target levels, current malaria interventions have substantially reduced malaria disease incidence across the continent. Increasing access to these interventions, and maintaining their effectiveness in the face of insecticide and drug resistance, should form a cornerstone of post-2015 control strategies.","container-title":"Nature","DOI":"10.1038/nature15535","ISSN":"1476-4687","issue":"7572","language":"en","license":"2015 Springer Nature Limited","note":"number: 7572\npublisher: Nature Publishing Group","page":"207-211","source":"www.nature.com","title":"The effect of malaria control on Plasmodium falciparum in Africa between 2000 and 2015","volume":"526","author":[{"family":"Bhatt","given":"S."},{"family":"Weiss","given":"D. J."},{"family":"Cameron","given":"E."},{"family":"Bisanzio","given":"D."},{"family":"Mappin","given":"B."},{"family":"Dalrymple","given":"U."},{"family":"Battle","given":"K. E."},{"family":"Moyes","given":"C. L."},{"family":"Henry","given":"A."},{"family":"Eckhoff","given":"P. A."},{"family":"Wenger","given":"E. A."},{"family":"Briët","given":"O."},{"family":"Penny","given":"M. A."},{"family":"Smith","given":"T. A."},{"family":"Bennett","given":"A."},{"family":"Yukich","given":"J."},{"family":"Eisele","given":"T. P."},{"family":"Griffin","given":"J. T."},{"family":"Fergus","given":"C. A."},{"family":"Lynch","given":"M."},{"family":"Lindgren","given":"F."},{"family":"Cohen","given":"J. M."},{"family":"Murray","given":"C. L. J."},{"family":"Smith","given":"D. L."},{"family":"Hay","given":"S. I."},{"family":"Cibulskis","given":"R. E."},{"family":"Gething","given":"P. W."}],"issued":{"date-parts":[["2015",10]]}}}],"schema":"https://github.com/citation-style-language/schema/raw/master/csl-citation.json"} </w:instrText>
      </w:r>
      <w:r w:rsidR="00DC37DC">
        <w:fldChar w:fldCharType="separate"/>
      </w:r>
      <w:r w:rsidR="00BB7651" w:rsidRPr="00BB7651">
        <w:rPr>
          <w:rFonts w:cs="Times New Roman"/>
          <w:szCs w:val="24"/>
          <w:vertAlign w:val="superscript"/>
        </w:rPr>
        <w:t>32</w:t>
      </w:r>
      <w:r w:rsidR="00DC37DC">
        <w:fldChar w:fldCharType="end"/>
      </w:r>
      <w:r w:rsidR="009346DC">
        <w:t xml:space="preserve"> At a time of growing threats to progress against malaria, including emerging parasite and vector resistance and budgetary pressures, but also promising new tools such as the recently approved second vaccine for malaria</w:t>
      </w:r>
      <w:r w:rsidR="00B841C7">
        <w:t>,</w:t>
      </w:r>
      <w:r w:rsidR="009346DC">
        <w:t xml:space="preserve"> it is more important than ever that changing patterns of mortality are quantified and understood.</w:t>
      </w:r>
      <w:r w:rsidR="009B627D">
        <w:fldChar w:fldCharType="begin"/>
      </w:r>
      <w:r w:rsidR="00BB7651">
        <w:instrText xml:space="preserve"> ADDIN ZOTERO_ITEM CSL_CITATION {"citationID":"zszqoUiw","properties":{"formattedCitation":"\\super 33,34\\nosupersub{}","plainCitation":"33,34","noteIndex":0},"citationItems":[{"id":127768,"uris":["http://zotero.org/groups/2154524/items/LD6VBTFS"],"itemData":{"id":127768,"type":"webpage","abstract":"The World Health Organization (WHO) has recommended a new vaccine, R21/Matrix-M, for the prevention of malaria in children. This was just one of the recommendations made at the meeting of WHO's Strategic Advisory Group of Experts (SAGE) on immunization held on 25-29 September 2023.","language":"en","title":"WHO recommends R21/Matrix-M vaccine for malaria prevention in updated advice on immunization","URL":"https://www.who.int/news/item/02-10-2023-who-recommends-r21-matrix-m-vaccine-for-malaria-prevention-in-updated-advice-on-immunization","author":[{"literal":"WHO"}],"accessed":{"date-parts":[["2023",10,24]]},"issued":{"date-parts":[["2023",10,2]]}},"label":"page"},{"id":127767,"uris":["http://zotero.org/groups/2154524/items/P99QS5JD"],"itemData":{"id":127767,"type":"article-journal","abstract":"The World Health Organization has recommended a shot called R21 to prevent the disease in children.","container-title":"Nature","DOI":"10.1038/d41586-023-03115-1","language":"en","license":"2023 Springer Nature Limited","note":"Bandiera_abtest: a\nCg_type: News\npublisher: Nature Publishing Group\nSubject_term: Malaria, Diseases, Vaccines","source":"www.nature.com","title":"Second malaria vaccine to win global approval is cheaper and easier to make","URL":"https://www.nature.com/articles/d41586-023-03115-1","author":[{"family":"Naddaf","given":"Miryam"}],"accessed":{"date-parts":[["2023",10,24]]},"issued":{"date-parts":[["2023",10,3]]}},"label":"page"}],"schema":"https://github.com/citation-style-language/schema/raw/master/csl-citation.json"} </w:instrText>
      </w:r>
      <w:r w:rsidR="009B627D">
        <w:fldChar w:fldCharType="separate"/>
      </w:r>
      <w:r w:rsidR="00BB7651" w:rsidRPr="00BB7651">
        <w:rPr>
          <w:rFonts w:cs="Times New Roman"/>
          <w:szCs w:val="24"/>
          <w:vertAlign w:val="superscript"/>
        </w:rPr>
        <w:t>33,34</w:t>
      </w:r>
      <w:r w:rsidR="009B627D">
        <w:fldChar w:fldCharType="end"/>
      </w:r>
    </w:p>
    <w:p w14:paraId="360A8BA5" w14:textId="3EE105F2" w:rsidR="4DF674DB" w:rsidRDefault="6AFA7809" w:rsidP="13780C91">
      <w:pPr>
        <w:spacing w:line="360" w:lineRule="auto"/>
      </w:pPr>
      <w:r>
        <w:t>Enteric infections</w:t>
      </w:r>
      <w:r w:rsidR="044BA939">
        <w:t xml:space="preserve"> showed </w:t>
      </w:r>
      <w:r w:rsidR="5004DF33">
        <w:t>significant</w:t>
      </w:r>
      <w:r w:rsidR="044BA939">
        <w:t xml:space="preserve"> disease concentration, </w:t>
      </w:r>
      <w:r w:rsidR="53697FC0">
        <w:t>particularly</w:t>
      </w:r>
      <w:r w:rsidR="044BA939">
        <w:t xml:space="preserve"> in under</w:t>
      </w:r>
      <w:r w:rsidR="00461409">
        <w:t>-</w:t>
      </w:r>
      <w:r w:rsidR="044BA939">
        <w:t xml:space="preserve">5 </w:t>
      </w:r>
      <w:r w:rsidR="78143906">
        <w:t>populations</w:t>
      </w:r>
      <w:r w:rsidR="044BA939">
        <w:t>,</w:t>
      </w:r>
      <w:r w:rsidR="044BA939" w:rsidRPr="13780C91">
        <w:rPr>
          <w:rFonts w:eastAsia="Times New Roman" w:cs="Times New Roman"/>
          <w:color w:val="000000" w:themeColor="text1"/>
        </w:rPr>
        <w:t xml:space="preserve"> with 90% of deaths occurring in locations containing 63% of the under-5 population in 1990, decreasing to 51% of the population by 2021.</w:t>
      </w:r>
      <w:r w:rsidR="7CABBBE9" w:rsidRPr="76A38651">
        <w:rPr>
          <w:rFonts w:eastAsia="Times New Roman" w:cs="Times New Roman"/>
          <w:color w:val="000000" w:themeColor="text1"/>
        </w:rPr>
        <w:t xml:space="preserve"> </w:t>
      </w:r>
      <w:r w:rsidR="7C300CE8" w:rsidRPr="313FAF87">
        <w:rPr>
          <w:rFonts w:eastAsia="Times New Roman" w:cs="Times New Roman"/>
          <w:color w:val="000000" w:themeColor="text1"/>
        </w:rPr>
        <w:t>Under</w:t>
      </w:r>
      <w:r w:rsidR="00D46B3D">
        <w:rPr>
          <w:rFonts w:eastAsia="Times New Roman" w:cs="Times New Roman"/>
          <w:color w:val="000000" w:themeColor="text1"/>
        </w:rPr>
        <w:t>-</w:t>
      </w:r>
      <w:r w:rsidR="7C300CE8" w:rsidRPr="313FAF87">
        <w:rPr>
          <w:rFonts w:eastAsia="Times New Roman" w:cs="Times New Roman"/>
          <w:color w:val="000000" w:themeColor="text1"/>
        </w:rPr>
        <w:t xml:space="preserve">5 </w:t>
      </w:r>
      <w:r w:rsidR="4F3FCB6F">
        <w:t>d</w:t>
      </w:r>
      <w:r w:rsidR="006D26C6">
        <w:t xml:space="preserve">eaths from enteric infections are now </w:t>
      </w:r>
      <w:r w:rsidR="48C9FE26">
        <w:t xml:space="preserve">largely </w:t>
      </w:r>
      <w:r w:rsidR="006D26C6">
        <w:t xml:space="preserve">concentrated within </w:t>
      </w:r>
      <w:r w:rsidR="4262DBFE">
        <w:t>sub-</w:t>
      </w:r>
      <w:r w:rsidR="210986B4">
        <w:t>S</w:t>
      </w:r>
      <w:r w:rsidR="4262DBFE">
        <w:t>aharan Africa</w:t>
      </w:r>
      <w:r w:rsidR="6024D406">
        <w:t xml:space="preserve"> and </w:t>
      </w:r>
      <w:r w:rsidR="00D46B3D">
        <w:t xml:space="preserve">south </w:t>
      </w:r>
      <w:r w:rsidR="6024D406">
        <w:t>Asia</w:t>
      </w:r>
      <w:r w:rsidR="006D26C6">
        <w:t xml:space="preserve">. Countries in </w:t>
      </w:r>
      <w:r w:rsidR="618A5899">
        <w:t>sub-</w:t>
      </w:r>
      <w:r w:rsidR="5F93F5BC">
        <w:t>S</w:t>
      </w:r>
      <w:r w:rsidR="618A5899">
        <w:t>aharan Africa</w:t>
      </w:r>
      <w:r w:rsidR="1EAF430F">
        <w:t xml:space="preserve"> and </w:t>
      </w:r>
      <w:r w:rsidR="00D46B3D">
        <w:t xml:space="preserve">south </w:t>
      </w:r>
      <w:r w:rsidR="1EAF430F">
        <w:t>Asia</w:t>
      </w:r>
      <w:r w:rsidR="006D26C6">
        <w:t xml:space="preserve"> with the highest under-5 death rates from </w:t>
      </w:r>
      <w:r w:rsidR="67525112">
        <w:t>enteric infections</w:t>
      </w:r>
      <w:r w:rsidR="006D26C6">
        <w:t xml:space="preserve"> in 2021 included </w:t>
      </w:r>
      <w:r w:rsidR="0C8C8963">
        <w:t>Chad</w:t>
      </w:r>
      <w:r w:rsidR="006D26C6">
        <w:t xml:space="preserve">, </w:t>
      </w:r>
      <w:r w:rsidR="51D7E2C6">
        <w:t>South Sudan</w:t>
      </w:r>
      <w:r w:rsidR="00B078F1">
        <w:t>,</w:t>
      </w:r>
      <w:r w:rsidR="006D26C6">
        <w:t xml:space="preserve"> and </w:t>
      </w:r>
      <w:r w:rsidR="383469BA">
        <w:t>Central African Republic</w:t>
      </w:r>
      <w:r w:rsidR="006D26C6">
        <w:t>.</w:t>
      </w:r>
      <w:r w:rsidR="006D26C6" w:rsidRPr="76A38651">
        <w:rPr>
          <w:rFonts w:eastAsia="Times New Roman" w:cs="Times New Roman"/>
          <w:color w:val="000000" w:themeColor="text1"/>
        </w:rPr>
        <w:t xml:space="preserve"> </w:t>
      </w:r>
      <w:r w:rsidR="7CABBBE9" w:rsidRPr="76A38651">
        <w:rPr>
          <w:rFonts w:eastAsia="Times New Roman" w:cs="Times New Roman"/>
          <w:color w:val="000000" w:themeColor="text1"/>
        </w:rPr>
        <w:t xml:space="preserve">There are many contributing factors that should be examined when evaluating how to reduce enteric infections in the remaining concentrated locations. </w:t>
      </w:r>
      <w:r w:rsidR="00CB6528" w:rsidRPr="00033B30">
        <w:t xml:space="preserve">Alongside the provision of oral rehydration solution and rotavirus vaccines, critical public health improvements such as in </w:t>
      </w:r>
      <w:proofErr w:type="spellStart"/>
      <w:r w:rsidR="00033B30">
        <w:t>WaSH</w:t>
      </w:r>
      <w:proofErr w:type="spellEnd"/>
      <w:r w:rsidR="00CB6528" w:rsidRPr="00033B30">
        <w:t xml:space="preserve"> </w:t>
      </w:r>
      <w:r w:rsidR="5C91F25C" w:rsidRPr="1B88945A">
        <w:t xml:space="preserve">may </w:t>
      </w:r>
      <w:r w:rsidR="00CB6528" w:rsidRPr="1B88945A">
        <w:t>have</w:t>
      </w:r>
      <w:r w:rsidR="00CB6528" w:rsidRPr="00033B30">
        <w:t xml:space="preserve"> contributed to decreases in enteric deaths in recent years.</w:t>
      </w:r>
      <w:r w:rsidR="00402A43" w:rsidRPr="1AE03775">
        <w:fldChar w:fldCharType="begin"/>
      </w:r>
      <w:r w:rsidR="00BB7651">
        <w:instrText xml:space="preserve"> ADDIN ZOTERO_ITEM CSL_CITATION {"citationID":"QJ6eqQYz","properties":{"formattedCitation":"\\super 35,36\\nosupersub{}","plainCitation":"35,36","noteIndex":0},"citationItems":[{"id":127959,"uris":["http://zotero.org/groups/2154524/items/S9YPSAQW"],"itemData":{"id":127959,"type":"article-journal","abstract":"Background\nChildhood diarrhea deaths have declined more than 80% from 1980 to 2015, in spite of an increase in the number of children in low- and middle-income countries (LMIC). Possible drivers of this remarkable accomplishment can guide the further reduction of the half million annual child deaths from diarrhea that still occur.\n\nMethods\nWe used the Lives Saved Tool, which models effects on mortality due to changes in coverage of preventive or therapeutic interventions or risk factors, for 50 LMIC to determine the proximal drivers of the diarrhea mortality reduction.\n\nResults\nDiarrhea treatment (oral rehydration solution [ORS], zinc, antibiotics for dysentery and management of persistent diarrhea) and use of rotavirus vaccine accounted for 49.7% of the diarrhea mortality reduction from 1980 to 2015. Improvements in nutrition (stunting, wasting, breastfeeding practices, vitamin A) accounted for 38.8% and improvements in water, sanitation and handwashing for 11.5%. The contribution of ORS was greater from 1980 to 2000 (58.0% of the reduction) than from 2000 to 2015 (30.7%); coverage of ORS increased from zero in 1980 to 29.5% in 2000 and more slowly to 44.1% by 2015. To eliminate the remaining childhood diarrhea deaths globally, all these interventions will be needed. Scaling up diarrhea treatment and rotavirus vaccine, to 90% coverage could reduce global child diarrhea mortality by 74.1% from 2015 levels by 2030. Adding improved nutrition could increase that to 89.1%. Finally, adding increased use of improved water sources, sanitation and handwashing could result in a 92.8% reduction from the 2015 level.\n\nConclusions\nEmploying the interventions that have resulted in such a large reduction in diarrhea mortality in the last 35 years can virtually eliminate remaining childhood diarrhea deaths by 2030.","container-title":"Journal of Global Health","DOI":"10.7189/jogh.09.020801","ISSN":"2047-2978","issue":"2","journalAbbreviation":"J Glob Health","note":"PMID: 31673345\nPMCID: PMC6815873","page":"020801","source":"PubMed Central","title":"Drivers of the reduction in childhood diarrhea mortality 1980-2015 and interventions to eliminate preventable diarrhea deaths by 2030","volume":"9","author":[{"family":"Black","given":"Robert"},{"family":"Fontaine","given":"Olivier"},{"family":"Lamberti","given":"Laura"},{"family":"Bhan","given":"Maharaj"},{"family":"Huicho","given":"Luis"},{"family":"El Arifeen","given":"Shams"},{"family":"Masanja","given":"Honorati"},{"family":"Walker","given":"Christa Fischer"},{"family":"Mengestu","given":"Tigest Ketsela"},{"family":"Pearson","given":"Luwei"},{"family":"Young","given":"Mark"},{"family":"Orobaton","given":"Nosa"},{"family":"Chu","given":"Yue"},{"family":"Jackson","given":"Bianca"},{"family":"Bateman","given":"Massee"},{"family":"Walker","given":"Neff"},{"family":"Merson","given":"Michael"}]},"label":"page"},{"id":128134,"uris":["http://zotero.org/groups/2154524/items/HDQUPPXM"],"itemData":{"id":128134,"type":"article-journal","abstract":"BACKGROUND: Despite large reductions in under-5 lower respiratory infection (LRI) mortality in many locations, the pace of progress for LRIs has generally lagged behind that of other childhood infectious diseases. To better inform programmes and policies focused on preventing and treating LRIs, we assessed the contributions and patterns of risk factor attribution, intervention coverage, and sociodemographic development in 195 countries and territories by drawing from the Global Burden of Diseases, Injuries, and Risk Factors Study 2017 (GBD 2017) LRI estimates.\nMETHODS: We used four strategies to model LRI burden: the mortality due to LRIs was modelled using vital registration data, demographic surveillance data, and verbal autopsy data in a predictive ensemble modelling tool; the incidence of LRIs was modelled using population representative surveys, health-care utilisation data, and scientific literature in a compartmental meta-regression tool; the attribution of risk factors for LRI mortality was modelled in a counterfactual framework; and trends in LRI mortality were analysed applying changes in exposure to risk factors over time. In GBD, infectious disease mortality, including that due to LRI, is among HIV-negative individuals. We categorised locations based on their burden in 1990 to make comparisons in the changing burden between 1990 and 2017 and evaluate the relative percent change in mortality rate, incidence, and risk factor exposure to explain differences in the health loss associated with LRIs among children younger than 5 years.\nFINDINGS: In 2017, LRIs caused 808 920 deaths (95% uncertainty interval 747 286-873 591) in children younger than 5 years. Since 1990, there has been a substantial decrease in the number of deaths (from 2 337 538 to 808 920 deaths; 65·4% decrease, 61·5-68·5) and in mortality rate (from 362·7 deaths [330·1-392·0] per 100 000 children to 118·9 deaths [109·8-128·3] per 100 000 children; 67·2% decrease, 63·5-70·1). LRI incidence declined globally (32·4% decrease, 27·2-37·5). The percent change in under-5 mortality rate and incidence has varied across locations. Among the risk factors assessed in this study, those responsible for the greatest decrease in under-5 LRI mortality between 1990 and 2017 were increased coverage of vaccination against Haemophilus influenza type b (11·4% decrease, 0·0-24·5), increased pneumococcal vaccine coverage (6·3% decrease, 6·1-6·3), and reductions in household air pollution (8·4%, 6·8-9·2).\nINTERPRETATION: Our findings show that there have been substantial but uneven declines in LRI mortality among countries between 1990 and 2017. Although improvements in indicators of sociodemographic development could explain some of these trends, changes in exposure to modifiable risk factors are related to the rates of decline in LRI mortality. No single intervention would universally accelerate reductions in health loss associated with LRIs in all settings, but emphasising the most dominant risk factors, particularly in countries with high case fatality, can contribute to the reduction of preventable deaths.\nFUNDING: Bill &amp; Melinda Gates Foundation.","container-title":"The Lancet. Infectious Diseases","DOI":"10.1016/S1473-3099(19)30410-4","ISSN":"1474-4457","issue":"1","journalAbbreviation":"Lancet Infect Dis","language":"eng","note":"PMID: 31678026\nPMCID: PMC7185492","page":"60-79","source":"PubMed","title":"Quantifying risks and interventions that have affected the burden of lower respiratory infections among children younger than 5 years: an analysis for the Global Burden of Disease Study 2017","title-short":"Quantifying risks and interventions that have affected the burden of lower respiratory infections among children younger than 5 years","volume":"20","author":[{"literal":"GBD 2017 Lower Respiratory Infections Collaborators"}],"issued":{"date-parts":[["2020",1]]}},"label":"page"}],"schema":"https://github.com/citation-style-language/schema/raw/master/csl-citation.json"} </w:instrText>
      </w:r>
      <w:r w:rsidR="00402A43" w:rsidRPr="1AE03775">
        <w:fldChar w:fldCharType="separate"/>
      </w:r>
      <w:r w:rsidR="00BB7651" w:rsidRPr="00BB7651">
        <w:rPr>
          <w:rFonts w:cs="Times New Roman"/>
          <w:szCs w:val="24"/>
          <w:vertAlign w:val="superscript"/>
        </w:rPr>
        <w:t>35,36</w:t>
      </w:r>
      <w:r w:rsidR="00402A43" w:rsidRPr="1AE03775">
        <w:fldChar w:fldCharType="end"/>
      </w:r>
      <w:r w:rsidR="009F6442" w:rsidRPr="00033B30">
        <w:t xml:space="preserve"> </w:t>
      </w:r>
      <w:r w:rsidR="009F6442">
        <w:t>Childhood growth failure, also a leading risk factor for lower respiratory infections, malaria, and measles deaths, must be addressed through interventions to improve women’s health including anaemia, promotion of early exclusive breastfeeding, and management of acute malnutrition, among others.</w:t>
      </w:r>
      <w:r w:rsidR="000F066D">
        <w:fldChar w:fldCharType="begin"/>
      </w:r>
      <w:r w:rsidR="00BB7651">
        <w:instrText xml:space="preserve"> ADDIN ZOTERO_ITEM CSL_CITATION {"citationID":"yDGG16q3","properties":{"formattedCitation":"\\super 37,38\\nosupersub{}","plainCitation":"37,38","noteIndex":0},"citationItems":[{"id":128274,"uris":["http://zotero.org/groups/2154524/items/ERE43KAP"],"itemData":{"id":128274,"type":"article-journal","abstract":"Childhood malnutrition is a major public health concern, as it is associated with significant short- and long-term morbidity and mortality. The objective of this review was to comprehensively review the evidence for the management of severe acute malnutrition (SAM) and moderate acute malnutrition (MAM) according to the current World Health Organization (WHO) protocol using facility- and community-based approaches, as well as the effectiveness of ready-to-use therapeutic food (RUTF), ready-to-use supplementary food (RUSF), prophylactic antibiotic use, and vitamin A supplementation. We searched relevant electronic databases until 11 February 2019, and performed a meta-analysis. This review summarizes findings from a total of 42 studies (48 papers), including 35,017 children. Limited data show some benefit of integrated community-based screening, identification, and management of SAM and MAM on improving recovery rate. Facility-based screening and management of uncomplicated SAM has no effect on recovery and mortality, while the effect of therapeutic milk F100 for SAM is comparable to RUTF for weight gain and mortality. Local food and whey RUSF are comparable to standard RUSF for recovery rate and weight gain in MAM, while standard RUSF has additional benefits to CSB. Prophylactic antibiotic administration in uncomplicated SAM improves recovery rate and probably improves weight gain and reduces mortality. Limited data suggest that high-dose vitamin A supplementation is comparable with low-dose vitamin A supplementation for weight gain and mortality among children with SAM.","container-title":"Nutrients","DOI":"10.3390/nu12010116","ISSN":"2072-6643","issue":"1","journalAbbreviation":"Nutrients","language":"eng","note":"PMID: 31906272\nPMCID: PMC7019612","page":"116","source":"PubMed","title":"Effectiveness of Interventions for Managing Acute Malnutrition in Children under Five Years of Age in Low-Income and Middle-Income Countries: A Systematic Review and Meta-Analysis","title-short":"Effectiveness of Interventions for Managing Acute Malnutrition in Children under Five Years of Age in Low-Income and Middle-Income Countries","volume":"12","author":[{"family":"Das","given":"Jai K."},{"family":"Salam","given":"Rehana A."},{"family":"Saeed","given":"Marwah"},{"family":"Kazmi","given":"Faheem Ali"},{"family":"Bhutta","given":"Zulfiqar A."}],"issued":{"date-parts":[["2020",1,1]]}},"label":"page"},{"id":128278,"uris":["http://zotero.org/groups/2154524/items/UIEPZPIQ"],"itemData":{"id":128278,"type":"article-journal","abstract":"Growth faltering in children (low length for age or low weight for length) during the first 1,000 days of life (from conception to 2 years of age) influences short-term and long-term health and survival1,2. Interventions such as nutritional supplementation during pregnancy and the postnatal period could help prevent growth faltering, but programmatic action has been insufficient to eliminate the high burden of stunting and wasting in low- and middle-income countries. Identification of age windows and population subgroups on which to focus will benefit future preventive efforts. Here we use a population intervention effects analysis of 33 longitudinal cohorts (83,671 children, 662,763 measurements) and 30 separate exposures to show that improving maternal anthropometry and child condition at birth accounted for population increases in length-for-age z-scores of up to 0.40 and weight-for-length z-scores of up to 0.15 by 24 months of age. Boys had consistently higher risk of all forms of growth faltering than girls. Early postnatal growth faltering predisposed children to subsequent and persistent growth faltering. Children with multiple growth deficits exhibited higher mortality rates from birth to 2 years of age than children without growth deficits (hazard ratios 1.9 to 8.7). The importance of prenatal causes and severe consequences for children who experienced early growth faltering support a focus on pre-conception and pregnancy as a key opportunity for new preventive interventions.","container-title":"Nature","DOI":"10.1038/s41586-023-06501-x","ISSN":"1476-4687","issue":"7979","journalAbbreviation":"Nature","language":"eng","note":"PMID: 37704722\nPMCID: PMC10511328","page":"568-576","source":"PubMed","title":"Causes and consequences of child growth faltering in low-resource settings","volume":"621","author":[{"family":"Mertens","given":"Andrew"},{"family":"Benjamin-Chung","given":"Jade"},{"family":"Colford","given":"John M."},{"family":"Coyle","given":"Jeremy"},{"family":"Laan","given":"Mark J.","non-dropping-particle":"van der"},{"family":"Hubbard","given":"Alan E."},{"family":"Rosete","given":"Sonali"},{"family":"Malenica","given":"Ivana"},{"family":"Hejazi","given":"Nima"},{"family":"Sofrygin","given":"Oleg"},{"family":"Cai","given":"Wilson"},{"family":"Li","given":"Haodong"},{"family":"Nguyen","given":"Anna"},{"family":"Pokpongkiat","given":"Nolan N."},{"family":"Djajadi","given":"Stephanie"},{"family":"Seth","given":"Anmol"},{"family":"Jung","given":"Esther"},{"family":"Chung","given":"Esther O."},{"family":"Jilek","given":"Wendy"},{"family":"Subramoney","given":"Vishak"},{"family":"Hafen","given":"Ryan"},{"family":"Häggström","given":"Jonas"},{"family":"Norman","given":"Thea"},{"family":"Brown","given":"Kenneth H."},{"family":"Christian","given":"Parul"},{"family":"Arnold","given":"Benjamin F."},{"literal":"Ki Child Growth Consortium"}],"issued":{"date-parts":[["2023",9]]}},"label":"page"}],"schema":"https://github.com/citation-style-language/schema/raw/master/csl-citation.json"} </w:instrText>
      </w:r>
      <w:r w:rsidR="000F066D">
        <w:fldChar w:fldCharType="separate"/>
      </w:r>
      <w:r w:rsidR="00BB7651" w:rsidRPr="00BB7651">
        <w:rPr>
          <w:rFonts w:cs="Times New Roman"/>
          <w:szCs w:val="24"/>
          <w:vertAlign w:val="superscript"/>
        </w:rPr>
        <w:t>37,38</w:t>
      </w:r>
      <w:r w:rsidR="000F066D">
        <w:fldChar w:fldCharType="end"/>
      </w:r>
      <w:r w:rsidR="009F6442">
        <w:t xml:space="preserve"> There is substantial overlap in geographies with the highest burden of infectious disease mortality in children under-5, suggesting multisectoral approaches are necessary to</w:t>
      </w:r>
      <w:r w:rsidR="70B26C9A">
        <w:t xml:space="preserve"> successfully </w:t>
      </w:r>
      <w:r w:rsidR="005E2789">
        <w:t xml:space="preserve">continue </w:t>
      </w:r>
      <w:r w:rsidR="70B26C9A">
        <w:t>decreas</w:t>
      </w:r>
      <w:r w:rsidR="001226DB">
        <w:t>ing</w:t>
      </w:r>
      <w:r w:rsidR="70B26C9A">
        <w:t xml:space="preserve"> mortality in </w:t>
      </w:r>
      <w:r w:rsidR="10824E3A">
        <w:t>the countries with the highest rates</w:t>
      </w:r>
      <w:r w:rsidR="004B511F">
        <w:t>.</w:t>
      </w:r>
      <w:r w:rsidR="00211ACD">
        <w:fldChar w:fldCharType="begin"/>
      </w:r>
      <w:r w:rsidR="00BB7651">
        <w:instrText xml:space="preserve"> ADDIN ZOTERO_ITEM CSL_CITATION {"citationID":"ZhbtJIKR","properties":{"formattedCitation":"\\super 39\\nosupersub{}","plainCitation":"39","noteIndex":0},"citationItems":[{"id":128283,"uris":["http://zotero.org/groups/2154524/items/2FCCUUAV"],"itemData":{"id":128283,"type":"article-journal","abstract":"Despite substantial declines since 2000, lower respiratory infections (LRIs), diarrhoeal diseases, and malaria remain among the leading causes of nonfatal and fatal disease burden for children under 5 years of age (under 5), primarily in sub-Saharan Africa (SSA). The spatial burden of each of these diseases has been estimated subnationally across SSA, yet no prior analyses have examined the pattern of their combined burden. Here we synthesise subnational estimates of the burden of LRIs, diarrhoea, and malaria in children under-5 from 2000 to 2017 for 43 sub-Saharan countries. Some units faced a relatively equal burden from each of the three diseases, while others had one or two dominant sources of unit-level burden, with no consistent pattern geographically across the entire subcontinent. Using a subnational counterfactual analysis, we show that nearly 300 million DALYs could have been averted since 2000 by raising all units to their national average. Our findings are directly relevant for decision-makers in determining which and targeting where the most appropriate interventions are for increasing child survival.","container-title":"Nature Communications","DOI":"10.1038/s41467-022-34240-6","ISSN":"2041-1723","issue":"1","journalAbbreviation":"Nat Commun","language":"eng","note":"PMID: 36473841\nPMCID: PMC9726883","page":"7457","source":"PubMed","title":"The overlapping burden of the three leading causes of disability and death in sub-Saharan African children","volume":"13","author":[{"literal":"LBD Triple Burden Collaborators"}],"issued":{"date-parts":[["2022",12,6]]}}}],"schema":"https://github.com/citation-style-language/schema/raw/master/csl-citation.json"} </w:instrText>
      </w:r>
      <w:r w:rsidR="00211ACD">
        <w:fldChar w:fldCharType="separate"/>
      </w:r>
      <w:r w:rsidR="00BB7651" w:rsidRPr="00BB7651">
        <w:rPr>
          <w:rFonts w:cs="Times New Roman"/>
          <w:szCs w:val="24"/>
          <w:vertAlign w:val="superscript"/>
        </w:rPr>
        <w:t>39</w:t>
      </w:r>
      <w:r w:rsidR="00211ACD">
        <w:fldChar w:fldCharType="end"/>
      </w:r>
    </w:p>
    <w:p w14:paraId="18D0735E" w14:textId="31D30DD7" w:rsidR="003B02CC" w:rsidRDefault="003B02CC" w:rsidP="13780C91">
      <w:pPr>
        <w:spacing w:line="360" w:lineRule="auto"/>
      </w:pPr>
      <w:r>
        <w:t>A broad and recurring theme from this study is that reductions in enteric infections contributed to improved life expectancies over the past several decades. The reductions in childhood mortality associated with diarrhoeal diseases that have occurred across many parts of Africa</w:t>
      </w:r>
      <w:r>
        <w:fldChar w:fldCharType="begin"/>
      </w:r>
      <w:r w:rsidR="00BB7651">
        <w:instrText xml:space="preserve"> ADDIN ZOTERO_ITEM CSL_CITATION {"citationID":"5AIi248Q","properties":{"formattedCitation":"\\super 35,40\\uc0\\u8211{}42\\nosupersub{}","plainCitation":"35,40–42","noteIndex":0},"citationItems":[{"id":128255,"uris":["http://zotero.org/groups/2154524/items/5ALTKSJA"],"itemData":{"id":128255,"type":"article-journal","abstract":"Introduction: Rotavirus is the leading cause of hospitalizations and deaths from diarrhea. 33 African countries had introduced rotavirus vaccines by 2016. We estimate reductions in rotavirus hospitalizations and deaths for countries using rotavirus vaccination in national immunization programs and the potential of vaccine introduction across the continent. Areas covered: Regional rotavirus burden data were reviewed to calculate hospitalization rates, and applied to under-5 population to estimate baseline hospitalizations. Rotavirus mortality was based on 2013 WHO estimates. Regional pre-licensure vaccine efficacy and post-introduction vaccine effectiveness studies were used to estimate summary effectiveness, and vaccine coverage was applied to calculate prevented hospitalizations and deaths. Uncertainties around input parameters were propagated using boot-strapping simulations. In 29 African countries that introduced rotavirus vaccination prior to end 2014, 134,714 (IQR 112,321–154,654) hospitalizations and 20,986 (IQR 18,924–22,822) deaths were prevented in 2016. If all African countries had introduced rotavirus vaccines at benchmark immunization coverage, 273,619 (47%) (IQR 227,260–318,102) hospitalizations and 47,741 (39%) (IQR 42,822–52,462) deaths would have been prevented. Expert commentary: Rotavirus vaccination has substantially reduced hospitalizations and deaths in Africa; further reductions are anticipated as additional countries implement vaccination. These estimates bolster wider introduction and continued support of rotavirus vaccination programs.","container-title":"Expert Review of Vaccines","DOI":"10.1080/14760584.2017.1371595","ISSN":"1476-0584","issue":"10","note":"publisher: Taylor &amp; Francis\n_eprint: https://doi.org/10.1080/14760584.2017.1371595\nPMID: 28832219","page":"987-995","source":"Taylor and Francis+NEJM","title":"Estimated reductions in hospitalizations and deaths from childhood diarrhea following implementation of rotavirus vaccination in Africa","volume":"16","author":[{"family":"Shah","given":"Minesh P."},{"family":"Tate","given":"Jacqueline E."},{"family":"Mwenda","given":"Jason M."},{"family":"Steele","given":"A. Duncan"},{"family":"Parashar","given":"Umesh D."}],"issued":{"date-parts":[["2017",10,3]]}},"label":"page"},{"id":127959,"uris":["http://zotero.org/groups/2154524/items/S9YPSAQW"],"itemData":{"id":127959,"type":"article-journal","abstract":"Background\nChildhood diarrhea deaths have declined more than 80% from 1980 to 2015, in spite of an increase in the number of children in low- and middle-income countries (LMIC). Possible drivers of this remarkable accomplishment can guide the further reduction of the half million annual child deaths from diarrhea that still occur.\n\nMethods\nWe used the Lives Saved Tool, which models effects on mortality due to changes in coverage of preventive or therapeutic interventions or risk factors, for 50 LMIC to determine the proximal drivers of the diarrhea mortality reduction.\n\nResults\nDiarrhea treatment (oral rehydration solution [ORS], zinc, antibiotics for dysentery and management of persistent diarrhea) and use of rotavirus vaccine accounted for 49.7% of the diarrhea mortality reduction from 1980 to 2015. Improvements in nutrition (stunting, wasting, breastfeeding practices, vitamin A) accounted for 38.8% and improvements in water, sanitation and handwashing for 11.5%. The contribution of ORS was greater from 1980 to 2000 (58.0% of the reduction) than from 2000 to 2015 (30.7%); coverage of ORS increased from zero in 1980 to 29.5% in 2000 and more slowly to 44.1% by 2015. To eliminate the remaining childhood diarrhea deaths globally, all these interventions will be needed. Scaling up diarrhea treatment and rotavirus vaccine, to 90% coverage could reduce global child diarrhea mortality by 74.1% from 2015 levels by 2030. Adding improved nutrition could increase that to 89.1%. Finally, adding increased use of improved water sources, sanitation and handwashing could result in a 92.8% reduction from the 2015 level.\n\nConclusions\nEmploying the interventions that have resulted in such a large reduction in diarrhea mortality in the last 35 years can virtually eliminate remaining childhood diarrhea deaths by 2030.","container-title":"Journal of Global Health","DOI":"10.7189/jogh.09.020801","ISSN":"2047-2978","issue":"2","journalAbbreviation":"J Glob Health","note":"PMID: 31673345\nPMCID: PMC6815873","page":"020801","source":"PubMed Central","title":"Drivers of the reduction in childhood diarrhea mortality 1980-2015 and interventions to eliminate preventable diarrhea deaths by 2030","volume":"9","author":[{"family":"Black","given":"Robert"},{"family":"Fontaine","given":"Olivier"},{"family":"Lamberti","given":"Laura"},{"family":"Bhan","given":"Maharaj"},{"family":"Huicho","given":"Luis"},{"family":"El Arifeen","given":"Shams"},{"family":"Masanja","given":"Honorati"},{"family":"Walker","given":"Christa Fischer"},{"family":"Mengestu","given":"Tigest Ketsela"},{"family":"Pearson","given":"Luwei"},{"family":"Young","given":"Mark"},{"family":"Orobaton","given":"Nosa"},{"family":"Chu","given":"Yue"},{"family":"Jackson","given":"Bianca"},{"family":"Bateman","given":"Massee"},{"family":"Walker","given":"Neff"},{"family":"Merson","given":"Michael"}]},"label":"page"},{"id":128260,"uris":["http://zotero.org/groups/2154524/items/5GY4BZVS"],"itemData":{"id":128260,"type":"article-journal","abstract":"Diarrheal Burden among African Children Diarrhea is a major cause of disease and death, especially in Africa. In this study, investigators assessed the burden of diarrheal illness across the African continent between 2000 and 2015.","container-title":"New England Journal of Medicine","DOI":"10.1056/NEJMoa1716766","ISSN":"0028-4793","issue":"12","note":"publisher: Massachusetts Medical Society\n_eprint: https://doi.org/10.1056/NEJMoa1716766\nPMID: 30231224","page":"1128-1138","source":"Taylor and Francis+NEJM","title":"Variation in childhood diarrheal morbidity and mortality in Africa, 2000–2015","volume":"379","author":[{"family":"Reiner","given":"Robert C."},{"family":"Graetz","given":"Nicholas"},{"family":"Casey","given":"Daniel C."},{"family":"Troeger","given":"Christopher"},{"family":"Garcia","given":"Gregory M."},{"family":"Mosser","given":"Jonathan F."},{"family":"Deshpande","given":"Aniruddha"},{"family":"Swartz","given":"Scott J."},{"family":"Ray","given":"Sarah E."},{"family":"Blacker","given":"Brigette F."},{"family":"Rao","given":"Puja C."},{"family":"Osgood-Zimmerman","given":"Aaron"},{"family":"Burstein","given":"Roy"},{"family":"Pigott","given":"David M."},{"family":"Davis","given":"Ian M."},{"family":"Letourneau","given":"Ian D."},{"family":"Earl","given":"Lucas"},{"family":"Ross","given":"Jennifer M."},{"family":"Khalil","given":"Ibrahim A."},{"family":"Farag","given":"Tamer H."},{"family":"Brady","given":"Oliver J."},{"family":"Kraemer","given":"Moritz U.G."},{"family":"Smith","given":"David L."},{"family":"Bhatt","given":"Samir"},{"family":"Weiss","given":"Daniel J."},{"family":"Gething","given":"Peter W."},{"family":"Kassebaum","given":"Nicholas J."},{"family":"Mokdad","given":"Ali H."},{"family":"Murray","given":"Christopher J.L."},{"family":"Hay","given":"Simon I."}],"issued":{"date-parts":[["2018",9,20]]}},"label":"page"},{"id":128262,"uris":["http://zotero.org/groups/2154524/items/9UXIUS5H"],"itemData":{"id":128262,"type":"article-journal","abstract":"Since 2000, many countries have achieved considerable success in improving child survival, but localized progress remains unclear. To inform efforts towards United Nations Sustainable Development Goal 3.2—to end preventable child deaths by 2030—we need consistently estimated data at the subnational level regarding child mortality rates and trends. Here we quantified, for the period 2000–2017, the subnational variation in mortality rates and number of deaths of neonates, infants and children under 5 years of age within 99 low- and middle-income countries using a geostatistical survival model. We estimated that 32% of children under 5 in these countries lived in districts that had attained rates of 25 or fewer child deaths per 1,000 live births by 2017, and that 58% of child deaths between 2000 and 2017 in these countries could have been averted in the absence of geographical inequality. This study enables the identification of high-mortality clusters, patterns of progress and geographical inequalities to inform appropriate investments and implementations that will help to improve the health of all populations.","container-title":"Nature","DOI":"10.1038/s41586-019-1545-0","ISSN":"1476-4687","issue":"7778","language":"en","license":"2019 The Author(s)","note":"number: 7778\npublisher: Nature Publishing Group","page":"353-358","source":"www.nature.com","title":"Mapping 123 million neonatal, infant and child deaths between 2000 and 2017","volume":"574","author":[{"family":"Burstein","given":"Roy"},{"family":"Henry","given":"Nathaniel J."},{"family":"Collison","given":"Michael L."},{"family":"Marczak","given":"Laurie B."},{"family":"Sligar","given":"Amber"},{"family":"Watson","given":"Stefanie"},{"family":"Marquez","given":"Neal"},{"family":"Abbasalizad-Farhangi","given":"Mahdieh"},{"family":"Abbasi","given":"Masoumeh"},{"family":"Abd-Allah","given":"Foad"},{"family":"Abdoli","given":"Amir"},{"family":"Abdollahi","given":"Mohammad"},{"family":"Abdollahpour","given":"Ibrahim"},{"family":"Abdulkader","given":"Rizwan Suliankatchi"},{"family":"Abrigo","given":"Michael R. M."},{"family":"Acharya","given":"Dilaram"},{"family":"Adebayo","given":"Oladimeji M."},{"family":"Adekanmbi","given":"Victor"},{"family":"Adham","given":"Davoud"},{"family":"Afshari","given":"Mahdi"},{"family":"Aghaali","given":"Mohammad"},{"family":"Ahmadi","given":"Keivan"},{"family":"Ahmadi","given":"Mehdi"},{"family":"Ahmadpour","given":"Ehsan"},{"family":"Ahmed","given":"Rushdia"},{"family":"Akal","given":"Chalachew Genet"},{"family":"Akinyemi","given":"Joshua O."},{"family":"Alahdab","given":"Fares"},{"family":"Alam","given":"Noore"},{"family":"Alamene","given":"Genet Melak"},{"family":"Alene","given":"Kefyalew Addis"},{"family":"Alijanzadeh","given":"Mehran"},{"family":"Alinia","given":"Cyrus"},{"family":"Alipour","given":"Vahid"},{"family":"Aljunid","given":"Syed Mohamed"},{"family":"Almalki","given":"Mohammed J."},{"family":"Al-Mekhlafi","given":"Hesham M."},{"family":"Altirkawi","given":"Khalid"},{"family":"Alvis-Guzman","given":"Nelson"},{"family":"Amegah","given":"Adeladza Kofi"},{"family":"Amini","given":"Saeed"},{"family":"Amit","given":"Arianna Maever Loreche"},{"family":"Anbari","given":"Zohreh"},{"family":"Androudi","given":"Sofia"},{"family":"Anjomshoa","given":"Mina"},{"family":"Ansari","given":"Fereshteh"},{"family":"Antonio","given":"Carl Abelardo T."},{"family":"Arabloo","given":"Jalal"},{"family":"Arefi","given":"Zohreh"},{"family":"Aremu","given":"Olatunde"},{"family":"Armoon","given":"Bahram"},{"family":"Arora","given":"Amit"},{"family":"Artaman","given":"Al"},{"family":"Asadi","given":"Anvar"},{"family":"Asadi-Aliabadi","given":"Mehran"},{"family":"Ashraf-Ganjouei","given":"Amir"},{"family":"Assadi","given":"Reza"},{"family":"Ataeinia","given":"Bahar"},{"family":"Atre","given":"Sachin R."},{"family":"Quintanilla","given":"Beatriz Paulina Ayala"},{"family":"Ayanore","given":"Martin Amogre"},{"family":"Azari","given":"Samad"},{"family":"Babaee","given":"Ebrahim"},{"family":"Babazadeh","given":"Arefeh"},{"family":"Badawi","given":"Alaa"},{"family":"Bagheri","given":"Soghra"},{"family":"Bagherzadeh","given":"Mojtaba"},{"family":"Baheiraei","given":"Nafiseh"},{"family":"Balouchi","given":"Abbas"},{"family":"Barac","given":"Aleksandra"},{"family":"Bassat","given":"Quique"},{"family":"Baune","given":"Bernhard T."},{"family":"Bayati","given":"Mohsen"},{"family":"Bedi","given":"Neeraj"},{"family":"Beghi","given":"Ettore"},{"family":"Behzadifar","given":"Masoud"},{"family":"Behzadifar","given":"Meysam"},{"family":"Belay","given":"Yared Belete"},{"family":"Bell","given":"Brent"},{"family":"Bell","given":"Michelle L."},{"family":"Berbada","given":"Dessalegn Ajema"},{"family":"Bernstein","given":"Robert S."},{"family":"Bhattacharjee","given":"Natalia V."},{"family":"Bhattarai","given":"Suraj"},{"family":"Bhutta","given":"Zulfiqar A."},{"family":"Bijani","given":"Ali"},{"family":"Bohlouli","given":"Somayeh"},{"family":"Breitborde","given":"Nicholas J. K."},{"family":"Britton","given":"Gabrielle"},{"family":"Browne","given":"Annie J."},{"family":"Nagaraja","given":"Sharath Burugina"},{"family":"Busse","given":"Reinhard"},{"family":"Butt","given":"Zahid A."},{"family":"Car","given":"Josip"},{"family":"Cárdenas","given":"Rosario"},{"family":"Castañeda-Orjuela","given":"Carlos A."},{"family":"Cerin","given":"Ester"},{"family":"Chanie","given":"Wagaye Fentahun"},{"family":"Chatterjee","given":"Pranab"},{"family":"Chu","given":"Dinh-Toi"},{"family":"Cooper","given":"Cyrus"},{"family":"Costa","given":"Vera M."},{"family":"Dalal","given":"Koustuv"},{"family":"Dandona","given":"Lalit"},{"family":"Dandona","given":"Rakhi"},{"family":"Daoud","given":"Farah"},{"family":"Daryani","given":"Ahmad"},{"family":"Das Gupta","given":"Rajat"},{"family":"Davis","given":"Ian"},{"family":"Davis Weaver","given":"Nicole"},{"family":"Davitoiu","given":"Dragos Virgil"},{"family":"De Neve","given":"Jan-Walter"},{"family":"Demeke","given":"Feleke Mekonnen"},{"family":"Demoz","given":"Gebre Teklemariam"},{"family":"Deribe","given":"Kebede"},{"family":"Desai","given":"Rupak"},{"family":"Deshpande","given":"Aniruddha"},{"family":"Desyibelew","given":"Hanna Demelash"},{"family":"Dey","given":"Sagnik"},{"family":"Dharmaratne","given":"Samath Dhamminda"},{"family":"Dhimal","given":"Meghnath"},{"family":"Diaz","given":"Daniel"},{"family":"Doshmangir","given":"Leila"},{"family":"Duraes","given":"Andre R."},{"family":"Dwyer-Lindgren","given":"Laura"},{"family":"Earl","given":"Lucas"},{"family":"Ebrahimi","given":"Roya"},{"family":"Ebrahimpour","given":"Soheil"},{"family":"Effiong","given":"Andem"},{"family":"Eftekhari","given":"Aziz"},{"family":"Ehsani-Chimeh","given":"Elham"},{"family":"El Sayed","given":"Iman"},{"family":"El Sayed Zaki","given":"Maysaa"},{"family":"El Tantawi","given":"Maha"},{"family":"El-Khatib","given":"Ziad"},{"family":"Emamian","given":"Mohammad Hassan"},{"family":"Enany","given":"Shymaa"},{"family":"Eskandarieh","given":"Sharareh"},{"family":"Eyawo","given":"Oghenowede"},{"family":"Ezalarab","given":"Maha"},{"family":"Faramarzi","given":"Mahbobeh"},{"family":"Fareed","given":"Mohammad"},{"family":"Faridnia","given":"Roghiyeh"},{"family":"Faro","given":"Andre"},{"family":"Fazaeli","given":"Ali Akbar"},{"family":"Fazlzadeh","given":"Mehdi"},{"family":"Fentahun","given":"Netsanet"},{"family":"Fereshtehnejad","given":"Seyed-Mohammad"},{"family":"Fernandes","given":"João C."},{"family":"Filip","given":"Irina"},{"family":"Fischer","given":"Florian"},{"family":"Foigt","given":"Nataliya A."},{"family":"Foroutan","given":"Masoud"},{"family":"Francis","given":"Joel Msafiri"},{"family":"Fukumoto","given":"Takeshi"},{"family":"Fullman","given":"Nancy"},{"family":"Gallus","given":"Silvano"},{"family":"Gebre","given":"Destallem Gebremedhin"},{"family":"Gebrehiwot","given":"Tsegaye Tewelde"},{"family":"Gebremeskel","given":"Gebreamlak Gebremedhn"},{"family":"Gessner","given":"Bradford D."},{"family":"Geta","given":"Birhanu"},{"family":"Gething","given":"Peter W."},{"family":"Ghadimi","given":"Reza"},{"family":"Ghadiri","given":"Keyghobad"},{"family":"Ghajarzadeh","given":"Mahsa"},{"family":"Ghashghaee","given":"Ahmad"},{"family":"Gill","given":"Paramjit Singh"},{"family":"Gill","given":"Tiffany K."},{"family":"Golding","given":"Nick"},{"family":"Gomes","given":"Nelson G. M."},{"family":"Gona","given":"Philimon N."},{"family":"Gopalani","given":"Sameer Vali"},{"family":"Gorini","given":"Giuseppe"},{"family":"Goulart","given":"Bárbara Niegia Garcia"},{"family":"Graetz","given":"Nicholas"},{"family":"Greaves","given":"Felix"},{"family":"Green","given":"Manfred S."},{"family":"Guo","given":"Yuming"},{"family":"Haj-Mirzaian","given":"Arvin"},{"family":"Haj-Mirzaian","given":"Arya"},{"family":"Hall","given":"Brian James"},{"family":"Hamidi","given":"Samer"},{"family":"Haririan","given":"Hamidreza"},{"family":"Haro","given":"Josep Maria"},{"family":"Hasankhani","given":"Milad"},{"family":"Hasanpoor","given":"Edris"},{"family":"Hasanzadeh","given":"Amir"},{"family":"Hassankhani","given":"Hadi"},{"family":"Hassen","given":"Hamid Yimam"},{"family":"Hegazy","given":"Mohamed I."},{"family":"Hendrie","given":"Delia"},{"family":"Heydarpour","given":"Fatemeh"},{"family":"Hird","given":"Thomas R."},{"family":"Hoang","given":"Chi Linh"},{"family":"Hollerich","given":"Gillian"},{"family":"Rad","given":"Enayatollah Homaie"},{"family":"Hoseini-Ghahfarokhi","given":"Mojtaba"},{"family":"Hossain","given":"Naznin"},{"family":"Hosseini","given":"Mostafa"},{"family":"Hosseinzadeh","given":"Mehdi"},{"family":"Hostiuc","given":"Mihaela"},{"family":"Hostiuc","given":"Sorin"},{"family":"Househ","given":"Mowafa"},{"family":"Hsairi","given":"Mohamed"},{"family":"Ilesanmi","given":"Olayinka Stephen"},{"family":"Imani-Nasab","given":"Mohammad Hasan"},{"family":"Iqbal","given":"Usman"},{"family":"Irvani","given":"Seyed Sina Naghibi"},{"family":"Islam","given":"Nazrul"},{"family":"Islam","given":"Sheikh Mohammed Shariful"},{"family":"Jürisson","given":"Mikk"},{"family":"Balalami","given":"Nader Jafari"},{"family":"Jalali","given":"Amir"},{"family":"Javidnia","given":"Javad"},{"family":"Jayatilleke","given":"Achala Upendra"},{"family":"Jenabi","given":"Ensiyeh"},{"family":"Ji","given":"John S."},{"family":"Jobanputra","given":"Yash B."},{"family":"Johnson","given":"Kimberly"},{"family":"Jonas","given":"Jost B."},{"family":"Shushtari","given":"Zahra Jorjoran"},{"family":"Jozwiak","given":"Jacek Jerzy"},{"family":"Kabir","given":"Ali"},{"family":"Kahsay","given":"Amaha"},{"family":"Kalani","given":"Hamed"},{"family":"Kalhor","given":"Rohollah"},{"family":"Karami","given":"Manoochehr"},{"family":"Karki","given":"Surendra"},{"family":"Kasaeian","given":"Amir"},{"family":"Kassebaum","given":"Nicholas J."},{"family":"Keiyoro","given":"Peter Njenga"},{"family":"Kemp","given":"Grant Rodgers"},{"family":"Khabiri","given":"Roghayeh"},{"family":"Khader","given":"Yousef Saleh"},{"family":"Khafaie","given":"Morteza Abdullatif"},{"family":"Khan","given":"Ejaz Ahmad"},{"family":"Khan","given":"Junaid"},{"family":"Khan","given":"Muhammad Shahzeb"},{"family":"Khang","given":"Young-Ho"},{"family":"Khatab","given":"Khaled"},{"family":"Khater","given":"Amir"},{"family":"Khater","given":"Mona M."},{"family":"Khatony","given":"Alireza"},{"family":"Khazaei","given":"Mohammad"},{"family":"Khazaei","given":"Salman"},{"family":"Khazaei-Pool","given":"Maryam"},{"family":"Khubchandani","given":"Jagdish"},{"family":"Kianipour","given":"Neda"},{"family":"Kim","given":"Yun Jin"},{"family":"Kimokoti","given":"Ruth W."},{"family":"Kinyoki","given":"Damaris K."},{"family":"Kisa","given":"Adnan"},{"family":"Kisa","given":"Sezer"},{"family":"Kolola","given":"Tufa"},{"family":"Kosen","given":"Soewarta"},{"family":"Koul","given":"Parvaiz A."},{"family":"Koyanagi","given":"Ai"},{"family":"Kraemer","given":"Moritz U. G."},{"family":"Krishan","given":"Kewal"},{"family":"Krohn","given":"Kris J."},{"family":"Kugbey","given":"Nuworza"},{"family":"Kumar","given":"G. Anil"},{"family":"Kumar","given":"Manasi"},{"family":"Kumar","given":"Pushpendra"},{"family":"Kuupiel","given":"Desmond"},{"family":"Lacey","given":"Ben"},{"family":"Lad","given":"Sheetal D."},{"family":"Lami","given":"Faris Hasan"},{"family":"Larsson","given":"Anders O."},{"family":"Lee","given":"Paul H."},{"family":"Leili","given":"Mostafa"},{"family":"Levine","given":"Aubrey J."},{"family":"Li","given":"Shanshan"},{"family":"Lim","given":"Lee-Ling"},{"family":"Listl","given":"Stefan"},{"family":"Longbottom","given":"Joshua"},{"family":"Lopez","given":"Jaifred Christian F."},{"family":"Lorkowski","given":"Stefan"},{"family":"Magdeldin","given":"Sameh"},{"family":"Abd El Razek","given":"Hassan Magdy"},{"family":"Abd El Razek","given":"Muhammed Magdy"},{"family":"Majeed","given":"Azeem"},{"family":"Maleki","given":"Afshin"},{"family":"Malekzadeh","given":"Reza"},{"family":"Malta","given":"Deborah Carvalho"},{"family":"Mamun","given":"Abdullah A."},{"family":"Manafi","given":"Navid"},{"family":"Manda","given":"Ana-Laura"},{"family":"Mansourian","given":"Morteza"},{"family":"Martins-Melo","given":"Francisco Rogerlândio"},{"family":"Masaka","given":"Anthony"},{"family":"Massenburg","given":"Benjamin Ballard"},{"family":"Maulik","given":"Pallab K."},{"family":"Mayala","given":"Benjamin K."},{"family":"Mazidi","given":"Mohsen"},{"family":"McKee","given":"Martin"},{"family":"Mehrotra","given":"Ravi"},{"family":"Mehta","given":"Kala M."},{"family":"Meles","given":"Gebrekiros Gebremichael"},{"family":"Mendoza","given":"Walter"},{"family":"Menezes","given":"Ritesh G."},{"family":"Meretoja","given":"Atte"},{"family":"Meretoja","given":"Tuomo J."},{"family":"Mestrovic","given":"Tomislav"},{"family":"Miller","given":"Ted R."},{"family":"Miller-Petrie","given":"Molly K."},{"family":"Mills","given":"Edward J."},{"family":"Milne","given":"George J."},{"family":"Mini","given":"G. K."},{"family":"Mir","given":"Seyed Mostafa"},{"family":"Mirjalali","given":"Hamed"},{"family":"Mirrakhimov","given":"Erkin M."},{"family":"Mohamadi","given":"Efat"},{"family":"Mohammad","given":"Dara K."},{"family":"Darwesh","given":"Aso Mohammad"},{"family":"Mezerji","given":"Naser Mohammad Gholi"},{"family":"Mohammed","given":"Ammas Siraj"},{"family":"Mohammed","given":"Shafiu"},{"family":"Mokdad","given":"Ali H."},{"family":"Molokhia","given":"Mariam"},{"family":"Monasta","given":"Lorenzo"},{"family":"Moodley","given":"Yoshan"},{"family":"Moosazadeh","given":"Mahmood"},{"family":"Moradi","given":"Ghobad"},{"family":"Moradi","given":"Masoud"},{"family":"Moradi","given":"Yousef"},{"family":"Moradi-Lakeh","given":"Maziar"},{"family":"Moradinazar","given":"Mehdi"},{"family":"Moraga","given":"Paula"},{"family":"Morawska","given":"Lidia"},{"family":"Mosapour","given":"Abbas"},{"family":"Mousavi","given":"Seyyed Meysam"},{"family":"Mueller","given":"Ulrich Otto"},{"family":"Muluneh","given":"Atalay Goshu"},{"family":"Mustafa","given":"Ghulam"},{"family":"Nabavizadeh","given":"Behnam"},{"family":"Naderi","given":"Mehdi"},{"family":"Nagarajan","given":"Ahamarshan Jayaraman"},{"family":"Nahvijou","given":"Azin"},{"family":"Najafi","given":"Farid"},{"family":"Nangia","given":"Vinay"},{"family":"Ndwandwe","given":"Duduzile Edith"},{"family":"Neamati","given":"Nahid"},{"family":"Negoi","given":"Ionut"},{"family":"Negoi","given":"Ruxandra Irina"},{"family":"Ngunjiri","given":"Josephine W."},{"family":"Thi Nguyen","given":"Huong Lan"},{"family":"Nguyen","given":"Long Hoang"},{"family":"Nguyen","given":"Son Hoang"},{"family":"Nielsen","given":"Katie R."},{"family":"Ningrum","given":"Dina Nur Anggraini"},{"family":"Nirayo","given":"Yirga Legesse"},{"family":"Nixon","given":"Molly R."},{"family":"Nnaji","given":"Chukwudi A."},{"family":"Nojomi","given":"Marzieh"},{"family":"Noroozi","given":"Mehdi"},{"family":"Nosratnejad","given":"Shirin"},{"family":"Noubiap","given":"Jean Jacques"},{"family":"Motlagh","given":"Soraya Nouraei"},{"family":"Ofori-Asenso","given":"Richard"},{"family":"Ogbo","given":"Felix Akpojene"},{"family":"Oladimeji","given":"Kelechi E."},{"family":"Olagunju","given":"Andrew T."},{"family":"Olfatifar","given":"Meysam"},{"family":"Olum","given":"Solomon"},{"family":"Olusanya","given":"Bolajoko Olubukunola"},{"family":"Oluwasanu","given":"Mojisola Morenike"},{"family":"Onwujekwe","given":"Obinna E."},{"family":"Oren","given":"Eyal"},{"family":"Ortega-Altamirano","given":"Doris D. V."},{"family":"Ortiz","given":"Alberto"},{"family":"Osarenotor","given":"Osayomwanbo"},{"family":"Osei","given":"Frank B."},{"family":"Osgood-Zimmerman","given":"Aaron E."},{"family":"Otstavnov","given":"Stanislav S."},{"family":"Owolabi","given":"Mayowa Ojo"},{"family":"P. A.","given":"Mahesh"},{"family":"Pagheh","given":"Abdol Sattar"},{"family":"Pakhale","given":"Smita"},{"family":"Panda-Jonas","given":"Songhomitra"},{"family":"Pandey","given":"Animika"},{"family":"Park","given":"Eun-Kee"},{"family":"Parsian","given":"Hadi"},{"family":"Pashaei","given":"Tahereh"},{"family":"Patel","given":"Sangram Kishor"},{"family":"Pepito","given":"Veincent Christian Filipino"},{"family":"Pereira","given":"Alexandre"},{"family":"Perkins","given":"Samantha"},{"family":"Pickering","given":"Brandon V."},{"family":"Pilgrim","given":"Thomas"},{"family":"Pirestani","given":"Majid"},{"family":"Piroozi","given":"Bakhtiar"},{"family":"Pirsaheb","given":"Meghdad"},{"family":"Plana-Ripoll","given":"Oleguer"},{"family":"Pourjafar","given":"Hadi"},{"family":"Puri","given":"Parul"},{"family":"Qorbani","given":"Mostafa"},{"family":"Quintana","given":"Hedley"},{"family":"Rabiee","given":"Mohammad"},{"family":"Rabiee","given":"Navid"},{"family":"Radfar","given":"Amir"},{"family":"Rafiei","given":"Alireza"},{"family":"Rahim","given":"Fakher"},{"family":"Rahimi","given":"Zohreh"},{"family":"Rahimi-Movaghar","given":"Vafa"},{"family":"Rahimzadeh","given":"Shadi"},{"family":"Rajati","given":"Fatemeh"},{"family":"Raju","given":"Sree Bhushan"},{"family":"Ramezankhani","given":"Azra"},{"family":"Ranabhat","given":"Chhabi Lal"},{"family":"Rasella","given":"Davide"},{"family":"Rashedi","given":"Vahid"},{"family":"Rawal","given":"Lal"},{"family":"Reiner Jr","given":"Robert C."},{"family":"Renzaho","given":"Andre M. N."},{"family":"Rezaei","given":"Satar"},{"family":"Rezapour","given":"Aziz"},{"family":"Riahi","given":"Seyed Mohammad"},{"family":"Ribeiro","given":"Ana Isabel"},{"family":"Roever","given":"Leonardo"},{"family":"Roro","given":"Elias Merdassa"},{"family":"Roser","given":"Max"},{"family":"Roshandel","given":"Gholamreza"},{"family":"Roshani","given":"Daem"},{"family":"Rostami","given":"Ali"},{"family":"Rubagotti","given":"Enrico"},{"family":"Rubino","given":"Salvatore"},{"family":"Sabour","given":"Siamak"},{"family":"Sadat","given":"Nafis"},{"family":"Sadeghi","given":"Ehsan"},{"family":"Saeedi","given":"Reza"},{"family":"Safari","given":"Yahya"},{"family":"Safari-Faramani","given":"Roya"},{"family":"Safdarian","given":"Mahdi"},{"family":"Sahebkar","given":"Amirhossein"},{"family":"Salahshoor","given":"Mohammad Reza"},{"family":"Salam","given":"Nasir"},{"family":"Salamati","given":"Payman"},{"family":"Salehi","given":"Farkhonde"},{"family":"Zahabi","given":"Saleh Salehi"},{"family":"Salimi","given":"Yahya"},{"family":"Salimzadeh","given":"Hamideh"},{"family":"Salomon","given":"Joshua A."},{"family":"Sambala","given":"Evanson Zondani"},{"family":"Samy","given":"Abdallah M."},{"family":"Santric Milicevic","given":"Milena M."},{"family":"Jose","given":"Bruno Piassi Sao"},{"family":"Saraswathy","given":"Sivan Yegnanarayana Iyer"},{"family":"Sarmiento-Suárez","given":"Rodrigo"},{"family":"Sartorius","given":"Benn"},{"family":"Sathian","given":"Brijesh"},{"family":"Saxena","given":"Sonia"},{"family":"Sbarra","given":"Alyssa N."},{"family":"Schaeffer","given":"Lauren E."},{"family":"Schwebel","given":"David C."},{"family":"Sepanlou","given":"Sadaf G."},{"family":"Seyedmousavi","given":"Seyedmojtaba"},{"family":"Shaahmadi","given":"Faramarz"},{"family":"Shaikh","given":"Masood Ali"},{"family":"Shams-Beyranvand","given":"Mehran"},{"family":"Shamshirian","given":"Amir"},{"family":"Shamsizadeh","given":"Morteza"},{"family":"Sharafi","given":"Kiomars"},{"family":"Sharif","given":"Mehdi"},{"family":"Sharif-Alhoseini","given":"Mahdi"},{"family":"Sharifi","given":"Hamid"},{"family":"Sharma","given":"Jayendra"},{"family":"Sharma","given":"Rajesh"},{"family":"Sheikh","given":"Aziz"},{"family":"Shields","given":"Chloe"},{"family":"Shigematsu","given":"Mika"},{"family":"Shiri","given":"Rahman"},{"family":"Shiue","given":"Ivy"},{"family":"Shuval","given":"Kerem"},{"family":"Siddiqi","given":"Tariq J."},{"family":"Silva","given":"João Pedro"},{"family":"Singh","given":"Jasvinder A."},{"family":"Sinha","given":"Dhirendra Narain"},{"family":"Sisay","given":"Malede Mequanent"},{"family":"Sisay","given":"Solomon"},{"family":"Sliwa","given":"Karen"},{"family":"Smith","given":"David L."},{"family":"Somayaji","given":"Ranjani"},{"family":"Soofi","given":"Moslem"},{"family":"Soriano","given":"Joan B."},{"family":"Sreeramareddy","given":"Chandrashekhar T."},{"family":"Sudaryanto","given":"Agus"},{"family":"Sufiyan","given":"Mu’awiyyah Babale"},{"family":"Sykes","given":"Bryan L."},{"family":"Sylaja","given":"P. N."},{"family":"Tabarés-Seisdedos","given":"Rafael"},{"family":"Tabb","given":"Karen M."},{"family":"Tabuchi","given":"Takahiro"},{"family":"Taveira","given":"Nuno"},{"family":"Temsah","given":"Mohamad-Hani"},{"family":"Terkawi","given":"Abdullah Sulieman"},{"family":"Tessema","given":"Zemenu Tadesse"},{"family":"Thankappan","given":"Kavumpurathu Raman"},{"family":"Thirunavukkarasu","given":"Sathish"},{"family":"To","given":"Quyen G."},{"family":"Tovani-Palone","given":"Marcos Roberto"},{"family":"Tran","given":"Bach Xuan"},{"family":"Tran","given":"Khanh Bao"},{"family":"Ullah","given":"Irfan"},{"family":"Usman","given":"Muhammad Shariq"},{"family":"Uthman","given":"Olalekan A."},{"family":"Vahedian-Azimi","given":"Amir"},{"family":"Valdez","given":"Pascual R."},{"family":"Boven","given":"Job F. M.","non-dropping-particle":"van"},{"family":"Vasankari","given":"Tommi Juhani"},{"family":"Vasseghian","given":"Yasser"},{"family":"Veisani","given":"Yousef"},{"family":"Venketasubramanian","given":"Narayanaswamy"},{"family":"Violante","given":"Francesco S."},{"family":"Vladimirov","given":"Sergey Konstantinovitch"},{"family":"Vlassov","given":"Vasily"},{"family":"Vos","given":"Theo"},{"family":"Vu","given":"Giang Thu"},{"family":"Vujcic","given":"Isidora S."},{"family":"Waheed","given":"Yasir"},{"family":"Wakefield","given":"Jon"},{"family":"Wang","given":"Haidong"},{"family":"Wang","given":"Yafeng"},{"family":"Wang","given":"Yuan-Pang"},{"family":"Ward","given":"Joseph L."},{"family":"Weintraub","given":"Robert G."},{"family":"Weldegwergs","given":"Kidu Gidey"},{"family":"Weldesamuel","given":"Girmay Teklay"},{"family":"Westerman","given":"Ronny"},{"family":"Wiysonge","given":"Charles Shey"},{"family":"Wondafrash","given":"Dawit Zewdu"},{"family":"Woyczynski","given":"Lauren"},{"family":"Wu","given":"Ai-Min"},{"family":"Xu","given":"Gelin"},{"family":"Yadegar","given":"Abbas"},{"family":"Yamada","given":"Tomohide"},{"family":"Yazdi-Feyzabadi","given":"Vahid"},{"family":"Yilgwan","given":"Christopher Sabo"},{"family":"Yip","given":"Paul"},{"family":"Yonemoto","given":"Naohiro"},{"family":"Lebni","given":"Javad Yoosefi"},{"family":"Younis","given":"Mustafa Z."},{"family":"Yousefifard","given":"Mahmoud"},{"family":"Yousof","given":"Hebat-Allah Salah A."},{"family":"Yu","given":"Chuanhua"},{"family":"Yusefzadeh","given":"Hasan"},{"family":"Zabeh","given":"Erfan"},{"family":"Moghadam","given":"Telma Zahirian"},{"family":"Bin Zaman","given":"Sojib"},{"family":"Zamani","given":"Mohammad"},{"family":"Zandian","given":"Hamed"},{"family":"Zangeneh","given":"Alireza"},{"family":"Zerfu","given":"Taddese Alemu"},{"family":"Zhang","given":"Yunquan"},{"family":"Ziapour","given":"Arash"},{"family":"Zodpey","given":"Sanjay"},{"family":"Murray","given":"Christopher J. L."},{"family":"Hay","given":"Simon I."}],"issued":{"date-parts":[["2019",10]]}},"label":"page"}],"schema":"https://github.com/citation-style-language/schema/raw/master/csl-citation.json"} </w:instrText>
      </w:r>
      <w:r>
        <w:fldChar w:fldCharType="separate"/>
      </w:r>
      <w:r w:rsidR="00BB7651" w:rsidRPr="00BB7651">
        <w:rPr>
          <w:rFonts w:cs="Times New Roman"/>
          <w:szCs w:val="24"/>
          <w:vertAlign w:val="superscript"/>
        </w:rPr>
        <w:t>35,40–42</w:t>
      </w:r>
      <w:r>
        <w:fldChar w:fldCharType="end"/>
      </w:r>
      <w:r>
        <w:t xml:space="preserve"> can also be partially explained by many combined local efforts in improved immunisation;</w:t>
      </w:r>
      <w:r>
        <w:fldChar w:fldCharType="begin"/>
      </w:r>
      <w:r w:rsidR="00BB7651">
        <w:instrText xml:space="preserve"> ADDIN ZOTERO_ITEM CSL_CITATION {"citationID":"Qtx7UD5X","properties":{"formattedCitation":"\\super 43\\nosupersub{}","plainCitation":"43","noteIndex":0},"citationItems":[{"id":127978,"uris":["http://zotero.org/groups/2154524/items/5KEG2YC5"],"itemData":{"id":127978,"type":"article-journal","container-title":"The Lancet","DOI":"10.1016/S0140-6736(21)00984-3","ISSN":"0140-6736, 1474-547X","issue":"10299","journalAbbreviation":"The Lancet","language":"English","note":"publisher: Elsevier\nPMID: 34273291","page":"503-521","source":"www.thelancet.com","title":"Measuring routine childhood vaccination coverage in 204 countries and territories, 1980–2019: a systematic analysis for the Global Burden of Disease Study 2020, Release 1","title-short":"Measuring routine childhood vaccination coverage in 204 countries and territories, 1980–2019","volume":"398","author":[{"family":"Galles","given":"Natalie C."},{"family":"Liu","given":"Patrick Y."},{"family":"Updike","given":"Rachel L."},{"family":"Fullman","given":"Nancy"},{"family":"Nguyen","given":"Jason"},{"family":"Rolfe","given":"Sam"},{"family":"Sbarra","given":"Alyssa N."},{"family":"Schipp","given":"Megan F."},{"family":"Marks","given":"Ashley"},{"family":"Abady","given":"Gdiom Gebreheat"},{"family":"Abbas","given":"Kaja M."},{"family":"Abbasi","given":"Sumra Wajid"},{"family":"Abbastabar","given":"Hedayat"},{"family":"Abd-Allah","given":"Foad"},{"family":"Abdoli","given":"Amir"},{"family":"Abolhassani","given":"Hassan"},{"family":"Abosetugn","given":"Akine Eshete"},{"family":"Adabi","given":"Maryam"},{"family":"Adamu","given":"Abdu A."},{"family":"Adetokunboh","given":"Olatunji O."},{"family":"Adnani","given":"Qorinah Estiningtyas Sakilah"},{"family":"Advani","given":"Shailesh M."},{"family":"Afzal","given":"Saira"},{"family":"Aghamir","given":"Seyed Mohammad Kazem"},{"family":"Ahinkorah","given":"Bright Opoku"},{"family":"Ahmad","given":"Sohail"},{"family":"Ahmad","given":"Tauseef"},{"family":"Ahmadi","given":"Sepideh"},{"family":"Ahmed","given":"Haroon"},{"family":"Ahmed","given":"Muktar Beshir"},{"family":"Rashid","given":"Tarik Ahmed"},{"family":"Salih","given":"Yusra Ahmed"},{"family":"Akalu","given":"Yonas"},{"family":"Aklilu","given":"Addis"},{"family":"Akunna","given":"Chisom Joyqueenet"},{"family":"Hamad","given":"Hanadi Al"},{"family":"Alahdab","given":"Fares"},{"family":"Albano","given":"Luciana"},{"family":"Alemayehu","given":"Yosef"},{"family":"Alene","given":"Kefyalew Addis"},{"family":"Al-Eyadhy","given":"Ayman"},{"family":"Alhassan","given":"Robert Kaba"},{"family":"Ali","given":"Liaqat"},{"family":"Aljunid","given":"Syed Mohamed"},{"family":"Almustanyir","given":"Sami"},{"family":"Altirkawi","given":"Khalid A."},{"family":"Alvis-Guzman","given":"Nelson"},{"family":"Amu","given":"Hubert"},{"family":"Andrei","given":"Catalina Liliana"},{"family":"Andrei","given":"Tudorel"},{"family":"Ansar","given":"Adnan"},{"family":"Ansari-Moghaddam","given":"Alireza"},{"family":"Antonazzo","given":"Ippazio Cosimo"},{"family":"Antony","given":"Benny"},{"family":"Arabloo","given":"Jalal"},{"family":"Arab-Zozani","given":"Morteza"},{"family":"Artanti","given":"Kurnia Dwi"},{"family":"Arulappan","given":"Judie"},{"family":"Awan","given":"Asma Tahir"},{"family":"Awoke","given":"Mamaru Ayenew"},{"family":"Ayza","given":"Muluken Altaye"},{"family":"Azarian","given":"Ghasem"},{"family":"Azzam","given":"Ahmed Y."},{"family":"B","given":"Darshan B."},{"family":"Babar","given":"Zaheer-Ud-Din"},{"family":"Balakrishnan","given":"Senthilkumar"},{"family":"Banach","given":"Maciej"},{"family":"Bante","given":"Simachew Animen"},{"family":"Bärnighausen","given":"Till Winfried"},{"family":"Barqawi","given":"Hiba Jawdat"},{"family":"Barrow","given":"Amadou"},{"family":"Bassat","given":"Quique"},{"family":"Bayarmagnai","given":"Narantuya"},{"family":"Ramirez","given":"Diana Fernanda Bejarano"},{"family":"Bekuma","given":"Tariku Tesfaye"},{"family":"Belay","given":"Habtamu Gebrehana"},{"family":"Belgaumi","given":"Uzma Iqbal"},{"family":"Bhagavathula","given":"Akshaya Srikanth"},{"family":"Bhandari","given":"Dinesh"},{"family":"Bhardwaj","given":"Nikha"},{"family":"Bhardwaj","given":"Pankaj"},{"family":"Bhaskar","given":"Sonu"},{"family":"Bhattacharyya","given":"Krittika"},{"family":"Bibi","given":"Sadia"},{"family":"Bijani","given":"Ali"},{"family":"Biondi","given":"Antonio"},{"family":"Boloor","given":"Archith"},{"family":"Braithwaite","given":"Dejana"},{"family":"Buonsenso","given":"Danilo"},{"family":"Butt","given":"Zahid A."},{"family":"Camargos","given":"Paulo"},{"family":"Carreras","given":"Giulia"},{"family":"Carvalho","given":"Felix"},{"family":"Castañeda-Orjuela","given":"Carlos A."},{"family":"Chakinala","given":"Raja Chandra"},{"family":"Charan","given":"Jaykaran"},{"family":"Chatterjee","given":"Souranshu"},{"family":"Chattu","given":"Soosanna Kumary"},{"family":"Chattu","given":"Vijay Kumar"},{"family":"Chowdhury","given":"Fazle Rabbi"},{"family":"Christopher","given":"Devasahayam J."},{"family":"Chu","given":"Dinh-Toi"},{"family":"Chung","given":"Sheng-Chia"},{"family":"Cortesi","given":"Paolo Angelo"},{"family":"Costa","given":"Vera Marisa"},{"family":"Couto","given":"Rosa A. S."},{"family":"Dadras","given":"Omid"},{"family":"Dagnew","given":"Amare Belachew"},{"family":"Dagnew","given":"Baye"},{"family":"Dai","given":"Xiaochen"},{"family":"Dandona","given":"Lalit"},{"family":"Dandona","given":"Rakhi"},{"family":"Neve","given":"Jan-Walter De"},{"family":"Molla","given":"Meseret Derbew"},{"family":"Derseh","given":"Behailu Tariku"},{"family":"Desai","given":"Rupak"},{"family":"Desta","given":"Abebaw Alemayehu"},{"family":"Dhamnetiya","given":"Deepak"},{"family":"Dhimal","given":"Mandira Lamichhane"},{"family":"Dhimal","given":"Meghnath"},{"family":"Dianatinasab","given":"Mostafa"},{"family":"Diaz","given":"Daniel"},{"family":"Djalalinia","given":"Shirin"},{"family":"Dorostkar","given":"Fariba"},{"family":"Edem","given":"Bassey"},{"family":"Edinur","given":"Hisham Atan"},{"family":"Eftekharzadeh","given":"Sahar"},{"family":"Sayed","given":"Iman El"},{"family":"Zaki","given":"Maysaa El Sayed"},{"family":"Elhadi","given":"Muhammed"},{"family":"El-Jaafary","given":"Shaimaa I."},{"family":"Elsharkawy","given":"Aisha"},{"family":"Enany","given":"Shymaa"},{"family":"Erkhembayar","given":"Ryenchindorj"},{"family":"Esezobor","given":"Christopher Imokhuede"},{"family":"Eskandarieh","given":"Sharareh"},{"family":"Ezeonwumelu","given":"Ifeanyi Jude"},{"family":"Ezzikouri","given":"Sayeh"},{"family":"Fares","given":"Jawad"},{"family":"Faris","given":"Pawan Sirwan"},{"family":"Feleke","given":"Berhanu Elfu"},{"family":"Ferede","given":"Tomas Y."},{"family":"Fernandes","given":"Eduarda"},{"family":"Fernandes","given":"João C."},{"family":"Ferrara","given":"Pietro"},{"family":"Filip","given":"Irina"},{"family":"Fischer","given":"Florian"},{"family":"Francis","given":"Mark Rohit"},{"family":"Fukumoto","given":"Takeshi"},{"family":"Gad","given":"Mohamed M."},{"family":"Gaidhane","given":"Shilpa"},{"family":"Gallus","given":"Silvano"},{"family":"Garg","given":"Tushar"},{"family":"Geberemariyam","given":"Biniyam Sahiledengle"},{"family":"Gebre","given":"Teshome"},{"family":"Gebregiorgis","given":"Birhan Gebresillassie"},{"family":"Gebremedhin","given":"Ketema Bizuwork"},{"family":"Gebremichael","given":"Berhe"},{"family":"Gessner","given":"Bradford D."},{"family":"Ghadiri","given":"Keyghobad"},{"family":"Ghafourifard","given":"Mansour"},{"family":"Ghashghaee","given":"Ahmad"},{"family":"Gilani","given":"Syed Amir"},{"family":"Glăvan","given":"Ionela-Roxana"},{"family":"Glushkova","given":"Ekaterina Vladimirovna"},{"family":"Golechha","given":"Mahaveer"},{"family":"Gonfa","given":"Kebebe Bekele"},{"family":"Gopalani","given":"Sameer Vali"},{"family":"Goudarzi","given":"Houman"},{"family":"Gubari","given":"Mohammed Ibrahim Mohialdeen"},{"family":"Guo","given":"Yuming"},{"family":"Gupta","given":"Veer Bala"},{"family":"Gupta","given":"Vivek Kumar"},{"family":"Gutiérrez","given":"Reyna Alma"},{"family":"Haeuser","given":"Emily"},{"family":"Halwani","given":"Rabih"},{"family":"Hamidi","given":"Samer"},{"family":"Hanif","given":"Asif"},{"family":"Haque","given":"Shafiul"},{"family":"Harapan","given":"Harapan"},{"family":"Hargono","given":"Arief"},{"family":"Hashi","given":"Abdiwahab"},{"family":"Hassan","given":"Shoaib"},{"family":"Hassanein","given":"Mohamed H."},{"family":"Hassanipour","given":"Soheil"},{"family":"Hassankhani","given":"Hadi"},{"family":"Hay","given":"Simon I."},{"family":"Hayat","given":"Khezar"},{"family":"Hegazy","given":"Mohamed I."},{"family":"Heidari","given":"Golnaz"},{"family":"Hezam","given":"Kamal"},{"family":"Holla","given":"Ramesh"},{"family":"Hoque","given":"Mohammad Enamul"},{"family":"Hosseini","given":"Mostafa"},{"family":"Hosseinzadeh","given":"Mehdi"},{"family":"Hostiuc","given":"Mihaela"},{"family":"Househ","given":"Mowafa"},{"family":"Hsieh","given":"Vivian Chia-rong"},{"family":"Huang","given":"Junjie"},{"family":"Humayun","given":"Ayesha"},{"family":"Hussain","given":"Rabia"},{"family":"Hussein","given":"Nawfal R."},{"family":"Ibitoye","given":"Segun Emmanuel"},{"family":"Ilesanmi","given":"Olayinka Stephen"},{"family":"Ilic","given":"Irena M."},{"family":"Ilic","given":"Milena D."},{"family":"Inamdar","given":"Sumant"},{"family":"Iqbal","given":"Usman"},{"family":"Irham","given":"Lalu Muhammad"},{"family":"Irvani","given":"Seyed Sina Naghibi"},{"family":"Islam","given":"Sheikh Mohammed Shariful"},{"family":"Ismail","given":"Nahlah Elkudssiah"},{"family":"Itumalla","given":"Ramaiah"},{"family":"Jha","given":"Ravi Prakash"},{"family":"Joukar","given":"Farahnaz"},{"family":"Kabir","given":"Ali"},{"family":"Kabir","given":"Zubair"},{"family":"Kalhor","given":"Rohollah"},{"family":"Kamal","given":"Zul"},{"family":"Kamande","given":"Stanley M."},{"family":"Kandel","given":"Himal"},{"family":"Karch","given":"André"},{"family":"Kassahun","given":"Getinet"},{"family":"Kassebaum","given":"Nicholas J."},{"family":"Katoto","given":"Patrick DMC"},{"family":"Kelkay","given":"Bayew"},{"family":"Kengne","given":"Andre Pascal"},{"family":"Khader","given":"Yousef Saleh"},{"family":"Khajuria","given":"Himanshu"},{"family":"Khalil","given":"Ibrahim A."},{"family":"Khan","given":"Ejaz Ahmad"},{"family":"Khan","given":"Gulfaraz"},{"family":"Khan","given":"Junaid"},{"family":"Khan","given":"Maseer"},{"family":"Khan","given":"Moien AB"},{"family":"Khang","given":"Young-Ho"},{"family":"Khoja","given":"Abdullah T."},{"family":"Khubchandani","given":"Jagdish"},{"family":"Kim","given":"Gyu Ri"},{"family":"Kim","given":"Min Seo"},{"family":"Kim","given":"Yun Jin"},{"family":"Kimokoti","given":"Ruth W."},{"family":"Kisa","given":"Adnan"},{"family":"Kisa","given":"Sezer"},{"family":"Korshunov","given":"Vladimir Andreevich"},{"family":"Kosen","given":"Soewarta"},{"family":"Defo","given":"Barthelemy Kuate"},{"family":"Kulkarni","given":"Vaman"},{"family":"Kumar","given":"Avinash"},{"family":"Kumar","given":"G. Anil"},{"family":"Kumar","given":"Nithin"},{"family":"Kwarteng","given":"Alexander"},{"family":"Vecchia","given":"Carlo La"},{"family":"Lami","given":"Faris Hasan"},{"family":"Landires","given":"Iván"},{"family":"Lasrado","given":"Savita"},{"family":"Lassi","given":"Zohra S."},{"family":"Lee","given":"Hankil"},{"family":"Lee","given":"Yeong Yeh"},{"family":"Levi","given":"Miriam"},{"family":"Lewycka","given":"Sonia"},{"family":"Li","given":"Shanshan"},{"family":"Liu","given":"Xuefeng"},{"family":"Lobo","given":"Stany W."},{"family":"Lopukhov","given":"Platon D."},{"family":"Lozano","given":"Rafael"},{"family":"Saute","given":"Ricardo Lutzky"},{"family":"Razek","given":"Muhammed Magdy Abd El"},{"family":"Makki","given":"Alaa"},{"family":"Malik","given":"Ahmad Azam"},{"family":"Mansour-Ghanaei","given":"Fariborz"},{"family":"Mansournia","given":"Mohammad Ali"},{"family":"Mantovani","given":"Lorenzo Giovanni"},{"family":"Martins-Melo","given":"Francisco Rogerlândio"},{"family":"Matthews","given":"Philippa C."},{"family":"Medina","given":"John Robert Carabeo"},{"family":"Mendoza","given":"Walter"},{"family":"Menezes","given":"Ritesh G."},{"family":"Mengesha","given":"Endalkachew Worku"},{"family":"Meretoja","given":"Tuomo J."},{"family":"Mersha","given":"Amanual Getnet"},{"family":"Mesregah","given":"Mohamed Kamal"},{"family":"Mestrovic","given":"Tomislav"},{"family":"Miazgowski","given":"Bartosz"},{"family":"Milne","given":"George J."},{"family":"Mirica","given":"Andreea"},{"family":"Mirrakhimov","given":"Erkin M."},{"family":"Mirzaei","given":"Hamid Reza"},{"family":"Misra","given":"Sanjeev"},{"family":"Mithra","given":"Prasanna"},{"family":"Moghadaszadeh","given":"Masoud"},{"family":"Mohamed","given":"Teroj Abdulrahman"},{"family":"Mohammad","given":"Karzan Abdulmuhsin"},{"family":"Mohammad","given":"Yousef"},{"family":"Mohammadi","given":"Mokhtar"},{"family":"Mohammadian-Hafshejani","given":"Abdollah"},{"family":"Mohammed","given":"Arif"},{"family":"Mohammed","given":"Shafiu"},{"family":"Mohapatra","given":"Archisman"},{"family":"Mokdad","given":"Ali H."},{"family":"Molokhia","given":"Mariam"},{"family":"Monasta","given":"Lorenzo"},{"family":"Moni","given":"Mohammad Ali"},{"family":"Montasir","given":"Ahmed Al"},{"family":"Moore","given":"Catrin E."},{"family":"Moradi","given":"Ghobad"},{"family":"Moradzadeh","given":"Rahmatollah"},{"family":"Moraga","given":"Paula"},{"family":"Mueller","given":"Ulrich Otto"},{"family":"Munro","given":"Sandra B."},{"family":"Naghavi","given":"Mohsen"},{"family":"Naimzada","given":"Mukhammad David"},{"family":"Naveed","given":"Muhammad"},{"family":"Nayak","given":"Biswa Prakash"},{"family":"Negoi","given":"Ionut"},{"family":"Kandel","given":"Sandhya Neupane"},{"family":"Nguyen","given":"Trang Huyen"},{"family":"Nikbakhsh","given":"Rajan"},{"family":"Ningrum","given":"Dina Nur Anggraini"},{"family":"Nixon","given":"Molly R."},{"family":"Nnaji","given":"Chukwudi A."},{"family":"Noubiap","given":"Jean Jacques"},{"family":"Nuñez-Samudio","given":"Virginia"},{"family":"Nwatah","given":"Vincent Ebuka"},{"family":"Oancea","given":"Bogdan"},{"family":"Ochir","given":"Chimedsuren"},{"family":"Ogbo","given":"Felix Akpojene"},{"family":"Olagunju","given":"Andrew T."},{"family":"Olakunde","given":"Babayemi Oluwaseun"},{"family":"Onwujekwe","given":"Obinna E."},{"family":"Otstavnov","given":"Nikita"},{"family":"Otstavnov","given":"Stanislav S."},{"family":"Owolabi","given":"Mayowa O."},{"family":"Padubidri","given":"Jagadish Rao"},{"family":"Pakshir","given":"Keyvan"},{"family":"Park","given":"Eun-Cheol"},{"family":"Kan","given":"Fatemeh Pashazadeh"},{"family":"Pathak","given":"Mona"},{"family":"Paudel","given":"Rajan"},{"family":"Pawar","given":"Shrikant"},{"family":"Pereira","given":"Jeevan"},{"family":"Peres","given":"Mario F. P."},{"family":"Perianayagam","given":"Arokiasamy"},{"family":"Pinheiro","given":"Marina"},{"family":"Pirestani","given":"Majid"},{"family":"Podder","given":"Vivek"},{"family":"Polibin","given":"Roman V."},{"family":"Pollok","given":"Richard Charles G."},{"family":"Postma","given":"Maarten J."},{"family":"Pottoo","given":"Faheem Hyder"},{"family":"Rabiee","given":"Mohammad"},{"family":"Rabiee","given":"Navid"},{"family":"Radfar","given":"Amir"},{"family":"Rafiei","given":"Alireza"},{"family":"Rahimi-Movaghar","given":"Vafa"},{"family":"Rahman","given":"Mosiur"},{"family":"Rahmani","given":"Amir Masoud"},{"family":"Rahmawaty","given":"Setyaningrum"},{"family":"Rajesh","given":"Aashish"},{"family":"Ramshaw","given":"Rebecca E."},{"family":"Ranasinghe","given":"Priyanga"},{"family":"Rao","given":"Chythra R."},{"family":"Rao","given":"Sowmya J."},{"family":"Rathi","given":"Priya"},{"family":"Rawaf","given":"David Laith"},{"family":"Rawaf","given":"Salman"},{"family":"Renzaho","given":"Andre M. N."},{"family":"Rezaei","given":"Negar"},{"family":"Rezai","given":"Mohammad Sadegh"},{"family":"Rios-Blancas","given":"Maria"},{"family":"Rogowski","given":"Emma L. B."},{"family":"Ronfani","given":"Luca"},{"family":"Rwegerera","given":"Godfrey M."},{"family":"Saad","given":"Anas M."},{"family":"Sabour","given":"Siamak"},{"family":"Saddik","given":"Basema"},{"family":"Saeb","given":"Mohammad Reza"},{"family":"Saeed","given":"Umar"},{"family":"Sahebkar","given":"Amirhossein"},{"family":"Sahraian","given":"Mohammad Ali"},{"family":"Salam","given":"Nasir"},{"family":"Salimzadeh","given":"Hamideh"},{"family":"Samaei","given":"Mehrnoosh"},{"family":"Samy","given":"Abdallah M."},{"family":"Sanabria","given":"Juan"},{"family":"Sanmarchi","given":"Francesco"},{"family":"Santric-Milicevic","given":"Milena M."},{"family":"Sartorius","given":"Benn"},{"family":"Sarveazad","given":"Arash"},{"family":"Sathian","given":"Brijesh"},{"family":"Sawhney","given":"Monika"},{"family":"Saxena","given":"Deepak"},{"family":"Saxena","given":"Sonia"},{"family":"Seidu","given":"Abdul-Aziz"},{"family":"Seylani","given":"Allen"},{"family":"Shaikh","given":"Masood Ali"},{"family":"Shamsizadeh","given":"Morteza"},{"family":"Shetty","given":"Pavanchand H."},{"family":"Shigematsu","given":"Mika"},{"family":"Shin","given":"Jae Il"},{"family":"Sidemo","given":"Negussie Boti"},{"family":"Singh","given":"Ambrish"},{"family":"Singh","given":"Jasvinder A."},{"family":"Sinha","given":"Smriti"},{"family":"Skryabin","given":"Valentin Yurievich"},{"family":"Skryabina","given":"Anna Aleksandrovna"},{"family":"Soheili","given":"Amin"},{"family":"Tadesse","given":"Eyayou Girma"},{"family":"Tamiru","given":"Animut Tagele"},{"family":"Tan","given":"Ker-Kan"},{"family":"Tekalegn","given":"Yohannes"},{"family":"Temsah","given":"Mohamad-Hani"},{"family":"Thakur","given":"Bhaskar"},{"family":"Thapar","given":"Rekha"},{"family":"Thavamani","given":"Aravind"},{"family":"Tobe-Gai","given":"Ruoyan"},{"family":"Tohidinik","given":"Hamid Reza"},{"family":"Tovani-Palone","given":"Marcos Roberto"},{"family":"Traini","given":"Eugenio"},{"family":"Tran","given":"Bach Xuan"},{"family":"Tripathi","given":"Manjari"},{"family":"Tsegaye","given":"Berhan"},{"family":"Tsegaye","given":"Gebiyaw Wudie"},{"family":"Ullah","given":"Anayat"},{"family":"Ullah","given":"Saif"},{"family":"Ullah","given":"Sana"},{"family":"Unim","given":"Brigid"},{"family":"Vacante","given":"Marco"},{"family":"Velazquez","given":"Diana Zuleika"},{"family":"Vo","given":"Bay"},{"family":"Vollmer","given":"Sebastian"},{"family":"Vu","given":"Giang Thu"},{"family":"Vu","given":"Linh Gia"},{"family":"Waheed","given":"Yasir"},{"family":"Winkler","given":"Andrea Sylvia"},{"family":"Wiysonge","given":"Charles Shey"},{"family":"Yiğit","given":"Vahit"},{"family":"Yirdaw","given":"Birhanu Wubale"},{"family":"Yon","given":"Dong Keon"},{"family":"Yonemoto","given":"Naohiro"},{"family":"Yu","given":"Chuanhua"},{"family":"Yuce","given":"Deniz"},{"family":"Yunusa","given":"Ismaeel"},{"family":"Zamani","given":"Mohammad"},{"family":"Zamanian","given":"Maryam"},{"family":"Zewdie","given":"Dejene Tesfaye"},{"family":"Zhang","given":"Zhi-Jiang"},{"family":"Zhong","given":"Chenwen"},{"family":"Zumla","given":"Alimuddin"},{"family":"Murray","given":"Christopher J. L."},{"family":"Lim","given":"Stephen S."},{"family":"Mosser","given":"Jonathan F."}],"issued":{"date-parts":[["2021",8,7]]}}}],"schema":"https://github.com/citation-style-language/schema/raw/master/csl-citation.json"} </w:instrText>
      </w:r>
      <w:r>
        <w:fldChar w:fldCharType="separate"/>
      </w:r>
      <w:r w:rsidR="00BB7651" w:rsidRPr="00BB7651">
        <w:rPr>
          <w:rFonts w:cs="Times New Roman"/>
          <w:szCs w:val="24"/>
          <w:vertAlign w:val="superscript"/>
        </w:rPr>
        <w:t>43</w:t>
      </w:r>
      <w:r>
        <w:fldChar w:fldCharType="end"/>
      </w:r>
      <w:r>
        <w:t xml:space="preserve"> access to water, sanitation, and hygiene (</w:t>
      </w:r>
      <w:proofErr w:type="spellStart"/>
      <w:r>
        <w:t>WaSH</w:t>
      </w:r>
      <w:proofErr w:type="spellEnd"/>
      <w:r>
        <w:t>) facilities;</w:t>
      </w:r>
      <w:r>
        <w:fldChar w:fldCharType="begin"/>
      </w:r>
      <w:r w:rsidR="00B153C0">
        <w:instrText xml:space="preserve"> ADDIN ZOTERO_ITEM CSL_CITATION {"citationID":"tZunwR7z","properties":{"formattedCitation":"\\super 12,44\\nosupersub{}","plainCitation":"12,44","noteIndex":0},"citationItems":[{"id":127594,"uris":["http://zotero.org/groups/2154524/items/RCH9UKLW"],"itemData":{"id":127594,"type":"article-journal","container-title":"Lancet","title":"Global age-sex-specific mortality, life expectancy, and population estimates in 204 countries and territories and 811 subnational locations, 1950–2021: a comprehensive demographic analysis for the Global Burden of Disease Study 2021","author":[{"literal":"GBD 2021 Demographics Collaborators"}],"issued":{"literal":"submitted; under review"}},"label":"page"},{"id":127972,"uris":["http://zotero.org/groups/2154524/items/KCPLGW4C"],"itemData":{"id":127972,"type":"article-journal","container-title":"The Lancet Global Health","DOI":"10.1016/S2214-109X(20)30278-3","ISSN":"2214-109X","issue":"9","journalAbbreviation":"The Lancet Global Health","language":"English","note":"publisher: Elsevier\nPMID: 32827479","page":"e1162-e1185","source":"www.thelancet.com","title":"Mapping geographical inequalities in access to drinking water and sanitation facilities in low-income and middle-income countries, 2000–17","volume":"8","author":[{"family":"Deshpande","given":"Aniruddha"},{"family":"Miller-Petrie","given":"Molly K."},{"family":"Lindstedt","given":"Paulina A."},{"family":"Baumann","given":"Mathew M."},{"family":"Johnson","given":"Kimberly B."},{"family":"Blacker","given":"Brigette F."},{"family":"Abbastabar","given":"Hedayat"},{"family":"Abd-Allah","given":"Foad"},{"family":"Abdelalim","given":"Ahmed"},{"family":"Abdollahpour","given":"Ibrahim"},{"family":"Abegaz","given":"Kedir Hussein"},{"family":"Abejie","given":"Ayenew Negesse"},{"family":"Abreu","given":"Lucas Guimarães"},{"family":"Abrigo","given":"Michael R. M."},{"family":"Abualhasan","given":"Ahmed"},{"family":"Accrombessi","given":"Manfred Mario Kokou"},{"family":"Adamu","given":"Abdu A."},{"family":"Adebayo","given":"Oladimeji M."},{"family":"Adedeji","given":"Isaac Akinkunmi"},{"family":"Adedoyin","given":"Rufus Adesoji"},{"family":"Adekanmbi","given":"Victor"},{"family":"Adetokunboh","given":"Olatunji O."},{"family":"Adhikari","given":"Tara Ballav"},{"family":"Afarideh","given":"Mohsen"},{"family":"Agudelo-Botero","given":"Marcela"},{"family":"Ahmadi","given":"Mehdi"},{"family":"Ahmadi","given":"Keivan"},{"family":"Ahmed","given":"Muktar Beshir"},{"family":"Ahmed","given":"Anwar E."},{"family":"Akalu","given":"Temesgen Yihunie"},{"family":"Akanda","given":"Ali S."},{"family":"Alahdab","given":"Fares"},{"family":"Al-Aly","given":"Ziyad"},{"family":"Alam","given":"Samiah"},{"family":"Alam","given":"Noore"},{"family":"Alamene","given":"Genet Melak"},{"family":"Alanzi","given":"Turki M."},{"family":"Albright","given":"James"},{"family":"Albujeer","given":"Ammar"},{"family":"Alcalde-Rabanal","given":"Jacqueline Elizabeth"},{"family":"Alebel","given":"Animut"},{"family":"Alemu","given":"Zewdie Aderaw"},{"family":"Ali","given":"Muhammad"},{"family":"Alijanzadeh","given":"Mehran"},{"family":"Alipour","given":"Vahid"},{"family":"Aljunid","given":"Syed Mohamed"},{"family":"Almasi","given":"Ali"},{"family":"Almasi-Hashiani","given":"Amir"},{"family":"Al-Mekhlafi","given":"Hesham M."},{"family":"Altirkawi","given":"Khalid A."},{"family":"Alvis-Guzman","given":"Nelson"},{"family":"Alvis-Zakzuk","given":"Nelson J."},{"family":"Amini","given":"Saeed"},{"family":"Amit","given":"Arianna Maever L."},{"family":"Amul","given":"Gianna Gayle Herrera"},{"family":"Andrei","given":"Catalina Liliana"},{"family":"Anjomshoa","given":"Mina"},{"family":"Ansariadi","given":"Ansariadi"},{"family":"Antonio","given":"Carl Abelardo T."},{"family":"Antony","given":"Benny"},{"family":"Antriyandarti","given":"Ernoiz"},{"family":"Arabloo","given":"Jalal"},{"family":"Aref","given":"Hany Mohamed Amin"},{"family":"Aremu","given":"Olatunde"},{"family":"Armoon","given":"Bahram"},{"family":"Arora","given":"Amit"},{"family":"Aryal","given":"Krishna K."},{"family":"Arzani","given":"Afsaneh"},{"family":"Asadi-Aliabadi","given":"Mehran"},{"family":"Asmelash","given":"Daniel"},{"family":"Atalay","given":"Hagos Tasew"},{"family":"Athari","given":"Seyyede Masoume"},{"family":"Athari","given":"Seyyed Shamsadin"},{"family":"Atre","given":"Sachin R."},{"family":"Ausloos","given":"Marcel"},{"family":"Awasthi","given":"Shally"},{"family":"Awoke","given":"Nefsu"},{"family":"Quintanilla","given":"Beatriz Paulina Ayala"},{"family":"Ayano","given":"Getinet"},{"family":"Ayanore","given":"Martin Amogre"},{"family":"Aynalem","given":"Yared Asmare"},{"family":"Azari","given":"Samad"},{"family":"Azman","given":"Andrew S."},{"family":"Babaee","given":"Ebrahim"},{"family":"Badawi","given":"Alaa"},{"family":"Bagherzadeh","given":"Mojtaba"},{"family":"Bakkannavar","given":"Shankar M."},{"family":"Balakrishnan","given":"Senthilkumar"},{"family":"Banach","given":"Maciej"},{"family":"Banoub","given":"Joseph Adel Mattar"},{"family":"Barac","given":"Aleksandra"},{"family":"Barboza","given":"Miguel A."},{"family":"Bärnighausen","given":"Till Winfried"},{"family":"Basu","given":"Sanjay"},{"family":"Bay","given":"Vo Dinh"},{"family":"Bayati","given":"Mohsen"},{"family":"Bedi","given":"Neeraj"},{"family":"Beheshti","given":"Mahya"},{"family":"Behzadifar","given":"Meysam"},{"family":"Behzadifar","given":"Masoud"},{"family":"Ramirez","given":"Diana Fernanda Bejarano"},{"family":"Bell","given":"Michelle L."},{"family":"Bennett","given":"Derrick A."},{"family":"Benzian","given":"Habib"},{"family":"Berbada","given":"Dessalegn Ajema"},{"family":"Bernstein","given":"Robert S."},{"family":"Bhat","given":"Anusha Ganapati"},{"family":"Bhattacharyya","given":"Krittika"},{"family":"Bhaumik","given":"Soumyadeep"},{"family":"Bhutta","given":"Zulfiqar A."},{"family":"Bijani","given":"Ali"},{"family":"Bikbov","given":"Boris"},{"family":"Sayeed","given":"Muhammad Shahdaat Bin"},{"family":"Biswas","given":"Raaj Kishore"},{"family":"Bohlouli","given":"Somayeh"},{"family":"Boufous","given":"Soufiane"},{"family":"Brady","given":"Oliver J."},{"family":"Briko","given":"Andrey Nikolaevich"},{"family":"Briko","given":"Nikolay Ivanovich"},{"family":"Britton","given":"Gabrielle B."},{"family":"Brown","given":"Alexandria"},{"family":"Nagaraja","given":"Sharath Burugina"},{"family":"Butt","given":"Zahid A."},{"family":"Cámera","given":"Luis Alberto"},{"family":"Campos-Nonato","given":"Ismael R."},{"family":"Rincon","given":"Julio Cesar Campuzano"},{"family":"Cano","given":"Jorge"},{"family":"Car","given":"Josip"},{"family":"Cárdenas","given":"Rosario"},{"family":"Carvalho","given":"Felix"},{"family":"Castañeda-Orjuela","given":"Carlos A."},{"family":"Castro","given":"Franz"},{"family":"Cerin","given":"Ester"},{"family":"Chalise","given":"Binaya"},{"family":"Chattu","given":"Vijay Kumar"},{"family":"Chin","given":"Ken Lee"},{"family":"Christopher","given":"Devasahayam J."},{"family":"Chu","given":"Dinh-Toi"},{"family":"Cormier","given":"Natalie Maria"},{"family":"Costa","given":"Vera Marisa"},{"family":"Cromwell","given":"Elizabeth A."},{"family":"Dadi","given":"Abel Fekadu Fekadu"},{"family":"Dahiru","given":"Tukur"},{"family":"Dahlawi","given":"Saad M. A."},{"family":"Dandona","given":"Rakhi"},{"family":"Dandona","given":"Lalit"},{"family":"Dang","given":"Anh Kim"},{"family":"Daoud","given":"Farah"},{"family":"Darwesh","given":"Aso Mohammad"},{"family":"Darwish","given":"Amira Hamed"},{"family":"Daryani","given":"Ahmad"},{"family":"Das","given":"Jai K."},{"family":"Gupta","given":"Rajat Das"},{"family":"Dash","given":"Aditya Prasad"},{"family":"Dávila-Cervantes","given":"Claudio Alberto"},{"family":"Weaver","given":"Nicole Davis"},{"family":"Hoz","given":"Fernando Pio De","dropping-particle":"la"},{"family":"Neve","given":"Jan-Walter De"},{"family":"Demissie","given":"Dereje Bayissa"},{"family":"Demoz","given":"Gebre Teklemariam"},{"family":"Denova-Gutiérrez","given":"Edgar"},{"family":"Deribe","given":"Kebede"},{"family":"Desalew","given":"Assefa"},{"family":"Dharmaratne","given":"Samath Dhamminda"},{"family":"Dhillon","given":"Preeti"},{"family":"Dhimal","given":"Meghnath"},{"family":"Dhungana","given":"Govinda Prasad"},{"family":"Diaz","given":"Daniel"},{"family":"Dipeolu","given":"Isaac Oluwafemi"},{"family":"Do","given":"Hoa Thi"},{"family":"Dolecek","given":"Christiane"},{"family":"Doyle","given":"Kerrie E."},{"family":"Dubljanin","given":"Eleonora"},{"family":"Duraes","given":"Andre Rodrigues"},{"family":"Edinur","given":"Hisham Atan"},{"family":"Effiong","given":"Andem"},{"family":"Eftekhari","given":"Aziz"},{"family":"Nahas","given":"Nevine El"},{"family":"Zaki","given":"Maysaa El Sayed"},{"family":"Tantawi","given":"Maha El"},{"family":"Elhabashy","given":"Hala Rashad"},{"family":"El-Jaafary","given":"Shaimaa I."},{"family":"El-Khatib","given":"Ziad"},{"family":"Elkout","given":"Hajer"},{"family":"Elsharkawy","given":"Aisha"},{"family":"Enany","given":"Shymaa"},{"family":"Endalew","given":"Daniel Adane"},{"family":"Eshrati","given":"Babak"},{"family":"Eskandarieh","given":"Sharareh"},{"family":"Etemadi","given":"Arash"},{"family":"Ezekannagha","given":"Oluchi"},{"family":"Faraon","given":"Emerito Jose A."},{"family":"Fareed","given":"Mohammad"},{"family":"Faro","given":"Andre"},{"family":"Farzadfar","given":"Farshad"},{"family":"Fasil","given":"Alebachew Fasil"},{"family":"Fazlzadeh","given":"Mehdi"},{"family":"Feigin","given":"Valery L."},{"family":"Fekadu","given":"Wubalem"},{"family":"Fentahun","given":"Netsanet"},{"family":"Fereshtehnejad","given":"Seyed-Mohammad"},{"family":"Fernandes","given":"Eduarda"},{"family":"Filip","given":"Irina"},{"family":"Fischer","given":"Florian"},{"family":"Flohr","given":"Carsten"},{"family":"Foigt","given":"Nataliya A."},{"family":"Folayan","given":"Morenike Oluwatoyin"},{"family":"Foroutan","given":"Masoud"},{"family":"Franklin","given":"Richard Charles"},{"family":"Frostad","given":"Joseph Jon"},{"family":"Fukumoto","given":"Takeshi"},{"family":"Gad","given":"Mohamed M."},{"family":"Garcia","given":"Gregory M."},{"family":"Gatotoh","given":"Augustine Mwangi"},{"family":"Gayesa","given":"Reta Tsegaye"},{"family":"Gebremedhin","given":"Ketema Bizuwork"},{"family":"Geramo","given":"Yilma Chisha Dea"},{"family":"Gesesew","given":"Hailay Abrha"},{"family":"Gezae","given":"Kebede Embaye"},{"family":"Ghashghaee","given":"Ahmad"},{"family":"Sherbaf","given":"Farzaneh Ghazi"},{"family":"Gill","given":"Tiffany K."},{"family":"Gill","given":"Paramjit Singh"},{"family":"Ginindza","given":"Themba G."},{"family":"Girmay","given":"Alem"},{"family":"Gizaw","given":"Zemichael"},{"family":"Goodridge","given":"Amador"},{"family":"Gopalani","given":"Sameer Vali"},{"family":"Goulart","given":"Bárbara Niegia Garcia"},{"family":"Goulart","given":"Alessandra C."},{"family":"Grada","given":"Ayman"},{"family":"Green","given":"Manfred S."},{"family":"Gubari","given":"Mohammed Ibrahim Mohialdeen"},{"family":"Gugnani","given":"Harish Chander"},{"family":"Guido","given":"Davide"},{"family":"Guimarães","given":"Rafael Alves"},{"family":"Guo","given":"Yuming"},{"family":"Gupta","given":"Rajeev"},{"family":"Gupta","given":"Rahul"},{"family":"Ha","given":"Giang Hai"},{"family":"Haagsma","given":"Juanita A."},{"family":"Hafezi-Nejad","given":"Nima"},{"family":"Haile","given":"Dessalegn H."},{"family":"Haile","given":"Michael Tamene"},{"family":"Hall","given":"Brian J."},{"family":"Hamidi","given":"Samer"},{"family":"Handiso","given":"Demelash Woldeyohannes"},{"family":"Haririan","given":"Hamidreza"},{"family":"Hariyani","given":"Ninuk"},{"family":"Hasaballah","given":"Ahmed I."},{"family":"Hasan","given":"Md Mehedi"},{"family":"Hasanzadeh","given":"Amir"},{"family":"Hassen","given":"Hamid Yimam"},{"family":"Hayelom","given":"Desta Haftu"},{"family":"Hegazy","given":"Mohamed I."},{"family":"Heibati","given":"Behzad"},{"family":"Heidari","given":"Behnam"},{"family":"Hendrie","given":"Delia"},{"family":"Henok","given":"Andualem"},{"family":"Herteliu","given":"Claudiu"},{"family":"Heydarpour","given":"Fatemeh"},{"family":"Hidru","given":"Hagos Degefa","dropping-particle":"de"},{"family":"Hird","given":"Thomas R."},{"family":"Hoang","given":"Chi Linh"},{"family":"Hollerich","given":"Gillian I."},{"family":"Hoogar","given":"Praveen"},{"family":"Hossain","given":"Naznin"},{"family":"Hosseinzadeh","given":"Mehdi"},{"family":"Househ","given":"Mowafa"},{"family":"Hu","given":"Guoqing"},{"family":"Humayun","given":"Ayesha"},{"family":"Hussain","given":"Syed Ather"},{"family":"Hussen","given":"Mamusha Aman A."},{"family":"Ibitoye","given":"Segun Emmanuel"},{"family":"Ilesanmi","given":"Olayinka Stephen"},{"family":"Ilic","given":"Milena D."},{"family":"Imani-Nasab","given":"Mohammad Hasan"},{"family":"Iqbal","given":"Usman"},{"family":"Irvani","given":"Seyed Sina Naghibi"},{"family":"Islam","given":"Sheikh Mohammed Shariful"},{"family":"Ivers","given":"Rebecca Q."},{"family":"Iwu","given":"Chinwe Juliana"},{"family":"Jahanmehr","given":"Nader"},{"family":"Jakovljevic","given":"Mihajlo"},{"family":"Jalali","given":"Amir"},{"family":"Jayatilleke","given":"Achala Upendra"},{"family":"Jenabi","given":"Ensiyeh"},{"family":"Jha","given":"Ravi Prakash"},{"family":"Jha","given":"Vivekanand"},{"family":"Ji","given":"John S."},{"family":"Jonas","given":"Jost B."},{"family":"Jozwiak","given":"Jacek Jerzy"},{"family":"Kabir","given":"Ali"},{"family":"Kabir","given":"Zubair"},{"family":"Kanchan","given":"Tanuj"},{"family":"Karch","given":"André"},{"family":"Karki","given":"Surendra"},{"family":"Kasaeian","given":"Amir"},{"family":"Kasahun","given":"Gebremicheal Gebreslassie"},{"family":"Kasaye","given":"Habtamu Kebebe"},{"family":"Kassa","given":"Gebrehiwot G."},{"family":"Kassa","given":"Getachew Mullu"},{"family":"Kayode","given":"Gbenga A."},{"family":"Kebede","given":"Mihiretu M."},{"family":"Keiyoro","given":"Peter Njenga"},{"family":"Ketema","given":"Daniel Bekele"},{"family":"Khader","given":"Yousef Saleh"},{"family":"Khafaie","given":"Morteza Abdullatif"},{"family":"Khalid","given":"Nauman"},{"family":"Khalilov","given":"Rovshan"},{"family":"Khan","given":"Ejaz Ahmad"},{"family":"Khan","given":"Junaid"},{"family":"Khan","given":"Md Nuruzzaman"},{"family":"Khatab","given":"Khaled"},{"family":"Khater","given":"Mona M."},{"family":"Khater","given":"Amir M."},{"family":"Khayamzadeh","given":"Maryam"},{"family":"Khazaei","given":"Mohammad"},{"family":"Khosravi","given":"Mohammad Hossein"},{"family":"Khubchandani","given":"Jagdish"},{"family":"Kiadaliri","given":"Ali"},{"family":"Kim","given":"Yun Jin"},{"family":"Kimokoti","given":"Ruth W."},{"family":"Kisa","given":"Sezer"},{"family":"Kisa","given":"Adnan"},{"family":"Kochhar","given":"Sonali"},{"family":"Kolola","given":"Tufa"},{"family":"Komaki","given":"Hamidreza"},{"family":"Kosen","given":"Soewarta"},{"family":"Koul","given":"Parvaiz A."},{"family":"Koyanagi","given":"Ai"},{"family":"Krishan","given":"Kewal"},{"family":"Defo","given":"Barthelemy Kuate"},{"family":"Kugbey","given":"Nuworza"},{"family":"Kumar","given":"Pushpendra"},{"family":"Kumar","given":"G. Anil"},{"family":"Kumar","given":"Manasi"},{"family":"Kusuma","given":"Dian"},{"family":"Vecchia","given":"Carlo La"},{"family":"Lacey","given":"Ben"},{"family":"Lal","given":"Aparna"},{"family":"Lal","given":"Dharmesh Kumar"},{"family":"Lam","given":"Hilton"},{"family":"Lami","given":"Faris Hasan"},{"family":"Lansingh","given":"Van Charles"},{"family":"Lasrado","given":"Savita"},{"family":"Lebedev","given":"Georgy"},{"family":"Lee","given":"Paul H."},{"family":"LeGrand","given":"Kate E."},{"family":"Leili","given":"Mostafa"},{"family":"Lenjebo","given":"Tsegaye Lolaso"},{"family":"Leshargie","given":"Cheru Tesema"},{"family":"Levine","given":"Aubrey J."},{"family":"Lewycka","given":"Sonia"},{"family":"Li","given":"Shanshan"},{"family":"Linn","given":"Shai"},{"family":"Liu","given":"Shiwei"},{"family":"Lopez","given":"Jaifred Christian F."},{"family":"Lopukhov","given":"Platon D."},{"family":"Razek","given":"Muhammed Magdy Abd El"},{"family":"Prasad","given":"D. R. Mahadeshwara"},{"family":"Mahasha","given":"Phetole Walter"},{"family":"Mahotra","given":"Narayan B."},{"family":"Majeed","given":"Azeem"},{"family":"Malekzadeh","given":"Reza"},{"family":"Malta","given":"Deborah Carvalho"},{"family":"Mamun","given":"Abdullah A."},{"family":"Manafi","given":"Navid"},{"family":"Mansournia","given":"Mohammad Ali"},{"family":"Mapoma","given":"Chabila Christopher"},{"family":"Martinez","given":"Gabriel"},{"family":"Martini","given":"Santi"},{"family":"Martins-Melo","given":"Francisco Rogerlândio"},{"family":"Mathur","given":"Manu Raj"},{"family":"Mayala","given":"Benjamin K."},{"family":"Mazidi","given":"Mohsen"},{"family":"McAlinden","given":"Colm"},{"family":"Meharie","given":"Birhanu Geta"},{"family":"Mehndiratta","given":"Man Mohan"},{"family":"Nasab","given":"Entezar Mehrabi"},{"family":"Mehta","given":"Kala M."},{"family":"Mekonnen","given":"Teferi"},{"family":"Mekonnen","given":"Tefera Chane"},{"family":"Meles","given":"Gebrekiros Gebremichael"},{"family":"Meles","given":"Hagazi Gebre"},{"family":"Memiah","given":"Peter T. N."},{"family":"Memish","given":"Ziad A."},{"family":"Mendoza","given":"Walter"},{"family":"Menezes","given":"Ritesh G."},{"family":"Mereta","given":"Seid Tiku"},{"family":"Meretoja","given":"Tuomo J."},{"family":"Mestrovic","given":"Tomislav"},{"family":"Metekiya","given":"Workua Mekonnen"},{"family":"Miazgowski","given":"Bartosz"},{"family":"Miller","given":"Ted R."},{"family":"Mini","given":"G. K."},{"family":"Mirrakhimov","given":"Erkin M."},{"family":"Moazen","given":"Babak"},{"family":"Mohajer","given":"Bahram"},{"family":"Mohammad","given":"Yousef"},{"family":"Mohammad","given":"Dara K."},{"family":"Mezerji","given":"Naser Mohammad Gholi"},{"family":"Mohammadibakhsh","given":"Roghayeh"},{"family":"Mohammed","given":"Shafiu"},{"family":"Mohammed","given":"Jemal Abdu"},{"family":"Mohammed","given":"Hassen"},{"family":"Mohebi","given":"Farnam"},{"family":"Mokdad","given":"Ali H."},{"family":"Moodley","given":"Yoshan"},{"family":"Moradi","given":"Masoud"},{"family":"Moradi","given":"Ghobad"},{"family":"Moradi-Joo","given":"Mohammad"},{"family":"Moraga","given":"Paula"},{"family":"Morales","given":"Linda"},{"family":"Mosapour","given":"Abbas"},{"family":"Mosser","given":"Jonathan F."},{"family":"Mouodi","given":"Simin"},{"family":"Mousavi","given":"Seyyed Meysam"},{"family":"Mozaffor","given":"Miliva"},{"family":"Munro","given":"Sandra B."},{"family":"Muriithi","given":"Moses K."},{"family":"Murray","given":"Christopher J. L."},{"family":"Musa","given":"Kamarul Imran"},{"family":"Mustafa","given":"Ghulam"},{"family":"Muthupandian","given":"Saravanan"},{"family":"Naderi","given":"Mehdi"},{"family":"Nagarajan","given":"Ahamarshan Jayaraman"},{"family":"Naghavi","given":"Mohsen"},{"family":"Naik","given":"Gurudatta"},{"family":"Nangia","given":"Vinay"},{"family":"Nascimento","given":"Bruno Ramos"},{"family":"Nazari","given":"Javad"},{"family":"Ndwandwe","given":"Duduzile Edith"},{"family":"Negoi","given":"Ionut"},{"family":"Netsere","given":"Henok Biresaw"},{"family":"Ngunjiri","given":"Josephine W."},{"family":"Nguyen","given":"Cuong Tat"},{"family":"Nguyen","given":"Huong Lan Thi"},{"family":"Nguyen","given":"QuynhAnh P."},{"family":"Nigatu","given":"Solomon Gedlu"},{"family":"Ningrum","given":"Dina Nur Anggraini"},{"family":"Nnaji","given":"Chukwudi A."},{"family":"Nojomi","given":"Marzieh"},{"family":"Norheim","given":"Ole F."},{"family":"Noubiap","given":"Jean Jacques"},{"family":"Oancea","given":"Bogdan"},{"family":"Ogbo","given":"Felix Akpojene"},{"family":"Oh","given":"In-Hwan"},{"family":"Olagunju","given":"Andrew T."},{"family":"Olusanya","given":"Jacob Olusegun"},{"family":"Olusanya","given":"Bolajoko Olubukunola"},{"family":"Onwujekwe","given":"Obinna E."},{"family":"Ortega-Altamirano","given":"Doris V."},{"family":"Osarenotor","given":"Osayomwanbo"},{"family":"Osei","given":"Frank B."},{"family":"Owolabi","given":"Mayowa O."},{"family":"A","given":"Mahesh P."},{"family":"Padubidri","given":"Jagadish Rao"},{"family":"Pakhale","given":"Smita"},{"family":"Pana","given":"Adrian"},{"family":"Park","given":"Eun-Kee"},{"family":"Patel","given":"Sangram Kishor"},{"family":"Pathak","given":"Ashish"},{"family":"Patle","given":"Ajay"},{"family":"Paulos","given":"Kebreab"},{"family":"Pepito","given":"Veincent Christian Filipino"},{"family":"Perico","given":"Norberto"},{"family":"Pervaiz","given":"Aslam"},{"family":"Pescarini","given":"Julia Moreira"},{"family":"Pesudovs","given":"Konrad"},{"family":"Pham","given":"Hai Quang"},{"family":"Pigott","given":"David M."},{"family":"Pilgrim","given":"Thomas"},{"family":"Pirsaheb","given":"Meghdad"},{"family":"Poljak","given":"Mario"},{"family":"Pollock","given":"Ian"},{"family":"Postma","given":"Maarten J."},{"family":"Pourmalek","given":"Farshad"},{"family":"Pourshams","given":"Akram"},{"family":"Prada","given":"Sergio I."},{"family":"Preotescu","given":"Liliana"},{"family":"Quintana","given":"Hedley"},{"family":"Rabiee","given":"Navid"},{"family":"Rabiee","given":"Mohammad"},{"family":"Radfar","given":"Amir"},{"family":"Rafiei","given":"Alireza"},{"family":"Rahim","given":"Fakher"},{"family":"Rahimi","given":"Siavash"},{"family":"Rahimi-Movaghar","given":"Vafa"},{"family":"Rahman","given":"Muhammad Aziz"},{"family":"Rahman","given":"Mohammad Hifz Ur"},{"family":"Rajati","given":"Fatemeh"},{"family":"Ranabhat","given":"Chhabi Lal"},{"family":"Rao","given":"Puja C."},{"family":"Rasella","given":"Davide"},{"family":"Rath","given":"Goura Kishor"},{"family":"Rawaf","given":"Salman"},{"family":"Rawal","given":"Lal"},{"family":"Rawasia","given":"Wasiq Faraz"},{"family":"Remuzzi","given":"Giuseppe"},{"family":"Renjith","given":"Vishnu"},{"family":"Renzaho","given":"Andre M. N."},{"family":"Resnikoff","given":"Serge"},{"family":"Riahi","given":"Seyed Mohammad"},{"family":"Ribeiro","given":"Ana Isabel"},{"family":"Rickard","given":"Jennifer"},{"family":"Roever","given":"Leonardo"},{"family":"Ronfani","given":"Luca"},{"family":"Rubagotti","given":"Enrico"},{"family":"Rubino","given":"Salvatore"},{"family":"Saad","given":"Anas M."},{"family":"Sabour","given":"Siamak"},{"family":"Sadeghi","given":"Ehsan"},{"family":"Moghaddam","given":"Sahar Saeedi"},{"family":"Safari","given":"Yahya"},{"family":"Sagar","given":"Rajesh"},{"family":"Sahraian","given":"Mohammad Ali"},{"family":"Sajadi","given":"S. Mohammad"},{"family":"Salahshoor","given":"Mohammad Reza"},{"family":"Salam","given":"Nasir"},{"family":"Saleem","given":"Ahsan"},{"family":"Salem","given":"Hosni"},{"family":"Salem","given":"Marwa Rashad"},{"family":"Salimi","given":"Yahya"},{"family":"Salimzadeh","given":"Hamideh"},{"family":"Samy","given":"Abdallah M."},{"family":"Sanabria","given":"Juan"},{"family":"Santos","given":"Itamar S."},{"family":"Santric-Milicevic","given":"Milena M."},{"family":"Jose","given":"Bruno Piassi Sao"},{"family":"Saraswathy","given":"Sivan Yegnanarayana Iyer"},{"family":"Sarrafzadegan","given":"Nizal"},{"family":"Sartorius","given":"Benn"},{"family":"Sathian","given":"Brijesh"},{"family":"Sathish","given":"Thirunavukkarasu"},{"family":"Satpathy","given":"Maheswar"},{"family":"Sawhney","given":"Monika"},{"family":"Sayyah","given":"Mehdi"},{"family":"Sbarra","given":"Alyssa N."},{"family":"Schaeffer","given":"Lauren E."},{"family":"Schwebel","given":"David C."},{"family":"Senbeta","given":"Anbissa Muleta"},{"family":"Senthilkumaran","given":"Subramanian"},{"family":"Sepanlou","given":"Sadaf G."},{"family":"Serván-Mori","given":"Edson"},{"family":"Shafieesabet","given":"Azadeh"},{"family":"Shaheen","given":"Amira A."},{"family":"Shahid","given":"Izza"},{"family":"Shaikh","given":"Masood Ali"},{"family":"Shalash","given":"Ali S."},{"family":"Shams-Beyranvand","given":"Mehran"},{"family":"Shamsi","given":"MohammadBagher"},{"family":"Shamsizadeh","given":"Morteza"},{"family":"Shannawaz","given":"Mohammed"},{"family":"Sharafi","given":"Kiomars"},{"family":"Sharma","given":"Rajesh"},{"family":"Sheikh","given":"Aziz"},{"family":"Shetty","given":"B. Suresh Kumar"},{"family":"Shiferaw","given":"Wondimeneh Shibabaw"},{"family":"Shigematsu","given":"Mika"},{"family":"Shin","given":"Jae Il"},{"family":"Shiri","given":"Rahman"},{"family":"Shirkoohi","given":"Reza"},{"family":"Shivakumar","given":"K. M."},{"family":"Si","given":"Si"},{"family":"Siabani","given":"Soraya"},{"family":"Siddiqi","given":"Tariq Jamal"},{"family":"Silva","given":"Diego Augusto Santos"},{"family":"Singh","given":"Virendra"},{"family":"Singh","given":"Narinder Pal"},{"family":"Singh","given":"Balbir Bagicha Singh"},{"family":"Singh","given":"Jasvinder A."},{"family":"Singh","given":"Ambrish"},{"family":"Sinha","given":"Dhirendra Narain"},{"family":"Sisay","given":"Malede Mequanent"},{"family":"Skiadaresi","given":"Eirini"},{"family":"Smith","given":"David L."},{"family":"Filho","given":"Adauto Martins Soares"},{"family":"Sobhiyeh","given":"Mohammad Reza"},{"family":"Sokhan","given":"Anton"},{"family":"Soriano","given":"Joan B."},{"family":"Sorrie","given":"Muluken Bekele"},{"family":"Soyiri","given":"Ireneous N."},{"family":"Spurlock","given":"Emma Elizabeth"},{"family":"Sreeramareddy","given":"Chandrashekhar T."},{"family":"Sudaryanto","given":"Agus"},{"family":"Sufiyan","given":"Mu'awiyyah Babale"},{"family":"Suleria","given":"Hafiz Ansar Rasul"},{"family":"Sykes","given":"Bryan L."},{"family":"Tabarés-Seisdedos","given":"Rafael"},{"family":"Tabuchi","given":"Takahiro"},{"family":"Tadesse","given":"Degena Bahrey"},{"family":"Tarigan","given":"Ingan Ukur"},{"family":"Taye","given":"Bineyam"},{"family":"Tefera","given":"Yonatal Mesfin"},{"family":"Tehrani-Banihashemi","given":"Arash"},{"family":"Tekelemedhin","given":"Shishay Wahdey"},{"family":"Tekle","given":"Merhawi Gebremedhin"},{"family":"Temsah","given":"Mohamad-Hani"},{"family":"Tesfay","given":"Berhe Etsay"},{"family":"Tesfay","given":"Fisaha Haile"},{"family":"Tessema","given":"Zemenu Tadesse"},{"family":"Thankappan","given":"Kavumpurathu Raman"},{"family":"ThekkePurakkal","given":"Akhil Soman"},{"family":"Thomas","given":"Nihal"},{"family":"Thompson","given":"Robert L."},{"family":"Thomson","given":"Alan J."},{"family":"Topor-Madry","given":"Roman"},{"family":"Tovani-Palone","given":"Marcos Roberto"},{"family":"Traini","given":"Eugenio"},{"family":"Tran","given":"Bach Xuan"},{"family":"Tran","given":"Khanh Bao"},{"family":"Ullah","given":"Irfan"},{"family":"Unnikrishnan","given":"Bhaskaran"},{"family":"Usman","given":"Muhammad Shariq"},{"family":"Uthman","given":"Olalekan A."},{"family":"Uzochukwu","given":"Benjamin S. Chudi"},{"family":"Valdez","given":"Pascual R."},{"family":"Varughese","given":"Santosh"},{"family":"Veisani","given":"Yousef"},{"family":"Violante","given":"Francesco S."},{"family":"Vollmer","given":"Sebastian"},{"family":"W/hawariat","given":"Feleke Gebremeskel"},{"family":"Waheed","given":"Yasir"},{"family":"Wallin","given":"Mitchell Taylor"},{"family":"Wang","given":"Yuan-Pang"},{"family":"Wang","given":"Yafeng"},{"family":"Wangdi","given":"Kinley"},{"family":"Weiss","given":"Daniel J."},{"family":"Weldesamuel","given":"Girmay Teklay"},{"family":"Werkneh","given":"Adhena Ayaliew"},{"family":"Westerman","given":"Ronny"},{"family":"Wiangkham","given":"Taweewat"},{"family":"Wiens","given":"Kirsten E."},{"family":"Wijeratne","given":"Tissa"},{"family":"Wiysonge","given":"Charles Shey"},{"family":"Wolde","given":"Haileab Fekadu"},{"family":"Wondafrash","given":"Dawit Zewdu"},{"family":"Wonde","given":"Tewodros Eshete"},{"family":"Worku","given":"Getasew Taddesse"},{"family":"Yadollahpour","given":"Ali"},{"family":"Jabbari","given":"Seyed Hossein Yahyazadeh"},{"family":"Yamada","given":"Tomohide"},{"family":"Yaseri","given":"Mehdi"},{"family":"Yatsuya","given":"Hiroshi"},{"family":"Yeshaneh","given":"Alex"},{"family":"Yilma","given":"Mekdes Tigistu"},{"family":"Yip","given":"Paul"},{"family":"Yisma","given":"Engida"},{"family":"Yonemoto","given":"Naohiro"},{"family":"Younis","given":"Mustafa Z."},{"family":"Yousof","given":"Hebat-Allah Salah A."},{"family":"Yu","given":"Chuanhua"},{"family":"Yusefzadeh","given":"Hasan"},{"family":"Zadey","given":"Siddhesh"},{"family":"Moghadam","given":"Telma Zahirian"},{"family":"Zaidi","given":"Zoubida"},{"family":"Zaman","given":"Sojib Bin"},{"family":"Zamani","given":"Mohammad"},{"family":"Zandian","given":"Hamed"},{"family":"Zar","given":"Heather J."},{"family":"Zerfu","given":"Taddese Alemu"},{"family":"Zhang","given":"Yunquan"},{"family":"Ziapour","given":"Arash"},{"family":"Zodpey","given":"Sanjay"},{"family":"Zuniga","given":"Yves Miel H."},{"family":"Hay","given":"Simon I."},{"family":"Reiner","given":"Robert C."}],"issued":{"date-parts":[["2020",9,1]]}},"label":"page"}],"schema":"https://github.com/citation-style-language/schema/raw/master/csl-citation.json"} </w:instrText>
      </w:r>
      <w:r>
        <w:fldChar w:fldCharType="separate"/>
      </w:r>
      <w:r w:rsidR="00B153C0" w:rsidRPr="00B153C0">
        <w:rPr>
          <w:rFonts w:cs="Times New Roman"/>
          <w:szCs w:val="24"/>
          <w:vertAlign w:val="superscript"/>
        </w:rPr>
        <w:t>12,44</w:t>
      </w:r>
      <w:r>
        <w:fldChar w:fldCharType="end"/>
      </w:r>
      <w:r>
        <w:t xml:space="preserve"> breastfeeding;</w:t>
      </w:r>
      <w:r>
        <w:fldChar w:fldCharType="begin"/>
      </w:r>
      <w:r w:rsidR="00BB7651">
        <w:instrText xml:space="preserve"> ADDIN ZOTERO_ITEM CSL_CITATION {"citationID":"iDGPwkoj","properties":{"formattedCitation":"\\super 45\\nosupersub{}","plainCitation":"45","noteIndex":0},"citationItems":[{"id":127973,"uris":["http://zotero.org/groups/2154524/items/5I5SLHEB"],"itemData":{"id":127973,"type":"article-journal","abstract":"Exclusive breastfeeding (EBF)—giving infants only breast-milk for the first 6 months of life—is a component of optimal breastfeeding practices effective in preventing child morbidity and mortality. EBF practices are known to vary by population and comparable subnational estimates of prevalence and progress across low- and middle-income countries (LMICs) are required for planning policy and interventions. Here we present a geospatial analysis of EBF prevalence estimates from 2000 to 2018 across 94 LMICs mapped to policy-relevant administrative units (for example, districts), quantify subnational inequalities and their changes over time, and estimate probabilities of meeting the World Health Organization’s Global Nutrition Target (WHO GNT) of ≥70% EBF prevalence by 2030. While six LMICs are projected to meet the WHO GNT of ≥70% EBF prevalence at a national scale, only three are predicted to meet the target in all their district-level units by 2030.","container-title":"Nature Human Behaviour","DOI":"10.1038/s41562-021-01108-6","ISSN":"2397-3374","issue":"8","journalAbbreviation":"Nat Hum Behav","language":"en","license":"2021 The Author(s)","note":"number: 8\npublisher: Nature Publishing Group","page":"1027-1045","source":"www.nature.com","title":"Mapping inequalities in exclusive breastfeeding in low- and middle-income countries, 2000–2018","volume":"5","author":[{"family":"Bhattacharjee","given":"Natalia V."},{"family":"Schaeffer","given":"Lauren E."},{"family":"Hay","given":"Simon I."}],"issued":{"date-parts":[["2021",8]]}}}],"schema":"https://github.com/citation-style-language/schema/raw/master/csl-citation.json"} </w:instrText>
      </w:r>
      <w:r>
        <w:fldChar w:fldCharType="separate"/>
      </w:r>
      <w:r w:rsidR="00BB7651" w:rsidRPr="00BB7651">
        <w:rPr>
          <w:rFonts w:cs="Times New Roman"/>
          <w:szCs w:val="24"/>
          <w:vertAlign w:val="superscript"/>
        </w:rPr>
        <w:t>45</w:t>
      </w:r>
      <w:r>
        <w:fldChar w:fldCharType="end"/>
      </w:r>
      <w:r>
        <w:t xml:space="preserve"> oral rehydration therapy;</w:t>
      </w:r>
      <w:r>
        <w:fldChar w:fldCharType="begin"/>
      </w:r>
      <w:r w:rsidR="00BB7651">
        <w:instrText xml:space="preserve"> ADDIN ZOTERO_ITEM CSL_CITATION {"citationID":"SLx3WgY2","properties":{"formattedCitation":"\\super 46\\nosupersub{}","plainCitation":"46","noteIndex":0},"citationItems":[{"id":127974,"uris":["http://zotero.org/groups/2154524/items/KFPKUDVW"],"itemData":{"id":127974,"type":"article-journal","container-title":"The Lancet Global Health","DOI":"10.1016/S2214-109X(20)30230-8","ISSN":"2214-109X","issue":"8","journalAbbreviation":"The Lancet Global Health","language":"English","note":"publisher: Elsevier\nPMID: 32710861","page":"e1038-e1060","source":"www.thelancet.com","title":"Mapping geographical inequalities in oral rehydration therapy coverage in low-income and middle-income countries, 2000–17","volume":"8","author":[{"family":"Wiens","given":"Kirsten E."},{"family":"Lindstedt","given":"Paulina A."},{"family":"Blacker","given":"Brigette F."},{"family":"Johnson","given":"Kimberly B."},{"family":"Baumann","given":"Mathew M."},{"family":"Schaeffer","given":"Lauren E."},{"family":"Abbastabar","given":"Hedayat"},{"family":"Abd-Allah","given":"Foad"},{"family":"Abdelalim","given":"Ahmed"},{"family":"Abdollahpour","given":"Ibrahim"},{"family":"Abegaz","given":"Kedir Hussein"},{"family":"Abejie","given":"Ayenew Negesse"},{"family":"Abreu","given":"Lucas Guimarães"},{"family":"Abrigo","given":"Michael R. M."},{"family":"Abualhasan","given":"Ahmed"},{"family":"Accrombessi","given":"Manfred Mario Kokou"},{"family":"Acharya","given":"Dilaram"},{"family":"Adabi","given":"Maryam"},{"family":"Adamu","given":"Abdu A."},{"family":"Adebayo","given":"Oladimeji M."},{"family":"Adedoyin","given":"Rufus Adesoji"},{"family":"Adekanmbi","given":"Victor"},{"family":"Adetokunboh","given":"Olatunji O."},{"family":"Adhena","given":"Beyene Meressa"},{"family":"Afarideh","given":"Mohsen"},{"family":"Ahmad","given":"Sohail"},{"family":"Ahmadi","given":"Keivan"},{"family":"Ahmed","given":"Anwar E."},{"family":"Ahmed","given":"Muktar Beshir"},{"family":"Ahmed","given":"Rushdia"},{"family":"Akalu","given":"Temesgen Yihunie"},{"family":"Alahdab","given":"Fares"},{"family":"Al-Aly","given":"Ziyad"},{"family":"Alam","given":"Noore"},{"family":"Alam","given":"Samiah"},{"family":"Alamene","given":"Genet Melak"},{"family":"Alanzi","given":"Turki M."},{"family":"Alcalde-Rabanal","given":"Jacqueline Elizabeth"},{"family":"Ali","given":"Beriwan Abdulqadir"},{"family":"Alijanzadeh","given":"Mehran"},{"family":"Alipour","given":"Vahid"},{"family":"Aljunid","given":"Syed Mohamed"},{"family":"Almasi","given":"Ali"},{"family":"Almasi-Hashiani","given":"Amir"},{"family":"Al-Mekhlafi","given":"Hesham M."},{"family":"Altirkawi","given":"Khalid A."},{"family":"Alvis-Guzman","given":"Nelson"},{"family":"Alvis-Zakzuk","given":"Nelson J."},{"family":"Amini","given":"Saeed"},{"family":"Amit","given":"Arianna Maever L."},{"family":"Andrei","given":"Catalina Liliana"},{"family":"Anjomshoa","given":"Mina"},{"family":"Anoushiravani","given":"Amir"},{"family":"Ansari","given":"Fereshteh"},{"family":"Antonio","given":"Carl Abelardo T."},{"family":"Antony","given":"Benny"},{"family":"Antriyandarti","given":"Ernoiz"},{"family":"Arabloo","given":"Jalal"},{"family":"Aref","given":"Hany Mohamed Amin"},{"family":"Aremu","given":"Olatunde"},{"family":"Armoon","given":"Bahram"},{"family":"Arora","given":"Amit"},{"family":"Aryal","given":"Krishna K."},{"family":"Arzani","given":"Afsaneh"},{"family":"Asadi-Aliabadi","given":"Mehran"},{"family":"Atalay","given":"Hagos Tasew"},{"family":"Athari","given":"Seyyed Shamsadin"},{"family":"Athari","given":"Seyyede Masoume"},{"family":"Atre","given":"Sachin R."},{"family":"Ausloos","given":"Marcel"},{"family":"Awoke","given":"Nefsu"},{"family":"Quintanilla","given":"Beatriz Paulina Ayala"},{"family":"Ayano","given":"Getinet"},{"family":"Ayanore","given":"Martin Amogre"},{"family":"Iv","given":"Yared Asmare Aynalem"},{"family":"Azari","given":"Samad"},{"family":"Azzopardi","given":"Peter S."},{"family":"Babaee","given":"Ebrahim"},{"family":"Babalola","given":"Tesleem Kayode"},{"family":"Badawi","given":"Alaa"},{"family":"Bairwa","given":"Mohan"},{"family":"Bakkannavar","given":"Shankar M."},{"family":"Balakrishnan","given":"Senthilkumar"},{"family":"Bali","given":"Ayele Geleto"},{"family":"Banach","given":"Maciej"},{"family":"Banoub","given":"Joseph Adel Mattar"},{"family":"Barac","given":"Aleksandra"},{"family":"Bärnighausen","given":"Till Winfried"},{"family":"Basaleem","given":"Huda"},{"family":"Basu","given":"Sanjay"},{"family":"Bay","given":"Vo Dinh"},{"family":"Bayati","given":"Mohsen"},{"family":"Baye","given":"Estifanos"},{"family":"Bedi","given":"Neeraj"},{"family":"Beheshti","given":"Mahya Mahya Beheshti"},{"family":"Behzadifar","given":"Masoud"},{"family":"Behzadifar","given":"Meysam"},{"family":"Bekele","given":"Bayu Begashaw"},{"family":"Belayneh","given":"Yaschilal Muche"},{"family":"Bell","given":"Michellr L."},{"family":"Bennett","given":"Derrick A."},{"family":"Berbada","given":"Dessalegn Ajema"},{"family":"Bernstein","given":"Robert S."},{"family":"Bhat","given":"Anusha Ganapati"},{"family":"Bhattacharyya","given":"Krittika"},{"family":"Bhattarai","given":"Suraj"},{"family":"Bhaumik","given":"Soumyadeep"},{"family":"Bhutta","given":"Zulfiqar A."},{"family":"Bijani","given":"Ali"},{"family":"Bikbov","given":"Boris"},{"family":"Iv","given":"Binyam Minuye Birihane"},{"family":"Biswas","given":"Raaj Kishore"},{"family":"Bohlouli","given":"Somayeh"},{"family":"I","given":"Hunduma Amensisa Amensisa Bojia"},{"family":"Boufous","given":"Soufiane"},{"family":"Brady","given":"Oliver J."},{"family":"Bragazzi","given":"Nicola Luigi"},{"family":"Briko","given":"Andrey Nikolaevich"},{"family":"Briko","given":"Nikolay Ivanovich"},{"family":"Britton","given":"Gabrielle B."},{"family":"Nagaraja","given":"Sharath Burugina"},{"family":"Busse","given":"Reinhard"},{"family":"Butt","given":"Zahid A."},{"family":"Cámera","given":"Luis LA Alberto"},{"family":"Campos-Nonato","given":"Ismael R."},{"family":"Cano","given":"Jorge"},{"family":"Car","given":"Josip"},{"family":"Cárdenas","given":"Rosario"},{"family":"Carvalho","given":"Felix"},{"family":"Castañeda-Orjuela","given":"Carlos A."},{"family":"Castro","given":"Franz"},{"family":"Chanie","given":"Wagaye Fentahun"},{"family":"Chatterjee","given":"Pranab"},{"family":"Chattu","given":"Vijay Kumar"},{"family":"Chichiabellu","given":"Tesfaye Yitna Yitna"},{"family":"Chin","given":"Ken Lee"},{"family":"Christopher","given":"Devasahayam J."},{"family":"Chu","given":"Dinh-Toi"},{"family":"Cormier","given":"Natalie Maria"},{"family":"Costa","given":"Vera Marisa"},{"family":"Culquichicon","given":"Carlos"},{"family":"Daba","given":"Matiwos Soboka"},{"family":"Damiani","given":"Giovanni"},{"family":"Dandona","given":"Lalit"},{"family":"Dandona","given":"Rakhi"},{"family":"Dang","given":"Anh Kim"},{"family":"Darwesh","given":"Aso Mohammad"},{"family":"Darwish","given":"Amira Hamed"},{"family":"Daryani","given":"Ahmad"},{"family":"Das","given":"Jai K."},{"family":"Gupta","given":"Rajat Das"},{"family":"Dash","given":"Aditya Prasad"},{"family":"Davey","given":"Gail"},{"family":"Dávila-Cervantes","given":"Claudio Alberto"},{"family":"Davis","given":"Adrian C."},{"family":"Davitoiu","given":"Dragos Virgil"},{"family":"Hoz","given":"Fernando Pio De","dropping-particle":"la"},{"family":"Demis","given":"Asmamaw Bizuneh"},{"family":"Demissie","given":"Dereje Bayissa"},{"family":"Demissie","given":"Getu Debalkie"},{"family":"Demoz","given":"Gebre Teklemariam"},{"family":"Denova-Gutiérrez","given":"Edgar"},{"family":"Deribe","given":"Kebede"},{"family":"Desalew","given":"Assefa"},{"family":"Deshpande","given":"Aniruddha"},{"family":"Dharmaratne","given":"Samath Dhamminda"},{"family":"Dhillon","given":"Preeti"},{"family":"Dhimal","given":"Meghnath"},{"family":"Dhungana","given":"Govinda Prasad"},{"family":"Diaz","given":"Daniel"},{"family":"Dipeolu","given":"Isaac Oluwafemi"},{"family":"Djalalinia","given":"Shirin"},{"family":"Doyle","given":"Kerrie E."},{"family":"Dubljanin","given":"Eleonora"},{"family":"Duko","given":"Bereket"},{"family":"Duraes","given":"Andre Rodrigues"},{"family":"Kalan","given":"Mohammad Ebrahimi"},{"family":"Edinur","given":"Hisham Atan"},{"family":"Effiong","given":"Andem"},{"family":"Eftekhari","given":"Aziz"},{"family":"Nahas","given":"Nevine El"},{"family":"Sayed","given":"Iman El"},{"family":"Zaki","given":"Maysaa El Sayed"},{"family":"Tantawi","given":"Maha El"},{"family":"I","given":"Teshome Bekele Elema"},{"family":"Elhabashy","given":"Hala Rashad"},{"family":"El-Jaafary","given":"Shaimaa I."},{"family":"Elkout","given":"Hajer"},{"family":"Elsharkawy","given":"Aisha"},{"family":"Elyazar","given":"Iqbal RF"},{"family":"Endalamaw","given":"Aklilu"},{"family":"Endalew","given":"Daniel Adane"},{"family":"Eskandarieh","given":"Sharareh"},{"family":"Esteghamati","given":"Alireza"},{"family":"Esteghamati","given":"Sadaf"},{"family":"Etemadi","given":"Arash"},{"family":"Ezekannagha","given":"Oluchi"},{"family":"Fareed","given":"Mohammad"},{"family":"Faridnia","given":"Roghiyeh"},{"family":"Farzadfar","given":"Farshad"},{"family":"Fazlzadeh","given":"Mehdi"},{"family":"Feigin","given":"Valery L."},{"family":"Fereshtehnejad","given":"Seyed-Mohammad"},{"family":"Fernandes","given":"Eduarda"},{"family":"Filip","given":"Irina"},{"family":"Fischer","given":"Florian"},{"family":"Foigt","given":"Nataliya A."},{"family":"Folayan","given":"Morenike Oluwatoyin"},{"family":"Foroutan","given":"Masoud"},{"family":"Franklin","given":"Richard Charles"},{"family":"Fukumoto","given":"Takeshi"},{"family":"Gad","given":"Mohamed M."},{"family":"Gayesa","given":"Reta Tsegaye"},{"family":"Gebre","given":"Teshome"},{"family":"Gebremedhin","given":"Ketema Bizuwork"},{"family":"Gebremeskel","given":"Gebreamlak Gebremedhn"},{"family":"Gesesew","given":"Hailay Abrha"},{"family":"Gezae","given":"Kebede Embaye"},{"family":"Ghadiri","given":"Keyghobad"},{"family":"Ghashghaee","given":"Ahmad"},{"family":"Ghimire","given":"Pramesh Raj"},{"family":"Gill","given":"Paramjit Singh"},{"family":"Gill","given":"Tiffany K."},{"family":"Ginindza","given":"Themba G. G."},{"family":"Gomes","given":"Nelson G. M."},{"family":"Gopalani","given":"Sameer Vali"},{"family":"Goulart","given":"Alessandra C."},{"family":"Goulart","given":"Bárbara Niegia Garcia"},{"family":"Grada","given":"Ayman"},{"family":"Gubari","given":"Mohammed Ibrahim Mohialdeen"},{"family":"Gugnani","given":"Harish Chander"},{"family":"Guido","given":"Davide"},{"family":"Guimarães","given":"Rafael Alves"},{"family":"Guo","given":"Yuming"},{"family":"Gupta","given":"Rajeev"},{"family":"Hafezi-Nejad","given":"Nima"},{"family":"Haile","given":"Dessalegn H."},{"family":"Hailu","given":"Gessessew Bugssa"},{"family":"Haj-Mirzaian","given":"Arvin"},{"family":"Haj-Mirzaian","given":"Arya"},{"family":"Hamadeh","given":"Randah R."},{"family":"Hamidi","given":"Samer"},{"family":"Handiso","given":"Demelash Woldeyohannes"},{"family":"Haririan","given":"Hamidreza"},{"family":"Hariyani","given":"Ninuk"},{"family":"Hasaballah","given":"Ahmed I."},{"family":"Hasan","given":"Md Mehedi"},{"family":"Hasanpoor","given":"Edris"},{"family":"Hasanzadeh","given":"Amir"},{"family":"Hassankhani","given":"Hadi"},{"family":"Hassen","given":"Hamid Yimam"},{"family":"Hegazy","given":"Mohamed I."},{"family":"Heibati","given":"Behzad"},{"family":"Heidari","given":"Behnam"},{"family":"Hendrie","given":"Delia"},{"family":"Henry","given":"Nathaniel J."},{"family":"Herteliu","given":"Claudiu"},{"family":"Heydarpour","given":"Fatemeh"},{"family":"I","given":"Hagos Degefa de Hidru"},{"family":"Hird","given":"Thomas R."},{"family":"Hoang","given":"Chi Linh"},{"family":"Rad","given":"Enayatollah Homaie"},{"family":"Hoogar","given":"Praveen"},{"family":"Hoseini","given":"Mohammad"},{"family":"Hossain","given":"Naznin"},{"family":"Hosseini","given":"Mostafa"},{"family":"Hosseinzadeh","given":"Mehdi"},{"family":"Househ","given":"Mowafa"},{"family":"Hsairi","given":"Mohamed"},{"family":"Hu","given":"Guoqing"},{"family":"Hussen","given":"Mohammedaman Mama"},{"family":"Ibitoye","given":"Segun Emmanuel"},{"family":"Igumbor","given":"Ehimario U."},{"family":"Ilesanmi","given":"Olayinka Stephen"},{"family":"Ilic","given":"Milena D."},{"family":"Imani-Nasab","given":"Mohammad Hasan"},{"family":"Iqbal","given":"Usman"},{"family":"Irvani","given":"Seyed Sina Naghibi"},{"family":"Islam","given":"Sheikh Mohammed Shariful"},{"family":"Iwu","given":"Chinwe Juliana"},{"family":"Izadi","given":"Neda"},{"family":"Jaca","given":"Anelisa"},{"family":"Jahanmehr","given":"Nader"},{"family":"Jakovljevic","given":"Mihajlo"},{"family":"Jalali","given":"Amir"},{"family":"Jayatilleke","given":"Achala Upendra"},{"family":"Jha","given":"Ravi Prakash"},{"family":"Jha","given":"Vivekanand"},{"family":"Ji","given":"John S."},{"family":"Jonas","given":"Jost B."},{"family":"Jozwiak","given":"Jacek Jerzy"},{"family":"Kabir","given":"Ali"},{"family":"Kabir","given":"Zubair"},{"family":"Kahsay","given":"Amaha"},{"family":"Kalani","given":"Hamed"},{"family":"Kanchan","given":"Tanuj"},{"family":"Matin","given":"Behzad Karami"},{"family":"Karch","given":"André"},{"family":"Karim","given":"Mohd Anisul"},{"family":"Karimi-Sari","given":"Hamidreza"},{"family":"Karki","given":"Surendra"},{"family":"Kasaeian","given":"Amir"},{"family":"Kasahun","given":"Gebremicheal Gebreslassie"},{"family":"Kasahun","given":"Yawukal","dropping-particle":"chane"},{"family":"Kasaye","given":"Habtamu Kebebe"},{"family":"Kassa","given":"Gebrehiwot G."},{"family":"Kassa","given":"Getachew Mullu"},{"family":"Kayode","given":"Gbenga A."},{"family":"Karyani","given":"Ali Kazemi"},{"family":"Kebede","given":"Mihiretu M."},{"family":"Keiyoro","given":"Peter Njenga"},{"family":"Kelbore","given":"Abraham Getachew"},{"family":"Kengne","given":"Andre Pascal"},{"family":"Ketema","given":"Daniel Bekele"},{"family":"Khader","given":"Yousef Saleh"},{"family":"Khafaie","given":"Morteza Abdullatif"},{"family":"Khalid","given":"Nauman"},{"family":"Khalilov","given":"Rovshan"},{"family":"Khan","given":"Ejaz Ahmad"},{"family":"Khan","given":"Junaid"},{"family":"I","given":"Md Nuruzzaman Khan"},{"family":"Khan","given":"Muhammad Shahzeb"},{"family":"Khatab","given":"Khaled"},{"family":"Khater","given":"Amir M."},{"family":"Khater","given":"Mona M."},{"family":"Khayamzadeh","given":"Maryam"},{"family":"Khazaei","given":"Mohammad"},{"family":"Khazaei","given":"Salman"},{"family":"Khosravi","given":"Mohammad Hossein"},{"family":"Khubchandani","given":"Jagdish"},{"family":"Kiadaliri","given":"Ali"},{"family":"Kim","given":"Yun Jin"},{"family":"Kimokoti","given":"Ruth W."},{"family":"Kisa","given":"Adnan"},{"family":"Kisa","given":"Sezer"},{"family":"Kissoon","given":"Niranjan"},{"family":"KMShivakumar","given":"Shivakumar KM Marulasiddaiah M."},{"family":"Kochhar","given":"Sonali"},{"family":"Kolola","given":"Tufa"},{"family":"Komaki","given":"Hamidreza"},{"family":"Kosen","given":"Soewarta"},{"family":"Koul","given":"Parvaiz A."},{"family":"Koyanagi","given":"Ai"},{"family":"Kraemer","given":"Moritz U. G."},{"family":"Krishan","given":"Kewal"},{"family":"Kugbey","given":"Nuworza"},{"family":"Kumar","given":"G. Anil"},{"family":"Kumar","given":"Manasi"},{"family":"Kumar","given":"Pushpendra"},{"family":"Kumar","given":"Vivek"},{"family":"Kusuma","given":"Dian"},{"family":"Vecchia","given":"Carlo La"},{"family":"Lacey","given":"Ben"},{"family":"Lad","given":"Sheetal D."},{"family":"Lal","given":"Dharmesh Kumar"},{"family":"Lam","given":"Felix"},{"family":"Lami","given":"Faris Hasan"},{"family":"Lamichhane","given":"Prabhat"},{"family":"Lansingh","given":"Van Charles"},{"family":"Lasrado","given":"Savita"},{"family":"Laxmaiah","given":"Avula"},{"family":"Lee","given":"Paul H."},{"family":"LeGrand","given":"Kate E."},{"family":"Leili","given":"Mostafa"},{"family":"Lenjebo","given":"Tsegaye Lolaso"},{"family":"Leshargie","given":"Cheru Tesema"},{"family":"Levine","given":"Aubrey J."},{"family":"Li","given":"Shanshan"},{"family":"Linn","given":"Shai"},{"family":"Liu","given":"Shiwei"},{"family":"Liu","given":"Simin"},{"family":"Lodha","given":"Rakesh"},{"family":"Longbottom","given":"Joshua"},{"family":"Lopez","given":"Jaifred Christian F."},{"family":"Razek","given":"Hassan Magdy Abd El"},{"family":"Razek","given":"Muhammed Magdy Abd El"},{"family":"Prasad","given":"D. R. Mahadeshwara"},{"family":"Mahasha","given":"Phetole Walter"},{"family":"Mahotra","given":"Narayan B."},{"family":"Majeed","given":"Azeem"},{"family":"Malekzadeh","given":"Reza"},{"family":"Malta","given":"Deborah Carvalho"},{"family":"Mamun","given":"Abdullah A."},{"family":"Manafi","given":"Navid"},{"family":"Manda","given":"Ana Laura"},{"family":"Manohar","given":"Narendar Dawani Dawanu"},{"family":"Mansournia","given":"Mohammad Ali"},{"family":"Mapoma","given":"Chabila Christopher"},{"family":"Maravilla","given":"Joemer C."},{"family":"Martinez","given":"Gabriel"},{"family":"Martini","given":"Santi"},{"family":"Martins-Melo","given":"Francisco Rogerlândio"},{"family":"Masaka","given":"Anthony"},{"family":"Massenburg","given":"Benjamin Ballard"},{"family":"Mathur","given":"Manu Raj"},{"family":"Mayala","given":"Benjamin K."},{"family":"Mazidi","given":"Mohsen"},{"family":"McAlinden","given":"Colm"},{"family":"Meharie","given":"Birhanu Geta"},{"family":"Mehndiratta","given":"Man Mohan"},{"family":"Mehta","given":"Kala M."},{"family":"Mekonnen","given":"Tefera C. Chane"},{"family":"Meles","given":"Gebrekiros Gebremichael"},{"family":"Memiah","given":"Peter T. N."},{"family":"Memish","given":"Ziad A."},{"family":"Mendoza","given":"Walter"},{"family":"Menezes","given":"Ritesh G."},{"family":"Mereta","given":"Seid Tiku"},{"family":"Meretoja","given":"Tuomo J."},{"family":"Mestrovic","given":"Tomislav"},{"family":"Miazgowski","given":"Bartosz"},{"family":"Mihretie","given":"Kebadnew Mulatu"},{"family":"Miller","given":"Ted R."},{"family":"Mini","given":"G. K."},{"family":"Mirrakhimov","given":"Erkin M."},{"family":"Moazen","given":"Babak"},{"family":"Mohajer","given":"Bahram"},{"family":"Mohamadi-Bolbanabad","given":"Amjad"},{"family":"Mohammad","given":"Dara K."},{"family":"Mohammad","given":"Karzan Abdulmuhsin"},{"family":"Mohammad","given":"Yousef"},{"family":"Mezerji","given":"Naser Mohammad Gholi"},{"family":"Mohammadibakhsh","given":"Roghayeh"},{"family":"Mohammadifard","given":"Noushin"},{"family":"Mohammed","given":"Jemal Abdu"},{"family":"Mohammed","given":"Shafiu"},{"family":"Mohebi","given":"Farnam"},{"family":"Mokdad","given":"Ali H."},{"family":"Molokhia","given":"Mariam"},{"family":"Monasta","given":"Lorenzo"},{"family":"Moodley","given":"Yoshan"},{"family":"Moore","given":"Catrin E."},{"family":"Moradi","given":"Ghobad"},{"family":"Moradi","given":"Masoud"},{"family":"Moradi-Joo","given":"Mohammad"},{"family":"Moradi-Lakeh","given":"Maziar"},{"family":"Moraga","given":"Paula"},{"family":"Morales","given":"Linda"},{"family":"Velásquez","given":"Ilais Moreno"},{"family":"Mosapour","given":"Abbas"},{"family":"Mouodi","given":"Simin"},{"family":"Mousavi","given":"Seyyed Meysam"},{"family":"I","given":"Miliva Mozaffor"},{"family":"Muchie","given":"Kindie Fentahun"},{"family":"Mulaw","given":"Getahun Fentaw"},{"family":"Munro","given":"Sandra B."},{"family":"Muriithi","given":"Moses K."},{"family":"Murray","given":"Christopher J. L."},{"family":"Murthy","given":"G. V. S."},{"family":"Musa","given":"Kamarul Imran"},{"family":"Mustafa","given":"Ghulam"},{"family":"Muthupandian","given":"Saravanan"},{"family":"Nabhan","given":"Ashraf F."},{"family":"Naderi","given":"Mehdi"},{"family":"Nagarajan","given":"Ahamarshan Jayaraman"},{"family":"Naidoo","given":"Kovin S."},{"family":"Naik","given":"Gurudatta"},{"family":"Najafi","given":"Farid"},{"family":"Nangia","given":"Vinay"},{"family":"Nansseu","given":"Jobert Richie"},{"family":"Nascimento","given":"Bruno Ramos"},{"family":"Nazari","given":"Javad"},{"family":"Ndwandwe","given":"Duduzile Edith"},{"family":"Negoi","given":"Ionut"},{"family":"Netsere","given":"Henok Biresaw Netsere"},{"family":"Ngunjiri","given":"Josephine W."},{"family":"Nguyen","given":"Cuong Tat"},{"family":"Nguyen","given":"Huong Lan Thi"},{"family":"Nguyen","given":"Trang Huyen"},{"family":"Nigatu","given":"Dabere"},{"family":"Nigatu","given":"Solomon Gedlu"},{"family":"Ningrum","given":"Dina Nur Anggraini"},{"family":"Nnaji","given":"Chukwudi A."},{"family":"Nojomi","given":"Marzieh"},{"family":"Nong","given":"Vuong Minh"},{"family":"Norheim","given":"Ole F."},{"family":"Noubiap","given":"Jean Jacques"},{"family":"Motlagh","given":"Soraya Nouraei"},{"family":"Oancea","given":"Bogdan"},{"family":"Ogah","given":"Okechukwu Samuel"},{"family":"Ogbo","given":"Felix Akpojene"},{"family":"Oh","given":"In-Hwan"},{"family":"Olagunju","given":"Andrew T."},{"family":"Olagunju","given":"Tinuke O."},{"family":"Olusanya","given":"Bolajoko Olubukunola"},{"family":"Olusanya","given":"Jacob Olusegun"},{"family":"Onwujekwe","given":"Obinna E."},{"family":"Oren","given":"Eyal"},{"family":"Ortega-Altamirano","given":"Doris V. V."},{"family":"Osarenotor","given":"Osayomwanbo"},{"family":"Osei","given":"Frank B."},{"family":"Owolabi","given":"Mayowa O."},{"family":"A","given":"Mahesh P."},{"family":"Padubidri","given":"Jagadish Rao"},{"family":"Pakhale","given":"Smita"},{"family":"Patel","given":"Sangram Kishor"},{"family":"Paternina-Caicedo","given":"Angel J."},{"family":"Pathak","given":"Ashish"},{"family":"Patton","given":"George C."},{"family":"Paudel","given":"Deepak"},{"family":"Paulos","given":"Kebreab"},{"family":"Pepito","given":"Veincent Christian Filipino"},{"family":"Pereira","given":"Alexandre"},{"family":"Perico","given":"Norberto"},{"family":"Pervaiz","given":"Aslam"},{"family":"Pescarini","given":"Julia Moreira"},{"family":"Piroozi","given":"Bakhtiar"},{"family":"Pirsaheb","given":"Meghdad"},{"family":"Postma","given":"Maarten J."},{"family":"Pourjafar","given":"Hadi"},{"family":"Pourmalek","given":"Farshad"},{"family":"Pourshams","given":"Akram"},{"family":"Poustchi","given":"Hossein"},{"family":"Prada","given":"Sergio I."},{"family":"Prasad","given":"Narayan"},{"family":"Preotescu","given":"Liliana"},{"family":"Quintana","given":"Hedley"},{"family":"Rabiee","given":"Navid"},{"family":"Radfar","given":"Amir"},{"family":"Rafiei","given":"Alireza"},{"family":"Rahim","given":"Fakher"},{"family":"Rahimi-Movaghar","given":"Afarin"},{"family":"Rahimi-Movaghar","given":"Vafa"},{"family":"Rahman","given":"Mohammad Hifz Ur"},{"family":"Rahman","given":"Muhammad Aziz"},{"family":"Rahman","given":"Shafiur"},{"family":"Rajati","given":"Fatemeh"},{"family":"Rana","given":"Saleem Muhammad"},{"family":"Ranabhat","given":"Chhabi Lal"},{"family":"Rasella","given":"Davide"},{"family":"Rawaf","given":"David Laith"},{"family":"Rawaf","given":"Salman"},{"family":"Rawal","given":"Lal"},{"family":"Rawasia","given":"Wasiq Faraz"},{"family":"Renjith","given":"Vishnu"},{"family":"Renzaho","given":"Andre M. N."},{"family":"Resnikoff","given":"Serge"},{"family":"Reta","given":"Melese Abate"},{"family":"Rezaei","given":"Negar"},{"family":"Rezai","given":"Mohammad","dropping-particle":"sadegh"},{"family":"Riahi","given":"Seyed Mohammad"},{"family":"Ribeiro","given":"Ana Isabel"},{"family":"Rickard","given":"Jennifer"},{"family":"Rios-Blancas","given":"Maria"},{"family":"Roever","given":"Leonardo"},{"family":"Ronfani","given":"Luca"},{"family":"Roro","given":"Elias Merdassa"},{"family":"Ross","given":"Jennifer M."},{"family":"Rubagotti","given":"Enrico"},{"family":"Rubino","given":"Salvatore"},{"family":"Saad","given":"Anas M."},{"family":"Sabde","given":"Yogesh Damodar"},{"family":"Sabour","given":"Siamak"},{"family":"Sadeghi","given":"Ehsan"},{"family":"Safari","given":"Yahya"},{"family":"Safari-Faramani","given":"Roya"},{"family":"Sagar","given":"Rajesh"},{"family":"Sahebkar","given":"Amirhossein"},{"family":"Sahraian","given":"Mohammad Ali"},{"family":"Sajadi","given":"S. Mohammad"},{"family":"Salahshoor","given":"Mohammad Reza"},{"family":"Salam","given":"Nasir"},{"family":"Salamati","given":"Payman"},{"family":"Salem","given":"Hosni"},{"family":"I","given":"Marwa R. Rashad Salem"},{"family":"Salimi","given":"Yahya"},{"family":"Salimzadeh","given":"Hamideh"},{"family":"Samy","given":"Abdallah M."},{"family":"Sanabria","given":"Juan"},{"family":"Santric-Milicevic","given":"Milena M."},{"family":"Jose","given":"Bruno Piassi Sao"},{"family":"Saraswathy","given":"Sivan Yegnanarayana Iyer"},{"family":"Sarkar","given":"Kaushik"},{"family":"Sarker","given":"Abdur Razzaque"},{"family":"I","given":"Nizal Sarrafzadegan"},{"family":"Sartorius","given":"Benn"},{"family":"Sathian","given":"Brijesh"},{"family":"Sathish","given":"Thirunavukkarasu"},{"family":"Sawhney","given":"Monika"},{"family":"Saxena","given":"Sonia"},{"family":"Schwebel","given":"David C."},{"family":"Iv","given":"Anbissa Muleta Senbeta"},{"family":"Senthilkumaran","given":"Subramanian"},{"family":"Sepanlou","given":"Sadaf G."},{"family":"Serván-Mori","given":"Edson"},{"family":"Shabaninejad","given":"Hosein"},{"family":"Shafieesabet","given":"Azadeh"},{"family":"Shaikh","given":"Masood Ali"},{"family":"Shalash","given":"Ali S."},{"family":"Shallo","given":"Seifadin Ahmed"},{"family":"Shams-Beyranvand","given":"Mehran"},{"family":"Shamsi","given":"MohammadBagher"},{"family":"Shamsizadeh","given":"Morteza"},{"family":"Shannawaz","given":"Mohammed"},{"family":"Sharafi","given":"Kiomars"},{"family":"Sharifi","given":"Hamid"},{"family":"Shehata","given":"Hatem Samir"},{"family":"Sheikh","given":"Aziz"},{"family":"Shetty","given":"B. Suresh Kumar"},{"family":"Shibuya","given":"Kenji"},{"family":"Shiferaw","given":"Wondimeneh Shibabaw"},{"family":"Shifti","given":"Desalegn Markos"},{"family":"Shigematsu","given":"Mika"},{"family":"Shin","given":"Jae Il"},{"family":"Shiri","given":"Rahman"},{"family":"Shirkoohi","given":"Reza"},{"family":"Siabani","given":"Soraya"},{"family":"Siddiqi","given":"Tariq Jamal"},{"family":"Silva","given":"Diego Augusto Santos"},{"family":"Singh","given":"Ambrish"},{"family":"Singh","given":"Jasvinder A."},{"family":"Singh","given":"Narinder Pal"},{"family":"Singh","given":"Virendra"},{"family":"Sisay","given":"Malede Mequanent"},{"family":"Skiadaresi","given":"Eirini"},{"family":"Sobhiyeh","given":"Mohammad Reza"},{"family":"Sokhan","given":"Anton"},{"family":"Soltani","given":"Shahin"},{"family":"Somayaji","given":"Ranjani"},{"family":"Soofi","given":"Moslem"},{"family":"Sorrie","given":"Muluken Bekele"},{"family":"Soyiri","given":"Ireneous N."},{"family":"Sreeramareddy","given":"Chandrashekhar T."},{"family":"Sudaryanto","given":"Agus"},{"family":"Sufiyan","given":"Mu'awiyyah Babale"},{"family":"Suleria","given":"Hafiz Ansar Rasul"},{"family":"Sultana","given":"Marufa"},{"family":"Sunguya","given":"Bruno Fokas"},{"family":"Sykes","given":"Bryan L."},{"family":"Tabarés-Seisdedos","given":"Rafael"},{"family":"Tabuchi","given":"Takahiro"},{"family":"Tadesse","given":"Degena Bahrey"},{"family":"Tarigan","given":"Ingan Ukur"},{"family":"Tasew","given":"Aberash Abay"},{"family":"Tefera","given":"Yonatal Mesfin"},{"family":"Tekle","given":"Merhawi Gebremedhin"},{"family":"Temsah","given":"Mohamad-Hani"},{"family":"I","given":"Berhe Etsay Tesfay"},{"family":"Tesfay","given":"Fisaha Haile Haile"},{"family":"Tessema","given":"Belay"},{"family":"Tessema","given":"Zemenu Tadesse"},{"family":"Thankappan","given":"Kavumpurathu Raman"},{"family":"Thomas","given":"Nihal"},{"family":"Toma","given":"Alemayehu Toma"},{"family":"Topor-Madry","given":"Roman"},{"family":"Tovani-Palone","given":"Marcos Roberto Roberto"},{"family":"Traini","given":"Eugenio"},{"family":"Tran","given":"Bach Xuan"},{"family":"Tran","given":"Khanh Bao"},{"family":"Ullah","given":"Irfan"},{"family":"Unnikrishnan","given":"Bhaskaran"},{"family":"Usman","given":"Muhammad Shariq"},{"family":"Uzochukwu","given":"Benjamin S. Chudi"},{"family":"Valdez","given":"Pascual R."},{"family":"Varughese","given":"Santosh"},{"family":"Violante","given":"Francesco S."},{"family":"Vollmer","given":"Sebastian"},{"family":"W/hawariat","given":"Feleke Gebremeskel"},{"family":"Waheed","given":"Yasir"},{"family":"Wallin","given":"Mitchell Taylor"},{"family":"Wang","given":"Yafeng"},{"family":"Wang","given":"Yuan-Pang"},{"family":"Weaver","given":"Marcia"},{"family":"Weji","given":"Bedilu Girma"},{"family":"Weldesamuel","given":"Girmay Teklay"},{"family":"Welgan","given":"Catherine A."},{"family":"Werdecker","given":"Andrea"},{"family":"Westerman","given":"Ronny"},{"family":"Wiangkham","given":"Taweewat"},{"family":"Wiysonge","given":"Charles Shey"},{"family":"Wolde","given":"Haileab Fekadu"},{"family":"Wondafrash","given":"Dawit Zewdu"},{"family":"Wonde","given":"Tewodros Eshete"},{"family":"Worku","given":"Getasew Taddesse"},{"family":"Wu","given":"Ai-Min"},{"family":"Xu","given":"Gelin"},{"family":"Yadollahpour","given":"Ali"},{"family":"Jabbari","given":"Seyed Hossein Yahyazadeh"},{"family":"Yamada","given":"Tomohide"},{"family":"Yatsuya","given":"Hiroshi"},{"family":"Yeshaneh","given":"Alex"},{"family":"Yilgwan","given":"Christopher Sabo"},{"family":"Yilma","given":"Mekdes Tigistu"},{"family":"Yip","given":"Paul"},{"family":"Yisma","given":"Engida"},{"family":"Yonemoto","given":"Naohiro"},{"family":"Yoon","given":"Seok-Jun"},{"family":"Younis","given":"Mustafa Z."},{"family":"Yousefifard","given":"Mahmoud"},{"family":"Yousof","given":"Hebat-Allah Salah A."},{"family":"Yu","given":"Chuanhua"},{"family":"Yusefzadeh","given":"Hasan"},{"family":"Zadey","given":"Siddhesh"},{"family":"Zaidi","given":"Zoubida"},{"family":"Zaman","given":"Sojib Bin"},{"family":"Zamani","given":"Mohammad"},{"family":"Zandian","given":"Hamed"},{"family":"Zepro","given":"Nejimu Biza"},{"family":"Zerfu","given":"Taddese Alemu"},{"family":"Zhang","given":"Yunquan"},{"family":"Zhao","given":"Xiu-Ju George"},{"family":"Ziapour","given":"Arash"},{"family":"Zodpey","given":"Sanjay"},{"family":"Zuniga","given":"Yves Miel H."},{"family":"Hay","given":"Simon I."},{"family":"Reiner","given":"Robert C."}],"issued":{"date-parts":[["2020",8,1]]}}}],"schema":"https://github.com/citation-style-language/schema/raw/master/csl-citation.json"} </w:instrText>
      </w:r>
      <w:r>
        <w:fldChar w:fldCharType="separate"/>
      </w:r>
      <w:r w:rsidR="00BB7651" w:rsidRPr="00BB7651">
        <w:rPr>
          <w:rFonts w:cs="Times New Roman"/>
          <w:szCs w:val="24"/>
          <w:vertAlign w:val="superscript"/>
        </w:rPr>
        <w:t>46</w:t>
      </w:r>
      <w:r>
        <w:fldChar w:fldCharType="end"/>
      </w:r>
      <w:r>
        <w:t xml:space="preserve"> and zinc supplementation,</w:t>
      </w:r>
      <w:r>
        <w:fldChar w:fldCharType="begin"/>
      </w:r>
      <w:r w:rsidR="00DC37DC">
        <w:instrText xml:space="preserve"> ADDIN ZOTERO_ITEM CSL_CITATION {"citationID":"RjTd60gH","properties":{"formattedCitation":"\\super 15\\nosupersub{}","plainCitation":"15","noteIndex":0},"citationItems":[{"id":128179,"uris":["http://zotero.org/groups/2154524/items/ZUH93LJB"],"itemData":{"id":128179,"type":"article-journal","abstract":"BACKGROUND: Rigorous analysis of levels and trends in exposure to leading risk factors and quantification of their effect on human health are important to identify where public health is making progress and in which cases current efforts are inadequate. The Global Burden of Diseases, Injuries, and Risk Factors Study (GBD) 2019 provides a standardised and comprehensive assessment of the magnitude of risk factor exposure, relative risk, and attributable burden of disease.\nMETHODS: GBD 2019 estimated attributable mortality, years of life lost (YLLs), years of life lived with disability (YLDs), and disability-adjusted life-years (DALYs) for 87 risk factors and combinations of risk factors, at the global level, regionally, and for 204 countries and territories. GBD uses a hierarchical list of risk factors so that specific risk factors (eg, sodium intake), and related aggregates (eg, diet quality), are both evaluated. This method has six analytical steps. (1) We included 560 risk-outcome pairs that met criteria for convincing or probable evidence on the basis of research studies. 12 risk-outcome pairs included in GBD 2017 no longer met inclusion criteria and 47 risk-outcome pairs for risks already included in GBD 2017 were added based on new evidence. (2) Relative risks were estimated as a function of exposure based on published systematic reviews, 81 systematic reviews done for GBD 2019, and meta-regression. (3) Levels of exposure in each age-sex-location-year included in the study were estimated based on all available data sources using spatiotemporal Gaussian process regression, DisMod-MR 2.1, a Bayesian meta-regression method, or alternative methods. (4) We determined, from published trials or cohort studies, the level of exposure associated with minimum risk, called the theoretical minimum risk exposure level. (5) Attributable deaths, YLLs, YLDs, and DALYs were computed by multiplying population attributable fractions (PAFs) by the relevant outcome quantity for each age-sex-location-year. (6) PAFs and attributable burden for combinations of risk factors were estimated taking into account mediation of different risk factors through other risk factors. Across all six analytical steps, 30 652 distinct data sources were used in the analysis. Uncertainty in each step of the analysis was propagated into the final estimates of attributable burden. Exposure levels for dichotomous, polytomous, and continuous risk factors were summarised with use of the summary exposure value to facilitate comparisons over time, across location, and across risks. Because the entire time series from 1990 to 2019 has been re-estimated with use of consistent data and methods, these results supersede previously published GBD estimates of attributable burden.\nFINDINGS: The largest declines in risk exposure from 2010 to 2019 were among a set of risks that are strongly linked to social and economic development, including household air pollution; unsafe water, sanitation, and handwashing; and child growth failure. Global declines also occurred for tobacco smoking and lead exposure. The largest increases in risk exposure were for ambient particulate matter pollution, drug use, high fasting plasma glucose, and high body-mass index. In 2019, the leading Level 2 risk factor globally for attributable deaths was high systolic blood pressure, which accounted for 10·8 million (95% uncertainty interval [UI] 9·51-12·1) deaths (19·2% [16·9-21·3] of all deaths in 2019), followed by tobacco (smoked, second-hand, and chewing), which accounted for 8·71 million (8·12-9·31) deaths (15·4% [14·6-16·2] of all deaths in 2019). The leading Level 2 risk factor for attributable DALYs globally in 2019 was child and maternal malnutrition, which largely affects health in the youngest age groups and accounted for 295 million (253-350) DALYs (11·6% [10·3-13·1] of all global DALYs that year). The risk factor burden varied considerably in 2019 between age groups and locations. Among children aged 0-9 years, the three leading detailed risk factors for attributable DALYs were all related to malnutrition. Iron deficiency was the leading risk factor for those aged 10-24 years, alcohol use for those aged 25-49 years, and high systolic blood pressure for those aged 50-74 years and 75 years and older.\nINTERPRETATION: Overall, the record for reducing exposure to harmful risks over the past three decades is poor. Success with reducing smoking and lead exposure through regulatory policy might point the way for a stronger role for public policy on other risks in addition to continued efforts to provide information on risk factor harm to the general public.\nFUNDING: Bill &amp; Melinda Gates Foundation.","container-title":"Lancet (London, England)","DOI":"10.1016/S0140-6736(20)30752-2","ISSN":"1474-547X","issue":"10258","journalAbbreviation":"Lancet","language":"eng","note":"PMID: 33069327\nPMCID: PMC7566194","page":"1223-1249","source":"PubMed","title":"Global burden of 87 risk factors in 204 countries and territories, 1990-2019: a systematic analysis for the Global Burden of Disease Study 2019","title-short":"Global burden of 87 risk factors in 204 countries and territories, 1990-2019","volume":"396","author":[{"literal":"GBD 2019 Risk Factors Collaborators"}],"issued":{"date-parts":[["2020",10,17]]}}}],"schema":"https://github.com/citation-style-language/schema/raw/master/csl-citation.json"} </w:instrText>
      </w:r>
      <w:r>
        <w:fldChar w:fldCharType="separate"/>
      </w:r>
      <w:r w:rsidR="00DC37DC" w:rsidRPr="00143184">
        <w:rPr>
          <w:rFonts w:cs="Times New Roman"/>
          <w:szCs w:val="24"/>
          <w:vertAlign w:val="superscript"/>
        </w:rPr>
        <w:t>15</w:t>
      </w:r>
      <w:r>
        <w:fldChar w:fldCharType="end"/>
      </w:r>
      <w:r>
        <w:t xml:space="preserve"> alongside global initiatives like the Global Action Plan for the Prevention and Control of Pneumonia and </w:t>
      </w:r>
      <w:proofErr w:type="spellStart"/>
      <w:r>
        <w:t>Diarrhea</w:t>
      </w:r>
      <w:proofErr w:type="spellEnd"/>
      <w:r>
        <w:t xml:space="preserve"> (GAPPD).</w:t>
      </w:r>
      <w:r>
        <w:fldChar w:fldCharType="begin"/>
      </w:r>
      <w:r w:rsidR="00BB7651">
        <w:instrText xml:space="preserve"> ADDIN ZOTERO_ITEM CSL_CITATION {"citationID":"jQ6ER1RC","properties":{"formattedCitation":"\\super 47\\nosupersub{}","plainCitation":"47","noteIndex":0},"citationItems":[{"id":127803,"uris":["http://zotero.org/groups/2154524/items/A7Y565P5"],"itemData":{"id":127803,"type":"article-journal","abstract":"Background\nDiarrheal diseases are the third leading cause of morbidity and mortality in\nchildren under 5 in Africa, responsible for an estimated 30,000,000 (95%\nUncertainty Interval [UI], 27,000,000 - 33,000,000) severe cases and 330,000\n(95% UI, 270,000 - 380,000) deaths in 2015. Developing targeted approaches\nto combat this burden is hampered by the lack of comprehensive, fine-scale\ndiarrhea estimates between and within countries. \n\nMethods\nAnnual estimates of diarrheal prevalence, incidence, and mortality were\nproduced with high geographic detail (5-km2) across Africa from 2000 to\n2015. Estimates were created using Bayesian geostatistical techniques, and\nwere calibrated to the results from the Global Burden of Diseases, Injuries,\nand Risk Factors Study 2016. \n\nResults\nThe results revealed geographic inequality in diarrhea risk in Africa. Of the\nestimated 330,000 childhood deaths attributable to diarrhea in 2015, over\n50% occurred in only 55 (of the 782) first administrative subdivisions. In\n2015, mortality rates between first administrative subdivisions in Nigeria\nexhibited six-fold differences. The case fatality ratio is highly variable\nat the national level across Africa, with the highest values observed in\nLesotho, Mali, Benin, and Nigeria. \n\nConclusions\nOur findings show concentrated areas of morbidity and mortality associated\nwith diarrhea across countries with consistently high burden as well as\ncountries that experienced considerable national-level improvements. In the\nera of precision public health, the distribution of limited resources can be\noptimized with proven interventions, targeted at locations most likely to\nhave a high impact, reducing the avertable burden of diarrheal diseases.","container-title":"The New England Journal of Medicine","DOI":"10.1056/NEJMoa1716766","ISSN":"0028-4793","issue":"12","journalAbbreviation":"N Engl J Med","note":"PMID: 30231224\nPMCID: PMC6078160","page":"1128-1138","source":"PubMed Central","title":"Local variation in childhood diarrheal morbidity and mortality in Africa, 2000-2015","volume":"279","author":[{"family":"Reiner","given":"Robert C."},{"family":"Graetz","given":"Nicholas"},{"family":"Casey","given":"Daniel C."},{"family":"Troeger","given":"Christopher"},{"family":"Garcia","given":"Gregory M."},{"family":"Mosser","given":"Jonathan F."},{"family":"Deshpande","given":"Aniruddha"},{"family":"Swartz","given":"Scott J."},{"family":"Swartz","given":"Scott J."},{"family":"Ray","given":"Sarah E."},{"family":"Blacker","given":"Brigette F."},{"family":"Rao","given":"Puja C."},{"family":"Osgood -Zimmerman","given":"Aaron"},{"family":"Burstein","given":"Roy"},{"family":"Pigott","given":"David M."},{"family":"Davis","given":"Ian M."},{"family":"Letourneau","given":"Ian D."},{"family":"Earl","given":"Lucas"},{"family":"Ross","given":"Jennifer M."},{"family":"Khalil","given":"Ibrahim A."},{"family":"Farag","given":"Tamer H."},{"family":"Brady","given":"Oliver J."},{"family":"Kraemer","given":"Moritz U.G."},{"family":"Smith","given":"David L."},{"family":"Bhatt","given":"Samir"},{"family":"Weiss","given":"Daniel J."},{"family":"Gething","given":"Peter W."},{"family":"Kassebaum","given":"Nicholas J."},{"family":"Mokdad","given":"Ali H."},{"family":"Murray","given":"Christopher J.L."},{"family":"Hay","given":"Simon I."}],"issued":{"date-parts":[["2018",9,20]]}}}],"schema":"https://github.com/citation-style-language/schema/raw/master/csl-citation.json"} </w:instrText>
      </w:r>
      <w:r>
        <w:fldChar w:fldCharType="separate"/>
      </w:r>
      <w:r w:rsidR="00BB7651" w:rsidRPr="00BB7651">
        <w:rPr>
          <w:rFonts w:cs="Times New Roman"/>
          <w:szCs w:val="24"/>
          <w:vertAlign w:val="superscript"/>
        </w:rPr>
        <w:t>47</w:t>
      </w:r>
      <w:r>
        <w:fldChar w:fldCharType="end"/>
      </w:r>
      <w:r>
        <w:t xml:space="preserve"> Given that enteric disease mortality and specifically diarrhoeal disease mortality continued to decline during the pandemic, the post-pandemic period may offer opportunities to accelerate progress on prevention and treatment. Diarrhoeal diseases are particularly amenable to public health intervention, and given its high burden among children, it is imperative that we continue to direct resources towards its prevention.</w:t>
      </w:r>
      <w:r>
        <w:fldChar w:fldCharType="begin"/>
      </w:r>
      <w:r w:rsidR="00BB7651">
        <w:instrText xml:space="preserve"> ADDIN ZOTERO_ITEM CSL_CITATION {"citationID":"6IOARVG2","properties":{"formattedCitation":"\\super 47,48\\nosupersub{}","plainCitation":"47,48","noteIndex":0},"citationItems":[{"id":127803,"uris":["http://zotero.org/groups/2154524/items/A7Y565P5"],"itemData":{"id":127803,"type":"article-journal","abstract":"Background\nDiarrheal diseases are the third leading cause of morbidity and mortality in\nchildren under 5 in Africa, responsible for an estimated 30,000,000 (95%\nUncertainty Interval [UI], 27,000,000 - 33,000,000) severe cases and 330,000\n(95% UI, 270,000 - 380,000) deaths in 2015. Developing targeted approaches\nto combat this burden is hampered by the lack of comprehensive, fine-scale\ndiarrhea estimates between and within countries. \n\nMethods\nAnnual estimates of diarrheal prevalence, incidence, and mortality were\nproduced with high geographic detail (5-km2) across Africa from 2000 to\n2015. Estimates were created using Bayesian geostatistical techniques, and\nwere calibrated to the results from the Global Burden of Diseases, Injuries,\nand Risk Factors Study 2016. \n\nResults\nThe results revealed geographic inequality in diarrhea risk in Africa. Of the\nestimated 330,000 childhood deaths attributable to diarrhea in 2015, over\n50% occurred in only 55 (of the 782) first administrative subdivisions. In\n2015, mortality rates between first administrative subdivisions in Nigeria\nexhibited six-fold differences. The case fatality ratio is highly variable\nat the national level across Africa, with the highest values observed in\nLesotho, Mali, Benin, and Nigeria. \n\nConclusions\nOur findings show concentrated areas of morbidity and mortality associated\nwith diarrhea across countries with consistently high burden as well as\ncountries that experienced considerable national-level improvements. In the\nera of precision public health, the distribution of limited resources can be\noptimized with proven interventions, targeted at locations most likely to\nhave a high impact, reducing the avertable burden of diarrheal diseases.","container-title":"The New England Journal of Medicine","DOI":"10.1056/NEJMoa1716766","ISSN":"0028-4793","issue":"12","journalAbbreviation":"N Engl J Med","note":"PMID: 30231224\nPMCID: PMC6078160","page":"1128-1138","source":"PubMed Central","title":"Local variation in childhood diarrheal morbidity and mortality in Africa, 2000-2015","volume":"279","author":[{"family":"Reiner","given":"Robert C."},{"family":"Graetz","given":"Nicholas"},{"family":"Casey","given":"Daniel C."},{"family":"Troeger","given":"Christopher"},{"family":"Garcia","given":"Gregory M."},{"family":"Mosser","given":"Jonathan F."},{"family":"Deshpande","given":"Aniruddha"},{"family":"Swartz","given":"Scott J."},{"family":"Swartz","given":"Scott J."},{"family":"Ray","given":"Sarah E."},{"family":"Blacker","given":"Brigette F."},{"family":"Rao","given":"Puja C."},{"family":"Osgood -Zimmerman","given":"Aaron"},{"family":"Burstein","given":"Roy"},{"family":"Pigott","given":"David M."},{"family":"Davis","given":"Ian M."},{"family":"Letourneau","given":"Ian D."},{"family":"Earl","given":"Lucas"},{"family":"Ross","given":"Jennifer M."},{"family":"Khalil","given":"Ibrahim A."},{"family":"Farag","given":"Tamer H."},{"family":"Brady","given":"Oliver J."},{"family":"Kraemer","given":"Moritz U.G."},{"family":"Smith","given":"David L."},{"family":"Bhatt","given":"Samir"},{"family":"Weiss","given":"Daniel J."},{"family":"Gething","given":"Peter W."},{"family":"Kassebaum","given":"Nicholas J."},{"family":"Mokdad","given":"Ali H."},{"family":"Murray","given":"Christopher J.L."},{"family":"Hay","given":"Simon I."}],"issued":{"date-parts":[["2018",9,20]]}},"label":"page"},{"id":127820,"uris":["http://zotero.org/groups/2154524/items/IQHQSZEX"],"itemData":{"id":127820,"type":"article-journal","abstract":"Background\nNational levels of personal health-care access and quality can be approximated by measuring mortality rates from causes that should not be fatal in the presence of effective medical care (ie, amenable mortality). Previous analyses of mortality amenable to health care only focused on high-income countries and faced several methodological challenges. In the present analysis, we use the highly standardised cause of death and risk factor estimates generated through the Global Burden of Diseases, Injuries, and Risk Factors Study (GBD) to improve and expand the quantification of personal health-care access and quality for 195 countries and territories from 1990 to 2015.\n\nMethods\nWe mapped the most widely used list of causes amenable to personal health care developed by Nolte and McKee to 32 GBD causes. We accounted for variations in cause of death certification and misclassifications through the extensive data standardisation processes and redistribution algorithms developed for GBD. To isolate the effects of personal health-care access and quality, we risk-standardised cause-specific mortality rates for each geography-year by removing the joint effects of local environmental and behavioural risks, and adding back the global levels of risk exposure as estimated for GBD 2015. We employed principal component analysis to create a single, interpretable summary measure–the Healthcare Quality and Access (HAQ) Index–on a scale of 0 to 100. The HAQ Index showed strong convergence validity as compared with other health-system indicators, including health expenditure per capita (r=0·88), an index of 11 universal health coverage interventions (r=0·83), and human resources for health per 1000 (r=0·77). We used free disposal hull analysis with bootstrapping to produce a frontier based on the relationship between the HAQ Index and the Socio-demographic Index (SDI), a measure of overall development consisting of income per capita, average years of education, and total fertility rates. This frontier allowed us to better quantify the maximum levels of personal health-care access and quality achieved across the development spectrum, and pinpoint geographies where gaps between observed and potential levels have narrowed or widened over time.\n\nFindings\nBetween 1990 and 2015, nearly all countries and territories saw their HAQ Index values improve; nonetheless, the difference between the highest and lowest observed HAQ Index was larger in 2015 than in 1990, ranging from 28·6 to 94·6. Of 195 geographies, 167 had statistically significant increases in HAQ Index levels since 1990, with South Korea, Turkey, Peru, China, and the Maldives recording among the largest gains by 2015. Performance on the HAQ Index and individual causes showed distinct patterns by region and level of development, yet substantial heterogeneities emerged for several causes, including cancers in highest-SDI countries; chronic kidney disease, diabetes, diarrhoeal diseases, and lower respiratory infections among middle-SDI countries; and measles and tetanus among lowest-SDI countries. While the global HAQ Index average rose from 40·7 (95% uncertainty interval, 39·0–42·8) in 1990 to 53·7 (52·2–55·4) in 2015, far less progress occurred in narrowing the gap between observed HAQ Index values and maximum levels achieved; at the global level, the difference between the observed and frontier HAQ Index only decreased from 21·2 in 1990 to 20·1 in 2015. If every country and territory had achieved the highest observed HAQ Index by their corresponding level of SDI, the global average would have been 73·8 in 2015. Several countries, particularly in eastern and western sub-Saharan Africa, reached HAQ Index values similar to or beyond their development levels, whereas others, namely in southern sub-Saharan Africa, the Middle East, and south Asia, lagged behind what geographies of similar development attained between 1990 and 2015.\n\nInterpretation\nThis novel extension of the GBD Study shows the untapped potential for personal health-care access and quality improvement across the development spectrum. Amid substantive advances in personal health care at the national level, heterogeneous patterns for individual causes in given countries or territories suggest that few places have consistently achieved optimal health-care access and quality across health-system functions and therapeutic areas. This is especially evident in middle-SDI countries, many of which have recently undergone or are currently experiencing epidemiological transitions. The HAQ Index, if paired with other measures of health-system characteristics such as intervention coverage, could provide a robust avenue for tracking progress on universal health coverage and identifying local priorities for strengthening personal health-care quality and access throughout the world.\n\nFunding\nBill &amp; Melinda Gates Foundation.","container-title":"Lancet (London, England)","DOI":"10.1016/S0140-6736(17)30818-8","ISSN":"0140-6736","issue":"10091","journalAbbreviation":"Lancet","note":"PMID: 28528753\nPMCID: PMC5528124","page":"231-266","source":"PubMed Central","title":"Healthcare Access and Quality Index based on mortality from causes amenable to personal health care in 195 countries and territories, 1990–2015: a novel analysis from the Global Burden of Disease Study 2015","title-short":"Healthcare Access and Quality Index based on mortality from causes amenable to personal health care in 195 countries and territories, 1990–2015","volume":"390","author":[{"literal":"GBD 2015 Healthcare Access and Quality Collaborators"}],"issued":{"date-parts":[["2017",7,15]]}},"label":"page"}],"schema":"https://github.com/citation-style-language/schema/raw/master/csl-citation.json"} </w:instrText>
      </w:r>
      <w:r>
        <w:fldChar w:fldCharType="separate"/>
      </w:r>
      <w:r w:rsidR="00BB7651" w:rsidRPr="00BB7651">
        <w:rPr>
          <w:rFonts w:cs="Times New Roman"/>
          <w:szCs w:val="24"/>
          <w:vertAlign w:val="superscript"/>
        </w:rPr>
        <w:t>47,48</w:t>
      </w:r>
      <w:r>
        <w:fldChar w:fldCharType="end"/>
      </w:r>
      <w:r>
        <w:t xml:space="preserve"> Several locations still lack the needed financing, governance, and political commitment to improve rates of enteric infections.</w:t>
      </w:r>
      <w:r>
        <w:fldChar w:fldCharType="begin"/>
      </w:r>
      <w:r w:rsidR="00BB7651">
        <w:instrText xml:space="preserve"> ADDIN ZOTERO_ITEM CSL_CITATION {"citationID":"8omgn5MQ","properties":{"formattedCitation":"\\super 49\\nosupersub{}","plainCitation":"49","noteIndex":0},"citationItems":[{"id":127818,"uris":["http://zotero.org/groups/2154524/items/EJEUEYQC"],"itemData":{"id":127818,"type":"webpage","abstract":"Our team's primary focus is to advance the development of safe, affordable, and effective vaccines for the leading causes of diarrheal and enteric diseases.","container-title":"Bill &amp; Melinda Gates Foundation","language":"en","title":"Enteric and Diarrheal Diseases","URL":"https://www.gatesfoundation.org/our-work/programs/global-health/enteric-and-diarrheal-diseases","author":[{"literal":"Gates Foundation"}],"accessed":{"date-parts":[["2023",10,26]]}}}],"schema":"https://github.com/citation-style-language/schema/raw/master/csl-citation.json"} </w:instrText>
      </w:r>
      <w:r>
        <w:fldChar w:fldCharType="separate"/>
      </w:r>
      <w:r w:rsidR="00BB7651" w:rsidRPr="00BB7651">
        <w:rPr>
          <w:rFonts w:cs="Times New Roman"/>
          <w:szCs w:val="24"/>
          <w:vertAlign w:val="superscript"/>
        </w:rPr>
        <w:t>49</w:t>
      </w:r>
      <w:r>
        <w:fldChar w:fldCharType="end"/>
      </w:r>
      <w:r>
        <w:t xml:space="preserve"> To accelerate progress in reducing enteric disease mortality, it will be especially important to strengthen and expand routine and </w:t>
      </w:r>
      <w:r>
        <w:lastRenderedPageBreak/>
        <w:t>catch-up immunisation programmes. This includes building on the global success of the rotavirus roll-out</w:t>
      </w:r>
      <w:r>
        <w:fldChar w:fldCharType="begin"/>
      </w:r>
      <w:r w:rsidR="00BB7651">
        <w:instrText xml:space="preserve"> ADDIN ZOTERO_ITEM CSL_CITATION {"citationID":"LvIXKFpe","properties":{"formattedCitation":"\\super 50\\nosupersub{}","plainCitation":"50","noteIndex":0},"citationItems":[{"id":128299,"uris":["http://zotero.org/groups/2154524/items/RHMGQUNI"],"itemData":{"id":128299,"type":"article-journal","abstract":"This analysis of data from the Global Burden of Disease Study examines the extent of rotavirus infection and associated deaths among children younger than 5 years worldwide and whether the rotavirus vaccine has reduced the diarrhea-associated mortality.","container-title":"JAMA Pediatrics","DOI":"10.1001/jamapediatrics.2018.1960","ISSN":"2168-6203","issue":"10","journalAbbreviation":"JAMA Pediatr","note":"PMID: 30105384\nPMCID: PMC6233802","page":"958-965","source":"PubMed Central","title":"Rotavirus vaccination and the global burden of rotavirus diarrhea among children younger than 5 years","volume":"172","author":[{"family":"Troeger","given":"Christopher"},{"family":"Khalil","given":"Ibrahim A."},{"family":"Rao","given":"Puja C."},{"family":"Cao","given":"Shujin"},{"family":"Blacker","given":"Brigette F."},{"family":"Ahmed","given":"Tahmeed"},{"family":"Armah","given":"George"},{"family":"Bines","given":"Julie E."},{"family":"Brewer","given":"Thomas G."},{"family":"Colombara","given":"Danny V."},{"family":"Kang","given":"Gagandeep"},{"family":"Kirkpatrick","given":"Beth D."},{"family":"Kirkwood","given":"Carl D."},{"family":"Mwenda","given":"Jason M."},{"family":"Parashar","given":"Umesh D."},{"family":"Petri","given":"William A."},{"family":"Riddle","given":"Mark S."},{"family":"Steele","given":"A. Duncan"},{"family":"Thompson","given":"Robert L."},{"family":"Walson","given":"Judd L."},{"family":"Sanders","given":"John W."},{"family":"Mokdad","given":"Ali H."},{"family":"Murray","given":"Christopher J. L."},{"family":"Hay","given":"Simon I."},{"family":"Reiner","given":"Robert C."}],"issued":{"date-parts":[["2018",10]]}}}],"schema":"https://github.com/citation-style-language/schema/raw/master/csl-citation.json"} </w:instrText>
      </w:r>
      <w:r>
        <w:fldChar w:fldCharType="separate"/>
      </w:r>
      <w:r w:rsidR="00BB7651" w:rsidRPr="00BB7651">
        <w:rPr>
          <w:rFonts w:cs="Times New Roman"/>
          <w:szCs w:val="24"/>
          <w:vertAlign w:val="superscript"/>
        </w:rPr>
        <w:t>50</w:t>
      </w:r>
      <w:r>
        <w:fldChar w:fldCharType="end"/>
      </w:r>
      <w:r>
        <w:t xml:space="preserve"> and countering disruptions in childhood immunisation during the pandemic.</w:t>
      </w:r>
      <w:r>
        <w:fldChar w:fldCharType="begin"/>
      </w:r>
      <w:r w:rsidR="00BB7651">
        <w:instrText xml:space="preserve"> ADDIN ZOTERO_ITEM CSL_CITATION {"citationID":"LKVm8cU9","properties":{"formattedCitation":"\\super 51\\nosupersub{}","plainCitation":"51","noteIndex":0},"citationItems":[{"id":127981,"uris":["http://zotero.org/groups/2154524/items/QA6PRS7F"],"itemData":{"id":127981,"type":"article-journal","container-title":"The Lancet","DOI":"10.1016/S0140-6736(21)01337-4","ISSN":"0140-6736, 1474-547X","issue":"10299","journalAbbreviation":"The Lancet","language":"English","note":"publisher: Elsevier\nPMID: 34273292","page":"522-534","source":"www.thelancet.com","title":"Estimating global and regional disruptions to routine childhood vaccine coverage during the COVID-19 pandemic in 2020: a modelling study","title-short":"Estimating global and regional disruptions to routine childhood vaccine coverage during the COVID-19 pandemic in 2020","volume":"398","author":[{"family":"Causey","given":"Kate"},{"family":"Fullman","given":"Nancy"},{"family":"Sorensen","given":"Reed J. D."},{"family":"Galles","given":"Natalie C."},{"family":"Zheng","given":"Peng"},{"family":"Aravkin","given":"Aleksandr"},{"family":"Danovaro-Holliday","given":"M. Carolina"},{"family":"Martinez-Piedra","given":"Ramon"},{"family":"Sodha","given":"Samir V."},{"family":"Velandia-González","given":"Martha Patricia"},{"family":"Gacic-Dobo","given":"Marta"},{"family":"Castro","given":"Emma"},{"family":"He","given":"Jiawei"},{"family":"Schipp","given":"Megan"},{"family":"Deen","given":"Amanda"},{"family":"Hay","given":"Simon I."},{"family":"Lim","given":"Stephen S."},{"family":"Mosser","given":"Jonathan F."}],"issued":{"date-parts":[["2021",8,7]]}}}],"schema":"https://github.com/citation-style-language/schema/raw/master/csl-citation.json"} </w:instrText>
      </w:r>
      <w:r>
        <w:fldChar w:fldCharType="separate"/>
      </w:r>
      <w:r w:rsidR="00BB7651" w:rsidRPr="00BB7651">
        <w:rPr>
          <w:rFonts w:cs="Times New Roman"/>
          <w:szCs w:val="24"/>
          <w:vertAlign w:val="superscript"/>
        </w:rPr>
        <w:t>51</w:t>
      </w:r>
      <w:r>
        <w:fldChar w:fldCharType="end"/>
      </w:r>
      <w:r>
        <w:t xml:space="preserve"> Additionally, efforts should focus on advancing candidate vaccines against enterotoxigenic </w:t>
      </w:r>
      <w:r w:rsidRPr="00A1077C">
        <w:rPr>
          <w:i/>
          <w:iCs/>
        </w:rPr>
        <w:t>E. coli</w:t>
      </w:r>
      <w:r>
        <w:t xml:space="preserve"> (ETEC), norovirus, and shigella.</w:t>
      </w:r>
      <w:r>
        <w:fldChar w:fldCharType="begin"/>
      </w:r>
      <w:r w:rsidR="00BB7651">
        <w:instrText xml:space="preserve"> ADDIN ZOTERO_ITEM CSL_CITATION {"citationID":"6VqcjLkO","properties":{"formattedCitation":"\\super 51\\uc0\\u8211{}55\\nosupersub{}","plainCitation":"51–55","noteIndex":0},"citationItems":[{"id":127981,"uris":["http://zotero.org/groups/2154524/items/QA6PRS7F"],"itemData":{"id":127981,"type":"article-journal","container-title":"The Lancet","DOI":"10.1016/S0140-6736(21)01337-4","ISSN":"0140-6736, 1474-547X","issue":"10299","journalAbbreviation":"The Lancet","language":"English","note":"publisher: Elsevier\nPMID: 34273292","page":"522-534","source":"www.thelancet.com","title":"Estimating global and regional disruptions to routine childhood vaccine coverage during the COVID-19 pandemic in 2020: a modelling study","title-short":"Estimating global and regional disruptions to routine childhood vaccine coverage during the COVID-19 pandemic in 2020","volume":"398","author":[{"family":"Causey","given":"Kate"},{"family":"Fullman","given":"Nancy"},{"family":"Sorensen","given":"Reed J. D."},{"family":"Galles","given":"Natalie C."},{"family":"Zheng","given":"Peng"},{"family":"Aravkin","given":"Aleksandr"},{"family":"Danovaro-Holliday","given":"M. Carolina"},{"family":"Martinez-Piedra","given":"Ramon"},{"family":"Sodha","given":"Samir V."},{"family":"Velandia-González","given":"Martha Patricia"},{"family":"Gacic-Dobo","given":"Marta"},{"family":"Castro","given":"Emma"},{"family":"He","given":"Jiawei"},{"family":"Schipp","given":"Megan"},{"family":"Deen","given":"Amanda"},{"family":"Hay","given":"Simon I."},{"family":"Lim","given":"Stephen S."},{"family":"Mosser","given":"Jonathan F."}],"issued":{"date-parts":[["2021",8,7]]}},"label":"page"},{"id":128169,"uris":["http://zotero.org/groups/2154524/items/9SW7T56Z"],"itemData":{"id":128169,"type":"article-journal","abstract":"During the COVID-19 pandemic, a reduction in vaccination coverage of children and adolescents was observed in several countries. The aim of this study was to assess the impact of the pandemic, in the first two years, on human rotavirus vaccine (HRV) coverage in Brazil compared with previous years. The number of doses of HRV administered in the period from January 2015 to December 2021 and its annual vaccination coverage were analyzed. The vaccination coverage decreased to 77.3% in 2020 and to 70.4% in 2021, substantially lower than the minimum that would be expected (89.2%); the decline was more pronounced in the second year of the pandemic despite the fact that in this period, the circulation restrictions were already less tight. Of the five Brazilian macro-regions, the northeast had the largest decline, and the south had the smallest impact on coverage. At the municipal level, less than half of the Brazilian municipalities managed to achieve vaccination coverage above 90% in either pandemic year. Although there was already a downward trend in coverage in the pre-pandemic years, the present study shows that the values recorded in 2020 and 2021 were significantly lower. Monitoring of vaccination coverage in the coming years should be carried out continuously in order to avoid a possible resurgence of rotavirus-induced diarrhea.","container-title":"Viruses","DOI":"10.3390/v15020292","ISSN":"1999-4915","issue":"2","language":"en","license":"http://creativecommons.org/licenses/by/3.0/","note":"number: 2\npublisher: Multidisciplinary Digital Publishing Institute","page":"292","source":"www.mdpi.com","title":"Change in rotavirus vaccine coverage in Brazil from before (2015–2019) through the COVID-19 pandemic period (2020–2021)","volume":"15","author":[{"family":"Barros","given":"Larissa Lima"},{"family":"Barros","given":"Luana Lima"},{"family":"Carmo","given":"Rodrigo Feliciano","non-dropping-particle":"do"},{"family":"Santos","given":"Márcio Bezerra"},{"family":"Costa Armstrong","given":"Anderson","non-dropping-particle":"da"},{"family":"Vasconcelos","given":"Rebeca Araújo","non-dropping-particle":"de"},{"family":"Souza","given":"Carlos Dornels Freire","non-dropping-particle":"de"}],"issued":{"date-parts":[["2023",2]]}},"label":"page"},{"id":128168,"uris":["http://zotero.org/groups/2154524/items/8XWMU3YF"],"itemData":{"id":128168,"type":"article-journal","abstract":"The COVID-19 pandemic has affected routine vaccine delivery in the US and globally. The magnitude of these disruptions and their association with childhood vaccination coverage are unclear.To compare trends in pediatric vaccination before and during the pandemic and to evaluate the proportion of children up to date (UTD) with vaccinations by age, race, and ethnicity.This surveillance study used a prepandemic-postpandemic control design with data from 8 health systems in California, Oregon, Washington, Colorado, Minnesota, and Wisconsin in the Vaccine Safety Datalink. Children from age groups younger than 24 months and 4 to 6, 11 to 13, and 16 to 18 years were included if they had at least 1 week of health system enrollment from January 5, 2020, through October 3, 2020, over periods before the US COVID-19 pandemic (January 5, 2020, through March 14, 2020), during age-limited preventive care (March 15, 2020, through May 16, 2020), and during expanded primary care (May 17, 2020, through October 3, 2020). These individuals were compared with those enrolled during analogous weeks in 2019.This study evaluated UTD status among children reaching specific ages in February, May, and September 2020, compared with those reaching these ages in 2019.Weekly vaccination rates for routine age-specific vaccines and the proportion of children UTD for all age-specific recommended vaccines.Of 1 399 708 children in 2019 and 1 402 227 in 2020, 1 371 718 were female (49.0%) and 1 429 979 were male (51.0%); 334 216 Asian individuals (11.9%), 900 226 were Hispanic individuals (32.1%), and 201 619 non-Hispanic Black individuals (7.2%). Compared with the prepandemic period and 2019, the age-limited preventive care period was associated with lower weekly vaccination rates, with ratios of rate ratios of 0.82 (95% CI, 0.80-0.85) among those younger than 24 months, 0.18 (95% CI, 0.16-0.20) among those aged 4 to 6 years, 0.16 (95% CI, 0.14-0.17) among those aged 11 to 13 years, and 0.10 (95% CI, 0.08-0.13) among those aged 16 to 18 years. Vaccination rates during expanded primary care remained lower for most ages (ratios of rate ratios: &amp;lt;24 months, 0.96 [95% CI, 0.93-0.98]; 11-13 years, 0.81 [95% CI, 0.76-0.86]; 16-18 years, 0.57 [95% CI, 0.51-0.63]). In September 2020, 74% (95% CI, 73%-76%) of infants aged 7 months and 57% (95% CI, 56%-58%) of infants aged 18 months were UTD vs 81% (95% CI, 80%-82%) and 61% (95% CI, 60%-62%), respectively, in September 2019. The proportion UTD was lowest in non-Hispanic Black children across most age groups, both during and prior to the COVID-19 pandemic (eg, in May 2019, 70% [95% CI, 64%-75%] of non-Hispanic Black infants aged 7 months were UTD vs 82% [95% CI, 81%-83%] in all infants aged 7 months combined).As of September 2020, childhood vaccination rates and the proportion who were UTD remained lower than 2019 levels. Interventions are needed to promote catch-up vaccination, particularly in populations at risk for underimmunization.","container-title":"JAMA Pediatrics","DOI":"10.1001/jamapediatrics.2021.4251","ISSN":"2168-6203","issue":"1","journalAbbreviation":"JAMA Pediatrics","page":"68-77","source":"Silverchair","title":"Association of the COVID-19 pandemic with routine childhood vaccination rates and proportion up to date with vaccinations across 8 US health systems in the Vaccine Safety Datalink","volume":"176","author":[{"family":"DeSilva","given":"Malini B."},{"family":"Haapala","given":"Jacob"},{"family":"Vazquez-Benitez","given":"Gabriela"},{"family":"Daley","given":"Matthew F."},{"family":"Nordin","given":"James D."},{"family":"Klein","given":"Nicola P."},{"family":"Henninger","given":"Michelle L."},{"family":"Williams","given":"Joshua T. B."},{"family":"Hambidge","given":"Simon J."},{"family":"Jackson","given":"Michael L."},{"family":"Donahue","given":"James G."},{"family":"Qian","given":"Lei"},{"family":"Lindley","given":"Megan C."},{"family":"Gee","given":"Julianne"},{"family":"Weintraub","given":"Eric S."},{"family":"Kharbanda","given":"Elyse O."}],"issued":{"date-parts":[["2022",1,1]]}},"label":"page"},{"id":128271,"uris":["http://zotero.org/groups/2154524/items/IAVDNE57"],"itemData":{"id":128271,"type":"document","abstract":"Vaccine-preventable Diseases","language":"en","title":"Vaccine-preventable diseases","URL":"https://www.who.int/teams/immunization-vaccines-and-biologicals/diseases","author":[{"literal":"WHO"}],"accessed":{"date-parts":[["2023",11,12]]},"issued":{"date-parts":[["2023"]]}},"label":"page"},{"id":128269,"uris":["http://zotero.org/groups/2154524/items/BSDMS2MG"],"itemData":{"id":128269,"type":"report","abstract":"This document serves as the joint strategic description of this coordinated effort by WHO, UNICEF, and Gavi, the Vaccine Alliance, along with the Immunization Agenda 2030 (IA2030) Partnership, to support countries to plan and implement intensified efforts to bolster immunization programmes in 2023 and beyond.","language":"en","title":"The big catch-up: an essential immunization recovery plan for 2023 and beyond","title-short":"The Big Catch-Up","URL":"https://www.who.int/publications-detail-redirect/9789240075511","author":[{"literal":"WHO"}],"accessed":{"date-parts":[["2023",11,12]]},"issued":{"date-parts":[["2023",7,26]]}},"label":"page"}],"schema":"https://github.com/citation-style-language/schema/raw/master/csl-citation.json"} </w:instrText>
      </w:r>
      <w:r>
        <w:fldChar w:fldCharType="separate"/>
      </w:r>
      <w:r w:rsidR="00BB7651" w:rsidRPr="00BB7651">
        <w:rPr>
          <w:rFonts w:cs="Times New Roman"/>
          <w:szCs w:val="24"/>
          <w:vertAlign w:val="superscript"/>
        </w:rPr>
        <w:t>51–55</w:t>
      </w:r>
      <w:r>
        <w:fldChar w:fldCharType="end"/>
      </w:r>
    </w:p>
    <w:p w14:paraId="6C5A7E03" w14:textId="4AA9F703" w:rsidR="204A7097" w:rsidRPr="00C21BE9" w:rsidRDefault="00BE13F1" w:rsidP="13780C91">
      <w:pPr>
        <w:spacing w:line="360" w:lineRule="auto"/>
      </w:pPr>
      <w:r>
        <w:rPr>
          <w:rFonts w:eastAsiaTheme="minorEastAsia"/>
        </w:rPr>
        <w:t>Our study also f</w:t>
      </w:r>
      <w:r w:rsidR="002C29CA">
        <w:rPr>
          <w:rFonts w:eastAsiaTheme="minorEastAsia"/>
        </w:rPr>
        <w:t>ound</w:t>
      </w:r>
      <w:r>
        <w:rPr>
          <w:rFonts w:eastAsiaTheme="minorEastAsia"/>
        </w:rPr>
        <w:t xml:space="preserve"> t</w:t>
      </w:r>
      <w:r w:rsidR="69BD47CB" w:rsidRPr="21BAEDE8">
        <w:rPr>
          <w:rFonts w:eastAsiaTheme="minorEastAsia"/>
        </w:rPr>
        <w:t>hat</w:t>
      </w:r>
      <w:r w:rsidR="69CA0CAE" w:rsidRPr="21BAEDE8">
        <w:rPr>
          <w:rFonts w:eastAsiaTheme="minorEastAsia"/>
        </w:rPr>
        <w:t xml:space="preserve"> </w:t>
      </w:r>
      <w:r w:rsidR="734BAB3A" w:rsidRPr="21BAEDE8">
        <w:rPr>
          <w:rFonts w:eastAsiaTheme="minorEastAsia"/>
        </w:rPr>
        <w:t xml:space="preserve">some </w:t>
      </w:r>
      <w:r w:rsidR="69CA0CAE" w:rsidRPr="21BAEDE8">
        <w:rPr>
          <w:rFonts w:eastAsiaTheme="minorEastAsia"/>
        </w:rPr>
        <w:t>vaccine preventable diseases, such as measles</w:t>
      </w:r>
      <w:r w:rsidR="0D328B20" w:rsidRPr="21BAEDE8">
        <w:rPr>
          <w:rFonts w:eastAsiaTheme="minorEastAsia"/>
        </w:rPr>
        <w:t>,</w:t>
      </w:r>
      <w:r w:rsidR="69CA0CAE" w:rsidRPr="21BAEDE8">
        <w:rPr>
          <w:rFonts w:eastAsiaTheme="minorEastAsia"/>
        </w:rPr>
        <w:t xml:space="preserve"> have shown widespread decreases in mortality rates</w:t>
      </w:r>
      <w:r w:rsidR="6D1D963C" w:rsidRPr="13780C91">
        <w:rPr>
          <w:rFonts w:eastAsiaTheme="minorEastAsia"/>
        </w:rPr>
        <w:t xml:space="preserve"> and </w:t>
      </w:r>
      <w:r w:rsidR="7B29A2F1" w:rsidRPr="76A38651">
        <w:rPr>
          <w:rFonts w:eastAsiaTheme="minorEastAsia"/>
        </w:rPr>
        <w:t>w</w:t>
      </w:r>
      <w:r w:rsidR="2C4C1603" w:rsidRPr="76A38651">
        <w:rPr>
          <w:rFonts w:eastAsiaTheme="minorEastAsia"/>
        </w:rPr>
        <w:t>ere</w:t>
      </w:r>
      <w:r w:rsidR="6D1D963C" w:rsidRPr="13780C91">
        <w:rPr>
          <w:rFonts w:eastAsiaTheme="minorEastAsia"/>
        </w:rPr>
        <w:t xml:space="preserve"> geographically concentrated</w:t>
      </w:r>
      <w:r w:rsidR="6BA41D97" w:rsidRPr="13780C91">
        <w:rPr>
          <w:rFonts w:eastAsiaTheme="minorEastAsia"/>
        </w:rPr>
        <w:t>.</w:t>
      </w:r>
      <w:r w:rsidR="5A8C03F2" w:rsidRPr="13780C91">
        <w:rPr>
          <w:rFonts w:eastAsia="Times New Roman" w:cs="Times New Roman"/>
          <w:color w:val="000000" w:themeColor="text1"/>
        </w:rPr>
        <w:t xml:space="preserve"> 90% of measles deaths were concentrated in locations containing only 15% of the </w:t>
      </w:r>
      <w:r w:rsidR="001F5E98">
        <w:rPr>
          <w:rFonts w:eastAsia="Times New Roman" w:cs="Times New Roman"/>
          <w:color w:val="000000" w:themeColor="text1"/>
        </w:rPr>
        <w:t>global</w:t>
      </w:r>
      <w:r w:rsidR="001F5E98" w:rsidRPr="13780C91">
        <w:rPr>
          <w:rFonts w:eastAsia="Times New Roman" w:cs="Times New Roman"/>
          <w:color w:val="000000" w:themeColor="text1"/>
        </w:rPr>
        <w:t xml:space="preserve"> </w:t>
      </w:r>
      <w:r w:rsidR="5A8C03F2" w:rsidRPr="13780C91">
        <w:rPr>
          <w:rFonts w:eastAsia="Times New Roman" w:cs="Times New Roman"/>
          <w:color w:val="000000" w:themeColor="text1"/>
        </w:rPr>
        <w:t>population and 24% of the under-5 population in 2021</w:t>
      </w:r>
      <w:r w:rsidR="762B19B6" w:rsidRPr="13780C91">
        <w:rPr>
          <w:rFonts w:eastAsia="Times New Roman" w:cs="Times New Roman"/>
          <w:color w:val="000000" w:themeColor="text1"/>
        </w:rPr>
        <w:t>.</w:t>
      </w:r>
      <w:r w:rsidR="0C1692D8">
        <w:t xml:space="preserve"> </w:t>
      </w:r>
      <w:r w:rsidR="001F5E98">
        <w:t>Under-</w:t>
      </w:r>
      <w:r w:rsidR="0C1692D8">
        <w:t>5</w:t>
      </w:r>
      <w:r w:rsidR="1E23D197">
        <w:t xml:space="preserve"> </w:t>
      </w:r>
      <w:r w:rsidR="2958F810">
        <w:t>d</w:t>
      </w:r>
      <w:r w:rsidR="1E23D197">
        <w:t xml:space="preserve">eaths from </w:t>
      </w:r>
      <w:r w:rsidR="1E23D197" w:rsidRPr="76A38651">
        <w:rPr>
          <w:rFonts w:eastAsiaTheme="minorEastAsia"/>
        </w:rPr>
        <w:t>measles</w:t>
      </w:r>
      <w:r w:rsidR="1E23D197">
        <w:t xml:space="preserve"> are now concentrated within </w:t>
      </w:r>
      <w:r w:rsidR="79AA5F58">
        <w:t>western and eastern sub-</w:t>
      </w:r>
      <w:r w:rsidR="00CA5678">
        <w:t>Saharan</w:t>
      </w:r>
      <w:r w:rsidR="79AA5F58">
        <w:t xml:space="preserve"> Africa</w:t>
      </w:r>
      <w:r w:rsidR="1E23D197">
        <w:t>.</w:t>
      </w:r>
      <w:r w:rsidR="1E23D197" w:rsidRPr="13780C91">
        <w:rPr>
          <w:rFonts w:eastAsia="Times New Roman" w:cs="Times New Roman"/>
          <w:color w:val="000000" w:themeColor="text1"/>
        </w:rPr>
        <w:t xml:space="preserve"> </w:t>
      </w:r>
      <w:r w:rsidR="00EB727E" w:rsidRPr="00721B0A">
        <w:rPr>
          <w:rFonts w:eastAsiaTheme="minorEastAsia"/>
        </w:rPr>
        <w:t>While multiple factors contribute to decreases in infectious disease burden, improvements in measles mortality have largely been attributable to the global availability of a safe and effective vaccine against measles, producing life-long immunity with two-dose efficacy exceeding 95%</w:t>
      </w:r>
      <w:r w:rsidR="005F3866">
        <w:rPr>
          <w:rFonts w:eastAsiaTheme="minorEastAsia"/>
        </w:rPr>
        <w:t>.</w:t>
      </w:r>
      <w:r w:rsidR="204A7097" w:rsidRPr="21BAEDE8">
        <w:rPr>
          <w:rFonts w:eastAsiaTheme="minorEastAsia"/>
        </w:rPr>
        <w:fldChar w:fldCharType="begin"/>
      </w:r>
      <w:r w:rsidR="00BB7651">
        <w:rPr>
          <w:rFonts w:eastAsiaTheme="minorEastAsia"/>
        </w:rPr>
        <w:instrText xml:space="preserve"> ADDIN ZOTERO_ITEM CSL_CITATION {"citationID":"ZPBBPFgQ","properties":{"formattedCitation":"\\super 56\\nosupersub{}","plainCitation":"56","noteIndex":0},"citationItems":[{"id":128286,"uris":["http://zotero.org/groups/2154524/items/RWCHQM57"],"itemData":{"id":128286,"type":"book","publisher":"Plotkin's Vaccines (Eighth Edition)","title":"Chapter 38 - Measles Vaccines. Plotkin's Vaccines (Eighth Edition).","URL":"https://www.sciencedirect.com/science/article/pii/B9780323790581000384","author":[{"literal":"William J. Moss"},{"literal":"Peter M. Strebel"}],"accessed":{"date-parts":[["2023",11,12]]},"issued":{"date-parts":[["2023"]]}},"label":"page"}],"schema":"https://github.com/citation-style-language/schema/raw/master/csl-citation.json"} </w:instrText>
      </w:r>
      <w:r w:rsidR="204A7097" w:rsidRPr="21BAEDE8">
        <w:rPr>
          <w:rFonts w:eastAsiaTheme="minorEastAsia"/>
        </w:rPr>
        <w:fldChar w:fldCharType="separate"/>
      </w:r>
      <w:r w:rsidR="00BB7651" w:rsidRPr="00BB7651">
        <w:rPr>
          <w:rFonts w:cs="Times New Roman"/>
          <w:szCs w:val="24"/>
          <w:vertAlign w:val="superscript"/>
        </w:rPr>
        <w:t>56</w:t>
      </w:r>
      <w:r w:rsidR="204A7097" w:rsidRPr="21BAEDE8">
        <w:rPr>
          <w:rFonts w:eastAsiaTheme="minorEastAsia"/>
        </w:rPr>
        <w:fldChar w:fldCharType="end"/>
      </w:r>
      <w:r w:rsidR="1F3D1FA6" w:rsidRPr="21BAEDE8">
        <w:rPr>
          <w:rFonts w:eastAsiaTheme="minorEastAsia"/>
        </w:rPr>
        <w:t xml:space="preserve"> </w:t>
      </w:r>
      <w:r w:rsidR="00B22652" w:rsidRPr="00B22652">
        <w:rPr>
          <w:rFonts w:eastAsiaTheme="minorEastAsia"/>
        </w:rPr>
        <w:t>Measles incidence</w:t>
      </w:r>
      <w:r w:rsidR="1F3D1FA6" w:rsidRPr="21BAEDE8">
        <w:rPr>
          <w:rFonts w:eastAsiaTheme="minorEastAsia"/>
        </w:rPr>
        <w:t xml:space="preserve"> </w:t>
      </w:r>
      <w:r w:rsidR="00FF435C">
        <w:rPr>
          <w:rFonts w:eastAsiaTheme="minorEastAsia"/>
        </w:rPr>
        <w:t xml:space="preserve">has </w:t>
      </w:r>
      <w:r w:rsidR="00B22652" w:rsidRPr="00B22652">
        <w:rPr>
          <w:rFonts w:eastAsiaTheme="minorEastAsia"/>
        </w:rPr>
        <w:t>decreased dramatically</w:t>
      </w:r>
      <w:r w:rsidR="1F3D1FA6" w:rsidRPr="21BAEDE8">
        <w:rPr>
          <w:rFonts w:eastAsiaTheme="minorEastAsia"/>
        </w:rPr>
        <w:t xml:space="preserve"> where vaccination efforts</w:t>
      </w:r>
      <w:r w:rsidR="220F35C3" w:rsidRPr="21BAEDE8">
        <w:rPr>
          <w:rFonts w:eastAsiaTheme="minorEastAsia"/>
        </w:rPr>
        <w:t xml:space="preserve"> </w:t>
      </w:r>
      <w:r w:rsidR="1F3D1FA6" w:rsidRPr="21BAEDE8">
        <w:rPr>
          <w:rFonts w:eastAsiaTheme="minorEastAsia"/>
        </w:rPr>
        <w:t>have been successful</w:t>
      </w:r>
      <w:r w:rsidR="4CCD07B0" w:rsidRPr="21BAEDE8">
        <w:rPr>
          <w:rFonts w:eastAsiaTheme="minorEastAsia"/>
        </w:rPr>
        <w:t xml:space="preserve">, </w:t>
      </w:r>
      <w:r w:rsidR="00B22652" w:rsidRPr="00B22652">
        <w:rPr>
          <w:rFonts w:eastAsiaTheme="minorEastAsia"/>
        </w:rPr>
        <w:t>including</w:t>
      </w:r>
      <w:r w:rsidR="38FC4727" w:rsidRPr="21BAEDE8">
        <w:rPr>
          <w:rFonts w:eastAsiaTheme="minorEastAsia"/>
        </w:rPr>
        <w:t xml:space="preserve"> </w:t>
      </w:r>
      <w:r w:rsidR="4CCD07B0" w:rsidRPr="21BAEDE8">
        <w:rPr>
          <w:rFonts w:eastAsiaTheme="minorEastAsia"/>
        </w:rPr>
        <w:t>North and South America, Europe</w:t>
      </w:r>
      <w:r w:rsidR="6C1133CF" w:rsidRPr="78593232">
        <w:rPr>
          <w:rFonts w:eastAsiaTheme="minorEastAsia"/>
        </w:rPr>
        <w:t>,</w:t>
      </w:r>
      <w:r w:rsidR="4CCD07B0" w:rsidRPr="21BAEDE8">
        <w:rPr>
          <w:rFonts w:eastAsiaTheme="minorEastAsia"/>
        </w:rPr>
        <w:t xml:space="preserve"> and Australia</w:t>
      </w:r>
      <w:r w:rsidR="00B841C7">
        <w:rPr>
          <w:rFonts w:eastAsiaTheme="minorEastAsia"/>
        </w:rPr>
        <w:t>,</w:t>
      </w:r>
      <w:r w:rsidR="00A61433">
        <w:rPr>
          <w:rFonts w:eastAsiaTheme="minorEastAsia"/>
        </w:rPr>
        <w:fldChar w:fldCharType="begin"/>
      </w:r>
      <w:r w:rsidR="00BB7651">
        <w:rPr>
          <w:rFonts w:eastAsiaTheme="minorEastAsia"/>
        </w:rPr>
        <w:instrText xml:space="preserve"> ADDIN ZOTERO_ITEM CSL_CITATION {"citationID":"ZPeCjZeI","properties":{"formattedCitation":"\\super 57\\uc0\\u8211{}61\\nosupersub{}","plainCitation":"57–61","noteIndex":0},"citationItems":[{"id":128162,"uris":["http://zotero.org/groups/2154524/items/4BM7SQ9P"],"itemData":{"id":128162,"type":"webpage","abstract":"In 2016, an international expert committee reviewed the epidemiological evidence presented by the member countries of the Pan American Health Organization/World Health Organization (PAHO/WHO) and determined that the Region","language":"en-us","title":"Measles elimination in the Americas","URL":"https://www3.paho.org/hq/index.php?option=com_content&amp;view=article&amp;id=12526:measles-elimination-in-the-americas","author":[{"literal":"Pan American Health Organization / World Health Organization"}],"accessed":{"date-parts":[["2023",11,8]]},"issued":{"date-parts":[["2016",9,27]]}},"label":"page"},{"id":128167,"uris":["http://zotero.org/groups/2154524/items/VBBPSMJM"],"itemData":{"id":128167,"type":"article-journal","abstract":"Background: The World Health Organization (WHO) Western Pacific Region (WPR) Guidelines on verification of measles elimination were established in 2012. This article outlines Australia’s approach to addressing the guideline’s five lines of evidence, which led to formal verification of elimination by the WHO Regional Verification Commission (RVC) in...","container-title":"Journal of Epidemiology and Global Health","DOI":"10.1016/j.jegh.2015.12.004","ISSN":"2210-6014","issue":"3","language":"en","note":"publisher: Atlantis Press","page":"197-209","source":"www.atlantis-press.com","title":"Verification of measles elimination in Australia: Application of World Health Organization regional guidelines","title-short":"Verification of measles elimination in Australia","volume":"6","author":[{"family":"Gidding","given":"H. F."},{"family":"Martin","given":"N. V."},{"family":"Stambos","given":"V."},{"family":"Tran","given":"T."},{"family":"Dey","given":"A."},{"family":"Dowse","given":"G. K."},{"family":"Kelly","given":"H. A."},{"family":"Durrheim","given":"D. N."},{"family":"Lambert","given":"S. B."}],"issued":{"date-parts":[["2016",1,27]]}},"label":"page"},{"id":128159,"uris":["http://zotero.org/groups/2154524/items/7942GMGR"],"itemData":{"id":128159,"type":"report","abstract":"Publicaciones de la Organización Mundial de la Salud","language":"en","title":"Tenth meeting of the European Regional Verification Commission for Measles and Rubella Elimination: summary of virtual sessions held on 6 October 2021, 2 November 2021, 8 December 2021 and 16 February 2022","title-short":"Tenth meeting of the European Regional Verification Commission for Measles and Rubella Elimination","URL":"https://www.who.int/europe/publications/i/item/WHO-EURO-2022-6093-45858-66035","author":[{"literal":"WHO"}],"accessed":{"date-parts":[["2023",11,8]]}},"label":"page"},{"id":128250,"uris":["http://zotero.org/groups/2154524/items/FA73MLLS"],"itemData":{"id":128250,"type":"article-journal","abstract":"The safe, highly effective measles vaccine has been recommended globally since 1974, yet in 2017 there were more than 17 million cases of measles and 83,400 deaths in children under 5 years old, and more than 99% of both occurred in low- and middle-income countries (LMICs)1–4. Globally comparable, annual, local estimates of routine first-dose measles-containing vaccine (MCV1) coverage are critical for understanding geographically precise immunity patterns, progress towards the targets of the Global Vaccine Action Plan (GVAP), and high-risk areas amid disruptions to vaccination programmes caused by coronavirus disease 2019 (COVID-19)5–8. Here we generated annual estimates of routine childhood MCV1 coverage at 5 × 5-km2 pixel and second administrative levels from 2000 to 2019 in 101 LMICs, quantified geographical inequality and assessed vaccination status by geographical remoteness. After widespread MCV1 gains from 2000 to 2010, coverage regressed in more than half of the districts between 2010 and 2019, leaving many LMICs far from the GVAP goal of 80% coverage in all districts by 2019. MCV1 coverage was lower in rural than in urban locations, although a larger proportion of unvaccinated children overall lived in urban locations; strategies to provide essential vaccination services should address both geographical contexts. These results provide a tool for decision-makers to strengthen routine MCV1 immunization programmes and provide equitable disease protection for all children.","container-title":"Nature","DOI":"10.1038/s41586-020-03043-4","ISSN":"1476-4687","issue":"7842","language":"en","license":"2020 The Author(s)","note":"number: 7842\npublisher: Nature Publishing Group","page":"415-419","source":"www.nature.com","title":"Mapping routine measles vaccination in low- and middle-income countries","volume":"589","author":[{"family":"Sbarra","given":"Alyssa N."},{"family":"Rolfe","given":"Sam"},{"family":"Nguyen","given":"Jason Q."},{"family":"Earl","given":"Lucas"},{"family":"Galles","given":"Natalie C."},{"family":"Marks","given":"Ashley"},{"family":"Abbas","given":"Kaja M."},{"family":"Abbasi-Kangevari","given":"Mohsen"},{"family":"Abbastabar","given":"Hedayat"},{"family":"Abd-Allah","given":"Foad"},{"family":"Abdelalim","given":"Ahmed"},{"family":"Abdollahi","given":"Mohammad"},{"family":"Abegaz","given":"Kedir Hussein"},{"family":"Abiy","given":"Hailemariam Abiy Alemu"},{"family":"Abolhassani","given":"Hassan"},{"family":"Abreu","given":"Lucas Guimarães"},{"family":"Abrigo","given":"Michael R. M."},{"family":"Abushouk","given":"Abdelrahman I."},{"family":"Accrombessi","given":"Manfred Mario Kokou"},{"family":"Adabi","given":"Maryam"},{"family":"Adebayo","given":"Oladimeji M."},{"family":"Adekanmbi","given":"Victor"},{"family":"Adetokunboh","given":"Olatunji O."},{"family":"Adham","given":"Davoud"},{"family":"Afarideh","given":"Mohsen"},{"family":"Aghaali","given":"Mohammad"},{"family":"Ahmad","given":"Tauseef"},{"family":"Ahmadi","given":"Raman"},{"family":"Ahmadi","given":"Keivan"},{"family":"Ahmed","given":"Muktar Beshir"},{"family":"Alanezi","given":"Fahad Mashhour"},{"family":"Alanzi","given":"Turki M."},{"family":"Alcalde-Rabanal","given":"Jacqueline Elizabeth"},{"family":"Alemnew","given":"Birhan Tamene"},{"family":"Ali","given":"Beriwan Abdulqadir"},{"family":"Ali","given":"Muhammad"},{"family":"Alijanzadeh","given":"Mehran"},{"family":"Alinia","given":"Cyrus"},{"family":"Alipoor","given":"Reza"},{"family":"Alipour","given":"Vahid"},{"family":"Alizade","given":"Hesam"},{"family":"Aljunid","given":"Syed Mohamed"},{"family":"Almasi","given":"Ali"},{"family":"Almasi-Hashiani","given":"Amir"},{"family":"Al-Mekhlafi","given":"Hesham M."},{"family":"Altirkawi","given":"Khalid A."},{"family":"Amare","given":"Bekalu"},{"family":"Amini","given":"Saeed"},{"family":"Amini-Rarani","given":"Mostafa"},{"family":"Amiri","given":"Fatemeh"},{"family":"Amit","given":"Arianna Maever L."},{"family":"Amugsi","given":"Dickson A."},{"family":"Ancuceanu","given":"Robert"},{"family":"Andrei","given":"Catalina Liliana"},{"family":"Anjomshoa","given":"Mina"},{"family":"Ansari","given":"Fereshteh"},{"family":"Ansari-Moghaddam","given":"Alireza"},{"family":"Ansha","given":"Mustafa Geleto"},{"family":"Antonio","given":"Carl Abelardo T."},{"family":"Antriyandarti","given":"Ernoiz"},{"family":"Anvari","given":"Davood"},{"family":"Arabloo","given":"Jalal"},{"family":"Arab-Zozani","given":"Morteza"},{"family":"Aremu","given":"Olatunde"},{"family":"Armoon","given":"Bahram"},{"family":"Aryal","given":"Krishna K."},{"family":"Arzani","given":"Afsaneh"},{"family":"Asadi-Aliabadi","given":"Mehran"},{"family":"Asgari","given":"Samaneh"},{"family":"Atafar","given":"Zahra"},{"family":"Ausloos","given":"Marcel"},{"family":"Awoke","given":"Nefsu"},{"family":"Quintanilla","given":"Beatriz Paulina Ayala"},{"family":"Ayanore","given":"Martin Amogre"},{"family":"Aynalem","given":"Yared Asmare"},{"family":"Azadmehr","given":"Abbas"},{"family":"Azari","given":"Samad"},{"family":"Babaee","given":"Ebrahim"},{"family":"Badawi","given":"Alaa"},{"family":"Badiye","given":"Ashish D."},{"family":"Bahrami","given":"Mohammad Amin"},{"family":"Baig","given":"Atif Amin"},{"family":"Bakhtiari","given":"Ahad"},{"family":"Balakrishnan","given":"Senthilkumar"},{"family":"Banach","given":"Maciej"},{"family":"Banik","given":"Palash Chandra"},{"family":"Barac","given":"Aleksandra"},{"family":"Baradaran-Seyed","given":"Zahra"},{"family":"Baraki","given":"Adhanom Gebreegziabher"},{"family":"Basu","given":"Sanjay"},{"family":"Bayati","given":"Mohsen"},{"family":"Bayou","given":"Yibeltal Tebekaw"},{"family":"Bedi","given":"Neeraj"},{"family":"Behzadifar","given":"Masoud"},{"family":"Bell","given":"Michelle L."},{"family":"Berbada","given":"Dessalegn Ajema"},{"family":"Berhe","given":"Kidanemaryam"},{"family":"Bhattarai","given":"Suraj"},{"family":"Bhutta","given":"Zulfiqar A."},{"family":"Bijani","given":"Ali"},{"family":"Birhanu","given":"Minyichil"},{"family":"Bisanzio","given":"Donal"},{"family":"Biswas","given":"Atanu"},{"family":"Bohlouli","given":"Somayeh"},{"family":"Bolla","given":"Srinivasa Rao"},{"family":"Borzouei","given":"Shiva"},{"family":"Brady","given":"Oliver J."},{"family":"Bragazzi","given":"Nicola Luigi"},{"family":"Briko","given":"Andrey Nikolaevich"},{"family":"Briko","given":"Nikolay Ivanovich"},{"family":"Nagaraja","given":"Sharath Burugina"},{"family":"Butt","given":"Zahid A."},{"family":"Cámera","given":"Luis Alberto"},{"family":"Campos-Nonato","given":"Ismael R."},{"family":"Car","given":"Josip"},{"family":"Cárdenas","given":"Rosario"},{"family":"Carvalho","given":"Felix"},{"family":"Castaldelli-Maia","given":"João Maurício"},{"family":"Castro","given":"Franz"},{"family":"Chattu","given":"Vijay Kumar"},{"family":"Chehrazi","given":"Mohammad"},{"family":"Chin","given":"Ken Lee"},{"family":"Chu","given":"Dinh-Toi"},{"family":"Cook","given":"Aubrey J."},{"family":"Cormier","given":"Natalie Maria"},{"family":"Cunningham","given":"Brandon"},{"family":"Dahlawi","given":"Saad M. A."},{"family":"Damiani","given":"Giovanni"},{"family":"Dandona","given":"Rakhi"},{"family":"Dandona","given":"Lalit"},{"family":"Danovaro","given":"M. Carolina"},{"family":"Dansereau","given":"Emily"},{"family":"Daoud","given":"Farah"},{"family":"Darwesh","given":"Aso Mohammad"},{"family":"Darwish","given":"Amira Hamed"},{"family":"Das","given":"Jai K."},{"family":"Weaver","given":"Nicole Davis"},{"family":"De Neve","given":"Jan-Walter"},{"family":"Demeke","given":"Feleke Mekonnen"},{"family":"Demis","given":"Asmamaw Bizuneh"},{"family":"Denova-Gutiérrez","given":"Edgar"},{"family":"Desalew","given":"Assefa"},{"family":"Deshpande","given":"Aniruddha"},{"family":"Desta","given":"Desilu Mahari"},{"family":"Dharmaratne","given":"Samath Dhamminda"},{"family":"Dhungana","given":"Govinda Prasad"},{"family":"Dianatinasab","given":"Mostafa"},{"family":"Diaz","given":"Daniel"},{"family":"Dipeolu","given":"Isaac Oluwafemi"},{"family":"Djalalinia","given":"Shirin"},{"family":"Do","given":"Hoa Thi"},{"family":"Dorostkar","given":"Fariba"},{"family":"Doshmangir","given":"Leila"},{"family":"Doyle","given":"Kerrie E."},{"family":"Dunachie","given":"Susanna J."},{"family":"Duraes","given":"Andre Rodrigues"},{"family":"Kalan","given":"Mohammad Ebrahimi"},{"family":"Leylabadlo","given":"Hamed Ebrahimzadeh"},{"family":"Edinur","given":"Hisham Atan"},{"family":"Effiong","given":"Andem"},{"family":"Eftekhari","given":"Aziz"},{"family":"El Sayed","given":"Iman"},{"family":"El Sayed Zaki","given":"Maysaa"},{"family":"Elema","given":"Teshome Bekele"},{"family":"Elhabashy","given":"Hala Rashad"},{"family":"El-Jaafary","given":"Shaimaa I."},{"family":"Elsharkawy","given":"Aisha"},{"family":"Emamian","given":"Mohammad Hassan"},{"family":"Enany","given":"Shymaa"},{"family":"Eshrati","given":"Babak"},{"family":"Eskandari","given":"Khalil"},{"family":"Eskandarieh","given":"Sharareh"},{"family":"Esmaeilnejad","given":"Saman"},{"family":"Esmaeilzadeh","given":"Firooz"},{"family":"Esteghamati","given":"Alireza"},{"family":"Etisso","given":"Atkilt Esaiyas"},{"family":"Farahmand","given":"Mohammad"},{"family":"Faraon","given":"Emerito Jose A."},{"family":"Fareed","given":"Mohammad"},{"family":"Faridnia","given":"Roghiyeh"},{"family":"Farioli","given":"Andrea"},{"family":"Farzadfar","given":"Farshad"},{"family":"Fattahi","given":"Nazir"},{"family":"Fazlzadeh","given":"Mehdi"},{"family":"Fereshtehnejad","given":"Seyed-Mohammad"},{"family":"Fernandes","given":"Eduarda"},{"family":"Filip","given":"Irina"},{"family":"Fischer","given":"Florian"},{"family":"Foigt","given":"Nataliya A."},{"family":"Folayan","given":"Morenike Oluwatoyin"},{"family":"Foroutan","given":"Masoud"},{"family":"Fukumoto","given":"Takeshi"},{"family":"Fullman","given":"Nancy"},{"family":"Gad","given":"Mohamed M."},{"family":"Geberemariyam","given":"Biniyam Sahiledengle"},{"family":"Gebrehiwot","given":"Tsegaye Tewelde"},{"family":"Gebrehiwot","given":"Abiyu Mekonnen"},{"family":"Gebremariam","given":"Kidane Tadesse"},{"family":"Gebremedhin","given":"Ketema Bizuwork"},{"family":"Gebremeskel","given":"Gebreamlak Gebremedhn"},{"family":"Gebreslassie","given":"Assefa Ayalew"},{"family":"Gedefaw","given":"Getnet Azeze"},{"family":"Gezae","given":"Kebede Embaye"},{"family":"Ghadiri","given":"Keyghobad"},{"family":"Ghaffari","given":"Reza"},{"family":"Ghaffarifar","given":"Fatemeh"},{"family":"Ghajarzadeh","given":"Mahsa"},{"family":"Gheshlagh","given":"Reza Ghanei"},{"family":"Ghashghaee","given":"Ahmad"},{"family":"Ghiasvand","given":"Hesam"},{"family":"Gholamian","given":"Asadollah"},{"family":"Gilani","given":"Syed Amir"},{"family":"Gill","given":"Paramjit Singh"},{"family":"Girmay","given":"Alem"},{"family":"Gomes","given":"Nelson G. M."},{"family":"Gopalani","given":"Sameer Vali"},{"family":"Goulart","given":"Bárbara Niegia Garcia"},{"family":"Grada","given":"Ayman"},{"family":"Guimarães","given":"Rafael Alves"},{"family":"Guo","given":"Yuming"},{"family":"Gupta","given":"Rahul"},{"family":"Hafezi-Nejad","given":"Nima"},{"family":"Haj-Mirzaian","given":"Arvin"},{"family":"Haj-Mirzaian","given":"Arya"},{"family":"Handiso","given":"Demelash Woldeyohannes"},{"family":"Hanif","given":"Asif"},{"family":"Haririan","given":"Hamidreza"},{"family":"Hasaballah","given":"Ahmed I."},{"family":"Hasan","given":"Md Mehedi"},{"family":"Hasanpoor","given":"Edris"},{"family":"Hasanzadeh","given":"Amir"},{"family":"Hassanipour","given":"Soheil"},{"family":"Hassankhani","given":"Hadi"},{"family":"Heidari-Soureshjani","given":"Reza"},{"family":"Henry","given":"Nathaniel J."},{"family":"Herteliu","given":"Claudiu"},{"family":"Heydarpour","given":"Fatemeh"},{"family":"Hollerich","given":"Gillian I."},{"family":"Rad","given":"Enayatollah Homaie"},{"family":"Hoogar","given":"Praveen"},{"family":"Hossain","given":"Naznin"},{"family":"Hosseini","given":"Mostafa"},{"family":"Hosseinzadeh","given":"Mehdi"},{"family":"Househ","given":"Mowafa"},{"family":"Hu","given":"Guoqing"},{"family":"Huda","given":"Tanvir M."},{"family":"Humayun","given":"Ayesha"},{"family":"Ibitoye","given":"Segun Emmanuel"},{"family":"Ikilezi","given":"Gloria"},{"family":"Ilesanmi","given":"Olayinka Stephen"},{"family":"Ilic","given":"Irena M."},{"family":"Ilic","given":"Milena D."},{"family":"Imani-Nasab","given":"Mohammad Hasan"},{"family":"Inbaraj","given":"Leeberk Raja"},{"family":"Iqbal","given":"Usman"},{"family":"Irvani","given":"Seyed Sina Naghibi"},{"family":"Islam","given":"Sheikh Mohammed Shariful"},{"family":"Islam","given":"M. Mofizul"},{"family":"Iwu","given":"Chinwe Juliana"},{"family":"Iwu","given":"Chidozie C. D."},{"family":"Jadidi-Niaragh","given":"Farhad"},{"family":"Jafarinia","given":"Morteza"},{"family":"Jahanmehr","given":"Nader"},{"family":"Jakovljevic","given":"Mihajlo"},{"family":"Jalali","given":"Amir"},{"family":"Jalilian","given":"Farzad"},{"family":"Javidnia","given":"Javad"},{"family":"Jenabi","given":"Ensiyeh"},{"family":"Jha","given":"Vivekanand"},{"family":"Ji","given":"John S."},{"family":"John","given":"Oommen"},{"family":"Johnson","given":"Kimberly B."},{"family":"Joukar","given":"Farahnaz"},{"family":"Jozwiak","given":"Jacek Jerzy"},{"family":"Kabir","given":"Zubair"},{"family":"Kabir","given":"Ali"},{"family":"Kalani","given":"Hamed"},{"family":"Kalankesh","given":"Leila R."},{"family":"Kalhor","given":"Rohollah"},{"family":"Kamal","given":"Zul"},{"family":"Kanchan","given":"Tanuj"},{"family":"Kapoor","given":"Neeti"},{"family":"Karami","given":"Manoochehr"},{"family":"Matin","given":"Behzad Karami"},{"family":"Karch","given":"André"},{"family":"Karimi","given":"Salah Eddin"},{"family":"Kayode","given":"Gbenga A."},{"family":"Karyani","given":"Ali Kazemi"},{"family":"Keiyoro","given":"Peter Njenga"},{"family":"Khader","given":"Yousef Saleh"},{"family":"Khafaie","given":"Morteza Abdullatif"},{"family":"Khammarnia","given":"Mohammad"},{"family":"Khan","given":"Muhammad Shahzeb"},{"family":"Khan","given":"Ejaz Ahmad"},{"family":"Khan","given":"Junaid"},{"family":"Khan","given":"Md Nuruzzaman"},{"family":"Khatab","given":"Khaled"},{"family":"Khater","given":"Mona M."},{"family":"Khatib","given":"Mahalaqua Nazli"},{"literal":"Local Burden of Disease Vaccine Coverage Collaborators"}],"issued":{"date-parts":[["2021",1]]}},"label":"page"},{"id":128287,"uris":["http://zotero.org/groups/2154524/items/HQW43Y8K"],"itemData":{"id":128287,"type":"article-journal","abstract":"This report describes worldwide progress toward regional ..","container-title":"MMWR. Morbidity and Mortality Weekly Report","DOI":"10.15585/mmwr.mm7147a1","ISSN":"0149-21951545-861X","journalAbbreviation":"MMWR Morb Mortal Wkly Rep","language":"en-us","source":"www.cdc.gov","title":"Progress toward regional measles elimination — worldwide, 2000–2021","URL":"https://www.cdc.gov/mmwr/volumes/71/wr/mm7147a1.htm","volume":"71","author":[{"family":"Minta","given":"Anna A."},{"family":"Ferrari, M.","given":""},{"family":"Antoni, S.","given":""}],"accessed":{"date-parts":[["2023",11,12]]},"issued":{"date-parts":[["2022"]]}},"label":"page"}],"schema":"https://github.com/citation-style-language/schema/raw/master/csl-citation.json"} </w:instrText>
      </w:r>
      <w:r w:rsidR="00A61433">
        <w:rPr>
          <w:rFonts w:eastAsiaTheme="minorEastAsia"/>
        </w:rPr>
        <w:fldChar w:fldCharType="separate"/>
      </w:r>
      <w:r w:rsidR="00BB7651" w:rsidRPr="00BB7651">
        <w:rPr>
          <w:rFonts w:cs="Times New Roman"/>
          <w:szCs w:val="24"/>
          <w:vertAlign w:val="superscript"/>
        </w:rPr>
        <w:t>57–61</w:t>
      </w:r>
      <w:r w:rsidR="00A61433">
        <w:rPr>
          <w:rFonts w:eastAsiaTheme="minorEastAsia"/>
        </w:rPr>
        <w:fldChar w:fldCharType="end"/>
      </w:r>
      <w:r w:rsidR="008525A7">
        <w:rPr>
          <w:rFonts w:eastAsiaTheme="minorEastAsia"/>
        </w:rPr>
        <w:t xml:space="preserve"> </w:t>
      </w:r>
      <w:r w:rsidR="00C52BF6" w:rsidRPr="00C52BF6">
        <w:rPr>
          <w:rFonts w:eastAsiaTheme="minorEastAsia"/>
        </w:rPr>
        <w:t>although, since 2016, endemic measles transmission has been re-established in ten countries that previously had achieved measles elimination.</w:t>
      </w:r>
      <w:r w:rsidR="00934C0D">
        <w:rPr>
          <w:rFonts w:eastAsiaTheme="minorEastAsia"/>
        </w:rPr>
        <w:fldChar w:fldCharType="begin"/>
      </w:r>
      <w:r w:rsidR="00BB7651">
        <w:rPr>
          <w:rFonts w:eastAsiaTheme="minorEastAsia"/>
        </w:rPr>
        <w:instrText xml:space="preserve"> ADDIN ZOTERO_ITEM CSL_CITATION {"citationID":"vMfhuGzd","properties":{"formattedCitation":"\\super 61\\nosupersub{}","plainCitation":"61","noteIndex":0},"citationItems":[{"id":128287,"uris":["http://zotero.org/groups/2154524/items/HQW43Y8K"],"itemData":{"id":128287,"type":"article-journal","abstract":"This report describes worldwide progress toward regional ..","container-title":"MMWR. Morbidity and Mortality Weekly Report","DOI":"10.15585/mmwr.mm7147a1","ISSN":"0149-21951545-861X","journalAbbreviation":"MMWR Morb Mortal Wkly Rep","language":"en-us","source":"www.cdc.gov","title":"Progress toward regional measles elimination — worldwide, 2000–2021","URL":"https://www.cdc.gov/mmwr/volumes/71/wr/mm7147a1.htm","volume":"71","author":[{"family":"Minta","given":"Anna A."},{"family":"Ferrari, M.","given":""},{"family":"Antoni, S.","given":""}],"accessed":{"date-parts":[["2023",11,12]]},"issued":{"date-parts":[["2022"]]}}}],"schema":"https://github.com/citation-style-language/schema/raw/master/csl-citation.json"} </w:instrText>
      </w:r>
      <w:r w:rsidR="00934C0D">
        <w:rPr>
          <w:rFonts w:eastAsiaTheme="minorEastAsia"/>
        </w:rPr>
        <w:fldChar w:fldCharType="separate"/>
      </w:r>
      <w:r w:rsidR="00BB7651" w:rsidRPr="00BB7651">
        <w:rPr>
          <w:rFonts w:cs="Times New Roman"/>
          <w:szCs w:val="24"/>
          <w:vertAlign w:val="superscript"/>
        </w:rPr>
        <w:t>61</w:t>
      </w:r>
      <w:r w:rsidR="00934C0D">
        <w:rPr>
          <w:rFonts w:eastAsiaTheme="minorEastAsia"/>
        </w:rPr>
        <w:fldChar w:fldCharType="end"/>
      </w:r>
      <w:r w:rsidR="0F0D2B51">
        <w:rPr>
          <w:rStyle w:val="cf01"/>
        </w:rPr>
        <w:t xml:space="preserve"> </w:t>
      </w:r>
      <w:r w:rsidR="7DA8C7F7" w:rsidRPr="431CEE8C">
        <w:rPr>
          <w:rFonts w:eastAsiaTheme="minorEastAsia"/>
        </w:rPr>
        <w:t>We found that</w:t>
      </w:r>
      <w:r w:rsidR="006C6598">
        <w:rPr>
          <w:rFonts w:eastAsiaTheme="minorEastAsia"/>
        </w:rPr>
        <w:t>,</w:t>
      </w:r>
      <w:r w:rsidR="7DA8C7F7" w:rsidRPr="431CEE8C">
        <w:rPr>
          <w:rFonts w:eastAsiaTheme="minorEastAsia"/>
        </w:rPr>
        <w:t xml:space="preserve"> </w:t>
      </w:r>
      <w:r w:rsidR="00ED5A77">
        <w:rPr>
          <w:rFonts w:eastAsiaTheme="minorEastAsia"/>
        </w:rPr>
        <w:t xml:space="preserve">as of 2021, measles </w:t>
      </w:r>
      <w:r w:rsidR="00F87C3C">
        <w:rPr>
          <w:rFonts w:eastAsiaTheme="minorEastAsia"/>
        </w:rPr>
        <w:t xml:space="preserve">mortality </w:t>
      </w:r>
      <w:r w:rsidR="00ED5A77">
        <w:rPr>
          <w:rFonts w:eastAsiaTheme="minorEastAsia"/>
        </w:rPr>
        <w:t xml:space="preserve">was concentrated in </w:t>
      </w:r>
      <w:r w:rsidR="2B59D3B5" w:rsidRPr="0028E38F">
        <w:rPr>
          <w:rFonts w:eastAsiaTheme="minorEastAsia"/>
        </w:rPr>
        <w:t>c</w:t>
      </w:r>
      <w:r w:rsidR="2C219923" w:rsidRPr="0028E38F">
        <w:rPr>
          <w:rFonts w:eastAsiaTheme="minorEastAsia"/>
        </w:rPr>
        <w:t>ountries</w:t>
      </w:r>
      <w:r w:rsidR="2C219923" w:rsidRPr="21BAEDE8">
        <w:rPr>
          <w:rFonts w:eastAsiaTheme="minorEastAsia"/>
        </w:rPr>
        <w:t xml:space="preserve"> and regions with </w:t>
      </w:r>
      <w:r w:rsidR="006A2B7E">
        <w:rPr>
          <w:rFonts w:eastAsiaTheme="minorEastAsia"/>
        </w:rPr>
        <w:t xml:space="preserve">more </w:t>
      </w:r>
      <w:r w:rsidR="2C219923" w:rsidRPr="21BAEDE8">
        <w:rPr>
          <w:rFonts w:eastAsiaTheme="minorEastAsia"/>
        </w:rPr>
        <w:t>limited access</w:t>
      </w:r>
      <w:r w:rsidR="16BDF156" w:rsidRPr="21BAEDE8">
        <w:rPr>
          <w:rFonts w:eastAsiaTheme="minorEastAsia"/>
        </w:rPr>
        <w:t xml:space="preserve"> to the measles vaccine, particularly in </w:t>
      </w:r>
      <w:r w:rsidR="00A0241D" w:rsidRPr="431CEE8C">
        <w:rPr>
          <w:rFonts w:eastAsiaTheme="minorEastAsia"/>
        </w:rPr>
        <w:t>s</w:t>
      </w:r>
      <w:r w:rsidR="16BDF156" w:rsidRPr="431CEE8C">
        <w:rPr>
          <w:rFonts w:eastAsiaTheme="minorEastAsia"/>
        </w:rPr>
        <w:t>ub-</w:t>
      </w:r>
      <w:r w:rsidR="00A0241D" w:rsidRPr="431CEE8C">
        <w:rPr>
          <w:rFonts w:eastAsiaTheme="minorEastAsia"/>
        </w:rPr>
        <w:t>S</w:t>
      </w:r>
      <w:r w:rsidR="16BDF156" w:rsidRPr="431CEE8C">
        <w:rPr>
          <w:rFonts w:eastAsiaTheme="minorEastAsia"/>
        </w:rPr>
        <w:t>aharan Africa.</w:t>
      </w:r>
      <w:r w:rsidR="457D9080" w:rsidRPr="7A6052F9">
        <w:rPr>
          <w:rFonts w:eastAsiaTheme="minorEastAsia"/>
        </w:rPr>
        <w:t xml:space="preserve"> </w:t>
      </w:r>
      <w:r w:rsidR="1B1C623C" w:rsidRPr="7A6052F9">
        <w:rPr>
          <w:rFonts w:eastAsiaTheme="minorEastAsia"/>
        </w:rPr>
        <w:t>While</w:t>
      </w:r>
      <w:r w:rsidR="1B1C623C" w:rsidRPr="21BAEDE8">
        <w:rPr>
          <w:rFonts w:eastAsiaTheme="minorEastAsia"/>
        </w:rPr>
        <w:t xml:space="preserve"> </w:t>
      </w:r>
      <w:r w:rsidR="00864D67" w:rsidRPr="21BAEDE8">
        <w:rPr>
          <w:rFonts w:eastAsiaTheme="minorEastAsia"/>
        </w:rPr>
        <w:t>valuable insights</w:t>
      </w:r>
      <w:r w:rsidR="002C438F" w:rsidRPr="21BAEDE8">
        <w:rPr>
          <w:rFonts w:eastAsiaTheme="minorEastAsia"/>
        </w:rPr>
        <w:t xml:space="preserve"> can be drawn from</w:t>
      </w:r>
      <w:r w:rsidR="00793CE6" w:rsidRPr="21BAEDE8">
        <w:rPr>
          <w:rFonts w:eastAsiaTheme="minorEastAsia"/>
        </w:rPr>
        <w:t xml:space="preserve"> </w:t>
      </w:r>
      <w:r w:rsidR="1B1C623C" w:rsidRPr="21BAEDE8">
        <w:rPr>
          <w:rFonts w:eastAsiaTheme="minorEastAsia"/>
        </w:rPr>
        <w:t xml:space="preserve">countries </w:t>
      </w:r>
      <w:r w:rsidR="00E53A60" w:rsidRPr="00E53A60">
        <w:rPr>
          <w:rFonts w:eastAsiaTheme="minorEastAsia"/>
        </w:rPr>
        <w:t>that have achieved measles control through effective vaccination program</w:t>
      </w:r>
      <w:r w:rsidR="002E644B">
        <w:rPr>
          <w:rFonts w:eastAsiaTheme="minorEastAsia"/>
        </w:rPr>
        <w:t>me</w:t>
      </w:r>
      <w:r w:rsidR="00E53A60" w:rsidRPr="00E53A60">
        <w:rPr>
          <w:rFonts w:eastAsiaTheme="minorEastAsia"/>
        </w:rPr>
        <w:t>s and surveillance systems</w:t>
      </w:r>
      <w:r w:rsidR="15A030C2" w:rsidRPr="21BAEDE8">
        <w:rPr>
          <w:rFonts w:eastAsiaTheme="minorEastAsia"/>
        </w:rPr>
        <w:t xml:space="preserve">, interventions still must be </w:t>
      </w:r>
      <w:r w:rsidR="50C0E00E" w:rsidRPr="21BAEDE8">
        <w:rPr>
          <w:rFonts w:eastAsiaTheme="minorEastAsia"/>
        </w:rPr>
        <w:t>tailored</w:t>
      </w:r>
      <w:r w:rsidR="15A030C2" w:rsidRPr="21BAEDE8">
        <w:rPr>
          <w:rFonts w:eastAsiaTheme="minorEastAsia"/>
        </w:rPr>
        <w:t xml:space="preserve"> to the impact</w:t>
      </w:r>
      <w:r w:rsidR="1DA4F23F" w:rsidRPr="21BAEDE8">
        <w:rPr>
          <w:rFonts w:eastAsiaTheme="minorEastAsia"/>
        </w:rPr>
        <w:t>ed</w:t>
      </w:r>
      <w:r w:rsidR="15A030C2" w:rsidRPr="21BAEDE8">
        <w:rPr>
          <w:rFonts w:eastAsiaTheme="minorEastAsia"/>
        </w:rPr>
        <w:t xml:space="preserve"> communities</w:t>
      </w:r>
      <w:r w:rsidR="24CB1F23" w:rsidRPr="21BAEDE8">
        <w:rPr>
          <w:rFonts w:eastAsiaTheme="minorEastAsia"/>
        </w:rPr>
        <w:t xml:space="preserve"> </w:t>
      </w:r>
      <w:r w:rsidR="2846320D" w:rsidRPr="13780C91">
        <w:rPr>
          <w:rFonts w:eastAsiaTheme="minorEastAsia"/>
        </w:rPr>
        <w:t>and countries</w:t>
      </w:r>
      <w:r w:rsidR="250867BC" w:rsidRPr="13780C91">
        <w:rPr>
          <w:rFonts w:eastAsiaTheme="minorEastAsia"/>
        </w:rPr>
        <w:t xml:space="preserve"> </w:t>
      </w:r>
      <w:r w:rsidR="24CB1F23" w:rsidRPr="21BAEDE8">
        <w:rPr>
          <w:rFonts w:eastAsiaTheme="minorEastAsia"/>
        </w:rPr>
        <w:t xml:space="preserve">for successful </w:t>
      </w:r>
      <w:r w:rsidR="42A065CF" w:rsidRPr="431CEE8C">
        <w:rPr>
          <w:rFonts w:eastAsiaTheme="minorEastAsia"/>
        </w:rPr>
        <w:t>reduction</w:t>
      </w:r>
      <w:r w:rsidR="00ED5A77">
        <w:rPr>
          <w:rFonts w:eastAsiaTheme="minorEastAsia"/>
        </w:rPr>
        <w:t>s</w:t>
      </w:r>
      <w:r w:rsidR="42A065CF" w:rsidRPr="13780C91">
        <w:rPr>
          <w:rFonts w:eastAsiaTheme="minorEastAsia"/>
        </w:rPr>
        <w:t xml:space="preserve"> in mortality</w:t>
      </w:r>
      <w:r w:rsidR="15A030C2">
        <w:t>.</w:t>
      </w:r>
      <w:r w:rsidR="204A7097">
        <w:fldChar w:fldCharType="begin"/>
      </w:r>
      <w:r w:rsidR="00BB7651">
        <w:instrText xml:space="preserve"> ADDIN ZOTERO_ITEM CSL_CITATION {"citationID":"QkoorL4X","properties":{"formattedCitation":"\\super 62\\nosupersub{}","plainCitation":"62","noteIndex":0},"citationItems":[{"id":128099,"uris":["http://zotero.org/groups/2154524/items/K96ZI49J"],"itemData":{"id":128099,"type":"article-journal","abstract":"Measles is a highly contagious infection that can cause severe illness in children. Vaccination is the primary means of controlling the infection, with elimination a possibility. However, the measles-containing vaccine coverage in sub-Saharan Africa (SSA) is 70% while that for Nigeria is 54% according to official estimates and 64.7% from household surveys. This review aims to identify factors that contribute to the poor coverage rate and proposes appropriate recommendations to address these factors. We conducted a comprehensive search of five databases (MEDLINE, Embase, Global Health, CINAHL Plus and PubMed) using the PICOTS (population, intervention, comparison, outcome, timing, study type) framework. The search was conducted in September 2017 in accordance with the Preferred Reporting Items for Systematic Reviews and Meta-Analyses guidelines and inclusion criteria were studies conducted in SSA, that evaluated measles vaccine coverage gaps, evaluated strategies for improving measles vaccination coverage and were published in English. The database search yielded 23 publications. Several different factors influencing measles vaccine coverage were identified and were grouped into four main areas: immunization system, information and communication, family characteristics and parental attitudes and knowledge. Fears and misconceptions were common reasons for non-vaccination. Activities to improve vaccination coverage were identified, including structural reforms such as siting health centres within or proximal to target communities, improving female literacy and conducting measles vaccination campaigns. Multiple reasons for poor measles vaccination coverage were identified. Factors influencing the immunization system and information and communication factors can be fixed at the country level, but challenges relating to family characteristics and parental attitudes and knowledge require solutions adapted to the community of concern. However, vaccination campaigns are an effective means of improving vaccination coverage and they reduce geographic and socio-economic inequities.","container-title":"Transactions of The Royal Society of Tropical Medicine and Hygiene","DOI":"10.1093/trstmh/trac013","ISSN":"0035-9203","issue":"8","journalAbbreviation":"Transactions of The Royal Society of Tropical Medicine and Hygiene","page":"686-693","source":"Silverchair","title":"Factors affecting poor measles vaccination coverage in sub-Saharan Africa with a special focus on Nigeria: a narrative review","title-short":"Factors affecting poor measles vaccination coverage in sub-Saharan Africa with a special focus on Nigeria","volume":"116","author":[{"family":"Majekodunmi","given":"Omololuoye B"},{"family":"Oladele","given":"Edward A"},{"family":"Greenwood","given":"Brian"}],"issued":{"date-parts":[["2022",8,5]]}},"label":"page"}],"schema":"https://github.com/citation-style-language/schema/raw/master/csl-citation.json"} </w:instrText>
      </w:r>
      <w:r w:rsidR="204A7097">
        <w:fldChar w:fldCharType="separate"/>
      </w:r>
      <w:r w:rsidR="00BB7651" w:rsidRPr="00BB7651">
        <w:rPr>
          <w:rFonts w:cs="Times New Roman"/>
          <w:szCs w:val="24"/>
          <w:vertAlign w:val="superscript"/>
        </w:rPr>
        <w:t>62</w:t>
      </w:r>
      <w:r w:rsidR="204A7097">
        <w:fldChar w:fldCharType="end"/>
      </w:r>
    </w:p>
    <w:p w14:paraId="23898447" w14:textId="757B1170" w:rsidR="5686D2BC" w:rsidRDefault="62BAFBBD" w:rsidP="2A5BC196">
      <w:pPr>
        <w:spacing w:line="360" w:lineRule="auto"/>
      </w:pPr>
      <w:r>
        <w:t>Some</w:t>
      </w:r>
      <w:r w:rsidRPr="1AE03775">
        <w:rPr>
          <w:rFonts w:eastAsiaTheme="minorEastAsia"/>
        </w:rPr>
        <w:t xml:space="preserve"> </w:t>
      </w:r>
      <w:r w:rsidR="004B57F9">
        <w:rPr>
          <w:rFonts w:eastAsiaTheme="minorEastAsia"/>
        </w:rPr>
        <w:t xml:space="preserve">infectious </w:t>
      </w:r>
      <w:r w:rsidRPr="1AE03775">
        <w:rPr>
          <w:rFonts w:eastAsiaTheme="minorEastAsia"/>
        </w:rPr>
        <w:t>diseases, such as HIV</w:t>
      </w:r>
      <w:r w:rsidR="00EE5848">
        <w:rPr>
          <w:rFonts w:eastAsiaTheme="minorEastAsia"/>
        </w:rPr>
        <w:t>/AIDS</w:t>
      </w:r>
      <w:r w:rsidR="5DDFABA6" w:rsidRPr="2A5BC196">
        <w:rPr>
          <w:rFonts w:eastAsiaTheme="minorEastAsia"/>
        </w:rPr>
        <w:t xml:space="preserve"> and tuberculosis</w:t>
      </w:r>
      <w:r w:rsidR="6A6978A5" w:rsidRPr="63A9A6F0">
        <w:rPr>
          <w:rFonts w:eastAsiaTheme="minorEastAsia"/>
        </w:rPr>
        <w:t>,</w:t>
      </w:r>
      <w:r w:rsidRPr="1AE03775">
        <w:rPr>
          <w:rFonts w:eastAsiaTheme="minorEastAsia"/>
        </w:rPr>
        <w:t xml:space="preserve"> also </w:t>
      </w:r>
      <w:r w:rsidR="439A2378" w:rsidRPr="13780C91">
        <w:rPr>
          <w:rFonts w:eastAsiaTheme="minorEastAsia"/>
        </w:rPr>
        <w:t xml:space="preserve">showed mortality </w:t>
      </w:r>
      <w:r w:rsidR="439A2378" w:rsidRPr="43F6EFEB">
        <w:rPr>
          <w:rFonts w:eastAsiaTheme="minorEastAsia"/>
        </w:rPr>
        <w:t>concentration</w:t>
      </w:r>
      <w:r w:rsidRPr="1AE03775">
        <w:rPr>
          <w:rFonts w:eastAsiaTheme="minorEastAsia"/>
        </w:rPr>
        <w:t xml:space="preserve">, </w:t>
      </w:r>
      <w:r w:rsidR="51E9C55E" w:rsidRPr="13780C91">
        <w:rPr>
          <w:rFonts w:eastAsiaTheme="minorEastAsia"/>
        </w:rPr>
        <w:t xml:space="preserve">with </w:t>
      </w:r>
      <w:r w:rsidR="51E9C55E" w:rsidRPr="13780C91">
        <w:rPr>
          <w:rFonts w:eastAsia="Times New Roman" w:cs="Times New Roman"/>
          <w:color w:val="000000" w:themeColor="text1"/>
        </w:rPr>
        <w:t xml:space="preserve">90% of deaths </w:t>
      </w:r>
      <w:r w:rsidR="004B57F9">
        <w:rPr>
          <w:rFonts w:eastAsia="Times New Roman" w:cs="Times New Roman"/>
          <w:color w:val="000000" w:themeColor="text1"/>
        </w:rPr>
        <w:t xml:space="preserve">from </w:t>
      </w:r>
      <w:r w:rsidR="00EE5848">
        <w:rPr>
          <w:rFonts w:eastAsia="Times New Roman" w:cs="Times New Roman"/>
          <w:color w:val="000000" w:themeColor="text1"/>
        </w:rPr>
        <w:t xml:space="preserve">HIV/AIDS </w:t>
      </w:r>
      <w:r w:rsidR="51E9C55E" w:rsidRPr="13780C91">
        <w:rPr>
          <w:rFonts w:eastAsia="Times New Roman" w:cs="Times New Roman"/>
          <w:color w:val="000000" w:themeColor="text1"/>
        </w:rPr>
        <w:t xml:space="preserve">concentrated in locations containing 46% of the entire population and </w:t>
      </w:r>
      <w:r w:rsidR="51E9C55E" w:rsidRPr="77C86931">
        <w:rPr>
          <w:rFonts w:eastAsia="Times New Roman" w:cs="Times New Roman"/>
          <w:color w:val="000000" w:themeColor="text1"/>
        </w:rPr>
        <w:t>3</w:t>
      </w:r>
      <w:r w:rsidR="30E23715" w:rsidRPr="77C86931">
        <w:rPr>
          <w:rFonts w:eastAsia="Times New Roman" w:cs="Times New Roman"/>
          <w:color w:val="000000" w:themeColor="text1"/>
        </w:rPr>
        <w:t>9</w:t>
      </w:r>
      <w:r w:rsidR="51E9C55E" w:rsidRPr="13780C91">
        <w:rPr>
          <w:rFonts w:eastAsia="Times New Roman" w:cs="Times New Roman"/>
          <w:color w:val="000000" w:themeColor="text1"/>
        </w:rPr>
        <w:t>% of the under-5 population.</w:t>
      </w:r>
      <w:r w:rsidR="71B34570">
        <w:t xml:space="preserve"> Deaths from HIV</w:t>
      </w:r>
      <w:r w:rsidR="00EE5848">
        <w:t>/AIDS</w:t>
      </w:r>
      <w:r w:rsidR="71B34570">
        <w:t xml:space="preserve"> are now </w:t>
      </w:r>
      <w:r w:rsidR="73F4CBBB">
        <w:t>largely</w:t>
      </w:r>
      <w:r w:rsidR="71B34570">
        <w:t xml:space="preserve"> concentrated within </w:t>
      </w:r>
      <w:r w:rsidR="6482A240">
        <w:t>sub-Saharan Africa, most notably southern sub-Saharan Africa</w:t>
      </w:r>
      <w:r w:rsidR="71B34570">
        <w:t xml:space="preserve">. Countries in </w:t>
      </w:r>
      <w:r w:rsidR="5BB4663B">
        <w:t>sub-Saharan Africa</w:t>
      </w:r>
      <w:r w:rsidR="71B34570">
        <w:t xml:space="preserve"> with the highest </w:t>
      </w:r>
      <w:r w:rsidR="60C5BE37">
        <w:t>age-standardised</w:t>
      </w:r>
      <w:r w:rsidR="71B34570">
        <w:t xml:space="preserve"> mortality rate </w:t>
      </w:r>
      <w:r w:rsidR="008042C4">
        <w:t xml:space="preserve">in 2021 </w:t>
      </w:r>
      <w:r w:rsidR="71B34570">
        <w:t xml:space="preserve">included </w:t>
      </w:r>
      <w:r w:rsidR="6AF954FB">
        <w:t>Lesotho</w:t>
      </w:r>
      <w:r w:rsidR="71B34570">
        <w:t xml:space="preserve">, </w:t>
      </w:r>
      <w:r w:rsidR="17A3D21F">
        <w:t>Eswatini</w:t>
      </w:r>
      <w:r w:rsidR="009A033C">
        <w:t xml:space="preserve">, </w:t>
      </w:r>
      <w:r w:rsidR="71B34570">
        <w:t xml:space="preserve">and </w:t>
      </w:r>
      <w:r w:rsidR="5298E5C0">
        <w:t>Botswana</w:t>
      </w:r>
      <w:r w:rsidR="71B34570">
        <w:t xml:space="preserve">. Countries in </w:t>
      </w:r>
      <w:r w:rsidR="2E29399E">
        <w:t>sub-Saharan Africa</w:t>
      </w:r>
      <w:r w:rsidR="71B34570">
        <w:t xml:space="preserve"> with the highest under-5 death rates from </w:t>
      </w:r>
      <w:r w:rsidR="0C71F015">
        <w:t>HIV</w:t>
      </w:r>
      <w:r w:rsidR="71B34570">
        <w:t xml:space="preserve"> in 2021 included </w:t>
      </w:r>
      <w:r w:rsidR="3F4CED98">
        <w:t>Lesotho</w:t>
      </w:r>
      <w:r w:rsidR="71B34570">
        <w:t xml:space="preserve">, </w:t>
      </w:r>
      <w:r w:rsidR="70D3DCB1">
        <w:t>Equatorial Guinea</w:t>
      </w:r>
      <w:r w:rsidR="71B34570">
        <w:t xml:space="preserve">, and </w:t>
      </w:r>
      <w:r w:rsidR="5B4BBE82">
        <w:t>Guinea-Bissau</w:t>
      </w:r>
      <w:r w:rsidR="71B34570">
        <w:t>.</w:t>
      </w:r>
      <w:r w:rsidR="785B5A05" w:rsidRPr="76A38651">
        <w:rPr>
          <w:rFonts w:eastAsia="Times New Roman" w:cs="Times New Roman"/>
          <w:color w:val="000000" w:themeColor="text1"/>
        </w:rPr>
        <w:t xml:space="preserve"> This concentration</w:t>
      </w:r>
      <w:r w:rsidR="46114EA2" w:rsidRPr="76A38651">
        <w:rPr>
          <w:rFonts w:eastAsiaTheme="minorEastAsia"/>
        </w:rPr>
        <w:t xml:space="preserve"> </w:t>
      </w:r>
      <w:r w:rsidR="46114EA2" w:rsidRPr="4CC6F800">
        <w:rPr>
          <w:rFonts w:eastAsiaTheme="minorEastAsia"/>
        </w:rPr>
        <w:t>highlight</w:t>
      </w:r>
      <w:r w:rsidR="3B6E3608" w:rsidRPr="4CC6F800">
        <w:rPr>
          <w:rFonts w:eastAsiaTheme="minorEastAsia"/>
        </w:rPr>
        <w:t>s</w:t>
      </w:r>
      <w:r w:rsidR="3B991619" w:rsidRPr="76A38651">
        <w:rPr>
          <w:rFonts w:eastAsiaTheme="minorEastAsia"/>
        </w:rPr>
        <w:t xml:space="preserve"> how </w:t>
      </w:r>
      <w:r w:rsidR="56982C5F" w:rsidRPr="76A38651">
        <w:rPr>
          <w:rFonts w:eastAsiaTheme="minorEastAsia"/>
        </w:rPr>
        <w:t xml:space="preserve">HIV </w:t>
      </w:r>
      <w:r w:rsidR="44A40167" w:rsidRPr="76A38651">
        <w:rPr>
          <w:rFonts w:eastAsiaTheme="minorEastAsia"/>
        </w:rPr>
        <w:t>control</w:t>
      </w:r>
      <w:r w:rsidR="3B991619" w:rsidRPr="76A38651">
        <w:rPr>
          <w:rFonts w:eastAsiaTheme="minorEastAsia"/>
        </w:rPr>
        <w:t xml:space="preserve"> campaigns, </w:t>
      </w:r>
      <w:r w:rsidR="517474D5" w:rsidRPr="76A38651">
        <w:rPr>
          <w:rFonts w:eastAsiaTheme="minorEastAsia"/>
        </w:rPr>
        <w:t>preventative measures</w:t>
      </w:r>
      <w:r w:rsidR="517474D5" w:rsidRPr="0028E38F">
        <w:rPr>
          <w:rFonts w:eastAsiaTheme="minorEastAsia"/>
        </w:rPr>
        <w:t>,</w:t>
      </w:r>
      <w:r w:rsidR="006A4C25">
        <w:rPr>
          <w:rFonts w:eastAsiaTheme="minorEastAsia"/>
        </w:rPr>
        <w:fldChar w:fldCharType="begin"/>
      </w:r>
      <w:r w:rsidR="00BB7651">
        <w:rPr>
          <w:rFonts w:eastAsiaTheme="minorEastAsia"/>
        </w:rPr>
        <w:instrText xml:space="preserve"> ADDIN ZOTERO_ITEM CSL_CITATION {"citationID":"CrlDUZtk","properties":{"formattedCitation":"\\super 63,64\\nosupersub{}","plainCitation":"63,64","noteIndex":0},"citationItems":[{"id":128106,"uris":["http://zotero.org/groups/2154524/items/ZQBQHL8Z"],"itemData":{"id":128106,"type":"report","abstract":"Information about the importance of consistent and correct condom use for preventing HIV infection from NIAID.","language":"en","title":"Condom Use for Preventing HIV Infection | NIH:","title-short":"Condom Use for Preventing HIV Infection | NIH","URL":"https://www.niaid.nih.gov/diseases-conditions/condom-use","author":[{"literal":"National Institute of Allergy and Infectious Diseases"}],"accessed":{"date-parts":[["2023",11,6]]},"issued":{"date-parts":[["2018",11,29]]}},"label":"page"},{"id":128112,"uris":["http://zotero.org/groups/2154524/items/NJJTCKQP"],"itemData":{"id":128112,"type":"report","abstract":"Information about numerous HIV prevention methods that are available for use in combination or on their own from NIAID.","language":"en","title":"HIV Prevention","title-short":"HIV Prevention | NIH","URL":"https://www.niaid.nih.gov/diseases-conditions/hiv-prevention","author":[{"literal":"National Institute of Allergy and Infectious Diseases"}],"accessed":{"date-parts":[["2023",11,6]]},"issued":{"date-parts":[["2020",6,25]]}},"label":"page"}],"schema":"https://github.com/citation-style-language/schema/raw/master/csl-citation.json"} </w:instrText>
      </w:r>
      <w:r w:rsidR="006A4C25">
        <w:rPr>
          <w:rFonts w:eastAsiaTheme="minorEastAsia"/>
        </w:rPr>
        <w:fldChar w:fldCharType="separate"/>
      </w:r>
      <w:r w:rsidR="00BB7651" w:rsidRPr="00BB7651">
        <w:rPr>
          <w:rFonts w:cs="Times New Roman"/>
          <w:szCs w:val="24"/>
          <w:vertAlign w:val="superscript"/>
        </w:rPr>
        <w:t>63,64</w:t>
      </w:r>
      <w:r w:rsidR="006A4C25">
        <w:rPr>
          <w:rFonts w:eastAsiaTheme="minorEastAsia"/>
        </w:rPr>
        <w:fldChar w:fldCharType="end"/>
      </w:r>
      <w:r w:rsidR="1DA47555" w:rsidRPr="1AE03775">
        <w:rPr>
          <w:rFonts w:eastAsiaTheme="minorEastAsia"/>
        </w:rPr>
        <w:t xml:space="preserve"> improved treatment</w:t>
      </w:r>
      <w:r w:rsidR="199A1584" w:rsidRPr="1CA429D0">
        <w:rPr>
          <w:rFonts w:eastAsiaTheme="minorEastAsia"/>
        </w:rPr>
        <w:t xml:space="preserve"> </w:t>
      </w:r>
      <w:r w:rsidR="199A1584" w:rsidRPr="06732FE0">
        <w:rPr>
          <w:rFonts w:eastAsiaTheme="minorEastAsia"/>
        </w:rPr>
        <w:t xml:space="preserve">with the emergence of </w:t>
      </w:r>
      <w:r w:rsidR="199A1584" w:rsidRPr="39F8BFF3">
        <w:rPr>
          <w:rFonts w:eastAsiaTheme="minorEastAsia"/>
        </w:rPr>
        <w:t>ART</w:t>
      </w:r>
      <w:r w:rsidR="1DA47555" w:rsidRPr="0028E38F">
        <w:rPr>
          <w:rFonts w:eastAsiaTheme="minorEastAsia"/>
        </w:rPr>
        <w:t>,</w:t>
      </w:r>
      <w:r w:rsidR="00F9374F">
        <w:rPr>
          <w:rFonts w:eastAsiaTheme="minorEastAsia"/>
        </w:rPr>
        <w:fldChar w:fldCharType="begin"/>
      </w:r>
      <w:r w:rsidR="00BB7651">
        <w:rPr>
          <w:rFonts w:eastAsiaTheme="minorEastAsia"/>
        </w:rPr>
        <w:instrText xml:space="preserve"> ADDIN ZOTERO_ITEM CSL_CITATION {"citationID":"ygm3Oa77","properties":{"formattedCitation":"\\super 65\\nosupersub{}","plainCitation":"65","noteIndex":0},"citationItems":[{"id":128108,"uris":["http://zotero.org/groups/2154524/items/WQF3PB44"],"itemData":{"id":128108,"type":"article-journal","abstract":"Background Antiretroviral therapy (ART) prevents human immunodeficiency virus (HIV) disease progression, mortality and transmission. We assess the impact of expanded HIV treatment for the prevention of Acquired Immunodeficiency Syndrome (AIDS)-related deaths and simulate four treatment scenarios for Nigeria and South Africa. Methods For 1990–2013, we used the Joint United Nations Programme on HIV/AIDS (UNAIDS) database to examine trends in AIDS deaths, HIV incidence and prevalence, ART coverage, annual AIDS death rate, AIDS death-to-treatment and HIV infections to treatment ratios for the top 30 countries with the highest AIDS mortality burden and compare them with data from high-income countries. We projected the 1990–2020 AIDS deaths for Nigeria and South Africa using four treatment scenarios: 1) no ART; 2) maintaining current ART coverage; 3) 90% ART coverage based on 2013 World Health Organization (WHO) ART guidelines by 2020; and 4) reaching the United Nations 90-90-90 Target by 2020. Findings In 2013, there were 1.3 million (1.1 million–1.6 million) AIDS deaths in the top 30 countries representing 87% of global AIDS deaths. Eight countries accounted for 58% of the global AIDS deaths; Nigeria and South Africa accounted for 27% of global AIDS deaths. The highest death rates per 1000 people living with HIV were in Central African Republic (91), South Sudan (82), Côte d’Ivoire (75), Cameroon (72) and Chad (71), nearly 8–10 times higher than the high-income countries. ART access in 2013 has averted as estimated 1,051,354 and 422,448 deaths in South Africa and Nigeria, respectively. Increasing ART coverage in these two countries to meet the proposed UN 90-90-90 Target by 2020 could avert 2.2 and 1.2 million deaths, respectively. Interpretation Over the past decade the expansion of access to ART averted millions of deaths. Reaching the proposed UN 90-90-90 Target by 2020 will prevent additional morbidity, mortality and HIV transmission. Despite progress, high-burden countries will need to accelerate access to ART treatment to avert millions of premature AIDS deaths and new HIV infections.","container-title":"PLOS ONE","DOI":"10.1371/journal.pone.0131353","ISSN":"1932-6203","issue":"7","journalAbbreviation":"PLOS ONE","language":"en","note":"publisher: Public Library of Science","page":"e0131353","source":"PLoS Journals","title":"Trends in AIDS deaths, new infections and ART coverage in the top 30 countries with the highest AIDS mortality burden; 1990–2013","volume":"10","author":[{"family":"Granich","given":"Reuben"},{"family":"Gupta","given":"Somya"},{"family":"Hersh","given":"Bradley"},{"family":"Williams","given":"Brian"},{"family":"Montaner","given":"Julio"},{"family":"Young","given":"Benjamin"},{"family":"Zuniga","given":"José M."}],"issued":{"date-parts":[["2015",7,6]]}}}],"schema":"https://github.com/citation-style-language/schema/raw/master/csl-citation.json"} </w:instrText>
      </w:r>
      <w:r w:rsidR="00F9374F">
        <w:rPr>
          <w:rFonts w:eastAsiaTheme="minorEastAsia"/>
        </w:rPr>
        <w:fldChar w:fldCharType="separate"/>
      </w:r>
      <w:r w:rsidR="00BB7651" w:rsidRPr="00BB7651">
        <w:rPr>
          <w:rFonts w:cs="Times New Roman"/>
          <w:szCs w:val="24"/>
          <w:vertAlign w:val="superscript"/>
        </w:rPr>
        <w:t>65</w:t>
      </w:r>
      <w:r w:rsidR="00F9374F">
        <w:rPr>
          <w:rFonts w:eastAsiaTheme="minorEastAsia"/>
        </w:rPr>
        <w:fldChar w:fldCharType="end"/>
      </w:r>
      <w:r w:rsidR="1DA47555" w:rsidRPr="1AE03775">
        <w:rPr>
          <w:rFonts w:eastAsiaTheme="minorEastAsia"/>
        </w:rPr>
        <w:t xml:space="preserve"> access to testing and healthcare</w:t>
      </w:r>
      <w:r w:rsidR="1006196C" w:rsidRPr="0028E38F">
        <w:rPr>
          <w:rFonts w:eastAsiaTheme="minorEastAsia"/>
        </w:rPr>
        <w:t>,</w:t>
      </w:r>
      <w:r w:rsidR="00F330A7">
        <w:rPr>
          <w:rFonts w:eastAsiaTheme="minorEastAsia"/>
        </w:rPr>
        <w:fldChar w:fldCharType="begin"/>
      </w:r>
      <w:r w:rsidR="00BB7651">
        <w:rPr>
          <w:rFonts w:eastAsiaTheme="minorEastAsia"/>
        </w:rPr>
        <w:instrText xml:space="preserve"> ADDIN ZOTERO_ITEM CSL_CITATION {"citationID":"XISyXlzp","properties":{"formattedCitation":"\\super 66\\nosupersub{}","plainCitation":"66","noteIndex":0},"citationItems":[{"id":128114,"uris":["http://zotero.org/groups/2154524/items/G2482SQZ"],"itemData":{"id":128114,"type":"report","abstract":"Information about the scientifically sound concept of HIV Undetectable=Untransmittable (U=U), or treatment as prevention from NIAID.","language":"en","title":"HIV undetectable=untransmittable (U=U), or treatment as prevention","title-short":"HIV Undetectable=Untransmittable (U=U), or Treatment as Prevention | NIH","URL":"https://www.niaid.nih.gov/diseases-conditions/treatment-prevention","author":[{"literal":"National Institute of Allergy and Infectious Diseases"}],"accessed":{"date-parts":[["2023",11,6]]},"issued":{"date-parts":[["2019",5,21]]}}}],"schema":"https://github.com/citation-style-language/schema/raw/master/csl-citation.json"} </w:instrText>
      </w:r>
      <w:r w:rsidR="00F330A7">
        <w:rPr>
          <w:rFonts w:eastAsiaTheme="minorEastAsia"/>
        </w:rPr>
        <w:fldChar w:fldCharType="separate"/>
      </w:r>
      <w:r w:rsidR="00BB7651" w:rsidRPr="00BB7651">
        <w:rPr>
          <w:rFonts w:cs="Times New Roman"/>
          <w:szCs w:val="24"/>
          <w:vertAlign w:val="superscript"/>
        </w:rPr>
        <w:t>66</w:t>
      </w:r>
      <w:r w:rsidR="00F330A7">
        <w:rPr>
          <w:rFonts w:eastAsiaTheme="minorEastAsia"/>
        </w:rPr>
        <w:fldChar w:fldCharType="end"/>
      </w:r>
      <w:r w:rsidR="1DA47555" w:rsidRPr="1AE03775">
        <w:rPr>
          <w:rFonts w:eastAsiaTheme="minorEastAsia"/>
        </w:rPr>
        <w:t xml:space="preserve"> and research </w:t>
      </w:r>
      <w:r w:rsidR="6F3B3F2D" w:rsidRPr="3B616BB4">
        <w:rPr>
          <w:rFonts w:eastAsiaTheme="minorEastAsia"/>
        </w:rPr>
        <w:t>advancements</w:t>
      </w:r>
      <w:r w:rsidR="62E097A5" w:rsidRPr="73E9FB1D">
        <w:rPr>
          <w:rFonts w:eastAsiaTheme="minorEastAsia"/>
        </w:rPr>
        <w:t xml:space="preserve"> </w:t>
      </w:r>
      <w:r w:rsidR="6AEA8354" w:rsidRPr="13780C91">
        <w:rPr>
          <w:rFonts w:eastAsiaTheme="minorEastAsia"/>
        </w:rPr>
        <w:t xml:space="preserve">may </w:t>
      </w:r>
      <w:r w:rsidR="62E097A5" w:rsidRPr="76D598A7">
        <w:rPr>
          <w:rFonts w:eastAsiaTheme="minorEastAsia"/>
        </w:rPr>
        <w:t>ha</w:t>
      </w:r>
      <w:r w:rsidR="4B85F983" w:rsidRPr="76D598A7">
        <w:rPr>
          <w:rFonts w:eastAsiaTheme="minorEastAsia"/>
        </w:rPr>
        <w:t>ve</w:t>
      </w:r>
      <w:r w:rsidRPr="1AE03775">
        <w:rPr>
          <w:rFonts w:eastAsiaTheme="minorEastAsia"/>
        </w:rPr>
        <w:t xml:space="preserve"> </w:t>
      </w:r>
      <w:r w:rsidR="3DA95A49" w:rsidRPr="13780C91">
        <w:rPr>
          <w:rFonts w:eastAsiaTheme="minorEastAsia"/>
        </w:rPr>
        <w:t xml:space="preserve">contributed </w:t>
      </w:r>
      <w:r w:rsidR="3DA95A49" w:rsidRPr="76D598A7">
        <w:rPr>
          <w:rFonts w:eastAsiaTheme="minorEastAsia"/>
        </w:rPr>
        <w:t>to</w:t>
      </w:r>
      <w:r w:rsidR="127E5ECA" w:rsidRPr="13780C91">
        <w:rPr>
          <w:rFonts w:eastAsiaTheme="minorEastAsia"/>
        </w:rPr>
        <w:t xml:space="preserve"> </w:t>
      </w:r>
      <w:r w:rsidR="04B94D58" w:rsidRPr="13780C91">
        <w:rPr>
          <w:rFonts w:eastAsiaTheme="minorEastAsia"/>
        </w:rPr>
        <w:t>the</w:t>
      </w:r>
      <w:r w:rsidR="1DA47555" w:rsidRPr="1AE03775">
        <w:rPr>
          <w:rFonts w:eastAsiaTheme="minorEastAsia"/>
        </w:rPr>
        <w:t xml:space="preserve"> reduced global mortality of HIV</w:t>
      </w:r>
      <w:r w:rsidR="325413B4" w:rsidRPr="1AE03775">
        <w:rPr>
          <w:rFonts w:eastAsiaTheme="minorEastAsia"/>
        </w:rPr>
        <w:t>.</w:t>
      </w:r>
      <w:r w:rsidR="1DA47555" w:rsidRPr="1AE03775">
        <w:rPr>
          <w:rFonts w:eastAsiaTheme="minorEastAsia"/>
        </w:rPr>
        <w:t xml:space="preserve"> </w:t>
      </w:r>
      <w:r w:rsidR="1B445629" w:rsidRPr="1AE03775">
        <w:rPr>
          <w:rFonts w:eastAsiaTheme="minorEastAsia"/>
        </w:rPr>
        <w:t xml:space="preserve">Despite these </w:t>
      </w:r>
      <w:r w:rsidR="5787E6EF" w:rsidRPr="1AE03775">
        <w:rPr>
          <w:rFonts w:eastAsiaTheme="minorEastAsia"/>
        </w:rPr>
        <w:t>successes</w:t>
      </w:r>
      <w:r w:rsidR="1B445629" w:rsidRPr="1AE03775">
        <w:rPr>
          <w:rFonts w:eastAsiaTheme="minorEastAsia"/>
        </w:rPr>
        <w:t>,</w:t>
      </w:r>
      <w:r w:rsidR="1DA47555" w:rsidRPr="1AE03775">
        <w:rPr>
          <w:rFonts w:eastAsiaTheme="minorEastAsia"/>
        </w:rPr>
        <w:t xml:space="preserve"> significant barriers remain</w:t>
      </w:r>
      <w:r w:rsidR="1961BD56" w:rsidRPr="1AE03775">
        <w:rPr>
          <w:rFonts w:eastAsiaTheme="minorEastAsia"/>
        </w:rPr>
        <w:t xml:space="preserve"> to reducing </w:t>
      </w:r>
      <w:r w:rsidR="5CB11394" w:rsidRPr="13780C91">
        <w:rPr>
          <w:rFonts w:eastAsiaTheme="minorEastAsia"/>
        </w:rPr>
        <w:t>HIV</w:t>
      </w:r>
      <w:r w:rsidR="1A806A27" w:rsidRPr="13780C91">
        <w:rPr>
          <w:rFonts w:eastAsiaTheme="minorEastAsia"/>
        </w:rPr>
        <w:t xml:space="preserve"> </w:t>
      </w:r>
      <w:r w:rsidR="1961BD56" w:rsidRPr="1AE03775">
        <w:rPr>
          <w:rFonts w:eastAsiaTheme="minorEastAsia"/>
        </w:rPr>
        <w:t>mortality</w:t>
      </w:r>
      <w:r w:rsidR="5D5E8F74" w:rsidRPr="1AE03775">
        <w:rPr>
          <w:rFonts w:eastAsiaTheme="minorEastAsia"/>
        </w:rPr>
        <w:t>, such as stigma discouraging people from accessing treatment and care</w:t>
      </w:r>
      <w:r w:rsidR="5D5E8F74" w:rsidRPr="0028E38F">
        <w:rPr>
          <w:rFonts w:eastAsiaTheme="minorEastAsia"/>
        </w:rPr>
        <w:t>,</w:t>
      </w:r>
      <w:r w:rsidR="003C5EFC">
        <w:rPr>
          <w:rFonts w:eastAsiaTheme="minorEastAsia"/>
        </w:rPr>
        <w:fldChar w:fldCharType="begin"/>
      </w:r>
      <w:r w:rsidR="00BB7651">
        <w:rPr>
          <w:rFonts w:eastAsiaTheme="minorEastAsia"/>
        </w:rPr>
        <w:instrText xml:space="preserve"> ADDIN ZOTERO_ITEM CSL_CITATION {"citationID":"qhvPB0vy","properties":{"formattedCitation":"\\super 67,68\\nosupersub{}","plainCitation":"67,68","noteIndex":0},"citationItems":[{"id":128116,"uris":["http://zotero.org/groups/2154524/items/I63GEXVW"],"itemData":{"id":128116,"type":"article-journal","abstract":"Objectives\nTo study the prevalence of HIV-related stigma and the effect of stigma on HIV treatment adoption among PLWHA attending HIV treatment locations in some selected states in the North-West geopolitical zone of Nigeria.\nMethods\nA cross-sectional survey was conducted (using structured questionnaires) among PLWHA in three selected states in the North-West geopolitical zone of Nigeria and Abuja, the Federal Capital Territory (FCT). The multiple logistic regressions analysis was used to determine factors associated with HIV-related stigma and adoption of HIV treatment.\nResults\nIt was found that 71(21.3%), 88(26.3%) and 43(12.8%) of the participants were facing HIV-related stigma from their place of works, the public and their family members. Also, the results of the logistic regressions show that PLWHA who have no formal education and those with primary education were less likely to face stigma from the public (OR-0.212; 95% CI-0.064–0.702; p&lt;0.05) and their employers (OR-0.236; 95% CI-0.072–0.775; p&lt;0.05) respectively.\nConclusion\nAlthough majority of the participants claimed not to be facing any form of HIV-related stigma, the prevalence of HIV-related stigma observed (job related stigma – 21.3%, stigma from the public – 26.3% and stigma from family members-12.8%) among the participants in this study still calls for concern.","container-title":"HIV &amp; AIDS Review","DOI":"10.1016/j.hivar.2010.12.004","ISSN":"1730-1270","issue":"1","journalAbbreviation":"HIV &amp; AIDS Review","page":"19-25","source":"ScienceDirect","title":"HIV/AIDS-related stigma and access to HIV treatments by people living with HIV/AIDS: A case study of selected states in North-West Nigeria","title-short":"HIV/AIDS-related stigma and access to HIV treatments by people living with HIV/AIDS","volume":"10","author":[{"family":"Akpa","given":"Onoja Matthew"},{"family":"Adeolu-Olaiya","given":"Victoria"},{"family":"Olusegun-Odebiri","given":"C. Adenike"},{"family":"Aganaba","given":"Doyin"}],"issued":{"date-parts":[["2011",3,1]]}}},{"id":128117,"uris":["http://zotero.org/groups/2154524/items/AGVBA8AB"],"itemData":{"id":128117,"type":"article-journal","abstract":"Access to antiretroviral therapy is desperately needed in Nigeria. Increased access to anti-retroviral therapy for HIV treatment contributes to improved quality of life and reduced health care costs. It may assist in reduction of stigma and risk of HIV transmission. Although a lot of global funding has been mobilised to improve access to HIV treatment, many people in Nigeria still do not have access. The HIV treatment access rate in Nigeria is 16.6%. It is often assumed that with the provision of antiretroviral therapy, patients will readily access HIV treatment. However, as this grounded theory (GT) study suggests, stigma stands out as a major barrier to HIV prevention and treatment services in Nigeria. The main concern of the participants that emerged in this GT study was the fear of different types of stigma that stand as barriers to access. Self stigma, familial stigma and community stigma, institutional stigma and organisational stigma surfaced as issues that influence access. The participants were also able to overcome stigma and other barriers to accessing HIV treatment through the use of social connections. Social connection emerges as the core category of this theory. The core determinant to engaging with social connectors is the type of disclosing strategy utilised by the research participants. The social connection theory on access developed from this study suggests that although stigma poses a major barrier to HIV treatment, social connectors can play a major role in supporting the patient in overcoming barriers to access HIV treatment. Social connectors were identified as trusted acquaintances that influenced how and when HIV patients access treatment. I therefore argue in this paper that in African settings, social connectors should be targeted in access programs and not just the individual patient. The theory may be adapted for other diseases associated with stigma, such as leprosy or mental illnesses. It may also be relevant for African patients living in western or non-African contexts or in contexts within developed countries where there is strong social capital.","container-title":"The Grounded Theory Review","ISSN":"1556-1550","issue":"2","language":"en","license":"strath_1","note":"number-of-pages: 28\nnumber: 2","page":"63-90","source":"strathprints.strath.ac.uk","title":"Stigma in access to HIV treatment in African countries: the importance of social connections","title-short":"Stigma in access to HIV treatment in African Countries","volume":"10","author":[{"family":"Oturu","given":"Kingsley"}],"issued":{"date-parts":[["2011",6,30]]}}}],"schema":"https://github.com/citation-style-language/schema/raw/master/csl-citation.json"} </w:instrText>
      </w:r>
      <w:r w:rsidR="003C5EFC">
        <w:rPr>
          <w:rFonts w:eastAsiaTheme="minorEastAsia"/>
        </w:rPr>
        <w:fldChar w:fldCharType="separate"/>
      </w:r>
      <w:r w:rsidR="00BB7651" w:rsidRPr="00BB7651">
        <w:rPr>
          <w:rFonts w:cs="Times New Roman"/>
          <w:szCs w:val="24"/>
          <w:vertAlign w:val="superscript"/>
        </w:rPr>
        <w:t>67,68</w:t>
      </w:r>
      <w:r w:rsidR="003C5EFC">
        <w:rPr>
          <w:rFonts w:eastAsiaTheme="minorEastAsia"/>
        </w:rPr>
        <w:fldChar w:fldCharType="end"/>
      </w:r>
      <w:r w:rsidR="5D5E8F74" w:rsidRPr="1AE03775">
        <w:rPr>
          <w:rFonts w:eastAsiaTheme="minorEastAsia"/>
        </w:rPr>
        <w:t xml:space="preserve"> limited health</w:t>
      </w:r>
      <w:r w:rsidR="008042C4">
        <w:rPr>
          <w:rFonts w:eastAsiaTheme="minorEastAsia"/>
        </w:rPr>
        <w:t>-</w:t>
      </w:r>
      <w:r w:rsidR="5D5E8F74" w:rsidRPr="1AE03775">
        <w:rPr>
          <w:rFonts w:eastAsiaTheme="minorEastAsia"/>
        </w:rPr>
        <w:t xml:space="preserve">care </w:t>
      </w:r>
      <w:r w:rsidR="3EA3DD46" w:rsidRPr="1AE03775">
        <w:rPr>
          <w:rFonts w:eastAsiaTheme="minorEastAsia"/>
        </w:rPr>
        <w:t>infrastructure</w:t>
      </w:r>
      <w:r w:rsidR="3EA3DD46" w:rsidRPr="2A5BC196">
        <w:rPr>
          <w:rFonts w:eastAsiaTheme="minorEastAsia"/>
        </w:rPr>
        <w:t>,</w:t>
      </w:r>
      <w:r w:rsidR="00E742FB">
        <w:rPr>
          <w:rFonts w:eastAsiaTheme="minorEastAsia"/>
        </w:rPr>
        <w:fldChar w:fldCharType="begin"/>
      </w:r>
      <w:r w:rsidR="00BB7651">
        <w:rPr>
          <w:rFonts w:eastAsiaTheme="minorEastAsia"/>
        </w:rPr>
        <w:instrText xml:space="preserve"> ADDIN ZOTERO_ITEM CSL_CITATION {"citationID":"zGEHbx8Z","properties":{"formattedCitation":"\\super 69\\nosupersub{}","plainCitation":"69","noteIndex":0},"citationItems":[{"id":128163,"uris":["http://zotero.org/groups/2154524/items/Y5V8DZI9"],"itemData":{"id":128163,"type":"article-journal","abstract":"Background Long-term retention of patients in Africa's rapidly expanding antiretroviral therapy (ART) programs for HIV/AIDS is essential for these programs' success but has received relatively little attention. In this paper we present a systematic review of patient retention in ART programs in sub-Saharan Africa. Methods and Findings We searched Medline, other literature databases, conference abstracts, publications archives, and the “gray literature” (project reports available online) between 2000 and 2007 for reports on the proportion of adult patients retained (i.e., remaining in care and on ART) after 6 mo or longer in sub-Saharan African, non-research ART programs, with and without donor support. Estimated retention rates at 6, 12, and 24 mo were calculated and plotted for each program. Retention was also estimated using Kaplan-Meier curves. In sensitivity analyses we considered best-case, worst-case, and midpoint scenarios for retention at 2 y; the best-case scenario assumed no further attrition beyond that reported, while the worst-case scenario assumed that attrition would continue in a linear fashion. We reviewed 32 publications reporting on 33 patient cohorts (74,192 patients, 13 countries). For all studies, the weighted average follow-up period reported was 9.9 mo, after which 77.5% of patients were retained. Loss to follow-up and death accounted for 56% and 40% of attrition, respectively. Weighted mean retention rates as reported were 79.1%, 75.0% and 61.6 % at 6, 12, and 24 mo, respectively. Of those reporting 24 mo of follow-up, the best program retained 85% of patients and the worst retained 46%. Attrition was higher in studies with shorter reporting periods, leading to monthly weighted mean attrition rates of 3.3%/mo, 1.9%/mo, and 1.6%/month for studies reporting to 6, 12, and 24 months, respectively, and suggesting that overall patient retention may be overestimated in the published reports. In sensitivity analyses, estimated retention rates ranged from 24% in the worse case to 77% in the best case at the end of 2 y, with a plausible midpoint scenario of 50%. Conclusions Since the inception of large-scale ART access early in this decade, ART programs in Africa have retained about 60% of their patients at the end of 2 y. Loss to follow-up is the major cause of attrition, followed by death. Better patient tracing procedures, better understanding of loss to follow-up, and earlier initiation of ART to reduce mortality are needed if retention is to be improved. Retention varies widely across programs, and programs that have achieved higher retention rates can serve as models for future improvements.","container-title":"PLOS Medicine","DOI":"10.1371/journal.pmed.0040298","ISSN":"1549-1676","issue":"10","journalAbbreviation":"PLOS Medicine","language":"en","note":"publisher: Public Library of Science","page":"e298","source":"PLoS Journals","title":"Patient retention in antiretroviral therapy programs in sub-Saharan Africa: a systematic review","title-short":"Patient retention in antiretroviral therapy programs in sub-saharan africa","volume":"4","author":[{"family":"Rosen","given":"Sydney"},{"family":"Fox","given":"Matthew P."},{"family":"Gill","given":"Christopher J."}],"issued":{"date-parts":[["2007",10,16]]}}}],"schema":"https://github.com/citation-style-language/schema/raw/master/csl-citation.json"} </w:instrText>
      </w:r>
      <w:r w:rsidR="00E742FB">
        <w:rPr>
          <w:rFonts w:eastAsiaTheme="minorEastAsia"/>
        </w:rPr>
        <w:fldChar w:fldCharType="separate"/>
      </w:r>
      <w:r w:rsidR="00BB7651" w:rsidRPr="00BB7651">
        <w:rPr>
          <w:rFonts w:cs="Times New Roman"/>
          <w:szCs w:val="24"/>
          <w:vertAlign w:val="superscript"/>
        </w:rPr>
        <w:t>69</w:t>
      </w:r>
      <w:r w:rsidR="00E742FB">
        <w:rPr>
          <w:rFonts w:eastAsiaTheme="minorEastAsia"/>
        </w:rPr>
        <w:fldChar w:fldCharType="end"/>
      </w:r>
      <w:r w:rsidR="3EA3DD46" w:rsidRPr="1AE03775">
        <w:rPr>
          <w:rFonts w:eastAsiaTheme="minorEastAsia"/>
        </w:rPr>
        <w:t xml:space="preserve"> access to testing</w:t>
      </w:r>
      <w:r w:rsidR="4B452414" w:rsidRPr="0028E38F">
        <w:rPr>
          <w:rFonts w:eastAsiaTheme="minorEastAsia"/>
        </w:rPr>
        <w:t>,</w:t>
      </w:r>
      <w:r w:rsidR="004655C1">
        <w:rPr>
          <w:rFonts w:eastAsiaTheme="minorEastAsia"/>
        </w:rPr>
        <w:fldChar w:fldCharType="begin"/>
      </w:r>
      <w:r w:rsidR="00BB7651">
        <w:rPr>
          <w:rFonts w:eastAsiaTheme="minorEastAsia"/>
        </w:rPr>
        <w:instrText xml:space="preserve"> ADDIN ZOTERO_ITEM CSL_CITATION {"citationID":"gKZlsaYc","properties":{"formattedCitation":"\\super 70\\nosupersub{}","plainCitation":"70","noteIndex":0},"citationItems":[{"id":128120,"uris":["http://zotero.org/groups/2154524/items/5VIIX3FB"],"itemData":{"id":128120,"type":"article-journal","container-title":"Foreign Affairs","ISSN":"0015-7120","issue":"4","note":"publisher: Council on Foreign Relations","page":"1-42","source":"JSTOR","title":"Access to HIV Prevention: Closing the Gap","title-short":"Access to HIV Prevention","volume":"82","author":[{"literal":"Global HIV Prevention Working Group"}],"issued":{"date-parts":[["2003"]]}}}],"schema":"https://github.com/citation-style-language/schema/raw/master/csl-citation.json"} </w:instrText>
      </w:r>
      <w:r w:rsidR="004655C1">
        <w:rPr>
          <w:rFonts w:eastAsiaTheme="minorEastAsia"/>
        </w:rPr>
        <w:fldChar w:fldCharType="separate"/>
      </w:r>
      <w:r w:rsidR="00BB7651" w:rsidRPr="00BB7651">
        <w:rPr>
          <w:rFonts w:cs="Times New Roman"/>
          <w:szCs w:val="24"/>
          <w:vertAlign w:val="superscript"/>
        </w:rPr>
        <w:t>70</w:t>
      </w:r>
      <w:r w:rsidR="004655C1">
        <w:rPr>
          <w:rFonts w:eastAsiaTheme="minorEastAsia"/>
        </w:rPr>
        <w:fldChar w:fldCharType="end"/>
      </w:r>
      <w:r w:rsidR="3EA3DD46" w:rsidRPr="1AE03775">
        <w:rPr>
          <w:rFonts w:eastAsiaTheme="minorEastAsia"/>
        </w:rPr>
        <w:t xml:space="preserve"> </w:t>
      </w:r>
      <w:r w:rsidR="666F7EEC" w:rsidRPr="0D3C3A92">
        <w:rPr>
          <w:rFonts w:eastAsiaTheme="minorEastAsia"/>
        </w:rPr>
        <w:t>coverage of ART</w:t>
      </w:r>
      <w:r w:rsidR="008042C4">
        <w:rPr>
          <w:rFonts w:eastAsiaTheme="minorEastAsia"/>
        </w:rPr>
        <w:t xml:space="preserve"> treatments,</w:t>
      </w:r>
      <w:r w:rsidR="00DE5672">
        <w:rPr>
          <w:rFonts w:eastAsiaTheme="minorEastAsia"/>
        </w:rPr>
        <w:fldChar w:fldCharType="begin"/>
      </w:r>
      <w:r w:rsidR="00BB7651">
        <w:rPr>
          <w:rFonts w:eastAsiaTheme="minorEastAsia"/>
        </w:rPr>
        <w:instrText xml:space="preserve"> ADDIN ZOTERO_ITEM CSL_CITATION {"citationID":"8tT3nFlG","properties":{"formattedCitation":"\\super 71\\nosupersub{}","plainCitation":"71","noteIndex":0},"citationItems":[{"id":128121,"uris":["http://zotero.org/groups/2154524/items/GDGMU57D"],"itemData":{"id":128121,"type":"article-journal","container-title":"AIDS (London, England)","DOI":"10.1097/QAD.0000000000000900","ISSN":"1473-5571","issue":"3","journalAbbreviation":"AIDS","language":"eng","note":"PMID: 26765941","page":"521-523","source":"PubMed","title":"Accounting for and responding to HIV-associated mortality","volume":"30","author":[{"family":"Ford","given":"Nathan"},{"family":"Boulle","given":"Andrew"},{"family":"Egger","given":"Matthias"}],"issued":{"date-parts":[["2016",1,28]]}}}],"schema":"https://github.com/citation-style-language/schema/raw/master/csl-citation.json"} </w:instrText>
      </w:r>
      <w:r w:rsidR="00DE5672">
        <w:rPr>
          <w:rFonts w:eastAsiaTheme="minorEastAsia"/>
        </w:rPr>
        <w:fldChar w:fldCharType="separate"/>
      </w:r>
      <w:r w:rsidR="00BB7651" w:rsidRPr="00BB7651">
        <w:rPr>
          <w:rFonts w:cs="Times New Roman"/>
          <w:szCs w:val="24"/>
          <w:vertAlign w:val="superscript"/>
        </w:rPr>
        <w:t>71</w:t>
      </w:r>
      <w:r w:rsidR="00DE5672">
        <w:rPr>
          <w:rFonts w:eastAsiaTheme="minorEastAsia"/>
        </w:rPr>
        <w:fldChar w:fldCharType="end"/>
      </w:r>
      <w:r w:rsidR="3EA3DD46" w:rsidRPr="3BFCD1D2">
        <w:rPr>
          <w:rFonts w:eastAsiaTheme="minorEastAsia"/>
        </w:rPr>
        <w:t xml:space="preserve"> </w:t>
      </w:r>
      <w:r w:rsidR="3EA3DD46" w:rsidRPr="1AE03775">
        <w:rPr>
          <w:rFonts w:eastAsiaTheme="minorEastAsia"/>
        </w:rPr>
        <w:t xml:space="preserve">and complications due to co-occurring diseases </w:t>
      </w:r>
      <w:r w:rsidR="0B8886EF" w:rsidRPr="1AE03775">
        <w:rPr>
          <w:rFonts w:eastAsiaTheme="minorEastAsia"/>
        </w:rPr>
        <w:t>like tuberculosis and HIV</w:t>
      </w:r>
      <w:r w:rsidR="48E84FBE" w:rsidRPr="0028E38F">
        <w:rPr>
          <w:rFonts w:eastAsiaTheme="minorEastAsia"/>
        </w:rPr>
        <w:t>.</w:t>
      </w:r>
      <w:r w:rsidR="0099745E">
        <w:rPr>
          <w:rFonts w:eastAsiaTheme="minorEastAsia"/>
        </w:rPr>
        <w:fldChar w:fldCharType="begin"/>
      </w:r>
      <w:r w:rsidR="00BB7651">
        <w:rPr>
          <w:rFonts w:eastAsiaTheme="minorEastAsia"/>
        </w:rPr>
        <w:instrText xml:space="preserve"> ADDIN ZOTERO_ITEM CSL_CITATION {"citationID":"w8O3jmtR","properties":{"formattedCitation":"\\super 72\\nosupersub{}","plainCitation":"72","noteIndex":0},"citationItems":[{"id":128124,"uris":["http://zotero.org/groups/2154524/items/YD4JSG5A"],"itemData":{"id":128124,"type":"article-journal","abstract":"Background Tuberculosis is a leading cause of death in people living with HIV (PLWH). We conducted a meta analysis to assess the effect of tuberculosis on mortality in people living with HIV. Methods Meta-analysis of cohort studies assessing the effect of tuberculosis on mortality in PLWH. To identify eligible studies we systematically searched electronic databases (until December 2008), performed manual searches of citations from relevant articles, and reviewed conference proceedings. Multivariate hazard ratios (HR) of mortality in PLWH with and without tuberculosis, estimated in individual cohort studies, were pooled using random effect weighting according to “Der Simonian Laird method” if the p-value of the heterogeneity test was &lt;0.05. Results Fifteen cohort studies were systematically retrieved. Pooled overall analysis of these 15 studies estimating the effect of tuberculosis on mortality in PLWH showed a Hazard Ratio (HR) of 1.8 (95% confidence interval (CI): 1.4–2.3). Subanalysis of 8 studies in which the cohort was not exposed to highly active antiretroviral therapy (HAART) showed an HR of 2.6 (95% CI: 1.8–3.6). Subanalysis of 6 studies showed that tuberculosis did not show an effect on mortality in PLWH exposed to HAART: HR 1.1 (95% CI: 0.9–1.3). Conclusion These results provide an indication of the magnitude of benefit to an individual that could have been expected if tuberculosis had been prevented. It emphasizes the need for additional studies assessing the effect of preventing tuberculosis or early diagnosis and treatment of tuberculosis in PLWH on reducing mortality. Furthermore, the results of the subgroup analyses in cohorts largely exposed to HAART provide additional support to WHO's revised guidelines, which include promoting the initiation of HAART for PLWH co-infected with tuberculosis. The causal effect of tuberculosis on mortality in PLWH exposed to HAART needs to be further evaluated once the results of more cohort studies become available.","container-title":"PLOS ONE","DOI":"10.1371/journal.pone.0015241","ISSN":"1932-6203","issue":"12","journalAbbreviation":"PLOS ONE","language":"en","note":"publisher: Public Library of Science","page":"e15241","source":"PLoS Journals","title":"The effect of tuberculosis on mortality in HIV positive people: a meta-analysis","title-short":"The effect of tuberculosis on mortality in hiv positive people","volume":"5","author":[{"family":"Straetemans","given":"Masja"},{"family":"Bierrenbach","given":"Ana L."},{"family":"Nagelkerke","given":"Nico"},{"family":"Glaziou","given":"Philippe"},{"family":"Werf","given":"Marieke J.","dropping-particle":"van der"}],"issued":{"date-parts":[["2010",12,30]]}}}],"schema":"https://github.com/citation-style-language/schema/raw/master/csl-citation.json"} </w:instrText>
      </w:r>
      <w:r w:rsidR="0099745E">
        <w:rPr>
          <w:rFonts w:eastAsiaTheme="minorEastAsia"/>
        </w:rPr>
        <w:fldChar w:fldCharType="separate"/>
      </w:r>
      <w:r w:rsidR="00BB7651" w:rsidRPr="00BB7651">
        <w:rPr>
          <w:rFonts w:cs="Times New Roman"/>
          <w:szCs w:val="24"/>
          <w:vertAlign w:val="superscript"/>
        </w:rPr>
        <w:t>72</w:t>
      </w:r>
      <w:r w:rsidR="0099745E">
        <w:rPr>
          <w:rFonts w:eastAsiaTheme="minorEastAsia"/>
        </w:rPr>
        <w:fldChar w:fldCharType="end"/>
      </w:r>
      <w:r w:rsidR="2A8C6BCE" w:rsidRPr="4DF674DB">
        <w:rPr>
          <w:rFonts w:eastAsiaTheme="minorEastAsia"/>
        </w:rPr>
        <w:t xml:space="preserve"> </w:t>
      </w:r>
      <w:r w:rsidR="040339AF" w:rsidRPr="4DF674DB">
        <w:rPr>
          <w:rFonts w:eastAsiaTheme="minorEastAsia"/>
        </w:rPr>
        <w:t>Preventative measures are particularly important for the reduction of HIV mortality because HIV prevalence is the primary contributor to high mortality rates.</w:t>
      </w:r>
      <w:r w:rsidR="48E84FBE" w:rsidRPr="1AE03775">
        <w:rPr>
          <w:rFonts w:eastAsiaTheme="minorEastAsia"/>
        </w:rPr>
        <w:t xml:space="preserve"> While countries can learn from successful HIV campaigns and </w:t>
      </w:r>
      <w:r w:rsidR="48E84FBE" w:rsidRPr="1AE03775">
        <w:rPr>
          <w:rFonts w:eastAsiaTheme="minorEastAsia"/>
        </w:rPr>
        <w:lastRenderedPageBreak/>
        <w:t>strategies, global support is needed</w:t>
      </w:r>
      <w:r w:rsidR="1DA47555" w:rsidRPr="1AE03775">
        <w:rPr>
          <w:rFonts w:eastAsiaTheme="minorEastAsia"/>
        </w:rPr>
        <w:t xml:space="preserve"> </w:t>
      </w:r>
      <w:r w:rsidR="5F4BAB2E" w:rsidRPr="1AE03775">
        <w:rPr>
          <w:rFonts w:eastAsiaTheme="minorEastAsia"/>
        </w:rPr>
        <w:t xml:space="preserve">to ensure HIV </w:t>
      </w:r>
      <w:r w:rsidR="1436E004" w:rsidRPr="1AE03775">
        <w:rPr>
          <w:rFonts w:eastAsiaTheme="minorEastAsia"/>
        </w:rPr>
        <w:t>treatment</w:t>
      </w:r>
      <w:r w:rsidR="5F4BAB2E" w:rsidRPr="1AE03775">
        <w:rPr>
          <w:rFonts w:eastAsiaTheme="minorEastAsia"/>
        </w:rPr>
        <w:t xml:space="preserve"> and </w:t>
      </w:r>
      <w:r w:rsidR="1DA0AA41" w:rsidRPr="1AE03775">
        <w:rPr>
          <w:rFonts w:eastAsiaTheme="minorEastAsia"/>
        </w:rPr>
        <w:t>preventative</w:t>
      </w:r>
      <w:r w:rsidR="5F4BAB2E" w:rsidRPr="1AE03775">
        <w:rPr>
          <w:rFonts w:eastAsiaTheme="minorEastAsia"/>
        </w:rPr>
        <w:t xml:space="preserve"> measures are accessible to all populations at risk</w:t>
      </w:r>
      <w:r w:rsidR="5F4BAB2E" w:rsidRPr="0028E38F">
        <w:rPr>
          <w:rFonts w:eastAsiaTheme="minorEastAsia"/>
        </w:rPr>
        <w:t>.</w:t>
      </w:r>
      <w:r w:rsidR="008E118B">
        <w:rPr>
          <w:rFonts w:eastAsiaTheme="minorEastAsia"/>
        </w:rPr>
        <w:fldChar w:fldCharType="begin"/>
      </w:r>
      <w:r w:rsidR="00BB7651">
        <w:rPr>
          <w:rFonts w:eastAsiaTheme="minorEastAsia"/>
        </w:rPr>
        <w:instrText xml:space="preserve"> ADDIN ZOTERO_ITEM CSL_CITATION {"citationID":"qE3p6RIz","properties":{"formattedCitation":"\\super 70,73,74\\nosupersub{}","plainCitation":"70,73,74","noteIndex":0},"citationItems":[{"id":128120,"uris":["http://zotero.org/groups/2154524/items/5VIIX3FB"],"itemData":{"id":128120,"type":"article-journal","container-title":"Foreign Affairs","ISSN":"0015-7120","issue":"4","note":"publisher: Council on Foreign Relations","page":"1-42","source":"JSTOR","title":"Access to HIV Prevention: Closing the Gap","title-short":"Access to HIV Prevention","volume":"82","author":[{"literal":"Global HIV Prevention Working Group"}],"issued":{"date-parts":[["2003"]]}}},{"id":128126,"uris":["http://zotero.org/groups/2154524/items/K9MNGB6F"],"itemData":{"id":128126,"type":"article-journal","container-title":"The Lancet","DOI":"10.1016/S0140-6736(08)60888-0","ISSN":"0140-6736, 1474-547X","issue":"9641","journalAbbreviation":"The Lancet","language":"English","note":"publisher: Elsevier\nPMID: 18687458","page":"845-859","source":"www.thelancet.com","title":"Coming to terms with complexity: a call to action for HIV prevention","title-short":"Coming to terms with complexity","volume":"372","author":[{"family":"Piot","given":"Peter"},{"family":"Bartos","given":"Michael"},{"family":"Larson","given":"Heidi"},{"family":"Zewdie","given":"Debrework"},{"family":"Mane","given":"Purnima"}],"issued":{"date-parts":[["2008",9,6]]}}},{"id":128128,"uris":["http://zotero.org/groups/2154524/items/YM2J8M28"],"itemData":{"id":128128,"type":"article-journal","container-title":"The Lancet","DOI":"10.1016/S0140-6736(08)60887-9","ISSN":"0140-6736, 1474-547X","issue":"9640","journalAbbreviation":"The Lancet","language":"English","note":"publisher: Elsevier\nPMID: 18687460","page":"764-775","source":"www.thelancet.com","title":"Structural approaches to HIV prevention","volume":"372","author":[{"family":"Gupta","given":"Geeta Rao"},{"family":"Parkhurst","given":"Justin O."},{"family":"Ogden","given":"Jessica A."},{"family":"Aggleton","given":"Peter"},{"family":"Mahal","given":"Ajay"}],"issued":{"date-parts":[["2008",8,30]]}}}],"schema":"https://github.com/citation-style-language/schema/raw/master/csl-citation.json"} </w:instrText>
      </w:r>
      <w:r w:rsidR="008E118B">
        <w:rPr>
          <w:rFonts w:eastAsiaTheme="minorEastAsia"/>
        </w:rPr>
        <w:fldChar w:fldCharType="separate"/>
      </w:r>
      <w:r w:rsidR="00BB7651" w:rsidRPr="00BB7651">
        <w:rPr>
          <w:rFonts w:cs="Times New Roman"/>
          <w:szCs w:val="24"/>
          <w:vertAlign w:val="superscript"/>
        </w:rPr>
        <w:t>70,73,74</w:t>
      </w:r>
      <w:r w:rsidR="008E118B">
        <w:rPr>
          <w:rFonts w:eastAsiaTheme="minorEastAsia"/>
        </w:rPr>
        <w:fldChar w:fldCharType="end"/>
      </w:r>
      <w:r w:rsidR="00C32A22">
        <w:t xml:space="preserve"> </w:t>
      </w:r>
      <w:r w:rsidR="00F776AB">
        <w:t xml:space="preserve">Additionally, changes in death patterns of tuberculosis indicated mortality concentration, with 90% of deaths occurring in locations containing 66% of the entire population in 1990, decreasing to 62% by 2021. </w:t>
      </w:r>
      <w:r w:rsidR="17C83C05">
        <w:t xml:space="preserve">Deaths from </w:t>
      </w:r>
      <w:r w:rsidR="6A291FEC">
        <w:t>tubercul</w:t>
      </w:r>
      <w:r w:rsidR="6A291FEC" w:rsidRPr="00074E3B">
        <w:t>osis</w:t>
      </w:r>
      <w:r w:rsidR="17C83C05" w:rsidRPr="00074E3B">
        <w:t xml:space="preserve"> are</w:t>
      </w:r>
      <w:r w:rsidR="17C83C05">
        <w:t xml:space="preserve"> now largely concentrated within </w:t>
      </w:r>
      <w:r w:rsidR="00B11874">
        <w:t>s</w:t>
      </w:r>
      <w:r w:rsidR="00B805F1" w:rsidRPr="00B805F1">
        <w:t xml:space="preserve">outh Asia, </w:t>
      </w:r>
      <w:r w:rsidR="00B11874">
        <w:t>s</w:t>
      </w:r>
      <w:r w:rsidR="00B805F1" w:rsidRPr="00B805F1">
        <w:t xml:space="preserve">outheast Asia, and </w:t>
      </w:r>
      <w:r w:rsidR="6C4161C1">
        <w:t>sub-Saharan Africa</w:t>
      </w:r>
      <w:r w:rsidR="006661E1">
        <w:t>.</w:t>
      </w:r>
    </w:p>
    <w:p w14:paraId="1544A8D7" w14:textId="0D58E1AA" w:rsidR="5686D2BC" w:rsidRDefault="27A96863" w:rsidP="6E4B34C8">
      <w:pPr>
        <w:spacing w:line="360" w:lineRule="auto"/>
        <w:rPr>
          <w:rFonts w:eastAsia="Times New Roman" w:cs="Times New Roman"/>
        </w:rPr>
      </w:pPr>
      <w:r w:rsidRPr="04B91D30">
        <w:rPr>
          <w:rFonts w:eastAsiaTheme="minorEastAsia"/>
        </w:rPr>
        <w:t>In many high</w:t>
      </w:r>
      <w:r w:rsidR="00ED0A4A">
        <w:rPr>
          <w:rFonts w:eastAsiaTheme="minorEastAsia"/>
        </w:rPr>
        <w:t>-</w:t>
      </w:r>
      <w:r w:rsidRPr="04B91D30">
        <w:rPr>
          <w:rFonts w:eastAsiaTheme="minorEastAsia"/>
        </w:rPr>
        <w:t xml:space="preserve">income nations, the overall rate of neonatal deaths decreased </w:t>
      </w:r>
      <w:r w:rsidR="00ED0A4A">
        <w:rPr>
          <w:rFonts w:eastAsiaTheme="minorEastAsia"/>
        </w:rPr>
        <w:t>between</w:t>
      </w:r>
      <w:r w:rsidR="00ED0A4A" w:rsidRPr="04B91D30">
        <w:rPr>
          <w:rFonts w:eastAsiaTheme="minorEastAsia"/>
        </w:rPr>
        <w:t xml:space="preserve"> </w:t>
      </w:r>
      <w:r w:rsidRPr="04B91D30">
        <w:rPr>
          <w:rFonts w:eastAsiaTheme="minorEastAsia"/>
        </w:rPr>
        <w:t>1990</w:t>
      </w:r>
      <w:r w:rsidR="00ED0A4A">
        <w:rPr>
          <w:rFonts w:eastAsiaTheme="minorEastAsia"/>
        </w:rPr>
        <w:t xml:space="preserve"> and 2021</w:t>
      </w:r>
      <w:r w:rsidR="70BEAE7C" w:rsidRPr="13780C91">
        <w:rPr>
          <w:rFonts w:eastAsiaTheme="minorEastAsia"/>
        </w:rPr>
        <w:t>, becoming more concentrated over time</w:t>
      </w:r>
      <w:r w:rsidR="02CAB7F0" w:rsidRPr="6E3918EA">
        <w:rPr>
          <w:rFonts w:eastAsiaTheme="minorEastAsia"/>
        </w:rPr>
        <w:t>.</w:t>
      </w:r>
      <w:r w:rsidR="24608B67" w:rsidRPr="6E3918EA">
        <w:rPr>
          <w:rFonts w:eastAsia="Times New Roman" w:cs="Times New Roman"/>
          <w:color w:val="000000" w:themeColor="text1"/>
        </w:rPr>
        <w:t xml:space="preserve"> </w:t>
      </w:r>
      <w:r w:rsidR="4F71D732" w:rsidRPr="6E3918EA">
        <w:rPr>
          <w:rFonts w:eastAsia="Times New Roman" w:cs="Times New Roman"/>
          <w:color w:val="000000" w:themeColor="text1"/>
        </w:rPr>
        <w:t>N</w:t>
      </w:r>
      <w:r w:rsidR="24608B67" w:rsidRPr="6E3918EA">
        <w:rPr>
          <w:rFonts w:eastAsia="Times New Roman" w:cs="Times New Roman"/>
          <w:color w:val="000000" w:themeColor="text1"/>
        </w:rPr>
        <w:t>eonatal</w:t>
      </w:r>
      <w:r w:rsidR="70BEAE7C" w:rsidRPr="13780C91">
        <w:rPr>
          <w:rFonts w:eastAsia="Times New Roman" w:cs="Times New Roman"/>
          <w:color w:val="000000" w:themeColor="text1"/>
        </w:rPr>
        <w:t xml:space="preserve"> deaths</w:t>
      </w:r>
      <w:r w:rsidR="70BEAE7C">
        <w:t xml:space="preserve"> were concentrated in locations containing</w:t>
      </w:r>
      <w:r w:rsidR="51384D04">
        <w:t xml:space="preserve"> </w:t>
      </w:r>
      <w:r w:rsidR="2DB2F98E">
        <w:t xml:space="preserve">71% of the </w:t>
      </w:r>
      <w:r w:rsidR="00ED0A4A">
        <w:t xml:space="preserve">global </w:t>
      </w:r>
      <w:r w:rsidR="2DB2F98E">
        <w:t>population in 1990, decreasing to 51% by 2021</w:t>
      </w:r>
      <w:r w:rsidR="0222C8C2">
        <w:t>. Deaths</w:t>
      </w:r>
      <w:r w:rsidR="3F182CE8">
        <w:t xml:space="preserve"> from neonatal disorders are now concentrated within </w:t>
      </w:r>
      <w:r w:rsidR="1F80E968">
        <w:t xml:space="preserve">sub-Saharan Africa and </w:t>
      </w:r>
      <w:r w:rsidR="00ED0A4A">
        <w:t xml:space="preserve">south </w:t>
      </w:r>
      <w:r w:rsidR="1F80E968" w:rsidRPr="46581B23" w:rsidDel="5686D2BC">
        <w:t>Asia</w:t>
      </w:r>
      <w:r w:rsidR="3F182CE8">
        <w:t>.</w:t>
      </w:r>
      <w:r w:rsidR="00F751C9">
        <w:fldChar w:fldCharType="begin"/>
      </w:r>
      <w:r w:rsidR="00BB7651">
        <w:instrText xml:space="preserve"> ADDIN ZOTERO_ITEM CSL_CITATION {"citationID":"DPloAXTH","properties":{"formattedCitation":"\\super 75\\nosupersub{}","plainCitation":"75","noteIndex":0},"citationItems":[{"id":128298,"uris":["http://zotero.org/groups/2154524/items/5M9WEJNS"],"itemData":{"id":128298,"type":"article-journal","container-title":"The Lancet","issue":"10303","page":"870-905","title":"Global, regional, and national progress towards Sustainable Development Goal 3.2 for neonatal and child health: all-cause and cause-specific mortality findings from the Global Burden of Disease Study 2019","volume":"398","author":[{"literal":"GBD 2019 Under-5 Mortality Collaborators"}],"issued":{"date-parts":[["2021",9,4]]}}}],"schema":"https://github.com/citation-style-language/schema/raw/master/csl-citation.json"} </w:instrText>
      </w:r>
      <w:r w:rsidR="00F751C9">
        <w:fldChar w:fldCharType="separate"/>
      </w:r>
      <w:r w:rsidR="00BB7651" w:rsidRPr="00BB7651">
        <w:rPr>
          <w:rFonts w:cs="Times New Roman"/>
          <w:szCs w:val="24"/>
          <w:vertAlign w:val="superscript"/>
        </w:rPr>
        <w:t>75</w:t>
      </w:r>
      <w:r w:rsidR="00F751C9">
        <w:fldChar w:fldCharType="end"/>
      </w:r>
      <w:r w:rsidR="3F182CE8">
        <w:t xml:space="preserve"> Countries in </w:t>
      </w:r>
      <w:r w:rsidR="74F46CB0">
        <w:t xml:space="preserve">sub-Saharan Africa and </w:t>
      </w:r>
      <w:r w:rsidR="00ED0A4A">
        <w:t xml:space="preserve">south </w:t>
      </w:r>
      <w:r w:rsidR="74F46CB0">
        <w:t>Asia</w:t>
      </w:r>
      <w:r w:rsidR="3F182CE8">
        <w:t xml:space="preserve"> with the highest under-5 death rates from neonatal disorders in 2021 included </w:t>
      </w:r>
      <w:r w:rsidR="372677B3" w:rsidRPr="46581B23" w:rsidDel="5686D2BC">
        <w:t>Mali</w:t>
      </w:r>
      <w:r w:rsidR="3F182CE8">
        <w:t xml:space="preserve"> with a mortality rate of </w:t>
      </w:r>
      <w:r w:rsidR="245653C4">
        <w:t>846.</w:t>
      </w:r>
      <w:r w:rsidR="245653C4" w:rsidRPr="46581B23" w:rsidDel="5686D2BC">
        <w:t>9</w:t>
      </w:r>
      <w:r w:rsidR="3F182CE8">
        <w:t xml:space="preserve"> deaths (</w:t>
      </w:r>
      <w:r w:rsidR="00ED0A4A">
        <w:t xml:space="preserve">95% UI </w:t>
      </w:r>
      <w:r w:rsidR="7BDC9311">
        <w:t>712.</w:t>
      </w:r>
      <w:r w:rsidR="7BDC9311" w:rsidRPr="46581B23" w:rsidDel="5686D2BC">
        <w:t>0</w:t>
      </w:r>
      <w:r w:rsidR="3F182CE8" w:rsidRPr="002F4EB0">
        <w:t>–</w:t>
      </w:r>
      <w:r w:rsidR="2436082A" w:rsidRPr="002F4EB0">
        <w:t>997.</w:t>
      </w:r>
      <w:r w:rsidR="2436082A" w:rsidRPr="002F4EB0" w:rsidDel="5686D2BC">
        <w:t>7</w:t>
      </w:r>
      <w:r w:rsidR="3F182CE8">
        <w:t xml:space="preserve">) per 100 000, </w:t>
      </w:r>
      <w:r w:rsidR="5C9E4BF9">
        <w:t xml:space="preserve">South </w:t>
      </w:r>
      <w:r w:rsidR="5C9E4BF9" w:rsidRPr="46581B23" w:rsidDel="5686D2BC">
        <w:t>Sudan</w:t>
      </w:r>
      <w:r w:rsidR="3F182CE8">
        <w:t xml:space="preserve"> with </w:t>
      </w:r>
      <w:r w:rsidR="7E156160">
        <w:t>840.</w:t>
      </w:r>
      <w:r w:rsidR="7E156160" w:rsidRPr="46581B23" w:rsidDel="5686D2BC">
        <w:t>1</w:t>
      </w:r>
      <w:r w:rsidR="3F182CE8">
        <w:t xml:space="preserve"> deaths (</w:t>
      </w:r>
      <w:r w:rsidR="0947A42F">
        <w:t>624.</w:t>
      </w:r>
      <w:r w:rsidR="0947A42F" w:rsidRPr="46581B23" w:rsidDel="5686D2BC">
        <w:t>5</w:t>
      </w:r>
      <w:r w:rsidR="001B2FD0">
        <w:t>–</w:t>
      </w:r>
      <w:r w:rsidR="423896E6" w:rsidRPr="002F4EB0">
        <w:t>1105.</w:t>
      </w:r>
      <w:r w:rsidR="423896E6" w:rsidRPr="002F4EB0" w:rsidDel="5686D2BC">
        <w:t>8</w:t>
      </w:r>
      <w:r w:rsidR="3F182CE8">
        <w:t xml:space="preserve">) per 100 000, and </w:t>
      </w:r>
      <w:r w:rsidR="5B6AB379">
        <w:t xml:space="preserve">Sierra </w:t>
      </w:r>
      <w:r w:rsidR="5B6AB379" w:rsidRPr="46581B23" w:rsidDel="5686D2BC">
        <w:t>Leone</w:t>
      </w:r>
      <w:r w:rsidR="3F182CE8">
        <w:t xml:space="preserve"> with </w:t>
      </w:r>
      <w:r w:rsidR="729A059D">
        <w:t>754.</w:t>
      </w:r>
      <w:r w:rsidR="729A059D" w:rsidRPr="46581B23" w:rsidDel="3F182CE8">
        <w:t>2</w:t>
      </w:r>
      <w:r w:rsidR="3F182CE8">
        <w:t xml:space="preserve"> deaths </w:t>
      </w:r>
      <w:r w:rsidR="3F182CE8" w:rsidRPr="00F45398">
        <w:t>(</w:t>
      </w:r>
      <w:r w:rsidR="23948EA7" w:rsidRPr="00F45398">
        <w:t>588.</w:t>
      </w:r>
      <w:r w:rsidR="23948EA7" w:rsidRPr="00F45398" w:rsidDel="3F182CE8">
        <w:t>8</w:t>
      </w:r>
      <w:r w:rsidR="3F182CE8" w:rsidRPr="00F45398">
        <w:t>–</w:t>
      </w:r>
      <w:r w:rsidR="6897F7ED" w:rsidRPr="00F45398">
        <w:t>932.5</w:t>
      </w:r>
      <w:r w:rsidR="3F182CE8">
        <w:t>) per 100 000.</w:t>
      </w:r>
      <w:r w:rsidRPr="04B91D30">
        <w:rPr>
          <w:rFonts w:eastAsiaTheme="minorEastAsia"/>
        </w:rPr>
        <w:t xml:space="preserve"> However, </w:t>
      </w:r>
      <w:r w:rsidRPr="6E4B34C8">
        <w:rPr>
          <w:rFonts w:eastAsia="Times New Roman" w:cs="Times New Roman"/>
        </w:rPr>
        <w:t>the</w:t>
      </w:r>
      <w:r w:rsidR="3CF2460C" w:rsidRPr="6E4B34C8">
        <w:rPr>
          <w:rFonts w:eastAsia="Times New Roman" w:cs="Times New Roman"/>
        </w:rPr>
        <w:t xml:space="preserve"> disparity </w:t>
      </w:r>
      <w:r w:rsidRPr="6E4B34C8">
        <w:rPr>
          <w:rFonts w:eastAsia="Times New Roman" w:cs="Times New Roman"/>
        </w:rPr>
        <w:t xml:space="preserve">in mortality between high- and low-income countries and regions </w:t>
      </w:r>
      <w:r w:rsidR="40BBA996" w:rsidRPr="036A4C74">
        <w:rPr>
          <w:rFonts w:eastAsia="Times New Roman" w:cs="Times New Roman"/>
        </w:rPr>
        <w:t>highlights</w:t>
      </w:r>
      <w:r w:rsidRPr="6E4B34C8">
        <w:rPr>
          <w:rFonts w:eastAsia="Times New Roman" w:cs="Times New Roman"/>
        </w:rPr>
        <w:t xml:space="preserve"> </w:t>
      </w:r>
      <w:r w:rsidR="2D3F10CF" w:rsidRPr="3E3DE3D7">
        <w:rPr>
          <w:rFonts w:eastAsiaTheme="minorEastAsia"/>
        </w:rPr>
        <w:t>inequality in</w:t>
      </w:r>
      <w:r w:rsidR="5686D2BC" w:rsidRPr="3E3DE3D7" w:rsidDel="2D3F10CF">
        <w:rPr>
          <w:rFonts w:eastAsiaTheme="minorEastAsia"/>
        </w:rPr>
        <w:t xml:space="preserve"> </w:t>
      </w:r>
      <w:r w:rsidR="2D3F10CF" w:rsidRPr="3E3DE3D7">
        <w:rPr>
          <w:rFonts w:eastAsiaTheme="minorEastAsia"/>
        </w:rPr>
        <w:t>progress.</w:t>
      </w:r>
      <w:r w:rsidRPr="6E4B34C8">
        <w:rPr>
          <w:rFonts w:eastAsia="Times New Roman" w:cs="Times New Roman"/>
        </w:rPr>
        <w:t xml:space="preserve"> </w:t>
      </w:r>
      <w:r w:rsidR="0D24E00A" w:rsidRPr="6E4B34C8">
        <w:rPr>
          <w:rFonts w:eastAsia="Times New Roman" w:cs="Times New Roman"/>
        </w:rPr>
        <w:t>N</w:t>
      </w:r>
      <w:r w:rsidR="53C4B8D0" w:rsidRPr="6E4B34C8">
        <w:rPr>
          <w:rFonts w:eastAsia="Times New Roman" w:cs="Times New Roman"/>
        </w:rPr>
        <w:t>ewborn care that can decrease mortality consists of resuscitation, prevention of hypothermia</w:t>
      </w:r>
      <w:r w:rsidR="08A990D6" w:rsidRPr="6E4B34C8">
        <w:rPr>
          <w:rFonts w:eastAsia="Times New Roman" w:cs="Times New Roman"/>
        </w:rPr>
        <w:t>,</w:t>
      </w:r>
      <w:r w:rsidR="53C4B8D0" w:rsidRPr="6E4B34C8">
        <w:rPr>
          <w:rFonts w:eastAsia="Times New Roman" w:cs="Times New Roman"/>
        </w:rPr>
        <w:t xml:space="preserve"> infection,</w:t>
      </w:r>
      <w:r w:rsidR="0AF54D27" w:rsidRPr="6E4B34C8">
        <w:rPr>
          <w:rFonts w:eastAsia="Times New Roman" w:cs="Times New Roman"/>
        </w:rPr>
        <w:t xml:space="preserve"> </w:t>
      </w:r>
      <w:r w:rsidR="00327529">
        <w:rPr>
          <w:rFonts w:eastAsia="Times New Roman" w:cs="Times New Roman"/>
        </w:rPr>
        <w:t>i</w:t>
      </w:r>
      <w:r w:rsidR="0AF54D27" w:rsidRPr="6E4B34C8">
        <w:rPr>
          <w:rFonts w:eastAsia="Times New Roman" w:cs="Times New Roman"/>
        </w:rPr>
        <w:t xml:space="preserve">n-facility </w:t>
      </w:r>
      <w:r w:rsidR="4D9E7C59" w:rsidRPr="04B91D30">
        <w:rPr>
          <w:rFonts w:eastAsia="Times New Roman" w:cs="Times New Roman"/>
        </w:rPr>
        <w:t>d</w:t>
      </w:r>
      <w:r w:rsidR="4D9E7C59" w:rsidRPr="6E4B34C8">
        <w:rPr>
          <w:rFonts w:eastAsia="Times New Roman" w:cs="Times New Roman"/>
        </w:rPr>
        <w:t>elivery</w:t>
      </w:r>
      <w:r w:rsidR="00015337">
        <w:rPr>
          <w:rFonts w:eastAsia="Times New Roman" w:cs="Times New Roman"/>
        </w:rPr>
        <w:t>,</w:t>
      </w:r>
      <w:r w:rsidR="4C02F516" w:rsidRPr="7E395336">
        <w:rPr>
          <w:rFonts w:eastAsia="Times New Roman" w:cs="Times New Roman"/>
        </w:rPr>
        <w:t xml:space="preserve"> and</w:t>
      </w:r>
      <w:r w:rsidR="0AF54D27" w:rsidRPr="6E4B34C8">
        <w:rPr>
          <w:rFonts w:eastAsia="Times New Roman" w:cs="Times New Roman"/>
        </w:rPr>
        <w:t xml:space="preserve"> </w:t>
      </w:r>
      <w:r w:rsidR="53C4B8D0" w:rsidRPr="727A4218">
        <w:rPr>
          <w:rFonts w:eastAsia="Times New Roman" w:cs="Times New Roman"/>
        </w:rPr>
        <w:t>exclusive breastfeeding</w:t>
      </w:r>
      <w:r w:rsidR="3DE4C7C0" w:rsidRPr="0D7E2A20">
        <w:rPr>
          <w:rFonts w:eastAsia="Times New Roman" w:cs="Times New Roman"/>
        </w:rPr>
        <w:t>.</w:t>
      </w:r>
      <w:r w:rsidR="006426E0">
        <w:rPr>
          <w:rFonts w:eastAsia="Times New Roman" w:cs="Times New Roman"/>
        </w:rPr>
        <w:fldChar w:fldCharType="begin"/>
      </w:r>
      <w:r w:rsidR="00BB7651">
        <w:rPr>
          <w:rFonts w:eastAsia="Times New Roman" w:cs="Times New Roman"/>
        </w:rPr>
        <w:instrText xml:space="preserve"> ADDIN ZOTERO_ITEM CSL_CITATION {"citationID":"4x7W7LIo","properties":{"formattedCitation":"\\super 76,77\\nosupersub{}","plainCitation":"76,77","noteIndex":0},"citationItems":[{"id":128165,"uris":["http://zotero.org/groups/2154524/items/EW6LJWD5"],"itemData":{"id":128165,"type":"article-journal","abstract":"&lt;i&gt;Background:&lt;/i&gt; The global neonatal mortality of 28/1,000 live births is unacceptably high. Furthermore, the huge difference in mortality between high- and low-income countries and regions is presently one of the most burning human rights issues. The decline in neonatal mortality has been slow and is a main reason the Millennium Development Goal 4 does not seem to have been reached. &lt;i&gt;Objectives:&lt;/i&gt; Several countries have shown it is possible to reduce neonatal mortality quickly and dramatically without much cost. &lt;i&gt;Methods:&lt;/i&gt; It is important to learn from the successful countries and focus on the 3–4 major causes of neonatal death: asphyxia, infection, low birth weight/prematurity and congenital malformations. &lt;i&gt;Results:&lt;/i&gt; A reasonable short-term goal is to reduce global neonatal mortality to 15/1,000 which can be achieved without introduction of high technology medicine. A further reduction of mortality to 5/1,000 should be the next global goal. Reaching this would reduce the present 3.8 million annual deaths by 3 million. In order to do this, regionalization of health care should be implemented. Maternal health should be the focus, with free antenatal care and centralized deliveries with health personnel attending the birth. Education of girls is perhaps the best way to prevent perinatal and neonatal deaths. Ten simple recommendations are given to reduce neonatal mortality. One of these is that each newborn baby in the world should have free access to essential drugs. &lt;i&gt;Conclusions:&lt;/i&gt; It is possible to reduce newborn mortality in all countries and regions. Most important to achieve these goals is, however, political will.","container-title":"Neonatology","DOI":"10.1159/000320332","ISSN":"1661-7800, 1661-7819","issue":"4","journalAbbreviation":"Neonatology","language":"en","page":"250-257","source":"DOI.org (Crossref)","title":"Reducing global neonatal mortality is possible","volume":"99","author":[{"family":"Saugstad","given":"Ola Didrik"}],"issued":{"date-parts":[["2011"]]}},"label":"page"},{"id":128164,"uris":["http://zotero.org/groups/2154524/items/9R4LHINP"],"itemData":{"id":128164,"type":"article-journal","abstract":"Though promising progress has been made towards achieving the Millennium Development Goal four through substantial reduction in under-five mortality, the decline in neonatal mortality remains stagnant, mainly in the middle and low-income countries. As an option, health facility delivery is assumed to reduce this problem significantly. However, the existing evidences show contradicting conclusions about this fact, particularly in areas where enabling environments are constraint. Thus, this review was conducted with the aim of determining the pooled effect of health facility delivery on neonatal mortality.","container-title":"BMC Pregnancy and Childbirth","DOI":"10.1186/1471-2393-13-18","ISSN":"1471-2393","issue":"1","journalAbbreviation":"BMC Pregnancy and Childbirth","page":"18","source":"BioMed Central","title":"The effect of health facility delivery on neonatal mortality: systematic review and meta-analysis","title-short":"The effect of health facility delivery on neonatal mortality","volume":"13","author":[{"family":"Tura","given":"Gurmesa"},{"family":"Fantahun","given":"Mesganaw"},{"family":"Worku","given":"Alemayehu"}],"issued":{"date-parts":[["2013",1,22]]}},"label":"page"}],"schema":"https://github.com/citation-style-language/schema/raw/master/csl-citation.json"} </w:instrText>
      </w:r>
      <w:r w:rsidR="006426E0">
        <w:rPr>
          <w:rFonts w:eastAsia="Times New Roman" w:cs="Times New Roman"/>
        </w:rPr>
        <w:fldChar w:fldCharType="separate"/>
      </w:r>
      <w:r w:rsidR="00BB7651" w:rsidRPr="00BB7651">
        <w:rPr>
          <w:rFonts w:cs="Times New Roman"/>
          <w:szCs w:val="24"/>
          <w:vertAlign w:val="superscript"/>
        </w:rPr>
        <w:t>76,77</w:t>
      </w:r>
      <w:r w:rsidR="006426E0">
        <w:rPr>
          <w:rFonts w:eastAsia="Times New Roman" w:cs="Times New Roman"/>
        </w:rPr>
        <w:fldChar w:fldCharType="end"/>
      </w:r>
      <w:r w:rsidR="53C4B8D0" w:rsidRPr="727A4218">
        <w:rPr>
          <w:rFonts w:eastAsia="Times New Roman" w:cs="Times New Roman"/>
        </w:rPr>
        <w:t xml:space="preserve"> </w:t>
      </w:r>
      <w:r w:rsidR="6700D987" w:rsidRPr="15638025">
        <w:rPr>
          <w:rFonts w:eastAsia="Times New Roman" w:cs="Times New Roman"/>
        </w:rPr>
        <w:t xml:space="preserve">It </w:t>
      </w:r>
      <w:r w:rsidR="00045E07">
        <w:rPr>
          <w:rFonts w:eastAsia="Times New Roman" w:cs="Times New Roman"/>
        </w:rPr>
        <w:t>may</w:t>
      </w:r>
      <w:r w:rsidR="00C95FCC">
        <w:rPr>
          <w:rFonts w:eastAsia="Times New Roman" w:cs="Times New Roman"/>
        </w:rPr>
        <w:t xml:space="preserve"> </w:t>
      </w:r>
      <w:r w:rsidR="00045E07">
        <w:rPr>
          <w:rFonts w:eastAsia="Times New Roman" w:cs="Times New Roman"/>
        </w:rPr>
        <w:t>be</w:t>
      </w:r>
      <w:r w:rsidR="6700D987" w:rsidRPr="15638025">
        <w:rPr>
          <w:rFonts w:eastAsia="Times New Roman" w:cs="Times New Roman"/>
        </w:rPr>
        <w:t xml:space="preserve"> possible to reduce neonatal mortality </w:t>
      </w:r>
      <w:r w:rsidR="26B1C55E">
        <w:t>globally</w:t>
      </w:r>
      <w:r w:rsidR="436E62B4">
        <w:t xml:space="preserve">, </w:t>
      </w:r>
      <w:r w:rsidR="690EC9CF" w:rsidRPr="309B0EDD">
        <w:rPr>
          <w:rFonts w:eastAsia="Times New Roman" w:cs="Times New Roman"/>
        </w:rPr>
        <w:t>if</w:t>
      </w:r>
      <w:r w:rsidR="531E4103" w:rsidRPr="13780C91">
        <w:rPr>
          <w:rFonts w:eastAsia="Times New Roman" w:cs="Times New Roman"/>
        </w:rPr>
        <w:t xml:space="preserve"> policy makers examine the strategies that led to successes elsewhere</w:t>
      </w:r>
      <w:r w:rsidR="588ECED2" w:rsidRPr="6E4B34C8">
        <w:rPr>
          <w:rFonts w:eastAsia="Times New Roman" w:cs="Times New Roman"/>
        </w:rPr>
        <w:t>.</w:t>
      </w:r>
      <w:r w:rsidR="00C95FCC">
        <w:rPr>
          <w:rFonts w:eastAsia="Times New Roman" w:cs="Times New Roman"/>
        </w:rPr>
        <w:fldChar w:fldCharType="begin"/>
      </w:r>
      <w:r w:rsidR="00BB7651">
        <w:rPr>
          <w:rFonts w:eastAsia="Times New Roman" w:cs="Times New Roman"/>
        </w:rPr>
        <w:instrText xml:space="preserve"> ADDIN ZOTERO_ITEM CSL_CITATION {"citationID":"v7nCizbN","properties":{"formattedCitation":"\\super 78\\nosupersub{}","plainCitation":"78","noteIndex":0},"citationItems":[{"id":128290,"uris":["http://zotero.org/groups/2154524/items/MYRIPKB7"],"itemData":{"id":128290,"type":"report","abstract":"The newly launched Exemplars in Global Health brings together researchers, funders, and collaborators from around the world.","language":"en","title":"Exemplars in Global Health","title-short":"Exemplars in Global Health","URL":"https://www.gatesfoundation.org/ideas/articles/exemplars-global-health-niranjan-bose","author":[{"literal":"Bill &amp; Melinda Gates Foundation"}],"accessed":{"date-parts":[["2023",11,12]]}}}],"schema":"https://github.com/citation-style-language/schema/raw/master/csl-citation.json"} </w:instrText>
      </w:r>
      <w:r w:rsidR="00C95FCC">
        <w:rPr>
          <w:rFonts w:eastAsia="Times New Roman" w:cs="Times New Roman"/>
        </w:rPr>
        <w:fldChar w:fldCharType="separate"/>
      </w:r>
      <w:r w:rsidR="00BB7651" w:rsidRPr="00BB7651">
        <w:rPr>
          <w:rFonts w:cs="Times New Roman"/>
          <w:szCs w:val="24"/>
          <w:vertAlign w:val="superscript"/>
        </w:rPr>
        <w:t>78</w:t>
      </w:r>
      <w:r w:rsidR="00C95FCC">
        <w:rPr>
          <w:rFonts w:eastAsia="Times New Roman" w:cs="Times New Roman"/>
        </w:rPr>
        <w:fldChar w:fldCharType="end"/>
      </w:r>
    </w:p>
    <w:p w14:paraId="7F378824" w14:textId="13CF1854" w:rsidR="76A38651" w:rsidRDefault="76A38651" w:rsidP="76A38651">
      <w:pPr>
        <w:spacing w:line="360" w:lineRule="auto"/>
      </w:pPr>
      <w:r>
        <w:t xml:space="preserve">Conversely, although many NCDs have also been on the decline, they </w:t>
      </w:r>
      <w:r w:rsidR="00ED0A4A">
        <w:t xml:space="preserve">have </w:t>
      </w:r>
      <w:r>
        <w:t>typically not follow</w:t>
      </w:r>
      <w:r w:rsidR="00ED0A4A">
        <w:t>ed</w:t>
      </w:r>
      <w:r>
        <w:t xml:space="preserve"> the same pattern of </w:t>
      </w:r>
      <w:r w:rsidR="00ED0A4A">
        <w:t>mortality concentration</w:t>
      </w:r>
      <w:r>
        <w:t xml:space="preserve"> seen in CMNNs. These trends emphasise a key distinction in the spatial dynamics of </w:t>
      </w:r>
      <w:r w:rsidR="00ED0A4A">
        <w:t>NCDs</w:t>
      </w:r>
      <w:r>
        <w:t xml:space="preserve"> compared to many communicable diseases. While non-</w:t>
      </w:r>
      <w:r w:rsidR="036FF527">
        <w:t>communicable</w:t>
      </w:r>
      <w:r>
        <w:t xml:space="preserve"> causes may not exhibit the same degree of concentration, the mortality burden has changed</w:t>
      </w:r>
      <w:r w:rsidR="000BAF6B">
        <w:t xml:space="preserve"> in distribution</w:t>
      </w:r>
      <w:r>
        <w:t>,</w:t>
      </w:r>
      <w:r w:rsidDel="76A38651">
        <w:t xml:space="preserve"> </w:t>
      </w:r>
      <w:r>
        <w:t>reduc</w:t>
      </w:r>
      <w:r w:rsidR="6A79EBEC">
        <w:t>ing</w:t>
      </w:r>
      <w:r>
        <w:t xml:space="preserve"> over time in high-income countries and regions, while</w:t>
      </w:r>
      <w:r w:rsidDel="76A38651">
        <w:t xml:space="preserve"> </w:t>
      </w:r>
      <w:r>
        <w:t>persist</w:t>
      </w:r>
      <w:r w:rsidR="5D192A01">
        <w:t>ing</w:t>
      </w:r>
      <w:r>
        <w:t xml:space="preserve"> in low-income countries and regions. </w:t>
      </w:r>
      <w:r w:rsidR="37EF1B33">
        <w:t>Age-standardised mor</w:t>
      </w:r>
      <w:r w:rsidR="2FBC35D0">
        <w:t>ta</w:t>
      </w:r>
      <w:r w:rsidR="37EF1B33">
        <w:t>lity rates</w:t>
      </w:r>
      <w:r w:rsidR="41BFE8B8">
        <w:t xml:space="preserve"> due to NCDs </w:t>
      </w:r>
      <w:r w:rsidR="00ED0A4A">
        <w:t>decreased</w:t>
      </w:r>
      <w:r w:rsidR="41BFE8B8">
        <w:t xml:space="preserve"> in most locations </w:t>
      </w:r>
      <w:r w:rsidR="3244A5E7">
        <w:t>within</w:t>
      </w:r>
      <w:r w:rsidR="6E02DCD9">
        <w:t xml:space="preserve"> the</w:t>
      </w:r>
      <w:r w:rsidR="41BFE8B8">
        <w:t xml:space="preserve"> </w:t>
      </w:r>
      <w:r w:rsidR="00482983">
        <w:t>h</w:t>
      </w:r>
      <w:r w:rsidR="3478DC76">
        <w:t xml:space="preserve">igh-income, Latin America and </w:t>
      </w:r>
      <w:r w:rsidR="00A35A76">
        <w:t xml:space="preserve">the </w:t>
      </w:r>
      <w:r w:rsidR="3478DC76">
        <w:t xml:space="preserve">Caribbean, </w:t>
      </w:r>
      <w:r w:rsidR="00A35A76">
        <w:t>n</w:t>
      </w:r>
      <w:r w:rsidR="3478DC76">
        <w:t xml:space="preserve">orth Africa and </w:t>
      </w:r>
      <w:r w:rsidR="00A35A76">
        <w:t>the</w:t>
      </w:r>
      <w:r w:rsidR="3478DC76">
        <w:t xml:space="preserve"> Middle east, and </w:t>
      </w:r>
      <w:r w:rsidR="00000C04">
        <w:t>c</w:t>
      </w:r>
      <w:r w:rsidR="3478DC76">
        <w:t xml:space="preserve">entral Europe, </w:t>
      </w:r>
      <w:r w:rsidR="00000C04">
        <w:t>e</w:t>
      </w:r>
      <w:r w:rsidR="3478DC76">
        <w:t xml:space="preserve">astern Europe, and </w:t>
      </w:r>
      <w:r w:rsidR="00000C04">
        <w:t>c</w:t>
      </w:r>
      <w:r w:rsidR="3478DC76">
        <w:t>entral Asia super</w:t>
      </w:r>
      <w:r w:rsidR="003621A9">
        <w:t>-</w:t>
      </w:r>
      <w:r w:rsidR="3478DC76">
        <w:t>regions</w:t>
      </w:r>
      <w:r w:rsidR="41BFE8B8">
        <w:t xml:space="preserve"> </w:t>
      </w:r>
      <w:r w:rsidR="00ED0A4A">
        <w:t>between</w:t>
      </w:r>
      <w:r w:rsidR="41BFE8B8">
        <w:t xml:space="preserve"> 1990</w:t>
      </w:r>
      <w:r w:rsidR="00ED0A4A">
        <w:t xml:space="preserve"> and 2021</w:t>
      </w:r>
      <w:r w:rsidR="41BFE8B8">
        <w:t>. However,</w:t>
      </w:r>
      <w:r w:rsidR="63FC92F1">
        <w:t xml:space="preserve"> NCDs</w:t>
      </w:r>
      <w:r w:rsidR="41BFE8B8">
        <w:t xml:space="preserve"> in </w:t>
      </w:r>
      <w:r w:rsidR="2A95229D">
        <w:t xml:space="preserve">the </w:t>
      </w:r>
      <w:r w:rsidR="00000C04">
        <w:t>s</w:t>
      </w:r>
      <w:r w:rsidR="2A95229D">
        <w:t xml:space="preserve">outh Asia, sub-Saharan Africa, and </w:t>
      </w:r>
      <w:r w:rsidR="00000C04">
        <w:t>s</w:t>
      </w:r>
      <w:r w:rsidR="2A95229D">
        <w:t xml:space="preserve">outheast Asia, </w:t>
      </w:r>
      <w:r w:rsidR="00000C04">
        <w:t>e</w:t>
      </w:r>
      <w:r w:rsidR="2A95229D">
        <w:t>ast Asia, and Oceania super</w:t>
      </w:r>
      <w:r w:rsidR="003621A9">
        <w:t>-</w:t>
      </w:r>
      <w:r w:rsidR="2A95229D">
        <w:t>regions</w:t>
      </w:r>
      <w:r w:rsidR="41BFE8B8">
        <w:t xml:space="preserve"> have </w:t>
      </w:r>
      <w:r w:rsidR="709A8F89">
        <w:t xml:space="preserve">either </w:t>
      </w:r>
      <w:r w:rsidR="41BFE8B8">
        <w:t>increased</w:t>
      </w:r>
      <w:r w:rsidR="79CF18B7">
        <w:t>, or decreased at notably lower levels,</w:t>
      </w:r>
      <w:r w:rsidR="41BFE8B8">
        <w:t xml:space="preserve"> </w:t>
      </w:r>
      <w:r w:rsidR="489F8E9B">
        <w:t>in 2021</w:t>
      </w:r>
      <w:r w:rsidR="41BFE8B8">
        <w:t xml:space="preserve"> when compared with 1990.</w:t>
      </w:r>
      <w:r>
        <w:t xml:space="preserve"> Examples of this include ischaemic heart disease, neoplasms, and stroke, all of which largely declined </w:t>
      </w:r>
      <w:r w:rsidR="00F6662A">
        <w:t>over the study period</w:t>
      </w:r>
      <w:r w:rsidRPr="6DC78E45">
        <w:rPr>
          <w:rFonts w:cs="Times New Roman"/>
        </w:rPr>
        <w:t>—</w:t>
      </w:r>
      <w:r w:rsidR="00F6662A">
        <w:t xml:space="preserve">though </w:t>
      </w:r>
      <w:r>
        <w:t>their reductions have been widely dispersed and not as targeted as the CMNN causes. These trends underscore that NCDs do not appear to be moving towards more condensed geographical locations over time in the same way that many CMNNs are, which could make interventions and policies more complex to implement.</w:t>
      </w:r>
    </w:p>
    <w:p w14:paraId="32C3D458" w14:textId="0AE50272" w:rsidR="7129905A" w:rsidRDefault="1925C4EE" w:rsidP="13780C91">
      <w:pPr>
        <w:spacing w:line="360" w:lineRule="auto"/>
        <w:rPr>
          <w:rFonts w:eastAsiaTheme="minorEastAsia"/>
        </w:rPr>
      </w:pPr>
      <w:r w:rsidRPr="1AE03775">
        <w:rPr>
          <w:rFonts w:eastAsiaTheme="minorEastAsia"/>
        </w:rPr>
        <w:t xml:space="preserve">Ultimately, the extent of </w:t>
      </w:r>
      <w:r w:rsidR="00F6662A">
        <w:rPr>
          <w:rFonts w:eastAsiaTheme="minorEastAsia"/>
        </w:rPr>
        <w:t>mortality concentration</w:t>
      </w:r>
      <w:r w:rsidR="00F6662A" w:rsidRPr="1AE03775">
        <w:rPr>
          <w:rFonts w:eastAsiaTheme="minorEastAsia"/>
        </w:rPr>
        <w:t xml:space="preserve"> </w:t>
      </w:r>
      <w:r w:rsidRPr="1AE03775">
        <w:rPr>
          <w:rFonts w:eastAsiaTheme="minorEastAsia"/>
        </w:rPr>
        <w:t xml:space="preserve">reflects both the progress achieved in health-care advancements and the shortcomings that persist in their equitable implementation. Disease </w:t>
      </w:r>
      <w:r w:rsidR="00F6662A">
        <w:rPr>
          <w:rFonts w:eastAsiaTheme="minorEastAsia"/>
        </w:rPr>
        <w:t>concentration</w:t>
      </w:r>
      <w:r w:rsidR="00F6662A" w:rsidRPr="1AE03775">
        <w:rPr>
          <w:rFonts w:eastAsiaTheme="minorEastAsia"/>
        </w:rPr>
        <w:t xml:space="preserve"> </w:t>
      </w:r>
      <w:r w:rsidRPr="1AE03775">
        <w:rPr>
          <w:rFonts w:eastAsiaTheme="minorEastAsia"/>
        </w:rPr>
        <w:lastRenderedPageBreak/>
        <w:t xml:space="preserve">is evidence that there are effective </w:t>
      </w:r>
      <w:r w:rsidR="6827DFA1" w:rsidRPr="4587D3D1">
        <w:rPr>
          <w:rFonts w:eastAsiaTheme="minorEastAsia"/>
        </w:rPr>
        <w:t>interventions</w:t>
      </w:r>
      <w:r w:rsidRPr="1AE03775">
        <w:rPr>
          <w:rFonts w:eastAsiaTheme="minorEastAsia"/>
        </w:rPr>
        <w:t xml:space="preserve"> </w:t>
      </w:r>
      <w:r w:rsidRPr="1AE03775">
        <w:t>and policies that have successfully reduced disease burden</w:t>
      </w:r>
      <w:r w:rsidR="00F6662A">
        <w:t xml:space="preserve"> in many locations</w:t>
      </w:r>
      <w:r w:rsidRPr="1AE03775">
        <w:t xml:space="preserve">, but these </w:t>
      </w:r>
      <w:r w:rsidRPr="1AE03775">
        <w:rPr>
          <w:rFonts w:eastAsiaTheme="minorEastAsia"/>
        </w:rPr>
        <w:t xml:space="preserve">innovations </w:t>
      </w:r>
      <w:r w:rsidR="00F6662A">
        <w:rPr>
          <w:rFonts w:eastAsiaTheme="minorEastAsia"/>
        </w:rPr>
        <w:t>have</w:t>
      </w:r>
      <w:r w:rsidR="00F6662A" w:rsidRPr="1AE03775">
        <w:rPr>
          <w:rFonts w:eastAsiaTheme="minorEastAsia"/>
        </w:rPr>
        <w:t xml:space="preserve"> </w:t>
      </w:r>
      <w:r w:rsidRPr="1AE03775">
        <w:rPr>
          <w:rFonts w:eastAsiaTheme="minorEastAsia"/>
        </w:rPr>
        <w:t>not</w:t>
      </w:r>
      <w:r w:rsidR="00F6662A">
        <w:rPr>
          <w:rFonts w:eastAsiaTheme="minorEastAsia"/>
        </w:rPr>
        <w:t xml:space="preserve"> been</w:t>
      </w:r>
      <w:r w:rsidRPr="1AE03775">
        <w:rPr>
          <w:rFonts w:eastAsiaTheme="minorEastAsia"/>
        </w:rPr>
        <w:t xml:space="preserve"> </w:t>
      </w:r>
      <w:r w:rsidRPr="1AE03775">
        <w:t>equitably distributed throughout the world</w:t>
      </w:r>
      <w:r w:rsidR="00F6662A">
        <w:t xml:space="preserve"> or </w:t>
      </w:r>
      <w:r w:rsidR="00E76CBC">
        <w:t>have been ineffective</w:t>
      </w:r>
      <w:r w:rsidR="003F0CA4">
        <w:t xml:space="preserve"> at addressing the </w:t>
      </w:r>
      <w:r w:rsidR="003534C3">
        <w:t xml:space="preserve">specific </w:t>
      </w:r>
      <w:r w:rsidR="003F0CA4">
        <w:t xml:space="preserve">challenges </w:t>
      </w:r>
      <w:r w:rsidR="00E76CBC">
        <w:t>certain populations face</w:t>
      </w:r>
      <w:r w:rsidRPr="1AE03775">
        <w:t>.</w:t>
      </w:r>
      <w:r w:rsidRPr="1AE03775">
        <w:rPr>
          <w:rFonts w:eastAsiaTheme="minorEastAsia"/>
          <w:color w:val="0070C0"/>
        </w:rPr>
        <w:t xml:space="preserve"> </w:t>
      </w:r>
      <w:r w:rsidRPr="1AE03775">
        <w:rPr>
          <w:rFonts w:eastAsiaTheme="minorEastAsia"/>
        </w:rPr>
        <w:t xml:space="preserve">There remains a global need to </w:t>
      </w:r>
      <w:r w:rsidRPr="1AE03775">
        <w:t>improve</w:t>
      </w:r>
      <w:r w:rsidRPr="1AE03775">
        <w:rPr>
          <w:rFonts w:eastAsiaTheme="minorEastAsia"/>
        </w:rPr>
        <w:t xml:space="preserve"> access to new </w:t>
      </w:r>
      <w:r w:rsidR="3C3A11EF" w:rsidRPr="4587D3D1">
        <w:rPr>
          <w:rFonts w:eastAsiaTheme="minorEastAsia"/>
        </w:rPr>
        <w:t>interventions</w:t>
      </w:r>
      <w:r w:rsidRPr="1AE03775">
        <w:rPr>
          <w:rFonts w:eastAsiaTheme="minorEastAsia"/>
        </w:rPr>
        <w:t xml:space="preserve"> and vaccines, to invest in the implementation of </w:t>
      </w:r>
      <w:r w:rsidRPr="1AE03775">
        <w:t xml:space="preserve">validated </w:t>
      </w:r>
      <w:r w:rsidRPr="1AE03775">
        <w:rPr>
          <w:rFonts w:eastAsiaTheme="minorEastAsia"/>
        </w:rPr>
        <w:t>public health policies</w:t>
      </w:r>
      <w:r w:rsidRPr="1AE03775">
        <w:t xml:space="preserve">, and to </w:t>
      </w:r>
      <w:proofErr w:type="spellStart"/>
      <w:r w:rsidR="1E25C123" w:rsidRPr="70163587">
        <w:t>strategi</w:t>
      </w:r>
      <w:r w:rsidR="00C213A9">
        <w:t>s</w:t>
      </w:r>
      <w:r w:rsidR="1E25C123" w:rsidRPr="70163587">
        <w:t>e</w:t>
      </w:r>
      <w:proofErr w:type="spellEnd"/>
      <w:r w:rsidRPr="1AE03775">
        <w:rPr>
          <w:rFonts w:eastAsiaTheme="minorEastAsia"/>
        </w:rPr>
        <w:t xml:space="preserve"> </w:t>
      </w:r>
      <w:r w:rsidRPr="1AE03775">
        <w:t>with</w:t>
      </w:r>
      <w:r w:rsidRPr="1AE03775">
        <w:rPr>
          <w:rFonts w:eastAsiaTheme="minorEastAsia"/>
        </w:rPr>
        <w:t xml:space="preserve"> geographical sources of disease</w:t>
      </w:r>
      <w:r w:rsidRPr="1AE03775">
        <w:t xml:space="preserve"> in mind</w:t>
      </w:r>
      <w:r w:rsidRPr="1AE03775">
        <w:rPr>
          <w:rFonts w:eastAsiaTheme="minorEastAsia"/>
        </w:rPr>
        <w:t>.</w:t>
      </w:r>
      <w:r w:rsidR="4D3F11CB" w:rsidDel="00A03355">
        <w:rPr>
          <w:rFonts w:eastAsiaTheme="minorEastAsia"/>
        </w:rPr>
        <w:t xml:space="preserve"> </w:t>
      </w:r>
      <w:r w:rsidR="4D3F11CB">
        <w:t xml:space="preserve">Future </w:t>
      </w:r>
      <w:r w:rsidR="007E0EA4">
        <w:t xml:space="preserve">efforts </w:t>
      </w:r>
      <w:r w:rsidR="4D3F11CB">
        <w:t>should continue the ongoing mitigation of communicable diseases, focusing on locations where they have become more geographically concentrated, while also initiating efforts to combat chronic causes within low-resourced settings. Additionally, patterns of high geographical concentration among infectious causes and low geographical concentration among chronic ones reflect the global epidemiological transition, wherein mortality rates of infectious deaths declined throughout most years of our study. The increased concentration of a cause of death, particularly communicable diseases, illustrates success in mitigation that can be adapted within the countries and regions with mortality concentration identified in our study, with the potential to greatly reduce mortality from those causes of death.</w:t>
      </w:r>
    </w:p>
    <w:p w14:paraId="18EF4191" w14:textId="19CE387D" w:rsidR="00EB50FD" w:rsidRPr="00440A02" w:rsidRDefault="00EB50FD" w:rsidP="00440A02">
      <w:pPr>
        <w:pStyle w:val="Heading3"/>
        <w:spacing w:line="360" w:lineRule="auto"/>
      </w:pPr>
      <w:r>
        <w:t>Limitations</w:t>
      </w:r>
    </w:p>
    <w:p w14:paraId="680B4E57" w14:textId="539D3C32" w:rsidR="00D75F4C" w:rsidRPr="00580C0B" w:rsidRDefault="003738F0" w:rsidP="00D75F4C">
      <w:pPr>
        <w:spacing w:line="360" w:lineRule="auto"/>
        <w:rPr>
          <w:lang w:val="en-US"/>
        </w:rPr>
      </w:pPr>
      <w:r w:rsidRPr="00633CCD">
        <w:t>Recent methodological advancements have enabled GBD</w:t>
      </w:r>
      <w:r w:rsidR="00437424" w:rsidRPr="00633CCD">
        <w:t xml:space="preserve"> 202</w:t>
      </w:r>
      <w:r w:rsidR="003C3C31" w:rsidRPr="00633CCD">
        <w:t>1</w:t>
      </w:r>
      <w:r w:rsidRPr="00633CCD">
        <w:t xml:space="preserve"> to produce cause-specific estimates of mortality</w:t>
      </w:r>
      <w:r w:rsidR="00D027A3" w:rsidRPr="00633CCD">
        <w:t xml:space="preserve"> more easily</w:t>
      </w:r>
      <w:r w:rsidRPr="00633CCD">
        <w:t xml:space="preserve">; however, as with any study of this scope, there are </w:t>
      </w:r>
      <w:r w:rsidR="00856404" w:rsidRPr="00633CCD">
        <w:t xml:space="preserve">several </w:t>
      </w:r>
      <w:r w:rsidRPr="00633CCD">
        <w:t xml:space="preserve">important limitations to acknowledge. Cause-specific limitations </w:t>
      </w:r>
      <w:r w:rsidR="00787EA3">
        <w:t xml:space="preserve">for every cause of death </w:t>
      </w:r>
      <w:r w:rsidR="00EE3205">
        <w:t>i</w:t>
      </w:r>
      <w:r w:rsidR="00787EA3">
        <w:t>n GBD</w:t>
      </w:r>
      <w:r w:rsidRPr="00633CCD">
        <w:t xml:space="preserve"> are detailed in appendix</w:t>
      </w:r>
      <w:r w:rsidR="0028765F">
        <w:t xml:space="preserve"> 1</w:t>
      </w:r>
      <w:r w:rsidR="00B35147">
        <w:t xml:space="preserve"> section </w:t>
      </w:r>
      <w:r w:rsidR="00F2702E">
        <w:t>3.</w:t>
      </w:r>
      <w:r w:rsidRPr="00633CCD">
        <w:t xml:space="preserve"> Here, we </w:t>
      </w:r>
      <w:r w:rsidR="0003567F" w:rsidRPr="00633CCD">
        <w:t>describe cross-cutting limitations with applicability across many causes. First,</w:t>
      </w:r>
      <w:r w:rsidRPr="00633CCD">
        <w:t xml:space="preserve"> sparsity </w:t>
      </w:r>
      <w:r w:rsidR="0003567F" w:rsidRPr="00633CCD">
        <w:t xml:space="preserve">of data </w:t>
      </w:r>
      <w:r w:rsidRPr="00633CCD">
        <w:t>and/or unreliability of data from specific regions, time periods, or age groups can influence the accuracy of our estimates</w:t>
      </w:r>
      <w:r w:rsidR="00787EA3">
        <w:t xml:space="preserve">, particularly </w:t>
      </w:r>
      <w:r w:rsidR="00D710E7">
        <w:t>poor data quality and coverage</w:t>
      </w:r>
      <w:r w:rsidR="00787EA3">
        <w:t xml:space="preserve"> from </w:t>
      </w:r>
      <w:r w:rsidR="00580C0B">
        <w:t>w</w:t>
      </w:r>
      <w:r w:rsidR="007F1386">
        <w:t>estern</w:t>
      </w:r>
      <w:r w:rsidR="00D710E7">
        <w:t>,</w:t>
      </w:r>
      <w:r w:rsidR="007F1386">
        <w:t xml:space="preserve"> </w:t>
      </w:r>
      <w:r w:rsidR="00580C0B">
        <w:t>e</w:t>
      </w:r>
      <w:r w:rsidR="007F1386">
        <w:t>astern</w:t>
      </w:r>
      <w:r w:rsidR="007E0279">
        <w:t>,</w:t>
      </w:r>
      <w:r w:rsidR="00D710E7">
        <w:t xml:space="preserve"> </w:t>
      </w:r>
      <w:r w:rsidR="00580C0B">
        <w:t>s</w:t>
      </w:r>
      <w:r w:rsidR="00D710E7">
        <w:t>outhern</w:t>
      </w:r>
      <w:r w:rsidR="007E0279">
        <w:t>, and central</w:t>
      </w:r>
      <w:r w:rsidR="007F1386">
        <w:t xml:space="preserve"> </w:t>
      </w:r>
      <w:r w:rsidR="00580C0B">
        <w:t>s</w:t>
      </w:r>
      <w:r w:rsidR="007F1386">
        <w:t xml:space="preserve">ub-Saharan Africa and </w:t>
      </w:r>
      <w:r w:rsidR="00794FD7">
        <w:t>s</w:t>
      </w:r>
      <w:r w:rsidR="00D710E7">
        <w:t xml:space="preserve">outh Asia. </w:t>
      </w:r>
      <w:r w:rsidRPr="00633CCD">
        <w:t>Second, the quality of cause of death and verbal autopsy data rely on accurately cod</w:t>
      </w:r>
      <w:r w:rsidR="0003567F" w:rsidRPr="00633CCD">
        <w:t xml:space="preserve">ed death certificates </w:t>
      </w:r>
      <w:r w:rsidRPr="00633CCD">
        <w:t>to the international standar</w:t>
      </w:r>
      <w:r w:rsidR="00A2263A" w:rsidRPr="00633CCD">
        <w:t>ds set by the ICD</w:t>
      </w:r>
      <w:r w:rsidR="00264DF1" w:rsidRPr="00633CCD">
        <w:t xml:space="preserve"> </w:t>
      </w:r>
      <w:r w:rsidR="00A2263A" w:rsidRPr="00633CCD">
        <w:t xml:space="preserve">and </w:t>
      </w:r>
      <w:r w:rsidR="00D9685E" w:rsidRPr="00633CCD">
        <w:t>are</w:t>
      </w:r>
      <w:r w:rsidR="00A2263A" w:rsidRPr="00633CCD">
        <w:t xml:space="preserve"> subject to the practice of the physician completing the death certificate</w:t>
      </w:r>
      <w:r w:rsidR="0009021E" w:rsidRPr="00633CCD">
        <w:t>,</w:t>
      </w:r>
      <w:r w:rsidR="00A2263A" w:rsidRPr="00633CCD">
        <w:t xml:space="preserve"> who may or may not have received training to facilitate comparability of reporting underlying causes of death. This process is further complicated by </w:t>
      </w:r>
      <w:r w:rsidR="00C2176E">
        <w:t>co</w:t>
      </w:r>
      <w:r w:rsidR="00A2263A" w:rsidRPr="00633CCD">
        <w:t>morbidities at the time of death, which may affect the accuracy of both VR and VA data sources. A key data processing method for GBD is the reallocation of incorrectly or vaguely assigned</w:t>
      </w:r>
      <w:r w:rsidR="005855AE" w:rsidRPr="00633CCD">
        <w:t xml:space="preserve"> deaths</w:t>
      </w:r>
      <w:r w:rsidR="00EE3205">
        <w:rPr>
          <w:rFonts w:cs="Times New Roman"/>
        </w:rPr>
        <w:t>—</w:t>
      </w:r>
      <w:r w:rsidR="005855AE" w:rsidRPr="00633CCD">
        <w:t>referred to as garbage codes</w:t>
      </w:r>
      <w:r w:rsidR="00D26376">
        <w:fldChar w:fldCharType="begin"/>
      </w:r>
      <w:r w:rsidR="00424CC1">
        <w:instrText xml:space="preserve"> ADDIN ZOTERO_ITEM CSL_CITATION {"citationID":"EPbhY9Fx","properties":{"formattedCitation":"\\super 11\\nosupersub{}","plainCitation":"11","noteIndex":0},"citationItems":[{"id":112372,"uris":["http://zotero.org/groups/2154524/items/Y3Y2WYKT"],"itemData":{"id":112372,"type":"article-journal","abstract":"Background\nAccurate, comprehensive, cause-specific mortality estimates are crucial for informing public health decision making worldwide. Incorrectly or vaguely assigned deaths, defined as garbage-coded deaths, mask the true cause distribution. The Global Burden of Disease (GBD) study has developed methods to create comparable, timely, cause-specific mortality estimates; an impactful data processing method is the reallocation of garbage-coded deaths to a plausible underlying cause of death. We identify the pattern of garbage-coded deaths in the world and present the methods used to determine their redistribution to generate more plausible cause of death assignments.\n\nMethods\nWe describe the methods developed for the GBD 2019 study and subsequent iterations to redistribute garbage-coded deaths in vital registration data to plausible underlying causes. These methods include analysis of multiple cause data, negative correlation, impairment, and proportional redistribution. We classify garbage codes into classes according to the level of specificity of the reported cause of death (CoD) and capture trends in the global pattern of proportion of garbage-coded deaths, disaggregated by these classes, and the relationship between this proportion and the Socio-Demographic Index. We examine the relative importance of the top four garbage codes by age and sex and demonstrate the impact of redistribution on the annual GBD CoD rankings.\n\nResults\nThe proportion of least-specific (class 1 and 2) garbage-coded deaths ranged from 3.7% of all vital registration deaths to 67.3% in 2015, and the age-standardized proportion had an overall negative association with the Socio-Demographic Index. When broken down by age and sex, the category for unspecified lower respiratory infections was responsible for nearly 30% of garbage-coded deaths in those under 1 year of age for both sexes, representing the largest proportion of garbage codes for that age group. We show how the cause distribution by number of deaths changes before and after redistribution for four countries: Brazil, the United States, Japan, and France, highlighting the necessity of accounting for garbage-coded deaths in the GBD.\n\nConclusions\nWe provide a detailed description of redistribution methods developed for CoD data in the GBD; these methods represent an overall improvement in empiricism compared to past reliance on a priori knowledge.\n\nSupplementary Information\nThe online version contains supplementary material available at 10.1186/s12911-021-01501-1.","container-title":"BMC Medical Informatics and Decision Making","DOI":"10.1186/s12911-021-01501-1","ISSN":"1472-6947","journalAbbreviation":"BMC Med Inform Decis Mak","note":"PMID: 34078366\nPMCID: PMC8170729","page":"175","source":"PubMed Central","title":"Public health utility of cause of death data: applying empirical algorithms to improve data quality","title-short":"Public health utility of cause of death data","volume":"21","author":[{"family":"Johnson","given":"Sarah Charlotte"},{"family":"Cunningham","given":"Matthew"},{"family":"Dippenaar","given":"Ilse N."},{"family":"Sharara","given":"Fablina"},{"family":"Wool","given":"Eve E."},{"family":"Agesa","given":"Kareha M."},{"family":"Han","given":"Chieh"},{"family":"Miller-Petrie","given":"Molly K."},{"family":"Wilson","given":"Shadrach"},{"family":"Fuller","given":"John E."},{"family":"Balassyano","given":"Shelly"},{"family":"Bertolacci","given":"Gregory J."},{"family":"Davis Weaver","given":"Nicole"},{"family":"Lopez","given":"Alan D."},{"family":"Murray","given":"Christopher J. L."},{"family":"Naghavi","given":"Mohsen"}],"issued":{"date-parts":[["2021",6,2]]}}}],"schema":"https://github.com/citation-style-language/schema/raw/master/csl-citation.json"} </w:instrText>
      </w:r>
      <w:r w:rsidR="00D26376">
        <w:fldChar w:fldCharType="separate"/>
      </w:r>
      <w:r w:rsidR="00424CC1" w:rsidRPr="00143184">
        <w:rPr>
          <w:rFonts w:cs="Times New Roman"/>
          <w:szCs w:val="24"/>
          <w:vertAlign w:val="superscript"/>
        </w:rPr>
        <w:t>11</w:t>
      </w:r>
      <w:r w:rsidR="00D26376">
        <w:fldChar w:fldCharType="end"/>
      </w:r>
      <w:r w:rsidR="00EE3205">
        <w:rPr>
          <w:rFonts w:cs="Times New Roman"/>
        </w:rPr>
        <w:t>—</w:t>
      </w:r>
      <w:r w:rsidR="00A2263A" w:rsidRPr="00633CCD">
        <w:t>to a more accurate, plausible underlying cause of death. This is an impactful step in our modelling proc</w:t>
      </w:r>
      <w:r w:rsidR="005855AE" w:rsidRPr="00633CCD">
        <w:t>ess, creat</w:t>
      </w:r>
      <w:r w:rsidR="00671053">
        <w:t>ing</w:t>
      </w:r>
      <w:r w:rsidR="005855AE" w:rsidRPr="00633CCD">
        <w:t xml:space="preserve"> </w:t>
      </w:r>
      <w:r w:rsidR="00A2263A" w:rsidRPr="00633CCD">
        <w:t>comparable cause-specific estimates of mortality</w:t>
      </w:r>
      <w:r w:rsidR="00AA712D">
        <w:t xml:space="preserve"> by underlying cause</w:t>
      </w:r>
      <w:r w:rsidR="00334137">
        <w:t>.</w:t>
      </w:r>
      <w:r w:rsidR="00A2263A" w:rsidRPr="00633CCD">
        <w:t xml:space="preserve"> Third, GBD evaluates quality of causes of death data in part by examining levels of completeness, which indicates the accuracy with which the VR </w:t>
      </w:r>
      <w:r w:rsidR="0060652B" w:rsidRPr="00633CCD">
        <w:t>can</w:t>
      </w:r>
      <w:r w:rsidR="00A2263A" w:rsidRPr="00633CCD">
        <w:t xml:space="preserve"> capture deaths that occur in a location-year, irrespective of the percentage of garbage coding. Data completeness depends on the percentage of well-certified data, which is not necessarily indicative of low garbage coding. Fourth, some sources of uncertainty, including the covariates used in models, are not captured in our estimation </w:t>
      </w:r>
      <w:r w:rsidR="00A2263A" w:rsidRPr="00633CCD">
        <w:lastRenderedPageBreak/>
        <w:t>process. Fifth, we used a negative binomial modelling approach to improve our estimation of deaths for some causes with over-dispersed data, but do not have a standardised empirical approach for selecting causes to which we apply this method. S</w:t>
      </w:r>
      <w:r w:rsidR="00484DC4">
        <w:t>ixth</w:t>
      </w:r>
      <w:r w:rsidR="00A2263A" w:rsidRPr="00633CCD">
        <w:t>, to provide estimates for locations with low levels of completeness, as well as to address the lags in data reporting that occur, our estimates for the most recent years depend more heavily on the modelling process. For causes where data</w:t>
      </w:r>
      <w:r w:rsidR="00A2263A" w:rsidRPr="00633CCD" w:rsidDel="002E23AB">
        <w:t xml:space="preserve"> </w:t>
      </w:r>
      <w:r w:rsidR="002E23AB">
        <w:t>are</w:t>
      </w:r>
      <w:r w:rsidR="00A2263A" w:rsidRPr="00633CCD">
        <w:t xml:space="preserve"> limited, providing estimates with appropriate uncertainty is preferable to providing no information. </w:t>
      </w:r>
      <w:r w:rsidR="00BE1A80">
        <w:t>Seventh</w:t>
      </w:r>
      <w:r w:rsidR="002C0C7B">
        <w:t>,</w:t>
      </w:r>
      <w:r w:rsidR="00F6314A">
        <w:t xml:space="preserve"> in the calculation of life expectancy decomposition, there is</w:t>
      </w:r>
      <w:r w:rsidR="002C0C7B">
        <w:t xml:space="preserve"> </w:t>
      </w:r>
      <w:r w:rsidR="00F6314A">
        <w:t>instability when the difference in all-cause deaths is too small. In this case, we use the reduced Das Gupta equation, explained in appendix 1</w:t>
      </w:r>
      <w:r w:rsidR="00B35147">
        <w:t xml:space="preserve"> section </w:t>
      </w:r>
      <w:r w:rsidR="001D5DBE">
        <w:t>7</w:t>
      </w:r>
      <w:r w:rsidR="00B35147">
        <w:t>.</w:t>
      </w:r>
      <w:r w:rsidR="00F6314A">
        <w:t xml:space="preserve"> Additionally, to avoid assigning positive life expectancy contributions to COVID-related causes, if the signs for the change in </w:t>
      </w:r>
      <w:r w:rsidR="002B0AD7">
        <w:t>life expe</w:t>
      </w:r>
      <w:r w:rsidR="001E0E69">
        <w:t>ctancy</w:t>
      </w:r>
      <w:r w:rsidR="00F6314A">
        <w:t xml:space="preserve"> and all-cause deaths are the same, we use the same reduced Das Gupta formula</w:t>
      </w:r>
      <w:r w:rsidR="002E23AB">
        <w:t>,</w:t>
      </w:r>
      <w:r w:rsidR="00F6314A">
        <w:t xml:space="preserve"> except in the case that the cause in question is COVID-related (either COVID-19 or </w:t>
      </w:r>
      <w:r w:rsidR="00E57A2F">
        <w:t>OPRM</w:t>
      </w:r>
      <w:r w:rsidR="00F6314A">
        <w:t>)</w:t>
      </w:r>
      <w:r w:rsidR="002E23AB">
        <w:t>,</w:t>
      </w:r>
      <w:r w:rsidR="00F6314A">
        <w:t xml:space="preserve"> where a modified version is used.</w:t>
      </w:r>
      <w:r w:rsidR="00F6314A" w:rsidDel="00F6314A">
        <w:t xml:space="preserve"> </w:t>
      </w:r>
      <w:r w:rsidR="447290E2">
        <w:t xml:space="preserve">When viewing </w:t>
      </w:r>
      <w:r w:rsidR="003A7069">
        <w:t>life expectancy</w:t>
      </w:r>
      <w:r w:rsidR="447290E2">
        <w:t xml:space="preserve"> decomp</w:t>
      </w:r>
      <w:r w:rsidR="003A7069">
        <w:t>osition</w:t>
      </w:r>
      <w:r w:rsidR="2A69F7E8">
        <w:t>,</w:t>
      </w:r>
      <w:r w:rsidR="447290E2">
        <w:t xml:space="preserve"> it important to understand the effects of </w:t>
      </w:r>
      <w:r w:rsidR="003A7069">
        <w:t>f</w:t>
      </w:r>
      <w:r w:rsidR="447290E2">
        <w:t xml:space="preserve">atal </w:t>
      </w:r>
      <w:r w:rsidR="3455C1B3">
        <w:t>discontinuit</w:t>
      </w:r>
      <w:r w:rsidR="1B02ADEC">
        <w:t>y</w:t>
      </w:r>
      <w:r w:rsidR="447290E2">
        <w:t xml:space="preserve"> events</w:t>
      </w:r>
      <w:r w:rsidR="3455C1B3">
        <w:t>, such as earthquakes or conflict. If</w:t>
      </w:r>
      <w:r w:rsidR="2A69F7E8">
        <w:t xml:space="preserve"> </w:t>
      </w:r>
      <w:r w:rsidR="009D7927">
        <w:t>l</w:t>
      </w:r>
      <w:r w:rsidR="2A69F7E8">
        <w:t xml:space="preserve">ife </w:t>
      </w:r>
      <w:r w:rsidR="009D7927">
        <w:t>e</w:t>
      </w:r>
      <w:r w:rsidR="2A69F7E8">
        <w:t xml:space="preserve">xpectancy </w:t>
      </w:r>
      <w:r w:rsidR="009D7927">
        <w:t>d</w:t>
      </w:r>
      <w:r w:rsidR="2A69F7E8">
        <w:t xml:space="preserve">ecomposition </w:t>
      </w:r>
      <w:r w:rsidR="3455C1B3">
        <w:t xml:space="preserve">is calculated </w:t>
      </w:r>
      <w:r w:rsidR="2A69F7E8">
        <w:t xml:space="preserve">for 2 </w:t>
      </w:r>
      <w:r w:rsidR="008C75B4">
        <w:t>consecutive</w:t>
      </w:r>
      <w:r w:rsidR="2A69F7E8">
        <w:t xml:space="preserve"> years, we can see </w:t>
      </w:r>
      <w:r w:rsidR="7FF190F0">
        <w:t xml:space="preserve">the </w:t>
      </w:r>
      <w:r w:rsidR="3455C1B3">
        <w:t>effect</w:t>
      </w:r>
      <w:r w:rsidR="2A69F7E8">
        <w:t xml:space="preserve"> of unique</w:t>
      </w:r>
      <w:r w:rsidR="3455C1B3">
        <w:t>, stochastic</w:t>
      </w:r>
      <w:r w:rsidR="2A69F7E8">
        <w:t xml:space="preserve"> events, but for the longer time </w:t>
      </w:r>
      <w:r w:rsidR="3455C1B3">
        <w:t>periods, the</w:t>
      </w:r>
      <w:r w:rsidR="2A69F7E8">
        <w:t xml:space="preserve"> interpretation on </w:t>
      </w:r>
      <w:r w:rsidR="3455C1B3">
        <w:t xml:space="preserve">the </w:t>
      </w:r>
      <w:r w:rsidR="2A69F7E8">
        <w:t xml:space="preserve">effect of these events will </w:t>
      </w:r>
      <w:r w:rsidR="0930D8E9">
        <w:t>be misleading</w:t>
      </w:r>
      <w:r w:rsidR="3455C1B3">
        <w:t xml:space="preserve">. </w:t>
      </w:r>
      <w:r w:rsidR="4CFF59CB">
        <w:t>T</w:t>
      </w:r>
      <w:r w:rsidR="3455C1B3">
        <w:t xml:space="preserve">his </w:t>
      </w:r>
      <w:r w:rsidR="2A69F7E8">
        <w:t xml:space="preserve">method works well with causes that </w:t>
      </w:r>
      <w:r w:rsidR="03D997A5">
        <w:t>have</w:t>
      </w:r>
      <w:r w:rsidR="3455C1B3">
        <w:t xml:space="preserve"> continuous</w:t>
      </w:r>
      <w:r w:rsidR="2A69F7E8">
        <w:t xml:space="preserve"> </w:t>
      </w:r>
      <w:r w:rsidR="78F055C4">
        <w:t>time trends,</w:t>
      </w:r>
      <w:r w:rsidR="2A69F7E8">
        <w:t xml:space="preserve"> and not </w:t>
      </w:r>
      <w:r w:rsidR="44DCA67D">
        <w:t>for</w:t>
      </w:r>
      <w:r w:rsidR="2A69F7E8">
        <w:t xml:space="preserve"> causes that </w:t>
      </w:r>
      <w:r w:rsidR="0F4E7ED3">
        <w:t>have mortality spikes in select</w:t>
      </w:r>
      <w:r w:rsidR="2A69F7E8">
        <w:t xml:space="preserve"> years</w:t>
      </w:r>
      <w:r w:rsidR="2086B17B">
        <w:t xml:space="preserve"> and </w:t>
      </w:r>
      <w:r w:rsidR="3E82F065">
        <w:t>locations.</w:t>
      </w:r>
      <w:r w:rsidR="447290E2">
        <w:t xml:space="preserve"> This type of event confounds true health trends within </w:t>
      </w:r>
      <w:proofErr w:type="gramStart"/>
      <w:r w:rsidR="447290E2">
        <w:t>a time period</w:t>
      </w:r>
      <w:proofErr w:type="gramEnd"/>
      <w:r w:rsidR="447290E2">
        <w:t xml:space="preserve"> because the absence or presence of a disaster is seen as a change in</w:t>
      </w:r>
      <w:r w:rsidR="006A067E">
        <w:t xml:space="preserve"> life expectancy</w:t>
      </w:r>
      <w:r w:rsidR="447290E2">
        <w:t xml:space="preserve">. </w:t>
      </w:r>
      <w:r w:rsidR="00B2715C">
        <w:t xml:space="preserve">Finally, this </w:t>
      </w:r>
      <w:r w:rsidR="006A129B">
        <w:t xml:space="preserve">cycle of </w:t>
      </w:r>
      <w:r w:rsidR="00B2715C">
        <w:t xml:space="preserve">GBD contains additional limitations that pertain to modelling deaths </w:t>
      </w:r>
      <w:r w:rsidR="0030567C">
        <w:t>and related mortality from</w:t>
      </w:r>
      <w:r w:rsidR="00B2715C">
        <w:t xml:space="preserve"> the COVID-19 pandemic.</w:t>
      </w:r>
      <w:r w:rsidR="001908C6">
        <w:t xml:space="preserve"> </w:t>
      </w:r>
      <w:r w:rsidR="00E74027">
        <w:t xml:space="preserve">The limitations of the methods used to calculate COVID-19 have been </w:t>
      </w:r>
      <w:r w:rsidR="006968E7">
        <w:t>full</w:t>
      </w:r>
      <w:r w:rsidR="00E74027">
        <w:t>y</w:t>
      </w:r>
      <w:r w:rsidR="006968E7">
        <w:t xml:space="preserve"> outlined in </w:t>
      </w:r>
      <w:r w:rsidR="00D75F4C">
        <w:t>previous publications</w:t>
      </w:r>
      <w:r w:rsidR="002E23AB">
        <w:t>,</w:t>
      </w:r>
      <w:r w:rsidR="00CC58D6">
        <w:fldChar w:fldCharType="begin"/>
      </w:r>
      <w:r w:rsidR="00B153C0">
        <w:instrText xml:space="preserve"> ADDIN ZOTERO_ITEM CSL_CITATION {"citationID":"kGhoynQ3","properties":{"formattedCitation":"\\super 12\\nosupersub{}","plainCitation":"12","noteIndex":0},"citationItems":[{"id":127594,"uris":["http://zotero.org/groups/2154524/items/RCH9UKLW"],"itemData":{"id":127594,"type":"article-journal","container-title":"Lancet","title":"Global age-sex-specific mortality, life expectancy, and population estimates in 204 countries and territories and 811 subnational locations, 1950–2021: a comprehensive demographic analysis for the Global Burden of Disease Study 2021","author":[{"literal":"GBD 2021 Demographics Collaborators"}],"issued":{"literal":"submitted; under review"}}}],"schema":"https://github.com/citation-style-language/schema/raw/master/csl-citation.json"} </w:instrText>
      </w:r>
      <w:r w:rsidR="00CC58D6">
        <w:fldChar w:fldCharType="separate"/>
      </w:r>
      <w:r w:rsidR="00B153C0" w:rsidRPr="00B153C0">
        <w:rPr>
          <w:rFonts w:cs="Times New Roman"/>
          <w:szCs w:val="24"/>
          <w:vertAlign w:val="superscript"/>
        </w:rPr>
        <w:t>12</w:t>
      </w:r>
      <w:r w:rsidR="00CC58D6">
        <w:fldChar w:fldCharType="end"/>
      </w:r>
      <w:r w:rsidR="00D75F4C">
        <w:t xml:space="preserve"> but</w:t>
      </w:r>
      <w:r w:rsidR="00E74027">
        <w:t xml:space="preserve"> it is critical to reiterate that </w:t>
      </w:r>
      <w:r w:rsidR="00D75F4C">
        <w:t>COVID</w:t>
      </w:r>
      <w:r w:rsidR="007F7F24">
        <w:t>-19</w:t>
      </w:r>
      <w:r w:rsidR="00D75F4C">
        <w:t xml:space="preserve"> </w:t>
      </w:r>
      <w:r w:rsidR="00D75F4C">
        <w:rPr>
          <w:lang w:val="en-US"/>
        </w:rPr>
        <w:t>e</w:t>
      </w:r>
      <w:r w:rsidR="00D75F4C" w:rsidRPr="00D75F4C">
        <w:rPr>
          <w:lang w:val="en-US"/>
        </w:rPr>
        <w:t xml:space="preserve">stimates </w:t>
      </w:r>
      <w:r w:rsidR="00E74027">
        <w:rPr>
          <w:lang w:val="en-US"/>
        </w:rPr>
        <w:t>are</w:t>
      </w:r>
      <w:r w:rsidR="00D75F4C" w:rsidRPr="00D75F4C">
        <w:rPr>
          <w:lang w:val="en-US"/>
        </w:rPr>
        <w:t xml:space="preserve"> limited by data source availability. </w:t>
      </w:r>
      <w:r w:rsidR="00D75F4C">
        <w:rPr>
          <w:lang w:val="en-US"/>
        </w:rPr>
        <w:t xml:space="preserve">The </w:t>
      </w:r>
      <w:r w:rsidR="00D75F4C" w:rsidRPr="00D75F4C">
        <w:rPr>
          <w:lang w:val="en-US"/>
        </w:rPr>
        <w:t xml:space="preserve">methods to estimate </w:t>
      </w:r>
      <w:r w:rsidR="004A6009">
        <w:rPr>
          <w:lang w:val="en-US"/>
        </w:rPr>
        <w:t>COVID-19</w:t>
      </w:r>
      <w:r w:rsidR="00D75F4C" w:rsidRPr="00D75F4C" w:rsidDel="002E23AB">
        <w:rPr>
          <w:lang w:val="en-US"/>
        </w:rPr>
        <w:t xml:space="preserve"> </w:t>
      </w:r>
      <w:r w:rsidR="002E23AB">
        <w:rPr>
          <w:lang w:val="en-US"/>
        </w:rPr>
        <w:t>were</w:t>
      </w:r>
      <w:r w:rsidR="00D75F4C" w:rsidRPr="00D75F4C">
        <w:rPr>
          <w:lang w:val="en-US"/>
        </w:rPr>
        <w:t xml:space="preserve"> especially limited</w:t>
      </w:r>
      <w:r w:rsidR="004A6009">
        <w:rPr>
          <w:lang w:val="en-US"/>
        </w:rPr>
        <w:t xml:space="preserve"> </w:t>
      </w:r>
      <w:r w:rsidR="00B0547E">
        <w:rPr>
          <w:lang w:val="en-US"/>
        </w:rPr>
        <w:t>in certain regions, such as</w:t>
      </w:r>
      <w:r w:rsidR="00D75F4C" w:rsidRPr="00D75F4C">
        <w:rPr>
          <w:lang w:val="en-US"/>
        </w:rPr>
        <w:t xml:space="preserve"> sub-Saharan Africa, which means our estimates in these areas are solely driven by relationships with covariates. Future development of these data sources is crucial because estimates improve as the quality of the underlying data sources improves. Subsequent GBD cycles will provide revised estimates after additional data for recent years become available.</w:t>
      </w:r>
    </w:p>
    <w:p w14:paraId="3857DC83" w14:textId="4994FBEE" w:rsidR="00EB50FD" w:rsidRDefault="00EB50FD" w:rsidP="0024583B">
      <w:pPr>
        <w:pStyle w:val="Heading3"/>
        <w:spacing w:line="360" w:lineRule="auto"/>
      </w:pPr>
      <w:r>
        <w:t>Future directions</w:t>
      </w:r>
    </w:p>
    <w:p w14:paraId="057D038C" w14:textId="4142BCC8" w:rsidR="009E24EF" w:rsidRDefault="009E24EF" w:rsidP="00610382">
      <w:pPr>
        <w:spacing w:line="360" w:lineRule="auto"/>
      </w:pPr>
      <w:r w:rsidRPr="009E24EF">
        <w:t xml:space="preserve">In </w:t>
      </w:r>
      <w:r w:rsidR="7BAF4DE8">
        <w:t>the next</w:t>
      </w:r>
      <w:r w:rsidRPr="009E24EF">
        <w:t xml:space="preserve"> iteration of GBD, </w:t>
      </w:r>
      <w:r w:rsidR="28E48651">
        <w:t>w</w:t>
      </w:r>
      <w:r>
        <w:t>e will</w:t>
      </w:r>
      <w:r w:rsidR="4C851663">
        <w:t xml:space="preserve"> </w:t>
      </w:r>
      <w:r w:rsidR="009B6833" w:rsidRPr="009E24EF">
        <w:t>includ</w:t>
      </w:r>
      <w:r w:rsidR="009B6833">
        <w:t>e</w:t>
      </w:r>
      <w:r w:rsidR="009B6833" w:rsidRPr="009E24EF">
        <w:t xml:space="preserve"> </w:t>
      </w:r>
      <w:r w:rsidRPr="009E24EF">
        <w:t xml:space="preserve">over </w:t>
      </w:r>
      <w:r w:rsidR="00FA5FFC">
        <w:t>100</w:t>
      </w:r>
      <w:r w:rsidRPr="009E24EF">
        <w:t xml:space="preserve"> location</w:t>
      </w:r>
      <w:r w:rsidR="00FA5FFC">
        <w:t>-</w:t>
      </w:r>
      <w:r w:rsidRPr="009E24EF">
        <w:t xml:space="preserve">years of vital registration </w:t>
      </w:r>
      <w:r w:rsidR="1590CD78">
        <w:t>and other</w:t>
      </w:r>
      <w:r>
        <w:t xml:space="preserve"> data </w:t>
      </w:r>
      <w:r w:rsidR="5B5833E1">
        <w:t>types</w:t>
      </w:r>
      <w:r w:rsidRPr="009E24EF">
        <w:t xml:space="preserve"> that </w:t>
      </w:r>
      <w:r w:rsidR="003A2EAE">
        <w:t>have</w:t>
      </w:r>
      <w:r w:rsidR="003A2EAE" w:rsidRPr="009E24EF">
        <w:t xml:space="preserve"> </w:t>
      </w:r>
      <w:r w:rsidRPr="009E24EF">
        <w:t>been reported since GBD 2021 estimates</w:t>
      </w:r>
      <w:r w:rsidR="008C7ED0">
        <w:t xml:space="preserve"> were produced</w:t>
      </w:r>
      <w:r w:rsidRPr="009E24EF">
        <w:t>.</w:t>
      </w:r>
      <w:r w:rsidR="00775525">
        <w:t xml:space="preserve"> </w:t>
      </w:r>
      <w:r w:rsidR="002F2F8A">
        <w:t>Additionally, we will continue to expand the estimation of causes of death</w:t>
      </w:r>
      <w:r w:rsidR="00B535E8">
        <w:t xml:space="preserve"> by disaggregating </w:t>
      </w:r>
      <w:r w:rsidR="0060652B">
        <w:t>broad categories of</w:t>
      </w:r>
      <w:r w:rsidR="00B535E8">
        <w:t xml:space="preserve"> causes </w:t>
      </w:r>
      <w:r w:rsidR="0060652B">
        <w:t>of death</w:t>
      </w:r>
      <w:r w:rsidR="00B535E8">
        <w:t xml:space="preserve"> into</w:t>
      </w:r>
      <w:r w:rsidR="003638A7">
        <w:t xml:space="preserve"> more detailed </w:t>
      </w:r>
      <w:r w:rsidR="0060652B">
        <w:t>causes</w:t>
      </w:r>
      <w:r w:rsidR="003638A7">
        <w:t xml:space="preserve"> where available</w:t>
      </w:r>
      <w:r w:rsidR="0060652B">
        <w:t>.</w:t>
      </w:r>
      <w:r w:rsidR="00775525">
        <w:t xml:space="preserve"> </w:t>
      </w:r>
      <w:r w:rsidRPr="009E24EF">
        <w:t xml:space="preserve">These improvements aim to </w:t>
      </w:r>
      <w:r w:rsidR="006A0DDC">
        <w:t>enhance</w:t>
      </w:r>
      <w:r w:rsidRPr="009E24EF">
        <w:t xml:space="preserve"> precision and </w:t>
      </w:r>
      <w:r w:rsidR="003C0D84">
        <w:t>timeliness of the COVID-19 and other cause</w:t>
      </w:r>
      <w:r w:rsidRPr="009E24EF">
        <w:t xml:space="preserve"> of </w:t>
      </w:r>
      <w:r w:rsidR="003C0D84">
        <w:t>death</w:t>
      </w:r>
      <w:r w:rsidRPr="009E24EF">
        <w:t xml:space="preserve"> estimates. </w:t>
      </w:r>
      <w:r w:rsidR="5CF40442">
        <w:t>We also plan to simplify our approach to estimating COVID-19. I</w:t>
      </w:r>
      <w:r w:rsidR="002D46A8">
        <w:t xml:space="preserve">n lieu of the residual OPRM category reported in GBD 2021, we will </w:t>
      </w:r>
      <w:r w:rsidR="00F45FF7">
        <w:t xml:space="preserve">use all available </w:t>
      </w:r>
      <w:r w:rsidR="00F45FF7">
        <w:lastRenderedPageBreak/>
        <w:t xml:space="preserve">location years of cause of death data to attribute mortality to specific causes, removing this residual category. </w:t>
      </w:r>
      <w:r w:rsidRPr="009E24EF">
        <w:t>We anticipate that this will facilitate more timely and actionable insights for public health planning and policy</w:t>
      </w:r>
      <w:r w:rsidR="00487A03">
        <w:t xml:space="preserve"> </w:t>
      </w:r>
      <w:r w:rsidRPr="009E24EF">
        <w:t>making, especially as we expect to observe more regular and modellable mortality patterns in the post-pandemic years. Through these advancements, we will improve the utility and accuracy of the GBD study as a critical tool for effective public strategies.</w:t>
      </w:r>
    </w:p>
    <w:p w14:paraId="56E1BF1E" w14:textId="0E7DA704" w:rsidR="00EB50FD" w:rsidRPr="005130F0" w:rsidRDefault="00EB50FD" w:rsidP="00610382">
      <w:pPr>
        <w:pStyle w:val="Heading3"/>
        <w:spacing w:line="360" w:lineRule="auto"/>
      </w:pPr>
      <w:r w:rsidRPr="009E24EF">
        <w:t>Conclusion</w:t>
      </w:r>
    </w:p>
    <w:p w14:paraId="3C91E238" w14:textId="6229C2EB" w:rsidR="004D6B46" w:rsidRDefault="00A34E2C" w:rsidP="303AE27D">
      <w:pPr>
        <w:spacing w:line="360" w:lineRule="auto"/>
      </w:pPr>
      <w:r>
        <w:t>T</w:t>
      </w:r>
      <w:r w:rsidR="3A7D2AE1">
        <w:t>he</w:t>
      </w:r>
      <w:r w:rsidR="56B05F7A">
        <w:t xml:space="preserve"> </w:t>
      </w:r>
      <w:r w:rsidR="00D556D5">
        <w:t xml:space="preserve">emergence of the </w:t>
      </w:r>
      <w:r w:rsidR="56B05F7A">
        <w:t xml:space="preserve">COVID-19 pandemic </w:t>
      </w:r>
      <w:r>
        <w:t xml:space="preserve">has </w:t>
      </w:r>
      <w:r w:rsidR="56B05F7A">
        <w:t>changed global mortali</w:t>
      </w:r>
      <w:r w:rsidR="004B7EC7">
        <w:t>ty</w:t>
      </w:r>
      <w:r w:rsidR="00B414A4">
        <w:t>,</w:t>
      </w:r>
      <w:r w:rsidR="004B7EC7">
        <w:t xml:space="preserve"> causing 7.8 million deaths in 2021 and</w:t>
      </w:r>
      <w:r w:rsidR="00B414A4">
        <w:t xml:space="preserve"> replacing stroke as the second leading cause of death.</w:t>
      </w:r>
      <w:r w:rsidR="008024A7">
        <w:t xml:space="preserve"> COVID-19</w:t>
      </w:r>
      <w:r w:rsidR="56B05F7A">
        <w:t xml:space="preserve"> negatively impacted life expectancy in two years almost as much as </w:t>
      </w:r>
      <w:r w:rsidR="009D6DB5">
        <w:t xml:space="preserve">the </w:t>
      </w:r>
      <w:r w:rsidR="56B05F7A">
        <w:t xml:space="preserve">positive </w:t>
      </w:r>
      <w:r w:rsidR="7AE7C9C1">
        <w:t>gains to</w:t>
      </w:r>
      <w:r w:rsidR="56B05F7A">
        <w:t xml:space="preserve"> life expectancy </w:t>
      </w:r>
      <w:r w:rsidR="009D6DB5">
        <w:t xml:space="preserve">have improved it </w:t>
      </w:r>
      <w:r w:rsidR="56B05F7A">
        <w:t>over the past decade.</w:t>
      </w:r>
      <w:r w:rsidR="007B2D84" w:rsidRPr="007B2D84">
        <w:t xml:space="preserve"> </w:t>
      </w:r>
      <w:r w:rsidR="42AB7CBD">
        <w:t>COVID-19,</w:t>
      </w:r>
      <w:r w:rsidR="002016BF">
        <w:t xml:space="preserve"> </w:t>
      </w:r>
      <w:r w:rsidR="00A63597">
        <w:t>through</w:t>
      </w:r>
      <w:r w:rsidR="42AB7CBD">
        <w:t xml:space="preserve"> reversing consistent improvements in life expectancy made through the reduction of communicable </w:t>
      </w:r>
      <w:r w:rsidR="02FA965C">
        <w:t>and non-communicable</w:t>
      </w:r>
      <w:r w:rsidR="42AB7CBD">
        <w:t xml:space="preserve"> diseases, exposed gaps in health systems and</w:t>
      </w:r>
      <w:r w:rsidR="00795E2E">
        <w:t xml:space="preserve"> highlighted the </w:t>
      </w:r>
      <w:r w:rsidR="00E672A1">
        <w:t>need</w:t>
      </w:r>
      <w:r w:rsidR="00795E2E">
        <w:t xml:space="preserve"> for adequate</w:t>
      </w:r>
      <w:r w:rsidR="42AB7CBD">
        <w:t xml:space="preserve"> emergency preparedness.</w:t>
      </w:r>
      <w:r w:rsidR="007B2D84">
        <w:t xml:space="preserve"> </w:t>
      </w:r>
      <w:r w:rsidR="31740106">
        <w:t xml:space="preserve">The changes </w:t>
      </w:r>
      <w:r w:rsidR="005A5D29">
        <w:t>in</w:t>
      </w:r>
      <w:r w:rsidR="31740106">
        <w:t xml:space="preserve"> mortality caused by the COVID-19 pandemic were not predictable through the standard GBD estimation methods and required the development and application of novel estimation methods as the pandemic emerged in real time. Despite the losses to life expectancy and mortality, GBD 2021 shows that better life expectancy outcomes may be achieved</w:t>
      </w:r>
      <w:r w:rsidR="0001619B" w:rsidRPr="0001619B">
        <w:t xml:space="preserve"> by analy</w:t>
      </w:r>
      <w:r w:rsidR="0001619B">
        <w:t>s</w:t>
      </w:r>
      <w:r w:rsidR="0001619B" w:rsidRPr="0001619B">
        <w:t>ing past successes in mortality reduction.</w:t>
      </w:r>
      <w:r w:rsidR="31740106">
        <w:t xml:space="preserve"> If </w:t>
      </w:r>
      <w:r w:rsidR="002F31AB">
        <w:t xml:space="preserve">future policy efforts </w:t>
      </w:r>
      <w:r w:rsidR="00DE37A1">
        <w:t xml:space="preserve">are guided by the </w:t>
      </w:r>
      <w:r w:rsidR="00C806AA">
        <w:t>successes</w:t>
      </w:r>
      <w:r w:rsidR="00984FA9">
        <w:t xml:space="preserve"> made in </w:t>
      </w:r>
      <w:r w:rsidR="31740106">
        <w:t xml:space="preserve">countries and regions with </w:t>
      </w:r>
      <w:r w:rsidR="00C806AA">
        <w:t>effective</w:t>
      </w:r>
      <w:r w:rsidR="31740106">
        <w:t xml:space="preserve"> disease mitigation programmes, they may be able </w:t>
      </w:r>
      <w:r w:rsidR="00E46FEB">
        <w:t>replicate</w:t>
      </w:r>
      <w:r w:rsidR="00D044BD">
        <w:t xml:space="preserve"> </w:t>
      </w:r>
      <w:r w:rsidR="31740106">
        <w:t xml:space="preserve">such </w:t>
      </w:r>
      <w:r w:rsidR="00C05538">
        <w:t>achievements</w:t>
      </w:r>
      <w:r w:rsidR="31740106">
        <w:t xml:space="preserve"> in locations where high mortality persists. While COVID-19 and other health challenges continue, GBD 2021 can offer valuable guidance for public health investment and policy making. </w:t>
      </w:r>
    </w:p>
    <w:p w14:paraId="014EFF73" w14:textId="77777777" w:rsidR="00E06DDA" w:rsidRPr="00E06DDA" w:rsidRDefault="00E06DDA" w:rsidP="00610382">
      <w:pPr>
        <w:pStyle w:val="Heading3"/>
        <w:spacing w:line="360" w:lineRule="auto"/>
      </w:pPr>
      <w:r w:rsidRPr="00E06DDA">
        <w:t>Data sharing</w:t>
      </w:r>
    </w:p>
    <w:p w14:paraId="59D4A0DD" w14:textId="3BF50BBB" w:rsidR="00601161" w:rsidRDefault="00E06DDA" w:rsidP="00161216">
      <w:pPr>
        <w:spacing w:line="360" w:lineRule="auto"/>
        <w:rPr>
          <w:rFonts w:eastAsiaTheme="majorEastAsia" w:cstheme="majorBidi"/>
          <w:color w:val="1F4E79" w:themeColor="accent1" w:themeShade="80"/>
          <w:sz w:val="26"/>
          <w:szCs w:val="26"/>
        </w:rPr>
      </w:pPr>
      <w:r w:rsidRPr="00BA271C">
        <w:t>To download the data used in these analyses, please visit the Global health Data Exchange GBD 2021 website (</w:t>
      </w:r>
      <w:hyperlink r:id="rId16">
        <w:r w:rsidR="00241A7F" w:rsidRPr="036A4C74">
          <w:rPr>
            <w:rStyle w:val="Hyperlink"/>
          </w:rPr>
          <w:t>https://ghdx.healthdata.org/gbd-2021/sources</w:t>
        </w:r>
      </w:hyperlink>
      <w:r w:rsidR="00241A7F">
        <w:t xml:space="preserve"> [</w:t>
      </w:r>
      <w:r w:rsidR="00475C55" w:rsidRPr="003E3FDF">
        <w:rPr>
          <w:i/>
        </w:rPr>
        <w:t>note to editors and reviewers that this tool is currently password protected (password:</w:t>
      </w:r>
      <w:r w:rsidR="00AB2167">
        <w:rPr>
          <w:i/>
        </w:rPr>
        <w:t xml:space="preserve"> </w:t>
      </w:r>
      <w:r w:rsidR="00475C55" w:rsidRPr="003E3FDF">
        <w:t>2021AllSources</w:t>
      </w:r>
      <w:r w:rsidR="00475C55" w:rsidRPr="003E3FDF">
        <w:rPr>
          <w:i/>
        </w:rPr>
        <w:t>. Please do not share this password. The link will be made available to the public prior to publication</w:t>
      </w:r>
      <w:r w:rsidR="008B4209" w:rsidRPr="003E3FDF">
        <w:t>]</w:t>
      </w:r>
      <w:r w:rsidRPr="00BA271C">
        <w:t>).</w:t>
      </w:r>
      <w:r w:rsidR="00601161">
        <w:br w:type="page"/>
      </w:r>
    </w:p>
    <w:p w14:paraId="43E370E9" w14:textId="3607870C" w:rsidR="00BA7674" w:rsidRPr="00796A2B" w:rsidRDefault="00704BD6" w:rsidP="00486F37">
      <w:pPr>
        <w:pStyle w:val="Heading3"/>
        <w:spacing w:after="120" w:line="360" w:lineRule="auto"/>
        <w:rPr>
          <w:color w:val="2E74B5" w:themeColor="accent1" w:themeShade="BF"/>
          <w:sz w:val="32"/>
          <w:szCs w:val="32"/>
        </w:rPr>
      </w:pPr>
      <w:r>
        <w:lastRenderedPageBreak/>
        <w:t xml:space="preserve">List of </w:t>
      </w:r>
      <w:r w:rsidR="00ED1544">
        <w:t xml:space="preserve">main text </w:t>
      </w:r>
      <w:r>
        <w:t>figures and tables</w:t>
      </w:r>
    </w:p>
    <w:p w14:paraId="31C75AC8" w14:textId="0907A461" w:rsidR="007736FD" w:rsidRPr="00B535DB" w:rsidRDefault="00AA4410" w:rsidP="00B535DB">
      <w:pPr>
        <w:spacing w:after="0" w:line="360" w:lineRule="auto"/>
        <w:rPr>
          <w:b/>
          <w:bCs/>
          <w:lang w:val="en-US"/>
        </w:rPr>
      </w:pPr>
      <w:r w:rsidRPr="00B535DB">
        <w:rPr>
          <w:b/>
          <w:bCs/>
          <w:lang w:val="en-US"/>
        </w:rPr>
        <w:t>Figure 1:</w:t>
      </w:r>
      <w:r w:rsidR="00BA5EC3" w:rsidRPr="00B535DB">
        <w:rPr>
          <w:b/>
          <w:bCs/>
          <w:lang w:val="en-US"/>
        </w:rPr>
        <w:t xml:space="preserve"> Leading </w:t>
      </w:r>
      <w:r w:rsidR="001E6957" w:rsidRPr="00B535DB">
        <w:rPr>
          <w:b/>
          <w:bCs/>
          <w:lang w:val="en-US"/>
        </w:rPr>
        <w:t xml:space="preserve">Level 3 causes of </w:t>
      </w:r>
      <w:r w:rsidR="00D25A36" w:rsidRPr="00B535DB">
        <w:rPr>
          <w:b/>
          <w:bCs/>
          <w:lang w:val="en-US"/>
        </w:rPr>
        <w:t>global deaths and ag</w:t>
      </w:r>
      <w:r w:rsidR="00A569E0" w:rsidRPr="00B535DB">
        <w:rPr>
          <w:b/>
          <w:bCs/>
          <w:lang w:val="en-US"/>
        </w:rPr>
        <w:t>e-</w:t>
      </w:r>
      <w:proofErr w:type="spellStart"/>
      <w:r w:rsidR="00A569E0" w:rsidRPr="00B535DB">
        <w:rPr>
          <w:b/>
          <w:bCs/>
          <w:lang w:val="en-US"/>
        </w:rPr>
        <w:t>standardised</w:t>
      </w:r>
      <w:proofErr w:type="spellEnd"/>
      <w:r w:rsidR="002D2065" w:rsidRPr="00B535DB">
        <w:rPr>
          <w:b/>
          <w:bCs/>
          <w:lang w:val="en-US"/>
        </w:rPr>
        <w:t xml:space="preserve"> </w:t>
      </w:r>
      <w:r w:rsidR="00565A7E" w:rsidRPr="00B535DB">
        <w:rPr>
          <w:b/>
          <w:bCs/>
          <w:lang w:val="en-US"/>
        </w:rPr>
        <w:t>death rate</w:t>
      </w:r>
      <w:r w:rsidR="00243893" w:rsidRPr="00B535DB">
        <w:rPr>
          <w:b/>
          <w:bCs/>
          <w:lang w:val="en-US"/>
        </w:rPr>
        <w:t xml:space="preserve"> per 100 000</w:t>
      </w:r>
      <w:r w:rsidR="00833153" w:rsidRPr="00B535DB">
        <w:rPr>
          <w:b/>
          <w:bCs/>
          <w:lang w:val="en-US"/>
        </w:rPr>
        <w:t xml:space="preserve"> </w:t>
      </w:r>
      <w:r w:rsidR="00986E8B" w:rsidRPr="00B535DB">
        <w:rPr>
          <w:b/>
          <w:bCs/>
          <w:lang w:val="en-US"/>
        </w:rPr>
        <w:t>for 1990, 2019, and 2021</w:t>
      </w:r>
      <w:r w:rsidR="00FE1AEC" w:rsidRPr="00B535DB">
        <w:rPr>
          <w:b/>
          <w:bCs/>
          <w:lang w:val="en-US"/>
        </w:rPr>
        <w:t xml:space="preserve"> for</w:t>
      </w:r>
      <w:r w:rsidR="004959D3" w:rsidRPr="00B535DB">
        <w:rPr>
          <w:b/>
          <w:bCs/>
          <w:lang w:val="en-US"/>
        </w:rPr>
        <w:t xml:space="preserve"> males and females combined</w:t>
      </w:r>
    </w:p>
    <w:p w14:paraId="280A4B88" w14:textId="7EEC644C" w:rsidR="00916601" w:rsidRPr="00686789" w:rsidRDefault="5126A4DA" w:rsidP="00A373D9">
      <w:pPr>
        <w:spacing w:line="360" w:lineRule="auto"/>
        <w:rPr>
          <w:rFonts w:eastAsia="Times New Roman"/>
          <w:lang w:val="en-US"/>
        </w:rPr>
      </w:pPr>
      <w:r w:rsidRPr="008017EF">
        <w:rPr>
          <w:rFonts w:eastAsia="Times New Roman"/>
          <w:lang w:val="en-US"/>
        </w:rPr>
        <w:t xml:space="preserve">Each column represents a year and displays the top 20 causes in descending order. </w:t>
      </w:r>
      <w:r w:rsidR="00CF5F42" w:rsidRPr="008017EF">
        <w:rPr>
          <w:rFonts w:eastAsia="Times New Roman"/>
          <w:lang w:val="en-US"/>
        </w:rPr>
        <w:t>Causes are connected by lines between time periods</w:t>
      </w:r>
      <w:r w:rsidR="000142C3" w:rsidRPr="008017EF">
        <w:rPr>
          <w:rFonts w:eastAsia="Times New Roman"/>
          <w:lang w:val="en-US"/>
        </w:rPr>
        <w:t>; s</w:t>
      </w:r>
      <w:r w:rsidR="00C85E27" w:rsidRPr="008017EF">
        <w:rPr>
          <w:rFonts w:eastAsia="Times New Roman"/>
          <w:lang w:val="en-US"/>
        </w:rPr>
        <w:t xml:space="preserve">olid lines represent </w:t>
      </w:r>
      <w:r w:rsidR="00AB2853" w:rsidRPr="008017EF">
        <w:rPr>
          <w:rFonts w:eastAsia="Times New Roman"/>
          <w:lang w:val="en-US"/>
        </w:rPr>
        <w:t xml:space="preserve">an increase </w:t>
      </w:r>
      <w:r w:rsidR="00E90A57" w:rsidRPr="008017EF">
        <w:rPr>
          <w:rFonts w:eastAsia="Times New Roman"/>
          <w:lang w:val="en-US"/>
        </w:rPr>
        <w:t xml:space="preserve">or lateral shift in ranking, </w:t>
      </w:r>
      <w:r w:rsidR="004C0567" w:rsidRPr="008017EF">
        <w:rPr>
          <w:rFonts w:eastAsia="Times New Roman"/>
          <w:lang w:val="en-US"/>
        </w:rPr>
        <w:t xml:space="preserve">dashed lines </w:t>
      </w:r>
      <w:r w:rsidR="007A6891" w:rsidRPr="008017EF">
        <w:rPr>
          <w:rFonts w:eastAsia="Times New Roman"/>
          <w:lang w:val="en-US"/>
        </w:rPr>
        <w:t xml:space="preserve">are decreases in rank. </w:t>
      </w:r>
      <w:r w:rsidR="00984D71" w:rsidRPr="008017EF">
        <w:rPr>
          <w:rFonts w:eastAsia="Times New Roman"/>
          <w:lang w:val="en-US"/>
        </w:rPr>
        <w:t>Communicable, maternal, neonatal</w:t>
      </w:r>
      <w:r w:rsidR="006F74F6">
        <w:rPr>
          <w:rFonts w:eastAsia="Times New Roman"/>
          <w:lang w:val="en-US"/>
        </w:rPr>
        <w:t>,</w:t>
      </w:r>
      <w:r w:rsidR="00984D71" w:rsidRPr="008017EF">
        <w:rPr>
          <w:rFonts w:eastAsia="Times New Roman"/>
          <w:lang w:val="en-US"/>
        </w:rPr>
        <w:t xml:space="preserve"> and nutritional diseases are shown in red</w:t>
      </w:r>
      <w:r w:rsidR="006F74F6">
        <w:rPr>
          <w:rFonts w:eastAsia="Times New Roman"/>
          <w:lang w:val="en-US"/>
        </w:rPr>
        <w:t>;</w:t>
      </w:r>
      <w:r w:rsidR="00984D71" w:rsidRPr="008017EF">
        <w:rPr>
          <w:rFonts w:eastAsia="Times New Roman"/>
          <w:lang w:val="en-US"/>
        </w:rPr>
        <w:t xml:space="preserve"> non-communicable causes in blue</w:t>
      </w:r>
      <w:r w:rsidR="006F74F6">
        <w:rPr>
          <w:rFonts w:eastAsia="Times New Roman"/>
          <w:lang w:val="en-US"/>
        </w:rPr>
        <w:t>;</w:t>
      </w:r>
      <w:r w:rsidR="00984D71" w:rsidRPr="008017EF">
        <w:rPr>
          <w:rFonts w:eastAsia="Times New Roman"/>
          <w:lang w:val="en-US"/>
        </w:rPr>
        <w:t xml:space="preserve"> and injuries in green. </w:t>
      </w:r>
      <w:r w:rsidR="00A161A1" w:rsidRPr="008017EF">
        <w:rPr>
          <w:rFonts w:eastAsia="Times New Roman"/>
          <w:lang w:val="en-US"/>
        </w:rPr>
        <w:t xml:space="preserve">COPD=chronic obstructive pulmonary disease. </w:t>
      </w:r>
      <w:r w:rsidR="002F079F" w:rsidRPr="008017EF">
        <w:rPr>
          <w:rFonts w:eastAsia="Times New Roman"/>
          <w:lang w:val="en-US"/>
        </w:rPr>
        <w:t>OPRM</w:t>
      </w:r>
      <w:r w:rsidR="00FB1A80" w:rsidRPr="008017EF">
        <w:rPr>
          <w:rFonts w:eastAsia="Times New Roman"/>
          <w:lang w:val="en-US"/>
        </w:rPr>
        <w:t>=</w:t>
      </w:r>
      <w:r w:rsidR="006F74F6">
        <w:rPr>
          <w:rFonts w:eastAsia="Times New Roman"/>
          <w:lang w:val="en-US"/>
        </w:rPr>
        <w:t>o</w:t>
      </w:r>
      <w:r w:rsidR="000D20C3" w:rsidRPr="008017EF">
        <w:rPr>
          <w:rFonts w:eastAsia="Times New Roman"/>
          <w:lang w:val="en-US"/>
        </w:rPr>
        <w:t>ther pandemic</w:t>
      </w:r>
      <w:r w:rsidR="004D0D05">
        <w:rPr>
          <w:rFonts w:eastAsia="Times New Roman"/>
          <w:lang w:val="en-US"/>
        </w:rPr>
        <w:t>-</w:t>
      </w:r>
      <w:r w:rsidR="000D20C3" w:rsidRPr="008017EF">
        <w:rPr>
          <w:rFonts w:eastAsia="Times New Roman"/>
          <w:lang w:val="en-US"/>
        </w:rPr>
        <w:t>related mortality</w:t>
      </w:r>
      <w:r w:rsidR="00FB1A80" w:rsidRPr="008017EF">
        <w:rPr>
          <w:rFonts w:eastAsia="Times New Roman"/>
          <w:lang w:val="en-US"/>
        </w:rPr>
        <w:t>.</w:t>
      </w:r>
    </w:p>
    <w:p w14:paraId="4E99DC59" w14:textId="57D59E97" w:rsidR="00E06DDA" w:rsidRPr="00916601" w:rsidRDefault="0036400F" w:rsidP="00916601">
      <w:pPr>
        <w:spacing w:after="0" w:line="360" w:lineRule="auto"/>
        <w:rPr>
          <w:b/>
          <w:bCs/>
          <w:lang w:val="en-US"/>
        </w:rPr>
      </w:pPr>
      <w:r w:rsidRPr="00916601">
        <w:rPr>
          <w:b/>
          <w:bCs/>
          <w:lang w:val="en-US"/>
        </w:rPr>
        <w:t>Figure 2:</w:t>
      </w:r>
      <w:r w:rsidR="000A5468" w:rsidRPr="00916601">
        <w:rPr>
          <w:b/>
          <w:bCs/>
          <w:lang w:val="en-US"/>
        </w:rPr>
        <w:t xml:space="preserve"> Age-</w:t>
      </w:r>
      <w:proofErr w:type="spellStart"/>
      <w:r w:rsidR="000A5468" w:rsidRPr="00916601">
        <w:rPr>
          <w:b/>
          <w:bCs/>
          <w:lang w:val="en-US"/>
        </w:rPr>
        <w:t>standardised</w:t>
      </w:r>
      <w:proofErr w:type="spellEnd"/>
      <w:r w:rsidR="000A5468" w:rsidRPr="00916601">
        <w:rPr>
          <w:b/>
          <w:bCs/>
          <w:lang w:val="en-US"/>
        </w:rPr>
        <w:t xml:space="preserve"> mortality rate for leading ten causes of death </w:t>
      </w:r>
      <w:r w:rsidR="00552ED2" w:rsidRPr="00916601">
        <w:rPr>
          <w:b/>
          <w:bCs/>
          <w:lang w:val="en-US"/>
        </w:rPr>
        <w:t>globally</w:t>
      </w:r>
      <w:r w:rsidR="00E56295" w:rsidRPr="00916601">
        <w:rPr>
          <w:b/>
          <w:bCs/>
          <w:lang w:val="en-US"/>
        </w:rPr>
        <w:t>, 2019</w:t>
      </w:r>
      <w:r w:rsidR="006F74F6">
        <w:rPr>
          <w:rFonts w:cs="Times New Roman"/>
          <w:b/>
          <w:bCs/>
          <w:lang w:val="en-US"/>
        </w:rPr>
        <w:t>–</w:t>
      </w:r>
      <w:r w:rsidR="00E56295" w:rsidRPr="00916601">
        <w:rPr>
          <w:b/>
          <w:bCs/>
          <w:lang w:val="en-US"/>
        </w:rPr>
        <w:t>2021</w:t>
      </w:r>
    </w:p>
    <w:p w14:paraId="3CB7165B" w14:textId="3E565BA1" w:rsidR="00916601" w:rsidRPr="008017EF" w:rsidRDefault="25FC5926" w:rsidP="00A373D9">
      <w:pPr>
        <w:spacing w:line="360" w:lineRule="auto"/>
        <w:rPr>
          <w:lang w:val="en-US"/>
        </w:rPr>
      </w:pPr>
      <w:r w:rsidRPr="007736FD">
        <w:rPr>
          <w:lang w:val="en-US"/>
        </w:rPr>
        <w:t xml:space="preserve">Whisker </w:t>
      </w:r>
      <w:r w:rsidR="00BF4D69">
        <w:rPr>
          <w:lang w:val="en-US"/>
        </w:rPr>
        <w:t>p</w:t>
      </w:r>
      <w:r w:rsidRPr="007736FD">
        <w:rPr>
          <w:lang w:val="en-US"/>
        </w:rPr>
        <w:t>lot where the</w:t>
      </w:r>
      <w:r w:rsidRPr="003E3FDF">
        <w:rPr>
          <w:i/>
          <w:lang w:val="en-US"/>
        </w:rPr>
        <w:t xml:space="preserve"> </w:t>
      </w:r>
      <w:r w:rsidR="008577A6" w:rsidRPr="003E3FDF">
        <w:rPr>
          <w:i/>
          <w:lang w:val="en-US"/>
        </w:rPr>
        <w:t>y</w:t>
      </w:r>
      <w:r w:rsidR="008577A6">
        <w:rPr>
          <w:lang w:val="en-US"/>
        </w:rPr>
        <w:t>-</w:t>
      </w:r>
      <w:r w:rsidRPr="007736FD">
        <w:rPr>
          <w:lang w:val="en-US"/>
        </w:rPr>
        <w:t xml:space="preserve">axis </w:t>
      </w:r>
      <w:r w:rsidR="00BF4D69">
        <w:rPr>
          <w:lang w:val="en-US"/>
        </w:rPr>
        <w:t>represents the</w:t>
      </w:r>
      <w:r w:rsidRPr="007736FD">
        <w:rPr>
          <w:lang w:val="en-US"/>
        </w:rPr>
        <w:t xml:space="preserve"> </w:t>
      </w:r>
      <w:r w:rsidR="00BF4D69">
        <w:rPr>
          <w:lang w:val="en-US"/>
        </w:rPr>
        <w:t>a</w:t>
      </w:r>
      <w:r w:rsidRPr="007736FD">
        <w:rPr>
          <w:lang w:val="en-US"/>
        </w:rPr>
        <w:t>ge</w:t>
      </w:r>
      <w:r w:rsidR="00BF4D69">
        <w:rPr>
          <w:lang w:val="en-US"/>
        </w:rPr>
        <w:t>-</w:t>
      </w:r>
      <w:proofErr w:type="spellStart"/>
      <w:r w:rsidR="00BF4D69">
        <w:rPr>
          <w:lang w:val="en-US"/>
        </w:rPr>
        <w:t>s</w:t>
      </w:r>
      <w:r w:rsidRPr="007736FD">
        <w:rPr>
          <w:lang w:val="en-US"/>
        </w:rPr>
        <w:t>tandardi</w:t>
      </w:r>
      <w:r w:rsidR="006F74F6">
        <w:rPr>
          <w:lang w:val="en-US"/>
        </w:rPr>
        <w:t>s</w:t>
      </w:r>
      <w:r w:rsidRPr="007736FD">
        <w:rPr>
          <w:lang w:val="en-US"/>
        </w:rPr>
        <w:t>ed</w:t>
      </w:r>
      <w:proofErr w:type="spellEnd"/>
      <w:r w:rsidRPr="007736FD">
        <w:rPr>
          <w:lang w:val="en-US"/>
        </w:rPr>
        <w:t xml:space="preserve"> </w:t>
      </w:r>
      <w:r w:rsidR="00BF4D69">
        <w:rPr>
          <w:lang w:val="en-US"/>
        </w:rPr>
        <w:t>m</w:t>
      </w:r>
      <w:r w:rsidRPr="007736FD">
        <w:rPr>
          <w:lang w:val="en-US"/>
        </w:rPr>
        <w:t xml:space="preserve">ortality </w:t>
      </w:r>
      <w:bookmarkStart w:id="5" w:name="_Int_Lx4IMvCs"/>
      <w:proofErr w:type="gramStart"/>
      <w:r w:rsidR="00BF4D69">
        <w:rPr>
          <w:lang w:val="en-US"/>
        </w:rPr>
        <w:t>r</w:t>
      </w:r>
      <w:r w:rsidRPr="007736FD">
        <w:rPr>
          <w:lang w:val="en-US"/>
        </w:rPr>
        <w:t>ate</w:t>
      </w:r>
      <w:bookmarkEnd w:id="5"/>
      <w:proofErr w:type="gramEnd"/>
      <w:r w:rsidRPr="007736FD">
        <w:rPr>
          <w:lang w:val="en-US"/>
        </w:rPr>
        <w:t xml:space="preserve"> and the </w:t>
      </w:r>
      <w:r w:rsidR="008577A6" w:rsidRPr="003E3FDF">
        <w:rPr>
          <w:i/>
          <w:lang w:val="en-US"/>
        </w:rPr>
        <w:t>x</w:t>
      </w:r>
      <w:r w:rsidR="008577A6">
        <w:rPr>
          <w:lang w:val="en-US"/>
        </w:rPr>
        <w:t>-</w:t>
      </w:r>
      <w:r w:rsidRPr="007736FD">
        <w:rPr>
          <w:lang w:val="en-US"/>
        </w:rPr>
        <w:t xml:space="preserve">axis </w:t>
      </w:r>
      <w:r w:rsidR="00BF4D69">
        <w:rPr>
          <w:lang w:val="en-US"/>
        </w:rPr>
        <w:t>represents</w:t>
      </w:r>
      <w:r w:rsidRPr="007736FD">
        <w:rPr>
          <w:lang w:val="en-US"/>
        </w:rPr>
        <w:t xml:space="preserve"> a selected </w:t>
      </w:r>
      <w:r w:rsidR="00BF4D69">
        <w:rPr>
          <w:lang w:val="en-US"/>
        </w:rPr>
        <w:t>c</w:t>
      </w:r>
      <w:r w:rsidRPr="007736FD">
        <w:rPr>
          <w:lang w:val="en-US"/>
        </w:rPr>
        <w:t>ause-</w:t>
      </w:r>
      <w:r w:rsidR="00BF4D69">
        <w:rPr>
          <w:lang w:val="en-US"/>
        </w:rPr>
        <w:t>y</w:t>
      </w:r>
      <w:r w:rsidRPr="007736FD">
        <w:rPr>
          <w:lang w:val="en-US"/>
        </w:rPr>
        <w:t xml:space="preserve">ear. The best estimate for a given </w:t>
      </w:r>
      <w:r w:rsidR="00BF4D69">
        <w:rPr>
          <w:lang w:val="en-US"/>
        </w:rPr>
        <w:t>c</w:t>
      </w:r>
      <w:r w:rsidRPr="007736FD">
        <w:rPr>
          <w:lang w:val="en-US"/>
        </w:rPr>
        <w:t>ause-</w:t>
      </w:r>
      <w:r w:rsidR="00BF4D69">
        <w:rPr>
          <w:lang w:val="en-US"/>
        </w:rPr>
        <w:t>y</w:t>
      </w:r>
      <w:r w:rsidRPr="007736FD">
        <w:rPr>
          <w:lang w:val="en-US"/>
        </w:rPr>
        <w:t xml:space="preserve">ear is displayed in </w:t>
      </w:r>
      <w:r w:rsidR="00BF4D69">
        <w:rPr>
          <w:lang w:val="en-US"/>
        </w:rPr>
        <w:t>r</w:t>
      </w:r>
      <w:r w:rsidRPr="007736FD">
        <w:rPr>
          <w:lang w:val="en-US"/>
        </w:rPr>
        <w:t xml:space="preserve">ed, where the lower estimate is shown with the green whisker and the upper estimate is shown with the blue whisker. The whiskers represent the 95% </w:t>
      </w:r>
      <w:r w:rsidR="00D55AA9">
        <w:rPr>
          <w:lang w:val="en-US"/>
        </w:rPr>
        <w:t>u</w:t>
      </w:r>
      <w:r w:rsidRPr="007736FD">
        <w:rPr>
          <w:lang w:val="en-US"/>
        </w:rPr>
        <w:t>ncertaint</w:t>
      </w:r>
      <w:r w:rsidRPr="008017EF">
        <w:rPr>
          <w:lang w:val="en-US"/>
        </w:rPr>
        <w:t xml:space="preserve">y </w:t>
      </w:r>
      <w:r w:rsidR="00D55AA9">
        <w:rPr>
          <w:lang w:val="en-US"/>
        </w:rPr>
        <w:t>i</w:t>
      </w:r>
      <w:r w:rsidRPr="008017EF">
        <w:rPr>
          <w:lang w:val="en-US"/>
        </w:rPr>
        <w:t>nterval.</w:t>
      </w:r>
    </w:p>
    <w:p w14:paraId="525C405E" w14:textId="4ECA6BB8" w:rsidR="002F079F" w:rsidRPr="00916601" w:rsidRDefault="001E4C2D" w:rsidP="00916601">
      <w:pPr>
        <w:spacing w:after="0" w:line="360" w:lineRule="auto"/>
        <w:rPr>
          <w:b/>
          <w:bCs/>
          <w:lang w:val="en-US"/>
        </w:rPr>
      </w:pPr>
      <w:r w:rsidRPr="00916601">
        <w:rPr>
          <w:b/>
          <w:bCs/>
          <w:lang w:val="en-US"/>
        </w:rPr>
        <w:t>Figure 3: Age-</w:t>
      </w:r>
      <w:proofErr w:type="spellStart"/>
      <w:r w:rsidRPr="00916601">
        <w:rPr>
          <w:b/>
          <w:bCs/>
          <w:lang w:val="en-US"/>
        </w:rPr>
        <w:t>standardised</w:t>
      </w:r>
      <w:proofErr w:type="spellEnd"/>
      <w:r w:rsidRPr="00916601">
        <w:rPr>
          <w:b/>
          <w:bCs/>
          <w:lang w:val="en-US"/>
        </w:rPr>
        <w:t xml:space="preserve"> mortality rate</w:t>
      </w:r>
      <w:r w:rsidR="005073FA" w:rsidRPr="00916601">
        <w:rPr>
          <w:b/>
          <w:bCs/>
          <w:lang w:val="en-US"/>
        </w:rPr>
        <w:t xml:space="preserve"> of COVID-19 and OPRM</w:t>
      </w:r>
      <w:r w:rsidR="002F079F" w:rsidRPr="00916601">
        <w:rPr>
          <w:b/>
          <w:bCs/>
          <w:lang w:val="en-US"/>
        </w:rPr>
        <w:t>, 2021</w:t>
      </w:r>
    </w:p>
    <w:p w14:paraId="2C95D514" w14:textId="3D3A1F33" w:rsidR="00916601" w:rsidRPr="008017EF" w:rsidRDefault="06016FA9" w:rsidP="00A373D9">
      <w:pPr>
        <w:spacing w:line="360" w:lineRule="auto"/>
        <w:rPr>
          <w:lang w:val="en-US"/>
        </w:rPr>
      </w:pPr>
      <w:r w:rsidRPr="007736FD">
        <w:rPr>
          <w:rFonts w:eastAsia="Times New Roman"/>
          <w:lang w:val="en-US"/>
        </w:rPr>
        <w:t xml:space="preserve">Global </w:t>
      </w:r>
      <w:r w:rsidR="00495F82">
        <w:rPr>
          <w:rFonts w:eastAsia="Times New Roman"/>
          <w:lang w:val="en-US"/>
        </w:rPr>
        <w:t>c</w:t>
      </w:r>
      <w:r w:rsidRPr="007736FD">
        <w:rPr>
          <w:rFonts w:eastAsia="Times New Roman"/>
          <w:lang w:val="en-US"/>
        </w:rPr>
        <w:t xml:space="preserve">horopleth </w:t>
      </w:r>
      <w:r w:rsidR="00D31D00">
        <w:rPr>
          <w:rFonts w:eastAsia="Times New Roman"/>
          <w:lang w:val="en-US"/>
        </w:rPr>
        <w:t>m</w:t>
      </w:r>
      <w:r w:rsidRPr="007736FD">
        <w:rPr>
          <w:rFonts w:eastAsia="Times New Roman"/>
          <w:lang w:val="en-US"/>
        </w:rPr>
        <w:t>aps of C</w:t>
      </w:r>
      <w:r w:rsidR="006F74F6">
        <w:rPr>
          <w:rFonts w:eastAsia="Times New Roman"/>
          <w:lang w:val="en-US"/>
        </w:rPr>
        <w:t>OVID</w:t>
      </w:r>
      <w:r w:rsidRPr="007736FD">
        <w:rPr>
          <w:rFonts w:eastAsia="Times New Roman"/>
          <w:lang w:val="en-US"/>
        </w:rPr>
        <w:t xml:space="preserve">-19 and </w:t>
      </w:r>
      <w:r w:rsidR="006F74F6">
        <w:rPr>
          <w:rFonts w:eastAsia="Times New Roman"/>
          <w:lang w:val="en-US"/>
        </w:rPr>
        <w:t>o</w:t>
      </w:r>
      <w:r w:rsidR="006F74F6" w:rsidRPr="007736FD">
        <w:rPr>
          <w:rFonts w:eastAsia="Times New Roman"/>
          <w:lang w:val="en-US"/>
        </w:rPr>
        <w:t xml:space="preserve">ther </w:t>
      </w:r>
      <w:r w:rsidR="006F74F6">
        <w:rPr>
          <w:rFonts w:eastAsia="Times New Roman"/>
          <w:lang w:val="en-US"/>
        </w:rPr>
        <w:t>p</w:t>
      </w:r>
      <w:r w:rsidR="006F74F6" w:rsidRPr="007736FD">
        <w:rPr>
          <w:rFonts w:eastAsia="Times New Roman"/>
          <w:lang w:val="en-US"/>
        </w:rPr>
        <w:t>andemic</w:t>
      </w:r>
      <w:r w:rsidR="006F74F6">
        <w:rPr>
          <w:rFonts w:eastAsia="Times New Roman"/>
          <w:lang w:val="en-US"/>
        </w:rPr>
        <w:t>-r</w:t>
      </w:r>
      <w:r w:rsidRPr="007736FD">
        <w:rPr>
          <w:rFonts w:eastAsia="Times New Roman"/>
          <w:lang w:val="en-US"/>
        </w:rPr>
        <w:t xml:space="preserve">elated </w:t>
      </w:r>
      <w:r w:rsidR="006F74F6">
        <w:rPr>
          <w:rFonts w:eastAsia="Times New Roman"/>
          <w:lang w:val="en-US"/>
        </w:rPr>
        <w:t>m</w:t>
      </w:r>
      <w:r w:rsidR="006F74F6" w:rsidRPr="007736FD">
        <w:rPr>
          <w:rFonts w:eastAsia="Times New Roman"/>
          <w:lang w:val="en-US"/>
        </w:rPr>
        <w:t xml:space="preserve">ortality </w:t>
      </w:r>
      <w:r w:rsidRPr="007736FD">
        <w:rPr>
          <w:rFonts w:eastAsia="Times New Roman"/>
          <w:lang w:val="en-US"/>
        </w:rPr>
        <w:t xml:space="preserve">(OPRM) for 2021 that show subnational detail where available. The </w:t>
      </w:r>
      <w:proofErr w:type="spellStart"/>
      <w:r w:rsidR="006F74F6">
        <w:rPr>
          <w:rFonts w:eastAsia="Times New Roman"/>
          <w:lang w:val="en-US"/>
        </w:rPr>
        <w:t>c</w:t>
      </w:r>
      <w:r w:rsidR="006F74F6" w:rsidRPr="007736FD">
        <w:rPr>
          <w:rFonts w:eastAsia="Times New Roman"/>
          <w:lang w:val="en-US"/>
        </w:rPr>
        <w:t>olo</w:t>
      </w:r>
      <w:r w:rsidR="006F74F6">
        <w:rPr>
          <w:rFonts w:eastAsia="Times New Roman"/>
          <w:lang w:val="en-US"/>
        </w:rPr>
        <w:t>u</w:t>
      </w:r>
      <w:r w:rsidR="006F74F6" w:rsidRPr="007736FD">
        <w:rPr>
          <w:rFonts w:eastAsia="Times New Roman"/>
          <w:lang w:val="en-US"/>
        </w:rPr>
        <w:t>r</w:t>
      </w:r>
      <w:proofErr w:type="spellEnd"/>
      <w:r w:rsidR="006F74F6" w:rsidRPr="007736FD">
        <w:rPr>
          <w:rFonts w:eastAsia="Times New Roman"/>
          <w:lang w:val="en-US"/>
        </w:rPr>
        <w:t xml:space="preserve"> </w:t>
      </w:r>
      <w:r w:rsidR="006F74F6">
        <w:rPr>
          <w:rFonts w:eastAsia="Times New Roman"/>
          <w:lang w:val="en-US"/>
        </w:rPr>
        <w:t>s</w:t>
      </w:r>
      <w:r w:rsidR="006F74F6" w:rsidRPr="007736FD">
        <w:rPr>
          <w:rFonts w:eastAsia="Times New Roman"/>
          <w:lang w:val="en-US"/>
        </w:rPr>
        <w:t xml:space="preserve">cale </w:t>
      </w:r>
      <w:r w:rsidR="006F74F6">
        <w:rPr>
          <w:rFonts w:eastAsia="Times New Roman"/>
          <w:lang w:val="en-US"/>
        </w:rPr>
        <w:t>r</w:t>
      </w:r>
      <w:r w:rsidR="006F74F6" w:rsidRPr="007736FD">
        <w:rPr>
          <w:rFonts w:eastAsia="Times New Roman"/>
          <w:lang w:val="en-US"/>
        </w:rPr>
        <w:t xml:space="preserve">epresents </w:t>
      </w:r>
      <w:r w:rsidRPr="007736FD">
        <w:rPr>
          <w:rFonts w:eastAsia="Times New Roman"/>
          <w:lang w:val="en-US"/>
        </w:rPr>
        <w:t>the age-</w:t>
      </w:r>
      <w:proofErr w:type="spellStart"/>
      <w:r w:rsidRPr="007736FD">
        <w:rPr>
          <w:rFonts w:eastAsia="Times New Roman"/>
          <w:lang w:val="en-US"/>
        </w:rPr>
        <w:t>standardised</w:t>
      </w:r>
      <w:proofErr w:type="spellEnd"/>
      <w:r w:rsidRPr="007736FD">
        <w:rPr>
          <w:rFonts w:eastAsia="Times New Roman"/>
          <w:lang w:val="en-US"/>
        </w:rPr>
        <w:t xml:space="preserve"> mortality rate per 100</w:t>
      </w:r>
      <w:r w:rsidR="006F74F6">
        <w:rPr>
          <w:rFonts w:eastAsia="Times New Roman"/>
          <w:lang w:val="en-US"/>
        </w:rPr>
        <w:t xml:space="preserve"> 000</w:t>
      </w:r>
      <w:r w:rsidRPr="007736FD">
        <w:rPr>
          <w:rFonts w:eastAsia="Times New Roman"/>
          <w:lang w:val="en-US"/>
        </w:rPr>
        <w:t xml:space="preserve"> populatio</w:t>
      </w:r>
      <w:r w:rsidRPr="008017EF">
        <w:rPr>
          <w:lang w:val="en-US"/>
        </w:rPr>
        <w:t>n</w:t>
      </w:r>
      <w:r w:rsidR="006F74F6">
        <w:rPr>
          <w:lang w:val="en-US"/>
        </w:rPr>
        <w:t>,</w:t>
      </w:r>
      <w:r w:rsidRPr="008017EF">
        <w:rPr>
          <w:lang w:val="en-US"/>
        </w:rPr>
        <w:t xml:space="preserve"> where red </w:t>
      </w:r>
      <w:r w:rsidR="006F74F6">
        <w:rPr>
          <w:lang w:val="en-US"/>
        </w:rPr>
        <w:t>indicates</w:t>
      </w:r>
      <w:r w:rsidR="006F74F6" w:rsidRPr="008017EF">
        <w:rPr>
          <w:lang w:val="en-US"/>
        </w:rPr>
        <w:t xml:space="preserve"> </w:t>
      </w:r>
      <w:bookmarkStart w:id="6" w:name="_Int_9vOispti"/>
      <w:proofErr w:type="gramStart"/>
      <w:r w:rsidRPr="008017EF">
        <w:rPr>
          <w:lang w:val="en-US"/>
        </w:rPr>
        <w:t>high</w:t>
      </w:r>
      <w:bookmarkEnd w:id="6"/>
      <w:proofErr w:type="gramEnd"/>
      <w:r w:rsidRPr="008017EF">
        <w:rPr>
          <w:lang w:val="en-US"/>
        </w:rPr>
        <w:t xml:space="preserve"> and blue </w:t>
      </w:r>
      <w:r w:rsidR="006F74F6">
        <w:rPr>
          <w:lang w:val="en-US"/>
        </w:rPr>
        <w:t>indicates</w:t>
      </w:r>
      <w:r w:rsidR="006F74F6" w:rsidRPr="008017EF">
        <w:rPr>
          <w:lang w:val="en-US"/>
        </w:rPr>
        <w:t xml:space="preserve"> </w:t>
      </w:r>
      <w:r w:rsidRPr="008017EF">
        <w:rPr>
          <w:lang w:val="en-US"/>
        </w:rPr>
        <w:t>low.</w:t>
      </w:r>
    </w:p>
    <w:p w14:paraId="4FB478AD" w14:textId="7E677D44" w:rsidR="000B4084" w:rsidRPr="00916601" w:rsidRDefault="000B4084" w:rsidP="00916601">
      <w:pPr>
        <w:spacing w:after="0" w:line="360" w:lineRule="auto"/>
        <w:rPr>
          <w:b/>
          <w:bCs/>
          <w:lang w:val="en-US"/>
        </w:rPr>
      </w:pPr>
      <w:r w:rsidRPr="00916601">
        <w:rPr>
          <w:b/>
          <w:bCs/>
          <w:lang w:val="en-US"/>
        </w:rPr>
        <w:t xml:space="preserve">Figure </w:t>
      </w:r>
      <w:r w:rsidR="006C5A45">
        <w:rPr>
          <w:b/>
          <w:bCs/>
          <w:lang w:val="en-US"/>
        </w:rPr>
        <w:t>4</w:t>
      </w:r>
      <w:r w:rsidRPr="00916601">
        <w:rPr>
          <w:b/>
          <w:bCs/>
          <w:lang w:val="en-US"/>
        </w:rPr>
        <w:t xml:space="preserve">: </w:t>
      </w:r>
      <w:r w:rsidR="00BB3B3E" w:rsidRPr="00916601">
        <w:rPr>
          <w:b/>
          <w:bCs/>
          <w:lang w:val="en-US"/>
        </w:rPr>
        <w:t xml:space="preserve">Change in life expectancy attributable to leading causes of death in </w:t>
      </w:r>
      <w:r w:rsidR="00BB3B3E" w:rsidRPr="50E5E654">
        <w:rPr>
          <w:b/>
          <w:bCs/>
          <w:lang w:val="en-US"/>
        </w:rPr>
        <w:t>1990</w:t>
      </w:r>
      <w:r w:rsidR="006F74F6">
        <w:rPr>
          <w:rFonts w:cs="Times New Roman"/>
          <w:b/>
          <w:bCs/>
          <w:lang w:val="en-US"/>
        </w:rPr>
        <w:t>–</w:t>
      </w:r>
      <w:r w:rsidR="00974F9F" w:rsidRPr="00916601">
        <w:rPr>
          <w:b/>
          <w:bCs/>
          <w:lang w:val="en-US"/>
        </w:rPr>
        <w:t>2000, 2000</w:t>
      </w:r>
      <w:r w:rsidR="006F74F6">
        <w:rPr>
          <w:rFonts w:cs="Times New Roman"/>
          <w:b/>
          <w:bCs/>
          <w:lang w:val="en-US"/>
        </w:rPr>
        <w:t>–</w:t>
      </w:r>
      <w:r w:rsidR="00974F9F" w:rsidRPr="00916601">
        <w:rPr>
          <w:b/>
          <w:bCs/>
          <w:lang w:val="en-US"/>
        </w:rPr>
        <w:t>2010, 2010</w:t>
      </w:r>
      <w:r w:rsidR="006F74F6">
        <w:rPr>
          <w:rFonts w:cs="Times New Roman"/>
          <w:b/>
          <w:bCs/>
          <w:lang w:val="en-US"/>
        </w:rPr>
        <w:t>–</w:t>
      </w:r>
      <w:r w:rsidR="00974F9F" w:rsidRPr="00916601">
        <w:rPr>
          <w:b/>
          <w:bCs/>
          <w:lang w:val="en-US"/>
        </w:rPr>
        <w:t>2019, and 2019</w:t>
      </w:r>
      <w:r w:rsidR="006F74F6">
        <w:rPr>
          <w:rFonts w:cs="Times New Roman"/>
          <w:b/>
          <w:bCs/>
          <w:lang w:val="en-US"/>
        </w:rPr>
        <w:t>–</w:t>
      </w:r>
      <w:r w:rsidR="00974F9F" w:rsidRPr="00916601">
        <w:rPr>
          <w:b/>
          <w:bCs/>
          <w:lang w:val="en-US"/>
        </w:rPr>
        <w:t>2021 for males and females combined</w:t>
      </w:r>
    </w:p>
    <w:p w14:paraId="34553ECF" w14:textId="43B969F9" w:rsidR="00916601" w:rsidRPr="00A373D9" w:rsidRDefault="600FC7DE" w:rsidP="00A373D9">
      <w:pPr>
        <w:spacing w:line="360" w:lineRule="auto"/>
        <w:rPr>
          <w:lang w:val="en-US"/>
        </w:rPr>
      </w:pPr>
      <w:r w:rsidRPr="00B535DB">
        <w:rPr>
          <w:lang w:val="en-US"/>
        </w:rPr>
        <w:t>Each ro</w:t>
      </w:r>
      <w:r w:rsidRPr="007736FD">
        <w:rPr>
          <w:lang w:val="en-US"/>
        </w:rPr>
        <w:t xml:space="preserve">w represents the change in global life expectancy from 1990 to 2021 for a given cause. The total change in life expectancy is further broken down by different </w:t>
      </w:r>
      <w:proofErr w:type="spellStart"/>
      <w:r w:rsidRPr="007736FD">
        <w:rPr>
          <w:lang w:val="en-US"/>
        </w:rPr>
        <w:t>colo</w:t>
      </w:r>
      <w:r w:rsidR="006F74F6">
        <w:rPr>
          <w:lang w:val="en-US"/>
        </w:rPr>
        <w:t>u</w:t>
      </w:r>
      <w:r w:rsidRPr="007736FD">
        <w:rPr>
          <w:lang w:val="en-US"/>
        </w:rPr>
        <w:t>rs</w:t>
      </w:r>
      <w:proofErr w:type="spellEnd"/>
      <w:r w:rsidRPr="007736FD">
        <w:rPr>
          <w:lang w:val="en-US"/>
        </w:rPr>
        <w:t xml:space="preserve"> to represent changes over time periods. Blue represents the 1990s, </w:t>
      </w:r>
      <w:r w:rsidR="006F74F6">
        <w:rPr>
          <w:lang w:val="en-US"/>
        </w:rPr>
        <w:t>r</w:t>
      </w:r>
      <w:r w:rsidR="006F74F6" w:rsidRPr="007736FD">
        <w:rPr>
          <w:lang w:val="en-US"/>
        </w:rPr>
        <w:t xml:space="preserve">ed </w:t>
      </w:r>
      <w:r w:rsidRPr="007736FD">
        <w:rPr>
          <w:lang w:val="en-US"/>
        </w:rPr>
        <w:t xml:space="preserve">2000s, </w:t>
      </w:r>
      <w:r w:rsidR="006F74F6">
        <w:rPr>
          <w:lang w:val="en-US"/>
        </w:rPr>
        <w:t>g</w:t>
      </w:r>
      <w:r w:rsidR="006F74F6" w:rsidRPr="007736FD">
        <w:rPr>
          <w:lang w:val="en-US"/>
        </w:rPr>
        <w:t xml:space="preserve">reen </w:t>
      </w:r>
      <w:r w:rsidRPr="007736FD">
        <w:rPr>
          <w:lang w:val="en-US"/>
        </w:rPr>
        <w:t xml:space="preserve">2010s, and </w:t>
      </w:r>
      <w:r w:rsidR="006F74F6">
        <w:rPr>
          <w:lang w:val="en-US"/>
        </w:rPr>
        <w:t>p</w:t>
      </w:r>
      <w:r w:rsidR="006F74F6" w:rsidRPr="007736FD">
        <w:rPr>
          <w:lang w:val="en-US"/>
        </w:rPr>
        <w:t>urple</w:t>
      </w:r>
      <w:r w:rsidRPr="007736FD">
        <w:rPr>
          <w:lang w:val="en-US"/>
        </w:rPr>
        <w:t xml:space="preserve"> since 2019. A bar to the right of </w:t>
      </w:r>
      <w:r w:rsidR="006F74F6">
        <w:rPr>
          <w:lang w:val="en-US"/>
        </w:rPr>
        <w:t>zero</w:t>
      </w:r>
      <w:r w:rsidR="006F74F6" w:rsidRPr="007736FD">
        <w:rPr>
          <w:lang w:val="en-US"/>
        </w:rPr>
        <w:t xml:space="preserve"> </w:t>
      </w:r>
      <w:r w:rsidRPr="007736FD">
        <w:rPr>
          <w:lang w:val="en-US"/>
        </w:rPr>
        <w:t xml:space="preserve">represents an increase in </w:t>
      </w:r>
      <w:r w:rsidR="006F74F6">
        <w:rPr>
          <w:lang w:val="en-US"/>
        </w:rPr>
        <w:t>l</w:t>
      </w:r>
      <w:r w:rsidR="006F74F6" w:rsidRPr="007736FD">
        <w:rPr>
          <w:lang w:val="en-US"/>
        </w:rPr>
        <w:t>ife</w:t>
      </w:r>
      <w:r w:rsidRPr="007736FD">
        <w:rPr>
          <w:lang w:val="en-US"/>
        </w:rPr>
        <w:t xml:space="preserve"> </w:t>
      </w:r>
      <w:r w:rsidR="006F74F6">
        <w:rPr>
          <w:lang w:val="en-US"/>
        </w:rPr>
        <w:t>e</w:t>
      </w:r>
      <w:r w:rsidR="006F74F6" w:rsidRPr="007736FD">
        <w:rPr>
          <w:lang w:val="en-US"/>
        </w:rPr>
        <w:t xml:space="preserve">xpectancy </w:t>
      </w:r>
      <w:r w:rsidRPr="007736FD">
        <w:rPr>
          <w:lang w:val="en-US"/>
        </w:rPr>
        <w:t>due to changes in the given cause</w:t>
      </w:r>
      <w:r w:rsidR="006F74F6">
        <w:rPr>
          <w:lang w:val="en-US"/>
        </w:rPr>
        <w:t>,</w:t>
      </w:r>
      <w:r w:rsidRPr="007736FD">
        <w:rPr>
          <w:lang w:val="en-US"/>
        </w:rPr>
        <w:t xml:space="preserve"> and a bar to the left of </w:t>
      </w:r>
      <w:r w:rsidR="006F74F6">
        <w:rPr>
          <w:lang w:val="en-US"/>
        </w:rPr>
        <w:t>zero</w:t>
      </w:r>
      <w:r w:rsidR="006F74F6" w:rsidRPr="007736FD">
        <w:rPr>
          <w:lang w:val="en-US"/>
        </w:rPr>
        <w:t xml:space="preserve"> </w:t>
      </w:r>
      <w:r w:rsidRPr="007736FD">
        <w:rPr>
          <w:lang w:val="en-US"/>
        </w:rPr>
        <w:t>represents a decrease in life expectancy due to a given cause.</w:t>
      </w:r>
    </w:p>
    <w:p w14:paraId="4A7E059B" w14:textId="525B82AA" w:rsidR="00916601" w:rsidRDefault="003A0615" w:rsidP="00916601">
      <w:pPr>
        <w:spacing w:after="0" w:line="360" w:lineRule="auto"/>
        <w:rPr>
          <w:b/>
          <w:bCs/>
          <w:lang w:val="en-US"/>
        </w:rPr>
      </w:pPr>
      <w:r w:rsidRPr="00916601">
        <w:rPr>
          <w:b/>
          <w:bCs/>
          <w:lang w:val="en-US"/>
        </w:rPr>
        <w:t xml:space="preserve">Figure </w:t>
      </w:r>
      <w:r w:rsidR="0088599A">
        <w:rPr>
          <w:b/>
          <w:bCs/>
          <w:lang w:val="en-US"/>
        </w:rPr>
        <w:t>5</w:t>
      </w:r>
      <w:r w:rsidRPr="00916601">
        <w:rPr>
          <w:b/>
          <w:bCs/>
          <w:lang w:val="en-US"/>
        </w:rPr>
        <w:t>: Change in life expectancy attributable to leading causes of death in 1990</w:t>
      </w:r>
      <w:r w:rsidR="006F74F6">
        <w:rPr>
          <w:rFonts w:cs="Times New Roman"/>
          <w:b/>
          <w:bCs/>
          <w:lang w:val="en-US"/>
        </w:rPr>
        <w:t>–</w:t>
      </w:r>
      <w:r w:rsidRPr="00916601">
        <w:rPr>
          <w:b/>
          <w:bCs/>
          <w:lang w:val="en-US"/>
        </w:rPr>
        <w:t xml:space="preserve">2021 </w:t>
      </w:r>
      <w:r w:rsidR="00516376" w:rsidRPr="00916601">
        <w:rPr>
          <w:b/>
          <w:bCs/>
          <w:lang w:val="en-US"/>
        </w:rPr>
        <w:t>among super-regions</w:t>
      </w:r>
    </w:p>
    <w:p w14:paraId="5AA82326" w14:textId="1AD05654" w:rsidR="00916601" w:rsidRPr="00A373D9" w:rsidRDefault="3A7AAD8D" w:rsidP="00A373D9">
      <w:pPr>
        <w:spacing w:line="360" w:lineRule="auto"/>
        <w:rPr>
          <w:rFonts w:eastAsia="Times New Roman"/>
          <w:lang w:val="en-US"/>
        </w:rPr>
      </w:pPr>
      <w:r w:rsidRPr="007736FD">
        <w:rPr>
          <w:rFonts w:eastAsia="Times New Roman"/>
          <w:lang w:val="en-US"/>
        </w:rPr>
        <w:t>Each row represents the change in life expectancy from 1990 to 2021 for a given super</w:t>
      </w:r>
      <w:r w:rsidR="006F74F6">
        <w:rPr>
          <w:rFonts w:eastAsia="Times New Roman"/>
          <w:lang w:val="en-US"/>
        </w:rPr>
        <w:t>-</w:t>
      </w:r>
      <w:r w:rsidRPr="007736FD">
        <w:rPr>
          <w:rFonts w:eastAsia="Times New Roman"/>
          <w:lang w:val="en-US"/>
        </w:rPr>
        <w:t xml:space="preserve">region. The total change in life expectancy is further broken down by different </w:t>
      </w:r>
      <w:proofErr w:type="spellStart"/>
      <w:r w:rsidRPr="007736FD">
        <w:rPr>
          <w:rFonts w:eastAsia="Times New Roman"/>
          <w:lang w:val="en-US"/>
        </w:rPr>
        <w:t>colo</w:t>
      </w:r>
      <w:r w:rsidR="006F74F6">
        <w:rPr>
          <w:rFonts w:eastAsia="Times New Roman"/>
          <w:lang w:val="en-US"/>
        </w:rPr>
        <w:t>u</w:t>
      </w:r>
      <w:r w:rsidRPr="007736FD">
        <w:rPr>
          <w:rFonts w:eastAsia="Times New Roman"/>
          <w:lang w:val="en-US"/>
        </w:rPr>
        <w:t>rs</w:t>
      </w:r>
      <w:proofErr w:type="spellEnd"/>
      <w:r w:rsidRPr="007736FD">
        <w:rPr>
          <w:rFonts w:eastAsia="Times New Roman"/>
          <w:lang w:val="en-US"/>
        </w:rPr>
        <w:t xml:space="preserve"> and patterns to represent the change attributed to specific causes. A bar to the right of </w:t>
      </w:r>
      <w:r w:rsidR="006F74F6">
        <w:rPr>
          <w:rFonts w:eastAsia="Times New Roman"/>
          <w:lang w:val="en-US"/>
        </w:rPr>
        <w:t>zero</w:t>
      </w:r>
      <w:r w:rsidR="006F74F6" w:rsidRPr="007736FD">
        <w:rPr>
          <w:rFonts w:eastAsia="Times New Roman"/>
          <w:lang w:val="en-US"/>
        </w:rPr>
        <w:t xml:space="preserve"> </w:t>
      </w:r>
      <w:r w:rsidRPr="007736FD">
        <w:rPr>
          <w:rFonts w:eastAsia="Times New Roman"/>
          <w:lang w:val="en-US"/>
        </w:rPr>
        <w:t xml:space="preserve">represents an increase in </w:t>
      </w:r>
      <w:r w:rsidR="006F74F6">
        <w:rPr>
          <w:rFonts w:eastAsia="Times New Roman"/>
          <w:lang w:val="en-US"/>
        </w:rPr>
        <w:t>l</w:t>
      </w:r>
      <w:r w:rsidR="006F74F6" w:rsidRPr="007736FD">
        <w:rPr>
          <w:rFonts w:eastAsia="Times New Roman"/>
          <w:lang w:val="en-US"/>
        </w:rPr>
        <w:t>ife</w:t>
      </w:r>
      <w:r w:rsidRPr="007736FD">
        <w:rPr>
          <w:rFonts w:eastAsia="Times New Roman"/>
          <w:lang w:val="en-US"/>
        </w:rPr>
        <w:t xml:space="preserve"> </w:t>
      </w:r>
      <w:r w:rsidR="006F74F6">
        <w:rPr>
          <w:rFonts w:eastAsia="Times New Roman"/>
          <w:lang w:val="en-US"/>
        </w:rPr>
        <w:t>e</w:t>
      </w:r>
      <w:r w:rsidR="006F74F6" w:rsidRPr="007736FD">
        <w:rPr>
          <w:rFonts w:eastAsia="Times New Roman"/>
          <w:lang w:val="en-US"/>
        </w:rPr>
        <w:t xml:space="preserve">xpectancy </w:t>
      </w:r>
      <w:r w:rsidRPr="007736FD">
        <w:rPr>
          <w:rFonts w:eastAsia="Times New Roman"/>
          <w:lang w:val="en-US"/>
        </w:rPr>
        <w:t>due to changes in the given cause</w:t>
      </w:r>
      <w:r w:rsidR="006F74F6">
        <w:rPr>
          <w:rFonts w:eastAsia="Times New Roman"/>
          <w:lang w:val="en-US"/>
        </w:rPr>
        <w:t>,</w:t>
      </w:r>
      <w:r w:rsidRPr="007736FD">
        <w:rPr>
          <w:rFonts w:eastAsia="Times New Roman"/>
          <w:lang w:val="en-US"/>
        </w:rPr>
        <w:t xml:space="preserve"> and a bar to the left of </w:t>
      </w:r>
      <w:r w:rsidR="006F74F6">
        <w:rPr>
          <w:rFonts w:eastAsia="Times New Roman"/>
          <w:lang w:val="en-US"/>
        </w:rPr>
        <w:t>zero</w:t>
      </w:r>
      <w:r w:rsidR="006F74F6" w:rsidRPr="007736FD">
        <w:rPr>
          <w:rFonts w:eastAsia="Times New Roman"/>
          <w:lang w:val="en-US"/>
        </w:rPr>
        <w:t xml:space="preserve"> </w:t>
      </w:r>
      <w:r w:rsidRPr="007736FD">
        <w:rPr>
          <w:rFonts w:eastAsia="Times New Roman"/>
          <w:lang w:val="en-US"/>
        </w:rPr>
        <w:t>represents a decrease in life expectancy for a given super</w:t>
      </w:r>
      <w:r w:rsidR="006F74F6">
        <w:rPr>
          <w:rFonts w:eastAsia="Times New Roman"/>
          <w:lang w:val="en-US"/>
        </w:rPr>
        <w:t>-</w:t>
      </w:r>
      <w:r w:rsidRPr="007736FD">
        <w:rPr>
          <w:rFonts w:eastAsia="Times New Roman"/>
          <w:lang w:val="en-US"/>
        </w:rPr>
        <w:t>region.</w:t>
      </w:r>
    </w:p>
    <w:p w14:paraId="0B32E622" w14:textId="146E6A28" w:rsidR="008171B3" w:rsidRPr="00900012" w:rsidRDefault="008171B3" w:rsidP="008171B3">
      <w:pPr>
        <w:spacing w:after="0" w:line="360" w:lineRule="auto"/>
        <w:rPr>
          <w:b/>
          <w:bCs/>
          <w:lang w:val="en-US"/>
        </w:rPr>
      </w:pPr>
      <w:r w:rsidRPr="7E8A417C">
        <w:rPr>
          <w:b/>
          <w:bCs/>
          <w:lang w:val="en-US"/>
        </w:rPr>
        <w:lastRenderedPageBreak/>
        <w:t>F</w:t>
      </w:r>
      <w:r w:rsidRPr="7E8A417C">
        <w:rPr>
          <w:rFonts w:cs="Times New Roman"/>
          <w:b/>
          <w:bCs/>
          <w:lang w:val="en-US"/>
        </w:rPr>
        <w:t>igu</w:t>
      </w:r>
      <w:r w:rsidRPr="7E8A417C">
        <w:rPr>
          <w:b/>
          <w:bCs/>
          <w:lang w:val="en-US"/>
        </w:rPr>
        <w:t>re 6: Impact of COVID-19 on life expectancy by four periods of time and GBD regions</w:t>
      </w:r>
    </w:p>
    <w:p w14:paraId="0055D5C1" w14:textId="669C3D80" w:rsidR="008171B3" w:rsidRPr="009D5910" w:rsidRDefault="008171B3" w:rsidP="009D5910">
      <w:pPr>
        <w:spacing w:line="360" w:lineRule="auto"/>
        <w:rPr>
          <w:lang w:val="en-US"/>
        </w:rPr>
      </w:pPr>
      <w:r w:rsidRPr="7E8A417C">
        <w:rPr>
          <w:lang w:val="en-US"/>
        </w:rPr>
        <w:t>This</w:t>
      </w:r>
      <w:r w:rsidRPr="7E8A417C">
        <w:rPr>
          <w:rFonts w:eastAsia="Calibri" w:cs="Times New Roman"/>
          <w:lang w:val="en-US"/>
        </w:rPr>
        <w:t xml:space="preserve"> graph shows a bar chart that represents the total change in life expectancy due to COVID-19 over the period 2019-2021 by GBD regions. Each row shows a GBD region that is broken down by color to indicate the change in life expectancy by different year ranges. Yellow shows the change from 2019-2021.</w:t>
      </w:r>
    </w:p>
    <w:p w14:paraId="41057E66" w14:textId="275EDD37" w:rsidR="006A79E4" w:rsidRPr="00900012" w:rsidRDefault="006A79E4" w:rsidP="00900012">
      <w:pPr>
        <w:spacing w:after="0" w:line="360" w:lineRule="auto"/>
        <w:rPr>
          <w:b/>
          <w:bCs/>
          <w:lang w:val="en-US"/>
        </w:rPr>
      </w:pPr>
      <w:r w:rsidRPr="00900012">
        <w:rPr>
          <w:b/>
          <w:bCs/>
          <w:lang w:val="en-US"/>
        </w:rPr>
        <w:t>Figure 7: I</w:t>
      </w:r>
      <w:r>
        <w:rPr>
          <w:b/>
          <w:bCs/>
          <w:lang w:val="en-US"/>
        </w:rPr>
        <w:t>mpact of enteric infectious diseases on life</w:t>
      </w:r>
      <w:r w:rsidR="00800EF4">
        <w:rPr>
          <w:b/>
          <w:bCs/>
          <w:lang w:val="en-US"/>
        </w:rPr>
        <w:t xml:space="preserve"> expectancy by </w:t>
      </w:r>
      <w:r w:rsidR="00951AC0">
        <w:rPr>
          <w:b/>
          <w:bCs/>
          <w:lang w:val="en-US"/>
        </w:rPr>
        <w:t xml:space="preserve">four </w:t>
      </w:r>
      <w:r w:rsidR="00800EF4">
        <w:rPr>
          <w:b/>
          <w:bCs/>
          <w:lang w:val="en-US"/>
        </w:rPr>
        <w:t xml:space="preserve">periods of time and GBD </w:t>
      </w:r>
      <w:r w:rsidR="00800EF4" w:rsidRPr="00B37A97">
        <w:rPr>
          <w:rFonts w:cs="Times New Roman"/>
          <w:b/>
          <w:bCs/>
          <w:lang w:val="en-US"/>
        </w:rPr>
        <w:t>reg</w:t>
      </w:r>
      <w:r w:rsidR="00800EF4" w:rsidRPr="00900012">
        <w:rPr>
          <w:b/>
          <w:bCs/>
          <w:lang w:val="en-US"/>
        </w:rPr>
        <w:t>ions</w:t>
      </w:r>
    </w:p>
    <w:p w14:paraId="073B6467" w14:textId="2BD5E711" w:rsidR="00800EF4" w:rsidRPr="009D5910" w:rsidRDefault="075B670D" w:rsidP="009D5910">
      <w:pPr>
        <w:spacing w:line="360" w:lineRule="auto"/>
        <w:rPr>
          <w:lang w:val="en-US"/>
        </w:rPr>
      </w:pPr>
      <w:r w:rsidRPr="009D5910">
        <w:rPr>
          <w:lang w:val="en-US"/>
        </w:rPr>
        <w:t>Th</w:t>
      </w:r>
      <w:r w:rsidRPr="009D5910">
        <w:rPr>
          <w:rFonts w:eastAsia="Calibri" w:cs="Times New Roman"/>
          <w:lang w:val="en-US"/>
        </w:rPr>
        <w:t xml:space="preserve">is graph shows a bar chart that represents the total change in </w:t>
      </w:r>
      <w:r w:rsidR="00B37A97">
        <w:rPr>
          <w:rFonts w:eastAsia="Calibri" w:cs="Times New Roman"/>
          <w:lang w:val="en-US"/>
        </w:rPr>
        <w:t>l</w:t>
      </w:r>
      <w:r w:rsidRPr="009D5910">
        <w:rPr>
          <w:rFonts w:eastAsia="Calibri" w:cs="Times New Roman"/>
          <w:lang w:val="en-US"/>
        </w:rPr>
        <w:t xml:space="preserve">ife </w:t>
      </w:r>
      <w:r w:rsidR="00B37A97">
        <w:rPr>
          <w:rFonts w:eastAsia="Calibri" w:cs="Times New Roman"/>
          <w:lang w:val="en-US"/>
        </w:rPr>
        <w:t>e</w:t>
      </w:r>
      <w:r w:rsidRPr="009D5910">
        <w:rPr>
          <w:rFonts w:eastAsia="Calibri" w:cs="Times New Roman"/>
          <w:lang w:val="en-US"/>
        </w:rPr>
        <w:t xml:space="preserve">xpectancy due to </w:t>
      </w:r>
      <w:r w:rsidR="00B37A97">
        <w:rPr>
          <w:rFonts w:eastAsia="Calibri" w:cs="Times New Roman"/>
          <w:lang w:val="en-US"/>
        </w:rPr>
        <w:t>e</w:t>
      </w:r>
      <w:r w:rsidRPr="009D5910">
        <w:rPr>
          <w:rFonts w:eastAsia="Calibri" w:cs="Times New Roman"/>
          <w:lang w:val="en-US"/>
        </w:rPr>
        <w:t xml:space="preserve">nteric </w:t>
      </w:r>
      <w:r w:rsidR="00B37A97">
        <w:rPr>
          <w:rFonts w:eastAsia="Calibri" w:cs="Times New Roman"/>
          <w:lang w:val="en-US"/>
        </w:rPr>
        <w:t>i</w:t>
      </w:r>
      <w:r w:rsidRPr="009D5910">
        <w:rPr>
          <w:rFonts w:eastAsia="Calibri" w:cs="Times New Roman"/>
          <w:lang w:val="en-US"/>
        </w:rPr>
        <w:t>nfections over the period 1990</w:t>
      </w:r>
      <w:r w:rsidR="00951AC0" w:rsidRPr="00951AC0">
        <w:rPr>
          <w:rFonts w:eastAsia="Calibri" w:cs="Times New Roman"/>
          <w:lang w:val="en-US"/>
        </w:rPr>
        <w:t>–</w:t>
      </w:r>
      <w:r w:rsidRPr="009D5910">
        <w:rPr>
          <w:rFonts w:eastAsia="Calibri" w:cs="Times New Roman"/>
          <w:lang w:val="en-US"/>
        </w:rPr>
        <w:t xml:space="preserve">2021 by GBD regions. Each row shows a GBD region that is broken down by </w:t>
      </w:r>
      <w:proofErr w:type="spellStart"/>
      <w:r w:rsidRPr="009D5910">
        <w:rPr>
          <w:rFonts w:eastAsia="Calibri" w:cs="Times New Roman"/>
          <w:lang w:val="en-US"/>
        </w:rPr>
        <w:t>colo</w:t>
      </w:r>
      <w:r w:rsidR="00951AC0">
        <w:rPr>
          <w:rFonts w:eastAsia="Calibri" w:cs="Times New Roman"/>
          <w:lang w:val="en-US"/>
        </w:rPr>
        <w:t>u</w:t>
      </w:r>
      <w:r w:rsidRPr="009D5910">
        <w:rPr>
          <w:rFonts w:eastAsia="Calibri" w:cs="Times New Roman"/>
          <w:lang w:val="en-US"/>
        </w:rPr>
        <w:t>r</w:t>
      </w:r>
      <w:proofErr w:type="spellEnd"/>
      <w:r w:rsidRPr="009D5910">
        <w:rPr>
          <w:rFonts w:eastAsia="Calibri" w:cs="Times New Roman"/>
          <w:lang w:val="en-US"/>
        </w:rPr>
        <w:t xml:space="preserve"> to </w:t>
      </w:r>
      <w:r w:rsidR="00F94B12">
        <w:rPr>
          <w:rFonts w:eastAsia="Calibri" w:cs="Times New Roman"/>
          <w:lang w:val="en-US"/>
        </w:rPr>
        <w:t>indicate</w:t>
      </w:r>
      <w:r w:rsidRPr="009D5910">
        <w:rPr>
          <w:rFonts w:eastAsia="Calibri" w:cs="Times New Roman"/>
          <w:lang w:val="en-US"/>
        </w:rPr>
        <w:t xml:space="preserve"> the change in </w:t>
      </w:r>
      <w:r w:rsidR="00F94B12">
        <w:rPr>
          <w:rFonts w:eastAsia="Calibri" w:cs="Times New Roman"/>
          <w:lang w:val="en-US"/>
        </w:rPr>
        <w:t>l</w:t>
      </w:r>
      <w:r w:rsidRPr="009D5910">
        <w:rPr>
          <w:rFonts w:eastAsia="Calibri" w:cs="Times New Roman"/>
          <w:lang w:val="en-US"/>
        </w:rPr>
        <w:t xml:space="preserve">ife </w:t>
      </w:r>
      <w:r w:rsidR="00F94B12">
        <w:rPr>
          <w:rFonts w:eastAsia="Calibri" w:cs="Times New Roman"/>
          <w:lang w:val="en-US"/>
        </w:rPr>
        <w:t>e</w:t>
      </w:r>
      <w:r w:rsidRPr="009D5910">
        <w:rPr>
          <w:rFonts w:eastAsia="Calibri" w:cs="Times New Roman"/>
          <w:lang w:val="en-US"/>
        </w:rPr>
        <w:t xml:space="preserve">xpectancy by different year ranges. Blue shows the change from 1990 to 2000, </w:t>
      </w:r>
      <w:r w:rsidR="00F94B12">
        <w:rPr>
          <w:rFonts w:eastAsia="Calibri" w:cs="Times New Roman"/>
          <w:lang w:val="en-US"/>
        </w:rPr>
        <w:t>r</w:t>
      </w:r>
      <w:r w:rsidRPr="009D5910">
        <w:rPr>
          <w:rFonts w:eastAsia="Calibri" w:cs="Times New Roman"/>
          <w:lang w:val="en-US"/>
        </w:rPr>
        <w:t xml:space="preserve">ed 2000 to 2010, </w:t>
      </w:r>
      <w:r w:rsidR="00F94B12">
        <w:rPr>
          <w:rFonts w:eastAsia="Calibri" w:cs="Times New Roman"/>
          <w:lang w:val="en-US"/>
        </w:rPr>
        <w:t>g</w:t>
      </w:r>
      <w:r w:rsidRPr="009D5910">
        <w:rPr>
          <w:rFonts w:eastAsia="Calibri" w:cs="Times New Roman"/>
          <w:lang w:val="en-US"/>
        </w:rPr>
        <w:t xml:space="preserve">reen 2010 to 2019, and </w:t>
      </w:r>
      <w:r w:rsidR="00BE4559">
        <w:rPr>
          <w:rFonts w:eastAsia="Calibri" w:cs="Times New Roman"/>
          <w:lang w:val="en-US"/>
        </w:rPr>
        <w:t>p</w:t>
      </w:r>
      <w:r w:rsidRPr="009D5910">
        <w:rPr>
          <w:rFonts w:eastAsia="Calibri" w:cs="Times New Roman"/>
          <w:lang w:val="en-US"/>
        </w:rPr>
        <w:t>urple 201</w:t>
      </w:r>
      <w:r w:rsidRPr="009D5910">
        <w:rPr>
          <w:lang w:val="en-US"/>
        </w:rPr>
        <w:t>9 to 2021.</w:t>
      </w:r>
    </w:p>
    <w:p w14:paraId="54A97431" w14:textId="4DAB5F89" w:rsidR="00F579A6" w:rsidRPr="00900012" w:rsidRDefault="00800EF4" w:rsidP="00F579A6">
      <w:pPr>
        <w:spacing w:after="0" w:line="360" w:lineRule="auto"/>
        <w:rPr>
          <w:b/>
          <w:bCs/>
          <w:lang w:val="en-US"/>
        </w:rPr>
      </w:pPr>
      <w:r w:rsidRPr="00900012">
        <w:rPr>
          <w:b/>
          <w:bCs/>
          <w:lang w:val="en-US"/>
        </w:rPr>
        <w:t>F</w:t>
      </w:r>
      <w:r w:rsidRPr="00900012">
        <w:rPr>
          <w:rFonts w:cs="Times New Roman"/>
          <w:b/>
          <w:bCs/>
          <w:lang w:val="en-US"/>
        </w:rPr>
        <w:t>igu</w:t>
      </w:r>
      <w:r w:rsidRPr="00900012">
        <w:rPr>
          <w:b/>
          <w:bCs/>
          <w:lang w:val="en-US"/>
        </w:rPr>
        <w:t xml:space="preserve">re 8: </w:t>
      </w:r>
      <w:r w:rsidR="005B678D" w:rsidRPr="00900012">
        <w:rPr>
          <w:b/>
          <w:bCs/>
          <w:lang w:val="en-US"/>
        </w:rPr>
        <w:t xml:space="preserve">Impact of </w:t>
      </w:r>
      <w:r w:rsidR="00F579A6">
        <w:rPr>
          <w:b/>
          <w:bCs/>
          <w:lang w:val="en-US"/>
        </w:rPr>
        <w:t>lower respiratory infections</w:t>
      </w:r>
      <w:r w:rsidR="00F579A6" w:rsidRPr="00900012">
        <w:rPr>
          <w:b/>
          <w:bCs/>
          <w:lang w:val="en-US"/>
        </w:rPr>
        <w:t xml:space="preserve"> on life expectancy by </w:t>
      </w:r>
      <w:r w:rsidR="00F579A6">
        <w:rPr>
          <w:b/>
          <w:bCs/>
          <w:lang w:val="en-US"/>
        </w:rPr>
        <w:t>four</w:t>
      </w:r>
      <w:r w:rsidR="00F579A6" w:rsidRPr="00900012">
        <w:rPr>
          <w:b/>
          <w:bCs/>
          <w:lang w:val="en-US"/>
        </w:rPr>
        <w:t xml:space="preserve"> periods of time and GBD regions</w:t>
      </w:r>
    </w:p>
    <w:p w14:paraId="0E27DA6D" w14:textId="37C13FBF" w:rsidR="00F579A6" w:rsidRPr="009D5910" w:rsidRDefault="00F579A6" w:rsidP="009D5910">
      <w:pPr>
        <w:spacing w:line="360" w:lineRule="auto"/>
        <w:rPr>
          <w:lang w:val="en-US"/>
        </w:rPr>
      </w:pPr>
      <w:r w:rsidRPr="009D5910">
        <w:rPr>
          <w:lang w:val="en-US"/>
        </w:rPr>
        <w:t>This</w:t>
      </w:r>
      <w:r w:rsidRPr="009D5910">
        <w:rPr>
          <w:rFonts w:eastAsia="Calibri" w:cs="Times New Roman"/>
          <w:lang w:val="en-US"/>
        </w:rPr>
        <w:t xml:space="preserve"> graph shows a bar chart that represents the total change in </w:t>
      </w:r>
      <w:r>
        <w:rPr>
          <w:rFonts w:eastAsia="Calibri" w:cs="Times New Roman"/>
          <w:lang w:val="en-US"/>
        </w:rPr>
        <w:t>l</w:t>
      </w:r>
      <w:r w:rsidRPr="009D5910">
        <w:rPr>
          <w:rFonts w:eastAsia="Calibri" w:cs="Times New Roman"/>
          <w:lang w:val="en-US"/>
        </w:rPr>
        <w:t xml:space="preserve">ife </w:t>
      </w:r>
      <w:r>
        <w:rPr>
          <w:rFonts w:eastAsia="Calibri" w:cs="Times New Roman"/>
          <w:lang w:val="en-US"/>
        </w:rPr>
        <w:t>e</w:t>
      </w:r>
      <w:r w:rsidRPr="009D5910">
        <w:rPr>
          <w:rFonts w:eastAsia="Calibri" w:cs="Times New Roman"/>
          <w:lang w:val="en-US"/>
        </w:rPr>
        <w:t xml:space="preserve">xpectancy due to </w:t>
      </w:r>
      <w:r>
        <w:rPr>
          <w:rFonts w:eastAsia="Calibri" w:cs="Times New Roman"/>
          <w:lang w:val="en-US"/>
        </w:rPr>
        <w:t>lower respiratory infections</w:t>
      </w:r>
      <w:r w:rsidRPr="009D5910">
        <w:rPr>
          <w:rFonts w:eastAsia="Calibri" w:cs="Times New Roman"/>
          <w:lang w:val="en-US"/>
        </w:rPr>
        <w:t xml:space="preserve"> over the period1990</w:t>
      </w:r>
      <w:r w:rsidRPr="00951AC0">
        <w:rPr>
          <w:rFonts w:eastAsia="Calibri" w:cs="Times New Roman"/>
          <w:lang w:val="en-US"/>
        </w:rPr>
        <w:t>–</w:t>
      </w:r>
      <w:r w:rsidRPr="009D5910">
        <w:rPr>
          <w:rFonts w:eastAsia="Calibri" w:cs="Times New Roman"/>
          <w:lang w:val="en-US"/>
        </w:rPr>
        <w:t xml:space="preserve">2021 by GBD regions. Each row shows a GBD region that is broken down by </w:t>
      </w:r>
      <w:proofErr w:type="spellStart"/>
      <w:r w:rsidRPr="009D5910">
        <w:rPr>
          <w:rFonts w:eastAsia="Calibri" w:cs="Times New Roman"/>
          <w:lang w:val="en-US"/>
        </w:rPr>
        <w:t>colo</w:t>
      </w:r>
      <w:r>
        <w:rPr>
          <w:rFonts w:eastAsia="Calibri" w:cs="Times New Roman"/>
          <w:lang w:val="en-US"/>
        </w:rPr>
        <w:t>u</w:t>
      </w:r>
      <w:r w:rsidRPr="009D5910">
        <w:rPr>
          <w:rFonts w:eastAsia="Calibri" w:cs="Times New Roman"/>
          <w:lang w:val="en-US"/>
        </w:rPr>
        <w:t>r</w:t>
      </w:r>
      <w:proofErr w:type="spellEnd"/>
      <w:r w:rsidRPr="009D5910">
        <w:rPr>
          <w:rFonts w:eastAsia="Calibri" w:cs="Times New Roman"/>
          <w:lang w:val="en-US"/>
        </w:rPr>
        <w:t xml:space="preserve"> to </w:t>
      </w:r>
      <w:r>
        <w:rPr>
          <w:rFonts w:eastAsia="Calibri" w:cs="Times New Roman"/>
          <w:lang w:val="en-US"/>
        </w:rPr>
        <w:t>indicate</w:t>
      </w:r>
      <w:r w:rsidRPr="009D5910">
        <w:rPr>
          <w:rFonts w:eastAsia="Calibri" w:cs="Times New Roman"/>
          <w:lang w:val="en-US"/>
        </w:rPr>
        <w:t xml:space="preserve"> the change in </w:t>
      </w:r>
      <w:r>
        <w:rPr>
          <w:rFonts w:eastAsia="Calibri" w:cs="Times New Roman"/>
          <w:lang w:val="en-US"/>
        </w:rPr>
        <w:t>l</w:t>
      </w:r>
      <w:r w:rsidRPr="009D5910">
        <w:rPr>
          <w:rFonts w:eastAsia="Calibri" w:cs="Times New Roman"/>
          <w:lang w:val="en-US"/>
        </w:rPr>
        <w:t xml:space="preserve">ife </w:t>
      </w:r>
      <w:r>
        <w:rPr>
          <w:rFonts w:eastAsia="Calibri" w:cs="Times New Roman"/>
          <w:lang w:val="en-US"/>
        </w:rPr>
        <w:t>e</w:t>
      </w:r>
      <w:r w:rsidRPr="009D5910">
        <w:rPr>
          <w:rFonts w:eastAsia="Calibri" w:cs="Times New Roman"/>
          <w:lang w:val="en-US"/>
        </w:rPr>
        <w:t xml:space="preserve">xpectancy by different year ranges. Blue shows the change from 1990 to 2000, </w:t>
      </w:r>
      <w:r>
        <w:rPr>
          <w:rFonts w:eastAsia="Calibri" w:cs="Times New Roman"/>
          <w:lang w:val="en-US"/>
        </w:rPr>
        <w:t>r</w:t>
      </w:r>
      <w:r w:rsidRPr="009D5910">
        <w:rPr>
          <w:rFonts w:eastAsia="Calibri" w:cs="Times New Roman"/>
          <w:lang w:val="en-US"/>
        </w:rPr>
        <w:t xml:space="preserve">ed 2000 to 2010, </w:t>
      </w:r>
      <w:r>
        <w:rPr>
          <w:rFonts w:eastAsia="Calibri" w:cs="Times New Roman"/>
          <w:lang w:val="en-US"/>
        </w:rPr>
        <w:t>g</w:t>
      </w:r>
      <w:r w:rsidRPr="009D5910">
        <w:rPr>
          <w:rFonts w:eastAsia="Calibri" w:cs="Times New Roman"/>
          <w:lang w:val="en-US"/>
        </w:rPr>
        <w:t xml:space="preserve">reen 2010 to 2019, and </w:t>
      </w:r>
      <w:r>
        <w:rPr>
          <w:rFonts w:eastAsia="Calibri" w:cs="Times New Roman"/>
          <w:lang w:val="en-US"/>
        </w:rPr>
        <w:t>p</w:t>
      </w:r>
      <w:r w:rsidRPr="009D5910">
        <w:rPr>
          <w:rFonts w:eastAsia="Calibri" w:cs="Times New Roman"/>
          <w:lang w:val="en-US"/>
        </w:rPr>
        <w:t>urple 201</w:t>
      </w:r>
      <w:r w:rsidRPr="009D5910">
        <w:rPr>
          <w:lang w:val="en-US"/>
        </w:rPr>
        <w:t>9 to 2021.</w:t>
      </w:r>
    </w:p>
    <w:p w14:paraId="7D24A52E" w14:textId="1C5DE50D" w:rsidR="008171B3" w:rsidRPr="00916601" w:rsidRDefault="008171B3" w:rsidP="008171B3">
      <w:pPr>
        <w:spacing w:after="0" w:line="360" w:lineRule="auto"/>
        <w:rPr>
          <w:b/>
          <w:bCs/>
          <w:lang w:val="en-US"/>
        </w:rPr>
      </w:pPr>
      <w:r w:rsidRPr="7E8A417C">
        <w:rPr>
          <w:b/>
          <w:bCs/>
          <w:lang w:val="en-US"/>
        </w:rPr>
        <w:t>Figure 9: Change in life expectancy attributable to leading causes of death in 1990</w:t>
      </w:r>
      <w:r w:rsidRPr="7E8A417C">
        <w:rPr>
          <w:rFonts w:cs="Times New Roman"/>
          <w:b/>
          <w:bCs/>
          <w:lang w:val="en-US"/>
        </w:rPr>
        <w:t>–</w:t>
      </w:r>
      <w:r w:rsidRPr="7E8A417C">
        <w:rPr>
          <w:b/>
          <w:bCs/>
          <w:lang w:val="en-US"/>
        </w:rPr>
        <w:t>2021 among GBD regions</w:t>
      </w:r>
    </w:p>
    <w:p w14:paraId="0043B8B3" w14:textId="422ADE18" w:rsidR="008171B3" w:rsidRPr="009D5910" w:rsidRDefault="008171B3" w:rsidP="009D5910">
      <w:pPr>
        <w:spacing w:line="360" w:lineRule="auto"/>
        <w:rPr>
          <w:lang w:val="en-US"/>
        </w:rPr>
      </w:pPr>
      <w:r w:rsidRPr="7E8A417C">
        <w:rPr>
          <w:rFonts w:eastAsia="Times New Roman"/>
          <w:lang w:val="en-US"/>
        </w:rPr>
        <w:t xml:space="preserve">Each row represents the change in life expectancy from 1990 to 2021 for a given region. The total change in life expectancy is further broken down by different </w:t>
      </w:r>
      <w:proofErr w:type="spellStart"/>
      <w:r w:rsidRPr="7E8A417C">
        <w:rPr>
          <w:rFonts w:eastAsia="Times New Roman"/>
          <w:lang w:val="en-US"/>
        </w:rPr>
        <w:t>colours</w:t>
      </w:r>
      <w:proofErr w:type="spellEnd"/>
      <w:r w:rsidRPr="7E8A417C">
        <w:rPr>
          <w:rFonts w:eastAsia="Times New Roman"/>
          <w:lang w:val="en-US"/>
        </w:rPr>
        <w:t xml:space="preserve"> and patterns to represent the change attributed to specific causes. A bar to the right of zero represents an increase in life expectancy due to changes in the given cause, and a bar to the left of zero represents a decrease in life expectancy for a given reg</w:t>
      </w:r>
      <w:r w:rsidRPr="7E8A417C">
        <w:rPr>
          <w:lang w:val="en-US"/>
        </w:rPr>
        <w:t>ion.</w:t>
      </w:r>
    </w:p>
    <w:p w14:paraId="16356C1A" w14:textId="17444396" w:rsidR="002117CA" w:rsidRPr="002117CA" w:rsidRDefault="00F50ABE" w:rsidP="009D5910">
      <w:pPr>
        <w:spacing w:line="360" w:lineRule="auto"/>
        <w:rPr>
          <w:rFonts w:eastAsia="Times New Roman"/>
          <w:lang w:val="en-US"/>
        </w:rPr>
      </w:pPr>
      <w:r w:rsidRPr="00900012">
        <w:rPr>
          <w:b/>
          <w:bCs/>
          <w:lang w:val="en-US"/>
        </w:rPr>
        <w:t xml:space="preserve">Table 1: </w:t>
      </w:r>
      <w:r w:rsidR="002C6FEB" w:rsidRPr="002C6FEB">
        <w:rPr>
          <w:b/>
          <w:bCs/>
        </w:rPr>
        <w:t xml:space="preserve">Number of deaths and age-standardised death rate for the leading </w:t>
      </w:r>
      <w:r w:rsidR="00951AC0">
        <w:rPr>
          <w:b/>
          <w:bCs/>
        </w:rPr>
        <w:t>ten</w:t>
      </w:r>
      <w:r w:rsidR="00951AC0" w:rsidRPr="002C6FEB">
        <w:rPr>
          <w:b/>
          <w:bCs/>
        </w:rPr>
        <w:t xml:space="preserve"> </w:t>
      </w:r>
      <w:r w:rsidR="002C6FEB" w:rsidRPr="002C6FEB">
        <w:rPr>
          <w:b/>
          <w:bCs/>
        </w:rPr>
        <w:t xml:space="preserve">causes in 2020 and </w:t>
      </w:r>
      <w:r w:rsidR="002C6FEB" w:rsidRPr="002117CA">
        <w:rPr>
          <w:b/>
          <w:bCs/>
        </w:rPr>
        <w:t>2021,</w:t>
      </w:r>
      <w:r w:rsidR="002C6FEB" w:rsidRPr="002117CA">
        <w:rPr>
          <w:b/>
          <w:bCs/>
          <w:lang w:val="en-US"/>
        </w:rPr>
        <w:t xml:space="preserve"> </w:t>
      </w:r>
      <w:r w:rsidR="002C6FEB" w:rsidRPr="009D5910">
        <w:rPr>
          <w:b/>
          <w:lang w:val="en-US"/>
        </w:rPr>
        <w:t>global</w:t>
      </w:r>
      <w:r w:rsidR="00951AC0">
        <w:rPr>
          <w:b/>
          <w:lang w:val="en-US"/>
        </w:rPr>
        <w:t>ly</w:t>
      </w:r>
      <w:r w:rsidR="002C6FEB" w:rsidRPr="009D5910">
        <w:rPr>
          <w:b/>
          <w:lang w:val="en-US"/>
        </w:rPr>
        <w:t xml:space="preserve"> and </w:t>
      </w:r>
      <w:r w:rsidR="00951AC0">
        <w:rPr>
          <w:b/>
          <w:lang w:val="en-US"/>
        </w:rPr>
        <w:t xml:space="preserve">by </w:t>
      </w:r>
      <w:r w:rsidR="002C6FEB" w:rsidRPr="009D5910">
        <w:rPr>
          <w:b/>
          <w:lang w:val="en-US"/>
        </w:rPr>
        <w:t>super-region</w:t>
      </w:r>
      <w:r w:rsidR="00951AC0">
        <w:rPr>
          <w:b/>
          <w:lang w:val="en-US"/>
        </w:rPr>
        <w:t>,</w:t>
      </w:r>
      <w:r w:rsidR="002C6FEB" w:rsidRPr="009D5910">
        <w:rPr>
          <w:b/>
          <w:lang w:val="en-US"/>
        </w:rPr>
        <w:t xml:space="preserve"> all ages, </w:t>
      </w:r>
      <w:r w:rsidR="00EF0B1D">
        <w:rPr>
          <w:b/>
          <w:lang w:val="en-US"/>
        </w:rPr>
        <w:t>all sexes</w:t>
      </w:r>
      <w:r w:rsidR="009226FB">
        <w:rPr>
          <w:b/>
          <w:lang w:val="en-US"/>
        </w:rPr>
        <w:t xml:space="preserve"> combined</w:t>
      </w:r>
    </w:p>
    <w:p w14:paraId="71755E2E" w14:textId="640D46C0" w:rsidR="006A79E4" w:rsidRPr="00097BEE" w:rsidRDefault="006D46AF" w:rsidP="00097BEE">
      <w:pPr>
        <w:spacing w:line="360" w:lineRule="auto"/>
      </w:pPr>
      <w:r w:rsidRPr="4739644B">
        <w:rPr>
          <w:rFonts w:eastAsia="Calibri" w:cs="Times New Roman"/>
          <w:b/>
          <w:bCs/>
          <w:lang w:val="en-US"/>
        </w:rPr>
        <w:t xml:space="preserve">Table </w:t>
      </w:r>
      <w:r w:rsidRPr="4739644B">
        <w:rPr>
          <w:b/>
          <w:bCs/>
          <w:lang w:val="en-US"/>
        </w:rPr>
        <w:t xml:space="preserve">2: </w:t>
      </w:r>
      <w:r w:rsidR="007E7C3C" w:rsidRPr="4739644B">
        <w:rPr>
          <w:b/>
          <w:bCs/>
          <w:lang w:val="en-US"/>
        </w:rPr>
        <w:t>Nu</w:t>
      </w:r>
      <w:r w:rsidR="00F66BE8" w:rsidRPr="4739644B">
        <w:rPr>
          <w:b/>
          <w:bCs/>
          <w:lang w:val="en-US"/>
        </w:rPr>
        <w:t xml:space="preserve">mber of deaths, </w:t>
      </w:r>
      <w:r w:rsidR="00F02BEA" w:rsidRPr="4739644B">
        <w:rPr>
          <w:b/>
          <w:bCs/>
          <w:lang w:val="en-US"/>
        </w:rPr>
        <w:t>age-</w:t>
      </w:r>
      <w:proofErr w:type="spellStart"/>
      <w:r w:rsidR="00F02BEA" w:rsidRPr="4739644B">
        <w:rPr>
          <w:b/>
          <w:bCs/>
          <w:lang w:val="en-US"/>
        </w:rPr>
        <w:t>standardised</w:t>
      </w:r>
      <w:proofErr w:type="spellEnd"/>
      <w:r w:rsidR="00F02BEA" w:rsidRPr="4739644B">
        <w:rPr>
          <w:b/>
          <w:bCs/>
          <w:lang w:val="en-US"/>
        </w:rPr>
        <w:t xml:space="preserve"> </w:t>
      </w:r>
      <w:r w:rsidR="00085C5B" w:rsidRPr="4739644B">
        <w:rPr>
          <w:b/>
          <w:bCs/>
          <w:lang w:val="en-US"/>
        </w:rPr>
        <w:t>death</w:t>
      </w:r>
      <w:r w:rsidR="001456D0" w:rsidRPr="4739644B">
        <w:rPr>
          <w:b/>
          <w:bCs/>
          <w:lang w:val="en-US"/>
        </w:rPr>
        <w:t xml:space="preserve"> rate, </w:t>
      </w:r>
      <w:r w:rsidR="00F66BE8" w:rsidRPr="4739644B">
        <w:rPr>
          <w:b/>
          <w:bCs/>
          <w:lang w:val="en-US"/>
        </w:rPr>
        <w:t>and percent</w:t>
      </w:r>
      <w:r w:rsidR="009226FB" w:rsidRPr="4739644B">
        <w:rPr>
          <w:b/>
          <w:bCs/>
          <w:lang w:val="en-US"/>
        </w:rPr>
        <w:t>age</w:t>
      </w:r>
      <w:r w:rsidR="00F66BE8" w:rsidRPr="4739644B">
        <w:rPr>
          <w:b/>
          <w:bCs/>
          <w:lang w:val="en-US"/>
        </w:rPr>
        <w:t xml:space="preserve"> of total deaths due to COVID-19 and OPRM by </w:t>
      </w:r>
      <w:r w:rsidR="00F66BE8" w:rsidRPr="00143184">
        <w:rPr>
          <w:b/>
          <w:lang w:val="en-US"/>
        </w:rPr>
        <w:t>age</w:t>
      </w:r>
      <w:r w:rsidR="00F66BE8" w:rsidRPr="4739644B">
        <w:rPr>
          <w:b/>
          <w:bCs/>
          <w:lang w:val="en-US"/>
        </w:rPr>
        <w:t>, global</w:t>
      </w:r>
    </w:p>
    <w:p w14:paraId="5B727818" w14:textId="292A2F10" w:rsidR="00BA7674" w:rsidRDefault="00BA7674" w:rsidP="00610382">
      <w:pPr>
        <w:spacing w:line="360" w:lineRule="auto"/>
        <w:rPr>
          <w:sz w:val="32"/>
          <w:szCs w:val="32"/>
          <w:lang w:val="en-US"/>
        </w:rPr>
      </w:pPr>
      <w:r>
        <w:rPr>
          <w:lang w:val="en-US"/>
        </w:rPr>
        <w:br w:type="page"/>
      </w:r>
    </w:p>
    <w:p w14:paraId="306F8C5C" w14:textId="647332CA" w:rsidR="63D045F2" w:rsidRDefault="3CDF0695" w:rsidP="00610382">
      <w:pPr>
        <w:pStyle w:val="Heading1"/>
        <w:spacing w:line="360" w:lineRule="auto"/>
      </w:pPr>
      <w:r>
        <w:lastRenderedPageBreak/>
        <w:t>References</w:t>
      </w:r>
    </w:p>
    <w:p w14:paraId="531B9BA1" w14:textId="77777777" w:rsidR="00B153C0" w:rsidRDefault="001F67AE" w:rsidP="00B153C0">
      <w:pPr>
        <w:pStyle w:val="Bibliography"/>
      </w:pPr>
      <w:r>
        <w:fldChar w:fldCharType="begin"/>
      </w:r>
      <w:r w:rsidR="00B153C0">
        <w:instrText xml:space="preserve"> ADDIN ZOTERO_BIBL {"uncited":[],"omitted":[],"custom":[]} CSL_BIBLIOGRAPHY </w:instrText>
      </w:r>
      <w:r>
        <w:fldChar w:fldCharType="separate"/>
      </w:r>
      <w:r w:rsidR="00B153C0">
        <w:t>1</w:t>
      </w:r>
      <w:r w:rsidR="00B153C0">
        <w:tab/>
        <w:t xml:space="preserve">Murray CJL. The Global Burden of Disease Study at 30 years. </w:t>
      </w:r>
      <w:r w:rsidR="00B153C0">
        <w:rPr>
          <w:i/>
          <w:iCs/>
        </w:rPr>
        <w:t>Nat Med</w:t>
      </w:r>
      <w:r w:rsidR="00B153C0">
        <w:t xml:space="preserve"> 2022; </w:t>
      </w:r>
      <w:r w:rsidR="00B153C0">
        <w:rPr>
          <w:b/>
          <w:bCs/>
        </w:rPr>
        <w:t>28</w:t>
      </w:r>
      <w:r w:rsidR="00B153C0">
        <w:t>: 2019–26.</w:t>
      </w:r>
    </w:p>
    <w:p w14:paraId="652E4701" w14:textId="77777777" w:rsidR="00B153C0" w:rsidRDefault="00B153C0" w:rsidP="00B153C0">
      <w:pPr>
        <w:pStyle w:val="Bibliography"/>
      </w:pPr>
      <w:r>
        <w:t>2</w:t>
      </w:r>
      <w:r>
        <w:tab/>
        <w:t>World Bank. World development report 1993: investing in health. Washington, D.C.: Oxford University Press, 1993 https://openknowledge.worldbank.org/handle/10986/5976.</w:t>
      </w:r>
    </w:p>
    <w:p w14:paraId="3B66D132" w14:textId="77777777" w:rsidR="00B153C0" w:rsidRDefault="00B153C0" w:rsidP="00B153C0">
      <w:pPr>
        <w:pStyle w:val="Bibliography"/>
      </w:pPr>
      <w:r>
        <w:t>3</w:t>
      </w:r>
      <w:r>
        <w:tab/>
        <w:t xml:space="preserve">COVID-19 Excess Mortality Collaborators. Estimating excess mortality due to the COVID-19 pandemic: a systematic analysis of COVID-19-related mortality, 2020-21. </w:t>
      </w:r>
      <w:r>
        <w:rPr>
          <w:i/>
          <w:iCs/>
        </w:rPr>
        <w:t>Lancet</w:t>
      </w:r>
      <w:r>
        <w:t xml:space="preserve"> 2022; </w:t>
      </w:r>
      <w:r>
        <w:rPr>
          <w:b/>
          <w:bCs/>
        </w:rPr>
        <w:t>399</w:t>
      </w:r>
      <w:r>
        <w:t>: 1513–36.</w:t>
      </w:r>
    </w:p>
    <w:p w14:paraId="72745137" w14:textId="77777777" w:rsidR="00B153C0" w:rsidRDefault="00B153C0" w:rsidP="00B153C0">
      <w:pPr>
        <w:pStyle w:val="Bibliography"/>
      </w:pPr>
      <w:r>
        <w:t>4</w:t>
      </w:r>
      <w:r>
        <w:tab/>
        <w:t xml:space="preserve">GBD 2017 Causes of Death Collaborators. Global, regional, and national age-sex-specific mortality for 282 causes of death in 195 countries and territories, 1980-2017: a systematic analysis for the Global Burden of Disease Study 2017. </w:t>
      </w:r>
      <w:r>
        <w:rPr>
          <w:i/>
          <w:iCs/>
        </w:rPr>
        <w:t>Lancet</w:t>
      </w:r>
      <w:r>
        <w:t xml:space="preserve"> 2018; </w:t>
      </w:r>
      <w:r>
        <w:rPr>
          <w:b/>
          <w:bCs/>
        </w:rPr>
        <w:t>392</w:t>
      </w:r>
      <w:r>
        <w:t>: 1736–88.</w:t>
      </w:r>
    </w:p>
    <w:p w14:paraId="735C93F4" w14:textId="77777777" w:rsidR="00B153C0" w:rsidRDefault="00B153C0" w:rsidP="00B153C0">
      <w:pPr>
        <w:pStyle w:val="Bibliography"/>
      </w:pPr>
      <w:r>
        <w:t>5</w:t>
      </w:r>
      <w:r>
        <w:tab/>
        <w:t>Institute for Health Metrics and Evaluation. Protocol for the Global Burden of Diseases, Injuries, and Risk Factors Study (GBD). 2020.</w:t>
      </w:r>
    </w:p>
    <w:p w14:paraId="41A4E3EA" w14:textId="77777777" w:rsidR="00B153C0" w:rsidRDefault="00B153C0" w:rsidP="00B153C0">
      <w:pPr>
        <w:pStyle w:val="Bibliography"/>
      </w:pPr>
      <w:r>
        <w:t>6</w:t>
      </w:r>
      <w:r>
        <w:tab/>
        <w:t xml:space="preserve">GBD 2019 Diseases and Injuries Collaborators. Global burden of 369 diseases and injuries in 204 countries and territories, 1990–2019: a systematic analysis for the Global Burden of Disease Study 2019. </w:t>
      </w:r>
      <w:r>
        <w:rPr>
          <w:i/>
          <w:iCs/>
        </w:rPr>
        <w:t>Lancet</w:t>
      </w:r>
      <w:r>
        <w:t xml:space="preserve"> 2020; </w:t>
      </w:r>
      <w:r>
        <w:rPr>
          <w:b/>
          <w:bCs/>
        </w:rPr>
        <w:t>396</w:t>
      </w:r>
      <w:r>
        <w:t>: 1204–22.</w:t>
      </w:r>
    </w:p>
    <w:p w14:paraId="6DC84D9D" w14:textId="77777777" w:rsidR="00B153C0" w:rsidRDefault="00B153C0" w:rsidP="00B153C0">
      <w:pPr>
        <w:pStyle w:val="Bibliography"/>
      </w:pPr>
      <w:r>
        <w:t>7</w:t>
      </w:r>
      <w:r>
        <w:tab/>
        <w:t xml:space="preserve">GBD 2013 Mortality and Causes of Death Collaborators. Global, regional, and national age–sex specific all-cause and cause-specific mortality for 240 causes of death, 1990–2013: a systematic analysis for the Global Burden of Disease Study 2013. </w:t>
      </w:r>
      <w:r>
        <w:rPr>
          <w:i/>
          <w:iCs/>
        </w:rPr>
        <w:t>Lancet</w:t>
      </w:r>
      <w:r>
        <w:t xml:space="preserve"> 2014; </w:t>
      </w:r>
      <w:r>
        <w:rPr>
          <w:b/>
          <w:bCs/>
        </w:rPr>
        <w:t>385</w:t>
      </w:r>
      <w:r>
        <w:t>: 117–71.</w:t>
      </w:r>
    </w:p>
    <w:p w14:paraId="3856766C" w14:textId="77777777" w:rsidR="00B153C0" w:rsidRDefault="00B153C0" w:rsidP="00B153C0">
      <w:pPr>
        <w:pStyle w:val="Bibliography"/>
      </w:pPr>
      <w:r>
        <w:t>8</w:t>
      </w:r>
      <w:r>
        <w:tab/>
        <w:t xml:space="preserve">GBD 2015 Mortality and Causes of Death Collaborators. Global, regional, and national life expectancy, all-cause mortality, and cause-specific mortality for 249 causes of death, 1980-2015: a systematic analysis for the Global Burden of Disease Study 2015. </w:t>
      </w:r>
      <w:r>
        <w:rPr>
          <w:i/>
          <w:iCs/>
        </w:rPr>
        <w:t>Lancet</w:t>
      </w:r>
      <w:r>
        <w:t xml:space="preserve"> 2016; </w:t>
      </w:r>
      <w:r>
        <w:rPr>
          <w:b/>
          <w:bCs/>
        </w:rPr>
        <w:t>388</w:t>
      </w:r>
      <w:r>
        <w:t>: 1459–544.</w:t>
      </w:r>
    </w:p>
    <w:p w14:paraId="6809E6C6" w14:textId="77777777" w:rsidR="00B153C0" w:rsidRDefault="00B153C0" w:rsidP="00B153C0">
      <w:pPr>
        <w:pStyle w:val="Bibliography"/>
      </w:pPr>
      <w:r>
        <w:t>9</w:t>
      </w:r>
      <w:r>
        <w:tab/>
        <w:t xml:space="preserve">GBD 2016 Causes of Death Collaborators. Global, regional, and national age-sex specific mortality for 264 causes of death, 1980-2016: a systematic analysis for the Global Burden of Disease Study 2016. </w:t>
      </w:r>
      <w:r>
        <w:rPr>
          <w:i/>
          <w:iCs/>
        </w:rPr>
        <w:t>Lancet</w:t>
      </w:r>
      <w:r>
        <w:t xml:space="preserve"> 2017; </w:t>
      </w:r>
      <w:r>
        <w:rPr>
          <w:b/>
          <w:bCs/>
        </w:rPr>
        <w:t>390</w:t>
      </w:r>
      <w:r>
        <w:t>: 1151–210.</w:t>
      </w:r>
    </w:p>
    <w:p w14:paraId="5EE71617" w14:textId="77777777" w:rsidR="00B153C0" w:rsidRDefault="00B153C0" w:rsidP="00B153C0">
      <w:pPr>
        <w:pStyle w:val="Bibliography"/>
      </w:pPr>
      <w:r>
        <w:t>10</w:t>
      </w:r>
      <w:r>
        <w:tab/>
        <w:t xml:space="preserve">GBD 2019 Demographics Collaborators. Global age-sex-specific fertility, mortality, healthy life expectancy (HALE), and population estimates in 204 countries and territories, 1950-2019: a comprehensive demographic analysis for the Global Burden of Disease Study 2019. </w:t>
      </w:r>
      <w:r>
        <w:rPr>
          <w:i/>
          <w:iCs/>
        </w:rPr>
        <w:t>Lancet</w:t>
      </w:r>
      <w:r>
        <w:t xml:space="preserve"> 2020; </w:t>
      </w:r>
      <w:r>
        <w:rPr>
          <w:b/>
          <w:bCs/>
        </w:rPr>
        <w:t>396</w:t>
      </w:r>
      <w:r>
        <w:t>: 1160–203.</w:t>
      </w:r>
    </w:p>
    <w:p w14:paraId="62475A3A" w14:textId="77777777" w:rsidR="00B153C0" w:rsidRDefault="00B153C0" w:rsidP="00B153C0">
      <w:pPr>
        <w:pStyle w:val="Bibliography"/>
      </w:pPr>
      <w:r>
        <w:t>11</w:t>
      </w:r>
      <w:r>
        <w:tab/>
        <w:t xml:space="preserve">Johnson SC, Cunningham M, Dippenaar IN, </w:t>
      </w:r>
      <w:r>
        <w:rPr>
          <w:i/>
          <w:iCs/>
        </w:rPr>
        <w:t>et al.</w:t>
      </w:r>
      <w:r>
        <w:t xml:space="preserve"> Public health utility of cause of death data: applying empirical algorithms to improve data quality. </w:t>
      </w:r>
      <w:r>
        <w:rPr>
          <w:i/>
          <w:iCs/>
        </w:rPr>
        <w:t>BMC Med Inform Decis Mak</w:t>
      </w:r>
      <w:r>
        <w:t xml:space="preserve"> 2021; </w:t>
      </w:r>
      <w:r>
        <w:rPr>
          <w:b/>
          <w:bCs/>
        </w:rPr>
        <w:t>21</w:t>
      </w:r>
      <w:r>
        <w:t>: 175.</w:t>
      </w:r>
    </w:p>
    <w:p w14:paraId="665D5628" w14:textId="77777777" w:rsidR="00B153C0" w:rsidRDefault="00B153C0" w:rsidP="00B153C0">
      <w:pPr>
        <w:pStyle w:val="Bibliography"/>
      </w:pPr>
      <w:r>
        <w:t>12</w:t>
      </w:r>
      <w:r>
        <w:tab/>
        <w:t xml:space="preserve">GBD 2021 Demographics Collaborators. Global age-sex-specific mortality, life expectancy, and population estimates in 204 countries and territories and 811 subnational locations, 1950–2021: a comprehensive demographic analysis for the Global Burden of Disease Study 2021. </w:t>
      </w:r>
      <w:r>
        <w:rPr>
          <w:i/>
          <w:iCs/>
        </w:rPr>
        <w:t>Lancet</w:t>
      </w:r>
      <w:r>
        <w:t xml:space="preserve"> submitted; under review.</w:t>
      </w:r>
    </w:p>
    <w:p w14:paraId="25BF3CBC" w14:textId="77777777" w:rsidR="00B153C0" w:rsidRDefault="00B153C0" w:rsidP="00B153C0">
      <w:pPr>
        <w:pStyle w:val="Bibliography"/>
      </w:pPr>
      <w:r>
        <w:t>13</w:t>
      </w:r>
      <w:r>
        <w:tab/>
        <w:t>Doi SAR, Williams GM, editors. Methods of Clinical Epidemiology. Berlin Heidelberg: Springer, 2013.</w:t>
      </w:r>
    </w:p>
    <w:p w14:paraId="3489C9F8" w14:textId="77777777" w:rsidR="00B153C0" w:rsidRDefault="00B153C0" w:rsidP="00B153C0">
      <w:pPr>
        <w:pStyle w:val="Bibliography"/>
      </w:pPr>
      <w:r>
        <w:t>14</w:t>
      </w:r>
      <w:r>
        <w:tab/>
        <w:t xml:space="preserve">Stevens GA, Alkema L, Black RE, </w:t>
      </w:r>
      <w:r>
        <w:rPr>
          <w:i/>
          <w:iCs/>
        </w:rPr>
        <w:t>et al.</w:t>
      </w:r>
      <w:r>
        <w:t xml:space="preserve"> Guidelines for Accurate and Transparent Health Estimates Reporting: the GATHER statement. </w:t>
      </w:r>
      <w:r>
        <w:rPr>
          <w:i/>
          <w:iCs/>
        </w:rPr>
        <w:t>Lancet</w:t>
      </w:r>
      <w:r>
        <w:t xml:space="preserve"> 2016; </w:t>
      </w:r>
      <w:r>
        <w:rPr>
          <w:b/>
          <w:bCs/>
        </w:rPr>
        <w:t>388</w:t>
      </w:r>
      <w:r>
        <w:t>: e19–23.</w:t>
      </w:r>
    </w:p>
    <w:p w14:paraId="2516087C" w14:textId="77777777" w:rsidR="00B153C0" w:rsidRDefault="00B153C0" w:rsidP="00B153C0">
      <w:pPr>
        <w:pStyle w:val="Bibliography"/>
      </w:pPr>
      <w:r>
        <w:lastRenderedPageBreak/>
        <w:t>15</w:t>
      </w:r>
      <w:r>
        <w:tab/>
        <w:t xml:space="preserve">GBD 2019 Risk Factors Collaborators. Global burden of 87 risk factors in 204 countries and territories, 1990-2019: a systematic analysis for the Global Burden of Disease Study 2019. </w:t>
      </w:r>
      <w:r>
        <w:rPr>
          <w:i/>
          <w:iCs/>
        </w:rPr>
        <w:t>Lancet Lond Engl</w:t>
      </w:r>
      <w:r>
        <w:t xml:space="preserve"> 2020; </w:t>
      </w:r>
      <w:r>
        <w:rPr>
          <w:b/>
          <w:bCs/>
        </w:rPr>
        <w:t>396</w:t>
      </w:r>
      <w:r>
        <w:t>: 1223–49.</w:t>
      </w:r>
    </w:p>
    <w:p w14:paraId="59504B45" w14:textId="77777777" w:rsidR="00B153C0" w:rsidRDefault="00B153C0" w:rsidP="00B153C0">
      <w:pPr>
        <w:pStyle w:val="Bibliography"/>
      </w:pPr>
      <w:r>
        <w:t>16</w:t>
      </w:r>
      <w:r>
        <w:tab/>
        <w:t xml:space="preserve">Levin AT, Owusu-Boaitey N, Pugh S, </w:t>
      </w:r>
      <w:r>
        <w:rPr>
          <w:i/>
          <w:iCs/>
        </w:rPr>
        <w:t>et al.</w:t>
      </w:r>
      <w:r>
        <w:t xml:space="preserve"> Assessing the burden of COVID-19 in developing countries: systematic review, meta-analysis and public policy implications. </w:t>
      </w:r>
      <w:r>
        <w:rPr>
          <w:i/>
          <w:iCs/>
        </w:rPr>
        <w:t>BMJ Glob Health</w:t>
      </w:r>
      <w:r>
        <w:t xml:space="preserve"> 2022; </w:t>
      </w:r>
      <w:r>
        <w:rPr>
          <w:b/>
          <w:bCs/>
        </w:rPr>
        <w:t>7</w:t>
      </w:r>
      <w:r>
        <w:t>: e008477.</w:t>
      </w:r>
    </w:p>
    <w:p w14:paraId="7864882E" w14:textId="77777777" w:rsidR="00B153C0" w:rsidRDefault="00B153C0" w:rsidP="00B153C0">
      <w:pPr>
        <w:pStyle w:val="Bibliography"/>
      </w:pPr>
      <w:r>
        <w:t>17</w:t>
      </w:r>
      <w:r>
        <w:tab/>
        <w:t xml:space="preserve">Barber RM, Sorensen RJD, Pigott DM, </w:t>
      </w:r>
      <w:r>
        <w:rPr>
          <w:i/>
          <w:iCs/>
        </w:rPr>
        <w:t>et al.</w:t>
      </w:r>
      <w:r>
        <w:t xml:space="preserve"> Estimating global, regional, and national daily and cumulative infections with SARS-CoV-2 through Nov 14, 2021: a statistical analysis. </w:t>
      </w:r>
      <w:r>
        <w:rPr>
          <w:i/>
          <w:iCs/>
        </w:rPr>
        <w:t>The Lancet</w:t>
      </w:r>
      <w:r>
        <w:t xml:space="preserve"> 2022; </w:t>
      </w:r>
      <w:r>
        <w:rPr>
          <w:b/>
          <w:bCs/>
        </w:rPr>
        <w:t>399</w:t>
      </w:r>
      <w:r>
        <w:t>: 2351–80.</w:t>
      </w:r>
    </w:p>
    <w:p w14:paraId="43C93F0D" w14:textId="77777777" w:rsidR="00B153C0" w:rsidRDefault="00B153C0" w:rsidP="00B153C0">
      <w:pPr>
        <w:pStyle w:val="Bibliography"/>
      </w:pPr>
      <w:r>
        <w:t>18</w:t>
      </w:r>
      <w:r>
        <w:tab/>
        <w:t xml:space="preserve">Telles CR, Roy A, Ajmal MR, </w:t>
      </w:r>
      <w:r>
        <w:rPr>
          <w:i/>
          <w:iCs/>
        </w:rPr>
        <w:t>et al.</w:t>
      </w:r>
      <w:r>
        <w:t xml:space="preserve"> The impact of COVID-19 management policies tailored to airborne SARS-CoV-2 transmission: policy analysis. </w:t>
      </w:r>
      <w:r>
        <w:rPr>
          <w:i/>
          <w:iCs/>
        </w:rPr>
        <w:t>JMIR Public Health Surveill</w:t>
      </w:r>
      <w:r>
        <w:t xml:space="preserve"> 2021; </w:t>
      </w:r>
      <w:r>
        <w:rPr>
          <w:b/>
          <w:bCs/>
        </w:rPr>
        <w:t>7</w:t>
      </w:r>
      <w:r>
        <w:t>: e20699.</w:t>
      </w:r>
    </w:p>
    <w:p w14:paraId="1A84B6C2" w14:textId="77777777" w:rsidR="00B153C0" w:rsidRDefault="00B153C0" w:rsidP="00B153C0">
      <w:pPr>
        <w:pStyle w:val="Bibliography"/>
      </w:pPr>
      <w:r>
        <w:t>19</w:t>
      </w:r>
      <w:r>
        <w:tab/>
        <w:t xml:space="preserve">Bollyky TJ, Hulland EN, Barber RM, </w:t>
      </w:r>
      <w:r>
        <w:rPr>
          <w:i/>
          <w:iCs/>
        </w:rPr>
        <w:t>et al.</w:t>
      </w:r>
      <w:r>
        <w:t xml:space="preserve"> Pandemic preparedness and COVID-19: an exploratory analysis of infection and fatality rates, and contextual factors associated with preparedness in 177 countries, from Jan 1, 2020, to Sept 30, 2021. </w:t>
      </w:r>
      <w:r>
        <w:rPr>
          <w:i/>
          <w:iCs/>
        </w:rPr>
        <w:t>The Lancet</w:t>
      </w:r>
      <w:r>
        <w:t xml:space="preserve"> 2022; </w:t>
      </w:r>
      <w:r>
        <w:rPr>
          <w:b/>
          <w:bCs/>
        </w:rPr>
        <w:t>399</w:t>
      </w:r>
      <w:r>
        <w:t>: 1489–512.</w:t>
      </w:r>
    </w:p>
    <w:p w14:paraId="7063EC91" w14:textId="77777777" w:rsidR="00B153C0" w:rsidRDefault="00B153C0" w:rsidP="00B153C0">
      <w:pPr>
        <w:pStyle w:val="Bibliography"/>
      </w:pPr>
      <w:r>
        <w:t>20</w:t>
      </w:r>
      <w:r>
        <w:tab/>
        <w:t xml:space="preserve">Filip R, Gheorghita Puscaselu R, Anchidin-Norocel L, Dimian M, Savage WK. Global challenges to public health care systems during the COVID-19 pandemic: a review of pandemic measures and problems. </w:t>
      </w:r>
      <w:r>
        <w:rPr>
          <w:i/>
          <w:iCs/>
        </w:rPr>
        <w:t>J Pers Med</w:t>
      </w:r>
      <w:r>
        <w:t xml:space="preserve"> 2022; </w:t>
      </w:r>
      <w:r>
        <w:rPr>
          <w:b/>
          <w:bCs/>
        </w:rPr>
        <w:t>12</w:t>
      </w:r>
      <w:r>
        <w:t>: 1295.</w:t>
      </w:r>
    </w:p>
    <w:p w14:paraId="44776A71" w14:textId="77777777" w:rsidR="00B153C0" w:rsidRDefault="00B153C0" w:rsidP="00B153C0">
      <w:pPr>
        <w:pStyle w:val="Bibliography"/>
      </w:pPr>
      <w:r>
        <w:t>21</w:t>
      </w:r>
      <w:r>
        <w:tab/>
        <w:t>The Independent Panel for Pandemic Preparedness and Response. COVID-19: make it the last pandemic. 2021; published online May. https://theindependentpanel.org (accessed Nov 9, 2023).</w:t>
      </w:r>
    </w:p>
    <w:p w14:paraId="343B3CF4" w14:textId="77777777" w:rsidR="00B153C0" w:rsidRDefault="00B153C0" w:rsidP="00B153C0">
      <w:pPr>
        <w:pStyle w:val="Bibliography"/>
      </w:pPr>
      <w:r>
        <w:t>22</w:t>
      </w:r>
      <w:r>
        <w:tab/>
        <w:t xml:space="preserve">Lazarus JV, Romero D, Kopka CJ, </w:t>
      </w:r>
      <w:r>
        <w:rPr>
          <w:i/>
          <w:iCs/>
        </w:rPr>
        <w:t>et al.</w:t>
      </w:r>
      <w:r>
        <w:t xml:space="preserve"> A multinational Delphi consensus to end the COVID-19 public health threat. </w:t>
      </w:r>
      <w:r>
        <w:rPr>
          <w:i/>
          <w:iCs/>
        </w:rPr>
        <w:t>Nature</w:t>
      </w:r>
      <w:r>
        <w:t xml:space="preserve"> 2022; </w:t>
      </w:r>
      <w:r>
        <w:rPr>
          <w:b/>
          <w:bCs/>
        </w:rPr>
        <w:t>611</w:t>
      </w:r>
      <w:r>
        <w:t>: 332–45.</w:t>
      </w:r>
    </w:p>
    <w:p w14:paraId="5F9E368E" w14:textId="77777777" w:rsidR="00B153C0" w:rsidRDefault="00B153C0" w:rsidP="00B153C0">
      <w:pPr>
        <w:pStyle w:val="Bibliography"/>
      </w:pPr>
      <w:r>
        <w:t>23</w:t>
      </w:r>
      <w:r>
        <w:tab/>
        <w:t xml:space="preserve">GBD 2017 DALYs and HALE Collaborators. Global, regional, and national disability-adjusted life-years (DALYs) for 359 diseases and injuries and healthy life expectancy (HALE) for 195 countries and territories, 1990-2017: a systematic analysis for the Global Burden of Disease Study 2017. </w:t>
      </w:r>
      <w:r>
        <w:rPr>
          <w:i/>
          <w:iCs/>
        </w:rPr>
        <w:t>Lancet</w:t>
      </w:r>
      <w:r>
        <w:t xml:space="preserve"> 2018; </w:t>
      </w:r>
      <w:r>
        <w:rPr>
          <w:b/>
          <w:bCs/>
        </w:rPr>
        <w:t>392</w:t>
      </w:r>
      <w:r>
        <w:t>: 1859–922.</w:t>
      </w:r>
    </w:p>
    <w:p w14:paraId="539FBE3A" w14:textId="77777777" w:rsidR="00B153C0" w:rsidRDefault="00B153C0" w:rsidP="00B153C0">
      <w:pPr>
        <w:pStyle w:val="Bibliography"/>
      </w:pPr>
      <w:r>
        <w:t>24</w:t>
      </w:r>
      <w:r>
        <w:tab/>
        <w:t>Haws R, Winch PJ, Castillo J. Innovative community-based interventions to improve newborn health in Latin America and the Caribbean. Johns Hopkins University, CORE Group, 2004 https://coregroup.org/wp-content/uploads/2020/03/LAC-Neonatal-english_final_pdf.pdf.</w:t>
      </w:r>
    </w:p>
    <w:p w14:paraId="32518C57" w14:textId="77777777" w:rsidR="00B153C0" w:rsidRDefault="00B153C0" w:rsidP="00B153C0">
      <w:pPr>
        <w:pStyle w:val="Bibliography"/>
      </w:pPr>
      <w:r>
        <w:t>25</w:t>
      </w:r>
      <w:r>
        <w:tab/>
        <w:t xml:space="preserve">Whiteside A, Henry FE. The impact of HIV and AIDS research: a case study from Swaziland. </w:t>
      </w:r>
      <w:r>
        <w:rPr>
          <w:i/>
          <w:iCs/>
        </w:rPr>
        <w:t>Health Res Policy Syst</w:t>
      </w:r>
      <w:r>
        <w:t xml:space="preserve"> 2011; </w:t>
      </w:r>
      <w:r>
        <w:rPr>
          <w:b/>
          <w:bCs/>
        </w:rPr>
        <w:t>9</w:t>
      </w:r>
      <w:r>
        <w:t>: S9.</w:t>
      </w:r>
    </w:p>
    <w:p w14:paraId="7D81B434" w14:textId="77777777" w:rsidR="00B153C0" w:rsidRDefault="00B153C0" w:rsidP="00B153C0">
      <w:pPr>
        <w:pStyle w:val="Bibliography"/>
      </w:pPr>
      <w:r>
        <w:t>26</w:t>
      </w:r>
      <w:r>
        <w:tab/>
        <w:t xml:space="preserve">Dwyer-Lindgren L, Cork MA, Sligar A, </w:t>
      </w:r>
      <w:r>
        <w:rPr>
          <w:i/>
          <w:iCs/>
        </w:rPr>
        <w:t>et al.</w:t>
      </w:r>
      <w:r>
        <w:t xml:space="preserve"> Mapping HIV prevalence in sub-Saharan Africa between 2000 and 2017. </w:t>
      </w:r>
      <w:r>
        <w:rPr>
          <w:i/>
          <w:iCs/>
        </w:rPr>
        <w:t>Nature</w:t>
      </w:r>
      <w:r>
        <w:t xml:space="preserve"> 2019; </w:t>
      </w:r>
      <w:r>
        <w:rPr>
          <w:b/>
          <w:bCs/>
        </w:rPr>
        <w:t>570</w:t>
      </w:r>
      <w:r>
        <w:t>: 189–93.</w:t>
      </w:r>
    </w:p>
    <w:p w14:paraId="73EB1D7B" w14:textId="77777777" w:rsidR="00B153C0" w:rsidRDefault="00B153C0" w:rsidP="00B153C0">
      <w:pPr>
        <w:pStyle w:val="Bibliography"/>
      </w:pPr>
      <w:r>
        <w:t>27</w:t>
      </w:r>
      <w:r>
        <w:tab/>
        <w:t xml:space="preserve">Nachega JB, Kapata N, Sam-Agudu NA, </w:t>
      </w:r>
      <w:r>
        <w:rPr>
          <w:i/>
          <w:iCs/>
        </w:rPr>
        <w:t>et al.</w:t>
      </w:r>
      <w:r>
        <w:t xml:space="preserve"> Minimizing the impact of the triple burden of COVID-19, tuberculosis and HIV on health services in sub-Saharan Africa. </w:t>
      </w:r>
      <w:r>
        <w:rPr>
          <w:i/>
          <w:iCs/>
        </w:rPr>
        <w:t>Int J Infect Dis</w:t>
      </w:r>
      <w:r>
        <w:t xml:space="preserve"> 2021; </w:t>
      </w:r>
      <w:r>
        <w:rPr>
          <w:b/>
          <w:bCs/>
        </w:rPr>
        <w:t>113</w:t>
      </w:r>
      <w:r>
        <w:t>: S16–21.</w:t>
      </w:r>
    </w:p>
    <w:p w14:paraId="1DD6FBC9" w14:textId="77777777" w:rsidR="00B153C0" w:rsidRDefault="00B153C0" w:rsidP="00B153C0">
      <w:pPr>
        <w:pStyle w:val="Bibliography"/>
      </w:pPr>
      <w:r>
        <w:t>28</w:t>
      </w:r>
      <w:r>
        <w:tab/>
        <w:t xml:space="preserve">Duarte R, Silva DR, Rendon A, </w:t>
      </w:r>
      <w:r>
        <w:rPr>
          <w:i/>
          <w:iCs/>
        </w:rPr>
        <w:t>et al.</w:t>
      </w:r>
      <w:r>
        <w:t xml:space="preserve"> Eliminating tuberculosis in Latin America: making it the point. </w:t>
      </w:r>
      <w:r>
        <w:rPr>
          <w:i/>
          <w:iCs/>
        </w:rPr>
        <w:t>J Bras Pneumol</w:t>
      </w:r>
      <w:r>
        <w:t xml:space="preserve"> 2018; </w:t>
      </w:r>
      <w:r>
        <w:rPr>
          <w:b/>
          <w:bCs/>
        </w:rPr>
        <w:t>44</w:t>
      </w:r>
      <w:r>
        <w:t>: 73–6.</w:t>
      </w:r>
    </w:p>
    <w:p w14:paraId="5B860A7C" w14:textId="77777777" w:rsidR="00B153C0" w:rsidRDefault="00B153C0" w:rsidP="00B153C0">
      <w:pPr>
        <w:pStyle w:val="Bibliography"/>
      </w:pPr>
      <w:r>
        <w:lastRenderedPageBreak/>
        <w:t>29</w:t>
      </w:r>
      <w:r>
        <w:tab/>
        <w:t>WHO. World health statistics 2022: monitoring health for the SDGs, sustainable development goals. Geneva, 2022 https://www.who.int/data/gho/publications/world-health-statistics (accessed Sept 16, 2022).</w:t>
      </w:r>
    </w:p>
    <w:p w14:paraId="404D274A" w14:textId="77777777" w:rsidR="00B153C0" w:rsidRDefault="00B153C0" w:rsidP="00B153C0">
      <w:pPr>
        <w:pStyle w:val="Bibliography"/>
      </w:pPr>
      <w:r>
        <w:t>30</w:t>
      </w:r>
      <w:r>
        <w:tab/>
        <w:t>WHO. World health statistics 2023: monitoring health for the SDGs, sustainable development goals. 2023 https://www.who.int/publications-detail-redirect/9789240074323 (accessed Oct 27, 2023).</w:t>
      </w:r>
    </w:p>
    <w:p w14:paraId="6AE91F77" w14:textId="77777777" w:rsidR="00B153C0" w:rsidRDefault="00B153C0" w:rsidP="00B153C0">
      <w:pPr>
        <w:pStyle w:val="Bibliography"/>
      </w:pPr>
      <w:r>
        <w:t>31</w:t>
      </w:r>
      <w:r>
        <w:tab/>
        <w:t xml:space="preserve">Rosenthal PJ, John CC, Rabinovich NR. Malaria: how are we doing and how can we do better? </w:t>
      </w:r>
      <w:r>
        <w:rPr>
          <w:i/>
          <w:iCs/>
        </w:rPr>
        <w:t>Am J Trop Med Hyg</w:t>
      </w:r>
      <w:r>
        <w:t xml:space="preserve"> 2019; </w:t>
      </w:r>
      <w:r>
        <w:rPr>
          <w:b/>
          <w:bCs/>
        </w:rPr>
        <w:t>100</w:t>
      </w:r>
      <w:r>
        <w:t>: 239–41.</w:t>
      </w:r>
    </w:p>
    <w:p w14:paraId="0C69136B" w14:textId="77777777" w:rsidR="00B153C0" w:rsidRDefault="00B153C0" w:rsidP="00B153C0">
      <w:pPr>
        <w:pStyle w:val="Bibliography"/>
      </w:pPr>
      <w:r>
        <w:t>32</w:t>
      </w:r>
      <w:r>
        <w:tab/>
        <w:t xml:space="preserve">Bhatt S, Weiss DJ, Cameron E, </w:t>
      </w:r>
      <w:r>
        <w:rPr>
          <w:i/>
          <w:iCs/>
        </w:rPr>
        <w:t>et al.</w:t>
      </w:r>
      <w:r>
        <w:t xml:space="preserve"> The effect of malaria control on Plasmodium falciparum in Africa between 2000 and 2015. </w:t>
      </w:r>
      <w:r>
        <w:rPr>
          <w:i/>
          <w:iCs/>
        </w:rPr>
        <w:t>Nature</w:t>
      </w:r>
      <w:r>
        <w:t xml:space="preserve"> 2015; </w:t>
      </w:r>
      <w:r>
        <w:rPr>
          <w:b/>
          <w:bCs/>
        </w:rPr>
        <w:t>526</w:t>
      </w:r>
      <w:r>
        <w:t>: 207–11.</w:t>
      </w:r>
    </w:p>
    <w:p w14:paraId="361A94A9" w14:textId="77777777" w:rsidR="00B153C0" w:rsidRDefault="00B153C0" w:rsidP="00B153C0">
      <w:pPr>
        <w:pStyle w:val="Bibliography"/>
      </w:pPr>
      <w:r>
        <w:t>33</w:t>
      </w:r>
      <w:r>
        <w:tab/>
        <w:t>WHO. WHO recommends R21/Matrix-M vaccine for malaria prevention in updated advice on immunization. 2023; published online Oct 2. https://www.who.int/news/item/02-10-2023-who-recommends-r21-matrix-m-vaccine-for-malaria-prevention-in-updated-advice-on-immunization (accessed Oct 24, 2023).</w:t>
      </w:r>
    </w:p>
    <w:p w14:paraId="34C5F85A" w14:textId="77777777" w:rsidR="00B153C0" w:rsidRDefault="00B153C0" w:rsidP="00B153C0">
      <w:pPr>
        <w:pStyle w:val="Bibliography"/>
      </w:pPr>
      <w:r>
        <w:t>34</w:t>
      </w:r>
      <w:r>
        <w:tab/>
        <w:t xml:space="preserve">Naddaf M. Second malaria vaccine to win global approval is cheaper and easier to make. </w:t>
      </w:r>
      <w:r>
        <w:rPr>
          <w:i/>
          <w:iCs/>
        </w:rPr>
        <w:t>Nature</w:t>
      </w:r>
      <w:r>
        <w:t xml:space="preserve"> 2023; published online Oct 3. DOI:10.1038/d41586-023-03115-1.</w:t>
      </w:r>
    </w:p>
    <w:p w14:paraId="29D5702F" w14:textId="77777777" w:rsidR="00B153C0" w:rsidRDefault="00B153C0" w:rsidP="00B153C0">
      <w:pPr>
        <w:pStyle w:val="Bibliography"/>
      </w:pPr>
      <w:r>
        <w:t>35</w:t>
      </w:r>
      <w:r>
        <w:tab/>
        <w:t xml:space="preserve">Black R, Fontaine O, Lamberti L, </w:t>
      </w:r>
      <w:r>
        <w:rPr>
          <w:i/>
          <w:iCs/>
        </w:rPr>
        <w:t>et al.</w:t>
      </w:r>
      <w:r>
        <w:t xml:space="preserve"> Drivers of the reduction in childhood diarrhea mortality 1980-2015 and interventions to eliminate preventable diarrhea deaths by 2030. </w:t>
      </w:r>
      <w:r>
        <w:rPr>
          <w:i/>
          <w:iCs/>
        </w:rPr>
        <w:t>J Glob Health</w:t>
      </w:r>
      <w:r>
        <w:t xml:space="preserve">; </w:t>
      </w:r>
      <w:r>
        <w:rPr>
          <w:b/>
          <w:bCs/>
        </w:rPr>
        <w:t>9</w:t>
      </w:r>
      <w:r>
        <w:t>: 020801.</w:t>
      </w:r>
    </w:p>
    <w:p w14:paraId="7C3D8C98" w14:textId="77777777" w:rsidR="00B153C0" w:rsidRDefault="00B153C0" w:rsidP="00B153C0">
      <w:pPr>
        <w:pStyle w:val="Bibliography"/>
      </w:pPr>
      <w:r>
        <w:t>36</w:t>
      </w:r>
      <w:r>
        <w:tab/>
        <w:t xml:space="preserve">GBD 2017 Lower Respiratory Infections Collaborators. Quantifying risks and interventions that have affected the burden of lower respiratory infections among children younger than 5 years: an analysis for the Global Burden of Disease Study 2017. </w:t>
      </w:r>
      <w:r>
        <w:rPr>
          <w:i/>
          <w:iCs/>
        </w:rPr>
        <w:t>Lancet Infect Dis</w:t>
      </w:r>
      <w:r>
        <w:t xml:space="preserve"> 2020; </w:t>
      </w:r>
      <w:r>
        <w:rPr>
          <w:b/>
          <w:bCs/>
        </w:rPr>
        <w:t>20</w:t>
      </w:r>
      <w:r>
        <w:t>: 60–79.</w:t>
      </w:r>
    </w:p>
    <w:p w14:paraId="60479508" w14:textId="77777777" w:rsidR="00B153C0" w:rsidRDefault="00B153C0" w:rsidP="00B153C0">
      <w:pPr>
        <w:pStyle w:val="Bibliography"/>
      </w:pPr>
      <w:r>
        <w:t>37</w:t>
      </w:r>
      <w:r>
        <w:tab/>
        <w:t xml:space="preserve">Das JK, Salam RA, Saeed M, Kazmi FA, Bhutta ZA. Effectiveness of Interventions for Managing Acute Malnutrition in Children under Five Years of Age in Low-Income and Middle-Income Countries: A Systematic Review and Meta-Analysis. </w:t>
      </w:r>
      <w:r>
        <w:rPr>
          <w:i/>
          <w:iCs/>
        </w:rPr>
        <w:t>Nutrients</w:t>
      </w:r>
      <w:r>
        <w:t xml:space="preserve"> 2020; </w:t>
      </w:r>
      <w:r>
        <w:rPr>
          <w:b/>
          <w:bCs/>
        </w:rPr>
        <w:t>12</w:t>
      </w:r>
      <w:r>
        <w:t>: 116.</w:t>
      </w:r>
    </w:p>
    <w:p w14:paraId="352D50D0" w14:textId="77777777" w:rsidR="00B153C0" w:rsidRDefault="00B153C0" w:rsidP="00B153C0">
      <w:pPr>
        <w:pStyle w:val="Bibliography"/>
      </w:pPr>
      <w:r>
        <w:t>38</w:t>
      </w:r>
      <w:r>
        <w:tab/>
        <w:t xml:space="preserve">Mertens A, Benjamin-Chung J, Colford JM, </w:t>
      </w:r>
      <w:r>
        <w:rPr>
          <w:i/>
          <w:iCs/>
        </w:rPr>
        <w:t>et al.</w:t>
      </w:r>
      <w:r>
        <w:t xml:space="preserve"> Causes and consequences of child growth faltering in low-resource settings. </w:t>
      </w:r>
      <w:r>
        <w:rPr>
          <w:i/>
          <w:iCs/>
        </w:rPr>
        <w:t>Nature</w:t>
      </w:r>
      <w:r>
        <w:t xml:space="preserve"> 2023; </w:t>
      </w:r>
      <w:r>
        <w:rPr>
          <w:b/>
          <w:bCs/>
        </w:rPr>
        <w:t>621</w:t>
      </w:r>
      <w:r>
        <w:t>: 568–76.</w:t>
      </w:r>
    </w:p>
    <w:p w14:paraId="26820D89" w14:textId="77777777" w:rsidR="00B153C0" w:rsidRDefault="00B153C0" w:rsidP="00B153C0">
      <w:pPr>
        <w:pStyle w:val="Bibliography"/>
      </w:pPr>
      <w:r>
        <w:t>39</w:t>
      </w:r>
      <w:r>
        <w:tab/>
        <w:t xml:space="preserve">LBD Triple Burden Collaborators. The overlapping burden of the three leading causes of disability and death in sub-Saharan African children. </w:t>
      </w:r>
      <w:r>
        <w:rPr>
          <w:i/>
          <w:iCs/>
        </w:rPr>
        <w:t>Nat Commun</w:t>
      </w:r>
      <w:r>
        <w:t xml:space="preserve"> 2022; </w:t>
      </w:r>
      <w:r>
        <w:rPr>
          <w:b/>
          <w:bCs/>
        </w:rPr>
        <w:t>13</w:t>
      </w:r>
      <w:r>
        <w:t>: 7457.</w:t>
      </w:r>
    </w:p>
    <w:p w14:paraId="664E0FAB" w14:textId="77777777" w:rsidR="00B153C0" w:rsidRDefault="00B153C0" w:rsidP="00B153C0">
      <w:pPr>
        <w:pStyle w:val="Bibliography"/>
      </w:pPr>
      <w:r>
        <w:t>40</w:t>
      </w:r>
      <w:r>
        <w:tab/>
        <w:t xml:space="preserve">Shah MP, Tate JE, Mwenda JM, Steele AD, Parashar UD. Estimated reductions in hospitalizations and deaths from childhood diarrhea following implementation of rotavirus vaccination in Africa. </w:t>
      </w:r>
      <w:r>
        <w:rPr>
          <w:i/>
          <w:iCs/>
        </w:rPr>
        <w:t>Expert Rev Vaccines</w:t>
      </w:r>
      <w:r>
        <w:t xml:space="preserve"> 2017; </w:t>
      </w:r>
      <w:r>
        <w:rPr>
          <w:b/>
          <w:bCs/>
        </w:rPr>
        <w:t>16</w:t>
      </w:r>
      <w:r>
        <w:t>: 987–95.</w:t>
      </w:r>
    </w:p>
    <w:p w14:paraId="5BBBF739" w14:textId="77777777" w:rsidR="00B153C0" w:rsidRDefault="00B153C0" w:rsidP="00B153C0">
      <w:pPr>
        <w:pStyle w:val="Bibliography"/>
      </w:pPr>
      <w:r>
        <w:t>41</w:t>
      </w:r>
      <w:r>
        <w:tab/>
        <w:t xml:space="preserve">Reiner RC, Graetz N, Casey DC, </w:t>
      </w:r>
      <w:r>
        <w:rPr>
          <w:i/>
          <w:iCs/>
        </w:rPr>
        <w:t>et al.</w:t>
      </w:r>
      <w:r>
        <w:t xml:space="preserve"> Variation in childhood diarrheal morbidity and mortality in Africa, 2000–2015. </w:t>
      </w:r>
      <w:r>
        <w:rPr>
          <w:i/>
          <w:iCs/>
        </w:rPr>
        <w:t>N Engl J Med</w:t>
      </w:r>
      <w:r>
        <w:t xml:space="preserve"> 2018; </w:t>
      </w:r>
      <w:r>
        <w:rPr>
          <w:b/>
          <w:bCs/>
        </w:rPr>
        <w:t>379</w:t>
      </w:r>
      <w:r>
        <w:t>: 1128–38.</w:t>
      </w:r>
    </w:p>
    <w:p w14:paraId="55083952" w14:textId="77777777" w:rsidR="00B153C0" w:rsidRDefault="00B153C0" w:rsidP="00B153C0">
      <w:pPr>
        <w:pStyle w:val="Bibliography"/>
      </w:pPr>
      <w:r>
        <w:t>42</w:t>
      </w:r>
      <w:r>
        <w:tab/>
        <w:t xml:space="preserve">Burstein R, Henry NJ, Collison ML, </w:t>
      </w:r>
      <w:r>
        <w:rPr>
          <w:i/>
          <w:iCs/>
        </w:rPr>
        <w:t>et al.</w:t>
      </w:r>
      <w:r>
        <w:t xml:space="preserve"> Mapping 123 million neonatal, infant and child deaths between 2000 and 2017. </w:t>
      </w:r>
      <w:r>
        <w:rPr>
          <w:i/>
          <w:iCs/>
        </w:rPr>
        <w:t>Nature</w:t>
      </w:r>
      <w:r>
        <w:t xml:space="preserve"> 2019; </w:t>
      </w:r>
      <w:r>
        <w:rPr>
          <w:b/>
          <w:bCs/>
        </w:rPr>
        <w:t>574</w:t>
      </w:r>
      <w:r>
        <w:t>: 353–8.</w:t>
      </w:r>
    </w:p>
    <w:p w14:paraId="378BE30B" w14:textId="77777777" w:rsidR="00B153C0" w:rsidRDefault="00B153C0" w:rsidP="00B153C0">
      <w:pPr>
        <w:pStyle w:val="Bibliography"/>
      </w:pPr>
      <w:r>
        <w:lastRenderedPageBreak/>
        <w:t>43</w:t>
      </w:r>
      <w:r>
        <w:tab/>
        <w:t xml:space="preserve">Galles NC, Liu PY, Updike RL, </w:t>
      </w:r>
      <w:r>
        <w:rPr>
          <w:i/>
          <w:iCs/>
        </w:rPr>
        <w:t>et al.</w:t>
      </w:r>
      <w:r>
        <w:t xml:space="preserve"> Measuring routine childhood vaccination coverage in 204 countries and territories, 1980–2019: a systematic analysis for the Global Burden of Disease Study 2020, Release 1. </w:t>
      </w:r>
      <w:r>
        <w:rPr>
          <w:i/>
          <w:iCs/>
        </w:rPr>
        <w:t>The Lancet</w:t>
      </w:r>
      <w:r>
        <w:t xml:space="preserve"> 2021; </w:t>
      </w:r>
      <w:r>
        <w:rPr>
          <w:b/>
          <w:bCs/>
        </w:rPr>
        <w:t>398</w:t>
      </w:r>
      <w:r>
        <w:t>: 503–21.</w:t>
      </w:r>
    </w:p>
    <w:p w14:paraId="0C91F830" w14:textId="77777777" w:rsidR="00B153C0" w:rsidRDefault="00B153C0" w:rsidP="00B153C0">
      <w:pPr>
        <w:pStyle w:val="Bibliography"/>
      </w:pPr>
      <w:r>
        <w:t>44</w:t>
      </w:r>
      <w:r>
        <w:tab/>
        <w:t xml:space="preserve">Deshpande A, Miller-Petrie MK, Lindstedt PA, </w:t>
      </w:r>
      <w:r>
        <w:rPr>
          <w:i/>
          <w:iCs/>
        </w:rPr>
        <w:t>et al.</w:t>
      </w:r>
      <w:r>
        <w:t xml:space="preserve"> Mapping geographical inequalities in access to drinking water and sanitation facilities in low-income and middle-income countries, 2000–17. </w:t>
      </w:r>
      <w:r>
        <w:rPr>
          <w:i/>
          <w:iCs/>
        </w:rPr>
        <w:t>Lancet Glob Health</w:t>
      </w:r>
      <w:r>
        <w:t xml:space="preserve"> 2020; </w:t>
      </w:r>
      <w:r>
        <w:rPr>
          <w:b/>
          <w:bCs/>
        </w:rPr>
        <w:t>8</w:t>
      </w:r>
      <w:r>
        <w:t>: e1162–85.</w:t>
      </w:r>
    </w:p>
    <w:p w14:paraId="56EAFF16" w14:textId="77777777" w:rsidR="00B153C0" w:rsidRDefault="00B153C0" w:rsidP="00B153C0">
      <w:pPr>
        <w:pStyle w:val="Bibliography"/>
      </w:pPr>
      <w:r>
        <w:t>45</w:t>
      </w:r>
      <w:r>
        <w:tab/>
        <w:t xml:space="preserve">Bhattacharjee NV, Schaeffer LE, Hay SI. Mapping inequalities in exclusive breastfeeding in low- and middle-income countries, 2000–2018. </w:t>
      </w:r>
      <w:r>
        <w:rPr>
          <w:i/>
          <w:iCs/>
        </w:rPr>
        <w:t>Nat Hum Behav</w:t>
      </w:r>
      <w:r>
        <w:t xml:space="preserve"> 2021; </w:t>
      </w:r>
      <w:r>
        <w:rPr>
          <w:b/>
          <w:bCs/>
        </w:rPr>
        <w:t>5</w:t>
      </w:r>
      <w:r>
        <w:t>: 1027–45.</w:t>
      </w:r>
    </w:p>
    <w:p w14:paraId="1048CAEF" w14:textId="77777777" w:rsidR="00B153C0" w:rsidRDefault="00B153C0" w:rsidP="00B153C0">
      <w:pPr>
        <w:pStyle w:val="Bibliography"/>
      </w:pPr>
      <w:r>
        <w:t>46</w:t>
      </w:r>
      <w:r>
        <w:tab/>
        <w:t xml:space="preserve">Wiens KE, Lindstedt PA, Blacker BF, </w:t>
      </w:r>
      <w:r>
        <w:rPr>
          <w:i/>
          <w:iCs/>
        </w:rPr>
        <w:t>et al.</w:t>
      </w:r>
      <w:r>
        <w:t xml:space="preserve"> Mapping geographical inequalities in oral rehydration therapy coverage in low-income and middle-income countries, 2000–17. </w:t>
      </w:r>
      <w:r>
        <w:rPr>
          <w:i/>
          <w:iCs/>
        </w:rPr>
        <w:t>Lancet Glob Health</w:t>
      </w:r>
      <w:r>
        <w:t xml:space="preserve"> 2020; </w:t>
      </w:r>
      <w:r>
        <w:rPr>
          <w:b/>
          <w:bCs/>
        </w:rPr>
        <w:t>8</w:t>
      </w:r>
      <w:r>
        <w:t>: e1038–60.</w:t>
      </w:r>
    </w:p>
    <w:p w14:paraId="539DE16E" w14:textId="77777777" w:rsidR="00B153C0" w:rsidRDefault="00B153C0" w:rsidP="00B153C0">
      <w:pPr>
        <w:pStyle w:val="Bibliography"/>
      </w:pPr>
      <w:r>
        <w:t>47</w:t>
      </w:r>
      <w:r>
        <w:tab/>
        <w:t xml:space="preserve">Reiner RC, Graetz N, Casey DC, </w:t>
      </w:r>
      <w:r>
        <w:rPr>
          <w:i/>
          <w:iCs/>
        </w:rPr>
        <w:t>et al.</w:t>
      </w:r>
      <w:r>
        <w:t xml:space="preserve"> Local variation in childhood diarrheal morbidity and mortality in Africa, 2000-2015. </w:t>
      </w:r>
      <w:r>
        <w:rPr>
          <w:i/>
          <w:iCs/>
        </w:rPr>
        <w:t>N Engl J Med</w:t>
      </w:r>
      <w:r>
        <w:t xml:space="preserve"> 2018; </w:t>
      </w:r>
      <w:r>
        <w:rPr>
          <w:b/>
          <w:bCs/>
        </w:rPr>
        <w:t>279</w:t>
      </w:r>
      <w:r>
        <w:t>: 1128–38.</w:t>
      </w:r>
    </w:p>
    <w:p w14:paraId="6ADE120C" w14:textId="77777777" w:rsidR="00B153C0" w:rsidRDefault="00B153C0" w:rsidP="00B153C0">
      <w:pPr>
        <w:pStyle w:val="Bibliography"/>
      </w:pPr>
      <w:r>
        <w:t>48</w:t>
      </w:r>
      <w:r>
        <w:tab/>
        <w:t xml:space="preserve">GBD 2015 Healthcare Access and Quality Collaborators. Healthcare Access and Quality Index based on mortality from causes amenable to personal health care in 195 countries and territories, 1990–2015: a novel analysis from the Global Burden of Disease Study 2015. </w:t>
      </w:r>
      <w:r>
        <w:rPr>
          <w:i/>
          <w:iCs/>
        </w:rPr>
        <w:t>Lancet Lond Engl</w:t>
      </w:r>
      <w:r>
        <w:t xml:space="preserve"> 2017; </w:t>
      </w:r>
      <w:r>
        <w:rPr>
          <w:b/>
          <w:bCs/>
        </w:rPr>
        <w:t>390</w:t>
      </w:r>
      <w:r>
        <w:t>: 231–66.</w:t>
      </w:r>
    </w:p>
    <w:p w14:paraId="64675570" w14:textId="77777777" w:rsidR="00B153C0" w:rsidRDefault="00B153C0" w:rsidP="00B153C0">
      <w:pPr>
        <w:pStyle w:val="Bibliography"/>
      </w:pPr>
      <w:r>
        <w:t>49</w:t>
      </w:r>
      <w:r>
        <w:tab/>
        <w:t>Gates Foundation. Enteric and Diarrheal Diseases. Bill Melinda Gates Found. https://www.gatesfoundation.org/our-work/programs/global-health/enteric-and-diarrheal-diseases (accessed Oct 26, 2023).</w:t>
      </w:r>
    </w:p>
    <w:p w14:paraId="6B4585EC" w14:textId="77777777" w:rsidR="00B153C0" w:rsidRDefault="00B153C0" w:rsidP="00B153C0">
      <w:pPr>
        <w:pStyle w:val="Bibliography"/>
      </w:pPr>
      <w:r>
        <w:t>50</w:t>
      </w:r>
      <w:r>
        <w:tab/>
        <w:t xml:space="preserve">Troeger C, Khalil IA, Rao PC, </w:t>
      </w:r>
      <w:r>
        <w:rPr>
          <w:i/>
          <w:iCs/>
        </w:rPr>
        <w:t>et al.</w:t>
      </w:r>
      <w:r>
        <w:t xml:space="preserve"> Rotavirus vaccination and the global burden of rotavirus diarrhea among children younger than 5 years. </w:t>
      </w:r>
      <w:r>
        <w:rPr>
          <w:i/>
          <w:iCs/>
        </w:rPr>
        <w:t>JAMA Pediatr</w:t>
      </w:r>
      <w:r>
        <w:t xml:space="preserve"> 2018; </w:t>
      </w:r>
      <w:r>
        <w:rPr>
          <w:b/>
          <w:bCs/>
        </w:rPr>
        <w:t>172</w:t>
      </w:r>
      <w:r>
        <w:t>: 958–65.</w:t>
      </w:r>
    </w:p>
    <w:p w14:paraId="652F9F93" w14:textId="77777777" w:rsidR="00B153C0" w:rsidRDefault="00B153C0" w:rsidP="00B153C0">
      <w:pPr>
        <w:pStyle w:val="Bibliography"/>
      </w:pPr>
      <w:r>
        <w:t>51</w:t>
      </w:r>
      <w:r>
        <w:tab/>
        <w:t xml:space="preserve">Causey K, Fullman N, Sorensen RJD, </w:t>
      </w:r>
      <w:r>
        <w:rPr>
          <w:i/>
          <w:iCs/>
        </w:rPr>
        <w:t>et al.</w:t>
      </w:r>
      <w:r>
        <w:t xml:space="preserve"> Estimating global and regional disruptions to routine childhood vaccine coverage during the COVID-19 pandemic in 2020: a modelling study. </w:t>
      </w:r>
      <w:r>
        <w:rPr>
          <w:i/>
          <w:iCs/>
        </w:rPr>
        <w:t>The Lancet</w:t>
      </w:r>
      <w:r>
        <w:t xml:space="preserve"> 2021; </w:t>
      </w:r>
      <w:r>
        <w:rPr>
          <w:b/>
          <w:bCs/>
        </w:rPr>
        <w:t>398</w:t>
      </w:r>
      <w:r>
        <w:t>: 522–34.</w:t>
      </w:r>
    </w:p>
    <w:p w14:paraId="6F09B985" w14:textId="77777777" w:rsidR="00B153C0" w:rsidRDefault="00B153C0" w:rsidP="00B153C0">
      <w:pPr>
        <w:pStyle w:val="Bibliography"/>
      </w:pPr>
      <w:r>
        <w:t>52</w:t>
      </w:r>
      <w:r>
        <w:tab/>
        <w:t xml:space="preserve">Barros LL, Barros LL, do Carmo RF, </w:t>
      </w:r>
      <w:r>
        <w:rPr>
          <w:i/>
          <w:iCs/>
        </w:rPr>
        <w:t>et al.</w:t>
      </w:r>
      <w:r>
        <w:t xml:space="preserve"> Change in rotavirus vaccine coverage in Brazil from before (2015–2019) through the COVID-19 pandemic period (2020–2021). </w:t>
      </w:r>
      <w:r>
        <w:rPr>
          <w:i/>
          <w:iCs/>
        </w:rPr>
        <w:t>Viruses</w:t>
      </w:r>
      <w:r>
        <w:t xml:space="preserve"> 2023; </w:t>
      </w:r>
      <w:r>
        <w:rPr>
          <w:b/>
          <w:bCs/>
        </w:rPr>
        <w:t>15</w:t>
      </w:r>
      <w:r>
        <w:t>: 292.</w:t>
      </w:r>
    </w:p>
    <w:p w14:paraId="631F0B77" w14:textId="77777777" w:rsidR="00B153C0" w:rsidRDefault="00B153C0" w:rsidP="00B153C0">
      <w:pPr>
        <w:pStyle w:val="Bibliography"/>
      </w:pPr>
      <w:r>
        <w:t>53</w:t>
      </w:r>
      <w:r>
        <w:tab/>
        <w:t xml:space="preserve">DeSilva MB, Haapala J, Vazquez-Benitez G, </w:t>
      </w:r>
      <w:r>
        <w:rPr>
          <w:i/>
          <w:iCs/>
        </w:rPr>
        <w:t>et al.</w:t>
      </w:r>
      <w:r>
        <w:t xml:space="preserve"> Association of the COVID-19 pandemic with routine childhood vaccination rates and proportion up to date with vaccinations across 8 US health systems in the Vaccine Safety Datalink. </w:t>
      </w:r>
      <w:r>
        <w:rPr>
          <w:i/>
          <w:iCs/>
        </w:rPr>
        <w:t>JAMA Pediatr</w:t>
      </w:r>
      <w:r>
        <w:t xml:space="preserve"> 2022; </w:t>
      </w:r>
      <w:r>
        <w:rPr>
          <w:b/>
          <w:bCs/>
        </w:rPr>
        <w:t>176</w:t>
      </w:r>
      <w:r>
        <w:t>: 68–77.</w:t>
      </w:r>
    </w:p>
    <w:p w14:paraId="3907C0A7" w14:textId="77777777" w:rsidR="00B153C0" w:rsidRDefault="00B153C0" w:rsidP="00B153C0">
      <w:pPr>
        <w:pStyle w:val="Bibliography"/>
      </w:pPr>
      <w:r>
        <w:t>54</w:t>
      </w:r>
      <w:r>
        <w:tab/>
        <w:t>WHO. Vaccine-preventable diseases. 2023. https://www.who.int/teams/immunization-vaccines-and-biologicals/diseases (accessed Nov 12, 2023).</w:t>
      </w:r>
    </w:p>
    <w:p w14:paraId="79769A23" w14:textId="77777777" w:rsidR="00B153C0" w:rsidRDefault="00B153C0" w:rsidP="00B153C0">
      <w:pPr>
        <w:pStyle w:val="Bibliography"/>
      </w:pPr>
      <w:r>
        <w:t>55</w:t>
      </w:r>
      <w:r>
        <w:tab/>
        <w:t>WHO. The big catch-up: an essential immunization recovery plan for 2023 and beyond. 2023 https://www.who.int/publications-detail-redirect/9789240075511 (accessed Nov 12, 2023).</w:t>
      </w:r>
    </w:p>
    <w:p w14:paraId="560417E4" w14:textId="77777777" w:rsidR="00B153C0" w:rsidRDefault="00B153C0" w:rsidP="00B153C0">
      <w:pPr>
        <w:pStyle w:val="Bibliography"/>
      </w:pPr>
      <w:r>
        <w:t>56</w:t>
      </w:r>
      <w:r>
        <w:tab/>
        <w:t>William J. Moss, Peter M. Strebel. Chapter 38 - Measles Vaccines. Plotkin’s Vaccines (Eighth Edition). Plotkin’s Vaccines (Eighth Edition), 2023 https://www.sciencedirect.com/science/article/pii/B9780323790581000384 (accessed Nov 12, 2023).</w:t>
      </w:r>
    </w:p>
    <w:p w14:paraId="7615644F" w14:textId="77777777" w:rsidR="00B153C0" w:rsidRDefault="00B153C0" w:rsidP="00B153C0">
      <w:pPr>
        <w:pStyle w:val="Bibliography"/>
      </w:pPr>
      <w:r>
        <w:lastRenderedPageBreak/>
        <w:t>57</w:t>
      </w:r>
      <w:r>
        <w:tab/>
        <w:t>Pan American Health Organization / World Health Organization. Measles elimination in the Americas. 2016; published online Sept 27. https://www3.paho.org/hq/index.php?option=com_content&amp;view=article&amp;id=12526:measles-elimination-in-the-americas (accessed Nov 8, 2023).</w:t>
      </w:r>
    </w:p>
    <w:p w14:paraId="2DB62CC7" w14:textId="77777777" w:rsidR="00B153C0" w:rsidRDefault="00B153C0" w:rsidP="00B153C0">
      <w:pPr>
        <w:pStyle w:val="Bibliography"/>
      </w:pPr>
      <w:r>
        <w:t>58</w:t>
      </w:r>
      <w:r>
        <w:tab/>
        <w:t xml:space="preserve">Gidding HF, Martin NV, Stambos V, </w:t>
      </w:r>
      <w:r>
        <w:rPr>
          <w:i/>
          <w:iCs/>
        </w:rPr>
        <w:t>et al.</w:t>
      </w:r>
      <w:r>
        <w:t xml:space="preserve"> Verification of measles elimination in Australia: Application of World Health Organization regional guidelines. </w:t>
      </w:r>
      <w:r>
        <w:rPr>
          <w:i/>
          <w:iCs/>
        </w:rPr>
        <w:t>J Epidemiol Glob Health</w:t>
      </w:r>
      <w:r>
        <w:t xml:space="preserve"> 2016; </w:t>
      </w:r>
      <w:r>
        <w:rPr>
          <w:b/>
          <w:bCs/>
        </w:rPr>
        <w:t>6</w:t>
      </w:r>
      <w:r>
        <w:t>: 197–209.</w:t>
      </w:r>
    </w:p>
    <w:p w14:paraId="40E08E5B" w14:textId="77777777" w:rsidR="00B153C0" w:rsidRDefault="00B153C0" w:rsidP="00B153C0">
      <w:pPr>
        <w:pStyle w:val="Bibliography"/>
      </w:pPr>
      <w:r>
        <w:t>59</w:t>
      </w:r>
      <w:r>
        <w:tab/>
        <w:t>WHO. Tenth meeting of the European Regional Verification Commission for Measles and Rubella Elimination: summary of virtual sessions held on 6 October 2021, 2 November 2021, 8 December 2021 and 16 February 2022. https://www.who.int/europe/publications/i/item/WHO-EURO-2022-6093-45858-66035 (accessed Nov 8, 2023).</w:t>
      </w:r>
    </w:p>
    <w:p w14:paraId="01C21E84" w14:textId="77777777" w:rsidR="00B153C0" w:rsidRDefault="00B153C0" w:rsidP="00B153C0">
      <w:pPr>
        <w:pStyle w:val="Bibliography"/>
      </w:pPr>
      <w:r>
        <w:t>60</w:t>
      </w:r>
      <w:r>
        <w:tab/>
        <w:t xml:space="preserve">Sbarra AN, Rolfe S, Nguyen JQ, </w:t>
      </w:r>
      <w:r>
        <w:rPr>
          <w:i/>
          <w:iCs/>
        </w:rPr>
        <w:t>et al.</w:t>
      </w:r>
      <w:r>
        <w:t xml:space="preserve"> Mapping routine measles vaccination in low- and middle-income countries. </w:t>
      </w:r>
      <w:r>
        <w:rPr>
          <w:i/>
          <w:iCs/>
        </w:rPr>
        <w:t>Nature</w:t>
      </w:r>
      <w:r>
        <w:t xml:space="preserve"> 2021; </w:t>
      </w:r>
      <w:r>
        <w:rPr>
          <w:b/>
          <w:bCs/>
        </w:rPr>
        <w:t>589</w:t>
      </w:r>
      <w:r>
        <w:t>: 415–9.</w:t>
      </w:r>
    </w:p>
    <w:p w14:paraId="0F195F2F" w14:textId="77777777" w:rsidR="00B153C0" w:rsidRDefault="00B153C0" w:rsidP="00B153C0">
      <w:pPr>
        <w:pStyle w:val="Bibliography"/>
      </w:pPr>
      <w:r>
        <w:t>61</w:t>
      </w:r>
      <w:r>
        <w:tab/>
        <w:t xml:space="preserve">Minta AA, Ferrari, M., Antoni, S. Progress toward regional measles elimination — worldwide, 2000–2021. </w:t>
      </w:r>
      <w:r>
        <w:rPr>
          <w:i/>
          <w:iCs/>
        </w:rPr>
        <w:t>MMWR Morb Mortal Wkly Rep</w:t>
      </w:r>
      <w:r>
        <w:t xml:space="preserve"> 2022; </w:t>
      </w:r>
      <w:r>
        <w:rPr>
          <w:b/>
          <w:bCs/>
        </w:rPr>
        <w:t>71</w:t>
      </w:r>
      <w:r>
        <w:t>. DOI:10.15585/mmwr.mm7147a1.</w:t>
      </w:r>
    </w:p>
    <w:p w14:paraId="5B654E83" w14:textId="77777777" w:rsidR="00B153C0" w:rsidRDefault="00B153C0" w:rsidP="00B153C0">
      <w:pPr>
        <w:pStyle w:val="Bibliography"/>
      </w:pPr>
      <w:r>
        <w:t>62</w:t>
      </w:r>
      <w:r>
        <w:tab/>
        <w:t xml:space="preserve">Majekodunmi OB, Oladele EA, Greenwood B. Factors affecting poor measles vaccination coverage in sub-Saharan Africa with a special focus on Nigeria: a narrative review. </w:t>
      </w:r>
      <w:r>
        <w:rPr>
          <w:i/>
          <w:iCs/>
        </w:rPr>
        <w:t>Trans R Soc Trop Med Hyg</w:t>
      </w:r>
      <w:r>
        <w:t xml:space="preserve"> 2022; </w:t>
      </w:r>
      <w:r>
        <w:rPr>
          <w:b/>
          <w:bCs/>
        </w:rPr>
        <w:t>116</w:t>
      </w:r>
      <w:r>
        <w:t>: 686–93.</w:t>
      </w:r>
    </w:p>
    <w:p w14:paraId="5881F086" w14:textId="77777777" w:rsidR="00B153C0" w:rsidRDefault="00B153C0" w:rsidP="00B153C0">
      <w:pPr>
        <w:pStyle w:val="Bibliography"/>
      </w:pPr>
      <w:r>
        <w:t>63</w:t>
      </w:r>
      <w:r>
        <w:tab/>
        <w:t>National Institute of Allergy and Infectious Diseases. Condom Use for Preventing HIV Infection | NIH: 2018 https://www.niaid.nih.gov/diseases-conditions/condom-use (accessed Nov 6, 2023).</w:t>
      </w:r>
    </w:p>
    <w:p w14:paraId="0BF524F7" w14:textId="77777777" w:rsidR="00B153C0" w:rsidRDefault="00B153C0" w:rsidP="00B153C0">
      <w:pPr>
        <w:pStyle w:val="Bibliography"/>
      </w:pPr>
      <w:r>
        <w:t>64</w:t>
      </w:r>
      <w:r>
        <w:tab/>
        <w:t>National Institute of Allergy and Infectious Diseases. HIV Prevention. 2020 https://www.niaid.nih.gov/diseases-conditions/hiv-prevention (accessed Nov 6, 2023).</w:t>
      </w:r>
    </w:p>
    <w:p w14:paraId="5697DADD" w14:textId="77777777" w:rsidR="00B153C0" w:rsidRDefault="00B153C0" w:rsidP="00B153C0">
      <w:pPr>
        <w:pStyle w:val="Bibliography"/>
      </w:pPr>
      <w:r>
        <w:t>65</w:t>
      </w:r>
      <w:r>
        <w:tab/>
        <w:t xml:space="preserve">Granich R, Gupta S, Hersh B, </w:t>
      </w:r>
      <w:r>
        <w:rPr>
          <w:i/>
          <w:iCs/>
        </w:rPr>
        <w:t>et al.</w:t>
      </w:r>
      <w:r>
        <w:t xml:space="preserve"> Trends in AIDS deaths, new infections and ART coverage in the top 30 countries with the highest AIDS mortality burden; 1990–2013. </w:t>
      </w:r>
      <w:r>
        <w:rPr>
          <w:i/>
          <w:iCs/>
        </w:rPr>
        <w:t>PLOS ONE</w:t>
      </w:r>
      <w:r>
        <w:t xml:space="preserve"> 2015; </w:t>
      </w:r>
      <w:r>
        <w:rPr>
          <w:b/>
          <w:bCs/>
        </w:rPr>
        <w:t>10</w:t>
      </w:r>
      <w:r>
        <w:t>: e0131353.</w:t>
      </w:r>
    </w:p>
    <w:p w14:paraId="1AB446E6" w14:textId="77777777" w:rsidR="00B153C0" w:rsidRDefault="00B153C0" w:rsidP="00B153C0">
      <w:pPr>
        <w:pStyle w:val="Bibliography"/>
      </w:pPr>
      <w:r>
        <w:t>66</w:t>
      </w:r>
      <w:r>
        <w:tab/>
        <w:t>National Institute of Allergy and Infectious Diseases. HIV undetectable=untransmittable (U=U), or treatment as prevention. 2019 https://www.niaid.nih.gov/diseases-conditions/treatment-prevention (accessed Nov 6, 2023).</w:t>
      </w:r>
    </w:p>
    <w:p w14:paraId="1110ADA4" w14:textId="77777777" w:rsidR="00B153C0" w:rsidRDefault="00B153C0" w:rsidP="00B153C0">
      <w:pPr>
        <w:pStyle w:val="Bibliography"/>
      </w:pPr>
      <w:r>
        <w:t>67</w:t>
      </w:r>
      <w:r>
        <w:tab/>
        <w:t xml:space="preserve">Akpa OM, Adeolu-Olaiya V, Olusegun-Odebiri CA, Aganaba D. HIV/AIDS-related stigma and access to HIV treatments by people living with HIV/AIDS: A case study of selected states in North-West Nigeria. </w:t>
      </w:r>
      <w:r>
        <w:rPr>
          <w:i/>
          <w:iCs/>
        </w:rPr>
        <w:t>HIV AIDS Rev</w:t>
      </w:r>
      <w:r>
        <w:t xml:space="preserve"> 2011; </w:t>
      </w:r>
      <w:r>
        <w:rPr>
          <w:b/>
          <w:bCs/>
        </w:rPr>
        <w:t>10</w:t>
      </w:r>
      <w:r>
        <w:t>: 19–25.</w:t>
      </w:r>
    </w:p>
    <w:p w14:paraId="47E21603" w14:textId="77777777" w:rsidR="00B153C0" w:rsidRDefault="00B153C0" w:rsidP="00B153C0">
      <w:pPr>
        <w:pStyle w:val="Bibliography"/>
      </w:pPr>
      <w:r>
        <w:t>68</w:t>
      </w:r>
      <w:r>
        <w:tab/>
        <w:t xml:space="preserve">Oturu K. Stigma in access to HIV treatment in African countries: the importance of social connections. </w:t>
      </w:r>
      <w:r>
        <w:rPr>
          <w:i/>
          <w:iCs/>
        </w:rPr>
        <w:t>Grounded Theory Rev</w:t>
      </w:r>
      <w:r>
        <w:t xml:space="preserve"> 2011; </w:t>
      </w:r>
      <w:r>
        <w:rPr>
          <w:b/>
          <w:bCs/>
        </w:rPr>
        <w:t>10</w:t>
      </w:r>
      <w:r>
        <w:t>: 63–90.</w:t>
      </w:r>
    </w:p>
    <w:p w14:paraId="47735C16" w14:textId="77777777" w:rsidR="00B153C0" w:rsidRDefault="00B153C0" w:rsidP="00B153C0">
      <w:pPr>
        <w:pStyle w:val="Bibliography"/>
      </w:pPr>
      <w:r>
        <w:t>69</w:t>
      </w:r>
      <w:r>
        <w:tab/>
        <w:t xml:space="preserve">Rosen S, Fox MP, Gill CJ. Patient retention in antiretroviral therapy programs in sub-Saharan Africa: a systematic review. </w:t>
      </w:r>
      <w:r>
        <w:rPr>
          <w:i/>
          <w:iCs/>
        </w:rPr>
        <w:t>PLOS Med</w:t>
      </w:r>
      <w:r>
        <w:t xml:space="preserve"> 2007; </w:t>
      </w:r>
      <w:r>
        <w:rPr>
          <w:b/>
          <w:bCs/>
        </w:rPr>
        <w:t>4</w:t>
      </w:r>
      <w:r>
        <w:t>: e298.</w:t>
      </w:r>
    </w:p>
    <w:p w14:paraId="2FA0A085" w14:textId="77777777" w:rsidR="00B153C0" w:rsidRDefault="00B153C0" w:rsidP="00B153C0">
      <w:pPr>
        <w:pStyle w:val="Bibliography"/>
      </w:pPr>
      <w:r>
        <w:t>70</w:t>
      </w:r>
      <w:r>
        <w:tab/>
        <w:t xml:space="preserve">Global HIV Prevention Working Group. Access to HIV Prevention: Closing the Gap. </w:t>
      </w:r>
      <w:r>
        <w:rPr>
          <w:i/>
          <w:iCs/>
        </w:rPr>
        <w:t>Foreign Aff</w:t>
      </w:r>
      <w:r>
        <w:t xml:space="preserve"> 2003; </w:t>
      </w:r>
      <w:r>
        <w:rPr>
          <w:b/>
          <w:bCs/>
        </w:rPr>
        <w:t>82</w:t>
      </w:r>
      <w:r>
        <w:t>: 1–42.</w:t>
      </w:r>
    </w:p>
    <w:p w14:paraId="403AD0B4" w14:textId="77777777" w:rsidR="00B153C0" w:rsidRDefault="00B153C0" w:rsidP="00B153C0">
      <w:pPr>
        <w:pStyle w:val="Bibliography"/>
      </w:pPr>
      <w:r>
        <w:lastRenderedPageBreak/>
        <w:t>71</w:t>
      </w:r>
      <w:r>
        <w:tab/>
        <w:t xml:space="preserve">Ford N, Boulle A, Egger M. Accounting for and responding to HIV-associated mortality. </w:t>
      </w:r>
      <w:r>
        <w:rPr>
          <w:i/>
          <w:iCs/>
        </w:rPr>
        <w:t>AIDS Lond Engl</w:t>
      </w:r>
      <w:r>
        <w:t xml:space="preserve"> 2016; </w:t>
      </w:r>
      <w:r>
        <w:rPr>
          <w:b/>
          <w:bCs/>
        </w:rPr>
        <w:t>30</w:t>
      </w:r>
      <w:r>
        <w:t>: 521–3.</w:t>
      </w:r>
    </w:p>
    <w:p w14:paraId="2B6560AF" w14:textId="77777777" w:rsidR="00B153C0" w:rsidRDefault="00B153C0" w:rsidP="00B153C0">
      <w:pPr>
        <w:pStyle w:val="Bibliography"/>
      </w:pPr>
      <w:r>
        <w:t>72</w:t>
      </w:r>
      <w:r>
        <w:tab/>
        <w:t xml:space="preserve">Straetemans M, Bierrenbach AL, Nagelkerke N, Glaziou P, Werf MJ van der. The effect of tuberculosis on mortality in HIV positive people: a meta-analysis. </w:t>
      </w:r>
      <w:r>
        <w:rPr>
          <w:i/>
          <w:iCs/>
        </w:rPr>
        <w:t>PLOS ONE</w:t>
      </w:r>
      <w:r>
        <w:t xml:space="preserve"> 2010; </w:t>
      </w:r>
      <w:r>
        <w:rPr>
          <w:b/>
          <w:bCs/>
        </w:rPr>
        <w:t>5</w:t>
      </w:r>
      <w:r>
        <w:t>: e15241.</w:t>
      </w:r>
    </w:p>
    <w:p w14:paraId="6B3AE480" w14:textId="77777777" w:rsidR="00B153C0" w:rsidRDefault="00B153C0" w:rsidP="00B153C0">
      <w:pPr>
        <w:pStyle w:val="Bibliography"/>
      </w:pPr>
      <w:r>
        <w:t>73</w:t>
      </w:r>
      <w:r>
        <w:tab/>
        <w:t xml:space="preserve">Piot P, Bartos M, Larson H, Zewdie D, Mane P. Coming to terms with complexity: a call to action for HIV prevention. </w:t>
      </w:r>
      <w:r>
        <w:rPr>
          <w:i/>
          <w:iCs/>
        </w:rPr>
        <w:t>The Lancet</w:t>
      </w:r>
      <w:r>
        <w:t xml:space="preserve"> 2008; </w:t>
      </w:r>
      <w:r>
        <w:rPr>
          <w:b/>
          <w:bCs/>
        </w:rPr>
        <w:t>372</w:t>
      </w:r>
      <w:r>
        <w:t>: 845–59.</w:t>
      </w:r>
    </w:p>
    <w:p w14:paraId="4D5CF4EA" w14:textId="77777777" w:rsidR="00B153C0" w:rsidRDefault="00B153C0" w:rsidP="00B153C0">
      <w:pPr>
        <w:pStyle w:val="Bibliography"/>
      </w:pPr>
      <w:r>
        <w:t>74</w:t>
      </w:r>
      <w:r>
        <w:tab/>
        <w:t xml:space="preserve">Gupta GR, Parkhurst JO, Ogden JA, Aggleton P, Mahal A. Structural approaches to HIV prevention. </w:t>
      </w:r>
      <w:r>
        <w:rPr>
          <w:i/>
          <w:iCs/>
        </w:rPr>
        <w:t>The Lancet</w:t>
      </w:r>
      <w:r>
        <w:t xml:space="preserve"> 2008; </w:t>
      </w:r>
      <w:r>
        <w:rPr>
          <w:b/>
          <w:bCs/>
        </w:rPr>
        <w:t>372</w:t>
      </w:r>
      <w:r>
        <w:t>: 764–75.</w:t>
      </w:r>
    </w:p>
    <w:p w14:paraId="022C9CF0" w14:textId="77777777" w:rsidR="00B153C0" w:rsidRDefault="00B153C0" w:rsidP="00B153C0">
      <w:pPr>
        <w:pStyle w:val="Bibliography"/>
      </w:pPr>
      <w:r>
        <w:t>75</w:t>
      </w:r>
      <w:r>
        <w:tab/>
        <w:t xml:space="preserve">GBD 2019 Under-5 Mortality Collaborators. Global, regional, and national progress towards Sustainable Development Goal 3.2 for neonatal and child health: all-cause and cause-specific mortality findings from the Global Burden of Disease Study 2019. </w:t>
      </w:r>
      <w:r>
        <w:rPr>
          <w:i/>
          <w:iCs/>
        </w:rPr>
        <w:t>The Lancet</w:t>
      </w:r>
      <w:r>
        <w:t xml:space="preserve"> 2021; </w:t>
      </w:r>
      <w:r>
        <w:rPr>
          <w:b/>
          <w:bCs/>
        </w:rPr>
        <w:t>398</w:t>
      </w:r>
      <w:r>
        <w:t>: 870–905.</w:t>
      </w:r>
    </w:p>
    <w:p w14:paraId="048D5432" w14:textId="77777777" w:rsidR="00B153C0" w:rsidRDefault="00B153C0" w:rsidP="00B153C0">
      <w:pPr>
        <w:pStyle w:val="Bibliography"/>
      </w:pPr>
      <w:r>
        <w:t>76</w:t>
      </w:r>
      <w:r>
        <w:tab/>
        <w:t xml:space="preserve">Saugstad OD. Reducing global neonatal mortality is possible. </w:t>
      </w:r>
      <w:r>
        <w:rPr>
          <w:i/>
          <w:iCs/>
        </w:rPr>
        <w:t>Neonatology</w:t>
      </w:r>
      <w:r>
        <w:t xml:space="preserve"> 2011; </w:t>
      </w:r>
      <w:r>
        <w:rPr>
          <w:b/>
          <w:bCs/>
        </w:rPr>
        <w:t>99</w:t>
      </w:r>
      <w:r>
        <w:t>: 250–7.</w:t>
      </w:r>
    </w:p>
    <w:p w14:paraId="3CE3ADB3" w14:textId="77777777" w:rsidR="00B153C0" w:rsidRDefault="00B153C0" w:rsidP="00B153C0">
      <w:pPr>
        <w:pStyle w:val="Bibliography"/>
      </w:pPr>
      <w:r>
        <w:t>77</w:t>
      </w:r>
      <w:r>
        <w:tab/>
        <w:t xml:space="preserve">Tura G, Fantahun M, Worku A. The effect of health facility delivery on neonatal mortality: systematic review and meta-analysis. </w:t>
      </w:r>
      <w:r>
        <w:rPr>
          <w:i/>
          <w:iCs/>
        </w:rPr>
        <w:t>BMC Pregnancy Childbirth</w:t>
      </w:r>
      <w:r>
        <w:t xml:space="preserve"> 2013; </w:t>
      </w:r>
      <w:r>
        <w:rPr>
          <w:b/>
          <w:bCs/>
        </w:rPr>
        <w:t>13</w:t>
      </w:r>
      <w:r>
        <w:t>: 18.</w:t>
      </w:r>
    </w:p>
    <w:p w14:paraId="058B8AF5" w14:textId="77777777" w:rsidR="00B153C0" w:rsidRDefault="00B153C0" w:rsidP="00B153C0">
      <w:pPr>
        <w:pStyle w:val="Bibliography"/>
      </w:pPr>
      <w:r>
        <w:t>78</w:t>
      </w:r>
      <w:r>
        <w:tab/>
        <w:t>Bill &amp; Melinda Gates Foundation. Exemplars in Global Health. https://www.gatesfoundation.org/ideas/articles/exemplars-global-health-niranjan-bose (accessed Nov 12, 2023).</w:t>
      </w:r>
    </w:p>
    <w:p w14:paraId="1939F7B7" w14:textId="25C1CD8F" w:rsidR="04585C60" w:rsidRPr="001F67AE" w:rsidRDefault="001F67AE" w:rsidP="00610382">
      <w:pPr>
        <w:pStyle w:val="Bibliography"/>
        <w:spacing w:line="360" w:lineRule="auto"/>
      </w:pPr>
      <w:r>
        <w:fldChar w:fldCharType="end"/>
      </w:r>
    </w:p>
    <w:sectPr w:rsidR="04585C60" w:rsidRPr="001F67AE" w:rsidSect="00D62730">
      <w:headerReference w:type="default" r:id="rId17"/>
      <w:footerReference w:type="default" r:id="rId1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EEC85" w14:textId="77777777" w:rsidR="00982905" w:rsidRDefault="00982905" w:rsidP="00C9243E">
      <w:pPr>
        <w:spacing w:after="0" w:line="240" w:lineRule="auto"/>
      </w:pPr>
      <w:r>
        <w:separator/>
      </w:r>
    </w:p>
  </w:endnote>
  <w:endnote w:type="continuationSeparator" w:id="0">
    <w:p w14:paraId="2300D6D4" w14:textId="77777777" w:rsidR="00982905" w:rsidRDefault="00982905" w:rsidP="00C9243E">
      <w:pPr>
        <w:spacing w:after="0" w:line="240" w:lineRule="auto"/>
      </w:pPr>
      <w:r>
        <w:continuationSeparator/>
      </w:r>
    </w:p>
  </w:endnote>
  <w:endnote w:type="continuationNotice" w:id="1">
    <w:p w14:paraId="5A5DF32F" w14:textId="77777777" w:rsidR="00982905" w:rsidRDefault="00982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738364"/>
      <w:docPartObj>
        <w:docPartGallery w:val="Page Numbers (Bottom of Page)"/>
        <w:docPartUnique/>
      </w:docPartObj>
    </w:sdtPr>
    <w:sdtEndPr>
      <w:rPr>
        <w:noProof/>
      </w:rPr>
    </w:sdtEndPr>
    <w:sdtContent>
      <w:p w14:paraId="46C39DA7" w14:textId="28640EB1" w:rsidR="00AD3069" w:rsidRDefault="00AD3069">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color w:val="2B579A"/>
            <w:shd w:val="clear" w:color="auto" w:fill="E6E6E6"/>
          </w:rPr>
          <w:fldChar w:fldCharType="end"/>
        </w:r>
      </w:p>
    </w:sdtContent>
  </w:sdt>
  <w:p w14:paraId="6825CA09" w14:textId="6B77BFB4" w:rsidR="000367BA" w:rsidRDefault="000367BA" w:rsidP="00704B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C013A" w14:textId="77777777" w:rsidR="00982905" w:rsidRDefault="00982905" w:rsidP="00C9243E">
      <w:pPr>
        <w:spacing w:after="0" w:line="240" w:lineRule="auto"/>
      </w:pPr>
      <w:r>
        <w:separator/>
      </w:r>
    </w:p>
  </w:footnote>
  <w:footnote w:type="continuationSeparator" w:id="0">
    <w:p w14:paraId="1FB26B33" w14:textId="77777777" w:rsidR="00982905" w:rsidRDefault="00982905" w:rsidP="00C9243E">
      <w:pPr>
        <w:spacing w:after="0" w:line="240" w:lineRule="auto"/>
      </w:pPr>
      <w:r>
        <w:continuationSeparator/>
      </w:r>
    </w:p>
  </w:footnote>
  <w:footnote w:type="continuationNotice" w:id="1">
    <w:p w14:paraId="68CC6511" w14:textId="77777777" w:rsidR="00982905" w:rsidRDefault="009829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7C9E9" w14:textId="0823C1A1" w:rsidR="000367BA" w:rsidRDefault="000367BA" w:rsidP="1EC0B504">
    <w:pPr>
      <w:pStyle w:val="Header"/>
      <w:rPr>
        <w:rFonts w:eastAsia="Calibri" w:cs="Arial"/>
      </w:rPr>
    </w:pPr>
  </w:p>
  <w:p w14:paraId="48B42F6A" w14:textId="77777777" w:rsidR="000367BA" w:rsidRDefault="000367BA">
    <w:pPr>
      <w:pStyle w:val="Header"/>
    </w:pPr>
  </w:p>
</w:hdr>
</file>

<file path=word/intelligence2.xml><?xml version="1.0" encoding="utf-8"?>
<int2:intelligence xmlns:int2="http://schemas.microsoft.com/office/intelligence/2020/intelligence" xmlns:oel="http://schemas.microsoft.com/office/2019/extlst">
  <int2:observations>
    <int2:textHash int2:hashCode="rzvN7dKqtYQRTr" int2:id="3jxCC07n">
      <int2:state int2:value="Rejected" int2:type="AugLoop_Text_Critique"/>
    </int2:textHash>
    <int2:textHash int2:hashCode="fZ1Hn9WAXQsry0" int2:id="44cyPWpE">
      <int2:state int2:value="Rejected" int2:type="AugLoop_Text_Critique"/>
    </int2:textHash>
    <int2:textHash int2:hashCode="rryPkznOBDo1iP" int2:id="545q818Y">
      <int2:state int2:value="Rejected" int2:type="AugLoop_Text_Critique"/>
    </int2:textHash>
    <int2:textHash int2:hashCode="GRcWNWTLRvr7K2" int2:id="6KimoVpX">
      <int2:state int2:value="Rejected" int2:type="AugLoop_Text_Critique"/>
    </int2:textHash>
    <int2:textHash int2:hashCode="u75GKnsM2dLFul" int2:id="8t9YahEN">
      <int2:state int2:value="Rejected" int2:type="AugLoop_Text_Critique"/>
    </int2:textHash>
    <int2:textHash int2:hashCode="5SZ9sHcr/hC3Kp" int2:id="9hoXn9OP">
      <int2:state int2:value="Rejected" int2:type="AugLoop_Text_Critique"/>
    </int2:textHash>
    <int2:textHash int2:hashCode="kDRrAeu0l+pTkk" int2:id="BedLxxIN">
      <int2:state int2:value="Rejected" int2:type="AugLoop_Text_Critique"/>
    </int2:textHash>
    <int2:textHash int2:hashCode="2zGouiZp5eQtz2" int2:id="COCFFa9n">
      <int2:state int2:value="Rejected" int2:type="AugLoop_Text_Critique"/>
    </int2:textHash>
    <int2:textHash int2:hashCode="hLWiYnScaMQFkk" int2:id="EztsYldT">
      <int2:state int2:value="Rejected" int2:type="AugLoop_Text_Critique"/>
    </int2:textHash>
    <int2:textHash int2:hashCode="1uJ2+KUGw3ABjQ" int2:id="FQfRuaCl">
      <int2:state int2:value="Rejected" int2:type="AugLoop_Text_Critique"/>
    </int2:textHash>
    <int2:textHash int2:hashCode="7VdUcpOJDWz+PJ" int2:id="R9JZXtKm">
      <int2:state int2:value="Rejected" int2:type="AugLoop_Text_Critique"/>
    </int2:textHash>
    <int2:textHash int2:hashCode="8bU/fSH4QmKQWT" int2:id="RUt5xXq0">
      <int2:state int2:value="Rejected" int2:type="AugLoop_Text_Critique"/>
    </int2:textHash>
    <int2:textHash int2:hashCode="4qYTBDwt5iZ+LX" int2:id="Tgu6B7EU">
      <int2:state int2:value="Rejected" int2:type="AugLoop_Text_Critique"/>
    </int2:textHash>
    <int2:textHash int2:hashCode="FglrQyHcgaFAl7" int2:id="UIAIndd1">
      <int2:state int2:value="Rejected" int2:type="AugLoop_Text_Critique"/>
    </int2:textHash>
    <int2:textHash int2:hashCode="AivfCTsGe+coeP" int2:id="Uyx56TAS">
      <int2:state int2:value="Rejected" int2:type="AugLoop_Text_Critique"/>
    </int2:textHash>
    <int2:textHash int2:hashCode="+L9JbRmNoGmrKl" int2:id="XKxbVQ0E">
      <int2:state int2:value="Rejected" int2:type="AugLoop_Text_Critique"/>
    </int2:textHash>
    <int2:textHash int2:hashCode="4t8uq8NZLEdW4+" int2:id="Xe4mjhzV">
      <int2:state int2:value="Rejected" int2:type="AugLoop_Text_Critique"/>
    </int2:textHash>
    <int2:textHash int2:hashCode="yrv37K1hFXQV6q" int2:id="daGIK6Te">
      <int2:state int2:value="Rejected" int2:type="AugLoop_Text_Critique"/>
    </int2:textHash>
    <int2:textHash int2:hashCode="06qvO1NJwLxxX+" int2:id="hQfqiJUP">
      <int2:state int2:value="Rejected" int2:type="AugLoop_Text_Critique"/>
    </int2:textHash>
    <int2:textHash int2:hashCode="n1vAC5ygHS9xa4" int2:id="jzhiBLQ2">
      <int2:state int2:value="Rejected" int2:type="AugLoop_Text_Critique"/>
    </int2:textHash>
    <int2:textHash int2:hashCode="LWFSYc6Oohkkhs" int2:id="oBNdLG3n">
      <int2:state int2:value="Rejected" int2:type="AugLoop_Text_Critique"/>
    </int2:textHash>
    <int2:textHash int2:hashCode="yvH/R1Bzrtg9r3" int2:id="qqFxCpwI">
      <int2:state int2:value="Rejected" int2:type="AugLoop_Text_Critique"/>
    </int2:textHash>
    <int2:textHash int2:hashCode="/JPIM0SfSqmNcN" int2:id="toHPZcxV">
      <int2:state int2:value="Rejected" int2:type="AugLoop_Text_Critique"/>
    </int2:textHash>
    <int2:textHash int2:hashCode="Wrvg/ruv0YuQLS" int2:id="vAftFKHK">
      <int2:state int2:value="Rejected" int2:type="AugLoop_Text_Critique"/>
    </int2:textHash>
    <int2:textHash int2:hashCode="/hW+P+KhDftTOZ" int2:id="vJzXYEfJ">
      <int2:state int2:value="Rejected" int2:type="AugLoop_Text_Critique"/>
    </int2:textHash>
    <int2:textHash int2:hashCode="lKLwvcDupdKttc" int2:id="vZfk38MX">
      <int2:state int2:value="Rejected" int2:type="AugLoop_Text_Critique"/>
    </int2:textHash>
    <int2:textHash int2:hashCode="n2AK/PzYrthdib" int2:id="wCFE0ynf">
      <int2:state int2:value="Rejected" int2:type="AugLoop_Text_Critique"/>
    </int2:textHash>
    <int2:textHash int2:hashCode="u/1s19Cn7iNEuB" int2:id="zIwZhV5i">
      <int2:state int2:value="Rejected" int2:type="AugLoop_Text_Critique"/>
    </int2:textHash>
    <int2:bookmark int2:bookmarkName="_Int_Lx4IMvCs" int2:invalidationBookmarkName="" int2:hashCode="HgHSFbwJjn9SJc" int2:id="Ze76cHqX">
      <int2:state int2:value="Rejected" int2:type="AugLoop_Text_Critique"/>
    </int2:bookmark>
    <int2:bookmark int2:bookmarkName="_Int_9vOispti" int2:invalidationBookmarkName="" int2:hashCode="kjWv0+mIAkEYYa" int2:id="Zle9scSY">
      <int2:state int2:value="Rejected" int2:type="AugLoop_Text_Critique"/>
    </int2:bookmark>
    <int2:bookmark int2:bookmarkName="_Int_wN2gwVJi" int2:invalidationBookmarkName="" int2:hashCode="3KKjJeR/dxf+gy" int2:id="ZqGeCXVl">
      <int2:state int2:value="Rejected" int2:type="AugLoop_Text_Critique"/>
    </int2:bookmark>
    <int2:bookmark int2:bookmarkName="_Int_55tXTQnz" int2:invalidationBookmarkName="" int2:hashCode="FnHRU5qPrsxp/+" int2:id="eF16sFSC">
      <int2:state int2:value="Rejected" int2:type="AugLoop_Text_Critique"/>
    </int2:bookmark>
    <int2:bookmark int2:bookmarkName="_Int_kmX9NjYV" int2:invalidationBookmarkName="" int2:hashCode="MYjvDKXDEzRXF+" int2:id="hXAQabew">
      <int2:state int2:value="Rejected" int2:type="AugLoop_Text_Critique"/>
    </int2:bookmark>
    <int2:bookmark int2:bookmarkName="_Int_9FXnzS2q" int2:invalidationBookmarkName="" int2:hashCode="MYjvDKXDEzRXF+" int2:id="qJxuC8gU">
      <int2:state int2:value="Rejected" int2:type="AugLoop_Text_Critique"/>
    </int2:bookmark>
    <int2:bookmark int2:bookmarkName="_Int_FFG06tLv" int2:invalidationBookmarkName="" int2:hashCode="zFU3wt08xysFVc" int2:id="rJLg79J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AE0"/>
    <w:multiLevelType w:val="hybridMultilevel"/>
    <w:tmpl w:val="69B4936E"/>
    <w:lvl w:ilvl="0" w:tplc="829C1388">
      <w:start w:val="1"/>
      <w:numFmt w:val="bullet"/>
      <w:lvlText w:val=""/>
      <w:lvlJc w:val="left"/>
      <w:pPr>
        <w:ind w:left="2160" w:hanging="360"/>
      </w:pPr>
      <w:rPr>
        <w:rFonts w:ascii="Symbol" w:hAnsi="Symbol"/>
      </w:rPr>
    </w:lvl>
    <w:lvl w:ilvl="1" w:tplc="BB0EBA86">
      <w:start w:val="1"/>
      <w:numFmt w:val="bullet"/>
      <w:lvlText w:val=""/>
      <w:lvlJc w:val="left"/>
      <w:pPr>
        <w:ind w:left="2160" w:hanging="360"/>
      </w:pPr>
      <w:rPr>
        <w:rFonts w:ascii="Symbol" w:hAnsi="Symbol"/>
      </w:rPr>
    </w:lvl>
    <w:lvl w:ilvl="2" w:tplc="27BEFD7E">
      <w:start w:val="1"/>
      <w:numFmt w:val="bullet"/>
      <w:lvlText w:val=""/>
      <w:lvlJc w:val="left"/>
      <w:pPr>
        <w:ind w:left="2160" w:hanging="360"/>
      </w:pPr>
      <w:rPr>
        <w:rFonts w:ascii="Symbol" w:hAnsi="Symbol"/>
      </w:rPr>
    </w:lvl>
    <w:lvl w:ilvl="3" w:tplc="62143694">
      <w:start w:val="1"/>
      <w:numFmt w:val="bullet"/>
      <w:lvlText w:val=""/>
      <w:lvlJc w:val="left"/>
      <w:pPr>
        <w:ind w:left="2160" w:hanging="360"/>
      </w:pPr>
      <w:rPr>
        <w:rFonts w:ascii="Symbol" w:hAnsi="Symbol"/>
      </w:rPr>
    </w:lvl>
    <w:lvl w:ilvl="4" w:tplc="2E968BA0">
      <w:start w:val="1"/>
      <w:numFmt w:val="bullet"/>
      <w:lvlText w:val=""/>
      <w:lvlJc w:val="left"/>
      <w:pPr>
        <w:ind w:left="2160" w:hanging="360"/>
      </w:pPr>
      <w:rPr>
        <w:rFonts w:ascii="Symbol" w:hAnsi="Symbol"/>
      </w:rPr>
    </w:lvl>
    <w:lvl w:ilvl="5" w:tplc="ED2C6D74">
      <w:start w:val="1"/>
      <w:numFmt w:val="bullet"/>
      <w:lvlText w:val=""/>
      <w:lvlJc w:val="left"/>
      <w:pPr>
        <w:ind w:left="2160" w:hanging="360"/>
      </w:pPr>
      <w:rPr>
        <w:rFonts w:ascii="Symbol" w:hAnsi="Symbol"/>
      </w:rPr>
    </w:lvl>
    <w:lvl w:ilvl="6" w:tplc="5B4E30C6">
      <w:start w:val="1"/>
      <w:numFmt w:val="bullet"/>
      <w:lvlText w:val=""/>
      <w:lvlJc w:val="left"/>
      <w:pPr>
        <w:ind w:left="2160" w:hanging="360"/>
      </w:pPr>
      <w:rPr>
        <w:rFonts w:ascii="Symbol" w:hAnsi="Symbol"/>
      </w:rPr>
    </w:lvl>
    <w:lvl w:ilvl="7" w:tplc="79DC8EFE">
      <w:start w:val="1"/>
      <w:numFmt w:val="bullet"/>
      <w:lvlText w:val=""/>
      <w:lvlJc w:val="left"/>
      <w:pPr>
        <w:ind w:left="2160" w:hanging="360"/>
      </w:pPr>
      <w:rPr>
        <w:rFonts w:ascii="Symbol" w:hAnsi="Symbol"/>
      </w:rPr>
    </w:lvl>
    <w:lvl w:ilvl="8" w:tplc="1A823D04">
      <w:start w:val="1"/>
      <w:numFmt w:val="bullet"/>
      <w:lvlText w:val=""/>
      <w:lvlJc w:val="left"/>
      <w:pPr>
        <w:ind w:left="2160" w:hanging="360"/>
      </w:pPr>
      <w:rPr>
        <w:rFonts w:ascii="Symbol" w:hAnsi="Symbol"/>
      </w:rPr>
    </w:lvl>
  </w:abstractNum>
  <w:abstractNum w:abstractNumId="1" w15:restartNumberingAfterBreak="0">
    <w:nsid w:val="3D1627EC"/>
    <w:multiLevelType w:val="hybridMultilevel"/>
    <w:tmpl w:val="614CF55E"/>
    <w:lvl w:ilvl="0" w:tplc="D13EB77E">
      <w:start w:val="1"/>
      <w:numFmt w:val="bullet"/>
      <w:lvlText w:val=""/>
      <w:lvlJc w:val="left"/>
      <w:pPr>
        <w:ind w:left="2520" w:hanging="360"/>
      </w:pPr>
      <w:rPr>
        <w:rFonts w:ascii="Symbol" w:hAnsi="Symbol"/>
      </w:rPr>
    </w:lvl>
    <w:lvl w:ilvl="1" w:tplc="06C29AA6">
      <w:start w:val="1"/>
      <w:numFmt w:val="bullet"/>
      <w:lvlText w:val=""/>
      <w:lvlJc w:val="left"/>
      <w:pPr>
        <w:ind w:left="2520" w:hanging="360"/>
      </w:pPr>
      <w:rPr>
        <w:rFonts w:ascii="Symbol" w:hAnsi="Symbol"/>
      </w:rPr>
    </w:lvl>
    <w:lvl w:ilvl="2" w:tplc="7A8CB2E4">
      <w:start w:val="1"/>
      <w:numFmt w:val="bullet"/>
      <w:lvlText w:val=""/>
      <w:lvlJc w:val="left"/>
      <w:pPr>
        <w:ind w:left="2520" w:hanging="360"/>
      </w:pPr>
      <w:rPr>
        <w:rFonts w:ascii="Symbol" w:hAnsi="Symbol"/>
      </w:rPr>
    </w:lvl>
    <w:lvl w:ilvl="3" w:tplc="4D866134">
      <w:start w:val="1"/>
      <w:numFmt w:val="bullet"/>
      <w:lvlText w:val=""/>
      <w:lvlJc w:val="left"/>
      <w:pPr>
        <w:ind w:left="2520" w:hanging="360"/>
      </w:pPr>
      <w:rPr>
        <w:rFonts w:ascii="Symbol" w:hAnsi="Symbol"/>
      </w:rPr>
    </w:lvl>
    <w:lvl w:ilvl="4" w:tplc="5FE41D9C">
      <w:start w:val="1"/>
      <w:numFmt w:val="bullet"/>
      <w:lvlText w:val=""/>
      <w:lvlJc w:val="left"/>
      <w:pPr>
        <w:ind w:left="2520" w:hanging="360"/>
      </w:pPr>
      <w:rPr>
        <w:rFonts w:ascii="Symbol" w:hAnsi="Symbol"/>
      </w:rPr>
    </w:lvl>
    <w:lvl w:ilvl="5" w:tplc="60B8EC54">
      <w:start w:val="1"/>
      <w:numFmt w:val="bullet"/>
      <w:lvlText w:val=""/>
      <w:lvlJc w:val="left"/>
      <w:pPr>
        <w:ind w:left="2520" w:hanging="360"/>
      </w:pPr>
      <w:rPr>
        <w:rFonts w:ascii="Symbol" w:hAnsi="Symbol"/>
      </w:rPr>
    </w:lvl>
    <w:lvl w:ilvl="6" w:tplc="EA44C55C">
      <w:start w:val="1"/>
      <w:numFmt w:val="bullet"/>
      <w:lvlText w:val=""/>
      <w:lvlJc w:val="left"/>
      <w:pPr>
        <w:ind w:left="2520" w:hanging="360"/>
      </w:pPr>
      <w:rPr>
        <w:rFonts w:ascii="Symbol" w:hAnsi="Symbol"/>
      </w:rPr>
    </w:lvl>
    <w:lvl w:ilvl="7" w:tplc="FF0E52DC">
      <w:start w:val="1"/>
      <w:numFmt w:val="bullet"/>
      <w:lvlText w:val=""/>
      <w:lvlJc w:val="left"/>
      <w:pPr>
        <w:ind w:left="2520" w:hanging="360"/>
      </w:pPr>
      <w:rPr>
        <w:rFonts w:ascii="Symbol" w:hAnsi="Symbol"/>
      </w:rPr>
    </w:lvl>
    <w:lvl w:ilvl="8" w:tplc="22B6EE28">
      <w:start w:val="1"/>
      <w:numFmt w:val="bullet"/>
      <w:lvlText w:val=""/>
      <w:lvlJc w:val="left"/>
      <w:pPr>
        <w:ind w:left="2520" w:hanging="360"/>
      </w:pPr>
      <w:rPr>
        <w:rFonts w:ascii="Symbol" w:hAnsi="Symbol"/>
      </w:rPr>
    </w:lvl>
  </w:abstractNum>
  <w:abstractNum w:abstractNumId="2" w15:restartNumberingAfterBreak="0">
    <w:nsid w:val="43141C9F"/>
    <w:multiLevelType w:val="hybridMultilevel"/>
    <w:tmpl w:val="906AC39E"/>
    <w:lvl w:ilvl="0" w:tplc="25D25F00">
      <w:start w:val="1"/>
      <w:numFmt w:val="bullet"/>
      <w:lvlText w:val=""/>
      <w:lvlJc w:val="left"/>
      <w:pPr>
        <w:ind w:left="2160" w:hanging="360"/>
      </w:pPr>
      <w:rPr>
        <w:rFonts w:ascii="Symbol" w:hAnsi="Symbol"/>
      </w:rPr>
    </w:lvl>
    <w:lvl w:ilvl="1" w:tplc="E4005E06">
      <w:start w:val="1"/>
      <w:numFmt w:val="bullet"/>
      <w:lvlText w:val=""/>
      <w:lvlJc w:val="left"/>
      <w:pPr>
        <w:ind w:left="2160" w:hanging="360"/>
      </w:pPr>
      <w:rPr>
        <w:rFonts w:ascii="Symbol" w:hAnsi="Symbol"/>
      </w:rPr>
    </w:lvl>
    <w:lvl w:ilvl="2" w:tplc="61B6E0AC">
      <w:start w:val="1"/>
      <w:numFmt w:val="bullet"/>
      <w:lvlText w:val=""/>
      <w:lvlJc w:val="left"/>
      <w:pPr>
        <w:ind w:left="2160" w:hanging="360"/>
      </w:pPr>
      <w:rPr>
        <w:rFonts w:ascii="Symbol" w:hAnsi="Symbol"/>
      </w:rPr>
    </w:lvl>
    <w:lvl w:ilvl="3" w:tplc="E65E55EA">
      <w:start w:val="1"/>
      <w:numFmt w:val="bullet"/>
      <w:lvlText w:val=""/>
      <w:lvlJc w:val="left"/>
      <w:pPr>
        <w:ind w:left="2160" w:hanging="360"/>
      </w:pPr>
      <w:rPr>
        <w:rFonts w:ascii="Symbol" w:hAnsi="Symbol"/>
      </w:rPr>
    </w:lvl>
    <w:lvl w:ilvl="4" w:tplc="5C1C072C">
      <w:start w:val="1"/>
      <w:numFmt w:val="bullet"/>
      <w:lvlText w:val=""/>
      <w:lvlJc w:val="left"/>
      <w:pPr>
        <w:ind w:left="2160" w:hanging="360"/>
      </w:pPr>
      <w:rPr>
        <w:rFonts w:ascii="Symbol" w:hAnsi="Symbol"/>
      </w:rPr>
    </w:lvl>
    <w:lvl w:ilvl="5" w:tplc="9216B9D2">
      <w:start w:val="1"/>
      <w:numFmt w:val="bullet"/>
      <w:lvlText w:val=""/>
      <w:lvlJc w:val="left"/>
      <w:pPr>
        <w:ind w:left="2160" w:hanging="360"/>
      </w:pPr>
      <w:rPr>
        <w:rFonts w:ascii="Symbol" w:hAnsi="Symbol"/>
      </w:rPr>
    </w:lvl>
    <w:lvl w:ilvl="6" w:tplc="2DFC7D8C">
      <w:start w:val="1"/>
      <w:numFmt w:val="bullet"/>
      <w:lvlText w:val=""/>
      <w:lvlJc w:val="left"/>
      <w:pPr>
        <w:ind w:left="2160" w:hanging="360"/>
      </w:pPr>
      <w:rPr>
        <w:rFonts w:ascii="Symbol" w:hAnsi="Symbol"/>
      </w:rPr>
    </w:lvl>
    <w:lvl w:ilvl="7" w:tplc="DABE47F0">
      <w:start w:val="1"/>
      <w:numFmt w:val="bullet"/>
      <w:lvlText w:val=""/>
      <w:lvlJc w:val="left"/>
      <w:pPr>
        <w:ind w:left="2160" w:hanging="360"/>
      </w:pPr>
      <w:rPr>
        <w:rFonts w:ascii="Symbol" w:hAnsi="Symbol"/>
      </w:rPr>
    </w:lvl>
    <w:lvl w:ilvl="8" w:tplc="4C6E9A84">
      <w:start w:val="1"/>
      <w:numFmt w:val="bullet"/>
      <w:lvlText w:val=""/>
      <w:lvlJc w:val="left"/>
      <w:pPr>
        <w:ind w:left="2160" w:hanging="360"/>
      </w:pPr>
      <w:rPr>
        <w:rFonts w:ascii="Symbol" w:hAnsi="Symbol"/>
      </w:rPr>
    </w:lvl>
  </w:abstractNum>
  <w:abstractNum w:abstractNumId="3" w15:restartNumberingAfterBreak="0">
    <w:nsid w:val="50B87A41"/>
    <w:multiLevelType w:val="multilevel"/>
    <w:tmpl w:val="A4DE4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D83DD5"/>
    <w:multiLevelType w:val="hybridMultilevel"/>
    <w:tmpl w:val="A066F43E"/>
    <w:lvl w:ilvl="0" w:tplc="93C80C76">
      <w:start w:val="1"/>
      <w:numFmt w:val="bullet"/>
      <w:lvlText w:val=""/>
      <w:lvlJc w:val="left"/>
      <w:pPr>
        <w:ind w:left="2160" w:hanging="360"/>
      </w:pPr>
      <w:rPr>
        <w:rFonts w:ascii="Symbol" w:hAnsi="Symbol"/>
      </w:rPr>
    </w:lvl>
    <w:lvl w:ilvl="1" w:tplc="5C4A16FE">
      <w:start w:val="1"/>
      <w:numFmt w:val="bullet"/>
      <w:lvlText w:val=""/>
      <w:lvlJc w:val="left"/>
      <w:pPr>
        <w:ind w:left="2160" w:hanging="360"/>
      </w:pPr>
      <w:rPr>
        <w:rFonts w:ascii="Symbol" w:hAnsi="Symbol"/>
      </w:rPr>
    </w:lvl>
    <w:lvl w:ilvl="2" w:tplc="5CBAC7BC">
      <w:start w:val="1"/>
      <w:numFmt w:val="bullet"/>
      <w:lvlText w:val=""/>
      <w:lvlJc w:val="left"/>
      <w:pPr>
        <w:ind w:left="2160" w:hanging="360"/>
      </w:pPr>
      <w:rPr>
        <w:rFonts w:ascii="Symbol" w:hAnsi="Symbol"/>
      </w:rPr>
    </w:lvl>
    <w:lvl w:ilvl="3" w:tplc="1F44E91E">
      <w:start w:val="1"/>
      <w:numFmt w:val="bullet"/>
      <w:lvlText w:val=""/>
      <w:lvlJc w:val="left"/>
      <w:pPr>
        <w:ind w:left="2160" w:hanging="360"/>
      </w:pPr>
      <w:rPr>
        <w:rFonts w:ascii="Symbol" w:hAnsi="Symbol"/>
      </w:rPr>
    </w:lvl>
    <w:lvl w:ilvl="4" w:tplc="A17C84A6">
      <w:start w:val="1"/>
      <w:numFmt w:val="bullet"/>
      <w:lvlText w:val=""/>
      <w:lvlJc w:val="left"/>
      <w:pPr>
        <w:ind w:left="2160" w:hanging="360"/>
      </w:pPr>
      <w:rPr>
        <w:rFonts w:ascii="Symbol" w:hAnsi="Symbol"/>
      </w:rPr>
    </w:lvl>
    <w:lvl w:ilvl="5" w:tplc="6BCE58BE">
      <w:start w:val="1"/>
      <w:numFmt w:val="bullet"/>
      <w:lvlText w:val=""/>
      <w:lvlJc w:val="left"/>
      <w:pPr>
        <w:ind w:left="2160" w:hanging="360"/>
      </w:pPr>
      <w:rPr>
        <w:rFonts w:ascii="Symbol" w:hAnsi="Symbol"/>
      </w:rPr>
    </w:lvl>
    <w:lvl w:ilvl="6" w:tplc="F2CE569A">
      <w:start w:val="1"/>
      <w:numFmt w:val="bullet"/>
      <w:lvlText w:val=""/>
      <w:lvlJc w:val="left"/>
      <w:pPr>
        <w:ind w:left="2160" w:hanging="360"/>
      </w:pPr>
      <w:rPr>
        <w:rFonts w:ascii="Symbol" w:hAnsi="Symbol"/>
      </w:rPr>
    </w:lvl>
    <w:lvl w:ilvl="7" w:tplc="EBB4FFDC">
      <w:start w:val="1"/>
      <w:numFmt w:val="bullet"/>
      <w:lvlText w:val=""/>
      <w:lvlJc w:val="left"/>
      <w:pPr>
        <w:ind w:left="2160" w:hanging="360"/>
      </w:pPr>
      <w:rPr>
        <w:rFonts w:ascii="Symbol" w:hAnsi="Symbol"/>
      </w:rPr>
    </w:lvl>
    <w:lvl w:ilvl="8" w:tplc="322A0272">
      <w:start w:val="1"/>
      <w:numFmt w:val="bullet"/>
      <w:lvlText w:val=""/>
      <w:lvlJc w:val="left"/>
      <w:pPr>
        <w:ind w:left="2160" w:hanging="360"/>
      </w:pPr>
      <w:rPr>
        <w:rFonts w:ascii="Symbol" w:hAnsi="Symbol"/>
      </w:rPr>
    </w:lvl>
  </w:abstractNum>
  <w:abstractNum w:abstractNumId="5" w15:restartNumberingAfterBreak="0">
    <w:nsid w:val="533D1B81"/>
    <w:multiLevelType w:val="hybridMultilevel"/>
    <w:tmpl w:val="D122C086"/>
    <w:lvl w:ilvl="0" w:tplc="8DAC988E">
      <w:start w:val="1"/>
      <w:numFmt w:val="bullet"/>
      <w:lvlText w:val=""/>
      <w:lvlJc w:val="left"/>
      <w:pPr>
        <w:ind w:left="2160" w:hanging="360"/>
      </w:pPr>
      <w:rPr>
        <w:rFonts w:ascii="Symbol" w:hAnsi="Symbol"/>
      </w:rPr>
    </w:lvl>
    <w:lvl w:ilvl="1" w:tplc="10AAC57A">
      <w:start w:val="1"/>
      <w:numFmt w:val="bullet"/>
      <w:lvlText w:val=""/>
      <w:lvlJc w:val="left"/>
      <w:pPr>
        <w:ind w:left="2160" w:hanging="360"/>
      </w:pPr>
      <w:rPr>
        <w:rFonts w:ascii="Symbol" w:hAnsi="Symbol"/>
      </w:rPr>
    </w:lvl>
    <w:lvl w:ilvl="2" w:tplc="9250A2BC">
      <w:start w:val="1"/>
      <w:numFmt w:val="bullet"/>
      <w:lvlText w:val=""/>
      <w:lvlJc w:val="left"/>
      <w:pPr>
        <w:ind w:left="2160" w:hanging="360"/>
      </w:pPr>
      <w:rPr>
        <w:rFonts w:ascii="Symbol" w:hAnsi="Symbol"/>
      </w:rPr>
    </w:lvl>
    <w:lvl w:ilvl="3" w:tplc="B93EF9D8">
      <w:start w:val="1"/>
      <w:numFmt w:val="bullet"/>
      <w:lvlText w:val=""/>
      <w:lvlJc w:val="left"/>
      <w:pPr>
        <w:ind w:left="2160" w:hanging="360"/>
      </w:pPr>
      <w:rPr>
        <w:rFonts w:ascii="Symbol" w:hAnsi="Symbol"/>
      </w:rPr>
    </w:lvl>
    <w:lvl w:ilvl="4" w:tplc="59F8FB3C">
      <w:start w:val="1"/>
      <w:numFmt w:val="bullet"/>
      <w:lvlText w:val=""/>
      <w:lvlJc w:val="left"/>
      <w:pPr>
        <w:ind w:left="2160" w:hanging="360"/>
      </w:pPr>
      <w:rPr>
        <w:rFonts w:ascii="Symbol" w:hAnsi="Symbol"/>
      </w:rPr>
    </w:lvl>
    <w:lvl w:ilvl="5" w:tplc="F81AB69A">
      <w:start w:val="1"/>
      <w:numFmt w:val="bullet"/>
      <w:lvlText w:val=""/>
      <w:lvlJc w:val="left"/>
      <w:pPr>
        <w:ind w:left="2160" w:hanging="360"/>
      </w:pPr>
      <w:rPr>
        <w:rFonts w:ascii="Symbol" w:hAnsi="Symbol"/>
      </w:rPr>
    </w:lvl>
    <w:lvl w:ilvl="6" w:tplc="C688F226">
      <w:start w:val="1"/>
      <w:numFmt w:val="bullet"/>
      <w:lvlText w:val=""/>
      <w:lvlJc w:val="left"/>
      <w:pPr>
        <w:ind w:left="2160" w:hanging="360"/>
      </w:pPr>
      <w:rPr>
        <w:rFonts w:ascii="Symbol" w:hAnsi="Symbol"/>
      </w:rPr>
    </w:lvl>
    <w:lvl w:ilvl="7" w:tplc="1D34CB6E">
      <w:start w:val="1"/>
      <w:numFmt w:val="bullet"/>
      <w:lvlText w:val=""/>
      <w:lvlJc w:val="left"/>
      <w:pPr>
        <w:ind w:left="2160" w:hanging="360"/>
      </w:pPr>
      <w:rPr>
        <w:rFonts w:ascii="Symbol" w:hAnsi="Symbol"/>
      </w:rPr>
    </w:lvl>
    <w:lvl w:ilvl="8" w:tplc="F72ACED4">
      <w:start w:val="1"/>
      <w:numFmt w:val="bullet"/>
      <w:lvlText w:val=""/>
      <w:lvlJc w:val="left"/>
      <w:pPr>
        <w:ind w:left="2160" w:hanging="360"/>
      </w:pPr>
      <w:rPr>
        <w:rFonts w:ascii="Symbol" w:hAnsi="Symbol"/>
      </w:rPr>
    </w:lvl>
  </w:abstractNum>
  <w:abstractNum w:abstractNumId="6" w15:restartNumberingAfterBreak="0">
    <w:nsid w:val="6C915381"/>
    <w:multiLevelType w:val="hybridMultilevel"/>
    <w:tmpl w:val="64B26450"/>
    <w:lvl w:ilvl="0" w:tplc="BACCBBEA">
      <w:start w:val="1"/>
      <w:numFmt w:val="bullet"/>
      <w:lvlText w:val=""/>
      <w:lvlJc w:val="left"/>
      <w:pPr>
        <w:ind w:left="2160" w:hanging="360"/>
      </w:pPr>
      <w:rPr>
        <w:rFonts w:ascii="Symbol" w:hAnsi="Symbol"/>
      </w:rPr>
    </w:lvl>
    <w:lvl w:ilvl="1" w:tplc="7464A628">
      <w:start w:val="1"/>
      <w:numFmt w:val="bullet"/>
      <w:lvlText w:val=""/>
      <w:lvlJc w:val="left"/>
      <w:pPr>
        <w:ind w:left="2160" w:hanging="360"/>
      </w:pPr>
      <w:rPr>
        <w:rFonts w:ascii="Symbol" w:hAnsi="Symbol"/>
      </w:rPr>
    </w:lvl>
    <w:lvl w:ilvl="2" w:tplc="F0B02464">
      <w:start w:val="1"/>
      <w:numFmt w:val="bullet"/>
      <w:lvlText w:val=""/>
      <w:lvlJc w:val="left"/>
      <w:pPr>
        <w:ind w:left="2160" w:hanging="360"/>
      </w:pPr>
      <w:rPr>
        <w:rFonts w:ascii="Symbol" w:hAnsi="Symbol"/>
      </w:rPr>
    </w:lvl>
    <w:lvl w:ilvl="3" w:tplc="64AED3F8">
      <w:start w:val="1"/>
      <w:numFmt w:val="bullet"/>
      <w:lvlText w:val=""/>
      <w:lvlJc w:val="left"/>
      <w:pPr>
        <w:ind w:left="2160" w:hanging="360"/>
      </w:pPr>
      <w:rPr>
        <w:rFonts w:ascii="Symbol" w:hAnsi="Symbol"/>
      </w:rPr>
    </w:lvl>
    <w:lvl w:ilvl="4" w:tplc="46D27BC4">
      <w:start w:val="1"/>
      <w:numFmt w:val="bullet"/>
      <w:lvlText w:val=""/>
      <w:lvlJc w:val="left"/>
      <w:pPr>
        <w:ind w:left="2160" w:hanging="360"/>
      </w:pPr>
      <w:rPr>
        <w:rFonts w:ascii="Symbol" w:hAnsi="Symbol"/>
      </w:rPr>
    </w:lvl>
    <w:lvl w:ilvl="5" w:tplc="A13C1FDE">
      <w:start w:val="1"/>
      <w:numFmt w:val="bullet"/>
      <w:lvlText w:val=""/>
      <w:lvlJc w:val="left"/>
      <w:pPr>
        <w:ind w:left="2160" w:hanging="360"/>
      </w:pPr>
      <w:rPr>
        <w:rFonts w:ascii="Symbol" w:hAnsi="Symbol"/>
      </w:rPr>
    </w:lvl>
    <w:lvl w:ilvl="6" w:tplc="DC9AA99A">
      <w:start w:val="1"/>
      <w:numFmt w:val="bullet"/>
      <w:lvlText w:val=""/>
      <w:lvlJc w:val="left"/>
      <w:pPr>
        <w:ind w:left="2160" w:hanging="360"/>
      </w:pPr>
      <w:rPr>
        <w:rFonts w:ascii="Symbol" w:hAnsi="Symbol"/>
      </w:rPr>
    </w:lvl>
    <w:lvl w:ilvl="7" w:tplc="ED0453BA">
      <w:start w:val="1"/>
      <w:numFmt w:val="bullet"/>
      <w:lvlText w:val=""/>
      <w:lvlJc w:val="left"/>
      <w:pPr>
        <w:ind w:left="2160" w:hanging="360"/>
      </w:pPr>
      <w:rPr>
        <w:rFonts w:ascii="Symbol" w:hAnsi="Symbol"/>
      </w:rPr>
    </w:lvl>
    <w:lvl w:ilvl="8" w:tplc="919A26EE">
      <w:start w:val="1"/>
      <w:numFmt w:val="bullet"/>
      <w:lvlText w:val=""/>
      <w:lvlJc w:val="left"/>
      <w:pPr>
        <w:ind w:left="2160" w:hanging="360"/>
      </w:pPr>
      <w:rPr>
        <w:rFonts w:ascii="Symbol" w:hAnsi="Symbol"/>
      </w:rPr>
    </w:lvl>
  </w:abstractNum>
  <w:num w:numId="1" w16cid:durableId="1778136398">
    <w:abstractNumId w:val="3"/>
  </w:num>
  <w:num w:numId="2" w16cid:durableId="1619141685">
    <w:abstractNumId w:val="6"/>
  </w:num>
  <w:num w:numId="3" w16cid:durableId="384331584">
    <w:abstractNumId w:val="0"/>
  </w:num>
  <w:num w:numId="4" w16cid:durableId="128865520">
    <w:abstractNumId w:val="4"/>
  </w:num>
  <w:num w:numId="5" w16cid:durableId="782263728">
    <w:abstractNumId w:val="2"/>
  </w:num>
  <w:num w:numId="6" w16cid:durableId="79257956">
    <w:abstractNumId w:val="1"/>
  </w:num>
  <w:num w:numId="7" w16cid:durableId="56125955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US" w:vendorID="64" w:dllVersion="0" w:nlCheck="1" w:checkStyle="0"/>
  <w:proofState w:spelling="clean" w:grammar="clean"/>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43E"/>
    <w:rsid w:val="000003BA"/>
    <w:rsid w:val="000008CA"/>
    <w:rsid w:val="00000974"/>
    <w:rsid w:val="00000A39"/>
    <w:rsid w:val="00000A51"/>
    <w:rsid w:val="00000B92"/>
    <w:rsid w:val="00000C04"/>
    <w:rsid w:val="00000C91"/>
    <w:rsid w:val="00000E3B"/>
    <w:rsid w:val="00001150"/>
    <w:rsid w:val="00001154"/>
    <w:rsid w:val="00001403"/>
    <w:rsid w:val="000015D3"/>
    <w:rsid w:val="0000169B"/>
    <w:rsid w:val="000017DC"/>
    <w:rsid w:val="00001918"/>
    <w:rsid w:val="00001ABF"/>
    <w:rsid w:val="00001B13"/>
    <w:rsid w:val="00001B96"/>
    <w:rsid w:val="00001E7D"/>
    <w:rsid w:val="00001F37"/>
    <w:rsid w:val="00002059"/>
    <w:rsid w:val="000026A4"/>
    <w:rsid w:val="00002720"/>
    <w:rsid w:val="000027B0"/>
    <w:rsid w:val="00002AD8"/>
    <w:rsid w:val="00002BA7"/>
    <w:rsid w:val="00002DE6"/>
    <w:rsid w:val="00003276"/>
    <w:rsid w:val="0000331F"/>
    <w:rsid w:val="0000341B"/>
    <w:rsid w:val="000034AB"/>
    <w:rsid w:val="000035F0"/>
    <w:rsid w:val="000037A9"/>
    <w:rsid w:val="0000391D"/>
    <w:rsid w:val="00003939"/>
    <w:rsid w:val="00003B68"/>
    <w:rsid w:val="00003C9D"/>
    <w:rsid w:val="000044E4"/>
    <w:rsid w:val="00004738"/>
    <w:rsid w:val="000048C4"/>
    <w:rsid w:val="000048F8"/>
    <w:rsid w:val="0000504F"/>
    <w:rsid w:val="000050DF"/>
    <w:rsid w:val="00005463"/>
    <w:rsid w:val="00005508"/>
    <w:rsid w:val="000055E5"/>
    <w:rsid w:val="000055FF"/>
    <w:rsid w:val="0000571E"/>
    <w:rsid w:val="00005B60"/>
    <w:rsid w:val="00005F1A"/>
    <w:rsid w:val="0000633A"/>
    <w:rsid w:val="00006467"/>
    <w:rsid w:val="0000648E"/>
    <w:rsid w:val="0000662E"/>
    <w:rsid w:val="00006964"/>
    <w:rsid w:val="00006DC8"/>
    <w:rsid w:val="00007280"/>
    <w:rsid w:val="00007487"/>
    <w:rsid w:val="0000775C"/>
    <w:rsid w:val="00007870"/>
    <w:rsid w:val="00007B6C"/>
    <w:rsid w:val="00007B82"/>
    <w:rsid w:val="00007DAF"/>
    <w:rsid w:val="00007ED3"/>
    <w:rsid w:val="0000CBDE"/>
    <w:rsid w:val="00010019"/>
    <w:rsid w:val="0001013C"/>
    <w:rsid w:val="00010669"/>
    <w:rsid w:val="000106CD"/>
    <w:rsid w:val="000106F8"/>
    <w:rsid w:val="0001076A"/>
    <w:rsid w:val="00010864"/>
    <w:rsid w:val="00010AEB"/>
    <w:rsid w:val="00010B3F"/>
    <w:rsid w:val="00010EEB"/>
    <w:rsid w:val="00010FA0"/>
    <w:rsid w:val="00010FD2"/>
    <w:rsid w:val="00011259"/>
    <w:rsid w:val="000112FA"/>
    <w:rsid w:val="00011366"/>
    <w:rsid w:val="00011442"/>
    <w:rsid w:val="000114C8"/>
    <w:rsid w:val="0001154E"/>
    <w:rsid w:val="000115A1"/>
    <w:rsid w:val="0001176C"/>
    <w:rsid w:val="00011D56"/>
    <w:rsid w:val="00011E6C"/>
    <w:rsid w:val="0001229B"/>
    <w:rsid w:val="000123E4"/>
    <w:rsid w:val="000123F5"/>
    <w:rsid w:val="00012986"/>
    <w:rsid w:val="00012D1F"/>
    <w:rsid w:val="00012D7E"/>
    <w:rsid w:val="000130C5"/>
    <w:rsid w:val="0001311E"/>
    <w:rsid w:val="00013144"/>
    <w:rsid w:val="0001336E"/>
    <w:rsid w:val="0001339F"/>
    <w:rsid w:val="00013639"/>
    <w:rsid w:val="00013797"/>
    <w:rsid w:val="000138AB"/>
    <w:rsid w:val="00013B03"/>
    <w:rsid w:val="00013ED6"/>
    <w:rsid w:val="000142C3"/>
    <w:rsid w:val="0001473F"/>
    <w:rsid w:val="000147D1"/>
    <w:rsid w:val="000148E4"/>
    <w:rsid w:val="00014AE5"/>
    <w:rsid w:val="00014B6F"/>
    <w:rsid w:val="00014DC7"/>
    <w:rsid w:val="0001503F"/>
    <w:rsid w:val="00015337"/>
    <w:rsid w:val="00015390"/>
    <w:rsid w:val="00015447"/>
    <w:rsid w:val="0001568B"/>
    <w:rsid w:val="00015762"/>
    <w:rsid w:val="00015836"/>
    <w:rsid w:val="00015A2E"/>
    <w:rsid w:val="00015D07"/>
    <w:rsid w:val="00015DFB"/>
    <w:rsid w:val="0001619B"/>
    <w:rsid w:val="000162B5"/>
    <w:rsid w:val="000165C7"/>
    <w:rsid w:val="00016876"/>
    <w:rsid w:val="00016989"/>
    <w:rsid w:val="00016B58"/>
    <w:rsid w:val="00017101"/>
    <w:rsid w:val="000171CA"/>
    <w:rsid w:val="00017595"/>
    <w:rsid w:val="0001760F"/>
    <w:rsid w:val="000179E0"/>
    <w:rsid w:val="00017AAC"/>
    <w:rsid w:val="00017C81"/>
    <w:rsid w:val="00017FB2"/>
    <w:rsid w:val="00020245"/>
    <w:rsid w:val="0002029F"/>
    <w:rsid w:val="000206DF"/>
    <w:rsid w:val="00020796"/>
    <w:rsid w:val="000207A8"/>
    <w:rsid w:val="0002096E"/>
    <w:rsid w:val="00020A9D"/>
    <w:rsid w:val="00020CF8"/>
    <w:rsid w:val="00021041"/>
    <w:rsid w:val="000212FA"/>
    <w:rsid w:val="00021363"/>
    <w:rsid w:val="00021C8B"/>
    <w:rsid w:val="00022317"/>
    <w:rsid w:val="00022342"/>
    <w:rsid w:val="00022650"/>
    <w:rsid w:val="0002272B"/>
    <w:rsid w:val="0002289E"/>
    <w:rsid w:val="000229CA"/>
    <w:rsid w:val="000229F0"/>
    <w:rsid w:val="00022D30"/>
    <w:rsid w:val="00022E7C"/>
    <w:rsid w:val="00022FB2"/>
    <w:rsid w:val="00023046"/>
    <w:rsid w:val="00023049"/>
    <w:rsid w:val="00023126"/>
    <w:rsid w:val="000235CD"/>
    <w:rsid w:val="0002390F"/>
    <w:rsid w:val="00023A04"/>
    <w:rsid w:val="00023B44"/>
    <w:rsid w:val="00023CF6"/>
    <w:rsid w:val="00023DA4"/>
    <w:rsid w:val="00023E69"/>
    <w:rsid w:val="00023F93"/>
    <w:rsid w:val="000242A4"/>
    <w:rsid w:val="00024504"/>
    <w:rsid w:val="000245E2"/>
    <w:rsid w:val="00024600"/>
    <w:rsid w:val="00024625"/>
    <w:rsid w:val="00024D3C"/>
    <w:rsid w:val="00024DE5"/>
    <w:rsid w:val="00024F0C"/>
    <w:rsid w:val="00025094"/>
    <w:rsid w:val="000250DE"/>
    <w:rsid w:val="000251E2"/>
    <w:rsid w:val="000255F1"/>
    <w:rsid w:val="0002590F"/>
    <w:rsid w:val="000259A7"/>
    <w:rsid w:val="00025A7A"/>
    <w:rsid w:val="00025CE6"/>
    <w:rsid w:val="00025D6C"/>
    <w:rsid w:val="00026314"/>
    <w:rsid w:val="00026603"/>
    <w:rsid w:val="000266F0"/>
    <w:rsid w:val="0002699C"/>
    <w:rsid w:val="000269A6"/>
    <w:rsid w:val="000269CF"/>
    <w:rsid w:val="00026B39"/>
    <w:rsid w:val="00026CDA"/>
    <w:rsid w:val="00026E2C"/>
    <w:rsid w:val="00027116"/>
    <w:rsid w:val="000271F4"/>
    <w:rsid w:val="00027250"/>
    <w:rsid w:val="0002728A"/>
    <w:rsid w:val="000273E0"/>
    <w:rsid w:val="0002744C"/>
    <w:rsid w:val="000274B5"/>
    <w:rsid w:val="00027581"/>
    <w:rsid w:val="00027675"/>
    <w:rsid w:val="000278E1"/>
    <w:rsid w:val="00027C83"/>
    <w:rsid w:val="00027D62"/>
    <w:rsid w:val="00030585"/>
    <w:rsid w:val="00030A4E"/>
    <w:rsid w:val="00030A59"/>
    <w:rsid w:val="00030C83"/>
    <w:rsid w:val="00030D18"/>
    <w:rsid w:val="00030F7F"/>
    <w:rsid w:val="00031326"/>
    <w:rsid w:val="00031518"/>
    <w:rsid w:val="00031704"/>
    <w:rsid w:val="00031C77"/>
    <w:rsid w:val="00031CFB"/>
    <w:rsid w:val="00031D4B"/>
    <w:rsid w:val="00031F0A"/>
    <w:rsid w:val="00032019"/>
    <w:rsid w:val="00032132"/>
    <w:rsid w:val="0003229B"/>
    <w:rsid w:val="0003230F"/>
    <w:rsid w:val="0003234A"/>
    <w:rsid w:val="0003235B"/>
    <w:rsid w:val="00032768"/>
    <w:rsid w:val="0003285B"/>
    <w:rsid w:val="00032B65"/>
    <w:rsid w:val="000334D1"/>
    <w:rsid w:val="00033714"/>
    <w:rsid w:val="00033743"/>
    <w:rsid w:val="00033B30"/>
    <w:rsid w:val="00034075"/>
    <w:rsid w:val="00034491"/>
    <w:rsid w:val="00034525"/>
    <w:rsid w:val="000345A0"/>
    <w:rsid w:val="000346EC"/>
    <w:rsid w:val="000347CB"/>
    <w:rsid w:val="00034C15"/>
    <w:rsid w:val="00034FA3"/>
    <w:rsid w:val="0003506E"/>
    <w:rsid w:val="00035102"/>
    <w:rsid w:val="00035332"/>
    <w:rsid w:val="00035533"/>
    <w:rsid w:val="000355CC"/>
    <w:rsid w:val="0003567F"/>
    <w:rsid w:val="00035732"/>
    <w:rsid w:val="00035BD8"/>
    <w:rsid w:val="00035E44"/>
    <w:rsid w:val="00035EBD"/>
    <w:rsid w:val="00036094"/>
    <w:rsid w:val="00036509"/>
    <w:rsid w:val="00036570"/>
    <w:rsid w:val="000365DC"/>
    <w:rsid w:val="000367BA"/>
    <w:rsid w:val="00036993"/>
    <w:rsid w:val="00036AAB"/>
    <w:rsid w:val="00036CCF"/>
    <w:rsid w:val="00036CFE"/>
    <w:rsid w:val="00036E7B"/>
    <w:rsid w:val="00036F3D"/>
    <w:rsid w:val="00036FB4"/>
    <w:rsid w:val="00037044"/>
    <w:rsid w:val="00037106"/>
    <w:rsid w:val="00037163"/>
    <w:rsid w:val="000372E7"/>
    <w:rsid w:val="0003733F"/>
    <w:rsid w:val="000374B9"/>
    <w:rsid w:val="00037514"/>
    <w:rsid w:val="0003788C"/>
    <w:rsid w:val="000378F0"/>
    <w:rsid w:val="00037A3A"/>
    <w:rsid w:val="00037AA2"/>
    <w:rsid w:val="00037ECA"/>
    <w:rsid w:val="00040431"/>
    <w:rsid w:val="000404D2"/>
    <w:rsid w:val="0004068D"/>
    <w:rsid w:val="0004069E"/>
    <w:rsid w:val="00040895"/>
    <w:rsid w:val="00040AE3"/>
    <w:rsid w:val="00040BAD"/>
    <w:rsid w:val="000410F3"/>
    <w:rsid w:val="00041152"/>
    <w:rsid w:val="0004115F"/>
    <w:rsid w:val="000413C9"/>
    <w:rsid w:val="00041650"/>
    <w:rsid w:val="00041699"/>
    <w:rsid w:val="00041732"/>
    <w:rsid w:val="0004173F"/>
    <w:rsid w:val="00041C9E"/>
    <w:rsid w:val="00041CA3"/>
    <w:rsid w:val="00041CCF"/>
    <w:rsid w:val="00041E2F"/>
    <w:rsid w:val="00041E84"/>
    <w:rsid w:val="00041E88"/>
    <w:rsid w:val="00042197"/>
    <w:rsid w:val="00042C46"/>
    <w:rsid w:val="00042DC2"/>
    <w:rsid w:val="00042FAC"/>
    <w:rsid w:val="00042FDE"/>
    <w:rsid w:val="000433EA"/>
    <w:rsid w:val="0004352B"/>
    <w:rsid w:val="00043761"/>
    <w:rsid w:val="00043AA0"/>
    <w:rsid w:val="00043B59"/>
    <w:rsid w:val="00043D6D"/>
    <w:rsid w:val="00043FA6"/>
    <w:rsid w:val="000443F7"/>
    <w:rsid w:val="0004482A"/>
    <w:rsid w:val="0004483E"/>
    <w:rsid w:val="00044880"/>
    <w:rsid w:val="000448F0"/>
    <w:rsid w:val="0004498A"/>
    <w:rsid w:val="00044C85"/>
    <w:rsid w:val="00044FA1"/>
    <w:rsid w:val="00045535"/>
    <w:rsid w:val="0004558D"/>
    <w:rsid w:val="00045598"/>
    <w:rsid w:val="00045743"/>
    <w:rsid w:val="000457A3"/>
    <w:rsid w:val="0004585E"/>
    <w:rsid w:val="0004594C"/>
    <w:rsid w:val="00045A30"/>
    <w:rsid w:val="00045B51"/>
    <w:rsid w:val="00045DF3"/>
    <w:rsid w:val="00045E07"/>
    <w:rsid w:val="000462C0"/>
    <w:rsid w:val="0004636A"/>
    <w:rsid w:val="000463BD"/>
    <w:rsid w:val="000466D0"/>
    <w:rsid w:val="00046AD7"/>
    <w:rsid w:val="00046CD3"/>
    <w:rsid w:val="00046DBE"/>
    <w:rsid w:val="00047127"/>
    <w:rsid w:val="000472A2"/>
    <w:rsid w:val="0004743F"/>
    <w:rsid w:val="000474B2"/>
    <w:rsid w:val="00047800"/>
    <w:rsid w:val="0004792C"/>
    <w:rsid w:val="00047C80"/>
    <w:rsid w:val="00047F8C"/>
    <w:rsid w:val="000502BE"/>
    <w:rsid w:val="000503D8"/>
    <w:rsid w:val="0005048B"/>
    <w:rsid w:val="000504AE"/>
    <w:rsid w:val="00050510"/>
    <w:rsid w:val="00050613"/>
    <w:rsid w:val="00050633"/>
    <w:rsid w:val="000506BB"/>
    <w:rsid w:val="00050A8E"/>
    <w:rsid w:val="00050D22"/>
    <w:rsid w:val="00050D25"/>
    <w:rsid w:val="00050DD8"/>
    <w:rsid w:val="000514C7"/>
    <w:rsid w:val="000514F2"/>
    <w:rsid w:val="00051529"/>
    <w:rsid w:val="00051573"/>
    <w:rsid w:val="00051672"/>
    <w:rsid w:val="00051E3F"/>
    <w:rsid w:val="00051E52"/>
    <w:rsid w:val="00052192"/>
    <w:rsid w:val="0005280A"/>
    <w:rsid w:val="00052813"/>
    <w:rsid w:val="0005281C"/>
    <w:rsid w:val="00052AC1"/>
    <w:rsid w:val="00052CF4"/>
    <w:rsid w:val="00052DE4"/>
    <w:rsid w:val="00053013"/>
    <w:rsid w:val="0005355C"/>
    <w:rsid w:val="000537E2"/>
    <w:rsid w:val="000537E8"/>
    <w:rsid w:val="00053AD3"/>
    <w:rsid w:val="00053AEA"/>
    <w:rsid w:val="00053C0A"/>
    <w:rsid w:val="00053CBB"/>
    <w:rsid w:val="00053E12"/>
    <w:rsid w:val="00053F6F"/>
    <w:rsid w:val="00054079"/>
    <w:rsid w:val="000541C8"/>
    <w:rsid w:val="000541CE"/>
    <w:rsid w:val="00054218"/>
    <w:rsid w:val="000543A6"/>
    <w:rsid w:val="000544A5"/>
    <w:rsid w:val="000546C5"/>
    <w:rsid w:val="000547B1"/>
    <w:rsid w:val="000547E0"/>
    <w:rsid w:val="000548ED"/>
    <w:rsid w:val="00054A3D"/>
    <w:rsid w:val="00054AFD"/>
    <w:rsid w:val="00054CD3"/>
    <w:rsid w:val="00054E6E"/>
    <w:rsid w:val="00054FF0"/>
    <w:rsid w:val="00055352"/>
    <w:rsid w:val="000553AF"/>
    <w:rsid w:val="000557F6"/>
    <w:rsid w:val="0005596A"/>
    <w:rsid w:val="000559FB"/>
    <w:rsid w:val="00055A99"/>
    <w:rsid w:val="00055B2B"/>
    <w:rsid w:val="00055FD5"/>
    <w:rsid w:val="00056078"/>
    <w:rsid w:val="000563AA"/>
    <w:rsid w:val="0005646E"/>
    <w:rsid w:val="0005648A"/>
    <w:rsid w:val="000564B6"/>
    <w:rsid w:val="00056636"/>
    <w:rsid w:val="00056A76"/>
    <w:rsid w:val="00056B10"/>
    <w:rsid w:val="00056BB8"/>
    <w:rsid w:val="00056E0D"/>
    <w:rsid w:val="00056F50"/>
    <w:rsid w:val="00056F6F"/>
    <w:rsid w:val="0005723C"/>
    <w:rsid w:val="000574BE"/>
    <w:rsid w:val="000574EB"/>
    <w:rsid w:val="000576DB"/>
    <w:rsid w:val="00057947"/>
    <w:rsid w:val="00057BC5"/>
    <w:rsid w:val="00057CDB"/>
    <w:rsid w:val="00057CE3"/>
    <w:rsid w:val="00060004"/>
    <w:rsid w:val="000601B8"/>
    <w:rsid w:val="000604FC"/>
    <w:rsid w:val="000608D4"/>
    <w:rsid w:val="0006092D"/>
    <w:rsid w:val="00060F09"/>
    <w:rsid w:val="00061251"/>
    <w:rsid w:val="000612D1"/>
    <w:rsid w:val="000613C8"/>
    <w:rsid w:val="0006166F"/>
    <w:rsid w:val="00061833"/>
    <w:rsid w:val="00061892"/>
    <w:rsid w:val="00061898"/>
    <w:rsid w:val="00061C73"/>
    <w:rsid w:val="000627DB"/>
    <w:rsid w:val="00062A96"/>
    <w:rsid w:val="00062B50"/>
    <w:rsid w:val="00062C09"/>
    <w:rsid w:val="00062CEA"/>
    <w:rsid w:val="00062D65"/>
    <w:rsid w:val="00062ED6"/>
    <w:rsid w:val="00063177"/>
    <w:rsid w:val="00063437"/>
    <w:rsid w:val="000637DE"/>
    <w:rsid w:val="00063C04"/>
    <w:rsid w:val="00063C7D"/>
    <w:rsid w:val="000641BD"/>
    <w:rsid w:val="00064511"/>
    <w:rsid w:val="000645BE"/>
    <w:rsid w:val="000645E7"/>
    <w:rsid w:val="00064A60"/>
    <w:rsid w:val="00064AD2"/>
    <w:rsid w:val="00064D85"/>
    <w:rsid w:val="00064F48"/>
    <w:rsid w:val="00064FB2"/>
    <w:rsid w:val="00064FFE"/>
    <w:rsid w:val="00065283"/>
    <w:rsid w:val="00065421"/>
    <w:rsid w:val="00065760"/>
    <w:rsid w:val="00065832"/>
    <w:rsid w:val="00065DB4"/>
    <w:rsid w:val="00066040"/>
    <w:rsid w:val="0006606B"/>
    <w:rsid w:val="000661E6"/>
    <w:rsid w:val="00066223"/>
    <w:rsid w:val="00066327"/>
    <w:rsid w:val="0006642E"/>
    <w:rsid w:val="00066460"/>
    <w:rsid w:val="00066571"/>
    <w:rsid w:val="00066695"/>
    <w:rsid w:val="00066698"/>
    <w:rsid w:val="00066866"/>
    <w:rsid w:val="00066A14"/>
    <w:rsid w:val="00066C89"/>
    <w:rsid w:val="0006715C"/>
    <w:rsid w:val="00067234"/>
    <w:rsid w:val="00067463"/>
    <w:rsid w:val="0006756D"/>
    <w:rsid w:val="00067801"/>
    <w:rsid w:val="00067ABD"/>
    <w:rsid w:val="00067D7F"/>
    <w:rsid w:val="00067DF1"/>
    <w:rsid w:val="00067F04"/>
    <w:rsid w:val="00070006"/>
    <w:rsid w:val="00070087"/>
    <w:rsid w:val="0007008D"/>
    <w:rsid w:val="000700C1"/>
    <w:rsid w:val="000701A8"/>
    <w:rsid w:val="00070290"/>
    <w:rsid w:val="00070297"/>
    <w:rsid w:val="00070460"/>
    <w:rsid w:val="00070539"/>
    <w:rsid w:val="00070604"/>
    <w:rsid w:val="000708BC"/>
    <w:rsid w:val="00070935"/>
    <w:rsid w:val="00070A26"/>
    <w:rsid w:val="00070B89"/>
    <w:rsid w:val="00070C38"/>
    <w:rsid w:val="00070DC3"/>
    <w:rsid w:val="00070F30"/>
    <w:rsid w:val="0007111A"/>
    <w:rsid w:val="00071157"/>
    <w:rsid w:val="0007124B"/>
    <w:rsid w:val="00071356"/>
    <w:rsid w:val="0007145F"/>
    <w:rsid w:val="000717C6"/>
    <w:rsid w:val="00071BC6"/>
    <w:rsid w:val="00071C3A"/>
    <w:rsid w:val="00071DF5"/>
    <w:rsid w:val="00071F0A"/>
    <w:rsid w:val="00072001"/>
    <w:rsid w:val="000720E6"/>
    <w:rsid w:val="000721FE"/>
    <w:rsid w:val="0007291A"/>
    <w:rsid w:val="00072B72"/>
    <w:rsid w:val="00072EFE"/>
    <w:rsid w:val="000730C0"/>
    <w:rsid w:val="0007321F"/>
    <w:rsid w:val="000733F2"/>
    <w:rsid w:val="0007361C"/>
    <w:rsid w:val="00073777"/>
    <w:rsid w:val="000737A4"/>
    <w:rsid w:val="00073889"/>
    <w:rsid w:val="000739EE"/>
    <w:rsid w:val="00073BCD"/>
    <w:rsid w:val="00073E4C"/>
    <w:rsid w:val="00073E80"/>
    <w:rsid w:val="00073ECB"/>
    <w:rsid w:val="00073F5B"/>
    <w:rsid w:val="000740BC"/>
    <w:rsid w:val="00074136"/>
    <w:rsid w:val="000742B3"/>
    <w:rsid w:val="000743B5"/>
    <w:rsid w:val="0007443F"/>
    <w:rsid w:val="0007459B"/>
    <w:rsid w:val="000746AB"/>
    <w:rsid w:val="0007472E"/>
    <w:rsid w:val="0007482F"/>
    <w:rsid w:val="0007491A"/>
    <w:rsid w:val="00074A2C"/>
    <w:rsid w:val="00074AB8"/>
    <w:rsid w:val="00074CD6"/>
    <w:rsid w:val="00074E3B"/>
    <w:rsid w:val="00074F1B"/>
    <w:rsid w:val="00074F93"/>
    <w:rsid w:val="00074FF5"/>
    <w:rsid w:val="00075193"/>
    <w:rsid w:val="000754B8"/>
    <w:rsid w:val="000758DB"/>
    <w:rsid w:val="00075A4C"/>
    <w:rsid w:val="00075A95"/>
    <w:rsid w:val="00075B88"/>
    <w:rsid w:val="00075C48"/>
    <w:rsid w:val="00075CA9"/>
    <w:rsid w:val="00075FD2"/>
    <w:rsid w:val="0007617A"/>
    <w:rsid w:val="000761DC"/>
    <w:rsid w:val="0007656A"/>
    <w:rsid w:val="0007663C"/>
    <w:rsid w:val="00076754"/>
    <w:rsid w:val="00076ABD"/>
    <w:rsid w:val="00076BBA"/>
    <w:rsid w:val="00076D2C"/>
    <w:rsid w:val="00076F51"/>
    <w:rsid w:val="00076FAA"/>
    <w:rsid w:val="0007712A"/>
    <w:rsid w:val="0007717A"/>
    <w:rsid w:val="000775C9"/>
    <w:rsid w:val="00077755"/>
    <w:rsid w:val="00077774"/>
    <w:rsid w:val="000779A6"/>
    <w:rsid w:val="00077AFB"/>
    <w:rsid w:val="00077BBC"/>
    <w:rsid w:val="00077CE9"/>
    <w:rsid w:val="00077EF7"/>
    <w:rsid w:val="00077F5E"/>
    <w:rsid w:val="000800F8"/>
    <w:rsid w:val="00080105"/>
    <w:rsid w:val="0008024F"/>
    <w:rsid w:val="00080473"/>
    <w:rsid w:val="000805E6"/>
    <w:rsid w:val="000806C4"/>
    <w:rsid w:val="0008073E"/>
    <w:rsid w:val="00080759"/>
    <w:rsid w:val="000809F2"/>
    <w:rsid w:val="00080A7D"/>
    <w:rsid w:val="00080ABB"/>
    <w:rsid w:val="00080B00"/>
    <w:rsid w:val="00080B4C"/>
    <w:rsid w:val="00080C91"/>
    <w:rsid w:val="00080D97"/>
    <w:rsid w:val="0008125C"/>
    <w:rsid w:val="000812E5"/>
    <w:rsid w:val="0008159A"/>
    <w:rsid w:val="00081649"/>
    <w:rsid w:val="0008171D"/>
    <w:rsid w:val="00081C4A"/>
    <w:rsid w:val="00081E69"/>
    <w:rsid w:val="00082972"/>
    <w:rsid w:val="000829F5"/>
    <w:rsid w:val="00082C41"/>
    <w:rsid w:val="00082D2A"/>
    <w:rsid w:val="00082EAB"/>
    <w:rsid w:val="000833EF"/>
    <w:rsid w:val="00083582"/>
    <w:rsid w:val="0008379F"/>
    <w:rsid w:val="00083A53"/>
    <w:rsid w:val="00083ADB"/>
    <w:rsid w:val="00083B9A"/>
    <w:rsid w:val="00083BA8"/>
    <w:rsid w:val="00083F20"/>
    <w:rsid w:val="0008415C"/>
    <w:rsid w:val="00084294"/>
    <w:rsid w:val="000845BB"/>
    <w:rsid w:val="00084731"/>
    <w:rsid w:val="0008485D"/>
    <w:rsid w:val="000848E9"/>
    <w:rsid w:val="00084AC1"/>
    <w:rsid w:val="00084CFF"/>
    <w:rsid w:val="00084F72"/>
    <w:rsid w:val="00084FBE"/>
    <w:rsid w:val="000852C9"/>
    <w:rsid w:val="0008540F"/>
    <w:rsid w:val="000855EE"/>
    <w:rsid w:val="0008560D"/>
    <w:rsid w:val="00085768"/>
    <w:rsid w:val="00085890"/>
    <w:rsid w:val="000858FF"/>
    <w:rsid w:val="00085A8D"/>
    <w:rsid w:val="00085C0E"/>
    <w:rsid w:val="00085C5B"/>
    <w:rsid w:val="00085C73"/>
    <w:rsid w:val="00085DC0"/>
    <w:rsid w:val="00085F7D"/>
    <w:rsid w:val="00085F9C"/>
    <w:rsid w:val="0008608F"/>
    <w:rsid w:val="000862DF"/>
    <w:rsid w:val="000862EF"/>
    <w:rsid w:val="00086320"/>
    <w:rsid w:val="00086344"/>
    <w:rsid w:val="0008637F"/>
    <w:rsid w:val="00086500"/>
    <w:rsid w:val="000868E7"/>
    <w:rsid w:val="0008770A"/>
    <w:rsid w:val="00087737"/>
    <w:rsid w:val="00087A75"/>
    <w:rsid w:val="00087EDF"/>
    <w:rsid w:val="00090098"/>
    <w:rsid w:val="000900F4"/>
    <w:rsid w:val="0009021E"/>
    <w:rsid w:val="000902F0"/>
    <w:rsid w:val="0009031F"/>
    <w:rsid w:val="0009065B"/>
    <w:rsid w:val="000906B8"/>
    <w:rsid w:val="00090749"/>
    <w:rsid w:val="00090889"/>
    <w:rsid w:val="000909D0"/>
    <w:rsid w:val="00090E72"/>
    <w:rsid w:val="00090EC2"/>
    <w:rsid w:val="00090EEC"/>
    <w:rsid w:val="00091160"/>
    <w:rsid w:val="000911BF"/>
    <w:rsid w:val="0009139D"/>
    <w:rsid w:val="000913B8"/>
    <w:rsid w:val="00091420"/>
    <w:rsid w:val="00091770"/>
    <w:rsid w:val="000919E8"/>
    <w:rsid w:val="00091ADF"/>
    <w:rsid w:val="0009231D"/>
    <w:rsid w:val="000923C4"/>
    <w:rsid w:val="0009272F"/>
    <w:rsid w:val="000928FA"/>
    <w:rsid w:val="00092B64"/>
    <w:rsid w:val="00092D2C"/>
    <w:rsid w:val="00092E05"/>
    <w:rsid w:val="00092F78"/>
    <w:rsid w:val="00093129"/>
    <w:rsid w:val="00093213"/>
    <w:rsid w:val="000937FC"/>
    <w:rsid w:val="0009396B"/>
    <w:rsid w:val="00093AC8"/>
    <w:rsid w:val="00093ACA"/>
    <w:rsid w:val="00093E81"/>
    <w:rsid w:val="00093F4D"/>
    <w:rsid w:val="000940F7"/>
    <w:rsid w:val="0009456B"/>
    <w:rsid w:val="00094577"/>
    <w:rsid w:val="00094673"/>
    <w:rsid w:val="00094766"/>
    <w:rsid w:val="000947FB"/>
    <w:rsid w:val="00094823"/>
    <w:rsid w:val="000948BC"/>
    <w:rsid w:val="00094A0F"/>
    <w:rsid w:val="00094A86"/>
    <w:rsid w:val="00094C3B"/>
    <w:rsid w:val="00094C87"/>
    <w:rsid w:val="00094C9B"/>
    <w:rsid w:val="00094D2B"/>
    <w:rsid w:val="0009524E"/>
    <w:rsid w:val="0009524F"/>
    <w:rsid w:val="000952B2"/>
    <w:rsid w:val="0009530E"/>
    <w:rsid w:val="00095534"/>
    <w:rsid w:val="00095F2E"/>
    <w:rsid w:val="0009628B"/>
    <w:rsid w:val="000962A4"/>
    <w:rsid w:val="0009662D"/>
    <w:rsid w:val="0009664E"/>
    <w:rsid w:val="0009669D"/>
    <w:rsid w:val="00096A85"/>
    <w:rsid w:val="00096BD3"/>
    <w:rsid w:val="00096C27"/>
    <w:rsid w:val="00096D24"/>
    <w:rsid w:val="00096FE6"/>
    <w:rsid w:val="00097390"/>
    <w:rsid w:val="00097432"/>
    <w:rsid w:val="00097488"/>
    <w:rsid w:val="0009752E"/>
    <w:rsid w:val="000975A6"/>
    <w:rsid w:val="00097652"/>
    <w:rsid w:val="0009784C"/>
    <w:rsid w:val="00097A4C"/>
    <w:rsid w:val="00097BEE"/>
    <w:rsid w:val="00097E70"/>
    <w:rsid w:val="00097FDA"/>
    <w:rsid w:val="0009E07B"/>
    <w:rsid w:val="000A0770"/>
    <w:rsid w:val="000A0F26"/>
    <w:rsid w:val="000A10C6"/>
    <w:rsid w:val="000A14DA"/>
    <w:rsid w:val="000A151D"/>
    <w:rsid w:val="000A1631"/>
    <w:rsid w:val="000A16A5"/>
    <w:rsid w:val="000A178A"/>
    <w:rsid w:val="000A1A99"/>
    <w:rsid w:val="000A1C2D"/>
    <w:rsid w:val="000A1D8D"/>
    <w:rsid w:val="000A1ECB"/>
    <w:rsid w:val="000A1F2D"/>
    <w:rsid w:val="000A1FA7"/>
    <w:rsid w:val="000A2049"/>
    <w:rsid w:val="000A2282"/>
    <w:rsid w:val="000A2305"/>
    <w:rsid w:val="000A234D"/>
    <w:rsid w:val="000A2940"/>
    <w:rsid w:val="000A2977"/>
    <w:rsid w:val="000A2994"/>
    <w:rsid w:val="000A2A43"/>
    <w:rsid w:val="000A2EBF"/>
    <w:rsid w:val="000A2F9C"/>
    <w:rsid w:val="000A3005"/>
    <w:rsid w:val="000A35DD"/>
    <w:rsid w:val="000A360F"/>
    <w:rsid w:val="000A375D"/>
    <w:rsid w:val="000A3911"/>
    <w:rsid w:val="000A3A91"/>
    <w:rsid w:val="000A3B1D"/>
    <w:rsid w:val="000A3C93"/>
    <w:rsid w:val="000A3FC0"/>
    <w:rsid w:val="000A40B9"/>
    <w:rsid w:val="000A47E5"/>
    <w:rsid w:val="000A4B3A"/>
    <w:rsid w:val="000A4D09"/>
    <w:rsid w:val="000A507D"/>
    <w:rsid w:val="000A5468"/>
    <w:rsid w:val="000A560C"/>
    <w:rsid w:val="000A57DD"/>
    <w:rsid w:val="000A57ED"/>
    <w:rsid w:val="000A592D"/>
    <w:rsid w:val="000A5995"/>
    <w:rsid w:val="000A59C5"/>
    <w:rsid w:val="000A5A0E"/>
    <w:rsid w:val="000A5DA7"/>
    <w:rsid w:val="000A5E06"/>
    <w:rsid w:val="000A5E40"/>
    <w:rsid w:val="000A610C"/>
    <w:rsid w:val="000A616B"/>
    <w:rsid w:val="000A6186"/>
    <w:rsid w:val="000A65B5"/>
    <w:rsid w:val="000A67B7"/>
    <w:rsid w:val="000A67FB"/>
    <w:rsid w:val="000A6B7D"/>
    <w:rsid w:val="000A6DC2"/>
    <w:rsid w:val="000A6EA3"/>
    <w:rsid w:val="000A6FD5"/>
    <w:rsid w:val="000A705D"/>
    <w:rsid w:val="000A70DC"/>
    <w:rsid w:val="000A71BE"/>
    <w:rsid w:val="000A7384"/>
    <w:rsid w:val="000A7513"/>
    <w:rsid w:val="000A7538"/>
    <w:rsid w:val="000A765F"/>
    <w:rsid w:val="000A7825"/>
    <w:rsid w:val="000A78E0"/>
    <w:rsid w:val="000A7D2F"/>
    <w:rsid w:val="000A7D48"/>
    <w:rsid w:val="000A7DE1"/>
    <w:rsid w:val="000A7FE9"/>
    <w:rsid w:val="000B0117"/>
    <w:rsid w:val="000B024B"/>
    <w:rsid w:val="000B04B2"/>
    <w:rsid w:val="000B0667"/>
    <w:rsid w:val="000B07E5"/>
    <w:rsid w:val="000B0814"/>
    <w:rsid w:val="000B0E11"/>
    <w:rsid w:val="000B0FB0"/>
    <w:rsid w:val="000B1024"/>
    <w:rsid w:val="000B120C"/>
    <w:rsid w:val="000B122B"/>
    <w:rsid w:val="000B127C"/>
    <w:rsid w:val="000B12AA"/>
    <w:rsid w:val="000B169C"/>
    <w:rsid w:val="000B1789"/>
    <w:rsid w:val="000B19A3"/>
    <w:rsid w:val="000B19E6"/>
    <w:rsid w:val="000B1B6B"/>
    <w:rsid w:val="000B1BDA"/>
    <w:rsid w:val="000B1F37"/>
    <w:rsid w:val="000B20B9"/>
    <w:rsid w:val="000B21DB"/>
    <w:rsid w:val="000B23A2"/>
    <w:rsid w:val="000B23DD"/>
    <w:rsid w:val="000B25FB"/>
    <w:rsid w:val="000B26BA"/>
    <w:rsid w:val="000B2713"/>
    <w:rsid w:val="000B2A21"/>
    <w:rsid w:val="000B2C8B"/>
    <w:rsid w:val="000B2D92"/>
    <w:rsid w:val="000B33BC"/>
    <w:rsid w:val="000B3492"/>
    <w:rsid w:val="000B3553"/>
    <w:rsid w:val="000B35E8"/>
    <w:rsid w:val="000B3694"/>
    <w:rsid w:val="000B3878"/>
    <w:rsid w:val="000B38A3"/>
    <w:rsid w:val="000B3918"/>
    <w:rsid w:val="000B3993"/>
    <w:rsid w:val="000B3C64"/>
    <w:rsid w:val="000B3DEF"/>
    <w:rsid w:val="000B3E6C"/>
    <w:rsid w:val="000B3EB4"/>
    <w:rsid w:val="000B3F98"/>
    <w:rsid w:val="000B4056"/>
    <w:rsid w:val="000B4084"/>
    <w:rsid w:val="000B4095"/>
    <w:rsid w:val="000B428E"/>
    <w:rsid w:val="000B42D3"/>
    <w:rsid w:val="000B44A8"/>
    <w:rsid w:val="000B45B3"/>
    <w:rsid w:val="000B45BB"/>
    <w:rsid w:val="000B4755"/>
    <w:rsid w:val="000B47A0"/>
    <w:rsid w:val="000B47DF"/>
    <w:rsid w:val="000B49A8"/>
    <w:rsid w:val="000B4B73"/>
    <w:rsid w:val="000B4CBE"/>
    <w:rsid w:val="000B4E3C"/>
    <w:rsid w:val="000B4FB0"/>
    <w:rsid w:val="000B5462"/>
    <w:rsid w:val="000B5640"/>
    <w:rsid w:val="000B569D"/>
    <w:rsid w:val="000B590E"/>
    <w:rsid w:val="000B59C0"/>
    <w:rsid w:val="000B5DCF"/>
    <w:rsid w:val="000B63F8"/>
    <w:rsid w:val="000B6584"/>
    <w:rsid w:val="000B676B"/>
    <w:rsid w:val="000B6836"/>
    <w:rsid w:val="000B6958"/>
    <w:rsid w:val="000B69B5"/>
    <w:rsid w:val="000B6A31"/>
    <w:rsid w:val="000B6AA7"/>
    <w:rsid w:val="000B6E71"/>
    <w:rsid w:val="000B6F88"/>
    <w:rsid w:val="000B7022"/>
    <w:rsid w:val="000B730D"/>
    <w:rsid w:val="000B7326"/>
    <w:rsid w:val="000B735B"/>
    <w:rsid w:val="000B73D1"/>
    <w:rsid w:val="000B7610"/>
    <w:rsid w:val="000B7707"/>
    <w:rsid w:val="000B771F"/>
    <w:rsid w:val="000B7827"/>
    <w:rsid w:val="000B7900"/>
    <w:rsid w:val="000B79CE"/>
    <w:rsid w:val="000B7AAF"/>
    <w:rsid w:val="000B7BC3"/>
    <w:rsid w:val="000BAF6B"/>
    <w:rsid w:val="000BB6A9"/>
    <w:rsid w:val="000C001F"/>
    <w:rsid w:val="000C0364"/>
    <w:rsid w:val="000C0477"/>
    <w:rsid w:val="000C0821"/>
    <w:rsid w:val="000C0A59"/>
    <w:rsid w:val="000C0ACF"/>
    <w:rsid w:val="000C0AEF"/>
    <w:rsid w:val="000C0BA2"/>
    <w:rsid w:val="000C0BB7"/>
    <w:rsid w:val="000C10A3"/>
    <w:rsid w:val="000C1206"/>
    <w:rsid w:val="000C1471"/>
    <w:rsid w:val="000C16AD"/>
    <w:rsid w:val="000C16CA"/>
    <w:rsid w:val="000C17B1"/>
    <w:rsid w:val="000C1809"/>
    <w:rsid w:val="000C194E"/>
    <w:rsid w:val="000C1AA2"/>
    <w:rsid w:val="000C1B7A"/>
    <w:rsid w:val="000C1F2F"/>
    <w:rsid w:val="000C2083"/>
    <w:rsid w:val="000C229E"/>
    <w:rsid w:val="000C246D"/>
    <w:rsid w:val="000C2783"/>
    <w:rsid w:val="000C2827"/>
    <w:rsid w:val="000C283A"/>
    <w:rsid w:val="000C297C"/>
    <w:rsid w:val="000C2BAF"/>
    <w:rsid w:val="000C3467"/>
    <w:rsid w:val="000C34F8"/>
    <w:rsid w:val="000C37C8"/>
    <w:rsid w:val="000C39AE"/>
    <w:rsid w:val="000C3D3C"/>
    <w:rsid w:val="000C4070"/>
    <w:rsid w:val="000C4132"/>
    <w:rsid w:val="000C4214"/>
    <w:rsid w:val="000C42F0"/>
    <w:rsid w:val="000C4303"/>
    <w:rsid w:val="000C4421"/>
    <w:rsid w:val="000C4614"/>
    <w:rsid w:val="000C4AD5"/>
    <w:rsid w:val="000C4ED5"/>
    <w:rsid w:val="000C50A0"/>
    <w:rsid w:val="000C50E9"/>
    <w:rsid w:val="000C5107"/>
    <w:rsid w:val="000C5272"/>
    <w:rsid w:val="000C5382"/>
    <w:rsid w:val="000C5496"/>
    <w:rsid w:val="000C564E"/>
    <w:rsid w:val="000C56D9"/>
    <w:rsid w:val="000C5745"/>
    <w:rsid w:val="000C5BCD"/>
    <w:rsid w:val="000C5D2B"/>
    <w:rsid w:val="000C5E7C"/>
    <w:rsid w:val="000C5F02"/>
    <w:rsid w:val="000C5FB4"/>
    <w:rsid w:val="000C6049"/>
    <w:rsid w:val="000C6218"/>
    <w:rsid w:val="000C629F"/>
    <w:rsid w:val="000C62B2"/>
    <w:rsid w:val="000C63DB"/>
    <w:rsid w:val="000C641E"/>
    <w:rsid w:val="000C6516"/>
    <w:rsid w:val="000C66C2"/>
    <w:rsid w:val="000C680E"/>
    <w:rsid w:val="000C68A8"/>
    <w:rsid w:val="000C6A80"/>
    <w:rsid w:val="000C6BA8"/>
    <w:rsid w:val="000C6C58"/>
    <w:rsid w:val="000C6E11"/>
    <w:rsid w:val="000C7010"/>
    <w:rsid w:val="000C7385"/>
    <w:rsid w:val="000C767E"/>
    <w:rsid w:val="000C779E"/>
    <w:rsid w:val="000C77C9"/>
    <w:rsid w:val="000C78BA"/>
    <w:rsid w:val="000C78EE"/>
    <w:rsid w:val="000C7A75"/>
    <w:rsid w:val="000C7CF9"/>
    <w:rsid w:val="000D0130"/>
    <w:rsid w:val="000D0167"/>
    <w:rsid w:val="000D0185"/>
    <w:rsid w:val="000D068E"/>
    <w:rsid w:val="000D076C"/>
    <w:rsid w:val="000D0CB6"/>
    <w:rsid w:val="000D0F54"/>
    <w:rsid w:val="000D0F76"/>
    <w:rsid w:val="000D10A6"/>
    <w:rsid w:val="000D1174"/>
    <w:rsid w:val="000D1AC8"/>
    <w:rsid w:val="000D1C6F"/>
    <w:rsid w:val="000D1D55"/>
    <w:rsid w:val="000D1D78"/>
    <w:rsid w:val="000D1E0A"/>
    <w:rsid w:val="000D2022"/>
    <w:rsid w:val="000D20C3"/>
    <w:rsid w:val="000D2215"/>
    <w:rsid w:val="000D22AE"/>
    <w:rsid w:val="000D23C0"/>
    <w:rsid w:val="000D2758"/>
    <w:rsid w:val="000D2B3E"/>
    <w:rsid w:val="000D2B41"/>
    <w:rsid w:val="000D2B70"/>
    <w:rsid w:val="000D2E81"/>
    <w:rsid w:val="000D2EF3"/>
    <w:rsid w:val="000D3032"/>
    <w:rsid w:val="000D3093"/>
    <w:rsid w:val="000D30B6"/>
    <w:rsid w:val="000D319B"/>
    <w:rsid w:val="000D3516"/>
    <w:rsid w:val="000D35F2"/>
    <w:rsid w:val="000D3812"/>
    <w:rsid w:val="000D39E0"/>
    <w:rsid w:val="000D3C21"/>
    <w:rsid w:val="000D3D17"/>
    <w:rsid w:val="000D3E7E"/>
    <w:rsid w:val="000D44C7"/>
    <w:rsid w:val="000D4557"/>
    <w:rsid w:val="000D45F4"/>
    <w:rsid w:val="000D476E"/>
    <w:rsid w:val="000D4803"/>
    <w:rsid w:val="000D4A35"/>
    <w:rsid w:val="000D4ADA"/>
    <w:rsid w:val="000D4F36"/>
    <w:rsid w:val="000D5071"/>
    <w:rsid w:val="000D523E"/>
    <w:rsid w:val="000D53CB"/>
    <w:rsid w:val="000D53EC"/>
    <w:rsid w:val="000D5415"/>
    <w:rsid w:val="000D54F5"/>
    <w:rsid w:val="000D57BF"/>
    <w:rsid w:val="000D5955"/>
    <w:rsid w:val="000D5CE9"/>
    <w:rsid w:val="000D5E1E"/>
    <w:rsid w:val="000D5F88"/>
    <w:rsid w:val="000D6206"/>
    <w:rsid w:val="000D6239"/>
    <w:rsid w:val="000D643E"/>
    <w:rsid w:val="000D65EC"/>
    <w:rsid w:val="000D6631"/>
    <w:rsid w:val="000D66BA"/>
    <w:rsid w:val="000D67DE"/>
    <w:rsid w:val="000D6914"/>
    <w:rsid w:val="000D6A5C"/>
    <w:rsid w:val="000D6AC2"/>
    <w:rsid w:val="000D6BED"/>
    <w:rsid w:val="000D6C60"/>
    <w:rsid w:val="000D6CBE"/>
    <w:rsid w:val="000D6D61"/>
    <w:rsid w:val="000D6F30"/>
    <w:rsid w:val="000D744C"/>
    <w:rsid w:val="000D74E9"/>
    <w:rsid w:val="000D757A"/>
    <w:rsid w:val="000D792B"/>
    <w:rsid w:val="000D7F42"/>
    <w:rsid w:val="000E0205"/>
    <w:rsid w:val="000E02BC"/>
    <w:rsid w:val="000E0586"/>
    <w:rsid w:val="000E05CA"/>
    <w:rsid w:val="000E06DE"/>
    <w:rsid w:val="000E094E"/>
    <w:rsid w:val="000E09E0"/>
    <w:rsid w:val="000E0B42"/>
    <w:rsid w:val="000E0EAC"/>
    <w:rsid w:val="000E0F54"/>
    <w:rsid w:val="000E129E"/>
    <w:rsid w:val="000E12CB"/>
    <w:rsid w:val="000E133E"/>
    <w:rsid w:val="000E1589"/>
    <w:rsid w:val="000E15CE"/>
    <w:rsid w:val="000E17ED"/>
    <w:rsid w:val="000E1AAE"/>
    <w:rsid w:val="000E1AF7"/>
    <w:rsid w:val="000E1C9D"/>
    <w:rsid w:val="000E1E41"/>
    <w:rsid w:val="000E1E47"/>
    <w:rsid w:val="000E1F75"/>
    <w:rsid w:val="000E213D"/>
    <w:rsid w:val="000E2311"/>
    <w:rsid w:val="000E2846"/>
    <w:rsid w:val="000E2A4D"/>
    <w:rsid w:val="000E2D66"/>
    <w:rsid w:val="000E2F17"/>
    <w:rsid w:val="000E2F3A"/>
    <w:rsid w:val="000E2F89"/>
    <w:rsid w:val="000E328B"/>
    <w:rsid w:val="000E3723"/>
    <w:rsid w:val="000E375C"/>
    <w:rsid w:val="000E3A06"/>
    <w:rsid w:val="000E3A52"/>
    <w:rsid w:val="000E3C89"/>
    <w:rsid w:val="000E3C8F"/>
    <w:rsid w:val="000E3CB7"/>
    <w:rsid w:val="000E42A4"/>
    <w:rsid w:val="000E4376"/>
    <w:rsid w:val="000E46A5"/>
    <w:rsid w:val="000E49CC"/>
    <w:rsid w:val="000E4A6A"/>
    <w:rsid w:val="000E4C80"/>
    <w:rsid w:val="000E5519"/>
    <w:rsid w:val="000E56FE"/>
    <w:rsid w:val="000E575C"/>
    <w:rsid w:val="000E5E77"/>
    <w:rsid w:val="000E5E99"/>
    <w:rsid w:val="000E613C"/>
    <w:rsid w:val="000E637D"/>
    <w:rsid w:val="000E64F4"/>
    <w:rsid w:val="000E65EE"/>
    <w:rsid w:val="000E68FE"/>
    <w:rsid w:val="000E6C91"/>
    <w:rsid w:val="000E6F9D"/>
    <w:rsid w:val="000E7256"/>
    <w:rsid w:val="000E7259"/>
    <w:rsid w:val="000E7375"/>
    <w:rsid w:val="000E75D1"/>
    <w:rsid w:val="000E771A"/>
    <w:rsid w:val="000E781D"/>
    <w:rsid w:val="000E78D0"/>
    <w:rsid w:val="000E793F"/>
    <w:rsid w:val="000E7F3E"/>
    <w:rsid w:val="000E7FAF"/>
    <w:rsid w:val="000F0021"/>
    <w:rsid w:val="000F013F"/>
    <w:rsid w:val="000F066D"/>
    <w:rsid w:val="000F0792"/>
    <w:rsid w:val="000F081B"/>
    <w:rsid w:val="000F08FB"/>
    <w:rsid w:val="000F0965"/>
    <w:rsid w:val="000F09D1"/>
    <w:rsid w:val="000F0B94"/>
    <w:rsid w:val="000F0C62"/>
    <w:rsid w:val="000F0E64"/>
    <w:rsid w:val="000F14BB"/>
    <w:rsid w:val="000F1519"/>
    <w:rsid w:val="000F15E3"/>
    <w:rsid w:val="000F1651"/>
    <w:rsid w:val="000F1741"/>
    <w:rsid w:val="000F1DB6"/>
    <w:rsid w:val="000F230D"/>
    <w:rsid w:val="000F287A"/>
    <w:rsid w:val="000F2D90"/>
    <w:rsid w:val="000F2DB4"/>
    <w:rsid w:val="000F2F6B"/>
    <w:rsid w:val="000F32F6"/>
    <w:rsid w:val="000F357F"/>
    <w:rsid w:val="000F35A7"/>
    <w:rsid w:val="000F35BA"/>
    <w:rsid w:val="000F3C54"/>
    <w:rsid w:val="000F3C6F"/>
    <w:rsid w:val="000F3DF9"/>
    <w:rsid w:val="000F3E8C"/>
    <w:rsid w:val="000F4359"/>
    <w:rsid w:val="000F4612"/>
    <w:rsid w:val="000F48C5"/>
    <w:rsid w:val="000F49CB"/>
    <w:rsid w:val="000F4E3D"/>
    <w:rsid w:val="000F4EBE"/>
    <w:rsid w:val="000F51E1"/>
    <w:rsid w:val="000F52F6"/>
    <w:rsid w:val="000F55C5"/>
    <w:rsid w:val="000F56EF"/>
    <w:rsid w:val="000F572D"/>
    <w:rsid w:val="000F593A"/>
    <w:rsid w:val="000F5A1E"/>
    <w:rsid w:val="000F5F9A"/>
    <w:rsid w:val="000F6285"/>
    <w:rsid w:val="000F65E9"/>
    <w:rsid w:val="000F679A"/>
    <w:rsid w:val="000F6966"/>
    <w:rsid w:val="000F69C9"/>
    <w:rsid w:val="000F6D2F"/>
    <w:rsid w:val="000F6D4D"/>
    <w:rsid w:val="000F6F35"/>
    <w:rsid w:val="000F70AE"/>
    <w:rsid w:val="000F70B0"/>
    <w:rsid w:val="000F7147"/>
    <w:rsid w:val="000F73DE"/>
    <w:rsid w:val="000F740D"/>
    <w:rsid w:val="000F75F1"/>
    <w:rsid w:val="000F77DD"/>
    <w:rsid w:val="000F7C8B"/>
    <w:rsid w:val="000F7FD9"/>
    <w:rsid w:val="001001CE"/>
    <w:rsid w:val="00100933"/>
    <w:rsid w:val="00100950"/>
    <w:rsid w:val="00100A87"/>
    <w:rsid w:val="00100A9F"/>
    <w:rsid w:val="00100C56"/>
    <w:rsid w:val="00100CF5"/>
    <w:rsid w:val="00101278"/>
    <w:rsid w:val="00101492"/>
    <w:rsid w:val="00101697"/>
    <w:rsid w:val="0010175D"/>
    <w:rsid w:val="00101760"/>
    <w:rsid w:val="00101766"/>
    <w:rsid w:val="0010194F"/>
    <w:rsid w:val="00101ACD"/>
    <w:rsid w:val="00101ED3"/>
    <w:rsid w:val="001020EB"/>
    <w:rsid w:val="0010213C"/>
    <w:rsid w:val="001021F5"/>
    <w:rsid w:val="00102470"/>
    <w:rsid w:val="00102615"/>
    <w:rsid w:val="001027E0"/>
    <w:rsid w:val="00102919"/>
    <w:rsid w:val="00102C23"/>
    <w:rsid w:val="00102CF9"/>
    <w:rsid w:val="00103083"/>
    <w:rsid w:val="00103350"/>
    <w:rsid w:val="0010352B"/>
    <w:rsid w:val="001035D8"/>
    <w:rsid w:val="00103C46"/>
    <w:rsid w:val="00103D0A"/>
    <w:rsid w:val="00103DB0"/>
    <w:rsid w:val="00103F9E"/>
    <w:rsid w:val="001040CF"/>
    <w:rsid w:val="001041C3"/>
    <w:rsid w:val="00104202"/>
    <w:rsid w:val="0010449A"/>
    <w:rsid w:val="001044C2"/>
    <w:rsid w:val="00104626"/>
    <w:rsid w:val="0010469C"/>
    <w:rsid w:val="001046E8"/>
    <w:rsid w:val="0010473C"/>
    <w:rsid w:val="001047D2"/>
    <w:rsid w:val="001049F5"/>
    <w:rsid w:val="00104AB4"/>
    <w:rsid w:val="00104BFB"/>
    <w:rsid w:val="00104D72"/>
    <w:rsid w:val="00104E97"/>
    <w:rsid w:val="00104F2D"/>
    <w:rsid w:val="00105077"/>
    <w:rsid w:val="00105319"/>
    <w:rsid w:val="00105356"/>
    <w:rsid w:val="00105393"/>
    <w:rsid w:val="00105525"/>
    <w:rsid w:val="001055A5"/>
    <w:rsid w:val="001055C0"/>
    <w:rsid w:val="00105CDD"/>
    <w:rsid w:val="00105D13"/>
    <w:rsid w:val="001060B5"/>
    <w:rsid w:val="001060D1"/>
    <w:rsid w:val="001060FF"/>
    <w:rsid w:val="00106486"/>
    <w:rsid w:val="00106A26"/>
    <w:rsid w:val="00106A6B"/>
    <w:rsid w:val="00106CA2"/>
    <w:rsid w:val="00106FA4"/>
    <w:rsid w:val="00107117"/>
    <w:rsid w:val="001071F3"/>
    <w:rsid w:val="0010738A"/>
    <w:rsid w:val="00107C4C"/>
    <w:rsid w:val="00107C97"/>
    <w:rsid w:val="00107D10"/>
    <w:rsid w:val="00107D59"/>
    <w:rsid w:val="00107FAD"/>
    <w:rsid w:val="00110410"/>
    <w:rsid w:val="0011049B"/>
    <w:rsid w:val="00110515"/>
    <w:rsid w:val="0011054F"/>
    <w:rsid w:val="00110725"/>
    <w:rsid w:val="001108BD"/>
    <w:rsid w:val="00110977"/>
    <w:rsid w:val="00110B60"/>
    <w:rsid w:val="00110C31"/>
    <w:rsid w:val="00110EA8"/>
    <w:rsid w:val="00110F67"/>
    <w:rsid w:val="00110FF3"/>
    <w:rsid w:val="001110C8"/>
    <w:rsid w:val="00111180"/>
    <w:rsid w:val="001111AA"/>
    <w:rsid w:val="001112AB"/>
    <w:rsid w:val="0011160F"/>
    <w:rsid w:val="00111AB7"/>
    <w:rsid w:val="00111B10"/>
    <w:rsid w:val="00111BAB"/>
    <w:rsid w:val="001125D7"/>
    <w:rsid w:val="001125EA"/>
    <w:rsid w:val="00112670"/>
    <w:rsid w:val="00112779"/>
    <w:rsid w:val="0011277C"/>
    <w:rsid w:val="00112A14"/>
    <w:rsid w:val="00112A8D"/>
    <w:rsid w:val="00112AB9"/>
    <w:rsid w:val="00112B25"/>
    <w:rsid w:val="00112ECB"/>
    <w:rsid w:val="00112EDD"/>
    <w:rsid w:val="00112F69"/>
    <w:rsid w:val="00113133"/>
    <w:rsid w:val="001132BF"/>
    <w:rsid w:val="00113307"/>
    <w:rsid w:val="001135B5"/>
    <w:rsid w:val="001136AD"/>
    <w:rsid w:val="00113B7F"/>
    <w:rsid w:val="00113CE9"/>
    <w:rsid w:val="00113F00"/>
    <w:rsid w:val="00113F87"/>
    <w:rsid w:val="0011403A"/>
    <w:rsid w:val="0011409A"/>
    <w:rsid w:val="00114B6B"/>
    <w:rsid w:val="00114B90"/>
    <w:rsid w:val="00114BE3"/>
    <w:rsid w:val="00115299"/>
    <w:rsid w:val="00115499"/>
    <w:rsid w:val="001155D5"/>
    <w:rsid w:val="001158FA"/>
    <w:rsid w:val="00115B3F"/>
    <w:rsid w:val="00115B84"/>
    <w:rsid w:val="00115BD9"/>
    <w:rsid w:val="00115C44"/>
    <w:rsid w:val="00115DB6"/>
    <w:rsid w:val="00115F75"/>
    <w:rsid w:val="00115F8F"/>
    <w:rsid w:val="0011602A"/>
    <w:rsid w:val="00116398"/>
    <w:rsid w:val="0011640D"/>
    <w:rsid w:val="00116823"/>
    <w:rsid w:val="00116905"/>
    <w:rsid w:val="00116AA2"/>
    <w:rsid w:val="00116D47"/>
    <w:rsid w:val="00116D96"/>
    <w:rsid w:val="00117033"/>
    <w:rsid w:val="001171EC"/>
    <w:rsid w:val="001173F6"/>
    <w:rsid w:val="001175CD"/>
    <w:rsid w:val="001176AB"/>
    <w:rsid w:val="00117743"/>
    <w:rsid w:val="00117A50"/>
    <w:rsid w:val="00117AEC"/>
    <w:rsid w:val="00117B4D"/>
    <w:rsid w:val="00117BEA"/>
    <w:rsid w:val="00117C45"/>
    <w:rsid w:val="00117E6B"/>
    <w:rsid w:val="00117EB4"/>
    <w:rsid w:val="0011C1F8"/>
    <w:rsid w:val="00120093"/>
    <w:rsid w:val="001200AE"/>
    <w:rsid w:val="0012061F"/>
    <w:rsid w:val="00120671"/>
    <w:rsid w:val="00120849"/>
    <w:rsid w:val="0012091F"/>
    <w:rsid w:val="0012099D"/>
    <w:rsid w:val="001209AE"/>
    <w:rsid w:val="00120A05"/>
    <w:rsid w:val="00120AA9"/>
    <w:rsid w:val="00120B0C"/>
    <w:rsid w:val="00120B32"/>
    <w:rsid w:val="00120C77"/>
    <w:rsid w:val="00120F29"/>
    <w:rsid w:val="00120FA0"/>
    <w:rsid w:val="00120FFE"/>
    <w:rsid w:val="0012116E"/>
    <w:rsid w:val="0012123A"/>
    <w:rsid w:val="00121952"/>
    <w:rsid w:val="00121A28"/>
    <w:rsid w:val="00121C76"/>
    <w:rsid w:val="00121D9D"/>
    <w:rsid w:val="0012207A"/>
    <w:rsid w:val="001221E9"/>
    <w:rsid w:val="00122517"/>
    <w:rsid w:val="001225AB"/>
    <w:rsid w:val="0012263B"/>
    <w:rsid w:val="001226DB"/>
    <w:rsid w:val="0012278E"/>
    <w:rsid w:val="001229F9"/>
    <w:rsid w:val="00122FA2"/>
    <w:rsid w:val="00123211"/>
    <w:rsid w:val="00123352"/>
    <w:rsid w:val="00123367"/>
    <w:rsid w:val="00123613"/>
    <w:rsid w:val="0012368D"/>
    <w:rsid w:val="00123769"/>
    <w:rsid w:val="00123A05"/>
    <w:rsid w:val="00123B31"/>
    <w:rsid w:val="00123D10"/>
    <w:rsid w:val="00123DB2"/>
    <w:rsid w:val="00123F43"/>
    <w:rsid w:val="00124134"/>
    <w:rsid w:val="001249CA"/>
    <w:rsid w:val="001249F9"/>
    <w:rsid w:val="00124C3A"/>
    <w:rsid w:val="00124D11"/>
    <w:rsid w:val="00124E8E"/>
    <w:rsid w:val="00124F26"/>
    <w:rsid w:val="0012542B"/>
    <w:rsid w:val="00125549"/>
    <w:rsid w:val="001258DB"/>
    <w:rsid w:val="00125A3D"/>
    <w:rsid w:val="00125B58"/>
    <w:rsid w:val="00125BD2"/>
    <w:rsid w:val="00125BFE"/>
    <w:rsid w:val="00125CB3"/>
    <w:rsid w:val="00125D54"/>
    <w:rsid w:val="00125EE4"/>
    <w:rsid w:val="0012609B"/>
    <w:rsid w:val="0012619E"/>
    <w:rsid w:val="001263D1"/>
    <w:rsid w:val="00126555"/>
    <w:rsid w:val="00126646"/>
    <w:rsid w:val="00126A7A"/>
    <w:rsid w:val="00126CE4"/>
    <w:rsid w:val="00126E96"/>
    <w:rsid w:val="00127202"/>
    <w:rsid w:val="0012723C"/>
    <w:rsid w:val="00127282"/>
    <w:rsid w:val="00127299"/>
    <w:rsid w:val="00127524"/>
    <w:rsid w:val="001276D4"/>
    <w:rsid w:val="00127744"/>
    <w:rsid w:val="00127745"/>
    <w:rsid w:val="00127943"/>
    <w:rsid w:val="0012797B"/>
    <w:rsid w:val="00130051"/>
    <w:rsid w:val="00130145"/>
    <w:rsid w:val="001302B5"/>
    <w:rsid w:val="00130416"/>
    <w:rsid w:val="001305C0"/>
    <w:rsid w:val="0013081E"/>
    <w:rsid w:val="00130893"/>
    <w:rsid w:val="00130C62"/>
    <w:rsid w:val="00130C73"/>
    <w:rsid w:val="00130C78"/>
    <w:rsid w:val="00130CE0"/>
    <w:rsid w:val="00130D60"/>
    <w:rsid w:val="00130FC5"/>
    <w:rsid w:val="001313AB"/>
    <w:rsid w:val="0013157C"/>
    <w:rsid w:val="00131778"/>
    <w:rsid w:val="001318EF"/>
    <w:rsid w:val="00131E8F"/>
    <w:rsid w:val="00131E93"/>
    <w:rsid w:val="0013221B"/>
    <w:rsid w:val="001326A6"/>
    <w:rsid w:val="00132728"/>
    <w:rsid w:val="0013279E"/>
    <w:rsid w:val="001329B0"/>
    <w:rsid w:val="00132A55"/>
    <w:rsid w:val="00132AB5"/>
    <w:rsid w:val="00132C93"/>
    <w:rsid w:val="00132D0A"/>
    <w:rsid w:val="001330D1"/>
    <w:rsid w:val="00133114"/>
    <w:rsid w:val="001333D1"/>
    <w:rsid w:val="0013349D"/>
    <w:rsid w:val="00133635"/>
    <w:rsid w:val="00133830"/>
    <w:rsid w:val="001338F4"/>
    <w:rsid w:val="00133F88"/>
    <w:rsid w:val="001343F5"/>
    <w:rsid w:val="001346E7"/>
    <w:rsid w:val="00134B26"/>
    <w:rsid w:val="00134B33"/>
    <w:rsid w:val="00134F15"/>
    <w:rsid w:val="00135001"/>
    <w:rsid w:val="001351CE"/>
    <w:rsid w:val="00135283"/>
    <w:rsid w:val="00135952"/>
    <w:rsid w:val="00135B3D"/>
    <w:rsid w:val="00135B92"/>
    <w:rsid w:val="00135D69"/>
    <w:rsid w:val="001363A8"/>
    <w:rsid w:val="00136837"/>
    <w:rsid w:val="00136947"/>
    <w:rsid w:val="00136AC7"/>
    <w:rsid w:val="00136DF6"/>
    <w:rsid w:val="00137094"/>
    <w:rsid w:val="001370E9"/>
    <w:rsid w:val="00137107"/>
    <w:rsid w:val="001374EA"/>
    <w:rsid w:val="0013756A"/>
    <w:rsid w:val="00137855"/>
    <w:rsid w:val="001378EA"/>
    <w:rsid w:val="00137A33"/>
    <w:rsid w:val="00137B9E"/>
    <w:rsid w:val="00137C7A"/>
    <w:rsid w:val="00137D14"/>
    <w:rsid w:val="00137D22"/>
    <w:rsid w:val="00137E11"/>
    <w:rsid w:val="00137E74"/>
    <w:rsid w:val="00137FBA"/>
    <w:rsid w:val="00140054"/>
    <w:rsid w:val="00140233"/>
    <w:rsid w:val="00140446"/>
    <w:rsid w:val="00140494"/>
    <w:rsid w:val="00140533"/>
    <w:rsid w:val="0014059A"/>
    <w:rsid w:val="00140630"/>
    <w:rsid w:val="0014067E"/>
    <w:rsid w:val="001406B4"/>
    <w:rsid w:val="00140707"/>
    <w:rsid w:val="001409A4"/>
    <w:rsid w:val="00140D31"/>
    <w:rsid w:val="00141241"/>
    <w:rsid w:val="00141749"/>
    <w:rsid w:val="00141932"/>
    <w:rsid w:val="00141AF3"/>
    <w:rsid w:val="00141DC2"/>
    <w:rsid w:val="00141FC3"/>
    <w:rsid w:val="00142144"/>
    <w:rsid w:val="0014222C"/>
    <w:rsid w:val="001423CB"/>
    <w:rsid w:val="0014243A"/>
    <w:rsid w:val="0014251D"/>
    <w:rsid w:val="00142530"/>
    <w:rsid w:val="001428E1"/>
    <w:rsid w:val="00142945"/>
    <w:rsid w:val="00142AEF"/>
    <w:rsid w:val="00142D40"/>
    <w:rsid w:val="00142F2B"/>
    <w:rsid w:val="00143184"/>
    <w:rsid w:val="00143188"/>
    <w:rsid w:val="00143202"/>
    <w:rsid w:val="00143215"/>
    <w:rsid w:val="001432E5"/>
    <w:rsid w:val="001435F5"/>
    <w:rsid w:val="001436A2"/>
    <w:rsid w:val="00143761"/>
    <w:rsid w:val="00143BCD"/>
    <w:rsid w:val="00143BF1"/>
    <w:rsid w:val="00143E57"/>
    <w:rsid w:val="00144076"/>
    <w:rsid w:val="00144746"/>
    <w:rsid w:val="00144C0A"/>
    <w:rsid w:val="00144C0C"/>
    <w:rsid w:val="00144D94"/>
    <w:rsid w:val="00144F1F"/>
    <w:rsid w:val="0014507F"/>
    <w:rsid w:val="00145091"/>
    <w:rsid w:val="00145153"/>
    <w:rsid w:val="0014531B"/>
    <w:rsid w:val="00145538"/>
    <w:rsid w:val="001456D0"/>
    <w:rsid w:val="0014575E"/>
    <w:rsid w:val="0014589A"/>
    <w:rsid w:val="001459A2"/>
    <w:rsid w:val="00145A2F"/>
    <w:rsid w:val="00145ABF"/>
    <w:rsid w:val="00145DE9"/>
    <w:rsid w:val="00145EF8"/>
    <w:rsid w:val="001461EF"/>
    <w:rsid w:val="00146241"/>
    <w:rsid w:val="00146720"/>
    <w:rsid w:val="001467A7"/>
    <w:rsid w:val="0014681C"/>
    <w:rsid w:val="0014684F"/>
    <w:rsid w:val="0014696D"/>
    <w:rsid w:val="00146AEA"/>
    <w:rsid w:val="00146C10"/>
    <w:rsid w:val="00146DF6"/>
    <w:rsid w:val="00147073"/>
    <w:rsid w:val="00147194"/>
    <w:rsid w:val="001472A5"/>
    <w:rsid w:val="00147636"/>
    <w:rsid w:val="00147659"/>
    <w:rsid w:val="00147966"/>
    <w:rsid w:val="00147A5B"/>
    <w:rsid w:val="00147C37"/>
    <w:rsid w:val="00147DAF"/>
    <w:rsid w:val="00147F24"/>
    <w:rsid w:val="00150410"/>
    <w:rsid w:val="00150435"/>
    <w:rsid w:val="00150615"/>
    <w:rsid w:val="00150659"/>
    <w:rsid w:val="001506EE"/>
    <w:rsid w:val="0015070E"/>
    <w:rsid w:val="001508EB"/>
    <w:rsid w:val="00150A31"/>
    <w:rsid w:val="00150AFB"/>
    <w:rsid w:val="00150D17"/>
    <w:rsid w:val="00150E87"/>
    <w:rsid w:val="00150F97"/>
    <w:rsid w:val="00151011"/>
    <w:rsid w:val="00151140"/>
    <w:rsid w:val="0015131D"/>
    <w:rsid w:val="0015158A"/>
    <w:rsid w:val="001516C7"/>
    <w:rsid w:val="00151DC7"/>
    <w:rsid w:val="00151E10"/>
    <w:rsid w:val="00151E5B"/>
    <w:rsid w:val="00152095"/>
    <w:rsid w:val="00152200"/>
    <w:rsid w:val="001522C9"/>
    <w:rsid w:val="0015235D"/>
    <w:rsid w:val="00152598"/>
    <w:rsid w:val="001526A4"/>
    <w:rsid w:val="00152805"/>
    <w:rsid w:val="001529D8"/>
    <w:rsid w:val="00152C7D"/>
    <w:rsid w:val="00152CA6"/>
    <w:rsid w:val="00153065"/>
    <w:rsid w:val="00153122"/>
    <w:rsid w:val="001531BD"/>
    <w:rsid w:val="0015367E"/>
    <w:rsid w:val="00153747"/>
    <w:rsid w:val="00153AFE"/>
    <w:rsid w:val="00153F95"/>
    <w:rsid w:val="001541DA"/>
    <w:rsid w:val="001543E3"/>
    <w:rsid w:val="0015497F"/>
    <w:rsid w:val="00154B9D"/>
    <w:rsid w:val="00154CB9"/>
    <w:rsid w:val="00154F8C"/>
    <w:rsid w:val="00154FE5"/>
    <w:rsid w:val="001550BB"/>
    <w:rsid w:val="001551C2"/>
    <w:rsid w:val="00155240"/>
    <w:rsid w:val="00155278"/>
    <w:rsid w:val="001552AB"/>
    <w:rsid w:val="00155339"/>
    <w:rsid w:val="0015557F"/>
    <w:rsid w:val="001555B5"/>
    <w:rsid w:val="00155ACE"/>
    <w:rsid w:val="00155B4A"/>
    <w:rsid w:val="00155D7C"/>
    <w:rsid w:val="00155D95"/>
    <w:rsid w:val="00155EAF"/>
    <w:rsid w:val="00156134"/>
    <w:rsid w:val="001561CC"/>
    <w:rsid w:val="00156380"/>
    <w:rsid w:val="001565F4"/>
    <w:rsid w:val="00156636"/>
    <w:rsid w:val="001567AF"/>
    <w:rsid w:val="001569CA"/>
    <w:rsid w:val="00156A76"/>
    <w:rsid w:val="00156B0A"/>
    <w:rsid w:val="00156DB0"/>
    <w:rsid w:val="00156E81"/>
    <w:rsid w:val="00156F06"/>
    <w:rsid w:val="0015716D"/>
    <w:rsid w:val="001574DB"/>
    <w:rsid w:val="001575CC"/>
    <w:rsid w:val="00157AFB"/>
    <w:rsid w:val="00157B65"/>
    <w:rsid w:val="00157D06"/>
    <w:rsid w:val="00157E73"/>
    <w:rsid w:val="0016016A"/>
    <w:rsid w:val="00160371"/>
    <w:rsid w:val="00160837"/>
    <w:rsid w:val="001609DE"/>
    <w:rsid w:val="00160B8A"/>
    <w:rsid w:val="00160CC4"/>
    <w:rsid w:val="00160E48"/>
    <w:rsid w:val="001610CF"/>
    <w:rsid w:val="00161216"/>
    <w:rsid w:val="001613CC"/>
    <w:rsid w:val="00161429"/>
    <w:rsid w:val="0016150B"/>
    <w:rsid w:val="00161AF3"/>
    <w:rsid w:val="00161D43"/>
    <w:rsid w:val="00162109"/>
    <w:rsid w:val="00162483"/>
    <w:rsid w:val="0016258B"/>
    <w:rsid w:val="001628D1"/>
    <w:rsid w:val="001628E9"/>
    <w:rsid w:val="00162A9C"/>
    <w:rsid w:val="00162C3D"/>
    <w:rsid w:val="00162E28"/>
    <w:rsid w:val="00162FEF"/>
    <w:rsid w:val="001630D9"/>
    <w:rsid w:val="0016338A"/>
    <w:rsid w:val="001633A7"/>
    <w:rsid w:val="00163461"/>
    <w:rsid w:val="00163857"/>
    <w:rsid w:val="001638C8"/>
    <w:rsid w:val="00163A87"/>
    <w:rsid w:val="00163ECE"/>
    <w:rsid w:val="00163F5A"/>
    <w:rsid w:val="0016405A"/>
    <w:rsid w:val="001640AC"/>
    <w:rsid w:val="0016410B"/>
    <w:rsid w:val="00164161"/>
    <w:rsid w:val="0016422E"/>
    <w:rsid w:val="001646A9"/>
    <w:rsid w:val="001646BE"/>
    <w:rsid w:val="00164763"/>
    <w:rsid w:val="00164CA6"/>
    <w:rsid w:val="00164FA1"/>
    <w:rsid w:val="0016525A"/>
    <w:rsid w:val="0016566B"/>
    <w:rsid w:val="00165A17"/>
    <w:rsid w:val="00165A56"/>
    <w:rsid w:val="00165EE9"/>
    <w:rsid w:val="00166297"/>
    <w:rsid w:val="00166343"/>
    <w:rsid w:val="001665C6"/>
    <w:rsid w:val="001666C8"/>
    <w:rsid w:val="00166825"/>
    <w:rsid w:val="00166BCA"/>
    <w:rsid w:val="00167125"/>
    <w:rsid w:val="001673E6"/>
    <w:rsid w:val="0016788B"/>
    <w:rsid w:val="00170317"/>
    <w:rsid w:val="0017050E"/>
    <w:rsid w:val="001708BF"/>
    <w:rsid w:val="00170994"/>
    <w:rsid w:val="001709AD"/>
    <w:rsid w:val="00170EE3"/>
    <w:rsid w:val="001713A3"/>
    <w:rsid w:val="0017165C"/>
    <w:rsid w:val="00171886"/>
    <w:rsid w:val="00171921"/>
    <w:rsid w:val="00171B86"/>
    <w:rsid w:val="00171F5F"/>
    <w:rsid w:val="00172163"/>
    <w:rsid w:val="0017219F"/>
    <w:rsid w:val="00172285"/>
    <w:rsid w:val="0017240F"/>
    <w:rsid w:val="0017244A"/>
    <w:rsid w:val="001727B3"/>
    <w:rsid w:val="00172856"/>
    <w:rsid w:val="001728C3"/>
    <w:rsid w:val="00172952"/>
    <w:rsid w:val="001731D1"/>
    <w:rsid w:val="001733FA"/>
    <w:rsid w:val="00173439"/>
    <w:rsid w:val="00173583"/>
    <w:rsid w:val="001738EB"/>
    <w:rsid w:val="00173A06"/>
    <w:rsid w:val="00173B51"/>
    <w:rsid w:val="00173D24"/>
    <w:rsid w:val="00173D2C"/>
    <w:rsid w:val="0017427B"/>
    <w:rsid w:val="00174811"/>
    <w:rsid w:val="0017499C"/>
    <w:rsid w:val="00174E8D"/>
    <w:rsid w:val="001750CF"/>
    <w:rsid w:val="00175113"/>
    <w:rsid w:val="00175209"/>
    <w:rsid w:val="001755F8"/>
    <w:rsid w:val="001756CB"/>
    <w:rsid w:val="00175A7A"/>
    <w:rsid w:val="00176495"/>
    <w:rsid w:val="00176598"/>
    <w:rsid w:val="00176837"/>
    <w:rsid w:val="00176A12"/>
    <w:rsid w:val="00176C77"/>
    <w:rsid w:val="00176DD9"/>
    <w:rsid w:val="00177104"/>
    <w:rsid w:val="001771FB"/>
    <w:rsid w:val="00177426"/>
    <w:rsid w:val="001774EF"/>
    <w:rsid w:val="001776C9"/>
    <w:rsid w:val="001777E6"/>
    <w:rsid w:val="001778D6"/>
    <w:rsid w:val="00177A27"/>
    <w:rsid w:val="00177B51"/>
    <w:rsid w:val="00177BDB"/>
    <w:rsid w:val="00177CA9"/>
    <w:rsid w:val="00177F4B"/>
    <w:rsid w:val="001801CE"/>
    <w:rsid w:val="00180751"/>
    <w:rsid w:val="00180829"/>
    <w:rsid w:val="00180B64"/>
    <w:rsid w:val="00180BF8"/>
    <w:rsid w:val="00181059"/>
    <w:rsid w:val="0018105E"/>
    <w:rsid w:val="001812B6"/>
    <w:rsid w:val="00181381"/>
    <w:rsid w:val="00181875"/>
    <w:rsid w:val="00181B0F"/>
    <w:rsid w:val="00181C0B"/>
    <w:rsid w:val="0018205E"/>
    <w:rsid w:val="00182131"/>
    <w:rsid w:val="001822AD"/>
    <w:rsid w:val="0018272A"/>
    <w:rsid w:val="00182762"/>
    <w:rsid w:val="00182851"/>
    <w:rsid w:val="001828EA"/>
    <w:rsid w:val="00182B15"/>
    <w:rsid w:val="00182B3D"/>
    <w:rsid w:val="00182EA0"/>
    <w:rsid w:val="00182EED"/>
    <w:rsid w:val="001830C4"/>
    <w:rsid w:val="001832AD"/>
    <w:rsid w:val="00183354"/>
    <w:rsid w:val="001833E9"/>
    <w:rsid w:val="00183467"/>
    <w:rsid w:val="001834ED"/>
    <w:rsid w:val="00183965"/>
    <w:rsid w:val="00183AD6"/>
    <w:rsid w:val="00183EA7"/>
    <w:rsid w:val="001840D9"/>
    <w:rsid w:val="001845A4"/>
    <w:rsid w:val="001847A8"/>
    <w:rsid w:val="00184983"/>
    <w:rsid w:val="00184BDA"/>
    <w:rsid w:val="00184C80"/>
    <w:rsid w:val="00184DFE"/>
    <w:rsid w:val="00184EE9"/>
    <w:rsid w:val="001850B8"/>
    <w:rsid w:val="0018518F"/>
    <w:rsid w:val="00185447"/>
    <w:rsid w:val="001854A5"/>
    <w:rsid w:val="001854FF"/>
    <w:rsid w:val="001859A9"/>
    <w:rsid w:val="001860B2"/>
    <w:rsid w:val="00186A40"/>
    <w:rsid w:val="00186B3E"/>
    <w:rsid w:val="00187115"/>
    <w:rsid w:val="0018719E"/>
    <w:rsid w:val="001871A0"/>
    <w:rsid w:val="001871EA"/>
    <w:rsid w:val="0018725C"/>
    <w:rsid w:val="00187566"/>
    <w:rsid w:val="00187668"/>
    <w:rsid w:val="0018788F"/>
    <w:rsid w:val="001878C0"/>
    <w:rsid w:val="00187938"/>
    <w:rsid w:val="00187C46"/>
    <w:rsid w:val="00187CF2"/>
    <w:rsid w:val="00187E4C"/>
    <w:rsid w:val="00187EC9"/>
    <w:rsid w:val="0019008A"/>
    <w:rsid w:val="00190115"/>
    <w:rsid w:val="00190795"/>
    <w:rsid w:val="001908C6"/>
    <w:rsid w:val="00190AD7"/>
    <w:rsid w:val="00190B61"/>
    <w:rsid w:val="00190B98"/>
    <w:rsid w:val="00190D9B"/>
    <w:rsid w:val="00190E7D"/>
    <w:rsid w:val="00190EC6"/>
    <w:rsid w:val="00191118"/>
    <w:rsid w:val="00191121"/>
    <w:rsid w:val="001914CD"/>
    <w:rsid w:val="00191E92"/>
    <w:rsid w:val="00192147"/>
    <w:rsid w:val="00192237"/>
    <w:rsid w:val="001925CD"/>
    <w:rsid w:val="0019282F"/>
    <w:rsid w:val="00192B34"/>
    <w:rsid w:val="00192C5D"/>
    <w:rsid w:val="0019337E"/>
    <w:rsid w:val="001933BF"/>
    <w:rsid w:val="001935E4"/>
    <w:rsid w:val="0019380E"/>
    <w:rsid w:val="00193C72"/>
    <w:rsid w:val="001942C9"/>
    <w:rsid w:val="001942F5"/>
    <w:rsid w:val="001943A3"/>
    <w:rsid w:val="001943D6"/>
    <w:rsid w:val="0019480F"/>
    <w:rsid w:val="00194A36"/>
    <w:rsid w:val="00194A9D"/>
    <w:rsid w:val="00194AE5"/>
    <w:rsid w:val="00194BEF"/>
    <w:rsid w:val="00194EF7"/>
    <w:rsid w:val="001950BE"/>
    <w:rsid w:val="00195287"/>
    <w:rsid w:val="001952A4"/>
    <w:rsid w:val="0019530E"/>
    <w:rsid w:val="00195319"/>
    <w:rsid w:val="001953E7"/>
    <w:rsid w:val="00195696"/>
    <w:rsid w:val="00195A9C"/>
    <w:rsid w:val="00195D96"/>
    <w:rsid w:val="001961B1"/>
    <w:rsid w:val="0019643B"/>
    <w:rsid w:val="0019657B"/>
    <w:rsid w:val="001965A3"/>
    <w:rsid w:val="00196840"/>
    <w:rsid w:val="00196878"/>
    <w:rsid w:val="001968F5"/>
    <w:rsid w:val="0019699D"/>
    <w:rsid w:val="001970D4"/>
    <w:rsid w:val="00197220"/>
    <w:rsid w:val="00197262"/>
    <w:rsid w:val="00197369"/>
    <w:rsid w:val="0019752F"/>
    <w:rsid w:val="001975E1"/>
    <w:rsid w:val="001975FF"/>
    <w:rsid w:val="0019774B"/>
    <w:rsid w:val="001979BC"/>
    <w:rsid w:val="00197B33"/>
    <w:rsid w:val="00197D3B"/>
    <w:rsid w:val="00197D58"/>
    <w:rsid w:val="00197E95"/>
    <w:rsid w:val="0019ABED"/>
    <w:rsid w:val="001A00A8"/>
    <w:rsid w:val="001A0151"/>
    <w:rsid w:val="001A02FC"/>
    <w:rsid w:val="001A088E"/>
    <w:rsid w:val="001A0A20"/>
    <w:rsid w:val="001A0ABB"/>
    <w:rsid w:val="001A0D97"/>
    <w:rsid w:val="001A106E"/>
    <w:rsid w:val="001A10D0"/>
    <w:rsid w:val="001A1237"/>
    <w:rsid w:val="001A1361"/>
    <w:rsid w:val="001A165E"/>
    <w:rsid w:val="001A1667"/>
    <w:rsid w:val="001A18A1"/>
    <w:rsid w:val="001A1926"/>
    <w:rsid w:val="001A1C58"/>
    <w:rsid w:val="001A1CD2"/>
    <w:rsid w:val="001A1E21"/>
    <w:rsid w:val="001A1EFB"/>
    <w:rsid w:val="001A1F13"/>
    <w:rsid w:val="001A230B"/>
    <w:rsid w:val="001A2396"/>
    <w:rsid w:val="001A2597"/>
    <w:rsid w:val="001A2664"/>
    <w:rsid w:val="001A290E"/>
    <w:rsid w:val="001A2BF6"/>
    <w:rsid w:val="001A2C59"/>
    <w:rsid w:val="001A2E18"/>
    <w:rsid w:val="001A327E"/>
    <w:rsid w:val="001A37BA"/>
    <w:rsid w:val="001A38B7"/>
    <w:rsid w:val="001A39A3"/>
    <w:rsid w:val="001A3B38"/>
    <w:rsid w:val="001A3C04"/>
    <w:rsid w:val="001A3F16"/>
    <w:rsid w:val="001A418C"/>
    <w:rsid w:val="001A4AB4"/>
    <w:rsid w:val="001A4B47"/>
    <w:rsid w:val="001A4C45"/>
    <w:rsid w:val="001A4DB8"/>
    <w:rsid w:val="001A4E89"/>
    <w:rsid w:val="001A4FC3"/>
    <w:rsid w:val="001A5122"/>
    <w:rsid w:val="001A5147"/>
    <w:rsid w:val="001A525B"/>
    <w:rsid w:val="001A534C"/>
    <w:rsid w:val="001A54AD"/>
    <w:rsid w:val="001A55B6"/>
    <w:rsid w:val="001A5844"/>
    <w:rsid w:val="001A5A49"/>
    <w:rsid w:val="001A5BDE"/>
    <w:rsid w:val="001A5D80"/>
    <w:rsid w:val="001A5E43"/>
    <w:rsid w:val="001A5EC8"/>
    <w:rsid w:val="001A5F0A"/>
    <w:rsid w:val="001A608C"/>
    <w:rsid w:val="001A61C1"/>
    <w:rsid w:val="001A62F9"/>
    <w:rsid w:val="001A64C2"/>
    <w:rsid w:val="001A655C"/>
    <w:rsid w:val="001A661D"/>
    <w:rsid w:val="001A681E"/>
    <w:rsid w:val="001A6895"/>
    <w:rsid w:val="001A6A0D"/>
    <w:rsid w:val="001A6AA3"/>
    <w:rsid w:val="001A6E90"/>
    <w:rsid w:val="001A6EF2"/>
    <w:rsid w:val="001A72D7"/>
    <w:rsid w:val="001A772E"/>
    <w:rsid w:val="001A7898"/>
    <w:rsid w:val="001A78EF"/>
    <w:rsid w:val="001A7C5E"/>
    <w:rsid w:val="001B004C"/>
    <w:rsid w:val="001B0091"/>
    <w:rsid w:val="001B04CF"/>
    <w:rsid w:val="001B054A"/>
    <w:rsid w:val="001B07B8"/>
    <w:rsid w:val="001B08B9"/>
    <w:rsid w:val="001B095B"/>
    <w:rsid w:val="001B0B01"/>
    <w:rsid w:val="001B0C20"/>
    <w:rsid w:val="001B0CB3"/>
    <w:rsid w:val="001B0CD5"/>
    <w:rsid w:val="001B0D59"/>
    <w:rsid w:val="001B0E0C"/>
    <w:rsid w:val="001B13E9"/>
    <w:rsid w:val="001B1837"/>
    <w:rsid w:val="001B19E7"/>
    <w:rsid w:val="001B1CC3"/>
    <w:rsid w:val="001B1E38"/>
    <w:rsid w:val="001B23D8"/>
    <w:rsid w:val="001B2437"/>
    <w:rsid w:val="001B2899"/>
    <w:rsid w:val="001B2CA6"/>
    <w:rsid w:val="001B2D52"/>
    <w:rsid w:val="001B2E7F"/>
    <w:rsid w:val="001B2FD0"/>
    <w:rsid w:val="001B3189"/>
    <w:rsid w:val="001B328D"/>
    <w:rsid w:val="001B338D"/>
    <w:rsid w:val="001B35C0"/>
    <w:rsid w:val="001B36B6"/>
    <w:rsid w:val="001B3956"/>
    <w:rsid w:val="001B397F"/>
    <w:rsid w:val="001B3ED4"/>
    <w:rsid w:val="001B3F31"/>
    <w:rsid w:val="001B410A"/>
    <w:rsid w:val="001B456F"/>
    <w:rsid w:val="001B4635"/>
    <w:rsid w:val="001B4665"/>
    <w:rsid w:val="001B471B"/>
    <w:rsid w:val="001B473F"/>
    <w:rsid w:val="001B499D"/>
    <w:rsid w:val="001B499F"/>
    <w:rsid w:val="001B4BFE"/>
    <w:rsid w:val="001B4C16"/>
    <w:rsid w:val="001B4F13"/>
    <w:rsid w:val="001B5039"/>
    <w:rsid w:val="001B51D6"/>
    <w:rsid w:val="001B54AC"/>
    <w:rsid w:val="001B579A"/>
    <w:rsid w:val="001B5813"/>
    <w:rsid w:val="001B5B32"/>
    <w:rsid w:val="001B5E5D"/>
    <w:rsid w:val="001B5F5D"/>
    <w:rsid w:val="001B62A8"/>
    <w:rsid w:val="001B65C6"/>
    <w:rsid w:val="001B6F5E"/>
    <w:rsid w:val="001B6F8D"/>
    <w:rsid w:val="001B707A"/>
    <w:rsid w:val="001B7C7A"/>
    <w:rsid w:val="001B7F7F"/>
    <w:rsid w:val="001C041A"/>
    <w:rsid w:val="001C04FA"/>
    <w:rsid w:val="001C0D33"/>
    <w:rsid w:val="001C0E00"/>
    <w:rsid w:val="001C104D"/>
    <w:rsid w:val="001C11EF"/>
    <w:rsid w:val="001C1679"/>
    <w:rsid w:val="001C17A3"/>
    <w:rsid w:val="001C19B8"/>
    <w:rsid w:val="001C1A0A"/>
    <w:rsid w:val="001C1D91"/>
    <w:rsid w:val="001C1F5F"/>
    <w:rsid w:val="001C20E5"/>
    <w:rsid w:val="001C21E4"/>
    <w:rsid w:val="001C2361"/>
    <w:rsid w:val="001C247F"/>
    <w:rsid w:val="001C254A"/>
    <w:rsid w:val="001C2687"/>
    <w:rsid w:val="001C292F"/>
    <w:rsid w:val="001C2C2E"/>
    <w:rsid w:val="001C2C93"/>
    <w:rsid w:val="001C2CDA"/>
    <w:rsid w:val="001C30C0"/>
    <w:rsid w:val="001C312E"/>
    <w:rsid w:val="001C33BF"/>
    <w:rsid w:val="001C3418"/>
    <w:rsid w:val="001C39C6"/>
    <w:rsid w:val="001C3AB7"/>
    <w:rsid w:val="001C3C2C"/>
    <w:rsid w:val="001C3EAF"/>
    <w:rsid w:val="001C3F81"/>
    <w:rsid w:val="001C41F8"/>
    <w:rsid w:val="001C4680"/>
    <w:rsid w:val="001C4837"/>
    <w:rsid w:val="001C4886"/>
    <w:rsid w:val="001C4AC5"/>
    <w:rsid w:val="001C4C1B"/>
    <w:rsid w:val="001C4C4E"/>
    <w:rsid w:val="001C4FDD"/>
    <w:rsid w:val="001C519B"/>
    <w:rsid w:val="001C5790"/>
    <w:rsid w:val="001C5983"/>
    <w:rsid w:val="001C5A1F"/>
    <w:rsid w:val="001C5BAD"/>
    <w:rsid w:val="001C5C82"/>
    <w:rsid w:val="001C5CC0"/>
    <w:rsid w:val="001C5F09"/>
    <w:rsid w:val="001C5FDC"/>
    <w:rsid w:val="001C60CE"/>
    <w:rsid w:val="001C62F2"/>
    <w:rsid w:val="001C6435"/>
    <w:rsid w:val="001C6449"/>
    <w:rsid w:val="001C64A8"/>
    <w:rsid w:val="001C64AD"/>
    <w:rsid w:val="001C68E1"/>
    <w:rsid w:val="001C696A"/>
    <w:rsid w:val="001C6B43"/>
    <w:rsid w:val="001C6D6D"/>
    <w:rsid w:val="001C7358"/>
    <w:rsid w:val="001C7365"/>
    <w:rsid w:val="001C74CA"/>
    <w:rsid w:val="001C7C9A"/>
    <w:rsid w:val="001C7E3C"/>
    <w:rsid w:val="001D0292"/>
    <w:rsid w:val="001D030B"/>
    <w:rsid w:val="001D03D8"/>
    <w:rsid w:val="001D04AE"/>
    <w:rsid w:val="001D04B6"/>
    <w:rsid w:val="001D07B5"/>
    <w:rsid w:val="001D0CC7"/>
    <w:rsid w:val="001D0D59"/>
    <w:rsid w:val="001D1043"/>
    <w:rsid w:val="001D104B"/>
    <w:rsid w:val="001D139A"/>
    <w:rsid w:val="001D1467"/>
    <w:rsid w:val="001D172F"/>
    <w:rsid w:val="001D183B"/>
    <w:rsid w:val="001D199D"/>
    <w:rsid w:val="001D1BF6"/>
    <w:rsid w:val="001D1D71"/>
    <w:rsid w:val="001D1F53"/>
    <w:rsid w:val="001D2550"/>
    <w:rsid w:val="001D2700"/>
    <w:rsid w:val="001D2701"/>
    <w:rsid w:val="001D27CE"/>
    <w:rsid w:val="001D27F0"/>
    <w:rsid w:val="001D2946"/>
    <w:rsid w:val="001D29F1"/>
    <w:rsid w:val="001D2A74"/>
    <w:rsid w:val="001D2B05"/>
    <w:rsid w:val="001D2B2F"/>
    <w:rsid w:val="001D2E84"/>
    <w:rsid w:val="001D2FC3"/>
    <w:rsid w:val="001D3475"/>
    <w:rsid w:val="001D351E"/>
    <w:rsid w:val="001D37FD"/>
    <w:rsid w:val="001D3869"/>
    <w:rsid w:val="001D39D8"/>
    <w:rsid w:val="001D3B01"/>
    <w:rsid w:val="001D3C06"/>
    <w:rsid w:val="001D3F2E"/>
    <w:rsid w:val="001D4548"/>
    <w:rsid w:val="001D4586"/>
    <w:rsid w:val="001D4AE7"/>
    <w:rsid w:val="001D4EA7"/>
    <w:rsid w:val="001D50FF"/>
    <w:rsid w:val="001D540F"/>
    <w:rsid w:val="001D58C7"/>
    <w:rsid w:val="001D5D5F"/>
    <w:rsid w:val="001D5DBE"/>
    <w:rsid w:val="001D5E28"/>
    <w:rsid w:val="001D6230"/>
    <w:rsid w:val="001D6574"/>
    <w:rsid w:val="001D65EF"/>
    <w:rsid w:val="001D6654"/>
    <w:rsid w:val="001D678A"/>
    <w:rsid w:val="001D6894"/>
    <w:rsid w:val="001D6AF4"/>
    <w:rsid w:val="001D6F98"/>
    <w:rsid w:val="001D714F"/>
    <w:rsid w:val="001D7397"/>
    <w:rsid w:val="001D7695"/>
    <w:rsid w:val="001D7727"/>
    <w:rsid w:val="001D77E6"/>
    <w:rsid w:val="001D7925"/>
    <w:rsid w:val="001D7A64"/>
    <w:rsid w:val="001D7AE6"/>
    <w:rsid w:val="001E00F7"/>
    <w:rsid w:val="001E045E"/>
    <w:rsid w:val="001E0751"/>
    <w:rsid w:val="001E0E69"/>
    <w:rsid w:val="001E0F23"/>
    <w:rsid w:val="001E1096"/>
    <w:rsid w:val="001E1118"/>
    <w:rsid w:val="001E11A1"/>
    <w:rsid w:val="001E120E"/>
    <w:rsid w:val="001E14E3"/>
    <w:rsid w:val="001E14F4"/>
    <w:rsid w:val="001E1635"/>
    <w:rsid w:val="001E1761"/>
    <w:rsid w:val="001E1806"/>
    <w:rsid w:val="001E1851"/>
    <w:rsid w:val="001E1A28"/>
    <w:rsid w:val="001E200F"/>
    <w:rsid w:val="001E24B8"/>
    <w:rsid w:val="001E2989"/>
    <w:rsid w:val="001E2B10"/>
    <w:rsid w:val="001E2C9D"/>
    <w:rsid w:val="001E3192"/>
    <w:rsid w:val="001E32CB"/>
    <w:rsid w:val="001E36C5"/>
    <w:rsid w:val="001E3FC9"/>
    <w:rsid w:val="001E41E3"/>
    <w:rsid w:val="001E4337"/>
    <w:rsid w:val="001E440D"/>
    <w:rsid w:val="001E44D4"/>
    <w:rsid w:val="001E4630"/>
    <w:rsid w:val="001E474C"/>
    <w:rsid w:val="001E4964"/>
    <w:rsid w:val="001E4A2A"/>
    <w:rsid w:val="001E4A54"/>
    <w:rsid w:val="001E4AD5"/>
    <w:rsid w:val="001E4B8C"/>
    <w:rsid w:val="001E4C2D"/>
    <w:rsid w:val="001E4F4F"/>
    <w:rsid w:val="001E509C"/>
    <w:rsid w:val="001E50AA"/>
    <w:rsid w:val="001E5721"/>
    <w:rsid w:val="001E5855"/>
    <w:rsid w:val="001E596A"/>
    <w:rsid w:val="001E5DE0"/>
    <w:rsid w:val="001E5E76"/>
    <w:rsid w:val="001E63CA"/>
    <w:rsid w:val="001E63D0"/>
    <w:rsid w:val="001E65A7"/>
    <w:rsid w:val="001E6612"/>
    <w:rsid w:val="001E6789"/>
    <w:rsid w:val="001E6884"/>
    <w:rsid w:val="001E6957"/>
    <w:rsid w:val="001E6A2A"/>
    <w:rsid w:val="001E6C16"/>
    <w:rsid w:val="001E7175"/>
    <w:rsid w:val="001E73AC"/>
    <w:rsid w:val="001E76BC"/>
    <w:rsid w:val="001E7B26"/>
    <w:rsid w:val="001E7CFF"/>
    <w:rsid w:val="001F00B7"/>
    <w:rsid w:val="001F01AC"/>
    <w:rsid w:val="001F0229"/>
    <w:rsid w:val="001F0434"/>
    <w:rsid w:val="001F078D"/>
    <w:rsid w:val="001F0967"/>
    <w:rsid w:val="001F0B05"/>
    <w:rsid w:val="001F12CF"/>
    <w:rsid w:val="001F12DD"/>
    <w:rsid w:val="001F1403"/>
    <w:rsid w:val="001F1582"/>
    <w:rsid w:val="001F173A"/>
    <w:rsid w:val="001F1755"/>
    <w:rsid w:val="001F1886"/>
    <w:rsid w:val="001F1978"/>
    <w:rsid w:val="001F197D"/>
    <w:rsid w:val="001F1BCA"/>
    <w:rsid w:val="001F1C27"/>
    <w:rsid w:val="001F1C76"/>
    <w:rsid w:val="001F22A8"/>
    <w:rsid w:val="001F2A7E"/>
    <w:rsid w:val="001F2FEF"/>
    <w:rsid w:val="001F3096"/>
    <w:rsid w:val="001F32AC"/>
    <w:rsid w:val="001F3956"/>
    <w:rsid w:val="001F3A02"/>
    <w:rsid w:val="001F3A45"/>
    <w:rsid w:val="001F3CCA"/>
    <w:rsid w:val="001F3D50"/>
    <w:rsid w:val="001F3E5D"/>
    <w:rsid w:val="001F405D"/>
    <w:rsid w:val="001F40A7"/>
    <w:rsid w:val="001F4122"/>
    <w:rsid w:val="001F4422"/>
    <w:rsid w:val="001F44D9"/>
    <w:rsid w:val="001F457B"/>
    <w:rsid w:val="001F45EA"/>
    <w:rsid w:val="001F4A6E"/>
    <w:rsid w:val="001F4D59"/>
    <w:rsid w:val="001F4FBA"/>
    <w:rsid w:val="001F57D4"/>
    <w:rsid w:val="001F5895"/>
    <w:rsid w:val="001F58A9"/>
    <w:rsid w:val="001F58B2"/>
    <w:rsid w:val="001F597A"/>
    <w:rsid w:val="001F5CF8"/>
    <w:rsid w:val="001F5DFD"/>
    <w:rsid w:val="001F5E71"/>
    <w:rsid w:val="001F5E98"/>
    <w:rsid w:val="001F5ED6"/>
    <w:rsid w:val="001F6057"/>
    <w:rsid w:val="001F6124"/>
    <w:rsid w:val="001F63A9"/>
    <w:rsid w:val="001F63BB"/>
    <w:rsid w:val="001F6479"/>
    <w:rsid w:val="001F670E"/>
    <w:rsid w:val="001F677E"/>
    <w:rsid w:val="001F678D"/>
    <w:rsid w:val="001F67AE"/>
    <w:rsid w:val="001F6880"/>
    <w:rsid w:val="001F696E"/>
    <w:rsid w:val="001F6A84"/>
    <w:rsid w:val="001F6BB1"/>
    <w:rsid w:val="001F6E39"/>
    <w:rsid w:val="001F725E"/>
    <w:rsid w:val="001F771B"/>
    <w:rsid w:val="001F77B3"/>
    <w:rsid w:val="001F7954"/>
    <w:rsid w:val="001F796D"/>
    <w:rsid w:val="001F79B7"/>
    <w:rsid w:val="001F7A93"/>
    <w:rsid w:val="001F7C62"/>
    <w:rsid w:val="001F7CA2"/>
    <w:rsid w:val="001F7DE3"/>
    <w:rsid w:val="00200213"/>
    <w:rsid w:val="002002A0"/>
    <w:rsid w:val="0020040C"/>
    <w:rsid w:val="0020045A"/>
    <w:rsid w:val="00200725"/>
    <w:rsid w:val="002009D7"/>
    <w:rsid w:val="00200C8D"/>
    <w:rsid w:val="00200D07"/>
    <w:rsid w:val="00200D75"/>
    <w:rsid w:val="00201193"/>
    <w:rsid w:val="002013DE"/>
    <w:rsid w:val="00201528"/>
    <w:rsid w:val="00201539"/>
    <w:rsid w:val="00201551"/>
    <w:rsid w:val="0020162E"/>
    <w:rsid w:val="0020167E"/>
    <w:rsid w:val="002016BF"/>
    <w:rsid w:val="002018BA"/>
    <w:rsid w:val="00201A97"/>
    <w:rsid w:val="00202059"/>
    <w:rsid w:val="0020238E"/>
    <w:rsid w:val="002023C2"/>
    <w:rsid w:val="00202572"/>
    <w:rsid w:val="002025EE"/>
    <w:rsid w:val="00202E27"/>
    <w:rsid w:val="00202EF6"/>
    <w:rsid w:val="002031B7"/>
    <w:rsid w:val="002035AF"/>
    <w:rsid w:val="002036FD"/>
    <w:rsid w:val="0020399D"/>
    <w:rsid w:val="00203ADD"/>
    <w:rsid w:val="00203B01"/>
    <w:rsid w:val="00203B2F"/>
    <w:rsid w:val="00203C59"/>
    <w:rsid w:val="00203C63"/>
    <w:rsid w:val="00203E90"/>
    <w:rsid w:val="002043D8"/>
    <w:rsid w:val="0020482B"/>
    <w:rsid w:val="00204882"/>
    <w:rsid w:val="00204B2B"/>
    <w:rsid w:val="00204CD3"/>
    <w:rsid w:val="00204D2C"/>
    <w:rsid w:val="00204D3C"/>
    <w:rsid w:val="0020514B"/>
    <w:rsid w:val="002053D1"/>
    <w:rsid w:val="002053ED"/>
    <w:rsid w:val="00205410"/>
    <w:rsid w:val="00205701"/>
    <w:rsid w:val="00205708"/>
    <w:rsid w:val="0020579D"/>
    <w:rsid w:val="00205923"/>
    <w:rsid w:val="00205D61"/>
    <w:rsid w:val="00205FB4"/>
    <w:rsid w:val="0020628B"/>
    <w:rsid w:val="00206297"/>
    <w:rsid w:val="002063C7"/>
    <w:rsid w:val="00206405"/>
    <w:rsid w:val="002066CB"/>
    <w:rsid w:val="002069C6"/>
    <w:rsid w:val="00206FBB"/>
    <w:rsid w:val="002070E0"/>
    <w:rsid w:val="0020712E"/>
    <w:rsid w:val="0020732A"/>
    <w:rsid w:val="00207378"/>
    <w:rsid w:val="0020737D"/>
    <w:rsid w:val="002073BB"/>
    <w:rsid w:val="002074AB"/>
    <w:rsid w:val="002075CE"/>
    <w:rsid w:val="0020787E"/>
    <w:rsid w:val="00207A84"/>
    <w:rsid w:val="00207B56"/>
    <w:rsid w:val="00207CB0"/>
    <w:rsid w:val="00207D38"/>
    <w:rsid w:val="002100E1"/>
    <w:rsid w:val="00210157"/>
    <w:rsid w:val="002102B6"/>
    <w:rsid w:val="00210341"/>
    <w:rsid w:val="002103AA"/>
    <w:rsid w:val="002108D1"/>
    <w:rsid w:val="002109AD"/>
    <w:rsid w:val="00210B1D"/>
    <w:rsid w:val="00210B72"/>
    <w:rsid w:val="00210EEA"/>
    <w:rsid w:val="00211153"/>
    <w:rsid w:val="0021118C"/>
    <w:rsid w:val="002111A2"/>
    <w:rsid w:val="002117CA"/>
    <w:rsid w:val="0021181C"/>
    <w:rsid w:val="002118A9"/>
    <w:rsid w:val="00211ACD"/>
    <w:rsid w:val="00211B36"/>
    <w:rsid w:val="00211B40"/>
    <w:rsid w:val="00211DC7"/>
    <w:rsid w:val="00211E96"/>
    <w:rsid w:val="002120F9"/>
    <w:rsid w:val="00212103"/>
    <w:rsid w:val="00212316"/>
    <w:rsid w:val="0021260B"/>
    <w:rsid w:val="00212629"/>
    <w:rsid w:val="0021301C"/>
    <w:rsid w:val="00213092"/>
    <w:rsid w:val="002132A2"/>
    <w:rsid w:val="0021360F"/>
    <w:rsid w:val="002139DF"/>
    <w:rsid w:val="00213B76"/>
    <w:rsid w:val="002141EB"/>
    <w:rsid w:val="00214225"/>
    <w:rsid w:val="002142A2"/>
    <w:rsid w:val="00214326"/>
    <w:rsid w:val="00214352"/>
    <w:rsid w:val="0021439B"/>
    <w:rsid w:val="002143BE"/>
    <w:rsid w:val="0021485B"/>
    <w:rsid w:val="0021493C"/>
    <w:rsid w:val="002149EC"/>
    <w:rsid w:val="00214AB0"/>
    <w:rsid w:val="00214DB4"/>
    <w:rsid w:val="00214DF5"/>
    <w:rsid w:val="00215285"/>
    <w:rsid w:val="002158B5"/>
    <w:rsid w:val="00215954"/>
    <w:rsid w:val="00215A23"/>
    <w:rsid w:val="00215AB7"/>
    <w:rsid w:val="00215B3A"/>
    <w:rsid w:val="002160E5"/>
    <w:rsid w:val="0021647E"/>
    <w:rsid w:val="002166D4"/>
    <w:rsid w:val="00216726"/>
    <w:rsid w:val="002167B5"/>
    <w:rsid w:val="002169BD"/>
    <w:rsid w:val="00216A23"/>
    <w:rsid w:val="00216A4B"/>
    <w:rsid w:val="00216A5E"/>
    <w:rsid w:val="00216C3E"/>
    <w:rsid w:val="00216EA5"/>
    <w:rsid w:val="00216FD7"/>
    <w:rsid w:val="002176C8"/>
    <w:rsid w:val="0021781D"/>
    <w:rsid w:val="0021788D"/>
    <w:rsid w:val="00217B5B"/>
    <w:rsid w:val="00217EC8"/>
    <w:rsid w:val="00220021"/>
    <w:rsid w:val="00220542"/>
    <w:rsid w:val="002206C4"/>
    <w:rsid w:val="002209BB"/>
    <w:rsid w:val="00220C63"/>
    <w:rsid w:val="00220E36"/>
    <w:rsid w:val="002211CD"/>
    <w:rsid w:val="00221364"/>
    <w:rsid w:val="0022151C"/>
    <w:rsid w:val="002216F1"/>
    <w:rsid w:val="00221AA1"/>
    <w:rsid w:val="00221B75"/>
    <w:rsid w:val="00221E8E"/>
    <w:rsid w:val="0022225C"/>
    <w:rsid w:val="00222743"/>
    <w:rsid w:val="002227B9"/>
    <w:rsid w:val="002227F7"/>
    <w:rsid w:val="00222C7E"/>
    <w:rsid w:val="00223060"/>
    <w:rsid w:val="002230EA"/>
    <w:rsid w:val="002232E0"/>
    <w:rsid w:val="0022330E"/>
    <w:rsid w:val="0022339B"/>
    <w:rsid w:val="002234B8"/>
    <w:rsid w:val="002237E0"/>
    <w:rsid w:val="002238E6"/>
    <w:rsid w:val="0022440E"/>
    <w:rsid w:val="002244D8"/>
    <w:rsid w:val="00224600"/>
    <w:rsid w:val="002246FB"/>
    <w:rsid w:val="002247EC"/>
    <w:rsid w:val="00224A53"/>
    <w:rsid w:val="00224A65"/>
    <w:rsid w:val="00224C17"/>
    <w:rsid w:val="00224E7F"/>
    <w:rsid w:val="00224FB8"/>
    <w:rsid w:val="002250EE"/>
    <w:rsid w:val="0022526E"/>
    <w:rsid w:val="002252B7"/>
    <w:rsid w:val="002254CD"/>
    <w:rsid w:val="002256E2"/>
    <w:rsid w:val="00225700"/>
    <w:rsid w:val="00225703"/>
    <w:rsid w:val="002259AD"/>
    <w:rsid w:val="00225AC7"/>
    <w:rsid w:val="00225AE5"/>
    <w:rsid w:val="00225D45"/>
    <w:rsid w:val="00225E94"/>
    <w:rsid w:val="0022601F"/>
    <w:rsid w:val="00226496"/>
    <w:rsid w:val="00226CC6"/>
    <w:rsid w:val="00226CF3"/>
    <w:rsid w:val="00226D72"/>
    <w:rsid w:val="00226DB6"/>
    <w:rsid w:val="00226F4F"/>
    <w:rsid w:val="002272F3"/>
    <w:rsid w:val="00227459"/>
    <w:rsid w:val="0022772E"/>
    <w:rsid w:val="002277C5"/>
    <w:rsid w:val="00227946"/>
    <w:rsid w:val="00227996"/>
    <w:rsid w:val="00227AA2"/>
    <w:rsid w:val="00227B40"/>
    <w:rsid w:val="00227D9A"/>
    <w:rsid w:val="00227DEB"/>
    <w:rsid w:val="002300F7"/>
    <w:rsid w:val="002301D8"/>
    <w:rsid w:val="002302A4"/>
    <w:rsid w:val="002302CD"/>
    <w:rsid w:val="002304C7"/>
    <w:rsid w:val="0023068A"/>
    <w:rsid w:val="00230AA4"/>
    <w:rsid w:val="00230B52"/>
    <w:rsid w:val="00230BA3"/>
    <w:rsid w:val="00230D38"/>
    <w:rsid w:val="0023101E"/>
    <w:rsid w:val="002310F7"/>
    <w:rsid w:val="002315C3"/>
    <w:rsid w:val="00231CE1"/>
    <w:rsid w:val="00231D14"/>
    <w:rsid w:val="00231E23"/>
    <w:rsid w:val="00231FFE"/>
    <w:rsid w:val="002320B1"/>
    <w:rsid w:val="00232559"/>
    <w:rsid w:val="00232604"/>
    <w:rsid w:val="002326BA"/>
    <w:rsid w:val="002327EE"/>
    <w:rsid w:val="002328B3"/>
    <w:rsid w:val="00232B1D"/>
    <w:rsid w:val="00232B9B"/>
    <w:rsid w:val="00232D93"/>
    <w:rsid w:val="00232E54"/>
    <w:rsid w:val="00232E64"/>
    <w:rsid w:val="00232F7C"/>
    <w:rsid w:val="00232FE7"/>
    <w:rsid w:val="002330F0"/>
    <w:rsid w:val="00233343"/>
    <w:rsid w:val="002334BF"/>
    <w:rsid w:val="00233542"/>
    <w:rsid w:val="002335CF"/>
    <w:rsid w:val="00233695"/>
    <w:rsid w:val="00233807"/>
    <w:rsid w:val="0023387A"/>
    <w:rsid w:val="002339EA"/>
    <w:rsid w:val="0023406D"/>
    <w:rsid w:val="002341B7"/>
    <w:rsid w:val="00234234"/>
    <w:rsid w:val="0023428A"/>
    <w:rsid w:val="002345BD"/>
    <w:rsid w:val="00234711"/>
    <w:rsid w:val="002348C8"/>
    <w:rsid w:val="00234BDA"/>
    <w:rsid w:val="00234FB4"/>
    <w:rsid w:val="002350DB"/>
    <w:rsid w:val="0023519B"/>
    <w:rsid w:val="0023525A"/>
    <w:rsid w:val="002354C6"/>
    <w:rsid w:val="0023594E"/>
    <w:rsid w:val="0023598C"/>
    <w:rsid w:val="00235BEA"/>
    <w:rsid w:val="00235EAC"/>
    <w:rsid w:val="0023601F"/>
    <w:rsid w:val="00236038"/>
    <w:rsid w:val="002362BA"/>
    <w:rsid w:val="0023630E"/>
    <w:rsid w:val="00236341"/>
    <w:rsid w:val="0023646F"/>
    <w:rsid w:val="002364FD"/>
    <w:rsid w:val="00236619"/>
    <w:rsid w:val="0023669F"/>
    <w:rsid w:val="00236C3C"/>
    <w:rsid w:val="002371CC"/>
    <w:rsid w:val="00237418"/>
    <w:rsid w:val="0023760E"/>
    <w:rsid w:val="0023792C"/>
    <w:rsid w:val="00237A42"/>
    <w:rsid w:val="00237C35"/>
    <w:rsid w:val="00237CCA"/>
    <w:rsid w:val="00237FC9"/>
    <w:rsid w:val="00240543"/>
    <w:rsid w:val="00240569"/>
    <w:rsid w:val="0024080B"/>
    <w:rsid w:val="002409B6"/>
    <w:rsid w:val="00240A1F"/>
    <w:rsid w:val="00240BA1"/>
    <w:rsid w:val="00240ED7"/>
    <w:rsid w:val="00240FEA"/>
    <w:rsid w:val="00241218"/>
    <w:rsid w:val="0024132C"/>
    <w:rsid w:val="002415AF"/>
    <w:rsid w:val="00241689"/>
    <w:rsid w:val="0024177F"/>
    <w:rsid w:val="002419C4"/>
    <w:rsid w:val="00241A7F"/>
    <w:rsid w:val="00241D4B"/>
    <w:rsid w:val="00241FD0"/>
    <w:rsid w:val="00242084"/>
    <w:rsid w:val="002420DF"/>
    <w:rsid w:val="00242623"/>
    <w:rsid w:val="0024269A"/>
    <w:rsid w:val="0024317F"/>
    <w:rsid w:val="002431B7"/>
    <w:rsid w:val="00243224"/>
    <w:rsid w:val="002432B9"/>
    <w:rsid w:val="00243836"/>
    <w:rsid w:val="00243893"/>
    <w:rsid w:val="00243C85"/>
    <w:rsid w:val="00243FF1"/>
    <w:rsid w:val="002440F7"/>
    <w:rsid w:val="00244208"/>
    <w:rsid w:val="0024465A"/>
    <w:rsid w:val="002447DC"/>
    <w:rsid w:val="0024496E"/>
    <w:rsid w:val="00244C89"/>
    <w:rsid w:val="00244E0F"/>
    <w:rsid w:val="00244F33"/>
    <w:rsid w:val="002450C6"/>
    <w:rsid w:val="002450F6"/>
    <w:rsid w:val="00245501"/>
    <w:rsid w:val="00245694"/>
    <w:rsid w:val="0024579D"/>
    <w:rsid w:val="0024583B"/>
    <w:rsid w:val="0024586D"/>
    <w:rsid w:val="002458D8"/>
    <w:rsid w:val="00245A59"/>
    <w:rsid w:val="00245C1F"/>
    <w:rsid w:val="00245DA9"/>
    <w:rsid w:val="00245E16"/>
    <w:rsid w:val="0024608E"/>
    <w:rsid w:val="0024643A"/>
    <w:rsid w:val="00246547"/>
    <w:rsid w:val="00246589"/>
    <w:rsid w:val="002465B5"/>
    <w:rsid w:val="0024663A"/>
    <w:rsid w:val="002467C1"/>
    <w:rsid w:val="0024686D"/>
    <w:rsid w:val="00246892"/>
    <w:rsid w:val="00246966"/>
    <w:rsid w:val="00246BF7"/>
    <w:rsid w:val="00246E08"/>
    <w:rsid w:val="00246F6C"/>
    <w:rsid w:val="00246FA2"/>
    <w:rsid w:val="00246FBB"/>
    <w:rsid w:val="00246FBC"/>
    <w:rsid w:val="0024744A"/>
    <w:rsid w:val="00247475"/>
    <w:rsid w:val="0024754D"/>
    <w:rsid w:val="00247772"/>
    <w:rsid w:val="002479EB"/>
    <w:rsid w:val="00247A00"/>
    <w:rsid w:val="00247A70"/>
    <w:rsid w:val="00247AE4"/>
    <w:rsid w:val="00247D7B"/>
    <w:rsid w:val="00247DBB"/>
    <w:rsid w:val="00247F69"/>
    <w:rsid w:val="002502E5"/>
    <w:rsid w:val="00250570"/>
    <w:rsid w:val="002505A0"/>
    <w:rsid w:val="0025062F"/>
    <w:rsid w:val="002506A8"/>
    <w:rsid w:val="0025076E"/>
    <w:rsid w:val="0025080C"/>
    <w:rsid w:val="00250E33"/>
    <w:rsid w:val="00250E95"/>
    <w:rsid w:val="00251076"/>
    <w:rsid w:val="00251557"/>
    <w:rsid w:val="0025169B"/>
    <w:rsid w:val="00251B17"/>
    <w:rsid w:val="00251F57"/>
    <w:rsid w:val="0025207A"/>
    <w:rsid w:val="002522F9"/>
    <w:rsid w:val="00252562"/>
    <w:rsid w:val="0025261F"/>
    <w:rsid w:val="00252666"/>
    <w:rsid w:val="00252817"/>
    <w:rsid w:val="002528E6"/>
    <w:rsid w:val="00252989"/>
    <w:rsid w:val="00252DDB"/>
    <w:rsid w:val="00252F0F"/>
    <w:rsid w:val="002532FC"/>
    <w:rsid w:val="00253453"/>
    <w:rsid w:val="002534F1"/>
    <w:rsid w:val="0025369B"/>
    <w:rsid w:val="0025372D"/>
    <w:rsid w:val="0025380C"/>
    <w:rsid w:val="00253912"/>
    <w:rsid w:val="002539A1"/>
    <w:rsid w:val="00253DA8"/>
    <w:rsid w:val="00253EA4"/>
    <w:rsid w:val="00253F2E"/>
    <w:rsid w:val="00254694"/>
    <w:rsid w:val="0025483A"/>
    <w:rsid w:val="002549DD"/>
    <w:rsid w:val="00254A11"/>
    <w:rsid w:val="00254A58"/>
    <w:rsid w:val="00254C47"/>
    <w:rsid w:val="00254C8B"/>
    <w:rsid w:val="00254D9B"/>
    <w:rsid w:val="00254DFF"/>
    <w:rsid w:val="00254E1D"/>
    <w:rsid w:val="00254E2B"/>
    <w:rsid w:val="00254F6C"/>
    <w:rsid w:val="00255570"/>
    <w:rsid w:val="00255624"/>
    <w:rsid w:val="002558E8"/>
    <w:rsid w:val="00255953"/>
    <w:rsid w:val="002559C9"/>
    <w:rsid w:val="00255DD5"/>
    <w:rsid w:val="00255E14"/>
    <w:rsid w:val="00255E42"/>
    <w:rsid w:val="00256085"/>
    <w:rsid w:val="0025619B"/>
    <w:rsid w:val="002563EA"/>
    <w:rsid w:val="0025663C"/>
    <w:rsid w:val="002569A5"/>
    <w:rsid w:val="00256A42"/>
    <w:rsid w:val="00256B00"/>
    <w:rsid w:val="00256FC2"/>
    <w:rsid w:val="002571F8"/>
    <w:rsid w:val="00257614"/>
    <w:rsid w:val="00257664"/>
    <w:rsid w:val="00257825"/>
    <w:rsid w:val="00257D86"/>
    <w:rsid w:val="00257E5C"/>
    <w:rsid w:val="00257EA8"/>
    <w:rsid w:val="00260392"/>
    <w:rsid w:val="002604D6"/>
    <w:rsid w:val="00260753"/>
    <w:rsid w:val="00260771"/>
    <w:rsid w:val="00260935"/>
    <w:rsid w:val="00260AA2"/>
    <w:rsid w:val="00260AA7"/>
    <w:rsid w:val="00260CB4"/>
    <w:rsid w:val="00261223"/>
    <w:rsid w:val="00261A4A"/>
    <w:rsid w:val="00261A95"/>
    <w:rsid w:val="00261AA3"/>
    <w:rsid w:val="00261C27"/>
    <w:rsid w:val="00261CCD"/>
    <w:rsid w:val="002621AC"/>
    <w:rsid w:val="00262404"/>
    <w:rsid w:val="00262672"/>
    <w:rsid w:val="002627E7"/>
    <w:rsid w:val="00262859"/>
    <w:rsid w:val="002628D5"/>
    <w:rsid w:val="00262914"/>
    <w:rsid w:val="00262AB7"/>
    <w:rsid w:val="00262B48"/>
    <w:rsid w:val="0026301B"/>
    <w:rsid w:val="002635BF"/>
    <w:rsid w:val="002637CB"/>
    <w:rsid w:val="00263803"/>
    <w:rsid w:val="00263927"/>
    <w:rsid w:val="002639D2"/>
    <w:rsid w:val="00263D20"/>
    <w:rsid w:val="0026410D"/>
    <w:rsid w:val="002641C6"/>
    <w:rsid w:val="002641F9"/>
    <w:rsid w:val="002643D6"/>
    <w:rsid w:val="00264402"/>
    <w:rsid w:val="002644B5"/>
    <w:rsid w:val="00264932"/>
    <w:rsid w:val="002649AC"/>
    <w:rsid w:val="002649AE"/>
    <w:rsid w:val="00264C7B"/>
    <w:rsid w:val="00264CB4"/>
    <w:rsid w:val="00264D15"/>
    <w:rsid w:val="00264DF1"/>
    <w:rsid w:val="00264F33"/>
    <w:rsid w:val="00265024"/>
    <w:rsid w:val="0026526A"/>
    <w:rsid w:val="002652D3"/>
    <w:rsid w:val="00265635"/>
    <w:rsid w:val="00265657"/>
    <w:rsid w:val="0026566A"/>
    <w:rsid w:val="00265789"/>
    <w:rsid w:val="00265A91"/>
    <w:rsid w:val="00265C93"/>
    <w:rsid w:val="00265D0A"/>
    <w:rsid w:val="00265E94"/>
    <w:rsid w:val="0026613A"/>
    <w:rsid w:val="0026621C"/>
    <w:rsid w:val="002665D7"/>
    <w:rsid w:val="002665DB"/>
    <w:rsid w:val="0026688C"/>
    <w:rsid w:val="0026694C"/>
    <w:rsid w:val="00266B4B"/>
    <w:rsid w:val="00266D31"/>
    <w:rsid w:val="00266D3B"/>
    <w:rsid w:val="00266EBE"/>
    <w:rsid w:val="00266FA1"/>
    <w:rsid w:val="00267066"/>
    <w:rsid w:val="00267396"/>
    <w:rsid w:val="002675BE"/>
    <w:rsid w:val="002678D3"/>
    <w:rsid w:val="00267E40"/>
    <w:rsid w:val="0026CBC8"/>
    <w:rsid w:val="0027034C"/>
    <w:rsid w:val="00270465"/>
    <w:rsid w:val="002704B6"/>
    <w:rsid w:val="002705CB"/>
    <w:rsid w:val="00270640"/>
    <w:rsid w:val="00270AC7"/>
    <w:rsid w:val="00270ADC"/>
    <w:rsid w:val="00270B15"/>
    <w:rsid w:val="00270CC1"/>
    <w:rsid w:val="00270FD8"/>
    <w:rsid w:val="002712DB"/>
    <w:rsid w:val="00271562"/>
    <w:rsid w:val="0027159A"/>
    <w:rsid w:val="0027161B"/>
    <w:rsid w:val="002716E4"/>
    <w:rsid w:val="0027186B"/>
    <w:rsid w:val="00271B6E"/>
    <w:rsid w:val="00271F11"/>
    <w:rsid w:val="0027201F"/>
    <w:rsid w:val="0027206F"/>
    <w:rsid w:val="002720B0"/>
    <w:rsid w:val="0027214F"/>
    <w:rsid w:val="002721E4"/>
    <w:rsid w:val="0027243F"/>
    <w:rsid w:val="00272454"/>
    <w:rsid w:val="002727B7"/>
    <w:rsid w:val="00272869"/>
    <w:rsid w:val="00272980"/>
    <w:rsid w:val="00272988"/>
    <w:rsid w:val="00272A92"/>
    <w:rsid w:val="00272BF7"/>
    <w:rsid w:val="00272C8C"/>
    <w:rsid w:val="002731EA"/>
    <w:rsid w:val="0027336F"/>
    <w:rsid w:val="002733BF"/>
    <w:rsid w:val="002733E5"/>
    <w:rsid w:val="0027369D"/>
    <w:rsid w:val="0027370E"/>
    <w:rsid w:val="002738A5"/>
    <w:rsid w:val="002738C2"/>
    <w:rsid w:val="00273C88"/>
    <w:rsid w:val="00273D7C"/>
    <w:rsid w:val="00273E78"/>
    <w:rsid w:val="00274225"/>
    <w:rsid w:val="00274575"/>
    <w:rsid w:val="00274594"/>
    <w:rsid w:val="002746B2"/>
    <w:rsid w:val="0027470E"/>
    <w:rsid w:val="00274BEA"/>
    <w:rsid w:val="00274D60"/>
    <w:rsid w:val="00274DC0"/>
    <w:rsid w:val="00274E03"/>
    <w:rsid w:val="00274E34"/>
    <w:rsid w:val="002755A6"/>
    <w:rsid w:val="002755E4"/>
    <w:rsid w:val="00275622"/>
    <w:rsid w:val="002756C3"/>
    <w:rsid w:val="002756D7"/>
    <w:rsid w:val="0027595D"/>
    <w:rsid w:val="00275A4C"/>
    <w:rsid w:val="00275B60"/>
    <w:rsid w:val="00275D10"/>
    <w:rsid w:val="00275DEF"/>
    <w:rsid w:val="00275FED"/>
    <w:rsid w:val="00276226"/>
    <w:rsid w:val="0027632E"/>
    <w:rsid w:val="002765BB"/>
    <w:rsid w:val="002765BD"/>
    <w:rsid w:val="00276609"/>
    <w:rsid w:val="00276682"/>
    <w:rsid w:val="00276B0F"/>
    <w:rsid w:val="00276CD5"/>
    <w:rsid w:val="00276DBF"/>
    <w:rsid w:val="00277372"/>
    <w:rsid w:val="002776EA"/>
    <w:rsid w:val="00277BA1"/>
    <w:rsid w:val="00280322"/>
    <w:rsid w:val="002803B2"/>
    <w:rsid w:val="002803DF"/>
    <w:rsid w:val="00280671"/>
    <w:rsid w:val="0028072C"/>
    <w:rsid w:val="00280C1D"/>
    <w:rsid w:val="00280CC5"/>
    <w:rsid w:val="00280EF9"/>
    <w:rsid w:val="00280F38"/>
    <w:rsid w:val="002811F4"/>
    <w:rsid w:val="00281326"/>
    <w:rsid w:val="00281384"/>
    <w:rsid w:val="00281547"/>
    <w:rsid w:val="0028183F"/>
    <w:rsid w:val="00281A44"/>
    <w:rsid w:val="00281B57"/>
    <w:rsid w:val="00281C8D"/>
    <w:rsid w:val="00281CDE"/>
    <w:rsid w:val="00281D21"/>
    <w:rsid w:val="0028209A"/>
    <w:rsid w:val="0028210A"/>
    <w:rsid w:val="002823CB"/>
    <w:rsid w:val="00282415"/>
    <w:rsid w:val="002829BB"/>
    <w:rsid w:val="00282A0A"/>
    <w:rsid w:val="00282A77"/>
    <w:rsid w:val="0028324B"/>
    <w:rsid w:val="0028335B"/>
    <w:rsid w:val="0028347C"/>
    <w:rsid w:val="00283723"/>
    <w:rsid w:val="00283776"/>
    <w:rsid w:val="002837D3"/>
    <w:rsid w:val="00283852"/>
    <w:rsid w:val="0028417E"/>
    <w:rsid w:val="00284710"/>
    <w:rsid w:val="0028485D"/>
    <w:rsid w:val="0028506C"/>
    <w:rsid w:val="002850B5"/>
    <w:rsid w:val="00285414"/>
    <w:rsid w:val="00285584"/>
    <w:rsid w:val="002855C4"/>
    <w:rsid w:val="00285674"/>
    <w:rsid w:val="002858C3"/>
    <w:rsid w:val="00285A16"/>
    <w:rsid w:val="00285CD9"/>
    <w:rsid w:val="00286445"/>
    <w:rsid w:val="00286861"/>
    <w:rsid w:val="0028692E"/>
    <w:rsid w:val="00286B2C"/>
    <w:rsid w:val="00286C20"/>
    <w:rsid w:val="00286C57"/>
    <w:rsid w:val="00286D7F"/>
    <w:rsid w:val="002870ED"/>
    <w:rsid w:val="00287397"/>
    <w:rsid w:val="0028765F"/>
    <w:rsid w:val="00287A25"/>
    <w:rsid w:val="00287A7C"/>
    <w:rsid w:val="00287BCE"/>
    <w:rsid w:val="00287C63"/>
    <w:rsid w:val="00287DE1"/>
    <w:rsid w:val="00287E38"/>
    <w:rsid w:val="00287ECF"/>
    <w:rsid w:val="00287FEF"/>
    <w:rsid w:val="0028C5A5"/>
    <w:rsid w:val="0028E38F"/>
    <w:rsid w:val="0029008D"/>
    <w:rsid w:val="002903FD"/>
    <w:rsid w:val="002907AE"/>
    <w:rsid w:val="00290971"/>
    <w:rsid w:val="00290B3C"/>
    <w:rsid w:val="00290B8B"/>
    <w:rsid w:val="00290B98"/>
    <w:rsid w:val="00290DEB"/>
    <w:rsid w:val="00290EB2"/>
    <w:rsid w:val="00290F02"/>
    <w:rsid w:val="00290FC3"/>
    <w:rsid w:val="0029118B"/>
    <w:rsid w:val="002911C3"/>
    <w:rsid w:val="00291241"/>
    <w:rsid w:val="002913A9"/>
    <w:rsid w:val="002913DD"/>
    <w:rsid w:val="00291FA1"/>
    <w:rsid w:val="00292048"/>
    <w:rsid w:val="002920BB"/>
    <w:rsid w:val="00292373"/>
    <w:rsid w:val="002924DD"/>
    <w:rsid w:val="0029260F"/>
    <w:rsid w:val="0029275E"/>
    <w:rsid w:val="00292865"/>
    <w:rsid w:val="002928A5"/>
    <w:rsid w:val="0029292D"/>
    <w:rsid w:val="00292966"/>
    <w:rsid w:val="00292976"/>
    <w:rsid w:val="00292983"/>
    <w:rsid w:val="00292BD0"/>
    <w:rsid w:val="002930DC"/>
    <w:rsid w:val="002930DE"/>
    <w:rsid w:val="00293C0D"/>
    <w:rsid w:val="00293C7D"/>
    <w:rsid w:val="00293C7E"/>
    <w:rsid w:val="00293E88"/>
    <w:rsid w:val="002942FB"/>
    <w:rsid w:val="002943C1"/>
    <w:rsid w:val="0029442E"/>
    <w:rsid w:val="0029457D"/>
    <w:rsid w:val="00294770"/>
    <w:rsid w:val="002947DE"/>
    <w:rsid w:val="00294862"/>
    <w:rsid w:val="00294A2B"/>
    <w:rsid w:val="00294B4A"/>
    <w:rsid w:val="00294D6C"/>
    <w:rsid w:val="00294D6F"/>
    <w:rsid w:val="00295061"/>
    <w:rsid w:val="002952D9"/>
    <w:rsid w:val="0029535D"/>
    <w:rsid w:val="00295373"/>
    <w:rsid w:val="0029548C"/>
    <w:rsid w:val="002956E5"/>
    <w:rsid w:val="00295757"/>
    <w:rsid w:val="00295BB6"/>
    <w:rsid w:val="00295C04"/>
    <w:rsid w:val="00295DE1"/>
    <w:rsid w:val="00295F0B"/>
    <w:rsid w:val="00296156"/>
    <w:rsid w:val="002961AB"/>
    <w:rsid w:val="002961C0"/>
    <w:rsid w:val="00296355"/>
    <w:rsid w:val="00296365"/>
    <w:rsid w:val="00296400"/>
    <w:rsid w:val="002964D0"/>
    <w:rsid w:val="00296511"/>
    <w:rsid w:val="00296C80"/>
    <w:rsid w:val="0029711B"/>
    <w:rsid w:val="002972F7"/>
    <w:rsid w:val="00297571"/>
    <w:rsid w:val="002975C0"/>
    <w:rsid w:val="00297761"/>
    <w:rsid w:val="00297AEB"/>
    <w:rsid w:val="00297D70"/>
    <w:rsid w:val="00297F44"/>
    <w:rsid w:val="002A0233"/>
    <w:rsid w:val="002A0301"/>
    <w:rsid w:val="002A07E6"/>
    <w:rsid w:val="002A08EC"/>
    <w:rsid w:val="002A0FEE"/>
    <w:rsid w:val="002A0FFD"/>
    <w:rsid w:val="002A1176"/>
    <w:rsid w:val="002A138B"/>
    <w:rsid w:val="002A18BA"/>
    <w:rsid w:val="002A18BC"/>
    <w:rsid w:val="002A18D8"/>
    <w:rsid w:val="002A1A82"/>
    <w:rsid w:val="002A1CCD"/>
    <w:rsid w:val="002A1EB2"/>
    <w:rsid w:val="002A2048"/>
    <w:rsid w:val="002A246B"/>
    <w:rsid w:val="002A280A"/>
    <w:rsid w:val="002A284A"/>
    <w:rsid w:val="002A28AE"/>
    <w:rsid w:val="002A29CA"/>
    <w:rsid w:val="002A2A03"/>
    <w:rsid w:val="002A2AFF"/>
    <w:rsid w:val="002A2ED8"/>
    <w:rsid w:val="002A2FE2"/>
    <w:rsid w:val="002A31ED"/>
    <w:rsid w:val="002A367B"/>
    <w:rsid w:val="002A394D"/>
    <w:rsid w:val="002A3A98"/>
    <w:rsid w:val="002A3B27"/>
    <w:rsid w:val="002A3BBE"/>
    <w:rsid w:val="002A3D3B"/>
    <w:rsid w:val="002A3DAA"/>
    <w:rsid w:val="002A3E3F"/>
    <w:rsid w:val="002A3F2A"/>
    <w:rsid w:val="002A41BE"/>
    <w:rsid w:val="002A4292"/>
    <w:rsid w:val="002A44D6"/>
    <w:rsid w:val="002A474D"/>
    <w:rsid w:val="002A4753"/>
    <w:rsid w:val="002A4878"/>
    <w:rsid w:val="002A4910"/>
    <w:rsid w:val="002A4928"/>
    <w:rsid w:val="002A4986"/>
    <w:rsid w:val="002A49B9"/>
    <w:rsid w:val="002A4A07"/>
    <w:rsid w:val="002A4A68"/>
    <w:rsid w:val="002A4AA3"/>
    <w:rsid w:val="002A4DBF"/>
    <w:rsid w:val="002A4F38"/>
    <w:rsid w:val="002A507E"/>
    <w:rsid w:val="002A51B6"/>
    <w:rsid w:val="002A5278"/>
    <w:rsid w:val="002A561A"/>
    <w:rsid w:val="002A57B6"/>
    <w:rsid w:val="002A5939"/>
    <w:rsid w:val="002A5B13"/>
    <w:rsid w:val="002A5B1C"/>
    <w:rsid w:val="002A5EB6"/>
    <w:rsid w:val="002A5F96"/>
    <w:rsid w:val="002A6026"/>
    <w:rsid w:val="002A60D5"/>
    <w:rsid w:val="002A64DB"/>
    <w:rsid w:val="002A66F4"/>
    <w:rsid w:val="002A6769"/>
    <w:rsid w:val="002A685F"/>
    <w:rsid w:val="002A68BD"/>
    <w:rsid w:val="002A69AE"/>
    <w:rsid w:val="002A6E04"/>
    <w:rsid w:val="002A6E93"/>
    <w:rsid w:val="002A71A6"/>
    <w:rsid w:val="002A72E2"/>
    <w:rsid w:val="002A7509"/>
    <w:rsid w:val="002A7A28"/>
    <w:rsid w:val="002B0052"/>
    <w:rsid w:val="002B00A8"/>
    <w:rsid w:val="002B03B4"/>
    <w:rsid w:val="002B04E4"/>
    <w:rsid w:val="002B0814"/>
    <w:rsid w:val="002B0969"/>
    <w:rsid w:val="002B09A8"/>
    <w:rsid w:val="002B0AD7"/>
    <w:rsid w:val="002B0B77"/>
    <w:rsid w:val="002B0E6F"/>
    <w:rsid w:val="002B0F1B"/>
    <w:rsid w:val="002B11ED"/>
    <w:rsid w:val="002B12A7"/>
    <w:rsid w:val="002B1418"/>
    <w:rsid w:val="002B14F6"/>
    <w:rsid w:val="002B152C"/>
    <w:rsid w:val="002B16BA"/>
    <w:rsid w:val="002B1984"/>
    <w:rsid w:val="002B19F2"/>
    <w:rsid w:val="002B1C05"/>
    <w:rsid w:val="002B1C66"/>
    <w:rsid w:val="002B1CD7"/>
    <w:rsid w:val="002B2007"/>
    <w:rsid w:val="002B2095"/>
    <w:rsid w:val="002B216F"/>
    <w:rsid w:val="002B21B1"/>
    <w:rsid w:val="002B22A0"/>
    <w:rsid w:val="002B22D2"/>
    <w:rsid w:val="002B2746"/>
    <w:rsid w:val="002B2916"/>
    <w:rsid w:val="002B291B"/>
    <w:rsid w:val="002B29BE"/>
    <w:rsid w:val="002B2A83"/>
    <w:rsid w:val="002B2ABF"/>
    <w:rsid w:val="002B2B0A"/>
    <w:rsid w:val="002B2D31"/>
    <w:rsid w:val="002B2E58"/>
    <w:rsid w:val="002B2FCF"/>
    <w:rsid w:val="002B300B"/>
    <w:rsid w:val="002B3119"/>
    <w:rsid w:val="002B3273"/>
    <w:rsid w:val="002B3329"/>
    <w:rsid w:val="002B3388"/>
    <w:rsid w:val="002B3624"/>
    <w:rsid w:val="002B370D"/>
    <w:rsid w:val="002B384D"/>
    <w:rsid w:val="002B3A33"/>
    <w:rsid w:val="002B40CD"/>
    <w:rsid w:val="002B415A"/>
    <w:rsid w:val="002B4600"/>
    <w:rsid w:val="002B46E2"/>
    <w:rsid w:val="002B478B"/>
    <w:rsid w:val="002B47AA"/>
    <w:rsid w:val="002B48F7"/>
    <w:rsid w:val="002B4988"/>
    <w:rsid w:val="002B4AA8"/>
    <w:rsid w:val="002B4CC8"/>
    <w:rsid w:val="002B52ED"/>
    <w:rsid w:val="002B5356"/>
    <w:rsid w:val="002B53C8"/>
    <w:rsid w:val="002B5468"/>
    <w:rsid w:val="002B583B"/>
    <w:rsid w:val="002B59E0"/>
    <w:rsid w:val="002B5DB9"/>
    <w:rsid w:val="002B5DE5"/>
    <w:rsid w:val="002B6018"/>
    <w:rsid w:val="002B6036"/>
    <w:rsid w:val="002B605D"/>
    <w:rsid w:val="002B60E7"/>
    <w:rsid w:val="002B623B"/>
    <w:rsid w:val="002B623F"/>
    <w:rsid w:val="002B63B0"/>
    <w:rsid w:val="002B6762"/>
    <w:rsid w:val="002B6972"/>
    <w:rsid w:val="002B6A62"/>
    <w:rsid w:val="002B6E76"/>
    <w:rsid w:val="002B70DD"/>
    <w:rsid w:val="002B71CE"/>
    <w:rsid w:val="002B7527"/>
    <w:rsid w:val="002B764A"/>
    <w:rsid w:val="002B7829"/>
    <w:rsid w:val="002B7C52"/>
    <w:rsid w:val="002B7EDE"/>
    <w:rsid w:val="002B7FB8"/>
    <w:rsid w:val="002B7FD1"/>
    <w:rsid w:val="002C0504"/>
    <w:rsid w:val="002C086E"/>
    <w:rsid w:val="002C0934"/>
    <w:rsid w:val="002C0C0F"/>
    <w:rsid w:val="002C0C7B"/>
    <w:rsid w:val="002C0CEE"/>
    <w:rsid w:val="002C0D17"/>
    <w:rsid w:val="002C1125"/>
    <w:rsid w:val="002C11C0"/>
    <w:rsid w:val="002C13AE"/>
    <w:rsid w:val="002C13F7"/>
    <w:rsid w:val="002C186C"/>
    <w:rsid w:val="002C190A"/>
    <w:rsid w:val="002C1A7F"/>
    <w:rsid w:val="002C1ABC"/>
    <w:rsid w:val="002C1DF6"/>
    <w:rsid w:val="002C1E77"/>
    <w:rsid w:val="002C203A"/>
    <w:rsid w:val="002C238E"/>
    <w:rsid w:val="002C23B1"/>
    <w:rsid w:val="002C25C7"/>
    <w:rsid w:val="002C29B0"/>
    <w:rsid w:val="002C29CA"/>
    <w:rsid w:val="002C29E7"/>
    <w:rsid w:val="002C2A79"/>
    <w:rsid w:val="002C2D67"/>
    <w:rsid w:val="002C2F13"/>
    <w:rsid w:val="002C324A"/>
    <w:rsid w:val="002C3578"/>
    <w:rsid w:val="002C35FA"/>
    <w:rsid w:val="002C3642"/>
    <w:rsid w:val="002C36C9"/>
    <w:rsid w:val="002C3716"/>
    <w:rsid w:val="002C38FC"/>
    <w:rsid w:val="002C39D4"/>
    <w:rsid w:val="002C3A44"/>
    <w:rsid w:val="002C3F5C"/>
    <w:rsid w:val="002C3F60"/>
    <w:rsid w:val="002C4155"/>
    <w:rsid w:val="002C4215"/>
    <w:rsid w:val="002C438F"/>
    <w:rsid w:val="002C4880"/>
    <w:rsid w:val="002C4FBD"/>
    <w:rsid w:val="002C4FF4"/>
    <w:rsid w:val="002C56FB"/>
    <w:rsid w:val="002C582B"/>
    <w:rsid w:val="002C5938"/>
    <w:rsid w:val="002C5B0C"/>
    <w:rsid w:val="002C5BF8"/>
    <w:rsid w:val="002C5D6F"/>
    <w:rsid w:val="002C614B"/>
    <w:rsid w:val="002C6160"/>
    <w:rsid w:val="002C6225"/>
    <w:rsid w:val="002C633F"/>
    <w:rsid w:val="002C666B"/>
    <w:rsid w:val="002C680A"/>
    <w:rsid w:val="002C684D"/>
    <w:rsid w:val="002C6876"/>
    <w:rsid w:val="002C6A43"/>
    <w:rsid w:val="002C6BF4"/>
    <w:rsid w:val="002C6CD0"/>
    <w:rsid w:val="002C6FEB"/>
    <w:rsid w:val="002C73B0"/>
    <w:rsid w:val="002C7528"/>
    <w:rsid w:val="002C7699"/>
    <w:rsid w:val="002C77AD"/>
    <w:rsid w:val="002C78C1"/>
    <w:rsid w:val="002C7966"/>
    <w:rsid w:val="002C798D"/>
    <w:rsid w:val="002C7C6B"/>
    <w:rsid w:val="002C7E0E"/>
    <w:rsid w:val="002C7E16"/>
    <w:rsid w:val="002C7E48"/>
    <w:rsid w:val="002C7E8A"/>
    <w:rsid w:val="002C7E94"/>
    <w:rsid w:val="002C9404"/>
    <w:rsid w:val="002D005B"/>
    <w:rsid w:val="002D0245"/>
    <w:rsid w:val="002D030D"/>
    <w:rsid w:val="002D0335"/>
    <w:rsid w:val="002D073E"/>
    <w:rsid w:val="002D082B"/>
    <w:rsid w:val="002D0896"/>
    <w:rsid w:val="002D08C9"/>
    <w:rsid w:val="002D08EA"/>
    <w:rsid w:val="002D091F"/>
    <w:rsid w:val="002D0B19"/>
    <w:rsid w:val="002D0BB2"/>
    <w:rsid w:val="002D0D48"/>
    <w:rsid w:val="002D0E2B"/>
    <w:rsid w:val="002D0E34"/>
    <w:rsid w:val="002D0ED4"/>
    <w:rsid w:val="002D12B7"/>
    <w:rsid w:val="002D12F2"/>
    <w:rsid w:val="002D12FC"/>
    <w:rsid w:val="002D1408"/>
    <w:rsid w:val="002D14CD"/>
    <w:rsid w:val="002D1768"/>
    <w:rsid w:val="002D1C56"/>
    <w:rsid w:val="002D1DD7"/>
    <w:rsid w:val="002D1F87"/>
    <w:rsid w:val="002D2065"/>
    <w:rsid w:val="002D209D"/>
    <w:rsid w:val="002D2167"/>
    <w:rsid w:val="002D225E"/>
    <w:rsid w:val="002D23AF"/>
    <w:rsid w:val="002D28BC"/>
    <w:rsid w:val="002D292F"/>
    <w:rsid w:val="002D2AD9"/>
    <w:rsid w:val="002D2E16"/>
    <w:rsid w:val="002D2EF3"/>
    <w:rsid w:val="002D2F84"/>
    <w:rsid w:val="002D31FB"/>
    <w:rsid w:val="002D3224"/>
    <w:rsid w:val="002D322F"/>
    <w:rsid w:val="002D33D7"/>
    <w:rsid w:val="002D363F"/>
    <w:rsid w:val="002D369D"/>
    <w:rsid w:val="002D37DB"/>
    <w:rsid w:val="002D38DA"/>
    <w:rsid w:val="002D3A06"/>
    <w:rsid w:val="002D3A61"/>
    <w:rsid w:val="002D3CE6"/>
    <w:rsid w:val="002D3D0D"/>
    <w:rsid w:val="002D3FAF"/>
    <w:rsid w:val="002D42E8"/>
    <w:rsid w:val="002D4491"/>
    <w:rsid w:val="002D44EE"/>
    <w:rsid w:val="002D4665"/>
    <w:rsid w:val="002D46A8"/>
    <w:rsid w:val="002D4735"/>
    <w:rsid w:val="002D4776"/>
    <w:rsid w:val="002D4C97"/>
    <w:rsid w:val="002D4D1C"/>
    <w:rsid w:val="002D4D82"/>
    <w:rsid w:val="002D4E13"/>
    <w:rsid w:val="002D4EE5"/>
    <w:rsid w:val="002D512E"/>
    <w:rsid w:val="002D53B5"/>
    <w:rsid w:val="002D53C7"/>
    <w:rsid w:val="002D5DF9"/>
    <w:rsid w:val="002D5EAB"/>
    <w:rsid w:val="002D5EB3"/>
    <w:rsid w:val="002D6062"/>
    <w:rsid w:val="002D6208"/>
    <w:rsid w:val="002D63B2"/>
    <w:rsid w:val="002D645D"/>
    <w:rsid w:val="002D65F2"/>
    <w:rsid w:val="002D67CB"/>
    <w:rsid w:val="002D685A"/>
    <w:rsid w:val="002D699B"/>
    <w:rsid w:val="002D6A3C"/>
    <w:rsid w:val="002D6B35"/>
    <w:rsid w:val="002D6B5B"/>
    <w:rsid w:val="002D7186"/>
    <w:rsid w:val="002D7414"/>
    <w:rsid w:val="002D751E"/>
    <w:rsid w:val="002D758D"/>
    <w:rsid w:val="002D799D"/>
    <w:rsid w:val="002D7A29"/>
    <w:rsid w:val="002D7A64"/>
    <w:rsid w:val="002D7ACD"/>
    <w:rsid w:val="002E024B"/>
    <w:rsid w:val="002E05F9"/>
    <w:rsid w:val="002E06B7"/>
    <w:rsid w:val="002E0754"/>
    <w:rsid w:val="002E07F9"/>
    <w:rsid w:val="002E0A6E"/>
    <w:rsid w:val="002E116D"/>
    <w:rsid w:val="002E139E"/>
    <w:rsid w:val="002E17AC"/>
    <w:rsid w:val="002E17D3"/>
    <w:rsid w:val="002E18E9"/>
    <w:rsid w:val="002E191B"/>
    <w:rsid w:val="002E1CC6"/>
    <w:rsid w:val="002E1E3A"/>
    <w:rsid w:val="002E1F49"/>
    <w:rsid w:val="002E1F65"/>
    <w:rsid w:val="002E221B"/>
    <w:rsid w:val="002E23AB"/>
    <w:rsid w:val="002E241C"/>
    <w:rsid w:val="002E263A"/>
    <w:rsid w:val="002E2705"/>
    <w:rsid w:val="002E295E"/>
    <w:rsid w:val="002E2A09"/>
    <w:rsid w:val="002E2A2F"/>
    <w:rsid w:val="002E2ED3"/>
    <w:rsid w:val="002E2FF3"/>
    <w:rsid w:val="002E30E8"/>
    <w:rsid w:val="002E3323"/>
    <w:rsid w:val="002E3341"/>
    <w:rsid w:val="002E33DD"/>
    <w:rsid w:val="002E3814"/>
    <w:rsid w:val="002E3ADF"/>
    <w:rsid w:val="002E3B29"/>
    <w:rsid w:val="002E3B6B"/>
    <w:rsid w:val="002E3DB4"/>
    <w:rsid w:val="002E3EAA"/>
    <w:rsid w:val="002E4044"/>
    <w:rsid w:val="002E40EA"/>
    <w:rsid w:val="002E42A1"/>
    <w:rsid w:val="002E42DA"/>
    <w:rsid w:val="002E4381"/>
    <w:rsid w:val="002E450F"/>
    <w:rsid w:val="002E45CE"/>
    <w:rsid w:val="002E48EB"/>
    <w:rsid w:val="002E4C8B"/>
    <w:rsid w:val="002E4CE8"/>
    <w:rsid w:val="002E4D29"/>
    <w:rsid w:val="002E4DCD"/>
    <w:rsid w:val="002E4EA8"/>
    <w:rsid w:val="002E4F23"/>
    <w:rsid w:val="002E51EB"/>
    <w:rsid w:val="002E524F"/>
    <w:rsid w:val="002E5479"/>
    <w:rsid w:val="002E5837"/>
    <w:rsid w:val="002E5AE6"/>
    <w:rsid w:val="002E5B60"/>
    <w:rsid w:val="002E5D54"/>
    <w:rsid w:val="002E5ED3"/>
    <w:rsid w:val="002E61E4"/>
    <w:rsid w:val="002E6276"/>
    <w:rsid w:val="002E6327"/>
    <w:rsid w:val="002E637E"/>
    <w:rsid w:val="002E63AF"/>
    <w:rsid w:val="002E6449"/>
    <w:rsid w:val="002E644B"/>
    <w:rsid w:val="002E646C"/>
    <w:rsid w:val="002E663E"/>
    <w:rsid w:val="002E6710"/>
    <w:rsid w:val="002E6AFE"/>
    <w:rsid w:val="002E6D8C"/>
    <w:rsid w:val="002E6E1A"/>
    <w:rsid w:val="002E6E95"/>
    <w:rsid w:val="002E6F48"/>
    <w:rsid w:val="002E70FE"/>
    <w:rsid w:val="002E72AB"/>
    <w:rsid w:val="002E7417"/>
    <w:rsid w:val="002E741B"/>
    <w:rsid w:val="002E75AC"/>
    <w:rsid w:val="002E763F"/>
    <w:rsid w:val="002E7671"/>
    <w:rsid w:val="002E76A6"/>
    <w:rsid w:val="002E7902"/>
    <w:rsid w:val="002E794B"/>
    <w:rsid w:val="002E7A6B"/>
    <w:rsid w:val="002E7EE7"/>
    <w:rsid w:val="002F003E"/>
    <w:rsid w:val="002F0162"/>
    <w:rsid w:val="002F0337"/>
    <w:rsid w:val="002F050E"/>
    <w:rsid w:val="002F0718"/>
    <w:rsid w:val="002F079F"/>
    <w:rsid w:val="002F0B2A"/>
    <w:rsid w:val="002F0F2A"/>
    <w:rsid w:val="002F1160"/>
    <w:rsid w:val="002F12F7"/>
    <w:rsid w:val="002F157E"/>
    <w:rsid w:val="002F160A"/>
    <w:rsid w:val="002F1669"/>
    <w:rsid w:val="002F1935"/>
    <w:rsid w:val="002F1C33"/>
    <w:rsid w:val="002F1D55"/>
    <w:rsid w:val="002F1E23"/>
    <w:rsid w:val="002F1E4F"/>
    <w:rsid w:val="002F203B"/>
    <w:rsid w:val="002F204F"/>
    <w:rsid w:val="002F23BD"/>
    <w:rsid w:val="002F24E3"/>
    <w:rsid w:val="002F25BA"/>
    <w:rsid w:val="002F25D0"/>
    <w:rsid w:val="002F2648"/>
    <w:rsid w:val="002F266F"/>
    <w:rsid w:val="002F26DA"/>
    <w:rsid w:val="002F28AE"/>
    <w:rsid w:val="002F29B0"/>
    <w:rsid w:val="002F29B8"/>
    <w:rsid w:val="002F2B79"/>
    <w:rsid w:val="002F2C98"/>
    <w:rsid w:val="002F2F8A"/>
    <w:rsid w:val="002F31AB"/>
    <w:rsid w:val="002F36CA"/>
    <w:rsid w:val="002F380D"/>
    <w:rsid w:val="002F3888"/>
    <w:rsid w:val="002F396C"/>
    <w:rsid w:val="002F3993"/>
    <w:rsid w:val="002F3A76"/>
    <w:rsid w:val="002F3A85"/>
    <w:rsid w:val="002F40CC"/>
    <w:rsid w:val="002F40D7"/>
    <w:rsid w:val="002F41E6"/>
    <w:rsid w:val="002F4474"/>
    <w:rsid w:val="002F44F2"/>
    <w:rsid w:val="002F45DA"/>
    <w:rsid w:val="002F4678"/>
    <w:rsid w:val="002F4720"/>
    <w:rsid w:val="002F486A"/>
    <w:rsid w:val="002F4AB9"/>
    <w:rsid w:val="002F4AF0"/>
    <w:rsid w:val="002F4B5B"/>
    <w:rsid w:val="002F4D1D"/>
    <w:rsid w:val="002F4DC0"/>
    <w:rsid w:val="002F4DD2"/>
    <w:rsid w:val="002F4EB0"/>
    <w:rsid w:val="002F4F4B"/>
    <w:rsid w:val="002F5054"/>
    <w:rsid w:val="002F50BF"/>
    <w:rsid w:val="002F5252"/>
    <w:rsid w:val="002F53DB"/>
    <w:rsid w:val="002F551F"/>
    <w:rsid w:val="002F55D8"/>
    <w:rsid w:val="002F56DF"/>
    <w:rsid w:val="002F5703"/>
    <w:rsid w:val="002F5F5A"/>
    <w:rsid w:val="002F602F"/>
    <w:rsid w:val="002F607E"/>
    <w:rsid w:val="002F645B"/>
    <w:rsid w:val="002F66D2"/>
    <w:rsid w:val="002F6864"/>
    <w:rsid w:val="002F68A8"/>
    <w:rsid w:val="002F6935"/>
    <w:rsid w:val="002F6AE2"/>
    <w:rsid w:val="002F6DC5"/>
    <w:rsid w:val="002F6EDF"/>
    <w:rsid w:val="002F6EE4"/>
    <w:rsid w:val="002F6F26"/>
    <w:rsid w:val="002F6FF5"/>
    <w:rsid w:val="002F761A"/>
    <w:rsid w:val="002F782B"/>
    <w:rsid w:val="002F7AA2"/>
    <w:rsid w:val="002F7CEE"/>
    <w:rsid w:val="002FE980"/>
    <w:rsid w:val="003004DA"/>
    <w:rsid w:val="003005FE"/>
    <w:rsid w:val="00300F4E"/>
    <w:rsid w:val="0030111F"/>
    <w:rsid w:val="00301732"/>
    <w:rsid w:val="00301965"/>
    <w:rsid w:val="00301974"/>
    <w:rsid w:val="00301B05"/>
    <w:rsid w:val="00301DA2"/>
    <w:rsid w:val="0030207B"/>
    <w:rsid w:val="003021E0"/>
    <w:rsid w:val="0030237F"/>
    <w:rsid w:val="003023BF"/>
    <w:rsid w:val="00302408"/>
    <w:rsid w:val="003025DA"/>
    <w:rsid w:val="0030267A"/>
    <w:rsid w:val="00302924"/>
    <w:rsid w:val="00302A18"/>
    <w:rsid w:val="00302AE1"/>
    <w:rsid w:val="00302D2C"/>
    <w:rsid w:val="00302F73"/>
    <w:rsid w:val="003031C3"/>
    <w:rsid w:val="0030325E"/>
    <w:rsid w:val="0030332A"/>
    <w:rsid w:val="003033AC"/>
    <w:rsid w:val="0030341C"/>
    <w:rsid w:val="00303504"/>
    <w:rsid w:val="00303631"/>
    <w:rsid w:val="00303789"/>
    <w:rsid w:val="00303A90"/>
    <w:rsid w:val="00303B1E"/>
    <w:rsid w:val="00303BEE"/>
    <w:rsid w:val="00303C85"/>
    <w:rsid w:val="00303DEA"/>
    <w:rsid w:val="00303DF6"/>
    <w:rsid w:val="00304079"/>
    <w:rsid w:val="00304374"/>
    <w:rsid w:val="00304404"/>
    <w:rsid w:val="00304652"/>
    <w:rsid w:val="003047B8"/>
    <w:rsid w:val="00304808"/>
    <w:rsid w:val="00304B96"/>
    <w:rsid w:val="00304BE2"/>
    <w:rsid w:val="00304CA0"/>
    <w:rsid w:val="00304F24"/>
    <w:rsid w:val="00305107"/>
    <w:rsid w:val="0030518C"/>
    <w:rsid w:val="003051FE"/>
    <w:rsid w:val="00305368"/>
    <w:rsid w:val="003053B5"/>
    <w:rsid w:val="0030567C"/>
    <w:rsid w:val="003058B8"/>
    <w:rsid w:val="0030591B"/>
    <w:rsid w:val="00305CAB"/>
    <w:rsid w:val="00305D14"/>
    <w:rsid w:val="0030615D"/>
    <w:rsid w:val="00306193"/>
    <w:rsid w:val="003061D0"/>
    <w:rsid w:val="00306252"/>
    <w:rsid w:val="003062ED"/>
    <w:rsid w:val="0030641C"/>
    <w:rsid w:val="00306618"/>
    <w:rsid w:val="00306632"/>
    <w:rsid w:val="0030670F"/>
    <w:rsid w:val="003069D6"/>
    <w:rsid w:val="00306DAB"/>
    <w:rsid w:val="00307130"/>
    <w:rsid w:val="003071A0"/>
    <w:rsid w:val="003071A9"/>
    <w:rsid w:val="00307235"/>
    <w:rsid w:val="003072BD"/>
    <w:rsid w:val="00307421"/>
    <w:rsid w:val="003077C2"/>
    <w:rsid w:val="003078F3"/>
    <w:rsid w:val="00307A52"/>
    <w:rsid w:val="00307D57"/>
    <w:rsid w:val="00307E13"/>
    <w:rsid w:val="003101B6"/>
    <w:rsid w:val="003101D9"/>
    <w:rsid w:val="00310252"/>
    <w:rsid w:val="003103EE"/>
    <w:rsid w:val="003105F9"/>
    <w:rsid w:val="00310953"/>
    <w:rsid w:val="0031096D"/>
    <w:rsid w:val="00310BB1"/>
    <w:rsid w:val="00310BBA"/>
    <w:rsid w:val="00310BEA"/>
    <w:rsid w:val="00310C25"/>
    <w:rsid w:val="00310D6A"/>
    <w:rsid w:val="00311050"/>
    <w:rsid w:val="00311283"/>
    <w:rsid w:val="0031128A"/>
    <w:rsid w:val="0031149E"/>
    <w:rsid w:val="00311682"/>
    <w:rsid w:val="00311F92"/>
    <w:rsid w:val="00312099"/>
    <w:rsid w:val="0031226D"/>
    <w:rsid w:val="0031236F"/>
    <w:rsid w:val="00312653"/>
    <w:rsid w:val="0031294E"/>
    <w:rsid w:val="00312AF1"/>
    <w:rsid w:val="00312CA2"/>
    <w:rsid w:val="00312D1A"/>
    <w:rsid w:val="00312DBD"/>
    <w:rsid w:val="00312E87"/>
    <w:rsid w:val="00312F13"/>
    <w:rsid w:val="00312FD3"/>
    <w:rsid w:val="0031302E"/>
    <w:rsid w:val="00313069"/>
    <w:rsid w:val="00313085"/>
    <w:rsid w:val="003130ED"/>
    <w:rsid w:val="003131D8"/>
    <w:rsid w:val="0031324E"/>
    <w:rsid w:val="0031364C"/>
    <w:rsid w:val="0031381B"/>
    <w:rsid w:val="00313956"/>
    <w:rsid w:val="00313C91"/>
    <w:rsid w:val="00313CD7"/>
    <w:rsid w:val="00313D61"/>
    <w:rsid w:val="00314058"/>
    <w:rsid w:val="003140A5"/>
    <w:rsid w:val="00314178"/>
    <w:rsid w:val="003141FC"/>
    <w:rsid w:val="00314321"/>
    <w:rsid w:val="0031436E"/>
    <w:rsid w:val="003143AF"/>
    <w:rsid w:val="003143D8"/>
    <w:rsid w:val="00314402"/>
    <w:rsid w:val="0031456E"/>
    <w:rsid w:val="003145E9"/>
    <w:rsid w:val="00314889"/>
    <w:rsid w:val="00314D6E"/>
    <w:rsid w:val="00314DBF"/>
    <w:rsid w:val="00314EB1"/>
    <w:rsid w:val="00315361"/>
    <w:rsid w:val="00315365"/>
    <w:rsid w:val="003156AE"/>
    <w:rsid w:val="00315840"/>
    <w:rsid w:val="0031585A"/>
    <w:rsid w:val="00315CF4"/>
    <w:rsid w:val="00315E01"/>
    <w:rsid w:val="00316178"/>
    <w:rsid w:val="0031620A"/>
    <w:rsid w:val="00316497"/>
    <w:rsid w:val="00316750"/>
    <w:rsid w:val="003168CD"/>
    <w:rsid w:val="00316BBF"/>
    <w:rsid w:val="00316CFF"/>
    <w:rsid w:val="003172D3"/>
    <w:rsid w:val="00317615"/>
    <w:rsid w:val="00317639"/>
    <w:rsid w:val="003177C9"/>
    <w:rsid w:val="0031D344"/>
    <w:rsid w:val="003200BA"/>
    <w:rsid w:val="003204FB"/>
    <w:rsid w:val="0032072F"/>
    <w:rsid w:val="0032083E"/>
    <w:rsid w:val="00320B39"/>
    <w:rsid w:val="00320B84"/>
    <w:rsid w:val="00320E41"/>
    <w:rsid w:val="0032119E"/>
    <w:rsid w:val="0032128B"/>
    <w:rsid w:val="003213B4"/>
    <w:rsid w:val="00321428"/>
    <w:rsid w:val="003214CC"/>
    <w:rsid w:val="00321513"/>
    <w:rsid w:val="0032167C"/>
    <w:rsid w:val="0032183C"/>
    <w:rsid w:val="0032194B"/>
    <w:rsid w:val="00321AB9"/>
    <w:rsid w:val="00321C9F"/>
    <w:rsid w:val="00321DCD"/>
    <w:rsid w:val="0032215D"/>
    <w:rsid w:val="00322957"/>
    <w:rsid w:val="00322C8D"/>
    <w:rsid w:val="00322F17"/>
    <w:rsid w:val="00322FF2"/>
    <w:rsid w:val="003231FD"/>
    <w:rsid w:val="003235A7"/>
    <w:rsid w:val="003236B4"/>
    <w:rsid w:val="00323857"/>
    <w:rsid w:val="003238BD"/>
    <w:rsid w:val="00323FB2"/>
    <w:rsid w:val="003245BF"/>
    <w:rsid w:val="003246D6"/>
    <w:rsid w:val="00324785"/>
    <w:rsid w:val="0032495E"/>
    <w:rsid w:val="00324A95"/>
    <w:rsid w:val="00324B0A"/>
    <w:rsid w:val="00324F0B"/>
    <w:rsid w:val="00324F72"/>
    <w:rsid w:val="00325273"/>
    <w:rsid w:val="00325536"/>
    <w:rsid w:val="0032557E"/>
    <w:rsid w:val="0032586B"/>
    <w:rsid w:val="00325893"/>
    <w:rsid w:val="00325ADF"/>
    <w:rsid w:val="003260EF"/>
    <w:rsid w:val="003262F7"/>
    <w:rsid w:val="003263AA"/>
    <w:rsid w:val="00326486"/>
    <w:rsid w:val="00326573"/>
    <w:rsid w:val="003265CF"/>
    <w:rsid w:val="0032662F"/>
    <w:rsid w:val="00326731"/>
    <w:rsid w:val="00326BCA"/>
    <w:rsid w:val="00326C2C"/>
    <w:rsid w:val="00326E90"/>
    <w:rsid w:val="00326F63"/>
    <w:rsid w:val="00327117"/>
    <w:rsid w:val="0032719B"/>
    <w:rsid w:val="00327245"/>
    <w:rsid w:val="00327293"/>
    <w:rsid w:val="003273B4"/>
    <w:rsid w:val="00327529"/>
    <w:rsid w:val="00327592"/>
    <w:rsid w:val="0032766B"/>
    <w:rsid w:val="00327702"/>
    <w:rsid w:val="003277AD"/>
    <w:rsid w:val="003278EF"/>
    <w:rsid w:val="00327F2B"/>
    <w:rsid w:val="0033011B"/>
    <w:rsid w:val="00330133"/>
    <w:rsid w:val="0033044E"/>
    <w:rsid w:val="003306EF"/>
    <w:rsid w:val="00330733"/>
    <w:rsid w:val="003307A0"/>
    <w:rsid w:val="0033092D"/>
    <w:rsid w:val="00330BDF"/>
    <w:rsid w:val="00330DF3"/>
    <w:rsid w:val="00330F6F"/>
    <w:rsid w:val="00330F90"/>
    <w:rsid w:val="00331533"/>
    <w:rsid w:val="0033156A"/>
    <w:rsid w:val="003316EE"/>
    <w:rsid w:val="003319BE"/>
    <w:rsid w:val="003319D1"/>
    <w:rsid w:val="00331B58"/>
    <w:rsid w:val="00331C2D"/>
    <w:rsid w:val="00331DB6"/>
    <w:rsid w:val="00331F01"/>
    <w:rsid w:val="00332428"/>
    <w:rsid w:val="0033283E"/>
    <w:rsid w:val="003332F9"/>
    <w:rsid w:val="00333308"/>
    <w:rsid w:val="00333400"/>
    <w:rsid w:val="00333791"/>
    <w:rsid w:val="00333A35"/>
    <w:rsid w:val="00333AE9"/>
    <w:rsid w:val="00333D28"/>
    <w:rsid w:val="00333E11"/>
    <w:rsid w:val="00333F78"/>
    <w:rsid w:val="00333FFE"/>
    <w:rsid w:val="00334073"/>
    <w:rsid w:val="00334127"/>
    <w:rsid w:val="00334137"/>
    <w:rsid w:val="003345A1"/>
    <w:rsid w:val="00334741"/>
    <w:rsid w:val="003347AF"/>
    <w:rsid w:val="00334A81"/>
    <w:rsid w:val="00334DB0"/>
    <w:rsid w:val="003350E1"/>
    <w:rsid w:val="003351F6"/>
    <w:rsid w:val="0033526C"/>
    <w:rsid w:val="003352EE"/>
    <w:rsid w:val="0033543E"/>
    <w:rsid w:val="00335642"/>
    <w:rsid w:val="00335B7F"/>
    <w:rsid w:val="00335BA2"/>
    <w:rsid w:val="00335D12"/>
    <w:rsid w:val="00335D19"/>
    <w:rsid w:val="00335DD9"/>
    <w:rsid w:val="00335E48"/>
    <w:rsid w:val="00335F0F"/>
    <w:rsid w:val="00335F76"/>
    <w:rsid w:val="00336063"/>
    <w:rsid w:val="003360BF"/>
    <w:rsid w:val="0033614C"/>
    <w:rsid w:val="00336155"/>
    <w:rsid w:val="003363A9"/>
    <w:rsid w:val="003363CA"/>
    <w:rsid w:val="00336627"/>
    <w:rsid w:val="0033673A"/>
    <w:rsid w:val="00336B14"/>
    <w:rsid w:val="00336CAD"/>
    <w:rsid w:val="00336EFB"/>
    <w:rsid w:val="00336EFF"/>
    <w:rsid w:val="00336FD7"/>
    <w:rsid w:val="00337108"/>
    <w:rsid w:val="0033743D"/>
    <w:rsid w:val="00337489"/>
    <w:rsid w:val="003375BF"/>
    <w:rsid w:val="00340113"/>
    <w:rsid w:val="00340242"/>
    <w:rsid w:val="003405D6"/>
    <w:rsid w:val="00340C0A"/>
    <w:rsid w:val="00340F46"/>
    <w:rsid w:val="003411B7"/>
    <w:rsid w:val="00341247"/>
    <w:rsid w:val="0034180B"/>
    <w:rsid w:val="00341968"/>
    <w:rsid w:val="00341AB5"/>
    <w:rsid w:val="00341E4A"/>
    <w:rsid w:val="00342248"/>
    <w:rsid w:val="003423ED"/>
    <w:rsid w:val="003427B2"/>
    <w:rsid w:val="00342815"/>
    <w:rsid w:val="003429BA"/>
    <w:rsid w:val="00342A40"/>
    <w:rsid w:val="00342CC5"/>
    <w:rsid w:val="0034300E"/>
    <w:rsid w:val="003433CF"/>
    <w:rsid w:val="0034360A"/>
    <w:rsid w:val="00343615"/>
    <w:rsid w:val="0034365A"/>
    <w:rsid w:val="0034397E"/>
    <w:rsid w:val="00343E89"/>
    <w:rsid w:val="003440F1"/>
    <w:rsid w:val="003441E5"/>
    <w:rsid w:val="0034447B"/>
    <w:rsid w:val="0034487A"/>
    <w:rsid w:val="00344A17"/>
    <w:rsid w:val="00344AA7"/>
    <w:rsid w:val="00344C3C"/>
    <w:rsid w:val="00344C7D"/>
    <w:rsid w:val="003450E7"/>
    <w:rsid w:val="003451D2"/>
    <w:rsid w:val="00345263"/>
    <w:rsid w:val="0034529E"/>
    <w:rsid w:val="003452B0"/>
    <w:rsid w:val="0034546F"/>
    <w:rsid w:val="0034557A"/>
    <w:rsid w:val="00345866"/>
    <w:rsid w:val="00345ABB"/>
    <w:rsid w:val="00345B14"/>
    <w:rsid w:val="00346006"/>
    <w:rsid w:val="00346144"/>
    <w:rsid w:val="0034675E"/>
    <w:rsid w:val="003467DE"/>
    <w:rsid w:val="00346802"/>
    <w:rsid w:val="00346860"/>
    <w:rsid w:val="00346A38"/>
    <w:rsid w:val="00346A5B"/>
    <w:rsid w:val="00346AD3"/>
    <w:rsid w:val="00346B1E"/>
    <w:rsid w:val="00346B6D"/>
    <w:rsid w:val="00346C72"/>
    <w:rsid w:val="00346D09"/>
    <w:rsid w:val="00346DC7"/>
    <w:rsid w:val="00346F86"/>
    <w:rsid w:val="003472BB"/>
    <w:rsid w:val="003477C7"/>
    <w:rsid w:val="00347877"/>
    <w:rsid w:val="003479C5"/>
    <w:rsid w:val="00347B07"/>
    <w:rsid w:val="00350095"/>
    <w:rsid w:val="003500A7"/>
    <w:rsid w:val="00350235"/>
    <w:rsid w:val="00350241"/>
    <w:rsid w:val="003502A2"/>
    <w:rsid w:val="00350421"/>
    <w:rsid w:val="00350568"/>
    <w:rsid w:val="00350895"/>
    <w:rsid w:val="003508A0"/>
    <w:rsid w:val="003508A2"/>
    <w:rsid w:val="00350910"/>
    <w:rsid w:val="003509AF"/>
    <w:rsid w:val="00350C84"/>
    <w:rsid w:val="00350D61"/>
    <w:rsid w:val="00350E4D"/>
    <w:rsid w:val="00350E9F"/>
    <w:rsid w:val="00350F08"/>
    <w:rsid w:val="0035122F"/>
    <w:rsid w:val="00351449"/>
    <w:rsid w:val="003517F6"/>
    <w:rsid w:val="0035183F"/>
    <w:rsid w:val="003518CE"/>
    <w:rsid w:val="00351996"/>
    <w:rsid w:val="003519BF"/>
    <w:rsid w:val="00351A94"/>
    <w:rsid w:val="0035206A"/>
    <w:rsid w:val="003521FF"/>
    <w:rsid w:val="003525D7"/>
    <w:rsid w:val="00352A21"/>
    <w:rsid w:val="00352C3F"/>
    <w:rsid w:val="00352CBA"/>
    <w:rsid w:val="00352D2B"/>
    <w:rsid w:val="003533F3"/>
    <w:rsid w:val="003534AC"/>
    <w:rsid w:val="003534C3"/>
    <w:rsid w:val="00353A59"/>
    <w:rsid w:val="00353C75"/>
    <w:rsid w:val="00353D02"/>
    <w:rsid w:val="00353D21"/>
    <w:rsid w:val="00353F52"/>
    <w:rsid w:val="00354798"/>
    <w:rsid w:val="00354830"/>
    <w:rsid w:val="0035486A"/>
    <w:rsid w:val="00354888"/>
    <w:rsid w:val="003549CE"/>
    <w:rsid w:val="00354C57"/>
    <w:rsid w:val="00354E44"/>
    <w:rsid w:val="00354F92"/>
    <w:rsid w:val="0035574B"/>
    <w:rsid w:val="0035592D"/>
    <w:rsid w:val="00355A50"/>
    <w:rsid w:val="00355B73"/>
    <w:rsid w:val="00355DC4"/>
    <w:rsid w:val="00356233"/>
    <w:rsid w:val="003568C9"/>
    <w:rsid w:val="00356B87"/>
    <w:rsid w:val="00357007"/>
    <w:rsid w:val="0035700F"/>
    <w:rsid w:val="00357045"/>
    <w:rsid w:val="00357112"/>
    <w:rsid w:val="00357220"/>
    <w:rsid w:val="0035728F"/>
    <w:rsid w:val="003575FA"/>
    <w:rsid w:val="003576E2"/>
    <w:rsid w:val="0035777C"/>
    <w:rsid w:val="0035794B"/>
    <w:rsid w:val="003579B1"/>
    <w:rsid w:val="00357A74"/>
    <w:rsid w:val="00357BAC"/>
    <w:rsid w:val="00357C1C"/>
    <w:rsid w:val="00357FED"/>
    <w:rsid w:val="0035BA96"/>
    <w:rsid w:val="00360106"/>
    <w:rsid w:val="003601DD"/>
    <w:rsid w:val="00360490"/>
    <w:rsid w:val="00360E0C"/>
    <w:rsid w:val="00360F08"/>
    <w:rsid w:val="00361030"/>
    <w:rsid w:val="00361381"/>
    <w:rsid w:val="00361694"/>
    <w:rsid w:val="00361741"/>
    <w:rsid w:val="00361C62"/>
    <w:rsid w:val="00361E2C"/>
    <w:rsid w:val="00362141"/>
    <w:rsid w:val="003621A9"/>
    <w:rsid w:val="0036228B"/>
    <w:rsid w:val="0036244B"/>
    <w:rsid w:val="003624EC"/>
    <w:rsid w:val="0036261D"/>
    <w:rsid w:val="003629DC"/>
    <w:rsid w:val="00362CEB"/>
    <w:rsid w:val="0036344F"/>
    <w:rsid w:val="00363511"/>
    <w:rsid w:val="0036356B"/>
    <w:rsid w:val="0036378F"/>
    <w:rsid w:val="003637E2"/>
    <w:rsid w:val="0036384A"/>
    <w:rsid w:val="003638A7"/>
    <w:rsid w:val="00363968"/>
    <w:rsid w:val="00363B73"/>
    <w:rsid w:val="0036400F"/>
    <w:rsid w:val="0036422E"/>
    <w:rsid w:val="0036430F"/>
    <w:rsid w:val="003643A3"/>
    <w:rsid w:val="00364639"/>
    <w:rsid w:val="003646D3"/>
    <w:rsid w:val="003647A8"/>
    <w:rsid w:val="00364904"/>
    <w:rsid w:val="00364B94"/>
    <w:rsid w:val="00364BFC"/>
    <w:rsid w:val="00364D6E"/>
    <w:rsid w:val="003650CE"/>
    <w:rsid w:val="00365129"/>
    <w:rsid w:val="00365205"/>
    <w:rsid w:val="00365360"/>
    <w:rsid w:val="003653A4"/>
    <w:rsid w:val="00365479"/>
    <w:rsid w:val="00365701"/>
    <w:rsid w:val="003657A3"/>
    <w:rsid w:val="0036591A"/>
    <w:rsid w:val="00365921"/>
    <w:rsid w:val="00365A5E"/>
    <w:rsid w:val="00365CC8"/>
    <w:rsid w:val="00365D13"/>
    <w:rsid w:val="00365F81"/>
    <w:rsid w:val="00365FD2"/>
    <w:rsid w:val="003660B8"/>
    <w:rsid w:val="00366110"/>
    <w:rsid w:val="00366286"/>
    <w:rsid w:val="00366827"/>
    <w:rsid w:val="00366924"/>
    <w:rsid w:val="00366AC9"/>
    <w:rsid w:val="00366CC6"/>
    <w:rsid w:val="003674EE"/>
    <w:rsid w:val="00367549"/>
    <w:rsid w:val="003678D7"/>
    <w:rsid w:val="0036791F"/>
    <w:rsid w:val="00367E36"/>
    <w:rsid w:val="00367F21"/>
    <w:rsid w:val="00367F94"/>
    <w:rsid w:val="0037019C"/>
    <w:rsid w:val="003702A5"/>
    <w:rsid w:val="003702D2"/>
    <w:rsid w:val="0037039D"/>
    <w:rsid w:val="003705F7"/>
    <w:rsid w:val="00370766"/>
    <w:rsid w:val="00370B1A"/>
    <w:rsid w:val="00370C85"/>
    <w:rsid w:val="00370D8C"/>
    <w:rsid w:val="003710C4"/>
    <w:rsid w:val="0037157D"/>
    <w:rsid w:val="0037158C"/>
    <w:rsid w:val="003716AB"/>
    <w:rsid w:val="003719CB"/>
    <w:rsid w:val="00371A6F"/>
    <w:rsid w:val="00371BE9"/>
    <w:rsid w:val="00371C0C"/>
    <w:rsid w:val="00371E36"/>
    <w:rsid w:val="003720A2"/>
    <w:rsid w:val="003721AD"/>
    <w:rsid w:val="003721CF"/>
    <w:rsid w:val="00372296"/>
    <w:rsid w:val="00372373"/>
    <w:rsid w:val="003723CA"/>
    <w:rsid w:val="00372758"/>
    <w:rsid w:val="0037284E"/>
    <w:rsid w:val="003728D4"/>
    <w:rsid w:val="00372945"/>
    <w:rsid w:val="0037297D"/>
    <w:rsid w:val="00372CFA"/>
    <w:rsid w:val="00372D62"/>
    <w:rsid w:val="00372FD2"/>
    <w:rsid w:val="0037329D"/>
    <w:rsid w:val="0037344A"/>
    <w:rsid w:val="003734C1"/>
    <w:rsid w:val="0037387C"/>
    <w:rsid w:val="003738F0"/>
    <w:rsid w:val="00373F82"/>
    <w:rsid w:val="00373FED"/>
    <w:rsid w:val="003741A3"/>
    <w:rsid w:val="0037426A"/>
    <w:rsid w:val="0037439F"/>
    <w:rsid w:val="003743BA"/>
    <w:rsid w:val="003744D2"/>
    <w:rsid w:val="003744F1"/>
    <w:rsid w:val="00374500"/>
    <w:rsid w:val="00374531"/>
    <w:rsid w:val="0037474F"/>
    <w:rsid w:val="00374815"/>
    <w:rsid w:val="00374F0B"/>
    <w:rsid w:val="00374FE2"/>
    <w:rsid w:val="0037501B"/>
    <w:rsid w:val="003753BC"/>
    <w:rsid w:val="003754DD"/>
    <w:rsid w:val="003755CA"/>
    <w:rsid w:val="0037588D"/>
    <w:rsid w:val="003759F2"/>
    <w:rsid w:val="00375A88"/>
    <w:rsid w:val="00375AC4"/>
    <w:rsid w:val="00375B94"/>
    <w:rsid w:val="0037637B"/>
    <w:rsid w:val="00376563"/>
    <w:rsid w:val="00376782"/>
    <w:rsid w:val="00376791"/>
    <w:rsid w:val="0037691A"/>
    <w:rsid w:val="00376922"/>
    <w:rsid w:val="003769B3"/>
    <w:rsid w:val="00376ACF"/>
    <w:rsid w:val="00376BC3"/>
    <w:rsid w:val="00376E29"/>
    <w:rsid w:val="00376F25"/>
    <w:rsid w:val="003770FE"/>
    <w:rsid w:val="003773BC"/>
    <w:rsid w:val="003777B8"/>
    <w:rsid w:val="00377E37"/>
    <w:rsid w:val="00377F76"/>
    <w:rsid w:val="0038017E"/>
    <w:rsid w:val="003802D2"/>
    <w:rsid w:val="003803BF"/>
    <w:rsid w:val="00380413"/>
    <w:rsid w:val="0038077D"/>
    <w:rsid w:val="00380A45"/>
    <w:rsid w:val="00380B99"/>
    <w:rsid w:val="00380C41"/>
    <w:rsid w:val="00380E89"/>
    <w:rsid w:val="00380F1B"/>
    <w:rsid w:val="00380F62"/>
    <w:rsid w:val="00381268"/>
    <w:rsid w:val="00381591"/>
    <w:rsid w:val="00381620"/>
    <w:rsid w:val="00381687"/>
    <w:rsid w:val="00381B05"/>
    <w:rsid w:val="00381B73"/>
    <w:rsid w:val="00381B8B"/>
    <w:rsid w:val="00381C6C"/>
    <w:rsid w:val="00381CB7"/>
    <w:rsid w:val="0038201A"/>
    <w:rsid w:val="003821E8"/>
    <w:rsid w:val="0038228B"/>
    <w:rsid w:val="003822D8"/>
    <w:rsid w:val="003822DF"/>
    <w:rsid w:val="00382B26"/>
    <w:rsid w:val="00382B72"/>
    <w:rsid w:val="00382E46"/>
    <w:rsid w:val="00382EA2"/>
    <w:rsid w:val="00382EA7"/>
    <w:rsid w:val="00382F0D"/>
    <w:rsid w:val="00382FF7"/>
    <w:rsid w:val="00383027"/>
    <w:rsid w:val="0038315D"/>
    <w:rsid w:val="003831B8"/>
    <w:rsid w:val="0038330E"/>
    <w:rsid w:val="0038358C"/>
    <w:rsid w:val="003835B4"/>
    <w:rsid w:val="003837F8"/>
    <w:rsid w:val="0038398C"/>
    <w:rsid w:val="00383C10"/>
    <w:rsid w:val="00383CE8"/>
    <w:rsid w:val="00383D0B"/>
    <w:rsid w:val="00383D32"/>
    <w:rsid w:val="00384001"/>
    <w:rsid w:val="00384403"/>
    <w:rsid w:val="0038441D"/>
    <w:rsid w:val="0038479D"/>
    <w:rsid w:val="00384A34"/>
    <w:rsid w:val="00384CA4"/>
    <w:rsid w:val="00384D56"/>
    <w:rsid w:val="00384D5A"/>
    <w:rsid w:val="00384EC3"/>
    <w:rsid w:val="0038551E"/>
    <w:rsid w:val="003857BD"/>
    <w:rsid w:val="003858EB"/>
    <w:rsid w:val="00385D30"/>
    <w:rsid w:val="00385DCA"/>
    <w:rsid w:val="00385DF8"/>
    <w:rsid w:val="00385F0C"/>
    <w:rsid w:val="00386173"/>
    <w:rsid w:val="003861B8"/>
    <w:rsid w:val="00386470"/>
    <w:rsid w:val="003865E6"/>
    <w:rsid w:val="0038666E"/>
    <w:rsid w:val="00386745"/>
    <w:rsid w:val="0038683E"/>
    <w:rsid w:val="00386A42"/>
    <w:rsid w:val="00386E03"/>
    <w:rsid w:val="00386E2C"/>
    <w:rsid w:val="00386F3C"/>
    <w:rsid w:val="00386F3E"/>
    <w:rsid w:val="00386F48"/>
    <w:rsid w:val="00386FB5"/>
    <w:rsid w:val="003872DE"/>
    <w:rsid w:val="00387379"/>
    <w:rsid w:val="00390372"/>
    <w:rsid w:val="00390383"/>
    <w:rsid w:val="0039073A"/>
    <w:rsid w:val="0039086B"/>
    <w:rsid w:val="0039087A"/>
    <w:rsid w:val="003908A0"/>
    <w:rsid w:val="0039095D"/>
    <w:rsid w:val="00390A6F"/>
    <w:rsid w:val="00390A96"/>
    <w:rsid w:val="00390AB4"/>
    <w:rsid w:val="00390C98"/>
    <w:rsid w:val="00390E45"/>
    <w:rsid w:val="00390E9C"/>
    <w:rsid w:val="003910D5"/>
    <w:rsid w:val="00391215"/>
    <w:rsid w:val="0039158B"/>
    <w:rsid w:val="00391609"/>
    <w:rsid w:val="003916B2"/>
    <w:rsid w:val="00391B4C"/>
    <w:rsid w:val="00391D33"/>
    <w:rsid w:val="00391F44"/>
    <w:rsid w:val="0039208C"/>
    <w:rsid w:val="00392366"/>
    <w:rsid w:val="003925BE"/>
    <w:rsid w:val="00392888"/>
    <w:rsid w:val="003928E2"/>
    <w:rsid w:val="00392D92"/>
    <w:rsid w:val="00392EB0"/>
    <w:rsid w:val="00392F91"/>
    <w:rsid w:val="00393093"/>
    <w:rsid w:val="003931BA"/>
    <w:rsid w:val="003935B1"/>
    <w:rsid w:val="0039366C"/>
    <w:rsid w:val="003936AF"/>
    <w:rsid w:val="0039374F"/>
    <w:rsid w:val="0039399D"/>
    <w:rsid w:val="0039403A"/>
    <w:rsid w:val="003941F9"/>
    <w:rsid w:val="003942C6"/>
    <w:rsid w:val="0039438A"/>
    <w:rsid w:val="00394423"/>
    <w:rsid w:val="00394498"/>
    <w:rsid w:val="00394934"/>
    <w:rsid w:val="00394B2E"/>
    <w:rsid w:val="00394BF8"/>
    <w:rsid w:val="00394D46"/>
    <w:rsid w:val="00394D49"/>
    <w:rsid w:val="003953EE"/>
    <w:rsid w:val="003953F6"/>
    <w:rsid w:val="00395459"/>
    <w:rsid w:val="003954D3"/>
    <w:rsid w:val="00395534"/>
    <w:rsid w:val="0039599D"/>
    <w:rsid w:val="0039643C"/>
    <w:rsid w:val="003965A5"/>
    <w:rsid w:val="0039664F"/>
    <w:rsid w:val="0039676B"/>
    <w:rsid w:val="00396874"/>
    <w:rsid w:val="00396944"/>
    <w:rsid w:val="00396985"/>
    <w:rsid w:val="00396A6B"/>
    <w:rsid w:val="00396EAF"/>
    <w:rsid w:val="00397243"/>
    <w:rsid w:val="00397331"/>
    <w:rsid w:val="0039741F"/>
    <w:rsid w:val="003974A0"/>
    <w:rsid w:val="00397584"/>
    <w:rsid w:val="00397626"/>
    <w:rsid w:val="00397785"/>
    <w:rsid w:val="00397992"/>
    <w:rsid w:val="00397B93"/>
    <w:rsid w:val="00397FE9"/>
    <w:rsid w:val="003A0133"/>
    <w:rsid w:val="003A01FE"/>
    <w:rsid w:val="003A023D"/>
    <w:rsid w:val="003A0615"/>
    <w:rsid w:val="003A07DB"/>
    <w:rsid w:val="003A09E7"/>
    <w:rsid w:val="003A0A9C"/>
    <w:rsid w:val="003A0B56"/>
    <w:rsid w:val="003A0FDB"/>
    <w:rsid w:val="003A12B9"/>
    <w:rsid w:val="003A12D2"/>
    <w:rsid w:val="003A13A0"/>
    <w:rsid w:val="003A1675"/>
    <w:rsid w:val="003A17E3"/>
    <w:rsid w:val="003A19C0"/>
    <w:rsid w:val="003A19CA"/>
    <w:rsid w:val="003A1B20"/>
    <w:rsid w:val="003A1C3B"/>
    <w:rsid w:val="003A1D4D"/>
    <w:rsid w:val="003A1DC3"/>
    <w:rsid w:val="003A1F6E"/>
    <w:rsid w:val="003A1FD6"/>
    <w:rsid w:val="003A20E2"/>
    <w:rsid w:val="003A213D"/>
    <w:rsid w:val="003A24CB"/>
    <w:rsid w:val="003A25E2"/>
    <w:rsid w:val="003A28BE"/>
    <w:rsid w:val="003A2A10"/>
    <w:rsid w:val="003A2BBE"/>
    <w:rsid w:val="003A2EAD"/>
    <w:rsid w:val="003A2EAE"/>
    <w:rsid w:val="003A2FF2"/>
    <w:rsid w:val="003A3649"/>
    <w:rsid w:val="003A3A78"/>
    <w:rsid w:val="003A3D82"/>
    <w:rsid w:val="003A3DC1"/>
    <w:rsid w:val="003A4091"/>
    <w:rsid w:val="003A4381"/>
    <w:rsid w:val="003A4664"/>
    <w:rsid w:val="003A4667"/>
    <w:rsid w:val="003A487E"/>
    <w:rsid w:val="003A4938"/>
    <w:rsid w:val="003A4AB0"/>
    <w:rsid w:val="003A4B07"/>
    <w:rsid w:val="003A4BB0"/>
    <w:rsid w:val="003A4C7C"/>
    <w:rsid w:val="003A4C92"/>
    <w:rsid w:val="003A51C5"/>
    <w:rsid w:val="003A55E9"/>
    <w:rsid w:val="003A570C"/>
    <w:rsid w:val="003A59A9"/>
    <w:rsid w:val="003A5AE7"/>
    <w:rsid w:val="003A5BDF"/>
    <w:rsid w:val="003A5D39"/>
    <w:rsid w:val="003A5FB4"/>
    <w:rsid w:val="003A6076"/>
    <w:rsid w:val="003A6183"/>
    <w:rsid w:val="003A6329"/>
    <w:rsid w:val="003A6380"/>
    <w:rsid w:val="003A656D"/>
    <w:rsid w:val="003A6622"/>
    <w:rsid w:val="003A666E"/>
    <w:rsid w:val="003A6A5D"/>
    <w:rsid w:val="003A6B99"/>
    <w:rsid w:val="003A6C2D"/>
    <w:rsid w:val="003A6CE1"/>
    <w:rsid w:val="003A7069"/>
    <w:rsid w:val="003A72B6"/>
    <w:rsid w:val="003A73BD"/>
    <w:rsid w:val="003A744C"/>
    <w:rsid w:val="003A7533"/>
    <w:rsid w:val="003A7805"/>
    <w:rsid w:val="003A789F"/>
    <w:rsid w:val="003A79FA"/>
    <w:rsid w:val="003A7E8B"/>
    <w:rsid w:val="003A7EEB"/>
    <w:rsid w:val="003B00F6"/>
    <w:rsid w:val="003B01CB"/>
    <w:rsid w:val="003B02CC"/>
    <w:rsid w:val="003B041D"/>
    <w:rsid w:val="003B0458"/>
    <w:rsid w:val="003B0662"/>
    <w:rsid w:val="003B09A6"/>
    <w:rsid w:val="003B0B21"/>
    <w:rsid w:val="003B10E1"/>
    <w:rsid w:val="003B14EA"/>
    <w:rsid w:val="003B1523"/>
    <w:rsid w:val="003B1AE1"/>
    <w:rsid w:val="003B1CCE"/>
    <w:rsid w:val="003B1CFE"/>
    <w:rsid w:val="003B1D0B"/>
    <w:rsid w:val="003B2033"/>
    <w:rsid w:val="003B20CB"/>
    <w:rsid w:val="003B22DC"/>
    <w:rsid w:val="003B2379"/>
    <w:rsid w:val="003B24B4"/>
    <w:rsid w:val="003B265F"/>
    <w:rsid w:val="003B2690"/>
    <w:rsid w:val="003B269F"/>
    <w:rsid w:val="003B27CE"/>
    <w:rsid w:val="003B2C56"/>
    <w:rsid w:val="003B351E"/>
    <w:rsid w:val="003B3609"/>
    <w:rsid w:val="003B36AD"/>
    <w:rsid w:val="003B36B7"/>
    <w:rsid w:val="003B388C"/>
    <w:rsid w:val="003B3978"/>
    <w:rsid w:val="003B3D86"/>
    <w:rsid w:val="003B3FA2"/>
    <w:rsid w:val="003B4103"/>
    <w:rsid w:val="003B4240"/>
    <w:rsid w:val="003B4371"/>
    <w:rsid w:val="003B45D3"/>
    <w:rsid w:val="003B46AC"/>
    <w:rsid w:val="003B4767"/>
    <w:rsid w:val="003B48A1"/>
    <w:rsid w:val="003B48C4"/>
    <w:rsid w:val="003B48EE"/>
    <w:rsid w:val="003B4B68"/>
    <w:rsid w:val="003B4C0B"/>
    <w:rsid w:val="003B4E99"/>
    <w:rsid w:val="003B4F3B"/>
    <w:rsid w:val="003B50A6"/>
    <w:rsid w:val="003B5144"/>
    <w:rsid w:val="003B524F"/>
    <w:rsid w:val="003B54CD"/>
    <w:rsid w:val="003B5745"/>
    <w:rsid w:val="003B5751"/>
    <w:rsid w:val="003B59B0"/>
    <w:rsid w:val="003B5C9B"/>
    <w:rsid w:val="003B5D48"/>
    <w:rsid w:val="003B5D78"/>
    <w:rsid w:val="003B5DC5"/>
    <w:rsid w:val="003B5E1D"/>
    <w:rsid w:val="003B5E8C"/>
    <w:rsid w:val="003B6172"/>
    <w:rsid w:val="003B62A8"/>
    <w:rsid w:val="003B6302"/>
    <w:rsid w:val="003B64BF"/>
    <w:rsid w:val="003B651E"/>
    <w:rsid w:val="003B6852"/>
    <w:rsid w:val="003B6A50"/>
    <w:rsid w:val="003B6BB1"/>
    <w:rsid w:val="003B6C50"/>
    <w:rsid w:val="003B6C63"/>
    <w:rsid w:val="003B6CC7"/>
    <w:rsid w:val="003B6D56"/>
    <w:rsid w:val="003B6EA5"/>
    <w:rsid w:val="003B7614"/>
    <w:rsid w:val="003B773E"/>
    <w:rsid w:val="003B780C"/>
    <w:rsid w:val="003B7C27"/>
    <w:rsid w:val="003B7DFD"/>
    <w:rsid w:val="003B7F67"/>
    <w:rsid w:val="003BBCAE"/>
    <w:rsid w:val="003C0025"/>
    <w:rsid w:val="003C0136"/>
    <w:rsid w:val="003C0173"/>
    <w:rsid w:val="003C021B"/>
    <w:rsid w:val="003C0356"/>
    <w:rsid w:val="003C04F3"/>
    <w:rsid w:val="003C05B0"/>
    <w:rsid w:val="003C0B9F"/>
    <w:rsid w:val="003C0D84"/>
    <w:rsid w:val="003C10BB"/>
    <w:rsid w:val="003C1510"/>
    <w:rsid w:val="003C1C54"/>
    <w:rsid w:val="003C1E65"/>
    <w:rsid w:val="003C1F6F"/>
    <w:rsid w:val="003C1FE2"/>
    <w:rsid w:val="003C2366"/>
    <w:rsid w:val="003C24F0"/>
    <w:rsid w:val="003C25A3"/>
    <w:rsid w:val="003C2863"/>
    <w:rsid w:val="003C295F"/>
    <w:rsid w:val="003C2E4D"/>
    <w:rsid w:val="003C31A6"/>
    <w:rsid w:val="003C324C"/>
    <w:rsid w:val="003C3378"/>
    <w:rsid w:val="003C33CC"/>
    <w:rsid w:val="003C3745"/>
    <w:rsid w:val="003C3A7C"/>
    <w:rsid w:val="003C3B65"/>
    <w:rsid w:val="003C3C31"/>
    <w:rsid w:val="003C3C84"/>
    <w:rsid w:val="003C3CBB"/>
    <w:rsid w:val="003C3CC9"/>
    <w:rsid w:val="003C4245"/>
    <w:rsid w:val="003C44F0"/>
    <w:rsid w:val="003C4566"/>
    <w:rsid w:val="003C45C8"/>
    <w:rsid w:val="003C4751"/>
    <w:rsid w:val="003C4802"/>
    <w:rsid w:val="003C4AB8"/>
    <w:rsid w:val="003C4B08"/>
    <w:rsid w:val="003C4B78"/>
    <w:rsid w:val="003C4F3A"/>
    <w:rsid w:val="003C5115"/>
    <w:rsid w:val="003C5179"/>
    <w:rsid w:val="003C5806"/>
    <w:rsid w:val="003C5B32"/>
    <w:rsid w:val="003C5BA0"/>
    <w:rsid w:val="003C5EFC"/>
    <w:rsid w:val="003C619B"/>
    <w:rsid w:val="003C6227"/>
    <w:rsid w:val="003C624A"/>
    <w:rsid w:val="003C63CC"/>
    <w:rsid w:val="003C6522"/>
    <w:rsid w:val="003C6560"/>
    <w:rsid w:val="003C6B34"/>
    <w:rsid w:val="003C6BFF"/>
    <w:rsid w:val="003C6F54"/>
    <w:rsid w:val="003C70E1"/>
    <w:rsid w:val="003C72FD"/>
    <w:rsid w:val="003C7793"/>
    <w:rsid w:val="003C78C2"/>
    <w:rsid w:val="003C7A73"/>
    <w:rsid w:val="003C7DD9"/>
    <w:rsid w:val="003C7FD6"/>
    <w:rsid w:val="003D0259"/>
    <w:rsid w:val="003D0846"/>
    <w:rsid w:val="003D0865"/>
    <w:rsid w:val="003D091D"/>
    <w:rsid w:val="003D0A54"/>
    <w:rsid w:val="003D0C52"/>
    <w:rsid w:val="003D1226"/>
    <w:rsid w:val="003D1479"/>
    <w:rsid w:val="003D14F9"/>
    <w:rsid w:val="003D19D2"/>
    <w:rsid w:val="003D1DEB"/>
    <w:rsid w:val="003D1E46"/>
    <w:rsid w:val="003D1F89"/>
    <w:rsid w:val="003D1F9F"/>
    <w:rsid w:val="003D21FC"/>
    <w:rsid w:val="003D23A0"/>
    <w:rsid w:val="003D242B"/>
    <w:rsid w:val="003D2726"/>
    <w:rsid w:val="003D2881"/>
    <w:rsid w:val="003D2A69"/>
    <w:rsid w:val="003D2A9C"/>
    <w:rsid w:val="003D2C53"/>
    <w:rsid w:val="003D2C65"/>
    <w:rsid w:val="003D2EBF"/>
    <w:rsid w:val="003D31BE"/>
    <w:rsid w:val="003D34FB"/>
    <w:rsid w:val="003D367A"/>
    <w:rsid w:val="003D396C"/>
    <w:rsid w:val="003D3C57"/>
    <w:rsid w:val="003D3CEA"/>
    <w:rsid w:val="003D3D0D"/>
    <w:rsid w:val="003D3F86"/>
    <w:rsid w:val="003D3F92"/>
    <w:rsid w:val="003D4209"/>
    <w:rsid w:val="003D43AF"/>
    <w:rsid w:val="003D43E4"/>
    <w:rsid w:val="003D4492"/>
    <w:rsid w:val="003D474E"/>
    <w:rsid w:val="003D5328"/>
    <w:rsid w:val="003D532E"/>
    <w:rsid w:val="003D53B1"/>
    <w:rsid w:val="003D55E1"/>
    <w:rsid w:val="003D57DB"/>
    <w:rsid w:val="003D5860"/>
    <w:rsid w:val="003D5A68"/>
    <w:rsid w:val="003D5C9B"/>
    <w:rsid w:val="003D608F"/>
    <w:rsid w:val="003D63A3"/>
    <w:rsid w:val="003D654A"/>
    <w:rsid w:val="003D6A0E"/>
    <w:rsid w:val="003D6A90"/>
    <w:rsid w:val="003D6B89"/>
    <w:rsid w:val="003D6F51"/>
    <w:rsid w:val="003D716D"/>
    <w:rsid w:val="003D73CD"/>
    <w:rsid w:val="003D75CC"/>
    <w:rsid w:val="003D76FB"/>
    <w:rsid w:val="003D7827"/>
    <w:rsid w:val="003D7E36"/>
    <w:rsid w:val="003D7F3E"/>
    <w:rsid w:val="003E000B"/>
    <w:rsid w:val="003E01CF"/>
    <w:rsid w:val="003E0307"/>
    <w:rsid w:val="003E05E0"/>
    <w:rsid w:val="003E09FF"/>
    <w:rsid w:val="003E0C04"/>
    <w:rsid w:val="003E0D3F"/>
    <w:rsid w:val="003E0DFD"/>
    <w:rsid w:val="003E0F76"/>
    <w:rsid w:val="003E17C1"/>
    <w:rsid w:val="003E192C"/>
    <w:rsid w:val="003E1B1F"/>
    <w:rsid w:val="003E1D2B"/>
    <w:rsid w:val="003E1E9D"/>
    <w:rsid w:val="003E1F96"/>
    <w:rsid w:val="003E2103"/>
    <w:rsid w:val="003E232A"/>
    <w:rsid w:val="003E2487"/>
    <w:rsid w:val="003E249C"/>
    <w:rsid w:val="003E25B8"/>
    <w:rsid w:val="003E28E7"/>
    <w:rsid w:val="003E293D"/>
    <w:rsid w:val="003E2996"/>
    <w:rsid w:val="003E2DCC"/>
    <w:rsid w:val="003E2DFF"/>
    <w:rsid w:val="003E2EAE"/>
    <w:rsid w:val="003E30A2"/>
    <w:rsid w:val="003E32D8"/>
    <w:rsid w:val="003E3648"/>
    <w:rsid w:val="003E364A"/>
    <w:rsid w:val="003E386D"/>
    <w:rsid w:val="003E38E8"/>
    <w:rsid w:val="003E39B9"/>
    <w:rsid w:val="003E3A53"/>
    <w:rsid w:val="003E3C3E"/>
    <w:rsid w:val="003E3C3F"/>
    <w:rsid w:val="003E3FDF"/>
    <w:rsid w:val="003E43E1"/>
    <w:rsid w:val="003E4602"/>
    <w:rsid w:val="003E4922"/>
    <w:rsid w:val="003E499E"/>
    <w:rsid w:val="003E4AD1"/>
    <w:rsid w:val="003E4AFB"/>
    <w:rsid w:val="003E4B67"/>
    <w:rsid w:val="003E4BCA"/>
    <w:rsid w:val="003E4CDE"/>
    <w:rsid w:val="003E4F54"/>
    <w:rsid w:val="003E4F7D"/>
    <w:rsid w:val="003E4F8F"/>
    <w:rsid w:val="003E52B1"/>
    <w:rsid w:val="003E57F2"/>
    <w:rsid w:val="003E58E3"/>
    <w:rsid w:val="003E5995"/>
    <w:rsid w:val="003E5A88"/>
    <w:rsid w:val="003E5A8E"/>
    <w:rsid w:val="003E5FA4"/>
    <w:rsid w:val="003E6069"/>
    <w:rsid w:val="003E642A"/>
    <w:rsid w:val="003E670A"/>
    <w:rsid w:val="003E678F"/>
    <w:rsid w:val="003E67B5"/>
    <w:rsid w:val="003E6876"/>
    <w:rsid w:val="003E6958"/>
    <w:rsid w:val="003E6AC0"/>
    <w:rsid w:val="003E6B38"/>
    <w:rsid w:val="003E6BCE"/>
    <w:rsid w:val="003E6D15"/>
    <w:rsid w:val="003E6D21"/>
    <w:rsid w:val="003E71CF"/>
    <w:rsid w:val="003E73D1"/>
    <w:rsid w:val="003E7552"/>
    <w:rsid w:val="003E76EB"/>
    <w:rsid w:val="003E784F"/>
    <w:rsid w:val="003E7A7F"/>
    <w:rsid w:val="003E7C8F"/>
    <w:rsid w:val="003E7CD1"/>
    <w:rsid w:val="003E7E04"/>
    <w:rsid w:val="003E7E8C"/>
    <w:rsid w:val="003F0452"/>
    <w:rsid w:val="003F0455"/>
    <w:rsid w:val="003F0B5D"/>
    <w:rsid w:val="003F0BC8"/>
    <w:rsid w:val="003F0CA4"/>
    <w:rsid w:val="003F0E88"/>
    <w:rsid w:val="003F1036"/>
    <w:rsid w:val="003F1077"/>
    <w:rsid w:val="003F13C1"/>
    <w:rsid w:val="003F1E04"/>
    <w:rsid w:val="003F1EDB"/>
    <w:rsid w:val="003F1F4D"/>
    <w:rsid w:val="003F20CA"/>
    <w:rsid w:val="003F21C2"/>
    <w:rsid w:val="003F21D9"/>
    <w:rsid w:val="003F21DC"/>
    <w:rsid w:val="003F22F4"/>
    <w:rsid w:val="003F23FD"/>
    <w:rsid w:val="003F2576"/>
    <w:rsid w:val="003F28D9"/>
    <w:rsid w:val="003F2900"/>
    <w:rsid w:val="003F2916"/>
    <w:rsid w:val="003F2A6F"/>
    <w:rsid w:val="003F2AAA"/>
    <w:rsid w:val="003F2CBE"/>
    <w:rsid w:val="003F2D7E"/>
    <w:rsid w:val="003F2E8C"/>
    <w:rsid w:val="003F3292"/>
    <w:rsid w:val="003F32E7"/>
    <w:rsid w:val="003F3412"/>
    <w:rsid w:val="003F34BA"/>
    <w:rsid w:val="003F3523"/>
    <w:rsid w:val="003F3620"/>
    <w:rsid w:val="003F3A8C"/>
    <w:rsid w:val="003F3D45"/>
    <w:rsid w:val="003F3E1E"/>
    <w:rsid w:val="003F3ECB"/>
    <w:rsid w:val="003F42AD"/>
    <w:rsid w:val="003F4402"/>
    <w:rsid w:val="003F4660"/>
    <w:rsid w:val="003F483D"/>
    <w:rsid w:val="003F4915"/>
    <w:rsid w:val="003F4ADD"/>
    <w:rsid w:val="003F4B06"/>
    <w:rsid w:val="003F4B57"/>
    <w:rsid w:val="003F4F29"/>
    <w:rsid w:val="003F4F8B"/>
    <w:rsid w:val="003F4FD6"/>
    <w:rsid w:val="003F4FF4"/>
    <w:rsid w:val="003F5112"/>
    <w:rsid w:val="003F542A"/>
    <w:rsid w:val="003F55C3"/>
    <w:rsid w:val="003F55CE"/>
    <w:rsid w:val="003F5646"/>
    <w:rsid w:val="003F57AE"/>
    <w:rsid w:val="003F58F9"/>
    <w:rsid w:val="003F59F6"/>
    <w:rsid w:val="003F5C52"/>
    <w:rsid w:val="003F5D29"/>
    <w:rsid w:val="003F6038"/>
    <w:rsid w:val="003F614C"/>
    <w:rsid w:val="003F62C1"/>
    <w:rsid w:val="003F6322"/>
    <w:rsid w:val="003F6436"/>
    <w:rsid w:val="003F6BCA"/>
    <w:rsid w:val="003F6D4C"/>
    <w:rsid w:val="003F6D78"/>
    <w:rsid w:val="003F6E77"/>
    <w:rsid w:val="003F70B2"/>
    <w:rsid w:val="003F71B9"/>
    <w:rsid w:val="003F727A"/>
    <w:rsid w:val="003F7529"/>
    <w:rsid w:val="003F75C1"/>
    <w:rsid w:val="003F761A"/>
    <w:rsid w:val="003F7626"/>
    <w:rsid w:val="003F783F"/>
    <w:rsid w:val="003F7E57"/>
    <w:rsid w:val="003F7EFC"/>
    <w:rsid w:val="0040000A"/>
    <w:rsid w:val="00400034"/>
    <w:rsid w:val="004001B7"/>
    <w:rsid w:val="0040042A"/>
    <w:rsid w:val="00400507"/>
    <w:rsid w:val="004006A9"/>
    <w:rsid w:val="004006C5"/>
    <w:rsid w:val="004007ED"/>
    <w:rsid w:val="0040097D"/>
    <w:rsid w:val="004009CF"/>
    <w:rsid w:val="00400C0E"/>
    <w:rsid w:val="00400D97"/>
    <w:rsid w:val="00400F98"/>
    <w:rsid w:val="00400FFD"/>
    <w:rsid w:val="00401169"/>
    <w:rsid w:val="004013D1"/>
    <w:rsid w:val="00401622"/>
    <w:rsid w:val="00401A2F"/>
    <w:rsid w:val="00401B18"/>
    <w:rsid w:val="00401CE2"/>
    <w:rsid w:val="00402127"/>
    <w:rsid w:val="00402551"/>
    <w:rsid w:val="004026CA"/>
    <w:rsid w:val="0040277E"/>
    <w:rsid w:val="004027D7"/>
    <w:rsid w:val="00402A43"/>
    <w:rsid w:val="00402A4C"/>
    <w:rsid w:val="00402A72"/>
    <w:rsid w:val="00402BC9"/>
    <w:rsid w:val="00402E49"/>
    <w:rsid w:val="00403302"/>
    <w:rsid w:val="00403654"/>
    <w:rsid w:val="00403800"/>
    <w:rsid w:val="004038B4"/>
    <w:rsid w:val="0040396E"/>
    <w:rsid w:val="00403DBC"/>
    <w:rsid w:val="00403E7E"/>
    <w:rsid w:val="00403EEE"/>
    <w:rsid w:val="00404071"/>
    <w:rsid w:val="0040407E"/>
    <w:rsid w:val="004044DE"/>
    <w:rsid w:val="00404542"/>
    <w:rsid w:val="00404557"/>
    <w:rsid w:val="004046B5"/>
    <w:rsid w:val="004046F1"/>
    <w:rsid w:val="00404723"/>
    <w:rsid w:val="0040493E"/>
    <w:rsid w:val="00404AE0"/>
    <w:rsid w:val="00404B51"/>
    <w:rsid w:val="00404C8B"/>
    <w:rsid w:val="00404E0C"/>
    <w:rsid w:val="004050E0"/>
    <w:rsid w:val="004052DE"/>
    <w:rsid w:val="004057F1"/>
    <w:rsid w:val="00405880"/>
    <w:rsid w:val="00405967"/>
    <w:rsid w:val="00405AF5"/>
    <w:rsid w:val="00405FBC"/>
    <w:rsid w:val="00406566"/>
    <w:rsid w:val="00406A0F"/>
    <w:rsid w:val="00406AB5"/>
    <w:rsid w:val="00406BDD"/>
    <w:rsid w:val="00406DE5"/>
    <w:rsid w:val="00406E85"/>
    <w:rsid w:val="00406F3D"/>
    <w:rsid w:val="0040753E"/>
    <w:rsid w:val="00407822"/>
    <w:rsid w:val="00407C82"/>
    <w:rsid w:val="00407FE2"/>
    <w:rsid w:val="004102D0"/>
    <w:rsid w:val="00410656"/>
    <w:rsid w:val="00410724"/>
    <w:rsid w:val="00410B10"/>
    <w:rsid w:val="00410EB6"/>
    <w:rsid w:val="00411362"/>
    <w:rsid w:val="00411531"/>
    <w:rsid w:val="00411576"/>
    <w:rsid w:val="00411644"/>
    <w:rsid w:val="00411A59"/>
    <w:rsid w:val="00411C20"/>
    <w:rsid w:val="00411EFF"/>
    <w:rsid w:val="00412046"/>
    <w:rsid w:val="004120DF"/>
    <w:rsid w:val="004121E4"/>
    <w:rsid w:val="0041269A"/>
    <w:rsid w:val="00412792"/>
    <w:rsid w:val="00412B3D"/>
    <w:rsid w:val="00412C9D"/>
    <w:rsid w:val="00412D1E"/>
    <w:rsid w:val="00412F2B"/>
    <w:rsid w:val="004130E6"/>
    <w:rsid w:val="00413468"/>
    <w:rsid w:val="0041361A"/>
    <w:rsid w:val="0041368E"/>
    <w:rsid w:val="0041394C"/>
    <w:rsid w:val="00413A70"/>
    <w:rsid w:val="00413DAD"/>
    <w:rsid w:val="00413EA8"/>
    <w:rsid w:val="00414065"/>
    <w:rsid w:val="0041456F"/>
    <w:rsid w:val="0041468D"/>
    <w:rsid w:val="00414815"/>
    <w:rsid w:val="00414A5F"/>
    <w:rsid w:val="00414AD4"/>
    <w:rsid w:val="00414B65"/>
    <w:rsid w:val="00414EAA"/>
    <w:rsid w:val="0041518B"/>
    <w:rsid w:val="00415366"/>
    <w:rsid w:val="004153D9"/>
    <w:rsid w:val="004155F0"/>
    <w:rsid w:val="00415651"/>
    <w:rsid w:val="0041570F"/>
    <w:rsid w:val="004157F3"/>
    <w:rsid w:val="00415857"/>
    <w:rsid w:val="00415D35"/>
    <w:rsid w:val="00415E0B"/>
    <w:rsid w:val="00416857"/>
    <w:rsid w:val="00416C1C"/>
    <w:rsid w:val="00416F45"/>
    <w:rsid w:val="004170D6"/>
    <w:rsid w:val="00417379"/>
    <w:rsid w:val="004175E4"/>
    <w:rsid w:val="00417630"/>
    <w:rsid w:val="004176F9"/>
    <w:rsid w:val="00417752"/>
    <w:rsid w:val="00417BC2"/>
    <w:rsid w:val="00417C80"/>
    <w:rsid w:val="00417FAB"/>
    <w:rsid w:val="004200C2"/>
    <w:rsid w:val="00420193"/>
    <w:rsid w:val="004201E0"/>
    <w:rsid w:val="004204BE"/>
    <w:rsid w:val="0042057D"/>
    <w:rsid w:val="004205E0"/>
    <w:rsid w:val="004206D6"/>
    <w:rsid w:val="0042087A"/>
    <w:rsid w:val="00420BD3"/>
    <w:rsid w:val="00420F2E"/>
    <w:rsid w:val="004213AA"/>
    <w:rsid w:val="004215FC"/>
    <w:rsid w:val="004216AE"/>
    <w:rsid w:val="004218A6"/>
    <w:rsid w:val="004218E1"/>
    <w:rsid w:val="00421BE5"/>
    <w:rsid w:val="00421F04"/>
    <w:rsid w:val="00422231"/>
    <w:rsid w:val="004222AB"/>
    <w:rsid w:val="004226CB"/>
    <w:rsid w:val="004229B1"/>
    <w:rsid w:val="00422A10"/>
    <w:rsid w:val="00422B6B"/>
    <w:rsid w:val="00422CC9"/>
    <w:rsid w:val="0042307C"/>
    <w:rsid w:val="0042371E"/>
    <w:rsid w:val="00423ABC"/>
    <w:rsid w:val="00423B92"/>
    <w:rsid w:val="00423B9A"/>
    <w:rsid w:val="00423BFB"/>
    <w:rsid w:val="00423FAB"/>
    <w:rsid w:val="0042439C"/>
    <w:rsid w:val="00424407"/>
    <w:rsid w:val="004245A6"/>
    <w:rsid w:val="0042469A"/>
    <w:rsid w:val="00424777"/>
    <w:rsid w:val="00424793"/>
    <w:rsid w:val="004248D9"/>
    <w:rsid w:val="004248FE"/>
    <w:rsid w:val="004249CD"/>
    <w:rsid w:val="00424CC1"/>
    <w:rsid w:val="00424D4B"/>
    <w:rsid w:val="00424EEF"/>
    <w:rsid w:val="00424F07"/>
    <w:rsid w:val="00425105"/>
    <w:rsid w:val="0042518D"/>
    <w:rsid w:val="004252B8"/>
    <w:rsid w:val="004256C8"/>
    <w:rsid w:val="004257B8"/>
    <w:rsid w:val="0042582F"/>
    <w:rsid w:val="00425B1A"/>
    <w:rsid w:val="00425CBC"/>
    <w:rsid w:val="00425F5F"/>
    <w:rsid w:val="00425FF6"/>
    <w:rsid w:val="004263D4"/>
    <w:rsid w:val="00426684"/>
    <w:rsid w:val="00426704"/>
    <w:rsid w:val="00426A79"/>
    <w:rsid w:val="00426B76"/>
    <w:rsid w:val="00426D00"/>
    <w:rsid w:val="004271AE"/>
    <w:rsid w:val="00427453"/>
    <w:rsid w:val="0042756D"/>
    <w:rsid w:val="004275E3"/>
    <w:rsid w:val="004277A0"/>
    <w:rsid w:val="00427C1A"/>
    <w:rsid w:val="00427C39"/>
    <w:rsid w:val="00427E8A"/>
    <w:rsid w:val="00427F6E"/>
    <w:rsid w:val="00427FCE"/>
    <w:rsid w:val="0043007B"/>
    <w:rsid w:val="00430114"/>
    <w:rsid w:val="004301A2"/>
    <w:rsid w:val="0043026F"/>
    <w:rsid w:val="004303DD"/>
    <w:rsid w:val="004304B2"/>
    <w:rsid w:val="004306A5"/>
    <w:rsid w:val="004306D4"/>
    <w:rsid w:val="004309BA"/>
    <w:rsid w:val="00431032"/>
    <w:rsid w:val="004311D8"/>
    <w:rsid w:val="0043128A"/>
    <w:rsid w:val="004315AF"/>
    <w:rsid w:val="00431785"/>
    <w:rsid w:val="004318EB"/>
    <w:rsid w:val="00431919"/>
    <w:rsid w:val="00431AD4"/>
    <w:rsid w:val="00431C09"/>
    <w:rsid w:val="00431C98"/>
    <w:rsid w:val="00431DE8"/>
    <w:rsid w:val="00432195"/>
    <w:rsid w:val="00432288"/>
    <w:rsid w:val="004322CE"/>
    <w:rsid w:val="0043264E"/>
    <w:rsid w:val="004326F0"/>
    <w:rsid w:val="00432808"/>
    <w:rsid w:val="0043304C"/>
    <w:rsid w:val="0043324A"/>
    <w:rsid w:val="004332D2"/>
    <w:rsid w:val="00433369"/>
    <w:rsid w:val="0043384E"/>
    <w:rsid w:val="00433ACE"/>
    <w:rsid w:val="00433C91"/>
    <w:rsid w:val="00433DB2"/>
    <w:rsid w:val="00433E88"/>
    <w:rsid w:val="004340A4"/>
    <w:rsid w:val="004340A7"/>
    <w:rsid w:val="00434648"/>
    <w:rsid w:val="0043474F"/>
    <w:rsid w:val="004347C6"/>
    <w:rsid w:val="004348E8"/>
    <w:rsid w:val="004349BE"/>
    <w:rsid w:val="00434E40"/>
    <w:rsid w:val="00434EA3"/>
    <w:rsid w:val="00434FB6"/>
    <w:rsid w:val="00435318"/>
    <w:rsid w:val="00435363"/>
    <w:rsid w:val="004356C7"/>
    <w:rsid w:val="00435852"/>
    <w:rsid w:val="00435873"/>
    <w:rsid w:val="00435A76"/>
    <w:rsid w:val="00435A8D"/>
    <w:rsid w:val="00435D24"/>
    <w:rsid w:val="00435D5D"/>
    <w:rsid w:val="00435DF4"/>
    <w:rsid w:val="00435E60"/>
    <w:rsid w:val="00435ED7"/>
    <w:rsid w:val="0043669A"/>
    <w:rsid w:val="00436E73"/>
    <w:rsid w:val="00436FBD"/>
    <w:rsid w:val="00437088"/>
    <w:rsid w:val="004372EA"/>
    <w:rsid w:val="00437369"/>
    <w:rsid w:val="00437424"/>
    <w:rsid w:val="00437451"/>
    <w:rsid w:val="00437726"/>
    <w:rsid w:val="0043792B"/>
    <w:rsid w:val="0043796B"/>
    <w:rsid w:val="00437B76"/>
    <w:rsid w:val="00437BD9"/>
    <w:rsid w:val="00437C80"/>
    <w:rsid w:val="00437CF6"/>
    <w:rsid w:val="004401AC"/>
    <w:rsid w:val="00440264"/>
    <w:rsid w:val="004402C0"/>
    <w:rsid w:val="004405C8"/>
    <w:rsid w:val="0044093A"/>
    <w:rsid w:val="00440A02"/>
    <w:rsid w:val="00440A6C"/>
    <w:rsid w:val="00440A9E"/>
    <w:rsid w:val="00440E04"/>
    <w:rsid w:val="0044110C"/>
    <w:rsid w:val="00441353"/>
    <w:rsid w:val="0044164B"/>
    <w:rsid w:val="0044166D"/>
    <w:rsid w:val="00441797"/>
    <w:rsid w:val="004417BB"/>
    <w:rsid w:val="00441859"/>
    <w:rsid w:val="00441A1D"/>
    <w:rsid w:val="00441A79"/>
    <w:rsid w:val="00441CE9"/>
    <w:rsid w:val="00441CEF"/>
    <w:rsid w:val="00442090"/>
    <w:rsid w:val="004421AD"/>
    <w:rsid w:val="00442837"/>
    <w:rsid w:val="00442AEA"/>
    <w:rsid w:val="00442BF2"/>
    <w:rsid w:val="00442ED7"/>
    <w:rsid w:val="00442F1C"/>
    <w:rsid w:val="00443244"/>
    <w:rsid w:val="00443253"/>
    <w:rsid w:val="0044334B"/>
    <w:rsid w:val="00443463"/>
    <w:rsid w:val="00443484"/>
    <w:rsid w:val="004434A2"/>
    <w:rsid w:val="00443521"/>
    <w:rsid w:val="004438BD"/>
    <w:rsid w:val="00443D30"/>
    <w:rsid w:val="00443DE6"/>
    <w:rsid w:val="00443E9E"/>
    <w:rsid w:val="00444098"/>
    <w:rsid w:val="0044488B"/>
    <w:rsid w:val="00444BC4"/>
    <w:rsid w:val="00444C05"/>
    <w:rsid w:val="00444DC3"/>
    <w:rsid w:val="0044500C"/>
    <w:rsid w:val="0044549A"/>
    <w:rsid w:val="004455B8"/>
    <w:rsid w:val="00445736"/>
    <w:rsid w:val="00445786"/>
    <w:rsid w:val="00445D2B"/>
    <w:rsid w:val="0044608A"/>
    <w:rsid w:val="0044614E"/>
    <w:rsid w:val="0044649B"/>
    <w:rsid w:val="004465CE"/>
    <w:rsid w:val="00446844"/>
    <w:rsid w:val="004468DB"/>
    <w:rsid w:val="00446ACB"/>
    <w:rsid w:val="00446C18"/>
    <w:rsid w:val="00446CBC"/>
    <w:rsid w:val="00446DE4"/>
    <w:rsid w:val="00446E85"/>
    <w:rsid w:val="00446FCC"/>
    <w:rsid w:val="0044703D"/>
    <w:rsid w:val="004470E1"/>
    <w:rsid w:val="004475C5"/>
    <w:rsid w:val="0044761D"/>
    <w:rsid w:val="004476CC"/>
    <w:rsid w:val="004477F1"/>
    <w:rsid w:val="00447838"/>
    <w:rsid w:val="00447C54"/>
    <w:rsid w:val="00450009"/>
    <w:rsid w:val="004507C4"/>
    <w:rsid w:val="0045090A"/>
    <w:rsid w:val="00450E2A"/>
    <w:rsid w:val="00450FC7"/>
    <w:rsid w:val="00450FCD"/>
    <w:rsid w:val="00451051"/>
    <w:rsid w:val="004512D1"/>
    <w:rsid w:val="00451342"/>
    <w:rsid w:val="00451344"/>
    <w:rsid w:val="004514AD"/>
    <w:rsid w:val="00451672"/>
    <w:rsid w:val="00451BB4"/>
    <w:rsid w:val="00451C74"/>
    <w:rsid w:val="004521C6"/>
    <w:rsid w:val="004521EC"/>
    <w:rsid w:val="00452477"/>
    <w:rsid w:val="00452483"/>
    <w:rsid w:val="0045266D"/>
    <w:rsid w:val="004526B7"/>
    <w:rsid w:val="00452858"/>
    <w:rsid w:val="00452A30"/>
    <w:rsid w:val="00452C35"/>
    <w:rsid w:val="00452C39"/>
    <w:rsid w:val="00452E38"/>
    <w:rsid w:val="00452F29"/>
    <w:rsid w:val="0045315F"/>
    <w:rsid w:val="00453484"/>
    <w:rsid w:val="00453491"/>
    <w:rsid w:val="004536FB"/>
    <w:rsid w:val="00453707"/>
    <w:rsid w:val="004538AA"/>
    <w:rsid w:val="00453C17"/>
    <w:rsid w:val="0045403E"/>
    <w:rsid w:val="00454259"/>
    <w:rsid w:val="004543F4"/>
    <w:rsid w:val="00454431"/>
    <w:rsid w:val="004544BD"/>
    <w:rsid w:val="00454569"/>
    <w:rsid w:val="00454B85"/>
    <w:rsid w:val="00454C5A"/>
    <w:rsid w:val="00454DD8"/>
    <w:rsid w:val="00454EA6"/>
    <w:rsid w:val="00454EB8"/>
    <w:rsid w:val="00455663"/>
    <w:rsid w:val="00455688"/>
    <w:rsid w:val="00455BAC"/>
    <w:rsid w:val="00455CC1"/>
    <w:rsid w:val="00455E85"/>
    <w:rsid w:val="00456052"/>
    <w:rsid w:val="00456110"/>
    <w:rsid w:val="0045620D"/>
    <w:rsid w:val="0045649B"/>
    <w:rsid w:val="0045658D"/>
    <w:rsid w:val="004565DA"/>
    <w:rsid w:val="00456988"/>
    <w:rsid w:val="00456B6C"/>
    <w:rsid w:val="00456DEA"/>
    <w:rsid w:val="00457093"/>
    <w:rsid w:val="0045715A"/>
    <w:rsid w:val="0045731F"/>
    <w:rsid w:val="00457603"/>
    <w:rsid w:val="0045771D"/>
    <w:rsid w:val="004577AC"/>
    <w:rsid w:val="004577DB"/>
    <w:rsid w:val="004578DD"/>
    <w:rsid w:val="00457A5D"/>
    <w:rsid w:val="00457A65"/>
    <w:rsid w:val="00457BB6"/>
    <w:rsid w:val="00457EEC"/>
    <w:rsid w:val="00458E6C"/>
    <w:rsid w:val="0046018E"/>
    <w:rsid w:val="00460239"/>
    <w:rsid w:val="004603FF"/>
    <w:rsid w:val="00460649"/>
    <w:rsid w:val="004607BE"/>
    <w:rsid w:val="00460A0D"/>
    <w:rsid w:val="00460CC2"/>
    <w:rsid w:val="00460E90"/>
    <w:rsid w:val="00460F14"/>
    <w:rsid w:val="00461318"/>
    <w:rsid w:val="00461409"/>
    <w:rsid w:val="00461550"/>
    <w:rsid w:val="004618AD"/>
    <w:rsid w:val="0046190B"/>
    <w:rsid w:val="00461BFF"/>
    <w:rsid w:val="00461C76"/>
    <w:rsid w:val="00461D07"/>
    <w:rsid w:val="00461D0A"/>
    <w:rsid w:val="00461D57"/>
    <w:rsid w:val="00461DB8"/>
    <w:rsid w:val="00461F5B"/>
    <w:rsid w:val="00461F71"/>
    <w:rsid w:val="004620FC"/>
    <w:rsid w:val="004622F2"/>
    <w:rsid w:val="0046245A"/>
    <w:rsid w:val="00462502"/>
    <w:rsid w:val="004626DD"/>
    <w:rsid w:val="00462AFC"/>
    <w:rsid w:val="00463121"/>
    <w:rsid w:val="00463230"/>
    <w:rsid w:val="00463632"/>
    <w:rsid w:val="004639E2"/>
    <w:rsid w:val="00463AD6"/>
    <w:rsid w:val="00463E61"/>
    <w:rsid w:val="00463F16"/>
    <w:rsid w:val="00463F17"/>
    <w:rsid w:val="00464075"/>
    <w:rsid w:val="00464354"/>
    <w:rsid w:val="004643F8"/>
    <w:rsid w:val="004646BB"/>
    <w:rsid w:val="00464955"/>
    <w:rsid w:val="004649A7"/>
    <w:rsid w:val="00464A21"/>
    <w:rsid w:val="00464AAE"/>
    <w:rsid w:val="00464BB9"/>
    <w:rsid w:val="00464DD9"/>
    <w:rsid w:val="00464EE5"/>
    <w:rsid w:val="0046524F"/>
    <w:rsid w:val="0046541C"/>
    <w:rsid w:val="004655C1"/>
    <w:rsid w:val="004655E2"/>
    <w:rsid w:val="004655EE"/>
    <w:rsid w:val="00465707"/>
    <w:rsid w:val="00465861"/>
    <w:rsid w:val="00465AC6"/>
    <w:rsid w:val="00465B91"/>
    <w:rsid w:val="00465D69"/>
    <w:rsid w:val="00465E46"/>
    <w:rsid w:val="004660DB"/>
    <w:rsid w:val="00466151"/>
    <w:rsid w:val="00466446"/>
    <w:rsid w:val="00466500"/>
    <w:rsid w:val="00466689"/>
    <w:rsid w:val="00466D45"/>
    <w:rsid w:val="00466E5B"/>
    <w:rsid w:val="0046719E"/>
    <w:rsid w:val="00467327"/>
    <w:rsid w:val="0046756E"/>
    <w:rsid w:val="004677ED"/>
    <w:rsid w:val="00467982"/>
    <w:rsid w:val="00467AFF"/>
    <w:rsid w:val="00467B07"/>
    <w:rsid w:val="00467BC2"/>
    <w:rsid w:val="00470073"/>
    <w:rsid w:val="004707EC"/>
    <w:rsid w:val="004708BF"/>
    <w:rsid w:val="00470A0F"/>
    <w:rsid w:val="00470E9E"/>
    <w:rsid w:val="00470EEE"/>
    <w:rsid w:val="00470F93"/>
    <w:rsid w:val="0047101E"/>
    <w:rsid w:val="0047173C"/>
    <w:rsid w:val="0047174F"/>
    <w:rsid w:val="004717E2"/>
    <w:rsid w:val="00471894"/>
    <w:rsid w:val="004718F6"/>
    <w:rsid w:val="00471B11"/>
    <w:rsid w:val="00471D10"/>
    <w:rsid w:val="00471E28"/>
    <w:rsid w:val="00471F82"/>
    <w:rsid w:val="00471FF3"/>
    <w:rsid w:val="00472362"/>
    <w:rsid w:val="004729FC"/>
    <w:rsid w:val="00472A19"/>
    <w:rsid w:val="00472B19"/>
    <w:rsid w:val="00472B4E"/>
    <w:rsid w:val="00472F9C"/>
    <w:rsid w:val="00473085"/>
    <w:rsid w:val="004731BB"/>
    <w:rsid w:val="0047365C"/>
    <w:rsid w:val="004738A4"/>
    <w:rsid w:val="00474089"/>
    <w:rsid w:val="00474140"/>
    <w:rsid w:val="0047466E"/>
    <w:rsid w:val="004746D8"/>
    <w:rsid w:val="00474716"/>
    <w:rsid w:val="00474744"/>
    <w:rsid w:val="0047479B"/>
    <w:rsid w:val="00474869"/>
    <w:rsid w:val="0047488C"/>
    <w:rsid w:val="004752AC"/>
    <w:rsid w:val="004753C3"/>
    <w:rsid w:val="0047540F"/>
    <w:rsid w:val="004754E6"/>
    <w:rsid w:val="00475529"/>
    <w:rsid w:val="0047566B"/>
    <w:rsid w:val="00475692"/>
    <w:rsid w:val="00475696"/>
    <w:rsid w:val="004757A5"/>
    <w:rsid w:val="00475918"/>
    <w:rsid w:val="00475C55"/>
    <w:rsid w:val="00475F76"/>
    <w:rsid w:val="004760D9"/>
    <w:rsid w:val="004760E2"/>
    <w:rsid w:val="0047641C"/>
    <w:rsid w:val="004767F9"/>
    <w:rsid w:val="00476D84"/>
    <w:rsid w:val="00477421"/>
    <w:rsid w:val="004776EB"/>
    <w:rsid w:val="0047787E"/>
    <w:rsid w:val="00477966"/>
    <w:rsid w:val="00477A5A"/>
    <w:rsid w:val="00477BC1"/>
    <w:rsid w:val="00477E82"/>
    <w:rsid w:val="00477EBD"/>
    <w:rsid w:val="00477F6D"/>
    <w:rsid w:val="00480258"/>
    <w:rsid w:val="00480999"/>
    <w:rsid w:val="004809B7"/>
    <w:rsid w:val="00480F7C"/>
    <w:rsid w:val="00480FB9"/>
    <w:rsid w:val="00480FCD"/>
    <w:rsid w:val="00481134"/>
    <w:rsid w:val="0048157D"/>
    <w:rsid w:val="0048194E"/>
    <w:rsid w:val="004819EF"/>
    <w:rsid w:val="004819F7"/>
    <w:rsid w:val="00481A58"/>
    <w:rsid w:val="00481AF2"/>
    <w:rsid w:val="00481E36"/>
    <w:rsid w:val="00481E84"/>
    <w:rsid w:val="00481EA0"/>
    <w:rsid w:val="00482039"/>
    <w:rsid w:val="0048222A"/>
    <w:rsid w:val="0048226B"/>
    <w:rsid w:val="0048227E"/>
    <w:rsid w:val="00482323"/>
    <w:rsid w:val="0048278F"/>
    <w:rsid w:val="00482983"/>
    <w:rsid w:val="00482D29"/>
    <w:rsid w:val="004831F6"/>
    <w:rsid w:val="0048348A"/>
    <w:rsid w:val="00483661"/>
    <w:rsid w:val="0048367B"/>
    <w:rsid w:val="004837D3"/>
    <w:rsid w:val="00483978"/>
    <w:rsid w:val="00483A5D"/>
    <w:rsid w:val="00483AFF"/>
    <w:rsid w:val="00483CBB"/>
    <w:rsid w:val="00483D38"/>
    <w:rsid w:val="00483F4C"/>
    <w:rsid w:val="00483F64"/>
    <w:rsid w:val="004841CB"/>
    <w:rsid w:val="0048426B"/>
    <w:rsid w:val="00484912"/>
    <w:rsid w:val="0048499C"/>
    <w:rsid w:val="00484A17"/>
    <w:rsid w:val="00484A70"/>
    <w:rsid w:val="00484D6E"/>
    <w:rsid w:val="00484DC4"/>
    <w:rsid w:val="00484E00"/>
    <w:rsid w:val="00484F33"/>
    <w:rsid w:val="0048539A"/>
    <w:rsid w:val="00485622"/>
    <w:rsid w:val="004856B6"/>
    <w:rsid w:val="004858D0"/>
    <w:rsid w:val="00485A1C"/>
    <w:rsid w:val="00485A4A"/>
    <w:rsid w:val="00485C3F"/>
    <w:rsid w:val="00485CE3"/>
    <w:rsid w:val="00486075"/>
    <w:rsid w:val="00486281"/>
    <w:rsid w:val="00486449"/>
    <w:rsid w:val="004866C1"/>
    <w:rsid w:val="00486779"/>
    <w:rsid w:val="00486787"/>
    <w:rsid w:val="0048698A"/>
    <w:rsid w:val="00486AF3"/>
    <w:rsid w:val="00486AFC"/>
    <w:rsid w:val="00486E61"/>
    <w:rsid w:val="00486EBD"/>
    <w:rsid w:val="00486F37"/>
    <w:rsid w:val="00486FBA"/>
    <w:rsid w:val="00486FCA"/>
    <w:rsid w:val="004872D0"/>
    <w:rsid w:val="0048738A"/>
    <w:rsid w:val="004874F9"/>
    <w:rsid w:val="0048767C"/>
    <w:rsid w:val="00487985"/>
    <w:rsid w:val="00487A03"/>
    <w:rsid w:val="00487B5D"/>
    <w:rsid w:val="00487BBE"/>
    <w:rsid w:val="00487EB9"/>
    <w:rsid w:val="004901C6"/>
    <w:rsid w:val="004903A3"/>
    <w:rsid w:val="004903AF"/>
    <w:rsid w:val="004904AE"/>
    <w:rsid w:val="004905E4"/>
    <w:rsid w:val="0049083C"/>
    <w:rsid w:val="00490988"/>
    <w:rsid w:val="00490AE4"/>
    <w:rsid w:val="00490B89"/>
    <w:rsid w:val="00490C20"/>
    <w:rsid w:val="00490FFF"/>
    <w:rsid w:val="00491103"/>
    <w:rsid w:val="00491272"/>
    <w:rsid w:val="0049180C"/>
    <w:rsid w:val="00491C07"/>
    <w:rsid w:val="00491C0F"/>
    <w:rsid w:val="00491E54"/>
    <w:rsid w:val="00491EDE"/>
    <w:rsid w:val="004928F1"/>
    <w:rsid w:val="00492929"/>
    <w:rsid w:val="0049292A"/>
    <w:rsid w:val="00492982"/>
    <w:rsid w:val="00492A9D"/>
    <w:rsid w:val="00492E3A"/>
    <w:rsid w:val="00492E93"/>
    <w:rsid w:val="00493059"/>
    <w:rsid w:val="00493086"/>
    <w:rsid w:val="0049333C"/>
    <w:rsid w:val="00493460"/>
    <w:rsid w:val="004934DF"/>
    <w:rsid w:val="0049367B"/>
    <w:rsid w:val="00493773"/>
    <w:rsid w:val="004939DA"/>
    <w:rsid w:val="00493B83"/>
    <w:rsid w:val="00493E0A"/>
    <w:rsid w:val="00493EF4"/>
    <w:rsid w:val="004940DD"/>
    <w:rsid w:val="0049442E"/>
    <w:rsid w:val="004944F2"/>
    <w:rsid w:val="0049456B"/>
    <w:rsid w:val="004945F9"/>
    <w:rsid w:val="00494925"/>
    <w:rsid w:val="00494939"/>
    <w:rsid w:val="00494C62"/>
    <w:rsid w:val="00494CAF"/>
    <w:rsid w:val="00495085"/>
    <w:rsid w:val="004950C4"/>
    <w:rsid w:val="00495332"/>
    <w:rsid w:val="004955CB"/>
    <w:rsid w:val="00495737"/>
    <w:rsid w:val="00495738"/>
    <w:rsid w:val="00495834"/>
    <w:rsid w:val="004959D3"/>
    <w:rsid w:val="00495B63"/>
    <w:rsid w:val="00495D58"/>
    <w:rsid w:val="00495F82"/>
    <w:rsid w:val="004960CC"/>
    <w:rsid w:val="00496167"/>
    <w:rsid w:val="00496374"/>
    <w:rsid w:val="004964D1"/>
    <w:rsid w:val="0049688D"/>
    <w:rsid w:val="0049698E"/>
    <w:rsid w:val="004969C6"/>
    <w:rsid w:val="00496B99"/>
    <w:rsid w:val="00496C68"/>
    <w:rsid w:val="00496F6D"/>
    <w:rsid w:val="004972DA"/>
    <w:rsid w:val="00497411"/>
    <w:rsid w:val="004974C1"/>
    <w:rsid w:val="00497572"/>
    <w:rsid w:val="00497603"/>
    <w:rsid w:val="00497605"/>
    <w:rsid w:val="00497704"/>
    <w:rsid w:val="004977B1"/>
    <w:rsid w:val="00497B52"/>
    <w:rsid w:val="00497C93"/>
    <w:rsid w:val="004A03AF"/>
    <w:rsid w:val="004A03D9"/>
    <w:rsid w:val="004A04E9"/>
    <w:rsid w:val="004A099D"/>
    <w:rsid w:val="004A0A72"/>
    <w:rsid w:val="004A0AE2"/>
    <w:rsid w:val="004A0C80"/>
    <w:rsid w:val="004A120D"/>
    <w:rsid w:val="004A120F"/>
    <w:rsid w:val="004A13E3"/>
    <w:rsid w:val="004A165C"/>
    <w:rsid w:val="004A18D6"/>
    <w:rsid w:val="004A1BF0"/>
    <w:rsid w:val="004A1C04"/>
    <w:rsid w:val="004A1D81"/>
    <w:rsid w:val="004A1F66"/>
    <w:rsid w:val="004A1FD3"/>
    <w:rsid w:val="004A207D"/>
    <w:rsid w:val="004A20C1"/>
    <w:rsid w:val="004A2307"/>
    <w:rsid w:val="004A241F"/>
    <w:rsid w:val="004A255E"/>
    <w:rsid w:val="004A263E"/>
    <w:rsid w:val="004A2882"/>
    <w:rsid w:val="004A2ABD"/>
    <w:rsid w:val="004A2B66"/>
    <w:rsid w:val="004A2FB5"/>
    <w:rsid w:val="004A3140"/>
    <w:rsid w:val="004A331E"/>
    <w:rsid w:val="004A3521"/>
    <w:rsid w:val="004A3725"/>
    <w:rsid w:val="004A399E"/>
    <w:rsid w:val="004A3B5C"/>
    <w:rsid w:val="004A3B5E"/>
    <w:rsid w:val="004A3D6A"/>
    <w:rsid w:val="004A3F8C"/>
    <w:rsid w:val="004A4084"/>
    <w:rsid w:val="004A413B"/>
    <w:rsid w:val="004A436D"/>
    <w:rsid w:val="004A44E2"/>
    <w:rsid w:val="004A4509"/>
    <w:rsid w:val="004A4598"/>
    <w:rsid w:val="004A461E"/>
    <w:rsid w:val="004A4647"/>
    <w:rsid w:val="004A48BC"/>
    <w:rsid w:val="004A48D4"/>
    <w:rsid w:val="004A4AE7"/>
    <w:rsid w:val="004A4C55"/>
    <w:rsid w:val="004A4D14"/>
    <w:rsid w:val="004A4E0A"/>
    <w:rsid w:val="004A4E29"/>
    <w:rsid w:val="004A4EF9"/>
    <w:rsid w:val="004A56D1"/>
    <w:rsid w:val="004A5937"/>
    <w:rsid w:val="004A5D90"/>
    <w:rsid w:val="004A6009"/>
    <w:rsid w:val="004A6370"/>
    <w:rsid w:val="004A639A"/>
    <w:rsid w:val="004A642C"/>
    <w:rsid w:val="004A69E0"/>
    <w:rsid w:val="004A6A44"/>
    <w:rsid w:val="004A6AAC"/>
    <w:rsid w:val="004A6B00"/>
    <w:rsid w:val="004A6B35"/>
    <w:rsid w:val="004A6BC3"/>
    <w:rsid w:val="004A6F9F"/>
    <w:rsid w:val="004A710F"/>
    <w:rsid w:val="004A7686"/>
    <w:rsid w:val="004A77A7"/>
    <w:rsid w:val="004A78F7"/>
    <w:rsid w:val="004A7933"/>
    <w:rsid w:val="004A7D2A"/>
    <w:rsid w:val="004B082C"/>
    <w:rsid w:val="004B0923"/>
    <w:rsid w:val="004B0C29"/>
    <w:rsid w:val="004B0D14"/>
    <w:rsid w:val="004B1096"/>
    <w:rsid w:val="004B1113"/>
    <w:rsid w:val="004B14B8"/>
    <w:rsid w:val="004B1532"/>
    <w:rsid w:val="004B1612"/>
    <w:rsid w:val="004B1705"/>
    <w:rsid w:val="004B170F"/>
    <w:rsid w:val="004B19B1"/>
    <w:rsid w:val="004B1AB1"/>
    <w:rsid w:val="004B1CB4"/>
    <w:rsid w:val="004B1E64"/>
    <w:rsid w:val="004B1EBE"/>
    <w:rsid w:val="004B215F"/>
    <w:rsid w:val="004B25CE"/>
    <w:rsid w:val="004B265F"/>
    <w:rsid w:val="004B270D"/>
    <w:rsid w:val="004B2848"/>
    <w:rsid w:val="004B3025"/>
    <w:rsid w:val="004B3093"/>
    <w:rsid w:val="004B31D7"/>
    <w:rsid w:val="004B3216"/>
    <w:rsid w:val="004B32F8"/>
    <w:rsid w:val="004B34B8"/>
    <w:rsid w:val="004B34F9"/>
    <w:rsid w:val="004B3816"/>
    <w:rsid w:val="004B3A2B"/>
    <w:rsid w:val="004B3B95"/>
    <w:rsid w:val="004B3E5B"/>
    <w:rsid w:val="004B409F"/>
    <w:rsid w:val="004B40A4"/>
    <w:rsid w:val="004B4175"/>
    <w:rsid w:val="004B41EE"/>
    <w:rsid w:val="004B4277"/>
    <w:rsid w:val="004B4324"/>
    <w:rsid w:val="004B4780"/>
    <w:rsid w:val="004B484F"/>
    <w:rsid w:val="004B4963"/>
    <w:rsid w:val="004B49BC"/>
    <w:rsid w:val="004B4A34"/>
    <w:rsid w:val="004B4D67"/>
    <w:rsid w:val="004B4DEC"/>
    <w:rsid w:val="004B4E04"/>
    <w:rsid w:val="004B4E70"/>
    <w:rsid w:val="004B4F41"/>
    <w:rsid w:val="004B5086"/>
    <w:rsid w:val="004B5096"/>
    <w:rsid w:val="004B511F"/>
    <w:rsid w:val="004B532D"/>
    <w:rsid w:val="004B5484"/>
    <w:rsid w:val="004B57F9"/>
    <w:rsid w:val="004B5A51"/>
    <w:rsid w:val="004B5B35"/>
    <w:rsid w:val="004B5C37"/>
    <w:rsid w:val="004B5C4C"/>
    <w:rsid w:val="004B5CD0"/>
    <w:rsid w:val="004B6144"/>
    <w:rsid w:val="004B6165"/>
    <w:rsid w:val="004B62E9"/>
    <w:rsid w:val="004B6789"/>
    <w:rsid w:val="004B694E"/>
    <w:rsid w:val="004B6E79"/>
    <w:rsid w:val="004B6F45"/>
    <w:rsid w:val="004B71B8"/>
    <w:rsid w:val="004B742E"/>
    <w:rsid w:val="004B76C1"/>
    <w:rsid w:val="004B776D"/>
    <w:rsid w:val="004B777F"/>
    <w:rsid w:val="004B7786"/>
    <w:rsid w:val="004B788B"/>
    <w:rsid w:val="004B7CED"/>
    <w:rsid w:val="004B7E2B"/>
    <w:rsid w:val="004B7EC7"/>
    <w:rsid w:val="004B7EE7"/>
    <w:rsid w:val="004C00B1"/>
    <w:rsid w:val="004C0221"/>
    <w:rsid w:val="004C0367"/>
    <w:rsid w:val="004C0567"/>
    <w:rsid w:val="004C08A3"/>
    <w:rsid w:val="004C09D3"/>
    <w:rsid w:val="004C0AF4"/>
    <w:rsid w:val="004C0B49"/>
    <w:rsid w:val="004C0BA3"/>
    <w:rsid w:val="004C0D49"/>
    <w:rsid w:val="004C0E18"/>
    <w:rsid w:val="004C1099"/>
    <w:rsid w:val="004C109F"/>
    <w:rsid w:val="004C15E1"/>
    <w:rsid w:val="004C1651"/>
    <w:rsid w:val="004C17CA"/>
    <w:rsid w:val="004C188E"/>
    <w:rsid w:val="004C189D"/>
    <w:rsid w:val="004C198D"/>
    <w:rsid w:val="004C1A58"/>
    <w:rsid w:val="004C1A91"/>
    <w:rsid w:val="004C1BF2"/>
    <w:rsid w:val="004C1D0C"/>
    <w:rsid w:val="004C1E96"/>
    <w:rsid w:val="004C1F62"/>
    <w:rsid w:val="004C1FFD"/>
    <w:rsid w:val="004C2060"/>
    <w:rsid w:val="004C2198"/>
    <w:rsid w:val="004C230B"/>
    <w:rsid w:val="004C2534"/>
    <w:rsid w:val="004C25B8"/>
    <w:rsid w:val="004C28AD"/>
    <w:rsid w:val="004C2F4D"/>
    <w:rsid w:val="004C3018"/>
    <w:rsid w:val="004C3180"/>
    <w:rsid w:val="004C325A"/>
    <w:rsid w:val="004C34FA"/>
    <w:rsid w:val="004C37FF"/>
    <w:rsid w:val="004C3EB5"/>
    <w:rsid w:val="004C3F76"/>
    <w:rsid w:val="004C4013"/>
    <w:rsid w:val="004C4163"/>
    <w:rsid w:val="004C42D9"/>
    <w:rsid w:val="004C4474"/>
    <w:rsid w:val="004C490E"/>
    <w:rsid w:val="004C4AC9"/>
    <w:rsid w:val="004C4D33"/>
    <w:rsid w:val="004C4F52"/>
    <w:rsid w:val="004C51A1"/>
    <w:rsid w:val="004C5345"/>
    <w:rsid w:val="004C5378"/>
    <w:rsid w:val="004C5876"/>
    <w:rsid w:val="004C5B18"/>
    <w:rsid w:val="004C5D11"/>
    <w:rsid w:val="004C61C8"/>
    <w:rsid w:val="004C61C9"/>
    <w:rsid w:val="004C64AD"/>
    <w:rsid w:val="004C64E7"/>
    <w:rsid w:val="004C663A"/>
    <w:rsid w:val="004C680B"/>
    <w:rsid w:val="004C6A0C"/>
    <w:rsid w:val="004C6AF3"/>
    <w:rsid w:val="004C6C9C"/>
    <w:rsid w:val="004C6DB5"/>
    <w:rsid w:val="004C6E66"/>
    <w:rsid w:val="004C6FC3"/>
    <w:rsid w:val="004C71F7"/>
    <w:rsid w:val="004C73C0"/>
    <w:rsid w:val="004C7626"/>
    <w:rsid w:val="004C77F0"/>
    <w:rsid w:val="004C794A"/>
    <w:rsid w:val="004C7A72"/>
    <w:rsid w:val="004C7D74"/>
    <w:rsid w:val="004C7DFD"/>
    <w:rsid w:val="004C7E23"/>
    <w:rsid w:val="004C7FDC"/>
    <w:rsid w:val="004D042F"/>
    <w:rsid w:val="004D048C"/>
    <w:rsid w:val="004D050D"/>
    <w:rsid w:val="004D0C2E"/>
    <w:rsid w:val="004D0C57"/>
    <w:rsid w:val="004D0CC6"/>
    <w:rsid w:val="004D0D05"/>
    <w:rsid w:val="004D0E86"/>
    <w:rsid w:val="004D0E8E"/>
    <w:rsid w:val="004D15D2"/>
    <w:rsid w:val="004D18DE"/>
    <w:rsid w:val="004D193B"/>
    <w:rsid w:val="004D19A3"/>
    <w:rsid w:val="004D19C8"/>
    <w:rsid w:val="004D1C02"/>
    <w:rsid w:val="004D1CA3"/>
    <w:rsid w:val="004D1F10"/>
    <w:rsid w:val="004D224D"/>
    <w:rsid w:val="004D22B7"/>
    <w:rsid w:val="004D23BA"/>
    <w:rsid w:val="004D254A"/>
    <w:rsid w:val="004D275C"/>
    <w:rsid w:val="004D28E9"/>
    <w:rsid w:val="004D398C"/>
    <w:rsid w:val="004D3B27"/>
    <w:rsid w:val="004D3F61"/>
    <w:rsid w:val="004D4058"/>
    <w:rsid w:val="004D40BF"/>
    <w:rsid w:val="004D4109"/>
    <w:rsid w:val="004D412E"/>
    <w:rsid w:val="004D434F"/>
    <w:rsid w:val="004D44D0"/>
    <w:rsid w:val="004D4571"/>
    <w:rsid w:val="004D46B4"/>
    <w:rsid w:val="004D48E8"/>
    <w:rsid w:val="004D4AEE"/>
    <w:rsid w:val="004D4AF8"/>
    <w:rsid w:val="004D4E3B"/>
    <w:rsid w:val="004D4F5C"/>
    <w:rsid w:val="004D4F68"/>
    <w:rsid w:val="004D5615"/>
    <w:rsid w:val="004D5BD2"/>
    <w:rsid w:val="004D5E9D"/>
    <w:rsid w:val="004D5F67"/>
    <w:rsid w:val="004D6039"/>
    <w:rsid w:val="004D6322"/>
    <w:rsid w:val="004D6463"/>
    <w:rsid w:val="004D6923"/>
    <w:rsid w:val="004D6A5E"/>
    <w:rsid w:val="004D6AA6"/>
    <w:rsid w:val="004D6ACE"/>
    <w:rsid w:val="004D6B46"/>
    <w:rsid w:val="004D6EC9"/>
    <w:rsid w:val="004D7145"/>
    <w:rsid w:val="004D763A"/>
    <w:rsid w:val="004D76E6"/>
    <w:rsid w:val="004D7920"/>
    <w:rsid w:val="004D797C"/>
    <w:rsid w:val="004D7A23"/>
    <w:rsid w:val="004D7C14"/>
    <w:rsid w:val="004D7DEC"/>
    <w:rsid w:val="004D7EC5"/>
    <w:rsid w:val="004E0058"/>
    <w:rsid w:val="004E02D8"/>
    <w:rsid w:val="004E039A"/>
    <w:rsid w:val="004E0683"/>
    <w:rsid w:val="004E0937"/>
    <w:rsid w:val="004E09D5"/>
    <w:rsid w:val="004E0A8D"/>
    <w:rsid w:val="004E0BD1"/>
    <w:rsid w:val="004E0EC2"/>
    <w:rsid w:val="004E16D0"/>
    <w:rsid w:val="004E18C3"/>
    <w:rsid w:val="004E19A7"/>
    <w:rsid w:val="004E1C4B"/>
    <w:rsid w:val="004E1C81"/>
    <w:rsid w:val="004E1DC8"/>
    <w:rsid w:val="004E217F"/>
    <w:rsid w:val="004E2236"/>
    <w:rsid w:val="004E2342"/>
    <w:rsid w:val="004E23C6"/>
    <w:rsid w:val="004E23D6"/>
    <w:rsid w:val="004E2410"/>
    <w:rsid w:val="004E24D7"/>
    <w:rsid w:val="004E259E"/>
    <w:rsid w:val="004E25E2"/>
    <w:rsid w:val="004E278A"/>
    <w:rsid w:val="004E288C"/>
    <w:rsid w:val="004E2B0B"/>
    <w:rsid w:val="004E2B91"/>
    <w:rsid w:val="004E2CB8"/>
    <w:rsid w:val="004E2FF6"/>
    <w:rsid w:val="004E3121"/>
    <w:rsid w:val="004E3290"/>
    <w:rsid w:val="004E3470"/>
    <w:rsid w:val="004E3511"/>
    <w:rsid w:val="004E3842"/>
    <w:rsid w:val="004E39AA"/>
    <w:rsid w:val="004E3A42"/>
    <w:rsid w:val="004E41FE"/>
    <w:rsid w:val="004E44F7"/>
    <w:rsid w:val="004E468D"/>
    <w:rsid w:val="004E46D2"/>
    <w:rsid w:val="004E4E1D"/>
    <w:rsid w:val="004E4F84"/>
    <w:rsid w:val="004E50C3"/>
    <w:rsid w:val="004E54D0"/>
    <w:rsid w:val="004E56F7"/>
    <w:rsid w:val="004E5831"/>
    <w:rsid w:val="004E5BBB"/>
    <w:rsid w:val="004E5DB1"/>
    <w:rsid w:val="004E60AA"/>
    <w:rsid w:val="004E628E"/>
    <w:rsid w:val="004E67F0"/>
    <w:rsid w:val="004E69A0"/>
    <w:rsid w:val="004E6AC8"/>
    <w:rsid w:val="004E6D9A"/>
    <w:rsid w:val="004E6FAF"/>
    <w:rsid w:val="004E702E"/>
    <w:rsid w:val="004E73BE"/>
    <w:rsid w:val="004E7493"/>
    <w:rsid w:val="004E7A32"/>
    <w:rsid w:val="004E7B00"/>
    <w:rsid w:val="004E7B52"/>
    <w:rsid w:val="004E7CFC"/>
    <w:rsid w:val="004E7F15"/>
    <w:rsid w:val="004E7F49"/>
    <w:rsid w:val="004F01F3"/>
    <w:rsid w:val="004F03F0"/>
    <w:rsid w:val="004F06D2"/>
    <w:rsid w:val="004F0750"/>
    <w:rsid w:val="004F08A8"/>
    <w:rsid w:val="004F08DA"/>
    <w:rsid w:val="004F0A0F"/>
    <w:rsid w:val="004F0CDB"/>
    <w:rsid w:val="004F0E51"/>
    <w:rsid w:val="004F0F8F"/>
    <w:rsid w:val="004F0FD8"/>
    <w:rsid w:val="004F1057"/>
    <w:rsid w:val="004F13EE"/>
    <w:rsid w:val="004F1489"/>
    <w:rsid w:val="004F150D"/>
    <w:rsid w:val="004F162E"/>
    <w:rsid w:val="004F1BE0"/>
    <w:rsid w:val="004F1D1B"/>
    <w:rsid w:val="004F203C"/>
    <w:rsid w:val="004F2216"/>
    <w:rsid w:val="004F2269"/>
    <w:rsid w:val="004F2525"/>
    <w:rsid w:val="004F25AC"/>
    <w:rsid w:val="004F2674"/>
    <w:rsid w:val="004F2939"/>
    <w:rsid w:val="004F295C"/>
    <w:rsid w:val="004F2B38"/>
    <w:rsid w:val="004F2B59"/>
    <w:rsid w:val="004F2DA4"/>
    <w:rsid w:val="004F2FED"/>
    <w:rsid w:val="004F302E"/>
    <w:rsid w:val="004F30A5"/>
    <w:rsid w:val="004F3755"/>
    <w:rsid w:val="004F3A60"/>
    <w:rsid w:val="004F3C17"/>
    <w:rsid w:val="004F3C34"/>
    <w:rsid w:val="004F3F42"/>
    <w:rsid w:val="004F42F7"/>
    <w:rsid w:val="004F45B8"/>
    <w:rsid w:val="004F46EF"/>
    <w:rsid w:val="004F4AE4"/>
    <w:rsid w:val="004F4BAA"/>
    <w:rsid w:val="004F5356"/>
    <w:rsid w:val="004F554F"/>
    <w:rsid w:val="004F56B4"/>
    <w:rsid w:val="004F5751"/>
    <w:rsid w:val="004F5C98"/>
    <w:rsid w:val="004F5EC8"/>
    <w:rsid w:val="004F5FC6"/>
    <w:rsid w:val="004F601E"/>
    <w:rsid w:val="004F6135"/>
    <w:rsid w:val="004F6172"/>
    <w:rsid w:val="004F62F6"/>
    <w:rsid w:val="004F63EC"/>
    <w:rsid w:val="004F645D"/>
    <w:rsid w:val="004F65D0"/>
    <w:rsid w:val="004F661F"/>
    <w:rsid w:val="004F6BE1"/>
    <w:rsid w:val="004F6F55"/>
    <w:rsid w:val="004F7296"/>
    <w:rsid w:val="004F73AB"/>
    <w:rsid w:val="004F7415"/>
    <w:rsid w:val="004F7818"/>
    <w:rsid w:val="00500AA7"/>
    <w:rsid w:val="00500D9F"/>
    <w:rsid w:val="00500F3B"/>
    <w:rsid w:val="00500F92"/>
    <w:rsid w:val="005010B0"/>
    <w:rsid w:val="005015EE"/>
    <w:rsid w:val="005017FB"/>
    <w:rsid w:val="00501BAA"/>
    <w:rsid w:val="00501DB2"/>
    <w:rsid w:val="00501ECE"/>
    <w:rsid w:val="00501ED1"/>
    <w:rsid w:val="0050223B"/>
    <w:rsid w:val="00502333"/>
    <w:rsid w:val="00502626"/>
    <w:rsid w:val="00502712"/>
    <w:rsid w:val="00502929"/>
    <w:rsid w:val="00502CBB"/>
    <w:rsid w:val="00502E88"/>
    <w:rsid w:val="005030CE"/>
    <w:rsid w:val="0050334B"/>
    <w:rsid w:val="005039AC"/>
    <w:rsid w:val="00503B32"/>
    <w:rsid w:val="00503D64"/>
    <w:rsid w:val="00503FC1"/>
    <w:rsid w:val="0050406B"/>
    <w:rsid w:val="0050428C"/>
    <w:rsid w:val="00504359"/>
    <w:rsid w:val="00504445"/>
    <w:rsid w:val="00504A3C"/>
    <w:rsid w:val="00504ABA"/>
    <w:rsid w:val="00504D3C"/>
    <w:rsid w:val="00504E82"/>
    <w:rsid w:val="00505171"/>
    <w:rsid w:val="005051F0"/>
    <w:rsid w:val="005051F6"/>
    <w:rsid w:val="005056CD"/>
    <w:rsid w:val="0050583E"/>
    <w:rsid w:val="00505B41"/>
    <w:rsid w:val="00505CA9"/>
    <w:rsid w:val="005061B8"/>
    <w:rsid w:val="0050624E"/>
    <w:rsid w:val="00506631"/>
    <w:rsid w:val="0050667F"/>
    <w:rsid w:val="005068ED"/>
    <w:rsid w:val="00506BCE"/>
    <w:rsid w:val="00506D62"/>
    <w:rsid w:val="00506FAC"/>
    <w:rsid w:val="00506FDD"/>
    <w:rsid w:val="005073FA"/>
    <w:rsid w:val="005076D3"/>
    <w:rsid w:val="00507A78"/>
    <w:rsid w:val="00507B85"/>
    <w:rsid w:val="00507DE3"/>
    <w:rsid w:val="00507F9B"/>
    <w:rsid w:val="00510170"/>
    <w:rsid w:val="005102F0"/>
    <w:rsid w:val="00510353"/>
    <w:rsid w:val="00510386"/>
    <w:rsid w:val="00510430"/>
    <w:rsid w:val="005105F4"/>
    <w:rsid w:val="0051086C"/>
    <w:rsid w:val="00510BC1"/>
    <w:rsid w:val="00510CB0"/>
    <w:rsid w:val="00510CDF"/>
    <w:rsid w:val="005110B2"/>
    <w:rsid w:val="00511216"/>
    <w:rsid w:val="005112A1"/>
    <w:rsid w:val="00511416"/>
    <w:rsid w:val="005116C6"/>
    <w:rsid w:val="00511ACC"/>
    <w:rsid w:val="00511D3B"/>
    <w:rsid w:val="00511DF9"/>
    <w:rsid w:val="00511F93"/>
    <w:rsid w:val="0051215C"/>
    <w:rsid w:val="005121AE"/>
    <w:rsid w:val="0051221C"/>
    <w:rsid w:val="0051243F"/>
    <w:rsid w:val="005124BF"/>
    <w:rsid w:val="005128B0"/>
    <w:rsid w:val="005129A4"/>
    <w:rsid w:val="00512AD5"/>
    <w:rsid w:val="00512F89"/>
    <w:rsid w:val="005130F0"/>
    <w:rsid w:val="00513259"/>
    <w:rsid w:val="00513529"/>
    <w:rsid w:val="005136AA"/>
    <w:rsid w:val="005138B4"/>
    <w:rsid w:val="00513AE6"/>
    <w:rsid w:val="00513BBD"/>
    <w:rsid w:val="00513C3F"/>
    <w:rsid w:val="00513CAD"/>
    <w:rsid w:val="00513E1A"/>
    <w:rsid w:val="00513E3F"/>
    <w:rsid w:val="00513FD9"/>
    <w:rsid w:val="00514421"/>
    <w:rsid w:val="0051462A"/>
    <w:rsid w:val="00514945"/>
    <w:rsid w:val="00514B5D"/>
    <w:rsid w:val="00514E21"/>
    <w:rsid w:val="00514F00"/>
    <w:rsid w:val="0051516E"/>
    <w:rsid w:val="005151E5"/>
    <w:rsid w:val="005152AD"/>
    <w:rsid w:val="0051557B"/>
    <w:rsid w:val="005155C3"/>
    <w:rsid w:val="00515640"/>
    <w:rsid w:val="005156A7"/>
    <w:rsid w:val="005156CE"/>
    <w:rsid w:val="005156D2"/>
    <w:rsid w:val="00515823"/>
    <w:rsid w:val="00515885"/>
    <w:rsid w:val="00515898"/>
    <w:rsid w:val="00515D0C"/>
    <w:rsid w:val="00516110"/>
    <w:rsid w:val="00516376"/>
    <w:rsid w:val="005166DC"/>
    <w:rsid w:val="00516BB6"/>
    <w:rsid w:val="00516BC6"/>
    <w:rsid w:val="00516C77"/>
    <w:rsid w:val="00516D9B"/>
    <w:rsid w:val="00516E18"/>
    <w:rsid w:val="00516E57"/>
    <w:rsid w:val="00517071"/>
    <w:rsid w:val="00517108"/>
    <w:rsid w:val="00517138"/>
    <w:rsid w:val="00517142"/>
    <w:rsid w:val="005171BC"/>
    <w:rsid w:val="005172CB"/>
    <w:rsid w:val="00517779"/>
    <w:rsid w:val="00517DD5"/>
    <w:rsid w:val="00520059"/>
    <w:rsid w:val="00520119"/>
    <w:rsid w:val="0052017B"/>
    <w:rsid w:val="0052039C"/>
    <w:rsid w:val="0052047F"/>
    <w:rsid w:val="005208D2"/>
    <w:rsid w:val="00520901"/>
    <w:rsid w:val="0052095D"/>
    <w:rsid w:val="00520B3A"/>
    <w:rsid w:val="00520B78"/>
    <w:rsid w:val="00520C23"/>
    <w:rsid w:val="00520CD5"/>
    <w:rsid w:val="00520DCC"/>
    <w:rsid w:val="00520DE0"/>
    <w:rsid w:val="005219B4"/>
    <w:rsid w:val="00521B22"/>
    <w:rsid w:val="00521B47"/>
    <w:rsid w:val="00521C49"/>
    <w:rsid w:val="00521E66"/>
    <w:rsid w:val="00522130"/>
    <w:rsid w:val="005223C4"/>
    <w:rsid w:val="00522681"/>
    <w:rsid w:val="00522BF1"/>
    <w:rsid w:val="00522C2F"/>
    <w:rsid w:val="00522CD2"/>
    <w:rsid w:val="00522DBF"/>
    <w:rsid w:val="00523339"/>
    <w:rsid w:val="0052338E"/>
    <w:rsid w:val="00523472"/>
    <w:rsid w:val="00523558"/>
    <w:rsid w:val="005235C7"/>
    <w:rsid w:val="0052373B"/>
    <w:rsid w:val="005238B2"/>
    <w:rsid w:val="0052399E"/>
    <w:rsid w:val="005239A7"/>
    <w:rsid w:val="00523CBB"/>
    <w:rsid w:val="00523CF0"/>
    <w:rsid w:val="00523DD5"/>
    <w:rsid w:val="0052409D"/>
    <w:rsid w:val="005240D9"/>
    <w:rsid w:val="0052432C"/>
    <w:rsid w:val="00524490"/>
    <w:rsid w:val="005244A8"/>
    <w:rsid w:val="0052473C"/>
    <w:rsid w:val="0052478A"/>
    <w:rsid w:val="0052495E"/>
    <w:rsid w:val="005249E7"/>
    <w:rsid w:val="00524C43"/>
    <w:rsid w:val="00524E52"/>
    <w:rsid w:val="00524F36"/>
    <w:rsid w:val="00525017"/>
    <w:rsid w:val="00525065"/>
    <w:rsid w:val="005251B6"/>
    <w:rsid w:val="0052528F"/>
    <w:rsid w:val="00525420"/>
    <w:rsid w:val="005255C0"/>
    <w:rsid w:val="005257DF"/>
    <w:rsid w:val="005257E4"/>
    <w:rsid w:val="00525861"/>
    <w:rsid w:val="00525AFF"/>
    <w:rsid w:val="00525BA6"/>
    <w:rsid w:val="00525D31"/>
    <w:rsid w:val="00525D60"/>
    <w:rsid w:val="00525D8B"/>
    <w:rsid w:val="00525E61"/>
    <w:rsid w:val="00525F6A"/>
    <w:rsid w:val="005260FB"/>
    <w:rsid w:val="00526274"/>
    <w:rsid w:val="005263F4"/>
    <w:rsid w:val="0052643D"/>
    <w:rsid w:val="005264C9"/>
    <w:rsid w:val="00526565"/>
    <w:rsid w:val="005265E5"/>
    <w:rsid w:val="005266DB"/>
    <w:rsid w:val="005268AC"/>
    <w:rsid w:val="00526993"/>
    <w:rsid w:val="00526A22"/>
    <w:rsid w:val="00526AE5"/>
    <w:rsid w:val="00526D98"/>
    <w:rsid w:val="00526F75"/>
    <w:rsid w:val="0052771A"/>
    <w:rsid w:val="00527872"/>
    <w:rsid w:val="00527CBB"/>
    <w:rsid w:val="00527D22"/>
    <w:rsid w:val="00527EA4"/>
    <w:rsid w:val="00530073"/>
    <w:rsid w:val="00530159"/>
    <w:rsid w:val="00530206"/>
    <w:rsid w:val="005302CE"/>
    <w:rsid w:val="005303B1"/>
    <w:rsid w:val="00530442"/>
    <w:rsid w:val="00530491"/>
    <w:rsid w:val="00530499"/>
    <w:rsid w:val="005310F1"/>
    <w:rsid w:val="005310F6"/>
    <w:rsid w:val="00531183"/>
    <w:rsid w:val="00531797"/>
    <w:rsid w:val="005318E8"/>
    <w:rsid w:val="00531905"/>
    <w:rsid w:val="00531912"/>
    <w:rsid w:val="00531AB0"/>
    <w:rsid w:val="0053212E"/>
    <w:rsid w:val="005321A1"/>
    <w:rsid w:val="005321AC"/>
    <w:rsid w:val="005322C0"/>
    <w:rsid w:val="00532441"/>
    <w:rsid w:val="00532872"/>
    <w:rsid w:val="0053287E"/>
    <w:rsid w:val="00532A29"/>
    <w:rsid w:val="00532A3C"/>
    <w:rsid w:val="00532B49"/>
    <w:rsid w:val="00532C09"/>
    <w:rsid w:val="00532C6D"/>
    <w:rsid w:val="00532CA1"/>
    <w:rsid w:val="00532D95"/>
    <w:rsid w:val="00532EBB"/>
    <w:rsid w:val="0053319E"/>
    <w:rsid w:val="005331B3"/>
    <w:rsid w:val="005331C1"/>
    <w:rsid w:val="00533492"/>
    <w:rsid w:val="00533768"/>
    <w:rsid w:val="005338E3"/>
    <w:rsid w:val="00533AEC"/>
    <w:rsid w:val="00533B6E"/>
    <w:rsid w:val="00533F3A"/>
    <w:rsid w:val="005341C1"/>
    <w:rsid w:val="005341EA"/>
    <w:rsid w:val="00534236"/>
    <w:rsid w:val="005342F2"/>
    <w:rsid w:val="00534300"/>
    <w:rsid w:val="0053432D"/>
    <w:rsid w:val="00535202"/>
    <w:rsid w:val="005358CD"/>
    <w:rsid w:val="00535F6C"/>
    <w:rsid w:val="0053642F"/>
    <w:rsid w:val="0053654F"/>
    <w:rsid w:val="005365E8"/>
    <w:rsid w:val="005366A6"/>
    <w:rsid w:val="00536AC9"/>
    <w:rsid w:val="00536E80"/>
    <w:rsid w:val="005371E4"/>
    <w:rsid w:val="00537405"/>
    <w:rsid w:val="005376DB"/>
    <w:rsid w:val="00537835"/>
    <w:rsid w:val="005379A7"/>
    <w:rsid w:val="00537D8C"/>
    <w:rsid w:val="00537FFC"/>
    <w:rsid w:val="0053A4B1"/>
    <w:rsid w:val="005401EC"/>
    <w:rsid w:val="00540438"/>
    <w:rsid w:val="005405D6"/>
    <w:rsid w:val="00540D30"/>
    <w:rsid w:val="00541397"/>
    <w:rsid w:val="005413BD"/>
    <w:rsid w:val="00541400"/>
    <w:rsid w:val="005414DE"/>
    <w:rsid w:val="0054162B"/>
    <w:rsid w:val="005416FB"/>
    <w:rsid w:val="00541919"/>
    <w:rsid w:val="00541ABD"/>
    <w:rsid w:val="00541C65"/>
    <w:rsid w:val="00541E94"/>
    <w:rsid w:val="00541F7D"/>
    <w:rsid w:val="00542239"/>
    <w:rsid w:val="005424AB"/>
    <w:rsid w:val="005424D7"/>
    <w:rsid w:val="0054254A"/>
    <w:rsid w:val="005426C9"/>
    <w:rsid w:val="00542A1A"/>
    <w:rsid w:val="00542C3A"/>
    <w:rsid w:val="00542C6A"/>
    <w:rsid w:val="0054302E"/>
    <w:rsid w:val="005430D9"/>
    <w:rsid w:val="005436BB"/>
    <w:rsid w:val="00543A0A"/>
    <w:rsid w:val="00543C3E"/>
    <w:rsid w:val="00543F20"/>
    <w:rsid w:val="005440B7"/>
    <w:rsid w:val="0054418B"/>
    <w:rsid w:val="005441D8"/>
    <w:rsid w:val="00544313"/>
    <w:rsid w:val="00544341"/>
    <w:rsid w:val="005445ED"/>
    <w:rsid w:val="00544664"/>
    <w:rsid w:val="005448D8"/>
    <w:rsid w:val="00544DA2"/>
    <w:rsid w:val="0054516C"/>
    <w:rsid w:val="005456E9"/>
    <w:rsid w:val="005458D1"/>
    <w:rsid w:val="0054611C"/>
    <w:rsid w:val="00546134"/>
    <w:rsid w:val="005461C6"/>
    <w:rsid w:val="0054630D"/>
    <w:rsid w:val="00546683"/>
    <w:rsid w:val="00546C82"/>
    <w:rsid w:val="00546D13"/>
    <w:rsid w:val="00546E07"/>
    <w:rsid w:val="00546FD5"/>
    <w:rsid w:val="00547029"/>
    <w:rsid w:val="005472AC"/>
    <w:rsid w:val="005473BC"/>
    <w:rsid w:val="005473FC"/>
    <w:rsid w:val="00547437"/>
    <w:rsid w:val="0054747D"/>
    <w:rsid w:val="00547492"/>
    <w:rsid w:val="0054759C"/>
    <w:rsid w:val="005475CA"/>
    <w:rsid w:val="005475CC"/>
    <w:rsid w:val="00547613"/>
    <w:rsid w:val="005477A6"/>
    <w:rsid w:val="005479AC"/>
    <w:rsid w:val="00547A50"/>
    <w:rsid w:val="00547D3B"/>
    <w:rsid w:val="00547DBE"/>
    <w:rsid w:val="00547F07"/>
    <w:rsid w:val="00547FBC"/>
    <w:rsid w:val="005505C5"/>
    <w:rsid w:val="00550680"/>
    <w:rsid w:val="005507BF"/>
    <w:rsid w:val="00550AD0"/>
    <w:rsid w:val="00550E1C"/>
    <w:rsid w:val="00550F06"/>
    <w:rsid w:val="005510EC"/>
    <w:rsid w:val="005512C5"/>
    <w:rsid w:val="0055210C"/>
    <w:rsid w:val="005521B1"/>
    <w:rsid w:val="005523CD"/>
    <w:rsid w:val="005523E0"/>
    <w:rsid w:val="0055264B"/>
    <w:rsid w:val="00552B40"/>
    <w:rsid w:val="00552EA5"/>
    <w:rsid w:val="00552EBB"/>
    <w:rsid w:val="00552ED2"/>
    <w:rsid w:val="005531D2"/>
    <w:rsid w:val="005532D9"/>
    <w:rsid w:val="00553798"/>
    <w:rsid w:val="005539E1"/>
    <w:rsid w:val="00553A8C"/>
    <w:rsid w:val="00553AC2"/>
    <w:rsid w:val="00553CAA"/>
    <w:rsid w:val="00553CB2"/>
    <w:rsid w:val="00553D8F"/>
    <w:rsid w:val="00553FDE"/>
    <w:rsid w:val="0055450A"/>
    <w:rsid w:val="0055450D"/>
    <w:rsid w:val="0055454A"/>
    <w:rsid w:val="005548E1"/>
    <w:rsid w:val="00554986"/>
    <w:rsid w:val="00554A88"/>
    <w:rsid w:val="00554C9A"/>
    <w:rsid w:val="00554F9B"/>
    <w:rsid w:val="00555080"/>
    <w:rsid w:val="005550C4"/>
    <w:rsid w:val="0055517C"/>
    <w:rsid w:val="0055535D"/>
    <w:rsid w:val="0055555D"/>
    <w:rsid w:val="00555656"/>
    <w:rsid w:val="00555812"/>
    <w:rsid w:val="00555927"/>
    <w:rsid w:val="00555961"/>
    <w:rsid w:val="00555A1C"/>
    <w:rsid w:val="00555AE0"/>
    <w:rsid w:val="0055623D"/>
    <w:rsid w:val="00556311"/>
    <w:rsid w:val="00556793"/>
    <w:rsid w:val="0055679F"/>
    <w:rsid w:val="0055688F"/>
    <w:rsid w:val="0055695E"/>
    <w:rsid w:val="0055695F"/>
    <w:rsid w:val="005569FF"/>
    <w:rsid w:val="00556A13"/>
    <w:rsid w:val="00556F0C"/>
    <w:rsid w:val="00556FBA"/>
    <w:rsid w:val="00557376"/>
    <w:rsid w:val="00557441"/>
    <w:rsid w:val="0055756A"/>
    <w:rsid w:val="0055760D"/>
    <w:rsid w:val="00557735"/>
    <w:rsid w:val="00557829"/>
    <w:rsid w:val="00557A13"/>
    <w:rsid w:val="00557AC7"/>
    <w:rsid w:val="00557B6D"/>
    <w:rsid w:val="00557E5B"/>
    <w:rsid w:val="0055DA11"/>
    <w:rsid w:val="0056015B"/>
    <w:rsid w:val="0056050E"/>
    <w:rsid w:val="0056071A"/>
    <w:rsid w:val="005609A2"/>
    <w:rsid w:val="005609B0"/>
    <w:rsid w:val="00560A33"/>
    <w:rsid w:val="00560D2D"/>
    <w:rsid w:val="00560FA3"/>
    <w:rsid w:val="0056160F"/>
    <w:rsid w:val="005618DE"/>
    <w:rsid w:val="00561DC7"/>
    <w:rsid w:val="00562076"/>
    <w:rsid w:val="00562185"/>
    <w:rsid w:val="005622E1"/>
    <w:rsid w:val="00562465"/>
    <w:rsid w:val="00562637"/>
    <w:rsid w:val="005627D2"/>
    <w:rsid w:val="00562871"/>
    <w:rsid w:val="00562945"/>
    <w:rsid w:val="00562B43"/>
    <w:rsid w:val="00562B83"/>
    <w:rsid w:val="00562C5D"/>
    <w:rsid w:val="00562DD3"/>
    <w:rsid w:val="00562E7B"/>
    <w:rsid w:val="005630E8"/>
    <w:rsid w:val="00563126"/>
    <w:rsid w:val="00563160"/>
    <w:rsid w:val="005631CA"/>
    <w:rsid w:val="005633E1"/>
    <w:rsid w:val="005634F7"/>
    <w:rsid w:val="0056353C"/>
    <w:rsid w:val="00563706"/>
    <w:rsid w:val="00563C58"/>
    <w:rsid w:val="00563CB4"/>
    <w:rsid w:val="00563F15"/>
    <w:rsid w:val="0056403B"/>
    <w:rsid w:val="00564544"/>
    <w:rsid w:val="00564B10"/>
    <w:rsid w:val="00564CC7"/>
    <w:rsid w:val="00564F07"/>
    <w:rsid w:val="00565007"/>
    <w:rsid w:val="00565167"/>
    <w:rsid w:val="0056541F"/>
    <w:rsid w:val="005655CA"/>
    <w:rsid w:val="00565893"/>
    <w:rsid w:val="005658D1"/>
    <w:rsid w:val="00565A7E"/>
    <w:rsid w:val="00565C3B"/>
    <w:rsid w:val="00565E22"/>
    <w:rsid w:val="00565E60"/>
    <w:rsid w:val="00565F88"/>
    <w:rsid w:val="00565FF5"/>
    <w:rsid w:val="00566170"/>
    <w:rsid w:val="005662EE"/>
    <w:rsid w:val="0056641F"/>
    <w:rsid w:val="005665FB"/>
    <w:rsid w:val="00566646"/>
    <w:rsid w:val="00566875"/>
    <w:rsid w:val="00566ACF"/>
    <w:rsid w:val="00566B82"/>
    <w:rsid w:val="00566CD1"/>
    <w:rsid w:val="005671E0"/>
    <w:rsid w:val="005671E4"/>
    <w:rsid w:val="005672F9"/>
    <w:rsid w:val="0056733C"/>
    <w:rsid w:val="00567677"/>
    <w:rsid w:val="00567F95"/>
    <w:rsid w:val="0057057F"/>
    <w:rsid w:val="00570769"/>
    <w:rsid w:val="00570982"/>
    <w:rsid w:val="005712DC"/>
    <w:rsid w:val="0057141D"/>
    <w:rsid w:val="0057152D"/>
    <w:rsid w:val="0057155E"/>
    <w:rsid w:val="0057188D"/>
    <w:rsid w:val="005719A4"/>
    <w:rsid w:val="00571A59"/>
    <w:rsid w:val="00571BB5"/>
    <w:rsid w:val="00571BFB"/>
    <w:rsid w:val="00571CB5"/>
    <w:rsid w:val="00571EAE"/>
    <w:rsid w:val="00571F7F"/>
    <w:rsid w:val="00572022"/>
    <w:rsid w:val="0057206D"/>
    <w:rsid w:val="005720A4"/>
    <w:rsid w:val="0057258C"/>
    <w:rsid w:val="0057282A"/>
    <w:rsid w:val="0057282C"/>
    <w:rsid w:val="00572BF6"/>
    <w:rsid w:val="00572EA9"/>
    <w:rsid w:val="00573139"/>
    <w:rsid w:val="005731B4"/>
    <w:rsid w:val="00573577"/>
    <w:rsid w:val="005736A3"/>
    <w:rsid w:val="005737A0"/>
    <w:rsid w:val="005739C6"/>
    <w:rsid w:val="00573AF8"/>
    <w:rsid w:val="00573B04"/>
    <w:rsid w:val="00573B7F"/>
    <w:rsid w:val="00573E93"/>
    <w:rsid w:val="00573F73"/>
    <w:rsid w:val="00573F87"/>
    <w:rsid w:val="00573FB5"/>
    <w:rsid w:val="00573FBF"/>
    <w:rsid w:val="005740F7"/>
    <w:rsid w:val="00574193"/>
    <w:rsid w:val="005741FB"/>
    <w:rsid w:val="00574282"/>
    <w:rsid w:val="00574627"/>
    <w:rsid w:val="00574A3D"/>
    <w:rsid w:val="00574AD6"/>
    <w:rsid w:val="00574BBD"/>
    <w:rsid w:val="00574E12"/>
    <w:rsid w:val="00574EF7"/>
    <w:rsid w:val="00574FDB"/>
    <w:rsid w:val="0057508E"/>
    <w:rsid w:val="00575334"/>
    <w:rsid w:val="0057538F"/>
    <w:rsid w:val="00575551"/>
    <w:rsid w:val="0057557B"/>
    <w:rsid w:val="00575750"/>
    <w:rsid w:val="00575831"/>
    <w:rsid w:val="005758BC"/>
    <w:rsid w:val="00575CAE"/>
    <w:rsid w:val="00575D05"/>
    <w:rsid w:val="00575D18"/>
    <w:rsid w:val="00575F85"/>
    <w:rsid w:val="005760B0"/>
    <w:rsid w:val="00576112"/>
    <w:rsid w:val="00576959"/>
    <w:rsid w:val="005769F9"/>
    <w:rsid w:val="00576B4D"/>
    <w:rsid w:val="00576BDC"/>
    <w:rsid w:val="00576C12"/>
    <w:rsid w:val="00576CB0"/>
    <w:rsid w:val="00576DF9"/>
    <w:rsid w:val="005772D3"/>
    <w:rsid w:val="0057742F"/>
    <w:rsid w:val="00577568"/>
    <w:rsid w:val="00577672"/>
    <w:rsid w:val="005778A4"/>
    <w:rsid w:val="00577944"/>
    <w:rsid w:val="00577974"/>
    <w:rsid w:val="00577A31"/>
    <w:rsid w:val="00577CB0"/>
    <w:rsid w:val="00577DC7"/>
    <w:rsid w:val="0058023A"/>
    <w:rsid w:val="00580969"/>
    <w:rsid w:val="00580AEB"/>
    <w:rsid w:val="00580C0B"/>
    <w:rsid w:val="00580F9D"/>
    <w:rsid w:val="00581189"/>
    <w:rsid w:val="005812F3"/>
    <w:rsid w:val="00581476"/>
    <w:rsid w:val="00581536"/>
    <w:rsid w:val="00581542"/>
    <w:rsid w:val="00581B14"/>
    <w:rsid w:val="00582056"/>
    <w:rsid w:val="0058210B"/>
    <w:rsid w:val="00582407"/>
    <w:rsid w:val="0058286D"/>
    <w:rsid w:val="005829D6"/>
    <w:rsid w:val="00582A2F"/>
    <w:rsid w:val="00582B71"/>
    <w:rsid w:val="00582BD8"/>
    <w:rsid w:val="00582F38"/>
    <w:rsid w:val="00582FA7"/>
    <w:rsid w:val="005830FF"/>
    <w:rsid w:val="005831A5"/>
    <w:rsid w:val="00583304"/>
    <w:rsid w:val="0058372B"/>
    <w:rsid w:val="005837EF"/>
    <w:rsid w:val="00583B1E"/>
    <w:rsid w:val="00583B69"/>
    <w:rsid w:val="00583C28"/>
    <w:rsid w:val="00583F25"/>
    <w:rsid w:val="0058403D"/>
    <w:rsid w:val="005842FC"/>
    <w:rsid w:val="0058433D"/>
    <w:rsid w:val="00584347"/>
    <w:rsid w:val="00584591"/>
    <w:rsid w:val="00584707"/>
    <w:rsid w:val="00584727"/>
    <w:rsid w:val="005848F5"/>
    <w:rsid w:val="00584908"/>
    <w:rsid w:val="00584AEC"/>
    <w:rsid w:val="00584D10"/>
    <w:rsid w:val="00584DBA"/>
    <w:rsid w:val="00585032"/>
    <w:rsid w:val="005850BA"/>
    <w:rsid w:val="00585336"/>
    <w:rsid w:val="005855AE"/>
    <w:rsid w:val="00585611"/>
    <w:rsid w:val="005856FB"/>
    <w:rsid w:val="0058576B"/>
    <w:rsid w:val="0058579E"/>
    <w:rsid w:val="005858DA"/>
    <w:rsid w:val="00585BF5"/>
    <w:rsid w:val="00585EB9"/>
    <w:rsid w:val="00585FE1"/>
    <w:rsid w:val="0058610B"/>
    <w:rsid w:val="0058647E"/>
    <w:rsid w:val="0058671B"/>
    <w:rsid w:val="00586803"/>
    <w:rsid w:val="00586811"/>
    <w:rsid w:val="005869FD"/>
    <w:rsid w:val="00586B41"/>
    <w:rsid w:val="00586C61"/>
    <w:rsid w:val="00586EBA"/>
    <w:rsid w:val="00586F4D"/>
    <w:rsid w:val="0058745C"/>
    <w:rsid w:val="0058750C"/>
    <w:rsid w:val="00587547"/>
    <w:rsid w:val="005876AB"/>
    <w:rsid w:val="0058770A"/>
    <w:rsid w:val="005877E0"/>
    <w:rsid w:val="00587C68"/>
    <w:rsid w:val="005901B8"/>
    <w:rsid w:val="005901F3"/>
    <w:rsid w:val="00590958"/>
    <w:rsid w:val="0059138B"/>
    <w:rsid w:val="00591835"/>
    <w:rsid w:val="0059185C"/>
    <w:rsid w:val="00591863"/>
    <w:rsid w:val="005918F4"/>
    <w:rsid w:val="005919C8"/>
    <w:rsid w:val="00591B79"/>
    <w:rsid w:val="00591DA8"/>
    <w:rsid w:val="00591FA8"/>
    <w:rsid w:val="0059200F"/>
    <w:rsid w:val="00592081"/>
    <w:rsid w:val="00592129"/>
    <w:rsid w:val="005921A4"/>
    <w:rsid w:val="0059239D"/>
    <w:rsid w:val="00592917"/>
    <w:rsid w:val="0059298E"/>
    <w:rsid w:val="00592CFD"/>
    <w:rsid w:val="00592F66"/>
    <w:rsid w:val="005931B6"/>
    <w:rsid w:val="005931E6"/>
    <w:rsid w:val="00593273"/>
    <w:rsid w:val="00593393"/>
    <w:rsid w:val="0059351F"/>
    <w:rsid w:val="00593588"/>
    <w:rsid w:val="0059364F"/>
    <w:rsid w:val="00593B74"/>
    <w:rsid w:val="00593BC9"/>
    <w:rsid w:val="0059406E"/>
    <w:rsid w:val="00594113"/>
    <w:rsid w:val="00594440"/>
    <w:rsid w:val="005945F4"/>
    <w:rsid w:val="0059489F"/>
    <w:rsid w:val="00594AA1"/>
    <w:rsid w:val="00594E57"/>
    <w:rsid w:val="00594E71"/>
    <w:rsid w:val="00594EEA"/>
    <w:rsid w:val="00594FF3"/>
    <w:rsid w:val="00595265"/>
    <w:rsid w:val="005952D8"/>
    <w:rsid w:val="005953D3"/>
    <w:rsid w:val="00595819"/>
    <w:rsid w:val="00595E10"/>
    <w:rsid w:val="0059612D"/>
    <w:rsid w:val="0059631D"/>
    <w:rsid w:val="00596334"/>
    <w:rsid w:val="005963D2"/>
    <w:rsid w:val="00596436"/>
    <w:rsid w:val="0059660D"/>
    <w:rsid w:val="00596AD2"/>
    <w:rsid w:val="00596B0D"/>
    <w:rsid w:val="00596C4A"/>
    <w:rsid w:val="00596DDF"/>
    <w:rsid w:val="00596F1A"/>
    <w:rsid w:val="00596F2E"/>
    <w:rsid w:val="005970E5"/>
    <w:rsid w:val="005978AD"/>
    <w:rsid w:val="00597DC5"/>
    <w:rsid w:val="005A0000"/>
    <w:rsid w:val="005A011C"/>
    <w:rsid w:val="005A067A"/>
    <w:rsid w:val="005A09D9"/>
    <w:rsid w:val="005A0CDD"/>
    <w:rsid w:val="005A0EC2"/>
    <w:rsid w:val="005A0F4E"/>
    <w:rsid w:val="005A1065"/>
    <w:rsid w:val="005A108F"/>
    <w:rsid w:val="005A1148"/>
    <w:rsid w:val="005A12A3"/>
    <w:rsid w:val="005A14B8"/>
    <w:rsid w:val="005A16EF"/>
    <w:rsid w:val="005A1781"/>
    <w:rsid w:val="005A1958"/>
    <w:rsid w:val="005A1A9E"/>
    <w:rsid w:val="005A1F14"/>
    <w:rsid w:val="005A1F1F"/>
    <w:rsid w:val="005A200D"/>
    <w:rsid w:val="005A21EE"/>
    <w:rsid w:val="005A2236"/>
    <w:rsid w:val="005A226F"/>
    <w:rsid w:val="005A230A"/>
    <w:rsid w:val="005A232A"/>
    <w:rsid w:val="005A285D"/>
    <w:rsid w:val="005A2A7E"/>
    <w:rsid w:val="005A2BF0"/>
    <w:rsid w:val="005A2E1B"/>
    <w:rsid w:val="005A2F9F"/>
    <w:rsid w:val="005A2FB8"/>
    <w:rsid w:val="005A2FF4"/>
    <w:rsid w:val="005A3004"/>
    <w:rsid w:val="005A315C"/>
    <w:rsid w:val="005A34B0"/>
    <w:rsid w:val="005A36E4"/>
    <w:rsid w:val="005A379F"/>
    <w:rsid w:val="005A37B2"/>
    <w:rsid w:val="005A385C"/>
    <w:rsid w:val="005A3B7F"/>
    <w:rsid w:val="005A411F"/>
    <w:rsid w:val="005A4293"/>
    <w:rsid w:val="005A46B8"/>
    <w:rsid w:val="005A4722"/>
    <w:rsid w:val="005A4939"/>
    <w:rsid w:val="005A497D"/>
    <w:rsid w:val="005A4B6B"/>
    <w:rsid w:val="005A4BD5"/>
    <w:rsid w:val="005A4C3D"/>
    <w:rsid w:val="005A4CD6"/>
    <w:rsid w:val="005A4E5C"/>
    <w:rsid w:val="005A4F3D"/>
    <w:rsid w:val="005A55E8"/>
    <w:rsid w:val="005A571E"/>
    <w:rsid w:val="005A5738"/>
    <w:rsid w:val="005A5A90"/>
    <w:rsid w:val="005A5D29"/>
    <w:rsid w:val="005A5D47"/>
    <w:rsid w:val="005A5D80"/>
    <w:rsid w:val="005A6070"/>
    <w:rsid w:val="005A60C2"/>
    <w:rsid w:val="005A62F0"/>
    <w:rsid w:val="005A6349"/>
    <w:rsid w:val="005A644A"/>
    <w:rsid w:val="005A666F"/>
    <w:rsid w:val="005A6845"/>
    <w:rsid w:val="005A6958"/>
    <w:rsid w:val="005A6A17"/>
    <w:rsid w:val="005A6B15"/>
    <w:rsid w:val="005A6C8B"/>
    <w:rsid w:val="005A702F"/>
    <w:rsid w:val="005A726C"/>
    <w:rsid w:val="005A7317"/>
    <w:rsid w:val="005A7394"/>
    <w:rsid w:val="005A765C"/>
    <w:rsid w:val="005A76C1"/>
    <w:rsid w:val="005A76C6"/>
    <w:rsid w:val="005A7B3B"/>
    <w:rsid w:val="005A7CE6"/>
    <w:rsid w:val="005A7D04"/>
    <w:rsid w:val="005A7D91"/>
    <w:rsid w:val="005A7DB9"/>
    <w:rsid w:val="005A7DCC"/>
    <w:rsid w:val="005B03D5"/>
    <w:rsid w:val="005B040D"/>
    <w:rsid w:val="005B04A8"/>
    <w:rsid w:val="005B0723"/>
    <w:rsid w:val="005B09C6"/>
    <w:rsid w:val="005B0A4C"/>
    <w:rsid w:val="005B0A4E"/>
    <w:rsid w:val="005B0B74"/>
    <w:rsid w:val="005B0C6C"/>
    <w:rsid w:val="005B0C77"/>
    <w:rsid w:val="005B0F3E"/>
    <w:rsid w:val="005B0FB8"/>
    <w:rsid w:val="005B1242"/>
    <w:rsid w:val="005B1388"/>
    <w:rsid w:val="005B161A"/>
    <w:rsid w:val="005B18A1"/>
    <w:rsid w:val="005B1B9E"/>
    <w:rsid w:val="005B1C1E"/>
    <w:rsid w:val="005B1C6A"/>
    <w:rsid w:val="005B1D3C"/>
    <w:rsid w:val="005B1D82"/>
    <w:rsid w:val="005B1D8B"/>
    <w:rsid w:val="005B1DCC"/>
    <w:rsid w:val="005B1DCF"/>
    <w:rsid w:val="005B1F21"/>
    <w:rsid w:val="005B2021"/>
    <w:rsid w:val="005B20B1"/>
    <w:rsid w:val="005B2202"/>
    <w:rsid w:val="005B2226"/>
    <w:rsid w:val="005B2235"/>
    <w:rsid w:val="005B22F0"/>
    <w:rsid w:val="005B232A"/>
    <w:rsid w:val="005B243D"/>
    <w:rsid w:val="005B251C"/>
    <w:rsid w:val="005B267A"/>
    <w:rsid w:val="005B2747"/>
    <w:rsid w:val="005B289D"/>
    <w:rsid w:val="005B2936"/>
    <w:rsid w:val="005B2C1D"/>
    <w:rsid w:val="005B2E10"/>
    <w:rsid w:val="005B2F8F"/>
    <w:rsid w:val="005B312C"/>
    <w:rsid w:val="005B32C0"/>
    <w:rsid w:val="005B3765"/>
    <w:rsid w:val="005B3833"/>
    <w:rsid w:val="005B3B70"/>
    <w:rsid w:val="005B3C2D"/>
    <w:rsid w:val="005B3CC5"/>
    <w:rsid w:val="005B3E20"/>
    <w:rsid w:val="005B4208"/>
    <w:rsid w:val="005B45E0"/>
    <w:rsid w:val="005B4719"/>
    <w:rsid w:val="005B49D1"/>
    <w:rsid w:val="005B4A22"/>
    <w:rsid w:val="005B4CCD"/>
    <w:rsid w:val="005B4DD1"/>
    <w:rsid w:val="005B5029"/>
    <w:rsid w:val="005B5030"/>
    <w:rsid w:val="005B5259"/>
    <w:rsid w:val="005B55EC"/>
    <w:rsid w:val="005B5873"/>
    <w:rsid w:val="005B5C8B"/>
    <w:rsid w:val="005B5FB9"/>
    <w:rsid w:val="005B6034"/>
    <w:rsid w:val="005B6451"/>
    <w:rsid w:val="005B6454"/>
    <w:rsid w:val="005B6474"/>
    <w:rsid w:val="005B64AC"/>
    <w:rsid w:val="005B6565"/>
    <w:rsid w:val="005B6605"/>
    <w:rsid w:val="005B6626"/>
    <w:rsid w:val="005B678D"/>
    <w:rsid w:val="005B6A4D"/>
    <w:rsid w:val="005B6D55"/>
    <w:rsid w:val="005B70DB"/>
    <w:rsid w:val="005B71A8"/>
    <w:rsid w:val="005B74AC"/>
    <w:rsid w:val="005B751C"/>
    <w:rsid w:val="005B754D"/>
    <w:rsid w:val="005B7642"/>
    <w:rsid w:val="005B7726"/>
    <w:rsid w:val="005B7881"/>
    <w:rsid w:val="005B7A18"/>
    <w:rsid w:val="005B7A71"/>
    <w:rsid w:val="005B7AE2"/>
    <w:rsid w:val="005B7E64"/>
    <w:rsid w:val="005B7F5A"/>
    <w:rsid w:val="005B7FB5"/>
    <w:rsid w:val="005C00BB"/>
    <w:rsid w:val="005C02EC"/>
    <w:rsid w:val="005C042B"/>
    <w:rsid w:val="005C06B2"/>
    <w:rsid w:val="005C0828"/>
    <w:rsid w:val="005C083F"/>
    <w:rsid w:val="005C094E"/>
    <w:rsid w:val="005C0B64"/>
    <w:rsid w:val="005C0C72"/>
    <w:rsid w:val="005C104A"/>
    <w:rsid w:val="005C13A1"/>
    <w:rsid w:val="005C14BC"/>
    <w:rsid w:val="005C1733"/>
    <w:rsid w:val="005C1765"/>
    <w:rsid w:val="005C1B1E"/>
    <w:rsid w:val="005C1C90"/>
    <w:rsid w:val="005C2057"/>
    <w:rsid w:val="005C2244"/>
    <w:rsid w:val="005C22D0"/>
    <w:rsid w:val="005C25C8"/>
    <w:rsid w:val="005C27BB"/>
    <w:rsid w:val="005C2848"/>
    <w:rsid w:val="005C2B91"/>
    <w:rsid w:val="005C2D05"/>
    <w:rsid w:val="005C2F07"/>
    <w:rsid w:val="005C30CF"/>
    <w:rsid w:val="005C318D"/>
    <w:rsid w:val="005C3268"/>
    <w:rsid w:val="005C332C"/>
    <w:rsid w:val="005C34D7"/>
    <w:rsid w:val="005C3685"/>
    <w:rsid w:val="005C38EB"/>
    <w:rsid w:val="005C39B3"/>
    <w:rsid w:val="005C39E6"/>
    <w:rsid w:val="005C3B66"/>
    <w:rsid w:val="005C3C52"/>
    <w:rsid w:val="005C3F18"/>
    <w:rsid w:val="005C3FDE"/>
    <w:rsid w:val="005C4161"/>
    <w:rsid w:val="005C4185"/>
    <w:rsid w:val="005C420D"/>
    <w:rsid w:val="005C4227"/>
    <w:rsid w:val="005C45CB"/>
    <w:rsid w:val="005C464C"/>
    <w:rsid w:val="005C4C7E"/>
    <w:rsid w:val="005C4D34"/>
    <w:rsid w:val="005C4EBB"/>
    <w:rsid w:val="005C4F46"/>
    <w:rsid w:val="005C503E"/>
    <w:rsid w:val="005C5506"/>
    <w:rsid w:val="005C5A88"/>
    <w:rsid w:val="005C6037"/>
    <w:rsid w:val="005C611B"/>
    <w:rsid w:val="005C61EA"/>
    <w:rsid w:val="005C6404"/>
    <w:rsid w:val="005C6441"/>
    <w:rsid w:val="005C67AC"/>
    <w:rsid w:val="005C6C45"/>
    <w:rsid w:val="005C6D45"/>
    <w:rsid w:val="005C6D47"/>
    <w:rsid w:val="005C705E"/>
    <w:rsid w:val="005C7414"/>
    <w:rsid w:val="005C75AF"/>
    <w:rsid w:val="005C781D"/>
    <w:rsid w:val="005C78C5"/>
    <w:rsid w:val="005C7B5E"/>
    <w:rsid w:val="005C7C71"/>
    <w:rsid w:val="005C7EFC"/>
    <w:rsid w:val="005C87D1"/>
    <w:rsid w:val="005CDED2"/>
    <w:rsid w:val="005D049F"/>
    <w:rsid w:val="005D0600"/>
    <w:rsid w:val="005D068E"/>
    <w:rsid w:val="005D0691"/>
    <w:rsid w:val="005D06C2"/>
    <w:rsid w:val="005D074E"/>
    <w:rsid w:val="005D0C2E"/>
    <w:rsid w:val="005D0CA2"/>
    <w:rsid w:val="005D0CBB"/>
    <w:rsid w:val="005D0E2E"/>
    <w:rsid w:val="005D0F78"/>
    <w:rsid w:val="005D1076"/>
    <w:rsid w:val="005D1316"/>
    <w:rsid w:val="005D1728"/>
    <w:rsid w:val="005D17F3"/>
    <w:rsid w:val="005D1872"/>
    <w:rsid w:val="005D1873"/>
    <w:rsid w:val="005D19CF"/>
    <w:rsid w:val="005D1AAC"/>
    <w:rsid w:val="005D1BFF"/>
    <w:rsid w:val="005D1CA5"/>
    <w:rsid w:val="005D1D31"/>
    <w:rsid w:val="005D1EC1"/>
    <w:rsid w:val="005D1ED9"/>
    <w:rsid w:val="005D1F98"/>
    <w:rsid w:val="005D21B2"/>
    <w:rsid w:val="005D21F3"/>
    <w:rsid w:val="005D22FE"/>
    <w:rsid w:val="005D2311"/>
    <w:rsid w:val="005D2329"/>
    <w:rsid w:val="005D23C0"/>
    <w:rsid w:val="005D2573"/>
    <w:rsid w:val="005D270C"/>
    <w:rsid w:val="005D28E8"/>
    <w:rsid w:val="005D29C5"/>
    <w:rsid w:val="005D29FF"/>
    <w:rsid w:val="005D2AFA"/>
    <w:rsid w:val="005D2B78"/>
    <w:rsid w:val="005D2BD6"/>
    <w:rsid w:val="005D2CC2"/>
    <w:rsid w:val="005D2D11"/>
    <w:rsid w:val="005D2D16"/>
    <w:rsid w:val="005D2E2F"/>
    <w:rsid w:val="005D2E76"/>
    <w:rsid w:val="005D2F4C"/>
    <w:rsid w:val="005D307E"/>
    <w:rsid w:val="005D30A4"/>
    <w:rsid w:val="005D3199"/>
    <w:rsid w:val="005D31C9"/>
    <w:rsid w:val="005D3308"/>
    <w:rsid w:val="005D33A3"/>
    <w:rsid w:val="005D363F"/>
    <w:rsid w:val="005D36CC"/>
    <w:rsid w:val="005D3702"/>
    <w:rsid w:val="005D3726"/>
    <w:rsid w:val="005D3753"/>
    <w:rsid w:val="005D3B1D"/>
    <w:rsid w:val="005D3B25"/>
    <w:rsid w:val="005D3BC2"/>
    <w:rsid w:val="005D3CAC"/>
    <w:rsid w:val="005D404A"/>
    <w:rsid w:val="005D43C9"/>
    <w:rsid w:val="005D50B4"/>
    <w:rsid w:val="005D50C4"/>
    <w:rsid w:val="005D5126"/>
    <w:rsid w:val="005D57D8"/>
    <w:rsid w:val="005D5830"/>
    <w:rsid w:val="005D58E1"/>
    <w:rsid w:val="005D5CFB"/>
    <w:rsid w:val="005D6217"/>
    <w:rsid w:val="005D6273"/>
    <w:rsid w:val="005D6443"/>
    <w:rsid w:val="005D6474"/>
    <w:rsid w:val="005D6503"/>
    <w:rsid w:val="005D667F"/>
    <w:rsid w:val="005D66F8"/>
    <w:rsid w:val="005D6762"/>
    <w:rsid w:val="005D68B1"/>
    <w:rsid w:val="005D692A"/>
    <w:rsid w:val="005D6A2A"/>
    <w:rsid w:val="005D6DE9"/>
    <w:rsid w:val="005D6FA9"/>
    <w:rsid w:val="005D7142"/>
    <w:rsid w:val="005D7156"/>
    <w:rsid w:val="005D71CE"/>
    <w:rsid w:val="005D7307"/>
    <w:rsid w:val="005D7455"/>
    <w:rsid w:val="005D7650"/>
    <w:rsid w:val="005D7717"/>
    <w:rsid w:val="005D7869"/>
    <w:rsid w:val="005D788A"/>
    <w:rsid w:val="005D7BCA"/>
    <w:rsid w:val="005D7E96"/>
    <w:rsid w:val="005E0331"/>
    <w:rsid w:val="005E0361"/>
    <w:rsid w:val="005E03F5"/>
    <w:rsid w:val="005E0632"/>
    <w:rsid w:val="005E0640"/>
    <w:rsid w:val="005E068C"/>
    <w:rsid w:val="005E06FA"/>
    <w:rsid w:val="005E096E"/>
    <w:rsid w:val="005E0B48"/>
    <w:rsid w:val="005E0B58"/>
    <w:rsid w:val="005E0B6F"/>
    <w:rsid w:val="005E1025"/>
    <w:rsid w:val="005E110D"/>
    <w:rsid w:val="005E1164"/>
    <w:rsid w:val="005E15EA"/>
    <w:rsid w:val="005E1645"/>
    <w:rsid w:val="005E16A6"/>
    <w:rsid w:val="005E1973"/>
    <w:rsid w:val="005E1B67"/>
    <w:rsid w:val="005E1BBB"/>
    <w:rsid w:val="005E1DC7"/>
    <w:rsid w:val="005E2021"/>
    <w:rsid w:val="005E2608"/>
    <w:rsid w:val="005E2789"/>
    <w:rsid w:val="005E29F4"/>
    <w:rsid w:val="005E2BD2"/>
    <w:rsid w:val="005E2C7D"/>
    <w:rsid w:val="005E2FD9"/>
    <w:rsid w:val="005E308E"/>
    <w:rsid w:val="005E3177"/>
    <w:rsid w:val="005E3393"/>
    <w:rsid w:val="005E3684"/>
    <w:rsid w:val="005E3765"/>
    <w:rsid w:val="005E3813"/>
    <w:rsid w:val="005E39FE"/>
    <w:rsid w:val="005E3C6A"/>
    <w:rsid w:val="005E3CC5"/>
    <w:rsid w:val="005E3EEB"/>
    <w:rsid w:val="005E3F51"/>
    <w:rsid w:val="005E4149"/>
    <w:rsid w:val="005E41EE"/>
    <w:rsid w:val="005E431F"/>
    <w:rsid w:val="005E432D"/>
    <w:rsid w:val="005E4543"/>
    <w:rsid w:val="005E4B1F"/>
    <w:rsid w:val="005E4B81"/>
    <w:rsid w:val="005E4C15"/>
    <w:rsid w:val="005E4FCD"/>
    <w:rsid w:val="005E512B"/>
    <w:rsid w:val="005E51E5"/>
    <w:rsid w:val="005E5456"/>
    <w:rsid w:val="005E55F3"/>
    <w:rsid w:val="005E567B"/>
    <w:rsid w:val="005E567C"/>
    <w:rsid w:val="005E5A80"/>
    <w:rsid w:val="005E5ABD"/>
    <w:rsid w:val="005E5C21"/>
    <w:rsid w:val="005E5ECE"/>
    <w:rsid w:val="005E63B6"/>
    <w:rsid w:val="005E654B"/>
    <w:rsid w:val="005E65B6"/>
    <w:rsid w:val="005E6704"/>
    <w:rsid w:val="005E67B8"/>
    <w:rsid w:val="005E6A48"/>
    <w:rsid w:val="005E6A93"/>
    <w:rsid w:val="005E6A99"/>
    <w:rsid w:val="005E6CC6"/>
    <w:rsid w:val="005E6E40"/>
    <w:rsid w:val="005E730D"/>
    <w:rsid w:val="005E7313"/>
    <w:rsid w:val="005E74C2"/>
    <w:rsid w:val="005E76FC"/>
    <w:rsid w:val="005E7BFE"/>
    <w:rsid w:val="005E7F5C"/>
    <w:rsid w:val="005F0182"/>
    <w:rsid w:val="005F02AE"/>
    <w:rsid w:val="005F0326"/>
    <w:rsid w:val="005F04AC"/>
    <w:rsid w:val="005F0727"/>
    <w:rsid w:val="005F0737"/>
    <w:rsid w:val="005F0761"/>
    <w:rsid w:val="005F0822"/>
    <w:rsid w:val="005F0944"/>
    <w:rsid w:val="005F0D2B"/>
    <w:rsid w:val="005F0DAB"/>
    <w:rsid w:val="005F0E0C"/>
    <w:rsid w:val="005F0E17"/>
    <w:rsid w:val="005F0F78"/>
    <w:rsid w:val="005F111E"/>
    <w:rsid w:val="005F15D6"/>
    <w:rsid w:val="005F1626"/>
    <w:rsid w:val="005F1825"/>
    <w:rsid w:val="005F1D36"/>
    <w:rsid w:val="005F20EF"/>
    <w:rsid w:val="005F25FA"/>
    <w:rsid w:val="005F263F"/>
    <w:rsid w:val="005F2643"/>
    <w:rsid w:val="005F264C"/>
    <w:rsid w:val="005F268D"/>
    <w:rsid w:val="005F27BC"/>
    <w:rsid w:val="005F295F"/>
    <w:rsid w:val="005F2AB0"/>
    <w:rsid w:val="005F2BFE"/>
    <w:rsid w:val="005F2D97"/>
    <w:rsid w:val="005F2EBF"/>
    <w:rsid w:val="005F2F44"/>
    <w:rsid w:val="005F3133"/>
    <w:rsid w:val="005F31E1"/>
    <w:rsid w:val="005F3214"/>
    <w:rsid w:val="005F3571"/>
    <w:rsid w:val="005F35C0"/>
    <w:rsid w:val="005F3721"/>
    <w:rsid w:val="005F3848"/>
    <w:rsid w:val="005F3866"/>
    <w:rsid w:val="005F3B4D"/>
    <w:rsid w:val="005F3D9A"/>
    <w:rsid w:val="005F41D7"/>
    <w:rsid w:val="005F42B3"/>
    <w:rsid w:val="005F4872"/>
    <w:rsid w:val="005F4AB3"/>
    <w:rsid w:val="005F4CDF"/>
    <w:rsid w:val="005F4D6F"/>
    <w:rsid w:val="005F50DB"/>
    <w:rsid w:val="005F56B1"/>
    <w:rsid w:val="005F5950"/>
    <w:rsid w:val="005F5953"/>
    <w:rsid w:val="005F5D36"/>
    <w:rsid w:val="005F5E31"/>
    <w:rsid w:val="005F6336"/>
    <w:rsid w:val="005F6372"/>
    <w:rsid w:val="005F64F2"/>
    <w:rsid w:val="005F6517"/>
    <w:rsid w:val="005F66C1"/>
    <w:rsid w:val="005F67EA"/>
    <w:rsid w:val="005F683C"/>
    <w:rsid w:val="005F68FE"/>
    <w:rsid w:val="005F6A29"/>
    <w:rsid w:val="005F6A8E"/>
    <w:rsid w:val="005F6ABC"/>
    <w:rsid w:val="005F6B2B"/>
    <w:rsid w:val="005F6C1E"/>
    <w:rsid w:val="005F6D17"/>
    <w:rsid w:val="005F6E98"/>
    <w:rsid w:val="005F6F38"/>
    <w:rsid w:val="005F7257"/>
    <w:rsid w:val="005F7369"/>
    <w:rsid w:val="005F754E"/>
    <w:rsid w:val="005F75B5"/>
    <w:rsid w:val="005F7710"/>
    <w:rsid w:val="005F7875"/>
    <w:rsid w:val="005F78C4"/>
    <w:rsid w:val="005F7910"/>
    <w:rsid w:val="005F7B63"/>
    <w:rsid w:val="005F7EB1"/>
    <w:rsid w:val="005F7F19"/>
    <w:rsid w:val="00600397"/>
    <w:rsid w:val="00600403"/>
    <w:rsid w:val="006006BF"/>
    <w:rsid w:val="006006EA"/>
    <w:rsid w:val="00600785"/>
    <w:rsid w:val="00600A95"/>
    <w:rsid w:val="00600C57"/>
    <w:rsid w:val="00600D8F"/>
    <w:rsid w:val="00600EB4"/>
    <w:rsid w:val="00601119"/>
    <w:rsid w:val="00601161"/>
    <w:rsid w:val="00601168"/>
    <w:rsid w:val="00601579"/>
    <w:rsid w:val="006015D2"/>
    <w:rsid w:val="0060176E"/>
    <w:rsid w:val="006017DF"/>
    <w:rsid w:val="0060199A"/>
    <w:rsid w:val="00601A27"/>
    <w:rsid w:val="00601D92"/>
    <w:rsid w:val="00602022"/>
    <w:rsid w:val="00602073"/>
    <w:rsid w:val="006023CC"/>
    <w:rsid w:val="006024EB"/>
    <w:rsid w:val="00602538"/>
    <w:rsid w:val="00602639"/>
    <w:rsid w:val="00602AAC"/>
    <w:rsid w:val="00602B96"/>
    <w:rsid w:val="00602D8A"/>
    <w:rsid w:val="006030EE"/>
    <w:rsid w:val="006031C1"/>
    <w:rsid w:val="0060347A"/>
    <w:rsid w:val="00603936"/>
    <w:rsid w:val="00603EC0"/>
    <w:rsid w:val="00604012"/>
    <w:rsid w:val="006040D8"/>
    <w:rsid w:val="00604442"/>
    <w:rsid w:val="006045FE"/>
    <w:rsid w:val="0060468D"/>
    <w:rsid w:val="006046CB"/>
    <w:rsid w:val="00604797"/>
    <w:rsid w:val="00604961"/>
    <w:rsid w:val="00604978"/>
    <w:rsid w:val="00604FD2"/>
    <w:rsid w:val="00605100"/>
    <w:rsid w:val="00605114"/>
    <w:rsid w:val="0060564C"/>
    <w:rsid w:val="00605762"/>
    <w:rsid w:val="00605872"/>
    <w:rsid w:val="006058F7"/>
    <w:rsid w:val="0060595F"/>
    <w:rsid w:val="0060598F"/>
    <w:rsid w:val="00605B68"/>
    <w:rsid w:val="00605E57"/>
    <w:rsid w:val="00606025"/>
    <w:rsid w:val="0060607D"/>
    <w:rsid w:val="0060633A"/>
    <w:rsid w:val="0060652B"/>
    <w:rsid w:val="006065BC"/>
    <w:rsid w:val="0060682A"/>
    <w:rsid w:val="00606CDB"/>
    <w:rsid w:val="00606D3F"/>
    <w:rsid w:val="00606ED3"/>
    <w:rsid w:val="00607035"/>
    <w:rsid w:val="00607458"/>
    <w:rsid w:val="0060757E"/>
    <w:rsid w:val="006075C7"/>
    <w:rsid w:val="006079F9"/>
    <w:rsid w:val="00607CA7"/>
    <w:rsid w:val="00607D0B"/>
    <w:rsid w:val="00607DB6"/>
    <w:rsid w:val="00607E14"/>
    <w:rsid w:val="00607E81"/>
    <w:rsid w:val="00607E8E"/>
    <w:rsid w:val="00607FC7"/>
    <w:rsid w:val="0060859F"/>
    <w:rsid w:val="006101E7"/>
    <w:rsid w:val="006101EC"/>
    <w:rsid w:val="00610382"/>
    <w:rsid w:val="006107AE"/>
    <w:rsid w:val="00610962"/>
    <w:rsid w:val="00610988"/>
    <w:rsid w:val="006109C0"/>
    <w:rsid w:val="00610BF9"/>
    <w:rsid w:val="00610F6E"/>
    <w:rsid w:val="00610FD4"/>
    <w:rsid w:val="006113FD"/>
    <w:rsid w:val="0061144F"/>
    <w:rsid w:val="00611490"/>
    <w:rsid w:val="006116FD"/>
    <w:rsid w:val="00611790"/>
    <w:rsid w:val="00611818"/>
    <w:rsid w:val="00611BC7"/>
    <w:rsid w:val="00611C02"/>
    <w:rsid w:val="00611EF1"/>
    <w:rsid w:val="00611FDB"/>
    <w:rsid w:val="0061227C"/>
    <w:rsid w:val="0061247D"/>
    <w:rsid w:val="006126E4"/>
    <w:rsid w:val="006127F5"/>
    <w:rsid w:val="00612868"/>
    <w:rsid w:val="00612E43"/>
    <w:rsid w:val="00612E5E"/>
    <w:rsid w:val="00613006"/>
    <w:rsid w:val="0061308E"/>
    <w:rsid w:val="00613267"/>
    <w:rsid w:val="0061385B"/>
    <w:rsid w:val="0061399D"/>
    <w:rsid w:val="006139A0"/>
    <w:rsid w:val="00613BF3"/>
    <w:rsid w:val="00613C59"/>
    <w:rsid w:val="00613D71"/>
    <w:rsid w:val="00613DA1"/>
    <w:rsid w:val="00613DF1"/>
    <w:rsid w:val="00613ECC"/>
    <w:rsid w:val="00614202"/>
    <w:rsid w:val="00614470"/>
    <w:rsid w:val="0061476D"/>
    <w:rsid w:val="006147AD"/>
    <w:rsid w:val="006147B8"/>
    <w:rsid w:val="00614895"/>
    <w:rsid w:val="00614B13"/>
    <w:rsid w:val="00614CFF"/>
    <w:rsid w:val="00614D53"/>
    <w:rsid w:val="00615331"/>
    <w:rsid w:val="006155D0"/>
    <w:rsid w:val="0061564E"/>
    <w:rsid w:val="006157C9"/>
    <w:rsid w:val="006157EF"/>
    <w:rsid w:val="00615841"/>
    <w:rsid w:val="00615D5D"/>
    <w:rsid w:val="00615F2F"/>
    <w:rsid w:val="0061606A"/>
    <w:rsid w:val="006161F8"/>
    <w:rsid w:val="006162F8"/>
    <w:rsid w:val="00616416"/>
    <w:rsid w:val="006165F6"/>
    <w:rsid w:val="0061681D"/>
    <w:rsid w:val="006168EF"/>
    <w:rsid w:val="006169C2"/>
    <w:rsid w:val="00616AC3"/>
    <w:rsid w:val="00616BC9"/>
    <w:rsid w:val="00616CE7"/>
    <w:rsid w:val="00616F38"/>
    <w:rsid w:val="0061713C"/>
    <w:rsid w:val="0061719B"/>
    <w:rsid w:val="006171F3"/>
    <w:rsid w:val="0061753F"/>
    <w:rsid w:val="00617950"/>
    <w:rsid w:val="00617A82"/>
    <w:rsid w:val="00620AFE"/>
    <w:rsid w:val="00620BA6"/>
    <w:rsid w:val="00620C4F"/>
    <w:rsid w:val="00620D4B"/>
    <w:rsid w:val="00620EB3"/>
    <w:rsid w:val="00620FB1"/>
    <w:rsid w:val="00621072"/>
    <w:rsid w:val="00621087"/>
    <w:rsid w:val="00621195"/>
    <w:rsid w:val="006211F0"/>
    <w:rsid w:val="006212E5"/>
    <w:rsid w:val="00621510"/>
    <w:rsid w:val="00621713"/>
    <w:rsid w:val="00621830"/>
    <w:rsid w:val="00621915"/>
    <w:rsid w:val="00621AB8"/>
    <w:rsid w:val="00621C7D"/>
    <w:rsid w:val="00621CFA"/>
    <w:rsid w:val="00621D2F"/>
    <w:rsid w:val="00621ED9"/>
    <w:rsid w:val="00622264"/>
    <w:rsid w:val="006223C5"/>
    <w:rsid w:val="0062263F"/>
    <w:rsid w:val="006227A8"/>
    <w:rsid w:val="00622864"/>
    <w:rsid w:val="00622BE8"/>
    <w:rsid w:val="00622DB1"/>
    <w:rsid w:val="00622F26"/>
    <w:rsid w:val="00623035"/>
    <w:rsid w:val="00623483"/>
    <w:rsid w:val="00623704"/>
    <w:rsid w:val="00623C7A"/>
    <w:rsid w:val="00623E92"/>
    <w:rsid w:val="006240A2"/>
    <w:rsid w:val="006241B2"/>
    <w:rsid w:val="0062446F"/>
    <w:rsid w:val="006247B3"/>
    <w:rsid w:val="00624E3C"/>
    <w:rsid w:val="00624EC1"/>
    <w:rsid w:val="006251AA"/>
    <w:rsid w:val="0062520E"/>
    <w:rsid w:val="00625343"/>
    <w:rsid w:val="0062555C"/>
    <w:rsid w:val="0062557B"/>
    <w:rsid w:val="006256AF"/>
    <w:rsid w:val="00625C9C"/>
    <w:rsid w:val="00625D16"/>
    <w:rsid w:val="00625E6D"/>
    <w:rsid w:val="00625F26"/>
    <w:rsid w:val="00626037"/>
    <w:rsid w:val="0062609D"/>
    <w:rsid w:val="006260B7"/>
    <w:rsid w:val="006261E9"/>
    <w:rsid w:val="0062623A"/>
    <w:rsid w:val="006264B9"/>
    <w:rsid w:val="006265DF"/>
    <w:rsid w:val="006267DA"/>
    <w:rsid w:val="00626A2E"/>
    <w:rsid w:val="00626CC7"/>
    <w:rsid w:val="00626F3A"/>
    <w:rsid w:val="00627748"/>
    <w:rsid w:val="0062789E"/>
    <w:rsid w:val="00627981"/>
    <w:rsid w:val="00627C2E"/>
    <w:rsid w:val="00627CD2"/>
    <w:rsid w:val="00627E50"/>
    <w:rsid w:val="00627F43"/>
    <w:rsid w:val="00630222"/>
    <w:rsid w:val="006305B8"/>
    <w:rsid w:val="0063069E"/>
    <w:rsid w:val="00630729"/>
    <w:rsid w:val="00630737"/>
    <w:rsid w:val="00630801"/>
    <w:rsid w:val="00630C95"/>
    <w:rsid w:val="00630DB3"/>
    <w:rsid w:val="00630FD3"/>
    <w:rsid w:val="006311F3"/>
    <w:rsid w:val="00631232"/>
    <w:rsid w:val="006312E2"/>
    <w:rsid w:val="00631631"/>
    <w:rsid w:val="00631689"/>
    <w:rsid w:val="006318FB"/>
    <w:rsid w:val="00631A0B"/>
    <w:rsid w:val="00631AA1"/>
    <w:rsid w:val="00631B46"/>
    <w:rsid w:val="00631B4C"/>
    <w:rsid w:val="00631BAE"/>
    <w:rsid w:val="00631CA1"/>
    <w:rsid w:val="00631D6D"/>
    <w:rsid w:val="006320EE"/>
    <w:rsid w:val="0063221E"/>
    <w:rsid w:val="006326AB"/>
    <w:rsid w:val="00632795"/>
    <w:rsid w:val="00632C4A"/>
    <w:rsid w:val="00632CB9"/>
    <w:rsid w:val="00633137"/>
    <w:rsid w:val="00633169"/>
    <w:rsid w:val="006332B2"/>
    <w:rsid w:val="006336AE"/>
    <w:rsid w:val="00633936"/>
    <w:rsid w:val="00633997"/>
    <w:rsid w:val="00633CCD"/>
    <w:rsid w:val="00633E1C"/>
    <w:rsid w:val="00633E54"/>
    <w:rsid w:val="00634545"/>
    <w:rsid w:val="0063454E"/>
    <w:rsid w:val="0063479C"/>
    <w:rsid w:val="00634A17"/>
    <w:rsid w:val="00634AA8"/>
    <w:rsid w:val="00634AC4"/>
    <w:rsid w:val="00634B06"/>
    <w:rsid w:val="00635042"/>
    <w:rsid w:val="00635380"/>
    <w:rsid w:val="006355B6"/>
    <w:rsid w:val="00635636"/>
    <w:rsid w:val="00635FB6"/>
    <w:rsid w:val="00636128"/>
    <w:rsid w:val="00636281"/>
    <w:rsid w:val="00636341"/>
    <w:rsid w:val="006363F2"/>
    <w:rsid w:val="0063648E"/>
    <w:rsid w:val="00636724"/>
    <w:rsid w:val="0063675C"/>
    <w:rsid w:val="006367C8"/>
    <w:rsid w:val="006369AF"/>
    <w:rsid w:val="00636E64"/>
    <w:rsid w:val="0063744F"/>
    <w:rsid w:val="0063766E"/>
    <w:rsid w:val="0063790D"/>
    <w:rsid w:val="00637BE3"/>
    <w:rsid w:val="00637E37"/>
    <w:rsid w:val="00637FAE"/>
    <w:rsid w:val="00640304"/>
    <w:rsid w:val="0064037E"/>
    <w:rsid w:val="00640511"/>
    <w:rsid w:val="006409E4"/>
    <w:rsid w:val="00640B20"/>
    <w:rsid w:val="00640B22"/>
    <w:rsid w:val="00640E34"/>
    <w:rsid w:val="00641169"/>
    <w:rsid w:val="006411BB"/>
    <w:rsid w:val="00641447"/>
    <w:rsid w:val="006415D5"/>
    <w:rsid w:val="00641780"/>
    <w:rsid w:val="00641A8B"/>
    <w:rsid w:val="00641BC7"/>
    <w:rsid w:val="00641BD6"/>
    <w:rsid w:val="00641C3F"/>
    <w:rsid w:val="00641CD9"/>
    <w:rsid w:val="00641D6C"/>
    <w:rsid w:val="00641FDF"/>
    <w:rsid w:val="006425A0"/>
    <w:rsid w:val="006426E0"/>
    <w:rsid w:val="00642801"/>
    <w:rsid w:val="00642A31"/>
    <w:rsid w:val="00642AE6"/>
    <w:rsid w:val="00642BDC"/>
    <w:rsid w:val="00642BFD"/>
    <w:rsid w:val="00642DEA"/>
    <w:rsid w:val="00642E16"/>
    <w:rsid w:val="0064326D"/>
    <w:rsid w:val="006435E0"/>
    <w:rsid w:val="00643640"/>
    <w:rsid w:val="006437E0"/>
    <w:rsid w:val="00643A7D"/>
    <w:rsid w:val="00643B5E"/>
    <w:rsid w:val="00643CF2"/>
    <w:rsid w:val="00643E74"/>
    <w:rsid w:val="00644366"/>
    <w:rsid w:val="006445B8"/>
    <w:rsid w:val="00644634"/>
    <w:rsid w:val="00644800"/>
    <w:rsid w:val="0064481F"/>
    <w:rsid w:val="0064490B"/>
    <w:rsid w:val="00644C9B"/>
    <w:rsid w:val="00644FDB"/>
    <w:rsid w:val="00645013"/>
    <w:rsid w:val="0064544A"/>
    <w:rsid w:val="00645467"/>
    <w:rsid w:val="00645545"/>
    <w:rsid w:val="0064569A"/>
    <w:rsid w:val="0064571E"/>
    <w:rsid w:val="00645964"/>
    <w:rsid w:val="00645CF8"/>
    <w:rsid w:val="00645F1B"/>
    <w:rsid w:val="00646659"/>
    <w:rsid w:val="00646699"/>
    <w:rsid w:val="00646840"/>
    <w:rsid w:val="00646C51"/>
    <w:rsid w:val="00646DAC"/>
    <w:rsid w:val="00646FAE"/>
    <w:rsid w:val="00647214"/>
    <w:rsid w:val="00647756"/>
    <w:rsid w:val="00647ACC"/>
    <w:rsid w:val="00647BD2"/>
    <w:rsid w:val="00647C49"/>
    <w:rsid w:val="0065012F"/>
    <w:rsid w:val="006503FF"/>
    <w:rsid w:val="006504A2"/>
    <w:rsid w:val="006504B9"/>
    <w:rsid w:val="006508FE"/>
    <w:rsid w:val="00650DCD"/>
    <w:rsid w:val="00651143"/>
    <w:rsid w:val="00651718"/>
    <w:rsid w:val="00651791"/>
    <w:rsid w:val="00651B2A"/>
    <w:rsid w:val="00651B35"/>
    <w:rsid w:val="00651B3E"/>
    <w:rsid w:val="00651CDC"/>
    <w:rsid w:val="0065218A"/>
    <w:rsid w:val="006522E4"/>
    <w:rsid w:val="006524B3"/>
    <w:rsid w:val="0065258E"/>
    <w:rsid w:val="006525BB"/>
    <w:rsid w:val="0065270D"/>
    <w:rsid w:val="006527CA"/>
    <w:rsid w:val="006527DA"/>
    <w:rsid w:val="00652A4E"/>
    <w:rsid w:val="00652AAA"/>
    <w:rsid w:val="006530A2"/>
    <w:rsid w:val="00653104"/>
    <w:rsid w:val="0065311D"/>
    <w:rsid w:val="0065326B"/>
    <w:rsid w:val="00653517"/>
    <w:rsid w:val="00653967"/>
    <w:rsid w:val="006539D0"/>
    <w:rsid w:val="00653D6C"/>
    <w:rsid w:val="00653E3F"/>
    <w:rsid w:val="00654135"/>
    <w:rsid w:val="00654279"/>
    <w:rsid w:val="006546FD"/>
    <w:rsid w:val="00654B09"/>
    <w:rsid w:val="00654E58"/>
    <w:rsid w:val="006551AB"/>
    <w:rsid w:val="00655258"/>
    <w:rsid w:val="00655566"/>
    <w:rsid w:val="006555CB"/>
    <w:rsid w:val="00655618"/>
    <w:rsid w:val="00655695"/>
    <w:rsid w:val="00655A2C"/>
    <w:rsid w:val="00655ACC"/>
    <w:rsid w:val="00655BED"/>
    <w:rsid w:val="00655D46"/>
    <w:rsid w:val="00655EF6"/>
    <w:rsid w:val="00655F1C"/>
    <w:rsid w:val="00656306"/>
    <w:rsid w:val="00656588"/>
    <w:rsid w:val="006565A6"/>
    <w:rsid w:val="006565F2"/>
    <w:rsid w:val="00656742"/>
    <w:rsid w:val="006567C3"/>
    <w:rsid w:val="00656840"/>
    <w:rsid w:val="00656BFD"/>
    <w:rsid w:val="00656C39"/>
    <w:rsid w:val="00656F87"/>
    <w:rsid w:val="006577BD"/>
    <w:rsid w:val="006577FB"/>
    <w:rsid w:val="00657A1B"/>
    <w:rsid w:val="00657ABD"/>
    <w:rsid w:val="00657DA4"/>
    <w:rsid w:val="00657DE6"/>
    <w:rsid w:val="00657E29"/>
    <w:rsid w:val="00657E61"/>
    <w:rsid w:val="00657EF2"/>
    <w:rsid w:val="00660438"/>
    <w:rsid w:val="00660826"/>
    <w:rsid w:val="0066088D"/>
    <w:rsid w:val="006608E3"/>
    <w:rsid w:val="00660B42"/>
    <w:rsid w:val="00660B66"/>
    <w:rsid w:val="00660BE3"/>
    <w:rsid w:val="00660FD2"/>
    <w:rsid w:val="006610E5"/>
    <w:rsid w:val="006614F3"/>
    <w:rsid w:val="006617F5"/>
    <w:rsid w:val="00661D27"/>
    <w:rsid w:val="00661EBC"/>
    <w:rsid w:val="00662173"/>
    <w:rsid w:val="00662180"/>
    <w:rsid w:val="00662534"/>
    <w:rsid w:val="0066278A"/>
    <w:rsid w:val="00662A54"/>
    <w:rsid w:val="00662C67"/>
    <w:rsid w:val="00662D7F"/>
    <w:rsid w:val="00662E04"/>
    <w:rsid w:val="00663027"/>
    <w:rsid w:val="00663120"/>
    <w:rsid w:val="00663460"/>
    <w:rsid w:val="00663CE3"/>
    <w:rsid w:val="00663D68"/>
    <w:rsid w:val="00663E8B"/>
    <w:rsid w:val="00663F99"/>
    <w:rsid w:val="00664034"/>
    <w:rsid w:val="006640F9"/>
    <w:rsid w:val="006643E9"/>
    <w:rsid w:val="0066447F"/>
    <w:rsid w:val="006644FC"/>
    <w:rsid w:val="006648D5"/>
    <w:rsid w:val="00664CBA"/>
    <w:rsid w:val="00664CFA"/>
    <w:rsid w:val="00664F16"/>
    <w:rsid w:val="00664F8B"/>
    <w:rsid w:val="006654F4"/>
    <w:rsid w:val="00665510"/>
    <w:rsid w:val="00665754"/>
    <w:rsid w:val="00665F61"/>
    <w:rsid w:val="006660FB"/>
    <w:rsid w:val="0066619D"/>
    <w:rsid w:val="006661AD"/>
    <w:rsid w:val="006661E1"/>
    <w:rsid w:val="00666555"/>
    <w:rsid w:val="00666944"/>
    <w:rsid w:val="00666AEA"/>
    <w:rsid w:val="00666C6B"/>
    <w:rsid w:val="00666D4E"/>
    <w:rsid w:val="00666D68"/>
    <w:rsid w:val="00666D96"/>
    <w:rsid w:val="00666FF5"/>
    <w:rsid w:val="00667078"/>
    <w:rsid w:val="0066714A"/>
    <w:rsid w:val="0066773E"/>
    <w:rsid w:val="006677FB"/>
    <w:rsid w:val="0066789B"/>
    <w:rsid w:val="00667A55"/>
    <w:rsid w:val="00667AE9"/>
    <w:rsid w:val="006703EF"/>
    <w:rsid w:val="006703F1"/>
    <w:rsid w:val="006705D4"/>
    <w:rsid w:val="00670733"/>
    <w:rsid w:val="00670CF2"/>
    <w:rsid w:val="00670DF3"/>
    <w:rsid w:val="00670F23"/>
    <w:rsid w:val="00671053"/>
    <w:rsid w:val="006712F2"/>
    <w:rsid w:val="006714BC"/>
    <w:rsid w:val="00671609"/>
    <w:rsid w:val="0067164D"/>
    <w:rsid w:val="00671666"/>
    <w:rsid w:val="00671679"/>
    <w:rsid w:val="00671840"/>
    <w:rsid w:val="00671888"/>
    <w:rsid w:val="0067197B"/>
    <w:rsid w:val="00671E3F"/>
    <w:rsid w:val="00671FAC"/>
    <w:rsid w:val="00671FEB"/>
    <w:rsid w:val="00672034"/>
    <w:rsid w:val="00672376"/>
    <w:rsid w:val="00672595"/>
    <w:rsid w:val="00672ED8"/>
    <w:rsid w:val="00673132"/>
    <w:rsid w:val="00673185"/>
    <w:rsid w:val="006731D3"/>
    <w:rsid w:val="006732F4"/>
    <w:rsid w:val="00673355"/>
    <w:rsid w:val="00673398"/>
    <w:rsid w:val="006733D3"/>
    <w:rsid w:val="00673438"/>
    <w:rsid w:val="00673A96"/>
    <w:rsid w:val="00673CB7"/>
    <w:rsid w:val="00673EBF"/>
    <w:rsid w:val="00673F2A"/>
    <w:rsid w:val="00673F4D"/>
    <w:rsid w:val="00674070"/>
    <w:rsid w:val="00674142"/>
    <w:rsid w:val="006744D5"/>
    <w:rsid w:val="00674C48"/>
    <w:rsid w:val="00674DC2"/>
    <w:rsid w:val="00674F61"/>
    <w:rsid w:val="006750CE"/>
    <w:rsid w:val="006750EF"/>
    <w:rsid w:val="00675382"/>
    <w:rsid w:val="00675436"/>
    <w:rsid w:val="00675443"/>
    <w:rsid w:val="006754F2"/>
    <w:rsid w:val="0067552E"/>
    <w:rsid w:val="006757DE"/>
    <w:rsid w:val="00675845"/>
    <w:rsid w:val="00675BFD"/>
    <w:rsid w:val="00675C57"/>
    <w:rsid w:val="00675C7A"/>
    <w:rsid w:val="00675CD2"/>
    <w:rsid w:val="00675D96"/>
    <w:rsid w:val="00675ECA"/>
    <w:rsid w:val="00675F59"/>
    <w:rsid w:val="0067621F"/>
    <w:rsid w:val="006763FC"/>
    <w:rsid w:val="006769BA"/>
    <w:rsid w:val="00676A93"/>
    <w:rsid w:val="00676CA8"/>
    <w:rsid w:val="00676DB4"/>
    <w:rsid w:val="006770A8"/>
    <w:rsid w:val="0067718E"/>
    <w:rsid w:val="00677324"/>
    <w:rsid w:val="00677394"/>
    <w:rsid w:val="006773C4"/>
    <w:rsid w:val="00677679"/>
    <w:rsid w:val="00677732"/>
    <w:rsid w:val="0067790B"/>
    <w:rsid w:val="00677A69"/>
    <w:rsid w:val="00680048"/>
    <w:rsid w:val="00680053"/>
    <w:rsid w:val="00680112"/>
    <w:rsid w:val="006803E2"/>
    <w:rsid w:val="006803E5"/>
    <w:rsid w:val="00680509"/>
    <w:rsid w:val="00680951"/>
    <w:rsid w:val="0068095A"/>
    <w:rsid w:val="00680C5A"/>
    <w:rsid w:val="00680D48"/>
    <w:rsid w:val="00680ED7"/>
    <w:rsid w:val="00681032"/>
    <w:rsid w:val="0068112F"/>
    <w:rsid w:val="00681161"/>
    <w:rsid w:val="006811D5"/>
    <w:rsid w:val="0068150E"/>
    <w:rsid w:val="0068174E"/>
    <w:rsid w:val="00681B23"/>
    <w:rsid w:val="00681E47"/>
    <w:rsid w:val="00681EE5"/>
    <w:rsid w:val="00681FB2"/>
    <w:rsid w:val="00681FE8"/>
    <w:rsid w:val="00682342"/>
    <w:rsid w:val="0068240D"/>
    <w:rsid w:val="006824AF"/>
    <w:rsid w:val="006824E0"/>
    <w:rsid w:val="00682648"/>
    <w:rsid w:val="0068269D"/>
    <w:rsid w:val="0068273A"/>
    <w:rsid w:val="0068277E"/>
    <w:rsid w:val="00682783"/>
    <w:rsid w:val="00682978"/>
    <w:rsid w:val="00682CA2"/>
    <w:rsid w:val="00682EE8"/>
    <w:rsid w:val="00683F24"/>
    <w:rsid w:val="00684104"/>
    <w:rsid w:val="00684248"/>
    <w:rsid w:val="006845A4"/>
    <w:rsid w:val="00684662"/>
    <w:rsid w:val="00684697"/>
    <w:rsid w:val="0068473F"/>
    <w:rsid w:val="006848B4"/>
    <w:rsid w:val="00684A4A"/>
    <w:rsid w:val="00684AD6"/>
    <w:rsid w:val="00684B37"/>
    <w:rsid w:val="00684B3C"/>
    <w:rsid w:val="00684B55"/>
    <w:rsid w:val="00684BC8"/>
    <w:rsid w:val="00684C35"/>
    <w:rsid w:val="006851D5"/>
    <w:rsid w:val="00685213"/>
    <w:rsid w:val="006853C5"/>
    <w:rsid w:val="006856E9"/>
    <w:rsid w:val="00685913"/>
    <w:rsid w:val="00685930"/>
    <w:rsid w:val="00685A43"/>
    <w:rsid w:val="00685A5E"/>
    <w:rsid w:val="00685ABD"/>
    <w:rsid w:val="00685B4C"/>
    <w:rsid w:val="00685B5B"/>
    <w:rsid w:val="00685D4F"/>
    <w:rsid w:val="00686198"/>
    <w:rsid w:val="00686254"/>
    <w:rsid w:val="006863DB"/>
    <w:rsid w:val="00686471"/>
    <w:rsid w:val="00686578"/>
    <w:rsid w:val="006865F2"/>
    <w:rsid w:val="0068660F"/>
    <w:rsid w:val="00686789"/>
    <w:rsid w:val="0068692C"/>
    <w:rsid w:val="0068693D"/>
    <w:rsid w:val="006869E0"/>
    <w:rsid w:val="00686E53"/>
    <w:rsid w:val="00686F3D"/>
    <w:rsid w:val="00686FAB"/>
    <w:rsid w:val="0068719F"/>
    <w:rsid w:val="00687435"/>
    <w:rsid w:val="0068745C"/>
    <w:rsid w:val="006875DB"/>
    <w:rsid w:val="00687654"/>
    <w:rsid w:val="00687810"/>
    <w:rsid w:val="00687982"/>
    <w:rsid w:val="006879EB"/>
    <w:rsid w:val="00687AD4"/>
    <w:rsid w:val="00687ADA"/>
    <w:rsid w:val="00687B48"/>
    <w:rsid w:val="00687D46"/>
    <w:rsid w:val="00687D8F"/>
    <w:rsid w:val="00687DE1"/>
    <w:rsid w:val="0068E2C7"/>
    <w:rsid w:val="00690059"/>
    <w:rsid w:val="00690333"/>
    <w:rsid w:val="0069048E"/>
    <w:rsid w:val="00690672"/>
    <w:rsid w:val="00690C93"/>
    <w:rsid w:val="00690CA4"/>
    <w:rsid w:val="00690E68"/>
    <w:rsid w:val="006911D5"/>
    <w:rsid w:val="00691736"/>
    <w:rsid w:val="00691846"/>
    <w:rsid w:val="00691A81"/>
    <w:rsid w:val="00691CEC"/>
    <w:rsid w:val="00691D51"/>
    <w:rsid w:val="00691E65"/>
    <w:rsid w:val="00691ECB"/>
    <w:rsid w:val="00691F60"/>
    <w:rsid w:val="0069201A"/>
    <w:rsid w:val="00692289"/>
    <w:rsid w:val="006922B4"/>
    <w:rsid w:val="00692302"/>
    <w:rsid w:val="00692634"/>
    <w:rsid w:val="006927CA"/>
    <w:rsid w:val="00692B77"/>
    <w:rsid w:val="00692C8E"/>
    <w:rsid w:val="00692E7D"/>
    <w:rsid w:val="0069306A"/>
    <w:rsid w:val="0069319D"/>
    <w:rsid w:val="006934D1"/>
    <w:rsid w:val="006935CB"/>
    <w:rsid w:val="00693795"/>
    <w:rsid w:val="00693894"/>
    <w:rsid w:val="0069395B"/>
    <w:rsid w:val="00693AB1"/>
    <w:rsid w:val="00693D88"/>
    <w:rsid w:val="00693F1D"/>
    <w:rsid w:val="0069406A"/>
    <w:rsid w:val="00694127"/>
    <w:rsid w:val="006941BF"/>
    <w:rsid w:val="006945D1"/>
    <w:rsid w:val="00694727"/>
    <w:rsid w:val="006947E5"/>
    <w:rsid w:val="006948E8"/>
    <w:rsid w:val="00694BAE"/>
    <w:rsid w:val="00695202"/>
    <w:rsid w:val="006956AE"/>
    <w:rsid w:val="006956D1"/>
    <w:rsid w:val="0069589D"/>
    <w:rsid w:val="00695B6F"/>
    <w:rsid w:val="00695BFA"/>
    <w:rsid w:val="00695C12"/>
    <w:rsid w:val="00695DBA"/>
    <w:rsid w:val="00695E5F"/>
    <w:rsid w:val="00696199"/>
    <w:rsid w:val="0069654A"/>
    <w:rsid w:val="006968E7"/>
    <w:rsid w:val="00696D2B"/>
    <w:rsid w:val="00696EC6"/>
    <w:rsid w:val="00696F98"/>
    <w:rsid w:val="0069711E"/>
    <w:rsid w:val="0069714C"/>
    <w:rsid w:val="0069720F"/>
    <w:rsid w:val="006978A3"/>
    <w:rsid w:val="00697922"/>
    <w:rsid w:val="00697CC7"/>
    <w:rsid w:val="00697F09"/>
    <w:rsid w:val="006A0086"/>
    <w:rsid w:val="006A0107"/>
    <w:rsid w:val="006A067E"/>
    <w:rsid w:val="006A072A"/>
    <w:rsid w:val="006A077B"/>
    <w:rsid w:val="006A0886"/>
    <w:rsid w:val="006A0AC4"/>
    <w:rsid w:val="006A0C97"/>
    <w:rsid w:val="006A0D4E"/>
    <w:rsid w:val="006A0D76"/>
    <w:rsid w:val="006A0DDC"/>
    <w:rsid w:val="006A0E60"/>
    <w:rsid w:val="006A0F39"/>
    <w:rsid w:val="006A129B"/>
    <w:rsid w:val="006A18C6"/>
    <w:rsid w:val="006A19E5"/>
    <w:rsid w:val="006A1AD6"/>
    <w:rsid w:val="006A1AF3"/>
    <w:rsid w:val="006A1BBD"/>
    <w:rsid w:val="006A1BF6"/>
    <w:rsid w:val="006A1C35"/>
    <w:rsid w:val="006A1C9F"/>
    <w:rsid w:val="006A1E30"/>
    <w:rsid w:val="006A2259"/>
    <w:rsid w:val="006A2384"/>
    <w:rsid w:val="006A2415"/>
    <w:rsid w:val="006A2463"/>
    <w:rsid w:val="006A2477"/>
    <w:rsid w:val="006A277C"/>
    <w:rsid w:val="006A28AB"/>
    <w:rsid w:val="006A2B7E"/>
    <w:rsid w:val="006A2FCA"/>
    <w:rsid w:val="006A2FD1"/>
    <w:rsid w:val="006A31F0"/>
    <w:rsid w:val="006A3567"/>
    <w:rsid w:val="006A3705"/>
    <w:rsid w:val="006A3719"/>
    <w:rsid w:val="006A3837"/>
    <w:rsid w:val="006A39B6"/>
    <w:rsid w:val="006A39FF"/>
    <w:rsid w:val="006A3DC7"/>
    <w:rsid w:val="006A42D5"/>
    <w:rsid w:val="006A4569"/>
    <w:rsid w:val="006A45E5"/>
    <w:rsid w:val="006A46B3"/>
    <w:rsid w:val="006A486E"/>
    <w:rsid w:val="006A4B71"/>
    <w:rsid w:val="006A4B93"/>
    <w:rsid w:val="006A4C25"/>
    <w:rsid w:val="006A4C61"/>
    <w:rsid w:val="006A4DFB"/>
    <w:rsid w:val="006A4E5A"/>
    <w:rsid w:val="006A4F13"/>
    <w:rsid w:val="006A5369"/>
    <w:rsid w:val="006A54AF"/>
    <w:rsid w:val="006A572A"/>
    <w:rsid w:val="006A58DA"/>
    <w:rsid w:val="006A5C21"/>
    <w:rsid w:val="006A5EA4"/>
    <w:rsid w:val="006A6064"/>
    <w:rsid w:val="006A609A"/>
    <w:rsid w:val="006A6196"/>
    <w:rsid w:val="006A641F"/>
    <w:rsid w:val="006A6592"/>
    <w:rsid w:val="006A681A"/>
    <w:rsid w:val="006A681C"/>
    <w:rsid w:val="006A6ABC"/>
    <w:rsid w:val="006A6C21"/>
    <w:rsid w:val="006A6C92"/>
    <w:rsid w:val="006A6DE5"/>
    <w:rsid w:val="006A6F6E"/>
    <w:rsid w:val="006A71DE"/>
    <w:rsid w:val="006A73D3"/>
    <w:rsid w:val="006A74DF"/>
    <w:rsid w:val="006A75BB"/>
    <w:rsid w:val="006A7662"/>
    <w:rsid w:val="006A76E1"/>
    <w:rsid w:val="006A78B4"/>
    <w:rsid w:val="006A79E4"/>
    <w:rsid w:val="006A7AA5"/>
    <w:rsid w:val="006A7B45"/>
    <w:rsid w:val="006A7CB2"/>
    <w:rsid w:val="006A7D87"/>
    <w:rsid w:val="006A7D95"/>
    <w:rsid w:val="006A7F4B"/>
    <w:rsid w:val="006B00F1"/>
    <w:rsid w:val="006B03EA"/>
    <w:rsid w:val="006B0BC9"/>
    <w:rsid w:val="006B1161"/>
    <w:rsid w:val="006B123C"/>
    <w:rsid w:val="006B1327"/>
    <w:rsid w:val="006B137A"/>
    <w:rsid w:val="006B14ED"/>
    <w:rsid w:val="006B14FD"/>
    <w:rsid w:val="006B15C1"/>
    <w:rsid w:val="006B15E4"/>
    <w:rsid w:val="006B171B"/>
    <w:rsid w:val="006B1738"/>
    <w:rsid w:val="006B1893"/>
    <w:rsid w:val="006B18A1"/>
    <w:rsid w:val="006B199B"/>
    <w:rsid w:val="006B1A05"/>
    <w:rsid w:val="006B1A22"/>
    <w:rsid w:val="006B1CFA"/>
    <w:rsid w:val="006B1D22"/>
    <w:rsid w:val="006B1F37"/>
    <w:rsid w:val="006B205F"/>
    <w:rsid w:val="006B2A6C"/>
    <w:rsid w:val="006B2AD5"/>
    <w:rsid w:val="006B2AFB"/>
    <w:rsid w:val="006B2F6A"/>
    <w:rsid w:val="006B31D6"/>
    <w:rsid w:val="006B3294"/>
    <w:rsid w:val="006B33F8"/>
    <w:rsid w:val="006B354B"/>
    <w:rsid w:val="006B396C"/>
    <w:rsid w:val="006B406B"/>
    <w:rsid w:val="006B427F"/>
    <w:rsid w:val="006B47FE"/>
    <w:rsid w:val="006B491D"/>
    <w:rsid w:val="006B4A68"/>
    <w:rsid w:val="006B4BFF"/>
    <w:rsid w:val="006B4C1B"/>
    <w:rsid w:val="006B4ED5"/>
    <w:rsid w:val="006B5024"/>
    <w:rsid w:val="006B506D"/>
    <w:rsid w:val="006B50DF"/>
    <w:rsid w:val="006B511F"/>
    <w:rsid w:val="006B5522"/>
    <w:rsid w:val="006B59AA"/>
    <w:rsid w:val="006B5BA8"/>
    <w:rsid w:val="006B5CC8"/>
    <w:rsid w:val="006B5D12"/>
    <w:rsid w:val="006B5F41"/>
    <w:rsid w:val="006B5F83"/>
    <w:rsid w:val="006B5F86"/>
    <w:rsid w:val="006B60B9"/>
    <w:rsid w:val="006B6314"/>
    <w:rsid w:val="006B65BE"/>
    <w:rsid w:val="006B667C"/>
    <w:rsid w:val="006B6B21"/>
    <w:rsid w:val="006B6C8B"/>
    <w:rsid w:val="006B6E6F"/>
    <w:rsid w:val="006B7056"/>
    <w:rsid w:val="006B75BA"/>
    <w:rsid w:val="006B76A2"/>
    <w:rsid w:val="006B76E8"/>
    <w:rsid w:val="006B79E1"/>
    <w:rsid w:val="006B7B0E"/>
    <w:rsid w:val="006C002B"/>
    <w:rsid w:val="006C003B"/>
    <w:rsid w:val="006C02FE"/>
    <w:rsid w:val="006C062C"/>
    <w:rsid w:val="006C07B4"/>
    <w:rsid w:val="006C08AB"/>
    <w:rsid w:val="006C0922"/>
    <w:rsid w:val="006C094D"/>
    <w:rsid w:val="006C0E6C"/>
    <w:rsid w:val="006C0FCA"/>
    <w:rsid w:val="006C1482"/>
    <w:rsid w:val="006C17C2"/>
    <w:rsid w:val="006C1873"/>
    <w:rsid w:val="006C1BB0"/>
    <w:rsid w:val="006C1CDD"/>
    <w:rsid w:val="006C1D78"/>
    <w:rsid w:val="006C1F1F"/>
    <w:rsid w:val="006C1FDF"/>
    <w:rsid w:val="006C2058"/>
    <w:rsid w:val="006C21E8"/>
    <w:rsid w:val="006C22EC"/>
    <w:rsid w:val="006C23B0"/>
    <w:rsid w:val="006C23BF"/>
    <w:rsid w:val="006C27BF"/>
    <w:rsid w:val="006C288A"/>
    <w:rsid w:val="006C28EB"/>
    <w:rsid w:val="006C2ABA"/>
    <w:rsid w:val="006C2B0E"/>
    <w:rsid w:val="006C2BC9"/>
    <w:rsid w:val="006C2E1B"/>
    <w:rsid w:val="006C300A"/>
    <w:rsid w:val="006C309C"/>
    <w:rsid w:val="006C3148"/>
    <w:rsid w:val="006C32B3"/>
    <w:rsid w:val="006C3486"/>
    <w:rsid w:val="006C349E"/>
    <w:rsid w:val="006C359A"/>
    <w:rsid w:val="006C35CC"/>
    <w:rsid w:val="006C37B2"/>
    <w:rsid w:val="006C37EB"/>
    <w:rsid w:val="006C38C3"/>
    <w:rsid w:val="006C3A23"/>
    <w:rsid w:val="006C3B97"/>
    <w:rsid w:val="006C3D55"/>
    <w:rsid w:val="006C3F12"/>
    <w:rsid w:val="006C4330"/>
    <w:rsid w:val="006C4364"/>
    <w:rsid w:val="006C447E"/>
    <w:rsid w:val="006C44A4"/>
    <w:rsid w:val="006C4514"/>
    <w:rsid w:val="006C4579"/>
    <w:rsid w:val="006C47CD"/>
    <w:rsid w:val="006C4934"/>
    <w:rsid w:val="006C4AC5"/>
    <w:rsid w:val="006C4B6C"/>
    <w:rsid w:val="006C4D31"/>
    <w:rsid w:val="006C4EA7"/>
    <w:rsid w:val="006C4FC5"/>
    <w:rsid w:val="006C50BE"/>
    <w:rsid w:val="006C50D8"/>
    <w:rsid w:val="006C567C"/>
    <w:rsid w:val="006C56E3"/>
    <w:rsid w:val="006C5A45"/>
    <w:rsid w:val="006C5A84"/>
    <w:rsid w:val="006C5E10"/>
    <w:rsid w:val="006C5FCE"/>
    <w:rsid w:val="006C6193"/>
    <w:rsid w:val="006C61BC"/>
    <w:rsid w:val="006C6224"/>
    <w:rsid w:val="006C624D"/>
    <w:rsid w:val="006C62E5"/>
    <w:rsid w:val="006C62FF"/>
    <w:rsid w:val="006C649A"/>
    <w:rsid w:val="006C64E3"/>
    <w:rsid w:val="006C6598"/>
    <w:rsid w:val="006C669C"/>
    <w:rsid w:val="006C6834"/>
    <w:rsid w:val="006C68C5"/>
    <w:rsid w:val="006C6AF3"/>
    <w:rsid w:val="006C6D80"/>
    <w:rsid w:val="006C6D98"/>
    <w:rsid w:val="006C6DC0"/>
    <w:rsid w:val="006C715B"/>
    <w:rsid w:val="006C74A5"/>
    <w:rsid w:val="006C7520"/>
    <w:rsid w:val="006C7776"/>
    <w:rsid w:val="006C7865"/>
    <w:rsid w:val="006C7902"/>
    <w:rsid w:val="006C79EB"/>
    <w:rsid w:val="006C7A11"/>
    <w:rsid w:val="006C7A95"/>
    <w:rsid w:val="006C7EF9"/>
    <w:rsid w:val="006C7F55"/>
    <w:rsid w:val="006CA880"/>
    <w:rsid w:val="006D0213"/>
    <w:rsid w:val="006D02F8"/>
    <w:rsid w:val="006D0377"/>
    <w:rsid w:val="006D040E"/>
    <w:rsid w:val="006D0621"/>
    <w:rsid w:val="006D063D"/>
    <w:rsid w:val="006D087F"/>
    <w:rsid w:val="006D0EC0"/>
    <w:rsid w:val="006D0F7D"/>
    <w:rsid w:val="006D10A5"/>
    <w:rsid w:val="006D10D0"/>
    <w:rsid w:val="006D1268"/>
    <w:rsid w:val="006D13F3"/>
    <w:rsid w:val="006D1576"/>
    <w:rsid w:val="006D162C"/>
    <w:rsid w:val="006D1718"/>
    <w:rsid w:val="006D17E0"/>
    <w:rsid w:val="006D17F7"/>
    <w:rsid w:val="006D19E1"/>
    <w:rsid w:val="006D21F2"/>
    <w:rsid w:val="006D22ED"/>
    <w:rsid w:val="006D2516"/>
    <w:rsid w:val="006D26C0"/>
    <w:rsid w:val="006D26C6"/>
    <w:rsid w:val="006D29DD"/>
    <w:rsid w:val="006D2A0B"/>
    <w:rsid w:val="006D2CF2"/>
    <w:rsid w:val="006D2DB3"/>
    <w:rsid w:val="006D2F80"/>
    <w:rsid w:val="006D3088"/>
    <w:rsid w:val="006D31D0"/>
    <w:rsid w:val="006D31DF"/>
    <w:rsid w:val="006D35C8"/>
    <w:rsid w:val="006D39D2"/>
    <w:rsid w:val="006D3BD2"/>
    <w:rsid w:val="006D3D57"/>
    <w:rsid w:val="006D3F1F"/>
    <w:rsid w:val="006D41FA"/>
    <w:rsid w:val="006D4290"/>
    <w:rsid w:val="006D46AF"/>
    <w:rsid w:val="006D496B"/>
    <w:rsid w:val="006D4AAF"/>
    <w:rsid w:val="006D4C3F"/>
    <w:rsid w:val="006D4D79"/>
    <w:rsid w:val="006D4E68"/>
    <w:rsid w:val="006D4ECC"/>
    <w:rsid w:val="006D4FA6"/>
    <w:rsid w:val="006D5007"/>
    <w:rsid w:val="006D5014"/>
    <w:rsid w:val="006D5209"/>
    <w:rsid w:val="006D5386"/>
    <w:rsid w:val="006D5436"/>
    <w:rsid w:val="006D550A"/>
    <w:rsid w:val="006D571A"/>
    <w:rsid w:val="006D58C9"/>
    <w:rsid w:val="006D5A0E"/>
    <w:rsid w:val="006D5A7E"/>
    <w:rsid w:val="006D638A"/>
    <w:rsid w:val="006D638E"/>
    <w:rsid w:val="006D6405"/>
    <w:rsid w:val="006D660B"/>
    <w:rsid w:val="006D680D"/>
    <w:rsid w:val="006D69D8"/>
    <w:rsid w:val="006D6A40"/>
    <w:rsid w:val="006D6A8C"/>
    <w:rsid w:val="006D6BE8"/>
    <w:rsid w:val="006D6DAB"/>
    <w:rsid w:val="006D7430"/>
    <w:rsid w:val="006D759D"/>
    <w:rsid w:val="006D75CE"/>
    <w:rsid w:val="006D763A"/>
    <w:rsid w:val="006D7770"/>
    <w:rsid w:val="006D791A"/>
    <w:rsid w:val="006D791D"/>
    <w:rsid w:val="006D7C53"/>
    <w:rsid w:val="006D7C5D"/>
    <w:rsid w:val="006D7FF3"/>
    <w:rsid w:val="006E00C6"/>
    <w:rsid w:val="006E0114"/>
    <w:rsid w:val="006E0280"/>
    <w:rsid w:val="006E0307"/>
    <w:rsid w:val="006E051D"/>
    <w:rsid w:val="006E0585"/>
    <w:rsid w:val="006E091F"/>
    <w:rsid w:val="006E0AFF"/>
    <w:rsid w:val="006E0BDB"/>
    <w:rsid w:val="006E0E0A"/>
    <w:rsid w:val="006E1183"/>
    <w:rsid w:val="006E1267"/>
    <w:rsid w:val="006E14DD"/>
    <w:rsid w:val="006E1672"/>
    <w:rsid w:val="006E192B"/>
    <w:rsid w:val="006E1C32"/>
    <w:rsid w:val="006E1C78"/>
    <w:rsid w:val="006E1FCF"/>
    <w:rsid w:val="006E2008"/>
    <w:rsid w:val="006E2166"/>
    <w:rsid w:val="006E25A8"/>
    <w:rsid w:val="006E2720"/>
    <w:rsid w:val="006E28E9"/>
    <w:rsid w:val="006E291F"/>
    <w:rsid w:val="006E2E58"/>
    <w:rsid w:val="006E30F7"/>
    <w:rsid w:val="006E32BB"/>
    <w:rsid w:val="006E3363"/>
    <w:rsid w:val="006E354C"/>
    <w:rsid w:val="006E3706"/>
    <w:rsid w:val="006E38A3"/>
    <w:rsid w:val="006E38E0"/>
    <w:rsid w:val="006E4101"/>
    <w:rsid w:val="006E42B3"/>
    <w:rsid w:val="006E433A"/>
    <w:rsid w:val="006E4705"/>
    <w:rsid w:val="006E4858"/>
    <w:rsid w:val="006E4B8E"/>
    <w:rsid w:val="006E4D46"/>
    <w:rsid w:val="006E4DC5"/>
    <w:rsid w:val="006E4E59"/>
    <w:rsid w:val="006E5067"/>
    <w:rsid w:val="006E548A"/>
    <w:rsid w:val="006E5568"/>
    <w:rsid w:val="006E5920"/>
    <w:rsid w:val="006E5D39"/>
    <w:rsid w:val="006E5E97"/>
    <w:rsid w:val="006E5F24"/>
    <w:rsid w:val="006E60E8"/>
    <w:rsid w:val="006E632E"/>
    <w:rsid w:val="006E6348"/>
    <w:rsid w:val="006E63CB"/>
    <w:rsid w:val="006E64FE"/>
    <w:rsid w:val="006E656E"/>
    <w:rsid w:val="006E6891"/>
    <w:rsid w:val="006E68DE"/>
    <w:rsid w:val="006E6A12"/>
    <w:rsid w:val="006E6BCA"/>
    <w:rsid w:val="006E6D72"/>
    <w:rsid w:val="006E6E17"/>
    <w:rsid w:val="006E730A"/>
    <w:rsid w:val="006E7318"/>
    <w:rsid w:val="006E79C0"/>
    <w:rsid w:val="006E7A2E"/>
    <w:rsid w:val="006E7AEB"/>
    <w:rsid w:val="006EBCAF"/>
    <w:rsid w:val="006F0097"/>
    <w:rsid w:val="006F00DA"/>
    <w:rsid w:val="006F01D7"/>
    <w:rsid w:val="006F0244"/>
    <w:rsid w:val="006F0536"/>
    <w:rsid w:val="006F054B"/>
    <w:rsid w:val="006F065C"/>
    <w:rsid w:val="006F08F9"/>
    <w:rsid w:val="006F0B96"/>
    <w:rsid w:val="006F0C09"/>
    <w:rsid w:val="006F0CE1"/>
    <w:rsid w:val="006F0E88"/>
    <w:rsid w:val="006F0E9D"/>
    <w:rsid w:val="006F0F12"/>
    <w:rsid w:val="006F137E"/>
    <w:rsid w:val="006F13BB"/>
    <w:rsid w:val="006F179A"/>
    <w:rsid w:val="006F1CBC"/>
    <w:rsid w:val="006F1E62"/>
    <w:rsid w:val="006F2222"/>
    <w:rsid w:val="006F22AB"/>
    <w:rsid w:val="006F23B9"/>
    <w:rsid w:val="006F2ABB"/>
    <w:rsid w:val="006F2BEC"/>
    <w:rsid w:val="006F2E5D"/>
    <w:rsid w:val="006F2F03"/>
    <w:rsid w:val="006F2F14"/>
    <w:rsid w:val="006F2F29"/>
    <w:rsid w:val="006F32EF"/>
    <w:rsid w:val="006F3470"/>
    <w:rsid w:val="006F3922"/>
    <w:rsid w:val="006F3A08"/>
    <w:rsid w:val="006F3A72"/>
    <w:rsid w:val="006F3BC2"/>
    <w:rsid w:val="006F3C5B"/>
    <w:rsid w:val="006F3C81"/>
    <w:rsid w:val="006F3F9F"/>
    <w:rsid w:val="006F417B"/>
    <w:rsid w:val="006F44ED"/>
    <w:rsid w:val="006F45CF"/>
    <w:rsid w:val="006F4805"/>
    <w:rsid w:val="006F4C6B"/>
    <w:rsid w:val="006F4DD3"/>
    <w:rsid w:val="006F4DF1"/>
    <w:rsid w:val="006F5140"/>
    <w:rsid w:val="006F5283"/>
    <w:rsid w:val="006F53A5"/>
    <w:rsid w:val="006F5441"/>
    <w:rsid w:val="006F568D"/>
    <w:rsid w:val="006F56A8"/>
    <w:rsid w:val="006F5756"/>
    <w:rsid w:val="006F5866"/>
    <w:rsid w:val="006F5953"/>
    <w:rsid w:val="006F59EF"/>
    <w:rsid w:val="006F5BC8"/>
    <w:rsid w:val="006F5DC7"/>
    <w:rsid w:val="006F626E"/>
    <w:rsid w:val="006F62C5"/>
    <w:rsid w:val="006F63D0"/>
    <w:rsid w:val="006F6B98"/>
    <w:rsid w:val="006F6BF5"/>
    <w:rsid w:val="006F6C2C"/>
    <w:rsid w:val="006F6C75"/>
    <w:rsid w:val="006F712E"/>
    <w:rsid w:val="006F724F"/>
    <w:rsid w:val="006F74F6"/>
    <w:rsid w:val="006F75B6"/>
    <w:rsid w:val="006F75F5"/>
    <w:rsid w:val="006F7BFD"/>
    <w:rsid w:val="006F7CC0"/>
    <w:rsid w:val="006F7E07"/>
    <w:rsid w:val="006F7E12"/>
    <w:rsid w:val="006F7FBA"/>
    <w:rsid w:val="0070019A"/>
    <w:rsid w:val="0070020C"/>
    <w:rsid w:val="00700330"/>
    <w:rsid w:val="0070042A"/>
    <w:rsid w:val="00700487"/>
    <w:rsid w:val="0070054E"/>
    <w:rsid w:val="0070058F"/>
    <w:rsid w:val="007009E7"/>
    <w:rsid w:val="00700AE8"/>
    <w:rsid w:val="00700F9B"/>
    <w:rsid w:val="00701059"/>
    <w:rsid w:val="00701060"/>
    <w:rsid w:val="007012E3"/>
    <w:rsid w:val="00701698"/>
    <w:rsid w:val="0070179D"/>
    <w:rsid w:val="007019CA"/>
    <w:rsid w:val="007019D6"/>
    <w:rsid w:val="00701E3D"/>
    <w:rsid w:val="00701E5F"/>
    <w:rsid w:val="00702026"/>
    <w:rsid w:val="0070208A"/>
    <w:rsid w:val="007020F2"/>
    <w:rsid w:val="0070215C"/>
    <w:rsid w:val="00702161"/>
    <w:rsid w:val="00702465"/>
    <w:rsid w:val="007025B3"/>
    <w:rsid w:val="00702691"/>
    <w:rsid w:val="00702699"/>
    <w:rsid w:val="007027FB"/>
    <w:rsid w:val="00702AE6"/>
    <w:rsid w:val="00702CA2"/>
    <w:rsid w:val="00702F97"/>
    <w:rsid w:val="00702FCA"/>
    <w:rsid w:val="007033E8"/>
    <w:rsid w:val="0070343A"/>
    <w:rsid w:val="0070348B"/>
    <w:rsid w:val="00703880"/>
    <w:rsid w:val="00703A7D"/>
    <w:rsid w:val="00703C57"/>
    <w:rsid w:val="00703CB8"/>
    <w:rsid w:val="00703DB9"/>
    <w:rsid w:val="00703EAE"/>
    <w:rsid w:val="0070464F"/>
    <w:rsid w:val="0070477F"/>
    <w:rsid w:val="007048DF"/>
    <w:rsid w:val="00704BBA"/>
    <w:rsid w:val="00704BD6"/>
    <w:rsid w:val="00704D26"/>
    <w:rsid w:val="00704DE2"/>
    <w:rsid w:val="00704E38"/>
    <w:rsid w:val="0070528F"/>
    <w:rsid w:val="00705324"/>
    <w:rsid w:val="007053EC"/>
    <w:rsid w:val="00705B0E"/>
    <w:rsid w:val="00705E51"/>
    <w:rsid w:val="007060FA"/>
    <w:rsid w:val="00706129"/>
    <w:rsid w:val="007066E4"/>
    <w:rsid w:val="0070693B"/>
    <w:rsid w:val="007069AB"/>
    <w:rsid w:val="007069EA"/>
    <w:rsid w:val="00706AE7"/>
    <w:rsid w:val="0070715C"/>
    <w:rsid w:val="0070726D"/>
    <w:rsid w:val="00707413"/>
    <w:rsid w:val="00707519"/>
    <w:rsid w:val="007075B6"/>
    <w:rsid w:val="007079EB"/>
    <w:rsid w:val="00707CC8"/>
    <w:rsid w:val="00707D1E"/>
    <w:rsid w:val="0071018F"/>
    <w:rsid w:val="007101A0"/>
    <w:rsid w:val="007101CE"/>
    <w:rsid w:val="007106E2"/>
    <w:rsid w:val="00710916"/>
    <w:rsid w:val="007109F7"/>
    <w:rsid w:val="00710A60"/>
    <w:rsid w:val="00710DA2"/>
    <w:rsid w:val="00710FC2"/>
    <w:rsid w:val="0071133E"/>
    <w:rsid w:val="0071141E"/>
    <w:rsid w:val="007114D4"/>
    <w:rsid w:val="007115B3"/>
    <w:rsid w:val="0071171D"/>
    <w:rsid w:val="0071199C"/>
    <w:rsid w:val="00711B26"/>
    <w:rsid w:val="00711FA8"/>
    <w:rsid w:val="00712001"/>
    <w:rsid w:val="0071240B"/>
    <w:rsid w:val="0071249E"/>
    <w:rsid w:val="007124C1"/>
    <w:rsid w:val="007125BA"/>
    <w:rsid w:val="007129F8"/>
    <w:rsid w:val="00712BA2"/>
    <w:rsid w:val="00712BA6"/>
    <w:rsid w:val="00712CEF"/>
    <w:rsid w:val="00712E91"/>
    <w:rsid w:val="00712F72"/>
    <w:rsid w:val="00713120"/>
    <w:rsid w:val="00713226"/>
    <w:rsid w:val="007132D0"/>
    <w:rsid w:val="0071353A"/>
    <w:rsid w:val="0071373C"/>
    <w:rsid w:val="0071381E"/>
    <w:rsid w:val="00713971"/>
    <w:rsid w:val="00713C13"/>
    <w:rsid w:val="00713EDC"/>
    <w:rsid w:val="00713EFA"/>
    <w:rsid w:val="00713F10"/>
    <w:rsid w:val="00714074"/>
    <w:rsid w:val="00714099"/>
    <w:rsid w:val="007145F8"/>
    <w:rsid w:val="007147A3"/>
    <w:rsid w:val="00714910"/>
    <w:rsid w:val="00714B0D"/>
    <w:rsid w:val="00714B6B"/>
    <w:rsid w:val="00714C13"/>
    <w:rsid w:val="00714CED"/>
    <w:rsid w:val="00714EC9"/>
    <w:rsid w:val="00714EE7"/>
    <w:rsid w:val="00714F49"/>
    <w:rsid w:val="00714FF2"/>
    <w:rsid w:val="00715199"/>
    <w:rsid w:val="007152EF"/>
    <w:rsid w:val="00715542"/>
    <w:rsid w:val="007155A1"/>
    <w:rsid w:val="0071564F"/>
    <w:rsid w:val="007157AB"/>
    <w:rsid w:val="00715923"/>
    <w:rsid w:val="00715EB4"/>
    <w:rsid w:val="00715F75"/>
    <w:rsid w:val="007165C8"/>
    <w:rsid w:val="00716638"/>
    <w:rsid w:val="0071670A"/>
    <w:rsid w:val="007168A9"/>
    <w:rsid w:val="00716AF8"/>
    <w:rsid w:val="00716BF5"/>
    <w:rsid w:val="00716E59"/>
    <w:rsid w:val="00716EC9"/>
    <w:rsid w:val="007176A6"/>
    <w:rsid w:val="007179F1"/>
    <w:rsid w:val="00717C21"/>
    <w:rsid w:val="00717C4D"/>
    <w:rsid w:val="00720286"/>
    <w:rsid w:val="0072062C"/>
    <w:rsid w:val="00720B81"/>
    <w:rsid w:val="00720CD8"/>
    <w:rsid w:val="007212EB"/>
    <w:rsid w:val="007214D4"/>
    <w:rsid w:val="00721B0A"/>
    <w:rsid w:val="00721C1C"/>
    <w:rsid w:val="00721D10"/>
    <w:rsid w:val="00721D21"/>
    <w:rsid w:val="007220C9"/>
    <w:rsid w:val="00722314"/>
    <w:rsid w:val="00722387"/>
    <w:rsid w:val="0072245B"/>
    <w:rsid w:val="0072253F"/>
    <w:rsid w:val="007226F7"/>
    <w:rsid w:val="0072272A"/>
    <w:rsid w:val="007229BE"/>
    <w:rsid w:val="007229BF"/>
    <w:rsid w:val="00722D80"/>
    <w:rsid w:val="00722E20"/>
    <w:rsid w:val="00722E67"/>
    <w:rsid w:val="00722E96"/>
    <w:rsid w:val="00722F8A"/>
    <w:rsid w:val="00722FCB"/>
    <w:rsid w:val="0072326B"/>
    <w:rsid w:val="00723283"/>
    <w:rsid w:val="007232F5"/>
    <w:rsid w:val="007234C7"/>
    <w:rsid w:val="00723540"/>
    <w:rsid w:val="007235DE"/>
    <w:rsid w:val="007237DE"/>
    <w:rsid w:val="0072387B"/>
    <w:rsid w:val="007238CB"/>
    <w:rsid w:val="007241B0"/>
    <w:rsid w:val="00724284"/>
    <w:rsid w:val="0072428A"/>
    <w:rsid w:val="00724436"/>
    <w:rsid w:val="0072459D"/>
    <w:rsid w:val="00724A4C"/>
    <w:rsid w:val="00724C45"/>
    <w:rsid w:val="00724FA5"/>
    <w:rsid w:val="00724FAA"/>
    <w:rsid w:val="00725226"/>
    <w:rsid w:val="00725397"/>
    <w:rsid w:val="00725B04"/>
    <w:rsid w:val="00725FEF"/>
    <w:rsid w:val="007264DB"/>
    <w:rsid w:val="00726528"/>
    <w:rsid w:val="007266D0"/>
    <w:rsid w:val="00726894"/>
    <w:rsid w:val="007269DE"/>
    <w:rsid w:val="00726CBA"/>
    <w:rsid w:val="00726CD4"/>
    <w:rsid w:val="00726D68"/>
    <w:rsid w:val="00726D80"/>
    <w:rsid w:val="00726E68"/>
    <w:rsid w:val="00726F57"/>
    <w:rsid w:val="00726FA6"/>
    <w:rsid w:val="0072719E"/>
    <w:rsid w:val="0072728B"/>
    <w:rsid w:val="0072731E"/>
    <w:rsid w:val="0072734B"/>
    <w:rsid w:val="00727526"/>
    <w:rsid w:val="0072762A"/>
    <w:rsid w:val="0072771C"/>
    <w:rsid w:val="00727747"/>
    <w:rsid w:val="0072787E"/>
    <w:rsid w:val="00727996"/>
    <w:rsid w:val="007279D1"/>
    <w:rsid w:val="00727B46"/>
    <w:rsid w:val="00727F3D"/>
    <w:rsid w:val="007300A8"/>
    <w:rsid w:val="007309A5"/>
    <w:rsid w:val="00730AC9"/>
    <w:rsid w:val="00730B9E"/>
    <w:rsid w:val="00730F4D"/>
    <w:rsid w:val="0073101C"/>
    <w:rsid w:val="00731076"/>
    <w:rsid w:val="007310A0"/>
    <w:rsid w:val="007311FC"/>
    <w:rsid w:val="00731846"/>
    <w:rsid w:val="00731D3A"/>
    <w:rsid w:val="00731D9C"/>
    <w:rsid w:val="00732040"/>
    <w:rsid w:val="007321BB"/>
    <w:rsid w:val="00732347"/>
    <w:rsid w:val="007323D5"/>
    <w:rsid w:val="007323F1"/>
    <w:rsid w:val="0073244B"/>
    <w:rsid w:val="0073261F"/>
    <w:rsid w:val="007329C7"/>
    <w:rsid w:val="00732A72"/>
    <w:rsid w:val="00732C71"/>
    <w:rsid w:val="00732C81"/>
    <w:rsid w:val="00732F71"/>
    <w:rsid w:val="007331E4"/>
    <w:rsid w:val="007331E9"/>
    <w:rsid w:val="00733308"/>
    <w:rsid w:val="007334A2"/>
    <w:rsid w:val="0073352E"/>
    <w:rsid w:val="0073364B"/>
    <w:rsid w:val="007337D6"/>
    <w:rsid w:val="007337EB"/>
    <w:rsid w:val="007338A8"/>
    <w:rsid w:val="0073393B"/>
    <w:rsid w:val="00733A12"/>
    <w:rsid w:val="00733A1A"/>
    <w:rsid w:val="00733AA6"/>
    <w:rsid w:val="00733B1F"/>
    <w:rsid w:val="00733C1C"/>
    <w:rsid w:val="00733CB6"/>
    <w:rsid w:val="00733D68"/>
    <w:rsid w:val="00733DF5"/>
    <w:rsid w:val="00734640"/>
    <w:rsid w:val="007346E8"/>
    <w:rsid w:val="007346E9"/>
    <w:rsid w:val="00734768"/>
    <w:rsid w:val="007347A8"/>
    <w:rsid w:val="007347F0"/>
    <w:rsid w:val="00734843"/>
    <w:rsid w:val="00734EAC"/>
    <w:rsid w:val="00734F65"/>
    <w:rsid w:val="00735211"/>
    <w:rsid w:val="007353F4"/>
    <w:rsid w:val="007355F0"/>
    <w:rsid w:val="00735735"/>
    <w:rsid w:val="00735ACC"/>
    <w:rsid w:val="00735D37"/>
    <w:rsid w:val="00735E6A"/>
    <w:rsid w:val="007361A4"/>
    <w:rsid w:val="00736220"/>
    <w:rsid w:val="007363AC"/>
    <w:rsid w:val="00736491"/>
    <w:rsid w:val="00736509"/>
    <w:rsid w:val="0073696D"/>
    <w:rsid w:val="007369BA"/>
    <w:rsid w:val="007371DF"/>
    <w:rsid w:val="00737783"/>
    <w:rsid w:val="00737BE4"/>
    <w:rsid w:val="00737F51"/>
    <w:rsid w:val="00740279"/>
    <w:rsid w:val="0074038B"/>
    <w:rsid w:val="00740563"/>
    <w:rsid w:val="007405BC"/>
    <w:rsid w:val="007408DC"/>
    <w:rsid w:val="00740B96"/>
    <w:rsid w:val="00740E22"/>
    <w:rsid w:val="00740F58"/>
    <w:rsid w:val="007412CD"/>
    <w:rsid w:val="007413D2"/>
    <w:rsid w:val="00741529"/>
    <w:rsid w:val="00741537"/>
    <w:rsid w:val="00741AFB"/>
    <w:rsid w:val="00741C17"/>
    <w:rsid w:val="00741E4A"/>
    <w:rsid w:val="007420D3"/>
    <w:rsid w:val="007421E7"/>
    <w:rsid w:val="00742336"/>
    <w:rsid w:val="0074276C"/>
    <w:rsid w:val="00742AAC"/>
    <w:rsid w:val="00742AAF"/>
    <w:rsid w:val="00742C0B"/>
    <w:rsid w:val="00742DFC"/>
    <w:rsid w:val="00742E7F"/>
    <w:rsid w:val="00742ED2"/>
    <w:rsid w:val="00743076"/>
    <w:rsid w:val="007430CC"/>
    <w:rsid w:val="00743233"/>
    <w:rsid w:val="0074335F"/>
    <w:rsid w:val="007433AD"/>
    <w:rsid w:val="007436D6"/>
    <w:rsid w:val="0074374A"/>
    <w:rsid w:val="00743916"/>
    <w:rsid w:val="00743AAD"/>
    <w:rsid w:val="00743C56"/>
    <w:rsid w:val="00743EE7"/>
    <w:rsid w:val="0074404F"/>
    <w:rsid w:val="0074423B"/>
    <w:rsid w:val="007442BF"/>
    <w:rsid w:val="007443C0"/>
    <w:rsid w:val="00744796"/>
    <w:rsid w:val="0074494C"/>
    <w:rsid w:val="00744A11"/>
    <w:rsid w:val="00744ACE"/>
    <w:rsid w:val="0074507B"/>
    <w:rsid w:val="007452B6"/>
    <w:rsid w:val="0074531A"/>
    <w:rsid w:val="007456BE"/>
    <w:rsid w:val="007456F2"/>
    <w:rsid w:val="007456F6"/>
    <w:rsid w:val="0074573F"/>
    <w:rsid w:val="007457C0"/>
    <w:rsid w:val="007458B0"/>
    <w:rsid w:val="00745934"/>
    <w:rsid w:val="007459AB"/>
    <w:rsid w:val="007459CC"/>
    <w:rsid w:val="007459E6"/>
    <w:rsid w:val="00745A9F"/>
    <w:rsid w:val="00745AEC"/>
    <w:rsid w:val="00745BCD"/>
    <w:rsid w:val="00745CD9"/>
    <w:rsid w:val="00745D29"/>
    <w:rsid w:val="00745DD2"/>
    <w:rsid w:val="00745DDA"/>
    <w:rsid w:val="00745E4D"/>
    <w:rsid w:val="00745EC1"/>
    <w:rsid w:val="00746083"/>
    <w:rsid w:val="00746125"/>
    <w:rsid w:val="007461D7"/>
    <w:rsid w:val="007461F9"/>
    <w:rsid w:val="00746224"/>
    <w:rsid w:val="00746611"/>
    <w:rsid w:val="00746643"/>
    <w:rsid w:val="007466B8"/>
    <w:rsid w:val="00746855"/>
    <w:rsid w:val="0074685A"/>
    <w:rsid w:val="00746F3B"/>
    <w:rsid w:val="00747127"/>
    <w:rsid w:val="00747164"/>
    <w:rsid w:val="007471CC"/>
    <w:rsid w:val="007471EA"/>
    <w:rsid w:val="007473AE"/>
    <w:rsid w:val="007473FC"/>
    <w:rsid w:val="00747425"/>
    <w:rsid w:val="00747667"/>
    <w:rsid w:val="00747A9D"/>
    <w:rsid w:val="00750402"/>
    <w:rsid w:val="007504AA"/>
    <w:rsid w:val="00750BB1"/>
    <w:rsid w:val="00751077"/>
    <w:rsid w:val="007511CA"/>
    <w:rsid w:val="00751270"/>
    <w:rsid w:val="00751731"/>
    <w:rsid w:val="00751815"/>
    <w:rsid w:val="007518C4"/>
    <w:rsid w:val="00751A32"/>
    <w:rsid w:val="00751C06"/>
    <w:rsid w:val="00751C5F"/>
    <w:rsid w:val="00751CEF"/>
    <w:rsid w:val="00751D5B"/>
    <w:rsid w:val="00751ED8"/>
    <w:rsid w:val="00751EEE"/>
    <w:rsid w:val="00751F72"/>
    <w:rsid w:val="00751F97"/>
    <w:rsid w:val="0075200F"/>
    <w:rsid w:val="00752135"/>
    <w:rsid w:val="007521C6"/>
    <w:rsid w:val="007521CA"/>
    <w:rsid w:val="007522A0"/>
    <w:rsid w:val="00752371"/>
    <w:rsid w:val="00752388"/>
    <w:rsid w:val="00752409"/>
    <w:rsid w:val="00752497"/>
    <w:rsid w:val="0075254E"/>
    <w:rsid w:val="007526BB"/>
    <w:rsid w:val="00753014"/>
    <w:rsid w:val="007532B0"/>
    <w:rsid w:val="0075344F"/>
    <w:rsid w:val="007536F8"/>
    <w:rsid w:val="00753A88"/>
    <w:rsid w:val="00753B27"/>
    <w:rsid w:val="00753BE3"/>
    <w:rsid w:val="00753BF1"/>
    <w:rsid w:val="00753D5B"/>
    <w:rsid w:val="00753ED0"/>
    <w:rsid w:val="00753FB1"/>
    <w:rsid w:val="0075437C"/>
    <w:rsid w:val="00754419"/>
    <w:rsid w:val="007544CA"/>
    <w:rsid w:val="007544FA"/>
    <w:rsid w:val="007546E8"/>
    <w:rsid w:val="007548F7"/>
    <w:rsid w:val="00754956"/>
    <w:rsid w:val="00754A0A"/>
    <w:rsid w:val="00754B00"/>
    <w:rsid w:val="00754C20"/>
    <w:rsid w:val="00754D53"/>
    <w:rsid w:val="007554C0"/>
    <w:rsid w:val="007556BA"/>
    <w:rsid w:val="00755B5D"/>
    <w:rsid w:val="00755C24"/>
    <w:rsid w:val="00755D10"/>
    <w:rsid w:val="00755D14"/>
    <w:rsid w:val="00755E36"/>
    <w:rsid w:val="00756088"/>
    <w:rsid w:val="00756109"/>
    <w:rsid w:val="007563B2"/>
    <w:rsid w:val="007565EE"/>
    <w:rsid w:val="00756810"/>
    <w:rsid w:val="00756997"/>
    <w:rsid w:val="00756F12"/>
    <w:rsid w:val="007572FC"/>
    <w:rsid w:val="007575C0"/>
    <w:rsid w:val="00757760"/>
    <w:rsid w:val="00757880"/>
    <w:rsid w:val="00757AED"/>
    <w:rsid w:val="00757B91"/>
    <w:rsid w:val="00757D42"/>
    <w:rsid w:val="00757FE1"/>
    <w:rsid w:val="00760264"/>
    <w:rsid w:val="0076038F"/>
    <w:rsid w:val="00760421"/>
    <w:rsid w:val="0076067F"/>
    <w:rsid w:val="007606E7"/>
    <w:rsid w:val="00760906"/>
    <w:rsid w:val="00760CAB"/>
    <w:rsid w:val="00760D3D"/>
    <w:rsid w:val="00760DA6"/>
    <w:rsid w:val="0076150B"/>
    <w:rsid w:val="0076178C"/>
    <w:rsid w:val="00761809"/>
    <w:rsid w:val="0076183F"/>
    <w:rsid w:val="00761BC9"/>
    <w:rsid w:val="00761F16"/>
    <w:rsid w:val="00761FA9"/>
    <w:rsid w:val="007620BA"/>
    <w:rsid w:val="007621AC"/>
    <w:rsid w:val="007621BB"/>
    <w:rsid w:val="007622CF"/>
    <w:rsid w:val="007625D2"/>
    <w:rsid w:val="007626C9"/>
    <w:rsid w:val="0076271E"/>
    <w:rsid w:val="007627F5"/>
    <w:rsid w:val="00762B1A"/>
    <w:rsid w:val="00762C0F"/>
    <w:rsid w:val="0076354A"/>
    <w:rsid w:val="0076375D"/>
    <w:rsid w:val="0076394E"/>
    <w:rsid w:val="00763989"/>
    <w:rsid w:val="00763C47"/>
    <w:rsid w:val="00763E14"/>
    <w:rsid w:val="00763F78"/>
    <w:rsid w:val="00764026"/>
    <w:rsid w:val="00764295"/>
    <w:rsid w:val="00764548"/>
    <w:rsid w:val="00764892"/>
    <w:rsid w:val="00764A2E"/>
    <w:rsid w:val="00764ACD"/>
    <w:rsid w:val="00764B96"/>
    <w:rsid w:val="00764D3F"/>
    <w:rsid w:val="00764DF6"/>
    <w:rsid w:val="00764DFC"/>
    <w:rsid w:val="0076509D"/>
    <w:rsid w:val="007651A9"/>
    <w:rsid w:val="00765320"/>
    <w:rsid w:val="007653ED"/>
    <w:rsid w:val="00765623"/>
    <w:rsid w:val="007658F2"/>
    <w:rsid w:val="0076596A"/>
    <w:rsid w:val="00765E3A"/>
    <w:rsid w:val="00765EDA"/>
    <w:rsid w:val="00765FB2"/>
    <w:rsid w:val="007662D0"/>
    <w:rsid w:val="00766467"/>
    <w:rsid w:val="00766773"/>
    <w:rsid w:val="007667DD"/>
    <w:rsid w:val="00766864"/>
    <w:rsid w:val="00766E8C"/>
    <w:rsid w:val="00766F6C"/>
    <w:rsid w:val="0076708C"/>
    <w:rsid w:val="00767165"/>
    <w:rsid w:val="007672D1"/>
    <w:rsid w:val="007679D0"/>
    <w:rsid w:val="00767BB0"/>
    <w:rsid w:val="00767D1D"/>
    <w:rsid w:val="00767D7F"/>
    <w:rsid w:val="00767F36"/>
    <w:rsid w:val="00767FAC"/>
    <w:rsid w:val="00770095"/>
    <w:rsid w:val="0077029B"/>
    <w:rsid w:val="00770337"/>
    <w:rsid w:val="00770458"/>
    <w:rsid w:val="00770463"/>
    <w:rsid w:val="007704B0"/>
    <w:rsid w:val="007704DC"/>
    <w:rsid w:val="00770BCD"/>
    <w:rsid w:val="00771061"/>
    <w:rsid w:val="007712FC"/>
    <w:rsid w:val="00771437"/>
    <w:rsid w:val="00771461"/>
    <w:rsid w:val="007717FB"/>
    <w:rsid w:val="007718FD"/>
    <w:rsid w:val="00771947"/>
    <w:rsid w:val="00771958"/>
    <w:rsid w:val="007719E4"/>
    <w:rsid w:val="00771A8D"/>
    <w:rsid w:val="00771AC6"/>
    <w:rsid w:val="00771C08"/>
    <w:rsid w:val="00771D83"/>
    <w:rsid w:val="00771F63"/>
    <w:rsid w:val="00772022"/>
    <w:rsid w:val="007720C8"/>
    <w:rsid w:val="007722DD"/>
    <w:rsid w:val="00772523"/>
    <w:rsid w:val="0077265B"/>
    <w:rsid w:val="00772904"/>
    <w:rsid w:val="007729DA"/>
    <w:rsid w:val="00772AFC"/>
    <w:rsid w:val="00772F6B"/>
    <w:rsid w:val="00773065"/>
    <w:rsid w:val="0077311F"/>
    <w:rsid w:val="00773217"/>
    <w:rsid w:val="00773247"/>
    <w:rsid w:val="007736FD"/>
    <w:rsid w:val="007738AA"/>
    <w:rsid w:val="00773987"/>
    <w:rsid w:val="00773B2C"/>
    <w:rsid w:val="00773BE8"/>
    <w:rsid w:val="00773DF0"/>
    <w:rsid w:val="00774018"/>
    <w:rsid w:val="0077414A"/>
    <w:rsid w:val="00774276"/>
    <w:rsid w:val="00774361"/>
    <w:rsid w:val="0077445F"/>
    <w:rsid w:val="007744D9"/>
    <w:rsid w:val="00774515"/>
    <w:rsid w:val="007745D2"/>
    <w:rsid w:val="0077462D"/>
    <w:rsid w:val="00774637"/>
    <w:rsid w:val="007746E1"/>
    <w:rsid w:val="00774836"/>
    <w:rsid w:val="007748AF"/>
    <w:rsid w:val="00774909"/>
    <w:rsid w:val="00774925"/>
    <w:rsid w:val="00774BF9"/>
    <w:rsid w:val="00774E6C"/>
    <w:rsid w:val="00775162"/>
    <w:rsid w:val="007752C9"/>
    <w:rsid w:val="00775318"/>
    <w:rsid w:val="00775525"/>
    <w:rsid w:val="007755D2"/>
    <w:rsid w:val="007758BB"/>
    <w:rsid w:val="00775B6D"/>
    <w:rsid w:val="00775CCE"/>
    <w:rsid w:val="00775D91"/>
    <w:rsid w:val="00775E51"/>
    <w:rsid w:val="00776086"/>
    <w:rsid w:val="007761EC"/>
    <w:rsid w:val="00776287"/>
    <w:rsid w:val="007766D9"/>
    <w:rsid w:val="00776781"/>
    <w:rsid w:val="00776830"/>
    <w:rsid w:val="00776900"/>
    <w:rsid w:val="007769D1"/>
    <w:rsid w:val="00776A1D"/>
    <w:rsid w:val="00776D2D"/>
    <w:rsid w:val="00776D82"/>
    <w:rsid w:val="00776E9E"/>
    <w:rsid w:val="00776FA1"/>
    <w:rsid w:val="00777018"/>
    <w:rsid w:val="0077709F"/>
    <w:rsid w:val="007771D9"/>
    <w:rsid w:val="00777299"/>
    <w:rsid w:val="007773F0"/>
    <w:rsid w:val="0077756F"/>
    <w:rsid w:val="00777656"/>
    <w:rsid w:val="00777689"/>
    <w:rsid w:val="0077787E"/>
    <w:rsid w:val="00777B37"/>
    <w:rsid w:val="00777BBD"/>
    <w:rsid w:val="00777C4C"/>
    <w:rsid w:val="00777CA4"/>
    <w:rsid w:val="00777DD3"/>
    <w:rsid w:val="00777FE7"/>
    <w:rsid w:val="007804F3"/>
    <w:rsid w:val="007809CA"/>
    <w:rsid w:val="00780AD5"/>
    <w:rsid w:val="00780B66"/>
    <w:rsid w:val="00780BFD"/>
    <w:rsid w:val="00780CCC"/>
    <w:rsid w:val="00780E31"/>
    <w:rsid w:val="00781039"/>
    <w:rsid w:val="00781074"/>
    <w:rsid w:val="007810FC"/>
    <w:rsid w:val="00781270"/>
    <w:rsid w:val="0078131C"/>
    <w:rsid w:val="007813C8"/>
    <w:rsid w:val="00781438"/>
    <w:rsid w:val="00781740"/>
    <w:rsid w:val="0078174B"/>
    <w:rsid w:val="00781CBF"/>
    <w:rsid w:val="00781D5D"/>
    <w:rsid w:val="00781DB0"/>
    <w:rsid w:val="00781F04"/>
    <w:rsid w:val="00781F0E"/>
    <w:rsid w:val="00781FA7"/>
    <w:rsid w:val="00782196"/>
    <w:rsid w:val="00782247"/>
    <w:rsid w:val="007822D1"/>
    <w:rsid w:val="0078235A"/>
    <w:rsid w:val="00782563"/>
    <w:rsid w:val="00782AC8"/>
    <w:rsid w:val="00782C74"/>
    <w:rsid w:val="00782CF8"/>
    <w:rsid w:val="00782E16"/>
    <w:rsid w:val="00782FA5"/>
    <w:rsid w:val="00782FA6"/>
    <w:rsid w:val="00782FF8"/>
    <w:rsid w:val="00783142"/>
    <w:rsid w:val="00783384"/>
    <w:rsid w:val="00783489"/>
    <w:rsid w:val="00783778"/>
    <w:rsid w:val="007837F2"/>
    <w:rsid w:val="0078389E"/>
    <w:rsid w:val="007839FF"/>
    <w:rsid w:val="00783A87"/>
    <w:rsid w:val="00783AFF"/>
    <w:rsid w:val="00783CCC"/>
    <w:rsid w:val="00783E40"/>
    <w:rsid w:val="00783EE7"/>
    <w:rsid w:val="00784621"/>
    <w:rsid w:val="00784807"/>
    <w:rsid w:val="007848BD"/>
    <w:rsid w:val="00784A5D"/>
    <w:rsid w:val="00784C41"/>
    <w:rsid w:val="00784E04"/>
    <w:rsid w:val="00784FE4"/>
    <w:rsid w:val="0078502A"/>
    <w:rsid w:val="0078553E"/>
    <w:rsid w:val="00785645"/>
    <w:rsid w:val="0078579E"/>
    <w:rsid w:val="007857EA"/>
    <w:rsid w:val="00785AB7"/>
    <w:rsid w:val="00785B96"/>
    <w:rsid w:val="00785ED0"/>
    <w:rsid w:val="00786104"/>
    <w:rsid w:val="007861D8"/>
    <w:rsid w:val="00786278"/>
    <w:rsid w:val="007864E3"/>
    <w:rsid w:val="00786616"/>
    <w:rsid w:val="00786691"/>
    <w:rsid w:val="0078676E"/>
    <w:rsid w:val="007867BC"/>
    <w:rsid w:val="007868CB"/>
    <w:rsid w:val="00786BE4"/>
    <w:rsid w:val="00786DA3"/>
    <w:rsid w:val="00786F15"/>
    <w:rsid w:val="00786FAE"/>
    <w:rsid w:val="00787006"/>
    <w:rsid w:val="00787037"/>
    <w:rsid w:val="007870B7"/>
    <w:rsid w:val="00787435"/>
    <w:rsid w:val="007874B4"/>
    <w:rsid w:val="007874B6"/>
    <w:rsid w:val="007874FE"/>
    <w:rsid w:val="00787526"/>
    <w:rsid w:val="00787790"/>
    <w:rsid w:val="0078788F"/>
    <w:rsid w:val="00787E0B"/>
    <w:rsid w:val="00787EA3"/>
    <w:rsid w:val="00790006"/>
    <w:rsid w:val="00790074"/>
    <w:rsid w:val="00790136"/>
    <w:rsid w:val="0079021B"/>
    <w:rsid w:val="00790457"/>
    <w:rsid w:val="00790658"/>
    <w:rsid w:val="007906D4"/>
    <w:rsid w:val="00790E8D"/>
    <w:rsid w:val="00790EB4"/>
    <w:rsid w:val="00790ED4"/>
    <w:rsid w:val="00790FCA"/>
    <w:rsid w:val="00791072"/>
    <w:rsid w:val="00791123"/>
    <w:rsid w:val="0079134E"/>
    <w:rsid w:val="0079147C"/>
    <w:rsid w:val="007915E3"/>
    <w:rsid w:val="007917FF"/>
    <w:rsid w:val="00791949"/>
    <w:rsid w:val="00791ABD"/>
    <w:rsid w:val="00791C3F"/>
    <w:rsid w:val="00791C51"/>
    <w:rsid w:val="00791DF7"/>
    <w:rsid w:val="00792192"/>
    <w:rsid w:val="007921C1"/>
    <w:rsid w:val="0079242B"/>
    <w:rsid w:val="007924D3"/>
    <w:rsid w:val="007924F6"/>
    <w:rsid w:val="0079256B"/>
    <w:rsid w:val="00792580"/>
    <w:rsid w:val="00792723"/>
    <w:rsid w:val="007929BD"/>
    <w:rsid w:val="00792C78"/>
    <w:rsid w:val="00792D98"/>
    <w:rsid w:val="00792EDA"/>
    <w:rsid w:val="00792EE0"/>
    <w:rsid w:val="007931B2"/>
    <w:rsid w:val="0079347B"/>
    <w:rsid w:val="0079359E"/>
    <w:rsid w:val="0079364E"/>
    <w:rsid w:val="007937BF"/>
    <w:rsid w:val="00793856"/>
    <w:rsid w:val="00793864"/>
    <w:rsid w:val="0079390A"/>
    <w:rsid w:val="00793CE6"/>
    <w:rsid w:val="00793D62"/>
    <w:rsid w:val="00793F85"/>
    <w:rsid w:val="007940D5"/>
    <w:rsid w:val="007940ED"/>
    <w:rsid w:val="00794173"/>
    <w:rsid w:val="007941D9"/>
    <w:rsid w:val="00794C5B"/>
    <w:rsid w:val="00794F3F"/>
    <w:rsid w:val="00794FD7"/>
    <w:rsid w:val="00795034"/>
    <w:rsid w:val="0079520C"/>
    <w:rsid w:val="00795238"/>
    <w:rsid w:val="0079529A"/>
    <w:rsid w:val="007953CD"/>
    <w:rsid w:val="007954C2"/>
    <w:rsid w:val="007954CA"/>
    <w:rsid w:val="00795650"/>
    <w:rsid w:val="007957BA"/>
    <w:rsid w:val="007957C0"/>
    <w:rsid w:val="007959BC"/>
    <w:rsid w:val="007959FD"/>
    <w:rsid w:val="007959FE"/>
    <w:rsid w:val="00795A9F"/>
    <w:rsid w:val="00795E2E"/>
    <w:rsid w:val="00796085"/>
    <w:rsid w:val="0079632D"/>
    <w:rsid w:val="0079649F"/>
    <w:rsid w:val="0079657D"/>
    <w:rsid w:val="007968E1"/>
    <w:rsid w:val="007969C8"/>
    <w:rsid w:val="00796A2B"/>
    <w:rsid w:val="00796B20"/>
    <w:rsid w:val="00796D64"/>
    <w:rsid w:val="0079743E"/>
    <w:rsid w:val="00797562"/>
    <w:rsid w:val="0079757B"/>
    <w:rsid w:val="007978A1"/>
    <w:rsid w:val="00797A49"/>
    <w:rsid w:val="00797B76"/>
    <w:rsid w:val="00797D3A"/>
    <w:rsid w:val="00797D84"/>
    <w:rsid w:val="007A0022"/>
    <w:rsid w:val="007A0081"/>
    <w:rsid w:val="007A00D1"/>
    <w:rsid w:val="007A00E9"/>
    <w:rsid w:val="007A0555"/>
    <w:rsid w:val="007A0880"/>
    <w:rsid w:val="007A0B9E"/>
    <w:rsid w:val="007A0C64"/>
    <w:rsid w:val="007A1000"/>
    <w:rsid w:val="007A10C5"/>
    <w:rsid w:val="007A128D"/>
    <w:rsid w:val="007A15EF"/>
    <w:rsid w:val="007A1759"/>
    <w:rsid w:val="007A17B2"/>
    <w:rsid w:val="007A1981"/>
    <w:rsid w:val="007A1A2F"/>
    <w:rsid w:val="007A1AC3"/>
    <w:rsid w:val="007A1D7C"/>
    <w:rsid w:val="007A1EF3"/>
    <w:rsid w:val="007A214B"/>
    <w:rsid w:val="007A2159"/>
    <w:rsid w:val="007A2286"/>
    <w:rsid w:val="007A229D"/>
    <w:rsid w:val="007A243F"/>
    <w:rsid w:val="007A2650"/>
    <w:rsid w:val="007A26DD"/>
    <w:rsid w:val="007A281B"/>
    <w:rsid w:val="007A28F0"/>
    <w:rsid w:val="007A2BCC"/>
    <w:rsid w:val="007A2BF8"/>
    <w:rsid w:val="007A2C32"/>
    <w:rsid w:val="007A336C"/>
    <w:rsid w:val="007A33B2"/>
    <w:rsid w:val="007A3626"/>
    <w:rsid w:val="007A36A8"/>
    <w:rsid w:val="007A37D6"/>
    <w:rsid w:val="007A37FC"/>
    <w:rsid w:val="007A3B23"/>
    <w:rsid w:val="007A3B83"/>
    <w:rsid w:val="007A3BC5"/>
    <w:rsid w:val="007A3D49"/>
    <w:rsid w:val="007A3D56"/>
    <w:rsid w:val="007A3D96"/>
    <w:rsid w:val="007A3DBA"/>
    <w:rsid w:val="007A4002"/>
    <w:rsid w:val="007A42A1"/>
    <w:rsid w:val="007A4511"/>
    <w:rsid w:val="007A4565"/>
    <w:rsid w:val="007A469D"/>
    <w:rsid w:val="007A4895"/>
    <w:rsid w:val="007A48C0"/>
    <w:rsid w:val="007A4924"/>
    <w:rsid w:val="007A494A"/>
    <w:rsid w:val="007A4C8F"/>
    <w:rsid w:val="007A4D99"/>
    <w:rsid w:val="007A4E98"/>
    <w:rsid w:val="007A4F10"/>
    <w:rsid w:val="007A54F3"/>
    <w:rsid w:val="007A5586"/>
    <w:rsid w:val="007A577E"/>
    <w:rsid w:val="007A5861"/>
    <w:rsid w:val="007A5894"/>
    <w:rsid w:val="007A5A16"/>
    <w:rsid w:val="007A5A98"/>
    <w:rsid w:val="007A5B56"/>
    <w:rsid w:val="007A5FEF"/>
    <w:rsid w:val="007A60AE"/>
    <w:rsid w:val="007A610B"/>
    <w:rsid w:val="007A6168"/>
    <w:rsid w:val="007A6252"/>
    <w:rsid w:val="007A6298"/>
    <w:rsid w:val="007A63B8"/>
    <w:rsid w:val="007A642C"/>
    <w:rsid w:val="007A6449"/>
    <w:rsid w:val="007A6534"/>
    <w:rsid w:val="007A66CD"/>
    <w:rsid w:val="007A6891"/>
    <w:rsid w:val="007A6AF8"/>
    <w:rsid w:val="007A6D89"/>
    <w:rsid w:val="007A7101"/>
    <w:rsid w:val="007A7286"/>
    <w:rsid w:val="007A73BA"/>
    <w:rsid w:val="007A7593"/>
    <w:rsid w:val="007A7600"/>
    <w:rsid w:val="007A7868"/>
    <w:rsid w:val="007A7BB2"/>
    <w:rsid w:val="007A7BD1"/>
    <w:rsid w:val="007A7E04"/>
    <w:rsid w:val="007B0014"/>
    <w:rsid w:val="007B02D8"/>
    <w:rsid w:val="007B032F"/>
    <w:rsid w:val="007B0569"/>
    <w:rsid w:val="007B0873"/>
    <w:rsid w:val="007B0954"/>
    <w:rsid w:val="007B09D8"/>
    <w:rsid w:val="007B0BBD"/>
    <w:rsid w:val="007B0CF4"/>
    <w:rsid w:val="007B1198"/>
    <w:rsid w:val="007B152B"/>
    <w:rsid w:val="007B174C"/>
    <w:rsid w:val="007B1928"/>
    <w:rsid w:val="007B1A89"/>
    <w:rsid w:val="007B1B10"/>
    <w:rsid w:val="007B1CBC"/>
    <w:rsid w:val="007B1E3D"/>
    <w:rsid w:val="007B1EBC"/>
    <w:rsid w:val="007B1F00"/>
    <w:rsid w:val="007B1F70"/>
    <w:rsid w:val="007B2093"/>
    <w:rsid w:val="007B2392"/>
    <w:rsid w:val="007B24C3"/>
    <w:rsid w:val="007B2537"/>
    <w:rsid w:val="007B2556"/>
    <w:rsid w:val="007B25A7"/>
    <w:rsid w:val="007B263E"/>
    <w:rsid w:val="007B2691"/>
    <w:rsid w:val="007B2967"/>
    <w:rsid w:val="007B29A7"/>
    <w:rsid w:val="007B29D0"/>
    <w:rsid w:val="007B2B32"/>
    <w:rsid w:val="007B2B4B"/>
    <w:rsid w:val="007B2CC9"/>
    <w:rsid w:val="007B2D84"/>
    <w:rsid w:val="007B2DE4"/>
    <w:rsid w:val="007B2F21"/>
    <w:rsid w:val="007B32C5"/>
    <w:rsid w:val="007B337C"/>
    <w:rsid w:val="007B3423"/>
    <w:rsid w:val="007B3602"/>
    <w:rsid w:val="007B364E"/>
    <w:rsid w:val="007B382A"/>
    <w:rsid w:val="007B39FF"/>
    <w:rsid w:val="007B3D16"/>
    <w:rsid w:val="007B3DB7"/>
    <w:rsid w:val="007B3EE0"/>
    <w:rsid w:val="007B4054"/>
    <w:rsid w:val="007B4179"/>
    <w:rsid w:val="007B41CF"/>
    <w:rsid w:val="007B42D9"/>
    <w:rsid w:val="007B45BF"/>
    <w:rsid w:val="007B463B"/>
    <w:rsid w:val="007B4748"/>
    <w:rsid w:val="007B4AF7"/>
    <w:rsid w:val="007B4EA2"/>
    <w:rsid w:val="007B504F"/>
    <w:rsid w:val="007B543C"/>
    <w:rsid w:val="007B5505"/>
    <w:rsid w:val="007B57EA"/>
    <w:rsid w:val="007B5908"/>
    <w:rsid w:val="007B5AF7"/>
    <w:rsid w:val="007B5BCE"/>
    <w:rsid w:val="007B5DA8"/>
    <w:rsid w:val="007B5DE8"/>
    <w:rsid w:val="007B611A"/>
    <w:rsid w:val="007B6377"/>
    <w:rsid w:val="007B65F7"/>
    <w:rsid w:val="007B6A9C"/>
    <w:rsid w:val="007B6C7A"/>
    <w:rsid w:val="007B6D73"/>
    <w:rsid w:val="007B6EA0"/>
    <w:rsid w:val="007B6F2C"/>
    <w:rsid w:val="007B70F7"/>
    <w:rsid w:val="007B7111"/>
    <w:rsid w:val="007B739E"/>
    <w:rsid w:val="007B74DD"/>
    <w:rsid w:val="007B7806"/>
    <w:rsid w:val="007B7ABF"/>
    <w:rsid w:val="007B7D49"/>
    <w:rsid w:val="007B7DE0"/>
    <w:rsid w:val="007C0084"/>
    <w:rsid w:val="007C01E1"/>
    <w:rsid w:val="007C02F4"/>
    <w:rsid w:val="007C05D8"/>
    <w:rsid w:val="007C05E8"/>
    <w:rsid w:val="007C0684"/>
    <w:rsid w:val="007C068E"/>
    <w:rsid w:val="007C0AED"/>
    <w:rsid w:val="007C0BF6"/>
    <w:rsid w:val="007C0E12"/>
    <w:rsid w:val="007C0F22"/>
    <w:rsid w:val="007C0F90"/>
    <w:rsid w:val="007C0FF7"/>
    <w:rsid w:val="007C1161"/>
    <w:rsid w:val="007C11A3"/>
    <w:rsid w:val="007C11AD"/>
    <w:rsid w:val="007C130A"/>
    <w:rsid w:val="007C13A5"/>
    <w:rsid w:val="007C13DF"/>
    <w:rsid w:val="007C149D"/>
    <w:rsid w:val="007C14C6"/>
    <w:rsid w:val="007C14E1"/>
    <w:rsid w:val="007C169D"/>
    <w:rsid w:val="007C1790"/>
    <w:rsid w:val="007C179A"/>
    <w:rsid w:val="007C1B7E"/>
    <w:rsid w:val="007C1C42"/>
    <w:rsid w:val="007C1E2B"/>
    <w:rsid w:val="007C1EA6"/>
    <w:rsid w:val="007C1EBB"/>
    <w:rsid w:val="007C1F69"/>
    <w:rsid w:val="007C1F6C"/>
    <w:rsid w:val="007C219B"/>
    <w:rsid w:val="007C222A"/>
    <w:rsid w:val="007C2357"/>
    <w:rsid w:val="007C242A"/>
    <w:rsid w:val="007C24EF"/>
    <w:rsid w:val="007C319F"/>
    <w:rsid w:val="007C3355"/>
    <w:rsid w:val="007C33BE"/>
    <w:rsid w:val="007C343F"/>
    <w:rsid w:val="007C355F"/>
    <w:rsid w:val="007C3684"/>
    <w:rsid w:val="007C37B2"/>
    <w:rsid w:val="007C3888"/>
    <w:rsid w:val="007C3A0A"/>
    <w:rsid w:val="007C3B24"/>
    <w:rsid w:val="007C4048"/>
    <w:rsid w:val="007C423D"/>
    <w:rsid w:val="007C43EC"/>
    <w:rsid w:val="007C4650"/>
    <w:rsid w:val="007C47C5"/>
    <w:rsid w:val="007C482A"/>
    <w:rsid w:val="007C48E7"/>
    <w:rsid w:val="007C492D"/>
    <w:rsid w:val="007C492E"/>
    <w:rsid w:val="007C4CFB"/>
    <w:rsid w:val="007C4D70"/>
    <w:rsid w:val="007C4EEA"/>
    <w:rsid w:val="007C53AF"/>
    <w:rsid w:val="007C563E"/>
    <w:rsid w:val="007C5AA0"/>
    <w:rsid w:val="007C5BA5"/>
    <w:rsid w:val="007C5BE5"/>
    <w:rsid w:val="007C5E76"/>
    <w:rsid w:val="007C643A"/>
    <w:rsid w:val="007C64B1"/>
    <w:rsid w:val="007C65A1"/>
    <w:rsid w:val="007C6897"/>
    <w:rsid w:val="007C6974"/>
    <w:rsid w:val="007C6BDA"/>
    <w:rsid w:val="007C702A"/>
    <w:rsid w:val="007C7294"/>
    <w:rsid w:val="007C73F6"/>
    <w:rsid w:val="007C7484"/>
    <w:rsid w:val="007C7794"/>
    <w:rsid w:val="007C78CC"/>
    <w:rsid w:val="007C7A4F"/>
    <w:rsid w:val="007C7BB9"/>
    <w:rsid w:val="007C7C0F"/>
    <w:rsid w:val="007C7C88"/>
    <w:rsid w:val="007C7CD9"/>
    <w:rsid w:val="007C7FA1"/>
    <w:rsid w:val="007D03AE"/>
    <w:rsid w:val="007D0599"/>
    <w:rsid w:val="007D0803"/>
    <w:rsid w:val="007D0A1E"/>
    <w:rsid w:val="007D0A9E"/>
    <w:rsid w:val="007D0C0D"/>
    <w:rsid w:val="007D0C1E"/>
    <w:rsid w:val="007D0DBB"/>
    <w:rsid w:val="007D0DEE"/>
    <w:rsid w:val="007D0DFF"/>
    <w:rsid w:val="007D0F9A"/>
    <w:rsid w:val="007D11C6"/>
    <w:rsid w:val="007D1303"/>
    <w:rsid w:val="007D1384"/>
    <w:rsid w:val="007D1630"/>
    <w:rsid w:val="007D17EF"/>
    <w:rsid w:val="007D19F9"/>
    <w:rsid w:val="007D1B61"/>
    <w:rsid w:val="007D215F"/>
    <w:rsid w:val="007D22AB"/>
    <w:rsid w:val="007D22D3"/>
    <w:rsid w:val="007D24F8"/>
    <w:rsid w:val="007D2527"/>
    <w:rsid w:val="007D253C"/>
    <w:rsid w:val="007D25C4"/>
    <w:rsid w:val="007D26BC"/>
    <w:rsid w:val="007D2710"/>
    <w:rsid w:val="007D27AB"/>
    <w:rsid w:val="007D2AF7"/>
    <w:rsid w:val="007D2B68"/>
    <w:rsid w:val="007D2D72"/>
    <w:rsid w:val="007D2E26"/>
    <w:rsid w:val="007D347F"/>
    <w:rsid w:val="007D363B"/>
    <w:rsid w:val="007D3726"/>
    <w:rsid w:val="007D3CE1"/>
    <w:rsid w:val="007D3ECD"/>
    <w:rsid w:val="007D3F47"/>
    <w:rsid w:val="007D3FE6"/>
    <w:rsid w:val="007D4150"/>
    <w:rsid w:val="007D41D3"/>
    <w:rsid w:val="007D41F7"/>
    <w:rsid w:val="007D424C"/>
    <w:rsid w:val="007D4362"/>
    <w:rsid w:val="007D447A"/>
    <w:rsid w:val="007D4575"/>
    <w:rsid w:val="007D470B"/>
    <w:rsid w:val="007D47EE"/>
    <w:rsid w:val="007D486C"/>
    <w:rsid w:val="007D49AA"/>
    <w:rsid w:val="007D4BE5"/>
    <w:rsid w:val="007D4BE9"/>
    <w:rsid w:val="007D4ED7"/>
    <w:rsid w:val="007D505E"/>
    <w:rsid w:val="007D50CE"/>
    <w:rsid w:val="007D51F8"/>
    <w:rsid w:val="007D53A3"/>
    <w:rsid w:val="007D5921"/>
    <w:rsid w:val="007D599E"/>
    <w:rsid w:val="007D59BA"/>
    <w:rsid w:val="007D5D0C"/>
    <w:rsid w:val="007D5E3D"/>
    <w:rsid w:val="007D5FA2"/>
    <w:rsid w:val="007D65AB"/>
    <w:rsid w:val="007D65CF"/>
    <w:rsid w:val="007D679D"/>
    <w:rsid w:val="007D6833"/>
    <w:rsid w:val="007D7007"/>
    <w:rsid w:val="007D7092"/>
    <w:rsid w:val="007D70C5"/>
    <w:rsid w:val="007D70DE"/>
    <w:rsid w:val="007D7210"/>
    <w:rsid w:val="007D73EB"/>
    <w:rsid w:val="007D7621"/>
    <w:rsid w:val="007D7BB3"/>
    <w:rsid w:val="007D7EF0"/>
    <w:rsid w:val="007D7F46"/>
    <w:rsid w:val="007E00E0"/>
    <w:rsid w:val="007E0279"/>
    <w:rsid w:val="007E0465"/>
    <w:rsid w:val="007E04F4"/>
    <w:rsid w:val="007E0780"/>
    <w:rsid w:val="007E0875"/>
    <w:rsid w:val="007E0A52"/>
    <w:rsid w:val="007E0BF2"/>
    <w:rsid w:val="007E0E50"/>
    <w:rsid w:val="007E0EA4"/>
    <w:rsid w:val="007E0FCE"/>
    <w:rsid w:val="007E0FF1"/>
    <w:rsid w:val="007E104E"/>
    <w:rsid w:val="007E1058"/>
    <w:rsid w:val="007E11C8"/>
    <w:rsid w:val="007E1247"/>
    <w:rsid w:val="007E1357"/>
    <w:rsid w:val="007E14AC"/>
    <w:rsid w:val="007E1542"/>
    <w:rsid w:val="007E17B2"/>
    <w:rsid w:val="007E1852"/>
    <w:rsid w:val="007E1A87"/>
    <w:rsid w:val="007E1C35"/>
    <w:rsid w:val="007E1D79"/>
    <w:rsid w:val="007E1EE4"/>
    <w:rsid w:val="007E23F8"/>
    <w:rsid w:val="007E26AB"/>
    <w:rsid w:val="007E2781"/>
    <w:rsid w:val="007E2800"/>
    <w:rsid w:val="007E28D6"/>
    <w:rsid w:val="007E2940"/>
    <w:rsid w:val="007E2A68"/>
    <w:rsid w:val="007E2E3D"/>
    <w:rsid w:val="007E2ECE"/>
    <w:rsid w:val="007E2FF9"/>
    <w:rsid w:val="007E30CF"/>
    <w:rsid w:val="007E368F"/>
    <w:rsid w:val="007E3DF6"/>
    <w:rsid w:val="007E41CF"/>
    <w:rsid w:val="007E4308"/>
    <w:rsid w:val="007E438A"/>
    <w:rsid w:val="007E44DB"/>
    <w:rsid w:val="007E44E1"/>
    <w:rsid w:val="007E44E2"/>
    <w:rsid w:val="007E4C69"/>
    <w:rsid w:val="007E4CF3"/>
    <w:rsid w:val="007E4E52"/>
    <w:rsid w:val="007E50C9"/>
    <w:rsid w:val="007E5338"/>
    <w:rsid w:val="007E577C"/>
    <w:rsid w:val="007E58CB"/>
    <w:rsid w:val="007E59BB"/>
    <w:rsid w:val="007E5AB4"/>
    <w:rsid w:val="007E5DEF"/>
    <w:rsid w:val="007E5F0B"/>
    <w:rsid w:val="007E6090"/>
    <w:rsid w:val="007E62B5"/>
    <w:rsid w:val="007E631B"/>
    <w:rsid w:val="007E633C"/>
    <w:rsid w:val="007E65F9"/>
    <w:rsid w:val="007E6679"/>
    <w:rsid w:val="007E668F"/>
    <w:rsid w:val="007E6945"/>
    <w:rsid w:val="007E6966"/>
    <w:rsid w:val="007E69ED"/>
    <w:rsid w:val="007E6BF3"/>
    <w:rsid w:val="007E6CC0"/>
    <w:rsid w:val="007E7129"/>
    <w:rsid w:val="007E7409"/>
    <w:rsid w:val="007E7485"/>
    <w:rsid w:val="007E74A6"/>
    <w:rsid w:val="007E7633"/>
    <w:rsid w:val="007E7C3C"/>
    <w:rsid w:val="007F049F"/>
    <w:rsid w:val="007F04E7"/>
    <w:rsid w:val="007F05DC"/>
    <w:rsid w:val="007F068C"/>
    <w:rsid w:val="007F06D3"/>
    <w:rsid w:val="007F06F0"/>
    <w:rsid w:val="007F0807"/>
    <w:rsid w:val="007F0CE0"/>
    <w:rsid w:val="007F0E12"/>
    <w:rsid w:val="007F0F0E"/>
    <w:rsid w:val="007F0F29"/>
    <w:rsid w:val="007F11F8"/>
    <w:rsid w:val="007F1214"/>
    <w:rsid w:val="007F130D"/>
    <w:rsid w:val="007F134E"/>
    <w:rsid w:val="007F1386"/>
    <w:rsid w:val="007F1456"/>
    <w:rsid w:val="007F151C"/>
    <w:rsid w:val="007F1A8A"/>
    <w:rsid w:val="007F1BB4"/>
    <w:rsid w:val="007F1E64"/>
    <w:rsid w:val="007F1F83"/>
    <w:rsid w:val="007F1FD8"/>
    <w:rsid w:val="007F1FE5"/>
    <w:rsid w:val="007F2116"/>
    <w:rsid w:val="007F21D8"/>
    <w:rsid w:val="007F23C5"/>
    <w:rsid w:val="007F2864"/>
    <w:rsid w:val="007F2D7D"/>
    <w:rsid w:val="007F3050"/>
    <w:rsid w:val="007F3170"/>
    <w:rsid w:val="007F3326"/>
    <w:rsid w:val="007F3358"/>
    <w:rsid w:val="007F3862"/>
    <w:rsid w:val="007F39BE"/>
    <w:rsid w:val="007F3B81"/>
    <w:rsid w:val="007F3D7B"/>
    <w:rsid w:val="007F3E50"/>
    <w:rsid w:val="007F4183"/>
    <w:rsid w:val="007F442A"/>
    <w:rsid w:val="007F47B0"/>
    <w:rsid w:val="007F4808"/>
    <w:rsid w:val="007F4888"/>
    <w:rsid w:val="007F4910"/>
    <w:rsid w:val="007F49CA"/>
    <w:rsid w:val="007F4A5A"/>
    <w:rsid w:val="007F4B39"/>
    <w:rsid w:val="007F4D81"/>
    <w:rsid w:val="007F4D96"/>
    <w:rsid w:val="007F4E3D"/>
    <w:rsid w:val="007F5059"/>
    <w:rsid w:val="007F5801"/>
    <w:rsid w:val="007F5C06"/>
    <w:rsid w:val="007F5C10"/>
    <w:rsid w:val="007F5C28"/>
    <w:rsid w:val="007F5CFE"/>
    <w:rsid w:val="007F5D3E"/>
    <w:rsid w:val="007F5EE2"/>
    <w:rsid w:val="007F60FA"/>
    <w:rsid w:val="007F6122"/>
    <w:rsid w:val="007F61DD"/>
    <w:rsid w:val="007F64EA"/>
    <w:rsid w:val="007F6514"/>
    <w:rsid w:val="007F6608"/>
    <w:rsid w:val="007F6760"/>
    <w:rsid w:val="007F684C"/>
    <w:rsid w:val="007F6A4A"/>
    <w:rsid w:val="007F6A7E"/>
    <w:rsid w:val="007F6E74"/>
    <w:rsid w:val="007F6F55"/>
    <w:rsid w:val="007F7102"/>
    <w:rsid w:val="007F7431"/>
    <w:rsid w:val="007F7433"/>
    <w:rsid w:val="007F7439"/>
    <w:rsid w:val="007F751A"/>
    <w:rsid w:val="007F7540"/>
    <w:rsid w:val="007F7868"/>
    <w:rsid w:val="007F7972"/>
    <w:rsid w:val="007F7AC8"/>
    <w:rsid w:val="007F7BAA"/>
    <w:rsid w:val="007F7CA0"/>
    <w:rsid w:val="007F7E66"/>
    <w:rsid w:val="007F7F0E"/>
    <w:rsid w:val="007F7F24"/>
    <w:rsid w:val="00800000"/>
    <w:rsid w:val="00800121"/>
    <w:rsid w:val="008003F4"/>
    <w:rsid w:val="00800429"/>
    <w:rsid w:val="00800588"/>
    <w:rsid w:val="008009C8"/>
    <w:rsid w:val="00800A59"/>
    <w:rsid w:val="00800CA0"/>
    <w:rsid w:val="00800D0F"/>
    <w:rsid w:val="00800EF4"/>
    <w:rsid w:val="00800F74"/>
    <w:rsid w:val="0080110F"/>
    <w:rsid w:val="008012DB"/>
    <w:rsid w:val="00801424"/>
    <w:rsid w:val="0080144D"/>
    <w:rsid w:val="00801451"/>
    <w:rsid w:val="008014EE"/>
    <w:rsid w:val="008017EF"/>
    <w:rsid w:val="00801868"/>
    <w:rsid w:val="00801B0C"/>
    <w:rsid w:val="00801B10"/>
    <w:rsid w:val="00801B3A"/>
    <w:rsid w:val="00801C01"/>
    <w:rsid w:val="00801F7D"/>
    <w:rsid w:val="00802139"/>
    <w:rsid w:val="008024A7"/>
    <w:rsid w:val="00802AA7"/>
    <w:rsid w:val="00802B8F"/>
    <w:rsid w:val="00802DBA"/>
    <w:rsid w:val="008031C3"/>
    <w:rsid w:val="00803215"/>
    <w:rsid w:val="00803492"/>
    <w:rsid w:val="0080350E"/>
    <w:rsid w:val="008035C2"/>
    <w:rsid w:val="008035C8"/>
    <w:rsid w:val="00803ECA"/>
    <w:rsid w:val="0080421A"/>
    <w:rsid w:val="008042BA"/>
    <w:rsid w:val="008042C4"/>
    <w:rsid w:val="008042FD"/>
    <w:rsid w:val="00804361"/>
    <w:rsid w:val="00804409"/>
    <w:rsid w:val="00804554"/>
    <w:rsid w:val="00804570"/>
    <w:rsid w:val="00804689"/>
    <w:rsid w:val="0080479E"/>
    <w:rsid w:val="00804815"/>
    <w:rsid w:val="00804ED8"/>
    <w:rsid w:val="00804F4A"/>
    <w:rsid w:val="00805192"/>
    <w:rsid w:val="0080526F"/>
    <w:rsid w:val="00805426"/>
    <w:rsid w:val="00805542"/>
    <w:rsid w:val="00805664"/>
    <w:rsid w:val="00805867"/>
    <w:rsid w:val="00805905"/>
    <w:rsid w:val="00805C31"/>
    <w:rsid w:val="00805E75"/>
    <w:rsid w:val="00806061"/>
    <w:rsid w:val="0080628C"/>
    <w:rsid w:val="008063F9"/>
    <w:rsid w:val="00806497"/>
    <w:rsid w:val="0080651B"/>
    <w:rsid w:val="0080669A"/>
    <w:rsid w:val="0080680F"/>
    <w:rsid w:val="00806C1B"/>
    <w:rsid w:val="00806E72"/>
    <w:rsid w:val="00806ED5"/>
    <w:rsid w:val="008070C1"/>
    <w:rsid w:val="0080714C"/>
    <w:rsid w:val="008071B9"/>
    <w:rsid w:val="0080776D"/>
    <w:rsid w:val="00807882"/>
    <w:rsid w:val="00807F63"/>
    <w:rsid w:val="00807F95"/>
    <w:rsid w:val="008103A9"/>
    <w:rsid w:val="00810802"/>
    <w:rsid w:val="0081146C"/>
    <w:rsid w:val="008115AE"/>
    <w:rsid w:val="008116BC"/>
    <w:rsid w:val="0081183A"/>
    <w:rsid w:val="008118BE"/>
    <w:rsid w:val="00811B10"/>
    <w:rsid w:val="00811C41"/>
    <w:rsid w:val="00811C5E"/>
    <w:rsid w:val="00811CB1"/>
    <w:rsid w:val="00811D59"/>
    <w:rsid w:val="00811E3D"/>
    <w:rsid w:val="00811F88"/>
    <w:rsid w:val="008120D9"/>
    <w:rsid w:val="008123A7"/>
    <w:rsid w:val="0081240D"/>
    <w:rsid w:val="00812422"/>
    <w:rsid w:val="00812902"/>
    <w:rsid w:val="00812A73"/>
    <w:rsid w:val="00812F1F"/>
    <w:rsid w:val="00813063"/>
    <w:rsid w:val="008138A5"/>
    <w:rsid w:val="008139A7"/>
    <w:rsid w:val="00813A69"/>
    <w:rsid w:val="00813B0F"/>
    <w:rsid w:val="00813B32"/>
    <w:rsid w:val="00813BD4"/>
    <w:rsid w:val="00813E7D"/>
    <w:rsid w:val="008140F0"/>
    <w:rsid w:val="008141CD"/>
    <w:rsid w:val="00814204"/>
    <w:rsid w:val="00814276"/>
    <w:rsid w:val="00814663"/>
    <w:rsid w:val="0081497C"/>
    <w:rsid w:val="00815000"/>
    <w:rsid w:val="00815097"/>
    <w:rsid w:val="008151D6"/>
    <w:rsid w:val="0081521B"/>
    <w:rsid w:val="008152DF"/>
    <w:rsid w:val="00815596"/>
    <w:rsid w:val="0081566C"/>
    <w:rsid w:val="00815679"/>
    <w:rsid w:val="00815898"/>
    <w:rsid w:val="00815C7B"/>
    <w:rsid w:val="00815E95"/>
    <w:rsid w:val="008160C4"/>
    <w:rsid w:val="00816520"/>
    <w:rsid w:val="00816755"/>
    <w:rsid w:val="00816764"/>
    <w:rsid w:val="008167C4"/>
    <w:rsid w:val="00816862"/>
    <w:rsid w:val="00816883"/>
    <w:rsid w:val="0081690D"/>
    <w:rsid w:val="00816AF3"/>
    <w:rsid w:val="00816C09"/>
    <w:rsid w:val="00816F14"/>
    <w:rsid w:val="008171B3"/>
    <w:rsid w:val="008172F3"/>
    <w:rsid w:val="0081733D"/>
    <w:rsid w:val="0081752D"/>
    <w:rsid w:val="00817A2C"/>
    <w:rsid w:val="00817A4A"/>
    <w:rsid w:val="00817BBC"/>
    <w:rsid w:val="00817C11"/>
    <w:rsid w:val="00820029"/>
    <w:rsid w:val="0082038C"/>
    <w:rsid w:val="00820448"/>
    <w:rsid w:val="0082049E"/>
    <w:rsid w:val="008204FF"/>
    <w:rsid w:val="00820582"/>
    <w:rsid w:val="008206C2"/>
    <w:rsid w:val="00820B57"/>
    <w:rsid w:val="00820D3B"/>
    <w:rsid w:val="00820E0B"/>
    <w:rsid w:val="00820E1B"/>
    <w:rsid w:val="00820F53"/>
    <w:rsid w:val="00820FF2"/>
    <w:rsid w:val="0082160C"/>
    <w:rsid w:val="0082165A"/>
    <w:rsid w:val="00821770"/>
    <w:rsid w:val="008217A1"/>
    <w:rsid w:val="008219EE"/>
    <w:rsid w:val="00821BF8"/>
    <w:rsid w:val="00821C8E"/>
    <w:rsid w:val="00821D1A"/>
    <w:rsid w:val="00821FD3"/>
    <w:rsid w:val="008220A1"/>
    <w:rsid w:val="0082239B"/>
    <w:rsid w:val="008223C3"/>
    <w:rsid w:val="0082241C"/>
    <w:rsid w:val="00822945"/>
    <w:rsid w:val="00822B8D"/>
    <w:rsid w:val="00822D90"/>
    <w:rsid w:val="00822DA1"/>
    <w:rsid w:val="00822E9A"/>
    <w:rsid w:val="00822F2D"/>
    <w:rsid w:val="008230EE"/>
    <w:rsid w:val="00823147"/>
    <w:rsid w:val="008232A1"/>
    <w:rsid w:val="008232E6"/>
    <w:rsid w:val="008238DE"/>
    <w:rsid w:val="00823B3B"/>
    <w:rsid w:val="00823CB3"/>
    <w:rsid w:val="00823D84"/>
    <w:rsid w:val="0082410A"/>
    <w:rsid w:val="008241CC"/>
    <w:rsid w:val="00824353"/>
    <w:rsid w:val="0082442C"/>
    <w:rsid w:val="00824693"/>
    <w:rsid w:val="008246DD"/>
    <w:rsid w:val="008246E6"/>
    <w:rsid w:val="00824796"/>
    <w:rsid w:val="0082485E"/>
    <w:rsid w:val="008248E4"/>
    <w:rsid w:val="00824A6B"/>
    <w:rsid w:val="00824DD6"/>
    <w:rsid w:val="00824E88"/>
    <w:rsid w:val="00824EB7"/>
    <w:rsid w:val="00824EF2"/>
    <w:rsid w:val="00825099"/>
    <w:rsid w:val="0082522E"/>
    <w:rsid w:val="0082523C"/>
    <w:rsid w:val="0082558A"/>
    <w:rsid w:val="008256A6"/>
    <w:rsid w:val="008256C9"/>
    <w:rsid w:val="00825785"/>
    <w:rsid w:val="00825BE7"/>
    <w:rsid w:val="00825C1A"/>
    <w:rsid w:val="00825CA5"/>
    <w:rsid w:val="00825EC3"/>
    <w:rsid w:val="0082653D"/>
    <w:rsid w:val="00826734"/>
    <w:rsid w:val="0082683F"/>
    <w:rsid w:val="00826855"/>
    <w:rsid w:val="008268B8"/>
    <w:rsid w:val="00826AD0"/>
    <w:rsid w:val="00826B28"/>
    <w:rsid w:val="00826D02"/>
    <w:rsid w:val="00827052"/>
    <w:rsid w:val="0082717B"/>
    <w:rsid w:val="0082728A"/>
    <w:rsid w:val="00827544"/>
    <w:rsid w:val="00827AE0"/>
    <w:rsid w:val="00827CF4"/>
    <w:rsid w:val="00827DAE"/>
    <w:rsid w:val="00827E5B"/>
    <w:rsid w:val="00830145"/>
    <w:rsid w:val="008304BA"/>
    <w:rsid w:val="00830890"/>
    <w:rsid w:val="00830B95"/>
    <w:rsid w:val="00830DD1"/>
    <w:rsid w:val="00830E2C"/>
    <w:rsid w:val="00830F46"/>
    <w:rsid w:val="00831089"/>
    <w:rsid w:val="00831333"/>
    <w:rsid w:val="008315B0"/>
    <w:rsid w:val="00831608"/>
    <w:rsid w:val="00831CD5"/>
    <w:rsid w:val="00831CDF"/>
    <w:rsid w:val="00831DD3"/>
    <w:rsid w:val="00831F86"/>
    <w:rsid w:val="008321E0"/>
    <w:rsid w:val="0083229E"/>
    <w:rsid w:val="0083244C"/>
    <w:rsid w:val="00832733"/>
    <w:rsid w:val="00832A84"/>
    <w:rsid w:val="00832B3F"/>
    <w:rsid w:val="00832B8C"/>
    <w:rsid w:val="00832FF1"/>
    <w:rsid w:val="0083304B"/>
    <w:rsid w:val="0083309A"/>
    <w:rsid w:val="00833153"/>
    <w:rsid w:val="008331CB"/>
    <w:rsid w:val="008332F0"/>
    <w:rsid w:val="008333B8"/>
    <w:rsid w:val="008335B0"/>
    <w:rsid w:val="008336AD"/>
    <w:rsid w:val="00833777"/>
    <w:rsid w:val="00833951"/>
    <w:rsid w:val="00833C24"/>
    <w:rsid w:val="00833D19"/>
    <w:rsid w:val="00833D53"/>
    <w:rsid w:val="00833F06"/>
    <w:rsid w:val="008340D3"/>
    <w:rsid w:val="00834233"/>
    <w:rsid w:val="00834319"/>
    <w:rsid w:val="00834462"/>
    <w:rsid w:val="00834587"/>
    <w:rsid w:val="00834880"/>
    <w:rsid w:val="00834914"/>
    <w:rsid w:val="008349FD"/>
    <w:rsid w:val="00834A2D"/>
    <w:rsid w:val="00834B13"/>
    <w:rsid w:val="00834FB1"/>
    <w:rsid w:val="0083536F"/>
    <w:rsid w:val="008353B7"/>
    <w:rsid w:val="00835888"/>
    <w:rsid w:val="00835B6F"/>
    <w:rsid w:val="00835CB2"/>
    <w:rsid w:val="00836068"/>
    <w:rsid w:val="008362D9"/>
    <w:rsid w:val="00836421"/>
    <w:rsid w:val="00836547"/>
    <w:rsid w:val="0083670A"/>
    <w:rsid w:val="008367FF"/>
    <w:rsid w:val="0083684C"/>
    <w:rsid w:val="00836BD8"/>
    <w:rsid w:val="00836C7A"/>
    <w:rsid w:val="00836D39"/>
    <w:rsid w:val="00836E7A"/>
    <w:rsid w:val="00836FFA"/>
    <w:rsid w:val="0083717A"/>
    <w:rsid w:val="00837226"/>
    <w:rsid w:val="00837436"/>
    <w:rsid w:val="00837482"/>
    <w:rsid w:val="00837694"/>
    <w:rsid w:val="00837874"/>
    <w:rsid w:val="00837AB4"/>
    <w:rsid w:val="00837C48"/>
    <w:rsid w:val="00837D74"/>
    <w:rsid w:val="00837DBE"/>
    <w:rsid w:val="00837EEE"/>
    <w:rsid w:val="00837F30"/>
    <w:rsid w:val="00840057"/>
    <w:rsid w:val="00840064"/>
    <w:rsid w:val="00840400"/>
    <w:rsid w:val="00840580"/>
    <w:rsid w:val="00840798"/>
    <w:rsid w:val="00840A6F"/>
    <w:rsid w:val="00840B44"/>
    <w:rsid w:val="00840E45"/>
    <w:rsid w:val="00841022"/>
    <w:rsid w:val="0084106D"/>
    <w:rsid w:val="008412C9"/>
    <w:rsid w:val="00841552"/>
    <w:rsid w:val="0084155E"/>
    <w:rsid w:val="008416EE"/>
    <w:rsid w:val="00841783"/>
    <w:rsid w:val="00842415"/>
    <w:rsid w:val="00842592"/>
    <w:rsid w:val="00842B89"/>
    <w:rsid w:val="00842D2F"/>
    <w:rsid w:val="00842E0B"/>
    <w:rsid w:val="00842EBA"/>
    <w:rsid w:val="00842EFC"/>
    <w:rsid w:val="008431EA"/>
    <w:rsid w:val="0084335B"/>
    <w:rsid w:val="0084388A"/>
    <w:rsid w:val="008438AF"/>
    <w:rsid w:val="00843BE8"/>
    <w:rsid w:val="00843F75"/>
    <w:rsid w:val="00843FBA"/>
    <w:rsid w:val="008440D9"/>
    <w:rsid w:val="00844326"/>
    <w:rsid w:val="00844327"/>
    <w:rsid w:val="00844382"/>
    <w:rsid w:val="008443C7"/>
    <w:rsid w:val="0084458A"/>
    <w:rsid w:val="0084465B"/>
    <w:rsid w:val="0084496F"/>
    <w:rsid w:val="008449E6"/>
    <w:rsid w:val="00844B4A"/>
    <w:rsid w:val="00844BC2"/>
    <w:rsid w:val="00844D25"/>
    <w:rsid w:val="00844EBE"/>
    <w:rsid w:val="0084535F"/>
    <w:rsid w:val="008453B1"/>
    <w:rsid w:val="00845414"/>
    <w:rsid w:val="00845510"/>
    <w:rsid w:val="00845788"/>
    <w:rsid w:val="00845903"/>
    <w:rsid w:val="00845B77"/>
    <w:rsid w:val="00845D0C"/>
    <w:rsid w:val="00845D16"/>
    <w:rsid w:val="00845DEE"/>
    <w:rsid w:val="00846070"/>
    <w:rsid w:val="0084616B"/>
    <w:rsid w:val="0084624B"/>
    <w:rsid w:val="00846258"/>
    <w:rsid w:val="0084659C"/>
    <w:rsid w:val="008467F1"/>
    <w:rsid w:val="00846AEC"/>
    <w:rsid w:val="00846C8A"/>
    <w:rsid w:val="00846E93"/>
    <w:rsid w:val="00846F1B"/>
    <w:rsid w:val="0084705C"/>
    <w:rsid w:val="0084715B"/>
    <w:rsid w:val="0084756D"/>
    <w:rsid w:val="00847630"/>
    <w:rsid w:val="00847674"/>
    <w:rsid w:val="008476BB"/>
    <w:rsid w:val="00847C2C"/>
    <w:rsid w:val="00847DC2"/>
    <w:rsid w:val="00850036"/>
    <w:rsid w:val="00850210"/>
    <w:rsid w:val="0085028E"/>
    <w:rsid w:val="00850350"/>
    <w:rsid w:val="008503E5"/>
    <w:rsid w:val="008504DE"/>
    <w:rsid w:val="008504EC"/>
    <w:rsid w:val="0085053B"/>
    <w:rsid w:val="008506A7"/>
    <w:rsid w:val="0085075D"/>
    <w:rsid w:val="00850774"/>
    <w:rsid w:val="00850BEC"/>
    <w:rsid w:val="00850D1C"/>
    <w:rsid w:val="00850E6E"/>
    <w:rsid w:val="008510E5"/>
    <w:rsid w:val="008515CF"/>
    <w:rsid w:val="0085172E"/>
    <w:rsid w:val="00851904"/>
    <w:rsid w:val="00851A45"/>
    <w:rsid w:val="00851C4E"/>
    <w:rsid w:val="00851D83"/>
    <w:rsid w:val="00851EDF"/>
    <w:rsid w:val="0085223A"/>
    <w:rsid w:val="00852248"/>
    <w:rsid w:val="008523BC"/>
    <w:rsid w:val="0085259C"/>
    <w:rsid w:val="008525A7"/>
    <w:rsid w:val="00852894"/>
    <w:rsid w:val="008528D5"/>
    <w:rsid w:val="00852BAA"/>
    <w:rsid w:val="008531E7"/>
    <w:rsid w:val="008534BD"/>
    <w:rsid w:val="00853594"/>
    <w:rsid w:val="0085382D"/>
    <w:rsid w:val="00853842"/>
    <w:rsid w:val="00853889"/>
    <w:rsid w:val="008539F1"/>
    <w:rsid w:val="00853AC4"/>
    <w:rsid w:val="00853ACD"/>
    <w:rsid w:val="00853FE5"/>
    <w:rsid w:val="0085408B"/>
    <w:rsid w:val="008545AE"/>
    <w:rsid w:val="008545D7"/>
    <w:rsid w:val="00854790"/>
    <w:rsid w:val="008548DF"/>
    <w:rsid w:val="0085497C"/>
    <w:rsid w:val="008549D7"/>
    <w:rsid w:val="00854B05"/>
    <w:rsid w:val="00854DC2"/>
    <w:rsid w:val="00854E6B"/>
    <w:rsid w:val="00854F23"/>
    <w:rsid w:val="00854FBB"/>
    <w:rsid w:val="008554BD"/>
    <w:rsid w:val="0085560A"/>
    <w:rsid w:val="00855654"/>
    <w:rsid w:val="008556D1"/>
    <w:rsid w:val="008557A9"/>
    <w:rsid w:val="00855872"/>
    <w:rsid w:val="00855A50"/>
    <w:rsid w:val="00856404"/>
    <w:rsid w:val="00856585"/>
    <w:rsid w:val="0085668E"/>
    <w:rsid w:val="008566D4"/>
    <w:rsid w:val="0085680D"/>
    <w:rsid w:val="00856875"/>
    <w:rsid w:val="0085695A"/>
    <w:rsid w:val="0085696E"/>
    <w:rsid w:val="00856B46"/>
    <w:rsid w:val="00856C69"/>
    <w:rsid w:val="00856C9D"/>
    <w:rsid w:val="00856F91"/>
    <w:rsid w:val="0085726A"/>
    <w:rsid w:val="00857480"/>
    <w:rsid w:val="0085752A"/>
    <w:rsid w:val="0085771D"/>
    <w:rsid w:val="008577A6"/>
    <w:rsid w:val="00857829"/>
    <w:rsid w:val="0085795F"/>
    <w:rsid w:val="00857AC7"/>
    <w:rsid w:val="00857AE2"/>
    <w:rsid w:val="00857B52"/>
    <w:rsid w:val="00857BA4"/>
    <w:rsid w:val="00857C4A"/>
    <w:rsid w:val="00857DC1"/>
    <w:rsid w:val="00857FA3"/>
    <w:rsid w:val="00857FC2"/>
    <w:rsid w:val="0085E9A0"/>
    <w:rsid w:val="0086011C"/>
    <w:rsid w:val="0086029B"/>
    <w:rsid w:val="008603D3"/>
    <w:rsid w:val="00860652"/>
    <w:rsid w:val="00860855"/>
    <w:rsid w:val="00860AD6"/>
    <w:rsid w:val="00860B20"/>
    <w:rsid w:val="00860B4B"/>
    <w:rsid w:val="00860B8C"/>
    <w:rsid w:val="00860B96"/>
    <w:rsid w:val="008611A6"/>
    <w:rsid w:val="00861249"/>
    <w:rsid w:val="00861481"/>
    <w:rsid w:val="00861881"/>
    <w:rsid w:val="00861AF4"/>
    <w:rsid w:val="00861C44"/>
    <w:rsid w:val="00861F4D"/>
    <w:rsid w:val="008620DE"/>
    <w:rsid w:val="008620EF"/>
    <w:rsid w:val="0086214E"/>
    <w:rsid w:val="00862157"/>
    <w:rsid w:val="00862297"/>
    <w:rsid w:val="008622BB"/>
    <w:rsid w:val="00862348"/>
    <w:rsid w:val="00862477"/>
    <w:rsid w:val="008625C4"/>
    <w:rsid w:val="00862625"/>
    <w:rsid w:val="00862819"/>
    <w:rsid w:val="008629DC"/>
    <w:rsid w:val="00862B66"/>
    <w:rsid w:val="00862D52"/>
    <w:rsid w:val="00863106"/>
    <w:rsid w:val="00863298"/>
    <w:rsid w:val="00863BCC"/>
    <w:rsid w:val="00863D35"/>
    <w:rsid w:val="00863F6C"/>
    <w:rsid w:val="00864132"/>
    <w:rsid w:val="008641A5"/>
    <w:rsid w:val="008641AB"/>
    <w:rsid w:val="008642EA"/>
    <w:rsid w:val="00864375"/>
    <w:rsid w:val="00864458"/>
    <w:rsid w:val="008646F8"/>
    <w:rsid w:val="008647B8"/>
    <w:rsid w:val="0086483F"/>
    <w:rsid w:val="00864967"/>
    <w:rsid w:val="00864AC5"/>
    <w:rsid w:val="00864D67"/>
    <w:rsid w:val="00864DEC"/>
    <w:rsid w:val="008657A3"/>
    <w:rsid w:val="008658F7"/>
    <w:rsid w:val="00865A73"/>
    <w:rsid w:val="00865B0C"/>
    <w:rsid w:val="00865C06"/>
    <w:rsid w:val="00865D9D"/>
    <w:rsid w:val="00866172"/>
    <w:rsid w:val="008665FF"/>
    <w:rsid w:val="008666E2"/>
    <w:rsid w:val="00866801"/>
    <w:rsid w:val="00866871"/>
    <w:rsid w:val="008669B7"/>
    <w:rsid w:val="00866A08"/>
    <w:rsid w:val="00866A7C"/>
    <w:rsid w:val="00866B20"/>
    <w:rsid w:val="00866C45"/>
    <w:rsid w:val="00866E8C"/>
    <w:rsid w:val="008672F2"/>
    <w:rsid w:val="008677FE"/>
    <w:rsid w:val="00867B97"/>
    <w:rsid w:val="00867BAE"/>
    <w:rsid w:val="00867C01"/>
    <w:rsid w:val="00867DD2"/>
    <w:rsid w:val="00867F81"/>
    <w:rsid w:val="008702B0"/>
    <w:rsid w:val="0087031A"/>
    <w:rsid w:val="008703D8"/>
    <w:rsid w:val="00870614"/>
    <w:rsid w:val="00870751"/>
    <w:rsid w:val="00870C0E"/>
    <w:rsid w:val="00870F6E"/>
    <w:rsid w:val="008710E3"/>
    <w:rsid w:val="008710F8"/>
    <w:rsid w:val="008714E9"/>
    <w:rsid w:val="0087163C"/>
    <w:rsid w:val="00871702"/>
    <w:rsid w:val="00871796"/>
    <w:rsid w:val="00871A7C"/>
    <w:rsid w:val="00871AFF"/>
    <w:rsid w:val="00871C4D"/>
    <w:rsid w:val="00871CE1"/>
    <w:rsid w:val="0087235C"/>
    <w:rsid w:val="00872738"/>
    <w:rsid w:val="00872792"/>
    <w:rsid w:val="008728DE"/>
    <w:rsid w:val="0087294F"/>
    <w:rsid w:val="00872CF9"/>
    <w:rsid w:val="00872E3C"/>
    <w:rsid w:val="0087303A"/>
    <w:rsid w:val="0087336C"/>
    <w:rsid w:val="008734D6"/>
    <w:rsid w:val="008737E7"/>
    <w:rsid w:val="0087389B"/>
    <w:rsid w:val="00873B25"/>
    <w:rsid w:val="00873B3C"/>
    <w:rsid w:val="00873D2A"/>
    <w:rsid w:val="00873D67"/>
    <w:rsid w:val="00873D76"/>
    <w:rsid w:val="00873F73"/>
    <w:rsid w:val="00873FF2"/>
    <w:rsid w:val="00874025"/>
    <w:rsid w:val="00874254"/>
    <w:rsid w:val="0087429C"/>
    <w:rsid w:val="008742B7"/>
    <w:rsid w:val="008743CA"/>
    <w:rsid w:val="008744BB"/>
    <w:rsid w:val="00874781"/>
    <w:rsid w:val="00874826"/>
    <w:rsid w:val="00874D29"/>
    <w:rsid w:val="00874D9B"/>
    <w:rsid w:val="00874E5E"/>
    <w:rsid w:val="00874EA6"/>
    <w:rsid w:val="00874F95"/>
    <w:rsid w:val="00875558"/>
    <w:rsid w:val="008755F7"/>
    <w:rsid w:val="00875836"/>
    <w:rsid w:val="00875C98"/>
    <w:rsid w:val="00875F7C"/>
    <w:rsid w:val="008760B1"/>
    <w:rsid w:val="008762C8"/>
    <w:rsid w:val="008765DC"/>
    <w:rsid w:val="008765EF"/>
    <w:rsid w:val="0087665B"/>
    <w:rsid w:val="0087698C"/>
    <w:rsid w:val="008769D3"/>
    <w:rsid w:val="00876A59"/>
    <w:rsid w:val="00876D85"/>
    <w:rsid w:val="00876E3F"/>
    <w:rsid w:val="008770DE"/>
    <w:rsid w:val="008774CB"/>
    <w:rsid w:val="00877642"/>
    <w:rsid w:val="008779B8"/>
    <w:rsid w:val="00877B72"/>
    <w:rsid w:val="00877F8C"/>
    <w:rsid w:val="0088004F"/>
    <w:rsid w:val="008803D0"/>
    <w:rsid w:val="00880507"/>
    <w:rsid w:val="008806AC"/>
    <w:rsid w:val="008809C3"/>
    <w:rsid w:val="00880B8D"/>
    <w:rsid w:val="00880BC8"/>
    <w:rsid w:val="00880CA3"/>
    <w:rsid w:val="00881593"/>
    <w:rsid w:val="00881902"/>
    <w:rsid w:val="00881922"/>
    <w:rsid w:val="008819F5"/>
    <w:rsid w:val="00881C0F"/>
    <w:rsid w:val="00881E48"/>
    <w:rsid w:val="00881E7F"/>
    <w:rsid w:val="00881F24"/>
    <w:rsid w:val="00881F2F"/>
    <w:rsid w:val="00881F68"/>
    <w:rsid w:val="00882005"/>
    <w:rsid w:val="00882306"/>
    <w:rsid w:val="00882429"/>
    <w:rsid w:val="0088244F"/>
    <w:rsid w:val="0088245F"/>
    <w:rsid w:val="00882787"/>
    <w:rsid w:val="0088297D"/>
    <w:rsid w:val="008829F1"/>
    <w:rsid w:val="00882DCA"/>
    <w:rsid w:val="00882E30"/>
    <w:rsid w:val="008830DC"/>
    <w:rsid w:val="0088323F"/>
    <w:rsid w:val="0088396A"/>
    <w:rsid w:val="00883C57"/>
    <w:rsid w:val="00883CB5"/>
    <w:rsid w:val="00883DD1"/>
    <w:rsid w:val="0088428E"/>
    <w:rsid w:val="008842CE"/>
    <w:rsid w:val="00884321"/>
    <w:rsid w:val="008845A6"/>
    <w:rsid w:val="00884613"/>
    <w:rsid w:val="00884889"/>
    <w:rsid w:val="008851B6"/>
    <w:rsid w:val="008851C3"/>
    <w:rsid w:val="00885672"/>
    <w:rsid w:val="00885771"/>
    <w:rsid w:val="008858E9"/>
    <w:rsid w:val="0088599A"/>
    <w:rsid w:val="008859C4"/>
    <w:rsid w:val="00885C23"/>
    <w:rsid w:val="00885CBF"/>
    <w:rsid w:val="00886102"/>
    <w:rsid w:val="0088616F"/>
    <w:rsid w:val="0088629E"/>
    <w:rsid w:val="008862C8"/>
    <w:rsid w:val="00886644"/>
    <w:rsid w:val="008869B3"/>
    <w:rsid w:val="00886A39"/>
    <w:rsid w:val="00886A94"/>
    <w:rsid w:val="00886DBB"/>
    <w:rsid w:val="00886DC2"/>
    <w:rsid w:val="00886E41"/>
    <w:rsid w:val="008870E0"/>
    <w:rsid w:val="00887478"/>
    <w:rsid w:val="0088747B"/>
    <w:rsid w:val="00887646"/>
    <w:rsid w:val="0088773C"/>
    <w:rsid w:val="00887A1A"/>
    <w:rsid w:val="00887AD8"/>
    <w:rsid w:val="00887CD8"/>
    <w:rsid w:val="0089048D"/>
    <w:rsid w:val="008908A6"/>
    <w:rsid w:val="00890BA9"/>
    <w:rsid w:val="00890C31"/>
    <w:rsid w:val="00890D39"/>
    <w:rsid w:val="0089111A"/>
    <w:rsid w:val="0089130D"/>
    <w:rsid w:val="00891520"/>
    <w:rsid w:val="00891528"/>
    <w:rsid w:val="008915DF"/>
    <w:rsid w:val="008917C5"/>
    <w:rsid w:val="00891A07"/>
    <w:rsid w:val="00891A1C"/>
    <w:rsid w:val="00891AEE"/>
    <w:rsid w:val="00891E71"/>
    <w:rsid w:val="00891EB2"/>
    <w:rsid w:val="00891F36"/>
    <w:rsid w:val="008920E1"/>
    <w:rsid w:val="008929A4"/>
    <w:rsid w:val="00892D2A"/>
    <w:rsid w:val="00892E95"/>
    <w:rsid w:val="00892FA4"/>
    <w:rsid w:val="0089314C"/>
    <w:rsid w:val="0089317E"/>
    <w:rsid w:val="00893239"/>
    <w:rsid w:val="00893295"/>
    <w:rsid w:val="0089334A"/>
    <w:rsid w:val="0089358E"/>
    <w:rsid w:val="008938E5"/>
    <w:rsid w:val="00893985"/>
    <w:rsid w:val="00893A50"/>
    <w:rsid w:val="00893AE7"/>
    <w:rsid w:val="008941DD"/>
    <w:rsid w:val="008942DC"/>
    <w:rsid w:val="0089433D"/>
    <w:rsid w:val="0089447E"/>
    <w:rsid w:val="0089479E"/>
    <w:rsid w:val="00894A39"/>
    <w:rsid w:val="00894B1D"/>
    <w:rsid w:val="00894BD8"/>
    <w:rsid w:val="00894C35"/>
    <w:rsid w:val="00894C36"/>
    <w:rsid w:val="00894D40"/>
    <w:rsid w:val="00895240"/>
    <w:rsid w:val="008956B1"/>
    <w:rsid w:val="00895B0C"/>
    <w:rsid w:val="00895D7A"/>
    <w:rsid w:val="00896073"/>
    <w:rsid w:val="0089614F"/>
    <w:rsid w:val="008961B5"/>
    <w:rsid w:val="00896353"/>
    <w:rsid w:val="008966EE"/>
    <w:rsid w:val="0089673A"/>
    <w:rsid w:val="00896A7E"/>
    <w:rsid w:val="00896C7B"/>
    <w:rsid w:val="00896E8A"/>
    <w:rsid w:val="00896FD6"/>
    <w:rsid w:val="008970DF"/>
    <w:rsid w:val="00897162"/>
    <w:rsid w:val="0089771D"/>
    <w:rsid w:val="008978F5"/>
    <w:rsid w:val="00897B57"/>
    <w:rsid w:val="00897E52"/>
    <w:rsid w:val="008A003C"/>
    <w:rsid w:val="008A0089"/>
    <w:rsid w:val="008A0353"/>
    <w:rsid w:val="008A03DA"/>
    <w:rsid w:val="008A04E2"/>
    <w:rsid w:val="008A0603"/>
    <w:rsid w:val="008A0718"/>
    <w:rsid w:val="008A071C"/>
    <w:rsid w:val="008A09A4"/>
    <w:rsid w:val="008A0A16"/>
    <w:rsid w:val="008A0C4E"/>
    <w:rsid w:val="008A0CD5"/>
    <w:rsid w:val="008A1101"/>
    <w:rsid w:val="008A1215"/>
    <w:rsid w:val="008A13B2"/>
    <w:rsid w:val="008A1403"/>
    <w:rsid w:val="008A1485"/>
    <w:rsid w:val="008A162D"/>
    <w:rsid w:val="008A1960"/>
    <w:rsid w:val="008A1995"/>
    <w:rsid w:val="008A1B76"/>
    <w:rsid w:val="008A1F06"/>
    <w:rsid w:val="008A21B3"/>
    <w:rsid w:val="008A227C"/>
    <w:rsid w:val="008A2641"/>
    <w:rsid w:val="008A26E1"/>
    <w:rsid w:val="008A29C0"/>
    <w:rsid w:val="008A2A98"/>
    <w:rsid w:val="008A2BF3"/>
    <w:rsid w:val="008A2C68"/>
    <w:rsid w:val="008A3005"/>
    <w:rsid w:val="008A30F4"/>
    <w:rsid w:val="008A3154"/>
    <w:rsid w:val="008A3183"/>
    <w:rsid w:val="008A39F0"/>
    <w:rsid w:val="008A3BE4"/>
    <w:rsid w:val="008A3C2E"/>
    <w:rsid w:val="008A3C36"/>
    <w:rsid w:val="008A3FE5"/>
    <w:rsid w:val="008A4097"/>
    <w:rsid w:val="008A4519"/>
    <w:rsid w:val="008A48D2"/>
    <w:rsid w:val="008A48E1"/>
    <w:rsid w:val="008A4B15"/>
    <w:rsid w:val="008A4CF8"/>
    <w:rsid w:val="008A4E14"/>
    <w:rsid w:val="008A4F03"/>
    <w:rsid w:val="008A5011"/>
    <w:rsid w:val="008A5145"/>
    <w:rsid w:val="008A5325"/>
    <w:rsid w:val="008A5369"/>
    <w:rsid w:val="008A53B4"/>
    <w:rsid w:val="008A576C"/>
    <w:rsid w:val="008A581E"/>
    <w:rsid w:val="008A58F7"/>
    <w:rsid w:val="008A5AE9"/>
    <w:rsid w:val="008A5B0E"/>
    <w:rsid w:val="008A6147"/>
    <w:rsid w:val="008A640A"/>
    <w:rsid w:val="008A6563"/>
    <w:rsid w:val="008A66A2"/>
    <w:rsid w:val="008A6A95"/>
    <w:rsid w:val="008A6AD7"/>
    <w:rsid w:val="008A6AF9"/>
    <w:rsid w:val="008A6B0A"/>
    <w:rsid w:val="008A6B8B"/>
    <w:rsid w:val="008A6BC1"/>
    <w:rsid w:val="008A6C5C"/>
    <w:rsid w:val="008A6DE2"/>
    <w:rsid w:val="008A6F41"/>
    <w:rsid w:val="008A71DC"/>
    <w:rsid w:val="008A73B5"/>
    <w:rsid w:val="008A77AD"/>
    <w:rsid w:val="008A77E8"/>
    <w:rsid w:val="008A796B"/>
    <w:rsid w:val="008A79E3"/>
    <w:rsid w:val="008A7B38"/>
    <w:rsid w:val="008A7C47"/>
    <w:rsid w:val="008A7FD1"/>
    <w:rsid w:val="008B00D5"/>
    <w:rsid w:val="008B017D"/>
    <w:rsid w:val="008B03B9"/>
    <w:rsid w:val="008B0535"/>
    <w:rsid w:val="008B055A"/>
    <w:rsid w:val="008B0578"/>
    <w:rsid w:val="008B058B"/>
    <w:rsid w:val="008B07E3"/>
    <w:rsid w:val="008B08CC"/>
    <w:rsid w:val="008B0F30"/>
    <w:rsid w:val="008B1225"/>
    <w:rsid w:val="008B1476"/>
    <w:rsid w:val="008B171C"/>
    <w:rsid w:val="008B174D"/>
    <w:rsid w:val="008B1C67"/>
    <w:rsid w:val="008B1C69"/>
    <w:rsid w:val="008B1CCF"/>
    <w:rsid w:val="008B1D58"/>
    <w:rsid w:val="008B21B9"/>
    <w:rsid w:val="008B2512"/>
    <w:rsid w:val="008B272D"/>
    <w:rsid w:val="008B27EA"/>
    <w:rsid w:val="008B281A"/>
    <w:rsid w:val="008B2BEB"/>
    <w:rsid w:val="008B2CAC"/>
    <w:rsid w:val="008B2F83"/>
    <w:rsid w:val="008B3029"/>
    <w:rsid w:val="008B3078"/>
    <w:rsid w:val="008B316E"/>
    <w:rsid w:val="008B32D2"/>
    <w:rsid w:val="008B3544"/>
    <w:rsid w:val="008B395F"/>
    <w:rsid w:val="008B396B"/>
    <w:rsid w:val="008B398E"/>
    <w:rsid w:val="008B3AB5"/>
    <w:rsid w:val="008B4005"/>
    <w:rsid w:val="008B4032"/>
    <w:rsid w:val="008B40C1"/>
    <w:rsid w:val="008B4209"/>
    <w:rsid w:val="008B4382"/>
    <w:rsid w:val="008B48CC"/>
    <w:rsid w:val="008B4C80"/>
    <w:rsid w:val="008B4CD8"/>
    <w:rsid w:val="008B4D63"/>
    <w:rsid w:val="008B4F1F"/>
    <w:rsid w:val="008B530E"/>
    <w:rsid w:val="008B568A"/>
    <w:rsid w:val="008B5718"/>
    <w:rsid w:val="008B5730"/>
    <w:rsid w:val="008B5E1B"/>
    <w:rsid w:val="008B5E8A"/>
    <w:rsid w:val="008B5F3C"/>
    <w:rsid w:val="008B5FEB"/>
    <w:rsid w:val="008B6359"/>
    <w:rsid w:val="008B698E"/>
    <w:rsid w:val="008B69C3"/>
    <w:rsid w:val="008B6AE6"/>
    <w:rsid w:val="008B6C7E"/>
    <w:rsid w:val="008B6CA4"/>
    <w:rsid w:val="008B6CCA"/>
    <w:rsid w:val="008B6D2B"/>
    <w:rsid w:val="008B6DE7"/>
    <w:rsid w:val="008B6EB6"/>
    <w:rsid w:val="008B6EE3"/>
    <w:rsid w:val="008B6F81"/>
    <w:rsid w:val="008B6F92"/>
    <w:rsid w:val="008B70AF"/>
    <w:rsid w:val="008B7167"/>
    <w:rsid w:val="008B7245"/>
    <w:rsid w:val="008B7398"/>
    <w:rsid w:val="008B74BF"/>
    <w:rsid w:val="008B74DC"/>
    <w:rsid w:val="008B7814"/>
    <w:rsid w:val="008B7974"/>
    <w:rsid w:val="008B7B2F"/>
    <w:rsid w:val="008B7CEC"/>
    <w:rsid w:val="008B7FB6"/>
    <w:rsid w:val="008C0018"/>
    <w:rsid w:val="008C01A1"/>
    <w:rsid w:val="008C0397"/>
    <w:rsid w:val="008C0840"/>
    <w:rsid w:val="008C0B29"/>
    <w:rsid w:val="008C0DFE"/>
    <w:rsid w:val="008C0E31"/>
    <w:rsid w:val="008C0EC8"/>
    <w:rsid w:val="008C0FFF"/>
    <w:rsid w:val="008C109D"/>
    <w:rsid w:val="008C10AB"/>
    <w:rsid w:val="008C1201"/>
    <w:rsid w:val="008C1270"/>
    <w:rsid w:val="008C1469"/>
    <w:rsid w:val="008C15D0"/>
    <w:rsid w:val="008C17A1"/>
    <w:rsid w:val="008C1835"/>
    <w:rsid w:val="008C1A3D"/>
    <w:rsid w:val="008C1D09"/>
    <w:rsid w:val="008C1D32"/>
    <w:rsid w:val="008C1F1A"/>
    <w:rsid w:val="008C2316"/>
    <w:rsid w:val="008C2469"/>
    <w:rsid w:val="008C26F1"/>
    <w:rsid w:val="008C27A6"/>
    <w:rsid w:val="008C2A29"/>
    <w:rsid w:val="008C2B5E"/>
    <w:rsid w:val="008C2BBD"/>
    <w:rsid w:val="008C2BCA"/>
    <w:rsid w:val="008C2E07"/>
    <w:rsid w:val="008C2F5F"/>
    <w:rsid w:val="008C2F87"/>
    <w:rsid w:val="008C3110"/>
    <w:rsid w:val="008C343A"/>
    <w:rsid w:val="008C353B"/>
    <w:rsid w:val="008C3646"/>
    <w:rsid w:val="008C3AB2"/>
    <w:rsid w:val="008C3BB7"/>
    <w:rsid w:val="008C3D2A"/>
    <w:rsid w:val="008C3D9A"/>
    <w:rsid w:val="008C3DBD"/>
    <w:rsid w:val="008C3DFC"/>
    <w:rsid w:val="008C3EAB"/>
    <w:rsid w:val="008C4211"/>
    <w:rsid w:val="008C438A"/>
    <w:rsid w:val="008C4AC3"/>
    <w:rsid w:val="008C4BD3"/>
    <w:rsid w:val="008C4C97"/>
    <w:rsid w:val="008C4ED4"/>
    <w:rsid w:val="008C4FFF"/>
    <w:rsid w:val="008C533B"/>
    <w:rsid w:val="008C552A"/>
    <w:rsid w:val="008C5788"/>
    <w:rsid w:val="008C5983"/>
    <w:rsid w:val="008C5CCC"/>
    <w:rsid w:val="008C5DDF"/>
    <w:rsid w:val="008C5DFA"/>
    <w:rsid w:val="008C5EA0"/>
    <w:rsid w:val="008C65C6"/>
    <w:rsid w:val="008C66BC"/>
    <w:rsid w:val="008C671C"/>
    <w:rsid w:val="008C6953"/>
    <w:rsid w:val="008C6AAD"/>
    <w:rsid w:val="008C6C5C"/>
    <w:rsid w:val="008C6EB5"/>
    <w:rsid w:val="008C6F2A"/>
    <w:rsid w:val="008C716A"/>
    <w:rsid w:val="008C75B4"/>
    <w:rsid w:val="008C767F"/>
    <w:rsid w:val="008C7897"/>
    <w:rsid w:val="008C7B3E"/>
    <w:rsid w:val="008C7C39"/>
    <w:rsid w:val="008C7E65"/>
    <w:rsid w:val="008C7ED0"/>
    <w:rsid w:val="008C7F6B"/>
    <w:rsid w:val="008C9959"/>
    <w:rsid w:val="008D02A1"/>
    <w:rsid w:val="008D0317"/>
    <w:rsid w:val="008D0318"/>
    <w:rsid w:val="008D031D"/>
    <w:rsid w:val="008D0437"/>
    <w:rsid w:val="008D0496"/>
    <w:rsid w:val="008D0698"/>
    <w:rsid w:val="008D0715"/>
    <w:rsid w:val="008D0ACD"/>
    <w:rsid w:val="008D0C96"/>
    <w:rsid w:val="008D0F78"/>
    <w:rsid w:val="008D1334"/>
    <w:rsid w:val="008D1993"/>
    <w:rsid w:val="008D1C1B"/>
    <w:rsid w:val="008D1C84"/>
    <w:rsid w:val="008D1F87"/>
    <w:rsid w:val="008D209B"/>
    <w:rsid w:val="008D2536"/>
    <w:rsid w:val="008D2553"/>
    <w:rsid w:val="008D270A"/>
    <w:rsid w:val="008D29C6"/>
    <w:rsid w:val="008D2ACC"/>
    <w:rsid w:val="008D2BD1"/>
    <w:rsid w:val="008D2C07"/>
    <w:rsid w:val="008D2E9F"/>
    <w:rsid w:val="008D2EBF"/>
    <w:rsid w:val="008D2F37"/>
    <w:rsid w:val="008D325C"/>
    <w:rsid w:val="008D3352"/>
    <w:rsid w:val="008D3A0A"/>
    <w:rsid w:val="008D3DCE"/>
    <w:rsid w:val="008D3E62"/>
    <w:rsid w:val="008D4081"/>
    <w:rsid w:val="008D4156"/>
    <w:rsid w:val="008D45D0"/>
    <w:rsid w:val="008D4718"/>
    <w:rsid w:val="008D4882"/>
    <w:rsid w:val="008D48AB"/>
    <w:rsid w:val="008D49DF"/>
    <w:rsid w:val="008D4A32"/>
    <w:rsid w:val="008D4B4B"/>
    <w:rsid w:val="008D4D85"/>
    <w:rsid w:val="008D4FF6"/>
    <w:rsid w:val="008D5024"/>
    <w:rsid w:val="008D508A"/>
    <w:rsid w:val="008D50F6"/>
    <w:rsid w:val="008D532A"/>
    <w:rsid w:val="008D538E"/>
    <w:rsid w:val="008D5AA3"/>
    <w:rsid w:val="008D5B9E"/>
    <w:rsid w:val="008D5D8D"/>
    <w:rsid w:val="008D63EC"/>
    <w:rsid w:val="008D65B6"/>
    <w:rsid w:val="008D679C"/>
    <w:rsid w:val="008D6B17"/>
    <w:rsid w:val="008D6D47"/>
    <w:rsid w:val="008D702A"/>
    <w:rsid w:val="008D709D"/>
    <w:rsid w:val="008D74B2"/>
    <w:rsid w:val="008D7CFD"/>
    <w:rsid w:val="008E0270"/>
    <w:rsid w:val="008E02BA"/>
    <w:rsid w:val="008E039D"/>
    <w:rsid w:val="008E0770"/>
    <w:rsid w:val="008E0847"/>
    <w:rsid w:val="008E09E7"/>
    <w:rsid w:val="008E0BF9"/>
    <w:rsid w:val="008E0CFA"/>
    <w:rsid w:val="008E0D1D"/>
    <w:rsid w:val="008E0FF0"/>
    <w:rsid w:val="008E118B"/>
    <w:rsid w:val="008E1197"/>
    <w:rsid w:val="008E11E6"/>
    <w:rsid w:val="008E1264"/>
    <w:rsid w:val="008E1993"/>
    <w:rsid w:val="008E1A56"/>
    <w:rsid w:val="008E1BDA"/>
    <w:rsid w:val="008E21AA"/>
    <w:rsid w:val="008E2215"/>
    <w:rsid w:val="008E23F5"/>
    <w:rsid w:val="008E2A35"/>
    <w:rsid w:val="008E2D3B"/>
    <w:rsid w:val="008E2EB0"/>
    <w:rsid w:val="008E3363"/>
    <w:rsid w:val="008E345B"/>
    <w:rsid w:val="008E3842"/>
    <w:rsid w:val="008E3878"/>
    <w:rsid w:val="008E3C04"/>
    <w:rsid w:val="008E4012"/>
    <w:rsid w:val="008E4021"/>
    <w:rsid w:val="008E46FE"/>
    <w:rsid w:val="008E47E6"/>
    <w:rsid w:val="008E48A5"/>
    <w:rsid w:val="008E49D7"/>
    <w:rsid w:val="008E4C67"/>
    <w:rsid w:val="008E4D8A"/>
    <w:rsid w:val="008E4E0D"/>
    <w:rsid w:val="008E5321"/>
    <w:rsid w:val="008E5373"/>
    <w:rsid w:val="008E5518"/>
    <w:rsid w:val="008E58C8"/>
    <w:rsid w:val="008E5B4E"/>
    <w:rsid w:val="008E5C84"/>
    <w:rsid w:val="008E5EDC"/>
    <w:rsid w:val="008E6123"/>
    <w:rsid w:val="008E66DE"/>
    <w:rsid w:val="008E6712"/>
    <w:rsid w:val="008E67C2"/>
    <w:rsid w:val="008E6C0F"/>
    <w:rsid w:val="008E6CF5"/>
    <w:rsid w:val="008E6D99"/>
    <w:rsid w:val="008E6DA0"/>
    <w:rsid w:val="008E6E6F"/>
    <w:rsid w:val="008E6EFD"/>
    <w:rsid w:val="008E709C"/>
    <w:rsid w:val="008E7234"/>
    <w:rsid w:val="008E7287"/>
    <w:rsid w:val="008E7356"/>
    <w:rsid w:val="008E7A2D"/>
    <w:rsid w:val="008E7BEA"/>
    <w:rsid w:val="008E7E27"/>
    <w:rsid w:val="008F0120"/>
    <w:rsid w:val="008F02CD"/>
    <w:rsid w:val="008F036A"/>
    <w:rsid w:val="008F03C8"/>
    <w:rsid w:val="008F0941"/>
    <w:rsid w:val="008F0A91"/>
    <w:rsid w:val="008F0C80"/>
    <w:rsid w:val="008F0CC8"/>
    <w:rsid w:val="008F10E7"/>
    <w:rsid w:val="008F1129"/>
    <w:rsid w:val="008F11DB"/>
    <w:rsid w:val="008F13D2"/>
    <w:rsid w:val="008F1492"/>
    <w:rsid w:val="008F191C"/>
    <w:rsid w:val="008F195E"/>
    <w:rsid w:val="008F1A3D"/>
    <w:rsid w:val="008F1AE8"/>
    <w:rsid w:val="008F1D75"/>
    <w:rsid w:val="008F209D"/>
    <w:rsid w:val="008F20F9"/>
    <w:rsid w:val="008F25B5"/>
    <w:rsid w:val="008F280E"/>
    <w:rsid w:val="008F2A2C"/>
    <w:rsid w:val="008F2B50"/>
    <w:rsid w:val="008F2E2D"/>
    <w:rsid w:val="008F2E79"/>
    <w:rsid w:val="008F31C8"/>
    <w:rsid w:val="008F3613"/>
    <w:rsid w:val="008F36C2"/>
    <w:rsid w:val="008F375C"/>
    <w:rsid w:val="008F3B29"/>
    <w:rsid w:val="008F3FE3"/>
    <w:rsid w:val="008F4510"/>
    <w:rsid w:val="008F4570"/>
    <w:rsid w:val="008F46D6"/>
    <w:rsid w:val="008F498C"/>
    <w:rsid w:val="008F4A6D"/>
    <w:rsid w:val="008F4AA5"/>
    <w:rsid w:val="008F4DA7"/>
    <w:rsid w:val="008F4F2C"/>
    <w:rsid w:val="008F4F9F"/>
    <w:rsid w:val="008F5717"/>
    <w:rsid w:val="008F58D4"/>
    <w:rsid w:val="008F5908"/>
    <w:rsid w:val="008F5D8C"/>
    <w:rsid w:val="008F5EF9"/>
    <w:rsid w:val="008F5F18"/>
    <w:rsid w:val="008F5FA9"/>
    <w:rsid w:val="008F5FAC"/>
    <w:rsid w:val="008F60B9"/>
    <w:rsid w:val="008F641F"/>
    <w:rsid w:val="008F64AF"/>
    <w:rsid w:val="008F66D6"/>
    <w:rsid w:val="008F66DA"/>
    <w:rsid w:val="008F6756"/>
    <w:rsid w:val="008F69C4"/>
    <w:rsid w:val="008F6C2E"/>
    <w:rsid w:val="008F6D46"/>
    <w:rsid w:val="008F6D9C"/>
    <w:rsid w:val="008F7090"/>
    <w:rsid w:val="008F7332"/>
    <w:rsid w:val="008F7541"/>
    <w:rsid w:val="008F75E5"/>
    <w:rsid w:val="008F796D"/>
    <w:rsid w:val="008F79A3"/>
    <w:rsid w:val="008F7A5E"/>
    <w:rsid w:val="008F7C46"/>
    <w:rsid w:val="008F7F7E"/>
    <w:rsid w:val="00900012"/>
    <w:rsid w:val="009007D4"/>
    <w:rsid w:val="0090088B"/>
    <w:rsid w:val="00900A49"/>
    <w:rsid w:val="00900BC3"/>
    <w:rsid w:val="00901021"/>
    <w:rsid w:val="00901352"/>
    <w:rsid w:val="0090137C"/>
    <w:rsid w:val="009017BE"/>
    <w:rsid w:val="00901A13"/>
    <w:rsid w:val="00901EFA"/>
    <w:rsid w:val="00901FAD"/>
    <w:rsid w:val="009022BF"/>
    <w:rsid w:val="00902456"/>
    <w:rsid w:val="0090253A"/>
    <w:rsid w:val="009029EF"/>
    <w:rsid w:val="00902B49"/>
    <w:rsid w:val="00902CD6"/>
    <w:rsid w:val="00902D3A"/>
    <w:rsid w:val="00903158"/>
    <w:rsid w:val="009031CA"/>
    <w:rsid w:val="0090359F"/>
    <w:rsid w:val="00903869"/>
    <w:rsid w:val="00903965"/>
    <w:rsid w:val="009039CC"/>
    <w:rsid w:val="00903A6C"/>
    <w:rsid w:val="00903C8C"/>
    <w:rsid w:val="00903E59"/>
    <w:rsid w:val="00903F78"/>
    <w:rsid w:val="0090410E"/>
    <w:rsid w:val="00904400"/>
    <w:rsid w:val="00904545"/>
    <w:rsid w:val="009045B5"/>
    <w:rsid w:val="0090468C"/>
    <w:rsid w:val="00904900"/>
    <w:rsid w:val="00905047"/>
    <w:rsid w:val="00905128"/>
    <w:rsid w:val="00905164"/>
    <w:rsid w:val="009054A6"/>
    <w:rsid w:val="00905532"/>
    <w:rsid w:val="00905831"/>
    <w:rsid w:val="009058FB"/>
    <w:rsid w:val="00905938"/>
    <w:rsid w:val="00905A1D"/>
    <w:rsid w:val="00905C1A"/>
    <w:rsid w:val="00905F4F"/>
    <w:rsid w:val="00906078"/>
    <w:rsid w:val="00906230"/>
    <w:rsid w:val="00906797"/>
    <w:rsid w:val="00906838"/>
    <w:rsid w:val="0090687A"/>
    <w:rsid w:val="009069BE"/>
    <w:rsid w:val="00906C6A"/>
    <w:rsid w:val="00906E98"/>
    <w:rsid w:val="00907076"/>
    <w:rsid w:val="009070A8"/>
    <w:rsid w:val="00907310"/>
    <w:rsid w:val="009076D8"/>
    <w:rsid w:val="009079A6"/>
    <w:rsid w:val="009079E4"/>
    <w:rsid w:val="00907A6B"/>
    <w:rsid w:val="00907A94"/>
    <w:rsid w:val="00907AD0"/>
    <w:rsid w:val="00907F10"/>
    <w:rsid w:val="0090C80A"/>
    <w:rsid w:val="0090CF6D"/>
    <w:rsid w:val="009100F7"/>
    <w:rsid w:val="00910479"/>
    <w:rsid w:val="0091069B"/>
    <w:rsid w:val="00910DB3"/>
    <w:rsid w:val="0091113E"/>
    <w:rsid w:val="00911195"/>
    <w:rsid w:val="0091140B"/>
    <w:rsid w:val="00911422"/>
    <w:rsid w:val="0091146C"/>
    <w:rsid w:val="00911499"/>
    <w:rsid w:val="0091154B"/>
    <w:rsid w:val="00911872"/>
    <w:rsid w:val="00911B4C"/>
    <w:rsid w:val="00911B66"/>
    <w:rsid w:val="00911CAE"/>
    <w:rsid w:val="00911DB2"/>
    <w:rsid w:val="00911F1B"/>
    <w:rsid w:val="0091221F"/>
    <w:rsid w:val="00912336"/>
    <w:rsid w:val="0091241A"/>
    <w:rsid w:val="009125D6"/>
    <w:rsid w:val="00912801"/>
    <w:rsid w:val="009129D3"/>
    <w:rsid w:val="00912B71"/>
    <w:rsid w:val="00912D8A"/>
    <w:rsid w:val="0091317D"/>
    <w:rsid w:val="0091321A"/>
    <w:rsid w:val="0091326B"/>
    <w:rsid w:val="009132B4"/>
    <w:rsid w:val="00913556"/>
    <w:rsid w:val="00913696"/>
    <w:rsid w:val="009137D7"/>
    <w:rsid w:val="00913931"/>
    <w:rsid w:val="00913960"/>
    <w:rsid w:val="00913D63"/>
    <w:rsid w:val="00913D67"/>
    <w:rsid w:val="00913D74"/>
    <w:rsid w:val="00913DE3"/>
    <w:rsid w:val="009143DC"/>
    <w:rsid w:val="0091444B"/>
    <w:rsid w:val="009144C6"/>
    <w:rsid w:val="00914504"/>
    <w:rsid w:val="0091451B"/>
    <w:rsid w:val="00914747"/>
    <w:rsid w:val="00914815"/>
    <w:rsid w:val="009148F7"/>
    <w:rsid w:val="00914A21"/>
    <w:rsid w:val="00914B01"/>
    <w:rsid w:val="00914CFC"/>
    <w:rsid w:val="00914D09"/>
    <w:rsid w:val="00914D25"/>
    <w:rsid w:val="00914FA5"/>
    <w:rsid w:val="009155C1"/>
    <w:rsid w:val="009156AA"/>
    <w:rsid w:val="0091576B"/>
    <w:rsid w:val="009157AC"/>
    <w:rsid w:val="00915915"/>
    <w:rsid w:val="00915AE7"/>
    <w:rsid w:val="00915E9A"/>
    <w:rsid w:val="00915F95"/>
    <w:rsid w:val="00915FE1"/>
    <w:rsid w:val="00916139"/>
    <w:rsid w:val="00916601"/>
    <w:rsid w:val="0091672F"/>
    <w:rsid w:val="0091674E"/>
    <w:rsid w:val="0091692C"/>
    <w:rsid w:val="00916A5C"/>
    <w:rsid w:val="00916B12"/>
    <w:rsid w:val="00916BCA"/>
    <w:rsid w:val="00916BFC"/>
    <w:rsid w:val="00916C11"/>
    <w:rsid w:val="00916C81"/>
    <w:rsid w:val="00916DD2"/>
    <w:rsid w:val="00916EC0"/>
    <w:rsid w:val="00917064"/>
    <w:rsid w:val="00917363"/>
    <w:rsid w:val="00917384"/>
    <w:rsid w:val="009173DF"/>
    <w:rsid w:val="00917531"/>
    <w:rsid w:val="0091769F"/>
    <w:rsid w:val="009176F7"/>
    <w:rsid w:val="00917BA8"/>
    <w:rsid w:val="00917DA6"/>
    <w:rsid w:val="00919EB6"/>
    <w:rsid w:val="0092007F"/>
    <w:rsid w:val="00920312"/>
    <w:rsid w:val="00920358"/>
    <w:rsid w:val="009203FC"/>
    <w:rsid w:val="009204FA"/>
    <w:rsid w:val="00920569"/>
    <w:rsid w:val="0092056F"/>
    <w:rsid w:val="00920868"/>
    <w:rsid w:val="009208B9"/>
    <w:rsid w:val="0092099D"/>
    <w:rsid w:val="00920C5D"/>
    <w:rsid w:val="00920D5B"/>
    <w:rsid w:val="009210BC"/>
    <w:rsid w:val="0092120D"/>
    <w:rsid w:val="0092176A"/>
    <w:rsid w:val="009217A4"/>
    <w:rsid w:val="009217C0"/>
    <w:rsid w:val="00921935"/>
    <w:rsid w:val="009219D0"/>
    <w:rsid w:val="00921CF3"/>
    <w:rsid w:val="00921E63"/>
    <w:rsid w:val="00921EEE"/>
    <w:rsid w:val="00922010"/>
    <w:rsid w:val="009221F0"/>
    <w:rsid w:val="00922283"/>
    <w:rsid w:val="009226FB"/>
    <w:rsid w:val="009230B3"/>
    <w:rsid w:val="009231C2"/>
    <w:rsid w:val="009232B6"/>
    <w:rsid w:val="009233C1"/>
    <w:rsid w:val="00923B28"/>
    <w:rsid w:val="00923D09"/>
    <w:rsid w:val="00923E1F"/>
    <w:rsid w:val="00923FC6"/>
    <w:rsid w:val="009240AB"/>
    <w:rsid w:val="00924105"/>
    <w:rsid w:val="00924144"/>
    <w:rsid w:val="00924207"/>
    <w:rsid w:val="00924231"/>
    <w:rsid w:val="0092435B"/>
    <w:rsid w:val="00924439"/>
    <w:rsid w:val="009245DB"/>
    <w:rsid w:val="0092476F"/>
    <w:rsid w:val="00924836"/>
    <w:rsid w:val="00924871"/>
    <w:rsid w:val="00924A51"/>
    <w:rsid w:val="00924C68"/>
    <w:rsid w:val="00924D2A"/>
    <w:rsid w:val="00924E18"/>
    <w:rsid w:val="00924E44"/>
    <w:rsid w:val="0092565C"/>
    <w:rsid w:val="00925950"/>
    <w:rsid w:val="00925BCC"/>
    <w:rsid w:val="00925E79"/>
    <w:rsid w:val="00925F2A"/>
    <w:rsid w:val="00925FA9"/>
    <w:rsid w:val="009263F3"/>
    <w:rsid w:val="0092689B"/>
    <w:rsid w:val="009268CD"/>
    <w:rsid w:val="009268E5"/>
    <w:rsid w:val="00926A42"/>
    <w:rsid w:val="00926AB9"/>
    <w:rsid w:val="00926B03"/>
    <w:rsid w:val="00926EC6"/>
    <w:rsid w:val="009270F4"/>
    <w:rsid w:val="00927142"/>
    <w:rsid w:val="0092729A"/>
    <w:rsid w:val="009272FF"/>
    <w:rsid w:val="00927407"/>
    <w:rsid w:val="00927588"/>
    <w:rsid w:val="009275D3"/>
    <w:rsid w:val="00927AF0"/>
    <w:rsid w:val="00927C7E"/>
    <w:rsid w:val="00927D3F"/>
    <w:rsid w:val="00927EBF"/>
    <w:rsid w:val="00930086"/>
    <w:rsid w:val="0093015D"/>
    <w:rsid w:val="0093060F"/>
    <w:rsid w:val="0093074D"/>
    <w:rsid w:val="0093089B"/>
    <w:rsid w:val="00930FA9"/>
    <w:rsid w:val="0093102C"/>
    <w:rsid w:val="0093140B"/>
    <w:rsid w:val="0093142D"/>
    <w:rsid w:val="009314ED"/>
    <w:rsid w:val="00931510"/>
    <w:rsid w:val="0093154E"/>
    <w:rsid w:val="009315D2"/>
    <w:rsid w:val="0093167F"/>
    <w:rsid w:val="00931746"/>
    <w:rsid w:val="009319D2"/>
    <w:rsid w:val="00931ABE"/>
    <w:rsid w:val="00931CF5"/>
    <w:rsid w:val="00932249"/>
    <w:rsid w:val="009322D2"/>
    <w:rsid w:val="00932329"/>
    <w:rsid w:val="00932485"/>
    <w:rsid w:val="00932693"/>
    <w:rsid w:val="009328ED"/>
    <w:rsid w:val="00932C9A"/>
    <w:rsid w:val="00932D60"/>
    <w:rsid w:val="00933085"/>
    <w:rsid w:val="009330E6"/>
    <w:rsid w:val="00933227"/>
    <w:rsid w:val="00933291"/>
    <w:rsid w:val="0093340C"/>
    <w:rsid w:val="009334FA"/>
    <w:rsid w:val="0093361E"/>
    <w:rsid w:val="009337B8"/>
    <w:rsid w:val="00933B46"/>
    <w:rsid w:val="0093408C"/>
    <w:rsid w:val="009343AB"/>
    <w:rsid w:val="009343DD"/>
    <w:rsid w:val="009346DC"/>
    <w:rsid w:val="0093476D"/>
    <w:rsid w:val="00934828"/>
    <w:rsid w:val="009348C3"/>
    <w:rsid w:val="00934988"/>
    <w:rsid w:val="00934B72"/>
    <w:rsid w:val="00934C0D"/>
    <w:rsid w:val="009350E2"/>
    <w:rsid w:val="00935792"/>
    <w:rsid w:val="009359BF"/>
    <w:rsid w:val="00935A90"/>
    <w:rsid w:val="00935BC4"/>
    <w:rsid w:val="00935D35"/>
    <w:rsid w:val="00935E13"/>
    <w:rsid w:val="00936229"/>
    <w:rsid w:val="00936245"/>
    <w:rsid w:val="0093638A"/>
    <w:rsid w:val="009365AF"/>
    <w:rsid w:val="00936635"/>
    <w:rsid w:val="0093663C"/>
    <w:rsid w:val="009366C8"/>
    <w:rsid w:val="00936791"/>
    <w:rsid w:val="00936824"/>
    <w:rsid w:val="00937411"/>
    <w:rsid w:val="00937478"/>
    <w:rsid w:val="00937790"/>
    <w:rsid w:val="0093795D"/>
    <w:rsid w:val="00937987"/>
    <w:rsid w:val="00937CF7"/>
    <w:rsid w:val="00937DA7"/>
    <w:rsid w:val="00937E9C"/>
    <w:rsid w:val="00937F20"/>
    <w:rsid w:val="00937FC0"/>
    <w:rsid w:val="00940501"/>
    <w:rsid w:val="009408B3"/>
    <w:rsid w:val="00940A86"/>
    <w:rsid w:val="00940C88"/>
    <w:rsid w:val="009414F3"/>
    <w:rsid w:val="009416B6"/>
    <w:rsid w:val="0094172D"/>
    <w:rsid w:val="00941BD1"/>
    <w:rsid w:val="00941E63"/>
    <w:rsid w:val="00942081"/>
    <w:rsid w:val="009420A0"/>
    <w:rsid w:val="0094231C"/>
    <w:rsid w:val="00942A29"/>
    <w:rsid w:val="00942A2E"/>
    <w:rsid w:val="00942B51"/>
    <w:rsid w:val="00942D3F"/>
    <w:rsid w:val="00942E8E"/>
    <w:rsid w:val="00942F95"/>
    <w:rsid w:val="00942FE5"/>
    <w:rsid w:val="0094303F"/>
    <w:rsid w:val="009432AD"/>
    <w:rsid w:val="0094338A"/>
    <w:rsid w:val="00943451"/>
    <w:rsid w:val="009434B1"/>
    <w:rsid w:val="0094365B"/>
    <w:rsid w:val="009437A3"/>
    <w:rsid w:val="009438E7"/>
    <w:rsid w:val="00943971"/>
    <w:rsid w:val="00943A84"/>
    <w:rsid w:val="00943ABD"/>
    <w:rsid w:val="00943F85"/>
    <w:rsid w:val="00944061"/>
    <w:rsid w:val="009441BE"/>
    <w:rsid w:val="009441C1"/>
    <w:rsid w:val="00944393"/>
    <w:rsid w:val="00944465"/>
    <w:rsid w:val="0094457E"/>
    <w:rsid w:val="009445DC"/>
    <w:rsid w:val="00944761"/>
    <w:rsid w:val="00944B1F"/>
    <w:rsid w:val="00944B40"/>
    <w:rsid w:val="00944BC5"/>
    <w:rsid w:val="00944C74"/>
    <w:rsid w:val="00944C9F"/>
    <w:rsid w:val="00944CD7"/>
    <w:rsid w:val="00945027"/>
    <w:rsid w:val="009453A6"/>
    <w:rsid w:val="00945500"/>
    <w:rsid w:val="009458B4"/>
    <w:rsid w:val="00945C1A"/>
    <w:rsid w:val="00945E21"/>
    <w:rsid w:val="009464A2"/>
    <w:rsid w:val="009464AD"/>
    <w:rsid w:val="009465D3"/>
    <w:rsid w:val="009466EA"/>
    <w:rsid w:val="0094688C"/>
    <w:rsid w:val="00946992"/>
    <w:rsid w:val="00946BE3"/>
    <w:rsid w:val="00946CBC"/>
    <w:rsid w:val="00947609"/>
    <w:rsid w:val="00947A4C"/>
    <w:rsid w:val="00947C90"/>
    <w:rsid w:val="00947E58"/>
    <w:rsid w:val="00947EB3"/>
    <w:rsid w:val="00947FD9"/>
    <w:rsid w:val="009503E8"/>
    <w:rsid w:val="00950428"/>
    <w:rsid w:val="00950561"/>
    <w:rsid w:val="00950B6E"/>
    <w:rsid w:val="00950D4A"/>
    <w:rsid w:val="00950DA4"/>
    <w:rsid w:val="00950DAD"/>
    <w:rsid w:val="0095112C"/>
    <w:rsid w:val="0095118B"/>
    <w:rsid w:val="009512C0"/>
    <w:rsid w:val="0095135D"/>
    <w:rsid w:val="00951606"/>
    <w:rsid w:val="00951AC0"/>
    <w:rsid w:val="00951B3B"/>
    <w:rsid w:val="00951B63"/>
    <w:rsid w:val="00951DB0"/>
    <w:rsid w:val="00951E17"/>
    <w:rsid w:val="00951EE6"/>
    <w:rsid w:val="00951FA8"/>
    <w:rsid w:val="0095250D"/>
    <w:rsid w:val="00952901"/>
    <w:rsid w:val="00952E9E"/>
    <w:rsid w:val="00952F95"/>
    <w:rsid w:val="00953607"/>
    <w:rsid w:val="0095372C"/>
    <w:rsid w:val="009538D2"/>
    <w:rsid w:val="009538FD"/>
    <w:rsid w:val="00953D7E"/>
    <w:rsid w:val="00953E5F"/>
    <w:rsid w:val="00954113"/>
    <w:rsid w:val="0095421A"/>
    <w:rsid w:val="0095434E"/>
    <w:rsid w:val="00954393"/>
    <w:rsid w:val="00954834"/>
    <w:rsid w:val="00954835"/>
    <w:rsid w:val="00954C32"/>
    <w:rsid w:val="00954FBD"/>
    <w:rsid w:val="00955381"/>
    <w:rsid w:val="00955406"/>
    <w:rsid w:val="00955411"/>
    <w:rsid w:val="0095572E"/>
    <w:rsid w:val="0095580E"/>
    <w:rsid w:val="009558F3"/>
    <w:rsid w:val="009559D8"/>
    <w:rsid w:val="009559DF"/>
    <w:rsid w:val="00955E25"/>
    <w:rsid w:val="0095632C"/>
    <w:rsid w:val="009563AA"/>
    <w:rsid w:val="009563EA"/>
    <w:rsid w:val="0095642C"/>
    <w:rsid w:val="0095662C"/>
    <w:rsid w:val="00956693"/>
    <w:rsid w:val="009567E0"/>
    <w:rsid w:val="0095693C"/>
    <w:rsid w:val="00956A3E"/>
    <w:rsid w:val="00956AEA"/>
    <w:rsid w:val="00956B16"/>
    <w:rsid w:val="00956BC3"/>
    <w:rsid w:val="00956BD7"/>
    <w:rsid w:val="00956CD3"/>
    <w:rsid w:val="009571D8"/>
    <w:rsid w:val="0095749A"/>
    <w:rsid w:val="009574DC"/>
    <w:rsid w:val="00957644"/>
    <w:rsid w:val="00957864"/>
    <w:rsid w:val="0095791F"/>
    <w:rsid w:val="00957E6C"/>
    <w:rsid w:val="00957F93"/>
    <w:rsid w:val="00960204"/>
    <w:rsid w:val="009602FA"/>
    <w:rsid w:val="009604FA"/>
    <w:rsid w:val="0096068B"/>
    <w:rsid w:val="009608C4"/>
    <w:rsid w:val="00960927"/>
    <w:rsid w:val="00960A52"/>
    <w:rsid w:val="00960B52"/>
    <w:rsid w:val="009611E9"/>
    <w:rsid w:val="009612DB"/>
    <w:rsid w:val="00961333"/>
    <w:rsid w:val="009614FC"/>
    <w:rsid w:val="00961A42"/>
    <w:rsid w:val="00961AF5"/>
    <w:rsid w:val="00961BDB"/>
    <w:rsid w:val="00961F83"/>
    <w:rsid w:val="0096223A"/>
    <w:rsid w:val="00962438"/>
    <w:rsid w:val="00962456"/>
    <w:rsid w:val="00962812"/>
    <w:rsid w:val="00962AE8"/>
    <w:rsid w:val="00962C8C"/>
    <w:rsid w:val="00963014"/>
    <w:rsid w:val="009633CA"/>
    <w:rsid w:val="00963454"/>
    <w:rsid w:val="00963718"/>
    <w:rsid w:val="009637BA"/>
    <w:rsid w:val="00963F2D"/>
    <w:rsid w:val="00963F8F"/>
    <w:rsid w:val="009644D5"/>
    <w:rsid w:val="009645B8"/>
    <w:rsid w:val="00964864"/>
    <w:rsid w:val="00964B72"/>
    <w:rsid w:val="00964BF6"/>
    <w:rsid w:val="00964C6F"/>
    <w:rsid w:val="00964EF4"/>
    <w:rsid w:val="0096501E"/>
    <w:rsid w:val="0096508A"/>
    <w:rsid w:val="00965190"/>
    <w:rsid w:val="009651A3"/>
    <w:rsid w:val="009651C9"/>
    <w:rsid w:val="00965324"/>
    <w:rsid w:val="0096552F"/>
    <w:rsid w:val="0096578F"/>
    <w:rsid w:val="009658AD"/>
    <w:rsid w:val="00965E8E"/>
    <w:rsid w:val="00966019"/>
    <w:rsid w:val="0096610F"/>
    <w:rsid w:val="0096612F"/>
    <w:rsid w:val="00966150"/>
    <w:rsid w:val="00966786"/>
    <w:rsid w:val="00966C8E"/>
    <w:rsid w:val="00966EE6"/>
    <w:rsid w:val="009670CA"/>
    <w:rsid w:val="00967144"/>
    <w:rsid w:val="0096716F"/>
    <w:rsid w:val="00967545"/>
    <w:rsid w:val="00967633"/>
    <w:rsid w:val="009676EE"/>
    <w:rsid w:val="00967753"/>
    <w:rsid w:val="009677AC"/>
    <w:rsid w:val="00967830"/>
    <w:rsid w:val="0096788E"/>
    <w:rsid w:val="00967892"/>
    <w:rsid w:val="009679D2"/>
    <w:rsid w:val="00967A0F"/>
    <w:rsid w:val="00967B47"/>
    <w:rsid w:val="00967BC8"/>
    <w:rsid w:val="00967BE3"/>
    <w:rsid w:val="00967F4A"/>
    <w:rsid w:val="009702FB"/>
    <w:rsid w:val="009703A4"/>
    <w:rsid w:val="0097068E"/>
    <w:rsid w:val="0097079A"/>
    <w:rsid w:val="00970CFB"/>
    <w:rsid w:val="00970DE3"/>
    <w:rsid w:val="00970FFE"/>
    <w:rsid w:val="009711B9"/>
    <w:rsid w:val="009714D6"/>
    <w:rsid w:val="00971558"/>
    <w:rsid w:val="00971697"/>
    <w:rsid w:val="009717B5"/>
    <w:rsid w:val="00971893"/>
    <w:rsid w:val="009719A0"/>
    <w:rsid w:val="00971DD8"/>
    <w:rsid w:val="009720BB"/>
    <w:rsid w:val="00972165"/>
    <w:rsid w:val="0097218F"/>
    <w:rsid w:val="00972545"/>
    <w:rsid w:val="009728C7"/>
    <w:rsid w:val="009728EC"/>
    <w:rsid w:val="00972932"/>
    <w:rsid w:val="009729BF"/>
    <w:rsid w:val="00972F23"/>
    <w:rsid w:val="009732F0"/>
    <w:rsid w:val="00973463"/>
    <w:rsid w:val="009734BF"/>
    <w:rsid w:val="00973A4A"/>
    <w:rsid w:val="00973B8F"/>
    <w:rsid w:val="00974155"/>
    <w:rsid w:val="009741E6"/>
    <w:rsid w:val="00974358"/>
    <w:rsid w:val="00974A92"/>
    <w:rsid w:val="00974AB1"/>
    <w:rsid w:val="00974B32"/>
    <w:rsid w:val="00974F9F"/>
    <w:rsid w:val="00974FB6"/>
    <w:rsid w:val="0097522A"/>
    <w:rsid w:val="0097561D"/>
    <w:rsid w:val="009758CF"/>
    <w:rsid w:val="00975CAE"/>
    <w:rsid w:val="00975FE5"/>
    <w:rsid w:val="0097615E"/>
    <w:rsid w:val="00976E40"/>
    <w:rsid w:val="00976F92"/>
    <w:rsid w:val="00976FD0"/>
    <w:rsid w:val="009773CF"/>
    <w:rsid w:val="0097774E"/>
    <w:rsid w:val="00977991"/>
    <w:rsid w:val="00977EF1"/>
    <w:rsid w:val="00977F7B"/>
    <w:rsid w:val="0098026A"/>
    <w:rsid w:val="0098030C"/>
    <w:rsid w:val="009803F0"/>
    <w:rsid w:val="0098059D"/>
    <w:rsid w:val="0098085C"/>
    <w:rsid w:val="00980902"/>
    <w:rsid w:val="0098092E"/>
    <w:rsid w:val="00980A88"/>
    <w:rsid w:val="00980FA8"/>
    <w:rsid w:val="0098115B"/>
    <w:rsid w:val="009812BC"/>
    <w:rsid w:val="00981A81"/>
    <w:rsid w:val="00981C98"/>
    <w:rsid w:val="00981DFF"/>
    <w:rsid w:val="009820F4"/>
    <w:rsid w:val="009821CE"/>
    <w:rsid w:val="009826B7"/>
    <w:rsid w:val="00982905"/>
    <w:rsid w:val="0098298F"/>
    <w:rsid w:val="00982C96"/>
    <w:rsid w:val="00982D5C"/>
    <w:rsid w:val="00983004"/>
    <w:rsid w:val="0098306B"/>
    <w:rsid w:val="00983281"/>
    <w:rsid w:val="0098351C"/>
    <w:rsid w:val="0098389C"/>
    <w:rsid w:val="00983977"/>
    <w:rsid w:val="009839E6"/>
    <w:rsid w:val="00983C39"/>
    <w:rsid w:val="00983D57"/>
    <w:rsid w:val="00983E39"/>
    <w:rsid w:val="00983EC3"/>
    <w:rsid w:val="00983EDD"/>
    <w:rsid w:val="00983F0D"/>
    <w:rsid w:val="009841EA"/>
    <w:rsid w:val="009842B9"/>
    <w:rsid w:val="0098440B"/>
    <w:rsid w:val="00984577"/>
    <w:rsid w:val="00984808"/>
    <w:rsid w:val="00984A82"/>
    <w:rsid w:val="00984A90"/>
    <w:rsid w:val="00984CFB"/>
    <w:rsid w:val="00984D71"/>
    <w:rsid w:val="00984F6B"/>
    <w:rsid w:val="00984FA9"/>
    <w:rsid w:val="00984FEA"/>
    <w:rsid w:val="00985175"/>
    <w:rsid w:val="009851FA"/>
    <w:rsid w:val="009854D5"/>
    <w:rsid w:val="009859FB"/>
    <w:rsid w:val="00985A3E"/>
    <w:rsid w:val="00985AAA"/>
    <w:rsid w:val="009860DB"/>
    <w:rsid w:val="00986312"/>
    <w:rsid w:val="009863F1"/>
    <w:rsid w:val="009864FF"/>
    <w:rsid w:val="00986705"/>
    <w:rsid w:val="00986ACA"/>
    <w:rsid w:val="00986E0A"/>
    <w:rsid w:val="00986E4C"/>
    <w:rsid w:val="00986E8B"/>
    <w:rsid w:val="00987161"/>
    <w:rsid w:val="009872C1"/>
    <w:rsid w:val="0098731F"/>
    <w:rsid w:val="0098736C"/>
    <w:rsid w:val="009873E0"/>
    <w:rsid w:val="00987445"/>
    <w:rsid w:val="0098746B"/>
    <w:rsid w:val="009874F2"/>
    <w:rsid w:val="009876B0"/>
    <w:rsid w:val="009876E3"/>
    <w:rsid w:val="009877B6"/>
    <w:rsid w:val="0098780E"/>
    <w:rsid w:val="00987C46"/>
    <w:rsid w:val="0098EE89"/>
    <w:rsid w:val="00990173"/>
    <w:rsid w:val="0099024E"/>
    <w:rsid w:val="009902F7"/>
    <w:rsid w:val="00990A16"/>
    <w:rsid w:val="00990ABE"/>
    <w:rsid w:val="00990C11"/>
    <w:rsid w:val="00990CCC"/>
    <w:rsid w:val="00990D08"/>
    <w:rsid w:val="00990E6F"/>
    <w:rsid w:val="009914A9"/>
    <w:rsid w:val="009916A9"/>
    <w:rsid w:val="009918FB"/>
    <w:rsid w:val="009919A0"/>
    <w:rsid w:val="00991CBD"/>
    <w:rsid w:val="00991E11"/>
    <w:rsid w:val="0099202B"/>
    <w:rsid w:val="00992032"/>
    <w:rsid w:val="0099229D"/>
    <w:rsid w:val="009923CD"/>
    <w:rsid w:val="00992628"/>
    <w:rsid w:val="00992B1C"/>
    <w:rsid w:val="00992BEA"/>
    <w:rsid w:val="00992C42"/>
    <w:rsid w:val="0099311F"/>
    <w:rsid w:val="009931CF"/>
    <w:rsid w:val="009937F0"/>
    <w:rsid w:val="00993B4A"/>
    <w:rsid w:val="00993CAA"/>
    <w:rsid w:val="00993F23"/>
    <w:rsid w:val="00994041"/>
    <w:rsid w:val="00994077"/>
    <w:rsid w:val="0099443C"/>
    <w:rsid w:val="00994C50"/>
    <w:rsid w:val="00994D43"/>
    <w:rsid w:val="00994EE2"/>
    <w:rsid w:val="00994FF2"/>
    <w:rsid w:val="00995070"/>
    <w:rsid w:val="0099507F"/>
    <w:rsid w:val="009951DE"/>
    <w:rsid w:val="0099526A"/>
    <w:rsid w:val="00995273"/>
    <w:rsid w:val="0099557F"/>
    <w:rsid w:val="00995582"/>
    <w:rsid w:val="009955AA"/>
    <w:rsid w:val="0099568F"/>
    <w:rsid w:val="009957AC"/>
    <w:rsid w:val="009957C2"/>
    <w:rsid w:val="0099597D"/>
    <w:rsid w:val="00995D40"/>
    <w:rsid w:val="00995D4E"/>
    <w:rsid w:val="00995E5C"/>
    <w:rsid w:val="009962E9"/>
    <w:rsid w:val="009963A7"/>
    <w:rsid w:val="00996853"/>
    <w:rsid w:val="009969A6"/>
    <w:rsid w:val="009969C0"/>
    <w:rsid w:val="009969DD"/>
    <w:rsid w:val="009969F0"/>
    <w:rsid w:val="00996C18"/>
    <w:rsid w:val="00996C5B"/>
    <w:rsid w:val="00996CF7"/>
    <w:rsid w:val="00996D30"/>
    <w:rsid w:val="00996DA3"/>
    <w:rsid w:val="00996E32"/>
    <w:rsid w:val="00996E59"/>
    <w:rsid w:val="00996E9E"/>
    <w:rsid w:val="00997005"/>
    <w:rsid w:val="00997114"/>
    <w:rsid w:val="00997291"/>
    <w:rsid w:val="009972CB"/>
    <w:rsid w:val="0099732D"/>
    <w:rsid w:val="00997338"/>
    <w:rsid w:val="0099745E"/>
    <w:rsid w:val="00997719"/>
    <w:rsid w:val="00997780"/>
    <w:rsid w:val="00997C90"/>
    <w:rsid w:val="00997CB1"/>
    <w:rsid w:val="00997D34"/>
    <w:rsid w:val="009A033C"/>
    <w:rsid w:val="009A04FE"/>
    <w:rsid w:val="009A0577"/>
    <w:rsid w:val="009A0A43"/>
    <w:rsid w:val="009A0A4D"/>
    <w:rsid w:val="009A0C00"/>
    <w:rsid w:val="009A0E89"/>
    <w:rsid w:val="009A0FEB"/>
    <w:rsid w:val="009A142B"/>
    <w:rsid w:val="009A182D"/>
    <w:rsid w:val="009A187B"/>
    <w:rsid w:val="009A187D"/>
    <w:rsid w:val="009A1A33"/>
    <w:rsid w:val="009A1ECA"/>
    <w:rsid w:val="009A1F7E"/>
    <w:rsid w:val="009A2017"/>
    <w:rsid w:val="009A20BC"/>
    <w:rsid w:val="009A20DD"/>
    <w:rsid w:val="009A221E"/>
    <w:rsid w:val="009A23D0"/>
    <w:rsid w:val="009A23D3"/>
    <w:rsid w:val="009A2575"/>
    <w:rsid w:val="009A2BA0"/>
    <w:rsid w:val="009A2DE0"/>
    <w:rsid w:val="009A2E82"/>
    <w:rsid w:val="009A31D8"/>
    <w:rsid w:val="009A320B"/>
    <w:rsid w:val="009A33E2"/>
    <w:rsid w:val="009A33E3"/>
    <w:rsid w:val="009A3BE7"/>
    <w:rsid w:val="009A3C5A"/>
    <w:rsid w:val="009A3C6C"/>
    <w:rsid w:val="009A404C"/>
    <w:rsid w:val="009A40E1"/>
    <w:rsid w:val="009A423B"/>
    <w:rsid w:val="009A42B9"/>
    <w:rsid w:val="009A45E0"/>
    <w:rsid w:val="009A4757"/>
    <w:rsid w:val="009A4760"/>
    <w:rsid w:val="009A4B0A"/>
    <w:rsid w:val="009A4BED"/>
    <w:rsid w:val="009A4D63"/>
    <w:rsid w:val="009A4E67"/>
    <w:rsid w:val="009A501F"/>
    <w:rsid w:val="009A5657"/>
    <w:rsid w:val="009A57CB"/>
    <w:rsid w:val="009A58B5"/>
    <w:rsid w:val="009A59CB"/>
    <w:rsid w:val="009A5C63"/>
    <w:rsid w:val="009A5D5A"/>
    <w:rsid w:val="009A5E72"/>
    <w:rsid w:val="009A61A4"/>
    <w:rsid w:val="009A6425"/>
    <w:rsid w:val="009A66C8"/>
    <w:rsid w:val="009A68FD"/>
    <w:rsid w:val="009A716B"/>
    <w:rsid w:val="009A73E3"/>
    <w:rsid w:val="009A742A"/>
    <w:rsid w:val="009A7567"/>
    <w:rsid w:val="009A774C"/>
    <w:rsid w:val="009A77FA"/>
    <w:rsid w:val="009A7818"/>
    <w:rsid w:val="009A787B"/>
    <w:rsid w:val="009A78F1"/>
    <w:rsid w:val="009A7D8A"/>
    <w:rsid w:val="009A7D8E"/>
    <w:rsid w:val="009A7F1A"/>
    <w:rsid w:val="009B004C"/>
    <w:rsid w:val="009B00C0"/>
    <w:rsid w:val="009B045E"/>
    <w:rsid w:val="009B0582"/>
    <w:rsid w:val="009B06D8"/>
    <w:rsid w:val="009B0833"/>
    <w:rsid w:val="009B08DA"/>
    <w:rsid w:val="009B0BCF"/>
    <w:rsid w:val="009B0BF2"/>
    <w:rsid w:val="009B0C82"/>
    <w:rsid w:val="009B0E15"/>
    <w:rsid w:val="009B11B7"/>
    <w:rsid w:val="009B120A"/>
    <w:rsid w:val="009B1384"/>
    <w:rsid w:val="009B13C2"/>
    <w:rsid w:val="009B1457"/>
    <w:rsid w:val="009B149E"/>
    <w:rsid w:val="009B16ED"/>
    <w:rsid w:val="009B180B"/>
    <w:rsid w:val="009B1895"/>
    <w:rsid w:val="009B1E5E"/>
    <w:rsid w:val="009B1F56"/>
    <w:rsid w:val="009B2046"/>
    <w:rsid w:val="009B2164"/>
    <w:rsid w:val="009B21F9"/>
    <w:rsid w:val="009B265A"/>
    <w:rsid w:val="009B298B"/>
    <w:rsid w:val="009B2A3E"/>
    <w:rsid w:val="009B2B1E"/>
    <w:rsid w:val="009B2C27"/>
    <w:rsid w:val="009B2E15"/>
    <w:rsid w:val="009B3024"/>
    <w:rsid w:val="009B34E4"/>
    <w:rsid w:val="009B3682"/>
    <w:rsid w:val="009B3708"/>
    <w:rsid w:val="009B38D1"/>
    <w:rsid w:val="009B39AB"/>
    <w:rsid w:val="009B3A70"/>
    <w:rsid w:val="009B3AA7"/>
    <w:rsid w:val="009B3B6A"/>
    <w:rsid w:val="009B3D45"/>
    <w:rsid w:val="009B3F29"/>
    <w:rsid w:val="009B3FD4"/>
    <w:rsid w:val="009B4171"/>
    <w:rsid w:val="009B442C"/>
    <w:rsid w:val="009B46B9"/>
    <w:rsid w:val="009B4707"/>
    <w:rsid w:val="009B4E6C"/>
    <w:rsid w:val="009B53D8"/>
    <w:rsid w:val="009B551E"/>
    <w:rsid w:val="009B5645"/>
    <w:rsid w:val="009B5798"/>
    <w:rsid w:val="009B5884"/>
    <w:rsid w:val="009B599B"/>
    <w:rsid w:val="009B5B49"/>
    <w:rsid w:val="009B5BAB"/>
    <w:rsid w:val="009B5D1A"/>
    <w:rsid w:val="009B5F6D"/>
    <w:rsid w:val="009B612A"/>
    <w:rsid w:val="009B61AC"/>
    <w:rsid w:val="009B6229"/>
    <w:rsid w:val="009B627D"/>
    <w:rsid w:val="009B6507"/>
    <w:rsid w:val="009B65B9"/>
    <w:rsid w:val="009B6833"/>
    <w:rsid w:val="009B68D2"/>
    <w:rsid w:val="009B68FB"/>
    <w:rsid w:val="009B6903"/>
    <w:rsid w:val="009B6929"/>
    <w:rsid w:val="009B6ABC"/>
    <w:rsid w:val="009B6C54"/>
    <w:rsid w:val="009B7063"/>
    <w:rsid w:val="009B71DE"/>
    <w:rsid w:val="009B72D1"/>
    <w:rsid w:val="009B7672"/>
    <w:rsid w:val="009B776D"/>
    <w:rsid w:val="009B77D9"/>
    <w:rsid w:val="009B7926"/>
    <w:rsid w:val="009B7C03"/>
    <w:rsid w:val="009B7C1D"/>
    <w:rsid w:val="009B7DDB"/>
    <w:rsid w:val="009C021A"/>
    <w:rsid w:val="009C059E"/>
    <w:rsid w:val="009C08EA"/>
    <w:rsid w:val="009C10A7"/>
    <w:rsid w:val="009C1317"/>
    <w:rsid w:val="009C1391"/>
    <w:rsid w:val="009C1511"/>
    <w:rsid w:val="009C15D8"/>
    <w:rsid w:val="009C16B9"/>
    <w:rsid w:val="009C1D1F"/>
    <w:rsid w:val="009C1F82"/>
    <w:rsid w:val="009C20C1"/>
    <w:rsid w:val="009C22C5"/>
    <w:rsid w:val="009C22FC"/>
    <w:rsid w:val="009C248B"/>
    <w:rsid w:val="009C2688"/>
    <w:rsid w:val="009C276E"/>
    <w:rsid w:val="009C28D4"/>
    <w:rsid w:val="009C2DB5"/>
    <w:rsid w:val="009C2E5F"/>
    <w:rsid w:val="009C3070"/>
    <w:rsid w:val="009C31FD"/>
    <w:rsid w:val="009C3299"/>
    <w:rsid w:val="009C3506"/>
    <w:rsid w:val="009C3725"/>
    <w:rsid w:val="009C381C"/>
    <w:rsid w:val="009C386E"/>
    <w:rsid w:val="009C394A"/>
    <w:rsid w:val="009C3D92"/>
    <w:rsid w:val="009C4036"/>
    <w:rsid w:val="009C4399"/>
    <w:rsid w:val="009C4528"/>
    <w:rsid w:val="009C4641"/>
    <w:rsid w:val="009C4661"/>
    <w:rsid w:val="009C478A"/>
    <w:rsid w:val="009C48B6"/>
    <w:rsid w:val="009C4AB1"/>
    <w:rsid w:val="009C4D0F"/>
    <w:rsid w:val="009C4E2C"/>
    <w:rsid w:val="009C54CB"/>
    <w:rsid w:val="009C5A7D"/>
    <w:rsid w:val="009C602D"/>
    <w:rsid w:val="009C6063"/>
    <w:rsid w:val="009C60F6"/>
    <w:rsid w:val="009C6212"/>
    <w:rsid w:val="009C636C"/>
    <w:rsid w:val="009C6721"/>
    <w:rsid w:val="009C6884"/>
    <w:rsid w:val="009C6CA9"/>
    <w:rsid w:val="009C6D6E"/>
    <w:rsid w:val="009C6DEE"/>
    <w:rsid w:val="009C6F99"/>
    <w:rsid w:val="009C6FDE"/>
    <w:rsid w:val="009C78BF"/>
    <w:rsid w:val="009C7AE8"/>
    <w:rsid w:val="009C7DE9"/>
    <w:rsid w:val="009C7EE3"/>
    <w:rsid w:val="009D001E"/>
    <w:rsid w:val="009D0319"/>
    <w:rsid w:val="009D03C6"/>
    <w:rsid w:val="009D042A"/>
    <w:rsid w:val="009D06D8"/>
    <w:rsid w:val="009D0E1E"/>
    <w:rsid w:val="009D0EAC"/>
    <w:rsid w:val="009D11F9"/>
    <w:rsid w:val="009D141B"/>
    <w:rsid w:val="009D162E"/>
    <w:rsid w:val="009D1667"/>
    <w:rsid w:val="009D17E6"/>
    <w:rsid w:val="009D1A2F"/>
    <w:rsid w:val="009D1BDB"/>
    <w:rsid w:val="009D1F9B"/>
    <w:rsid w:val="009D2089"/>
    <w:rsid w:val="009D20AA"/>
    <w:rsid w:val="009D24A1"/>
    <w:rsid w:val="009D284A"/>
    <w:rsid w:val="009D28A0"/>
    <w:rsid w:val="009D2BD9"/>
    <w:rsid w:val="009D2D7E"/>
    <w:rsid w:val="009D2DF6"/>
    <w:rsid w:val="009D30FC"/>
    <w:rsid w:val="009D329F"/>
    <w:rsid w:val="009D3592"/>
    <w:rsid w:val="009D3693"/>
    <w:rsid w:val="009D37C7"/>
    <w:rsid w:val="009D3A47"/>
    <w:rsid w:val="009D3C1B"/>
    <w:rsid w:val="009D3D17"/>
    <w:rsid w:val="009D3D7B"/>
    <w:rsid w:val="009D3EC0"/>
    <w:rsid w:val="009D3F65"/>
    <w:rsid w:val="009D3F74"/>
    <w:rsid w:val="009D3FBA"/>
    <w:rsid w:val="009D3FF0"/>
    <w:rsid w:val="009D4182"/>
    <w:rsid w:val="009D43C9"/>
    <w:rsid w:val="009D476B"/>
    <w:rsid w:val="009D47ED"/>
    <w:rsid w:val="009D4AF7"/>
    <w:rsid w:val="009D4B2A"/>
    <w:rsid w:val="009D4C09"/>
    <w:rsid w:val="009D4C93"/>
    <w:rsid w:val="009D4D3E"/>
    <w:rsid w:val="009D4E90"/>
    <w:rsid w:val="009D4ECD"/>
    <w:rsid w:val="009D51F4"/>
    <w:rsid w:val="009D5226"/>
    <w:rsid w:val="009D5910"/>
    <w:rsid w:val="009D5CB0"/>
    <w:rsid w:val="009D5DCE"/>
    <w:rsid w:val="009D5F56"/>
    <w:rsid w:val="009D5F5E"/>
    <w:rsid w:val="009D632B"/>
    <w:rsid w:val="009D6393"/>
    <w:rsid w:val="009D63CE"/>
    <w:rsid w:val="009D63D7"/>
    <w:rsid w:val="009D654C"/>
    <w:rsid w:val="009D6560"/>
    <w:rsid w:val="009D67B6"/>
    <w:rsid w:val="009D680F"/>
    <w:rsid w:val="009D6954"/>
    <w:rsid w:val="009D698F"/>
    <w:rsid w:val="009D6DB5"/>
    <w:rsid w:val="009D6ED4"/>
    <w:rsid w:val="009D7042"/>
    <w:rsid w:val="009D7335"/>
    <w:rsid w:val="009D747C"/>
    <w:rsid w:val="009D75F4"/>
    <w:rsid w:val="009D7674"/>
    <w:rsid w:val="009D76B6"/>
    <w:rsid w:val="009D7927"/>
    <w:rsid w:val="009D7A0B"/>
    <w:rsid w:val="009D7D30"/>
    <w:rsid w:val="009D7DE4"/>
    <w:rsid w:val="009D7E34"/>
    <w:rsid w:val="009D7FE4"/>
    <w:rsid w:val="009DFB68"/>
    <w:rsid w:val="009E01E0"/>
    <w:rsid w:val="009E031D"/>
    <w:rsid w:val="009E04E4"/>
    <w:rsid w:val="009E07DE"/>
    <w:rsid w:val="009E07E2"/>
    <w:rsid w:val="009E0896"/>
    <w:rsid w:val="009E0CBB"/>
    <w:rsid w:val="009E0D53"/>
    <w:rsid w:val="009E0DCB"/>
    <w:rsid w:val="009E104A"/>
    <w:rsid w:val="009E1133"/>
    <w:rsid w:val="009E11C3"/>
    <w:rsid w:val="009E1266"/>
    <w:rsid w:val="009E13B1"/>
    <w:rsid w:val="009E145A"/>
    <w:rsid w:val="009E15BD"/>
    <w:rsid w:val="009E16C5"/>
    <w:rsid w:val="009E16C9"/>
    <w:rsid w:val="009E1B2B"/>
    <w:rsid w:val="009E1BFF"/>
    <w:rsid w:val="009E1F9C"/>
    <w:rsid w:val="009E2108"/>
    <w:rsid w:val="009E21E5"/>
    <w:rsid w:val="009E221A"/>
    <w:rsid w:val="009E24EF"/>
    <w:rsid w:val="009E24FD"/>
    <w:rsid w:val="009E2752"/>
    <w:rsid w:val="009E28C0"/>
    <w:rsid w:val="009E28C4"/>
    <w:rsid w:val="009E29C6"/>
    <w:rsid w:val="009E2A03"/>
    <w:rsid w:val="009E2A7B"/>
    <w:rsid w:val="009E2C5C"/>
    <w:rsid w:val="009E2F50"/>
    <w:rsid w:val="009E313B"/>
    <w:rsid w:val="009E31C9"/>
    <w:rsid w:val="009E356C"/>
    <w:rsid w:val="009E364E"/>
    <w:rsid w:val="009E3A62"/>
    <w:rsid w:val="009E3D3B"/>
    <w:rsid w:val="009E3DBD"/>
    <w:rsid w:val="009E3F9F"/>
    <w:rsid w:val="009E40BA"/>
    <w:rsid w:val="009E420D"/>
    <w:rsid w:val="009E43A9"/>
    <w:rsid w:val="009E4575"/>
    <w:rsid w:val="009E4675"/>
    <w:rsid w:val="009E4865"/>
    <w:rsid w:val="009E4947"/>
    <w:rsid w:val="009E5276"/>
    <w:rsid w:val="009E557F"/>
    <w:rsid w:val="009E58E1"/>
    <w:rsid w:val="009E5916"/>
    <w:rsid w:val="009E5CA9"/>
    <w:rsid w:val="009E5CBE"/>
    <w:rsid w:val="009E5CEF"/>
    <w:rsid w:val="009E5F14"/>
    <w:rsid w:val="009E5F40"/>
    <w:rsid w:val="009E602B"/>
    <w:rsid w:val="009E6040"/>
    <w:rsid w:val="009E63F9"/>
    <w:rsid w:val="009E640C"/>
    <w:rsid w:val="009E671D"/>
    <w:rsid w:val="009E686E"/>
    <w:rsid w:val="009E68DF"/>
    <w:rsid w:val="009E6AE6"/>
    <w:rsid w:val="009E6DE1"/>
    <w:rsid w:val="009E6F39"/>
    <w:rsid w:val="009E7572"/>
    <w:rsid w:val="009E7814"/>
    <w:rsid w:val="009E7923"/>
    <w:rsid w:val="009E7BAF"/>
    <w:rsid w:val="009E7BB1"/>
    <w:rsid w:val="009E7C40"/>
    <w:rsid w:val="009E7DEC"/>
    <w:rsid w:val="009E7FA8"/>
    <w:rsid w:val="009EBAF8"/>
    <w:rsid w:val="009F0135"/>
    <w:rsid w:val="009F01D9"/>
    <w:rsid w:val="009F043A"/>
    <w:rsid w:val="009F050C"/>
    <w:rsid w:val="009F059D"/>
    <w:rsid w:val="009F05D9"/>
    <w:rsid w:val="009F05ED"/>
    <w:rsid w:val="009F074E"/>
    <w:rsid w:val="009F08F5"/>
    <w:rsid w:val="009F0C44"/>
    <w:rsid w:val="009F0D5A"/>
    <w:rsid w:val="009F0F2F"/>
    <w:rsid w:val="009F0F74"/>
    <w:rsid w:val="009F10A4"/>
    <w:rsid w:val="009F127D"/>
    <w:rsid w:val="009F134A"/>
    <w:rsid w:val="009F1389"/>
    <w:rsid w:val="009F1643"/>
    <w:rsid w:val="009F16B8"/>
    <w:rsid w:val="009F1869"/>
    <w:rsid w:val="009F1B81"/>
    <w:rsid w:val="009F1BB3"/>
    <w:rsid w:val="009F1F8B"/>
    <w:rsid w:val="009F215C"/>
    <w:rsid w:val="009F2945"/>
    <w:rsid w:val="009F2CE8"/>
    <w:rsid w:val="009F2DAA"/>
    <w:rsid w:val="009F2DE8"/>
    <w:rsid w:val="009F2E5A"/>
    <w:rsid w:val="009F2ED8"/>
    <w:rsid w:val="009F3278"/>
    <w:rsid w:val="009F32AE"/>
    <w:rsid w:val="009F33B6"/>
    <w:rsid w:val="009F38B7"/>
    <w:rsid w:val="009F3A1B"/>
    <w:rsid w:val="009F3E39"/>
    <w:rsid w:val="009F3FB7"/>
    <w:rsid w:val="009F42CA"/>
    <w:rsid w:val="009F435F"/>
    <w:rsid w:val="009F43F5"/>
    <w:rsid w:val="009F4404"/>
    <w:rsid w:val="009F47A4"/>
    <w:rsid w:val="009F4B2F"/>
    <w:rsid w:val="009F4D74"/>
    <w:rsid w:val="009F4DE4"/>
    <w:rsid w:val="009F5027"/>
    <w:rsid w:val="009F51BF"/>
    <w:rsid w:val="009F5332"/>
    <w:rsid w:val="009F54BF"/>
    <w:rsid w:val="009F54C8"/>
    <w:rsid w:val="009F54DD"/>
    <w:rsid w:val="009F5583"/>
    <w:rsid w:val="009F573C"/>
    <w:rsid w:val="009F5860"/>
    <w:rsid w:val="009F5E6A"/>
    <w:rsid w:val="009F5E9A"/>
    <w:rsid w:val="009F5FB2"/>
    <w:rsid w:val="009F615A"/>
    <w:rsid w:val="009F62EF"/>
    <w:rsid w:val="009F631F"/>
    <w:rsid w:val="009F6442"/>
    <w:rsid w:val="009F671B"/>
    <w:rsid w:val="009F6C4C"/>
    <w:rsid w:val="009F70D3"/>
    <w:rsid w:val="009F70E9"/>
    <w:rsid w:val="009F71C7"/>
    <w:rsid w:val="009F7539"/>
    <w:rsid w:val="009F772A"/>
    <w:rsid w:val="009F7882"/>
    <w:rsid w:val="009F7ADF"/>
    <w:rsid w:val="009F7DA6"/>
    <w:rsid w:val="009F7DE8"/>
    <w:rsid w:val="009F7FF3"/>
    <w:rsid w:val="00A00352"/>
    <w:rsid w:val="00A003A6"/>
    <w:rsid w:val="00A00429"/>
    <w:rsid w:val="00A0061B"/>
    <w:rsid w:val="00A006ED"/>
    <w:rsid w:val="00A0076C"/>
    <w:rsid w:val="00A0082B"/>
    <w:rsid w:val="00A00C29"/>
    <w:rsid w:val="00A00E78"/>
    <w:rsid w:val="00A00FBA"/>
    <w:rsid w:val="00A012CB"/>
    <w:rsid w:val="00A01956"/>
    <w:rsid w:val="00A01C65"/>
    <w:rsid w:val="00A01CE6"/>
    <w:rsid w:val="00A01F58"/>
    <w:rsid w:val="00A0202F"/>
    <w:rsid w:val="00A02233"/>
    <w:rsid w:val="00A0241D"/>
    <w:rsid w:val="00A02501"/>
    <w:rsid w:val="00A027DE"/>
    <w:rsid w:val="00A02886"/>
    <w:rsid w:val="00A02A41"/>
    <w:rsid w:val="00A02BEB"/>
    <w:rsid w:val="00A02CDD"/>
    <w:rsid w:val="00A02E82"/>
    <w:rsid w:val="00A02FDF"/>
    <w:rsid w:val="00A032A2"/>
    <w:rsid w:val="00A03355"/>
    <w:rsid w:val="00A033C6"/>
    <w:rsid w:val="00A0392D"/>
    <w:rsid w:val="00A03FC0"/>
    <w:rsid w:val="00A04393"/>
    <w:rsid w:val="00A043A6"/>
    <w:rsid w:val="00A04429"/>
    <w:rsid w:val="00A04893"/>
    <w:rsid w:val="00A04D53"/>
    <w:rsid w:val="00A04F47"/>
    <w:rsid w:val="00A04FF0"/>
    <w:rsid w:val="00A050B2"/>
    <w:rsid w:val="00A054AE"/>
    <w:rsid w:val="00A0567D"/>
    <w:rsid w:val="00A05934"/>
    <w:rsid w:val="00A059A0"/>
    <w:rsid w:val="00A05A6C"/>
    <w:rsid w:val="00A05A9A"/>
    <w:rsid w:val="00A060CA"/>
    <w:rsid w:val="00A06149"/>
    <w:rsid w:val="00A0651D"/>
    <w:rsid w:val="00A06770"/>
    <w:rsid w:val="00A06AA0"/>
    <w:rsid w:val="00A06EA4"/>
    <w:rsid w:val="00A07032"/>
    <w:rsid w:val="00A07357"/>
    <w:rsid w:val="00A0750D"/>
    <w:rsid w:val="00A075F1"/>
    <w:rsid w:val="00A07BC7"/>
    <w:rsid w:val="00A07C02"/>
    <w:rsid w:val="00A07CEE"/>
    <w:rsid w:val="00A07CF8"/>
    <w:rsid w:val="00A07DD1"/>
    <w:rsid w:val="00A07FC1"/>
    <w:rsid w:val="00A100A8"/>
    <w:rsid w:val="00A10120"/>
    <w:rsid w:val="00A10240"/>
    <w:rsid w:val="00A103A3"/>
    <w:rsid w:val="00A10505"/>
    <w:rsid w:val="00A10516"/>
    <w:rsid w:val="00A106F7"/>
    <w:rsid w:val="00A1077C"/>
    <w:rsid w:val="00A1084A"/>
    <w:rsid w:val="00A10ACF"/>
    <w:rsid w:val="00A10DAF"/>
    <w:rsid w:val="00A10EF9"/>
    <w:rsid w:val="00A110FB"/>
    <w:rsid w:val="00A11160"/>
    <w:rsid w:val="00A111C8"/>
    <w:rsid w:val="00A114EF"/>
    <w:rsid w:val="00A1160E"/>
    <w:rsid w:val="00A1197C"/>
    <w:rsid w:val="00A11ADC"/>
    <w:rsid w:val="00A11B1F"/>
    <w:rsid w:val="00A11B2A"/>
    <w:rsid w:val="00A11B53"/>
    <w:rsid w:val="00A11C70"/>
    <w:rsid w:val="00A11D1C"/>
    <w:rsid w:val="00A11F68"/>
    <w:rsid w:val="00A12253"/>
    <w:rsid w:val="00A123B5"/>
    <w:rsid w:val="00A127B7"/>
    <w:rsid w:val="00A12932"/>
    <w:rsid w:val="00A12A4E"/>
    <w:rsid w:val="00A12E45"/>
    <w:rsid w:val="00A130C3"/>
    <w:rsid w:val="00A13851"/>
    <w:rsid w:val="00A1387B"/>
    <w:rsid w:val="00A13938"/>
    <w:rsid w:val="00A13D04"/>
    <w:rsid w:val="00A13DB0"/>
    <w:rsid w:val="00A14132"/>
    <w:rsid w:val="00A141DE"/>
    <w:rsid w:val="00A14965"/>
    <w:rsid w:val="00A149C4"/>
    <w:rsid w:val="00A14DAA"/>
    <w:rsid w:val="00A14DAF"/>
    <w:rsid w:val="00A155D2"/>
    <w:rsid w:val="00A15863"/>
    <w:rsid w:val="00A15E47"/>
    <w:rsid w:val="00A15F61"/>
    <w:rsid w:val="00A15FAC"/>
    <w:rsid w:val="00A16024"/>
    <w:rsid w:val="00A1604E"/>
    <w:rsid w:val="00A161A1"/>
    <w:rsid w:val="00A16553"/>
    <w:rsid w:val="00A16739"/>
    <w:rsid w:val="00A16741"/>
    <w:rsid w:val="00A1688D"/>
    <w:rsid w:val="00A168E7"/>
    <w:rsid w:val="00A16C54"/>
    <w:rsid w:val="00A16D5B"/>
    <w:rsid w:val="00A16EB2"/>
    <w:rsid w:val="00A17043"/>
    <w:rsid w:val="00A171A3"/>
    <w:rsid w:val="00A17282"/>
    <w:rsid w:val="00A172B5"/>
    <w:rsid w:val="00A17392"/>
    <w:rsid w:val="00A17625"/>
    <w:rsid w:val="00A176D8"/>
    <w:rsid w:val="00A17CBA"/>
    <w:rsid w:val="00A17F03"/>
    <w:rsid w:val="00A200C6"/>
    <w:rsid w:val="00A20596"/>
    <w:rsid w:val="00A206A1"/>
    <w:rsid w:val="00A206C6"/>
    <w:rsid w:val="00A20B57"/>
    <w:rsid w:val="00A20F44"/>
    <w:rsid w:val="00A21108"/>
    <w:rsid w:val="00A2116F"/>
    <w:rsid w:val="00A21357"/>
    <w:rsid w:val="00A214E3"/>
    <w:rsid w:val="00A21867"/>
    <w:rsid w:val="00A21988"/>
    <w:rsid w:val="00A21A7B"/>
    <w:rsid w:val="00A21B36"/>
    <w:rsid w:val="00A21CE7"/>
    <w:rsid w:val="00A21F72"/>
    <w:rsid w:val="00A221E3"/>
    <w:rsid w:val="00A2263A"/>
    <w:rsid w:val="00A22866"/>
    <w:rsid w:val="00A228A4"/>
    <w:rsid w:val="00A22A2D"/>
    <w:rsid w:val="00A22A44"/>
    <w:rsid w:val="00A22C96"/>
    <w:rsid w:val="00A22E2E"/>
    <w:rsid w:val="00A22E5D"/>
    <w:rsid w:val="00A22FB6"/>
    <w:rsid w:val="00A230D0"/>
    <w:rsid w:val="00A23290"/>
    <w:rsid w:val="00A23354"/>
    <w:rsid w:val="00A235C7"/>
    <w:rsid w:val="00A2373A"/>
    <w:rsid w:val="00A23837"/>
    <w:rsid w:val="00A23978"/>
    <w:rsid w:val="00A23DEE"/>
    <w:rsid w:val="00A23E02"/>
    <w:rsid w:val="00A24392"/>
    <w:rsid w:val="00A24567"/>
    <w:rsid w:val="00A245A8"/>
    <w:rsid w:val="00A248CA"/>
    <w:rsid w:val="00A24A08"/>
    <w:rsid w:val="00A24C84"/>
    <w:rsid w:val="00A24D60"/>
    <w:rsid w:val="00A24EAA"/>
    <w:rsid w:val="00A24FCA"/>
    <w:rsid w:val="00A250BE"/>
    <w:rsid w:val="00A2510B"/>
    <w:rsid w:val="00A251A5"/>
    <w:rsid w:val="00A25524"/>
    <w:rsid w:val="00A257C6"/>
    <w:rsid w:val="00A25879"/>
    <w:rsid w:val="00A259E0"/>
    <w:rsid w:val="00A25B96"/>
    <w:rsid w:val="00A25C99"/>
    <w:rsid w:val="00A260E0"/>
    <w:rsid w:val="00A26890"/>
    <w:rsid w:val="00A268D7"/>
    <w:rsid w:val="00A26A43"/>
    <w:rsid w:val="00A26B67"/>
    <w:rsid w:val="00A26C8D"/>
    <w:rsid w:val="00A26CFC"/>
    <w:rsid w:val="00A2708E"/>
    <w:rsid w:val="00A271E1"/>
    <w:rsid w:val="00A271F0"/>
    <w:rsid w:val="00A271FB"/>
    <w:rsid w:val="00A272B0"/>
    <w:rsid w:val="00A27503"/>
    <w:rsid w:val="00A279E1"/>
    <w:rsid w:val="00A27A35"/>
    <w:rsid w:val="00A27AC3"/>
    <w:rsid w:val="00A27CB7"/>
    <w:rsid w:val="00A27CE4"/>
    <w:rsid w:val="00A27D01"/>
    <w:rsid w:val="00A27D6E"/>
    <w:rsid w:val="00A27E42"/>
    <w:rsid w:val="00A27E4A"/>
    <w:rsid w:val="00A27F8F"/>
    <w:rsid w:val="00A30184"/>
    <w:rsid w:val="00A301BC"/>
    <w:rsid w:val="00A305D6"/>
    <w:rsid w:val="00A30E69"/>
    <w:rsid w:val="00A3102A"/>
    <w:rsid w:val="00A3122B"/>
    <w:rsid w:val="00A31357"/>
    <w:rsid w:val="00A314FC"/>
    <w:rsid w:val="00A31544"/>
    <w:rsid w:val="00A318E3"/>
    <w:rsid w:val="00A31AB4"/>
    <w:rsid w:val="00A31B66"/>
    <w:rsid w:val="00A31D4B"/>
    <w:rsid w:val="00A31DA2"/>
    <w:rsid w:val="00A31E6B"/>
    <w:rsid w:val="00A32017"/>
    <w:rsid w:val="00A320F9"/>
    <w:rsid w:val="00A32121"/>
    <w:rsid w:val="00A324A7"/>
    <w:rsid w:val="00A3270F"/>
    <w:rsid w:val="00A32881"/>
    <w:rsid w:val="00A32A3F"/>
    <w:rsid w:val="00A32A67"/>
    <w:rsid w:val="00A32ACF"/>
    <w:rsid w:val="00A32B8A"/>
    <w:rsid w:val="00A32E7D"/>
    <w:rsid w:val="00A33058"/>
    <w:rsid w:val="00A3315D"/>
    <w:rsid w:val="00A332A8"/>
    <w:rsid w:val="00A335C6"/>
    <w:rsid w:val="00A3379C"/>
    <w:rsid w:val="00A338C5"/>
    <w:rsid w:val="00A33A28"/>
    <w:rsid w:val="00A33EF5"/>
    <w:rsid w:val="00A340DB"/>
    <w:rsid w:val="00A34108"/>
    <w:rsid w:val="00A341BD"/>
    <w:rsid w:val="00A34396"/>
    <w:rsid w:val="00A3444F"/>
    <w:rsid w:val="00A3457B"/>
    <w:rsid w:val="00A34E2C"/>
    <w:rsid w:val="00A34FF3"/>
    <w:rsid w:val="00A35565"/>
    <w:rsid w:val="00A35615"/>
    <w:rsid w:val="00A35745"/>
    <w:rsid w:val="00A359E1"/>
    <w:rsid w:val="00A359FF"/>
    <w:rsid w:val="00A35A76"/>
    <w:rsid w:val="00A35B58"/>
    <w:rsid w:val="00A35D37"/>
    <w:rsid w:val="00A35F55"/>
    <w:rsid w:val="00A36053"/>
    <w:rsid w:val="00A3614A"/>
    <w:rsid w:val="00A3650F"/>
    <w:rsid w:val="00A3654F"/>
    <w:rsid w:val="00A365BE"/>
    <w:rsid w:val="00A36983"/>
    <w:rsid w:val="00A369A5"/>
    <w:rsid w:val="00A36AE9"/>
    <w:rsid w:val="00A36C52"/>
    <w:rsid w:val="00A36CF1"/>
    <w:rsid w:val="00A36D41"/>
    <w:rsid w:val="00A36DA5"/>
    <w:rsid w:val="00A36F44"/>
    <w:rsid w:val="00A37038"/>
    <w:rsid w:val="00A37056"/>
    <w:rsid w:val="00A371FB"/>
    <w:rsid w:val="00A373D2"/>
    <w:rsid w:val="00A373D9"/>
    <w:rsid w:val="00A374A7"/>
    <w:rsid w:val="00A37673"/>
    <w:rsid w:val="00A37858"/>
    <w:rsid w:val="00A37864"/>
    <w:rsid w:val="00A3794D"/>
    <w:rsid w:val="00A379B6"/>
    <w:rsid w:val="00A37AF7"/>
    <w:rsid w:val="00A37B29"/>
    <w:rsid w:val="00A37B4F"/>
    <w:rsid w:val="00A37BD1"/>
    <w:rsid w:val="00A37FC2"/>
    <w:rsid w:val="00A405CB"/>
    <w:rsid w:val="00A405FF"/>
    <w:rsid w:val="00A407AA"/>
    <w:rsid w:val="00A409CC"/>
    <w:rsid w:val="00A40E6D"/>
    <w:rsid w:val="00A40EB6"/>
    <w:rsid w:val="00A40FCA"/>
    <w:rsid w:val="00A41115"/>
    <w:rsid w:val="00A417D9"/>
    <w:rsid w:val="00A418A3"/>
    <w:rsid w:val="00A41ABF"/>
    <w:rsid w:val="00A41D85"/>
    <w:rsid w:val="00A41F63"/>
    <w:rsid w:val="00A421BB"/>
    <w:rsid w:val="00A422D3"/>
    <w:rsid w:val="00A4238C"/>
    <w:rsid w:val="00A423AA"/>
    <w:rsid w:val="00A42447"/>
    <w:rsid w:val="00A42707"/>
    <w:rsid w:val="00A42931"/>
    <w:rsid w:val="00A42986"/>
    <w:rsid w:val="00A42BF1"/>
    <w:rsid w:val="00A430D7"/>
    <w:rsid w:val="00A43232"/>
    <w:rsid w:val="00A43439"/>
    <w:rsid w:val="00A43E20"/>
    <w:rsid w:val="00A44089"/>
    <w:rsid w:val="00A44195"/>
    <w:rsid w:val="00A4435D"/>
    <w:rsid w:val="00A444DB"/>
    <w:rsid w:val="00A445A6"/>
    <w:rsid w:val="00A44884"/>
    <w:rsid w:val="00A44AB8"/>
    <w:rsid w:val="00A44B9F"/>
    <w:rsid w:val="00A44C31"/>
    <w:rsid w:val="00A44C3D"/>
    <w:rsid w:val="00A44DDA"/>
    <w:rsid w:val="00A450C5"/>
    <w:rsid w:val="00A451B4"/>
    <w:rsid w:val="00A45472"/>
    <w:rsid w:val="00A454FD"/>
    <w:rsid w:val="00A456A6"/>
    <w:rsid w:val="00A4570D"/>
    <w:rsid w:val="00A4576C"/>
    <w:rsid w:val="00A457E7"/>
    <w:rsid w:val="00A45B93"/>
    <w:rsid w:val="00A45CE5"/>
    <w:rsid w:val="00A45F8A"/>
    <w:rsid w:val="00A4609A"/>
    <w:rsid w:val="00A46103"/>
    <w:rsid w:val="00A4631C"/>
    <w:rsid w:val="00A46382"/>
    <w:rsid w:val="00A46536"/>
    <w:rsid w:val="00A46658"/>
    <w:rsid w:val="00A468DA"/>
    <w:rsid w:val="00A469A8"/>
    <w:rsid w:val="00A469CA"/>
    <w:rsid w:val="00A46AE4"/>
    <w:rsid w:val="00A46C50"/>
    <w:rsid w:val="00A46D4D"/>
    <w:rsid w:val="00A46D9B"/>
    <w:rsid w:val="00A46FDD"/>
    <w:rsid w:val="00A4703C"/>
    <w:rsid w:val="00A4712F"/>
    <w:rsid w:val="00A47386"/>
    <w:rsid w:val="00A474DA"/>
    <w:rsid w:val="00A47816"/>
    <w:rsid w:val="00A47C72"/>
    <w:rsid w:val="00A47D5C"/>
    <w:rsid w:val="00A47D93"/>
    <w:rsid w:val="00A47E43"/>
    <w:rsid w:val="00A47EFD"/>
    <w:rsid w:val="00A500A4"/>
    <w:rsid w:val="00A5010E"/>
    <w:rsid w:val="00A5031A"/>
    <w:rsid w:val="00A503C9"/>
    <w:rsid w:val="00A504B2"/>
    <w:rsid w:val="00A50538"/>
    <w:rsid w:val="00A50766"/>
    <w:rsid w:val="00A50E7B"/>
    <w:rsid w:val="00A50F45"/>
    <w:rsid w:val="00A50FD3"/>
    <w:rsid w:val="00A510E5"/>
    <w:rsid w:val="00A51265"/>
    <w:rsid w:val="00A51645"/>
    <w:rsid w:val="00A518BE"/>
    <w:rsid w:val="00A51C00"/>
    <w:rsid w:val="00A52256"/>
    <w:rsid w:val="00A52418"/>
    <w:rsid w:val="00A52470"/>
    <w:rsid w:val="00A524D9"/>
    <w:rsid w:val="00A52FBB"/>
    <w:rsid w:val="00A5319D"/>
    <w:rsid w:val="00A53225"/>
    <w:rsid w:val="00A532D6"/>
    <w:rsid w:val="00A533F2"/>
    <w:rsid w:val="00A53492"/>
    <w:rsid w:val="00A53523"/>
    <w:rsid w:val="00A53587"/>
    <w:rsid w:val="00A5388E"/>
    <w:rsid w:val="00A539CF"/>
    <w:rsid w:val="00A53BD0"/>
    <w:rsid w:val="00A53F25"/>
    <w:rsid w:val="00A54155"/>
    <w:rsid w:val="00A5434A"/>
    <w:rsid w:val="00A544AE"/>
    <w:rsid w:val="00A5451B"/>
    <w:rsid w:val="00A547B1"/>
    <w:rsid w:val="00A5495E"/>
    <w:rsid w:val="00A54992"/>
    <w:rsid w:val="00A54AA0"/>
    <w:rsid w:val="00A54CBD"/>
    <w:rsid w:val="00A550DC"/>
    <w:rsid w:val="00A55287"/>
    <w:rsid w:val="00A553A4"/>
    <w:rsid w:val="00A55A7F"/>
    <w:rsid w:val="00A55AAB"/>
    <w:rsid w:val="00A55F01"/>
    <w:rsid w:val="00A55F2C"/>
    <w:rsid w:val="00A5621D"/>
    <w:rsid w:val="00A56221"/>
    <w:rsid w:val="00A5623B"/>
    <w:rsid w:val="00A562D4"/>
    <w:rsid w:val="00A56730"/>
    <w:rsid w:val="00A567E9"/>
    <w:rsid w:val="00A569E0"/>
    <w:rsid w:val="00A56A2D"/>
    <w:rsid w:val="00A56C6A"/>
    <w:rsid w:val="00A56FC0"/>
    <w:rsid w:val="00A570F3"/>
    <w:rsid w:val="00A575E7"/>
    <w:rsid w:val="00A5764C"/>
    <w:rsid w:val="00A57665"/>
    <w:rsid w:val="00A57D21"/>
    <w:rsid w:val="00A57EEC"/>
    <w:rsid w:val="00A57FDE"/>
    <w:rsid w:val="00A60074"/>
    <w:rsid w:val="00A60273"/>
    <w:rsid w:val="00A60320"/>
    <w:rsid w:val="00A60475"/>
    <w:rsid w:val="00A60775"/>
    <w:rsid w:val="00A60BE0"/>
    <w:rsid w:val="00A60BF7"/>
    <w:rsid w:val="00A60FAE"/>
    <w:rsid w:val="00A61113"/>
    <w:rsid w:val="00A61433"/>
    <w:rsid w:val="00A6161E"/>
    <w:rsid w:val="00A6166C"/>
    <w:rsid w:val="00A618CC"/>
    <w:rsid w:val="00A618D1"/>
    <w:rsid w:val="00A618FE"/>
    <w:rsid w:val="00A619F9"/>
    <w:rsid w:val="00A61A8A"/>
    <w:rsid w:val="00A6238E"/>
    <w:rsid w:val="00A624FB"/>
    <w:rsid w:val="00A6258D"/>
    <w:rsid w:val="00A62C63"/>
    <w:rsid w:val="00A62D5E"/>
    <w:rsid w:val="00A63135"/>
    <w:rsid w:val="00A63167"/>
    <w:rsid w:val="00A63494"/>
    <w:rsid w:val="00A63597"/>
    <w:rsid w:val="00A638C0"/>
    <w:rsid w:val="00A638E8"/>
    <w:rsid w:val="00A63AF0"/>
    <w:rsid w:val="00A63B56"/>
    <w:rsid w:val="00A63BB9"/>
    <w:rsid w:val="00A63D81"/>
    <w:rsid w:val="00A63E9C"/>
    <w:rsid w:val="00A63FD5"/>
    <w:rsid w:val="00A6400D"/>
    <w:rsid w:val="00A64131"/>
    <w:rsid w:val="00A642DE"/>
    <w:rsid w:val="00A6435C"/>
    <w:rsid w:val="00A6458F"/>
    <w:rsid w:val="00A648E6"/>
    <w:rsid w:val="00A64AAE"/>
    <w:rsid w:val="00A64B42"/>
    <w:rsid w:val="00A64C2B"/>
    <w:rsid w:val="00A64E9A"/>
    <w:rsid w:val="00A65296"/>
    <w:rsid w:val="00A6585D"/>
    <w:rsid w:val="00A65B8E"/>
    <w:rsid w:val="00A65D32"/>
    <w:rsid w:val="00A66014"/>
    <w:rsid w:val="00A6601B"/>
    <w:rsid w:val="00A6604B"/>
    <w:rsid w:val="00A66146"/>
    <w:rsid w:val="00A66228"/>
    <w:rsid w:val="00A664A1"/>
    <w:rsid w:val="00A66641"/>
    <w:rsid w:val="00A6669D"/>
    <w:rsid w:val="00A6684E"/>
    <w:rsid w:val="00A66914"/>
    <w:rsid w:val="00A669E3"/>
    <w:rsid w:val="00A66A90"/>
    <w:rsid w:val="00A66D7F"/>
    <w:rsid w:val="00A66DB6"/>
    <w:rsid w:val="00A673ED"/>
    <w:rsid w:val="00A67415"/>
    <w:rsid w:val="00A67527"/>
    <w:rsid w:val="00A67623"/>
    <w:rsid w:val="00A6767F"/>
    <w:rsid w:val="00A67B1A"/>
    <w:rsid w:val="00A67ECB"/>
    <w:rsid w:val="00A70322"/>
    <w:rsid w:val="00A70372"/>
    <w:rsid w:val="00A70781"/>
    <w:rsid w:val="00A70B9D"/>
    <w:rsid w:val="00A70D25"/>
    <w:rsid w:val="00A70DBE"/>
    <w:rsid w:val="00A713F5"/>
    <w:rsid w:val="00A71534"/>
    <w:rsid w:val="00A71595"/>
    <w:rsid w:val="00A71866"/>
    <w:rsid w:val="00A71889"/>
    <w:rsid w:val="00A71A6D"/>
    <w:rsid w:val="00A71B16"/>
    <w:rsid w:val="00A71B58"/>
    <w:rsid w:val="00A71C68"/>
    <w:rsid w:val="00A71F00"/>
    <w:rsid w:val="00A7216E"/>
    <w:rsid w:val="00A7227E"/>
    <w:rsid w:val="00A724AF"/>
    <w:rsid w:val="00A7280F"/>
    <w:rsid w:val="00A728BA"/>
    <w:rsid w:val="00A72F7E"/>
    <w:rsid w:val="00A73055"/>
    <w:rsid w:val="00A73163"/>
    <w:rsid w:val="00A7346F"/>
    <w:rsid w:val="00A734CF"/>
    <w:rsid w:val="00A73519"/>
    <w:rsid w:val="00A73707"/>
    <w:rsid w:val="00A73892"/>
    <w:rsid w:val="00A73ACB"/>
    <w:rsid w:val="00A73E1E"/>
    <w:rsid w:val="00A73FB1"/>
    <w:rsid w:val="00A74176"/>
    <w:rsid w:val="00A74462"/>
    <w:rsid w:val="00A7476F"/>
    <w:rsid w:val="00A7477F"/>
    <w:rsid w:val="00A748A1"/>
    <w:rsid w:val="00A7499C"/>
    <w:rsid w:val="00A74D8F"/>
    <w:rsid w:val="00A74E21"/>
    <w:rsid w:val="00A75623"/>
    <w:rsid w:val="00A75A3E"/>
    <w:rsid w:val="00A75A7D"/>
    <w:rsid w:val="00A75CD0"/>
    <w:rsid w:val="00A760D9"/>
    <w:rsid w:val="00A7610F"/>
    <w:rsid w:val="00A7632F"/>
    <w:rsid w:val="00A763C9"/>
    <w:rsid w:val="00A76700"/>
    <w:rsid w:val="00A76E13"/>
    <w:rsid w:val="00A76FD0"/>
    <w:rsid w:val="00A77166"/>
    <w:rsid w:val="00A77476"/>
    <w:rsid w:val="00A774DC"/>
    <w:rsid w:val="00A7785E"/>
    <w:rsid w:val="00A77B6C"/>
    <w:rsid w:val="00A77DA2"/>
    <w:rsid w:val="00A77FCD"/>
    <w:rsid w:val="00A7ECC5"/>
    <w:rsid w:val="00A80016"/>
    <w:rsid w:val="00A8005F"/>
    <w:rsid w:val="00A80078"/>
    <w:rsid w:val="00A80195"/>
    <w:rsid w:val="00A80338"/>
    <w:rsid w:val="00A803A5"/>
    <w:rsid w:val="00A80765"/>
    <w:rsid w:val="00A808E1"/>
    <w:rsid w:val="00A80995"/>
    <w:rsid w:val="00A809E5"/>
    <w:rsid w:val="00A80A12"/>
    <w:rsid w:val="00A812EE"/>
    <w:rsid w:val="00A8144D"/>
    <w:rsid w:val="00A819DB"/>
    <w:rsid w:val="00A81C10"/>
    <w:rsid w:val="00A81D25"/>
    <w:rsid w:val="00A81EAA"/>
    <w:rsid w:val="00A81F2F"/>
    <w:rsid w:val="00A8224F"/>
    <w:rsid w:val="00A823F0"/>
    <w:rsid w:val="00A8241E"/>
    <w:rsid w:val="00A826CD"/>
    <w:rsid w:val="00A8275B"/>
    <w:rsid w:val="00A82CD6"/>
    <w:rsid w:val="00A82E63"/>
    <w:rsid w:val="00A82F0B"/>
    <w:rsid w:val="00A83016"/>
    <w:rsid w:val="00A83232"/>
    <w:rsid w:val="00A83243"/>
    <w:rsid w:val="00A832C1"/>
    <w:rsid w:val="00A83445"/>
    <w:rsid w:val="00A836DD"/>
    <w:rsid w:val="00A837EF"/>
    <w:rsid w:val="00A8392D"/>
    <w:rsid w:val="00A83A43"/>
    <w:rsid w:val="00A83D09"/>
    <w:rsid w:val="00A84555"/>
    <w:rsid w:val="00A84647"/>
    <w:rsid w:val="00A846BF"/>
    <w:rsid w:val="00A84813"/>
    <w:rsid w:val="00A84997"/>
    <w:rsid w:val="00A84A6E"/>
    <w:rsid w:val="00A84E24"/>
    <w:rsid w:val="00A84E31"/>
    <w:rsid w:val="00A8514E"/>
    <w:rsid w:val="00A853B7"/>
    <w:rsid w:val="00A85400"/>
    <w:rsid w:val="00A85A2E"/>
    <w:rsid w:val="00A85BEA"/>
    <w:rsid w:val="00A85CA6"/>
    <w:rsid w:val="00A85D47"/>
    <w:rsid w:val="00A85D4D"/>
    <w:rsid w:val="00A85EF6"/>
    <w:rsid w:val="00A85FC9"/>
    <w:rsid w:val="00A85FD2"/>
    <w:rsid w:val="00A86143"/>
    <w:rsid w:val="00A862B5"/>
    <w:rsid w:val="00A86476"/>
    <w:rsid w:val="00A86486"/>
    <w:rsid w:val="00A866B0"/>
    <w:rsid w:val="00A86B0C"/>
    <w:rsid w:val="00A86B20"/>
    <w:rsid w:val="00A86B62"/>
    <w:rsid w:val="00A86C4F"/>
    <w:rsid w:val="00A86D06"/>
    <w:rsid w:val="00A86DD3"/>
    <w:rsid w:val="00A86E32"/>
    <w:rsid w:val="00A86E71"/>
    <w:rsid w:val="00A86F3E"/>
    <w:rsid w:val="00A873D0"/>
    <w:rsid w:val="00A875F8"/>
    <w:rsid w:val="00A8781E"/>
    <w:rsid w:val="00A879DA"/>
    <w:rsid w:val="00A87B73"/>
    <w:rsid w:val="00A87D9F"/>
    <w:rsid w:val="00A87DD5"/>
    <w:rsid w:val="00A87F4B"/>
    <w:rsid w:val="00A90144"/>
    <w:rsid w:val="00A901BA"/>
    <w:rsid w:val="00A90677"/>
    <w:rsid w:val="00A907A5"/>
    <w:rsid w:val="00A90909"/>
    <w:rsid w:val="00A9099F"/>
    <w:rsid w:val="00A90B9E"/>
    <w:rsid w:val="00A90E8D"/>
    <w:rsid w:val="00A91024"/>
    <w:rsid w:val="00A91138"/>
    <w:rsid w:val="00A91218"/>
    <w:rsid w:val="00A913DD"/>
    <w:rsid w:val="00A9184F"/>
    <w:rsid w:val="00A91D49"/>
    <w:rsid w:val="00A921DC"/>
    <w:rsid w:val="00A92358"/>
    <w:rsid w:val="00A9279A"/>
    <w:rsid w:val="00A927F0"/>
    <w:rsid w:val="00A928C2"/>
    <w:rsid w:val="00A92B71"/>
    <w:rsid w:val="00A92BFA"/>
    <w:rsid w:val="00A92DE1"/>
    <w:rsid w:val="00A92E3B"/>
    <w:rsid w:val="00A92EDF"/>
    <w:rsid w:val="00A92FF0"/>
    <w:rsid w:val="00A93208"/>
    <w:rsid w:val="00A93345"/>
    <w:rsid w:val="00A9348B"/>
    <w:rsid w:val="00A93574"/>
    <w:rsid w:val="00A93AEF"/>
    <w:rsid w:val="00A93BE6"/>
    <w:rsid w:val="00A93C0B"/>
    <w:rsid w:val="00A93DC0"/>
    <w:rsid w:val="00A93E72"/>
    <w:rsid w:val="00A9414F"/>
    <w:rsid w:val="00A94177"/>
    <w:rsid w:val="00A94212"/>
    <w:rsid w:val="00A94363"/>
    <w:rsid w:val="00A946A6"/>
    <w:rsid w:val="00A948F2"/>
    <w:rsid w:val="00A9490C"/>
    <w:rsid w:val="00A9498D"/>
    <w:rsid w:val="00A94A10"/>
    <w:rsid w:val="00A94DC7"/>
    <w:rsid w:val="00A94F47"/>
    <w:rsid w:val="00A95104"/>
    <w:rsid w:val="00A9529E"/>
    <w:rsid w:val="00A953BD"/>
    <w:rsid w:val="00A95587"/>
    <w:rsid w:val="00A955FA"/>
    <w:rsid w:val="00A957C3"/>
    <w:rsid w:val="00A95948"/>
    <w:rsid w:val="00A959BA"/>
    <w:rsid w:val="00A95DC5"/>
    <w:rsid w:val="00A95DEC"/>
    <w:rsid w:val="00A95EDD"/>
    <w:rsid w:val="00A960E3"/>
    <w:rsid w:val="00A96140"/>
    <w:rsid w:val="00A96153"/>
    <w:rsid w:val="00A9626B"/>
    <w:rsid w:val="00A965B6"/>
    <w:rsid w:val="00A968AB"/>
    <w:rsid w:val="00A968DD"/>
    <w:rsid w:val="00A96C47"/>
    <w:rsid w:val="00A96CEB"/>
    <w:rsid w:val="00A96EA1"/>
    <w:rsid w:val="00A96EE3"/>
    <w:rsid w:val="00A96F40"/>
    <w:rsid w:val="00A96FE8"/>
    <w:rsid w:val="00A973A8"/>
    <w:rsid w:val="00A9748F"/>
    <w:rsid w:val="00A9781E"/>
    <w:rsid w:val="00A97B32"/>
    <w:rsid w:val="00A97E45"/>
    <w:rsid w:val="00AA031C"/>
    <w:rsid w:val="00AA059A"/>
    <w:rsid w:val="00AA09ED"/>
    <w:rsid w:val="00AA0B49"/>
    <w:rsid w:val="00AA0BE7"/>
    <w:rsid w:val="00AA0D93"/>
    <w:rsid w:val="00AA0FB0"/>
    <w:rsid w:val="00AA1365"/>
    <w:rsid w:val="00AA157C"/>
    <w:rsid w:val="00AA15BB"/>
    <w:rsid w:val="00AA17A3"/>
    <w:rsid w:val="00AA1B8B"/>
    <w:rsid w:val="00AA20AA"/>
    <w:rsid w:val="00AA20C2"/>
    <w:rsid w:val="00AA2174"/>
    <w:rsid w:val="00AA21F3"/>
    <w:rsid w:val="00AA24C3"/>
    <w:rsid w:val="00AA2537"/>
    <w:rsid w:val="00AA254B"/>
    <w:rsid w:val="00AA264F"/>
    <w:rsid w:val="00AA27E0"/>
    <w:rsid w:val="00AA27E5"/>
    <w:rsid w:val="00AA2953"/>
    <w:rsid w:val="00AA2A58"/>
    <w:rsid w:val="00AA2D74"/>
    <w:rsid w:val="00AA33A1"/>
    <w:rsid w:val="00AA3468"/>
    <w:rsid w:val="00AA37F2"/>
    <w:rsid w:val="00AA38A0"/>
    <w:rsid w:val="00AA38AD"/>
    <w:rsid w:val="00AA3C45"/>
    <w:rsid w:val="00AA3C6D"/>
    <w:rsid w:val="00AA3C80"/>
    <w:rsid w:val="00AA3CEC"/>
    <w:rsid w:val="00AA3DF1"/>
    <w:rsid w:val="00AA3EC7"/>
    <w:rsid w:val="00AA3F5C"/>
    <w:rsid w:val="00AA4202"/>
    <w:rsid w:val="00AA4248"/>
    <w:rsid w:val="00AA4410"/>
    <w:rsid w:val="00AA44BB"/>
    <w:rsid w:val="00AA44CD"/>
    <w:rsid w:val="00AA452E"/>
    <w:rsid w:val="00AA47A6"/>
    <w:rsid w:val="00AA4846"/>
    <w:rsid w:val="00AA4CA1"/>
    <w:rsid w:val="00AA5771"/>
    <w:rsid w:val="00AA594D"/>
    <w:rsid w:val="00AA5A3D"/>
    <w:rsid w:val="00AA5B0B"/>
    <w:rsid w:val="00AA5C37"/>
    <w:rsid w:val="00AA5D76"/>
    <w:rsid w:val="00AA5E63"/>
    <w:rsid w:val="00AA5FF3"/>
    <w:rsid w:val="00AA61CB"/>
    <w:rsid w:val="00AA61E2"/>
    <w:rsid w:val="00AA61F6"/>
    <w:rsid w:val="00AA62E9"/>
    <w:rsid w:val="00AA6318"/>
    <w:rsid w:val="00AA646C"/>
    <w:rsid w:val="00AA64EA"/>
    <w:rsid w:val="00AA6653"/>
    <w:rsid w:val="00AA668E"/>
    <w:rsid w:val="00AA696F"/>
    <w:rsid w:val="00AA69B5"/>
    <w:rsid w:val="00AA69BC"/>
    <w:rsid w:val="00AA6AED"/>
    <w:rsid w:val="00AA6B41"/>
    <w:rsid w:val="00AA6D9E"/>
    <w:rsid w:val="00AA6F0F"/>
    <w:rsid w:val="00AA7034"/>
    <w:rsid w:val="00AA7119"/>
    <w:rsid w:val="00AA712D"/>
    <w:rsid w:val="00AA776F"/>
    <w:rsid w:val="00AA7791"/>
    <w:rsid w:val="00AA77CF"/>
    <w:rsid w:val="00AA7843"/>
    <w:rsid w:val="00AA7CCC"/>
    <w:rsid w:val="00AA7E3F"/>
    <w:rsid w:val="00AB00A7"/>
    <w:rsid w:val="00AB01F4"/>
    <w:rsid w:val="00AB05D5"/>
    <w:rsid w:val="00AB06AF"/>
    <w:rsid w:val="00AB086B"/>
    <w:rsid w:val="00AB0A4A"/>
    <w:rsid w:val="00AB0A87"/>
    <w:rsid w:val="00AB0ABA"/>
    <w:rsid w:val="00AB0AE8"/>
    <w:rsid w:val="00AB0B54"/>
    <w:rsid w:val="00AB0BE4"/>
    <w:rsid w:val="00AB0C70"/>
    <w:rsid w:val="00AB0E66"/>
    <w:rsid w:val="00AB0E79"/>
    <w:rsid w:val="00AB1217"/>
    <w:rsid w:val="00AB12BE"/>
    <w:rsid w:val="00AB14E0"/>
    <w:rsid w:val="00AB17C9"/>
    <w:rsid w:val="00AB1B7E"/>
    <w:rsid w:val="00AB1C1A"/>
    <w:rsid w:val="00AB1DEB"/>
    <w:rsid w:val="00AB2017"/>
    <w:rsid w:val="00AB2167"/>
    <w:rsid w:val="00AB21D8"/>
    <w:rsid w:val="00AB21EC"/>
    <w:rsid w:val="00AB262F"/>
    <w:rsid w:val="00AB278B"/>
    <w:rsid w:val="00AB27E0"/>
    <w:rsid w:val="00AB27FF"/>
    <w:rsid w:val="00AB2853"/>
    <w:rsid w:val="00AB2A7A"/>
    <w:rsid w:val="00AB2B59"/>
    <w:rsid w:val="00AB2B93"/>
    <w:rsid w:val="00AB2C14"/>
    <w:rsid w:val="00AB2F35"/>
    <w:rsid w:val="00AB328C"/>
    <w:rsid w:val="00AB355A"/>
    <w:rsid w:val="00AB355F"/>
    <w:rsid w:val="00AB3712"/>
    <w:rsid w:val="00AB3759"/>
    <w:rsid w:val="00AB3CD8"/>
    <w:rsid w:val="00AB3EA7"/>
    <w:rsid w:val="00AB3F66"/>
    <w:rsid w:val="00AB423E"/>
    <w:rsid w:val="00AB42CA"/>
    <w:rsid w:val="00AB456B"/>
    <w:rsid w:val="00AB4616"/>
    <w:rsid w:val="00AB4A4E"/>
    <w:rsid w:val="00AB4AD8"/>
    <w:rsid w:val="00AB4CD5"/>
    <w:rsid w:val="00AB4E15"/>
    <w:rsid w:val="00AB4E7D"/>
    <w:rsid w:val="00AB4E80"/>
    <w:rsid w:val="00AB4FB5"/>
    <w:rsid w:val="00AB500B"/>
    <w:rsid w:val="00AB509B"/>
    <w:rsid w:val="00AB54B7"/>
    <w:rsid w:val="00AB5747"/>
    <w:rsid w:val="00AB57EC"/>
    <w:rsid w:val="00AB58DD"/>
    <w:rsid w:val="00AB5A12"/>
    <w:rsid w:val="00AB5C79"/>
    <w:rsid w:val="00AB5D2A"/>
    <w:rsid w:val="00AB5DEE"/>
    <w:rsid w:val="00AB5E9E"/>
    <w:rsid w:val="00AB5F48"/>
    <w:rsid w:val="00AB60A3"/>
    <w:rsid w:val="00AB6119"/>
    <w:rsid w:val="00AB627E"/>
    <w:rsid w:val="00AB63C2"/>
    <w:rsid w:val="00AB64D5"/>
    <w:rsid w:val="00AB67BA"/>
    <w:rsid w:val="00AB684F"/>
    <w:rsid w:val="00AB6CBD"/>
    <w:rsid w:val="00AB74A7"/>
    <w:rsid w:val="00AB780E"/>
    <w:rsid w:val="00AB7A2C"/>
    <w:rsid w:val="00AB7ABE"/>
    <w:rsid w:val="00AB7B51"/>
    <w:rsid w:val="00AB7C28"/>
    <w:rsid w:val="00AB7DD3"/>
    <w:rsid w:val="00AB7F9F"/>
    <w:rsid w:val="00AC0016"/>
    <w:rsid w:val="00AC0139"/>
    <w:rsid w:val="00AC016E"/>
    <w:rsid w:val="00AC01EB"/>
    <w:rsid w:val="00AC0225"/>
    <w:rsid w:val="00AC068B"/>
    <w:rsid w:val="00AC09B1"/>
    <w:rsid w:val="00AC0AA1"/>
    <w:rsid w:val="00AC0B0A"/>
    <w:rsid w:val="00AC0B17"/>
    <w:rsid w:val="00AC0B89"/>
    <w:rsid w:val="00AC0E6D"/>
    <w:rsid w:val="00AC0EF9"/>
    <w:rsid w:val="00AC1037"/>
    <w:rsid w:val="00AC10E3"/>
    <w:rsid w:val="00AC1224"/>
    <w:rsid w:val="00AC137B"/>
    <w:rsid w:val="00AC1512"/>
    <w:rsid w:val="00AC15CD"/>
    <w:rsid w:val="00AC171B"/>
    <w:rsid w:val="00AC17DF"/>
    <w:rsid w:val="00AC182F"/>
    <w:rsid w:val="00AC19DB"/>
    <w:rsid w:val="00AC1B8B"/>
    <w:rsid w:val="00AC1EB6"/>
    <w:rsid w:val="00AC1F40"/>
    <w:rsid w:val="00AC1F53"/>
    <w:rsid w:val="00AC21A6"/>
    <w:rsid w:val="00AC21EC"/>
    <w:rsid w:val="00AC23AB"/>
    <w:rsid w:val="00AC25BE"/>
    <w:rsid w:val="00AC25E7"/>
    <w:rsid w:val="00AC25FE"/>
    <w:rsid w:val="00AC2756"/>
    <w:rsid w:val="00AC2AA8"/>
    <w:rsid w:val="00AC2BB5"/>
    <w:rsid w:val="00AC2CA1"/>
    <w:rsid w:val="00AC30D9"/>
    <w:rsid w:val="00AC38CF"/>
    <w:rsid w:val="00AC38D8"/>
    <w:rsid w:val="00AC3D35"/>
    <w:rsid w:val="00AC3DD0"/>
    <w:rsid w:val="00AC4285"/>
    <w:rsid w:val="00AC459A"/>
    <w:rsid w:val="00AC47D0"/>
    <w:rsid w:val="00AC4B70"/>
    <w:rsid w:val="00AC4D39"/>
    <w:rsid w:val="00AC5102"/>
    <w:rsid w:val="00AC516F"/>
    <w:rsid w:val="00AC51F9"/>
    <w:rsid w:val="00AC5404"/>
    <w:rsid w:val="00AC54ED"/>
    <w:rsid w:val="00AC554E"/>
    <w:rsid w:val="00AC5555"/>
    <w:rsid w:val="00AC56C4"/>
    <w:rsid w:val="00AC5E40"/>
    <w:rsid w:val="00AC608D"/>
    <w:rsid w:val="00AC617D"/>
    <w:rsid w:val="00AC6587"/>
    <w:rsid w:val="00AC6AC6"/>
    <w:rsid w:val="00AC724D"/>
    <w:rsid w:val="00AC7295"/>
    <w:rsid w:val="00AC745D"/>
    <w:rsid w:val="00AC7761"/>
    <w:rsid w:val="00AC7786"/>
    <w:rsid w:val="00AC7844"/>
    <w:rsid w:val="00AC7D2B"/>
    <w:rsid w:val="00AC7DBF"/>
    <w:rsid w:val="00AD006C"/>
    <w:rsid w:val="00AD00A6"/>
    <w:rsid w:val="00AD01CB"/>
    <w:rsid w:val="00AD02BE"/>
    <w:rsid w:val="00AD02FC"/>
    <w:rsid w:val="00AD0A61"/>
    <w:rsid w:val="00AD0E63"/>
    <w:rsid w:val="00AD11CD"/>
    <w:rsid w:val="00AD13EC"/>
    <w:rsid w:val="00AD15F0"/>
    <w:rsid w:val="00AD16E2"/>
    <w:rsid w:val="00AD1CF8"/>
    <w:rsid w:val="00AD20BA"/>
    <w:rsid w:val="00AD217E"/>
    <w:rsid w:val="00AD22B3"/>
    <w:rsid w:val="00AD23A2"/>
    <w:rsid w:val="00AD2730"/>
    <w:rsid w:val="00AD2890"/>
    <w:rsid w:val="00AD29EF"/>
    <w:rsid w:val="00AD2D5B"/>
    <w:rsid w:val="00AD3069"/>
    <w:rsid w:val="00AD370D"/>
    <w:rsid w:val="00AD37F5"/>
    <w:rsid w:val="00AD37FA"/>
    <w:rsid w:val="00AD38CA"/>
    <w:rsid w:val="00AD3DA8"/>
    <w:rsid w:val="00AD4069"/>
    <w:rsid w:val="00AD4230"/>
    <w:rsid w:val="00AD427B"/>
    <w:rsid w:val="00AD46BC"/>
    <w:rsid w:val="00AD4746"/>
    <w:rsid w:val="00AD4946"/>
    <w:rsid w:val="00AD4C41"/>
    <w:rsid w:val="00AD4E65"/>
    <w:rsid w:val="00AD4EE3"/>
    <w:rsid w:val="00AD53D7"/>
    <w:rsid w:val="00AD547C"/>
    <w:rsid w:val="00AD5663"/>
    <w:rsid w:val="00AD5801"/>
    <w:rsid w:val="00AD5829"/>
    <w:rsid w:val="00AD5AF3"/>
    <w:rsid w:val="00AD5BC2"/>
    <w:rsid w:val="00AD5E1F"/>
    <w:rsid w:val="00AD6013"/>
    <w:rsid w:val="00AD604C"/>
    <w:rsid w:val="00AD63F2"/>
    <w:rsid w:val="00AD659A"/>
    <w:rsid w:val="00AD6614"/>
    <w:rsid w:val="00AD6683"/>
    <w:rsid w:val="00AD66AA"/>
    <w:rsid w:val="00AD66D2"/>
    <w:rsid w:val="00AD672E"/>
    <w:rsid w:val="00AD675A"/>
    <w:rsid w:val="00AD6896"/>
    <w:rsid w:val="00AD6BD6"/>
    <w:rsid w:val="00AD6C87"/>
    <w:rsid w:val="00AD6E6C"/>
    <w:rsid w:val="00AD6E90"/>
    <w:rsid w:val="00AD6F0B"/>
    <w:rsid w:val="00AD7066"/>
    <w:rsid w:val="00AD72C6"/>
    <w:rsid w:val="00AD7313"/>
    <w:rsid w:val="00AD7377"/>
    <w:rsid w:val="00AD7466"/>
    <w:rsid w:val="00AD758E"/>
    <w:rsid w:val="00AD75F3"/>
    <w:rsid w:val="00AD7BE7"/>
    <w:rsid w:val="00AD7D29"/>
    <w:rsid w:val="00AE0053"/>
    <w:rsid w:val="00AE023C"/>
    <w:rsid w:val="00AE05AC"/>
    <w:rsid w:val="00AE0A90"/>
    <w:rsid w:val="00AE0BD9"/>
    <w:rsid w:val="00AE110D"/>
    <w:rsid w:val="00AE1181"/>
    <w:rsid w:val="00AE1214"/>
    <w:rsid w:val="00AE1365"/>
    <w:rsid w:val="00AE176F"/>
    <w:rsid w:val="00AE1A31"/>
    <w:rsid w:val="00AE1D78"/>
    <w:rsid w:val="00AE1DB6"/>
    <w:rsid w:val="00AE2007"/>
    <w:rsid w:val="00AE240E"/>
    <w:rsid w:val="00AE245B"/>
    <w:rsid w:val="00AE24B4"/>
    <w:rsid w:val="00AE28DB"/>
    <w:rsid w:val="00AE28E8"/>
    <w:rsid w:val="00AE29BC"/>
    <w:rsid w:val="00AE3081"/>
    <w:rsid w:val="00AE3577"/>
    <w:rsid w:val="00AE37AD"/>
    <w:rsid w:val="00AE3939"/>
    <w:rsid w:val="00AE3A95"/>
    <w:rsid w:val="00AE3AB8"/>
    <w:rsid w:val="00AE3C4A"/>
    <w:rsid w:val="00AE3FE3"/>
    <w:rsid w:val="00AE41E4"/>
    <w:rsid w:val="00AE4316"/>
    <w:rsid w:val="00AE455A"/>
    <w:rsid w:val="00AE487F"/>
    <w:rsid w:val="00AE4901"/>
    <w:rsid w:val="00AE4931"/>
    <w:rsid w:val="00AE4995"/>
    <w:rsid w:val="00AE4B02"/>
    <w:rsid w:val="00AE4CEF"/>
    <w:rsid w:val="00AE4E08"/>
    <w:rsid w:val="00AE4E63"/>
    <w:rsid w:val="00AE4F5A"/>
    <w:rsid w:val="00AE525D"/>
    <w:rsid w:val="00AE5473"/>
    <w:rsid w:val="00AE55B5"/>
    <w:rsid w:val="00AE55EF"/>
    <w:rsid w:val="00AE56F6"/>
    <w:rsid w:val="00AE588F"/>
    <w:rsid w:val="00AE5D51"/>
    <w:rsid w:val="00AE5D7B"/>
    <w:rsid w:val="00AE5DA6"/>
    <w:rsid w:val="00AE5DC0"/>
    <w:rsid w:val="00AE5DD8"/>
    <w:rsid w:val="00AE5E6C"/>
    <w:rsid w:val="00AE5F60"/>
    <w:rsid w:val="00AE6359"/>
    <w:rsid w:val="00AE6497"/>
    <w:rsid w:val="00AE65B0"/>
    <w:rsid w:val="00AE6613"/>
    <w:rsid w:val="00AE69EF"/>
    <w:rsid w:val="00AE6C88"/>
    <w:rsid w:val="00AE6CF2"/>
    <w:rsid w:val="00AE6E82"/>
    <w:rsid w:val="00AE6FA3"/>
    <w:rsid w:val="00AE71E0"/>
    <w:rsid w:val="00AE745F"/>
    <w:rsid w:val="00AE7634"/>
    <w:rsid w:val="00AE77D8"/>
    <w:rsid w:val="00AE7829"/>
    <w:rsid w:val="00AE7BF2"/>
    <w:rsid w:val="00AF0029"/>
    <w:rsid w:val="00AF0099"/>
    <w:rsid w:val="00AF01B5"/>
    <w:rsid w:val="00AF0237"/>
    <w:rsid w:val="00AF02B6"/>
    <w:rsid w:val="00AF0368"/>
    <w:rsid w:val="00AF0447"/>
    <w:rsid w:val="00AF046D"/>
    <w:rsid w:val="00AF088D"/>
    <w:rsid w:val="00AF09CA"/>
    <w:rsid w:val="00AF09D6"/>
    <w:rsid w:val="00AF0CAB"/>
    <w:rsid w:val="00AF10B2"/>
    <w:rsid w:val="00AF1124"/>
    <w:rsid w:val="00AF1299"/>
    <w:rsid w:val="00AF12CB"/>
    <w:rsid w:val="00AF1554"/>
    <w:rsid w:val="00AF15DF"/>
    <w:rsid w:val="00AF1602"/>
    <w:rsid w:val="00AF17C1"/>
    <w:rsid w:val="00AF1C30"/>
    <w:rsid w:val="00AF1E9A"/>
    <w:rsid w:val="00AF2412"/>
    <w:rsid w:val="00AF244B"/>
    <w:rsid w:val="00AF2450"/>
    <w:rsid w:val="00AF2570"/>
    <w:rsid w:val="00AF25D2"/>
    <w:rsid w:val="00AF2758"/>
    <w:rsid w:val="00AF2DE6"/>
    <w:rsid w:val="00AF306F"/>
    <w:rsid w:val="00AF3162"/>
    <w:rsid w:val="00AF33B7"/>
    <w:rsid w:val="00AF34BC"/>
    <w:rsid w:val="00AF3782"/>
    <w:rsid w:val="00AF38C3"/>
    <w:rsid w:val="00AF39EA"/>
    <w:rsid w:val="00AF3F06"/>
    <w:rsid w:val="00AF4289"/>
    <w:rsid w:val="00AF4323"/>
    <w:rsid w:val="00AF4636"/>
    <w:rsid w:val="00AF4712"/>
    <w:rsid w:val="00AF48FE"/>
    <w:rsid w:val="00AF4C19"/>
    <w:rsid w:val="00AF4E31"/>
    <w:rsid w:val="00AF4F7E"/>
    <w:rsid w:val="00AF5026"/>
    <w:rsid w:val="00AF5347"/>
    <w:rsid w:val="00AF5534"/>
    <w:rsid w:val="00AF56BB"/>
    <w:rsid w:val="00AF582F"/>
    <w:rsid w:val="00AF593D"/>
    <w:rsid w:val="00AF59EA"/>
    <w:rsid w:val="00AF5A34"/>
    <w:rsid w:val="00AF5CCA"/>
    <w:rsid w:val="00AF5CD5"/>
    <w:rsid w:val="00AF60A8"/>
    <w:rsid w:val="00AF60E6"/>
    <w:rsid w:val="00AF631E"/>
    <w:rsid w:val="00AF680F"/>
    <w:rsid w:val="00AF6A27"/>
    <w:rsid w:val="00AF6B73"/>
    <w:rsid w:val="00AF6B84"/>
    <w:rsid w:val="00AF6D0B"/>
    <w:rsid w:val="00AF6F8F"/>
    <w:rsid w:val="00AF7372"/>
    <w:rsid w:val="00AF73A6"/>
    <w:rsid w:val="00AF75D2"/>
    <w:rsid w:val="00AF782E"/>
    <w:rsid w:val="00AF79D9"/>
    <w:rsid w:val="00AF7E46"/>
    <w:rsid w:val="00AF7EA4"/>
    <w:rsid w:val="00B0025B"/>
    <w:rsid w:val="00B00575"/>
    <w:rsid w:val="00B0065E"/>
    <w:rsid w:val="00B00A1E"/>
    <w:rsid w:val="00B00A64"/>
    <w:rsid w:val="00B00D3A"/>
    <w:rsid w:val="00B00D6E"/>
    <w:rsid w:val="00B00DE0"/>
    <w:rsid w:val="00B00EDA"/>
    <w:rsid w:val="00B01216"/>
    <w:rsid w:val="00B012E2"/>
    <w:rsid w:val="00B013C8"/>
    <w:rsid w:val="00B015E6"/>
    <w:rsid w:val="00B01665"/>
    <w:rsid w:val="00B016AE"/>
    <w:rsid w:val="00B018C2"/>
    <w:rsid w:val="00B01945"/>
    <w:rsid w:val="00B01ABF"/>
    <w:rsid w:val="00B01B05"/>
    <w:rsid w:val="00B01B20"/>
    <w:rsid w:val="00B01D23"/>
    <w:rsid w:val="00B01ED4"/>
    <w:rsid w:val="00B02080"/>
    <w:rsid w:val="00B0257E"/>
    <w:rsid w:val="00B0286A"/>
    <w:rsid w:val="00B02AA0"/>
    <w:rsid w:val="00B02C79"/>
    <w:rsid w:val="00B02D12"/>
    <w:rsid w:val="00B02F6E"/>
    <w:rsid w:val="00B0313B"/>
    <w:rsid w:val="00B0324F"/>
    <w:rsid w:val="00B033A7"/>
    <w:rsid w:val="00B0364C"/>
    <w:rsid w:val="00B03679"/>
    <w:rsid w:val="00B03987"/>
    <w:rsid w:val="00B03A81"/>
    <w:rsid w:val="00B03B9D"/>
    <w:rsid w:val="00B03F9F"/>
    <w:rsid w:val="00B04073"/>
    <w:rsid w:val="00B0421F"/>
    <w:rsid w:val="00B04620"/>
    <w:rsid w:val="00B04682"/>
    <w:rsid w:val="00B0489A"/>
    <w:rsid w:val="00B0494A"/>
    <w:rsid w:val="00B04A93"/>
    <w:rsid w:val="00B04AE0"/>
    <w:rsid w:val="00B04F86"/>
    <w:rsid w:val="00B04F90"/>
    <w:rsid w:val="00B0509A"/>
    <w:rsid w:val="00B0514F"/>
    <w:rsid w:val="00B05314"/>
    <w:rsid w:val="00B0547E"/>
    <w:rsid w:val="00B0563B"/>
    <w:rsid w:val="00B059E4"/>
    <w:rsid w:val="00B05A25"/>
    <w:rsid w:val="00B06395"/>
    <w:rsid w:val="00B06543"/>
    <w:rsid w:val="00B06661"/>
    <w:rsid w:val="00B067A6"/>
    <w:rsid w:val="00B06823"/>
    <w:rsid w:val="00B06852"/>
    <w:rsid w:val="00B06913"/>
    <w:rsid w:val="00B072AF"/>
    <w:rsid w:val="00B07695"/>
    <w:rsid w:val="00B077D9"/>
    <w:rsid w:val="00B078F1"/>
    <w:rsid w:val="00B07941"/>
    <w:rsid w:val="00B07AC3"/>
    <w:rsid w:val="00B07CE3"/>
    <w:rsid w:val="00B07E21"/>
    <w:rsid w:val="00B07E7F"/>
    <w:rsid w:val="00B07F3C"/>
    <w:rsid w:val="00B10116"/>
    <w:rsid w:val="00B10203"/>
    <w:rsid w:val="00B1047D"/>
    <w:rsid w:val="00B1087D"/>
    <w:rsid w:val="00B10C13"/>
    <w:rsid w:val="00B10E80"/>
    <w:rsid w:val="00B1130C"/>
    <w:rsid w:val="00B11874"/>
    <w:rsid w:val="00B118D5"/>
    <w:rsid w:val="00B118DA"/>
    <w:rsid w:val="00B11AD7"/>
    <w:rsid w:val="00B11B6F"/>
    <w:rsid w:val="00B11BE6"/>
    <w:rsid w:val="00B11C33"/>
    <w:rsid w:val="00B11C3A"/>
    <w:rsid w:val="00B11C8F"/>
    <w:rsid w:val="00B11E9C"/>
    <w:rsid w:val="00B12163"/>
    <w:rsid w:val="00B122CF"/>
    <w:rsid w:val="00B12316"/>
    <w:rsid w:val="00B123FC"/>
    <w:rsid w:val="00B124BC"/>
    <w:rsid w:val="00B12549"/>
    <w:rsid w:val="00B12966"/>
    <w:rsid w:val="00B129E6"/>
    <w:rsid w:val="00B12A6B"/>
    <w:rsid w:val="00B12B3A"/>
    <w:rsid w:val="00B12D94"/>
    <w:rsid w:val="00B12E89"/>
    <w:rsid w:val="00B12E9F"/>
    <w:rsid w:val="00B12EAA"/>
    <w:rsid w:val="00B13592"/>
    <w:rsid w:val="00B135DF"/>
    <w:rsid w:val="00B13845"/>
    <w:rsid w:val="00B139AF"/>
    <w:rsid w:val="00B13B39"/>
    <w:rsid w:val="00B13C8F"/>
    <w:rsid w:val="00B13CA9"/>
    <w:rsid w:val="00B13DD9"/>
    <w:rsid w:val="00B13E56"/>
    <w:rsid w:val="00B13FA1"/>
    <w:rsid w:val="00B1428E"/>
    <w:rsid w:val="00B1432C"/>
    <w:rsid w:val="00B143CF"/>
    <w:rsid w:val="00B14417"/>
    <w:rsid w:val="00B14476"/>
    <w:rsid w:val="00B144F7"/>
    <w:rsid w:val="00B14586"/>
    <w:rsid w:val="00B14EE4"/>
    <w:rsid w:val="00B14FE8"/>
    <w:rsid w:val="00B15053"/>
    <w:rsid w:val="00B153C0"/>
    <w:rsid w:val="00B1557D"/>
    <w:rsid w:val="00B1574E"/>
    <w:rsid w:val="00B157EF"/>
    <w:rsid w:val="00B15816"/>
    <w:rsid w:val="00B15B7A"/>
    <w:rsid w:val="00B15CAF"/>
    <w:rsid w:val="00B15E13"/>
    <w:rsid w:val="00B15F5B"/>
    <w:rsid w:val="00B15FE7"/>
    <w:rsid w:val="00B16124"/>
    <w:rsid w:val="00B1616A"/>
    <w:rsid w:val="00B16194"/>
    <w:rsid w:val="00B161DF"/>
    <w:rsid w:val="00B165EE"/>
    <w:rsid w:val="00B16ABD"/>
    <w:rsid w:val="00B16D0B"/>
    <w:rsid w:val="00B16DC4"/>
    <w:rsid w:val="00B16E3E"/>
    <w:rsid w:val="00B172C7"/>
    <w:rsid w:val="00B1732E"/>
    <w:rsid w:val="00B17782"/>
    <w:rsid w:val="00B1789B"/>
    <w:rsid w:val="00B17972"/>
    <w:rsid w:val="00B17B4B"/>
    <w:rsid w:val="00B17C5A"/>
    <w:rsid w:val="00B17CBD"/>
    <w:rsid w:val="00B2002C"/>
    <w:rsid w:val="00B20099"/>
    <w:rsid w:val="00B20243"/>
    <w:rsid w:val="00B20527"/>
    <w:rsid w:val="00B205DD"/>
    <w:rsid w:val="00B205F2"/>
    <w:rsid w:val="00B207AC"/>
    <w:rsid w:val="00B20BA7"/>
    <w:rsid w:val="00B20C1B"/>
    <w:rsid w:val="00B20C80"/>
    <w:rsid w:val="00B20CB5"/>
    <w:rsid w:val="00B20E1B"/>
    <w:rsid w:val="00B20EF6"/>
    <w:rsid w:val="00B21567"/>
    <w:rsid w:val="00B215F2"/>
    <w:rsid w:val="00B21640"/>
    <w:rsid w:val="00B21866"/>
    <w:rsid w:val="00B21C72"/>
    <w:rsid w:val="00B21F7A"/>
    <w:rsid w:val="00B21FF9"/>
    <w:rsid w:val="00B22016"/>
    <w:rsid w:val="00B220E6"/>
    <w:rsid w:val="00B222FA"/>
    <w:rsid w:val="00B22636"/>
    <w:rsid w:val="00B22652"/>
    <w:rsid w:val="00B226F3"/>
    <w:rsid w:val="00B22D75"/>
    <w:rsid w:val="00B22F14"/>
    <w:rsid w:val="00B22F82"/>
    <w:rsid w:val="00B232C0"/>
    <w:rsid w:val="00B2347F"/>
    <w:rsid w:val="00B237C9"/>
    <w:rsid w:val="00B23B82"/>
    <w:rsid w:val="00B23C81"/>
    <w:rsid w:val="00B23D05"/>
    <w:rsid w:val="00B23D50"/>
    <w:rsid w:val="00B23DFF"/>
    <w:rsid w:val="00B24930"/>
    <w:rsid w:val="00B24A2B"/>
    <w:rsid w:val="00B24B23"/>
    <w:rsid w:val="00B24C27"/>
    <w:rsid w:val="00B24C62"/>
    <w:rsid w:val="00B24E8F"/>
    <w:rsid w:val="00B2509C"/>
    <w:rsid w:val="00B2583B"/>
    <w:rsid w:val="00B25B37"/>
    <w:rsid w:val="00B25FB5"/>
    <w:rsid w:val="00B26058"/>
    <w:rsid w:val="00B261E3"/>
    <w:rsid w:val="00B261EB"/>
    <w:rsid w:val="00B2627F"/>
    <w:rsid w:val="00B263EC"/>
    <w:rsid w:val="00B2667E"/>
    <w:rsid w:val="00B2668F"/>
    <w:rsid w:val="00B2692A"/>
    <w:rsid w:val="00B26A89"/>
    <w:rsid w:val="00B2715C"/>
    <w:rsid w:val="00B2733D"/>
    <w:rsid w:val="00B274D3"/>
    <w:rsid w:val="00B27526"/>
    <w:rsid w:val="00B27585"/>
    <w:rsid w:val="00B276BF"/>
    <w:rsid w:val="00B2770D"/>
    <w:rsid w:val="00B277E7"/>
    <w:rsid w:val="00B27B62"/>
    <w:rsid w:val="00B30136"/>
    <w:rsid w:val="00B3050F"/>
    <w:rsid w:val="00B307CC"/>
    <w:rsid w:val="00B30919"/>
    <w:rsid w:val="00B30B8B"/>
    <w:rsid w:val="00B30BD0"/>
    <w:rsid w:val="00B310E7"/>
    <w:rsid w:val="00B31131"/>
    <w:rsid w:val="00B311E1"/>
    <w:rsid w:val="00B3130F"/>
    <w:rsid w:val="00B314E7"/>
    <w:rsid w:val="00B316EA"/>
    <w:rsid w:val="00B31A93"/>
    <w:rsid w:val="00B31AB8"/>
    <w:rsid w:val="00B31BB5"/>
    <w:rsid w:val="00B31CC2"/>
    <w:rsid w:val="00B31CE4"/>
    <w:rsid w:val="00B31D8C"/>
    <w:rsid w:val="00B31E19"/>
    <w:rsid w:val="00B325BB"/>
    <w:rsid w:val="00B326C5"/>
    <w:rsid w:val="00B32734"/>
    <w:rsid w:val="00B3293B"/>
    <w:rsid w:val="00B32951"/>
    <w:rsid w:val="00B32A43"/>
    <w:rsid w:val="00B32C3D"/>
    <w:rsid w:val="00B331A3"/>
    <w:rsid w:val="00B332C8"/>
    <w:rsid w:val="00B33360"/>
    <w:rsid w:val="00B333B2"/>
    <w:rsid w:val="00B334A1"/>
    <w:rsid w:val="00B336D2"/>
    <w:rsid w:val="00B336FA"/>
    <w:rsid w:val="00B33C0D"/>
    <w:rsid w:val="00B33F7A"/>
    <w:rsid w:val="00B344B0"/>
    <w:rsid w:val="00B344CB"/>
    <w:rsid w:val="00B3450F"/>
    <w:rsid w:val="00B34661"/>
    <w:rsid w:val="00B347CC"/>
    <w:rsid w:val="00B348C8"/>
    <w:rsid w:val="00B34DF1"/>
    <w:rsid w:val="00B34DF9"/>
    <w:rsid w:val="00B34E5C"/>
    <w:rsid w:val="00B34F24"/>
    <w:rsid w:val="00B35147"/>
    <w:rsid w:val="00B35271"/>
    <w:rsid w:val="00B354D5"/>
    <w:rsid w:val="00B356AF"/>
    <w:rsid w:val="00B35839"/>
    <w:rsid w:val="00B359B1"/>
    <w:rsid w:val="00B35BCB"/>
    <w:rsid w:val="00B35BEC"/>
    <w:rsid w:val="00B35D26"/>
    <w:rsid w:val="00B35DA0"/>
    <w:rsid w:val="00B3634A"/>
    <w:rsid w:val="00B364B4"/>
    <w:rsid w:val="00B36566"/>
    <w:rsid w:val="00B36650"/>
    <w:rsid w:val="00B3671C"/>
    <w:rsid w:val="00B3693B"/>
    <w:rsid w:val="00B36A52"/>
    <w:rsid w:val="00B36C73"/>
    <w:rsid w:val="00B36CAC"/>
    <w:rsid w:val="00B36D0A"/>
    <w:rsid w:val="00B37196"/>
    <w:rsid w:val="00B3763A"/>
    <w:rsid w:val="00B37942"/>
    <w:rsid w:val="00B3797C"/>
    <w:rsid w:val="00B3797E"/>
    <w:rsid w:val="00B37A8A"/>
    <w:rsid w:val="00B37A97"/>
    <w:rsid w:val="00B37D22"/>
    <w:rsid w:val="00B37E1A"/>
    <w:rsid w:val="00B37EEE"/>
    <w:rsid w:val="00B37F45"/>
    <w:rsid w:val="00B3BB3E"/>
    <w:rsid w:val="00B404C1"/>
    <w:rsid w:val="00B405C3"/>
    <w:rsid w:val="00B4069D"/>
    <w:rsid w:val="00B40808"/>
    <w:rsid w:val="00B40A5A"/>
    <w:rsid w:val="00B40A7F"/>
    <w:rsid w:val="00B40C3F"/>
    <w:rsid w:val="00B40FA5"/>
    <w:rsid w:val="00B410A5"/>
    <w:rsid w:val="00B412DF"/>
    <w:rsid w:val="00B414A4"/>
    <w:rsid w:val="00B417A6"/>
    <w:rsid w:val="00B41837"/>
    <w:rsid w:val="00B4194C"/>
    <w:rsid w:val="00B419F1"/>
    <w:rsid w:val="00B4241C"/>
    <w:rsid w:val="00B425CD"/>
    <w:rsid w:val="00B42724"/>
    <w:rsid w:val="00B42767"/>
    <w:rsid w:val="00B42953"/>
    <w:rsid w:val="00B429D1"/>
    <w:rsid w:val="00B42A0C"/>
    <w:rsid w:val="00B42AE1"/>
    <w:rsid w:val="00B42D75"/>
    <w:rsid w:val="00B42DF6"/>
    <w:rsid w:val="00B42F1E"/>
    <w:rsid w:val="00B42FBE"/>
    <w:rsid w:val="00B43091"/>
    <w:rsid w:val="00B43112"/>
    <w:rsid w:val="00B43232"/>
    <w:rsid w:val="00B43389"/>
    <w:rsid w:val="00B434C0"/>
    <w:rsid w:val="00B435C5"/>
    <w:rsid w:val="00B439A6"/>
    <w:rsid w:val="00B43CBF"/>
    <w:rsid w:val="00B43EB4"/>
    <w:rsid w:val="00B44632"/>
    <w:rsid w:val="00B44759"/>
    <w:rsid w:val="00B448CD"/>
    <w:rsid w:val="00B44E4E"/>
    <w:rsid w:val="00B44FFB"/>
    <w:rsid w:val="00B450A7"/>
    <w:rsid w:val="00B451B8"/>
    <w:rsid w:val="00B45226"/>
    <w:rsid w:val="00B45BA6"/>
    <w:rsid w:val="00B45D1B"/>
    <w:rsid w:val="00B45DB3"/>
    <w:rsid w:val="00B45E2A"/>
    <w:rsid w:val="00B45FAD"/>
    <w:rsid w:val="00B460BC"/>
    <w:rsid w:val="00B46658"/>
    <w:rsid w:val="00B4674E"/>
    <w:rsid w:val="00B4676C"/>
    <w:rsid w:val="00B4682D"/>
    <w:rsid w:val="00B468AA"/>
    <w:rsid w:val="00B46AF3"/>
    <w:rsid w:val="00B46B68"/>
    <w:rsid w:val="00B46C36"/>
    <w:rsid w:val="00B46EB6"/>
    <w:rsid w:val="00B46EB7"/>
    <w:rsid w:val="00B46F1A"/>
    <w:rsid w:val="00B47032"/>
    <w:rsid w:val="00B47B41"/>
    <w:rsid w:val="00B47CDD"/>
    <w:rsid w:val="00B47D24"/>
    <w:rsid w:val="00B50109"/>
    <w:rsid w:val="00B5036E"/>
    <w:rsid w:val="00B503D8"/>
    <w:rsid w:val="00B5065D"/>
    <w:rsid w:val="00B50DCB"/>
    <w:rsid w:val="00B50FC3"/>
    <w:rsid w:val="00B5110E"/>
    <w:rsid w:val="00B511EA"/>
    <w:rsid w:val="00B515B2"/>
    <w:rsid w:val="00B515D0"/>
    <w:rsid w:val="00B51864"/>
    <w:rsid w:val="00B519A6"/>
    <w:rsid w:val="00B51AEC"/>
    <w:rsid w:val="00B51D4F"/>
    <w:rsid w:val="00B51D62"/>
    <w:rsid w:val="00B521C2"/>
    <w:rsid w:val="00B52245"/>
    <w:rsid w:val="00B524F2"/>
    <w:rsid w:val="00B5266C"/>
    <w:rsid w:val="00B526B9"/>
    <w:rsid w:val="00B526FC"/>
    <w:rsid w:val="00B5295D"/>
    <w:rsid w:val="00B52A01"/>
    <w:rsid w:val="00B52A49"/>
    <w:rsid w:val="00B52B70"/>
    <w:rsid w:val="00B52BCF"/>
    <w:rsid w:val="00B52E5D"/>
    <w:rsid w:val="00B53142"/>
    <w:rsid w:val="00B533C4"/>
    <w:rsid w:val="00B535DB"/>
    <w:rsid w:val="00B535E8"/>
    <w:rsid w:val="00B538FD"/>
    <w:rsid w:val="00B53AEC"/>
    <w:rsid w:val="00B53AFB"/>
    <w:rsid w:val="00B53B68"/>
    <w:rsid w:val="00B53C13"/>
    <w:rsid w:val="00B53E3E"/>
    <w:rsid w:val="00B540E6"/>
    <w:rsid w:val="00B543A8"/>
    <w:rsid w:val="00B543FE"/>
    <w:rsid w:val="00B546B2"/>
    <w:rsid w:val="00B548C8"/>
    <w:rsid w:val="00B5499B"/>
    <w:rsid w:val="00B54AB7"/>
    <w:rsid w:val="00B54AFD"/>
    <w:rsid w:val="00B54E7E"/>
    <w:rsid w:val="00B552A4"/>
    <w:rsid w:val="00B55433"/>
    <w:rsid w:val="00B554AB"/>
    <w:rsid w:val="00B5558E"/>
    <w:rsid w:val="00B5563B"/>
    <w:rsid w:val="00B556C7"/>
    <w:rsid w:val="00B55E32"/>
    <w:rsid w:val="00B55E83"/>
    <w:rsid w:val="00B5660B"/>
    <w:rsid w:val="00B567D0"/>
    <w:rsid w:val="00B56A05"/>
    <w:rsid w:val="00B56A91"/>
    <w:rsid w:val="00B56AD8"/>
    <w:rsid w:val="00B56BA6"/>
    <w:rsid w:val="00B56C42"/>
    <w:rsid w:val="00B56D82"/>
    <w:rsid w:val="00B56E55"/>
    <w:rsid w:val="00B56E5B"/>
    <w:rsid w:val="00B5701C"/>
    <w:rsid w:val="00B571D0"/>
    <w:rsid w:val="00B57279"/>
    <w:rsid w:val="00B57316"/>
    <w:rsid w:val="00B573ED"/>
    <w:rsid w:val="00B57519"/>
    <w:rsid w:val="00B57642"/>
    <w:rsid w:val="00B57798"/>
    <w:rsid w:val="00B578ED"/>
    <w:rsid w:val="00B578F4"/>
    <w:rsid w:val="00B57B53"/>
    <w:rsid w:val="00B57D23"/>
    <w:rsid w:val="00B57E2B"/>
    <w:rsid w:val="00B60173"/>
    <w:rsid w:val="00B606A9"/>
    <w:rsid w:val="00B608A9"/>
    <w:rsid w:val="00B60AA8"/>
    <w:rsid w:val="00B60B6B"/>
    <w:rsid w:val="00B60BB3"/>
    <w:rsid w:val="00B60BBF"/>
    <w:rsid w:val="00B60BF8"/>
    <w:rsid w:val="00B60C20"/>
    <w:rsid w:val="00B60C59"/>
    <w:rsid w:val="00B60C72"/>
    <w:rsid w:val="00B614C9"/>
    <w:rsid w:val="00B61554"/>
    <w:rsid w:val="00B615D8"/>
    <w:rsid w:val="00B61657"/>
    <w:rsid w:val="00B617CD"/>
    <w:rsid w:val="00B61A52"/>
    <w:rsid w:val="00B61B2B"/>
    <w:rsid w:val="00B61CEA"/>
    <w:rsid w:val="00B61DAE"/>
    <w:rsid w:val="00B61DF1"/>
    <w:rsid w:val="00B61E95"/>
    <w:rsid w:val="00B61EEC"/>
    <w:rsid w:val="00B61F2E"/>
    <w:rsid w:val="00B62154"/>
    <w:rsid w:val="00B62293"/>
    <w:rsid w:val="00B62398"/>
    <w:rsid w:val="00B62425"/>
    <w:rsid w:val="00B625F1"/>
    <w:rsid w:val="00B628AC"/>
    <w:rsid w:val="00B62A58"/>
    <w:rsid w:val="00B62B8B"/>
    <w:rsid w:val="00B62E49"/>
    <w:rsid w:val="00B62F4B"/>
    <w:rsid w:val="00B63005"/>
    <w:rsid w:val="00B630DD"/>
    <w:rsid w:val="00B6310A"/>
    <w:rsid w:val="00B63218"/>
    <w:rsid w:val="00B63371"/>
    <w:rsid w:val="00B633FC"/>
    <w:rsid w:val="00B634AB"/>
    <w:rsid w:val="00B63644"/>
    <w:rsid w:val="00B637B2"/>
    <w:rsid w:val="00B63BEF"/>
    <w:rsid w:val="00B63C09"/>
    <w:rsid w:val="00B63C8D"/>
    <w:rsid w:val="00B63EFC"/>
    <w:rsid w:val="00B64171"/>
    <w:rsid w:val="00B6418A"/>
    <w:rsid w:val="00B641F1"/>
    <w:rsid w:val="00B64419"/>
    <w:rsid w:val="00B644BE"/>
    <w:rsid w:val="00B64566"/>
    <w:rsid w:val="00B64748"/>
    <w:rsid w:val="00B64CA9"/>
    <w:rsid w:val="00B64CAB"/>
    <w:rsid w:val="00B64D71"/>
    <w:rsid w:val="00B65068"/>
    <w:rsid w:val="00B6513F"/>
    <w:rsid w:val="00B651B2"/>
    <w:rsid w:val="00B65339"/>
    <w:rsid w:val="00B65598"/>
    <w:rsid w:val="00B658F2"/>
    <w:rsid w:val="00B65AD7"/>
    <w:rsid w:val="00B65B34"/>
    <w:rsid w:val="00B65C8E"/>
    <w:rsid w:val="00B65D1A"/>
    <w:rsid w:val="00B660FA"/>
    <w:rsid w:val="00B6622D"/>
    <w:rsid w:val="00B662DE"/>
    <w:rsid w:val="00B6631D"/>
    <w:rsid w:val="00B663C8"/>
    <w:rsid w:val="00B66438"/>
    <w:rsid w:val="00B66869"/>
    <w:rsid w:val="00B66967"/>
    <w:rsid w:val="00B66BC5"/>
    <w:rsid w:val="00B66CEF"/>
    <w:rsid w:val="00B66DA4"/>
    <w:rsid w:val="00B67642"/>
    <w:rsid w:val="00B67680"/>
    <w:rsid w:val="00B67704"/>
    <w:rsid w:val="00B67A33"/>
    <w:rsid w:val="00B67A7A"/>
    <w:rsid w:val="00B67A93"/>
    <w:rsid w:val="00B67AEA"/>
    <w:rsid w:val="00B67CEC"/>
    <w:rsid w:val="00B67EC4"/>
    <w:rsid w:val="00B67F77"/>
    <w:rsid w:val="00B7075F"/>
    <w:rsid w:val="00B70AD9"/>
    <w:rsid w:val="00B70BC4"/>
    <w:rsid w:val="00B70C18"/>
    <w:rsid w:val="00B70ED5"/>
    <w:rsid w:val="00B710A2"/>
    <w:rsid w:val="00B71191"/>
    <w:rsid w:val="00B71298"/>
    <w:rsid w:val="00B7182D"/>
    <w:rsid w:val="00B7187C"/>
    <w:rsid w:val="00B719BC"/>
    <w:rsid w:val="00B71B7F"/>
    <w:rsid w:val="00B71F05"/>
    <w:rsid w:val="00B721D2"/>
    <w:rsid w:val="00B7248F"/>
    <w:rsid w:val="00B72828"/>
    <w:rsid w:val="00B7283B"/>
    <w:rsid w:val="00B72B70"/>
    <w:rsid w:val="00B7309D"/>
    <w:rsid w:val="00B731AE"/>
    <w:rsid w:val="00B73341"/>
    <w:rsid w:val="00B73377"/>
    <w:rsid w:val="00B73494"/>
    <w:rsid w:val="00B734E5"/>
    <w:rsid w:val="00B73555"/>
    <w:rsid w:val="00B736B3"/>
    <w:rsid w:val="00B73BAD"/>
    <w:rsid w:val="00B73CD2"/>
    <w:rsid w:val="00B73D4E"/>
    <w:rsid w:val="00B73F7F"/>
    <w:rsid w:val="00B746BC"/>
    <w:rsid w:val="00B7486A"/>
    <w:rsid w:val="00B74C83"/>
    <w:rsid w:val="00B74D0A"/>
    <w:rsid w:val="00B74D4B"/>
    <w:rsid w:val="00B74E61"/>
    <w:rsid w:val="00B75222"/>
    <w:rsid w:val="00B752F9"/>
    <w:rsid w:val="00B7533C"/>
    <w:rsid w:val="00B7540E"/>
    <w:rsid w:val="00B755CB"/>
    <w:rsid w:val="00B7566C"/>
    <w:rsid w:val="00B7594D"/>
    <w:rsid w:val="00B75988"/>
    <w:rsid w:val="00B75BEF"/>
    <w:rsid w:val="00B75D5D"/>
    <w:rsid w:val="00B75EA5"/>
    <w:rsid w:val="00B76289"/>
    <w:rsid w:val="00B763FA"/>
    <w:rsid w:val="00B7656D"/>
    <w:rsid w:val="00B7679B"/>
    <w:rsid w:val="00B76966"/>
    <w:rsid w:val="00B76AD6"/>
    <w:rsid w:val="00B76BEC"/>
    <w:rsid w:val="00B76DA1"/>
    <w:rsid w:val="00B76EDC"/>
    <w:rsid w:val="00B76F37"/>
    <w:rsid w:val="00B76FAA"/>
    <w:rsid w:val="00B77232"/>
    <w:rsid w:val="00B7755D"/>
    <w:rsid w:val="00B775EB"/>
    <w:rsid w:val="00B7764E"/>
    <w:rsid w:val="00B77743"/>
    <w:rsid w:val="00B77DE6"/>
    <w:rsid w:val="00B77E65"/>
    <w:rsid w:val="00B80082"/>
    <w:rsid w:val="00B8024C"/>
    <w:rsid w:val="00B803DF"/>
    <w:rsid w:val="00B805F1"/>
    <w:rsid w:val="00B809A7"/>
    <w:rsid w:val="00B80B03"/>
    <w:rsid w:val="00B80BA6"/>
    <w:rsid w:val="00B80D86"/>
    <w:rsid w:val="00B811FD"/>
    <w:rsid w:val="00B8120F"/>
    <w:rsid w:val="00B812A0"/>
    <w:rsid w:val="00B816CE"/>
    <w:rsid w:val="00B816DA"/>
    <w:rsid w:val="00B818A9"/>
    <w:rsid w:val="00B81AD8"/>
    <w:rsid w:val="00B81DEC"/>
    <w:rsid w:val="00B82213"/>
    <w:rsid w:val="00B82443"/>
    <w:rsid w:val="00B824A0"/>
    <w:rsid w:val="00B8271F"/>
    <w:rsid w:val="00B828A7"/>
    <w:rsid w:val="00B829E6"/>
    <w:rsid w:val="00B82A13"/>
    <w:rsid w:val="00B82E1D"/>
    <w:rsid w:val="00B82EB3"/>
    <w:rsid w:val="00B8311B"/>
    <w:rsid w:val="00B8327A"/>
    <w:rsid w:val="00B83392"/>
    <w:rsid w:val="00B8350D"/>
    <w:rsid w:val="00B83902"/>
    <w:rsid w:val="00B83FC9"/>
    <w:rsid w:val="00B84150"/>
    <w:rsid w:val="00B841C7"/>
    <w:rsid w:val="00B84242"/>
    <w:rsid w:val="00B844FD"/>
    <w:rsid w:val="00B84C7F"/>
    <w:rsid w:val="00B84CCF"/>
    <w:rsid w:val="00B84D79"/>
    <w:rsid w:val="00B84D84"/>
    <w:rsid w:val="00B84F4F"/>
    <w:rsid w:val="00B85001"/>
    <w:rsid w:val="00B8543C"/>
    <w:rsid w:val="00B85649"/>
    <w:rsid w:val="00B856B3"/>
    <w:rsid w:val="00B85820"/>
    <w:rsid w:val="00B8587A"/>
    <w:rsid w:val="00B85C07"/>
    <w:rsid w:val="00B85DB3"/>
    <w:rsid w:val="00B85E91"/>
    <w:rsid w:val="00B85F48"/>
    <w:rsid w:val="00B86313"/>
    <w:rsid w:val="00B864C5"/>
    <w:rsid w:val="00B86550"/>
    <w:rsid w:val="00B86988"/>
    <w:rsid w:val="00B86EDB"/>
    <w:rsid w:val="00B874DE"/>
    <w:rsid w:val="00B87539"/>
    <w:rsid w:val="00B87738"/>
    <w:rsid w:val="00B87CCE"/>
    <w:rsid w:val="00B87CFE"/>
    <w:rsid w:val="00B87F8A"/>
    <w:rsid w:val="00B87FBE"/>
    <w:rsid w:val="00B90466"/>
    <w:rsid w:val="00B9047C"/>
    <w:rsid w:val="00B906BF"/>
    <w:rsid w:val="00B90785"/>
    <w:rsid w:val="00B90795"/>
    <w:rsid w:val="00B9081A"/>
    <w:rsid w:val="00B90A6A"/>
    <w:rsid w:val="00B90C52"/>
    <w:rsid w:val="00B90C6D"/>
    <w:rsid w:val="00B915D0"/>
    <w:rsid w:val="00B917F1"/>
    <w:rsid w:val="00B92315"/>
    <w:rsid w:val="00B92793"/>
    <w:rsid w:val="00B929EC"/>
    <w:rsid w:val="00B92B5F"/>
    <w:rsid w:val="00B92C2D"/>
    <w:rsid w:val="00B92D54"/>
    <w:rsid w:val="00B92EC9"/>
    <w:rsid w:val="00B931BC"/>
    <w:rsid w:val="00B93301"/>
    <w:rsid w:val="00B934ED"/>
    <w:rsid w:val="00B9366D"/>
    <w:rsid w:val="00B93877"/>
    <w:rsid w:val="00B93942"/>
    <w:rsid w:val="00B93A90"/>
    <w:rsid w:val="00B93BCD"/>
    <w:rsid w:val="00B93CE6"/>
    <w:rsid w:val="00B93F34"/>
    <w:rsid w:val="00B94533"/>
    <w:rsid w:val="00B94602"/>
    <w:rsid w:val="00B94749"/>
    <w:rsid w:val="00B9499F"/>
    <w:rsid w:val="00B94C69"/>
    <w:rsid w:val="00B94DD8"/>
    <w:rsid w:val="00B94E5E"/>
    <w:rsid w:val="00B94FEC"/>
    <w:rsid w:val="00B95336"/>
    <w:rsid w:val="00B95362"/>
    <w:rsid w:val="00B954A6"/>
    <w:rsid w:val="00B95AB7"/>
    <w:rsid w:val="00B95BFE"/>
    <w:rsid w:val="00B95C22"/>
    <w:rsid w:val="00B9603D"/>
    <w:rsid w:val="00B9630A"/>
    <w:rsid w:val="00B96506"/>
    <w:rsid w:val="00B965E0"/>
    <w:rsid w:val="00B96A25"/>
    <w:rsid w:val="00B96B0E"/>
    <w:rsid w:val="00B96BA3"/>
    <w:rsid w:val="00B96E4F"/>
    <w:rsid w:val="00B96EBF"/>
    <w:rsid w:val="00B97205"/>
    <w:rsid w:val="00B9753C"/>
    <w:rsid w:val="00B97665"/>
    <w:rsid w:val="00B978DC"/>
    <w:rsid w:val="00B979F1"/>
    <w:rsid w:val="00B97DE4"/>
    <w:rsid w:val="00BA000B"/>
    <w:rsid w:val="00BA0103"/>
    <w:rsid w:val="00BA0157"/>
    <w:rsid w:val="00BA0190"/>
    <w:rsid w:val="00BA028F"/>
    <w:rsid w:val="00BA0293"/>
    <w:rsid w:val="00BA0885"/>
    <w:rsid w:val="00BA08C3"/>
    <w:rsid w:val="00BA0999"/>
    <w:rsid w:val="00BA0E72"/>
    <w:rsid w:val="00BA0F40"/>
    <w:rsid w:val="00BA10A8"/>
    <w:rsid w:val="00BA114A"/>
    <w:rsid w:val="00BA13DB"/>
    <w:rsid w:val="00BA1460"/>
    <w:rsid w:val="00BA1537"/>
    <w:rsid w:val="00BA1633"/>
    <w:rsid w:val="00BA174A"/>
    <w:rsid w:val="00BA1823"/>
    <w:rsid w:val="00BA1D7C"/>
    <w:rsid w:val="00BA1DF7"/>
    <w:rsid w:val="00BA1E9A"/>
    <w:rsid w:val="00BA1F92"/>
    <w:rsid w:val="00BA20A0"/>
    <w:rsid w:val="00BA21B4"/>
    <w:rsid w:val="00BA271C"/>
    <w:rsid w:val="00BA2725"/>
    <w:rsid w:val="00BA2DA1"/>
    <w:rsid w:val="00BA327F"/>
    <w:rsid w:val="00BA35C9"/>
    <w:rsid w:val="00BA3784"/>
    <w:rsid w:val="00BA3817"/>
    <w:rsid w:val="00BA3FDE"/>
    <w:rsid w:val="00BA4032"/>
    <w:rsid w:val="00BA4422"/>
    <w:rsid w:val="00BA46E2"/>
    <w:rsid w:val="00BA4980"/>
    <w:rsid w:val="00BA4AAB"/>
    <w:rsid w:val="00BA4CA4"/>
    <w:rsid w:val="00BA4D76"/>
    <w:rsid w:val="00BA4FD9"/>
    <w:rsid w:val="00BA5238"/>
    <w:rsid w:val="00BA526A"/>
    <w:rsid w:val="00BA5323"/>
    <w:rsid w:val="00BA5546"/>
    <w:rsid w:val="00BA5885"/>
    <w:rsid w:val="00BA5A39"/>
    <w:rsid w:val="00BA5ACC"/>
    <w:rsid w:val="00BA5C54"/>
    <w:rsid w:val="00BA5EC3"/>
    <w:rsid w:val="00BA5FCA"/>
    <w:rsid w:val="00BA6055"/>
    <w:rsid w:val="00BA633D"/>
    <w:rsid w:val="00BA65D4"/>
    <w:rsid w:val="00BA69CD"/>
    <w:rsid w:val="00BA6AC3"/>
    <w:rsid w:val="00BA6B28"/>
    <w:rsid w:val="00BA6FA0"/>
    <w:rsid w:val="00BA7620"/>
    <w:rsid w:val="00BA7674"/>
    <w:rsid w:val="00BA77C6"/>
    <w:rsid w:val="00BA78A4"/>
    <w:rsid w:val="00BA7A5C"/>
    <w:rsid w:val="00BA7AD5"/>
    <w:rsid w:val="00BA7C92"/>
    <w:rsid w:val="00BA7DD2"/>
    <w:rsid w:val="00BB029B"/>
    <w:rsid w:val="00BB02CC"/>
    <w:rsid w:val="00BB0611"/>
    <w:rsid w:val="00BB0E58"/>
    <w:rsid w:val="00BB10AF"/>
    <w:rsid w:val="00BB1210"/>
    <w:rsid w:val="00BB12C4"/>
    <w:rsid w:val="00BB17D4"/>
    <w:rsid w:val="00BB2023"/>
    <w:rsid w:val="00BB21C0"/>
    <w:rsid w:val="00BB2445"/>
    <w:rsid w:val="00BB2689"/>
    <w:rsid w:val="00BB2710"/>
    <w:rsid w:val="00BB2810"/>
    <w:rsid w:val="00BB29C0"/>
    <w:rsid w:val="00BB2D95"/>
    <w:rsid w:val="00BB30BE"/>
    <w:rsid w:val="00BB3165"/>
    <w:rsid w:val="00BB3376"/>
    <w:rsid w:val="00BB3487"/>
    <w:rsid w:val="00BB363E"/>
    <w:rsid w:val="00BB39E8"/>
    <w:rsid w:val="00BB3B3E"/>
    <w:rsid w:val="00BB40A7"/>
    <w:rsid w:val="00BB4106"/>
    <w:rsid w:val="00BB411C"/>
    <w:rsid w:val="00BB42E6"/>
    <w:rsid w:val="00BB457E"/>
    <w:rsid w:val="00BB46E8"/>
    <w:rsid w:val="00BB4800"/>
    <w:rsid w:val="00BB4A25"/>
    <w:rsid w:val="00BB4A54"/>
    <w:rsid w:val="00BB4B7F"/>
    <w:rsid w:val="00BB4C45"/>
    <w:rsid w:val="00BB4EAC"/>
    <w:rsid w:val="00BB5177"/>
    <w:rsid w:val="00BB51E7"/>
    <w:rsid w:val="00BB53CA"/>
    <w:rsid w:val="00BB59CC"/>
    <w:rsid w:val="00BB5A9C"/>
    <w:rsid w:val="00BB5DC7"/>
    <w:rsid w:val="00BB650A"/>
    <w:rsid w:val="00BB6562"/>
    <w:rsid w:val="00BB668A"/>
    <w:rsid w:val="00BB69F5"/>
    <w:rsid w:val="00BB71E4"/>
    <w:rsid w:val="00BB7230"/>
    <w:rsid w:val="00BB7651"/>
    <w:rsid w:val="00BB78A9"/>
    <w:rsid w:val="00BB7D6E"/>
    <w:rsid w:val="00BB7DF3"/>
    <w:rsid w:val="00BB7EA4"/>
    <w:rsid w:val="00BB7F04"/>
    <w:rsid w:val="00BB7FA1"/>
    <w:rsid w:val="00BB7FF6"/>
    <w:rsid w:val="00BC03CD"/>
    <w:rsid w:val="00BC04CF"/>
    <w:rsid w:val="00BC0B32"/>
    <w:rsid w:val="00BC0B6A"/>
    <w:rsid w:val="00BC0E83"/>
    <w:rsid w:val="00BC0ECB"/>
    <w:rsid w:val="00BC0FD8"/>
    <w:rsid w:val="00BC160A"/>
    <w:rsid w:val="00BC1739"/>
    <w:rsid w:val="00BC1D70"/>
    <w:rsid w:val="00BC2274"/>
    <w:rsid w:val="00BC22A1"/>
    <w:rsid w:val="00BC24B3"/>
    <w:rsid w:val="00BC2594"/>
    <w:rsid w:val="00BC2644"/>
    <w:rsid w:val="00BC296E"/>
    <w:rsid w:val="00BC2A12"/>
    <w:rsid w:val="00BC2BF9"/>
    <w:rsid w:val="00BC2D68"/>
    <w:rsid w:val="00BC2DC7"/>
    <w:rsid w:val="00BC2F5B"/>
    <w:rsid w:val="00BC2FF9"/>
    <w:rsid w:val="00BC31B2"/>
    <w:rsid w:val="00BC3392"/>
    <w:rsid w:val="00BC33E6"/>
    <w:rsid w:val="00BC3588"/>
    <w:rsid w:val="00BC36AF"/>
    <w:rsid w:val="00BC37CD"/>
    <w:rsid w:val="00BC37F9"/>
    <w:rsid w:val="00BC3939"/>
    <w:rsid w:val="00BC39D1"/>
    <w:rsid w:val="00BC39F4"/>
    <w:rsid w:val="00BC3B6F"/>
    <w:rsid w:val="00BC3C43"/>
    <w:rsid w:val="00BC4018"/>
    <w:rsid w:val="00BC4239"/>
    <w:rsid w:val="00BC43C9"/>
    <w:rsid w:val="00BC4831"/>
    <w:rsid w:val="00BC499E"/>
    <w:rsid w:val="00BC4A5B"/>
    <w:rsid w:val="00BC4CA7"/>
    <w:rsid w:val="00BC4EDE"/>
    <w:rsid w:val="00BC509E"/>
    <w:rsid w:val="00BC51E2"/>
    <w:rsid w:val="00BC528E"/>
    <w:rsid w:val="00BC529A"/>
    <w:rsid w:val="00BC533B"/>
    <w:rsid w:val="00BC5576"/>
    <w:rsid w:val="00BC5A64"/>
    <w:rsid w:val="00BC5C3C"/>
    <w:rsid w:val="00BC5D32"/>
    <w:rsid w:val="00BC5D91"/>
    <w:rsid w:val="00BC5EC5"/>
    <w:rsid w:val="00BC60E6"/>
    <w:rsid w:val="00BC6383"/>
    <w:rsid w:val="00BC6384"/>
    <w:rsid w:val="00BC679D"/>
    <w:rsid w:val="00BC6962"/>
    <w:rsid w:val="00BC69DA"/>
    <w:rsid w:val="00BC6A3E"/>
    <w:rsid w:val="00BC6E45"/>
    <w:rsid w:val="00BC6E6C"/>
    <w:rsid w:val="00BC6F7D"/>
    <w:rsid w:val="00BC7199"/>
    <w:rsid w:val="00BC7396"/>
    <w:rsid w:val="00BC73CD"/>
    <w:rsid w:val="00BC7462"/>
    <w:rsid w:val="00BC767A"/>
    <w:rsid w:val="00BC778E"/>
    <w:rsid w:val="00BC78C0"/>
    <w:rsid w:val="00BC7F03"/>
    <w:rsid w:val="00BC7F0F"/>
    <w:rsid w:val="00BC7F29"/>
    <w:rsid w:val="00BD00AD"/>
    <w:rsid w:val="00BD00C1"/>
    <w:rsid w:val="00BD05C9"/>
    <w:rsid w:val="00BD09C4"/>
    <w:rsid w:val="00BD0B2D"/>
    <w:rsid w:val="00BD0B5A"/>
    <w:rsid w:val="00BD0CA4"/>
    <w:rsid w:val="00BD0CFE"/>
    <w:rsid w:val="00BD0D17"/>
    <w:rsid w:val="00BD0DD2"/>
    <w:rsid w:val="00BD118E"/>
    <w:rsid w:val="00BD12E8"/>
    <w:rsid w:val="00BD16F6"/>
    <w:rsid w:val="00BD1A26"/>
    <w:rsid w:val="00BD1A6B"/>
    <w:rsid w:val="00BD1D67"/>
    <w:rsid w:val="00BD1FCF"/>
    <w:rsid w:val="00BD22FE"/>
    <w:rsid w:val="00BD2563"/>
    <w:rsid w:val="00BD2626"/>
    <w:rsid w:val="00BD2758"/>
    <w:rsid w:val="00BD28C2"/>
    <w:rsid w:val="00BD2A33"/>
    <w:rsid w:val="00BD31BD"/>
    <w:rsid w:val="00BD328C"/>
    <w:rsid w:val="00BD35CC"/>
    <w:rsid w:val="00BD3AB1"/>
    <w:rsid w:val="00BD4039"/>
    <w:rsid w:val="00BD4117"/>
    <w:rsid w:val="00BD41C9"/>
    <w:rsid w:val="00BD4295"/>
    <w:rsid w:val="00BD44A6"/>
    <w:rsid w:val="00BD46FC"/>
    <w:rsid w:val="00BD47B4"/>
    <w:rsid w:val="00BD4A3F"/>
    <w:rsid w:val="00BD4CD0"/>
    <w:rsid w:val="00BD55CD"/>
    <w:rsid w:val="00BD5681"/>
    <w:rsid w:val="00BD5DB6"/>
    <w:rsid w:val="00BD5FBE"/>
    <w:rsid w:val="00BD636D"/>
    <w:rsid w:val="00BD6372"/>
    <w:rsid w:val="00BD6670"/>
    <w:rsid w:val="00BD6674"/>
    <w:rsid w:val="00BD67CB"/>
    <w:rsid w:val="00BD6BF6"/>
    <w:rsid w:val="00BD6C7F"/>
    <w:rsid w:val="00BD6D79"/>
    <w:rsid w:val="00BD6FA5"/>
    <w:rsid w:val="00BD6FC7"/>
    <w:rsid w:val="00BD72A0"/>
    <w:rsid w:val="00BD7547"/>
    <w:rsid w:val="00BD761A"/>
    <w:rsid w:val="00BD763D"/>
    <w:rsid w:val="00BD7A0E"/>
    <w:rsid w:val="00BD7D9B"/>
    <w:rsid w:val="00BD7FE6"/>
    <w:rsid w:val="00BE0086"/>
    <w:rsid w:val="00BE01A7"/>
    <w:rsid w:val="00BE03F9"/>
    <w:rsid w:val="00BE08C5"/>
    <w:rsid w:val="00BE09A9"/>
    <w:rsid w:val="00BE09D0"/>
    <w:rsid w:val="00BE0A33"/>
    <w:rsid w:val="00BE0A3F"/>
    <w:rsid w:val="00BE0D33"/>
    <w:rsid w:val="00BE0E0B"/>
    <w:rsid w:val="00BE0EF1"/>
    <w:rsid w:val="00BE1126"/>
    <w:rsid w:val="00BE11F6"/>
    <w:rsid w:val="00BE129B"/>
    <w:rsid w:val="00BE13F1"/>
    <w:rsid w:val="00BE1519"/>
    <w:rsid w:val="00BE1727"/>
    <w:rsid w:val="00BE18A5"/>
    <w:rsid w:val="00BE19D8"/>
    <w:rsid w:val="00BE1A30"/>
    <w:rsid w:val="00BE1A80"/>
    <w:rsid w:val="00BE1A88"/>
    <w:rsid w:val="00BE1C59"/>
    <w:rsid w:val="00BE1D29"/>
    <w:rsid w:val="00BE1F6D"/>
    <w:rsid w:val="00BE1FA5"/>
    <w:rsid w:val="00BE205F"/>
    <w:rsid w:val="00BE22B2"/>
    <w:rsid w:val="00BE22BE"/>
    <w:rsid w:val="00BE23B3"/>
    <w:rsid w:val="00BE2431"/>
    <w:rsid w:val="00BE2997"/>
    <w:rsid w:val="00BE29F2"/>
    <w:rsid w:val="00BE2B3E"/>
    <w:rsid w:val="00BE2B73"/>
    <w:rsid w:val="00BE2E10"/>
    <w:rsid w:val="00BE2EED"/>
    <w:rsid w:val="00BE30B5"/>
    <w:rsid w:val="00BE3252"/>
    <w:rsid w:val="00BE33DF"/>
    <w:rsid w:val="00BE360D"/>
    <w:rsid w:val="00BE3778"/>
    <w:rsid w:val="00BE3A0B"/>
    <w:rsid w:val="00BE3B6D"/>
    <w:rsid w:val="00BE3D65"/>
    <w:rsid w:val="00BE3EEE"/>
    <w:rsid w:val="00BE40B4"/>
    <w:rsid w:val="00BE423D"/>
    <w:rsid w:val="00BE448A"/>
    <w:rsid w:val="00BE4559"/>
    <w:rsid w:val="00BE46B1"/>
    <w:rsid w:val="00BE48D7"/>
    <w:rsid w:val="00BE4C0A"/>
    <w:rsid w:val="00BE4CD3"/>
    <w:rsid w:val="00BE4F16"/>
    <w:rsid w:val="00BE503A"/>
    <w:rsid w:val="00BE527A"/>
    <w:rsid w:val="00BE5297"/>
    <w:rsid w:val="00BE533D"/>
    <w:rsid w:val="00BE541F"/>
    <w:rsid w:val="00BE5645"/>
    <w:rsid w:val="00BE568F"/>
    <w:rsid w:val="00BE572B"/>
    <w:rsid w:val="00BE5F9D"/>
    <w:rsid w:val="00BE63BA"/>
    <w:rsid w:val="00BE675E"/>
    <w:rsid w:val="00BE6949"/>
    <w:rsid w:val="00BE6A30"/>
    <w:rsid w:val="00BE6F1A"/>
    <w:rsid w:val="00BE72AA"/>
    <w:rsid w:val="00BE7BE7"/>
    <w:rsid w:val="00BE7CAB"/>
    <w:rsid w:val="00BE7D63"/>
    <w:rsid w:val="00BE7E9C"/>
    <w:rsid w:val="00BE7EC5"/>
    <w:rsid w:val="00BF00AE"/>
    <w:rsid w:val="00BF02BD"/>
    <w:rsid w:val="00BF0775"/>
    <w:rsid w:val="00BF0858"/>
    <w:rsid w:val="00BF08BD"/>
    <w:rsid w:val="00BF0990"/>
    <w:rsid w:val="00BF0D17"/>
    <w:rsid w:val="00BF0FC8"/>
    <w:rsid w:val="00BF109C"/>
    <w:rsid w:val="00BF16C7"/>
    <w:rsid w:val="00BF170D"/>
    <w:rsid w:val="00BF19CF"/>
    <w:rsid w:val="00BF19D3"/>
    <w:rsid w:val="00BF1A1E"/>
    <w:rsid w:val="00BF20A6"/>
    <w:rsid w:val="00BF2205"/>
    <w:rsid w:val="00BF23DA"/>
    <w:rsid w:val="00BF23E5"/>
    <w:rsid w:val="00BF2418"/>
    <w:rsid w:val="00BF264B"/>
    <w:rsid w:val="00BF268F"/>
    <w:rsid w:val="00BF29E0"/>
    <w:rsid w:val="00BF2F92"/>
    <w:rsid w:val="00BF3519"/>
    <w:rsid w:val="00BF3807"/>
    <w:rsid w:val="00BF38AE"/>
    <w:rsid w:val="00BF3A69"/>
    <w:rsid w:val="00BF3E05"/>
    <w:rsid w:val="00BF4622"/>
    <w:rsid w:val="00BF47A3"/>
    <w:rsid w:val="00BF49FA"/>
    <w:rsid w:val="00BF4CBE"/>
    <w:rsid w:val="00BF4D13"/>
    <w:rsid w:val="00BF4D69"/>
    <w:rsid w:val="00BF523C"/>
    <w:rsid w:val="00BF5408"/>
    <w:rsid w:val="00BF57D9"/>
    <w:rsid w:val="00BF5AD6"/>
    <w:rsid w:val="00BF5E45"/>
    <w:rsid w:val="00BF6060"/>
    <w:rsid w:val="00BF63B7"/>
    <w:rsid w:val="00BF6473"/>
    <w:rsid w:val="00BF6827"/>
    <w:rsid w:val="00BF6896"/>
    <w:rsid w:val="00BF6C17"/>
    <w:rsid w:val="00BF6E01"/>
    <w:rsid w:val="00BF70A2"/>
    <w:rsid w:val="00BF72A9"/>
    <w:rsid w:val="00BF749F"/>
    <w:rsid w:val="00BF7559"/>
    <w:rsid w:val="00BF7679"/>
    <w:rsid w:val="00BF77EC"/>
    <w:rsid w:val="00BF793A"/>
    <w:rsid w:val="00BF7AB2"/>
    <w:rsid w:val="00BF7C50"/>
    <w:rsid w:val="00C00030"/>
    <w:rsid w:val="00C00299"/>
    <w:rsid w:val="00C004E4"/>
    <w:rsid w:val="00C00618"/>
    <w:rsid w:val="00C006DB"/>
    <w:rsid w:val="00C006F4"/>
    <w:rsid w:val="00C007CA"/>
    <w:rsid w:val="00C00A2A"/>
    <w:rsid w:val="00C0145E"/>
    <w:rsid w:val="00C01465"/>
    <w:rsid w:val="00C014DC"/>
    <w:rsid w:val="00C01567"/>
    <w:rsid w:val="00C0158A"/>
    <w:rsid w:val="00C01621"/>
    <w:rsid w:val="00C01A0A"/>
    <w:rsid w:val="00C01A4A"/>
    <w:rsid w:val="00C01BC0"/>
    <w:rsid w:val="00C01D5E"/>
    <w:rsid w:val="00C01D8A"/>
    <w:rsid w:val="00C01E3B"/>
    <w:rsid w:val="00C01F58"/>
    <w:rsid w:val="00C01F80"/>
    <w:rsid w:val="00C0232B"/>
    <w:rsid w:val="00C02344"/>
    <w:rsid w:val="00C0234D"/>
    <w:rsid w:val="00C02404"/>
    <w:rsid w:val="00C025CD"/>
    <w:rsid w:val="00C0268D"/>
    <w:rsid w:val="00C02695"/>
    <w:rsid w:val="00C029B0"/>
    <w:rsid w:val="00C02A83"/>
    <w:rsid w:val="00C02AF2"/>
    <w:rsid w:val="00C030D8"/>
    <w:rsid w:val="00C031FB"/>
    <w:rsid w:val="00C032F8"/>
    <w:rsid w:val="00C033F2"/>
    <w:rsid w:val="00C035B5"/>
    <w:rsid w:val="00C03794"/>
    <w:rsid w:val="00C03A2D"/>
    <w:rsid w:val="00C03E2F"/>
    <w:rsid w:val="00C042BD"/>
    <w:rsid w:val="00C042F1"/>
    <w:rsid w:val="00C0437E"/>
    <w:rsid w:val="00C045F2"/>
    <w:rsid w:val="00C0465E"/>
    <w:rsid w:val="00C04694"/>
    <w:rsid w:val="00C04725"/>
    <w:rsid w:val="00C04899"/>
    <w:rsid w:val="00C04A0F"/>
    <w:rsid w:val="00C04BC3"/>
    <w:rsid w:val="00C04BD2"/>
    <w:rsid w:val="00C04DDE"/>
    <w:rsid w:val="00C05174"/>
    <w:rsid w:val="00C05272"/>
    <w:rsid w:val="00C0530D"/>
    <w:rsid w:val="00C054C1"/>
    <w:rsid w:val="00C05538"/>
    <w:rsid w:val="00C057C0"/>
    <w:rsid w:val="00C05850"/>
    <w:rsid w:val="00C05C47"/>
    <w:rsid w:val="00C05CF7"/>
    <w:rsid w:val="00C05D53"/>
    <w:rsid w:val="00C05E28"/>
    <w:rsid w:val="00C05EB9"/>
    <w:rsid w:val="00C060F7"/>
    <w:rsid w:val="00C0620E"/>
    <w:rsid w:val="00C06417"/>
    <w:rsid w:val="00C06432"/>
    <w:rsid w:val="00C065FA"/>
    <w:rsid w:val="00C06675"/>
    <w:rsid w:val="00C06885"/>
    <w:rsid w:val="00C068ED"/>
    <w:rsid w:val="00C069E7"/>
    <w:rsid w:val="00C06ACA"/>
    <w:rsid w:val="00C06CF4"/>
    <w:rsid w:val="00C06D66"/>
    <w:rsid w:val="00C06F67"/>
    <w:rsid w:val="00C0711D"/>
    <w:rsid w:val="00C07464"/>
    <w:rsid w:val="00C074E8"/>
    <w:rsid w:val="00C0761F"/>
    <w:rsid w:val="00C07767"/>
    <w:rsid w:val="00C077E2"/>
    <w:rsid w:val="00C07AE2"/>
    <w:rsid w:val="00C07BF1"/>
    <w:rsid w:val="00C07D51"/>
    <w:rsid w:val="00C07D97"/>
    <w:rsid w:val="00C07F2E"/>
    <w:rsid w:val="00C07F94"/>
    <w:rsid w:val="00C101C2"/>
    <w:rsid w:val="00C10455"/>
    <w:rsid w:val="00C104CD"/>
    <w:rsid w:val="00C1054E"/>
    <w:rsid w:val="00C10682"/>
    <w:rsid w:val="00C10730"/>
    <w:rsid w:val="00C1089A"/>
    <w:rsid w:val="00C10B2E"/>
    <w:rsid w:val="00C10BC4"/>
    <w:rsid w:val="00C10BEC"/>
    <w:rsid w:val="00C10D40"/>
    <w:rsid w:val="00C10F62"/>
    <w:rsid w:val="00C11034"/>
    <w:rsid w:val="00C114BC"/>
    <w:rsid w:val="00C117C9"/>
    <w:rsid w:val="00C118E9"/>
    <w:rsid w:val="00C11A10"/>
    <w:rsid w:val="00C11A8E"/>
    <w:rsid w:val="00C11B13"/>
    <w:rsid w:val="00C11B43"/>
    <w:rsid w:val="00C11C2D"/>
    <w:rsid w:val="00C11CCB"/>
    <w:rsid w:val="00C12018"/>
    <w:rsid w:val="00C12038"/>
    <w:rsid w:val="00C123BB"/>
    <w:rsid w:val="00C12809"/>
    <w:rsid w:val="00C12CAF"/>
    <w:rsid w:val="00C12EF9"/>
    <w:rsid w:val="00C13173"/>
    <w:rsid w:val="00C133B3"/>
    <w:rsid w:val="00C13488"/>
    <w:rsid w:val="00C137F0"/>
    <w:rsid w:val="00C13BB6"/>
    <w:rsid w:val="00C13C51"/>
    <w:rsid w:val="00C14285"/>
    <w:rsid w:val="00C14429"/>
    <w:rsid w:val="00C14700"/>
    <w:rsid w:val="00C14993"/>
    <w:rsid w:val="00C14A55"/>
    <w:rsid w:val="00C14BB1"/>
    <w:rsid w:val="00C14F0D"/>
    <w:rsid w:val="00C14FC4"/>
    <w:rsid w:val="00C15197"/>
    <w:rsid w:val="00C154CD"/>
    <w:rsid w:val="00C154EB"/>
    <w:rsid w:val="00C155D0"/>
    <w:rsid w:val="00C158B8"/>
    <w:rsid w:val="00C15A0B"/>
    <w:rsid w:val="00C15FB9"/>
    <w:rsid w:val="00C1609D"/>
    <w:rsid w:val="00C16315"/>
    <w:rsid w:val="00C164AB"/>
    <w:rsid w:val="00C16550"/>
    <w:rsid w:val="00C1656A"/>
    <w:rsid w:val="00C16633"/>
    <w:rsid w:val="00C16BD3"/>
    <w:rsid w:val="00C16E21"/>
    <w:rsid w:val="00C16E79"/>
    <w:rsid w:val="00C16ED2"/>
    <w:rsid w:val="00C16F1B"/>
    <w:rsid w:val="00C17449"/>
    <w:rsid w:val="00C1758D"/>
    <w:rsid w:val="00C178C1"/>
    <w:rsid w:val="00C178C4"/>
    <w:rsid w:val="00C17B07"/>
    <w:rsid w:val="00C17D02"/>
    <w:rsid w:val="00C17DB1"/>
    <w:rsid w:val="00C200B1"/>
    <w:rsid w:val="00C202DB"/>
    <w:rsid w:val="00C20432"/>
    <w:rsid w:val="00C2046E"/>
    <w:rsid w:val="00C20932"/>
    <w:rsid w:val="00C209D5"/>
    <w:rsid w:val="00C209EC"/>
    <w:rsid w:val="00C20A00"/>
    <w:rsid w:val="00C20CDC"/>
    <w:rsid w:val="00C20F5A"/>
    <w:rsid w:val="00C20FED"/>
    <w:rsid w:val="00C2104B"/>
    <w:rsid w:val="00C21139"/>
    <w:rsid w:val="00C212F3"/>
    <w:rsid w:val="00C213A9"/>
    <w:rsid w:val="00C214B5"/>
    <w:rsid w:val="00C2176E"/>
    <w:rsid w:val="00C218A4"/>
    <w:rsid w:val="00C218FB"/>
    <w:rsid w:val="00C21ADD"/>
    <w:rsid w:val="00C21BE9"/>
    <w:rsid w:val="00C21C44"/>
    <w:rsid w:val="00C21C45"/>
    <w:rsid w:val="00C21C4C"/>
    <w:rsid w:val="00C21D49"/>
    <w:rsid w:val="00C21F81"/>
    <w:rsid w:val="00C22004"/>
    <w:rsid w:val="00C2214A"/>
    <w:rsid w:val="00C2216B"/>
    <w:rsid w:val="00C2224A"/>
    <w:rsid w:val="00C22303"/>
    <w:rsid w:val="00C223D0"/>
    <w:rsid w:val="00C22587"/>
    <w:rsid w:val="00C22789"/>
    <w:rsid w:val="00C2288E"/>
    <w:rsid w:val="00C22935"/>
    <w:rsid w:val="00C22A87"/>
    <w:rsid w:val="00C22C82"/>
    <w:rsid w:val="00C22F43"/>
    <w:rsid w:val="00C23151"/>
    <w:rsid w:val="00C23157"/>
    <w:rsid w:val="00C2319F"/>
    <w:rsid w:val="00C2333F"/>
    <w:rsid w:val="00C2336A"/>
    <w:rsid w:val="00C23637"/>
    <w:rsid w:val="00C236C9"/>
    <w:rsid w:val="00C23760"/>
    <w:rsid w:val="00C23A90"/>
    <w:rsid w:val="00C23ABA"/>
    <w:rsid w:val="00C23D00"/>
    <w:rsid w:val="00C240F1"/>
    <w:rsid w:val="00C2429E"/>
    <w:rsid w:val="00C24403"/>
    <w:rsid w:val="00C244D2"/>
    <w:rsid w:val="00C245DB"/>
    <w:rsid w:val="00C247C5"/>
    <w:rsid w:val="00C2494B"/>
    <w:rsid w:val="00C249F1"/>
    <w:rsid w:val="00C24A07"/>
    <w:rsid w:val="00C24CEE"/>
    <w:rsid w:val="00C2532F"/>
    <w:rsid w:val="00C255A4"/>
    <w:rsid w:val="00C25737"/>
    <w:rsid w:val="00C25D56"/>
    <w:rsid w:val="00C25E1B"/>
    <w:rsid w:val="00C25F3C"/>
    <w:rsid w:val="00C25F8D"/>
    <w:rsid w:val="00C25F9A"/>
    <w:rsid w:val="00C25FE3"/>
    <w:rsid w:val="00C26095"/>
    <w:rsid w:val="00C2662A"/>
    <w:rsid w:val="00C26776"/>
    <w:rsid w:val="00C2696B"/>
    <w:rsid w:val="00C26A65"/>
    <w:rsid w:val="00C26FD1"/>
    <w:rsid w:val="00C272CB"/>
    <w:rsid w:val="00C27343"/>
    <w:rsid w:val="00C274EF"/>
    <w:rsid w:val="00C27542"/>
    <w:rsid w:val="00C275E1"/>
    <w:rsid w:val="00C27DB9"/>
    <w:rsid w:val="00C27E0F"/>
    <w:rsid w:val="00C30114"/>
    <w:rsid w:val="00C307B7"/>
    <w:rsid w:val="00C30845"/>
    <w:rsid w:val="00C309EB"/>
    <w:rsid w:val="00C30BEA"/>
    <w:rsid w:val="00C30C2F"/>
    <w:rsid w:val="00C31164"/>
    <w:rsid w:val="00C315FB"/>
    <w:rsid w:val="00C317EA"/>
    <w:rsid w:val="00C318B8"/>
    <w:rsid w:val="00C31967"/>
    <w:rsid w:val="00C31A42"/>
    <w:rsid w:val="00C31B11"/>
    <w:rsid w:val="00C3230C"/>
    <w:rsid w:val="00C32432"/>
    <w:rsid w:val="00C32525"/>
    <w:rsid w:val="00C3267C"/>
    <w:rsid w:val="00C328FE"/>
    <w:rsid w:val="00C32985"/>
    <w:rsid w:val="00C32A22"/>
    <w:rsid w:val="00C32AB2"/>
    <w:rsid w:val="00C32C4C"/>
    <w:rsid w:val="00C32CDC"/>
    <w:rsid w:val="00C32EC9"/>
    <w:rsid w:val="00C3334E"/>
    <w:rsid w:val="00C334B4"/>
    <w:rsid w:val="00C3350F"/>
    <w:rsid w:val="00C335B1"/>
    <w:rsid w:val="00C33621"/>
    <w:rsid w:val="00C3372D"/>
    <w:rsid w:val="00C33A0A"/>
    <w:rsid w:val="00C33E37"/>
    <w:rsid w:val="00C33E47"/>
    <w:rsid w:val="00C33E83"/>
    <w:rsid w:val="00C34035"/>
    <w:rsid w:val="00C34055"/>
    <w:rsid w:val="00C340B9"/>
    <w:rsid w:val="00C340D3"/>
    <w:rsid w:val="00C34110"/>
    <w:rsid w:val="00C3413A"/>
    <w:rsid w:val="00C34377"/>
    <w:rsid w:val="00C34383"/>
    <w:rsid w:val="00C34423"/>
    <w:rsid w:val="00C34A17"/>
    <w:rsid w:val="00C34C83"/>
    <w:rsid w:val="00C34D9C"/>
    <w:rsid w:val="00C34F9D"/>
    <w:rsid w:val="00C35074"/>
    <w:rsid w:val="00C3515E"/>
    <w:rsid w:val="00C352F3"/>
    <w:rsid w:val="00C3538F"/>
    <w:rsid w:val="00C3549D"/>
    <w:rsid w:val="00C35617"/>
    <w:rsid w:val="00C35857"/>
    <w:rsid w:val="00C35945"/>
    <w:rsid w:val="00C35974"/>
    <w:rsid w:val="00C35ED8"/>
    <w:rsid w:val="00C35F18"/>
    <w:rsid w:val="00C35F2B"/>
    <w:rsid w:val="00C3606C"/>
    <w:rsid w:val="00C360F6"/>
    <w:rsid w:val="00C36159"/>
    <w:rsid w:val="00C36224"/>
    <w:rsid w:val="00C36406"/>
    <w:rsid w:val="00C3675D"/>
    <w:rsid w:val="00C36788"/>
    <w:rsid w:val="00C36993"/>
    <w:rsid w:val="00C36A22"/>
    <w:rsid w:val="00C36A85"/>
    <w:rsid w:val="00C36A86"/>
    <w:rsid w:val="00C36B17"/>
    <w:rsid w:val="00C36CCC"/>
    <w:rsid w:val="00C36CFA"/>
    <w:rsid w:val="00C370A0"/>
    <w:rsid w:val="00C371E0"/>
    <w:rsid w:val="00C37225"/>
    <w:rsid w:val="00C375AC"/>
    <w:rsid w:val="00C37770"/>
    <w:rsid w:val="00C37786"/>
    <w:rsid w:val="00C377FA"/>
    <w:rsid w:val="00C37AEF"/>
    <w:rsid w:val="00C37DB8"/>
    <w:rsid w:val="00C37F00"/>
    <w:rsid w:val="00C401CA"/>
    <w:rsid w:val="00C40495"/>
    <w:rsid w:val="00C406E2"/>
    <w:rsid w:val="00C40B48"/>
    <w:rsid w:val="00C40C4D"/>
    <w:rsid w:val="00C40E1D"/>
    <w:rsid w:val="00C40EE5"/>
    <w:rsid w:val="00C40F84"/>
    <w:rsid w:val="00C40F97"/>
    <w:rsid w:val="00C410E7"/>
    <w:rsid w:val="00C41170"/>
    <w:rsid w:val="00C412F3"/>
    <w:rsid w:val="00C415C2"/>
    <w:rsid w:val="00C415DB"/>
    <w:rsid w:val="00C41724"/>
    <w:rsid w:val="00C41AD2"/>
    <w:rsid w:val="00C41B0B"/>
    <w:rsid w:val="00C41B96"/>
    <w:rsid w:val="00C422D0"/>
    <w:rsid w:val="00C42365"/>
    <w:rsid w:val="00C42389"/>
    <w:rsid w:val="00C423E8"/>
    <w:rsid w:val="00C42666"/>
    <w:rsid w:val="00C42739"/>
    <w:rsid w:val="00C429E4"/>
    <w:rsid w:val="00C42FCD"/>
    <w:rsid w:val="00C431C5"/>
    <w:rsid w:val="00C437C0"/>
    <w:rsid w:val="00C4386A"/>
    <w:rsid w:val="00C43975"/>
    <w:rsid w:val="00C43B3B"/>
    <w:rsid w:val="00C43BD1"/>
    <w:rsid w:val="00C43C07"/>
    <w:rsid w:val="00C43DA9"/>
    <w:rsid w:val="00C43F6C"/>
    <w:rsid w:val="00C441E7"/>
    <w:rsid w:val="00C443AA"/>
    <w:rsid w:val="00C4451C"/>
    <w:rsid w:val="00C44587"/>
    <w:rsid w:val="00C4476F"/>
    <w:rsid w:val="00C44936"/>
    <w:rsid w:val="00C44982"/>
    <w:rsid w:val="00C449BE"/>
    <w:rsid w:val="00C449FF"/>
    <w:rsid w:val="00C44AAB"/>
    <w:rsid w:val="00C44D3A"/>
    <w:rsid w:val="00C44F64"/>
    <w:rsid w:val="00C4502F"/>
    <w:rsid w:val="00C4507A"/>
    <w:rsid w:val="00C45646"/>
    <w:rsid w:val="00C4592A"/>
    <w:rsid w:val="00C45DF2"/>
    <w:rsid w:val="00C45F8B"/>
    <w:rsid w:val="00C4600F"/>
    <w:rsid w:val="00C460ED"/>
    <w:rsid w:val="00C462BC"/>
    <w:rsid w:val="00C463A3"/>
    <w:rsid w:val="00C46855"/>
    <w:rsid w:val="00C468EC"/>
    <w:rsid w:val="00C4699A"/>
    <w:rsid w:val="00C46A90"/>
    <w:rsid w:val="00C46D1F"/>
    <w:rsid w:val="00C46E97"/>
    <w:rsid w:val="00C46FC4"/>
    <w:rsid w:val="00C47221"/>
    <w:rsid w:val="00C4767F"/>
    <w:rsid w:val="00C47783"/>
    <w:rsid w:val="00C477B2"/>
    <w:rsid w:val="00C47923"/>
    <w:rsid w:val="00C47A07"/>
    <w:rsid w:val="00C47FE7"/>
    <w:rsid w:val="00C50083"/>
    <w:rsid w:val="00C50103"/>
    <w:rsid w:val="00C502D5"/>
    <w:rsid w:val="00C505E3"/>
    <w:rsid w:val="00C5061F"/>
    <w:rsid w:val="00C5066C"/>
    <w:rsid w:val="00C509E2"/>
    <w:rsid w:val="00C50B1C"/>
    <w:rsid w:val="00C50B24"/>
    <w:rsid w:val="00C50C37"/>
    <w:rsid w:val="00C50E0B"/>
    <w:rsid w:val="00C50E13"/>
    <w:rsid w:val="00C50FE3"/>
    <w:rsid w:val="00C5110C"/>
    <w:rsid w:val="00C511E3"/>
    <w:rsid w:val="00C5143C"/>
    <w:rsid w:val="00C5159C"/>
    <w:rsid w:val="00C5167F"/>
    <w:rsid w:val="00C517E9"/>
    <w:rsid w:val="00C51DE1"/>
    <w:rsid w:val="00C51DEE"/>
    <w:rsid w:val="00C51DFF"/>
    <w:rsid w:val="00C523A9"/>
    <w:rsid w:val="00C52473"/>
    <w:rsid w:val="00C524F9"/>
    <w:rsid w:val="00C525A0"/>
    <w:rsid w:val="00C525F3"/>
    <w:rsid w:val="00C52786"/>
    <w:rsid w:val="00C529D5"/>
    <w:rsid w:val="00C52AF4"/>
    <w:rsid w:val="00C52B3F"/>
    <w:rsid w:val="00C52BF6"/>
    <w:rsid w:val="00C52D7E"/>
    <w:rsid w:val="00C52E1A"/>
    <w:rsid w:val="00C52EC1"/>
    <w:rsid w:val="00C53090"/>
    <w:rsid w:val="00C531E3"/>
    <w:rsid w:val="00C531EC"/>
    <w:rsid w:val="00C53471"/>
    <w:rsid w:val="00C536C9"/>
    <w:rsid w:val="00C53EE5"/>
    <w:rsid w:val="00C54029"/>
    <w:rsid w:val="00C54179"/>
    <w:rsid w:val="00C54259"/>
    <w:rsid w:val="00C546C0"/>
    <w:rsid w:val="00C54764"/>
    <w:rsid w:val="00C547B8"/>
    <w:rsid w:val="00C54900"/>
    <w:rsid w:val="00C54E54"/>
    <w:rsid w:val="00C55417"/>
    <w:rsid w:val="00C55488"/>
    <w:rsid w:val="00C5554D"/>
    <w:rsid w:val="00C555F4"/>
    <w:rsid w:val="00C559E4"/>
    <w:rsid w:val="00C55A0A"/>
    <w:rsid w:val="00C55A93"/>
    <w:rsid w:val="00C55CE0"/>
    <w:rsid w:val="00C55E93"/>
    <w:rsid w:val="00C55EB7"/>
    <w:rsid w:val="00C5611F"/>
    <w:rsid w:val="00C562BE"/>
    <w:rsid w:val="00C56510"/>
    <w:rsid w:val="00C56826"/>
    <w:rsid w:val="00C568BE"/>
    <w:rsid w:val="00C5696C"/>
    <w:rsid w:val="00C569D8"/>
    <w:rsid w:val="00C56ADD"/>
    <w:rsid w:val="00C56B30"/>
    <w:rsid w:val="00C5706A"/>
    <w:rsid w:val="00C5763C"/>
    <w:rsid w:val="00C57C51"/>
    <w:rsid w:val="00C57DD7"/>
    <w:rsid w:val="00C57F15"/>
    <w:rsid w:val="00C57FCF"/>
    <w:rsid w:val="00C600BF"/>
    <w:rsid w:val="00C60170"/>
    <w:rsid w:val="00C6053E"/>
    <w:rsid w:val="00C6062B"/>
    <w:rsid w:val="00C60C1B"/>
    <w:rsid w:val="00C60CFC"/>
    <w:rsid w:val="00C60D5B"/>
    <w:rsid w:val="00C60FDA"/>
    <w:rsid w:val="00C61122"/>
    <w:rsid w:val="00C61502"/>
    <w:rsid w:val="00C619EC"/>
    <w:rsid w:val="00C61A18"/>
    <w:rsid w:val="00C61A78"/>
    <w:rsid w:val="00C61C3B"/>
    <w:rsid w:val="00C61CFF"/>
    <w:rsid w:val="00C61FBD"/>
    <w:rsid w:val="00C62137"/>
    <w:rsid w:val="00C62353"/>
    <w:rsid w:val="00C627C5"/>
    <w:rsid w:val="00C62C41"/>
    <w:rsid w:val="00C62CBA"/>
    <w:rsid w:val="00C62CBE"/>
    <w:rsid w:val="00C62D1A"/>
    <w:rsid w:val="00C62DB8"/>
    <w:rsid w:val="00C62EED"/>
    <w:rsid w:val="00C63036"/>
    <w:rsid w:val="00C6308C"/>
    <w:rsid w:val="00C63160"/>
    <w:rsid w:val="00C63657"/>
    <w:rsid w:val="00C63706"/>
    <w:rsid w:val="00C63810"/>
    <w:rsid w:val="00C63C54"/>
    <w:rsid w:val="00C63D2A"/>
    <w:rsid w:val="00C63FB8"/>
    <w:rsid w:val="00C63FD0"/>
    <w:rsid w:val="00C640B5"/>
    <w:rsid w:val="00C640D6"/>
    <w:rsid w:val="00C64183"/>
    <w:rsid w:val="00C64396"/>
    <w:rsid w:val="00C643B4"/>
    <w:rsid w:val="00C64510"/>
    <w:rsid w:val="00C6482D"/>
    <w:rsid w:val="00C64F3E"/>
    <w:rsid w:val="00C655D9"/>
    <w:rsid w:val="00C65681"/>
    <w:rsid w:val="00C65878"/>
    <w:rsid w:val="00C6594F"/>
    <w:rsid w:val="00C65FC5"/>
    <w:rsid w:val="00C66090"/>
    <w:rsid w:val="00C6613C"/>
    <w:rsid w:val="00C661C3"/>
    <w:rsid w:val="00C66422"/>
    <w:rsid w:val="00C6644D"/>
    <w:rsid w:val="00C666A8"/>
    <w:rsid w:val="00C66997"/>
    <w:rsid w:val="00C66B60"/>
    <w:rsid w:val="00C66F19"/>
    <w:rsid w:val="00C67143"/>
    <w:rsid w:val="00C674F5"/>
    <w:rsid w:val="00C67572"/>
    <w:rsid w:val="00C67622"/>
    <w:rsid w:val="00C676A7"/>
    <w:rsid w:val="00C67782"/>
    <w:rsid w:val="00C67F14"/>
    <w:rsid w:val="00C70165"/>
    <w:rsid w:val="00C703F5"/>
    <w:rsid w:val="00C706BA"/>
    <w:rsid w:val="00C70770"/>
    <w:rsid w:val="00C7087B"/>
    <w:rsid w:val="00C7088A"/>
    <w:rsid w:val="00C70C56"/>
    <w:rsid w:val="00C70C96"/>
    <w:rsid w:val="00C70CBC"/>
    <w:rsid w:val="00C71067"/>
    <w:rsid w:val="00C710B2"/>
    <w:rsid w:val="00C712D9"/>
    <w:rsid w:val="00C71425"/>
    <w:rsid w:val="00C714B5"/>
    <w:rsid w:val="00C714DC"/>
    <w:rsid w:val="00C718BD"/>
    <w:rsid w:val="00C718DF"/>
    <w:rsid w:val="00C71F45"/>
    <w:rsid w:val="00C722DD"/>
    <w:rsid w:val="00C722FF"/>
    <w:rsid w:val="00C725CE"/>
    <w:rsid w:val="00C72803"/>
    <w:rsid w:val="00C728E2"/>
    <w:rsid w:val="00C72A50"/>
    <w:rsid w:val="00C72AAC"/>
    <w:rsid w:val="00C72B55"/>
    <w:rsid w:val="00C72BB4"/>
    <w:rsid w:val="00C72DE7"/>
    <w:rsid w:val="00C72E16"/>
    <w:rsid w:val="00C72E44"/>
    <w:rsid w:val="00C731BC"/>
    <w:rsid w:val="00C732F3"/>
    <w:rsid w:val="00C73433"/>
    <w:rsid w:val="00C7372E"/>
    <w:rsid w:val="00C7396F"/>
    <w:rsid w:val="00C73BD6"/>
    <w:rsid w:val="00C740BD"/>
    <w:rsid w:val="00C742C7"/>
    <w:rsid w:val="00C74307"/>
    <w:rsid w:val="00C74396"/>
    <w:rsid w:val="00C743F8"/>
    <w:rsid w:val="00C7449F"/>
    <w:rsid w:val="00C746BA"/>
    <w:rsid w:val="00C74912"/>
    <w:rsid w:val="00C749D7"/>
    <w:rsid w:val="00C74B3B"/>
    <w:rsid w:val="00C7504D"/>
    <w:rsid w:val="00C751EA"/>
    <w:rsid w:val="00C7560C"/>
    <w:rsid w:val="00C75634"/>
    <w:rsid w:val="00C75A47"/>
    <w:rsid w:val="00C75C87"/>
    <w:rsid w:val="00C75CC1"/>
    <w:rsid w:val="00C75CCF"/>
    <w:rsid w:val="00C75E78"/>
    <w:rsid w:val="00C75EE7"/>
    <w:rsid w:val="00C75F90"/>
    <w:rsid w:val="00C761BE"/>
    <w:rsid w:val="00C76210"/>
    <w:rsid w:val="00C768C6"/>
    <w:rsid w:val="00C76BCF"/>
    <w:rsid w:val="00C76BE0"/>
    <w:rsid w:val="00C76C23"/>
    <w:rsid w:val="00C76D09"/>
    <w:rsid w:val="00C76E28"/>
    <w:rsid w:val="00C76E9B"/>
    <w:rsid w:val="00C7706C"/>
    <w:rsid w:val="00C77098"/>
    <w:rsid w:val="00C77112"/>
    <w:rsid w:val="00C771C3"/>
    <w:rsid w:val="00C77677"/>
    <w:rsid w:val="00C77689"/>
    <w:rsid w:val="00C776C8"/>
    <w:rsid w:val="00C77747"/>
    <w:rsid w:val="00C77C4C"/>
    <w:rsid w:val="00C77CB3"/>
    <w:rsid w:val="00C77D1D"/>
    <w:rsid w:val="00C77D72"/>
    <w:rsid w:val="00C77EF8"/>
    <w:rsid w:val="00C8025C"/>
    <w:rsid w:val="00C8028B"/>
    <w:rsid w:val="00C805BC"/>
    <w:rsid w:val="00C806AA"/>
    <w:rsid w:val="00C8084D"/>
    <w:rsid w:val="00C80973"/>
    <w:rsid w:val="00C80AFF"/>
    <w:rsid w:val="00C80DED"/>
    <w:rsid w:val="00C80FBA"/>
    <w:rsid w:val="00C81381"/>
    <w:rsid w:val="00C81597"/>
    <w:rsid w:val="00C816B4"/>
    <w:rsid w:val="00C816BF"/>
    <w:rsid w:val="00C81CB4"/>
    <w:rsid w:val="00C81D6B"/>
    <w:rsid w:val="00C81E97"/>
    <w:rsid w:val="00C82047"/>
    <w:rsid w:val="00C82113"/>
    <w:rsid w:val="00C8247B"/>
    <w:rsid w:val="00C824D9"/>
    <w:rsid w:val="00C82599"/>
    <w:rsid w:val="00C826C2"/>
    <w:rsid w:val="00C82884"/>
    <w:rsid w:val="00C82895"/>
    <w:rsid w:val="00C82917"/>
    <w:rsid w:val="00C82AD8"/>
    <w:rsid w:val="00C8306C"/>
    <w:rsid w:val="00C83230"/>
    <w:rsid w:val="00C83236"/>
    <w:rsid w:val="00C8339D"/>
    <w:rsid w:val="00C8355D"/>
    <w:rsid w:val="00C835A5"/>
    <w:rsid w:val="00C835E0"/>
    <w:rsid w:val="00C839E0"/>
    <w:rsid w:val="00C83B16"/>
    <w:rsid w:val="00C83B3C"/>
    <w:rsid w:val="00C84719"/>
    <w:rsid w:val="00C84834"/>
    <w:rsid w:val="00C848EB"/>
    <w:rsid w:val="00C84958"/>
    <w:rsid w:val="00C84B20"/>
    <w:rsid w:val="00C84BF6"/>
    <w:rsid w:val="00C84D90"/>
    <w:rsid w:val="00C84DCE"/>
    <w:rsid w:val="00C8516A"/>
    <w:rsid w:val="00C858CE"/>
    <w:rsid w:val="00C85A44"/>
    <w:rsid w:val="00C85C27"/>
    <w:rsid w:val="00C85E27"/>
    <w:rsid w:val="00C85E3C"/>
    <w:rsid w:val="00C86199"/>
    <w:rsid w:val="00C86252"/>
    <w:rsid w:val="00C863AF"/>
    <w:rsid w:val="00C863C3"/>
    <w:rsid w:val="00C8687E"/>
    <w:rsid w:val="00C869DE"/>
    <w:rsid w:val="00C86A7B"/>
    <w:rsid w:val="00C86AC3"/>
    <w:rsid w:val="00C86B09"/>
    <w:rsid w:val="00C86E34"/>
    <w:rsid w:val="00C87378"/>
    <w:rsid w:val="00C8752B"/>
    <w:rsid w:val="00C87707"/>
    <w:rsid w:val="00C8782C"/>
    <w:rsid w:val="00C87A9A"/>
    <w:rsid w:val="00C87B36"/>
    <w:rsid w:val="00C87CF2"/>
    <w:rsid w:val="00C87EEA"/>
    <w:rsid w:val="00C87FAD"/>
    <w:rsid w:val="00C90997"/>
    <w:rsid w:val="00C90A19"/>
    <w:rsid w:val="00C911A9"/>
    <w:rsid w:val="00C91228"/>
    <w:rsid w:val="00C9122F"/>
    <w:rsid w:val="00C91680"/>
    <w:rsid w:val="00C917C8"/>
    <w:rsid w:val="00C91B4B"/>
    <w:rsid w:val="00C91DB6"/>
    <w:rsid w:val="00C91E03"/>
    <w:rsid w:val="00C91E80"/>
    <w:rsid w:val="00C91F25"/>
    <w:rsid w:val="00C9214B"/>
    <w:rsid w:val="00C922ED"/>
    <w:rsid w:val="00C92304"/>
    <w:rsid w:val="00C9243E"/>
    <w:rsid w:val="00C925A7"/>
    <w:rsid w:val="00C92620"/>
    <w:rsid w:val="00C92769"/>
    <w:rsid w:val="00C92837"/>
    <w:rsid w:val="00C928E0"/>
    <w:rsid w:val="00C92DAA"/>
    <w:rsid w:val="00C92DEC"/>
    <w:rsid w:val="00C92E75"/>
    <w:rsid w:val="00C9308E"/>
    <w:rsid w:val="00C930DA"/>
    <w:rsid w:val="00C9325F"/>
    <w:rsid w:val="00C93402"/>
    <w:rsid w:val="00C934CE"/>
    <w:rsid w:val="00C93677"/>
    <w:rsid w:val="00C936A0"/>
    <w:rsid w:val="00C936FB"/>
    <w:rsid w:val="00C93837"/>
    <w:rsid w:val="00C9385F"/>
    <w:rsid w:val="00C938B4"/>
    <w:rsid w:val="00C93964"/>
    <w:rsid w:val="00C9397B"/>
    <w:rsid w:val="00C939A8"/>
    <w:rsid w:val="00C93AF5"/>
    <w:rsid w:val="00C93C10"/>
    <w:rsid w:val="00C93C22"/>
    <w:rsid w:val="00C94251"/>
    <w:rsid w:val="00C9456A"/>
    <w:rsid w:val="00C9457A"/>
    <w:rsid w:val="00C946D1"/>
    <w:rsid w:val="00C946DC"/>
    <w:rsid w:val="00C94780"/>
    <w:rsid w:val="00C94CE4"/>
    <w:rsid w:val="00C95040"/>
    <w:rsid w:val="00C952D0"/>
    <w:rsid w:val="00C953CE"/>
    <w:rsid w:val="00C95876"/>
    <w:rsid w:val="00C959F8"/>
    <w:rsid w:val="00C95A36"/>
    <w:rsid w:val="00C95B01"/>
    <w:rsid w:val="00C95B84"/>
    <w:rsid w:val="00C95FB6"/>
    <w:rsid w:val="00C95FCC"/>
    <w:rsid w:val="00C9645A"/>
    <w:rsid w:val="00C9657D"/>
    <w:rsid w:val="00C965A6"/>
    <w:rsid w:val="00C967AF"/>
    <w:rsid w:val="00C96822"/>
    <w:rsid w:val="00C9688C"/>
    <w:rsid w:val="00C9698F"/>
    <w:rsid w:val="00C96A1F"/>
    <w:rsid w:val="00C96B94"/>
    <w:rsid w:val="00C96C5F"/>
    <w:rsid w:val="00C96E17"/>
    <w:rsid w:val="00C96E9E"/>
    <w:rsid w:val="00C9749B"/>
    <w:rsid w:val="00C975EA"/>
    <w:rsid w:val="00C97693"/>
    <w:rsid w:val="00C97795"/>
    <w:rsid w:val="00C97970"/>
    <w:rsid w:val="00C979B4"/>
    <w:rsid w:val="00C97AED"/>
    <w:rsid w:val="00C97D19"/>
    <w:rsid w:val="00C97E4A"/>
    <w:rsid w:val="00C97EFA"/>
    <w:rsid w:val="00C97F69"/>
    <w:rsid w:val="00C97F7B"/>
    <w:rsid w:val="00CA01EC"/>
    <w:rsid w:val="00CA0278"/>
    <w:rsid w:val="00CA0408"/>
    <w:rsid w:val="00CA05B8"/>
    <w:rsid w:val="00CA0830"/>
    <w:rsid w:val="00CA0BE9"/>
    <w:rsid w:val="00CA0C5D"/>
    <w:rsid w:val="00CA0CED"/>
    <w:rsid w:val="00CA0DBF"/>
    <w:rsid w:val="00CA0EE8"/>
    <w:rsid w:val="00CA0FDA"/>
    <w:rsid w:val="00CA1258"/>
    <w:rsid w:val="00CA133C"/>
    <w:rsid w:val="00CA139D"/>
    <w:rsid w:val="00CA13CA"/>
    <w:rsid w:val="00CA1549"/>
    <w:rsid w:val="00CA157B"/>
    <w:rsid w:val="00CA17D6"/>
    <w:rsid w:val="00CA1902"/>
    <w:rsid w:val="00CA1A07"/>
    <w:rsid w:val="00CA1CEE"/>
    <w:rsid w:val="00CA1DF1"/>
    <w:rsid w:val="00CA1EF2"/>
    <w:rsid w:val="00CA1F25"/>
    <w:rsid w:val="00CA22DF"/>
    <w:rsid w:val="00CA23C3"/>
    <w:rsid w:val="00CA2434"/>
    <w:rsid w:val="00CA2548"/>
    <w:rsid w:val="00CA25CC"/>
    <w:rsid w:val="00CA2918"/>
    <w:rsid w:val="00CA2F61"/>
    <w:rsid w:val="00CA313F"/>
    <w:rsid w:val="00CA328F"/>
    <w:rsid w:val="00CA32C2"/>
    <w:rsid w:val="00CA3345"/>
    <w:rsid w:val="00CA35D0"/>
    <w:rsid w:val="00CA3B5C"/>
    <w:rsid w:val="00CA3C66"/>
    <w:rsid w:val="00CA3CF8"/>
    <w:rsid w:val="00CA3DBE"/>
    <w:rsid w:val="00CA3E1B"/>
    <w:rsid w:val="00CA3F36"/>
    <w:rsid w:val="00CA40D8"/>
    <w:rsid w:val="00CA4147"/>
    <w:rsid w:val="00CA4160"/>
    <w:rsid w:val="00CA4260"/>
    <w:rsid w:val="00CA44AF"/>
    <w:rsid w:val="00CA47A1"/>
    <w:rsid w:val="00CA4913"/>
    <w:rsid w:val="00CA4A0A"/>
    <w:rsid w:val="00CA4A4B"/>
    <w:rsid w:val="00CA4A97"/>
    <w:rsid w:val="00CA4AB1"/>
    <w:rsid w:val="00CA4BBF"/>
    <w:rsid w:val="00CA50AB"/>
    <w:rsid w:val="00CA556C"/>
    <w:rsid w:val="00CA5678"/>
    <w:rsid w:val="00CA5C6F"/>
    <w:rsid w:val="00CA5D17"/>
    <w:rsid w:val="00CA5FF0"/>
    <w:rsid w:val="00CA60FF"/>
    <w:rsid w:val="00CA63C9"/>
    <w:rsid w:val="00CA66A5"/>
    <w:rsid w:val="00CA6769"/>
    <w:rsid w:val="00CA6A77"/>
    <w:rsid w:val="00CA6A97"/>
    <w:rsid w:val="00CA6CD6"/>
    <w:rsid w:val="00CA6DE4"/>
    <w:rsid w:val="00CA6DF1"/>
    <w:rsid w:val="00CA6E72"/>
    <w:rsid w:val="00CA6F46"/>
    <w:rsid w:val="00CA6FC7"/>
    <w:rsid w:val="00CA72D7"/>
    <w:rsid w:val="00CA75DE"/>
    <w:rsid w:val="00CA7659"/>
    <w:rsid w:val="00CA771C"/>
    <w:rsid w:val="00CA7A1C"/>
    <w:rsid w:val="00CA7B83"/>
    <w:rsid w:val="00CA7E06"/>
    <w:rsid w:val="00CA7E16"/>
    <w:rsid w:val="00CA7F01"/>
    <w:rsid w:val="00CB032D"/>
    <w:rsid w:val="00CB050F"/>
    <w:rsid w:val="00CB0627"/>
    <w:rsid w:val="00CB07B3"/>
    <w:rsid w:val="00CB07BE"/>
    <w:rsid w:val="00CB08B5"/>
    <w:rsid w:val="00CB0925"/>
    <w:rsid w:val="00CB0B6D"/>
    <w:rsid w:val="00CB0D2A"/>
    <w:rsid w:val="00CB1294"/>
    <w:rsid w:val="00CB12EB"/>
    <w:rsid w:val="00CB12F2"/>
    <w:rsid w:val="00CB15DB"/>
    <w:rsid w:val="00CB17FD"/>
    <w:rsid w:val="00CB1892"/>
    <w:rsid w:val="00CB18F8"/>
    <w:rsid w:val="00CB1975"/>
    <w:rsid w:val="00CB1C25"/>
    <w:rsid w:val="00CB1D7C"/>
    <w:rsid w:val="00CB1FF7"/>
    <w:rsid w:val="00CB232C"/>
    <w:rsid w:val="00CB2458"/>
    <w:rsid w:val="00CB25F5"/>
    <w:rsid w:val="00CB27B8"/>
    <w:rsid w:val="00CB27D6"/>
    <w:rsid w:val="00CB28F2"/>
    <w:rsid w:val="00CB2A98"/>
    <w:rsid w:val="00CB2B0A"/>
    <w:rsid w:val="00CB32F2"/>
    <w:rsid w:val="00CB33B4"/>
    <w:rsid w:val="00CB34DA"/>
    <w:rsid w:val="00CB34F2"/>
    <w:rsid w:val="00CB38CD"/>
    <w:rsid w:val="00CB3AAB"/>
    <w:rsid w:val="00CB3B34"/>
    <w:rsid w:val="00CB3CA2"/>
    <w:rsid w:val="00CB3D38"/>
    <w:rsid w:val="00CB3DA9"/>
    <w:rsid w:val="00CB3DD1"/>
    <w:rsid w:val="00CB3E76"/>
    <w:rsid w:val="00CB40AF"/>
    <w:rsid w:val="00CB42D1"/>
    <w:rsid w:val="00CB4754"/>
    <w:rsid w:val="00CB475C"/>
    <w:rsid w:val="00CB477F"/>
    <w:rsid w:val="00CB485F"/>
    <w:rsid w:val="00CB49A7"/>
    <w:rsid w:val="00CB4AC5"/>
    <w:rsid w:val="00CB4C93"/>
    <w:rsid w:val="00CB4D1E"/>
    <w:rsid w:val="00CB4D35"/>
    <w:rsid w:val="00CB4D4C"/>
    <w:rsid w:val="00CB4F45"/>
    <w:rsid w:val="00CB56E4"/>
    <w:rsid w:val="00CB5734"/>
    <w:rsid w:val="00CB5865"/>
    <w:rsid w:val="00CB5AD4"/>
    <w:rsid w:val="00CB6136"/>
    <w:rsid w:val="00CB61B8"/>
    <w:rsid w:val="00CB6528"/>
    <w:rsid w:val="00CB6A16"/>
    <w:rsid w:val="00CB6C2F"/>
    <w:rsid w:val="00CB6F6D"/>
    <w:rsid w:val="00CB71F1"/>
    <w:rsid w:val="00CB72A0"/>
    <w:rsid w:val="00CB7363"/>
    <w:rsid w:val="00CB77BB"/>
    <w:rsid w:val="00CB7B7D"/>
    <w:rsid w:val="00CB7CC5"/>
    <w:rsid w:val="00CB7CD9"/>
    <w:rsid w:val="00CB7E87"/>
    <w:rsid w:val="00CB7EBF"/>
    <w:rsid w:val="00CB7F4A"/>
    <w:rsid w:val="00CB7F9B"/>
    <w:rsid w:val="00CB7F9F"/>
    <w:rsid w:val="00CC00D7"/>
    <w:rsid w:val="00CC0134"/>
    <w:rsid w:val="00CC0306"/>
    <w:rsid w:val="00CC0378"/>
    <w:rsid w:val="00CC0386"/>
    <w:rsid w:val="00CC09B4"/>
    <w:rsid w:val="00CC09C0"/>
    <w:rsid w:val="00CC0B40"/>
    <w:rsid w:val="00CC0BE1"/>
    <w:rsid w:val="00CC13B2"/>
    <w:rsid w:val="00CC143B"/>
    <w:rsid w:val="00CC1806"/>
    <w:rsid w:val="00CC184A"/>
    <w:rsid w:val="00CC1ABD"/>
    <w:rsid w:val="00CC1C11"/>
    <w:rsid w:val="00CC1D61"/>
    <w:rsid w:val="00CC215F"/>
    <w:rsid w:val="00CC2857"/>
    <w:rsid w:val="00CC2AF6"/>
    <w:rsid w:val="00CC2B8B"/>
    <w:rsid w:val="00CC2C20"/>
    <w:rsid w:val="00CC3019"/>
    <w:rsid w:val="00CC32AD"/>
    <w:rsid w:val="00CC32D3"/>
    <w:rsid w:val="00CC35C2"/>
    <w:rsid w:val="00CC3729"/>
    <w:rsid w:val="00CC3AFE"/>
    <w:rsid w:val="00CC3B76"/>
    <w:rsid w:val="00CC3C26"/>
    <w:rsid w:val="00CC3CCE"/>
    <w:rsid w:val="00CC40E7"/>
    <w:rsid w:val="00CC479D"/>
    <w:rsid w:val="00CC4921"/>
    <w:rsid w:val="00CC4AFA"/>
    <w:rsid w:val="00CC514D"/>
    <w:rsid w:val="00CC52C1"/>
    <w:rsid w:val="00CC544E"/>
    <w:rsid w:val="00CC5524"/>
    <w:rsid w:val="00CC58D6"/>
    <w:rsid w:val="00CC5CB4"/>
    <w:rsid w:val="00CC5CE9"/>
    <w:rsid w:val="00CC5CEC"/>
    <w:rsid w:val="00CC5D44"/>
    <w:rsid w:val="00CC5DF1"/>
    <w:rsid w:val="00CC5F0C"/>
    <w:rsid w:val="00CC626B"/>
    <w:rsid w:val="00CC631C"/>
    <w:rsid w:val="00CC6461"/>
    <w:rsid w:val="00CC6551"/>
    <w:rsid w:val="00CC6599"/>
    <w:rsid w:val="00CC6645"/>
    <w:rsid w:val="00CC6807"/>
    <w:rsid w:val="00CC6810"/>
    <w:rsid w:val="00CC6D50"/>
    <w:rsid w:val="00CC6DD0"/>
    <w:rsid w:val="00CC6E0C"/>
    <w:rsid w:val="00CC715E"/>
    <w:rsid w:val="00CC71AC"/>
    <w:rsid w:val="00CC75BF"/>
    <w:rsid w:val="00CC75DB"/>
    <w:rsid w:val="00CC7693"/>
    <w:rsid w:val="00CC772C"/>
    <w:rsid w:val="00CC78FD"/>
    <w:rsid w:val="00CC7B0B"/>
    <w:rsid w:val="00CC7C54"/>
    <w:rsid w:val="00CC7DBD"/>
    <w:rsid w:val="00CD0063"/>
    <w:rsid w:val="00CD00B9"/>
    <w:rsid w:val="00CD0520"/>
    <w:rsid w:val="00CD096C"/>
    <w:rsid w:val="00CD09B3"/>
    <w:rsid w:val="00CD09E1"/>
    <w:rsid w:val="00CD0A76"/>
    <w:rsid w:val="00CD0A86"/>
    <w:rsid w:val="00CD0AFE"/>
    <w:rsid w:val="00CD0B24"/>
    <w:rsid w:val="00CD0C95"/>
    <w:rsid w:val="00CD0CF9"/>
    <w:rsid w:val="00CD0D4B"/>
    <w:rsid w:val="00CD1250"/>
    <w:rsid w:val="00CD1299"/>
    <w:rsid w:val="00CD151C"/>
    <w:rsid w:val="00CD18AE"/>
    <w:rsid w:val="00CD1B3B"/>
    <w:rsid w:val="00CD1BF4"/>
    <w:rsid w:val="00CD1DC4"/>
    <w:rsid w:val="00CD1E3D"/>
    <w:rsid w:val="00CD214A"/>
    <w:rsid w:val="00CD2741"/>
    <w:rsid w:val="00CD27E1"/>
    <w:rsid w:val="00CD29E8"/>
    <w:rsid w:val="00CD2EF6"/>
    <w:rsid w:val="00CD2F7A"/>
    <w:rsid w:val="00CD2FB3"/>
    <w:rsid w:val="00CD2FBC"/>
    <w:rsid w:val="00CD30ED"/>
    <w:rsid w:val="00CD310B"/>
    <w:rsid w:val="00CD3118"/>
    <w:rsid w:val="00CD33E0"/>
    <w:rsid w:val="00CD355A"/>
    <w:rsid w:val="00CD3619"/>
    <w:rsid w:val="00CD3631"/>
    <w:rsid w:val="00CD3A66"/>
    <w:rsid w:val="00CD3CE5"/>
    <w:rsid w:val="00CD3E7D"/>
    <w:rsid w:val="00CD407E"/>
    <w:rsid w:val="00CD409E"/>
    <w:rsid w:val="00CD44C9"/>
    <w:rsid w:val="00CD4521"/>
    <w:rsid w:val="00CD48F8"/>
    <w:rsid w:val="00CD4A96"/>
    <w:rsid w:val="00CD4C5B"/>
    <w:rsid w:val="00CD4DE2"/>
    <w:rsid w:val="00CD4E29"/>
    <w:rsid w:val="00CD4F1D"/>
    <w:rsid w:val="00CD509C"/>
    <w:rsid w:val="00CD5748"/>
    <w:rsid w:val="00CD57EF"/>
    <w:rsid w:val="00CD581C"/>
    <w:rsid w:val="00CD5859"/>
    <w:rsid w:val="00CD598D"/>
    <w:rsid w:val="00CD5C5F"/>
    <w:rsid w:val="00CD5DA4"/>
    <w:rsid w:val="00CD5F51"/>
    <w:rsid w:val="00CD60FD"/>
    <w:rsid w:val="00CD6530"/>
    <w:rsid w:val="00CD69F9"/>
    <w:rsid w:val="00CD6A3E"/>
    <w:rsid w:val="00CD6CC8"/>
    <w:rsid w:val="00CD6DB3"/>
    <w:rsid w:val="00CD7361"/>
    <w:rsid w:val="00CD743F"/>
    <w:rsid w:val="00CD773E"/>
    <w:rsid w:val="00CD77AA"/>
    <w:rsid w:val="00CD7A86"/>
    <w:rsid w:val="00CD7B46"/>
    <w:rsid w:val="00CD7E62"/>
    <w:rsid w:val="00CDAA0A"/>
    <w:rsid w:val="00CE0048"/>
    <w:rsid w:val="00CE0173"/>
    <w:rsid w:val="00CE052C"/>
    <w:rsid w:val="00CE0602"/>
    <w:rsid w:val="00CE06CE"/>
    <w:rsid w:val="00CE072F"/>
    <w:rsid w:val="00CE093F"/>
    <w:rsid w:val="00CE0A70"/>
    <w:rsid w:val="00CE0C54"/>
    <w:rsid w:val="00CE0F11"/>
    <w:rsid w:val="00CE1367"/>
    <w:rsid w:val="00CE13E9"/>
    <w:rsid w:val="00CE154C"/>
    <w:rsid w:val="00CE1762"/>
    <w:rsid w:val="00CE17EB"/>
    <w:rsid w:val="00CE17F0"/>
    <w:rsid w:val="00CE1885"/>
    <w:rsid w:val="00CE1ECA"/>
    <w:rsid w:val="00CE2197"/>
    <w:rsid w:val="00CE21B4"/>
    <w:rsid w:val="00CE22C5"/>
    <w:rsid w:val="00CE24B7"/>
    <w:rsid w:val="00CE2844"/>
    <w:rsid w:val="00CE2A31"/>
    <w:rsid w:val="00CE2BC2"/>
    <w:rsid w:val="00CE2D2D"/>
    <w:rsid w:val="00CE2EE5"/>
    <w:rsid w:val="00CE322F"/>
    <w:rsid w:val="00CE34FC"/>
    <w:rsid w:val="00CE351F"/>
    <w:rsid w:val="00CE35FD"/>
    <w:rsid w:val="00CE3747"/>
    <w:rsid w:val="00CE378A"/>
    <w:rsid w:val="00CE381F"/>
    <w:rsid w:val="00CE3D61"/>
    <w:rsid w:val="00CE3E8B"/>
    <w:rsid w:val="00CE4241"/>
    <w:rsid w:val="00CE424B"/>
    <w:rsid w:val="00CE495C"/>
    <w:rsid w:val="00CE4977"/>
    <w:rsid w:val="00CE4B91"/>
    <w:rsid w:val="00CE4C97"/>
    <w:rsid w:val="00CE5383"/>
    <w:rsid w:val="00CE56E8"/>
    <w:rsid w:val="00CE57BB"/>
    <w:rsid w:val="00CE5D8B"/>
    <w:rsid w:val="00CE5EF8"/>
    <w:rsid w:val="00CE5F98"/>
    <w:rsid w:val="00CE61B8"/>
    <w:rsid w:val="00CE6293"/>
    <w:rsid w:val="00CE682C"/>
    <w:rsid w:val="00CE6B3A"/>
    <w:rsid w:val="00CE6BC5"/>
    <w:rsid w:val="00CE6CF1"/>
    <w:rsid w:val="00CE6D46"/>
    <w:rsid w:val="00CE6F16"/>
    <w:rsid w:val="00CE6FBE"/>
    <w:rsid w:val="00CE7002"/>
    <w:rsid w:val="00CE735B"/>
    <w:rsid w:val="00CE74F5"/>
    <w:rsid w:val="00CE7982"/>
    <w:rsid w:val="00CE7B23"/>
    <w:rsid w:val="00CF0067"/>
    <w:rsid w:val="00CF0075"/>
    <w:rsid w:val="00CF011E"/>
    <w:rsid w:val="00CF01C8"/>
    <w:rsid w:val="00CF0261"/>
    <w:rsid w:val="00CF04B8"/>
    <w:rsid w:val="00CF0543"/>
    <w:rsid w:val="00CF057C"/>
    <w:rsid w:val="00CF073C"/>
    <w:rsid w:val="00CF0AC8"/>
    <w:rsid w:val="00CF0B53"/>
    <w:rsid w:val="00CF140D"/>
    <w:rsid w:val="00CF14F0"/>
    <w:rsid w:val="00CF15A0"/>
    <w:rsid w:val="00CF1655"/>
    <w:rsid w:val="00CF17DB"/>
    <w:rsid w:val="00CF1923"/>
    <w:rsid w:val="00CF1A2B"/>
    <w:rsid w:val="00CF1B1D"/>
    <w:rsid w:val="00CF1B7E"/>
    <w:rsid w:val="00CF1BD3"/>
    <w:rsid w:val="00CF1CFE"/>
    <w:rsid w:val="00CF1D03"/>
    <w:rsid w:val="00CF212E"/>
    <w:rsid w:val="00CF2214"/>
    <w:rsid w:val="00CF234C"/>
    <w:rsid w:val="00CF2500"/>
    <w:rsid w:val="00CF25C8"/>
    <w:rsid w:val="00CF2755"/>
    <w:rsid w:val="00CF2987"/>
    <w:rsid w:val="00CF2A70"/>
    <w:rsid w:val="00CF2AB0"/>
    <w:rsid w:val="00CF2B00"/>
    <w:rsid w:val="00CF2C02"/>
    <w:rsid w:val="00CF2E28"/>
    <w:rsid w:val="00CF3185"/>
    <w:rsid w:val="00CF33B7"/>
    <w:rsid w:val="00CF340B"/>
    <w:rsid w:val="00CF3517"/>
    <w:rsid w:val="00CF37AE"/>
    <w:rsid w:val="00CF37C9"/>
    <w:rsid w:val="00CF3940"/>
    <w:rsid w:val="00CF3C57"/>
    <w:rsid w:val="00CF3E2D"/>
    <w:rsid w:val="00CF3FDE"/>
    <w:rsid w:val="00CF40BB"/>
    <w:rsid w:val="00CF4156"/>
    <w:rsid w:val="00CF41FA"/>
    <w:rsid w:val="00CF4301"/>
    <w:rsid w:val="00CF437E"/>
    <w:rsid w:val="00CF44AA"/>
    <w:rsid w:val="00CF4A5E"/>
    <w:rsid w:val="00CF4D70"/>
    <w:rsid w:val="00CF4F63"/>
    <w:rsid w:val="00CF519E"/>
    <w:rsid w:val="00CF530A"/>
    <w:rsid w:val="00CF538D"/>
    <w:rsid w:val="00CF5473"/>
    <w:rsid w:val="00CF5537"/>
    <w:rsid w:val="00CF5CF0"/>
    <w:rsid w:val="00CF5F42"/>
    <w:rsid w:val="00CF6048"/>
    <w:rsid w:val="00CF63C6"/>
    <w:rsid w:val="00CF6543"/>
    <w:rsid w:val="00CF689A"/>
    <w:rsid w:val="00CF68D9"/>
    <w:rsid w:val="00CF6A99"/>
    <w:rsid w:val="00CF6BEA"/>
    <w:rsid w:val="00CF6D0E"/>
    <w:rsid w:val="00CF6DF3"/>
    <w:rsid w:val="00CF6DFE"/>
    <w:rsid w:val="00CF6E2E"/>
    <w:rsid w:val="00CF6F69"/>
    <w:rsid w:val="00CF706E"/>
    <w:rsid w:val="00CF70F6"/>
    <w:rsid w:val="00CF7192"/>
    <w:rsid w:val="00CF7327"/>
    <w:rsid w:val="00CF7529"/>
    <w:rsid w:val="00CF753C"/>
    <w:rsid w:val="00CF7836"/>
    <w:rsid w:val="00CF7952"/>
    <w:rsid w:val="00CF7C63"/>
    <w:rsid w:val="00CF7DF5"/>
    <w:rsid w:val="00CFDFD2"/>
    <w:rsid w:val="00D00108"/>
    <w:rsid w:val="00D001BD"/>
    <w:rsid w:val="00D0040B"/>
    <w:rsid w:val="00D00491"/>
    <w:rsid w:val="00D00842"/>
    <w:rsid w:val="00D00B1A"/>
    <w:rsid w:val="00D00C1E"/>
    <w:rsid w:val="00D00FCF"/>
    <w:rsid w:val="00D013B4"/>
    <w:rsid w:val="00D017AC"/>
    <w:rsid w:val="00D018B0"/>
    <w:rsid w:val="00D01E2F"/>
    <w:rsid w:val="00D01E5F"/>
    <w:rsid w:val="00D01F0A"/>
    <w:rsid w:val="00D022B4"/>
    <w:rsid w:val="00D02333"/>
    <w:rsid w:val="00D02495"/>
    <w:rsid w:val="00D026E6"/>
    <w:rsid w:val="00D026E7"/>
    <w:rsid w:val="00D026F5"/>
    <w:rsid w:val="00D027A3"/>
    <w:rsid w:val="00D027E7"/>
    <w:rsid w:val="00D02A32"/>
    <w:rsid w:val="00D03080"/>
    <w:rsid w:val="00D030D8"/>
    <w:rsid w:val="00D03138"/>
    <w:rsid w:val="00D032E6"/>
    <w:rsid w:val="00D03599"/>
    <w:rsid w:val="00D03666"/>
    <w:rsid w:val="00D036E9"/>
    <w:rsid w:val="00D03769"/>
    <w:rsid w:val="00D03794"/>
    <w:rsid w:val="00D039B0"/>
    <w:rsid w:val="00D03AAC"/>
    <w:rsid w:val="00D03CF9"/>
    <w:rsid w:val="00D03DC6"/>
    <w:rsid w:val="00D03F8E"/>
    <w:rsid w:val="00D03FA7"/>
    <w:rsid w:val="00D03FB8"/>
    <w:rsid w:val="00D042BA"/>
    <w:rsid w:val="00D0433F"/>
    <w:rsid w:val="00D04345"/>
    <w:rsid w:val="00D044BD"/>
    <w:rsid w:val="00D0485B"/>
    <w:rsid w:val="00D04DB2"/>
    <w:rsid w:val="00D04FB9"/>
    <w:rsid w:val="00D05333"/>
    <w:rsid w:val="00D05389"/>
    <w:rsid w:val="00D0543E"/>
    <w:rsid w:val="00D059E0"/>
    <w:rsid w:val="00D05D28"/>
    <w:rsid w:val="00D0600B"/>
    <w:rsid w:val="00D06304"/>
    <w:rsid w:val="00D0639F"/>
    <w:rsid w:val="00D064E3"/>
    <w:rsid w:val="00D064F0"/>
    <w:rsid w:val="00D06641"/>
    <w:rsid w:val="00D066EF"/>
    <w:rsid w:val="00D067D9"/>
    <w:rsid w:val="00D068A8"/>
    <w:rsid w:val="00D069BC"/>
    <w:rsid w:val="00D06A61"/>
    <w:rsid w:val="00D06E25"/>
    <w:rsid w:val="00D06EB1"/>
    <w:rsid w:val="00D06EBC"/>
    <w:rsid w:val="00D07001"/>
    <w:rsid w:val="00D07246"/>
    <w:rsid w:val="00D07271"/>
    <w:rsid w:val="00D072DA"/>
    <w:rsid w:val="00D07397"/>
    <w:rsid w:val="00D07590"/>
    <w:rsid w:val="00D07608"/>
    <w:rsid w:val="00D07846"/>
    <w:rsid w:val="00D07BC1"/>
    <w:rsid w:val="00D07C2F"/>
    <w:rsid w:val="00D1009C"/>
    <w:rsid w:val="00D1045F"/>
    <w:rsid w:val="00D10529"/>
    <w:rsid w:val="00D10599"/>
    <w:rsid w:val="00D10663"/>
    <w:rsid w:val="00D10B61"/>
    <w:rsid w:val="00D10ED8"/>
    <w:rsid w:val="00D11024"/>
    <w:rsid w:val="00D110B7"/>
    <w:rsid w:val="00D1150B"/>
    <w:rsid w:val="00D11591"/>
    <w:rsid w:val="00D1184E"/>
    <w:rsid w:val="00D11CBD"/>
    <w:rsid w:val="00D11CE7"/>
    <w:rsid w:val="00D11FD8"/>
    <w:rsid w:val="00D1217A"/>
    <w:rsid w:val="00D1224C"/>
    <w:rsid w:val="00D12605"/>
    <w:rsid w:val="00D126D9"/>
    <w:rsid w:val="00D1290D"/>
    <w:rsid w:val="00D12AC4"/>
    <w:rsid w:val="00D12B3B"/>
    <w:rsid w:val="00D12BE6"/>
    <w:rsid w:val="00D12E4C"/>
    <w:rsid w:val="00D12EFE"/>
    <w:rsid w:val="00D13378"/>
    <w:rsid w:val="00D133B5"/>
    <w:rsid w:val="00D13459"/>
    <w:rsid w:val="00D135E6"/>
    <w:rsid w:val="00D13A1A"/>
    <w:rsid w:val="00D13CDE"/>
    <w:rsid w:val="00D13F57"/>
    <w:rsid w:val="00D1403D"/>
    <w:rsid w:val="00D143A8"/>
    <w:rsid w:val="00D14437"/>
    <w:rsid w:val="00D145B8"/>
    <w:rsid w:val="00D14991"/>
    <w:rsid w:val="00D14D01"/>
    <w:rsid w:val="00D15250"/>
    <w:rsid w:val="00D152D3"/>
    <w:rsid w:val="00D15341"/>
    <w:rsid w:val="00D1535F"/>
    <w:rsid w:val="00D155EE"/>
    <w:rsid w:val="00D1561E"/>
    <w:rsid w:val="00D15956"/>
    <w:rsid w:val="00D159A8"/>
    <w:rsid w:val="00D159B6"/>
    <w:rsid w:val="00D15B3F"/>
    <w:rsid w:val="00D15C50"/>
    <w:rsid w:val="00D15FC1"/>
    <w:rsid w:val="00D16033"/>
    <w:rsid w:val="00D16079"/>
    <w:rsid w:val="00D160D5"/>
    <w:rsid w:val="00D161A7"/>
    <w:rsid w:val="00D1633A"/>
    <w:rsid w:val="00D16908"/>
    <w:rsid w:val="00D16AC3"/>
    <w:rsid w:val="00D16AF6"/>
    <w:rsid w:val="00D16CD6"/>
    <w:rsid w:val="00D16E91"/>
    <w:rsid w:val="00D17028"/>
    <w:rsid w:val="00D17061"/>
    <w:rsid w:val="00D17493"/>
    <w:rsid w:val="00D17554"/>
    <w:rsid w:val="00D177E7"/>
    <w:rsid w:val="00D1782D"/>
    <w:rsid w:val="00D17C37"/>
    <w:rsid w:val="00D1A785"/>
    <w:rsid w:val="00D203AE"/>
    <w:rsid w:val="00D204B1"/>
    <w:rsid w:val="00D20599"/>
    <w:rsid w:val="00D20993"/>
    <w:rsid w:val="00D209EC"/>
    <w:rsid w:val="00D20B7B"/>
    <w:rsid w:val="00D20FEA"/>
    <w:rsid w:val="00D20FF5"/>
    <w:rsid w:val="00D211A3"/>
    <w:rsid w:val="00D2135D"/>
    <w:rsid w:val="00D2140A"/>
    <w:rsid w:val="00D216B5"/>
    <w:rsid w:val="00D216FD"/>
    <w:rsid w:val="00D2174D"/>
    <w:rsid w:val="00D21811"/>
    <w:rsid w:val="00D21A97"/>
    <w:rsid w:val="00D21EC2"/>
    <w:rsid w:val="00D2220B"/>
    <w:rsid w:val="00D224A9"/>
    <w:rsid w:val="00D225A0"/>
    <w:rsid w:val="00D22600"/>
    <w:rsid w:val="00D22662"/>
    <w:rsid w:val="00D22B02"/>
    <w:rsid w:val="00D22E10"/>
    <w:rsid w:val="00D22EA8"/>
    <w:rsid w:val="00D22FC4"/>
    <w:rsid w:val="00D23091"/>
    <w:rsid w:val="00D231D2"/>
    <w:rsid w:val="00D232BD"/>
    <w:rsid w:val="00D2352A"/>
    <w:rsid w:val="00D2393C"/>
    <w:rsid w:val="00D23989"/>
    <w:rsid w:val="00D239B3"/>
    <w:rsid w:val="00D23E43"/>
    <w:rsid w:val="00D23FE7"/>
    <w:rsid w:val="00D242F4"/>
    <w:rsid w:val="00D24455"/>
    <w:rsid w:val="00D246D8"/>
    <w:rsid w:val="00D2483C"/>
    <w:rsid w:val="00D24A82"/>
    <w:rsid w:val="00D24B16"/>
    <w:rsid w:val="00D24D1B"/>
    <w:rsid w:val="00D24EB4"/>
    <w:rsid w:val="00D24F34"/>
    <w:rsid w:val="00D2558F"/>
    <w:rsid w:val="00D2584C"/>
    <w:rsid w:val="00D25A36"/>
    <w:rsid w:val="00D25A8F"/>
    <w:rsid w:val="00D25B7F"/>
    <w:rsid w:val="00D25D92"/>
    <w:rsid w:val="00D25E8D"/>
    <w:rsid w:val="00D261A2"/>
    <w:rsid w:val="00D2630C"/>
    <w:rsid w:val="00D26376"/>
    <w:rsid w:val="00D263E6"/>
    <w:rsid w:val="00D2650A"/>
    <w:rsid w:val="00D266DC"/>
    <w:rsid w:val="00D269F5"/>
    <w:rsid w:val="00D26E0F"/>
    <w:rsid w:val="00D270FA"/>
    <w:rsid w:val="00D27547"/>
    <w:rsid w:val="00D275FA"/>
    <w:rsid w:val="00D30165"/>
    <w:rsid w:val="00D301EF"/>
    <w:rsid w:val="00D30273"/>
    <w:rsid w:val="00D30B8B"/>
    <w:rsid w:val="00D30BC6"/>
    <w:rsid w:val="00D30BE0"/>
    <w:rsid w:val="00D30C9E"/>
    <w:rsid w:val="00D3100A"/>
    <w:rsid w:val="00D31114"/>
    <w:rsid w:val="00D31215"/>
    <w:rsid w:val="00D312DC"/>
    <w:rsid w:val="00D31332"/>
    <w:rsid w:val="00D31719"/>
    <w:rsid w:val="00D317CA"/>
    <w:rsid w:val="00D318ED"/>
    <w:rsid w:val="00D31A51"/>
    <w:rsid w:val="00D31CD9"/>
    <w:rsid w:val="00D31D00"/>
    <w:rsid w:val="00D31D27"/>
    <w:rsid w:val="00D32257"/>
    <w:rsid w:val="00D323AB"/>
    <w:rsid w:val="00D323EC"/>
    <w:rsid w:val="00D3256A"/>
    <w:rsid w:val="00D32722"/>
    <w:rsid w:val="00D327F5"/>
    <w:rsid w:val="00D32BA8"/>
    <w:rsid w:val="00D3310D"/>
    <w:rsid w:val="00D33591"/>
    <w:rsid w:val="00D33A8A"/>
    <w:rsid w:val="00D33B25"/>
    <w:rsid w:val="00D33B77"/>
    <w:rsid w:val="00D33C26"/>
    <w:rsid w:val="00D33EF9"/>
    <w:rsid w:val="00D34779"/>
    <w:rsid w:val="00D347A2"/>
    <w:rsid w:val="00D34C72"/>
    <w:rsid w:val="00D3546B"/>
    <w:rsid w:val="00D357B3"/>
    <w:rsid w:val="00D35876"/>
    <w:rsid w:val="00D35900"/>
    <w:rsid w:val="00D359CD"/>
    <w:rsid w:val="00D35B84"/>
    <w:rsid w:val="00D35D79"/>
    <w:rsid w:val="00D35E11"/>
    <w:rsid w:val="00D36854"/>
    <w:rsid w:val="00D368E9"/>
    <w:rsid w:val="00D36BD1"/>
    <w:rsid w:val="00D36C3E"/>
    <w:rsid w:val="00D36D68"/>
    <w:rsid w:val="00D36E2A"/>
    <w:rsid w:val="00D3728D"/>
    <w:rsid w:val="00D372CC"/>
    <w:rsid w:val="00D373AC"/>
    <w:rsid w:val="00D373BF"/>
    <w:rsid w:val="00D375B6"/>
    <w:rsid w:val="00D376F2"/>
    <w:rsid w:val="00D37735"/>
    <w:rsid w:val="00D3782A"/>
    <w:rsid w:val="00D378DF"/>
    <w:rsid w:val="00D37A86"/>
    <w:rsid w:val="00D37BE3"/>
    <w:rsid w:val="00D37D08"/>
    <w:rsid w:val="00D37DBA"/>
    <w:rsid w:val="00D37E56"/>
    <w:rsid w:val="00D37EE8"/>
    <w:rsid w:val="00D401B3"/>
    <w:rsid w:val="00D401B5"/>
    <w:rsid w:val="00D40221"/>
    <w:rsid w:val="00D409F3"/>
    <w:rsid w:val="00D40AC7"/>
    <w:rsid w:val="00D4105B"/>
    <w:rsid w:val="00D4119C"/>
    <w:rsid w:val="00D41549"/>
    <w:rsid w:val="00D41A2E"/>
    <w:rsid w:val="00D41D82"/>
    <w:rsid w:val="00D41F6D"/>
    <w:rsid w:val="00D41FBE"/>
    <w:rsid w:val="00D4227B"/>
    <w:rsid w:val="00D424F0"/>
    <w:rsid w:val="00D42782"/>
    <w:rsid w:val="00D42A42"/>
    <w:rsid w:val="00D42A70"/>
    <w:rsid w:val="00D42AFE"/>
    <w:rsid w:val="00D42B12"/>
    <w:rsid w:val="00D42B83"/>
    <w:rsid w:val="00D43056"/>
    <w:rsid w:val="00D43542"/>
    <w:rsid w:val="00D438D9"/>
    <w:rsid w:val="00D439D7"/>
    <w:rsid w:val="00D43AEB"/>
    <w:rsid w:val="00D43E96"/>
    <w:rsid w:val="00D44099"/>
    <w:rsid w:val="00D44372"/>
    <w:rsid w:val="00D444ED"/>
    <w:rsid w:val="00D44864"/>
    <w:rsid w:val="00D44C99"/>
    <w:rsid w:val="00D44D8E"/>
    <w:rsid w:val="00D44E11"/>
    <w:rsid w:val="00D450D3"/>
    <w:rsid w:val="00D451BB"/>
    <w:rsid w:val="00D4537E"/>
    <w:rsid w:val="00D45392"/>
    <w:rsid w:val="00D45468"/>
    <w:rsid w:val="00D45B36"/>
    <w:rsid w:val="00D45BDD"/>
    <w:rsid w:val="00D45C20"/>
    <w:rsid w:val="00D45D37"/>
    <w:rsid w:val="00D45D51"/>
    <w:rsid w:val="00D45E3C"/>
    <w:rsid w:val="00D46133"/>
    <w:rsid w:val="00D46177"/>
    <w:rsid w:val="00D46266"/>
    <w:rsid w:val="00D465CE"/>
    <w:rsid w:val="00D4666B"/>
    <w:rsid w:val="00D469D2"/>
    <w:rsid w:val="00D46A08"/>
    <w:rsid w:val="00D46AFA"/>
    <w:rsid w:val="00D46B3D"/>
    <w:rsid w:val="00D46DCE"/>
    <w:rsid w:val="00D46EA3"/>
    <w:rsid w:val="00D46FC6"/>
    <w:rsid w:val="00D47362"/>
    <w:rsid w:val="00D4743D"/>
    <w:rsid w:val="00D475A9"/>
    <w:rsid w:val="00D477C5"/>
    <w:rsid w:val="00D479EC"/>
    <w:rsid w:val="00D47AFD"/>
    <w:rsid w:val="00D47C58"/>
    <w:rsid w:val="00D47CFA"/>
    <w:rsid w:val="00D47E7D"/>
    <w:rsid w:val="00D50156"/>
    <w:rsid w:val="00D501F2"/>
    <w:rsid w:val="00D5028B"/>
    <w:rsid w:val="00D507A2"/>
    <w:rsid w:val="00D50AB4"/>
    <w:rsid w:val="00D50ABB"/>
    <w:rsid w:val="00D50AD7"/>
    <w:rsid w:val="00D50F0C"/>
    <w:rsid w:val="00D5112A"/>
    <w:rsid w:val="00D5118A"/>
    <w:rsid w:val="00D51354"/>
    <w:rsid w:val="00D51560"/>
    <w:rsid w:val="00D515D7"/>
    <w:rsid w:val="00D51784"/>
    <w:rsid w:val="00D51AC6"/>
    <w:rsid w:val="00D51DB9"/>
    <w:rsid w:val="00D51E1E"/>
    <w:rsid w:val="00D5211F"/>
    <w:rsid w:val="00D5277F"/>
    <w:rsid w:val="00D527F2"/>
    <w:rsid w:val="00D52A79"/>
    <w:rsid w:val="00D52CD5"/>
    <w:rsid w:val="00D52E05"/>
    <w:rsid w:val="00D52E92"/>
    <w:rsid w:val="00D53215"/>
    <w:rsid w:val="00D5349D"/>
    <w:rsid w:val="00D534A1"/>
    <w:rsid w:val="00D53684"/>
    <w:rsid w:val="00D538D3"/>
    <w:rsid w:val="00D53A00"/>
    <w:rsid w:val="00D53B83"/>
    <w:rsid w:val="00D53F1B"/>
    <w:rsid w:val="00D5442E"/>
    <w:rsid w:val="00D5443C"/>
    <w:rsid w:val="00D5448E"/>
    <w:rsid w:val="00D54761"/>
    <w:rsid w:val="00D550B2"/>
    <w:rsid w:val="00D5511E"/>
    <w:rsid w:val="00D5524D"/>
    <w:rsid w:val="00D5533B"/>
    <w:rsid w:val="00D553EE"/>
    <w:rsid w:val="00D556B9"/>
    <w:rsid w:val="00D556D5"/>
    <w:rsid w:val="00D557A7"/>
    <w:rsid w:val="00D55966"/>
    <w:rsid w:val="00D55AA9"/>
    <w:rsid w:val="00D55B2D"/>
    <w:rsid w:val="00D55BCD"/>
    <w:rsid w:val="00D55D91"/>
    <w:rsid w:val="00D55E63"/>
    <w:rsid w:val="00D565C2"/>
    <w:rsid w:val="00D56744"/>
    <w:rsid w:val="00D567A3"/>
    <w:rsid w:val="00D56845"/>
    <w:rsid w:val="00D56BBF"/>
    <w:rsid w:val="00D56E3A"/>
    <w:rsid w:val="00D56FA7"/>
    <w:rsid w:val="00D570AB"/>
    <w:rsid w:val="00D57198"/>
    <w:rsid w:val="00D571E7"/>
    <w:rsid w:val="00D57D9D"/>
    <w:rsid w:val="00D60180"/>
    <w:rsid w:val="00D6019D"/>
    <w:rsid w:val="00D601A6"/>
    <w:rsid w:val="00D6025A"/>
    <w:rsid w:val="00D602B1"/>
    <w:rsid w:val="00D6031E"/>
    <w:rsid w:val="00D60366"/>
    <w:rsid w:val="00D6036A"/>
    <w:rsid w:val="00D6061B"/>
    <w:rsid w:val="00D6083A"/>
    <w:rsid w:val="00D60A9E"/>
    <w:rsid w:val="00D60D10"/>
    <w:rsid w:val="00D60D88"/>
    <w:rsid w:val="00D60DAC"/>
    <w:rsid w:val="00D60EC7"/>
    <w:rsid w:val="00D610DC"/>
    <w:rsid w:val="00D6138E"/>
    <w:rsid w:val="00D613AD"/>
    <w:rsid w:val="00D61426"/>
    <w:rsid w:val="00D6181E"/>
    <w:rsid w:val="00D61991"/>
    <w:rsid w:val="00D61992"/>
    <w:rsid w:val="00D61CE2"/>
    <w:rsid w:val="00D61DED"/>
    <w:rsid w:val="00D6212B"/>
    <w:rsid w:val="00D62730"/>
    <w:rsid w:val="00D6278F"/>
    <w:rsid w:val="00D6279D"/>
    <w:rsid w:val="00D629E7"/>
    <w:rsid w:val="00D62E49"/>
    <w:rsid w:val="00D62FE4"/>
    <w:rsid w:val="00D63009"/>
    <w:rsid w:val="00D630EF"/>
    <w:rsid w:val="00D63271"/>
    <w:rsid w:val="00D6328D"/>
    <w:rsid w:val="00D63A1F"/>
    <w:rsid w:val="00D63A92"/>
    <w:rsid w:val="00D63B70"/>
    <w:rsid w:val="00D63ED6"/>
    <w:rsid w:val="00D63EF2"/>
    <w:rsid w:val="00D64443"/>
    <w:rsid w:val="00D648CD"/>
    <w:rsid w:val="00D64A43"/>
    <w:rsid w:val="00D65024"/>
    <w:rsid w:val="00D653C2"/>
    <w:rsid w:val="00D65412"/>
    <w:rsid w:val="00D65667"/>
    <w:rsid w:val="00D6574B"/>
    <w:rsid w:val="00D657A2"/>
    <w:rsid w:val="00D65802"/>
    <w:rsid w:val="00D65AAC"/>
    <w:rsid w:val="00D65AD6"/>
    <w:rsid w:val="00D65C5E"/>
    <w:rsid w:val="00D65C6A"/>
    <w:rsid w:val="00D65D3E"/>
    <w:rsid w:val="00D65F81"/>
    <w:rsid w:val="00D6685B"/>
    <w:rsid w:val="00D66AD6"/>
    <w:rsid w:val="00D66E33"/>
    <w:rsid w:val="00D67112"/>
    <w:rsid w:val="00D6717D"/>
    <w:rsid w:val="00D6728F"/>
    <w:rsid w:val="00D6738E"/>
    <w:rsid w:val="00D6751E"/>
    <w:rsid w:val="00D6754C"/>
    <w:rsid w:val="00D67861"/>
    <w:rsid w:val="00D67882"/>
    <w:rsid w:val="00D679FA"/>
    <w:rsid w:val="00D67A0F"/>
    <w:rsid w:val="00D67BA7"/>
    <w:rsid w:val="00D67D4F"/>
    <w:rsid w:val="00D67D7D"/>
    <w:rsid w:val="00D7006B"/>
    <w:rsid w:val="00D7006E"/>
    <w:rsid w:val="00D701C1"/>
    <w:rsid w:val="00D70490"/>
    <w:rsid w:val="00D7079D"/>
    <w:rsid w:val="00D70A6C"/>
    <w:rsid w:val="00D70D30"/>
    <w:rsid w:val="00D710E7"/>
    <w:rsid w:val="00D714DA"/>
    <w:rsid w:val="00D715F3"/>
    <w:rsid w:val="00D716E4"/>
    <w:rsid w:val="00D71833"/>
    <w:rsid w:val="00D71914"/>
    <w:rsid w:val="00D71BBA"/>
    <w:rsid w:val="00D71F69"/>
    <w:rsid w:val="00D72663"/>
    <w:rsid w:val="00D72836"/>
    <w:rsid w:val="00D728B4"/>
    <w:rsid w:val="00D7297B"/>
    <w:rsid w:val="00D72B2E"/>
    <w:rsid w:val="00D72B85"/>
    <w:rsid w:val="00D72E85"/>
    <w:rsid w:val="00D731BD"/>
    <w:rsid w:val="00D73410"/>
    <w:rsid w:val="00D734D9"/>
    <w:rsid w:val="00D73B08"/>
    <w:rsid w:val="00D73DCE"/>
    <w:rsid w:val="00D73EAC"/>
    <w:rsid w:val="00D7401C"/>
    <w:rsid w:val="00D7438D"/>
    <w:rsid w:val="00D747B8"/>
    <w:rsid w:val="00D748B0"/>
    <w:rsid w:val="00D74EA0"/>
    <w:rsid w:val="00D75075"/>
    <w:rsid w:val="00D7525B"/>
    <w:rsid w:val="00D7529F"/>
    <w:rsid w:val="00D752A8"/>
    <w:rsid w:val="00D7544C"/>
    <w:rsid w:val="00D75460"/>
    <w:rsid w:val="00D756D3"/>
    <w:rsid w:val="00D7577B"/>
    <w:rsid w:val="00D7585B"/>
    <w:rsid w:val="00D758AE"/>
    <w:rsid w:val="00D75D79"/>
    <w:rsid w:val="00D75E3C"/>
    <w:rsid w:val="00D75F4C"/>
    <w:rsid w:val="00D762DC"/>
    <w:rsid w:val="00D76370"/>
    <w:rsid w:val="00D764F2"/>
    <w:rsid w:val="00D7658D"/>
    <w:rsid w:val="00D76A07"/>
    <w:rsid w:val="00D76D02"/>
    <w:rsid w:val="00D76FFE"/>
    <w:rsid w:val="00D770C4"/>
    <w:rsid w:val="00D77298"/>
    <w:rsid w:val="00D7756A"/>
    <w:rsid w:val="00D7776D"/>
    <w:rsid w:val="00D7788D"/>
    <w:rsid w:val="00D77908"/>
    <w:rsid w:val="00D77A7C"/>
    <w:rsid w:val="00D77A9C"/>
    <w:rsid w:val="00D77B53"/>
    <w:rsid w:val="00D77CCC"/>
    <w:rsid w:val="00D77DCC"/>
    <w:rsid w:val="00D77FF3"/>
    <w:rsid w:val="00D802D5"/>
    <w:rsid w:val="00D80354"/>
    <w:rsid w:val="00D80481"/>
    <w:rsid w:val="00D804D4"/>
    <w:rsid w:val="00D807D6"/>
    <w:rsid w:val="00D80CA5"/>
    <w:rsid w:val="00D80E6C"/>
    <w:rsid w:val="00D80F34"/>
    <w:rsid w:val="00D80F4C"/>
    <w:rsid w:val="00D80FDB"/>
    <w:rsid w:val="00D811AD"/>
    <w:rsid w:val="00D811EF"/>
    <w:rsid w:val="00D81573"/>
    <w:rsid w:val="00D8167A"/>
    <w:rsid w:val="00D81840"/>
    <w:rsid w:val="00D81988"/>
    <w:rsid w:val="00D81C30"/>
    <w:rsid w:val="00D81DA4"/>
    <w:rsid w:val="00D81EDE"/>
    <w:rsid w:val="00D81F86"/>
    <w:rsid w:val="00D81FE9"/>
    <w:rsid w:val="00D82387"/>
    <w:rsid w:val="00D82427"/>
    <w:rsid w:val="00D82659"/>
    <w:rsid w:val="00D8299C"/>
    <w:rsid w:val="00D82BA8"/>
    <w:rsid w:val="00D82D06"/>
    <w:rsid w:val="00D82D73"/>
    <w:rsid w:val="00D82E38"/>
    <w:rsid w:val="00D8317C"/>
    <w:rsid w:val="00D833A3"/>
    <w:rsid w:val="00D834D0"/>
    <w:rsid w:val="00D83504"/>
    <w:rsid w:val="00D835DE"/>
    <w:rsid w:val="00D839D3"/>
    <w:rsid w:val="00D83A14"/>
    <w:rsid w:val="00D83E40"/>
    <w:rsid w:val="00D840F1"/>
    <w:rsid w:val="00D840F8"/>
    <w:rsid w:val="00D84115"/>
    <w:rsid w:val="00D84468"/>
    <w:rsid w:val="00D84533"/>
    <w:rsid w:val="00D84698"/>
    <w:rsid w:val="00D84721"/>
    <w:rsid w:val="00D84B2B"/>
    <w:rsid w:val="00D84CBB"/>
    <w:rsid w:val="00D84D5C"/>
    <w:rsid w:val="00D84F42"/>
    <w:rsid w:val="00D84F65"/>
    <w:rsid w:val="00D8505B"/>
    <w:rsid w:val="00D850C6"/>
    <w:rsid w:val="00D851C4"/>
    <w:rsid w:val="00D853B2"/>
    <w:rsid w:val="00D8548F"/>
    <w:rsid w:val="00D85696"/>
    <w:rsid w:val="00D85868"/>
    <w:rsid w:val="00D85A88"/>
    <w:rsid w:val="00D85AEC"/>
    <w:rsid w:val="00D85B6C"/>
    <w:rsid w:val="00D85BFC"/>
    <w:rsid w:val="00D85C7D"/>
    <w:rsid w:val="00D85E48"/>
    <w:rsid w:val="00D85FE1"/>
    <w:rsid w:val="00D86058"/>
    <w:rsid w:val="00D86200"/>
    <w:rsid w:val="00D86B5E"/>
    <w:rsid w:val="00D86E11"/>
    <w:rsid w:val="00D870AD"/>
    <w:rsid w:val="00D873D2"/>
    <w:rsid w:val="00D874E3"/>
    <w:rsid w:val="00D8759E"/>
    <w:rsid w:val="00D8767E"/>
    <w:rsid w:val="00D87A08"/>
    <w:rsid w:val="00D87B58"/>
    <w:rsid w:val="00D87FA6"/>
    <w:rsid w:val="00D900E2"/>
    <w:rsid w:val="00D90105"/>
    <w:rsid w:val="00D901E9"/>
    <w:rsid w:val="00D9060C"/>
    <w:rsid w:val="00D9079B"/>
    <w:rsid w:val="00D90864"/>
    <w:rsid w:val="00D90867"/>
    <w:rsid w:val="00D9087C"/>
    <w:rsid w:val="00D90EE8"/>
    <w:rsid w:val="00D912ED"/>
    <w:rsid w:val="00D91354"/>
    <w:rsid w:val="00D913EB"/>
    <w:rsid w:val="00D914C8"/>
    <w:rsid w:val="00D914D5"/>
    <w:rsid w:val="00D916A0"/>
    <w:rsid w:val="00D91881"/>
    <w:rsid w:val="00D91B61"/>
    <w:rsid w:val="00D9202B"/>
    <w:rsid w:val="00D9209D"/>
    <w:rsid w:val="00D92237"/>
    <w:rsid w:val="00D925A0"/>
    <w:rsid w:val="00D92749"/>
    <w:rsid w:val="00D92831"/>
    <w:rsid w:val="00D92947"/>
    <w:rsid w:val="00D92B0D"/>
    <w:rsid w:val="00D92C6F"/>
    <w:rsid w:val="00D92DCE"/>
    <w:rsid w:val="00D92EC1"/>
    <w:rsid w:val="00D92F00"/>
    <w:rsid w:val="00D93097"/>
    <w:rsid w:val="00D93401"/>
    <w:rsid w:val="00D9340D"/>
    <w:rsid w:val="00D93641"/>
    <w:rsid w:val="00D936F8"/>
    <w:rsid w:val="00D9390A"/>
    <w:rsid w:val="00D93C9F"/>
    <w:rsid w:val="00D944D4"/>
    <w:rsid w:val="00D94676"/>
    <w:rsid w:val="00D946C1"/>
    <w:rsid w:val="00D9494E"/>
    <w:rsid w:val="00D94B1F"/>
    <w:rsid w:val="00D94BE1"/>
    <w:rsid w:val="00D94C82"/>
    <w:rsid w:val="00D94CE3"/>
    <w:rsid w:val="00D9578B"/>
    <w:rsid w:val="00D95A8D"/>
    <w:rsid w:val="00D95AE9"/>
    <w:rsid w:val="00D95BB0"/>
    <w:rsid w:val="00D95EDE"/>
    <w:rsid w:val="00D962C7"/>
    <w:rsid w:val="00D963C7"/>
    <w:rsid w:val="00D96545"/>
    <w:rsid w:val="00D9685E"/>
    <w:rsid w:val="00D96BDE"/>
    <w:rsid w:val="00D9708A"/>
    <w:rsid w:val="00D970FC"/>
    <w:rsid w:val="00D97216"/>
    <w:rsid w:val="00D97247"/>
    <w:rsid w:val="00D976D8"/>
    <w:rsid w:val="00D9774D"/>
    <w:rsid w:val="00D97ABB"/>
    <w:rsid w:val="00D97AC7"/>
    <w:rsid w:val="00D97AD4"/>
    <w:rsid w:val="00DA0300"/>
    <w:rsid w:val="00DA0647"/>
    <w:rsid w:val="00DA071B"/>
    <w:rsid w:val="00DA0E31"/>
    <w:rsid w:val="00DA0E51"/>
    <w:rsid w:val="00DA0F02"/>
    <w:rsid w:val="00DA0F7F"/>
    <w:rsid w:val="00DA0FA7"/>
    <w:rsid w:val="00DA0FB7"/>
    <w:rsid w:val="00DA10B4"/>
    <w:rsid w:val="00DA11A5"/>
    <w:rsid w:val="00DA1260"/>
    <w:rsid w:val="00DA1752"/>
    <w:rsid w:val="00DA18C4"/>
    <w:rsid w:val="00DA1C7C"/>
    <w:rsid w:val="00DA1EB9"/>
    <w:rsid w:val="00DA1F82"/>
    <w:rsid w:val="00DA200F"/>
    <w:rsid w:val="00DA2062"/>
    <w:rsid w:val="00DA2389"/>
    <w:rsid w:val="00DA25C8"/>
    <w:rsid w:val="00DA2615"/>
    <w:rsid w:val="00DA28ED"/>
    <w:rsid w:val="00DA2989"/>
    <w:rsid w:val="00DA29C2"/>
    <w:rsid w:val="00DA29FB"/>
    <w:rsid w:val="00DA2CA9"/>
    <w:rsid w:val="00DA33D5"/>
    <w:rsid w:val="00DA33EC"/>
    <w:rsid w:val="00DA34DF"/>
    <w:rsid w:val="00DA3A4A"/>
    <w:rsid w:val="00DA3E18"/>
    <w:rsid w:val="00DA3F18"/>
    <w:rsid w:val="00DA3F2B"/>
    <w:rsid w:val="00DA3FBB"/>
    <w:rsid w:val="00DA4091"/>
    <w:rsid w:val="00DA4141"/>
    <w:rsid w:val="00DA42B7"/>
    <w:rsid w:val="00DA42EE"/>
    <w:rsid w:val="00DA42FE"/>
    <w:rsid w:val="00DA4541"/>
    <w:rsid w:val="00DA47B2"/>
    <w:rsid w:val="00DA4923"/>
    <w:rsid w:val="00DA4954"/>
    <w:rsid w:val="00DA4BC9"/>
    <w:rsid w:val="00DA4CEC"/>
    <w:rsid w:val="00DA4DC4"/>
    <w:rsid w:val="00DA50A6"/>
    <w:rsid w:val="00DA516F"/>
    <w:rsid w:val="00DA52E7"/>
    <w:rsid w:val="00DA535E"/>
    <w:rsid w:val="00DA5379"/>
    <w:rsid w:val="00DA54F0"/>
    <w:rsid w:val="00DA5546"/>
    <w:rsid w:val="00DA56A0"/>
    <w:rsid w:val="00DA56C6"/>
    <w:rsid w:val="00DA56D7"/>
    <w:rsid w:val="00DA581C"/>
    <w:rsid w:val="00DA5861"/>
    <w:rsid w:val="00DA59FD"/>
    <w:rsid w:val="00DA5E2E"/>
    <w:rsid w:val="00DA5F2C"/>
    <w:rsid w:val="00DA5F9B"/>
    <w:rsid w:val="00DA608A"/>
    <w:rsid w:val="00DA625E"/>
    <w:rsid w:val="00DA6276"/>
    <w:rsid w:val="00DA6530"/>
    <w:rsid w:val="00DA68BF"/>
    <w:rsid w:val="00DA6A4F"/>
    <w:rsid w:val="00DA6BE3"/>
    <w:rsid w:val="00DA6F3D"/>
    <w:rsid w:val="00DA720D"/>
    <w:rsid w:val="00DA727D"/>
    <w:rsid w:val="00DA74B9"/>
    <w:rsid w:val="00DA7703"/>
    <w:rsid w:val="00DA77AF"/>
    <w:rsid w:val="00DA7834"/>
    <w:rsid w:val="00DA7907"/>
    <w:rsid w:val="00DA7AAA"/>
    <w:rsid w:val="00DA7F51"/>
    <w:rsid w:val="00DA7FD4"/>
    <w:rsid w:val="00DB0074"/>
    <w:rsid w:val="00DB0652"/>
    <w:rsid w:val="00DB0821"/>
    <w:rsid w:val="00DB0971"/>
    <w:rsid w:val="00DB0C01"/>
    <w:rsid w:val="00DB1162"/>
    <w:rsid w:val="00DB1339"/>
    <w:rsid w:val="00DB1376"/>
    <w:rsid w:val="00DB188F"/>
    <w:rsid w:val="00DB1A07"/>
    <w:rsid w:val="00DB1C08"/>
    <w:rsid w:val="00DB201E"/>
    <w:rsid w:val="00DB24D7"/>
    <w:rsid w:val="00DB2656"/>
    <w:rsid w:val="00DB2721"/>
    <w:rsid w:val="00DB27A7"/>
    <w:rsid w:val="00DB287F"/>
    <w:rsid w:val="00DB2C11"/>
    <w:rsid w:val="00DB2C62"/>
    <w:rsid w:val="00DB2D96"/>
    <w:rsid w:val="00DB2F38"/>
    <w:rsid w:val="00DB2F5D"/>
    <w:rsid w:val="00DB2FCC"/>
    <w:rsid w:val="00DB3196"/>
    <w:rsid w:val="00DB37A1"/>
    <w:rsid w:val="00DB37E1"/>
    <w:rsid w:val="00DB389B"/>
    <w:rsid w:val="00DB3B69"/>
    <w:rsid w:val="00DB3B7D"/>
    <w:rsid w:val="00DB3D54"/>
    <w:rsid w:val="00DB458D"/>
    <w:rsid w:val="00DB4717"/>
    <w:rsid w:val="00DB47DC"/>
    <w:rsid w:val="00DB4A1B"/>
    <w:rsid w:val="00DB4A29"/>
    <w:rsid w:val="00DB4A7E"/>
    <w:rsid w:val="00DB4B10"/>
    <w:rsid w:val="00DB4C58"/>
    <w:rsid w:val="00DB4FCD"/>
    <w:rsid w:val="00DB523C"/>
    <w:rsid w:val="00DB52E3"/>
    <w:rsid w:val="00DB575D"/>
    <w:rsid w:val="00DB57F1"/>
    <w:rsid w:val="00DB5C24"/>
    <w:rsid w:val="00DB5E92"/>
    <w:rsid w:val="00DB5E98"/>
    <w:rsid w:val="00DB5FFA"/>
    <w:rsid w:val="00DB6060"/>
    <w:rsid w:val="00DB616E"/>
    <w:rsid w:val="00DB61EC"/>
    <w:rsid w:val="00DB623F"/>
    <w:rsid w:val="00DB635C"/>
    <w:rsid w:val="00DB652F"/>
    <w:rsid w:val="00DB6A91"/>
    <w:rsid w:val="00DB6DD4"/>
    <w:rsid w:val="00DB706E"/>
    <w:rsid w:val="00DB711A"/>
    <w:rsid w:val="00DB7350"/>
    <w:rsid w:val="00DB756A"/>
    <w:rsid w:val="00DB7868"/>
    <w:rsid w:val="00DB7B4B"/>
    <w:rsid w:val="00DB7BDE"/>
    <w:rsid w:val="00DC005D"/>
    <w:rsid w:val="00DC011B"/>
    <w:rsid w:val="00DC021C"/>
    <w:rsid w:val="00DC0231"/>
    <w:rsid w:val="00DC0429"/>
    <w:rsid w:val="00DC0462"/>
    <w:rsid w:val="00DC0847"/>
    <w:rsid w:val="00DC0AAF"/>
    <w:rsid w:val="00DC0B03"/>
    <w:rsid w:val="00DC0CE4"/>
    <w:rsid w:val="00DC0FE5"/>
    <w:rsid w:val="00DC12DD"/>
    <w:rsid w:val="00DC1852"/>
    <w:rsid w:val="00DC19E2"/>
    <w:rsid w:val="00DC1B3A"/>
    <w:rsid w:val="00DC1C1F"/>
    <w:rsid w:val="00DC2014"/>
    <w:rsid w:val="00DC213F"/>
    <w:rsid w:val="00DC228D"/>
    <w:rsid w:val="00DC25E3"/>
    <w:rsid w:val="00DC27CA"/>
    <w:rsid w:val="00DC2844"/>
    <w:rsid w:val="00DC30FF"/>
    <w:rsid w:val="00DC3563"/>
    <w:rsid w:val="00DC3574"/>
    <w:rsid w:val="00DC37DC"/>
    <w:rsid w:val="00DC3CA3"/>
    <w:rsid w:val="00DC3D54"/>
    <w:rsid w:val="00DC3EB1"/>
    <w:rsid w:val="00DC40D8"/>
    <w:rsid w:val="00DC40F6"/>
    <w:rsid w:val="00DC4347"/>
    <w:rsid w:val="00DC4426"/>
    <w:rsid w:val="00DC46B5"/>
    <w:rsid w:val="00DC4758"/>
    <w:rsid w:val="00DC4845"/>
    <w:rsid w:val="00DC4B66"/>
    <w:rsid w:val="00DC4CDA"/>
    <w:rsid w:val="00DC4D64"/>
    <w:rsid w:val="00DC4F04"/>
    <w:rsid w:val="00DC4F2E"/>
    <w:rsid w:val="00DC5078"/>
    <w:rsid w:val="00DC5122"/>
    <w:rsid w:val="00DC5667"/>
    <w:rsid w:val="00DC56B6"/>
    <w:rsid w:val="00DC5AA9"/>
    <w:rsid w:val="00DC5E7C"/>
    <w:rsid w:val="00DC60D9"/>
    <w:rsid w:val="00DC64EF"/>
    <w:rsid w:val="00DC67B3"/>
    <w:rsid w:val="00DC6A9C"/>
    <w:rsid w:val="00DC6ACA"/>
    <w:rsid w:val="00DC6BA9"/>
    <w:rsid w:val="00DC6DD1"/>
    <w:rsid w:val="00DC6F1B"/>
    <w:rsid w:val="00DC7143"/>
    <w:rsid w:val="00DC7176"/>
    <w:rsid w:val="00DC72B5"/>
    <w:rsid w:val="00DC731B"/>
    <w:rsid w:val="00DC7742"/>
    <w:rsid w:val="00DC77F2"/>
    <w:rsid w:val="00DC783D"/>
    <w:rsid w:val="00DC795D"/>
    <w:rsid w:val="00DC7BC1"/>
    <w:rsid w:val="00DC7C94"/>
    <w:rsid w:val="00DD021C"/>
    <w:rsid w:val="00DD026A"/>
    <w:rsid w:val="00DD0414"/>
    <w:rsid w:val="00DD0706"/>
    <w:rsid w:val="00DD0972"/>
    <w:rsid w:val="00DD0978"/>
    <w:rsid w:val="00DD09DC"/>
    <w:rsid w:val="00DD0B45"/>
    <w:rsid w:val="00DD0CD5"/>
    <w:rsid w:val="00DD0DC3"/>
    <w:rsid w:val="00DD0E49"/>
    <w:rsid w:val="00DD0E61"/>
    <w:rsid w:val="00DD0F45"/>
    <w:rsid w:val="00DD1260"/>
    <w:rsid w:val="00DD13DE"/>
    <w:rsid w:val="00DD162E"/>
    <w:rsid w:val="00DD172F"/>
    <w:rsid w:val="00DD18A5"/>
    <w:rsid w:val="00DD1A9C"/>
    <w:rsid w:val="00DD1B3D"/>
    <w:rsid w:val="00DD1B45"/>
    <w:rsid w:val="00DD1C23"/>
    <w:rsid w:val="00DD1F19"/>
    <w:rsid w:val="00DD2095"/>
    <w:rsid w:val="00DD21C9"/>
    <w:rsid w:val="00DD2281"/>
    <w:rsid w:val="00DD2557"/>
    <w:rsid w:val="00DD2B00"/>
    <w:rsid w:val="00DD2D24"/>
    <w:rsid w:val="00DD2D60"/>
    <w:rsid w:val="00DD2ED4"/>
    <w:rsid w:val="00DD2FFC"/>
    <w:rsid w:val="00DD3ADF"/>
    <w:rsid w:val="00DD3C73"/>
    <w:rsid w:val="00DD3F6E"/>
    <w:rsid w:val="00DD4292"/>
    <w:rsid w:val="00DD4337"/>
    <w:rsid w:val="00DD4377"/>
    <w:rsid w:val="00DD4441"/>
    <w:rsid w:val="00DD4698"/>
    <w:rsid w:val="00DD46D1"/>
    <w:rsid w:val="00DD4A29"/>
    <w:rsid w:val="00DD4A82"/>
    <w:rsid w:val="00DD4DB7"/>
    <w:rsid w:val="00DD4E28"/>
    <w:rsid w:val="00DD4E93"/>
    <w:rsid w:val="00DD4FD9"/>
    <w:rsid w:val="00DD51A1"/>
    <w:rsid w:val="00DD51C6"/>
    <w:rsid w:val="00DD53BB"/>
    <w:rsid w:val="00DD5543"/>
    <w:rsid w:val="00DD566E"/>
    <w:rsid w:val="00DD587E"/>
    <w:rsid w:val="00DD590F"/>
    <w:rsid w:val="00DD5BBC"/>
    <w:rsid w:val="00DD5D36"/>
    <w:rsid w:val="00DD5D7B"/>
    <w:rsid w:val="00DD6079"/>
    <w:rsid w:val="00DD61A2"/>
    <w:rsid w:val="00DD6259"/>
    <w:rsid w:val="00DD625E"/>
    <w:rsid w:val="00DD6418"/>
    <w:rsid w:val="00DD6789"/>
    <w:rsid w:val="00DD67AF"/>
    <w:rsid w:val="00DD688F"/>
    <w:rsid w:val="00DD6C9D"/>
    <w:rsid w:val="00DD6D93"/>
    <w:rsid w:val="00DD6DA7"/>
    <w:rsid w:val="00DD6EC5"/>
    <w:rsid w:val="00DD6F73"/>
    <w:rsid w:val="00DD7028"/>
    <w:rsid w:val="00DD7161"/>
    <w:rsid w:val="00DD7266"/>
    <w:rsid w:val="00DD738F"/>
    <w:rsid w:val="00DD73C5"/>
    <w:rsid w:val="00DD73F6"/>
    <w:rsid w:val="00DD7439"/>
    <w:rsid w:val="00DD78DE"/>
    <w:rsid w:val="00DD7AD9"/>
    <w:rsid w:val="00DD7B42"/>
    <w:rsid w:val="00DD7BF2"/>
    <w:rsid w:val="00DD7E19"/>
    <w:rsid w:val="00DE0122"/>
    <w:rsid w:val="00DE026C"/>
    <w:rsid w:val="00DE04D9"/>
    <w:rsid w:val="00DE0642"/>
    <w:rsid w:val="00DE092B"/>
    <w:rsid w:val="00DE0D9A"/>
    <w:rsid w:val="00DE0DDF"/>
    <w:rsid w:val="00DE1169"/>
    <w:rsid w:val="00DE13A3"/>
    <w:rsid w:val="00DE1647"/>
    <w:rsid w:val="00DE17FD"/>
    <w:rsid w:val="00DE184C"/>
    <w:rsid w:val="00DE189C"/>
    <w:rsid w:val="00DE18EA"/>
    <w:rsid w:val="00DE19B4"/>
    <w:rsid w:val="00DE19C4"/>
    <w:rsid w:val="00DE1A34"/>
    <w:rsid w:val="00DE1D53"/>
    <w:rsid w:val="00DE2065"/>
    <w:rsid w:val="00DE2107"/>
    <w:rsid w:val="00DE22E0"/>
    <w:rsid w:val="00DE2791"/>
    <w:rsid w:val="00DE281A"/>
    <w:rsid w:val="00DE28C2"/>
    <w:rsid w:val="00DE2A7D"/>
    <w:rsid w:val="00DE2D10"/>
    <w:rsid w:val="00DE31F4"/>
    <w:rsid w:val="00DE327D"/>
    <w:rsid w:val="00DE33B9"/>
    <w:rsid w:val="00DE3543"/>
    <w:rsid w:val="00DE356E"/>
    <w:rsid w:val="00DE3591"/>
    <w:rsid w:val="00DE35DF"/>
    <w:rsid w:val="00DE3600"/>
    <w:rsid w:val="00DE37A1"/>
    <w:rsid w:val="00DE38C7"/>
    <w:rsid w:val="00DE3C60"/>
    <w:rsid w:val="00DE3CCA"/>
    <w:rsid w:val="00DE3DF1"/>
    <w:rsid w:val="00DE3EEB"/>
    <w:rsid w:val="00DE4306"/>
    <w:rsid w:val="00DE434A"/>
    <w:rsid w:val="00DE438C"/>
    <w:rsid w:val="00DE4459"/>
    <w:rsid w:val="00DE46E9"/>
    <w:rsid w:val="00DE474D"/>
    <w:rsid w:val="00DE48DC"/>
    <w:rsid w:val="00DE491A"/>
    <w:rsid w:val="00DE4A11"/>
    <w:rsid w:val="00DE4CA6"/>
    <w:rsid w:val="00DE4CC8"/>
    <w:rsid w:val="00DE4D10"/>
    <w:rsid w:val="00DE50F9"/>
    <w:rsid w:val="00DE50FC"/>
    <w:rsid w:val="00DE5198"/>
    <w:rsid w:val="00DE52EA"/>
    <w:rsid w:val="00DE5460"/>
    <w:rsid w:val="00DE5672"/>
    <w:rsid w:val="00DE5935"/>
    <w:rsid w:val="00DE5A6F"/>
    <w:rsid w:val="00DE5AAA"/>
    <w:rsid w:val="00DE5CEE"/>
    <w:rsid w:val="00DE5CF0"/>
    <w:rsid w:val="00DE5DB6"/>
    <w:rsid w:val="00DE5ED0"/>
    <w:rsid w:val="00DE5F87"/>
    <w:rsid w:val="00DE6001"/>
    <w:rsid w:val="00DE6099"/>
    <w:rsid w:val="00DE6143"/>
    <w:rsid w:val="00DE6232"/>
    <w:rsid w:val="00DE624F"/>
    <w:rsid w:val="00DE62F7"/>
    <w:rsid w:val="00DE64A8"/>
    <w:rsid w:val="00DE6526"/>
    <w:rsid w:val="00DE65DB"/>
    <w:rsid w:val="00DE668D"/>
    <w:rsid w:val="00DE66EF"/>
    <w:rsid w:val="00DE66F4"/>
    <w:rsid w:val="00DE6976"/>
    <w:rsid w:val="00DE6AFC"/>
    <w:rsid w:val="00DE6CD7"/>
    <w:rsid w:val="00DE7090"/>
    <w:rsid w:val="00DE720C"/>
    <w:rsid w:val="00DE7486"/>
    <w:rsid w:val="00DE7776"/>
    <w:rsid w:val="00DE7CD3"/>
    <w:rsid w:val="00DE7DC4"/>
    <w:rsid w:val="00DE7DFB"/>
    <w:rsid w:val="00DE7E51"/>
    <w:rsid w:val="00DE7F2A"/>
    <w:rsid w:val="00DE7FA6"/>
    <w:rsid w:val="00DE7FE5"/>
    <w:rsid w:val="00DF00DA"/>
    <w:rsid w:val="00DF00DD"/>
    <w:rsid w:val="00DF02B8"/>
    <w:rsid w:val="00DF0872"/>
    <w:rsid w:val="00DF099A"/>
    <w:rsid w:val="00DF0C24"/>
    <w:rsid w:val="00DF0D47"/>
    <w:rsid w:val="00DF0F85"/>
    <w:rsid w:val="00DF0FFE"/>
    <w:rsid w:val="00DF1008"/>
    <w:rsid w:val="00DF1010"/>
    <w:rsid w:val="00DF11B8"/>
    <w:rsid w:val="00DF11F7"/>
    <w:rsid w:val="00DF15D8"/>
    <w:rsid w:val="00DF16F4"/>
    <w:rsid w:val="00DF193C"/>
    <w:rsid w:val="00DF19C6"/>
    <w:rsid w:val="00DF1A5D"/>
    <w:rsid w:val="00DF1A5F"/>
    <w:rsid w:val="00DF1B2E"/>
    <w:rsid w:val="00DF1F54"/>
    <w:rsid w:val="00DF1FE1"/>
    <w:rsid w:val="00DF21C9"/>
    <w:rsid w:val="00DF2641"/>
    <w:rsid w:val="00DF28C9"/>
    <w:rsid w:val="00DF2923"/>
    <w:rsid w:val="00DF2E50"/>
    <w:rsid w:val="00DF2FA8"/>
    <w:rsid w:val="00DF2FC7"/>
    <w:rsid w:val="00DF30DF"/>
    <w:rsid w:val="00DF3628"/>
    <w:rsid w:val="00DF3652"/>
    <w:rsid w:val="00DF37F8"/>
    <w:rsid w:val="00DF393F"/>
    <w:rsid w:val="00DF39F6"/>
    <w:rsid w:val="00DF3C4C"/>
    <w:rsid w:val="00DF4208"/>
    <w:rsid w:val="00DF442D"/>
    <w:rsid w:val="00DF4C12"/>
    <w:rsid w:val="00DF4C4E"/>
    <w:rsid w:val="00DF4CF5"/>
    <w:rsid w:val="00DF4ED8"/>
    <w:rsid w:val="00DF50B0"/>
    <w:rsid w:val="00DF5659"/>
    <w:rsid w:val="00DF5662"/>
    <w:rsid w:val="00DF5671"/>
    <w:rsid w:val="00DF575C"/>
    <w:rsid w:val="00DF58CF"/>
    <w:rsid w:val="00DF5A4C"/>
    <w:rsid w:val="00DF5AFD"/>
    <w:rsid w:val="00DF5EF0"/>
    <w:rsid w:val="00DF5FED"/>
    <w:rsid w:val="00DF6054"/>
    <w:rsid w:val="00DF60F4"/>
    <w:rsid w:val="00DF61A4"/>
    <w:rsid w:val="00DF6375"/>
    <w:rsid w:val="00DF6473"/>
    <w:rsid w:val="00DF6593"/>
    <w:rsid w:val="00DF698D"/>
    <w:rsid w:val="00DF6F3E"/>
    <w:rsid w:val="00DF72F6"/>
    <w:rsid w:val="00DF7648"/>
    <w:rsid w:val="00DF78E8"/>
    <w:rsid w:val="00DF7C12"/>
    <w:rsid w:val="00DF7CE6"/>
    <w:rsid w:val="00DF7D96"/>
    <w:rsid w:val="00DF7E9E"/>
    <w:rsid w:val="00E00416"/>
    <w:rsid w:val="00E0043E"/>
    <w:rsid w:val="00E0058D"/>
    <w:rsid w:val="00E006CB"/>
    <w:rsid w:val="00E007B2"/>
    <w:rsid w:val="00E0080E"/>
    <w:rsid w:val="00E00F87"/>
    <w:rsid w:val="00E01186"/>
    <w:rsid w:val="00E01329"/>
    <w:rsid w:val="00E017F2"/>
    <w:rsid w:val="00E01830"/>
    <w:rsid w:val="00E01A49"/>
    <w:rsid w:val="00E01A98"/>
    <w:rsid w:val="00E01B7E"/>
    <w:rsid w:val="00E01C59"/>
    <w:rsid w:val="00E01C83"/>
    <w:rsid w:val="00E02130"/>
    <w:rsid w:val="00E023CB"/>
    <w:rsid w:val="00E025B7"/>
    <w:rsid w:val="00E02860"/>
    <w:rsid w:val="00E0290E"/>
    <w:rsid w:val="00E02B47"/>
    <w:rsid w:val="00E02E98"/>
    <w:rsid w:val="00E0308A"/>
    <w:rsid w:val="00E0323B"/>
    <w:rsid w:val="00E03278"/>
    <w:rsid w:val="00E03381"/>
    <w:rsid w:val="00E033F1"/>
    <w:rsid w:val="00E034D1"/>
    <w:rsid w:val="00E034D8"/>
    <w:rsid w:val="00E035BA"/>
    <w:rsid w:val="00E03883"/>
    <w:rsid w:val="00E03A00"/>
    <w:rsid w:val="00E03BAF"/>
    <w:rsid w:val="00E03BE5"/>
    <w:rsid w:val="00E03BE9"/>
    <w:rsid w:val="00E03C22"/>
    <w:rsid w:val="00E03EA6"/>
    <w:rsid w:val="00E03FA4"/>
    <w:rsid w:val="00E04254"/>
    <w:rsid w:val="00E0428A"/>
    <w:rsid w:val="00E044D6"/>
    <w:rsid w:val="00E046AE"/>
    <w:rsid w:val="00E04BF3"/>
    <w:rsid w:val="00E04C09"/>
    <w:rsid w:val="00E04E9E"/>
    <w:rsid w:val="00E0541D"/>
    <w:rsid w:val="00E05635"/>
    <w:rsid w:val="00E0564C"/>
    <w:rsid w:val="00E056FA"/>
    <w:rsid w:val="00E05719"/>
    <w:rsid w:val="00E0581F"/>
    <w:rsid w:val="00E05A29"/>
    <w:rsid w:val="00E05E22"/>
    <w:rsid w:val="00E0660F"/>
    <w:rsid w:val="00E0693E"/>
    <w:rsid w:val="00E06A5A"/>
    <w:rsid w:val="00E06B44"/>
    <w:rsid w:val="00E06C74"/>
    <w:rsid w:val="00E06CE2"/>
    <w:rsid w:val="00E06DDA"/>
    <w:rsid w:val="00E076E1"/>
    <w:rsid w:val="00E101DC"/>
    <w:rsid w:val="00E102E8"/>
    <w:rsid w:val="00E104C6"/>
    <w:rsid w:val="00E10505"/>
    <w:rsid w:val="00E10570"/>
    <w:rsid w:val="00E1059A"/>
    <w:rsid w:val="00E1077E"/>
    <w:rsid w:val="00E10817"/>
    <w:rsid w:val="00E10B50"/>
    <w:rsid w:val="00E10BD7"/>
    <w:rsid w:val="00E10D22"/>
    <w:rsid w:val="00E11653"/>
    <w:rsid w:val="00E11976"/>
    <w:rsid w:val="00E11DA3"/>
    <w:rsid w:val="00E11EDA"/>
    <w:rsid w:val="00E12377"/>
    <w:rsid w:val="00E124C3"/>
    <w:rsid w:val="00E12716"/>
    <w:rsid w:val="00E1283B"/>
    <w:rsid w:val="00E12964"/>
    <w:rsid w:val="00E12D79"/>
    <w:rsid w:val="00E13026"/>
    <w:rsid w:val="00E1303F"/>
    <w:rsid w:val="00E130E5"/>
    <w:rsid w:val="00E13104"/>
    <w:rsid w:val="00E13193"/>
    <w:rsid w:val="00E136D2"/>
    <w:rsid w:val="00E137E1"/>
    <w:rsid w:val="00E13D0A"/>
    <w:rsid w:val="00E1416D"/>
    <w:rsid w:val="00E1424B"/>
    <w:rsid w:val="00E1470C"/>
    <w:rsid w:val="00E14A9D"/>
    <w:rsid w:val="00E14C4D"/>
    <w:rsid w:val="00E14E3A"/>
    <w:rsid w:val="00E14F27"/>
    <w:rsid w:val="00E15100"/>
    <w:rsid w:val="00E1521B"/>
    <w:rsid w:val="00E1527B"/>
    <w:rsid w:val="00E1540B"/>
    <w:rsid w:val="00E15D2F"/>
    <w:rsid w:val="00E15DC9"/>
    <w:rsid w:val="00E15EB9"/>
    <w:rsid w:val="00E15ED8"/>
    <w:rsid w:val="00E15F33"/>
    <w:rsid w:val="00E1664F"/>
    <w:rsid w:val="00E1672C"/>
    <w:rsid w:val="00E16758"/>
    <w:rsid w:val="00E16CB7"/>
    <w:rsid w:val="00E16CC7"/>
    <w:rsid w:val="00E16E14"/>
    <w:rsid w:val="00E16EA9"/>
    <w:rsid w:val="00E16FA7"/>
    <w:rsid w:val="00E17120"/>
    <w:rsid w:val="00E171B0"/>
    <w:rsid w:val="00E17351"/>
    <w:rsid w:val="00E17409"/>
    <w:rsid w:val="00E174E8"/>
    <w:rsid w:val="00E175A9"/>
    <w:rsid w:val="00E175F0"/>
    <w:rsid w:val="00E1783E"/>
    <w:rsid w:val="00E17A66"/>
    <w:rsid w:val="00E17A82"/>
    <w:rsid w:val="00E17B07"/>
    <w:rsid w:val="00E17C3F"/>
    <w:rsid w:val="00E202FD"/>
    <w:rsid w:val="00E20421"/>
    <w:rsid w:val="00E20482"/>
    <w:rsid w:val="00E20775"/>
    <w:rsid w:val="00E20B18"/>
    <w:rsid w:val="00E20D3D"/>
    <w:rsid w:val="00E20E55"/>
    <w:rsid w:val="00E20F86"/>
    <w:rsid w:val="00E21260"/>
    <w:rsid w:val="00E2137D"/>
    <w:rsid w:val="00E215A1"/>
    <w:rsid w:val="00E21658"/>
    <w:rsid w:val="00E216A9"/>
    <w:rsid w:val="00E21BFF"/>
    <w:rsid w:val="00E21FCD"/>
    <w:rsid w:val="00E22010"/>
    <w:rsid w:val="00E224D1"/>
    <w:rsid w:val="00E2292A"/>
    <w:rsid w:val="00E22933"/>
    <w:rsid w:val="00E229BD"/>
    <w:rsid w:val="00E22D47"/>
    <w:rsid w:val="00E22FB4"/>
    <w:rsid w:val="00E230D6"/>
    <w:rsid w:val="00E230E2"/>
    <w:rsid w:val="00E234D0"/>
    <w:rsid w:val="00E237BF"/>
    <w:rsid w:val="00E23B82"/>
    <w:rsid w:val="00E23BC6"/>
    <w:rsid w:val="00E23BE7"/>
    <w:rsid w:val="00E240B3"/>
    <w:rsid w:val="00E2416D"/>
    <w:rsid w:val="00E24304"/>
    <w:rsid w:val="00E243F7"/>
    <w:rsid w:val="00E24453"/>
    <w:rsid w:val="00E244E2"/>
    <w:rsid w:val="00E24550"/>
    <w:rsid w:val="00E2492B"/>
    <w:rsid w:val="00E24976"/>
    <w:rsid w:val="00E24B0F"/>
    <w:rsid w:val="00E24B97"/>
    <w:rsid w:val="00E24C5E"/>
    <w:rsid w:val="00E24C69"/>
    <w:rsid w:val="00E24C6D"/>
    <w:rsid w:val="00E24F26"/>
    <w:rsid w:val="00E24F59"/>
    <w:rsid w:val="00E250CB"/>
    <w:rsid w:val="00E250DB"/>
    <w:rsid w:val="00E252D3"/>
    <w:rsid w:val="00E2551E"/>
    <w:rsid w:val="00E2571A"/>
    <w:rsid w:val="00E2588C"/>
    <w:rsid w:val="00E25A06"/>
    <w:rsid w:val="00E25BCA"/>
    <w:rsid w:val="00E25CDF"/>
    <w:rsid w:val="00E25D7B"/>
    <w:rsid w:val="00E25DAB"/>
    <w:rsid w:val="00E25E61"/>
    <w:rsid w:val="00E261AA"/>
    <w:rsid w:val="00E26273"/>
    <w:rsid w:val="00E264FE"/>
    <w:rsid w:val="00E266E7"/>
    <w:rsid w:val="00E269F9"/>
    <w:rsid w:val="00E26B04"/>
    <w:rsid w:val="00E26BD1"/>
    <w:rsid w:val="00E26BE8"/>
    <w:rsid w:val="00E26E63"/>
    <w:rsid w:val="00E26EE9"/>
    <w:rsid w:val="00E2706D"/>
    <w:rsid w:val="00E27137"/>
    <w:rsid w:val="00E27895"/>
    <w:rsid w:val="00E279FE"/>
    <w:rsid w:val="00E27C3E"/>
    <w:rsid w:val="00E27C62"/>
    <w:rsid w:val="00E27EC5"/>
    <w:rsid w:val="00E27F71"/>
    <w:rsid w:val="00E3004B"/>
    <w:rsid w:val="00E3011D"/>
    <w:rsid w:val="00E30244"/>
    <w:rsid w:val="00E30255"/>
    <w:rsid w:val="00E302D6"/>
    <w:rsid w:val="00E30BA2"/>
    <w:rsid w:val="00E30C9F"/>
    <w:rsid w:val="00E30E09"/>
    <w:rsid w:val="00E30F36"/>
    <w:rsid w:val="00E3118A"/>
    <w:rsid w:val="00E311E0"/>
    <w:rsid w:val="00E31334"/>
    <w:rsid w:val="00E31338"/>
    <w:rsid w:val="00E314C4"/>
    <w:rsid w:val="00E31579"/>
    <w:rsid w:val="00E3170F"/>
    <w:rsid w:val="00E31842"/>
    <w:rsid w:val="00E319C7"/>
    <w:rsid w:val="00E31A82"/>
    <w:rsid w:val="00E31DB0"/>
    <w:rsid w:val="00E31EED"/>
    <w:rsid w:val="00E31F07"/>
    <w:rsid w:val="00E31FC9"/>
    <w:rsid w:val="00E32009"/>
    <w:rsid w:val="00E32179"/>
    <w:rsid w:val="00E321ED"/>
    <w:rsid w:val="00E32502"/>
    <w:rsid w:val="00E327B4"/>
    <w:rsid w:val="00E328C2"/>
    <w:rsid w:val="00E32A6D"/>
    <w:rsid w:val="00E32F62"/>
    <w:rsid w:val="00E330B1"/>
    <w:rsid w:val="00E33127"/>
    <w:rsid w:val="00E33157"/>
    <w:rsid w:val="00E334EA"/>
    <w:rsid w:val="00E33513"/>
    <w:rsid w:val="00E3357B"/>
    <w:rsid w:val="00E33670"/>
    <w:rsid w:val="00E336F6"/>
    <w:rsid w:val="00E33AEB"/>
    <w:rsid w:val="00E33CC3"/>
    <w:rsid w:val="00E33DA3"/>
    <w:rsid w:val="00E341C5"/>
    <w:rsid w:val="00E342D1"/>
    <w:rsid w:val="00E34330"/>
    <w:rsid w:val="00E3444D"/>
    <w:rsid w:val="00E3449E"/>
    <w:rsid w:val="00E34569"/>
    <w:rsid w:val="00E3477E"/>
    <w:rsid w:val="00E34A5A"/>
    <w:rsid w:val="00E3506A"/>
    <w:rsid w:val="00E35212"/>
    <w:rsid w:val="00E3523C"/>
    <w:rsid w:val="00E3544D"/>
    <w:rsid w:val="00E355DC"/>
    <w:rsid w:val="00E35791"/>
    <w:rsid w:val="00E357C3"/>
    <w:rsid w:val="00E35806"/>
    <w:rsid w:val="00E35D26"/>
    <w:rsid w:val="00E35DBD"/>
    <w:rsid w:val="00E3625C"/>
    <w:rsid w:val="00E36276"/>
    <w:rsid w:val="00E362A1"/>
    <w:rsid w:val="00E3651E"/>
    <w:rsid w:val="00E36655"/>
    <w:rsid w:val="00E366FB"/>
    <w:rsid w:val="00E36749"/>
    <w:rsid w:val="00E36C55"/>
    <w:rsid w:val="00E36E2D"/>
    <w:rsid w:val="00E36E75"/>
    <w:rsid w:val="00E36F9E"/>
    <w:rsid w:val="00E373C9"/>
    <w:rsid w:val="00E374A0"/>
    <w:rsid w:val="00E374A3"/>
    <w:rsid w:val="00E374D0"/>
    <w:rsid w:val="00E37501"/>
    <w:rsid w:val="00E37624"/>
    <w:rsid w:val="00E37681"/>
    <w:rsid w:val="00E37697"/>
    <w:rsid w:val="00E37F71"/>
    <w:rsid w:val="00E40171"/>
    <w:rsid w:val="00E404B4"/>
    <w:rsid w:val="00E405C5"/>
    <w:rsid w:val="00E4081F"/>
    <w:rsid w:val="00E40B5D"/>
    <w:rsid w:val="00E40BBC"/>
    <w:rsid w:val="00E40C88"/>
    <w:rsid w:val="00E40E45"/>
    <w:rsid w:val="00E412FD"/>
    <w:rsid w:val="00E41443"/>
    <w:rsid w:val="00E417A5"/>
    <w:rsid w:val="00E41A7B"/>
    <w:rsid w:val="00E41A8E"/>
    <w:rsid w:val="00E41D5F"/>
    <w:rsid w:val="00E42508"/>
    <w:rsid w:val="00E42E4D"/>
    <w:rsid w:val="00E43158"/>
    <w:rsid w:val="00E4341E"/>
    <w:rsid w:val="00E43544"/>
    <w:rsid w:val="00E43664"/>
    <w:rsid w:val="00E436B8"/>
    <w:rsid w:val="00E43830"/>
    <w:rsid w:val="00E43A14"/>
    <w:rsid w:val="00E43A4E"/>
    <w:rsid w:val="00E44176"/>
    <w:rsid w:val="00E44278"/>
    <w:rsid w:val="00E4438E"/>
    <w:rsid w:val="00E444F3"/>
    <w:rsid w:val="00E445B5"/>
    <w:rsid w:val="00E44785"/>
    <w:rsid w:val="00E44BAE"/>
    <w:rsid w:val="00E44C9E"/>
    <w:rsid w:val="00E44EF8"/>
    <w:rsid w:val="00E450A5"/>
    <w:rsid w:val="00E45584"/>
    <w:rsid w:val="00E45640"/>
    <w:rsid w:val="00E4575F"/>
    <w:rsid w:val="00E45982"/>
    <w:rsid w:val="00E4599C"/>
    <w:rsid w:val="00E45B8C"/>
    <w:rsid w:val="00E45E41"/>
    <w:rsid w:val="00E45F4E"/>
    <w:rsid w:val="00E46091"/>
    <w:rsid w:val="00E4614D"/>
    <w:rsid w:val="00E463D9"/>
    <w:rsid w:val="00E46871"/>
    <w:rsid w:val="00E46996"/>
    <w:rsid w:val="00E46A57"/>
    <w:rsid w:val="00E46BA0"/>
    <w:rsid w:val="00E46D99"/>
    <w:rsid w:val="00E46FEB"/>
    <w:rsid w:val="00E47425"/>
    <w:rsid w:val="00E474BA"/>
    <w:rsid w:val="00E47519"/>
    <w:rsid w:val="00E477A1"/>
    <w:rsid w:val="00E4782E"/>
    <w:rsid w:val="00E47834"/>
    <w:rsid w:val="00E47A24"/>
    <w:rsid w:val="00E4D8E3"/>
    <w:rsid w:val="00E50397"/>
    <w:rsid w:val="00E503F7"/>
    <w:rsid w:val="00E50405"/>
    <w:rsid w:val="00E505EF"/>
    <w:rsid w:val="00E50633"/>
    <w:rsid w:val="00E506B0"/>
    <w:rsid w:val="00E50776"/>
    <w:rsid w:val="00E5085D"/>
    <w:rsid w:val="00E50A5F"/>
    <w:rsid w:val="00E50B5D"/>
    <w:rsid w:val="00E50C7F"/>
    <w:rsid w:val="00E50CD5"/>
    <w:rsid w:val="00E510C0"/>
    <w:rsid w:val="00E5182F"/>
    <w:rsid w:val="00E51ACA"/>
    <w:rsid w:val="00E51B79"/>
    <w:rsid w:val="00E51BA2"/>
    <w:rsid w:val="00E520E5"/>
    <w:rsid w:val="00E521EF"/>
    <w:rsid w:val="00E523AA"/>
    <w:rsid w:val="00E524FF"/>
    <w:rsid w:val="00E52B51"/>
    <w:rsid w:val="00E52BDE"/>
    <w:rsid w:val="00E52D07"/>
    <w:rsid w:val="00E52DB2"/>
    <w:rsid w:val="00E52EBE"/>
    <w:rsid w:val="00E5314E"/>
    <w:rsid w:val="00E53189"/>
    <w:rsid w:val="00E53858"/>
    <w:rsid w:val="00E539EF"/>
    <w:rsid w:val="00E53A60"/>
    <w:rsid w:val="00E53AE9"/>
    <w:rsid w:val="00E53CCE"/>
    <w:rsid w:val="00E53E76"/>
    <w:rsid w:val="00E53EFB"/>
    <w:rsid w:val="00E53F5A"/>
    <w:rsid w:val="00E54078"/>
    <w:rsid w:val="00E5407C"/>
    <w:rsid w:val="00E543A5"/>
    <w:rsid w:val="00E54432"/>
    <w:rsid w:val="00E546BA"/>
    <w:rsid w:val="00E54908"/>
    <w:rsid w:val="00E5495F"/>
    <w:rsid w:val="00E54A00"/>
    <w:rsid w:val="00E54A04"/>
    <w:rsid w:val="00E54AE1"/>
    <w:rsid w:val="00E54B36"/>
    <w:rsid w:val="00E54CAA"/>
    <w:rsid w:val="00E54CB6"/>
    <w:rsid w:val="00E54CE2"/>
    <w:rsid w:val="00E54EFA"/>
    <w:rsid w:val="00E5511E"/>
    <w:rsid w:val="00E5573F"/>
    <w:rsid w:val="00E5586D"/>
    <w:rsid w:val="00E558CF"/>
    <w:rsid w:val="00E55B05"/>
    <w:rsid w:val="00E55BA5"/>
    <w:rsid w:val="00E55BC9"/>
    <w:rsid w:val="00E55BCF"/>
    <w:rsid w:val="00E55D90"/>
    <w:rsid w:val="00E561A5"/>
    <w:rsid w:val="00E56295"/>
    <w:rsid w:val="00E562CB"/>
    <w:rsid w:val="00E56395"/>
    <w:rsid w:val="00E5642A"/>
    <w:rsid w:val="00E564EF"/>
    <w:rsid w:val="00E5666D"/>
    <w:rsid w:val="00E5681E"/>
    <w:rsid w:val="00E56EC5"/>
    <w:rsid w:val="00E570FC"/>
    <w:rsid w:val="00E571B0"/>
    <w:rsid w:val="00E57833"/>
    <w:rsid w:val="00E5787A"/>
    <w:rsid w:val="00E5789B"/>
    <w:rsid w:val="00E57A2F"/>
    <w:rsid w:val="00E57CA3"/>
    <w:rsid w:val="00E57DC7"/>
    <w:rsid w:val="00E57E3E"/>
    <w:rsid w:val="00E57F06"/>
    <w:rsid w:val="00E5D0B8"/>
    <w:rsid w:val="00E602B7"/>
    <w:rsid w:val="00E602E1"/>
    <w:rsid w:val="00E60318"/>
    <w:rsid w:val="00E6033A"/>
    <w:rsid w:val="00E60379"/>
    <w:rsid w:val="00E605EE"/>
    <w:rsid w:val="00E60908"/>
    <w:rsid w:val="00E609CD"/>
    <w:rsid w:val="00E60A78"/>
    <w:rsid w:val="00E60AE4"/>
    <w:rsid w:val="00E60D98"/>
    <w:rsid w:val="00E60DB6"/>
    <w:rsid w:val="00E61373"/>
    <w:rsid w:val="00E615A3"/>
    <w:rsid w:val="00E6197B"/>
    <w:rsid w:val="00E61B16"/>
    <w:rsid w:val="00E61BCC"/>
    <w:rsid w:val="00E61C5F"/>
    <w:rsid w:val="00E61E7B"/>
    <w:rsid w:val="00E62336"/>
    <w:rsid w:val="00E6239F"/>
    <w:rsid w:val="00E625B1"/>
    <w:rsid w:val="00E6260A"/>
    <w:rsid w:val="00E62689"/>
    <w:rsid w:val="00E627D5"/>
    <w:rsid w:val="00E628B7"/>
    <w:rsid w:val="00E62B48"/>
    <w:rsid w:val="00E62B9C"/>
    <w:rsid w:val="00E62FC9"/>
    <w:rsid w:val="00E633A2"/>
    <w:rsid w:val="00E6358C"/>
    <w:rsid w:val="00E63724"/>
    <w:rsid w:val="00E63942"/>
    <w:rsid w:val="00E63A9D"/>
    <w:rsid w:val="00E63AA1"/>
    <w:rsid w:val="00E63B08"/>
    <w:rsid w:val="00E63D35"/>
    <w:rsid w:val="00E63EBE"/>
    <w:rsid w:val="00E63FE1"/>
    <w:rsid w:val="00E64214"/>
    <w:rsid w:val="00E64254"/>
    <w:rsid w:val="00E6435E"/>
    <w:rsid w:val="00E6457E"/>
    <w:rsid w:val="00E646CD"/>
    <w:rsid w:val="00E64948"/>
    <w:rsid w:val="00E64CDB"/>
    <w:rsid w:val="00E64D24"/>
    <w:rsid w:val="00E64E74"/>
    <w:rsid w:val="00E65248"/>
    <w:rsid w:val="00E65476"/>
    <w:rsid w:val="00E659AE"/>
    <w:rsid w:val="00E65A54"/>
    <w:rsid w:val="00E65C92"/>
    <w:rsid w:val="00E6604D"/>
    <w:rsid w:val="00E66351"/>
    <w:rsid w:val="00E66490"/>
    <w:rsid w:val="00E666AE"/>
    <w:rsid w:val="00E6698F"/>
    <w:rsid w:val="00E66DB6"/>
    <w:rsid w:val="00E66E5B"/>
    <w:rsid w:val="00E670E5"/>
    <w:rsid w:val="00E672A1"/>
    <w:rsid w:val="00E672BB"/>
    <w:rsid w:val="00E67491"/>
    <w:rsid w:val="00E679AF"/>
    <w:rsid w:val="00E67BF7"/>
    <w:rsid w:val="00E67EFA"/>
    <w:rsid w:val="00E67EFC"/>
    <w:rsid w:val="00E67FE2"/>
    <w:rsid w:val="00E70097"/>
    <w:rsid w:val="00E7058F"/>
    <w:rsid w:val="00E70BC2"/>
    <w:rsid w:val="00E70C53"/>
    <w:rsid w:val="00E70D17"/>
    <w:rsid w:val="00E70D29"/>
    <w:rsid w:val="00E70D31"/>
    <w:rsid w:val="00E70D9A"/>
    <w:rsid w:val="00E70FB5"/>
    <w:rsid w:val="00E710BB"/>
    <w:rsid w:val="00E71165"/>
    <w:rsid w:val="00E711E8"/>
    <w:rsid w:val="00E711F4"/>
    <w:rsid w:val="00E712CE"/>
    <w:rsid w:val="00E71669"/>
    <w:rsid w:val="00E717BD"/>
    <w:rsid w:val="00E719FE"/>
    <w:rsid w:val="00E71AF4"/>
    <w:rsid w:val="00E71BCD"/>
    <w:rsid w:val="00E71EDB"/>
    <w:rsid w:val="00E71FB3"/>
    <w:rsid w:val="00E720B9"/>
    <w:rsid w:val="00E722D1"/>
    <w:rsid w:val="00E7243E"/>
    <w:rsid w:val="00E724FB"/>
    <w:rsid w:val="00E72607"/>
    <w:rsid w:val="00E726A4"/>
    <w:rsid w:val="00E728B9"/>
    <w:rsid w:val="00E729E6"/>
    <w:rsid w:val="00E729E7"/>
    <w:rsid w:val="00E72AFA"/>
    <w:rsid w:val="00E72B94"/>
    <w:rsid w:val="00E72D01"/>
    <w:rsid w:val="00E72DBB"/>
    <w:rsid w:val="00E72DCA"/>
    <w:rsid w:val="00E72F4D"/>
    <w:rsid w:val="00E73317"/>
    <w:rsid w:val="00E739A1"/>
    <w:rsid w:val="00E73A7D"/>
    <w:rsid w:val="00E73B32"/>
    <w:rsid w:val="00E73BB8"/>
    <w:rsid w:val="00E74027"/>
    <w:rsid w:val="00E7412A"/>
    <w:rsid w:val="00E741B9"/>
    <w:rsid w:val="00E742FB"/>
    <w:rsid w:val="00E745E0"/>
    <w:rsid w:val="00E746F0"/>
    <w:rsid w:val="00E7479B"/>
    <w:rsid w:val="00E74866"/>
    <w:rsid w:val="00E7490A"/>
    <w:rsid w:val="00E74B52"/>
    <w:rsid w:val="00E74C5F"/>
    <w:rsid w:val="00E74D76"/>
    <w:rsid w:val="00E74EFA"/>
    <w:rsid w:val="00E74FA9"/>
    <w:rsid w:val="00E75180"/>
    <w:rsid w:val="00E75252"/>
    <w:rsid w:val="00E75418"/>
    <w:rsid w:val="00E754EF"/>
    <w:rsid w:val="00E75526"/>
    <w:rsid w:val="00E75599"/>
    <w:rsid w:val="00E75915"/>
    <w:rsid w:val="00E75B9D"/>
    <w:rsid w:val="00E75CD8"/>
    <w:rsid w:val="00E75EB9"/>
    <w:rsid w:val="00E75F67"/>
    <w:rsid w:val="00E76191"/>
    <w:rsid w:val="00E76228"/>
    <w:rsid w:val="00E763E0"/>
    <w:rsid w:val="00E766FC"/>
    <w:rsid w:val="00E7681F"/>
    <w:rsid w:val="00E768C5"/>
    <w:rsid w:val="00E76921"/>
    <w:rsid w:val="00E76A9B"/>
    <w:rsid w:val="00E76ABC"/>
    <w:rsid w:val="00E76B02"/>
    <w:rsid w:val="00E76BC2"/>
    <w:rsid w:val="00E76CBC"/>
    <w:rsid w:val="00E76CF9"/>
    <w:rsid w:val="00E76D7D"/>
    <w:rsid w:val="00E76E19"/>
    <w:rsid w:val="00E770D4"/>
    <w:rsid w:val="00E771F1"/>
    <w:rsid w:val="00E774B5"/>
    <w:rsid w:val="00E774D3"/>
    <w:rsid w:val="00E7766C"/>
    <w:rsid w:val="00E777AC"/>
    <w:rsid w:val="00E777E3"/>
    <w:rsid w:val="00E77F4C"/>
    <w:rsid w:val="00E80221"/>
    <w:rsid w:val="00E80287"/>
    <w:rsid w:val="00E803BC"/>
    <w:rsid w:val="00E80795"/>
    <w:rsid w:val="00E80BC1"/>
    <w:rsid w:val="00E80CF8"/>
    <w:rsid w:val="00E80E87"/>
    <w:rsid w:val="00E80E99"/>
    <w:rsid w:val="00E816A0"/>
    <w:rsid w:val="00E816E5"/>
    <w:rsid w:val="00E818C2"/>
    <w:rsid w:val="00E81E27"/>
    <w:rsid w:val="00E81FA7"/>
    <w:rsid w:val="00E826F2"/>
    <w:rsid w:val="00E829C3"/>
    <w:rsid w:val="00E82A27"/>
    <w:rsid w:val="00E82A92"/>
    <w:rsid w:val="00E831BA"/>
    <w:rsid w:val="00E832BF"/>
    <w:rsid w:val="00E83334"/>
    <w:rsid w:val="00E83491"/>
    <w:rsid w:val="00E834F0"/>
    <w:rsid w:val="00E83875"/>
    <w:rsid w:val="00E839B0"/>
    <w:rsid w:val="00E839DC"/>
    <w:rsid w:val="00E83CC2"/>
    <w:rsid w:val="00E83FF5"/>
    <w:rsid w:val="00E841D3"/>
    <w:rsid w:val="00E842B6"/>
    <w:rsid w:val="00E842E5"/>
    <w:rsid w:val="00E845C5"/>
    <w:rsid w:val="00E8490F"/>
    <w:rsid w:val="00E84BDE"/>
    <w:rsid w:val="00E84C05"/>
    <w:rsid w:val="00E84C58"/>
    <w:rsid w:val="00E84D3A"/>
    <w:rsid w:val="00E84D54"/>
    <w:rsid w:val="00E84E66"/>
    <w:rsid w:val="00E84F8B"/>
    <w:rsid w:val="00E84FDB"/>
    <w:rsid w:val="00E85030"/>
    <w:rsid w:val="00E853D6"/>
    <w:rsid w:val="00E853E2"/>
    <w:rsid w:val="00E85573"/>
    <w:rsid w:val="00E85822"/>
    <w:rsid w:val="00E85928"/>
    <w:rsid w:val="00E85F1D"/>
    <w:rsid w:val="00E85F4D"/>
    <w:rsid w:val="00E85F59"/>
    <w:rsid w:val="00E86098"/>
    <w:rsid w:val="00E860A0"/>
    <w:rsid w:val="00E86256"/>
    <w:rsid w:val="00E86C04"/>
    <w:rsid w:val="00E86F43"/>
    <w:rsid w:val="00E87059"/>
    <w:rsid w:val="00E87101"/>
    <w:rsid w:val="00E8741F"/>
    <w:rsid w:val="00E87776"/>
    <w:rsid w:val="00E8786F"/>
    <w:rsid w:val="00E878D6"/>
    <w:rsid w:val="00E879D9"/>
    <w:rsid w:val="00E87AC5"/>
    <w:rsid w:val="00E87D3F"/>
    <w:rsid w:val="00E87F10"/>
    <w:rsid w:val="00E87F87"/>
    <w:rsid w:val="00E90033"/>
    <w:rsid w:val="00E90306"/>
    <w:rsid w:val="00E90435"/>
    <w:rsid w:val="00E90715"/>
    <w:rsid w:val="00E90864"/>
    <w:rsid w:val="00E908DE"/>
    <w:rsid w:val="00E9096C"/>
    <w:rsid w:val="00E90A57"/>
    <w:rsid w:val="00E90A7D"/>
    <w:rsid w:val="00E90BCB"/>
    <w:rsid w:val="00E90C27"/>
    <w:rsid w:val="00E90D0A"/>
    <w:rsid w:val="00E914B8"/>
    <w:rsid w:val="00E91618"/>
    <w:rsid w:val="00E916D1"/>
    <w:rsid w:val="00E91E5E"/>
    <w:rsid w:val="00E91F8D"/>
    <w:rsid w:val="00E91FA4"/>
    <w:rsid w:val="00E91FC7"/>
    <w:rsid w:val="00E92098"/>
    <w:rsid w:val="00E92302"/>
    <w:rsid w:val="00E9245C"/>
    <w:rsid w:val="00E92857"/>
    <w:rsid w:val="00E92A8E"/>
    <w:rsid w:val="00E92BAD"/>
    <w:rsid w:val="00E92C81"/>
    <w:rsid w:val="00E92D0A"/>
    <w:rsid w:val="00E92DFF"/>
    <w:rsid w:val="00E9303A"/>
    <w:rsid w:val="00E93143"/>
    <w:rsid w:val="00E932F4"/>
    <w:rsid w:val="00E934E3"/>
    <w:rsid w:val="00E9356F"/>
    <w:rsid w:val="00E9372B"/>
    <w:rsid w:val="00E93804"/>
    <w:rsid w:val="00E938AC"/>
    <w:rsid w:val="00E9398D"/>
    <w:rsid w:val="00E93B67"/>
    <w:rsid w:val="00E93C0E"/>
    <w:rsid w:val="00E93E34"/>
    <w:rsid w:val="00E940D1"/>
    <w:rsid w:val="00E9445E"/>
    <w:rsid w:val="00E94553"/>
    <w:rsid w:val="00E94E10"/>
    <w:rsid w:val="00E9515F"/>
    <w:rsid w:val="00E9531E"/>
    <w:rsid w:val="00E95371"/>
    <w:rsid w:val="00E95542"/>
    <w:rsid w:val="00E9571F"/>
    <w:rsid w:val="00E95849"/>
    <w:rsid w:val="00E95C2F"/>
    <w:rsid w:val="00E95D39"/>
    <w:rsid w:val="00E95DB5"/>
    <w:rsid w:val="00E95EB4"/>
    <w:rsid w:val="00E95ECE"/>
    <w:rsid w:val="00E9612D"/>
    <w:rsid w:val="00E9644A"/>
    <w:rsid w:val="00E9647C"/>
    <w:rsid w:val="00E96492"/>
    <w:rsid w:val="00E96628"/>
    <w:rsid w:val="00E96AEB"/>
    <w:rsid w:val="00E96BB8"/>
    <w:rsid w:val="00E96BFB"/>
    <w:rsid w:val="00E96C53"/>
    <w:rsid w:val="00E96FCA"/>
    <w:rsid w:val="00E97041"/>
    <w:rsid w:val="00E974C9"/>
    <w:rsid w:val="00E974F7"/>
    <w:rsid w:val="00E97CFB"/>
    <w:rsid w:val="00E97D8D"/>
    <w:rsid w:val="00E97E8F"/>
    <w:rsid w:val="00E9C1D8"/>
    <w:rsid w:val="00EA0066"/>
    <w:rsid w:val="00EA010E"/>
    <w:rsid w:val="00EA02A9"/>
    <w:rsid w:val="00EA0364"/>
    <w:rsid w:val="00EA0370"/>
    <w:rsid w:val="00EA06BE"/>
    <w:rsid w:val="00EA070F"/>
    <w:rsid w:val="00EA07B5"/>
    <w:rsid w:val="00EA084A"/>
    <w:rsid w:val="00EA0A04"/>
    <w:rsid w:val="00EA0B41"/>
    <w:rsid w:val="00EA0D1D"/>
    <w:rsid w:val="00EA0E4C"/>
    <w:rsid w:val="00EA0FCF"/>
    <w:rsid w:val="00EA1234"/>
    <w:rsid w:val="00EA196C"/>
    <w:rsid w:val="00EA19E0"/>
    <w:rsid w:val="00EA1A8A"/>
    <w:rsid w:val="00EA1AFA"/>
    <w:rsid w:val="00EA1C05"/>
    <w:rsid w:val="00EA1C85"/>
    <w:rsid w:val="00EA1D92"/>
    <w:rsid w:val="00EA1DE3"/>
    <w:rsid w:val="00EA1DF5"/>
    <w:rsid w:val="00EA2158"/>
    <w:rsid w:val="00EA2170"/>
    <w:rsid w:val="00EA26BF"/>
    <w:rsid w:val="00EA2805"/>
    <w:rsid w:val="00EA297A"/>
    <w:rsid w:val="00EA2BC1"/>
    <w:rsid w:val="00EA2C22"/>
    <w:rsid w:val="00EA2C39"/>
    <w:rsid w:val="00EA2D99"/>
    <w:rsid w:val="00EA2EC2"/>
    <w:rsid w:val="00EA2EE3"/>
    <w:rsid w:val="00EA31DE"/>
    <w:rsid w:val="00EA332A"/>
    <w:rsid w:val="00EA35C9"/>
    <w:rsid w:val="00EA36D2"/>
    <w:rsid w:val="00EA3804"/>
    <w:rsid w:val="00EA38A1"/>
    <w:rsid w:val="00EA3D86"/>
    <w:rsid w:val="00EA3EA5"/>
    <w:rsid w:val="00EA3ED4"/>
    <w:rsid w:val="00EA4071"/>
    <w:rsid w:val="00EA435B"/>
    <w:rsid w:val="00EA4385"/>
    <w:rsid w:val="00EA4387"/>
    <w:rsid w:val="00EA44E6"/>
    <w:rsid w:val="00EA44EA"/>
    <w:rsid w:val="00EA4932"/>
    <w:rsid w:val="00EA4A37"/>
    <w:rsid w:val="00EA4AE6"/>
    <w:rsid w:val="00EA513C"/>
    <w:rsid w:val="00EA537B"/>
    <w:rsid w:val="00EA587A"/>
    <w:rsid w:val="00EA5976"/>
    <w:rsid w:val="00EA5CF9"/>
    <w:rsid w:val="00EA5D2E"/>
    <w:rsid w:val="00EA5FA1"/>
    <w:rsid w:val="00EA61A1"/>
    <w:rsid w:val="00EA638D"/>
    <w:rsid w:val="00EA6470"/>
    <w:rsid w:val="00EA651E"/>
    <w:rsid w:val="00EA6691"/>
    <w:rsid w:val="00EA66F3"/>
    <w:rsid w:val="00EA6797"/>
    <w:rsid w:val="00EA6A63"/>
    <w:rsid w:val="00EA6AB2"/>
    <w:rsid w:val="00EA6BD9"/>
    <w:rsid w:val="00EA6BE2"/>
    <w:rsid w:val="00EA6C1B"/>
    <w:rsid w:val="00EA702A"/>
    <w:rsid w:val="00EA735B"/>
    <w:rsid w:val="00EA7467"/>
    <w:rsid w:val="00EA75EC"/>
    <w:rsid w:val="00EA79F8"/>
    <w:rsid w:val="00EA7D79"/>
    <w:rsid w:val="00EA7EB7"/>
    <w:rsid w:val="00EAA5BA"/>
    <w:rsid w:val="00EB00A4"/>
    <w:rsid w:val="00EB0254"/>
    <w:rsid w:val="00EB04A1"/>
    <w:rsid w:val="00EB085B"/>
    <w:rsid w:val="00EB0898"/>
    <w:rsid w:val="00EB0E45"/>
    <w:rsid w:val="00EB0E94"/>
    <w:rsid w:val="00EB0F83"/>
    <w:rsid w:val="00EB1246"/>
    <w:rsid w:val="00EB1369"/>
    <w:rsid w:val="00EB1584"/>
    <w:rsid w:val="00EB158E"/>
    <w:rsid w:val="00EB161B"/>
    <w:rsid w:val="00EB166B"/>
    <w:rsid w:val="00EB1840"/>
    <w:rsid w:val="00EB1980"/>
    <w:rsid w:val="00EB1A85"/>
    <w:rsid w:val="00EB1C86"/>
    <w:rsid w:val="00EB1CC8"/>
    <w:rsid w:val="00EB204F"/>
    <w:rsid w:val="00EB229E"/>
    <w:rsid w:val="00EB249E"/>
    <w:rsid w:val="00EB2518"/>
    <w:rsid w:val="00EB2682"/>
    <w:rsid w:val="00EB2721"/>
    <w:rsid w:val="00EB28DE"/>
    <w:rsid w:val="00EB2921"/>
    <w:rsid w:val="00EB2D19"/>
    <w:rsid w:val="00EB2D3F"/>
    <w:rsid w:val="00EB2D7A"/>
    <w:rsid w:val="00EB2E9F"/>
    <w:rsid w:val="00EB2FFC"/>
    <w:rsid w:val="00EB3083"/>
    <w:rsid w:val="00EB30A6"/>
    <w:rsid w:val="00EB30BC"/>
    <w:rsid w:val="00EB3214"/>
    <w:rsid w:val="00EB33FB"/>
    <w:rsid w:val="00EB36FB"/>
    <w:rsid w:val="00EB38BE"/>
    <w:rsid w:val="00EB3B8C"/>
    <w:rsid w:val="00EB3C02"/>
    <w:rsid w:val="00EB3F63"/>
    <w:rsid w:val="00EB403C"/>
    <w:rsid w:val="00EB4149"/>
    <w:rsid w:val="00EB4583"/>
    <w:rsid w:val="00EB465F"/>
    <w:rsid w:val="00EB46B5"/>
    <w:rsid w:val="00EB498E"/>
    <w:rsid w:val="00EB4ACA"/>
    <w:rsid w:val="00EB4CB3"/>
    <w:rsid w:val="00EB50D2"/>
    <w:rsid w:val="00EB50FD"/>
    <w:rsid w:val="00EB52CB"/>
    <w:rsid w:val="00EB58D2"/>
    <w:rsid w:val="00EB5926"/>
    <w:rsid w:val="00EB5927"/>
    <w:rsid w:val="00EB5C07"/>
    <w:rsid w:val="00EB5D88"/>
    <w:rsid w:val="00EB60D2"/>
    <w:rsid w:val="00EB610C"/>
    <w:rsid w:val="00EB6263"/>
    <w:rsid w:val="00EB66DA"/>
    <w:rsid w:val="00EB6A03"/>
    <w:rsid w:val="00EB6AEF"/>
    <w:rsid w:val="00EB6BFF"/>
    <w:rsid w:val="00EB6CD7"/>
    <w:rsid w:val="00EB6EB8"/>
    <w:rsid w:val="00EB6FAD"/>
    <w:rsid w:val="00EB7221"/>
    <w:rsid w:val="00EB727E"/>
    <w:rsid w:val="00EB753A"/>
    <w:rsid w:val="00EB78CD"/>
    <w:rsid w:val="00EB7DA5"/>
    <w:rsid w:val="00EC050F"/>
    <w:rsid w:val="00EC05B3"/>
    <w:rsid w:val="00EC09DB"/>
    <w:rsid w:val="00EC0A1C"/>
    <w:rsid w:val="00EC0DE7"/>
    <w:rsid w:val="00EC0F22"/>
    <w:rsid w:val="00EC12AE"/>
    <w:rsid w:val="00EC14E2"/>
    <w:rsid w:val="00EC1584"/>
    <w:rsid w:val="00EC15DD"/>
    <w:rsid w:val="00EC1A12"/>
    <w:rsid w:val="00EC1CA5"/>
    <w:rsid w:val="00EC1E26"/>
    <w:rsid w:val="00EC1F96"/>
    <w:rsid w:val="00EC213E"/>
    <w:rsid w:val="00EC22EB"/>
    <w:rsid w:val="00EC22EC"/>
    <w:rsid w:val="00EC24B7"/>
    <w:rsid w:val="00EC24DB"/>
    <w:rsid w:val="00EC25A5"/>
    <w:rsid w:val="00EC277B"/>
    <w:rsid w:val="00EC286B"/>
    <w:rsid w:val="00EC2A1A"/>
    <w:rsid w:val="00EC2AB6"/>
    <w:rsid w:val="00EC2AEC"/>
    <w:rsid w:val="00EC2B22"/>
    <w:rsid w:val="00EC2C6B"/>
    <w:rsid w:val="00EC2E4D"/>
    <w:rsid w:val="00EC2F45"/>
    <w:rsid w:val="00EC2F62"/>
    <w:rsid w:val="00EC306F"/>
    <w:rsid w:val="00EC33A4"/>
    <w:rsid w:val="00EC3679"/>
    <w:rsid w:val="00EC38E8"/>
    <w:rsid w:val="00EC39CE"/>
    <w:rsid w:val="00EC3B6E"/>
    <w:rsid w:val="00EC3BBF"/>
    <w:rsid w:val="00EC3CC4"/>
    <w:rsid w:val="00EC3F7D"/>
    <w:rsid w:val="00EC428D"/>
    <w:rsid w:val="00EC432A"/>
    <w:rsid w:val="00EC477C"/>
    <w:rsid w:val="00EC477F"/>
    <w:rsid w:val="00EC4857"/>
    <w:rsid w:val="00EC49A0"/>
    <w:rsid w:val="00EC4B56"/>
    <w:rsid w:val="00EC53B4"/>
    <w:rsid w:val="00EC5414"/>
    <w:rsid w:val="00EC54EC"/>
    <w:rsid w:val="00EC55CB"/>
    <w:rsid w:val="00EC5656"/>
    <w:rsid w:val="00EC580E"/>
    <w:rsid w:val="00EC5C4A"/>
    <w:rsid w:val="00EC5E15"/>
    <w:rsid w:val="00EC5F9C"/>
    <w:rsid w:val="00EC5FA6"/>
    <w:rsid w:val="00EC6214"/>
    <w:rsid w:val="00EC6344"/>
    <w:rsid w:val="00EC65B6"/>
    <w:rsid w:val="00EC6674"/>
    <w:rsid w:val="00EC6682"/>
    <w:rsid w:val="00EC6737"/>
    <w:rsid w:val="00EC689E"/>
    <w:rsid w:val="00EC698A"/>
    <w:rsid w:val="00EC6A8E"/>
    <w:rsid w:val="00EC6B52"/>
    <w:rsid w:val="00EC7927"/>
    <w:rsid w:val="00EC798D"/>
    <w:rsid w:val="00EC79A2"/>
    <w:rsid w:val="00EC7A63"/>
    <w:rsid w:val="00EC7B3A"/>
    <w:rsid w:val="00EC7C22"/>
    <w:rsid w:val="00EC7DA7"/>
    <w:rsid w:val="00EC7F1C"/>
    <w:rsid w:val="00EC7FFC"/>
    <w:rsid w:val="00ED0122"/>
    <w:rsid w:val="00ED02C9"/>
    <w:rsid w:val="00ED02CE"/>
    <w:rsid w:val="00ED02D1"/>
    <w:rsid w:val="00ED02DF"/>
    <w:rsid w:val="00ED0406"/>
    <w:rsid w:val="00ED06D8"/>
    <w:rsid w:val="00ED0938"/>
    <w:rsid w:val="00ED0A4A"/>
    <w:rsid w:val="00ED0A7B"/>
    <w:rsid w:val="00ED0C4B"/>
    <w:rsid w:val="00ED0C99"/>
    <w:rsid w:val="00ED0E11"/>
    <w:rsid w:val="00ED0E32"/>
    <w:rsid w:val="00ED0F8D"/>
    <w:rsid w:val="00ED0FF9"/>
    <w:rsid w:val="00ED11DD"/>
    <w:rsid w:val="00ED12F6"/>
    <w:rsid w:val="00ED1544"/>
    <w:rsid w:val="00ED15DD"/>
    <w:rsid w:val="00ED1A3F"/>
    <w:rsid w:val="00ED1C30"/>
    <w:rsid w:val="00ED1D6D"/>
    <w:rsid w:val="00ED1D8A"/>
    <w:rsid w:val="00ED20AA"/>
    <w:rsid w:val="00ED2130"/>
    <w:rsid w:val="00ED216E"/>
    <w:rsid w:val="00ED23BC"/>
    <w:rsid w:val="00ED2596"/>
    <w:rsid w:val="00ED2597"/>
    <w:rsid w:val="00ED27F2"/>
    <w:rsid w:val="00ED2A69"/>
    <w:rsid w:val="00ED2C19"/>
    <w:rsid w:val="00ED2C5D"/>
    <w:rsid w:val="00ED2D1B"/>
    <w:rsid w:val="00ED2F13"/>
    <w:rsid w:val="00ED3150"/>
    <w:rsid w:val="00ED32C8"/>
    <w:rsid w:val="00ED33F2"/>
    <w:rsid w:val="00ED3588"/>
    <w:rsid w:val="00ED3666"/>
    <w:rsid w:val="00ED385F"/>
    <w:rsid w:val="00ED3998"/>
    <w:rsid w:val="00ED3A81"/>
    <w:rsid w:val="00ED3C23"/>
    <w:rsid w:val="00ED4034"/>
    <w:rsid w:val="00ED403E"/>
    <w:rsid w:val="00ED4416"/>
    <w:rsid w:val="00ED443C"/>
    <w:rsid w:val="00ED44AF"/>
    <w:rsid w:val="00ED47AE"/>
    <w:rsid w:val="00ED48A3"/>
    <w:rsid w:val="00ED48DF"/>
    <w:rsid w:val="00ED49BF"/>
    <w:rsid w:val="00ED4A0C"/>
    <w:rsid w:val="00ED4D6B"/>
    <w:rsid w:val="00ED4F39"/>
    <w:rsid w:val="00ED511C"/>
    <w:rsid w:val="00ED51A2"/>
    <w:rsid w:val="00ED522B"/>
    <w:rsid w:val="00ED564B"/>
    <w:rsid w:val="00ED5759"/>
    <w:rsid w:val="00ED57AD"/>
    <w:rsid w:val="00ED58B1"/>
    <w:rsid w:val="00ED5A77"/>
    <w:rsid w:val="00ED5DDF"/>
    <w:rsid w:val="00ED5F53"/>
    <w:rsid w:val="00ED5F71"/>
    <w:rsid w:val="00ED5FAF"/>
    <w:rsid w:val="00ED5FDE"/>
    <w:rsid w:val="00ED605A"/>
    <w:rsid w:val="00ED6513"/>
    <w:rsid w:val="00ED6934"/>
    <w:rsid w:val="00ED6A46"/>
    <w:rsid w:val="00ED6C01"/>
    <w:rsid w:val="00ED6C51"/>
    <w:rsid w:val="00ED6FDC"/>
    <w:rsid w:val="00ED7048"/>
    <w:rsid w:val="00ED7475"/>
    <w:rsid w:val="00ED7531"/>
    <w:rsid w:val="00ED7710"/>
    <w:rsid w:val="00ED772B"/>
    <w:rsid w:val="00ED7837"/>
    <w:rsid w:val="00ED7AE8"/>
    <w:rsid w:val="00ED7C51"/>
    <w:rsid w:val="00ED7C95"/>
    <w:rsid w:val="00ED7D33"/>
    <w:rsid w:val="00ED7E1B"/>
    <w:rsid w:val="00EE0746"/>
    <w:rsid w:val="00EE08E7"/>
    <w:rsid w:val="00EE0D4A"/>
    <w:rsid w:val="00EE0FBC"/>
    <w:rsid w:val="00EE1109"/>
    <w:rsid w:val="00EE12B6"/>
    <w:rsid w:val="00EE1515"/>
    <w:rsid w:val="00EE1BB5"/>
    <w:rsid w:val="00EE1C52"/>
    <w:rsid w:val="00EE1D8F"/>
    <w:rsid w:val="00EE2055"/>
    <w:rsid w:val="00EE21F4"/>
    <w:rsid w:val="00EE251A"/>
    <w:rsid w:val="00EE281E"/>
    <w:rsid w:val="00EE291E"/>
    <w:rsid w:val="00EE3120"/>
    <w:rsid w:val="00EE31C2"/>
    <w:rsid w:val="00EE3205"/>
    <w:rsid w:val="00EE3280"/>
    <w:rsid w:val="00EE342A"/>
    <w:rsid w:val="00EE3433"/>
    <w:rsid w:val="00EE343D"/>
    <w:rsid w:val="00EE3778"/>
    <w:rsid w:val="00EE3F2D"/>
    <w:rsid w:val="00EE420C"/>
    <w:rsid w:val="00EE4522"/>
    <w:rsid w:val="00EE45D6"/>
    <w:rsid w:val="00EE4A64"/>
    <w:rsid w:val="00EE4AE9"/>
    <w:rsid w:val="00EE4D92"/>
    <w:rsid w:val="00EE4DB7"/>
    <w:rsid w:val="00EE4DFF"/>
    <w:rsid w:val="00EE4F3D"/>
    <w:rsid w:val="00EE4F88"/>
    <w:rsid w:val="00EE5073"/>
    <w:rsid w:val="00EE511C"/>
    <w:rsid w:val="00EE5552"/>
    <w:rsid w:val="00EE5581"/>
    <w:rsid w:val="00EE5585"/>
    <w:rsid w:val="00EE55B6"/>
    <w:rsid w:val="00EE5684"/>
    <w:rsid w:val="00EE5848"/>
    <w:rsid w:val="00EE5A47"/>
    <w:rsid w:val="00EE5BA8"/>
    <w:rsid w:val="00EE5C96"/>
    <w:rsid w:val="00EE5D16"/>
    <w:rsid w:val="00EE5D52"/>
    <w:rsid w:val="00EE5F99"/>
    <w:rsid w:val="00EE638F"/>
    <w:rsid w:val="00EE6463"/>
    <w:rsid w:val="00EE697A"/>
    <w:rsid w:val="00EE6A30"/>
    <w:rsid w:val="00EE6A44"/>
    <w:rsid w:val="00EE6AC6"/>
    <w:rsid w:val="00EE6B30"/>
    <w:rsid w:val="00EE6FEB"/>
    <w:rsid w:val="00EE70E9"/>
    <w:rsid w:val="00EE727B"/>
    <w:rsid w:val="00EE74BA"/>
    <w:rsid w:val="00EE756C"/>
    <w:rsid w:val="00EE7AD3"/>
    <w:rsid w:val="00EE7B77"/>
    <w:rsid w:val="00EE7DC2"/>
    <w:rsid w:val="00EEDB07"/>
    <w:rsid w:val="00EF012E"/>
    <w:rsid w:val="00EF0161"/>
    <w:rsid w:val="00EF019D"/>
    <w:rsid w:val="00EF0439"/>
    <w:rsid w:val="00EF04E7"/>
    <w:rsid w:val="00EF06FD"/>
    <w:rsid w:val="00EF0A09"/>
    <w:rsid w:val="00EF0A60"/>
    <w:rsid w:val="00EF0B1D"/>
    <w:rsid w:val="00EF0C2C"/>
    <w:rsid w:val="00EF0C70"/>
    <w:rsid w:val="00EF0D2A"/>
    <w:rsid w:val="00EF0F03"/>
    <w:rsid w:val="00EF144B"/>
    <w:rsid w:val="00EF161A"/>
    <w:rsid w:val="00EF1791"/>
    <w:rsid w:val="00EF18B6"/>
    <w:rsid w:val="00EF1967"/>
    <w:rsid w:val="00EF1D80"/>
    <w:rsid w:val="00EF1E02"/>
    <w:rsid w:val="00EF1E3F"/>
    <w:rsid w:val="00EF1E7C"/>
    <w:rsid w:val="00EF1FD0"/>
    <w:rsid w:val="00EF20D1"/>
    <w:rsid w:val="00EF2224"/>
    <w:rsid w:val="00EF23EF"/>
    <w:rsid w:val="00EF25D1"/>
    <w:rsid w:val="00EF2850"/>
    <w:rsid w:val="00EF2A95"/>
    <w:rsid w:val="00EF2BE7"/>
    <w:rsid w:val="00EF2C64"/>
    <w:rsid w:val="00EF3060"/>
    <w:rsid w:val="00EF32F6"/>
    <w:rsid w:val="00EF34E8"/>
    <w:rsid w:val="00EF35AF"/>
    <w:rsid w:val="00EF41D0"/>
    <w:rsid w:val="00EF41E8"/>
    <w:rsid w:val="00EF41EB"/>
    <w:rsid w:val="00EF421D"/>
    <w:rsid w:val="00EF44E5"/>
    <w:rsid w:val="00EF46C3"/>
    <w:rsid w:val="00EF480A"/>
    <w:rsid w:val="00EF4916"/>
    <w:rsid w:val="00EF4B4D"/>
    <w:rsid w:val="00EF4DA2"/>
    <w:rsid w:val="00EF4DC6"/>
    <w:rsid w:val="00EF4E50"/>
    <w:rsid w:val="00EF5088"/>
    <w:rsid w:val="00EF5183"/>
    <w:rsid w:val="00EF51D0"/>
    <w:rsid w:val="00EF536B"/>
    <w:rsid w:val="00EF5726"/>
    <w:rsid w:val="00EF5822"/>
    <w:rsid w:val="00EF5A62"/>
    <w:rsid w:val="00EF5B2A"/>
    <w:rsid w:val="00EF607E"/>
    <w:rsid w:val="00EF6459"/>
    <w:rsid w:val="00EF6B31"/>
    <w:rsid w:val="00EF6B9F"/>
    <w:rsid w:val="00EF6CC1"/>
    <w:rsid w:val="00EF6DD5"/>
    <w:rsid w:val="00EF7437"/>
    <w:rsid w:val="00EF747C"/>
    <w:rsid w:val="00EF7976"/>
    <w:rsid w:val="00EF7C16"/>
    <w:rsid w:val="00EF7D1C"/>
    <w:rsid w:val="00EF7DD2"/>
    <w:rsid w:val="00EF7EED"/>
    <w:rsid w:val="00EF7F71"/>
    <w:rsid w:val="00F0010E"/>
    <w:rsid w:val="00F00172"/>
    <w:rsid w:val="00F0045F"/>
    <w:rsid w:val="00F005AB"/>
    <w:rsid w:val="00F005FE"/>
    <w:rsid w:val="00F00771"/>
    <w:rsid w:val="00F00AE2"/>
    <w:rsid w:val="00F00B96"/>
    <w:rsid w:val="00F00DBF"/>
    <w:rsid w:val="00F00E9A"/>
    <w:rsid w:val="00F00F67"/>
    <w:rsid w:val="00F013FF"/>
    <w:rsid w:val="00F0149D"/>
    <w:rsid w:val="00F014D7"/>
    <w:rsid w:val="00F016B3"/>
    <w:rsid w:val="00F01792"/>
    <w:rsid w:val="00F01801"/>
    <w:rsid w:val="00F01B3E"/>
    <w:rsid w:val="00F01F58"/>
    <w:rsid w:val="00F01FCC"/>
    <w:rsid w:val="00F02026"/>
    <w:rsid w:val="00F0220C"/>
    <w:rsid w:val="00F0238F"/>
    <w:rsid w:val="00F026EB"/>
    <w:rsid w:val="00F0292D"/>
    <w:rsid w:val="00F029E8"/>
    <w:rsid w:val="00F02A2C"/>
    <w:rsid w:val="00F02AF0"/>
    <w:rsid w:val="00F02B38"/>
    <w:rsid w:val="00F02BEA"/>
    <w:rsid w:val="00F02D60"/>
    <w:rsid w:val="00F02E55"/>
    <w:rsid w:val="00F03176"/>
    <w:rsid w:val="00F03483"/>
    <w:rsid w:val="00F03632"/>
    <w:rsid w:val="00F037BD"/>
    <w:rsid w:val="00F0391B"/>
    <w:rsid w:val="00F03B9F"/>
    <w:rsid w:val="00F03C71"/>
    <w:rsid w:val="00F03C85"/>
    <w:rsid w:val="00F03EE9"/>
    <w:rsid w:val="00F03F0F"/>
    <w:rsid w:val="00F03FB2"/>
    <w:rsid w:val="00F04091"/>
    <w:rsid w:val="00F0427B"/>
    <w:rsid w:val="00F043B3"/>
    <w:rsid w:val="00F0440C"/>
    <w:rsid w:val="00F046D5"/>
    <w:rsid w:val="00F047DE"/>
    <w:rsid w:val="00F04903"/>
    <w:rsid w:val="00F04928"/>
    <w:rsid w:val="00F04D60"/>
    <w:rsid w:val="00F04E7E"/>
    <w:rsid w:val="00F04E95"/>
    <w:rsid w:val="00F05022"/>
    <w:rsid w:val="00F05168"/>
    <w:rsid w:val="00F051F2"/>
    <w:rsid w:val="00F05372"/>
    <w:rsid w:val="00F057EE"/>
    <w:rsid w:val="00F05929"/>
    <w:rsid w:val="00F0598C"/>
    <w:rsid w:val="00F05A70"/>
    <w:rsid w:val="00F05D20"/>
    <w:rsid w:val="00F05D94"/>
    <w:rsid w:val="00F05DD4"/>
    <w:rsid w:val="00F05F1A"/>
    <w:rsid w:val="00F05F67"/>
    <w:rsid w:val="00F06020"/>
    <w:rsid w:val="00F06174"/>
    <w:rsid w:val="00F0646F"/>
    <w:rsid w:val="00F065CD"/>
    <w:rsid w:val="00F0698D"/>
    <w:rsid w:val="00F06E9E"/>
    <w:rsid w:val="00F06EE1"/>
    <w:rsid w:val="00F0701C"/>
    <w:rsid w:val="00F0742B"/>
    <w:rsid w:val="00F07601"/>
    <w:rsid w:val="00F07731"/>
    <w:rsid w:val="00F079E3"/>
    <w:rsid w:val="00F07ADA"/>
    <w:rsid w:val="00F07B73"/>
    <w:rsid w:val="00F07E66"/>
    <w:rsid w:val="00F100C5"/>
    <w:rsid w:val="00F10202"/>
    <w:rsid w:val="00F105C1"/>
    <w:rsid w:val="00F10AE4"/>
    <w:rsid w:val="00F10AE7"/>
    <w:rsid w:val="00F10D25"/>
    <w:rsid w:val="00F10D7D"/>
    <w:rsid w:val="00F10E54"/>
    <w:rsid w:val="00F10F0D"/>
    <w:rsid w:val="00F10F1F"/>
    <w:rsid w:val="00F1143E"/>
    <w:rsid w:val="00F11521"/>
    <w:rsid w:val="00F115BE"/>
    <w:rsid w:val="00F116C1"/>
    <w:rsid w:val="00F11B18"/>
    <w:rsid w:val="00F11B93"/>
    <w:rsid w:val="00F11BDF"/>
    <w:rsid w:val="00F121D3"/>
    <w:rsid w:val="00F12360"/>
    <w:rsid w:val="00F12453"/>
    <w:rsid w:val="00F126F8"/>
    <w:rsid w:val="00F12784"/>
    <w:rsid w:val="00F12914"/>
    <w:rsid w:val="00F12AE3"/>
    <w:rsid w:val="00F12BB9"/>
    <w:rsid w:val="00F12DF5"/>
    <w:rsid w:val="00F12E0C"/>
    <w:rsid w:val="00F12E17"/>
    <w:rsid w:val="00F12ECF"/>
    <w:rsid w:val="00F13063"/>
    <w:rsid w:val="00F133C7"/>
    <w:rsid w:val="00F13409"/>
    <w:rsid w:val="00F1377D"/>
    <w:rsid w:val="00F13860"/>
    <w:rsid w:val="00F13A27"/>
    <w:rsid w:val="00F13E84"/>
    <w:rsid w:val="00F13F37"/>
    <w:rsid w:val="00F1409D"/>
    <w:rsid w:val="00F140CF"/>
    <w:rsid w:val="00F140F7"/>
    <w:rsid w:val="00F1417C"/>
    <w:rsid w:val="00F14256"/>
    <w:rsid w:val="00F14422"/>
    <w:rsid w:val="00F146C9"/>
    <w:rsid w:val="00F1477E"/>
    <w:rsid w:val="00F14CC5"/>
    <w:rsid w:val="00F14DE1"/>
    <w:rsid w:val="00F14E62"/>
    <w:rsid w:val="00F15018"/>
    <w:rsid w:val="00F15126"/>
    <w:rsid w:val="00F15145"/>
    <w:rsid w:val="00F1523D"/>
    <w:rsid w:val="00F15634"/>
    <w:rsid w:val="00F1585D"/>
    <w:rsid w:val="00F1590C"/>
    <w:rsid w:val="00F15913"/>
    <w:rsid w:val="00F15BA0"/>
    <w:rsid w:val="00F15C04"/>
    <w:rsid w:val="00F15F49"/>
    <w:rsid w:val="00F16012"/>
    <w:rsid w:val="00F16199"/>
    <w:rsid w:val="00F1631F"/>
    <w:rsid w:val="00F163A1"/>
    <w:rsid w:val="00F167BB"/>
    <w:rsid w:val="00F1684E"/>
    <w:rsid w:val="00F169E8"/>
    <w:rsid w:val="00F16A67"/>
    <w:rsid w:val="00F16E0B"/>
    <w:rsid w:val="00F16EFC"/>
    <w:rsid w:val="00F16F8B"/>
    <w:rsid w:val="00F17001"/>
    <w:rsid w:val="00F171E6"/>
    <w:rsid w:val="00F17210"/>
    <w:rsid w:val="00F174E4"/>
    <w:rsid w:val="00F176F5"/>
    <w:rsid w:val="00F1774A"/>
    <w:rsid w:val="00F1775A"/>
    <w:rsid w:val="00F1797F"/>
    <w:rsid w:val="00F17DC5"/>
    <w:rsid w:val="00F17FC1"/>
    <w:rsid w:val="00F1F2AA"/>
    <w:rsid w:val="00F2044A"/>
    <w:rsid w:val="00F204DF"/>
    <w:rsid w:val="00F20A5C"/>
    <w:rsid w:val="00F20D20"/>
    <w:rsid w:val="00F21025"/>
    <w:rsid w:val="00F21281"/>
    <w:rsid w:val="00F212AD"/>
    <w:rsid w:val="00F213E6"/>
    <w:rsid w:val="00F21B98"/>
    <w:rsid w:val="00F22021"/>
    <w:rsid w:val="00F222AC"/>
    <w:rsid w:val="00F224D1"/>
    <w:rsid w:val="00F2261F"/>
    <w:rsid w:val="00F22659"/>
    <w:rsid w:val="00F22863"/>
    <w:rsid w:val="00F22A28"/>
    <w:rsid w:val="00F22C9A"/>
    <w:rsid w:val="00F22EB6"/>
    <w:rsid w:val="00F2315A"/>
    <w:rsid w:val="00F23181"/>
    <w:rsid w:val="00F231FD"/>
    <w:rsid w:val="00F2325E"/>
    <w:rsid w:val="00F23456"/>
    <w:rsid w:val="00F23698"/>
    <w:rsid w:val="00F237BD"/>
    <w:rsid w:val="00F23972"/>
    <w:rsid w:val="00F23A77"/>
    <w:rsid w:val="00F23AE8"/>
    <w:rsid w:val="00F23BA0"/>
    <w:rsid w:val="00F24120"/>
    <w:rsid w:val="00F241FA"/>
    <w:rsid w:val="00F243F1"/>
    <w:rsid w:val="00F2446F"/>
    <w:rsid w:val="00F24712"/>
    <w:rsid w:val="00F24A77"/>
    <w:rsid w:val="00F24FA6"/>
    <w:rsid w:val="00F251C9"/>
    <w:rsid w:val="00F2524D"/>
    <w:rsid w:val="00F2531D"/>
    <w:rsid w:val="00F25353"/>
    <w:rsid w:val="00F2535E"/>
    <w:rsid w:val="00F254D2"/>
    <w:rsid w:val="00F257BA"/>
    <w:rsid w:val="00F25838"/>
    <w:rsid w:val="00F258AE"/>
    <w:rsid w:val="00F25978"/>
    <w:rsid w:val="00F25A43"/>
    <w:rsid w:val="00F25ABA"/>
    <w:rsid w:val="00F25CFB"/>
    <w:rsid w:val="00F26250"/>
    <w:rsid w:val="00F263DD"/>
    <w:rsid w:val="00F267C5"/>
    <w:rsid w:val="00F26910"/>
    <w:rsid w:val="00F26926"/>
    <w:rsid w:val="00F269F6"/>
    <w:rsid w:val="00F26A2A"/>
    <w:rsid w:val="00F26CB0"/>
    <w:rsid w:val="00F2702E"/>
    <w:rsid w:val="00F272D0"/>
    <w:rsid w:val="00F27359"/>
    <w:rsid w:val="00F2746A"/>
    <w:rsid w:val="00F274FC"/>
    <w:rsid w:val="00F27666"/>
    <w:rsid w:val="00F277FC"/>
    <w:rsid w:val="00F27B03"/>
    <w:rsid w:val="00F27B28"/>
    <w:rsid w:val="00F27C87"/>
    <w:rsid w:val="00F27D2E"/>
    <w:rsid w:val="00F27EED"/>
    <w:rsid w:val="00F2D7D6"/>
    <w:rsid w:val="00F300AF"/>
    <w:rsid w:val="00F30155"/>
    <w:rsid w:val="00F303F9"/>
    <w:rsid w:val="00F30477"/>
    <w:rsid w:val="00F306F8"/>
    <w:rsid w:val="00F3079E"/>
    <w:rsid w:val="00F308F2"/>
    <w:rsid w:val="00F3095B"/>
    <w:rsid w:val="00F30D57"/>
    <w:rsid w:val="00F30F3E"/>
    <w:rsid w:val="00F313BD"/>
    <w:rsid w:val="00F3185C"/>
    <w:rsid w:val="00F318B7"/>
    <w:rsid w:val="00F31ACD"/>
    <w:rsid w:val="00F31C68"/>
    <w:rsid w:val="00F320F3"/>
    <w:rsid w:val="00F326A8"/>
    <w:rsid w:val="00F32765"/>
    <w:rsid w:val="00F327AC"/>
    <w:rsid w:val="00F329A7"/>
    <w:rsid w:val="00F32A8D"/>
    <w:rsid w:val="00F32E4E"/>
    <w:rsid w:val="00F330A7"/>
    <w:rsid w:val="00F33198"/>
    <w:rsid w:val="00F33402"/>
    <w:rsid w:val="00F3341F"/>
    <w:rsid w:val="00F3356C"/>
    <w:rsid w:val="00F338B2"/>
    <w:rsid w:val="00F33A8A"/>
    <w:rsid w:val="00F33C8F"/>
    <w:rsid w:val="00F33E38"/>
    <w:rsid w:val="00F33E3D"/>
    <w:rsid w:val="00F340C3"/>
    <w:rsid w:val="00F341F1"/>
    <w:rsid w:val="00F3420B"/>
    <w:rsid w:val="00F34572"/>
    <w:rsid w:val="00F3473B"/>
    <w:rsid w:val="00F348CD"/>
    <w:rsid w:val="00F34960"/>
    <w:rsid w:val="00F34D0A"/>
    <w:rsid w:val="00F34E21"/>
    <w:rsid w:val="00F35208"/>
    <w:rsid w:val="00F3534C"/>
    <w:rsid w:val="00F3540A"/>
    <w:rsid w:val="00F35430"/>
    <w:rsid w:val="00F3568E"/>
    <w:rsid w:val="00F359A5"/>
    <w:rsid w:val="00F35E20"/>
    <w:rsid w:val="00F360DC"/>
    <w:rsid w:val="00F362AC"/>
    <w:rsid w:val="00F3681D"/>
    <w:rsid w:val="00F36AC9"/>
    <w:rsid w:val="00F36AE7"/>
    <w:rsid w:val="00F36B2B"/>
    <w:rsid w:val="00F36B65"/>
    <w:rsid w:val="00F36C27"/>
    <w:rsid w:val="00F370D8"/>
    <w:rsid w:val="00F375FB"/>
    <w:rsid w:val="00F37827"/>
    <w:rsid w:val="00F37890"/>
    <w:rsid w:val="00F37B82"/>
    <w:rsid w:val="00F37D75"/>
    <w:rsid w:val="00F37E0B"/>
    <w:rsid w:val="00F37E76"/>
    <w:rsid w:val="00F37F57"/>
    <w:rsid w:val="00F40023"/>
    <w:rsid w:val="00F40094"/>
    <w:rsid w:val="00F403E8"/>
    <w:rsid w:val="00F40522"/>
    <w:rsid w:val="00F40874"/>
    <w:rsid w:val="00F408D5"/>
    <w:rsid w:val="00F40933"/>
    <w:rsid w:val="00F409CF"/>
    <w:rsid w:val="00F40A34"/>
    <w:rsid w:val="00F40AC1"/>
    <w:rsid w:val="00F40B66"/>
    <w:rsid w:val="00F40BE3"/>
    <w:rsid w:val="00F40EDB"/>
    <w:rsid w:val="00F41027"/>
    <w:rsid w:val="00F41042"/>
    <w:rsid w:val="00F41054"/>
    <w:rsid w:val="00F413C3"/>
    <w:rsid w:val="00F414A6"/>
    <w:rsid w:val="00F41647"/>
    <w:rsid w:val="00F41994"/>
    <w:rsid w:val="00F41A48"/>
    <w:rsid w:val="00F41AE4"/>
    <w:rsid w:val="00F41B10"/>
    <w:rsid w:val="00F41B7C"/>
    <w:rsid w:val="00F41ECC"/>
    <w:rsid w:val="00F41F0F"/>
    <w:rsid w:val="00F420E7"/>
    <w:rsid w:val="00F4224B"/>
    <w:rsid w:val="00F42483"/>
    <w:rsid w:val="00F42644"/>
    <w:rsid w:val="00F42A26"/>
    <w:rsid w:val="00F42C8A"/>
    <w:rsid w:val="00F42C9E"/>
    <w:rsid w:val="00F42F0B"/>
    <w:rsid w:val="00F43072"/>
    <w:rsid w:val="00F43163"/>
    <w:rsid w:val="00F43389"/>
    <w:rsid w:val="00F4374C"/>
    <w:rsid w:val="00F438DF"/>
    <w:rsid w:val="00F43B58"/>
    <w:rsid w:val="00F44096"/>
    <w:rsid w:val="00F4411C"/>
    <w:rsid w:val="00F4454F"/>
    <w:rsid w:val="00F447D8"/>
    <w:rsid w:val="00F44948"/>
    <w:rsid w:val="00F449D0"/>
    <w:rsid w:val="00F44A66"/>
    <w:rsid w:val="00F44DE5"/>
    <w:rsid w:val="00F45021"/>
    <w:rsid w:val="00F45052"/>
    <w:rsid w:val="00F451AE"/>
    <w:rsid w:val="00F45398"/>
    <w:rsid w:val="00F45D54"/>
    <w:rsid w:val="00F45E1F"/>
    <w:rsid w:val="00F45FF7"/>
    <w:rsid w:val="00F46123"/>
    <w:rsid w:val="00F461BE"/>
    <w:rsid w:val="00F4640A"/>
    <w:rsid w:val="00F46908"/>
    <w:rsid w:val="00F4697A"/>
    <w:rsid w:val="00F46B88"/>
    <w:rsid w:val="00F46D00"/>
    <w:rsid w:val="00F46DC9"/>
    <w:rsid w:val="00F4712E"/>
    <w:rsid w:val="00F4723B"/>
    <w:rsid w:val="00F47390"/>
    <w:rsid w:val="00F473E2"/>
    <w:rsid w:val="00F47693"/>
    <w:rsid w:val="00F476E3"/>
    <w:rsid w:val="00F47A2F"/>
    <w:rsid w:val="00F47C1E"/>
    <w:rsid w:val="00F47C96"/>
    <w:rsid w:val="00F47E8D"/>
    <w:rsid w:val="00F47FC8"/>
    <w:rsid w:val="00F50128"/>
    <w:rsid w:val="00F50384"/>
    <w:rsid w:val="00F5059D"/>
    <w:rsid w:val="00F5092D"/>
    <w:rsid w:val="00F509F1"/>
    <w:rsid w:val="00F50ABE"/>
    <w:rsid w:val="00F50B5D"/>
    <w:rsid w:val="00F50B82"/>
    <w:rsid w:val="00F50C3A"/>
    <w:rsid w:val="00F50D35"/>
    <w:rsid w:val="00F50D99"/>
    <w:rsid w:val="00F510CB"/>
    <w:rsid w:val="00F5147B"/>
    <w:rsid w:val="00F51823"/>
    <w:rsid w:val="00F519CF"/>
    <w:rsid w:val="00F51BE1"/>
    <w:rsid w:val="00F51D9F"/>
    <w:rsid w:val="00F51F5A"/>
    <w:rsid w:val="00F52104"/>
    <w:rsid w:val="00F527D3"/>
    <w:rsid w:val="00F529B5"/>
    <w:rsid w:val="00F52B78"/>
    <w:rsid w:val="00F52C0B"/>
    <w:rsid w:val="00F52EDC"/>
    <w:rsid w:val="00F52FF6"/>
    <w:rsid w:val="00F53349"/>
    <w:rsid w:val="00F53359"/>
    <w:rsid w:val="00F5384C"/>
    <w:rsid w:val="00F53851"/>
    <w:rsid w:val="00F53877"/>
    <w:rsid w:val="00F53A4C"/>
    <w:rsid w:val="00F53CC0"/>
    <w:rsid w:val="00F53D21"/>
    <w:rsid w:val="00F544C6"/>
    <w:rsid w:val="00F54550"/>
    <w:rsid w:val="00F54663"/>
    <w:rsid w:val="00F5479C"/>
    <w:rsid w:val="00F54D13"/>
    <w:rsid w:val="00F54D54"/>
    <w:rsid w:val="00F54D7A"/>
    <w:rsid w:val="00F54E1B"/>
    <w:rsid w:val="00F559C4"/>
    <w:rsid w:val="00F55A70"/>
    <w:rsid w:val="00F55A73"/>
    <w:rsid w:val="00F55E4B"/>
    <w:rsid w:val="00F560F1"/>
    <w:rsid w:val="00F561B0"/>
    <w:rsid w:val="00F562D7"/>
    <w:rsid w:val="00F5640A"/>
    <w:rsid w:val="00F568D2"/>
    <w:rsid w:val="00F5692A"/>
    <w:rsid w:val="00F56938"/>
    <w:rsid w:val="00F56C42"/>
    <w:rsid w:val="00F5714D"/>
    <w:rsid w:val="00F572F4"/>
    <w:rsid w:val="00F57605"/>
    <w:rsid w:val="00F576C2"/>
    <w:rsid w:val="00F57807"/>
    <w:rsid w:val="00F578C6"/>
    <w:rsid w:val="00F5798E"/>
    <w:rsid w:val="00F579A6"/>
    <w:rsid w:val="00F60218"/>
    <w:rsid w:val="00F60261"/>
    <w:rsid w:val="00F6038B"/>
    <w:rsid w:val="00F60465"/>
    <w:rsid w:val="00F6046E"/>
    <w:rsid w:val="00F6062D"/>
    <w:rsid w:val="00F609E1"/>
    <w:rsid w:val="00F60A5A"/>
    <w:rsid w:val="00F611E7"/>
    <w:rsid w:val="00F6128E"/>
    <w:rsid w:val="00F6139B"/>
    <w:rsid w:val="00F615CF"/>
    <w:rsid w:val="00F61729"/>
    <w:rsid w:val="00F617C2"/>
    <w:rsid w:val="00F617C5"/>
    <w:rsid w:val="00F61C14"/>
    <w:rsid w:val="00F61D44"/>
    <w:rsid w:val="00F624FD"/>
    <w:rsid w:val="00F62604"/>
    <w:rsid w:val="00F626E6"/>
    <w:rsid w:val="00F62765"/>
    <w:rsid w:val="00F6284E"/>
    <w:rsid w:val="00F6290A"/>
    <w:rsid w:val="00F62967"/>
    <w:rsid w:val="00F629CF"/>
    <w:rsid w:val="00F62C66"/>
    <w:rsid w:val="00F6314A"/>
    <w:rsid w:val="00F63848"/>
    <w:rsid w:val="00F639D3"/>
    <w:rsid w:val="00F63A59"/>
    <w:rsid w:val="00F63A93"/>
    <w:rsid w:val="00F63AD3"/>
    <w:rsid w:val="00F63D9E"/>
    <w:rsid w:val="00F63E11"/>
    <w:rsid w:val="00F6402C"/>
    <w:rsid w:val="00F642F6"/>
    <w:rsid w:val="00F6438D"/>
    <w:rsid w:val="00F6456E"/>
    <w:rsid w:val="00F64670"/>
    <w:rsid w:val="00F64BE8"/>
    <w:rsid w:val="00F64BF5"/>
    <w:rsid w:val="00F64E70"/>
    <w:rsid w:val="00F65080"/>
    <w:rsid w:val="00F65166"/>
    <w:rsid w:val="00F65287"/>
    <w:rsid w:val="00F6541A"/>
    <w:rsid w:val="00F65464"/>
    <w:rsid w:val="00F655EC"/>
    <w:rsid w:val="00F655FF"/>
    <w:rsid w:val="00F65621"/>
    <w:rsid w:val="00F65645"/>
    <w:rsid w:val="00F656E9"/>
    <w:rsid w:val="00F65926"/>
    <w:rsid w:val="00F6593F"/>
    <w:rsid w:val="00F65AA3"/>
    <w:rsid w:val="00F65D93"/>
    <w:rsid w:val="00F6604E"/>
    <w:rsid w:val="00F66057"/>
    <w:rsid w:val="00F6610D"/>
    <w:rsid w:val="00F66427"/>
    <w:rsid w:val="00F66468"/>
    <w:rsid w:val="00F665A6"/>
    <w:rsid w:val="00F665D0"/>
    <w:rsid w:val="00F6662A"/>
    <w:rsid w:val="00F6663E"/>
    <w:rsid w:val="00F66719"/>
    <w:rsid w:val="00F668E2"/>
    <w:rsid w:val="00F669FF"/>
    <w:rsid w:val="00F66AA4"/>
    <w:rsid w:val="00F66B40"/>
    <w:rsid w:val="00F66BE8"/>
    <w:rsid w:val="00F66D10"/>
    <w:rsid w:val="00F66E10"/>
    <w:rsid w:val="00F66E8F"/>
    <w:rsid w:val="00F66F12"/>
    <w:rsid w:val="00F67024"/>
    <w:rsid w:val="00F670A2"/>
    <w:rsid w:val="00F67358"/>
    <w:rsid w:val="00F6739B"/>
    <w:rsid w:val="00F674EC"/>
    <w:rsid w:val="00F6758A"/>
    <w:rsid w:val="00F6762E"/>
    <w:rsid w:val="00F679E0"/>
    <w:rsid w:val="00F67A52"/>
    <w:rsid w:val="00F67D27"/>
    <w:rsid w:val="00F67DE5"/>
    <w:rsid w:val="00F6A686"/>
    <w:rsid w:val="00F70515"/>
    <w:rsid w:val="00F70661"/>
    <w:rsid w:val="00F70669"/>
    <w:rsid w:val="00F7094E"/>
    <w:rsid w:val="00F70AA6"/>
    <w:rsid w:val="00F70CCB"/>
    <w:rsid w:val="00F7105F"/>
    <w:rsid w:val="00F71129"/>
    <w:rsid w:val="00F711ED"/>
    <w:rsid w:val="00F711EF"/>
    <w:rsid w:val="00F71213"/>
    <w:rsid w:val="00F715E3"/>
    <w:rsid w:val="00F716CB"/>
    <w:rsid w:val="00F71879"/>
    <w:rsid w:val="00F718F3"/>
    <w:rsid w:val="00F71A00"/>
    <w:rsid w:val="00F71C4F"/>
    <w:rsid w:val="00F71D2C"/>
    <w:rsid w:val="00F71F3C"/>
    <w:rsid w:val="00F72138"/>
    <w:rsid w:val="00F7214A"/>
    <w:rsid w:val="00F72214"/>
    <w:rsid w:val="00F7255A"/>
    <w:rsid w:val="00F727B6"/>
    <w:rsid w:val="00F72903"/>
    <w:rsid w:val="00F72BF0"/>
    <w:rsid w:val="00F72D92"/>
    <w:rsid w:val="00F72E7C"/>
    <w:rsid w:val="00F72E8B"/>
    <w:rsid w:val="00F72EE3"/>
    <w:rsid w:val="00F72FA0"/>
    <w:rsid w:val="00F73149"/>
    <w:rsid w:val="00F732EE"/>
    <w:rsid w:val="00F7368F"/>
    <w:rsid w:val="00F73723"/>
    <w:rsid w:val="00F738F7"/>
    <w:rsid w:val="00F7392B"/>
    <w:rsid w:val="00F73AD5"/>
    <w:rsid w:val="00F73EE2"/>
    <w:rsid w:val="00F7404A"/>
    <w:rsid w:val="00F74191"/>
    <w:rsid w:val="00F743D1"/>
    <w:rsid w:val="00F7455F"/>
    <w:rsid w:val="00F7487E"/>
    <w:rsid w:val="00F7490F"/>
    <w:rsid w:val="00F74FDA"/>
    <w:rsid w:val="00F751C9"/>
    <w:rsid w:val="00F751CD"/>
    <w:rsid w:val="00F756D8"/>
    <w:rsid w:val="00F7597B"/>
    <w:rsid w:val="00F759B9"/>
    <w:rsid w:val="00F75AAE"/>
    <w:rsid w:val="00F75F92"/>
    <w:rsid w:val="00F75FDB"/>
    <w:rsid w:val="00F7617F"/>
    <w:rsid w:val="00F762F8"/>
    <w:rsid w:val="00F7634F"/>
    <w:rsid w:val="00F7636B"/>
    <w:rsid w:val="00F764D3"/>
    <w:rsid w:val="00F76592"/>
    <w:rsid w:val="00F765A1"/>
    <w:rsid w:val="00F76650"/>
    <w:rsid w:val="00F766CA"/>
    <w:rsid w:val="00F76A03"/>
    <w:rsid w:val="00F76BB0"/>
    <w:rsid w:val="00F76E22"/>
    <w:rsid w:val="00F774AB"/>
    <w:rsid w:val="00F776AB"/>
    <w:rsid w:val="00F776C4"/>
    <w:rsid w:val="00F77A37"/>
    <w:rsid w:val="00F8031C"/>
    <w:rsid w:val="00F80466"/>
    <w:rsid w:val="00F80737"/>
    <w:rsid w:val="00F80888"/>
    <w:rsid w:val="00F80A32"/>
    <w:rsid w:val="00F81244"/>
    <w:rsid w:val="00F813E5"/>
    <w:rsid w:val="00F8146D"/>
    <w:rsid w:val="00F81752"/>
    <w:rsid w:val="00F81A38"/>
    <w:rsid w:val="00F81C14"/>
    <w:rsid w:val="00F81E29"/>
    <w:rsid w:val="00F81E7C"/>
    <w:rsid w:val="00F82020"/>
    <w:rsid w:val="00F82028"/>
    <w:rsid w:val="00F821E2"/>
    <w:rsid w:val="00F82214"/>
    <w:rsid w:val="00F82226"/>
    <w:rsid w:val="00F822B1"/>
    <w:rsid w:val="00F822F3"/>
    <w:rsid w:val="00F8259B"/>
    <w:rsid w:val="00F82691"/>
    <w:rsid w:val="00F8279B"/>
    <w:rsid w:val="00F82963"/>
    <w:rsid w:val="00F8296B"/>
    <w:rsid w:val="00F82A16"/>
    <w:rsid w:val="00F82AE3"/>
    <w:rsid w:val="00F82B1A"/>
    <w:rsid w:val="00F82B31"/>
    <w:rsid w:val="00F82BD7"/>
    <w:rsid w:val="00F82F5A"/>
    <w:rsid w:val="00F83117"/>
    <w:rsid w:val="00F83298"/>
    <w:rsid w:val="00F834DE"/>
    <w:rsid w:val="00F83701"/>
    <w:rsid w:val="00F83A11"/>
    <w:rsid w:val="00F83DA5"/>
    <w:rsid w:val="00F83FB6"/>
    <w:rsid w:val="00F83FD5"/>
    <w:rsid w:val="00F840D4"/>
    <w:rsid w:val="00F8425B"/>
    <w:rsid w:val="00F843CF"/>
    <w:rsid w:val="00F84408"/>
    <w:rsid w:val="00F8468A"/>
    <w:rsid w:val="00F8492F"/>
    <w:rsid w:val="00F84EEB"/>
    <w:rsid w:val="00F8514E"/>
    <w:rsid w:val="00F85246"/>
    <w:rsid w:val="00F856A9"/>
    <w:rsid w:val="00F85872"/>
    <w:rsid w:val="00F858B4"/>
    <w:rsid w:val="00F85A4C"/>
    <w:rsid w:val="00F85AC1"/>
    <w:rsid w:val="00F85B13"/>
    <w:rsid w:val="00F85F38"/>
    <w:rsid w:val="00F86396"/>
    <w:rsid w:val="00F864AC"/>
    <w:rsid w:val="00F865C2"/>
    <w:rsid w:val="00F86669"/>
    <w:rsid w:val="00F86DE4"/>
    <w:rsid w:val="00F86EB7"/>
    <w:rsid w:val="00F86F97"/>
    <w:rsid w:val="00F86FE4"/>
    <w:rsid w:val="00F87077"/>
    <w:rsid w:val="00F87510"/>
    <w:rsid w:val="00F87566"/>
    <w:rsid w:val="00F8758D"/>
    <w:rsid w:val="00F876DC"/>
    <w:rsid w:val="00F877FE"/>
    <w:rsid w:val="00F8783E"/>
    <w:rsid w:val="00F87C3C"/>
    <w:rsid w:val="00F87E35"/>
    <w:rsid w:val="00F87FA5"/>
    <w:rsid w:val="00F900BE"/>
    <w:rsid w:val="00F90688"/>
    <w:rsid w:val="00F90819"/>
    <w:rsid w:val="00F90C15"/>
    <w:rsid w:val="00F90C40"/>
    <w:rsid w:val="00F90D39"/>
    <w:rsid w:val="00F90D44"/>
    <w:rsid w:val="00F90DF7"/>
    <w:rsid w:val="00F9163A"/>
    <w:rsid w:val="00F918E9"/>
    <w:rsid w:val="00F9190D"/>
    <w:rsid w:val="00F91A98"/>
    <w:rsid w:val="00F91AFF"/>
    <w:rsid w:val="00F91C76"/>
    <w:rsid w:val="00F91DCB"/>
    <w:rsid w:val="00F9207C"/>
    <w:rsid w:val="00F92B61"/>
    <w:rsid w:val="00F92B6F"/>
    <w:rsid w:val="00F92E89"/>
    <w:rsid w:val="00F93045"/>
    <w:rsid w:val="00F9334F"/>
    <w:rsid w:val="00F93420"/>
    <w:rsid w:val="00F9369F"/>
    <w:rsid w:val="00F9374F"/>
    <w:rsid w:val="00F9378C"/>
    <w:rsid w:val="00F93824"/>
    <w:rsid w:val="00F93983"/>
    <w:rsid w:val="00F93CF4"/>
    <w:rsid w:val="00F93DCD"/>
    <w:rsid w:val="00F93ECA"/>
    <w:rsid w:val="00F94163"/>
    <w:rsid w:val="00F94245"/>
    <w:rsid w:val="00F942D5"/>
    <w:rsid w:val="00F944F9"/>
    <w:rsid w:val="00F9460E"/>
    <w:rsid w:val="00F947ED"/>
    <w:rsid w:val="00F94838"/>
    <w:rsid w:val="00F94B12"/>
    <w:rsid w:val="00F94B8D"/>
    <w:rsid w:val="00F94BCD"/>
    <w:rsid w:val="00F95178"/>
    <w:rsid w:val="00F952E1"/>
    <w:rsid w:val="00F95390"/>
    <w:rsid w:val="00F95701"/>
    <w:rsid w:val="00F957CF"/>
    <w:rsid w:val="00F9593C"/>
    <w:rsid w:val="00F95984"/>
    <w:rsid w:val="00F95D05"/>
    <w:rsid w:val="00F95E4A"/>
    <w:rsid w:val="00F95FC7"/>
    <w:rsid w:val="00F96004"/>
    <w:rsid w:val="00F96167"/>
    <w:rsid w:val="00F96644"/>
    <w:rsid w:val="00F96A8C"/>
    <w:rsid w:val="00F96AD2"/>
    <w:rsid w:val="00F96C5F"/>
    <w:rsid w:val="00F96D6E"/>
    <w:rsid w:val="00F96D8B"/>
    <w:rsid w:val="00F96FD7"/>
    <w:rsid w:val="00F97021"/>
    <w:rsid w:val="00F97234"/>
    <w:rsid w:val="00F9738B"/>
    <w:rsid w:val="00F97602"/>
    <w:rsid w:val="00F977F8"/>
    <w:rsid w:val="00F9780E"/>
    <w:rsid w:val="00F978DB"/>
    <w:rsid w:val="00F97BFD"/>
    <w:rsid w:val="00F97C42"/>
    <w:rsid w:val="00F97E5A"/>
    <w:rsid w:val="00F97E74"/>
    <w:rsid w:val="00FA004D"/>
    <w:rsid w:val="00FA034C"/>
    <w:rsid w:val="00FA05A8"/>
    <w:rsid w:val="00FA0647"/>
    <w:rsid w:val="00FA085D"/>
    <w:rsid w:val="00FA0964"/>
    <w:rsid w:val="00FA0A0B"/>
    <w:rsid w:val="00FA0B3D"/>
    <w:rsid w:val="00FA1136"/>
    <w:rsid w:val="00FA12B2"/>
    <w:rsid w:val="00FA13F2"/>
    <w:rsid w:val="00FA150F"/>
    <w:rsid w:val="00FA1765"/>
    <w:rsid w:val="00FA17AB"/>
    <w:rsid w:val="00FA17AE"/>
    <w:rsid w:val="00FA22F7"/>
    <w:rsid w:val="00FA2377"/>
    <w:rsid w:val="00FA237F"/>
    <w:rsid w:val="00FA2594"/>
    <w:rsid w:val="00FA2AAA"/>
    <w:rsid w:val="00FA2AD9"/>
    <w:rsid w:val="00FA2D2B"/>
    <w:rsid w:val="00FA2D4D"/>
    <w:rsid w:val="00FA320F"/>
    <w:rsid w:val="00FA323F"/>
    <w:rsid w:val="00FA32BD"/>
    <w:rsid w:val="00FA337B"/>
    <w:rsid w:val="00FA34C3"/>
    <w:rsid w:val="00FA3508"/>
    <w:rsid w:val="00FA3551"/>
    <w:rsid w:val="00FA3A21"/>
    <w:rsid w:val="00FA3A79"/>
    <w:rsid w:val="00FA3AEA"/>
    <w:rsid w:val="00FA3DCC"/>
    <w:rsid w:val="00FA3FF9"/>
    <w:rsid w:val="00FA4465"/>
    <w:rsid w:val="00FA4979"/>
    <w:rsid w:val="00FA4A3B"/>
    <w:rsid w:val="00FA4A47"/>
    <w:rsid w:val="00FA4CE5"/>
    <w:rsid w:val="00FA4F6A"/>
    <w:rsid w:val="00FA53C5"/>
    <w:rsid w:val="00FA559C"/>
    <w:rsid w:val="00FA5659"/>
    <w:rsid w:val="00FA56ED"/>
    <w:rsid w:val="00FA577E"/>
    <w:rsid w:val="00FA5783"/>
    <w:rsid w:val="00FA5BE4"/>
    <w:rsid w:val="00FA5C99"/>
    <w:rsid w:val="00FA5D8E"/>
    <w:rsid w:val="00FA5F89"/>
    <w:rsid w:val="00FA5FFC"/>
    <w:rsid w:val="00FA61FF"/>
    <w:rsid w:val="00FA64B3"/>
    <w:rsid w:val="00FA6C29"/>
    <w:rsid w:val="00FA6C2A"/>
    <w:rsid w:val="00FA6DF3"/>
    <w:rsid w:val="00FA6E27"/>
    <w:rsid w:val="00FA6EA6"/>
    <w:rsid w:val="00FA6F3E"/>
    <w:rsid w:val="00FA6F63"/>
    <w:rsid w:val="00FA7135"/>
    <w:rsid w:val="00FA72D9"/>
    <w:rsid w:val="00FA76D2"/>
    <w:rsid w:val="00FA77E1"/>
    <w:rsid w:val="00FA7BDC"/>
    <w:rsid w:val="00FA7F2B"/>
    <w:rsid w:val="00FA7F74"/>
    <w:rsid w:val="00FB002F"/>
    <w:rsid w:val="00FB0714"/>
    <w:rsid w:val="00FB0BD8"/>
    <w:rsid w:val="00FB0CE5"/>
    <w:rsid w:val="00FB0EDA"/>
    <w:rsid w:val="00FB0EE0"/>
    <w:rsid w:val="00FB1030"/>
    <w:rsid w:val="00FB1266"/>
    <w:rsid w:val="00FB13E9"/>
    <w:rsid w:val="00FB15C1"/>
    <w:rsid w:val="00FB16A8"/>
    <w:rsid w:val="00FB16CF"/>
    <w:rsid w:val="00FB189B"/>
    <w:rsid w:val="00FB197B"/>
    <w:rsid w:val="00FB1A80"/>
    <w:rsid w:val="00FB1C02"/>
    <w:rsid w:val="00FB1EB3"/>
    <w:rsid w:val="00FB2017"/>
    <w:rsid w:val="00FB205B"/>
    <w:rsid w:val="00FB20B6"/>
    <w:rsid w:val="00FB2205"/>
    <w:rsid w:val="00FB260A"/>
    <w:rsid w:val="00FB2635"/>
    <w:rsid w:val="00FB2785"/>
    <w:rsid w:val="00FB279E"/>
    <w:rsid w:val="00FB2804"/>
    <w:rsid w:val="00FB28F9"/>
    <w:rsid w:val="00FB291B"/>
    <w:rsid w:val="00FB2938"/>
    <w:rsid w:val="00FB2E2A"/>
    <w:rsid w:val="00FB2EAB"/>
    <w:rsid w:val="00FB2FFB"/>
    <w:rsid w:val="00FB334F"/>
    <w:rsid w:val="00FB3380"/>
    <w:rsid w:val="00FB3953"/>
    <w:rsid w:val="00FB396B"/>
    <w:rsid w:val="00FB3A92"/>
    <w:rsid w:val="00FB3ACE"/>
    <w:rsid w:val="00FB3AE0"/>
    <w:rsid w:val="00FB3AF3"/>
    <w:rsid w:val="00FB3D24"/>
    <w:rsid w:val="00FB3DC7"/>
    <w:rsid w:val="00FB3E01"/>
    <w:rsid w:val="00FB41C5"/>
    <w:rsid w:val="00FB41CE"/>
    <w:rsid w:val="00FB4322"/>
    <w:rsid w:val="00FB433E"/>
    <w:rsid w:val="00FB44EC"/>
    <w:rsid w:val="00FB45B1"/>
    <w:rsid w:val="00FB48A2"/>
    <w:rsid w:val="00FB497C"/>
    <w:rsid w:val="00FB4D86"/>
    <w:rsid w:val="00FB4DD6"/>
    <w:rsid w:val="00FB4F68"/>
    <w:rsid w:val="00FB5213"/>
    <w:rsid w:val="00FB5442"/>
    <w:rsid w:val="00FB54A3"/>
    <w:rsid w:val="00FB5734"/>
    <w:rsid w:val="00FB5A5F"/>
    <w:rsid w:val="00FB5B58"/>
    <w:rsid w:val="00FB5EFF"/>
    <w:rsid w:val="00FB608E"/>
    <w:rsid w:val="00FB60DD"/>
    <w:rsid w:val="00FB6179"/>
    <w:rsid w:val="00FB63A2"/>
    <w:rsid w:val="00FB641B"/>
    <w:rsid w:val="00FB6511"/>
    <w:rsid w:val="00FB664C"/>
    <w:rsid w:val="00FB670F"/>
    <w:rsid w:val="00FB6908"/>
    <w:rsid w:val="00FB6B32"/>
    <w:rsid w:val="00FB6DA6"/>
    <w:rsid w:val="00FB6DC8"/>
    <w:rsid w:val="00FB6E58"/>
    <w:rsid w:val="00FB7172"/>
    <w:rsid w:val="00FB7234"/>
    <w:rsid w:val="00FB7283"/>
    <w:rsid w:val="00FB73D0"/>
    <w:rsid w:val="00FB779D"/>
    <w:rsid w:val="00FB7897"/>
    <w:rsid w:val="00FB7B3B"/>
    <w:rsid w:val="00FB7BCD"/>
    <w:rsid w:val="00FB7C76"/>
    <w:rsid w:val="00FC0128"/>
    <w:rsid w:val="00FC0474"/>
    <w:rsid w:val="00FC047B"/>
    <w:rsid w:val="00FC0515"/>
    <w:rsid w:val="00FC055B"/>
    <w:rsid w:val="00FC11E6"/>
    <w:rsid w:val="00FC12ED"/>
    <w:rsid w:val="00FC135D"/>
    <w:rsid w:val="00FC150E"/>
    <w:rsid w:val="00FC157A"/>
    <w:rsid w:val="00FC15AB"/>
    <w:rsid w:val="00FC182A"/>
    <w:rsid w:val="00FC1924"/>
    <w:rsid w:val="00FC19F1"/>
    <w:rsid w:val="00FC1AEA"/>
    <w:rsid w:val="00FC1B6D"/>
    <w:rsid w:val="00FC1B99"/>
    <w:rsid w:val="00FC1BE7"/>
    <w:rsid w:val="00FC201C"/>
    <w:rsid w:val="00FC213C"/>
    <w:rsid w:val="00FC219B"/>
    <w:rsid w:val="00FC2282"/>
    <w:rsid w:val="00FC2766"/>
    <w:rsid w:val="00FC2935"/>
    <w:rsid w:val="00FC2CFD"/>
    <w:rsid w:val="00FC2DD9"/>
    <w:rsid w:val="00FC336F"/>
    <w:rsid w:val="00FC33DF"/>
    <w:rsid w:val="00FC357E"/>
    <w:rsid w:val="00FC35A9"/>
    <w:rsid w:val="00FC3619"/>
    <w:rsid w:val="00FC3D83"/>
    <w:rsid w:val="00FC3E16"/>
    <w:rsid w:val="00FC3F71"/>
    <w:rsid w:val="00FC452B"/>
    <w:rsid w:val="00FC463B"/>
    <w:rsid w:val="00FC481B"/>
    <w:rsid w:val="00FC4998"/>
    <w:rsid w:val="00FC49E5"/>
    <w:rsid w:val="00FC4A04"/>
    <w:rsid w:val="00FC4B4A"/>
    <w:rsid w:val="00FC4DF9"/>
    <w:rsid w:val="00FC4E15"/>
    <w:rsid w:val="00FC544A"/>
    <w:rsid w:val="00FC54AD"/>
    <w:rsid w:val="00FC54BF"/>
    <w:rsid w:val="00FC5543"/>
    <w:rsid w:val="00FC55F0"/>
    <w:rsid w:val="00FC5629"/>
    <w:rsid w:val="00FC58CB"/>
    <w:rsid w:val="00FC59B0"/>
    <w:rsid w:val="00FC5AA8"/>
    <w:rsid w:val="00FC610E"/>
    <w:rsid w:val="00FC6438"/>
    <w:rsid w:val="00FC644D"/>
    <w:rsid w:val="00FC64F8"/>
    <w:rsid w:val="00FC65E4"/>
    <w:rsid w:val="00FC68C9"/>
    <w:rsid w:val="00FC6E67"/>
    <w:rsid w:val="00FC70B8"/>
    <w:rsid w:val="00FC745E"/>
    <w:rsid w:val="00FC74A6"/>
    <w:rsid w:val="00FC7665"/>
    <w:rsid w:val="00FC7711"/>
    <w:rsid w:val="00FC7777"/>
    <w:rsid w:val="00FC77BD"/>
    <w:rsid w:val="00FC784B"/>
    <w:rsid w:val="00FC78C1"/>
    <w:rsid w:val="00FC7E52"/>
    <w:rsid w:val="00FC7EBC"/>
    <w:rsid w:val="00FD0101"/>
    <w:rsid w:val="00FD0588"/>
    <w:rsid w:val="00FD05AA"/>
    <w:rsid w:val="00FD08B6"/>
    <w:rsid w:val="00FD0A65"/>
    <w:rsid w:val="00FD0B87"/>
    <w:rsid w:val="00FD0CB1"/>
    <w:rsid w:val="00FD0E37"/>
    <w:rsid w:val="00FD0F7D"/>
    <w:rsid w:val="00FD0FE9"/>
    <w:rsid w:val="00FD12BF"/>
    <w:rsid w:val="00FD12F1"/>
    <w:rsid w:val="00FD1304"/>
    <w:rsid w:val="00FD13C9"/>
    <w:rsid w:val="00FD15E9"/>
    <w:rsid w:val="00FD1859"/>
    <w:rsid w:val="00FD1C3B"/>
    <w:rsid w:val="00FD1D88"/>
    <w:rsid w:val="00FD1E5B"/>
    <w:rsid w:val="00FD2174"/>
    <w:rsid w:val="00FD2224"/>
    <w:rsid w:val="00FD2467"/>
    <w:rsid w:val="00FD2648"/>
    <w:rsid w:val="00FD27AD"/>
    <w:rsid w:val="00FD28C0"/>
    <w:rsid w:val="00FD2A10"/>
    <w:rsid w:val="00FD2A93"/>
    <w:rsid w:val="00FD2F06"/>
    <w:rsid w:val="00FD30CF"/>
    <w:rsid w:val="00FD36BC"/>
    <w:rsid w:val="00FD375C"/>
    <w:rsid w:val="00FD3805"/>
    <w:rsid w:val="00FD3921"/>
    <w:rsid w:val="00FD39C3"/>
    <w:rsid w:val="00FD3A28"/>
    <w:rsid w:val="00FD3BF7"/>
    <w:rsid w:val="00FD3E88"/>
    <w:rsid w:val="00FD4079"/>
    <w:rsid w:val="00FD4731"/>
    <w:rsid w:val="00FD47D7"/>
    <w:rsid w:val="00FD48A2"/>
    <w:rsid w:val="00FD4994"/>
    <w:rsid w:val="00FD49D5"/>
    <w:rsid w:val="00FD4A8B"/>
    <w:rsid w:val="00FD4B2B"/>
    <w:rsid w:val="00FD4BA6"/>
    <w:rsid w:val="00FD4C7E"/>
    <w:rsid w:val="00FD4CA9"/>
    <w:rsid w:val="00FD528D"/>
    <w:rsid w:val="00FD551C"/>
    <w:rsid w:val="00FD55B6"/>
    <w:rsid w:val="00FD581A"/>
    <w:rsid w:val="00FD5939"/>
    <w:rsid w:val="00FD5A50"/>
    <w:rsid w:val="00FD5DA7"/>
    <w:rsid w:val="00FD5EB6"/>
    <w:rsid w:val="00FD60E8"/>
    <w:rsid w:val="00FD61F9"/>
    <w:rsid w:val="00FD624E"/>
    <w:rsid w:val="00FD6443"/>
    <w:rsid w:val="00FD656D"/>
    <w:rsid w:val="00FD6624"/>
    <w:rsid w:val="00FD674F"/>
    <w:rsid w:val="00FD68B9"/>
    <w:rsid w:val="00FD6A15"/>
    <w:rsid w:val="00FD6C76"/>
    <w:rsid w:val="00FD6ED6"/>
    <w:rsid w:val="00FD7058"/>
    <w:rsid w:val="00FD74C4"/>
    <w:rsid w:val="00FD77BE"/>
    <w:rsid w:val="00FD7A56"/>
    <w:rsid w:val="00FD7A9E"/>
    <w:rsid w:val="00FD7B82"/>
    <w:rsid w:val="00FD7D5A"/>
    <w:rsid w:val="00FD7E98"/>
    <w:rsid w:val="00FD7F4D"/>
    <w:rsid w:val="00FE01E9"/>
    <w:rsid w:val="00FE02BA"/>
    <w:rsid w:val="00FE03D3"/>
    <w:rsid w:val="00FE0846"/>
    <w:rsid w:val="00FE095E"/>
    <w:rsid w:val="00FE09D3"/>
    <w:rsid w:val="00FE0B08"/>
    <w:rsid w:val="00FE0C26"/>
    <w:rsid w:val="00FE1105"/>
    <w:rsid w:val="00FE1166"/>
    <w:rsid w:val="00FE11B4"/>
    <w:rsid w:val="00FE1267"/>
    <w:rsid w:val="00FE1359"/>
    <w:rsid w:val="00FE1444"/>
    <w:rsid w:val="00FE1752"/>
    <w:rsid w:val="00FE18C7"/>
    <w:rsid w:val="00FE1978"/>
    <w:rsid w:val="00FE1AEC"/>
    <w:rsid w:val="00FE1C6A"/>
    <w:rsid w:val="00FE1C73"/>
    <w:rsid w:val="00FE1D95"/>
    <w:rsid w:val="00FE1F4F"/>
    <w:rsid w:val="00FE2065"/>
    <w:rsid w:val="00FE2084"/>
    <w:rsid w:val="00FE215B"/>
    <w:rsid w:val="00FE2205"/>
    <w:rsid w:val="00FE23D4"/>
    <w:rsid w:val="00FE23EB"/>
    <w:rsid w:val="00FE28B3"/>
    <w:rsid w:val="00FE29EF"/>
    <w:rsid w:val="00FE2CB3"/>
    <w:rsid w:val="00FE2E15"/>
    <w:rsid w:val="00FE3139"/>
    <w:rsid w:val="00FE345B"/>
    <w:rsid w:val="00FE34BC"/>
    <w:rsid w:val="00FE3647"/>
    <w:rsid w:val="00FE38D0"/>
    <w:rsid w:val="00FE3984"/>
    <w:rsid w:val="00FE3AB8"/>
    <w:rsid w:val="00FE3BC1"/>
    <w:rsid w:val="00FE43F3"/>
    <w:rsid w:val="00FE46E9"/>
    <w:rsid w:val="00FE47BC"/>
    <w:rsid w:val="00FE4DA0"/>
    <w:rsid w:val="00FE4F3A"/>
    <w:rsid w:val="00FE5088"/>
    <w:rsid w:val="00FE5312"/>
    <w:rsid w:val="00FE55D3"/>
    <w:rsid w:val="00FE5840"/>
    <w:rsid w:val="00FE585E"/>
    <w:rsid w:val="00FE5FC1"/>
    <w:rsid w:val="00FE6167"/>
    <w:rsid w:val="00FE62F2"/>
    <w:rsid w:val="00FE653C"/>
    <w:rsid w:val="00FE66F3"/>
    <w:rsid w:val="00FE67E6"/>
    <w:rsid w:val="00FE68D7"/>
    <w:rsid w:val="00FE6966"/>
    <w:rsid w:val="00FE6A30"/>
    <w:rsid w:val="00FE6A38"/>
    <w:rsid w:val="00FE6D9B"/>
    <w:rsid w:val="00FE71DA"/>
    <w:rsid w:val="00FE7430"/>
    <w:rsid w:val="00FE7476"/>
    <w:rsid w:val="00FE7565"/>
    <w:rsid w:val="00FE7650"/>
    <w:rsid w:val="00FE76F1"/>
    <w:rsid w:val="00FE7D69"/>
    <w:rsid w:val="00FF001C"/>
    <w:rsid w:val="00FF03A7"/>
    <w:rsid w:val="00FF0507"/>
    <w:rsid w:val="00FF07DC"/>
    <w:rsid w:val="00FF08C0"/>
    <w:rsid w:val="00FF0D88"/>
    <w:rsid w:val="00FF0E7A"/>
    <w:rsid w:val="00FF0F0D"/>
    <w:rsid w:val="00FF1141"/>
    <w:rsid w:val="00FF1166"/>
    <w:rsid w:val="00FF150D"/>
    <w:rsid w:val="00FF15CF"/>
    <w:rsid w:val="00FF15EA"/>
    <w:rsid w:val="00FF1606"/>
    <w:rsid w:val="00FF1669"/>
    <w:rsid w:val="00FF196E"/>
    <w:rsid w:val="00FF1990"/>
    <w:rsid w:val="00FF1A1C"/>
    <w:rsid w:val="00FF1B88"/>
    <w:rsid w:val="00FF1FC7"/>
    <w:rsid w:val="00FF28D2"/>
    <w:rsid w:val="00FF2BCA"/>
    <w:rsid w:val="00FF2FD7"/>
    <w:rsid w:val="00FF3065"/>
    <w:rsid w:val="00FF30A9"/>
    <w:rsid w:val="00FF3353"/>
    <w:rsid w:val="00FF3392"/>
    <w:rsid w:val="00FF33D7"/>
    <w:rsid w:val="00FF3411"/>
    <w:rsid w:val="00FF3470"/>
    <w:rsid w:val="00FF3A13"/>
    <w:rsid w:val="00FF3B1D"/>
    <w:rsid w:val="00FF3C21"/>
    <w:rsid w:val="00FF4015"/>
    <w:rsid w:val="00FF41DD"/>
    <w:rsid w:val="00FF435C"/>
    <w:rsid w:val="00FF4435"/>
    <w:rsid w:val="00FF486E"/>
    <w:rsid w:val="00FF48DF"/>
    <w:rsid w:val="00FF48EF"/>
    <w:rsid w:val="00FF4A06"/>
    <w:rsid w:val="00FF4BF7"/>
    <w:rsid w:val="00FF4CAF"/>
    <w:rsid w:val="00FF4E10"/>
    <w:rsid w:val="00FF4EA0"/>
    <w:rsid w:val="00FF4FC6"/>
    <w:rsid w:val="00FF4FCC"/>
    <w:rsid w:val="00FF513B"/>
    <w:rsid w:val="00FF515E"/>
    <w:rsid w:val="00FF519E"/>
    <w:rsid w:val="00FF538E"/>
    <w:rsid w:val="00FF55A8"/>
    <w:rsid w:val="00FF55F1"/>
    <w:rsid w:val="00FF5689"/>
    <w:rsid w:val="00FF5B10"/>
    <w:rsid w:val="00FF5B4C"/>
    <w:rsid w:val="00FF5CE6"/>
    <w:rsid w:val="00FF5D13"/>
    <w:rsid w:val="00FF5ED9"/>
    <w:rsid w:val="00FF5EEE"/>
    <w:rsid w:val="00FF602E"/>
    <w:rsid w:val="00FF6041"/>
    <w:rsid w:val="00FF60D3"/>
    <w:rsid w:val="00FF6154"/>
    <w:rsid w:val="00FF6297"/>
    <w:rsid w:val="00FF651C"/>
    <w:rsid w:val="00FF6565"/>
    <w:rsid w:val="00FF670E"/>
    <w:rsid w:val="00FF6804"/>
    <w:rsid w:val="00FF6B91"/>
    <w:rsid w:val="00FF6D6A"/>
    <w:rsid w:val="00FF6E60"/>
    <w:rsid w:val="00FF6E89"/>
    <w:rsid w:val="00FF73C8"/>
    <w:rsid w:val="00FF74C6"/>
    <w:rsid w:val="00FF7881"/>
    <w:rsid w:val="00FF78F2"/>
    <w:rsid w:val="0107B548"/>
    <w:rsid w:val="010B91EB"/>
    <w:rsid w:val="0110E578"/>
    <w:rsid w:val="0116D8F7"/>
    <w:rsid w:val="01196915"/>
    <w:rsid w:val="0124A9EE"/>
    <w:rsid w:val="0129733F"/>
    <w:rsid w:val="01309781"/>
    <w:rsid w:val="0139051C"/>
    <w:rsid w:val="01433403"/>
    <w:rsid w:val="014350F3"/>
    <w:rsid w:val="014530C0"/>
    <w:rsid w:val="014BD671"/>
    <w:rsid w:val="014C96FC"/>
    <w:rsid w:val="014EAF60"/>
    <w:rsid w:val="014F2029"/>
    <w:rsid w:val="0150CA93"/>
    <w:rsid w:val="015271A0"/>
    <w:rsid w:val="0161B737"/>
    <w:rsid w:val="01681603"/>
    <w:rsid w:val="016B8D59"/>
    <w:rsid w:val="016D3A7F"/>
    <w:rsid w:val="016FE9C7"/>
    <w:rsid w:val="0177F1EC"/>
    <w:rsid w:val="0178353C"/>
    <w:rsid w:val="01790B83"/>
    <w:rsid w:val="01796398"/>
    <w:rsid w:val="0179A89F"/>
    <w:rsid w:val="017B58BF"/>
    <w:rsid w:val="018086AE"/>
    <w:rsid w:val="0181972E"/>
    <w:rsid w:val="0182099C"/>
    <w:rsid w:val="018BD694"/>
    <w:rsid w:val="019231CB"/>
    <w:rsid w:val="0192CDE9"/>
    <w:rsid w:val="01951BCF"/>
    <w:rsid w:val="019B99CF"/>
    <w:rsid w:val="019DE02D"/>
    <w:rsid w:val="01A049A7"/>
    <w:rsid w:val="01A4F9B2"/>
    <w:rsid w:val="01A84A20"/>
    <w:rsid w:val="01AC391D"/>
    <w:rsid w:val="01ACF009"/>
    <w:rsid w:val="01B2AEE9"/>
    <w:rsid w:val="01BFC4BF"/>
    <w:rsid w:val="01C1A202"/>
    <w:rsid w:val="01C371B2"/>
    <w:rsid w:val="01C424B4"/>
    <w:rsid w:val="01C519A6"/>
    <w:rsid w:val="01CCCF1B"/>
    <w:rsid w:val="01D2C052"/>
    <w:rsid w:val="01D5CA1C"/>
    <w:rsid w:val="01D9ECDD"/>
    <w:rsid w:val="01DC9910"/>
    <w:rsid w:val="01E26523"/>
    <w:rsid w:val="01E2FCB4"/>
    <w:rsid w:val="01F10CFE"/>
    <w:rsid w:val="01F42EDA"/>
    <w:rsid w:val="01F4F94A"/>
    <w:rsid w:val="01F8602E"/>
    <w:rsid w:val="01FF4837"/>
    <w:rsid w:val="02027B19"/>
    <w:rsid w:val="02031469"/>
    <w:rsid w:val="0203B758"/>
    <w:rsid w:val="0205728A"/>
    <w:rsid w:val="020870A9"/>
    <w:rsid w:val="020E3D29"/>
    <w:rsid w:val="0213C2B2"/>
    <w:rsid w:val="0213E6EC"/>
    <w:rsid w:val="02140D5E"/>
    <w:rsid w:val="02174118"/>
    <w:rsid w:val="021BF3F9"/>
    <w:rsid w:val="021D5A88"/>
    <w:rsid w:val="021F1435"/>
    <w:rsid w:val="0220849A"/>
    <w:rsid w:val="0222C8C2"/>
    <w:rsid w:val="0228B592"/>
    <w:rsid w:val="022D583D"/>
    <w:rsid w:val="022E332C"/>
    <w:rsid w:val="022F266E"/>
    <w:rsid w:val="02361BA8"/>
    <w:rsid w:val="023E3F13"/>
    <w:rsid w:val="02562824"/>
    <w:rsid w:val="0257FBA6"/>
    <w:rsid w:val="025A8C8E"/>
    <w:rsid w:val="025D8845"/>
    <w:rsid w:val="025F6B0E"/>
    <w:rsid w:val="02609221"/>
    <w:rsid w:val="0268BDF3"/>
    <w:rsid w:val="0274F9E5"/>
    <w:rsid w:val="027B48E6"/>
    <w:rsid w:val="027BBA88"/>
    <w:rsid w:val="027D2B89"/>
    <w:rsid w:val="027D3006"/>
    <w:rsid w:val="0281F7A8"/>
    <w:rsid w:val="02823387"/>
    <w:rsid w:val="0286F543"/>
    <w:rsid w:val="02888F1A"/>
    <w:rsid w:val="028BADC8"/>
    <w:rsid w:val="028EE0D2"/>
    <w:rsid w:val="0290DE08"/>
    <w:rsid w:val="02942546"/>
    <w:rsid w:val="029C510E"/>
    <w:rsid w:val="02A6672B"/>
    <w:rsid w:val="02A87645"/>
    <w:rsid w:val="02B6E61D"/>
    <w:rsid w:val="02BAB97F"/>
    <w:rsid w:val="02BB501A"/>
    <w:rsid w:val="02BDF0E4"/>
    <w:rsid w:val="02C77AA3"/>
    <w:rsid w:val="02CAB7F0"/>
    <w:rsid w:val="02CD3CF3"/>
    <w:rsid w:val="02CF210A"/>
    <w:rsid w:val="02CF8C57"/>
    <w:rsid w:val="02D06437"/>
    <w:rsid w:val="02D595BA"/>
    <w:rsid w:val="02D804D1"/>
    <w:rsid w:val="02DC3B5A"/>
    <w:rsid w:val="02E13F0A"/>
    <w:rsid w:val="02E23479"/>
    <w:rsid w:val="02E71957"/>
    <w:rsid w:val="02EDF746"/>
    <w:rsid w:val="02F14D6B"/>
    <w:rsid w:val="02FA965C"/>
    <w:rsid w:val="02FAB841"/>
    <w:rsid w:val="02FD05AF"/>
    <w:rsid w:val="0305AA87"/>
    <w:rsid w:val="030E2DEB"/>
    <w:rsid w:val="0315BD5A"/>
    <w:rsid w:val="03168CF5"/>
    <w:rsid w:val="031A21EB"/>
    <w:rsid w:val="031AA478"/>
    <w:rsid w:val="031E6578"/>
    <w:rsid w:val="03203CCA"/>
    <w:rsid w:val="032151B7"/>
    <w:rsid w:val="032269C9"/>
    <w:rsid w:val="03264ABC"/>
    <w:rsid w:val="0333F627"/>
    <w:rsid w:val="0339202B"/>
    <w:rsid w:val="03424DB4"/>
    <w:rsid w:val="03548ABB"/>
    <w:rsid w:val="035A66DD"/>
    <w:rsid w:val="0362375D"/>
    <w:rsid w:val="03636BAE"/>
    <w:rsid w:val="036A4C74"/>
    <w:rsid w:val="036FF527"/>
    <w:rsid w:val="0374D044"/>
    <w:rsid w:val="038C2AF2"/>
    <w:rsid w:val="038D59B3"/>
    <w:rsid w:val="038E8F85"/>
    <w:rsid w:val="038EC63B"/>
    <w:rsid w:val="03911BB9"/>
    <w:rsid w:val="0392F190"/>
    <w:rsid w:val="0393EBAB"/>
    <w:rsid w:val="0394CAD2"/>
    <w:rsid w:val="0396B912"/>
    <w:rsid w:val="03998058"/>
    <w:rsid w:val="039BEBF4"/>
    <w:rsid w:val="03A084F2"/>
    <w:rsid w:val="03A555C4"/>
    <w:rsid w:val="03A73533"/>
    <w:rsid w:val="03AEFEFC"/>
    <w:rsid w:val="03B574E0"/>
    <w:rsid w:val="03B837B2"/>
    <w:rsid w:val="03BAF73B"/>
    <w:rsid w:val="03C2807F"/>
    <w:rsid w:val="03C3F80E"/>
    <w:rsid w:val="03C5518B"/>
    <w:rsid w:val="03C62FC8"/>
    <w:rsid w:val="03C71B9A"/>
    <w:rsid w:val="03CD3340"/>
    <w:rsid w:val="03D997A5"/>
    <w:rsid w:val="03D9E11F"/>
    <w:rsid w:val="03DA892B"/>
    <w:rsid w:val="03DFFADB"/>
    <w:rsid w:val="03E3E75B"/>
    <w:rsid w:val="03E417E8"/>
    <w:rsid w:val="03E53B21"/>
    <w:rsid w:val="03E61649"/>
    <w:rsid w:val="03E64002"/>
    <w:rsid w:val="03E92D57"/>
    <w:rsid w:val="03EE9563"/>
    <w:rsid w:val="03F1A3E5"/>
    <w:rsid w:val="03F55C19"/>
    <w:rsid w:val="040339AF"/>
    <w:rsid w:val="040BE199"/>
    <w:rsid w:val="040E9AC8"/>
    <w:rsid w:val="04115B8D"/>
    <w:rsid w:val="041C52BC"/>
    <w:rsid w:val="04209D41"/>
    <w:rsid w:val="04214155"/>
    <w:rsid w:val="0424AD4B"/>
    <w:rsid w:val="042B8B51"/>
    <w:rsid w:val="0431B200"/>
    <w:rsid w:val="04338690"/>
    <w:rsid w:val="0433EF24"/>
    <w:rsid w:val="04385E7E"/>
    <w:rsid w:val="04389401"/>
    <w:rsid w:val="043B1D0F"/>
    <w:rsid w:val="04403027"/>
    <w:rsid w:val="04403F35"/>
    <w:rsid w:val="0449FCC0"/>
    <w:rsid w:val="044B2A10"/>
    <w:rsid w:val="044BA939"/>
    <w:rsid w:val="044BA99D"/>
    <w:rsid w:val="044D796E"/>
    <w:rsid w:val="044F728B"/>
    <w:rsid w:val="044F81CE"/>
    <w:rsid w:val="045433DC"/>
    <w:rsid w:val="0455B5B6"/>
    <w:rsid w:val="0457CF53"/>
    <w:rsid w:val="04585C60"/>
    <w:rsid w:val="04593492"/>
    <w:rsid w:val="045D605D"/>
    <w:rsid w:val="04620194"/>
    <w:rsid w:val="04628C36"/>
    <w:rsid w:val="04641DCA"/>
    <w:rsid w:val="0467874F"/>
    <w:rsid w:val="046B823B"/>
    <w:rsid w:val="046CF21C"/>
    <w:rsid w:val="046ED4EB"/>
    <w:rsid w:val="046F8DD0"/>
    <w:rsid w:val="047085AF"/>
    <w:rsid w:val="0470EA05"/>
    <w:rsid w:val="0476AC9A"/>
    <w:rsid w:val="04774EF0"/>
    <w:rsid w:val="0479BB0A"/>
    <w:rsid w:val="047BF9D0"/>
    <w:rsid w:val="0483618E"/>
    <w:rsid w:val="048558D9"/>
    <w:rsid w:val="049022CC"/>
    <w:rsid w:val="0493F7F2"/>
    <w:rsid w:val="049CD2C8"/>
    <w:rsid w:val="04A0D49D"/>
    <w:rsid w:val="04A484DF"/>
    <w:rsid w:val="04A7074D"/>
    <w:rsid w:val="04A94035"/>
    <w:rsid w:val="04AB8C48"/>
    <w:rsid w:val="04AE3E55"/>
    <w:rsid w:val="04B4970D"/>
    <w:rsid w:val="04B6AC64"/>
    <w:rsid w:val="04B8DCF1"/>
    <w:rsid w:val="04B91D30"/>
    <w:rsid w:val="04B94D58"/>
    <w:rsid w:val="04BD96E1"/>
    <w:rsid w:val="04BE073D"/>
    <w:rsid w:val="04BF6FB9"/>
    <w:rsid w:val="04C610AB"/>
    <w:rsid w:val="04C67BBB"/>
    <w:rsid w:val="04C6E26B"/>
    <w:rsid w:val="04CD90AF"/>
    <w:rsid w:val="04CDCDCF"/>
    <w:rsid w:val="04CF1267"/>
    <w:rsid w:val="04D329E4"/>
    <w:rsid w:val="04D573DE"/>
    <w:rsid w:val="04D7697D"/>
    <w:rsid w:val="04DB407D"/>
    <w:rsid w:val="04E9F5C6"/>
    <w:rsid w:val="04EA6EB5"/>
    <w:rsid w:val="04EDCA48"/>
    <w:rsid w:val="04F0CCFD"/>
    <w:rsid w:val="04F448CA"/>
    <w:rsid w:val="04F77CCD"/>
    <w:rsid w:val="04FAB543"/>
    <w:rsid w:val="04FB86BF"/>
    <w:rsid w:val="04FD4B3B"/>
    <w:rsid w:val="04FDE0B1"/>
    <w:rsid w:val="04FFBFD7"/>
    <w:rsid w:val="05043D20"/>
    <w:rsid w:val="0504AFDB"/>
    <w:rsid w:val="05050FF9"/>
    <w:rsid w:val="0508045A"/>
    <w:rsid w:val="050BBA3A"/>
    <w:rsid w:val="050BF16E"/>
    <w:rsid w:val="050D8E5A"/>
    <w:rsid w:val="051A24A1"/>
    <w:rsid w:val="051D3D63"/>
    <w:rsid w:val="051D88A5"/>
    <w:rsid w:val="051F6202"/>
    <w:rsid w:val="051F6C89"/>
    <w:rsid w:val="05203010"/>
    <w:rsid w:val="0520654E"/>
    <w:rsid w:val="0521FFF7"/>
    <w:rsid w:val="0523B282"/>
    <w:rsid w:val="05247520"/>
    <w:rsid w:val="052CCC1D"/>
    <w:rsid w:val="052DB10D"/>
    <w:rsid w:val="0533D36A"/>
    <w:rsid w:val="05458F54"/>
    <w:rsid w:val="0546A733"/>
    <w:rsid w:val="054730B5"/>
    <w:rsid w:val="05473D39"/>
    <w:rsid w:val="055E5BCE"/>
    <w:rsid w:val="055E88BE"/>
    <w:rsid w:val="055F58F9"/>
    <w:rsid w:val="056023F5"/>
    <w:rsid w:val="056713D3"/>
    <w:rsid w:val="056896E5"/>
    <w:rsid w:val="056A2564"/>
    <w:rsid w:val="056DB32C"/>
    <w:rsid w:val="057077CC"/>
    <w:rsid w:val="057A6B33"/>
    <w:rsid w:val="057D81D7"/>
    <w:rsid w:val="0580B990"/>
    <w:rsid w:val="0580FD38"/>
    <w:rsid w:val="05826F48"/>
    <w:rsid w:val="0585AFCD"/>
    <w:rsid w:val="0586D8BE"/>
    <w:rsid w:val="0587B9AA"/>
    <w:rsid w:val="0587F32D"/>
    <w:rsid w:val="058BBF03"/>
    <w:rsid w:val="058EFB1F"/>
    <w:rsid w:val="05911794"/>
    <w:rsid w:val="0592F5ED"/>
    <w:rsid w:val="0596FEEB"/>
    <w:rsid w:val="059DE694"/>
    <w:rsid w:val="059EAEFC"/>
    <w:rsid w:val="05A2617A"/>
    <w:rsid w:val="05A2E760"/>
    <w:rsid w:val="05A9AE0F"/>
    <w:rsid w:val="05B8FD0F"/>
    <w:rsid w:val="05BC07F9"/>
    <w:rsid w:val="05BF3EBE"/>
    <w:rsid w:val="05C161EF"/>
    <w:rsid w:val="05C33237"/>
    <w:rsid w:val="05C81C58"/>
    <w:rsid w:val="05C8615B"/>
    <w:rsid w:val="05C9CEAC"/>
    <w:rsid w:val="05CC347E"/>
    <w:rsid w:val="05CD407F"/>
    <w:rsid w:val="05D512CE"/>
    <w:rsid w:val="05E49399"/>
    <w:rsid w:val="05E5DA30"/>
    <w:rsid w:val="05E7FBDD"/>
    <w:rsid w:val="05EB08AE"/>
    <w:rsid w:val="05F48AF8"/>
    <w:rsid w:val="06016FA9"/>
    <w:rsid w:val="0602084C"/>
    <w:rsid w:val="06020C5B"/>
    <w:rsid w:val="0606E186"/>
    <w:rsid w:val="0607CEF6"/>
    <w:rsid w:val="060AF9F5"/>
    <w:rsid w:val="060C6BD7"/>
    <w:rsid w:val="060C70CD"/>
    <w:rsid w:val="060D2F77"/>
    <w:rsid w:val="060E682E"/>
    <w:rsid w:val="0610A271"/>
    <w:rsid w:val="0610C127"/>
    <w:rsid w:val="06153252"/>
    <w:rsid w:val="06153634"/>
    <w:rsid w:val="061D2946"/>
    <w:rsid w:val="0621F859"/>
    <w:rsid w:val="0624221F"/>
    <w:rsid w:val="0624A90B"/>
    <w:rsid w:val="062AD1A5"/>
    <w:rsid w:val="063158B8"/>
    <w:rsid w:val="06352A22"/>
    <w:rsid w:val="06369AAC"/>
    <w:rsid w:val="06387F85"/>
    <w:rsid w:val="063F9BCF"/>
    <w:rsid w:val="06438648"/>
    <w:rsid w:val="0644BAD5"/>
    <w:rsid w:val="0646D9F6"/>
    <w:rsid w:val="0648F588"/>
    <w:rsid w:val="064A84E3"/>
    <w:rsid w:val="064B1C92"/>
    <w:rsid w:val="064B481E"/>
    <w:rsid w:val="064BD875"/>
    <w:rsid w:val="064C699C"/>
    <w:rsid w:val="06575E43"/>
    <w:rsid w:val="065D014B"/>
    <w:rsid w:val="0660BB45"/>
    <w:rsid w:val="06627D4A"/>
    <w:rsid w:val="0663B18C"/>
    <w:rsid w:val="066500F9"/>
    <w:rsid w:val="0666013D"/>
    <w:rsid w:val="06670362"/>
    <w:rsid w:val="06683061"/>
    <w:rsid w:val="0669BF12"/>
    <w:rsid w:val="066B5A6A"/>
    <w:rsid w:val="066CE9BA"/>
    <w:rsid w:val="066E99A4"/>
    <w:rsid w:val="066F5427"/>
    <w:rsid w:val="067217FD"/>
    <w:rsid w:val="06732FE0"/>
    <w:rsid w:val="06738E95"/>
    <w:rsid w:val="06739245"/>
    <w:rsid w:val="0673FADC"/>
    <w:rsid w:val="0677F8BD"/>
    <w:rsid w:val="067C533E"/>
    <w:rsid w:val="06806492"/>
    <w:rsid w:val="068107CE"/>
    <w:rsid w:val="06877249"/>
    <w:rsid w:val="068A8C23"/>
    <w:rsid w:val="068F0DFB"/>
    <w:rsid w:val="069353AD"/>
    <w:rsid w:val="069DACB6"/>
    <w:rsid w:val="06A3263D"/>
    <w:rsid w:val="06A6705A"/>
    <w:rsid w:val="06A78B53"/>
    <w:rsid w:val="06AEA523"/>
    <w:rsid w:val="06B070EF"/>
    <w:rsid w:val="06B4BAB2"/>
    <w:rsid w:val="06B966B0"/>
    <w:rsid w:val="06BA5553"/>
    <w:rsid w:val="06BDD214"/>
    <w:rsid w:val="06BE9C35"/>
    <w:rsid w:val="06BFD596"/>
    <w:rsid w:val="06C0196B"/>
    <w:rsid w:val="06C08261"/>
    <w:rsid w:val="06C35516"/>
    <w:rsid w:val="06C42C46"/>
    <w:rsid w:val="06C45CDC"/>
    <w:rsid w:val="06C66669"/>
    <w:rsid w:val="06C6EEA8"/>
    <w:rsid w:val="06CA1DC4"/>
    <w:rsid w:val="06DE95EB"/>
    <w:rsid w:val="06E4C6B3"/>
    <w:rsid w:val="06E68D97"/>
    <w:rsid w:val="06E981A2"/>
    <w:rsid w:val="06EA9737"/>
    <w:rsid w:val="06EAB780"/>
    <w:rsid w:val="06EB4208"/>
    <w:rsid w:val="06ECE6D6"/>
    <w:rsid w:val="06EF8E89"/>
    <w:rsid w:val="06EFBF5C"/>
    <w:rsid w:val="06F48B8B"/>
    <w:rsid w:val="06F5E257"/>
    <w:rsid w:val="06F6C88F"/>
    <w:rsid w:val="06FC1C3A"/>
    <w:rsid w:val="06FE7B49"/>
    <w:rsid w:val="06FEA3D9"/>
    <w:rsid w:val="0700AB4E"/>
    <w:rsid w:val="0708A162"/>
    <w:rsid w:val="070DD14F"/>
    <w:rsid w:val="070F51FF"/>
    <w:rsid w:val="071C71F3"/>
    <w:rsid w:val="071E90D2"/>
    <w:rsid w:val="071EBD5D"/>
    <w:rsid w:val="071F7417"/>
    <w:rsid w:val="07207339"/>
    <w:rsid w:val="0725E143"/>
    <w:rsid w:val="07273B1D"/>
    <w:rsid w:val="072EC808"/>
    <w:rsid w:val="07300B73"/>
    <w:rsid w:val="07302FC8"/>
    <w:rsid w:val="0735137C"/>
    <w:rsid w:val="07402E84"/>
    <w:rsid w:val="07424F97"/>
    <w:rsid w:val="074367C8"/>
    <w:rsid w:val="0744396B"/>
    <w:rsid w:val="07457D26"/>
    <w:rsid w:val="0746DE97"/>
    <w:rsid w:val="07488B38"/>
    <w:rsid w:val="074B1141"/>
    <w:rsid w:val="0753A5D4"/>
    <w:rsid w:val="07558BC7"/>
    <w:rsid w:val="075B670D"/>
    <w:rsid w:val="07636D18"/>
    <w:rsid w:val="076BB830"/>
    <w:rsid w:val="076FE360"/>
    <w:rsid w:val="077EB393"/>
    <w:rsid w:val="0780F83F"/>
    <w:rsid w:val="0784BEA8"/>
    <w:rsid w:val="07850150"/>
    <w:rsid w:val="0788031B"/>
    <w:rsid w:val="078C5826"/>
    <w:rsid w:val="0793A2A2"/>
    <w:rsid w:val="0793BC5F"/>
    <w:rsid w:val="0797291B"/>
    <w:rsid w:val="07994F1B"/>
    <w:rsid w:val="079FAEA9"/>
    <w:rsid w:val="07A1313B"/>
    <w:rsid w:val="07A4E652"/>
    <w:rsid w:val="07ACFBA5"/>
    <w:rsid w:val="07AD9E1C"/>
    <w:rsid w:val="07AFC1C8"/>
    <w:rsid w:val="07B48273"/>
    <w:rsid w:val="07BDFA4A"/>
    <w:rsid w:val="07C0B3A7"/>
    <w:rsid w:val="07C98729"/>
    <w:rsid w:val="07CA698F"/>
    <w:rsid w:val="07CE24A0"/>
    <w:rsid w:val="07D64F37"/>
    <w:rsid w:val="07DC05C6"/>
    <w:rsid w:val="07E05F9F"/>
    <w:rsid w:val="07EA934B"/>
    <w:rsid w:val="07EDDF45"/>
    <w:rsid w:val="07EEBB30"/>
    <w:rsid w:val="07EFE86C"/>
    <w:rsid w:val="07F1E17B"/>
    <w:rsid w:val="07F2E6BF"/>
    <w:rsid w:val="07F45592"/>
    <w:rsid w:val="07FF6635"/>
    <w:rsid w:val="0801DD4A"/>
    <w:rsid w:val="080ACBE1"/>
    <w:rsid w:val="080F8545"/>
    <w:rsid w:val="0812921A"/>
    <w:rsid w:val="081D2BAD"/>
    <w:rsid w:val="081DB88A"/>
    <w:rsid w:val="082251A9"/>
    <w:rsid w:val="08255223"/>
    <w:rsid w:val="082E4360"/>
    <w:rsid w:val="082E7284"/>
    <w:rsid w:val="082F5ED8"/>
    <w:rsid w:val="08380B41"/>
    <w:rsid w:val="083854AD"/>
    <w:rsid w:val="083AC064"/>
    <w:rsid w:val="083BA044"/>
    <w:rsid w:val="084217D2"/>
    <w:rsid w:val="08429503"/>
    <w:rsid w:val="0847CF71"/>
    <w:rsid w:val="084EDD76"/>
    <w:rsid w:val="0850384A"/>
    <w:rsid w:val="085471F7"/>
    <w:rsid w:val="08549B8E"/>
    <w:rsid w:val="0859028F"/>
    <w:rsid w:val="0860F5C7"/>
    <w:rsid w:val="0867896C"/>
    <w:rsid w:val="086D9757"/>
    <w:rsid w:val="0874E75F"/>
    <w:rsid w:val="08781378"/>
    <w:rsid w:val="087FEF44"/>
    <w:rsid w:val="08806A62"/>
    <w:rsid w:val="088191A9"/>
    <w:rsid w:val="088A5255"/>
    <w:rsid w:val="088C4EFE"/>
    <w:rsid w:val="088CBE10"/>
    <w:rsid w:val="088DAED9"/>
    <w:rsid w:val="0893B2ED"/>
    <w:rsid w:val="089B89ED"/>
    <w:rsid w:val="089ED409"/>
    <w:rsid w:val="08A7E7C3"/>
    <w:rsid w:val="08A89870"/>
    <w:rsid w:val="08A8EEA5"/>
    <w:rsid w:val="08A990D6"/>
    <w:rsid w:val="08AAB50D"/>
    <w:rsid w:val="08AC12EC"/>
    <w:rsid w:val="08B098DE"/>
    <w:rsid w:val="08C7E4A8"/>
    <w:rsid w:val="08CEEB3F"/>
    <w:rsid w:val="08DADF99"/>
    <w:rsid w:val="08E15506"/>
    <w:rsid w:val="08E395D0"/>
    <w:rsid w:val="08E5BAB4"/>
    <w:rsid w:val="08F1D66F"/>
    <w:rsid w:val="08F295D3"/>
    <w:rsid w:val="08F42239"/>
    <w:rsid w:val="08F4EDB1"/>
    <w:rsid w:val="08F54905"/>
    <w:rsid w:val="08FC3E28"/>
    <w:rsid w:val="08FC9E07"/>
    <w:rsid w:val="08FFB75B"/>
    <w:rsid w:val="0905F6EB"/>
    <w:rsid w:val="0908B9A4"/>
    <w:rsid w:val="0911A0EC"/>
    <w:rsid w:val="091BAF56"/>
    <w:rsid w:val="092649F1"/>
    <w:rsid w:val="092B5C50"/>
    <w:rsid w:val="0930D8E9"/>
    <w:rsid w:val="093928AE"/>
    <w:rsid w:val="0945F784"/>
    <w:rsid w:val="0947A42F"/>
    <w:rsid w:val="09495638"/>
    <w:rsid w:val="094A05F5"/>
    <w:rsid w:val="094BD0A1"/>
    <w:rsid w:val="094C6224"/>
    <w:rsid w:val="09530980"/>
    <w:rsid w:val="09535B8E"/>
    <w:rsid w:val="0954FF5C"/>
    <w:rsid w:val="095B62FA"/>
    <w:rsid w:val="0968114B"/>
    <w:rsid w:val="09692FCB"/>
    <w:rsid w:val="096AAC32"/>
    <w:rsid w:val="0970509E"/>
    <w:rsid w:val="0974BEAC"/>
    <w:rsid w:val="09793392"/>
    <w:rsid w:val="09850064"/>
    <w:rsid w:val="0989F692"/>
    <w:rsid w:val="098C5C8B"/>
    <w:rsid w:val="098DF316"/>
    <w:rsid w:val="098F9EF4"/>
    <w:rsid w:val="09929136"/>
    <w:rsid w:val="09934D17"/>
    <w:rsid w:val="09964177"/>
    <w:rsid w:val="0996648D"/>
    <w:rsid w:val="099987F6"/>
    <w:rsid w:val="099D5A82"/>
    <w:rsid w:val="09A941D3"/>
    <w:rsid w:val="09A9EF13"/>
    <w:rsid w:val="09AB7F0E"/>
    <w:rsid w:val="09B45A9D"/>
    <w:rsid w:val="09C14D10"/>
    <w:rsid w:val="09C248EC"/>
    <w:rsid w:val="09C262AE"/>
    <w:rsid w:val="09C50D22"/>
    <w:rsid w:val="09C5EECB"/>
    <w:rsid w:val="09D0EDD8"/>
    <w:rsid w:val="09D21ACA"/>
    <w:rsid w:val="09D27A2B"/>
    <w:rsid w:val="09DC7CD5"/>
    <w:rsid w:val="09DF12F3"/>
    <w:rsid w:val="09E22BD6"/>
    <w:rsid w:val="09E71DA7"/>
    <w:rsid w:val="09EBB80D"/>
    <w:rsid w:val="09F06604"/>
    <w:rsid w:val="09F14743"/>
    <w:rsid w:val="09F1EC25"/>
    <w:rsid w:val="09F69991"/>
    <w:rsid w:val="09F6D618"/>
    <w:rsid w:val="09FD7ADE"/>
    <w:rsid w:val="0A02A499"/>
    <w:rsid w:val="0A073C44"/>
    <w:rsid w:val="0A110F4A"/>
    <w:rsid w:val="0A12A36F"/>
    <w:rsid w:val="0A1305BD"/>
    <w:rsid w:val="0A1CADAE"/>
    <w:rsid w:val="0A1D11A2"/>
    <w:rsid w:val="0A249E4C"/>
    <w:rsid w:val="0A25F8FF"/>
    <w:rsid w:val="0A33BE80"/>
    <w:rsid w:val="0A34DF17"/>
    <w:rsid w:val="0A3B7658"/>
    <w:rsid w:val="0A3CF514"/>
    <w:rsid w:val="0A3F8552"/>
    <w:rsid w:val="0A49EB0B"/>
    <w:rsid w:val="0A4A7640"/>
    <w:rsid w:val="0A4F2329"/>
    <w:rsid w:val="0A5989D2"/>
    <w:rsid w:val="0A60D9E2"/>
    <w:rsid w:val="0A6BDF2F"/>
    <w:rsid w:val="0A7831BE"/>
    <w:rsid w:val="0A79256F"/>
    <w:rsid w:val="0A7A8A50"/>
    <w:rsid w:val="0A7D8DFC"/>
    <w:rsid w:val="0A7DFDE5"/>
    <w:rsid w:val="0A81A650"/>
    <w:rsid w:val="0A81D98B"/>
    <w:rsid w:val="0A857727"/>
    <w:rsid w:val="0A879957"/>
    <w:rsid w:val="0A8DEB6C"/>
    <w:rsid w:val="0A8E6B4E"/>
    <w:rsid w:val="0A9055CA"/>
    <w:rsid w:val="0A90E330"/>
    <w:rsid w:val="0A91E587"/>
    <w:rsid w:val="0A92E962"/>
    <w:rsid w:val="0A98DF14"/>
    <w:rsid w:val="0A9C4D2F"/>
    <w:rsid w:val="0A9FDE7C"/>
    <w:rsid w:val="0AA0BF1D"/>
    <w:rsid w:val="0AA1E467"/>
    <w:rsid w:val="0AA2AA76"/>
    <w:rsid w:val="0AA4A6D9"/>
    <w:rsid w:val="0AA57592"/>
    <w:rsid w:val="0AA9D503"/>
    <w:rsid w:val="0AB500F2"/>
    <w:rsid w:val="0AB5654C"/>
    <w:rsid w:val="0AB702DB"/>
    <w:rsid w:val="0AC4ED3E"/>
    <w:rsid w:val="0AC71BF1"/>
    <w:rsid w:val="0ACAA2F4"/>
    <w:rsid w:val="0ACE69B6"/>
    <w:rsid w:val="0ACFF9B0"/>
    <w:rsid w:val="0AD4247F"/>
    <w:rsid w:val="0AD493E3"/>
    <w:rsid w:val="0AD68DCB"/>
    <w:rsid w:val="0AD738F4"/>
    <w:rsid w:val="0ADB08BF"/>
    <w:rsid w:val="0ADF2353"/>
    <w:rsid w:val="0AE189B4"/>
    <w:rsid w:val="0AE58416"/>
    <w:rsid w:val="0AE5B0C1"/>
    <w:rsid w:val="0AE6868D"/>
    <w:rsid w:val="0AE932D9"/>
    <w:rsid w:val="0AE9A238"/>
    <w:rsid w:val="0AEB99EF"/>
    <w:rsid w:val="0AEF5567"/>
    <w:rsid w:val="0AF307C9"/>
    <w:rsid w:val="0AF54D27"/>
    <w:rsid w:val="0AF5F9FD"/>
    <w:rsid w:val="0AF907ED"/>
    <w:rsid w:val="0B014E03"/>
    <w:rsid w:val="0B05DD93"/>
    <w:rsid w:val="0B06C405"/>
    <w:rsid w:val="0B111E2F"/>
    <w:rsid w:val="0B12EFA3"/>
    <w:rsid w:val="0B13E17B"/>
    <w:rsid w:val="0B152FC7"/>
    <w:rsid w:val="0B169C9B"/>
    <w:rsid w:val="0B1D995B"/>
    <w:rsid w:val="0B2050FE"/>
    <w:rsid w:val="0B231003"/>
    <w:rsid w:val="0B2619AE"/>
    <w:rsid w:val="0B2717BB"/>
    <w:rsid w:val="0B271D70"/>
    <w:rsid w:val="0B2795D3"/>
    <w:rsid w:val="0B2ED77B"/>
    <w:rsid w:val="0B32C82E"/>
    <w:rsid w:val="0B337157"/>
    <w:rsid w:val="0B33EB40"/>
    <w:rsid w:val="0B362537"/>
    <w:rsid w:val="0B3F27F0"/>
    <w:rsid w:val="0B43BC13"/>
    <w:rsid w:val="0B43E06D"/>
    <w:rsid w:val="0B44F845"/>
    <w:rsid w:val="0B489B32"/>
    <w:rsid w:val="0B494F9F"/>
    <w:rsid w:val="0B4BD6A5"/>
    <w:rsid w:val="0B4E82BB"/>
    <w:rsid w:val="0B4F4227"/>
    <w:rsid w:val="0B5B358D"/>
    <w:rsid w:val="0B5DDC6D"/>
    <w:rsid w:val="0B6B63B9"/>
    <w:rsid w:val="0B6CD452"/>
    <w:rsid w:val="0B732DED"/>
    <w:rsid w:val="0B736029"/>
    <w:rsid w:val="0B84A573"/>
    <w:rsid w:val="0B84DC0B"/>
    <w:rsid w:val="0B8886EF"/>
    <w:rsid w:val="0B8CAB05"/>
    <w:rsid w:val="0B8F5FB4"/>
    <w:rsid w:val="0B94891A"/>
    <w:rsid w:val="0B96D102"/>
    <w:rsid w:val="0B9DE638"/>
    <w:rsid w:val="0BA17752"/>
    <w:rsid w:val="0BA3E3E0"/>
    <w:rsid w:val="0BB44147"/>
    <w:rsid w:val="0BB6D9D1"/>
    <w:rsid w:val="0BB9A69F"/>
    <w:rsid w:val="0BBA7FEA"/>
    <w:rsid w:val="0BBBBF0D"/>
    <w:rsid w:val="0BC2562A"/>
    <w:rsid w:val="0BC4DA08"/>
    <w:rsid w:val="0BC571B3"/>
    <w:rsid w:val="0BC820A5"/>
    <w:rsid w:val="0BCA1B02"/>
    <w:rsid w:val="0BCB2079"/>
    <w:rsid w:val="0BCCB3DB"/>
    <w:rsid w:val="0BCDA4C9"/>
    <w:rsid w:val="0BCF1479"/>
    <w:rsid w:val="0BD99447"/>
    <w:rsid w:val="0BDD748D"/>
    <w:rsid w:val="0BE1CE9E"/>
    <w:rsid w:val="0BEC7387"/>
    <w:rsid w:val="0BF2284E"/>
    <w:rsid w:val="0BF4C28B"/>
    <w:rsid w:val="0BF72713"/>
    <w:rsid w:val="0BF8083C"/>
    <w:rsid w:val="0BF91FF0"/>
    <w:rsid w:val="0C01A954"/>
    <w:rsid w:val="0C042FE8"/>
    <w:rsid w:val="0C06E1D1"/>
    <w:rsid w:val="0C088A1D"/>
    <w:rsid w:val="0C0E7E54"/>
    <w:rsid w:val="0C0EAEBC"/>
    <w:rsid w:val="0C11481E"/>
    <w:rsid w:val="0C1692D8"/>
    <w:rsid w:val="0C16C50A"/>
    <w:rsid w:val="0C171E1A"/>
    <w:rsid w:val="0C1B0324"/>
    <w:rsid w:val="0C21AA3E"/>
    <w:rsid w:val="0C2864BA"/>
    <w:rsid w:val="0C298417"/>
    <w:rsid w:val="0C3304FE"/>
    <w:rsid w:val="0C3A0176"/>
    <w:rsid w:val="0C484C8A"/>
    <w:rsid w:val="0C4DF3F2"/>
    <w:rsid w:val="0C4E82E0"/>
    <w:rsid w:val="0C4EE65F"/>
    <w:rsid w:val="0C580539"/>
    <w:rsid w:val="0C587A9C"/>
    <w:rsid w:val="0C5D3A74"/>
    <w:rsid w:val="0C5DD4C5"/>
    <w:rsid w:val="0C6B0BCD"/>
    <w:rsid w:val="0C6F5190"/>
    <w:rsid w:val="0C71F015"/>
    <w:rsid w:val="0C72EB8C"/>
    <w:rsid w:val="0C741FBC"/>
    <w:rsid w:val="0C7B8062"/>
    <w:rsid w:val="0C7B9564"/>
    <w:rsid w:val="0C8C8963"/>
    <w:rsid w:val="0C8DED4A"/>
    <w:rsid w:val="0C91848C"/>
    <w:rsid w:val="0C91983A"/>
    <w:rsid w:val="0C939EAB"/>
    <w:rsid w:val="0C9794FE"/>
    <w:rsid w:val="0C97CAFF"/>
    <w:rsid w:val="0C9801C3"/>
    <w:rsid w:val="0C9A04E6"/>
    <w:rsid w:val="0C9A6A3B"/>
    <w:rsid w:val="0C9C9F99"/>
    <w:rsid w:val="0C9E45BC"/>
    <w:rsid w:val="0C9ECFDA"/>
    <w:rsid w:val="0CA24A56"/>
    <w:rsid w:val="0CA35A47"/>
    <w:rsid w:val="0CA76AA2"/>
    <w:rsid w:val="0CAA38D2"/>
    <w:rsid w:val="0CAA6D40"/>
    <w:rsid w:val="0CBC0C30"/>
    <w:rsid w:val="0CBD918F"/>
    <w:rsid w:val="0CBDB178"/>
    <w:rsid w:val="0CBFAD9A"/>
    <w:rsid w:val="0CBFE365"/>
    <w:rsid w:val="0CCCE654"/>
    <w:rsid w:val="0CCDFF12"/>
    <w:rsid w:val="0CD03125"/>
    <w:rsid w:val="0CD09E57"/>
    <w:rsid w:val="0CD55DCF"/>
    <w:rsid w:val="0CDAE30A"/>
    <w:rsid w:val="0CE22B54"/>
    <w:rsid w:val="0CE30EEC"/>
    <w:rsid w:val="0CE4C6DF"/>
    <w:rsid w:val="0CE7BC1A"/>
    <w:rsid w:val="0CE829F6"/>
    <w:rsid w:val="0CE9C772"/>
    <w:rsid w:val="0CEBDA81"/>
    <w:rsid w:val="0CF4CA18"/>
    <w:rsid w:val="0CF868AE"/>
    <w:rsid w:val="0CF8C346"/>
    <w:rsid w:val="0CF92B49"/>
    <w:rsid w:val="0D01660A"/>
    <w:rsid w:val="0D026F89"/>
    <w:rsid w:val="0D047BC9"/>
    <w:rsid w:val="0D063F11"/>
    <w:rsid w:val="0D0709C0"/>
    <w:rsid w:val="0D07FB07"/>
    <w:rsid w:val="0D1F5DDF"/>
    <w:rsid w:val="0D1FBE9D"/>
    <w:rsid w:val="0D248DB3"/>
    <w:rsid w:val="0D24E00A"/>
    <w:rsid w:val="0D288726"/>
    <w:rsid w:val="0D2D256D"/>
    <w:rsid w:val="0D2DB239"/>
    <w:rsid w:val="0D2FE8F1"/>
    <w:rsid w:val="0D328B20"/>
    <w:rsid w:val="0D35A621"/>
    <w:rsid w:val="0D368D38"/>
    <w:rsid w:val="0D3794EC"/>
    <w:rsid w:val="0D3B231C"/>
    <w:rsid w:val="0D3C3A92"/>
    <w:rsid w:val="0D3CFA6C"/>
    <w:rsid w:val="0D433C2B"/>
    <w:rsid w:val="0D4B581D"/>
    <w:rsid w:val="0D4FBCA3"/>
    <w:rsid w:val="0D51274E"/>
    <w:rsid w:val="0D56A42B"/>
    <w:rsid w:val="0D589EFD"/>
    <w:rsid w:val="0D5C97D8"/>
    <w:rsid w:val="0D5CEAF5"/>
    <w:rsid w:val="0D6B0630"/>
    <w:rsid w:val="0D7C2D26"/>
    <w:rsid w:val="0D7E2A20"/>
    <w:rsid w:val="0D81FF41"/>
    <w:rsid w:val="0D8EB18C"/>
    <w:rsid w:val="0D918249"/>
    <w:rsid w:val="0D940186"/>
    <w:rsid w:val="0D9A5825"/>
    <w:rsid w:val="0DA43843"/>
    <w:rsid w:val="0DA48771"/>
    <w:rsid w:val="0DA4E72C"/>
    <w:rsid w:val="0DAD35B2"/>
    <w:rsid w:val="0DB10A8F"/>
    <w:rsid w:val="0DB2141E"/>
    <w:rsid w:val="0DBCC022"/>
    <w:rsid w:val="0DBFDD8E"/>
    <w:rsid w:val="0DBFE290"/>
    <w:rsid w:val="0DC34C0E"/>
    <w:rsid w:val="0DC4BE73"/>
    <w:rsid w:val="0DC89B1C"/>
    <w:rsid w:val="0DD43C83"/>
    <w:rsid w:val="0DD4A44A"/>
    <w:rsid w:val="0DD80557"/>
    <w:rsid w:val="0DD83797"/>
    <w:rsid w:val="0DDC4D21"/>
    <w:rsid w:val="0DDCA39D"/>
    <w:rsid w:val="0DE12FE9"/>
    <w:rsid w:val="0DEAF0FB"/>
    <w:rsid w:val="0DF13E33"/>
    <w:rsid w:val="0DF557D4"/>
    <w:rsid w:val="0DF67DDE"/>
    <w:rsid w:val="0DFA0C72"/>
    <w:rsid w:val="0DFE0981"/>
    <w:rsid w:val="0E0555CA"/>
    <w:rsid w:val="0E06E379"/>
    <w:rsid w:val="0E12E302"/>
    <w:rsid w:val="0E132976"/>
    <w:rsid w:val="0E14E7E1"/>
    <w:rsid w:val="0E1BE541"/>
    <w:rsid w:val="0E200118"/>
    <w:rsid w:val="0E20288A"/>
    <w:rsid w:val="0E235DC6"/>
    <w:rsid w:val="0E260E86"/>
    <w:rsid w:val="0E29F9F8"/>
    <w:rsid w:val="0E2B5F81"/>
    <w:rsid w:val="0E2F576B"/>
    <w:rsid w:val="0E352ECC"/>
    <w:rsid w:val="0E37741B"/>
    <w:rsid w:val="0E3F2441"/>
    <w:rsid w:val="0E42FFE1"/>
    <w:rsid w:val="0E453534"/>
    <w:rsid w:val="0E493FE5"/>
    <w:rsid w:val="0E4E8DAC"/>
    <w:rsid w:val="0E4FDA8B"/>
    <w:rsid w:val="0E524299"/>
    <w:rsid w:val="0E54A2A5"/>
    <w:rsid w:val="0E5777EA"/>
    <w:rsid w:val="0E5E0D70"/>
    <w:rsid w:val="0E6498FD"/>
    <w:rsid w:val="0E65BD69"/>
    <w:rsid w:val="0E6743B5"/>
    <w:rsid w:val="0E6943B7"/>
    <w:rsid w:val="0E70D94A"/>
    <w:rsid w:val="0E75D98A"/>
    <w:rsid w:val="0E7B6CA8"/>
    <w:rsid w:val="0E80A2A6"/>
    <w:rsid w:val="0E860712"/>
    <w:rsid w:val="0E88D49F"/>
    <w:rsid w:val="0E89B2F7"/>
    <w:rsid w:val="0E91CA24"/>
    <w:rsid w:val="0E954B40"/>
    <w:rsid w:val="0E992C96"/>
    <w:rsid w:val="0E9ED138"/>
    <w:rsid w:val="0EA5E0EF"/>
    <w:rsid w:val="0EA99015"/>
    <w:rsid w:val="0EACE559"/>
    <w:rsid w:val="0EB2459D"/>
    <w:rsid w:val="0EB90441"/>
    <w:rsid w:val="0EBEE36F"/>
    <w:rsid w:val="0EC06D37"/>
    <w:rsid w:val="0EC59AD0"/>
    <w:rsid w:val="0EC60345"/>
    <w:rsid w:val="0EC661DD"/>
    <w:rsid w:val="0EC8FE40"/>
    <w:rsid w:val="0EC9305E"/>
    <w:rsid w:val="0ECA1CEF"/>
    <w:rsid w:val="0ECCF119"/>
    <w:rsid w:val="0ECE4E8B"/>
    <w:rsid w:val="0ECEB150"/>
    <w:rsid w:val="0ED08CA6"/>
    <w:rsid w:val="0ED11D26"/>
    <w:rsid w:val="0ED3AEA9"/>
    <w:rsid w:val="0ED659C0"/>
    <w:rsid w:val="0ED7FB04"/>
    <w:rsid w:val="0EDB80F1"/>
    <w:rsid w:val="0EDF16BC"/>
    <w:rsid w:val="0EDFB4EF"/>
    <w:rsid w:val="0EEFA7C1"/>
    <w:rsid w:val="0EF8CCC8"/>
    <w:rsid w:val="0EFE3381"/>
    <w:rsid w:val="0F037F1F"/>
    <w:rsid w:val="0F03F1AC"/>
    <w:rsid w:val="0F06DDE4"/>
    <w:rsid w:val="0F0818F1"/>
    <w:rsid w:val="0F0D2B51"/>
    <w:rsid w:val="0F0DB865"/>
    <w:rsid w:val="0F0F470C"/>
    <w:rsid w:val="0F194479"/>
    <w:rsid w:val="0F224A85"/>
    <w:rsid w:val="0F2401DC"/>
    <w:rsid w:val="0F29244B"/>
    <w:rsid w:val="0F2982EA"/>
    <w:rsid w:val="0F32EF8F"/>
    <w:rsid w:val="0F374F3D"/>
    <w:rsid w:val="0F413598"/>
    <w:rsid w:val="0F4284BC"/>
    <w:rsid w:val="0F438A10"/>
    <w:rsid w:val="0F4753BB"/>
    <w:rsid w:val="0F4BE68F"/>
    <w:rsid w:val="0F4C1F0A"/>
    <w:rsid w:val="0F4C6985"/>
    <w:rsid w:val="0F4D4BBF"/>
    <w:rsid w:val="0F4E7ED3"/>
    <w:rsid w:val="0F517954"/>
    <w:rsid w:val="0F551D98"/>
    <w:rsid w:val="0F55CD26"/>
    <w:rsid w:val="0F5AA79C"/>
    <w:rsid w:val="0F61CA3F"/>
    <w:rsid w:val="0F65D9E3"/>
    <w:rsid w:val="0F6A0013"/>
    <w:rsid w:val="0F7A60BD"/>
    <w:rsid w:val="0F81BE8B"/>
    <w:rsid w:val="0F82C7E4"/>
    <w:rsid w:val="0F8CE2A0"/>
    <w:rsid w:val="0F92D3CB"/>
    <w:rsid w:val="0F9389DA"/>
    <w:rsid w:val="0F989F91"/>
    <w:rsid w:val="0FA0016E"/>
    <w:rsid w:val="0FA5B8C6"/>
    <w:rsid w:val="0FA66295"/>
    <w:rsid w:val="0FACA581"/>
    <w:rsid w:val="0FAFCAEE"/>
    <w:rsid w:val="0FB0F794"/>
    <w:rsid w:val="0FB1CAE3"/>
    <w:rsid w:val="0FB8E884"/>
    <w:rsid w:val="0FB97801"/>
    <w:rsid w:val="0FC05E2D"/>
    <w:rsid w:val="0FC0D2B7"/>
    <w:rsid w:val="0FCCE2FE"/>
    <w:rsid w:val="0FCE6619"/>
    <w:rsid w:val="0FDA5A7F"/>
    <w:rsid w:val="0FDF1642"/>
    <w:rsid w:val="0FE8AD03"/>
    <w:rsid w:val="0FE9470D"/>
    <w:rsid w:val="0FE9DA6F"/>
    <w:rsid w:val="0FED7A14"/>
    <w:rsid w:val="0FF42FD5"/>
    <w:rsid w:val="0FF4E2F6"/>
    <w:rsid w:val="0FF65155"/>
    <w:rsid w:val="10010ECD"/>
    <w:rsid w:val="10026503"/>
    <w:rsid w:val="1003E713"/>
    <w:rsid w:val="1006196C"/>
    <w:rsid w:val="1008F812"/>
    <w:rsid w:val="100B1A72"/>
    <w:rsid w:val="100B8D59"/>
    <w:rsid w:val="101099E7"/>
    <w:rsid w:val="10141526"/>
    <w:rsid w:val="10195F70"/>
    <w:rsid w:val="101A5904"/>
    <w:rsid w:val="101DDAB2"/>
    <w:rsid w:val="10275576"/>
    <w:rsid w:val="1027FF07"/>
    <w:rsid w:val="103015E3"/>
    <w:rsid w:val="10311F08"/>
    <w:rsid w:val="1031C6B9"/>
    <w:rsid w:val="103498C6"/>
    <w:rsid w:val="10365785"/>
    <w:rsid w:val="103C574D"/>
    <w:rsid w:val="1044D47C"/>
    <w:rsid w:val="10482675"/>
    <w:rsid w:val="104904BC"/>
    <w:rsid w:val="104B921C"/>
    <w:rsid w:val="104CFACD"/>
    <w:rsid w:val="104E2482"/>
    <w:rsid w:val="104F1CFF"/>
    <w:rsid w:val="1053B2A0"/>
    <w:rsid w:val="10563366"/>
    <w:rsid w:val="105D0A73"/>
    <w:rsid w:val="105DB9A5"/>
    <w:rsid w:val="105FC175"/>
    <w:rsid w:val="1065C032"/>
    <w:rsid w:val="10669158"/>
    <w:rsid w:val="1069579F"/>
    <w:rsid w:val="10777B68"/>
    <w:rsid w:val="107C52A4"/>
    <w:rsid w:val="107DE7A3"/>
    <w:rsid w:val="10806731"/>
    <w:rsid w:val="10824E3A"/>
    <w:rsid w:val="108528D6"/>
    <w:rsid w:val="1085D936"/>
    <w:rsid w:val="108AC34D"/>
    <w:rsid w:val="108B2E3B"/>
    <w:rsid w:val="108C2ECA"/>
    <w:rsid w:val="108F44E6"/>
    <w:rsid w:val="1090455B"/>
    <w:rsid w:val="1092685C"/>
    <w:rsid w:val="10993356"/>
    <w:rsid w:val="10A3DA0C"/>
    <w:rsid w:val="10A541AF"/>
    <w:rsid w:val="10AA3497"/>
    <w:rsid w:val="10AD39BD"/>
    <w:rsid w:val="10AD3A59"/>
    <w:rsid w:val="10B19C93"/>
    <w:rsid w:val="10BA0085"/>
    <w:rsid w:val="10BC4CF0"/>
    <w:rsid w:val="10C03E63"/>
    <w:rsid w:val="10C332BE"/>
    <w:rsid w:val="10C5D36D"/>
    <w:rsid w:val="10C6DC07"/>
    <w:rsid w:val="10C9A0A1"/>
    <w:rsid w:val="10CC336C"/>
    <w:rsid w:val="10D3B845"/>
    <w:rsid w:val="10D7BB18"/>
    <w:rsid w:val="10DC7FBD"/>
    <w:rsid w:val="10DF41C7"/>
    <w:rsid w:val="10E2114C"/>
    <w:rsid w:val="10E3DAB7"/>
    <w:rsid w:val="10E64526"/>
    <w:rsid w:val="10E79C5D"/>
    <w:rsid w:val="10E8305D"/>
    <w:rsid w:val="10EDF437"/>
    <w:rsid w:val="10EF2327"/>
    <w:rsid w:val="10F15858"/>
    <w:rsid w:val="10F2A0D3"/>
    <w:rsid w:val="10F2A636"/>
    <w:rsid w:val="10F41C4F"/>
    <w:rsid w:val="10F60B3E"/>
    <w:rsid w:val="10F7072B"/>
    <w:rsid w:val="1101D730"/>
    <w:rsid w:val="110249AF"/>
    <w:rsid w:val="11033971"/>
    <w:rsid w:val="1103B8A4"/>
    <w:rsid w:val="11052EBE"/>
    <w:rsid w:val="110FA8CD"/>
    <w:rsid w:val="111438FD"/>
    <w:rsid w:val="111877F5"/>
    <w:rsid w:val="111890B4"/>
    <w:rsid w:val="111C18F2"/>
    <w:rsid w:val="111C1C03"/>
    <w:rsid w:val="111EC9D3"/>
    <w:rsid w:val="1121E65A"/>
    <w:rsid w:val="1124234A"/>
    <w:rsid w:val="1126644B"/>
    <w:rsid w:val="112B5E40"/>
    <w:rsid w:val="112B8047"/>
    <w:rsid w:val="11305FB1"/>
    <w:rsid w:val="1130B7D5"/>
    <w:rsid w:val="1141547B"/>
    <w:rsid w:val="1142061E"/>
    <w:rsid w:val="1142AF09"/>
    <w:rsid w:val="1142F4BD"/>
    <w:rsid w:val="11436D92"/>
    <w:rsid w:val="11462350"/>
    <w:rsid w:val="114CE444"/>
    <w:rsid w:val="11547519"/>
    <w:rsid w:val="1157ADE0"/>
    <w:rsid w:val="1159F62D"/>
    <w:rsid w:val="116371EE"/>
    <w:rsid w:val="1169E828"/>
    <w:rsid w:val="116CFE5D"/>
    <w:rsid w:val="116F3916"/>
    <w:rsid w:val="116F96D2"/>
    <w:rsid w:val="11713DDA"/>
    <w:rsid w:val="1173FB55"/>
    <w:rsid w:val="1177C1A8"/>
    <w:rsid w:val="11868D11"/>
    <w:rsid w:val="1187F4D1"/>
    <w:rsid w:val="118A2F45"/>
    <w:rsid w:val="118FDB82"/>
    <w:rsid w:val="119050A2"/>
    <w:rsid w:val="11939E03"/>
    <w:rsid w:val="11964076"/>
    <w:rsid w:val="1196E867"/>
    <w:rsid w:val="119BEE48"/>
    <w:rsid w:val="11A595B7"/>
    <w:rsid w:val="11A73FF6"/>
    <w:rsid w:val="11AA74C5"/>
    <w:rsid w:val="11AD495E"/>
    <w:rsid w:val="11AD4C1B"/>
    <w:rsid w:val="11ADBD78"/>
    <w:rsid w:val="11B2E34E"/>
    <w:rsid w:val="11B430D8"/>
    <w:rsid w:val="11BD26BF"/>
    <w:rsid w:val="11C21712"/>
    <w:rsid w:val="11CA5B99"/>
    <w:rsid w:val="11CB0FCE"/>
    <w:rsid w:val="11CC9923"/>
    <w:rsid w:val="11D69A3E"/>
    <w:rsid w:val="11DDAC71"/>
    <w:rsid w:val="11E02000"/>
    <w:rsid w:val="11EAE8C4"/>
    <w:rsid w:val="11F16905"/>
    <w:rsid w:val="11F31EC1"/>
    <w:rsid w:val="11FE98CF"/>
    <w:rsid w:val="12035448"/>
    <w:rsid w:val="12046E95"/>
    <w:rsid w:val="120548F2"/>
    <w:rsid w:val="1205ED35"/>
    <w:rsid w:val="12087462"/>
    <w:rsid w:val="1213FD9D"/>
    <w:rsid w:val="121D6A2E"/>
    <w:rsid w:val="12245DA5"/>
    <w:rsid w:val="12268963"/>
    <w:rsid w:val="122A731C"/>
    <w:rsid w:val="122DBF29"/>
    <w:rsid w:val="12337669"/>
    <w:rsid w:val="1238B265"/>
    <w:rsid w:val="1238EF20"/>
    <w:rsid w:val="1239C71D"/>
    <w:rsid w:val="123AACCC"/>
    <w:rsid w:val="1242A063"/>
    <w:rsid w:val="1244F5B2"/>
    <w:rsid w:val="124A405E"/>
    <w:rsid w:val="125398D4"/>
    <w:rsid w:val="125765DE"/>
    <w:rsid w:val="12579CB3"/>
    <w:rsid w:val="1259376A"/>
    <w:rsid w:val="1266952A"/>
    <w:rsid w:val="126A5CCE"/>
    <w:rsid w:val="127199F0"/>
    <w:rsid w:val="127237E4"/>
    <w:rsid w:val="127AAD82"/>
    <w:rsid w:val="127E5ECA"/>
    <w:rsid w:val="1280F65F"/>
    <w:rsid w:val="12859448"/>
    <w:rsid w:val="128C2888"/>
    <w:rsid w:val="128D7E28"/>
    <w:rsid w:val="12924682"/>
    <w:rsid w:val="12924996"/>
    <w:rsid w:val="12945BEC"/>
    <w:rsid w:val="12961AD4"/>
    <w:rsid w:val="12977A23"/>
    <w:rsid w:val="129B38A7"/>
    <w:rsid w:val="129CF280"/>
    <w:rsid w:val="129D2E6B"/>
    <w:rsid w:val="12A86577"/>
    <w:rsid w:val="12AB6C8F"/>
    <w:rsid w:val="12ABF087"/>
    <w:rsid w:val="12ADCA1C"/>
    <w:rsid w:val="12AE7527"/>
    <w:rsid w:val="12B0FAB3"/>
    <w:rsid w:val="12B74C4A"/>
    <w:rsid w:val="12B9463F"/>
    <w:rsid w:val="12BF32BF"/>
    <w:rsid w:val="12CFD6A9"/>
    <w:rsid w:val="12D97695"/>
    <w:rsid w:val="12D98426"/>
    <w:rsid w:val="12DDFC7E"/>
    <w:rsid w:val="12E81B73"/>
    <w:rsid w:val="12E891BD"/>
    <w:rsid w:val="12EB4032"/>
    <w:rsid w:val="12F8185C"/>
    <w:rsid w:val="12FEA1D5"/>
    <w:rsid w:val="1304DD20"/>
    <w:rsid w:val="13063127"/>
    <w:rsid w:val="130CC0A1"/>
    <w:rsid w:val="13102E68"/>
    <w:rsid w:val="13137BC8"/>
    <w:rsid w:val="131645B6"/>
    <w:rsid w:val="131D4E45"/>
    <w:rsid w:val="13221F6B"/>
    <w:rsid w:val="1325E426"/>
    <w:rsid w:val="132690ED"/>
    <w:rsid w:val="1332617C"/>
    <w:rsid w:val="133E4DCB"/>
    <w:rsid w:val="13460CB9"/>
    <w:rsid w:val="1350346F"/>
    <w:rsid w:val="1351B8F9"/>
    <w:rsid w:val="1352CEE1"/>
    <w:rsid w:val="13565AA9"/>
    <w:rsid w:val="13611A7D"/>
    <w:rsid w:val="13614780"/>
    <w:rsid w:val="136251EE"/>
    <w:rsid w:val="136283C2"/>
    <w:rsid w:val="13658E1E"/>
    <w:rsid w:val="1366A6CF"/>
    <w:rsid w:val="136AE745"/>
    <w:rsid w:val="136E08D2"/>
    <w:rsid w:val="13729697"/>
    <w:rsid w:val="137803B7"/>
    <w:rsid w:val="13780C91"/>
    <w:rsid w:val="137BE569"/>
    <w:rsid w:val="137EF334"/>
    <w:rsid w:val="138340EF"/>
    <w:rsid w:val="138AC65F"/>
    <w:rsid w:val="138C23B1"/>
    <w:rsid w:val="13919F9A"/>
    <w:rsid w:val="13999119"/>
    <w:rsid w:val="139BF8E6"/>
    <w:rsid w:val="139ED2AB"/>
    <w:rsid w:val="13A67517"/>
    <w:rsid w:val="13A8A17B"/>
    <w:rsid w:val="13AA3149"/>
    <w:rsid w:val="13AD3DAF"/>
    <w:rsid w:val="13B3AB00"/>
    <w:rsid w:val="13BA6599"/>
    <w:rsid w:val="13BDD2C3"/>
    <w:rsid w:val="13CD65DF"/>
    <w:rsid w:val="13D03CA0"/>
    <w:rsid w:val="13D80B0C"/>
    <w:rsid w:val="13DE893E"/>
    <w:rsid w:val="13E35D7D"/>
    <w:rsid w:val="13EAC248"/>
    <w:rsid w:val="13EAE57D"/>
    <w:rsid w:val="13EFD405"/>
    <w:rsid w:val="13F3C686"/>
    <w:rsid w:val="13F65619"/>
    <w:rsid w:val="140259EA"/>
    <w:rsid w:val="140371B4"/>
    <w:rsid w:val="1403BB4F"/>
    <w:rsid w:val="1404C5A0"/>
    <w:rsid w:val="1407A34E"/>
    <w:rsid w:val="140A5B17"/>
    <w:rsid w:val="141955CE"/>
    <w:rsid w:val="141BC5AE"/>
    <w:rsid w:val="141C7BC3"/>
    <w:rsid w:val="141CCF2A"/>
    <w:rsid w:val="1424AA88"/>
    <w:rsid w:val="1424EE86"/>
    <w:rsid w:val="1427B742"/>
    <w:rsid w:val="14316913"/>
    <w:rsid w:val="143567B3"/>
    <w:rsid w:val="1435D969"/>
    <w:rsid w:val="14364E6C"/>
    <w:rsid w:val="1436E004"/>
    <w:rsid w:val="1439C1DD"/>
    <w:rsid w:val="143E658C"/>
    <w:rsid w:val="1440C6B7"/>
    <w:rsid w:val="14422838"/>
    <w:rsid w:val="14522E9A"/>
    <w:rsid w:val="14536ECF"/>
    <w:rsid w:val="1453A147"/>
    <w:rsid w:val="14727710"/>
    <w:rsid w:val="14751A07"/>
    <w:rsid w:val="147C9780"/>
    <w:rsid w:val="147FA13D"/>
    <w:rsid w:val="148966F9"/>
    <w:rsid w:val="1489DF50"/>
    <w:rsid w:val="1489F806"/>
    <w:rsid w:val="148A170C"/>
    <w:rsid w:val="14960CE8"/>
    <w:rsid w:val="149CDED4"/>
    <w:rsid w:val="149F34D4"/>
    <w:rsid w:val="14A86787"/>
    <w:rsid w:val="14AF8A28"/>
    <w:rsid w:val="14B83D08"/>
    <w:rsid w:val="14BA939D"/>
    <w:rsid w:val="14C46576"/>
    <w:rsid w:val="14C696F8"/>
    <w:rsid w:val="14CA4FDB"/>
    <w:rsid w:val="14CB3050"/>
    <w:rsid w:val="14CB8B11"/>
    <w:rsid w:val="14D2081F"/>
    <w:rsid w:val="14D2A1DB"/>
    <w:rsid w:val="14D716D1"/>
    <w:rsid w:val="14DB60C8"/>
    <w:rsid w:val="14E0AC96"/>
    <w:rsid w:val="14E384B9"/>
    <w:rsid w:val="14F5E403"/>
    <w:rsid w:val="14F9810C"/>
    <w:rsid w:val="14FDE2B4"/>
    <w:rsid w:val="15028859"/>
    <w:rsid w:val="150711E2"/>
    <w:rsid w:val="150FB559"/>
    <w:rsid w:val="1512C7C2"/>
    <w:rsid w:val="151B6E26"/>
    <w:rsid w:val="152680EB"/>
    <w:rsid w:val="1530F654"/>
    <w:rsid w:val="15321857"/>
    <w:rsid w:val="15353D72"/>
    <w:rsid w:val="15357A17"/>
    <w:rsid w:val="153793C8"/>
    <w:rsid w:val="1538EF24"/>
    <w:rsid w:val="154471DC"/>
    <w:rsid w:val="15474292"/>
    <w:rsid w:val="154935A7"/>
    <w:rsid w:val="154FC097"/>
    <w:rsid w:val="154FF83D"/>
    <w:rsid w:val="155A35C7"/>
    <w:rsid w:val="155A8371"/>
    <w:rsid w:val="155DF211"/>
    <w:rsid w:val="15616875"/>
    <w:rsid w:val="15638025"/>
    <w:rsid w:val="1564A4A4"/>
    <w:rsid w:val="1564F50B"/>
    <w:rsid w:val="156B97AF"/>
    <w:rsid w:val="15760931"/>
    <w:rsid w:val="157624E2"/>
    <w:rsid w:val="15821A41"/>
    <w:rsid w:val="15829E3C"/>
    <w:rsid w:val="15851D95"/>
    <w:rsid w:val="1590CD78"/>
    <w:rsid w:val="159D7212"/>
    <w:rsid w:val="159FD203"/>
    <w:rsid w:val="159FE93B"/>
    <w:rsid w:val="15A030C2"/>
    <w:rsid w:val="15A133D2"/>
    <w:rsid w:val="15A22806"/>
    <w:rsid w:val="15A3984C"/>
    <w:rsid w:val="15AE3A3C"/>
    <w:rsid w:val="15B0F9FD"/>
    <w:rsid w:val="15B59C79"/>
    <w:rsid w:val="15B5AE24"/>
    <w:rsid w:val="15BD2AE9"/>
    <w:rsid w:val="15BFC2DE"/>
    <w:rsid w:val="15C25846"/>
    <w:rsid w:val="15C4B453"/>
    <w:rsid w:val="15C8C717"/>
    <w:rsid w:val="15C9BDFF"/>
    <w:rsid w:val="15CE33EA"/>
    <w:rsid w:val="15D14FA1"/>
    <w:rsid w:val="15D1ADD5"/>
    <w:rsid w:val="15D28D19"/>
    <w:rsid w:val="15DD69FA"/>
    <w:rsid w:val="15E0D08B"/>
    <w:rsid w:val="15E28C20"/>
    <w:rsid w:val="15E4D70F"/>
    <w:rsid w:val="15E72A83"/>
    <w:rsid w:val="15E75687"/>
    <w:rsid w:val="15EA4F86"/>
    <w:rsid w:val="15ED47A5"/>
    <w:rsid w:val="15F08E87"/>
    <w:rsid w:val="15F2F38C"/>
    <w:rsid w:val="15F6FBE7"/>
    <w:rsid w:val="15F8B587"/>
    <w:rsid w:val="15FB4038"/>
    <w:rsid w:val="15FCC02A"/>
    <w:rsid w:val="15FD5CFE"/>
    <w:rsid w:val="16042F8A"/>
    <w:rsid w:val="160883E8"/>
    <w:rsid w:val="1608BD05"/>
    <w:rsid w:val="160BED4E"/>
    <w:rsid w:val="160D01B0"/>
    <w:rsid w:val="161D4188"/>
    <w:rsid w:val="16226D72"/>
    <w:rsid w:val="1625442C"/>
    <w:rsid w:val="162672D4"/>
    <w:rsid w:val="16296395"/>
    <w:rsid w:val="162D1486"/>
    <w:rsid w:val="1634413E"/>
    <w:rsid w:val="163669AE"/>
    <w:rsid w:val="1638DAE6"/>
    <w:rsid w:val="164138BF"/>
    <w:rsid w:val="16417877"/>
    <w:rsid w:val="16428C22"/>
    <w:rsid w:val="1645E7E6"/>
    <w:rsid w:val="164C1382"/>
    <w:rsid w:val="164D05AE"/>
    <w:rsid w:val="165CE23F"/>
    <w:rsid w:val="16601540"/>
    <w:rsid w:val="16638AB2"/>
    <w:rsid w:val="1663F173"/>
    <w:rsid w:val="1666F3B6"/>
    <w:rsid w:val="16694CA4"/>
    <w:rsid w:val="16694CAC"/>
    <w:rsid w:val="16731A42"/>
    <w:rsid w:val="1675698C"/>
    <w:rsid w:val="167BDCE9"/>
    <w:rsid w:val="167EDEB2"/>
    <w:rsid w:val="167F9A3C"/>
    <w:rsid w:val="1682D1E3"/>
    <w:rsid w:val="168995AD"/>
    <w:rsid w:val="168AE0C6"/>
    <w:rsid w:val="168F2A80"/>
    <w:rsid w:val="1696CCED"/>
    <w:rsid w:val="1698108D"/>
    <w:rsid w:val="1698832E"/>
    <w:rsid w:val="16ABA753"/>
    <w:rsid w:val="16ACFBC0"/>
    <w:rsid w:val="16AFFCF7"/>
    <w:rsid w:val="16B2E6FF"/>
    <w:rsid w:val="16B481DA"/>
    <w:rsid w:val="16B50B77"/>
    <w:rsid w:val="16BDF156"/>
    <w:rsid w:val="16BE3BFC"/>
    <w:rsid w:val="16BF4B4C"/>
    <w:rsid w:val="16C04CB6"/>
    <w:rsid w:val="16C2CFF2"/>
    <w:rsid w:val="16C5DB95"/>
    <w:rsid w:val="16D008ED"/>
    <w:rsid w:val="16D15FA1"/>
    <w:rsid w:val="16D42B3E"/>
    <w:rsid w:val="16DCCEDB"/>
    <w:rsid w:val="16E216D4"/>
    <w:rsid w:val="16E237AD"/>
    <w:rsid w:val="16E27170"/>
    <w:rsid w:val="16E4406B"/>
    <w:rsid w:val="16ED1BFD"/>
    <w:rsid w:val="16ED2DFA"/>
    <w:rsid w:val="16EDBBF3"/>
    <w:rsid w:val="16F1BE57"/>
    <w:rsid w:val="16F3457E"/>
    <w:rsid w:val="16F9297B"/>
    <w:rsid w:val="16F95AC0"/>
    <w:rsid w:val="16F9B631"/>
    <w:rsid w:val="16FB91D0"/>
    <w:rsid w:val="16FC38D9"/>
    <w:rsid w:val="16FD0B03"/>
    <w:rsid w:val="1700C74B"/>
    <w:rsid w:val="170273B5"/>
    <w:rsid w:val="17062A17"/>
    <w:rsid w:val="1707C6F2"/>
    <w:rsid w:val="1708BFDD"/>
    <w:rsid w:val="170FA651"/>
    <w:rsid w:val="17170D64"/>
    <w:rsid w:val="171A36B3"/>
    <w:rsid w:val="171A725D"/>
    <w:rsid w:val="17281E88"/>
    <w:rsid w:val="172AEFF7"/>
    <w:rsid w:val="172B70E2"/>
    <w:rsid w:val="172C5552"/>
    <w:rsid w:val="172C9AD4"/>
    <w:rsid w:val="17302ABE"/>
    <w:rsid w:val="17336141"/>
    <w:rsid w:val="1736CBEA"/>
    <w:rsid w:val="173CF61C"/>
    <w:rsid w:val="173F5D1C"/>
    <w:rsid w:val="173F7FBA"/>
    <w:rsid w:val="1740C158"/>
    <w:rsid w:val="1740E9DF"/>
    <w:rsid w:val="1741C629"/>
    <w:rsid w:val="174B3447"/>
    <w:rsid w:val="174DD074"/>
    <w:rsid w:val="1753F3AB"/>
    <w:rsid w:val="175697A9"/>
    <w:rsid w:val="1758DE14"/>
    <w:rsid w:val="175D848E"/>
    <w:rsid w:val="17611626"/>
    <w:rsid w:val="176343DE"/>
    <w:rsid w:val="17646482"/>
    <w:rsid w:val="1769228A"/>
    <w:rsid w:val="176AD827"/>
    <w:rsid w:val="176BB57E"/>
    <w:rsid w:val="176FB53D"/>
    <w:rsid w:val="17724116"/>
    <w:rsid w:val="17810574"/>
    <w:rsid w:val="17813DB7"/>
    <w:rsid w:val="17968338"/>
    <w:rsid w:val="1796DB21"/>
    <w:rsid w:val="1797F163"/>
    <w:rsid w:val="17982519"/>
    <w:rsid w:val="179B4D83"/>
    <w:rsid w:val="17A3D21F"/>
    <w:rsid w:val="17A827A1"/>
    <w:rsid w:val="17B473D6"/>
    <w:rsid w:val="17BA46B5"/>
    <w:rsid w:val="17BABD06"/>
    <w:rsid w:val="17BB4C98"/>
    <w:rsid w:val="17BBCFAE"/>
    <w:rsid w:val="17C18728"/>
    <w:rsid w:val="17C5C760"/>
    <w:rsid w:val="17C7863E"/>
    <w:rsid w:val="17C83C05"/>
    <w:rsid w:val="17CC16C1"/>
    <w:rsid w:val="17CE3525"/>
    <w:rsid w:val="17D002E9"/>
    <w:rsid w:val="17D03313"/>
    <w:rsid w:val="17E81B55"/>
    <w:rsid w:val="17EADD29"/>
    <w:rsid w:val="17F2F9DC"/>
    <w:rsid w:val="17F302D0"/>
    <w:rsid w:val="17FA1B8C"/>
    <w:rsid w:val="17FCCFA0"/>
    <w:rsid w:val="17FDA110"/>
    <w:rsid w:val="17FF206D"/>
    <w:rsid w:val="1802D7B9"/>
    <w:rsid w:val="1808523D"/>
    <w:rsid w:val="1812AF65"/>
    <w:rsid w:val="181C85C2"/>
    <w:rsid w:val="18226ADD"/>
    <w:rsid w:val="18290EE2"/>
    <w:rsid w:val="182AA77E"/>
    <w:rsid w:val="182D7B1E"/>
    <w:rsid w:val="1831D2D4"/>
    <w:rsid w:val="183502DB"/>
    <w:rsid w:val="18377370"/>
    <w:rsid w:val="183837C5"/>
    <w:rsid w:val="183B966F"/>
    <w:rsid w:val="183F5134"/>
    <w:rsid w:val="1841F946"/>
    <w:rsid w:val="184561F7"/>
    <w:rsid w:val="18463DD9"/>
    <w:rsid w:val="1847640C"/>
    <w:rsid w:val="1849C083"/>
    <w:rsid w:val="1853F356"/>
    <w:rsid w:val="1855D871"/>
    <w:rsid w:val="18573992"/>
    <w:rsid w:val="18597062"/>
    <w:rsid w:val="185BF0A1"/>
    <w:rsid w:val="1860530E"/>
    <w:rsid w:val="186C08A6"/>
    <w:rsid w:val="1871DB77"/>
    <w:rsid w:val="187428D7"/>
    <w:rsid w:val="187B217B"/>
    <w:rsid w:val="187F93E2"/>
    <w:rsid w:val="18862F11"/>
    <w:rsid w:val="1887C74A"/>
    <w:rsid w:val="188B63D6"/>
    <w:rsid w:val="188F6E50"/>
    <w:rsid w:val="1892A960"/>
    <w:rsid w:val="18931F74"/>
    <w:rsid w:val="18975F87"/>
    <w:rsid w:val="1897DB3E"/>
    <w:rsid w:val="18A54BF2"/>
    <w:rsid w:val="18AA15E4"/>
    <w:rsid w:val="18AE4959"/>
    <w:rsid w:val="18AE922B"/>
    <w:rsid w:val="18B65B9B"/>
    <w:rsid w:val="18B69EB3"/>
    <w:rsid w:val="18B8E8E8"/>
    <w:rsid w:val="18BD8F47"/>
    <w:rsid w:val="18BEF883"/>
    <w:rsid w:val="18C22C91"/>
    <w:rsid w:val="18C7A8CE"/>
    <w:rsid w:val="18CA301C"/>
    <w:rsid w:val="18D20380"/>
    <w:rsid w:val="18D24884"/>
    <w:rsid w:val="18D76C1F"/>
    <w:rsid w:val="18DF802F"/>
    <w:rsid w:val="18E1822A"/>
    <w:rsid w:val="18F2D747"/>
    <w:rsid w:val="18F904A1"/>
    <w:rsid w:val="19012C30"/>
    <w:rsid w:val="19062310"/>
    <w:rsid w:val="190728E9"/>
    <w:rsid w:val="190AE3CE"/>
    <w:rsid w:val="1911174C"/>
    <w:rsid w:val="1911E99C"/>
    <w:rsid w:val="1914FC26"/>
    <w:rsid w:val="19195758"/>
    <w:rsid w:val="191E96EF"/>
    <w:rsid w:val="192014D3"/>
    <w:rsid w:val="1921AC9A"/>
    <w:rsid w:val="1922833A"/>
    <w:rsid w:val="1925C4EE"/>
    <w:rsid w:val="1927834E"/>
    <w:rsid w:val="19291351"/>
    <w:rsid w:val="192CA8C8"/>
    <w:rsid w:val="192E91DC"/>
    <w:rsid w:val="193058E3"/>
    <w:rsid w:val="1939FA17"/>
    <w:rsid w:val="193AA5D9"/>
    <w:rsid w:val="194345FC"/>
    <w:rsid w:val="19436A65"/>
    <w:rsid w:val="1943C154"/>
    <w:rsid w:val="19467124"/>
    <w:rsid w:val="1946CDF0"/>
    <w:rsid w:val="1952E11A"/>
    <w:rsid w:val="195CFE3B"/>
    <w:rsid w:val="195DFF3D"/>
    <w:rsid w:val="1960A4CE"/>
    <w:rsid w:val="1961BD56"/>
    <w:rsid w:val="19656D31"/>
    <w:rsid w:val="19710EA9"/>
    <w:rsid w:val="1974D9F5"/>
    <w:rsid w:val="1977D47E"/>
    <w:rsid w:val="197922E2"/>
    <w:rsid w:val="197E8106"/>
    <w:rsid w:val="198AC6A7"/>
    <w:rsid w:val="198CF0D3"/>
    <w:rsid w:val="198D5A12"/>
    <w:rsid w:val="199243B5"/>
    <w:rsid w:val="199704CB"/>
    <w:rsid w:val="199A1584"/>
    <w:rsid w:val="199E4868"/>
    <w:rsid w:val="199E6D25"/>
    <w:rsid w:val="199EEBE8"/>
    <w:rsid w:val="199F1084"/>
    <w:rsid w:val="19AAF4EB"/>
    <w:rsid w:val="19ADA3BB"/>
    <w:rsid w:val="19B161C2"/>
    <w:rsid w:val="19B5EFE0"/>
    <w:rsid w:val="19B81479"/>
    <w:rsid w:val="19BABFCE"/>
    <w:rsid w:val="19C4CD82"/>
    <w:rsid w:val="19C5225A"/>
    <w:rsid w:val="19CEA5E0"/>
    <w:rsid w:val="19D0B6E0"/>
    <w:rsid w:val="19D4F442"/>
    <w:rsid w:val="19D8FA62"/>
    <w:rsid w:val="19D90DA6"/>
    <w:rsid w:val="19DA7EDE"/>
    <w:rsid w:val="19DBCE41"/>
    <w:rsid w:val="19DFE96F"/>
    <w:rsid w:val="19E0CBA2"/>
    <w:rsid w:val="19E25C14"/>
    <w:rsid w:val="19E5D77F"/>
    <w:rsid w:val="19E7E2AE"/>
    <w:rsid w:val="19ECA6C8"/>
    <w:rsid w:val="19EF157D"/>
    <w:rsid w:val="19F19880"/>
    <w:rsid w:val="19F95C3B"/>
    <w:rsid w:val="19FB2B49"/>
    <w:rsid w:val="19FD485E"/>
    <w:rsid w:val="1A05BDFD"/>
    <w:rsid w:val="1A0807B2"/>
    <w:rsid w:val="1A0AB7ED"/>
    <w:rsid w:val="1A10BB76"/>
    <w:rsid w:val="1A10FD93"/>
    <w:rsid w:val="1A133369"/>
    <w:rsid w:val="1A1AB3B5"/>
    <w:rsid w:val="1A1E44E3"/>
    <w:rsid w:val="1A1FD182"/>
    <w:rsid w:val="1A26C99B"/>
    <w:rsid w:val="1A2D75DB"/>
    <w:rsid w:val="1A2F23C4"/>
    <w:rsid w:val="1A31E9AE"/>
    <w:rsid w:val="1A37C547"/>
    <w:rsid w:val="1A380FF8"/>
    <w:rsid w:val="1A3A376B"/>
    <w:rsid w:val="1A3A5E5C"/>
    <w:rsid w:val="1A3B7873"/>
    <w:rsid w:val="1A3CFDD4"/>
    <w:rsid w:val="1A3E7E13"/>
    <w:rsid w:val="1A3F3E47"/>
    <w:rsid w:val="1A46BA1A"/>
    <w:rsid w:val="1A498055"/>
    <w:rsid w:val="1A4A5465"/>
    <w:rsid w:val="1A4A91C0"/>
    <w:rsid w:val="1A4B0CD8"/>
    <w:rsid w:val="1A4E9E79"/>
    <w:rsid w:val="1A4EE435"/>
    <w:rsid w:val="1A53DA61"/>
    <w:rsid w:val="1A58383A"/>
    <w:rsid w:val="1A5B0203"/>
    <w:rsid w:val="1A6013F4"/>
    <w:rsid w:val="1A62B479"/>
    <w:rsid w:val="1A65D682"/>
    <w:rsid w:val="1A6B1128"/>
    <w:rsid w:val="1A6C51FD"/>
    <w:rsid w:val="1A72BCB3"/>
    <w:rsid w:val="1A7313F4"/>
    <w:rsid w:val="1A77E87B"/>
    <w:rsid w:val="1A7DA836"/>
    <w:rsid w:val="1A806A27"/>
    <w:rsid w:val="1A8C43B8"/>
    <w:rsid w:val="1AA1F452"/>
    <w:rsid w:val="1AA3A325"/>
    <w:rsid w:val="1AAA2E0F"/>
    <w:rsid w:val="1AB1860F"/>
    <w:rsid w:val="1AB32AAC"/>
    <w:rsid w:val="1ABAFE8C"/>
    <w:rsid w:val="1AC04A78"/>
    <w:rsid w:val="1AC4935F"/>
    <w:rsid w:val="1AC573CA"/>
    <w:rsid w:val="1AC6A2F1"/>
    <w:rsid w:val="1AC726AE"/>
    <w:rsid w:val="1AC900D3"/>
    <w:rsid w:val="1AC9E3B6"/>
    <w:rsid w:val="1ACA3D71"/>
    <w:rsid w:val="1ACC808D"/>
    <w:rsid w:val="1ACEEF79"/>
    <w:rsid w:val="1AD3839C"/>
    <w:rsid w:val="1AD7D11E"/>
    <w:rsid w:val="1AD7E05B"/>
    <w:rsid w:val="1AD8619C"/>
    <w:rsid w:val="1ADC6623"/>
    <w:rsid w:val="1ADC8F3B"/>
    <w:rsid w:val="1AE03775"/>
    <w:rsid w:val="1AE4B124"/>
    <w:rsid w:val="1AE6E95F"/>
    <w:rsid w:val="1AEA882A"/>
    <w:rsid w:val="1AEE75AA"/>
    <w:rsid w:val="1AEFE611"/>
    <w:rsid w:val="1AF49A82"/>
    <w:rsid w:val="1AF4A3D3"/>
    <w:rsid w:val="1AF6D532"/>
    <w:rsid w:val="1AF84C8D"/>
    <w:rsid w:val="1AFBEBD8"/>
    <w:rsid w:val="1AFE0251"/>
    <w:rsid w:val="1AFE80C4"/>
    <w:rsid w:val="1B02ADEC"/>
    <w:rsid w:val="1B03E370"/>
    <w:rsid w:val="1B0467F8"/>
    <w:rsid w:val="1B0898F8"/>
    <w:rsid w:val="1B0A9B72"/>
    <w:rsid w:val="1B0EFC28"/>
    <w:rsid w:val="1B1C623C"/>
    <w:rsid w:val="1B20CF40"/>
    <w:rsid w:val="1B232BB8"/>
    <w:rsid w:val="1B2A198A"/>
    <w:rsid w:val="1B32DE4E"/>
    <w:rsid w:val="1B3974E8"/>
    <w:rsid w:val="1B3E0AE1"/>
    <w:rsid w:val="1B4407C7"/>
    <w:rsid w:val="1B445629"/>
    <w:rsid w:val="1B44645D"/>
    <w:rsid w:val="1B44FA99"/>
    <w:rsid w:val="1B4546BE"/>
    <w:rsid w:val="1B470062"/>
    <w:rsid w:val="1B4DC90F"/>
    <w:rsid w:val="1B4EBCD1"/>
    <w:rsid w:val="1B53B8A2"/>
    <w:rsid w:val="1B5538B3"/>
    <w:rsid w:val="1B571AC9"/>
    <w:rsid w:val="1B589E9B"/>
    <w:rsid w:val="1B5AE55C"/>
    <w:rsid w:val="1B5EC542"/>
    <w:rsid w:val="1B677B09"/>
    <w:rsid w:val="1B6D3CC5"/>
    <w:rsid w:val="1B751780"/>
    <w:rsid w:val="1B7DDE4A"/>
    <w:rsid w:val="1B80195D"/>
    <w:rsid w:val="1B8533A8"/>
    <w:rsid w:val="1B8584E2"/>
    <w:rsid w:val="1B865081"/>
    <w:rsid w:val="1B87C1F6"/>
    <w:rsid w:val="1B87EC6C"/>
    <w:rsid w:val="1B88945A"/>
    <w:rsid w:val="1B8E9065"/>
    <w:rsid w:val="1B9651FB"/>
    <w:rsid w:val="1B988C1D"/>
    <w:rsid w:val="1BA772F2"/>
    <w:rsid w:val="1BAD57F9"/>
    <w:rsid w:val="1BAEB4A1"/>
    <w:rsid w:val="1BB309A0"/>
    <w:rsid w:val="1BB3F4D0"/>
    <w:rsid w:val="1BB46E66"/>
    <w:rsid w:val="1BB7A10E"/>
    <w:rsid w:val="1BB8B60C"/>
    <w:rsid w:val="1BBFA5F2"/>
    <w:rsid w:val="1BCE27D7"/>
    <w:rsid w:val="1BD1342C"/>
    <w:rsid w:val="1BD2B307"/>
    <w:rsid w:val="1BD51CB2"/>
    <w:rsid w:val="1BD78C11"/>
    <w:rsid w:val="1BD8E0CA"/>
    <w:rsid w:val="1BDBE45D"/>
    <w:rsid w:val="1BE0D3ED"/>
    <w:rsid w:val="1BE53E5F"/>
    <w:rsid w:val="1BE9E3AD"/>
    <w:rsid w:val="1BEC30DE"/>
    <w:rsid w:val="1BFC3D69"/>
    <w:rsid w:val="1BFEF21A"/>
    <w:rsid w:val="1C038869"/>
    <w:rsid w:val="1C08928F"/>
    <w:rsid w:val="1C0D8700"/>
    <w:rsid w:val="1C103892"/>
    <w:rsid w:val="1C122B81"/>
    <w:rsid w:val="1C124F13"/>
    <w:rsid w:val="1C178EA0"/>
    <w:rsid w:val="1C19AA42"/>
    <w:rsid w:val="1C1CB1F6"/>
    <w:rsid w:val="1C1CC55E"/>
    <w:rsid w:val="1C1D5055"/>
    <w:rsid w:val="1C1DC442"/>
    <w:rsid w:val="1C2010CB"/>
    <w:rsid w:val="1C2BF6B0"/>
    <w:rsid w:val="1C30B602"/>
    <w:rsid w:val="1C3403E3"/>
    <w:rsid w:val="1C3D30DD"/>
    <w:rsid w:val="1C477485"/>
    <w:rsid w:val="1C4AE18B"/>
    <w:rsid w:val="1C4B08F1"/>
    <w:rsid w:val="1C507518"/>
    <w:rsid w:val="1C55B9B8"/>
    <w:rsid w:val="1C5732F6"/>
    <w:rsid w:val="1C59CFAD"/>
    <w:rsid w:val="1C5DA6F8"/>
    <w:rsid w:val="1C6441EE"/>
    <w:rsid w:val="1C67FAB7"/>
    <w:rsid w:val="1C6A43DB"/>
    <w:rsid w:val="1C6A4416"/>
    <w:rsid w:val="1C6B30B0"/>
    <w:rsid w:val="1C6DBDC3"/>
    <w:rsid w:val="1C6E2E16"/>
    <w:rsid w:val="1C704449"/>
    <w:rsid w:val="1C853DE4"/>
    <w:rsid w:val="1C873274"/>
    <w:rsid w:val="1C8901F4"/>
    <w:rsid w:val="1C8F409D"/>
    <w:rsid w:val="1C930025"/>
    <w:rsid w:val="1C9C767B"/>
    <w:rsid w:val="1CA429D0"/>
    <w:rsid w:val="1CB6305E"/>
    <w:rsid w:val="1CBA7C46"/>
    <w:rsid w:val="1CC22D10"/>
    <w:rsid w:val="1CCAC8F7"/>
    <w:rsid w:val="1CCB7FBE"/>
    <w:rsid w:val="1CCD2C92"/>
    <w:rsid w:val="1CCE19C7"/>
    <w:rsid w:val="1CCEBB49"/>
    <w:rsid w:val="1CCF0426"/>
    <w:rsid w:val="1CCFF4DE"/>
    <w:rsid w:val="1CD16054"/>
    <w:rsid w:val="1CD322C9"/>
    <w:rsid w:val="1CD6E21B"/>
    <w:rsid w:val="1CD8DB94"/>
    <w:rsid w:val="1CDA487F"/>
    <w:rsid w:val="1CE4C80F"/>
    <w:rsid w:val="1CE52563"/>
    <w:rsid w:val="1CF09695"/>
    <w:rsid w:val="1CF1B2DE"/>
    <w:rsid w:val="1CF28B98"/>
    <w:rsid w:val="1CF2C7C8"/>
    <w:rsid w:val="1CF35B0D"/>
    <w:rsid w:val="1CFDEE5C"/>
    <w:rsid w:val="1D058461"/>
    <w:rsid w:val="1D07875A"/>
    <w:rsid w:val="1D0C6DED"/>
    <w:rsid w:val="1D0DBD06"/>
    <w:rsid w:val="1D13D202"/>
    <w:rsid w:val="1D1639A4"/>
    <w:rsid w:val="1D1AB37F"/>
    <w:rsid w:val="1D1AE619"/>
    <w:rsid w:val="1D1E789B"/>
    <w:rsid w:val="1D1E9E94"/>
    <w:rsid w:val="1D28030B"/>
    <w:rsid w:val="1D2A8B3C"/>
    <w:rsid w:val="1D2C17A6"/>
    <w:rsid w:val="1D2DB881"/>
    <w:rsid w:val="1D32A702"/>
    <w:rsid w:val="1D3634E2"/>
    <w:rsid w:val="1D38BF50"/>
    <w:rsid w:val="1D392C1A"/>
    <w:rsid w:val="1D3DA1BE"/>
    <w:rsid w:val="1D45FC70"/>
    <w:rsid w:val="1D4BF264"/>
    <w:rsid w:val="1D4DE731"/>
    <w:rsid w:val="1D4FA831"/>
    <w:rsid w:val="1D517020"/>
    <w:rsid w:val="1D521D1C"/>
    <w:rsid w:val="1D53C113"/>
    <w:rsid w:val="1D5D80DE"/>
    <w:rsid w:val="1D69471F"/>
    <w:rsid w:val="1D6AF372"/>
    <w:rsid w:val="1D70F3AE"/>
    <w:rsid w:val="1D7439DD"/>
    <w:rsid w:val="1D75F132"/>
    <w:rsid w:val="1D76075D"/>
    <w:rsid w:val="1D773623"/>
    <w:rsid w:val="1D809740"/>
    <w:rsid w:val="1D83F64D"/>
    <w:rsid w:val="1D8565E1"/>
    <w:rsid w:val="1D8CD736"/>
    <w:rsid w:val="1D8D7F1E"/>
    <w:rsid w:val="1D916A2A"/>
    <w:rsid w:val="1D99F9DD"/>
    <w:rsid w:val="1DA0AA41"/>
    <w:rsid w:val="1DA2A04E"/>
    <w:rsid w:val="1DA47555"/>
    <w:rsid w:val="1DA4E884"/>
    <w:rsid w:val="1DA4F23F"/>
    <w:rsid w:val="1DAFF0C6"/>
    <w:rsid w:val="1DB365BE"/>
    <w:rsid w:val="1DB75A85"/>
    <w:rsid w:val="1DC0A861"/>
    <w:rsid w:val="1DC11AB6"/>
    <w:rsid w:val="1DC1DF9A"/>
    <w:rsid w:val="1DC20446"/>
    <w:rsid w:val="1DC27CB0"/>
    <w:rsid w:val="1DC4444D"/>
    <w:rsid w:val="1DC4696C"/>
    <w:rsid w:val="1DCB5632"/>
    <w:rsid w:val="1DD018FB"/>
    <w:rsid w:val="1DD0F892"/>
    <w:rsid w:val="1DDADC0A"/>
    <w:rsid w:val="1DE60DC7"/>
    <w:rsid w:val="1DE61F87"/>
    <w:rsid w:val="1DEBD8BD"/>
    <w:rsid w:val="1DF1FF41"/>
    <w:rsid w:val="1DF3F1A4"/>
    <w:rsid w:val="1DF6E997"/>
    <w:rsid w:val="1DF93BFD"/>
    <w:rsid w:val="1DFD9E8B"/>
    <w:rsid w:val="1DFFA4FE"/>
    <w:rsid w:val="1DFFC7EF"/>
    <w:rsid w:val="1E00CACF"/>
    <w:rsid w:val="1E024F6B"/>
    <w:rsid w:val="1E0AAD41"/>
    <w:rsid w:val="1E0AD413"/>
    <w:rsid w:val="1E0C4D43"/>
    <w:rsid w:val="1E10C419"/>
    <w:rsid w:val="1E12DB93"/>
    <w:rsid w:val="1E17B827"/>
    <w:rsid w:val="1E1B9D80"/>
    <w:rsid w:val="1E1CE503"/>
    <w:rsid w:val="1E1F90BB"/>
    <w:rsid w:val="1E21D95B"/>
    <w:rsid w:val="1E23D197"/>
    <w:rsid w:val="1E25C123"/>
    <w:rsid w:val="1E301F4A"/>
    <w:rsid w:val="1E343399"/>
    <w:rsid w:val="1E3696AF"/>
    <w:rsid w:val="1E391409"/>
    <w:rsid w:val="1E392912"/>
    <w:rsid w:val="1E3D1C53"/>
    <w:rsid w:val="1E41D16F"/>
    <w:rsid w:val="1E42E9AB"/>
    <w:rsid w:val="1E5C1719"/>
    <w:rsid w:val="1E6AEB18"/>
    <w:rsid w:val="1E7ADFE3"/>
    <w:rsid w:val="1E7CFFA6"/>
    <w:rsid w:val="1E8091FF"/>
    <w:rsid w:val="1E818E0C"/>
    <w:rsid w:val="1E82F685"/>
    <w:rsid w:val="1E86EAEF"/>
    <w:rsid w:val="1E886CF2"/>
    <w:rsid w:val="1E88C6A7"/>
    <w:rsid w:val="1E964035"/>
    <w:rsid w:val="1E99F964"/>
    <w:rsid w:val="1E9ACBC1"/>
    <w:rsid w:val="1E9B9C13"/>
    <w:rsid w:val="1EA56F04"/>
    <w:rsid w:val="1EA6AC6A"/>
    <w:rsid w:val="1EAF33FE"/>
    <w:rsid w:val="1EAF430F"/>
    <w:rsid w:val="1EAFF6E1"/>
    <w:rsid w:val="1EB2F370"/>
    <w:rsid w:val="1EB94C64"/>
    <w:rsid w:val="1EBB6738"/>
    <w:rsid w:val="1EBE8442"/>
    <w:rsid w:val="1EC0B504"/>
    <w:rsid w:val="1EC42CAA"/>
    <w:rsid w:val="1ED0F848"/>
    <w:rsid w:val="1ED19B4E"/>
    <w:rsid w:val="1ED3E3CC"/>
    <w:rsid w:val="1ED42993"/>
    <w:rsid w:val="1ED5D655"/>
    <w:rsid w:val="1EE71809"/>
    <w:rsid w:val="1EE768A3"/>
    <w:rsid w:val="1EEB23C6"/>
    <w:rsid w:val="1EEC8867"/>
    <w:rsid w:val="1EF0143D"/>
    <w:rsid w:val="1EF4C265"/>
    <w:rsid w:val="1EF5DA84"/>
    <w:rsid w:val="1EF6B358"/>
    <w:rsid w:val="1EF9C4BB"/>
    <w:rsid w:val="1F01311F"/>
    <w:rsid w:val="1F016304"/>
    <w:rsid w:val="1F057DAE"/>
    <w:rsid w:val="1F05D685"/>
    <w:rsid w:val="1F09E68F"/>
    <w:rsid w:val="1F0A3DBD"/>
    <w:rsid w:val="1F0CD4A3"/>
    <w:rsid w:val="1F0D1371"/>
    <w:rsid w:val="1F112B4C"/>
    <w:rsid w:val="1F15320A"/>
    <w:rsid w:val="1F18F960"/>
    <w:rsid w:val="1F1A28B6"/>
    <w:rsid w:val="1F22300E"/>
    <w:rsid w:val="1F25F19C"/>
    <w:rsid w:val="1F279BBC"/>
    <w:rsid w:val="1F2D0832"/>
    <w:rsid w:val="1F2D3CED"/>
    <w:rsid w:val="1F349B08"/>
    <w:rsid w:val="1F3C2303"/>
    <w:rsid w:val="1F3D1FA6"/>
    <w:rsid w:val="1F442737"/>
    <w:rsid w:val="1F4DEDBD"/>
    <w:rsid w:val="1F501F8F"/>
    <w:rsid w:val="1F51315B"/>
    <w:rsid w:val="1F52BE84"/>
    <w:rsid w:val="1F559112"/>
    <w:rsid w:val="1F57BDFD"/>
    <w:rsid w:val="1F594BF4"/>
    <w:rsid w:val="1F5AE7DE"/>
    <w:rsid w:val="1F5EBAF2"/>
    <w:rsid w:val="1F5FD4CD"/>
    <w:rsid w:val="1F62202B"/>
    <w:rsid w:val="1F652496"/>
    <w:rsid w:val="1F652D7B"/>
    <w:rsid w:val="1F68CC59"/>
    <w:rsid w:val="1F6917CC"/>
    <w:rsid w:val="1F76124F"/>
    <w:rsid w:val="1F773388"/>
    <w:rsid w:val="1F792EB8"/>
    <w:rsid w:val="1F80E968"/>
    <w:rsid w:val="1F844027"/>
    <w:rsid w:val="1F8E960C"/>
    <w:rsid w:val="1F94F95A"/>
    <w:rsid w:val="1F9631DA"/>
    <w:rsid w:val="1F96630F"/>
    <w:rsid w:val="1F9741C2"/>
    <w:rsid w:val="1F97943E"/>
    <w:rsid w:val="1FA67A6E"/>
    <w:rsid w:val="1FABD7B8"/>
    <w:rsid w:val="1FAC4473"/>
    <w:rsid w:val="1FB17953"/>
    <w:rsid w:val="1FB37BEB"/>
    <w:rsid w:val="1FB45939"/>
    <w:rsid w:val="1FB64022"/>
    <w:rsid w:val="1FC11FBA"/>
    <w:rsid w:val="1FC35927"/>
    <w:rsid w:val="1FC67D78"/>
    <w:rsid w:val="1FCA41AC"/>
    <w:rsid w:val="1FCD0510"/>
    <w:rsid w:val="1FD07AC4"/>
    <w:rsid w:val="1FD3FCD9"/>
    <w:rsid w:val="1FD43FFB"/>
    <w:rsid w:val="1FD4E7DC"/>
    <w:rsid w:val="1FD53ECD"/>
    <w:rsid w:val="1FD72FE4"/>
    <w:rsid w:val="1FDB0508"/>
    <w:rsid w:val="1FDFB6B3"/>
    <w:rsid w:val="1FEF88EC"/>
    <w:rsid w:val="1FF01D19"/>
    <w:rsid w:val="1FF40E26"/>
    <w:rsid w:val="1FF95F33"/>
    <w:rsid w:val="1FFC0B03"/>
    <w:rsid w:val="1FFCE115"/>
    <w:rsid w:val="1FFF8DE0"/>
    <w:rsid w:val="2000CCFB"/>
    <w:rsid w:val="200B3981"/>
    <w:rsid w:val="201B919F"/>
    <w:rsid w:val="201D41D9"/>
    <w:rsid w:val="201D8845"/>
    <w:rsid w:val="201F1A18"/>
    <w:rsid w:val="2023EE8E"/>
    <w:rsid w:val="202842EA"/>
    <w:rsid w:val="202861AB"/>
    <w:rsid w:val="202C68DB"/>
    <w:rsid w:val="202DE9C7"/>
    <w:rsid w:val="2030756C"/>
    <w:rsid w:val="203A1799"/>
    <w:rsid w:val="203ECA97"/>
    <w:rsid w:val="2040BC98"/>
    <w:rsid w:val="2048CA69"/>
    <w:rsid w:val="204A53C0"/>
    <w:rsid w:val="204A7097"/>
    <w:rsid w:val="204F559D"/>
    <w:rsid w:val="2054AF4A"/>
    <w:rsid w:val="2055B634"/>
    <w:rsid w:val="205E310C"/>
    <w:rsid w:val="20604AA9"/>
    <w:rsid w:val="206269B0"/>
    <w:rsid w:val="2069BD82"/>
    <w:rsid w:val="206F6C86"/>
    <w:rsid w:val="2075DB3D"/>
    <w:rsid w:val="2076F935"/>
    <w:rsid w:val="20789040"/>
    <w:rsid w:val="207C5FD7"/>
    <w:rsid w:val="20806F92"/>
    <w:rsid w:val="2080D9BE"/>
    <w:rsid w:val="2086B17B"/>
    <w:rsid w:val="208F7934"/>
    <w:rsid w:val="208FD78E"/>
    <w:rsid w:val="20919A44"/>
    <w:rsid w:val="2099C318"/>
    <w:rsid w:val="209A8D6C"/>
    <w:rsid w:val="209B9808"/>
    <w:rsid w:val="209E94C2"/>
    <w:rsid w:val="20A0A6A8"/>
    <w:rsid w:val="20A2903C"/>
    <w:rsid w:val="20A7FCF8"/>
    <w:rsid w:val="20A8B5EB"/>
    <w:rsid w:val="20AB80B1"/>
    <w:rsid w:val="20ACF940"/>
    <w:rsid w:val="20B348B2"/>
    <w:rsid w:val="20B5E421"/>
    <w:rsid w:val="20B92CC7"/>
    <w:rsid w:val="20B940A5"/>
    <w:rsid w:val="20BB8FFF"/>
    <w:rsid w:val="20BC7B94"/>
    <w:rsid w:val="20BFDF15"/>
    <w:rsid w:val="20D8A709"/>
    <w:rsid w:val="20DC5661"/>
    <w:rsid w:val="20E6F7F7"/>
    <w:rsid w:val="20E7EA2C"/>
    <w:rsid w:val="20E8CD76"/>
    <w:rsid w:val="20EC500C"/>
    <w:rsid w:val="20F13C3D"/>
    <w:rsid w:val="20F3321B"/>
    <w:rsid w:val="20F4C59D"/>
    <w:rsid w:val="20F912CD"/>
    <w:rsid w:val="20F9FB7B"/>
    <w:rsid w:val="2100B3E9"/>
    <w:rsid w:val="210605D8"/>
    <w:rsid w:val="2109068C"/>
    <w:rsid w:val="210986B4"/>
    <w:rsid w:val="2110B786"/>
    <w:rsid w:val="2112004C"/>
    <w:rsid w:val="21140592"/>
    <w:rsid w:val="2115C93F"/>
    <w:rsid w:val="211876D5"/>
    <w:rsid w:val="211D5FE9"/>
    <w:rsid w:val="212106E6"/>
    <w:rsid w:val="212647CE"/>
    <w:rsid w:val="21289BF9"/>
    <w:rsid w:val="2129577C"/>
    <w:rsid w:val="212C098B"/>
    <w:rsid w:val="212C1906"/>
    <w:rsid w:val="212CE316"/>
    <w:rsid w:val="21324B8E"/>
    <w:rsid w:val="21353262"/>
    <w:rsid w:val="21362C59"/>
    <w:rsid w:val="213B8C35"/>
    <w:rsid w:val="213C1B4C"/>
    <w:rsid w:val="213DBDE6"/>
    <w:rsid w:val="213EA0CC"/>
    <w:rsid w:val="2144F7A9"/>
    <w:rsid w:val="2149F175"/>
    <w:rsid w:val="215B13E0"/>
    <w:rsid w:val="2163EDF1"/>
    <w:rsid w:val="216B6C84"/>
    <w:rsid w:val="21735211"/>
    <w:rsid w:val="2176C3AE"/>
    <w:rsid w:val="21805849"/>
    <w:rsid w:val="21828404"/>
    <w:rsid w:val="218471C0"/>
    <w:rsid w:val="219071BD"/>
    <w:rsid w:val="21918623"/>
    <w:rsid w:val="2198FD4B"/>
    <w:rsid w:val="219BD52A"/>
    <w:rsid w:val="219C84FE"/>
    <w:rsid w:val="219D6F86"/>
    <w:rsid w:val="219F0998"/>
    <w:rsid w:val="21A11E58"/>
    <w:rsid w:val="21A27EA1"/>
    <w:rsid w:val="21A8623E"/>
    <w:rsid w:val="21A8F92F"/>
    <w:rsid w:val="21AA2DF2"/>
    <w:rsid w:val="21AA6719"/>
    <w:rsid w:val="21AB95B9"/>
    <w:rsid w:val="21AED6EA"/>
    <w:rsid w:val="21B5F9A2"/>
    <w:rsid w:val="21B7C50F"/>
    <w:rsid w:val="21B84FFE"/>
    <w:rsid w:val="21B88514"/>
    <w:rsid w:val="21BAEDE8"/>
    <w:rsid w:val="21BEB7BC"/>
    <w:rsid w:val="21BF55EE"/>
    <w:rsid w:val="21C37C9D"/>
    <w:rsid w:val="21C3B558"/>
    <w:rsid w:val="21C61C5C"/>
    <w:rsid w:val="21C9458B"/>
    <w:rsid w:val="21CDFD2F"/>
    <w:rsid w:val="21D24B18"/>
    <w:rsid w:val="21DAEA0A"/>
    <w:rsid w:val="21DFF441"/>
    <w:rsid w:val="21E1CE2F"/>
    <w:rsid w:val="21E2E62C"/>
    <w:rsid w:val="21E2FF80"/>
    <w:rsid w:val="21E36496"/>
    <w:rsid w:val="21ECBEDA"/>
    <w:rsid w:val="21EF30BE"/>
    <w:rsid w:val="21F52A67"/>
    <w:rsid w:val="21F5ED1E"/>
    <w:rsid w:val="21FFE045"/>
    <w:rsid w:val="22010BCE"/>
    <w:rsid w:val="22031C68"/>
    <w:rsid w:val="220704D4"/>
    <w:rsid w:val="220F35C3"/>
    <w:rsid w:val="220F3CE9"/>
    <w:rsid w:val="22109D7F"/>
    <w:rsid w:val="22165748"/>
    <w:rsid w:val="22254992"/>
    <w:rsid w:val="2226EE5D"/>
    <w:rsid w:val="22387866"/>
    <w:rsid w:val="223D918A"/>
    <w:rsid w:val="224532D8"/>
    <w:rsid w:val="2248095E"/>
    <w:rsid w:val="224A6A91"/>
    <w:rsid w:val="224B64B8"/>
    <w:rsid w:val="2251239C"/>
    <w:rsid w:val="2254D886"/>
    <w:rsid w:val="225DA37C"/>
    <w:rsid w:val="22600DE7"/>
    <w:rsid w:val="2268B119"/>
    <w:rsid w:val="22719B9C"/>
    <w:rsid w:val="227200EE"/>
    <w:rsid w:val="2274B7C0"/>
    <w:rsid w:val="22790842"/>
    <w:rsid w:val="227D81E7"/>
    <w:rsid w:val="227DB1FA"/>
    <w:rsid w:val="22808861"/>
    <w:rsid w:val="2281A865"/>
    <w:rsid w:val="2282A2E0"/>
    <w:rsid w:val="22833F8E"/>
    <w:rsid w:val="228A5257"/>
    <w:rsid w:val="229460A8"/>
    <w:rsid w:val="229612BD"/>
    <w:rsid w:val="2296F445"/>
    <w:rsid w:val="229D8AD9"/>
    <w:rsid w:val="22A1B2E4"/>
    <w:rsid w:val="22A1C429"/>
    <w:rsid w:val="22A65175"/>
    <w:rsid w:val="22A775BE"/>
    <w:rsid w:val="22AAC962"/>
    <w:rsid w:val="22AC53F4"/>
    <w:rsid w:val="22ACF44E"/>
    <w:rsid w:val="22AD937F"/>
    <w:rsid w:val="22AE3D26"/>
    <w:rsid w:val="22BA3F2D"/>
    <w:rsid w:val="22BEB191"/>
    <w:rsid w:val="22C21F7F"/>
    <w:rsid w:val="22C72543"/>
    <w:rsid w:val="22CF286A"/>
    <w:rsid w:val="22D19E20"/>
    <w:rsid w:val="22D6844D"/>
    <w:rsid w:val="22D77D8F"/>
    <w:rsid w:val="22D80CFA"/>
    <w:rsid w:val="22DA3E5A"/>
    <w:rsid w:val="22E02A6B"/>
    <w:rsid w:val="22E4A0D9"/>
    <w:rsid w:val="22E77C6C"/>
    <w:rsid w:val="22EB6DB4"/>
    <w:rsid w:val="22EE3AEF"/>
    <w:rsid w:val="22F3ADE1"/>
    <w:rsid w:val="22F5B4DF"/>
    <w:rsid w:val="22F693B9"/>
    <w:rsid w:val="22FC7566"/>
    <w:rsid w:val="23014898"/>
    <w:rsid w:val="230700A4"/>
    <w:rsid w:val="23089EAD"/>
    <w:rsid w:val="230B43A1"/>
    <w:rsid w:val="230F59AB"/>
    <w:rsid w:val="231002E6"/>
    <w:rsid w:val="231486A1"/>
    <w:rsid w:val="231626F9"/>
    <w:rsid w:val="23175046"/>
    <w:rsid w:val="2317BCD9"/>
    <w:rsid w:val="231B1DEE"/>
    <w:rsid w:val="231F342B"/>
    <w:rsid w:val="2327F831"/>
    <w:rsid w:val="232FCED6"/>
    <w:rsid w:val="23303093"/>
    <w:rsid w:val="2332740E"/>
    <w:rsid w:val="23373CE5"/>
    <w:rsid w:val="233CAEF2"/>
    <w:rsid w:val="2341F5F2"/>
    <w:rsid w:val="2342590D"/>
    <w:rsid w:val="23471D87"/>
    <w:rsid w:val="234A95C7"/>
    <w:rsid w:val="234CDE86"/>
    <w:rsid w:val="23530B69"/>
    <w:rsid w:val="2356A33B"/>
    <w:rsid w:val="23577FC8"/>
    <w:rsid w:val="2358886E"/>
    <w:rsid w:val="23588B02"/>
    <w:rsid w:val="235B6BD5"/>
    <w:rsid w:val="235E1B69"/>
    <w:rsid w:val="235E25E2"/>
    <w:rsid w:val="236867B4"/>
    <w:rsid w:val="236F2118"/>
    <w:rsid w:val="237A33F3"/>
    <w:rsid w:val="2381B5B5"/>
    <w:rsid w:val="238254A3"/>
    <w:rsid w:val="2382D8CC"/>
    <w:rsid w:val="238848EF"/>
    <w:rsid w:val="238FEA83"/>
    <w:rsid w:val="2392C44A"/>
    <w:rsid w:val="23948EA7"/>
    <w:rsid w:val="23950269"/>
    <w:rsid w:val="2396D782"/>
    <w:rsid w:val="239942CB"/>
    <w:rsid w:val="239A65F3"/>
    <w:rsid w:val="239BFC30"/>
    <w:rsid w:val="239C19A9"/>
    <w:rsid w:val="239D2661"/>
    <w:rsid w:val="23A20E72"/>
    <w:rsid w:val="23A4E124"/>
    <w:rsid w:val="23A7600D"/>
    <w:rsid w:val="23AADEA9"/>
    <w:rsid w:val="23AAE48D"/>
    <w:rsid w:val="23AB0A33"/>
    <w:rsid w:val="23B29A19"/>
    <w:rsid w:val="23B74462"/>
    <w:rsid w:val="23C89C79"/>
    <w:rsid w:val="23CA6AFD"/>
    <w:rsid w:val="23CA8334"/>
    <w:rsid w:val="23DD982A"/>
    <w:rsid w:val="23DDBFB8"/>
    <w:rsid w:val="23EACDA9"/>
    <w:rsid w:val="23ECA54E"/>
    <w:rsid w:val="23EE5C22"/>
    <w:rsid w:val="23F65EC5"/>
    <w:rsid w:val="23F6B888"/>
    <w:rsid w:val="23F74A79"/>
    <w:rsid w:val="23FD698C"/>
    <w:rsid w:val="23FF7437"/>
    <w:rsid w:val="23FFA759"/>
    <w:rsid w:val="240264B4"/>
    <w:rsid w:val="24034BAB"/>
    <w:rsid w:val="2404C358"/>
    <w:rsid w:val="24072F3D"/>
    <w:rsid w:val="240C90FF"/>
    <w:rsid w:val="24181B3C"/>
    <w:rsid w:val="241F63CB"/>
    <w:rsid w:val="24235599"/>
    <w:rsid w:val="2426F68D"/>
    <w:rsid w:val="242ADF2A"/>
    <w:rsid w:val="242EB317"/>
    <w:rsid w:val="242EFB0C"/>
    <w:rsid w:val="242F4024"/>
    <w:rsid w:val="2436082A"/>
    <w:rsid w:val="2436B52E"/>
    <w:rsid w:val="243731F6"/>
    <w:rsid w:val="24387E12"/>
    <w:rsid w:val="24396CDA"/>
    <w:rsid w:val="2439E454"/>
    <w:rsid w:val="243CB5A4"/>
    <w:rsid w:val="243D765F"/>
    <w:rsid w:val="2440503B"/>
    <w:rsid w:val="24408AFF"/>
    <w:rsid w:val="2447371E"/>
    <w:rsid w:val="244A0C89"/>
    <w:rsid w:val="244A8551"/>
    <w:rsid w:val="244BD00D"/>
    <w:rsid w:val="244E0206"/>
    <w:rsid w:val="244E9AE2"/>
    <w:rsid w:val="244FDF0A"/>
    <w:rsid w:val="2450FE70"/>
    <w:rsid w:val="245653C4"/>
    <w:rsid w:val="245E182F"/>
    <w:rsid w:val="245F53D3"/>
    <w:rsid w:val="24608B67"/>
    <w:rsid w:val="24680E14"/>
    <w:rsid w:val="24688426"/>
    <w:rsid w:val="246D4E58"/>
    <w:rsid w:val="246D54E7"/>
    <w:rsid w:val="246F050C"/>
    <w:rsid w:val="24758915"/>
    <w:rsid w:val="24870743"/>
    <w:rsid w:val="248B9EFA"/>
    <w:rsid w:val="248BC917"/>
    <w:rsid w:val="24908F4A"/>
    <w:rsid w:val="24956C65"/>
    <w:rsid w:val="2496E784"/>
    <w:rsid w:val="24992BB5"/>
    <w:rsid w:val="249A23FD"/>
    <w:rsid w:val="24A34CA0"/>
    <w:rsid w:val="24A43DF5"/>
    <w:rsid w:val="24A8A9CC"/>
    <w:rsid w:val="24BBEBA5"/>
    <w:rsid w:val="24BE2434"/>
    <w:rsid w:val="24C09C1B"/>
    <w:rsid w:val="24C110A0"/>
    <w:rsid w:val="24C33B2C"/>
    <w:rsid w:val="24C4898F"/>
    <w:rsid w:val="24C5EADD"/>
    <w:rsid w:val="24C7F8DF"/>
    <w:rsid w:val="24CB1F23"/>
    <w:rsid w:val="24CC9C8F"/>
    <w:rsid w:val="24D2287D"/>
    <w:rsid w:val="24D57FE9"/>
    <w:rsid w:val="24E3276B"/>
    <w:rsid w:val="24E9AFA8"/>
    <w:rsid w:val="24EA0B01"/>
    <w:rsid w:val="24EF5FBE"/>
    <w:rsid w:val="24F21D3B"/>
    <w:rsid w:val="24F645F3"/>
    <w:rsid w:val="25006E02"/>
    <w:rsid w:val="25060021"/>
    <w:rsid w:val="250867BC"/>
    <w:rsid w:val="250B739C"/>
    <w:rsid w:val="250C8369"/>
    <w:rsid w:val="251B35A4"/>
    <w:rsid w:val="251C8D4B"/>
    <w:rsid w:val="25203C09"/>
    <w:rsid w:val="25231787"/>
    <w:rsid w:val="252A620A"/>
    <w:rsid w:val="252B875A"/>
    <w:rsid w:val="253F4A54"/>
    <w:rsid w:val="254803D5"/>
    <w:rsid w:val="2548D2F0"/>
    <w:rsid w:val="2549DDD4"/>
    <w:rsid w:val="2553083A"/>
    <w:rsid w:val="255D42E0"/>
    <w:rsid w:val="25673F2E"/>
    <w:rsid w:val="256EFFD3"/>
    <w:rsid w:val="2572CBC0"/>
    <w:rsid w:val="25736D3D"/>
    <w:rsid w:val="2575BBD2"/>
    <w:rsid w:val="257F7EF1"/>
    <w:rsid w:val="25848BDE"/>
    <w:rsid w:val="2587006B"/>
    <w:rsid w:val="25923BE4"/>
    <w:rsid w:val="259B65C5"/>
    <w:rsid w:val="25A352C8"/>
    <w:rsid w:val="25A4DB36"/>
    <w:rsid w:val="25B1159C"/>
    <w:rsid w:val="25B8CEAF"/>
    <w:rsid w:val="25BF4762"/>
    <w:rsid w:val="25C24AC4"/>
    <w:rsid w:val="25C4410A"/>
    <w:rsid w:val="25D0808C"/>
    <w:rsid w:val="25D1ED2E"/>
    <w:rsid w:val="25D2A8BE"/>
    <w:rsid w:val="25D38184"/>
    <w:rsid w:val="25D4D6DF"/>
    <w:rsid w:val="25D985C4"/>
    <w:rsid w:val="25DE2385"/>
    <w:rsid w:val="25DE6C8C"/>
    <w:rsid w:val="25E07917"/>
    <w:rsid w:val="25E608E7"/>
    <w:rsid w:val="25EE0CEF"/>
    <w:rsid w:val="25EEE261"/>
    <w:rsid w:val="25F6581B"/>
    <w:rsid w:val="25FA83D0"/>
    <w:rsid w:val="25FC5926"/>
    <w:rsid w:val="25FDC59E"/>
    <w:rsid w:val="25FEB197"/>
    <w:rsid w:val="26017442"/>
    <w:rsid w:val="2601AACB"/>
    <w:rsid w:val="26091AA4"/>
    <w:rsid w:val="260A8C4E"/>
    <w:rsid w:val="260E56AE"/>
    <w:rsid w:val="26171B94"/>
    <w:rsid w:val="26183342"/>
    <w:rsid w:val="261A9820"/>
    <w:rsid w:val="261C94A9"/>
    <w:rsid w:val="26240040"/>
    <w:rsid w:val="26249848"/>
    <w:rsid w:val="26258A1E"/>
    <w:rsid w:val="2627E39B"/>
    <w:rsid w:val="262F37A3"/>
    <w:rsid w:val="263E22D7"/>
    <w:rsid w:val="263EC2AF"/>
    <w:rsid w:val="26406203"/>
    <w:rsid w:val="2644B2C1"/>
    <w:rsid w:val="2646985C"/>
    <w:rsid w:val="2647DB2C"/>
    <w:rsid w:val="264DB107"/>
    <w:rsid w:val="26510AFB"/>
    <w:rsid w:val="2652DC1A"/>
    <w:rsid w:val="2655C329"/>
    <w:rsid w:val="265AAF20"/>
    <w:rsid w:val="265FA1E2"/>
    <w:rsid w:val="2663882D"/>
    <w:rsid w:val="26667E54"/>
    <w:rsid w:val="266BE769"/>
    <w:rsid w:val="267425FC"/>
    <w:rsid w:val="26752078"/>
    <w:rsid w:val="2678FAE7"/>
    <w:rsid w:val="267D0E4F"/>
    <w:rsid w:val="26815A8A"/>
    <w:rsid w:val="2684242C"/>
    <w:rsid w:val="268843AD"/>
    <w:rsid w:val="268A6197"/>
    <w:rsid w:val="268C07A9"/>
    <w:rsid w:val="268CB97F"/>
    <w:rsid w:val="269813B9"/>
    <w:rsid w:val="269E367B"/>
    <w:rsid w:val="269F98D6"/>
    <w:rsid w:val="26A1E335"/>
    <w:rsid w:val="26B17585"/>
    <w:rsid w:val="26B1C55E"/>
    <w:rsid w:val="26B5F07A"/>
    <w:rsid w:val="26BFBE3C"/>
    <w:rsid w:val="26BFEF8E"/>
    <w:rsid w:val="26C499B0"/>
    <w:rsid w:val="26C5D81E"/>
    <w:rsid w:val="26CC2410"/>
    <w:rsid w:val="26CC32BC"/>
    <w:rsid w:val="26CC7241"/>
    <w:rsid w:val="26CCDCCA"/>
    <w:rsid w:val="26CF8F59"/>
    <w:rsid w:val="26D8EFB6"/>
    <w:rsid w:val="26E30032"/>
    <w:rsid w:val="26E78A7B"/>
    <w:rsid w:val="26F0837D"/>
    <w:rsid w:val="26F42E13"/>
    <w:rsid w:val="26F59854"/>
    <w:rsid w:val="26F5C39E"/>
    <w:rsid w:val="26F5E6C6"/>
    <w:rsid w:val="26F90660"/>
    <w:rsid w:val="270583FE"/>
    <w:rsid w:val="270711BB"/>
    <w:rsid w:val="2712748D"/>
    <w:rsid w:val="2716BF04"/>
    <w:rsid w:val="2716C726"/>
    <w:rsid w:val="27175A49"/>
    <w:rsid w:val="27186BE1"/>
    <w:rsid w:val="2718A48A"/>
    <w:rsid w:val="27192850"/>
    <w:rsid w:val="271BE73B"/>
    <w:rsid w:val="27212A72"/>
    <w:rsid w:val="2728007D"/>
    <w:rsid w:val="272D4ACC"/>
    <w:rsid w:val="272ECD91"/>
    <w:rsid w:val="273438D6"/>
    <w:rsid w:val="273C20BC"/>
    <w:rsid w:val="27400358"/>
    <w:rsid w:val="27437E04"/>
    <w:rsid w:val="2747260A"/>
    <w:rsid w:val="2748C2EE"/>
    <w:rsid w:val="2754971D"/>
    <w:rsid w:val="2754A0C7"/>
    <w:rsid w:val="2759A49F"/>
    <w:rsid w:val="275F8B35"/>
    <w:rsid w:val="275FA191"/>
    <w:rsid w:val="2767B49F"/>
    <w:rsid w:val="2768D297"/>
    <w:rsid w:val="27690EEA"/>
    <w:rsid w:val="276C3178"/>
    <w:rsid w:val="276E05F7"/>
    <w:rsid w:val="2771BCF3"/>
    <w:rsid w:val="27752C37"/>
    <w:rsid w:val="27753767"/>
    <w:rsid w:val="277563A1"/>
    <w:rsid w:val="2775CC65"/>
    <w:rsid w:val="2777CA65"/>
    <w:rsid w:val="277FD414"/>
    <w:rsid w:val="27804F99"/>
    <w:rsid w:val="2785F732"/>
    <w:rsid w:val="27867E28"/>
    <w:rsid w:val="2791B815"/>
    <w:rsid w:val="27938CF2"/>
    <w:rsid w:val="279DA783"/>
    <w:rsid w:val="27A0728E"/>
    <w:rsid w:val="27A0B12A"/>
    <w:rsid w:val="27A1C9DC"/>
    <w:rsid w:val="27A60D09"/>
    <w:rsid w:val="27A8098A"/>
    <w:rsid w:val="27A96863"/>
    <w:rsid w:val="27AAF5A2"/>
    <w:rsid w:val="27AB733A"/>
    <w:rsid w:val="27AE2F16"/>
    <w:rsid w:val="27B1F954"/>
    <w:rsid w:val="27B394DC"/>
    <w:rsid w:val="27B4445B"/>
    <w:rsid w:val="27B79219"/>
    <w:rsid w:val="27BC110B"/>
    <w:rsid w:val="27BE561C"/>
    <w:rsid w:val="27C75B2A"/>
    <w:rsid w:val="27C9B186"/>
    <w:rsid w:val="27CC9B75"/>
    <w:rsid w:val="27DB16D1"/>
    <w:rsid w:val="27DC5F65"/>
    <w:rsid w:val="27E2BBE2"/>
    <w:rsid w:val="27E42C3E"/>
    <w:rsid w:val="27EC765F"/>
    <w:rsid w:val="27F06C0B"/>
    <w:rsid w:val="27F55932"/>
    <w:rsid w:val="2801AA7A"/>
    <w:rsid w:val="2801EBCD"/>
    <w:rsid w:val="280C7470"/>
    <w:rsid w:val="28108D22"/>
    <w:rsid w:val="28114918"/>
    <w:rsid w:val="2813FAC9"/>
    <w:rsid w:val="281A7F22"/>
    <w:rsid w:val="281A8B3E"/>
    <w:rsid w:val="281BB260"/>
    <w:rsid w:val="2828C668"/>
    <w:rsid w:val="282CC727"/>
    <w:rsid w:val="283435DD"/>
    <w:rsid w:val="28384BC4"/>
    <w:rsid w:val="2838F779"/>
    <w:rsid w:val="283D5434"/>
    <w:rsid w:val="283DB146"/>
    <w:rsid w:val="283EF31F"/>
    <w:rsid w:val="28425483"/>
    <w:rsid w:val="2846320D"/>
    <w:rsid w:val="284B0AF2"/>
    <w:rsid w:val="28515FF8"/>
    <w:rsid w:val="28533E60"/>
    <w:rsid w:val="28577BB0"/>
    <w:rsid w:val="2858B0F3"/>
    <w:rsid w:val="285B12BC"/>
    <w:rsid w:val="285BC32C"/>
    <w:rsid w:val="2861C3BD"/>
    <w:rsid w:val="28696A1F"/>
    <w:rsid w:val="286A4D20"/>
    <w:rsid w:val="286DE59C"/>
    <w:rsid w:val="28705FB0"/>
    <w:rsid w:val="287FB630"/>
    <w:rsid w:val="28816765"/>
    <w:rsid w:val="2882E63F"/>
    <w:rsid w:val="288360AB"/>
    <w:rsid w:val="2884F30E"/>
    <w:rsid w:val="288678E2"/>
    <w:rsid w:val="288AC48D"/>
    <w:rsid w:val="288AF993"/>
    <w:rsid w:val="288EE1FB"/>
    <w:rsid w:val="288EED94"/>
    <w:rsid w:val="28917057"/>
    <w:rsid w:val="28927240"/>
    <w:rsid w:val="28932021"/>
    <w:rsid w:val="289371DD"/>
    <w:rsid w:val="28998B7B"/>
    <w:rsid w:val="289ED73D"/>
    <w:rsid w:val="28A23A1D"/>
    <w:rsid w:val="28A24797"/>
    <w:rsid w:val="28A9EE56"/>
    <w:rsid w:val="28AA1F1B"/>
    <w:rsid w:val="28AB0CD2"/>
    <w:rsid w:val="28ABEE0F"/>
    <w:rsid w:val="28ADF73C"/>
    <w:rsid w:val="28B18F3E"/>
    <w:rsid w:val="28B68417"/>
    <w:rsid w:val="28BA0141"/>
    <w:rsid w:val="28BDAED0"/>
    <w:rsid w:val="28BE681D"/>
    <w:rsid w:val="28BF6770"/>
    <w:rsid w:val="28BFC2E4"/>
    <w:rsid w:val="28CB4DC3"/>
    <w:rsid w:val="28CFB3A2"/>
    <w:rsid w:val="28D9AE96"/>
    <w:rsid w:val="28D9CED0"/>
    <w:rsid w:val="28DA0D2C"/>
    <w:rsid w:val="28DFC6A6"/>
    <w:rsid w:val="28DFEC22"/>
    <w:rsid w:val="28E15FE5"/>
    <w:rsid w:val="28E48651"/>
    <w:rsid w:val="28E502D6"/>
    <w:rsid w:val="28EFD3A0"/>
    <w:rsid w:val="28F1BFA0"/>
    <w:rsid w:val="28F31342"/>
    <w:rsid w:val="28F653C7"/>
    <w:rsid w:val="28F8E72E"/>
    <w:rsid w:val="28FEA2D3"/>
    <w:rsid w:val="28FF1668"/>
    <w:rsid w:val="290A1867"/>
    <w:rsid w:val="291184EA"/>
    <w:rsid w:val="29135BC7"/>
    <w:rsid w:val="2920A7A8"/>
    <w:rsid w:val="2921A2F9"/>
    <w:rsid w:val="29239DC9"/>
    <w:rsid w:val="292A2515"/>
    <w:rsid w:val="292C18D7"/>
    <w:rsid w:val="292DAAF8"/>
    <w:rsid w:val="293AE76C"/>
    <w:rsid w:val="293BBB85"/>
    <w:rsid w:val="293DC6AD"/>
    <w:rsid w:val="293E156D"/>
    <w:rsid w:val="29402DA4"/>
    <w:rsid w:val="294451BD"/>
    <w:rsid w:val="2944A591"/>
    <w:rsid w:val="294C3AAF"/>
    <w:rsid w:val="29569D59"/>
    <w:rsid w:val="29575BA3"/>
    <w:rsid w:val="29578C0A"/>
    <w:rsid w:val="2958F810"/>
    <w:rsid w:val="29592431"/>
    <w:rsid w:val="29625BE8"/>
    <w:rsid w:val="29637DAF"/>
    <w:rsid w:val="2965AA2A"/>
    <w:rsid w:val="2966D865"/>
    <w:rsid w:val="2966E3B2"/>
    <w:rsid w:val="29698C00"/>
    <w:rsid w:val="296D2960"/>
    <w:rsid w:val="29736E9E"/>
    <w:rsid w:val="29742105"/>
    <w:rsid w:val="297773CE"/>
    <w:rsid w:val="2979CBC9"/>
    <w:rsid w:val="29890393"/>
    <w:rsid w:val="298E34A5"/>
    <w:rsid w:val="29965D5A"/>
    <w:rsid w:val="2998AD0C"/>
    <w:rsid w:val="299A548C"/>
    <w:rsid w:val="299A7E94"/>
    <w:rsid w:val="299DC2B9"/>
    <w:rsid w:val="29A7ABFB"/>
    <w:rsid w:val="29A906ED"/>
    <w:rsid w:val="29AB52D5"/>
    <w:rsid w:val="29AF01CF"/>
    <w:rsid w:val="29B5ED58"/>
    <w:rsid w:val="29B91E62"/>
    <w:rsid w:val="29C41F7D"/>
    <w:rsid w:val="29C7B54F"/>
    <w:rsid w:val="29C7E130"/>
    <w:rsid w:val="29CBBBDD"/>
    <w:rsid w:val="29D2CE3E"/>
    <w:rsid w:val="29D5384D"/>
    <w:rsid w:val="29D81FE8"/>
    <w:rsid w:val="29D8F5BF"/>
    <w:rsid w:val="29DF4A97"/>
    <w:rsid w:val="29E083A3"/>
    <w:rsid w:val="29E203E6"/>
    <w:rsid w:val="29E28AD5"/>
    <w:rsid w:val="29EBECAA"/>
    <w:rsid w:val="29EBFFFB"/>
    <w:rsid w:val="29EC57CB"/>
    <w:rsid w:val="29ED5094"/>
    <w:rsid w:val="29F4B454"/>
    <w:rsid w:val="29F6FAF3"/>
    <w:rsid w:val="2A020F62"/>
    <w:rsid w:val="2A0771A1"/>
    <w:rsid w:val="2A0C2401"/>
    <w:rsid w:val="2A0CD915"/>
    <w:rsid w:val="2A0F0218"/>
    <w:rsid w:val="2A1498BF"/>
    <w:rsid w:val="2A172D29"/>
    <w:rsid w:val="2A17389C"/>
    <w:rsid w:val="2A18AF74"/>
    <w:rsid w:val="2A1AA881"/>
    <w:rsid w:val="2A1B1DE3"/>
    <w:rsid w:val="2A1C8B1C"/>
    <w:rsid w:val="2A2296B4"/>
    <w:rsid w:val="2A281324"/>
    <w:rsid w:val="2A2BB1D3"/>
    <w:rsid w:val="2A356F57"/>
    <w:rsid w:val="2A3A6858"/>
    <w:rsid w:val="2A3B72DA"/>
    <w:rsid w:val="2A3BC8D0"/>
    <w:rsid w:val="2A41A886"/>
    <w:rsid w:val="2A41E549"/>
    <w:rsid w:val="2A42A179"/>
    <w:rsid w:val="2A43BFF2"/>
    <w:rsid w:val="2A45085E"/>
    <w:rsid w:val="2A47CAFA"/>
    <w:rsid w:val="2A4C2FFE"/>
    <w:rsid w:val="2A5331F2"/>
    <w:rsid w:val="2A5A744F"/>
    <w:rsid w:val="2A5BC196"/>
    <w:rsid w:val="2A5D5AA1"/>
    <w:rsid w:val="2A63674B"/>
    <w:rsid w:val="2A69F7E8"/>
    <w:rsid w:val="2A6B790C"/>
    <w:rsid w:val="2A6D9D1A"/>
    <w:rsid w:val="2A76CEAA"/>
    <w:rsid w:val="2A79EA74"/>
    <w:rsid w:val="2A7D375A"/>
    <w:rsid w:val="2A7E40E9"/>
    <w:rsid w:val="2A7FD02A"/>
    <w:rsid w:val="2A811EF4"/>
    <w:rsid w:val="2A82C1C0"/>
    <w:rsid w:val="2A8345A0"/>
    <w:rsid w:val="2A8C6BCE"/>
    <w:rsid w:val="2A95229D"/>
    <w:rsid w:val="2A98BCF4"/>
    <w:rsid w:val="2A99B180"/>
    <w:rsid w:val="2A99F01B"/>
    <w:rsid w:val="2A9AE53E"/>
    <w:rsid w:val="2AA2A8C6"/>
    <w:rsid w:val="2AA9F9FB"/>
    <w:rsid w:val="2AAAB6B7"/>
    <w:rsid w:val="2AAEAB91"/>
    <w:rsid w:val="2AB0C0AC"/>
    <w:rsid w:val="2ABB9215"/>
    <w:rsid w:val="2AC0215C"/>
    <w:rsid w:val="2AC86268"/>
    <w:rsid w:val="2AC95626"/>
    <w:rsid w:val="2ACADB64"/>
    <w:rsid w:val="2AD20EB0"/>
    <w:rsid w:val="2AD3C9B4"/>
    <w:rsid w:val="2AD5977E"/>
    <w:rsid w:val="2ADAFF1E"/>
    <w:rsid w:val="2ADD667C"/>
    <w:rsid w:val="2AE2ABE6"/>
    <w:rsid w:val="2AE3EC8F"/>
    <w:rsid w:val="2AE5C7EC"/>
    <w:rsid w:val="2AEF64C5"/>
    <w:rsid w:val="2AF82012"/>
    <w:rsid w:val="2B0245B4"/>
    <w:rsid w:val="2B046777"/>
    <w:rsid w:val="2B04D458"/>
    <w:rsid w:val="2B0F2EF6"/>
    <w:rsid w:val="2B12DB0E"/>
    <w:rsid w:val="2B181D1C"/>
    <w:rsid w:val="2B1A33C8"/>
    <w:rsid w:val="2B229BBE"/>
    <w:rsid w:val="2B252CAF"/>
    <w:rsid w:val="2B252CB5"/>
    <w:rsid w:val="2B2D1160"/>
    <w:rsid w:val="2B2FE09F"/>
    <w:rsid w:val="2B321835"/>
    <w:rsid w:val="2B340485"/>
    <w:rsid w:val="2B3A0A4B"/>
    <w:rsid w:val="2B3DAA03"/>
    <w:rsid w:val="2B459DA8"/>
    <w:rsid w:val="2B469FE6"/>
    <w:rsid w:val="2B46B5B8"/>
    <w:rsid w:val="2B477F3F"/>
    <w:rsid w:val="2B4FBCA9"/>
    <w:rsid w:val="2B542F0C"/>
    <w:rsid w:val="2B594AF9"/>
    <w:rsid w:val="2B59D3B5"/>
    <w:rsid w:val="2B5A6FDC"/>
    <w:rsid w:val="2B5BA6CB"/>
    <w:rsid w:val="2B5D2074"/>
    <w:rsid w:val="2B5F99BE"/>
    <w:rsid w:val="2B61824F"/>
    <w:rsid w:val="2B656DF2"/>
    <w:rsid w:val="2B66797C"/>
    <w:rsid w:val="2B678471"/>
    <w:rsid w:val="2B6B288C"/>
    <w:rsid w:val="2B6FF43A"/>
    <w:rsid w:val="2B75B09C"/>
    <w:rsid w:val="2B7AEF00"/>
    <w:rsid w:val="2B7CCF0E"/>
    <w:rsid w:val="2B7DF9BF"/>
    <w:rsid w:val="2B81A633"/>
    <w:rsid w:val="2B823DAB"/>
    <w:rsid w:val="2B84963B"/>
    <w:rsid w:val="2B84CB21"/>
    <w:rsid w:val="2B8639C4"/>
    <w:rsid w:val="2B86AFAC"/>
    <w:rsid w:val="2B86B47C"/>
    <w:rsid w:val="2B92348C"/>
    <w:rsid w:val="2B92CA82"/>
    <w:rsid w:val="2B940944"/>
    <w:rsid w:val="2B941E88"/>
    <w:rsid w:val="2B960749"/>
    <w:rsid w:val="2B9992FD"/>
    <w:rsid w:val="2B9CADA8"/>
    <w:rsid w:val="2BA1E39C"/>
    <w:rsid w:val="2BA9F240"/>
    <w:rsid w:val="2BAB9540"/>
    <w:rsid w:val="2BAC57BC"/>
    <w:rsid w:val="2BB458C7"/>
    <w:rsid w:val="2BB7F1E8"/>
    <w:rsid w:val="2BBD027D"/>
    <w:rsid w:val="2BBDB7D9"/>
    <w:rsid w:val="2BC259C6"/>
    <w:rsid w:val="2BC5506D"/>
    <w:rsid w:val="2BC7ACA2"/>
    <w:rsid w:val="2BCA3903"/>
    <w:rsid w:val="2BCB8CC7"/>
    <w:rsid w:val="2BCD9DF5"/>
    <w:rsid w:val="2BCEFB84"/>
    <w:rsid w:val="2BDA9650"/>
    <w:rsid w:val="2BDB8A12"/>
    <w:rsid w:val="2BE0E6C1"/>
    <w:rsid w:val="2BE18F14"/>
    <w:rsid w:val="2BE4EA39"/>
    <w:rsid w:val="2BF02540"/>
    <w:rsid w:val="2BF22859"/>
    <w:rsid w:val="2BFB7FA9"/>
    <w:rsid w:val="2BFFF85F"/>
    <w:rsid w:val="2C00344E"/>
    <w:rsid w:val="2C0282BF"/>
    <w:rsid w:val="2C04202E"/>
    <w:rsid w:val="2C083765"/>
    <w:rsid w:val="2C08924F"/>
    <w:rsid w:val="2C0C9DF7"/>
    <w:rsid w:val="2C16A9C3"/>
    <w:rsid w:val="2C19373B"/>
    <w:rsid w:val="2C1D2F75"/>
    <w:rsid w:val="2C219923"/>
    <w:rsid w:val="2C21DFCF"/>
    <w:rsid w:val="2C2539F5"/>
    <w:rsid w:val="2C25A9A9"/>
    <w:rsid w:val="2C3CC3F1"/>
    <w:rsid w:val="2C3E7CAA"/>
    <w:rsid w:val="2C3F9238"/>
    <w:rsid w:val="2C42B7BB"/>
    <w:rsid w:val="2C43AD9E"/>
    <w:rsid w:val="2C44ECC0"/>
    <w:rsid w:val="2C4C1603"/>
    <w:rsid w:val="2C552920"/>
    <w:rsid w:val="2C57E83F"/>
    <w:rsid w:val="2C59BED7"/>
    <w:rsid w:val="2C5F6205"/>
    <w:rsid w:val="2C608118"/>
    <w:rsid w:val="2C67D5BE"/>
    <w:rsid w:val="2C69C63F"/>
    <w:rsid w:val="2C6DB12B"/>
    <w:rsid w:val="2C737C62"/>
    <w:rsid w:val="2C7499AB"/>
    <w:rsid w:val="2C7EF09C"/>
    <w:rsid w:val="2C8F5AD1"/>
    <w:rsid w:val="2C909BB9"/>
    <w:rsid w:val="2C94243D"/>
    <w:rsid w:val="2C96E4AA"/>
    <w:rsid w:val="2C973AC2"/>
    <w:rsid w:val="2C97C905"/>
    <w:rsid w:val="2C9A95DB"/>
    <w:rsid w:val="2C9D7BB6"/>
    <w:rsid w:val="2CA06753"/>
    <w:rsid w:val="2CACD16E"/>
    <w:rsid w:val="2CAE9AAB"/>
    <w:rsid w:val="2CAFDCC4"/>
    <w:rsid w:val="2CB5138D"/>
    <w:rsid w:val="2CB5906E"/>
    <w:rsid w:val="2CB9E06F"/>
    <w:rsid w:val="2CBA4CCB"/>
    <w:rsid w:val="2CC6D14B"/>
    <w:rsid w:val="2CCA599A"/>
    <w:rsid w:val="2CCCD70F"/>
    <w:rsid w:val="2CCDF97F"/>
    <w:rsid w:val="2CCECF2C"/>
    <w:rsid w:val="2CCFF266"/>
    <w:rsid w:val="2CD2849F"/>
    <w:rsid w:val="2CD76B3C"/>
    <w:rsid w:val="2CDA133E"/>
    <w:rsid w:val="2CDEA1BD"/>
    <w:rsid w:val="2CDF4CE6"/>
    <w:rsid w:val="2CE4E4C4"/>
    <w:rsid w:val="2CE5B0FE"/>
    <w:rsid w:val="2CE73B35"/>
    <w:rsid w:val="2CEB54F0"/>
    <w:rsid w:val="2CEBE927"/>
    <w:rsid w:val="2CEF9D8F"/>
    <w:rsid w:val="2CF971F5"/>
    <w:rsid w:val="2CFAA7A6"/>
    <w:rsid w:val="2CFB307E"/>
    <w:rsid w:val="2D01659B"/>
    <w:rsid w:val="2D05DCA5"/>
    <w:rsid w:val="2D0706CD"/>
    <w:rsid w:val="2D07BFA7"/>
    <w:rsid w:val="2D0F7D0C"/>
    <w:rsid w:val="2D16A883"/>
    <w:rsid w:val="2D185C6D"/>
    <w:rsid w:val="2D1A4F01"/>
    <w:rsid w:val="2D1D3BB5"/>
    <w:rsid w:val="2D1EF831"/>
    <w:rsid w:val="2D2261A0"/>
    <w:rsid w:val="2D257358"/>
    <w:rsid w:val="2D2C9C17"/>
    <w:rsid w:val="2D30E10C"/>
    <w:rsid w:val="2D353BD1"/>
    <w:rsid w:val="2D3F10CF"/>
    <w:rsid w:val="2D4081E8"/>
    <w:rsid w:val="2D42040D"/>
    <w:rsid w:val="2D45127A"/>
    <w:rsid w:val="2D4567F3"/>
    <w:rsid w:val="2D473EDA"/>
    <w:rsid w:val="2D4A4AB5"/>
    <w:rsid w:val="2D517230"/>
    <w:rsid w:val="2D51CF35"/>
    <w:rsid w:val="2D527084"/>
    <w:rsid w:val="2D55381D"/>
    <w:rsid w:val="2D56C1CC"/>
    <w:rsid w:val="2D5EE5A4"/>
    <w:rsid w:val="2D62ECD1"/>
    <w:rsid w:val="2D67B459"/>
    <w:rsid w:val="2D67F0BF"/>
    <w:rsid w:val="2D6CDAE2"/>
    <w:rsid w:val="2D6E3A1F"/>
    <w:rsid w:val="2D76386C"/>
    <w:rsid w:val="2D7EABC8"/>
    <w:rsid w:val="2D82F455"/>
    <w:rsid w:val="2D8F09C0"/>
    <w:rsid w:val="2D9028D7"/>
    <w:rsid w:val="2D92A62E"/>
    <w:rsid w:val="2D92ECCA"/>
    <w:rsid w:val="2D939097"/>
    <w:rsid w:val="2D95364C"/>
    <w:rsid w:val="2D958382"/>
    <w:rsid w:val="2D9ED41A"/>
    <w:rsid w:val="2DA559B9"/>
    <w:rsid w:val="2DA9021B"/>
    <w:rsid w:val="2DA90973"/>
    <w:rsid w:val="2DB077D9"/>
    <w:rsid w:val="2DB10007"/>
    <w:rsid w:val="2DB15428"/>
    <w:rsid w:val="2DB19E95"/>
    <w:rsid w:val="2DB2F98E"/>
    <w:rsid w:val="2DB3A307"/>
    <w:rsid w:val="2DB70BB2"/>
    <w:rsid w:val="2DBBA4F2"/>
    <w:rsid w:val="2DC648B6"/>
    <w:rsid w:val="2DC8EE3A"/>
    <w:rsid w:val="2DCC2BE7"/>
    <w:rsid w:val="2DCD866C"/>
    <w:rsid w:val="2DD016E5"/>
    <w:rsid w:val="2DD2AF08"/>
    <w:rsid w:val="2DDC897C"/>
    <w:rsid w:val="2DDE132B"/>
    <w:rsid w:val="2DE72E72"/>
    <w:rsid w:val="2DE811F6"/>
    <w:rsid w:val="2DF2C49A"/>
    <w:rsid w:val="2DF704A2"/>
    <w:rsid w:val="2DF78721"/>
    <w:rsid w:val="2DF92DBF"/>
    <w:rsid w:val="2DFDA38A"/>
    <w:rsid w:val="2E06B6D8"/>
    <w:rsid w:val="2E0E217A"/>
    <w:rsid w:val="2E1224C0"/>
    <w:rsid w:val="2E143399"/>
    <w:rsid w:val="2E1CA83E"/>
    <w:rsid w:val="2E1E6177"/>
    <w:rsid w:val="2E208B97"/>
    <w:rsid w:val="2E24DD4C"/>
    <w:rsid w:val="2E26D8AE"/>
    <w:rsid w:val="2E29399E"/>
    <w:rsid w:val="2E2AB85A"/>
    <w:rsid w:val="2E371498"/>
    <w:rsid w:val="2E3FC11A"/>
    <w:rsid w:val="2E410E84"/>
    <w:rsid w:val="2E4231A6"/>
    <w:rsid w:val="2E4C6758"/>
    <w:rsid w:val="2E4F38A4"/>
    <w:rsid w:val="2E4F686D"/>
    <w:rsid w:val="2E563422"/>
    <w:rsid w:val="2E58D24C"/>
    <w:rsid w:val="2E58DBB0"/>
    <w:rsid w:val="2E5FD5F5"/>
    <w:rsid w:val="2E61858E"/>
    <w:rsid w:val="2E631E06"/>
    <w:rsid w:val="2E6A9643"/>
    <w:rsid w:val="2E6A9FC8"/>
    <w:rsid w:val="2E712BFB"/>
    <w:rsid w:val="2E716615"/>
    <w:rsid w:val="2E73AE83"/>
    <w:rsid w:val="2E76A107"/>
    <w:rsid w:val="2E7B667A"/>
    <w:rsid w:val="2E7B90F8"/>
    <w:rsid w:val="2E7DEA7A"/>
    <w:rsid w:val="2E80F623"/>
    <w:rsid w:val="2E824439"/>
    <w:rsid w:val="2E86A196"/>
    <w:rsid w:val="2E8ACFE0"/>
    <w:rsid w:val="2E8C451A"/>
    <w:rsid w:val="2E8E0988"/>
    <w:rsid w:val="2E919B2D"/>
    <w:rsid w:val="2E9B776D"/>
    <w:rsid w:val="2EA1EA72"/>
    <w:rsid w:val="2EA536EB"/>
    <w:rsid w:val="2EA90B06"/>
    <w:rsid w:val="2EAE6CDB"/>
    <w:rsid w:val="2EB1BF11"/>
    <w:rsid w:val="2EB25676"/>
    <w:rsid w:val="2EB6D4BA"/>
    <w:rsid w:val="2EB78347"/>
    <w:rsid w:val="2EBF3901"/>
    <w:rsid w:val="2EC370DD"/>
    <w:rsid w:val="2EC93F8F"/>
    <w:rsid w:val="2ED54BAF"/>
    <w:rsid w:val="2EDFB1F4"/>
    <w:rsid w:val="2EE8A51F"/>
    <w:rsid w:val="2EE920CC"/>
    <w:rsid w:val="2EF1EB90"/>
    <w:rsid w:val="2F02A5C7"/>
    <w:rsid w:val="2F13316F"/>
    <w:rsid w:val="2F143E7A"/>
    <w:rsid w:val="2F15778A"/>
    <w:rsid w:val="2F1C3017"/>
    <w:rsid w:val="2F1E1808"/>
    <w:rsid w:val="2F306FFA"/>
    <w:rsid w:val="2F34152D"/>
    <w:rsid w:val="2F35AED1"/>
    <w:rsid w:val="2F37C6F1"/>
    <w:rsid w:val="2F3B1296"/>
    <w:rsid w:val="2F42089D"/>
    <w:rsid w:val="2F43C4A3"/>
    <w:rsid w:val="2F449658"/>
    <w:rsid w:val="2F44DEA4"/>
    <w:rsid w:val="2F46103A"/>
    <w:rsid w:val="2F5611F8"/>
    <w:rsid w:val="2F5CCE60"/>
    <w:rsid w:val="2F60D84B"/>
    <w:rsid w:val="2F619AAD"/>
    <w:rsid w:val="2F622F71"/>
    <w:rsid w:val="2F69C430"/>
    <w:rsid w:val="2F6F1345"/>
    <w:rsid w:val="2F75310E"/>
    <w:rsid w:val="2F76728B"/>
    <w:rsid w:val="2F78BC0F"/>
    <w:rsid w:val="2F793235"/>
    <w:rsid w:val="2F821590"/>
    <w:rsid w:val="2F91A8D6"/>
    <w:rsid w:val="2F988A35"/>
    <w:rsid w:val="2F98D185"/>
    <w:rsid w:val="2F9E1DB2"/>
    <w:rsid w:val="2FA66BDA"/>
    <w:rsid w:val="2FA8858B"/>
    <w:rsid w:val="2FA94FBB"/>
    <w:rsid w:val="2FAD862C"/>
    <w:rsid w:val="2FB4A21C"/>
    <w:rsid w:val="2FBC35D0"/>
    <w:rsid w:val="2FC768D5"/>
    <w:rsid w:val="2FC9A171"/>
    <w:rsid w:val="2FCB448B"/>
    <w:rsid w:val="2FD12C6C"/>
    <w:rsid w:val="2FD38876"/>
    <w:rsid w:val="2FD702E3"/>
    <w:rsid w:val="2FD7A3FC"/>
    <w:rsid w:val="2FE3DE4A"/>
    <w:rsid w:val="2FE46FCD"/>
    <w:rsid w:val="2FE4E48A"/>
    <w:rsid w:val="2FE60675"/>
    <w:rsid w:val="2FE7F785"/>
    <w:rsid w:val="2FE9FAA1"/>
    <w:rsid w:val="2FEA2F8A"/>
    <w:rsid w:val="2FEADDC6"/>
    <w:rsid w:val="2FEE9110"/>
    <w:rsid w:val="2FF1E5FA"/>
    <w:rsid w:val="2FF2BD0E"/>
    <w:rsid w:val="2FF98EB0"/>
    <w:rsid w:val="2FFAC36B"/>
    <w:rsid w:val="2FFD7629"/>
    <w:rsid w:val="3003FAD4"/>
    <w:rsid w:val="3005EC86"/>
    <w:rsid w:val="300F8091"/>
    <w:rsid w:val="301088C2"/>
    <w:rsid w:val="30127168"/>
    <w:rsid w:val="3017D835"/>
    <w:rsid w:val="30211D5F"/>
    <w:rsid w:val="3022A671"/>
    <w:rsid w:val="3026E7B7"/>
    <w:rsid w:val="302776D3"/>
    <w:rsid w:val="3030E03F"/>
    <w:rsid w:val="3031CBC6"/>
    <w:rsid w:val="3033846F"/>
    <w:rsid w:val="3035BF7E"/>
    <w:rsid w:val="303AE27D"/>
    <w:rsid w:val="303EEC6D"/>
    <w:rsid w:val="303F8DDB"/>
    <w:rsid w:val="3040F90E"/>
    <w:rsid w:val="3042E630"/>
    <w:rsid w:val="30488DE5"/>
    <w:rsid w:val="304A5B7B"/>
    <w:rsid w:val="304AA95D"/>
    <w:rsid w:val="304BDA52"/>
    <w:rsid w:val="304F7087"/>
    <w:rsid w:val="30515181"/>
    <w:rsid w:val="3055F09A"/>
    <w:rsid w:val="30578622"/>
    <w:rsid w:val="305A76F1"/>
    <w:rsid w:val="305B93A7"/>
    <w:rsid w:val="305E4EC7"/>
    <w:rsid w:val="30627182"/>
    <w:rsid w:val="3066D437"/>
    <w:rsid w:val="3067019B"/>
    <w:rsid w:val="3067252B"/>
    <w:rsid w:val="30696B5D"/>
    <w:rsid w:val="306CE074"/>
    <w:rsid w:val="306FD7D3"/>
    <w:rsid w:val="3072AD45"/>
    <w:rsid w:val="3073F0FE"/>
    <w:rsid w:val="30769EC0"/>
    <w:rsid w:val="3078DFF0"/>
    <w:rsid w:val="307A43D2"/>
    <w:rsid w:val="307B263C"/>
    <w:rsid w:val="307B78D5"/>
    <w:rsid w:val="307BA349"/>
    <w:rsid w:val="30806D4F"/>
    <w:rsid w:val="3080D468"/>
    <w:rsid w:val="30812E12"/>
    <w:rsid w:val="308EC0A4"/>
    <w:rsid w:val="3093AB80"/>
    <w:rsid w:val="30990D4A"/>
    <w:rsid w:val="309B0EDD"/>
    <w:rsid w:val="309C6FBC"/>
    <w:rsid w:val="309D3EC4"/>
    <w:rsid w:val="309E4647"/>
    <w:rsid w:val="309E77A7"/>
    <w:rsid w:val="30A162D8"/>
    <w:rsid w:val="30A64ED7"/>
    <w:rsid w:val="30A95F48"/>
    <w:rsid w:val="30AD95D4"/>
    <w:rsid w:val="30B454E3"/>
    <w:rsid w:val="30B4AD79"/>
    <w:rsid w:val="30B7F65F"/>
    <w:rsid w:val="30B9A2DA"/>
    <w:rsid w:val="30BAA590"/>
    <w:rsid w:val="30BEBD23"/>
    <w:rsid w:val="30C1EE1A"/>
    <w:rsid w:val="30C2507C"/>
    <w:rsid w:val="30C784C4"/>
    <w:rsid w:val="30C887AB"/>
    <w:rsid w:val="30CE8073"/>
    <w:rsid w:val="30CF5817"/>
    <w:rsid w:val="30D13945"/>
    <w:rsid w:val="30D890EF"/>
    <w:rsid w:val="30D924FC"/>
    <w:rsid w:val="30DB94B9"/>
    <w:rsid w:val="30DD727F"/>
    <w:rsid w:val="30E23715"/>
    <w:rsid w:val="30E55836"/>
    <w:rsid w:val="30E742F1"/>
    <w:rsid w:val="30EBA5C0"/>
    <w:rsid w:val="30EBC2E1"/>
    <w:rsid w:val="30F2716E"/>
    <w:rsid w:val="30F5D569"/>
    <w:rsid w:val="3101605B"/>
    <w:rsid w:val="3101AB6F"/>
    <w:rsid w:val="310572E2"/>
    <w:rsid w:val="310669F7"/>
    <w:rsid w:val="31088CD0"/>
    <w:rsid w:val="310BA1E9"/>
    <w:rsid w:val="310F6B27"/>
    <w:rsid w:val="310FDA3A"/>
    <w:rsid w:val="3112D99F"/>
    <w:rsid w:val="31142A3E"/>
    <w:rsid w:val="3121EFF6"/>
    <w:rsid w:val="312471BE"/>
    <w:rsid w:val="31273E12"/>
    <w:rsid w:val="312E5639"/>
    <w:rsid w:val="312E901F"/>
    <w:rsid w:val="312EBA05"/>
    <w:rsid w:val="312F848F"/>
    <w:rsid w:val="313469BD"/>
    <w:rsid w:val="31348EF8"/>
    <w:rsid w:val="313621E0"/>
    <w:rsid w:val="313ECD2E"/>
    <w:rsid w:val="313F7C26"/>
    <w:rsid w:val="313FAF87"/>
    <w:rsid w:val="31421506"/>
    <w:rsid w:val="3146AA17"/>
    <w:rsid w:val="314A0939"/>
    <w:rsid w:val="314B522E"/>
    <w:rsid w:val="314C2D84"/>
    <w:rsid w:val="31656722"/>
    <w:rsid w:val="31674D04"/>
    <w:rsid w:val="31685943"/>
    <w:rsid w:val="31691265"/>
    <w:rsid w:val="316E4CA5"/>
    <w:rsid w:val="31740106"/>
    <w:rsid w:val="3176DB85"/>
    <w:rsid w:val="31777D5D"/>
    <w:rsid w:val="317E2B2B"/>
    <w:rsid w:val="3182F20F"/>
    <w:rsid w:val="3183599D"/>
    <w:rsid w:val="318A20DA"/>
    <w:rsid w:val="318FB65D"/>
    <w:rsid w:val="319837BA"/>
    <w:rsid w:val="319C5F59"/>
    <w:rsid w:val="319E1AE2"/>
    <w:rsid w:val="319F91A3"/>
    <w:rsid w:val="31A3570D"/>
    <w:rsid w:val="31A43021"/>
    <w:rsid w:val="31A67968"/>
    <w:rsid w:val="31A69E01"/>
    <w:rsid w:val="31A6B25B"/>
    <w:rsid w:val="31A779C0"/>
    <w:rsid w:val="31AA429F"/>
    <w:rsid w:val="31AA6C44"/>
    <w:rsid w:val="31ABE475"/>
    <w:rsid w:val="31AE6AC5"/>
    <w:rsid w:val="31B0A4A5"/>
    <w:rsid w:val="31B26EDD"/>
    <w:rsid w:val="31BA2C5B"/>
    <w:rsid w:val="31BB4FEA"/>
    <w:rsid w:val="31CC2ECD"/>
    <w:rsid w:val="31D65DA2"/>
    <w:rsid w:val="31D8313E"/>
    <w:rsid w:val="31DBBB7B"/>
    <w:rsid w:val="31DE2F63"/>
    <w:rsid w:val="31E235C3"/>
    <w:rsid w:val="31E3EB6C"/>
    <w:rsid w:val="31E6BABC"/>
    <w:rsid w:val="31E86A94"/>
    <w:rsid w:val="31EC5282"/>
    <w:rsid w:val="31F28023"/>
    <w:rsid w:val="31F984EA"/>
    <w:rsid w:val="31FA5722"/>
    <w:rsid w:val="31FBA8D3"/>
    <w:rsid w:val="32027704"/>
    <w:rsid w:val="3202E3BF"/>
    <w:rsid w:val="32044208"/>
    <w:rsid w:val="320A8C5B"/>
    <w:rsid w:val="320B66B5"/>
    <w:rsid w:val="320D1836"/>
    <w:rsid w:val="320D642A"/>
    <w:rsid w:val="320D98E1"/>
    <w:rsid w:val="320E144F"/>
    <w:rsid w:val="320E7621"/>
    <w:rsid w:val="321285BC"/>
    <w:rsid w:val="32137AE3"/>
    <w:rsid w:val="3213A430"/>
    <w:rsid w:val="3215B1A2"/>
    <w:rsid w:val="32160CA8"/>
    <w:rsid w:val="3217A74E"/>
    <w:rsid w:val="321C6C79"/>
    <w:rsid w:val="3222AE1A"/>
    <w:rsid w:val="3225A413"/>
    <w:rsid w:val="3230017B"/>
    <w:rsid w:val="3231D6A1"/>
    <w:rsid w:val="32337E64"/>
    <w:rsid w:val="323D7E6F"/>
    <w:rsid w:val="323FE7EC"/>
    <w:rsid w:val="324457F5"/>
    <w:rsid w:val="3244A5E7"/>
    <w:rsid w:val="325093AD"/>
    <w:rsid w:val="325093EF"/>
    <w:rsid w:val="3252BA0A"/>
    <w:rsid w:val="325413B4"/>
    <w:rsid w:val="325FC430"/>
    <w:rsid w:val="3262202C"/>
    <w:rsid w:val="3266CF76"/>
    <w:rsid w:val="326A0801"/>
    <w:rsid w:val="326C7965"/>
    <w:rsid w:val="326E5058"/>
    <w:rsid w:val="32771F02"/>
    <w:rsid w:val="327734F2"/>
    <w:rsid w:val="327C4A96"/>
    <w:rsid w:val="327CA854"/>
    <w:rsid w:val="32861530"/>
    <w:rsid w:val="3287D6AF"/>
    <w:rsid w:val="328980B6"/>
    <w:rsid w:val="328F549C"/>
    <w:rsid w:val="3290392E"/>
    <w:rsid w:val="32916FFB"/>
    <w:rsid w:val="3293619B"/>
    <w:rsid w:val="32963991"/>
    <w:rsid w:val="32989A20"/>
    <w:rsid w:val="3299B9AB"/>
    <w:rsid w:val="32A26C21"/>
    <w:rsid w:val="32A5D3C2"/>
    <w:rsid w:val="32A8AC9E"/>
    <w:rsid w:val="32B02783"/>
    <w:rsid w:val="32B67373"/>
    <w:rsid w:val="32BA7A34"/>
    <w:rsid w:val="32BAED36"/>
    <w:rsid w:val="32BE59F6"/>
    <w:rsid w:val="32C2781A"/>
    <w:rsid w:val="32CA58FE"/>
    <w:rsid w:val="32CD9F19"/>
    <w:rsid w:val="32D1A418"/>
    <w:rsid w:val="32D4DEFA"/>
    <w:rsid w:val="32D522B4"/>
    <w:rsid w:val="32D554DA"/>
    <w:rsid w:val="32D55A06"/>
    <w:rsid w:val="32D6DEF0"/>
    <w:rsid w:val="32DF8DD5"/>
    <w:rsid w:val="32E16168"/>
    <w:rsid w:val="32E1A8FD"/>
    <w:rsid w:val="32E31467"/>
    <w:rsid w:val="32EAD4DC"/>
    <w:rsid w:val="32F00045"/>
    <w:rsid w:val="32F1E380"/>
    <w:rsid w:val="32F48D5A"/>
    <w:rsid w:val="32F49AA8"/>
    <w:rsid w:val="32F7CA51"/>
    <w:rsid w:val="32FF1FD6"/>
    <w:rsid w:val="330174AB"/>
    <w:rsid w:val="33020ED6"/>
    <w:rsid w:val="3303255B"/>
    <w:rsid w:val="33085F81"/>
    <w:rsid w:val="330D790E"/>
    <w:rsid w:val="331044E9"/>
    <w:rsid w:val="33168F6F"/>
    <w:rsid w:val="331711E7"/>
    <w:rsid w:val="33197D59"/>
    <w:rsid w:val="331DA182"/>
    <w:rsid w:val="331DA737"/>
    <w:rsid w:val="332072C1"/>
    <w:rsid w:val="33295344"/>
    <w:rsid w:val="332E659C"/>
    <w:rsid w:val="332ED3DF"/>
    <w:rsid w:val="33375EFB"/>
    <w:rsid w:val="33399586"/>
    <w:rsid w:val="3343FF58"/>
    <w:rsid w:val="33492D2B"/>
    <w:rsid w:val="334A2529"/>
    <w:rsid w:val="334ECA3D"/>
    <w:rsid w:val="33530AB3"/>
    <w:rsid w:val="336002B5"/>
    <w:rsid w:val="3361E5EF"/>
    <w:rsid w:val="33639E9B"/>
    <w:rsid w:val="3365E115"/>
    <w:rsid w:val="33698B68"/>
    <w:rsid w:val="336BF74D"/>
    <w:rsid w:val="336DEA5F"/>
    <w:rsid w:val="337409D0"/>
    <w:rsid w:val="3376C9C3"/>
    <w:rsid w:val="337FAC0E"/>
    <w:rsid w:val="33800DA2"/>
    <w:rsid w:val="3388B785"/>
    <w:rsid w:val="338E5846"/>
    <w:rsid w:val="3395DBBD"/>
    <w:rsid w:val="33977434"/>
    <w:rsid w:val="339A4591"/>
    <w:rsid w:val="339B6C8E"/>
    <w:rsid w:val="339BC75F"/>
    <w:rsid w:val="339D4647"/>
    <w:rsid w:val="33AF8D70"/>
    <w:rsid w:val="33B57805"/>
    <w:rsid w:val="33B99D78"/>
    <w:rsid w:val="33B9F2B4"/>
    <w:rsid w:val="33BAD7C0"/>
    <w:rsid w:val="33BCE8FB"/>
    <w:rsid w:val="33BE0D24"/>
    <w:rsid w:val="33BEBD3E"/>
    <w:rsid w:val="33C5AD62"/>
    <w:rsid w:val="33C66813"/>
    <w:rsid w:val="33CC18EF"/>
    <w:rsid w:val="33CD1750"/>
    <w:rsid w:val="33CFA501"/>
    <w:rsid w:val="33D45601"/>
    <w:rsid w:val="33D75B53"/>
    <w:rsid w:val="33DD7621"/>
    <w:rsid w:val="33DED02F"/>
    <w:rsid w:val="33E3E536"/>
    <w:rsid w:val="33EB00E9"/>
    <w:rsid w:val="33EB7D5F"/>
    <w:rsid w:val="33F1DD5D"/>
    <w:rsid w:val="33F6D6FB"/>
    <w:rsid w:val="33F92B71"/>
    <w:rsid w:val="33F9E0DE"/>
    <w:rsid w:val="33F9F3DF"/>
    <w:rsid w:val="33FE31F2"/>
    <w:rsid w:val="3401BBC3"/>
    <w:rsid w:val="34042597"/>
    <w:rsid w:val="3405C4AB"/>
    <w:rsid w:val="3408F588"/>
    <w:rsid w:val="340A7206"/>
    <w:rsid w:val="34117F89"/>
    <w:rsid w:val="34125B8E"/>
    <w:rsid w:val="3412EA5C"/>
    <w:rsid w:val="3416FA58"/>
    <w:rsid w:val="34177D2A"/>
    <w:rsid w:val="341E5AB9"/>
    <w:rsid w:val="341E978E"/>
    <w:rsid w:val="3420C209"/>
    <w:rsid w:val="34222E62"/>
    <w:rsid w:val="342E44CD"/>
    <w:rsid w:val="3439A754"/>
    <w:rsid w:val="343FBCFB"/>
    <w:rsid w:val="344048C3"/>
    <w:rsid w:val="3440CBF5"/>
    <w:rsid w:val="3441AFB3"/>
    <w:rsid w:val="3442DDA8"/>
    <w:rsid w:val="3447349B"/>
    <w:rsid w:val="3447AC3A"/>
    <w:rsid w:val="34495534"/>
    <w:rsid w:val="344B7BE2"/>
    <w:rsid w:val="3455C1B3"/>
    <w:rsid w:val="34572620"/>
    <w:rsid w:val="345AC4B3"/>
    <w:rsid w:val="345B93DF"/>
    <w:rsid w:val="34653863"/>
    <w:rsid w:val="3468A744"/>
    <w:rsid w:val="347308AD"/>
    <w:rsid w:val="3478DC76"/>
    <w:rsid w:val="347E46B1"/>
    <w:rsid w:val="347EC007"/>
    <w:rsid w:val="348731BE"/>
    <w:rsid w:val="34889B3C"/>
    <w:rsid w:val="348BD81D"/>
    <w:rsid w:val="3497F8E5"/>
    <w:rsid w:val="349A16C4"/>
    <w:rsid w:val="349DCF62"/>
    <w:rsid w:val="34A2D75C"/>
    <w:rsid w:val="34A49598"/>
    <w:rsid w:val="34A6EA6D"/>
    <w:rsid w:val="34A7ED6C"/>
    <w:rsid w:val="34A96A84"/>
    <w:rsid w:val="34AB77DC"/>
    <w:rsid w:val="34AD15A5"/>
    <w:rsid w:val="34AF8EC3"/>
    <w:rsid w:val="34B2545B"/>
    <w:rsid w:val="34B2D686"/>
    <w:rsid w:val="34B4F637"/>
    <w:rsid w:val="34B8CDA5"/>
    <w:rsid w:val="34C66C59"/>
    <w:rsid w:val="34CBF44A"/>
    <w:rsid w:val="34CC28AD"/>
    <w:rsid w:val="34CD3E86"/>
    <w:rsid w:val="34CE68DB"/>
    <w:rsid w:val="34CF2EB4"/>
    <w:rsid w:val="34D2E848"/>
    <w:rsid w:val="34D4066A"/>
    <w:rsid w:val="34DC5EC4"/>
    <w:rsid w:val="34E10D0B"/>
    <w:rsid w:val="34E68307"/>
    <w:rsid w:val="34E8DF15"/>
    <w:rsid w:val="34F52864"/>
    <w:rsid w:val="34FE7831"/>
    <w:rsid w:val="3505132C"/>
    <w:rsid w:val="3505439E"/>
    <w:rsid w:val="350607C7"/>
    <w:rsid w:val="3509842F"/>
    <w:rsid w:val="350CCAA7"/>
    <w:rsid w:val="351044E2"/>
    <w:rsid w:val="35124340"/>
    <w:rsid w:val="3517E7A2"/>
    <w:rsid w:val="3517FEF5"/>
    <w:rsid w:val="351E307A"/>
    <w:rsid w:val="352A0D9B"/>
    <w:rsid w:val="352DCEC0"/>
    <w:rsid w:val="352FE72B"/>
    <w:rsid w:val="3532E21B"/>
    <w:rsid w:val="35337BB5"/>
    <w:rsid w:val="35344333"/>
    <w:rsid w:val="3535FBA7"/>
    <w:rsid w:val="353602C1"/>
    <w:rsid w:val="353DB8B8"/>
    <w:rsid w:val="353DC29D"/>
    <w:rsid w:val="3540BCF9"/>
    <w:rsid w:val="354ABB08"/>
    <w:rsid w:val="355614AA"/>
    <w:rsid w:val="355E6AC8"/>
    <w:rsid w:val="355F26EF"/>
    <w:rsid w:val="355F2BE0"/>
    <w:rsid w:val="35654964"/>
    <w:rsid w:val="3567D7F1"/>
    <w:rsid w:val="35694AC5"/>
    <w:rsid w:val="356B2339"/>
    <w:rsid w:val="356CB3BF"/>
    <w:rsid w:val="357169F2"/>
    <w:rsid w:val="3589D39A"/>
    <w:rsid w:val="358ADBDE"/>
    <w:rsid w:val="358F8347"/>
    <w:rsid w:val="3590E5D6"/>
    <w:rsid w:val="3595EA2E"/>
    <w:rsid w:val="359A2F72"/>
    <w:rsid w:val="35A064CD"/>
    <w:rsid w:val="35A5F055"/>
    <w:rsid w:val="35AA4538"/>
    <w:rsid w:val="35AF4EEA"/>
    <w:rsid w:val="35B428B5"/>
    <w:rsid w:val="35B68976"/>
    <w:rsid w:val="35BBA060"/>
    <w:rsid w:val="35BCAF34"/>
    <w:rsid w:val="35BE1E64"/>
    <w:rsid w:val="35BF73C8"/>
    <w:rsid w:val="35C64560"/>
    <w:rsid w:val="35C719A3"/>
    <w:rsid w:val="35CEE6B6"/>
    <w:rsid w:val="35D12563"/>
    <w:rsid w:val="35DAA0E7"/>
    <w:rsid w:val="35DCEDCA"/>
    <w:rsid w:val="35DFC122"/>
    <w:rsid w:val="35E05193"/>
    <w:rsid w:val="35E1D14A"/>
    <w:rsid w:val="35E6B81F"/>
    <w:rsid w:val="35EAC7B7"/>
    <w:rsid w:val="35EC6EE7"/>
    <w:rsid w:val="35ED0530"/>
    <w:rsid w:val="35F0BF48"/>
    <w:rsid w:val="35FA21F8"/>
    <w:rsid w:val="35FD95B9"/>
    <w:rsid w:val="36014B27"/>
    <w:rsid w:val="3602B34D"/>
    <w:rsid w:val="36054E9D"/>
    <w:rsid w:val="360770A7"/>
    <w:rsid w:val="36077207"/>
    <w:rsid w:val="36081AD3"/>
    <w:rsid w:val="360CEB90"/>
    <w:rsid w:val="36101E4F"/>
    <w:rsid w:val="3611894E"/>
    <w:rsid w:val="36143986"/>
    <w:rsid w:val="3615E3CE"/>
    <w:rsid w:val="36163FC1"/>
    <w:rsid w:val="361B5FD0"/>
    <w:rsid w:val="361D01C1"/>
    <w:rsid w:val="36210323"/>
    <w:rsid w:val="3626251A"/>
    <w:rsid w:val="362668BB"/>
    <w:rsid w:val="36280E8A"/>
    <w:rsid w:val="36287D48"/>
    <w:rsid w:val="3629FEE7"/>
    <w:rsid w:val="362AAB0C"/>
    <w:rsid w:val="362AD696"/>
    <w:rsid w:val="362EB9D9"/>
    <w:rsid w:val="362EF827"/>
    <w:rsid w:val="3633F8DE"/>
    <w:rsid w:val="363FE1AC"/>
    <w:rsid w:val="36412DD0"/>
    <w:rsid w:val="36495A36"/>
    <w:rsid w:val="364EC760"/>
    <w:rsid w:val="3651F846"/>
    <w:rsid w:val="3652B35A"/>
    <w:rsid w:val="36568972"/>
    <w:rsid w:val="36576692"/>
    <w:rsid w:val="365839AA"/>
    <w:rsid w:val="365D106D"/>
    <w:rsid w:val="365F6B69"/>
    <w:rsid w:val="365FC046"/>
    <w:rsid w:val="36613E5D"/>
    <w:rsid w:val="36614DC2"/>
    <w:rsid w:val="366E4D52"/>
    <w:rsid w:val="366F0598"/>
    <w:rsid w:val="3673634D"/>
    <w:rsid w:val="36790FE5"/>
    <w:rsid w:val="3679EEC4"/>
    <w:rsid w:val="367B140F"/>
    <w:rsid w:val="3683A73C"/>
    <w:rsid w:val="36882060"/>
    <w:rsid w:val="3688522D"/>
    <w:rsid w:val="368C3174"/>
    <w:rsid w:val="368CF328"/>
    <w:rsid w:val="3691316F"/>
    <w:rsid w:val="36922028"/>
    <w:rsid w:val="3694EFDC"/>
    <w:rsid w:val="3699D7EE"/>
    <w:rsid w:val="36A242E3"/>
    <w:rsid w:val="36A877FA"/>
    <w:rsid w:val="36A8D636"/>
    <w:rsid w:val="36AF4EA1"/>
    <w:rsid w:val="36B23855"/>
    <w:rsid w:val="36B25D73"/>
    <w:rsid w:val="36BF0AC0"/>
    <w:rsid w:val="36BF81B5"/>
    <w:rsid w:val="36C452E8"/>
    <w:rsid w:val="36C53DEA"/>
    <w:rsid w:val="36C774D1"/>
    <w:rsid w:val="36D11FB7"/>
    <w:rsid w:val="36D32FB2"/>
    <w:rsid w:val="36D69B78"/>
    <w:rsid w:val="36E1DDD5"/>
    <w:rsid w:val="36E54D54"/>
    <w:rsid w:val="36E6505A"/>
    <w:rsid w:val="36E7930C"/>
    <w:rsid w:val="36E891EF"/>
    <w:rsid w:val="36EA17A4"/>
    <w:rsid w:val="36EA9897"/>
    <w:rsid w:val="36F78B92"/>
    <w:rsid w:val="36FE08D5"/>
    <w:rsid w:val="36FF1A9B"/>
    <w:rsid w:val="37087F03"/>
    <w:rsid w:val="3709779B"/>
    <w:rsid w:val="370A1285"/>
    <w:rsid w:val="370C60A0"/>
    <w:rsid w:val="37139D0F"/>
    <w:rsid w:val="3718150B"/>
    <w:rsid w:val="371F65EE"/>
    <w:rsid w:val="372677B3"/>
    <w:rsid w:val="372A7546"/>
    <w:rsid w:val="373188D0"/>
    <w:rsid w:val="37394929"/>
    <w:rsid w:val="373C292F"/>
    <w:rsid w:val="373E65BF"/>
    <w:rsid w:val="373FCA5F"/>
    <w:rsid w:val="37409A70"/>
    <w:rsid w:val="3748F14D"/>
    <w:rsid w:val="37518EF6"/>
    <w:rsid w:val="37524387"/>
    <w:rsid w:val="3757BA2F"/>
    <w:rsid w:val="375CF725"/>
    <w:rsid w:val="375FD9E8"/>
    <w:rsid w:val="37634ACD"/>
    <w:rsid w:val="37682271"/>
    <w:rsid w:val="376D7EE6"/>
    <w:rsid w:val="377260CD"/>
    <w:rsid w:val="37728E32"/>
    <w:rsid w:val="3778838A"/>
    <w:rsid w:val="377B1F9D"/>
    <w:rsid w:val="37812C95"/>
    <w:rsid w:val="3781BF75"/>
    <w:rsid w:val="3782F4E2"/>
    <w:rsid w:val="378723FA"/>
    <w:rsid w:val="378E7B96"/>
    <w:rsid w:val="3794325C"/>
    <w:rsid w:val="379A67C9"/>
    <w:rsid w:val="379B2CEC"/>
    <w:rsid w:val="379CE6FF"/>
    <w:rsid w:val="379F7E7E"/>
    <w:rsid w:val="37ADE833"/>
    <w:rsid w:val="37AF7CC3"/>
    <w:rsid w:val="37B23AF1"/>
    <w:rsid w:val="37B36F92"/>
    <w:rsid w:val="37B6C75E"/>
    <w:rsid w:val="37B8B22E"/>
    <w:rsid w:val="37C02F33"/>
    <w:rsid w:val="37C2C8DD"/>
    <w:rsid w:val="37C4FCF9"/>
    <w:rsid w:val="37C6C225"/>
    <w:rsid w:val="37C7624A"/>
    <w:rsid w:val="37C7F6AA"/>
    <w:rsid w:val="37CB4C60"/>
    <w:rsid w:val="37D2AE60"/>
    <w:rsid w:val="37D800EC"/>
    <w:rsid w:val="37DCC7F3"/>
    <w:rsid w:val="37E0C0D6"/>
    <w:rsid w:val="37E0D9A2"/>
    <w:rsid w:val="37E608A5"/>
    <w:rsid w:val="37E79E47"/>
    <w:rsid w:val="37E85195"/>
    <w:rsid w:val="37EF1B33"/>
    <w:rsid w:val="37F05208"/>
    <w:rsid w:val="37F44669"/>
    <w:rsid w:val="37F7FA6A"/>
    <w:rsid w:val="37F9690E"/>
    <w:rsid w:val="37FC07A6"/>
    <w:rsid w:val="37FFE3D1"/>
    <w:rsid w:val="380488A3"/>
    <w:rsid w:val="3807AB7C"/>
    <w:rsid w:val="3809ACD3"/>
    <w:rsid w:val="380B4606"/>
    <w:rsid w:val="3813BCDA"/>
    <w:rsid w:val="3814CF28"/>
    <w:rsid w:val="381D834D"/>
    <w:rsid w:val="3826E327"/>
    <w:rsid w:val="38273352"/>
    <w:rsid w:val="38286DBA"/>
    <w:rsid w:val="382874C4"/>
    <w:rsid w:val="382B4D76"/>
    <w:rsid w:val="383469BA"/>
    <w:rsid w:val="383E96C9"/>
    <w:rsid w:val="3840DF34"/>
    <w:rsid w:val="3841EDB9"/>
    <w:rsid w:val="38446380"/>
    <w:rsid w:val="384B00E3"/>
    <w:rsid w:val="384BE49C"/>
    <w:rsid w:val="384E89A9"/>
    <w:rsid w:val="38544C21"/>
    <w:rsid w:val="3857D238"/>
    <w:rsid w:val="38599F07"/>
    <w:rsid w:val="3860533B"/>
    <w:rsid w:val="386962AE"/>
    <w:rsid w:val="386AB579"/>
    <w:rsid w:val="38766890"/>
    <w:rsid w:val="38777A4A"/>
    <w:rsid w:val="387BE95A"/>
    <w:rsid w:val="388DA866"/>
    <w:rsid w:val="38912F09"/>
    <w:rsid w:val="3896EADC"/>
    <w:rsid w:val="389804DE"/>
    <w:rsid w:val="389818AD"/>
    <w:rsid w:val="389CD276"/>
    <w:rsid w:val="389FE74E"/>
    <w:rsid w:val="38B262A2"/>
    <w:rsid w:val="38B37F84"/>
    <w:rsid w:val="38BE942D"/>
    <w:rsid w:val="38C4ADA8"/>
    <w:rsid w:val="38CD1D53"/>
    <w:rsid w:val="38CD672F"/>
    <w:rsid w:val="38CFCBC4"/>
    <w:rsid w:val="38D671F8"/>
    <w:rsid w:val="38D6FF42"/>
    <w:rsid w:val="38D7750F"/>
    <w:rsid w:val="38D994C3"/>
    <w:rsid w:val="38EB2AEC"/>
    <w:rsid w:val="38EF4596"/>
    <w:rsid w:val="38F1BA81"/>
    <w:rsid w:val="38F72239"/>
    <w:rsid w:val="38FAFC5A"/>
    <w:rsid w:val="38FC4727"/>
    <w:rsid w:val="39009D99"/>
    <w:rsid w:val="390DEF54"/>
    <w:rsid w:val="39113A29"/>
    <w:rsid w:val="3918765C"/>
    <w:rsid w:val="391BE59E"/>
    <w:rsid w:val="39219E8A"/>
    <w:rsid w:val="39229D07"/>
    <w:rsid w:val="3924A019"/>
    <w:rsid w:val="39252EBD"/>
    <w:rsid w:val="3928B396"/>
    <w:rsid w:val="392C1B4E"/>
    <w:rsid w:val="3936DACC"/>
    <w:rsid w:val="39376ABA"/>
    <w:rsid w:val="393DE1C1"/>
    <w:rsid w:val="39405FD2"/>
    <w:rsid w:val="39469083"/>
    <w:rsid w:val="39472799"/>
    <w:rsid w:val="394F39D6"/>
    <w:rsid w:val="394F3E64"/>
    <w:rsid w:val="395034AB"/>
    <w:rsid w:val="39504026"/>
    <w:rsid w:val="39506867"/>
    <w:rsid w:val="39515161"/>
    <w:rsid w:val="3953EE41"/>
    <w:rsid w:val="395780CE"/>
    <w:rsid w:val="39590ECC"/>
    <w:rsid w:val="395CB583"/>
    <w:rsid w:val="395CD533"/>
    <w:rsid w:val="39630EF0"/>
    <w:rsid w:val="39632A2C"/>
    <w:rsid w:val="39654CD2"/>
    <w:rsid w:val="39658C94"/>
    <w:rsid w:val="396CC318"/>
    <w:rsid w:val="39704270"/>
    <w:rsid w:val="39791DF1"/>
    <w:rsid w:val="397E86B4"/>
    <w:rsid w:val="39839E75"/>
    <w:rsid w:val="398471F1"/>
    <w:rsid w:val="3986723F"/>
    <w:rsid w:val="3987B039"/>
    <w:rsid w:val="3995E8C1"/>
    <w:rsid w:val="399C9E1E"/>
    <w:rsid w:val="399E0D19"/>
    <w:rsid w:val="399E3C7C"/>
    <w:rsid w:val="39A3191F"/>
    <w:rsid w:val="39A80E69"/>
    <w:rsid w:val="39A8846B"/>
    <w:rsid w:val="39ACD952"/>
    <w:rsid w:val="39AD90D3"/>
    <w:rsid w:val="39B37F66"/>
    <w:rsid w:val="39B44F14"/>
    <w:rsid w:val="39B901B5"/>
    <w:rsid w:val="39CA7BDD"/>
    <w:rsid w:val="39D2599A"/>
    <w:rsid w:val="39E52375"/>
    <w:rsid w:val="39EBF1E5"/>
    <w:rsid w:val="39EFB689"/>
    <w:rsid w:val="39F4C00D"/>
    <w:rsid w:val="39F705E7"/>
    <w:rsid w:val="39F8BFF3"/>
    <w:rsid w:val="39FD39E1"/>
    <w:rsid w:val="3A030D8F"/>
    <w:rsid w:val="3A06F650"/>
    <w:rsid w:val="3A0CDE26"/>
    <w:rsid w:val="3A10044C"/>
    <w:rsid w:val="3A1860FE"/>
    <w:rsid w:val="3A1DE456"/>
    <w:rsid w:val="3A22D3D2"/>
    <w:rsid w:val="3A24B7B7"/>
    <w:rsid w:val="3A2AE7E0"/>
    <w:rsid w:val="3A2E0CA0"/>
    <w:rsid w:val="3A3D2D22"/>
    <w:rsid w:val="3A3D2D42"/>
    <w:rsid w:val="3A45EC63"/>
    <w:rsid w:val="3A589BC7"/>
    <w:rsid w:val="3A5903F8"/>
    <w:rsid w:val="3A5F4792"/>
    <w:rsid w:val="3A6043C8"/>
    <w:rsid w:val="3A610D34"/>
    <w:rsid w:val="3A64D70B"/>
    <w:rsid w:val="3A709ECC"/>
    <w:rsid w:val="3A762470"/>
    <w:rsid w:val="3A77BD7F"/>
    <w:rsid w:val="3A7AAD8D"/>
    <w:rsid w:val="3A7B3959"/>
    <w:rsid w:val="3A7CEC37"/>
    <w:rsid w:val="3A7D2AE1"/>
    <w:rsid w:val="3A7F6F61"/>
    <w:rsid w:val="3A80D7BC"/>
    <w:rsid w:val="3A841078"/>
    <w:rsid w:val="3A855378"/>
    <w:rsid w:val="3A878F0B"/>
    <w:rsid w:val="3A91E31A"/>
    <w:rsid w:val="3A94FC87"/>
    <w:rsid w:val="3A9C6715"/>
    <w:rsid w:val="3A9FA720"/>
    <w:rsid w:val="3AA1ABB3"/>
    <w:rsid w:val="3AA28164"/>
    <w:rsid w:val="3AA76EE4"/>
    <w:rsid w:val="3AADF1E6"/>
    <w:rsid w:val="3AAFD05D"/>
    <w:rsid w:val="3AB133C5"/>
    <w:rsid w:val="3AB553EF"/>
    <w:rsid w:val="3AB5E789"/>
    <w:rsid w:val="3ABB0F65"/>
    <w:rsid w:val="3ABC6DA3"/>
    <w:rsid w:val="3ABDCF77"/>
    <w:rsid w:val="3AC7BBB4"/>
    <w:rsid w:val="3ACC6853"/>
    <w:rsid w:val="3ACEF829"/>
    <w:rsid w:val="3AD12A94"/>
    <w:rsid w:val="3AD48713"/>
    <w:rsid w:val="3AD5019D"/>
    <w:rsid w:val="3AD6DACE"/>
    <w:rsid w:val="3ADBEB01"/>
    <w:rsid w:val="3AEA1697"/>
    <w:rsid w:val="3AEEFF5F"/>
    <w:rsid w:val="3AF8B40B"/>
    <w:rsid w:val="3AF9C371"/>
    <w:rsid w:val="3B02AD71"/>
    <w:rsid w:val="3B02C6ED"/>
    <w:rsid w:val="3B04F1FB"/>
    <w:rsid w:val="3B07F537"/>
    <w:rsid w:val="3B0A1CFD"/>
    <w:rsid w:val="3B0A30D7"/>
    <w:rsid w:val="3B0BC80F"/>
    <w:rsid w:val="3B0C6A46"/>
    <w:rsid w:val="3B0C7FD2"/>
    <w:rsid w:val="3B0E695B"/>
    <w:rsid w:val="3B11B502"/>
    <w:rsid w:val="3B120EF5"/>
    <w:rsid w:val="3B13CEFE"/>
    <w:rsid w:val="3B14C38E"/>
    <w:rsid w:val="3B14EFEA"/>
    <w:rsid w:val="3B182081"/>
    <w:rsid w:val="3B1ABB5E"/>
    <w:rsid w:val="3B1F78EF"/>
    <w:rsid w:val="3B1F89EA"/>
    <w:rsid w:val="3B244453"/>
    <w:rsid w:val="3B31B45A"/>
    <w:rsid w:val="3B37F31D"/>
    <w:rsid w:val="3B384E64"/>
    <w:rsid w:val="3B3C2F92"/>
    <w:rsid w:val="3B403930"/>
    <w:rsid w:val="3B4673C1"/>
    <w:rsid w:val="3B49E08F"/>
    <w:rsid w:val="3B4ABF0A"/>
    <w:rsid w:val="3B4E06E8"/>
    <w:rsid w:val="3B4E6B64"/>
    <w:rsid w:val="3B4F49F3"/>
    <w:rsid w:val="3B4FB3D8"/>
    <w:rsid w:val="3B5A2788"/>
    <w:rsid w:val="3B5BB91F"/>
    <w:rsid w:val="3B5FB81D"/>
    <w:rsid w:val="3B616BB4"/>
    <w:rsid w:val="3B6314CE"/>
    <w:rsid w:val="3B65225F"/>
    <w:rsid w:val="3B6E3608"/>
    <w:rsid w:val="3B7D3ABB"/>
    <w:rsid w:val="3B7E1328"/>
    <w:rsid w:val="3B8339B9"/>
    <w:rsid w:val="3B848983"/>
    <w:rsid w:val="3B90B194"/>
    <w:rsid w:val="3B93A2DB"/>
    <w:rsid w:val="3B945856"/>
    <w:rsid w:val="3B968F55"/>
    <w:rsid w:val="3B971F62"/>
    <w:rsid w:val="3B991619"/>
    <w:rsid w:val="3B99357F"/>
    <w:rsid w:val="3B9AAA12"/>
    <w:rsid w:val="3BA02E05"/>
    <w:rsid w:val="3BA522A0"/>
    <w:rsid w:val="3BA6AD31"/>
    <w:rsid w:val="3BB0CE17"/>
    <w:rsid w:val="3BB39A56"/>
    <w:rsid w:val="3BB66C4A"/>
    <w:rsid w:val="3BC6ADFB"/>
    <w:rsid w:val="3BCB9F5C"/>
    <w:rsid w:val="3BD3C695"/>
    <w:rsid w:val="3BDA2D4E"/>
    <w:rsid w:val="3BDED868"/>
    <w:rsid w:val="3BDF8ABE"/>
    <w:rsid w:val="3BDF8C92"/>
    <w:rsid w:val="3BE4D397"/>
    <w:rsid w:val="3BE96469"/>
    <w:rsid w:val="3BF6867F"/>
    <w:rsid w:val="3BF89DDB"/>
    <w:rsid w:val="3BFCD1D2"/>
    <w:rsid w:val="3C02E1FC"/>
    <w:rsid w:val="3C03ACA2"/>
    <w:rsid w:val="3C065C40"/>
    <w:rsid w:val="3C0E1672"/>
    <w:rsid w:val="3C103183"/>
    <w:rsid w:val="3C1104A5"/>
    <w:rsid w:val="3C1D41CD"/>
    <w:rsid w:val="3C2A2521"/>
    <w:rsid w:val="3C2CCDCE"/>
    <w:rsid w:val="3C2CE83A"/>
    <w:rsid w:val="3C2F2FB2"/>
    <w:rsid w:val="3C3765A6"/>
    <w:rsid w:val="3C3A11EF"/>
    <w:rsid w:val="3C461984"/>
    <w:rsid w:val="3C470AE1"/>
    <w:rsid w:val="3C4BEC4E"/>
    <w:rsid w:val="3C528DBE"/>
    <w:rsid w:val="3C59269D"/>
    <w:rsid w:val="3C60CABB"/>
    <w:rsid w:val="3C620E90"/>
    <w:rsid w:val="3C6A5409"/>
    <w:rsid w:val="3C6C2E83"/>
    <w:rsid w:val="3C6E20F1"/>
    <w:rsid w:val="3C6FD7F6"/>
    <w:rsid w:val="3C76E48E"/>
    <w:rsid w:val="3C786C86"/>
    <w:rsid w:val="3C7C10F2"/>
    <w:rsid w:val="3C860833"/>
    <w:rsid w:val="3C8758FA"/>
    <w:rsid w:val="3C87C5F6"/>
    <w:rsid w:val="3C87D7B1"/>
    <w:rsid w:val="3C8FBCF7"/>
    <w:rsid w:val="3C92314F"/>
    <w:rsid w:val="3C92750D"/>
    <w:rsid w:val="3C9C7C00"/>
    <w:rsid w:val="3C9F1422"/>
    <w:rsid w:val="3CA2FE23"/>
    <w:rsid w:val="3CAFF84C"/>
    <w:rsid w:val="3CB06EB4"/>
    <w:rsid w:val="3CB86C43"/>
    <w:rsid w:val="3CBC0A3E"/>
    <w:rsid w:val="3CBCF603"/>
    <w:rsid w:val="3CBF7ADE"/>
    <w:rsid w:val="3CC285C5"/>
    <w:rsid w:val="3CC5B8B0"/>
    <w:rsid w:val="3CC63DED"/>
    <w:rsid w:val="3CC9F2D7"/>
    <w:rsid w:val="3CCA9484"/>
    <w:rsid w:val="3CD47793"/>
    <w:rsid w:val="3CD478D7"/>
    <w:rsid w:val="3CD58611"/>
    <w:rsid w:val="3CD78845"/>
    <w:rsid w:val="3CDC1710"/>
    <w:rsid w:val="3CDF0695"/>
    <w:rsid w:val="3CE00C88"/>
    <w:rsid w:val="3CE11F52"/>
    <w:rsid w:val="3CE29810"/>
    <w:rsid w:val="3CE38185"/>
    <w:rsid w:val="3CE4A03C"/>
    <w:rsid w:val="3CEAC181"/>
    <w:rsid w:val="3CF0AE90"/>
    <w:rsid w:val="3CF2460C"/>
    <w:rsid w:val="3CF24B67"/>
    <w:rsid w:val="3CF3EA83"/>
    <w:rsid w:val="3CF4F347"/>
    <w:rsid w:val="3CF55F41"/>
    <w:rsid w:val="3CF5B92E"/>
    <w:rsid w:val="3CFD80AD"/>
    <w:rsid w:val="3CFFB9C2"/>
    <w:rsid w:val="3D003D6B"/>
    <w:rsid w:val="3D0349AC"/>
    <w:rsid w:val="3D04CA75"/>
    <w:rsid w:val="3D07C687"/>
    <w:rsid w:val="3D0AA6A2"/>
    <w:rsid w:val="3D0F55DC"/>
    <w:rsid w:val="3D111B2B"/>
    <w:rsid w:val="3D135352"/>
    <w:rsid w:val="3D15148E"/>
    <w:rsid w:val="3D15F06F"/>
    <w:rsid w:val="3D25A7BE"/>
    <w:rsid w:val="3D2EC339"/>
    <w:rsid w:val="3D2F1383"/>
    <w:rsid w:val="3D35A388"/>
    <w:rsid w:val="3D3740A8"/>
    <w:rsid w:val="3D3CD258"/>
    <w:rsid w:val="3D3FD26F"/>
    <w:rsid w:val="3D404B38"/>
    <w:rsid w:val="3D421568"/>
    <w:rsid w:val="3D432583"/>
    <w:rsid w:val="3D4A143C"/>
    <w:rsid w:val="3D4A6795"/>
    <w:rsid w:val="3D5375CE"/>
    <w:rsid w:val="3D57DA1A"/>
    <w:rsid w:val="3D5B1FD6"/>
    <w:rsid w:val="3D5BDFD5"/>
    <w:rsid w:val="3D5C5013"/>
    <w:rsid w:val="3D5E2440"/>
    <w:rsid w:val="3D5E932F"/>
    <w:rsid w:val="3D625034"/>
    <w:rsid w:val="3D6DD5A1"/>
    <w:rsid w:val="3D6EECA2"/>
    <w:rsid w:val="3D705A93"/>
    <w:rsid w:val="3D71ABE7"/>
    <w:rsid w:val="3D771E63"/>
    <w:rsid w:val="3D772126"/>
    <w:rsid w:val="3D7A9E80"/>
    <w:rsid w:val="3D7BEC05"/>
    <w:rsid w:val="3D7CFFB1"/>
    <w:rsid w:val="3D80CA84"/>
    <w:rsid w:val="3D81CE6D"/>
    <w:rsid w:val="3D831546"/>
    <w:rsid w:val="3D83BF11"/>
    <w:rsid w:val="3D87DFCF"/>
    <w:rsid w:val="3D8A42E6"/>
    <w:rsid w:val="3D8D9832"/>
    <w:rsid w:val="3D8E8F19"/>
    <w:rsid w:val="3D93344B"/>
    <w:rsid w:val="3D948506"/>
    <w:rsid w:val="3D948993"/>
    <w:rsid w:val="3D957A27"/>
    <w:rsid w:val="3D9B3A98"/>
    <w:rsid w:val="3D9C1461"/>
    <w:rsid w:val="3DA2B477"/>
    <w:rsid w:val="3DA95A49"/>
    <w:rsid w:val="3DB14989"/>
    <w:rsid w:val="3DBA2610"/>
    <w:rsid w:val="3DBF2A61"/>
    <w:rsid w:val="3DC120E5"/>
    <w:rsid w:val="3DC216D6"/>
    <w:rsid w:val="3DC3F600"/>
    <w:rsid w:val="3DC71D01"/>
    <w:rsid w:val="3DDA9B1B"/>
    <w:rsid w:val="3DDD1640"/>
    <w:rsid w:val="3DDF8CAE"/>
    <w:rsid w:val="3DE4C7C0"/>
    <w:rsid w:val="3DE6AFCD"/>
    <w:rsid w:val="3DE81AA8"/>
    <w:rsid w:val="3DEAE5E8"/>
    <w:rsid w:val="3DEEFDC4"/>
    <w:rsid w:val="3DF29785"/>
    <w:rsid w:val="3E06D4E0"/>
    <w:rsid w:val="3E0EF571"/>
    <w:rsid w:val="3E1E5776"/>
    <w:rsid w:val="3E2B05A5"/>
    <w:rsid w:val="3E2F24C2"/>
    <w:rsid w:val="3E353083"/>
    <w:rsid w:val="3E3533F6"/>
    <w:rsid w:val="3E35D15D"/>
    <w:rsid w:val="3E364815"/>
    <w:rsid w:val="3E3DE3D7"/>
    <w:rsid w:val="3E3F0588"/>
    <w:rsid w:val="3E3F65BF"/>
    <w:rsid w:val="3E43797F"/>
    <w:rsid w:val="3E43AC2F"/>
    <w:rsid w:val="3E4E4243"/>
    <w:rsid w:val="3E505AB5"/>
    <w:rsid w:val="3E620809"/>
    <w:rsid w:val="3E624080"/>
    <w:rsid w:val="3E62F021"/>
    <w:rsid w:val="3E664B6A"/>
    <w:rsid w:val="3E78DA20"/>
    <w:rsid w:val="3E794741"/>
    <w:rsid w:val="3E7A7D4E"/>
    <w:rsid w:val="3E7B3E89"/>
    <w:rsid w:val="3E7F57DD"/>
    <w:rsid w:val="3E82F065"/>
    <w:rsid w:val="3E831822"/>
    <w:rsid w:val="3E8321F0"/>
    <w:rsid w:val="3E858252"/>
    <w:rsid w:val="3E889152"/>
    <w:rsid w:val="3E89A25D"/>
    <w:rsid w:val="3E91A1E3"/>
    <w:rsid w:val="3E94B257"/>
    <w:rsid w:val="3E989C6E"/>
    <w:rsid w:val="3E9C179A"/>
    <w:rsid w:val="3E9DD3C4"/>
    <w:rsid w:val="3EA13D17"/>
    <w:rsid w:val="3EA21AB9"/>
    <w:rsid w:val="3EA3DD46"/>
    <w:rsid w:val="3EA4752B"/>
    <w:rsid w:val="3EA69969"/>
    <w:rsid w:val="3EAE0A10"/>
    <w:rsid w:val="3EB519F4"/>
    <w:rsid w:val="3EB715D8"/>
    <w:rsid w:val="3EB9B392"/>
    <w:rsid w:val="3EBC4942"/>
    <w:rsid w:val="3EC1D5DE"/>
    <w:rsid w:val="3EC40527"/>
    <w:rsid w:val="3ECAE46F"/>
    <w:rsid w:val="3EDF7AE9"/>
    <w:rsid w:val="3EE2F0BB"/>
    <w:rsid w:val="3EE3EB52"/>
    <w:rsid w:val="3EE529E7"/>
    <w:rsid w:val="3EE8057F"/>
    <w:rsid w:val="3EE94929"/>
    <w:rsid w:val="3EF07AF0"/>
    <w:rsid w:val="3EF1049A"/>
    <w:rsid w:val="3EFA97E0"/>
    <w:rsid w:val="3EFFF751"/>
    <w:rsid w:val="3F0A9890"/>
    <w:rsid w:val="3F0C8434"/>
    <w:rsid w:val="3F0D5F7A"/>
    <w:rsid w:val="3F0E5AE2"/>
    <w:rsid w:val="3F11F02F"/>
    <w:rsid w:val="3F12BE6D"/>
    <w:rsid w:val="3F15591A"/>
    <w:rsid w:val="3F156E5C"/>
    <w:rsid w:val="3F182CE8"/>
    <w:rsid w:val="3F194AB5"/>
    <w:rsid w:val="3F1A23D8"/>
    <w:rsid w:val="3F1E374D"/>
    <w:rsid w:val="3F1FD16A"/>
    <w:rsid w:val="3F2103E4"/>
    <w:rsid w:val="3F223AD6"/>
    <w:rsid w:val="3F23A093"/>
    <w:rsid w:val="3F272934"/>
    <w:rsid w:val="3F29E03B"/>
    <w:rsid w:val="3F2AE44B"/>
    <w:rsid w:val="3F2BF740"/>
    <w:rsid w:val="3F2E66B3"/>
    <w:rsid w:val="3F324BE8"/>
    <w:rsid w:val="3F3470D5"/>
    <w:rsid w:val="3F3E4CA7"/>
    <w:rsid w:val="3F45C201"/>
    <w:rsid w:val="3F47AA74"/>
    <w:rsid w:val="3F4A3630"/>
    <w:rsid w:val="3F4CED98"/>
    <w:rsid w:val="3F4F6327"/>
    <w:rsid w:val="3F5698D0"/>
    <w:rsid w:val="3F5CE14E"/>
    <w:rsid w:val="3F60B2F5"/>
    <w:rsid w:val="3F621159"/>
    <w:rsid w:val="3F673F23"/>
    <w:rsid w:val="3F679F5B"/>
    <w:rsid w:val="3F68FF3C"/>
    <w:rsid w:val="3F745D93"/>
    <w:rsid w:val="3F88CF83"/>
    <w:rsid w:val="3F8F8E2D"/>
    <w:rsid w:val="3F922A7C"/>
    <w:rsid w:val="3F929753"/>
    <w:rsid w:val="3F95D4BC"/>
    <w:rsid w:val="3F99BA33"/>
    <w:rsid w:val="3F9A2CD2"/>
    <w:rsid w:val="3F9DAD37"/>
    <w:rsid w:val="3F9E1F96"/>
    <w:rsid w:val="3FA96F85"/>
    <w:rsid w:val="3FAC838B"/>
    <w:rsid w:val="3FB12FF1"/>
    <w:rsid w:val="3FB5AD78"/>
    <w:rsid w:val="3FB6BAA0"/>
    <w:rsid w:val="3FCD55BE"/>
    <w:rsid w:val="3FCE3587"/>
    <w:rsid w:val="3FCF6973"/>
    <w:rsid w:val="3FD3D116"/>
    <w:rsid w:val="3FD4430A"/>
    <w:rsid w:val="3FD8419C"/>
    <w:rsid w:val="3FD8BC52"/>
    <w:rsid w:val="3FE1C66F"/>
    <w:rsid w:val="3FE30D58"/>
    <w:rsid w:val="3FE6822E"/>
    <w:rsid w:val="3FF189F8"/>
    <w:rsid w:val="3FF19597"/>
    <w:rsid w:val="3FF2C125"/>
    <w:rsid w:val="3FF5DE45"/>
    <w:rsid w:val="3FFB6554"/>
    <w:rsid w:val="3FFB6E83"/>
    <w:rsid w:val="3FFE43F5"/>
    <w:rsid w:val="4000429B"/>
    <w:rsid w:val="401534A2"/>
    <w:rsid w:val="4017AE5E"/>
    <w:rsid w:val="401DE705"/>
    <w:rsid w:val="4021606F"/>
    <w:rsid w:val="40226838"/>
    <w:rsid w:val="4022A7C7"/>
    <w:rsid w:val="4023DCA6"/>
    <w:rsid w:val="4024D850"/>
    <w:rsid w:val="403052AC"/>
    <w:rsid w:val="40341B9C"/>
    <w:rsid w:val="40385C93"/>
    <w:rsid w:val="403B8B50"/>
    <w:rsid w:val="403EC64D"/>
    <w:rsid w:val="403EF61F"/>
    <w:rsid w:val="4040252A"/>
    <w:rsid w:val="4040F824"/>
    <w:rsid w:val="40439170"/>
    <w:rsid w:val="404499CF"/>
    <w:rsid w:val="40474ADB"/>
    <w:rsid w:val="4048DBE3"/>
    <w:rsid w:val="404D23B5"/>
    <w:rsid w:val="405162A0"/>
    <w:rsid w:val="4051BB6E"/>
    <w:rsid w:val="40550246"/>
    <w:rsid w:val="4056461A"/>
    <w:rsid w:val="40595B15"/>
    <w:rsid w:val="40658657"/>
    <w:rsid w:val="406818EA"/>
    <w:rsid w:val="406A87F3"/>
    <w:rsid w:val="406FC912"/>
    <w:rsid w:val="40729DF1"/>
    <w:rsid w:val="407503E7"/>
    <w:rsid w:val="4078717B"/>
    <w:rsid w:val="40826FFC"/>
    <w:rsid w:val="4082C613"/>
    <w:rsid w:val="408375DB"/>
    <w:rsid w:val="408EB8A4"/>
    <w:rsid w:val="4095547E"/>
    <w:rsid w:val="409569B1"/>
    <w:rsid w:val="40986E41"/>
    <w:rsid w:val="409EEC18"/>
    <w:rsid w:val="40A1E0BE"/>
    <w:rsid w:val="40A28C2C"/>
    <w:rsid w:val="40A8F298"/>
    <w:rsid w:val="40AD333D"/>
    <w:rsid w:val="40B16142"/>
    <w:rsid w:val="40B2880C"/>
    <w:rsid w:val="40B8F243"/>
    <w:rsid w:val="40BBA996"/>
    <w:rsid w:val="40C29F72"/>
    <w:rsid w:val="40C4630A"/>
    <w:rsid w:val="40C68AB6"/>
    <w:rsid w:val="40C7759F"/>
    <w:rsid w:val="40C7C4C6"/>
    <w:rsid w:val="40CA2AE1"/>
    <w:rsid w:val="40CE2CDB"/>
    <w:rsid w:val="40CF471D"/>
    <w:rsid w:val="40D0DEFB"/>
    <w:rsid w:val="40D89354"/>
    <w:rsid w:val="40DA60A0"/>
    <w:rsid w:val="40DDD465"/>
    <w:rsid w:val="40EAEFDB"/>
    <w:rsid w:val="40EEABC7"/>
    <w:rsid w:val="40EF5620"/>
    <w:rsid w:val="40F85574"/>
    <w:rsid w:val="40F965BC"/>
    <w:rsid w:val="40FBD2C7"/>
    <w:rsid w:val="40FE606D"/>
    <w:rsid w:val="4102C7A0"/>
    <w:rsid w:val="41062037"/>
    <w:rsid w:val="410794E0"/>
    <w:rsid w:val="4108437E"/>
    <w:rsid w:val="41091A5E"/>
    <w:rsid w:val="4110A77A"/>
    <w:rsid w:val="4110F24A"/>
    <w:rsid w:val="4113DA14"/>
    <w:rsid w:val="411550D8"/>
    <w:rsid w:val="4116A842"/>
    <w:rsid w:val="411D8211"/>
    <w:rsid w:val="411F638F"/>
    <w:rsid w:val="41230C4D"/>
    <w:rsid w:val="41242F94"/>
    <w:rsid w:val="41260ECD"/>
    <w:rsid w:val="412DF789"/>
    <w:rsid w:val="41312E45"/>
    <w:rsid w:val="4133468E"/>
    <w:rsid w:val="41421874"/>
    <w:rsid w:val="4152A748"/>
    <w:rsid w:val="4158948E"/>
    <w:rsid w:val="41598D45"/>
    <w:rsid w:val="41614A2B"/>
    <w:rsid w:val="416580D5"/>
    <w:rsid w:val="4165A3DD"/>
    <w:rsid w:val="41669183"/>
    <w:rsid w:val="416FF9A3"/>
    <w:rsid w:val="4170030B"/>
    <w:rsid w:val="417076C6"/>
    <w:rsid w:val="41802189"/>
    <w:rsid w:val="41841DE3"/>
    <w:rsid w:val="41843E58"/>
    <w:rsid w:val="418974B6"/>
    <w:rsid w:val="418A68E0"/>
    <w:rsid w:val="4190F67D"/>
    <w:rsid w:val="41927C3F"/>
    <w:rsid w:val="419AD2EB"/>
    <w:rsid w:val="419B3288"/>
    <w:rsid w:val="419F2E48"/>
    <w:rsid w:val="41A0899B"/>
    <w:rsid w:val="41A93B26"/>
    <w:rsid w:val="41B3A97E"/>
    <w:rsid w:val="41B9B4CD"/>
    <w:rsid w:val="41BEC664"/>
    <w:rsid w:val="41BF26CE"/>
    <w:rsid w:val="41BFE8B8"/>
    <w:rsid w:val="41CA2DD9"/>
    <w:rsid w:val="41CC748A"/>
    <w:rsid w:val="41CD17C4"/>
    <w:rsid w:val="41CD594A"/>
    <w:rsid w:val="41D02EDF"/>
    <w:rsid w:val="41D270CB"/>
    <w:rsid w:val="41D46E1D"/>
    <w:rsid w:val="41DFD14D"/>
    <w:rsid w:val="41E40CE9"/>
    <w:rsid w:val="41E4FB5F"/>
    <w:rsid w:val="41E6149C"/>
    <w:rsid w:val="41E8354D"/>
    <w:rsid w:val="41EF895C"/>
    <w:rsid w:val="41F5B953"/>
    <w:rsid w:val="41F74B0B"/>
    <w:rsid w:val="4208E73C"/>
    <w:rsid w:val="4208ED6D"/>
    <w:rsid w:val="4209C8B2"/>
    <w:rsid w:val="4211451F"/>
    <w:rsid w:val="4216D382"/>
    <w:rsid w:val="4216EAD7"/>
    <w:rsid w:val="421853AA"/>
    <w:rsid w:val="421B9F21"/>
    <w:rsid w:val="422142F5"/>
    <w:rsid w:val="42243208"/>
    <w:rsid w:val="4225C450"/>
    <w:rsid w:val="4226410B"/>
    <w:rsid w:val="42281E0E"/>
    <w:rsid w:val="422F1AB4"/>
    <w:rsid w:val="422F9780"/>
    <w:rsid w:val="4231C3AC"/>
    <w:rsid w:val="42329D22"/>
    <w:rsid w:val="423728C4"/>
    <w:rsid w:val="423896E6"/>
    <w:rsid w:val="423D786E"/>
    <w:rsid w:val="423EA783"/>
    <w:rsid w:val="42409528"/>
    <w:rsid w:val="42438C5C"/>
    <w:rsid w:val="424538BA"/>
    <w:rsid w:val="424A4302"/>
    <w:rsid w:val="4250ADF6"/>
    <w:rsid w:val="42545868"/>
    <w:rsid w:val="4257C34D"/>
    <w:rsid w:val="425D2C7A"/>
    <w:rsid w:val="4262DBFE"/>
    <w:rsid w:val="4267B84D"/>
    <w:rsid w:val="426BBB38"/>
    <w:rsid w:val="426D49C6"/>
    <w:rsid w:val="426E74EF"/>
    <w:rsid w:val="426F8A79"/>
    <w:rsid w:val="4273149A"/>
    <w:rsid w:val="42757BFA"/>
    <w:rsid w:val="427991AE"/>
    <w:rsid w:val="427AEB96"/>
    <w:rsid w:val="427B9421"/>
    <w:rsid w:val="427D3373"/>
    <w:rsid w:val="42814984"/>
    <w:rsid w:val="428799BD"/>
    <w:rsid w:val="42892404"/>
    <w:rsid w:val="428D5FB3"/>
    <w:rsid w:val="428DD02F"/>
    <w:rsid w:val="42981CFD"/>
    <w:rsid w:val="429A51EE"/>
    <w:rsid w:val="429F49AB"/>
    <w:rsid w:val="42A065CF"/>
    <w:rsid w:val="42A0DD4E"/>
    <w:rsid w:val="42A3B06F"/>
    <w:rsid w:val="42AA1A05"/>
    <w:rsid w:val="42AB7CBD"/>
    <w:rsid w:val="42B045DD"/>
    <w:rsid w:val="42B4438D"/>
    <w:rsid w:val="42B7C028"/>
    <w:rsid w:val="42BCF02A"/>
    <w:rsid w:val="42BD3BDB"/>
    <w:rsid w:val="42BDD297"/>
    <w:rsid w:val="42C1CF62"/>
    <w:rsid w:val="42C70F49"/>
    <w:rsid w:val="42C87EA2"/>
    <w:rsid w:val="42CCC25A"/>
    <w:rsid w:val="42CE328B"/>
    <w:rsid w:val="42D2CD99"/>
    <w:rsid w:val="42D320CF"/>
    <w:rsid w:val="42D69518"/>
    <w:rsid w:val="42D8753F"/>
    <w:rsid w:val="42E0E5A4"/>
    <w:rsid w:val="42E2E678"/>
    <w:rsid w:val="42E39C53"/>
    <w:rsid w:val="42E5A224"/>
    <w:rsid w:val="42E7A6D9"/>
    <w:rsid w:val="42F011CD"/>
    <w:rsid w:val="42F8A451"/>
    <w:rsid w:val="42FE50AA"/>
    <w:rsid w:val="43022556"/>
    <w:rsid w:val="4302E2EF"/>
    <w:rsid w:val="430531BF"/>
    <w:rsid w:val="4306EF24"/>
    <w:rsid w:val="430B723E"/>
    <w:rsid w:val="430DFFB7"/>
    <w:rsid w:val="430F8CC7"/>
    <w:rsid w:val="43135BFE"/>
    <w:rsid w:val="43186018"/>
    <w:rsid w:val="431CE903"/>
    <w:rsid w:val="431CEE8C"/>
    <w:rsid w:val="431F1843"/>
    <w:rsid w:val="43224ADE"/>
    <w:rsid w:val="43230D87"/>
    <w:rsid w:val="4328C606"/>
    <w:rsid w:val="4329493B"/>
    <w:rsid w:val="432A2E7C"/>
    <w:rsid w:val="432E94BB"/>
    <w:rsid w:val="432F33B0"/>
    <w:rsid w:val="43345A15"/>
    <w:rsid w:val="4338ED0B"/>
    <w:rsid w:val="433DBB5D"/>
    <w:rsid w:val="433F6D13"/>
    <w:rsid w:val="43449164"/>
    <w:rsid w:val="4345F94C"/>
    <w:rsid w:val="43464690"/>
    <w:rsid w:val="4348C4D7"/>
    <w:rsid w:val="4348EF6C"/>
    <w:rsid w:val="434F70F7"/>
    <w:rsid w:val="4356E592"/>
    <w:rsid w:val="4357ACEA"/>
    <w:rsid w:val="435845BB"/>
    <w:rsid w:val="435906A0"/>
    <w:rsid w:val="435C2E4E"/>
    <w:rsid w:val="435D26DE"/>
    <w:rsid w:val="435EC81C"/>
    <w:rsid w:val="4367423C"/>
    <w:rsid w:val="436757B2"/>
    <w:rsid w:val="4368C2A6"/>
    <w:rsid w:val="436E62B4"/>
    <w:rsid w:val="436E7785"/>
    <w:rsid w:val="4377B9C4"/>
    <w:rsid w:val="437A822E"/>
    <w:rsid w:val="437AF250"/>
    <w:rsid w:val="437F810A"/>
    <w:rsid w:val="4380007F"/>
    <w:rsid w:val="4380E2CC"/>
    <w:rsid w:val="4386AC63"/>
    <w:rsid w:val="438CD619"/>
    <w:rsid w:val="43912D61"/>
    <w:rsid w:val="4395051C"/>
    <w:rsid w:val="4396570B"/>
    <w:rsid w:val="43970131"/>
    <w:rsid w:val="43983E3B"/>
    <w:rsid w:val="4398AA9B"/>
    <w:rsid w:val="439A2378"/>
    <w:rsid w:val="439C1E68"/>
    <w:rsid w:val="439DB84F"/>
    <w:rsid w:val="439FF0E7"/>
    <w:rsid w:val="43A197C2"/>
    <w:rsid w:val="43A27849"/>
    <w:rsid w:val="43BC77EA"/>
    <w:rsid w:val="43BEC5D1"/>
    <w:rsid w:val="43BF9A2A"/>
    <w:rsid w:val="43BFEF19"/>
    <w:rsid w:val="43C28B4D"/>
    <w:rsid w:val="43C7CD1F"/>
    <w:rsid w:val="43C95C2D"/>
    <w:rsid w:val="43D00027"/>
    <w:rsid w:val="43D2A880"/>
    <w:rsid w:val="43D414F7"/>
    <w:rsid w:val="43DD0983"/>
    <w:rsid w:val="43E0D902"/>
    <w:rsid w:val="43E1C13B"/>
    <w:rsid w:val="43EA5B9F"/>
    <w:rsid w:val="43EBAD8B"/>
    <w:rsid w:val="43EFDF9D"/>
    <w:rsid w:val="43F0C3C0"/>
    <w:rsid w:val="43F2B431"/>
    <w:rsid w:val="43F4871A"/>
    <w:rsid w:val="43F6EFEB"/>
    <w:rsid w:val="43F91B3E"/>
    <w:rsid w:val="440072D9"/>
    <w:rsid w:val="440467BF"/>
    <w:rsid w:val="4404D2B4"/>
    <w:rsid w:val="440C0595"/>
    <w:rsid w:val="440C2E74"/>
    <w:rsid w:val="44139330"/>
    <w:rsid w:val="4414C8DA"/>
    <w:rsid w:val="4419F499"/>
    <w:rsid w:val="441B5F86"/>
    <w:rsid w:val="441C5EE2"/>
    <w:rsid w:val="441C705D"/>
    <w:rsid w:val="441E5AAE"/>
    <w:rsid w:val="441E808D"/>
    <w:rsid w:val="4423196E"/>
    <w:rsid w:val="44239D1F"/>
    <w:rsid w:val="44294E86"/>
    <w:rsid w:val="442C3441"/>
    <w:rsid w:val="442E8ED2"/>
    <w:rsid w:val="443148CD"/>
    <w:rsid w:val="4432F8C1"/>
    <w:rsid w:val="44388A48"/>
    <w:rsid w:val="444184B2"/>
    <w:rsid w:val="44456B44"/>
    <w:rsid w:val="44467AF4"/>
    <w:rsid w:val="444D70B2"/>
    <w:rsid w:val="44645507"/>
    <w:rsid w:val="4469C795"/>
    <w:rsid w:val="446A7F96"/>
    <w:rsid w:val="446BD0DB"/>
    <w:rsid w:val="447290E2"/>
    <w:rsid w:val="4473CFE7"/>
    <w:rsid w:val="447A41E7"/>
    <w:rsid w:val="447D723C"/>
    <w:rsid w:val="4489D727"/>
    <w:rsid w:val="448EC0FF"/>
    <w:rsid w:val="448FDADD"/>
    <w:rsid w:val="4490C368"/>
    <w:rsid w:val="449460C1"/>
    <w:rsid w:val="449D5107"/>
    <w:rsid w:val="449F808B"/>
    <w:rsid w:val="44A40167"/>
    <w:rsid w:val="44A42A5B"/>
    <w:rsid w:val="44A59CCD"/>
    <w:rsid w:val="44A5E9E9"/>
    <w:rsid w:val="44A7A556"/>
    <w:rsid w:val="44AD29E7"/>
    <w:rsid w:val="44AFA2EF"/>
    <w:rsid w:val="44B1E560"/>
    <w:rsid w:val="44B49146"/>
    <w:rsid w:val="44B68A12"/>
    <w:rsid w:val="44B777EF"/>
    <w:rsid w:val="44B94781"/>
    <w:rsid w:val="44BA28E8"/>
    <w:rsid w:val="44C71D11"/>
    <w:rsid w:val="44D5749E"/>
    <w:rsid w:val="44D66604"/>
    <w:rsid w:val="44DA9E2F"/>
    <w:rsid w:val="44DBC1A8"/>
    <w:rsid w:val="44DCA67D"/>
    <w:rsid w:val="44E726AD"/>
    <w:rsid w:val="44EB246B"/>
    <w:rsid w:val="44F0878A"/>
    <w:rsid w:val="44F0B5F9"/>
    <w:rsid w:val="44F63CCA"/>
    <w:rsid w:val="45007D4A"/>
    <w:rsid w:val="45029716"/>
    <w:rsid w:val="450B1FEE"/>
    <w:rsid w:val="450B30F4"/>
    <w:rsid w:val="450CA7DE"/>
    <w:rsid w:val="450D2B63"/>
    <w:rsid w:val="4512A379"/>
    <w:rsid w:val="451365B4"/>
    <w:rsid w:val="45174839"/>
    <w:rsid w:val="451C4952"/>
    <w:rsid w:val="451E8B2A"/>
    <w:rsid w:val="45207AD8"/>
    <w:rsid w:val="452B47D2"/>
    <w:rsid w:val="452C97D2"/>
    <w:rsid w:val="452F6519"/>
    <w:rsid w:val="45321D59"/>
    <w:rsid w:val="453BFC96"/>
    <w:rsid w:val="453C84F9"/>
    <w:rsid w:val="453E9FA4"/>
    <w:rsid w:val="454A791A"/>
    <w:rsid w:val="454D428B"/>
    <w:rsid w:val="454DD77E"/>
    <w:rsid w:val="4550967C"/>
    <w:rsid w:val="4558D943"/>
    <w:rsid w:val="455BF9D8"/>
    <w:rsid w:val="456B2E67"/>
    <w:rsid w:val="456D548C"/>
    <w:rsid w:val="457D9080"/>
    <w:rsid w:val="457DEE2B"/>
    <w:rsid w:val="4583BBDE"/>
    <w:rsid w:val="4587D3D1"/>
    <w:rsid w:val="458879AD"/>
    <w:rsid w:val="458F3AD5"/>
    <w:rsid w:val="45909CE7"/>
    <w:rsid w:val="459BD7AD"/>
    <w:rsid w:val="45A2029B"/>
    <w:rsid w:val="45AD99B8"/>
    <w:rsid w:val="45C6D832"/>
    <w:rsid w:val="45C771CC"/>
    <w:rsid w:val="45D0A7B5"/>
    <w:rsid w:val="45D2135B"/>
    <w:rsid w:val="45D21ECE"/>
    <w:rsid w:val="45D2B80D"/>
    <w:rsid w:val="45D5013D"/>
    <w:rsid w:val="45D98FAD"/>
    <w:rsid w:val="45E79A0C"/>
    <w:rsid w:val="45F3436C"/>
    <w:rsid w:val="45F4A010"/>
    <w:rsid w:val="45F4BA74"/>
    <w:rsid w:val="45F6BA3A"/>
    <w:rsid w:val="45FEE421"/>
    <w:rsid w:val="46004337"/>
    <w:rsid w:val="46026A13"/>
    <w:rsid w:val="46058FAC"/>
    <w:rsid w:val="460926B0"/>
    <w:rsid w:val="46114EA2"/>
    <w:rsid w:val="4613EAEC"/>
    <w:rsid w:val="461445A5"/>
    <w:rsid w:val="46162265"/>
    <w:rsid w:val="4618FB12"/>
    <w:rsid w:val="461C79AC"/>
    <w:rsid w:val="461FC634"/>
    <w:rsid w:val="4629A1F8"/>
    <w:rsid w:val="4629DBC0"/>
    <w:rsid w:val="463A253B"/>
    <w:rsid w:val="463C17CD"/>
    <w:rsid w:val="463D0552"/>
    <w:rsid w:val="4640E35C"/>
    <w:rsid w:val="464E0564"/>
    <w:rsid w:val="46513403"/>
    <w:rsid w:val="46581B23"/>
    <w:rsid w:val="465B2D0B"/>
    <w:rsid w:val="465CACEB"/>
    <w:rsid w:val="465CB13C"/>
    <w:rsid w:val="465D65B2"/>
    <w:rsid w:val="465DAF79"/>
    <w:rsid w:val="46646DDE"/>
    <w:rsid w:val="4664CC73"/>
    <w:rsid w:val="46712EAA"/>
    <w:rsid w:val="4675BD81"/>
    <w:rsid w:val="468429A3"/>
    <w:rsid w:val="4686C9C7"/>
    <w:rsid w:val="46878E8B"/>
    <w:rsid w:val="468FE472"/>
    <w:rsid w:val="4692382B"/>
    <w:rsid w:val="469A3518"/>
    <w:rsid w:val="469B610C"/>
    <w:rsid w:val="46A0FFB1"/>
    <w:rsid w:val="46AA1EEF"/>
    <w:rsid w:val="46B0DB61"/>
    <w:rsid w:val="46B1866C"/>
    <w:rsid w:val="46B1A81E"/>
    <w:rsid w:val="46B55700"/>
    <w:rsid w:val="46B648E4"/>
    <w:rsid w:val="46B6F4F0"/>
    <w:rsid w:val="46BB975A"/>
    <w:rsid w:val="46BD9E45"/>
    <w:rsid w:val="46C15649"/>
    <w:rsid w:val="46C36EF9"/>
    <w:rsid w:val="46C7346D"/>
    <w:rsid w:val="46CD59D5"/>
    <w:rsid w:val="46CF9AD1"/>
    <w:rsid w:val="46D0561E"/>
    <w:rsid w:val="46D71E79"/>
    <w:rsid w:val="46D78CC0"/>
    <w:rsid w:val="46DE3E56"/>
    <w:rsid w:val="46E0E8B9"/>
    <w:rsid w:val="46E4A44A"/>
    <w:rsid w:val="46E9F9FB"/>
    <w:rsid w:val="46EAC9BE"/>
    <w:rsid w:val="46EC63AD"/>
    <w:rsid w:val="46ECCF7A"/>
    <w:rsid w:val="46F6E700"/>
    <w:rsid w:val="4701F170"/>
    <w:rsid w:val="47047CBB"/>
    <w:rsid w:val="470712A4"/>
    <w:rsid w:val="4707EA51"/>
    <w:rsid w:val="4708F23F"/>
    <w:rsid w:val="470C8E85"/>
    <w:rsid w:val="47167438"/>
    <w:rsid w:val="471912CB"/>
    <w:rsid w:val="4721A24B"/>
    <w:rsid w:val="4721E705"/>
    <w:rsid w:val="4725A9AC"/>
    <w:rsid w:val="47272542"/>
    <w:rsid w:val="472AD78F"/>
    <w:rsid w:val="472FF606"/>
    <w:rsid w:val="4738906D"/>
    <w:rsid w:val="4739644B"/>
    <w:rsid w:val="473B28CC"/>
    <w:rsid w:val="473B461E"/>
    <w:rsid w:val="474BCF21"/>
    <w:rsid w:val="474CCCF4"/>
    <w:rsid w:val="474F2CCA"/>
    <w:rsid w:val="47503C6E"/>
    <w:rsid w:val="475C1855"/>
    <w:rsid w:val="47623C91"/>
    <w:rsid w:val="47631C9E"/>
    <w:rsid w:val="476429E9"/>
    <w:rsid w:val="476A4AD6"/>
    <w:rsid w:val="476E7E35"/>
    <w:rsid w:val="477D2655"/>
    <w:rsid w:val="4780F521"/>
    <w:rsid w:val="47813394"/>
    <w:rsid w:val="4783FD7C"/>
    <w:rsid w:val="4785FE32"/>
    <w:rsid w:val="479147ED"/>
    <w:rsid w:val="47917090"/>
    <w:rsid w:val="479DEB4D"/>
    <w:rsid w:val="47A87E32"/>
    <w:rsid w:val="47A8EE34"/>
    <w:rsid w:val="47ABBFEB"/>
    <w:rsid w:val="47AEBBEB"/>
    <w:rsid w:val="47B41DDB"/>
    <w:rsid w:val="47B7DC7B"/>
    <w:rsid w:val="47B9CEF8"/>
    <w:rsid w:val="47B9EE7E"/>
    <w:rsid w:val="47BB9E5F"/>
    <w:rsid w:val="47C47F0F"/>
    <w:rsid w:val="47CD7D52"/>
    <w:rsid w:val="47D66C45"/>
    <w:rsid w:val="47DC0D11"/>
    <w:rsid w:val="47DEC491"/>
    <w:rsid w:val="47DFADC0"/>
    <w:rsid w:val="47E00DB6"/>
    <w:rsid w:val="47E29B6D"/>
    <w:rsid w:val="47E34CA1"/>
    <w:rsid w:val="47E35C2A"/>
    <w:rsid w:val="47E5412F"/>
    <w:rsid w:val="47E8C773"/>
    <w:rsid w:val="47F4CDBC"/>
    <w:rsid w:val="47F875BE"/>
    <w:rsid w:val="47F8F9DD"/>
    <w:rsid w:val="47FA603F"/>
    <w:rsid w:val="47FBF015"/>
    <w:rsid w:val="480059B8"/>
    <w:rsid w:val="48018867"/>
    <w:rsid w:val="4809FEDE"/>
    <w:rsid w:val="480DD1F2"/>
    <w:rsid w:val="480E6A3C"/>
    <w:rsid w:val="48169989"/>
    <w:rsid w:val="4819C40A"/>
    <w:rsid w:val="481D9FCE"/>
    <w:rsid w:val="48214467"/>
    <w:rsid w:val="4821C1BB"/>
    <w:rsid w:val="48232977"/>
    <w:rsid w:val="48250BDF"/>
    <w:rsid w:val="48271B01"/>
    <w:rsid w:val="4828F383"/>
    <w:rsid w:val="482BC772"/>
    <w:rsid w:val="482D907E"/>
    <w:rsid w:val="482DB743"/>
    <w:rsid w:val="482FD559"/>
    <w:rsid w:val="483491E3"/>
    <w:rsid w:val="483BDF9C"/>
    <w:rsid w:val="483F50A2"/>
    <w:rsid w:val="484900A6"/>
    <w:rsid w:val="4849CA51"/>
    <w:rsid w:val="484C19DF"/>
    <w:rsid w:val="484D6CDE"/>
    <w:rsid w:val="4851BE56"/>
    <w:rsid w:val="4858CDC5"/>
    <w:rsid w:val="486BD1E0"/>
    <w:rsid w:val="487025B4"/>
    <w:rsid w:val="48737AB1"/>
    <w:rsid w:val="48754019"/>
    <w:rsid w:val="487D076E"/>
    <w:rsid w:val="487D73D9"/>
    <w:rsid w:val="4882820F"/>
    <w:rsid w:val="48830CAE"/>
    <w:rsid w:val="4883DE2B"/>
    <w:rsid w:val="488DD003"/>
    <w:rsid w:val="488ED286"/>
    <w:rsid w:val="488F1FF9"/>
    <w:rsid w:val="489674F8"/>
    <w:rsid w:val="48985C3A"/>
    <w:rsid w:val="4898CC24"/>
    <w:rsid w:val="4898EF92"/>
    <w:rsid w:val="489B96C2"/>
    <w:rsid w:val="489D750A"/>
    <w:rsid w:val="489DE5AB"/>
    <w:rsid w:val="489F8E9B"/>
    <w:rsid w:val="48A28E44"/>
    <w:rsid w:val="48AC3E3E"/>
    <w:rsid w:val="48AC5370"/>
    <w:rsid w:val="48AD1A32"/>
    <w:rsid w:val="48B0881C"/>
    <w:rsid w:val="48B3E866"/>
    <w:rsid w:val="48B82743"/>
    <w:rsid w:val="48BC1E60"/>
    <w:rsid w:val="48BCE042"/>
    <w:rsid w:val="48C52D39"/>
    <w:rsid w:val="48C6BD6F"/>
    <w:rsid w:val="48C9FE26"/>
    <w:rsid w:val="48CD63E5"/>
    <w:rsid w:val="48D01593"/>
    <w:rsid w:val="48D05E01"/>
    <w:rsid w:val="48D8B457"/>
    <w:rsid w:val="48DA9E81"/>
    <w:rsid w:val="48DC2C9E"/>
    <w:rsid w:val="48E12B8B"/>
    <w:rsid w:val="48E2ABB4"/>
    <w:rsid w:val="48E3A427"/>
    <w:rsid w:val="48E42A69"/>
    <w:rsid w:val="48E6E7D0"/>
    <w:rsid w:val="48E84FBE"/>
    <w:rsid w:val="48E91930"/>
    <w:rsid w:val="48E95ECC"/>
    <w:rsid w:val="48EB089E"/>
    <w:rsid w:val="48EE192D"/>
    <w:rsid w:val="48EE4371"/>
    <w:rsid w:val="48F017AF"/>
    <w:rsid w:val="48F61266"/>
    <w:rsid w:val="48F86A78"/>
    <w:rsid w:val="490BE9C4"/>
    <w:rsid w:val="49115FEC"/>
    <w:rsid w:val="4915AFD1"/>
    <w:rsid w:val="491A5EDC"/>
    <w:rsid w:val="491EB1E5"/>
    <w:rsid w:val="4925C088"/>
    <w:rsid w:val="492D1AF3"/>
    <w:rsid w:val="4935A2EA"/>
    <w:rsid w:val="493633A4"/>
    <w:rsid w:val="493DFC2C"/>
    <w:rsid w:val="493F3D3C"/>
    <w:rsid w:val="49416597"/>
    <w:rsid w:val="49472EE1"/>
    <w:rsid w:val="494CB1D3"/>
    <w:rsid w:val="494FA37B"/>
    <w:rsid w:val="49544551"/>
    <w:rsid w:val="4958AEB2"/>
    <w:rsid w:val="4959F186"/>
    <w:rsid w:val="495CCEFF"/>
    <w:rsid w:val="4960D6A1"/>
    <w:rsid w:val="4961FAD9"/>
    <w:rsid w:val="496758CB"/>
    <w:rsid w:val="4967E2AE"/>
    <w:rsid w:val="4968BDFA"/>
    <w:rsid w:val="49733CC9"/>
    <w:rsid w:val="4976B38F"/>
    <w:rsid w:val="497A906D"/>
    <w:rsid w:val="497B6C0E"/>
    <w:rsid w:val="497C23CD"/>
    <w:rsid w:val="497C5060"/>
    <w:rsid w:val="497CFA04"/>
    <w:rsid w:val="497F8FDC"/>
    <w:rsid w:val="497FC5A6"/>
    <w:rsid w:val="49844329"/>
    <w:rsid w:val="498CDF48"/>
    <w:rsid w:val="4997F293"/>
    <w:rsid w:val="4998397A"/>
    <w:rsid w:val="499BCCE5"/>
    <w:rsid w:val="499BE5E3"/>
    <w:rsid w:val="49A0D9A4"/>
    <w:rsid w:val="49A6B9FF"/>
    <w:rsid w:val="49B45235"/>
    <w:rsid w:val="49B584FA"/>
    <w:rsid w:val="49BC3EC7"/>
    <w:rsid w:val="49C74771"/>
    <w:rsid w:val="49CBF6AE"/>
    <w:rsid w:val="49DB91F6"/>
    <w:rsid w:val="49DD052E"/>
    <w:rsid w:val="49DE4E93"/>
    <w:rsid w:val="49EFFFF5"/>
    <w:rsid w:val="49F118B7"/>
    <w:rsid w:val="49F7B0F6"/>
    <w:rsid w:val="49FB90F1"/>
    <w:rsid w:val="49FC22C5"/>
    <w:rsid w:val="49FF84FB"/>
    <w:rsid w:val="4A06D12F"/>
    <w:rsid w:val="4A09ECA9"/>
    <w:rsid w:val="4A0A017D"/>
    <w:rsid w:val="4A0A37BA"/>
    <w:rsid w:val="4A115F1A"/>
    <w:rsid w:val="4A11D443"/>
    <w:rsid w:val="4A160148"/>
    <w:rsid w:val="4A17CE58"/>
    <w:rsid w:val="4A1BA67B"/>
    <w:rsid w:val="4A240C34"/>
    <w:rsid w:val="4A244E40"/>
    <w:rsid w:val="4A2AADEE"/>
    <w:rsid w:val="4A2CDE00"/>
    <w:rsid w:val="4A34F6E4"/>
    <w:rsid w:val="4A35F97B"/>
    <w:rsid w:val="4A375D25"/>
    <w:rsid w:val="4A39F58A"/>
    <w:rsid w:val="4A3C7B89"/>
    <w:rsid w:val="4A417DDF"/>
    <w:rsid w:val="4A427C01"/>
    <w:rsid w:val="4A489963"/>
    <w:rsid w:val="4A48EA6D"/>
    <w:rsid w:val="4A4A28AE"/>
    <w:rsid w:val="4A4B25FF"/>
    <w:rsid w:val="4A52D425"/>
    <w:rsid w:val="4A56650C"/>
    <w:rsid w:val="4A59A0FD"/>
    <w:rsid w:val="4A5D21B7"/>
    <w:rsid w:val="4A5FAB32"/>
    <w:rsid w:val="4A625F4E"/>
    <w:rsid w:val="4A6A2548"/>
    <w:rsid w:val="4A6C959B"/>
    <w:rsid w:val="4A6D7A2B"/>
    <w:rsid w:val="4A6DE9DB"/>
    <w:rsid w:val="4A6F570F"/>
    <w:rsid w:val="4A7C973E"/>
    <w:rsid w:val="4A7E0D14"/>
    <w:rsid w:val="4A7E8D3E"/>
    <w:rsid w:val="4A80F124"/>
    <w:rsid w:val="4A817A19"/>
    <w:rsid w:val="4A83A66F"/>
    <w:rsid w:val="4A8C8B42"/>
    <w:rsid w:val="4A8E45F0"/>
    <w:rsid w:val="4A942237"/>
    <w:rsid w:val="4A968851"/>
    <w:rsid w:val="4A9E0F3D"/>
    <w:rsid w:val="4A9EC4DF"/>
    <w:rsid w:val="4AA2E2BA"/>
    <w:rsid w:val="4AA4789A"/>
    <w:rsid w:val="4AA5EED7"/>
    <w:rsid w:val="4AADA399"/>
    <w:rsid w:val="4AADB814"/>
    <w:rsid w:val="4AB92066"/>
    <w:rsid w:val="4ABE9002"/>
    <w:rsid w:val="4AC24B18"/>
    <w:rsid w:val="4AC8BA65"/>
    <w:rsid w:val="4ACADDBC"/>
    <w:rsid w:val="4AD26278"/>
    <w:rsid w:val="4AD5A720"/>
    <w:rsid w:val="4AD71587"/>
    <w:rsid w:val="4AD7A769"/>
    <w:rsid w:val="4ADD568A"/>
    <w:rsid w:val="4ADF93A4"/>
    <w:rsid w:val="4AE4F850"/>
    <w:rsid w:val="4AE8AF53"/>
    <w:rsid w:val="4AE9609B"/>
    <w:rsid w:val="4AF1D632"/>
    <w:rsid w:val="4AF7F4F5"/>
    <w:rsid w:val="4AFA8258"/>
    <w:rsid w:val="4AFB4326"/>
    <w:rsid w:val="4AFDEAD0"/>
    <w:rsid w:val="4B05ED95"/>
    <w:rsid w:val="4B082947"/>
    <w:rsid w:val="4B089007"/>
    <w:rsid w:val="4B147238"/>
    <w:rsid w:val="4B15C0E8"/>
    <w:rsid w:val="4B22948C"/>
    <w:rsid w:val="4B252B0C"/>
    <w:rsid w:val="4B2667F7"/>
    <w:rsid w:val="4B26DC64"/>
    <w:rsid w:val="4B2EC48A"/>
    <w:rsid w:val="4B37E46A"/>
    <w:rsid w:val="4B3A0A97"/>
    <w:rsid w:val="4B404768"/>
    <w:rsid w:val="4B452414"/>
    <w:rsid w:val="4B4524DD"/>
    <w:rsid w:val="4B45C91F"/>
    <w:rsid w:val="4B47ACB6"/>
    <w:rsid w:val="4B4D6BA4"/>
    <w:rsid w:val="4B537EEE"/>
    <w:rsid w:val="4B539959"/>
    <w:rsid w:val="4B5C7B6C"/>
    <w:rsid w:val="4B5D2737"/>
    <w:rsid w:val="4B5D718D"/>
    <w:rsid w:val="4B63F7B6"/>
    <w:rsid w:val="4B656292"/>
    <w:rsid w:val="4B66F1A7"/>
    <w:rsid w:val="4B6CC900"/>
    <w:rsid w:val="4B6E5FDF"/>
    <w:rsid w:val="4B6EA239"/>
    <w:rsid w:val="4B7148F2"/>
    <w:rsid w:val="4B71F4B3"/>
    <w:rsid w:val="4B721120"/>
    <w:rsid w:val="4B802CB9"/>
    <w:rsid w:val="4B85F983"/>
    <w:rsid w:val="4B893593"/>
    <w:rsid w:val="4B988BA4"/>
    <w:rsid w:val="4B98EB47"/>
    <w:rsid w:val="4B99F473"/>
    <w:rsid w:val="4B9CB286"/>
    <w:rsid w:val="4B9EEB51"/>
    <w:rsid w:val="4BA4EA3B"/>
    <w:rsid w:val="4BA5FAC1"/>
    <w:rsid w:val="4BA78EE1"/>
    <w:rsid w:val="4BAE41B7"/>
    <w:rsid w:val="4BAEA212"/>
    <w:rsid w:val="4BB4CD21"/>
    <w:rsid w:val="4BB67685"/>
    <w:rsid w:val="4BB7A20B"/>
    <w:rsid w:val="4BBBBE15"/>
    <w:rsid w:val="4BBDF24D"/>
    <w:rsid w:val="4BC25DA7"/>
    <w:rsid w:val="4BC31423"/>
    <w:rsid w:val="4BC35A0C"/>
    <w:rsid w:val="4BC69202"/>
    <w:rsid w:val="4BC761A6"/>
    <w:rsid w:val="4BCD3DB8"/>
    <w:rsid w:val="4BD23CA1"/>
    <w:rsid w:val="4BD5F00D"/>
    <w:rsid w:val="4BD87B07"/>
    <w:rsid w:val="4BDADDF4"/>
    <w:rsid w:val="4BE0BBC0"/>
    <w:rsid w:val="4BE3BA04"/>
    <w:rsid w:val="4BE49AC1"/>
    <w:rsid w:val="4BE5D946"/>
    <w:rsid w:val="4BEB5D1F"/>
    <w:rsid w:val="4BED73EA"/>
    <w:rsid w:val="4BF4DABA"/>
    <w:rsid w:val="4BFB7B93"/>
    <w:rsid w:val="4BFC0571"/>
    <w:rsid w:val="4BFCE932"/>
    <w:rsid w:val="4C02F516"/>
    <w:rsid w:val="4C058403"/>
    <w:rsid w:val="4C08510F"/>
    <w:rsid w:val="4C0E42A5"/>
    <w:rsid w:val="4C12AED7"/>
    <w:rsid w:val="4C138E54"/>
    <w:rsid w:val="4C14C269"/>
    <w:rsid w:val="4C18295B"/>
    <w:rsid w:val="4C1B2181"/>
    <w:rsid w:val="4C1D6FA8"/>
    <w:rsid w:val="4C219100"/>
    <w:rsid w:val="4C21B809"/>
    <w:rsid w:val="4C2D5AAD"/>
    <w:rsid w:val="4C5054D7"/>
    <w:rsid w:val="4C540ABE"/>
    <w:rsid w:val="4C549A6F"/>
    <w:rsid w:val="4C572DBF"/>
    <w:rsid w:val="4C645146"/>
    <w:rsid w:val="4C660C43"/>
    <w:rsid w:val="4C66CF35"/>
    <w:rsid w:val="4C68D94F"/>
    <w:rsid w:val="4C68ED20"/>
    <w:rsid w:val="4C6997C0"/>
    <w:rsid w:val="4C6ADF82"/>
    <w:rsid w:val="4C6D3BA8"/>
    <w:rsid w:val="4C7C99B9"/>
    <w:rsid w:val="4C84F002"/>
    <w:rsid w:val="4C851663"/>
    <w:rsid w:val="4C88887B"/>
    <w:rsid w:val="4C88D15F"/>
    <w:rsid w:val="4C8B545F"/>
    <w:rsid w:val="4C900495"/>
    <w:rsid w:val="4C9279BB"/>
    <w:rsid w:val="4CA009A4"/>
    <w:rsid w:val="4CA2D6D6"/>
    <w:rsid w:val="4CA5A809"/>
    <w:rsid w:val="4CAB06AF"/>
    <w:rsid w:val="4CAE9573"/>
    <w:rsid w:val="4CB2C8CC"/>
    <w:rsid w:val="4CBEC279"/>
    <w:rsid w:val="4CBF3A6F"/>
    <w:rsid w:val="4CC1620F"/>
    <w:rsid w:val="4CC48975"/>
    <w:rsid w:val="4CC6F800"/>
    <w:rsid w:val="4CCD07B0"/>
    <w:rsid w:val="4CCD32D3"/>
    <w:rsid w:val="4CDA97C9"/>
    <w:rsid w:val="4CE15962"/>
    <w:rsid w:val="4CE22FED"/>
    <w:rsid w:val="4CE2E933"/>
    <w:rsid w:val="4CE37A89"/>
    <w:rsid w:val="4CE8FE1F"/>
    <w:rsid w:val="4CE9332F"/>
    <w:rsid w:val="4CEB1A9D"/>
    <w:rsid w:val="4CF58004"/>
    <w:rsid w:val="4CFBF907"/>
    <w:rsid w:val="4CFF59CB"/>
    <w:rsid w:val="4D011EF2"/>
    <w:rsid w:val="4D02DB2C"/>
    <w:rsid w:val="4D084D8C"/>
    <w:rsid w:val="4D0C8911"/>
    <w:rsid w:val="4D0CB10F"/>
    <w:rsid w:val="4D0D8D37"/>
    <w:rsid w:val="4D0EBBE1"/>
    <w:rsid w:val="4D1B5151"/>
    <w:rsid w:val="4D1C2A20"/>
    <w:rsid w:val="4D236F29"/>
    <w:rsid w:val="4D240352"/>
    <w:rsid w:val="4D2DFBBC"/>
    <w:rsid w:val="4D2FDAC5"/>
    <w:rsid w:val="4D31E464"/>
    <w:rsid w:val="4D339875"/>
    <w:rsid w:val="4D33C901"/>
    <w:rsid w:val="4D34BC96"/>
    <w:rsid w:val="4D37F267"/>
    <w:rsid w:val="4D3F11CB"/>
    <w:rsid w:val="4D41FFB2"/>
    <w:rsid w:val="4D4287AA"/>
    <w:rsid w:val="4D466A87"/>
    <w:rsid w:val="4D46D004"/>
    <w:rsid w:val="4D4717C1"/>
    <w:rsid w:val="4D479B45"/>
    <w:rsid w:val="4D4F88F5"/>
    <w:rsid w:val="4D57EBAC"/>
    <w:rsid w:val="4D5ABDF7"/>
    <w:rsid w:val="4D5BFBBF"/>
    <w:rsid w:val="4D5D65E4"/>
    <w:rsid w:val="4D60EFAA"/>
    <w:rsid w:val="4D612D56"/>
    <w:rsid w:val="4D65DE92"/>
    <w:rsid w:val="4D673FE8"/>
    <w:rsid w:val="4D8FB78A"/>
    <w:rsid w:val="4D929B64"/>
    <w:rsid w:val="4D9460DD"/>
    <w:rsid w:val="4D959BF5"/>
    <w:rsid w:val="4D98F89C"/>
    <w:rsid w:val="4D9C97E2"/>
    <w:rsid w:val="4D9E7C59"/>
    <w:rsid w:val="4DA15990"/>
    <w:rsid w:val="4DA82BF3"/>
    <w:rsid w:val="4DA8C6D8"/>
    <w:rsid w:val="4DB00E66"/>
    <w:rsid w:val="4DB37C11"/>
    <w:rsid w:val="4DB47F17"/>
    <w:rsid w:val="4DB53DD8"/>
    <w:rsid w:val="4DB5FFAB"/>
    <w:rsid w:val="4DB67802"/>
    <w:rsid w:val="4DBB2211"/>
    <w:rsid w:val="4DBC2FF6"/>
    <w:rsid w:val="4DBF4037"/>
    <w:rsid w:val="4DC30CCD"/>
    <w:rsid w:val="4DC31329"/>
    <w:rsid w:val="4DC3490B"/>
    <w:rsid w:val="4DC39E94"/>
    <w:rsid w:val="4DC567A7"/>
    <w:rsid w:val="4DC614EE"/>
    <w:rsid w:val="4DCA6B2F"/>
    <w:rsid w:val="4DCC29DD"/>
    <w:rsid w:val="4DCF79D5"/>
    <w:rsid w:val="4DD3FC3B"/>
    <w:rsid w:val="4DD467B0"/>
    <w:rsid w:val="4DE57863"/>
    <w:rsid w:val="4DE65FCB"/>
    <w:rsid w:val="4DE78171"/>
    <w:rsid w:val="4DE9CE0D"/>
    <w:rsid w:val="4DE9FA6D"/>
    <w:rsid w:val="4DED0364"/>
    <w:rsid w:val="4DEE3E16"/>
    <w:rsid w:val="4DEF6EB1"/>
    <w:rsid w:val="4DF2F656"/>
    <w:rsid w:val="4DF41B83"/>
    <w:rsid w:val="4DF674DB"/>
    <w:rsid w:val="4DFCDEC6"/>
    <w:rsid w:val="4DFE6583"/>
    <w:rsid w:val="4DFE6FE8"/>
    <w:rsid w:val="4E0162A9"/>
    <w:rsid w:val="4E041023"/>
    <w:rsid w:val="4E0E152F"/>
    <w:rsid w:val="4E0F877E"/>
    <w:rsid w:val="4E14F15C"/>
    <w:rsid w:val="4E15F479"/>
    <w:rsid w:val="4E165EF0"/>
    <w:rsid w:val="4E16BC2C"/>
    <w:rsid w:val="4E1A823D"/>
    <w:rsid w:val="4E1B0D2C"/>
    <w:rsid w:val="4E2C5AAA"/>
    <w:rsid w:val="4E2D9231"/>
    <w:rsid w:val="4E2FAEF8"/>
    <w:rsid w:val="4E31B352"/>
    <w:rsid w:val="4E406114"/>
    <w:rsid w:val="4E435500"/>
    <w:rsid w:val="4E43C85D"/>
    <w:rsid w:val="4E445448"/>
    <w:rsid w:val="4E445BB8"/>
    <w:rsid w:val="4E504E12"/>
    <w:rsid w:val="4E61DCBE"/>
    <w:rsid w:val="4E626BFA"/>
    <w:rsid w:val="4E6D1CAD"/>
    <w:rsid w:val="4E6DB57B"/>
    <w:rsid w:val="4E6F7807"/>
    <w:rsid w:val="4E70F1B2"/>
    <w:rsid w:val="4E71A6E1"/>
    <w:rsid w:val="4E79BB44"/>
    <w:rsid w:val="4E8555F9"/>
    <w:rsid w:val="4E86B029"/>
    <w:rsid w:val="4E8CD844"/>
    <w:rsid w:val="4E8FA63B"/>
    <w:rsid w:val="4E957EFE"/>
    <w:rsid w:val="4E97248B"/>
    <w:rsid w:val="4E999A02"/>
    <w:rsid w:val="4EA328E5"/>
    <w:rsid w:val="4EA581FF"/>
    <w:rsid w:val="4EA65A35"/>
    <w:rsid w:val="4EA83952"/>
    <w:rsid w:val="4EAC64C9"/>
    <w:rsid w:val="4EAFCFCC"/>
    <w:rsid w:val="4EB7052B"/>
    <w:rsid w:val="4EBB0CF0"/>
    <w:rsid w:val="4EC10862"/>
    <w:rsid w:val="4EC568C8"/>
    <w:rsid w:val="4ECFB877"/>
    <w:rsid w:val="4ED4B1B7"/>
    <w:rsid w:val="4EDBAFEE"/>
    <w:rsid w:val="4EDE3CEB"/>
    <w:rsid w:val="4EDF3FE5"/>
    <w:rsid w:val="4EE0581A"/>
    <w:rsid w:val="4EE43EDB"/>
    <w:rsid w:val="4EE73C12"/>
    <w:rsid w:val="4EE9757C"/>
    <w:rsid w:val="4EED4739"/>
    <w:rsid w:val="4EF05FE0"/>
    <w:rsid w:val="4EF2BA7F"/>
    <w:rsid w:val="4EF43E50"/>
    <w:rsid w:val="4EF5136F"/>
    <w:rsid w:val="4EF76FE9"/>
    <w:rsid w:val="4F02D6BA"/>
    <w:rsid w:val="4F09E4E3"/>
    <w:rsid w:val="4F103582"/>
    <w:rsid w:val="4F10CDB2"/>
    <w:rsid w:val="4F118042"/>
    <w:rsid w:val="4F15E1B9"/>
    <w:rsid w:val="4F21A786"/>
    <w:rsid w:val="4F238344"/>
    <w:rsid w:val="4F268E09"/>
    <w:rsid w:val="4F2C4F64"/>
    <w:rsid w:val="4F3714C3"/>
    <w:rsid w:val="4F3BC816"/>
    <w:rsid w:val="4F3CF23B"/>
    <w:rsid w:val="4F3F4367"/>
    <w:rsid w:val="4F3FCB6F"/>
    <w:rsid w:val="4F4046E3"/>
    <w:rsid w:val="4F42AF61"/>
    <w:rsid w:val="4F42E965"/>
    <w:rsid w:val="4F4433F7"/>
    <w:rsid w:val="4F44F73D"/>
    <w:rsid w:val="4F472F26"/>
    <w:rsid w:val="4F4B0399"/>
    <w:rsid w:val="4F6C8881"/>
    <w:rsid w:val="4F6CA24A"/>
    <w:rsid w:val="4F6EDD63"/>
    <w:rsid w:val="4F71D732"/>
    <w:rsid w:val="4F7B3C7F"/>
    <w:rsid w:val="4F81EF70"/>
    <w:rsid w:val="4F8301DA"/>
    <w:rsid w:val="4F854F3E"/>
    <w:rsid w:val="4F8A5CE5"/>
    <w:rsid w:val="4F8A98BB"/>
    <w:rsid w:val="4F8D558E"/>
    <w:rsid w:val="4F8E3AB6"/>
    <w:rsid w:val="4F90D9C6"/>
    <w:rsid w:val="4F977B3D"/>
    <w:rsid w:val="4F9C105F"/>
    <w:rsid w:val="4F9CFD6A"/>
    <w:rsid w:val="4F9DBB4B"/>
    <w:rsid w:val="4F9DF48A"/>
    <w:rsid w:val="4FA16104"/>
    <w:rsid w:val="4FA30F10"/>
    <w:rsid w:val="4FA3EADC"/>
    <w:rsid w:val="4FAD495B"/>
    <w:rsid w:val="4FB3924F"/>
    <w:rsid w:val="4FB6ACBD"/>
    <w:rsid w:val="4FC1D67B"/>
    <w:rsid w:val="4FC309E0"/>
    <w:rsid w:val="4FC5A9F3"/>
    <w:rsid w:val="4FC9A6FD"/>
    <w:rsid w:val="4FCACD5A"/>
    <w:rsid w:val="4FCD24BD"/>
    <w:rsid w:val="4FD2B8C0"/>
    <w:rsid w:val="4FD330B2"/>
    <w:rsid w:val="4FD424AB"/>
    <w:rsid w:val="4FD6A1CF"/>
    <w:rsid w:val="4FD938CB"/>
    <w:rsid w:val="4FDA5CC5"/>
    <w:rsid w:val="4FDF9082"/>
    <w:rsid w:val="4FEEC290"/>
    <w:rsid w:val="4FF26DB8"/>
    <w:rsid w:val="4FF5DA59"/>
    <w:rsid w:val="4FFBA31D"/>
    <w:rsid w:val="4FFE2CC1"/>
    <w:rsid w:val="5004DF33"/>
    <w:rsid w:val="50078FF3"/>
    <w:rsid w:val="5011CBD1"/>
    <w:rsid w:val="50189F61"/>
    <w:rsid w:val="501F9B72"/>
    <w:rsid w:val="502169A7"/>
    <w:rsid w:val="5025AAD0"/>
    <w:rsid w:val="50279783"/>
    <w:rsid w:val="502C1281"/>
    <w:rsid w:val="50311072"/>
    <w:rsid w:val="503ADF71"/>
    <w:rsid w:val="503C90B7"/>
    <w:rsid w:val="503F6384"/>
    <w:rsid w:val="5040A3D8"/>
    <w:rsid w:val="50450900"/>
    <w:rsid w:val="504C44C6"/>
    <w:rsid w:val="505194ED"/>
    <w:rsid w:val="5065105A"/>
    <w:rsid w:val="5068B634"/>
    <w:rsid w:val="506A3DD0"/>
    <w:rsid w:val="506BE2F7"/>
    <w:rsid w:val="50725BC0"/>
    <w:rsid w:val="50782E8B"/>
    <w:rsid w:val="5078B902"/>
    <w:rsid w:val="507E1CCC"/>
    <w:rsid w:val="507E6DEC"/>
    <w:rsid w:val="50889DAB"/>
    <w:rsid w:val="5090E1A6"/>
    <w:rsid w:val="5091FA0C"/>
    <w:rsid w:val="509F7DE6"/>
    <w:rsid w:val="50A10059"/>
    <w:rsid w:val="50A1205E"/>
    <w:rsid w:val="50A8DD58"/>
    <w:rsid w:val="50AAD783"/>
    <w:rsid w:val="50AE6F8D"/>
    <w:rsid w:val="50B0BC89"/>
    <w:rsid w:val="50B1988F"/>
    <w:rsid w:val="50B40CBB"/>
    <w:rsid w:val="50B73B3D"/>
    <w:rsid w:val="50B77764"/>
    <w:rsid w:val="50BBD3CA"/>
    <w:rsid w:val="50BD75E6"/>
    <w:rsid w:val="50BDA882"/>
    <w:rsid w:val="50BF53A5"/>
    <w:rsid w:val="50C0E00E"/>
    <w:rsid w:val="50C10E8C"/>
    <w:rsid w:val="50CEDE6E"/>
    <w:rsid w:val="50D91C65"/>
    <w:rsid w:val="50D9A3BF"/>
    <w:rsid w:val="50E4FE95"/>
    <w:rsid w:val="50E5E654"/>
    <w:rsid w:val="50E65BB2"/>
    <w:rsid w:val="50E77AFA"/>
    <w:rsid w:val="50E9F458"/>
    <w:rsid w:val="50EE68DB"/>
    <w:rsid w:val="50EF53A9"/>
    <w:rsid w:val="50EF573E"/>
    <w:rsid w:val="50F3BA20"/>
    <w:rsid w:val="50F5513A"/>
    <w:rsid w:val="50F56672"/>
    <w:rsid w:val="50FB82BD"/>
    <w:rsid w:val="50FC7D05"/>
    <w:rsid w:val="50FCDA7C"/>
    <w:rsid w:val="50FD1E9B"/>
    <w:rsid w:val="5102641E"/>
    <w:rsid w:val="510299A4"/>
    <w:rsid w:val="51079959"/>
    <w:rsid w:val="510A17DC"/>
    <w:rsid w:val="510A40F6"/>
    <w:rsid w:val="510C81AD"/>
    <w:rsid w:val="510F561E"/>
    <w:rsid w:val="51115C99"/>
    <w:rsid w:val="51119C7D"/>
    <w:rsid w:val="51126A13"/>
    <w:rsid w:val="5117C5F2"/>
    <w:rsid w:val="511AE12F"/>
    <w:rsid w:val="511EB7AC"/>
    <w:rsid w:val="511F2F5F"/>
    <w:rsid w:val="51209153"/>
    <w:rsid w:val="51241CEB"/>
    <w:rsid w:val="5126A4DA"/>
    <w:rsid w:val="512A1C4F"/>
    <w:rsid w:val="512AB1F4"/>
    <w:rsid w:val="5132CA11"/>
    <w:rsid w:val="51384D04"/>
    <w:rsid w:val="513C1BDE"/>
    <w:rsid w:val="513D3AE2"/>
    <w:rsid w:val="513EBD19"/>
    <w:rsid w:val="51402974"/>
    <w:rsid w:val="5140C7D2"/>
    <w:rsid w:val="5147CF91"/>
    <w:rsid w:val="51489971"/>
    <w:rsid w:val="514A75CB"/>
    <w:rsid w:val="5151F8F8"/>
    <w:rsid w:val="51592D2D"/>
    <w:rsid w:val="515B2666"/>
    <w:rsid w:val="51606788"/>
    <w:rsid w:val="5162ACFB"/>
    <w:rsid w:val="51662AF5"/>
    <w:rsid w:val="51683B1F"/>
    <w:rsid w:val="5168FF6D"/>
    <w:rsid w:val="51697962"/>
    <w:rsid w:val="516D694F"/>
    <w:rsid w:val="517474D5"/>
    <w:rsid w:val="5175C428"/>
    <w:rsid w:val="5176C384"/>
    <w:rsid w:val="51785283"/>
    <w:rsid w:val="51798824"/>
    <w:rsid w:val="517C8633"/>
    <w:rsid w:val="518A2EE7"/>
    <w:rsid w:val="518D344A"/>
    <w:rsid w:val="518F03E9"/>
    <w:rsid w:val="5191DE4C"/>
    <w:rsid w:val="51A1FDA9"/>
    <w:rsid w:val="51B0C48E"/>
    <w:rsid w:val="51B43739"/>
    <w:rsid w:val="51B7FF57"/>
    <w:rsid w:val="51C3641D"/>
    <w:rsid w:val="51C69A9D"/>
    <w:rsid w:val="51C77EF1"/>
    <w:rsid w:val="51CAA5D9"/>
    <w:rsid w:val="51CC9F8F"/>
    <w:rsid w:val="51D15487"/>
    <w:rsid w:val="51D7E2C6"/>
    <w:rsid w:val="51E1C6CB"/>
    <w:rsid w:val="51E89453"/>
    <w:rsid w:val="51E9C55E"/>
    <w:rsid w:val="51EB056A"/>
    <w:rsid w:val="51F34C1F"/>
    <w:rsid w:val="51F549DC"/>
    <w:rsid w:val="51F6F7A2"/>
    <w:rsid w:val="51FDE670"/>
    <w:rsid w:val="5200E6AE"/>
    <w:rsid w:val="5202A6DE"/>
    <w:rsid w:val="52067D3F"/>
    <w:rsid w:val="52075330"/>
    <w:rsid w:val="52077D6C"/>
    <w:rsid w:val="5208F401"/>
    <w:rsid w:val="5214AA5D"/>
    <w:rsid w:val="52235735"/>
    <w:rsid w:val="522374E8"/>
    <w:rsid w:val="5223962F"/>
    <w:rsid w:val="5224A69D"/>
    <w:rsid w:val="52257064"/>
    <w:rsid w:val="52259AAB"/>
    <w:rsid w:val="5225DF92"/>
    <w:rsid w:val="52260C56"/>
    <w:rsid w:val="52272FE0"/>
    <w:rsid w:val="522776A8"/>
    <w:rsid w:val="52286F4B"/>
    <w:rsid w:val="522F1BDC"/>
    <w:rsid w:val="5232A700"/>
    <w:rsid w:val="523463B4"/>
    <w:rsid w:val="5237D0B4"/>
    <w:rsid w:val="5237E81B"/>
    <w:rsid w:val="523AE2CA"/>
    <w:rsid w:val="523CFFB7"/>
    <w:rsid w:val="52438AB6"/>
    <w:rsid w:val="5244D934"/>
    <w:rsid w:val="524C9767"/>
    <w:rsid w:val="5250419C"/>
    <w:rsid w:val="5257DD5E"/>
    <w:rsid w:val="5257E308"/>
    <w:rsid w:val="525A1F70"/>
    <w:rsid w:val="52629FAA"/>
    <w:rsid w:val="52633739"/>
    <w:rsid w:val="526C2D07"/>
    <w:rsid w:val="526F7DDB"/>
    <w:rsid w:val="52732EC3"/>
    <w:rsid w:val="52752BDC"/>
    <w:rsid w:val="52762A7B"/>
    <w:rsid w:val="5278EA98"/>
    <w:rsid w:val="5279D89F"/>
    <w:rsid w:val="528BB128"/>
    <w:rsid w:val="528CA7E9"/>
    <w:rsid w:val="52930FA7"/>
    <w:rsid w:val="52955BB3"/>
    <w:rsid w:val="52976244"/>
    <w:rsid w:val="5298E5C0"/>
    <w:rsid w:val="529977F4"/>
    <w:rsid w:val="52A0987D"/>
    <w:rsid w:val="52A1261A"/>
    <w:rsid w:val="52A27B8A"/>
    <w:rsid w:val="52A31259"/>
    <w:rsid w:val="52AF9492"/>
    <w:rsid w:val="52B705C8"/>
    <w:rsid w:val="52C032E3"/>
    <w:rsid w:val="52CB573D"/>
    <w:rsid w:val="52D3B99B"/>
    <w:rsid w:val="52D4D8DE"/>
    <w:rsid w:val="52D69C21"/>
    <w:rsid w:val="52DBE471"/>
    <w:rsid w:val="52DC3189"/>
    <w:rsid w:val="52E8862A"/>
    <w:rsid w:val="52EB4A06"/>
    <w:rsid w:val="52EC98C9"/>
    <w:rsid w:val="52F950DE"/>
    <w:rsid w:val="53010354"/>
    <w:rsid w:val="5308E176"/>
    <w:rsid w:val="530F6017"/>
    <w:rsid w:val="5311D15C"/>
    <w:rsid w:val="531717D3"/>
    <w:rsid w:val="531D595A"/>
    <w:rsid w:val="531E4103"/>
    <w:rsid w:val="53259625"/>
    <w:rsid w:val="5329644C"/>
    <w:rsid w:val="532A3F4D"/>
    <w:rsid w:val="5331E7FC"/>
    <w:rsid w:val="53326357"/>
    <w:rsid w:val="533832B8"/>
    <w:rsid w:val="53454729"/>
    <w:rsid w:val="53456DE9"/>
    <w:rsid w:val="534BA824"/>
    <w:rsid w:val="5357F5E9"/>
    <w:rsid w:val="5359A4D6"/>
    <w:rsid w:val="535B846C"/>
    <w:rsid w:val="5364BE1F"/>
    <w:rsid w:val="53663673"/>
    <w:rsid w:val="53697FC0"/>
    <w:rsid w:val="536A0103"/>
    <w:rsid w:val="536EDBC7"/>
    <w:rsid w:val="536FC81D"/>
    <w:rsid w:val="5375C052"/>
    <w:rsid w:val="53770A49"/>
    <w:rsid w:val="5379ADBE"/>
    <w:rsid w:val="537E0CE9"/>
    <w:rsid w:val="537E3457"/>
    <w:rsid w:val="5381DFD4"/>
    <w:rsid w:val="538BC355"/>
    <w:rsid w:val="53964D8E"/>
    <w:rsid w:val="539A0866"/>
    <w:rsid w:val="539B3432"/>
    <w:rsid w:val="53A74553"/>
    <w:rsid w:val="53A8C071"/>
    <w:rsid w:val="53A8E52A"/>
    <w:rsid w:val="53AB6A85"/>
    <w:rsid w:val="53AFCA18"/>
    <w:rsid w:val="53B376BC"/>
    <w:rsid w:val="53B6D587"/>
    <w:rsid w:val="53B6FF42"/>
    <w:rsid w:val="53B954CF"/>
    <w:rsid w:val="53BB90E3"/>
    <w:rsid w:val="53BC65C1"/>
    <w:rsid w:val="53BD47B2"/>
    <w:rsid w:val="53BDD9FE"/>
    <w:rsid w:val="53BF5A2D"/>
    <w:rsid w:val="53C4B8D0"/>
    <w:rsid w:val="53C86752"/>
    <w:rsid w:val="53CAFA99"/>
    <w:rsid w:val="53CB5165"/>
    <w:rsid w:val="53CC0017"/>
    <w:rsid w:val="53CF75CF"/>
    <w:rsid w:val="53ECA7A9"/>
    <w:rsid w:val="53F2516C"/>
    <w:rsid w:val="53F2774E"/>
    <w:rsid w:val="53F86672"/>
    <w:rsid w:val="54043941"/>
    <w:rsid w:val="54047F02"/>
    <w:rsid w:val="54081C5C"/>
    <w:rsid w:val="540BF91E"/>
    <w:rsid w:val="540C625B"/>
    <w:rsid w:val="540CC66F"/>
    <w:rsid w:val="540F74AA"/>
    <w:rsid w:val="5410445B"/>
    <w:rsid w:val="54156C9F"/>
    <w:rsid w:val="54160D31"/>
    <w:rsid w:val="541EAF72"/>
    <w:rsid w:val="5422ADA0"/>
    <w:rsid w:val="542CAA73"/>
    <w:rsid w:val="54346AEF"/>
    <w:rsid w:val="543478BB"/>
    <w:rsid w:val="5435821D"/>
    <w:rsid w:val="54384107"/>
    <w:rsid w:val="543ABC66"/>
    <w:rsid w:val="54439DE2"/>
    <w:rsid w:val="5445C9C1"/>
    <w:rsid w:val="544670C8"/>
    <w:rsid w:val="5447FD55"/>
    <w:rsid w:val="544C829E"/>
    <w:rsid w:val="545385A9"/>
    <w:rsid w:val="54546E4B"/>
    <w:rsid w:val="5458C0F9"/>
    <w:rsid w:val="545A2A95"/>
    <w:rsid w:val="545FE96A"/>
    <w:rsid w:val="546097C5"/>
    <w:rsid w:val="546509F5"/>
    <w:rsid w:val="546A5627"/>
    <w:rsid w:val="546D58D8"/>
    <w:rsid w:val="546D8116"/>
    <w:rsid w:val="546E9054"/>
    <w:rsid w:val="5470CB5B"/>
    <w:rsid w:val="54720A37"/>
    <w:rsid w:val="5473BAC1"/>
    <w:rsid w:val="5476C770"/>
    <w:rsid w:val="547AE6D7"/>
    <w:rsid w:val="547AEB11"/>
    <w:rsid w:val="547B8A72"/>
    <w:rsid w:val="547DFEB5"/>
    <w:rsid w:val="547F89D8"/>
    <w:rsid w:val="5482793E"/>
    <w:rsid w:val="5487470F"/>
    <w:rsid w:val="548876A7"/>
    <w:rsid w:val="548C9CBC"/>
    <w:rsid w:val="548CE708"/>
    <w:rsid w:val="548E0347"/>
    <w:rsid w:val="548FDF92"/>
    <w:rsid w:val="54938F40"/>
    <w:rsid w:val="54A5BD9F"/>
    <w:rsid w:val="54A65215"/>
    <w:rsid w:val="54A99FDB"/>
    <w:rsid w:val="54AB3594"/>
    <w:rsid w:val="54B34E64"/>
    <w:rsid w:val="54B6628A"/>
    <w:rsid w:val="54BB497D"/>
    <w:rsid w:val="54BC2A63"/>
    <w:rsid w:val="54BC3C18"/>
    <w:rsid w:val="54C10E62"/>
    <w:rsid w:val="54CB8FA3"/>
    <w:rsid w:val="54CC2158"/>
    <w:rsid w:val="54D003FE"/>
    <w:rsid w:val="54D1185D"/>
    <w:rsid w:val="54D1695B"/>
    <w:rsid w:val="54D27BA0"/>
    <w:rsid w:val="54D30034"/>
    <w:rsid w:val="54D4503C"/>
    <w:rsid w:val="54D6183D"/>
    <w:rsid w:val="54D7B80C"/>
    <w:rsid w:val="54D8F140"/>
    <w:rsid w:val="54DD5C02"/>
    <w:rsid w:val="54E274DE"/>
    <w:rsid w:val="54EC6844"/>
    <w:rsid w:val="54F0948D"/>
    <w:rsid w:val="54F9B3B9"/>
    <w:rsid w:val="54FB43CD"/>
    <w:rsid w:val="54FDBF06"/>
    <w:rsid w:val="54FF8295"/>
    <w:rsid w:val="55029DB9"/>
    <w:rsid w:val="5507E713"/>
    <w:rsid w:val="550B8720"/>
    <w:rsid w:val="550E5142"/>
    <w:rsid w:val="55118AC3"/>
    <w:rsid w:val="5518DB01"/>
    <w:rsid w:val="551C5433"/>
    <w:rsid w:val="55242D44"/>
    <w:rsid w:val="552E8D18"/>
    <w:rsid w:val="552FEED9"/>
    <w:rsid w:val="5530CE0F"/>
    <w:rsid w:val="55354581"/>
    <w:rsid w:val="5539A1B6"/>
    <w:rsid w:val="5550B62B"/>
    <w:rsid w:val="555AA5CB"/>
    <w:rsid w:val="5561B2A2"/>
    <w:rsid w:val="5562AEE5"/>
    <w:rsid w:val="55633BC3"/>
    <w:rsid w:val="55670AB3"/>
    <w:rsid w:val="556A0B99"/>
    <w:rsid w:val="5570A2F7"/>
    <w:rsid w:val="557272E5"/>
    <w:rsid w:val="55747777"/>
    <w:rsid w:val="5574DC9B"/>
    <w:rsid w:val="55754051"/>
    <w:rsid w:val="5575F5BE"/>
    <w:rsid w:val="557E7FB9"/>
    <w:rsid w:val="557FD65C"/>
    <w:rsid w:val="5580A318"/>
    <w:rsid w:val="558B5325"/>
    <w:rsid w:val="558EA25D"/>
    <w:rsid w:val="558F032C"/>
    <w:rsid w:val="5590C397"/>
    <w:rsid w:val="5593678C"/>
    <w:rsid w:val="559B85F0"/>
    <w:rsid w:val="55A72835"/>
    <w:rsid w:val="55B4318B"/>
    <w:rsid w:val="55B79670"/>
    <w:rsid w:val="55B80261"/>
    <w:rsid w:val="55BC1F36"/>
    <w:rsid w:val="55BFCD54"/>
    <w:rsid w:val="55C08116"/>
    <w:rsid w:val="55C1C568"/>
    <w:rsid w:val="55C549B8"/>
    <w:rsid w:val="55C7A0A6"/>
    <w:rsid w:val="55CDD5CA"/>
    <w:rsid w:val="55CE74F0"/>
    <w:rsid w:val="55D14575"/>
    <w:rsid w:val="55D72089"/>
    <w:rsid w:val="55DC9673"/>
    <w:rsid w:val="55DDD2F3"/>
    <w:rsid w:val="55DF9AEB"/>
    <w:rsid w:val="55E38602"/>
    <w:rsid w:val="55F550CD"/>
    <w:rsid w:val="55F59A1C"/>
    <w:rsid w:val="55F6590B"/>
    <w:rsid w:val="55FD196B"/>
    <w:rsid w:val="5602C847"/>
    <w:rsid w:val="5605EDE9"/>
    <w:rsid w:val="5612C8DC"/>
    <w:rsid w:val="561A7ACE"/>
    <w:rsid w:val="561AE7B4"/>
    <w:rsid w:val="561DF7AB"/>
    <w:rsid w:val="562C7098"/>
    <w:rsid w:val="562EEB22"/>
    <w:rsid w:val="56322910"/>
    <w:rsid w:val="5633B12A"/>
    <w:rsid w:val="5635396D"/>
    <w:rsid w:val="56380DFE"/>
    <w:rsid w:val="56399EBC"/>
    <w:rsid w:val="563B2B10"/>
    <w:rsid w:val="563E2F9F"/>
    <w:rsid w:val="5645A9F5"/>
    <w:rsid w:val="56477C68"/>
    <w:rsid w:val="56511D37"/>
    <w:rsid w:val="56535EA4"/>
    <w:rsid w:val="56552F4B"/>
    <w:rsid w:val="565FA92E"/>
    <w:rsid w:val="5660B487"/>
    <w:rsid w:val="566502C6"/>
    <w:rsid w:val="56677F18"/>
    <w:rsid w:val="5667A7C7"/>
    <w:rsid w:val="56683C96"/>
    <w:rsid w:val="566CE1DA"/>
    <w:rsid w:val="566D435E"/>
    <w:rsid w:val="566E4B78"/>
    <w:rsid w:val="5678C798"/>
    <w:rsid w:val="567B5514"/>
    <w:rsid w:val="56858117"/>
    <w:rsid w:val="5686D2BC"/>
    <w:rsid w:val="5687F774"/>
    <w:rsid w:val="56895AED"/>
    <w:rsid w:val="5693EC62"/>
    <w:rsid w:val="56968D6A"/>
    <w:rsid w:val="56982C5F"/>
    <w:rsid w:val="56A2C801"/>
    <w:rsid w:val="56A5E3D3"/>
    <w:rsid w:val="56AA2C7E"/>
    <w:rsid w:val="56AB1A50"/>
    <w:rsid w:val="56ADD71F"/>
    <w:rsid w:val="56B05F7A"/>
    <w:rsid w:val="56B0985E"/>
    <w:rsid w:val="56B155FD"/>
    <w:rsid w:val="56B2821A"/>
    <w:rsid w:val="56B3ED0B"/>
    <w:rsid w:val="56B5B681"/>
    <w:rsid w:val="56BD8B3B"/>
    <w:rsid w:val="56C181B6"/>
    <w:rsid w:val="56C200C0"/>
    <w:rsid w:val="56CC5E66"/>
    <w:rsid w:val="56CDC87C"/>
    <w:rsid w:val="56CE356C"/>
    <w:rsid w:val="56DAC5B9"/>
    <w:rsid w:val="56DB8DA9"/>
    <w:rsid w:val="56DC3F69"/>
    <w:rsid w:val="56F4DA85"/>
    <w:rsid w:val="56F584F7"/>
    <w:rsid w:val="56F917B9"/>
    <w:rsid w:val="56FF070D"/>
    <w:rsid w:val="57015E54"/>
    <w:rsid w:val="5703F06E"/>
    <w:rsid w:val="571800CE"/>
    <w:rsid w:val="571EA3BF"/>
    <w:rsid w:val="57214E7E"/>
    <w:rsid w:val="5723B428"/>
    <w:rsid w:val="57246646"/>
    <w:rsid w:val="5726A6B0"/>
    <w:rsid w:val="57289159"/>
    <w:rsid w:val="572B385C"/>
    <w:rsid w:val="572BF819"/>
    <w:rsid w:val="57327A01"/>
    <w:rsid w:val="57355E6D"/>
    <w:rsid w:val="57392FBA"/>
    <w:rsid w:val="573F0E32"/>
    <w:rsid w:val="57401790"/>
    <w:rsid w:val="5742A69D"/>
    <w:rsid w:val="5747711A"/>
    <w:rsid w:val="5747DE5F"/>
    <w:rsid w:val="574CA05E"/>
    <w:rsid w:val="5757975B"/>
    <w:rsid w:val="575B1C1B"/>
    <w:rsid w:val="575F01AC"/>
    <w:rsid w:val="57630076"/>
    <w:rsid w:val="57718642"/>
    <w:rsid w:val="57718AB4"/>
    <w:rsid w:val="5771D5D5"/>
    <w:rsid w:val="5773B0EC"/>
    <w:rsid w:val="57752528"/>
    <w:rsid w:val="577AD141"/>
    <w:rsid w:val="578021A8"/>
    <w:rsid w:val="57802CBE"/>
    <w:rsid w:val="5780BAC3"/>
    <w:rsid w:val="57847CF2"/>
    <w:rsid w:val="5785DD00"/>
    <w:rsid w:val="578642B5"/>
    <w:rsid w:val="5787E6EF"/>
    <w:rsid w:val="5789391B"/>
    <w:rsid w:val="578C1C7E"/>
    <w:rsid w:val="578DA17B"/>
    <w:rsid w:val="5791CDE3"/>
    <w:rsid w:val="5792138E"/>
    <w:rsid w:val="57935E59"/>
    <w:rsid w:val="5794F8FB"/>
    <w:rsid w:val="5797D95D"/>
    <w:rsid w:val="579E7855"/>
    <w:rsid w:val="57A07046"/>
    <w:rsid w:val="57A5723D"/>
    <w:rsid w:val="57A70193"/>
    <w:rsid w:val="57AA2E9B"/>
    <w:rsid w:val="57AC7811"/>
    <w:rsid w:val="57ADE93B"/>
    <w:rsid w:val="57AF7A74"/>
    <w:rsid w:val="57BE8E61"/>
    <w:rsid w:val="57C1FDED"/>
    <w:rsid w:val="57C7835F"/>
    <w:rsid w:val="57C8A182"/>
    <w:rsid w:val="57CE91C1"/>
    <w:rsid w:val="57D18737"/>
    <w:rsid w:val="57D1DAFC"/>
    <w:rsid w:val="57D27F1D"/>
    <w:rsid w:val="57D299E4"/>
    <w:rsid w:val="57D80A8D"/>
    <w:rsid w:val="57E2EBEA"/>
    <w:rsid w:val="57E43B8C"/>
    <w:rsid w:val="57EB7D85"/>
    <w:rsid w:val="57F58EB8"/>
    <w:rsid w:val="57F6CB56"/>
    <w:rsid w:val="57FC4D0D"/>
    <w:rsid w:val="57FD3F15"/>
    <w:rsid w:val="57FD546B"/>
    <w:rsid w:val="58042AA8"/>
    <w:rsid w:val="5805CC27"/>
    <w:rsid w:val="581973EF"/>
    <w:rsid w:val="581A3703"/>
    <w:rsid w:val="581A62AD"/>
    <w:rsid w:val="581ACD2E"/>
    <w:rsid w:val="581E4DE1"/>
    <w:rsid w:val="5823D990"/>
    <w:rsid w:val="5826A459"/>
    <w:rsid w:val="582A66A8"/>
    <w:rsid w:val="583C8FD9"/>
    <w:rsid w:val="583DA4E5"/>
    <w:rsid w:val="584CA4DF"/>
    <w:rsid w:val="584D4A91"/>
    <w:rsid w:val="58509389"/>
    <w:rsid w:val="58510F9B"/>
    <w:rsid w:val="58555C0F"/>
    <w:rsid w:val="58559043"/>
    <w:rsid w:val="5858D6BB"/>
    <w:rsid w:val="585BF312"/>
    <w:rsid w:val="585E161E"/>
    <w:rsid w:val="585E2788"/>
    <w:rsid w:val="585EA2FF"/>
    <w:rsid w:val="58684499"/>
    <w:rsid w:val="5868BE8B"/>
    <w:rsid w:val="586D8C24"/>
    <w:rsid w:val="587219D0"/>
    <w:rsid w:val="5873E96C"/>
    <w:rsid w:val="5873FD7A"/>
    <w:rsid w:val="5878E9D8"/>
    <w:rsid w:val="587B6B6D"/>
    <w:rsid w:val="587C1435"/>
    <w:rsid w:val="587CD5C5"/>
    <w:rsid w:val="587D8639"/>
    <w:rsid w:val="5881E45D"/>
    <w:rsid w:val="588218A4"/>
    <w:rsid w:val="5888B8EA"/>
    <w:rsid w:val="58897289"/>
    <w:rsid w:val="588AFBCB"/>
    <w:rsid w:val="588E3307"/>
    <w:rsid w:val="588ECED2"/>
    <w:rsid w:val="58900354"/>
    <w:rsid w:val="5890E0C8"/>
    <w:rsid w:val="5892ABB5"/>
    <w:rsid w:val="58A0692B"/>
    <w:rsid w:val="58A0D0D2"/>
    <w:rsid w:val="58A28D41"/>
    <w:rsid w:val="58A637EB"/>
    <w:rsid w:val="58A9F92B"/>
    <w:rsid w:val="58ABFFE2"/>
    <w:rsid w:val="58B45A44"/>
    <w:rsid w:val="58B53863"/>
    <w:rsid w:val="58BA14DA"/>
    <w:rsid w:val="58C52197"/>
    <w:rsid w:val="58C5CC6B"/>
    <w:rsid w:val="58C76C44"/>
    <w:rsid w:val="58CBD513"/>
    <w:rsid w:val="58D225C5"/>
    <w:rsid w:val="58D90191"/>
    <w:rsid w:val="58DAC424"/>
    <w:rsid w:val="58DB217B"/>
    <w:rsid w:val="58E2C2AB"/>
    <w:rsid w:val="58E3C87A"/>
    <w:rsid w:val="58E58CE2"/>
    <w:rsid w:val="58E7983F"/>
    <w:rsid w:val="58E84165"/>
    <w:rsid w:val="58F401DF"/>
    <w:rsid w:val="58F71031"/>
    <w:rsid w:val="58F80F05"/>
    <w:rsid w:val="5901FE87"/>
    <w:rsid w:val="5902CEBF"/>
    <w:rsid w:val="5907031E"/>
    <w:rsid w:val="590C8D40"/>
    <w:rsid w:val="5912D5D3"/>
    <w:rsid w:val="5916AD02"/>
    <w:rsid w:val="591C5F2D"/>
    <w:rsid w:val="5921FB50"/>
    <w:rsid w:val="59229D7F"/>
    <w:rsid w:val="592B22C4"/>
    <w:rsid w:val="592DF373"/>
    <w:rsid w:val="592FB28C"/>
    <w:rsid w:val="5932ADC1"/>
    <w:rsid w:val="59342049"/>
    <w:rsid w:val="5939B5CA"/>
    <w:rsid w:val="593D6FF3"/>
    <w:rsid w:val="593EEB57"/>
    <w:rsid w:val="5943AC43"/>
    <w:rsid w:val="594D5C64"/>
    <w:rsid w:val="59588580"/>
    <w:rsid w:val="595891DF"/>
    <w:rsid w:val="596525EF"/>
    <w:rsid w:val="5965DDD3"/>
    <w:rsid w:val="5967D59B"/>
    <w:rsid w:val="596943C6"/>
    <w:rsid w:val="596E27E2"/>
    <w:rsid w:val="596FDE23"/>
    <w:rsid w:val="59738274"/>
    <w:rsid w:val="597A8492"/>
    <w:rsid w:val="59850149"/>
    <w:rsid w:val="59855324"/>
    <w:rsid w:val="598D0527"/>
    <w:rsid w:val="59929DC9"/>
    <w:rsid w:val="5996EB65"/>
    <w:rsid w:val="599B4567"/>
    <w:rsid w:val="599DD749"/>
    <w:rsid w:val="599E06C3"/>
    <w:rsid w:val="599E12B9"/>
    <w:rsid w:val="59A47764"/>
    <w:rsid w:val="59A4BDEC"/>
    <w:rsid w:val="59A5D9E5"/>
    <w:rsid w:val="59A71A32"/>
    <w:rsid w:val="59B0271B"/>
    <w:rsid w:val="59B0EC2F"/>
    <w:rsid w:val="59B19673"/>
    <w:rsid w:val="59B1CE3F"/>
    <w:rsid w:val="59B9AA27"/>
    <w:rsid w:val="59BACF78"/>
    <w:rsid w:val="59C2FC0C"/>
    <w:rsid w:val="59C53AFF"/>
    <w:rsid w:val="59CA22DF"/>
    <w:rsid w:val="59CD589B"/>
    <w:rsid w:val="59D8DF0B"/>
    <w:rsid w:val="59E17601"/>
    <w:rsid w:val="59E267FD"/>
    <w:rsid w:val="59E8D5F6"/>
    <w:rsid w:val="59F1320C"/>
    <w:rsid w:val="59F53002"/>
    <w:rsid w:val="59F54E15"/>
    <w:rsid w:val="59FA6C48"/>
    <w:rsid w:val="59FBD9CD"/>
    <w:rsid w:val="59FDB38F"/>
    <w:rsid w:val="59FDC3BB"/>
    <w:rsid w:val="5A03F866"/>
    <w:rsid w:val="5A0BD563"/>
    <w:rsid w:val="5A118542"/>
    <w:rsid w:val="5A178E7E"/>
    <w:rsid w:val="5A28DFEF"/>
    <w:rsid w:val="5A2B980B"/>
    <w:rsid w:val="5A2BC6E8"/>
    <w:rsid w:val="5A2D87B3"/>
    <w:rsid w:val="5A309934"/>
    <w:rsid w:val="5A47A6BD"/>
    <w:rsid w:val="5A4A62FA"/>
    <w:rsid w:val="5A4FF18D"/>
    <w:rsid w:val="5A5196F3"/>
    <w:rsid w:val="5A54107D"/>
    <w:rsid w:val="5A55D301"/>
    <w:rsid w:val="5A56B3A1"/>
    <w:rsid w:val="5A5D4290"/>
    <w:rsid w:val="5A69E930"/>
    <w:rsid w:val="5A6C88CC"/>
    <w:rsid w:val="5A6C89E0"/>
    <w:rsid w:val="5A6FB92E"/>
    <w:rsid w:val="5A7715DC"/>
    <w:rsid w:val="5A7F0EEA"/>
    <w:rsid w:val="5A7F113D"/>
    <w:rsid w:val="5A83D56C"/>
    <w:rsid w:val="5A8439A9"/>
    <w:rsid w:val="5A855DB6"/>
    <w:rsid w:val="5A879B62"/>
    <w:rsid w:val="5A8C03F2"/>
    <w:rsid w:val="5A8DE717"/>
    <w:rsid w:val="5A9919CB"/>
    <w:rsid w:val="5A9921D1"/>
    <w:rsid w:val="5A9EEDF5"/>
    <w:rsid w:val="5AA17A84"/>
    <w:rsid w:val="5AA73E11"/>
    <w:rsid w:val="5AA7F7C0"/>
    <w:rsid w:val="5AA9F960"/>
    <w:rsid w:val="5AAA8810"/>
    <w:rsid w:val="5AAB7CC1"/>
    <w:rsid w:val="5AB82DB1"/>
    <w:rsid w:val="5AC3F9CB"/>
    <w:rsid w:val="5AC540D2"/>
    <w:rsid w:val="5AC7C461"/>
    <w:rsid w:val="5AC866B9"/>
    <w:rsid w:val="5AD04BDE"/>
    <w:rsid w:val="5AD0AA73"/>
    <w:rsid w:val="5AD7A2FD"/>
    <w:rsid w:val="5ADAAAF4"/>
    <w:rsid w:val="5ADBAC1D"/>
    <w:rsid w:val="5ADD3427"/>
    <w:rsid w:val="5AE13692"/>
    <w:rsid w:val="5AE13804"/>
    <w:rsid w:val="5AE211C1"/>
    <w:rsid w:val="5AE8DDB1"/>
    <w:rsid w:val="5AEDA1A3"/>
    <w:rsid w:val="5AF0EAE8"/>
    <w:rsid w:val="5AF2D753"/>
    <w:rsid w:val="5AFD5704"/>
    <w:rsid w:val="5B020D33"/>
    <w:rsid w:val="5B022F1E"/>
    <w:rsid w:val="5B0425EF"/>
    <w:rsid w:val="5B10A949"/>
    <w:rsid w:val="5B15D85F"/>
    <w:rsid w:val="5B1A105B"/>
    <w:rsid w:val="5B1A3679"/>
    <w:rsid w:val="5B1C7C39"/>
    <w:rsid w:val="5B1F255F"/>
    <w:rsid w:val="5B23D4D7"/>
    <w:rsid w:val="5B286F1A"/>
    <w:rsid w:val="5B2E0712"/>
    <w:rsid w:val="5B310AEE"/>
    <w:rsid w:val="5B332CBA"/>
    <w:rsid w:val="5B3375BE"/>
    <w:rsid w:val="5B33CCDD"/>
    <w:rsid w:val="5B344BE5"/>
    <w:rsid w:val="5B3877D3"/>
    <w:rsid w:val="5B3F81C3"/>
    <w:rsid w:val="5B42113F"/>
    <w:rsid w:val="5B4742B3"/>
    <w:rsid w:val="5B4BBE82"/>
    <w:rsid w:val="5B51687B"/>
    <w:rsid w:val="5B57CEB1"/>
    <w:rsid w:val="5B5833E1"/>
    <w:rsid w:val="5B58F325"/>
    <w:rsid w:val="5B5CF9E1"/>
    <w:rsid w:val="5B604D3C"/>
    <w:rsid w:val="5B60674D"/>
    <w:rsid w:val="5B64CAD4"/>
    <w:rsid w:val="5B64D489"/>
    <w:rsid w:val="5B6A29D5"/>
    <w:rsid w:val="5B6AB379"/>
    <w:rsid w:val="5B6F3508"/>
    <w:rsid w:val="5B7056AA"/>
    <w:rsid w:val="5B76DF6F"/>
    <w:rsid w:val="5B7FC1F4"/>
    <w:rsid w:val="5B80095E"/>
    <w:rsid w:val="5B82199D"/>
    <w:rsid w:val="5B831095"/>
    <w:rsid w:val="5B8A48E6"/>
    <w:rsid w:val="5B8B4EF9"/>
    <w:rsid w:val="5B91C919"/>
    <w:rsid w:val="5B994ECE"/>
    <w:rsid w:val="5B9BA1D1"/>
    <w:rsid w:val="5BA18B6A"/>
    <w:rsid w:val="5BA2BE0D"/>
    <w:rsid w:val="5BA30122"/>
    <w:rsid w:val="5BA59352"/>
    <w:rsid w:val="5BAF55A1"/>
    <w:rsid w:val="5BB14F75"/>
    <w:rsid w:val="5BB4663B"/>
    <w:rsid w:val="5BB47A47"/>
    <w:rsid w:val="5BB5F2CD"/>
    <w:rsid w:val="5BB60D98"/>
    <w:rsid w:val="5BB6E93A"/>
    <w:rsid w:val="5BBC466C"/>
    <w:rsid w:val="5BBE0C77"/>
    <w:rsid w:val="5BD3364E"/>
    <w:rsid w:val="5BD3CFCB"/>
    <w:rsid w:val="5BD867DC"/>
    <w:rsid w:val="5BDC1043"/>
    <w:rsid w:val="5BDDBF4A"/>
    <w:rsid w:val="5BE1E655"/>
    <w:rsid w:val="5BE821C7"/>
    <w:rsid w:val="5BE958AC"/>
    <w:rsid w:val="5BEA604C"/>
    <w:rsid w:val="5BEAF0A4"/>
    <w:rsid w:val="5BF3C63A"/>
    <w:rsid w:val="5BF968FC"/>
    <w:rsid w:val="5BF9E75B"/>
    <w:rsid w:val="5BFB6D45"/>
    <w:rsid w:val="5BFBEC9F"/>
    <w:rsid w:val="5C002E27"/>
    <w:rsid w:val="5C026414"/>
    <w:rsid w:val="5C08AD5D"/>
    <w:rsid w:val="5C0F83A4"/>
    <w:rsid w:val="5C0FBB00"/>
    <w:rsid w:val="5C10965C"/>
    <w:rsid w:val="5C156135"/>
    <w:rsid w:val="5C184AA2"/>
    <w:rsid w:val="5C1E69E7"/>
    <w:rsid w:val="5C1FAB81"/>
    <w:rsid w:val="5C22CE0A"/>
    <w:rsid w:val="5C288770"/>
    <w:rsid w:val="5C2EDC1A"/>
    <w:rsid w:val="5C33179A"/>
    <w:rsid w:val="5C33B765"/>
    <w:rsid w:val="5C490A55"/>
    <w:rsid w:val="5C50DCF8"/>
    <w:rsid w:val="5C5273BE"/>
    <w:rsid w:val="5C588512"/>
    <w:rsid w:val="5C670BCF"/>
    <w:rsid w:val="5C695A76"/>
    <w:rsid w:val="5C69A43E"/>
    <w:rsid w:val="5C69F94B"/>
    <w:rsid w:val="5C6D7EEE"/>
    <w:rsid w:val="5C6E4138"/>
    <w:rsid w:val="5C6FEB53"/>
    <w:rsid w:val="5C72552E"/>
    <w:rsid w:val="5C78D688"/>
    <w:rsid w:val="5C7B0957"/>
    <w:rsid w:val="5C828AAC"/>
    <w:rsid w:val="5C91F25C"/>
    <w:rsid w:val="5C927412"/>
    <w:rsid w:val="5C951CD3"/>
    <w:rsid w:val="5C97BFBC"/>
    <w:rsid w:val="5C999D08"/>
    <w:rsid w:val="5C9B129E"/>
    <w:rsid w:val="5C9B340C"/>
    <w:rsid w:val="5C9E4BF9"/>
    <w:rsid w:val="5CAEC190"/>
    <w:rsid w:val="5CB11394"/>
    <w:rsid w:val="5CB4073D"/>
    <w:rsid w:val="5CB437D4"/>
    <w:rsid w:val="5CBE8B3D"/>
    <w:rsid w:val="5CC18E01"/>
    <w:rsid w:val="5CC52841"/>
    <w:rsid w:val="5CC63BCC"/>
    <w:rsid w:val="5CC8CF51"/>
    <w:rsid w:val="5CCC3BAA"/>
    <w:rsid w:val="5CCD7F22"/>
    <w:rsid w:val="5CD60AD0"/>
    <w:rsid w:val="5CD74521"/>
    <w:rsid w:val="5CDAD49B"/>
    <w:rsid w:val="5CDAF122"/>
    <w:rsid w:val="5CE21872"/>
    <w:rsid w:val="5CE279AB"/>
    <w:rsid w:val="5CE7CA70"/>
    <w:rsid w:val="5CE80C8B"/>
    <w:rsid w:val="5CEDB8D5"/>
    <w:rsid w:val="5CF16AD9"/>
    <w:rsid w:val="5CF40442"/>
    <w:rsid w:val="5CF85195"/>
    <w:rsid w:val="5CFEAED6"/>
    <w:rsid w:val="5D0554E5"/>
    <w:rsid w:val="5D072BAD"/>
    <w:rsid w:val="5D0C3943"/>
    <w:rsid w:val="5D0EFC34"/>
    <w:rsid w:val="5D185B16"/>
    <w:rsid w:val="5D192A01"/>
    <w:rsid w:val="5D1F3970"/>
    <w:rsid w:val="5D1F8FD9"/>
    <w:rsid w:val="5D211701"/>
    <w:rsid w:val="5D278DC5"/>
    <w:rsid w:val="5D2973DB"/>
    <w:rsid w:val="5D2C863F"/>
    <w:rsid w:val="5D2D997A"/>
    <w:rsid w:val="5D35BDA0"/>
    <w:rsid w:val="5D3A9867"/>
    <w:rsid w:val="5D3E5A43"/>
    <w:rsid w:val="5D44B854"/>
    <w:rsid w:val="5D45A955"/>
    <w:rsid w:val="5D45DDCC"/>
    <w:rsid w:val="5D47C7C2"/>
    <w:rsid w:val="5D47E1C7"/>
    <w:rsid w:val="5D4BCCAE"/>
    <w:rsid w:val="5D504AA8"/>
    <w:rsid w:val="5D543479"/>
    <w:rsid w:val="5D5A187E"/>
    <w:rsid w:val="5D5C8CA8"/>
    <w:rsid w:val="5D5E8F74"/>
    <w:rsid w:val="5D6154D1"/>
    <w:rsid w:val="5D6226C2"/>
    <w:rsid w:val="5D624FB2"/>
    <w:rsid w:val="5D62FF97"/>
    <w:rsid w:val="5D69F7FF"/>
    <w:rsid w:val="5D6F8646"/>
    <w:rsid w:val="5D6FCC00"/>
    <w:rsid w:val="5D7F2570"/>
    <w:rsid w:val="5D875F7E"/>
    <w:rsid w:val="5D88793F"/>
    <w:rsid w:val="5D8BB17F"/>
    <w:rsid w:val="5D8BE552"/>
    <w:rsid w:val="5D8F68AF"/>
    <w:rsid w:val="5D9073F8"/>
    <w:rsid w:val="5D92A91A"/>
    <w:rsid w:val="5D93CE19"/>
    <w:rsid w:val="5D9614CA"/>
    <w:rsid w:val="5D9C2CDA"/>
    <w:rsid w:val="5D9D1EBB"/>
    <w:rsid w:val="5D9F3FF0"/>
    <w:rsid w:val="5DA9AF2A"/>
    <w:rsid w:val="5DAAA1B8"/>
    <w:rsid w:val="5DAC4A73"/>
    <w:rsid w:val="5DB30781"/>
    <w:rsid w:val="5DB363A9"/>
    <w:rsid w:val="5DBA30D0"/>
    <w:rsid w:val="5DBA4EA3"/>
    <w:rsid w:val="5DBF7128"/>
    <w:rsid w:val="5DC0CD29"/>
    <w:rsid w:val="5DC752D2"/>
    <w:rsid w:val="5DD13F7F"/>
    <w:rsid w:val="5DD9D349"/>
    <w:rsid w:val="5DDBD243"/>
    <w:rsid w:val="5DDC69A9"/>
    <w:rsid w:val="5DDE0C94"/>
    <w:rsid w:val="5DDF7159"/>
    <w:rsid w:val="5DDFABA6"/>
    <w:rsid w:val="5DDFF58C"/>
    <w:rsid w:val="5DEB1991"/>
    <w:rsid w:val="5DEDC4C5"/>
    <w:rsid w:val="5DF77CA6"/>
    <w:rsid w:val="5DFAEEA0"/>
    <w:rsid w:val="5DFC819F"/>
    <w:rsid w:val="5E0462B8"/>
    <w:rsid w:val="5E069AAF"/>
    <w:rsid w:val="5E0B55D5"/>
    <w:rsid w:val="5E0BBA2A"/>
    <w:rsid w:val="5E167A8A"/>
    <w:rsid w:val="5E181D4B"/>
    <w:rsid w:val="5E200A6F"/>
    <w:rsid w:val="5E24F1E7"/>
    <w:rsid w:val="5E260932"/>
    <w:rsid w:val="5E2E24EE"/>
    <w:rsid w:val="5E33E31D"/>
    <w:rsid w:val="5E35C79A"/>
    <w:rsid w:val="5E3D702C"/>
    <w:rsid w:val="5E3F9547"/>
    <w:rsid w:val="5E48A10C"/>
    <w:rsid w:val="5E4AA098"/>
    <w:rsid w:val="5E4BF02C"/>
    <w:rsid w:val="5E51F858"/>
    <w:rsid w:val="5E52E89D"/>
    <w:rsid w:val="5E52EB6F"/>
    <w:rsid w:val="5E5C3495"/>
    <w:rsid w:val="5E5D2335"/>
    <w:rsid w:val="5E6099D7"/>
    <w:rsid w:val="5E60E796"/>
    <w:rsid w:val="5E67FE0B"/>
    <w:rsid w:val="5E6C647C"/>
    <w:rsid w:val="5E6CB25B"/>
    <w:rsid w:val="5E6D8BF8"/>
    <w:rsid w:val="5E6E50B3"/>
    <w:rsid w:val="5E6FFF08"/>
    <w:rsid w:val="5E701302"/>
    <w:rsid w:val="5E766B36"/>
    <w:rsid w:val="5E787B3F"/>
    <w:rsid w:val="5E7F5C95"/>
    <w:rsid w:val="5E8122E1"/>
    <w:rsid w:val="5E85E445"/>
    <w:rsid w:val="5E86874E"/>
    <w:rsid w:val="5E8BB75B"/>
    <w:rsid w:val="5E8C6716"/>
    <w:rsid w:val="5E91EC88"/>
    <w:rsid w:val="5E94849C"/>
    <w:rsid w:val="5E95D0FD"/>
    <w:rsid w:val="5E97C12E"/>
    <w:rsid w:val="5E9BB7F2"/>
    <w:rsid w:val="5E9CFD56"/>
    <w:rsid w:val="5E9F8B72"/>
    <w:rsid w:val="5EA3557E"/>
    <w:rsid w:val="5EA9B99E"/>
    <w:rsid w:val="5EAC3D3C"/>
    <w:rsid w:val="5EB4F5F7"/>
    <w:rsid w:val="5EB7A3AA"/>
    <w:rsid w:val="5EBC152B"/>
    <w:rsid w:val="5EBEECBF"/>
    <w:rsid w:val="5EBF659E"/>
    <w:rsid w:val="5EC030B6"/>
    <w:rsid w:val="5EC13A96"/>
    <w:rsid w:val="5EC3E7E3"/>
    <w:rsid w:val="5EC72676"/>
    <w:rsid w:val="5ECD4BAC"/>
    <w:rsid w:val="5ED3068C"/>
    <w:rsid w:val="5ED350FB"/>
    <w:rsid w:val="5ED66502"/>
    <w:rsid w:val="5ED976D7"/>
    <w:rsid w:val="5EE203F0"/>
    <w:rsid w:val="5EE88CBA"/>
    <w:rsid w:val="5EF02302"/>
    <w:rsid w:val="5EF548A6"/>
    <w:rsid w:val="5F0857A1"/>
    <w:rsid w:val="5F155A28"/>
    <w:rsid w:val="5F1A9F28"/>
    <w:rsid w:val="5F205E37"/>
    <w:rsid w:val="5F27FDE2"/>
    <w:rsid w:val="5F294166"/>
    <w:rsid w:val="5F314186"/>
    <w:rsid w:val="5F319565"/>
    <w:rsid w:val="5F39C72D"/>
    <w:rsid w:val="5F3C4FE6"/>
    <w:rsid w:val="5F4052E0"/>
    <w:rsid w:val="5F41770C"/>
    <w:rsid w:val="5F43AAF1"/>
    <w:rsid w:val="5F46CF1F"/>
    <w:rsid w:val="5F490D57"/>
    <w:rsid w:val="5F49C721"/>
    <w:rsid w:val="5F4BAB2E"/>
    <w:rsid w:val="5F4DE122"/>
    <w:rsid w:val="5F4F5261"/>
    <w:rsid w:val="5F50531C"/>
    <w:rsid w:val="5F508A98"/>
    <w:rsid w:val="5F521F42"/>
    <w:rsid w:val="5F54CDDE"/>
    <w:rsid w:val="5F5608FE"/>
    <w:rsid w:val="5F57FD96"/>
    <w:rsid w:val="5F5FDA70"/>
    <w:rsid w:val="5F60FA84"/>
    <w:rsid w:val="5F61062A"/>
    <w:rsid w:val="5F630504"/>
    <w:rsid w:val="5F6688CC"/>
    <w:rsid w:val="5F697854"/>
    <w:rsid w:val="5F6EEE2C"/>
    <w:rsid w:val="5F793803"/>
    <w:rsid w:val="5F88EA84"/>
    <w:rsid w:val="5F8AE4F5"/>
    <w:rsid w:val="5F8B55F7"/>
    <w:rsid w:val="5F914960"/>
    <w:rsid w:val="5F91D923"/>
    <w:rsid w:val="5F93F5BC"/>
    <w:rsid w:val="5F940924"/>
    <w:rsid w:val="5F9A6421"/>
    <w:rsid w:val="5F9A827C"/>
    <w:rsid w:val="5F9AAD44"/>
    <w:rsid w:val="5F9E713C"/>
    <w:rsid w:val="5FA473B8"/>
    <w:rsid w:val="5FA66003"/>
    <w:rsid w:val="5FA74A36"/>
    <w:rsid w:val="5FA7DF35"/>
    <w:rsid w:val="5FAEFF6C"/>
    <w:rsid w:val="5FB5B068"/>
    <w:rsid w:val="5FB78C42"/>
    <w:rsid w:val="5FB82D59"/>
    <w:rsid w:val="5FBD650B"/>
    <w:rsid w:val="5FBE2EF8"/>
    <w:rsid w:val="5FCAF110"/>
    <w:rsid w:val="5FCC1B13"/>
    <w:rsid w:val="5FCE8D3D"/>
    <w:rsid w:val="5FCFDE94"/>
    <w:rsid w:val="5FD841D8"/>
    <w:rsid w:val="5FDC7770"/>
    <w:rsid w:val="5FDE78A7"/>
    <w:rsid w:val="5FE041BE"/>
    <w:rsid w:val="5FE1E3B6"/>
    <w:rsid w:val="5FE77B26"/>
    <w:rsid w:val="5FF102BC"/>
    <w:rsid w:val="5FF38F14"/>
    <w:rsid w:val="5FF3A01D"/>
    <w:rsid w:val="5FF5509D"/>
    <w:rsid w:val="5FF58ECF"/>
    <w:rsid w:val="5FF82B7A"/>
    <w:rsid w:val="5FFA1E66"/>
    <w:rsid w:val="5FFFB61C"/>
    <w:rsid w:val="60007C3A"/>
    <w:rsid w:val="60047EB9"/>
    <w:rsid w:val="60070F1E"/>
    <w:rsid w:val="6007B6E1"/>
    <w:rsid w:val="600CDD05"/>
    <w:rsid w:val="600F8430"/>
    <w:rsid w:val="600FC7DE"/>
    <w:rsid w:val="6014D640"/>
    <w:rsid w:val="6016C6D8"/>
    <w:rsid w:val="6017653B"/>
    <w:rsid w:val="601BC8A5"/>
    <w:rsid w:val="601F4460"/>
    <w:rsid w:val="6020AE9E"/>
    <w:rsid w:val="6024D406"/>
    <w:rsid w:val="60261594"/>
    <w:rsid w:val="602DAB84"/>
    <w:rsid w:val="603FC3E4"/>
    <w:rsid w:val="604213ED"/>
    <w:rsid w:val="604AA532"/>
    <w:rsid w:val="604D3F4E"/>
    <w:rsid w:val="60520CD6"/>
    <w:rsid w:val="6054B869"/>
    <w:rsid w:val="6059CBC0"/>
    <w:rsid w:val="605E576D"/>
    <w:rsid w:val="6060C677"/>
    <w:rsid w:val="60632DAE"/>
    <w:rsid w:val="6070305C"/>
    <w:rsid w:val="607364DE"/>
    <w:rsid w:val="60771455"/>
    <w:rsid w:val="607BF108"/>
    <w:rsid w:val="607C8755"/>
    <w:rsid w:val="607F8D3B"/>
    <w:rsid w:val="607F9B12"/>
    <w:rsid w:val="60842DF1"/>
    <w:rsid w:val="60847D31"/>
    <w:rsid w:val="608A71C7"/>
    <w:rsid w:val="608AF654"/>
    <w:rsid w:val="608CA0FE"/>
    <w:rsid w:val="608E1F29"/>
    <w:rsid w:val="609107D4"/>
    <w:rsid w:val="60957AB8"/>
    <w:rsid w:val="60962431"/>
    <w:rsid w:val="609841B9"/>
    <w:rsid w:val="609B4B47"/>
    <w:rsid w:val="609D3701"/>
    <w:rsid w:val="60A99F89"/>
    <w:rsid w:val="60AB569D"/>
    <w:rsid w:val="60AFEDBB"/>
    <w:rsid w:val="60B43B5F"/>
    <w:rsid w:val="60B54EE5"/>
    <w:rsid w:val="60BC93CF"/>
    <w:rsid w:val="60BE105F"/>
    <w:rsid w:val="60C1F001"/>
    <w:rsid w:val="60C43C98"/>
    <w:rsid w:val="60C5BE37"/>
    <w:rsid w:val="60C80918"/>
    <w:rsid w:val="60CF71C9"/>
    <w:rsid w:val="60E32A21"/>
    <w:rsid w:val="60E80920"/>
    <w:rsid w:val="60E9AB8C"/>
    <w:rsid w:val="60E9B299"/>
    <w:rsid w:val="60EA977A"/>
    <w:rsid w:val="60ED7BB3"/>
    <w:rsid w:val="60F4BAEA"/>
    <w:rsid w:val="60F4BF88"/>
    <w:rsid w:val="60F5DC78"/>
    <w:rsid w:val="60F7050E"/>
    <w:rsid w:val="60FD9D18"/>
    <w:rsid w:val="610226FD"/>
    <w:rsid w:val="610261B1"/>
    <w:rsid w:val="6103A068"/>
    <w:rsid w:val="610920AE"/>
    <w:rsid w:val="610E0273"/>
    <w:rsid w:val="61153646"/>
    <w:rsid w:val="61172001"/>
    <w:rsid w:val="611AB02A"/>
    <w:rsid w:val="611C6305"/>
    <w:rsid w:val="611CA5E5"/>
    <w:rsid w:val="6121E2E7"/>
    <w:rsid w:val="6123B781"/>
    <w:rsid w:val="6125F49D"/>
    <w:rsid w:val="61308CC8"/>
    <w:rsid w:val="6131CCE9"/>
    <w:rsid w:val="613A9361"/>
    <w:rsid w:val="614077AE"/>
    <w:rsid w:val="61442EB6"/>
    <w:rsid w:val="6146103C"/>
    <w:rsid w:val="614ABCC0"/>
    <w:rsid w:val="614B9EF3"/>
    <w:rsid w:val="614D2E6F"/>
    <w:rsid w:val="614E551E"/>
    <w:rsid w:val="61547EA8"/>
    <w:rsid w:val="61567D27"/>
    <w:rsid w:val="6163A973"/>
    <w:rsid w:val="6164EC30"/>
    <w:rsid w:val="61692F37"/>
    <w:rsid w:val="61699335"/>
    <w:rsid w:val="616B2751"/>
    <w:rsid w:val="616EA906"/>
    <w:rsid w:val="61716708"/>
    <w:rsid w:val="6176EB8A"/>
    <w:rsid w:val="617BC3A3"/>
    <w:rsid w:val="617EE890"/>
    <w:rsid w:val="6181325C"/>
    <w:rsid w:val="6182E273"/>
    <w:rsid w:val="61834443"/>
    <w:rsid w:val="61842A0F"/>
    <w:rsid w:val="61859082"/>
    <w:rsid w:val="6189232E"/>
    <w:rsid w:val="618A5899"/>
    <w:rsid w:val="618B8ED9"/>
    <w:rsid w:val="618C0FF0"/>
    <w:rsid w:val="618CF128"/>
    <w:rsid w:val="618F8923"/>
    <w:rsid w:val="6190D061"/>
    <w:rsid w:val="61923C26"/>
    <w:rsid w:val="61929CD5"/>
    <w:rsid w:val="619D235A"/>
    <w:rsid w:val="619EE102"/>
    <w:rsid w:val="619FE3D2"/>
    <w:rsid w:val="61A2A8A2"/>
    <w:rsid w:val="61A4223D"/>
    <w:rsid w:val="61AAB467"/>
    <w:rsid w:val="61AC9015"/>
    <w:rsid w:val="61AD43A1"/>
    <w:rsid w:val="61B099C9"/>
    <w:rsid w:val="61B0A7D5"/>
    <w:rsid w:val="61B0F2BC"/>
    <w:rsid w:val="61B59A7D"/>
    <w:rsid w:val="61BAAE76"/>
    <w:rsid w:val="61C085C6"/>
    <w:rsid w:val="61C71EE5"/>
    <w:rsid w:val="61D22F62"/>
    <w:rsid w:val="61D686C1"/>
    <w:rsid w:val="61DA8269"/>
    <w:rsid w:val="61DD287E"/>
    <w:rsid w:val="61E5388C"/>
    <w:rsid w:val="61E67879"/>
    <w:rsid w:val="61E9570C"/>
    <w:rsid w:val="61FBE84C"/>
    <w:rsid w:val="61FDE01E"/>
    <w:rsid w:val="61FF3322"/>
    <w:rsid w:val="6203EF51"/>
    <w:rsid w:val="62058A73"/>
    <w:rsid w:val="620B8C6C"/>
    <w:rsid w:val="620E54E2"/>
    <w:rsid w:val="6215D0B2"/>
    <w:rsid w:val="622323F4"/>
    <w:rsid w:val="622C7D21"/>
    <w:rsid w:val="622F1F3E"/>
    <w:rsid w:val="623302C7"/>
    <w:rsid w:val="62337E10"/>
    <w:rsid w:val="62343BC6"/>
    <w:rsid w:val="623614A4"/>
    <w:rsid w:val="623BB46C"/>
    <w:rsid w:val="623E6414"/>
    <w:rsid w:val="624DCF1E"/>
    <w:rsid w:val="6254854A"/>
    <w:rsid w:val="626186AB"/>
    <w:rsid w:val="62645A54"/>
    <w:rsid w:val="62649936"/>
    <w:rsid w:val="626B9CC2"/>
    <w:rsid w:val="626CAD23"/>
    <w:rsid w:val="626D00B3"/>
    <w:rsid w:val="626F9F40"/>
    <w:rsid w:val="6272100A"/>
    <w:rsid w:val="627A59CE"/>
    <w:rsid w:val="627F5873"/>
    <w:rsid w:val="62813E2F"/>
    <w:rsid w:val="62822867"/>
    <w:rsid w:val="628667DB"/>
    <w:rsid w:val="62914F96"/>
    <w:rsid w:val="6297F11D"/>
    <w:rsid w:val="62A71119"/>
    <w:rsid w:val="62A89413"/>
    <w:rsid w:val="62A92EAB"/>
    <w:rsid w:val="62AC3477"/>
    <w:rsid w:val="62B3E21A"/>
    <w:rsid w:val="62B732F9"/>
    <w:rsid w:val="62B84A5A"/>
    <w:rsid w:val="62BA1A16"/>
    <w:rsid w:val="62BAFBBD"/>
    <w:rsid w:val="62BCD31A"/>
    <w:rsid w:val="62C229E7"/>
    <w:rsid w:val="62C852AA"/>
    <w:rsid w:val="62CA46B5"/>
    <w:rsid w:val="62D1693E"/>
    <w:rsid w:val="62D7BBB8"/>
    <w:rsid w:val="62DA3FFA"/>
    <w:rsid w:val="62DBAAD5"/>
    <w:rsid w:val="62E097A5"/>
    <w:rsid w:val="62E1C7C4"/>
    <w:rsid w:val="62E693A7"/>
    <w:rsid w:val="62EB8E6E"/>
    <w:rsid w:val="62ECFDD8"/>
    <w:rsid w:val="62F4221B"/>
    <w:rsid w:val="62F7C59D"/>
    <w:rsid w:val="62F7C9D0"/>
    <w:rsid w:val="62F971AA"/>
    <w:rsid w:val="62FB7FBD"/>
    <w:rsid w:val="630045CF"/>
    <w:rsid w:val="63016755"/>
    <w:rsid w:val="63080587"/>
    <w:rsid w:val="630AA877"/>
    <w:rsid w:val="630ABAB1"/>
    <w:rsid w:val="630D9266"/>
    <w:rsid w:val="6314AAC2"/>
    <w:rsid w:val="63167E6E"/>
    <w:rsid w:val="631A8486"/>
    <w:rsid w:val="631D01F5"/>
    <w:rsid w:val="63240F30"/>
    <w:rsid w:val="6324665B"/>
    <w:rsid w:val="6328C666"/>
    <w:rsid w:val="632C4E40"/>
    <w:rsid w:val="63354521"/>
    <w:rsid w:val="633F4B89"/>
    <w:rsid w:val="633FE023"/>
    <w:rsid w:val="6340310C"/>
    <w:rsid w:val="63410FF2"/>
    <w:rsid w:val="634F4C59"/>
    <w:rsid w:val="6356A374"/>
    <w:rsid w:val="635700FF"/>
    <w:rsid w:val="635CA61B"/>
    <w:rsid w:val="635DF52E"/>
    <w:rsid w:val="63612B14"/>
    <w:rsid w:val="63624DCB"/>
    <w:rsid w:val="63629BD0"/>
    <w:rsid w:val="63681FF9"/>
    <w:rsid w:val="6368B28E"/>
    <w:rsid w:val="636F8A6E"/>
    <w:rsid w:val="63733736"/>
    <w:rsid w:val="6375FB97"/>
    <w:rsid w:val="637D47F8"/>
    <w:rsid w:val="637DF6F3"/>
    <w:rsid w:val="63801D43"/>
    <w:rsid w:val="6384303A"/>
    <w:rsid w:val="63859B31"/>
    <w:rsid w:val="6385FEF7"/>
    <w:rsid w:val="638852FA"/>
    <w:rsid w:val="638A3F01"/>
    <w:rsid w:val="638EFE7D"/>
    <w:rsid w:val="6390C03F"/>
    <w:rsid w:val="639CCAB4"/>
    <w:rsid w:val="63A91C15"/>
    <w:rsid w:val="63A9A6F0"/>
    <w:rsid w:val="63AD5077"/>
    <w:rsid w:val="63B0B2D2"/>
    <w:rsid w:val="63B2FA52"/>
    <w:rsid w:val="63C1B6A1"/>
    <w:rsid w:val="63C6C345"/>
    <w:rsid w:val="63C9C43E"/>
    <w:rsid w:val="63C9FF17"/>
    <w:rsid w:val="63CEC484"/>
    <w:rsid w:val="63D045F2"/>
    <w:rsid w:val="63D15ACE"/>
    <w:rsid w:val="63D46945"/>
    <w:rsid w:val="63D7276C"/>
    <w:rsid w:val="63D74DDF"/>
    <w:rsid w:val="63DF7F04"/>
    <w:rsid w:val="63E0FA6B"/>
    <w:rsid w:val="63E1448E"/>
    <w:rsid w:val="63EA4974"/>
    <w:rsid w:val="63EF3D0B"/>
    <w:rsid w:val="63F7FCBA"/>
    <w:rsid w:val="63F8BA5F"/>
    <w:rsid w:val="63FC92F1"/>
    <w:rsid w:val="63FD9E99"/>
    <w:rsid w:val="63FEB64F"/>
    <w:rsid w:val="63FF7F73"/>
    <w:rsid w:val="63FFBC3A"/>
    <w:rsid w:val="6401A699"/>
    <w:rsid w:val="6401D5A2"/>
    <w:rsid w:val="6401FEF3"/>
    <w:rsid w:val="64024224"/>
    <w:rsid w:val="64026D9D"/>
    <w:rsid w:val="6408123F"/>
    <w:rsid w:val="640A359C"/>
    <w:rsid w:val="640E16A2"/>
    <w:rsid w:val="640F2B78"/>
    <w:rsid w:val="641054D7"/>
    <w:rsid w:val="64145505"/>
    <w:rsid w:val="64157CE7"/>
    <w:rsid w:val="641674C2"/>
    <w:rsid w:val="641F7E61"/>
    <w:rsid w:val="64222409"/>
    <w:rsid w:val="6424D9A4"/>
    <w:rsid w:val="64268BE3"/>
    <w:rsid w:val="643198F5"/>
    <w:rsid w:val="64325767"/>
    <w:rsid w:val="643315FA"/>
    <w:rsid w:val="643564D3"/>
    <w:rsid w:val="6435D209"/>
    <w:rsid w:val="643946E0"/>
    <w:rsid w:val="643A6025"/>
    <w:rsid w:val="643B7774"/>
    <w:rsid w:val="643BC692"/>
    <w:rsid w:val="643C9D45"/>
    <w:rsid w:val="643F88F6"/>
    <w:rsid w:val="64407E14"/>
    <w:rsid w:val="644221B4"/>
    <w:rsid w:val="644651F7"/>
    <w:rsid w:val="644736CB"/>
    <w:rsid w:val="6450C8D7"/>
    <w:rsid w:val="64510FD7"/>
    <w:rsid w:val="64521C2A"/>
    <w:rsid w:val="6456CD4F"/>
    <w:rsid w:val="6458541D"/>
    <w:rsid w:val="6459AC8C"/>
    <w:rsid w:val="645E0327"/>
    <w:rsid w:val="64695E4B"/>
    <w:rsid w:val="646F05A4"/>
    <w:rsid w:val="647EBFBF"/>
    <w:rsid w:val="6480A61F"/>
    <w:rsid w:val="6482A240"/>
    <w:rsid w:val="6484951A"/>
    <w:rsid w:val="648D747B"/>
    <w:rsid w:val="64A09626"/>
    <w:rsid w:val="64A3CE3B"/>
    <w:rsid w:val="64B1C994"/>
    <w:rsid w:val="64B4AF00"/>
    <w:rsid w:val="64B8E11B"/>
    <w:rsid w:val="64B9330B"/>
    <w:rsid w:val="64BD84F2"/>
    <w:rsid w:val="64C28668"/>
    <w:rsid w:val="64C30526"/>
    <w:rsid w:val="64CB584C"/>
    <w:rsid w:val="64CB8008"/>
    <w:rsid w:val="64CC4546"/>
    <w:rsid w:val="64D24A0B"/>
    <w:rsid w:val="64D58C17"/>
    <w:rsid w:val="64D599FC"/>
    <w:rsid w:val="64DD6068"/>
    <w:rsid w:val="64DF2C1C"/>
    <w:rsid w:val="64E08B00"/>
    <w:rsid w:val="64E41832"/>
    <w:rsid w:val="64E7E33B"/>
    <w:rsid w:val="64E7F04F"/>
    <w:rsid w:val="64E8AA5C"/>
    <w:rsid w:val="64F0A5D4"/>
    <w:rsid w:val="64F0DF38"/>
    <w:rsid w:val="64F22111"/>
    <w:rsid w:val="64F44762"/>
    <w:rsid w:val="64FB8484"/>
    <w:rsid w:val="65033FE2"/>
    <w:rsid w:val="6505CCEC"/>
    <w:rsid w:val="6514283E"/>
    <w:rsid w:val="6517E8D1"/>
    <w:rsid w:val="65199085"/>
    <w:rsid w:val="651993FC"/>
    <w:rsid w:val="651DB940"/>
    <w:rsid w:val="651F7DE6"/>
    <w:rsid w:val="651FD81A"/>
    <w:rsid w:val="65210EE8"/>
    <w:rsid w:val="652E155C"/>
    <w:rsid w:val="652E78D2"/>
    <w:rsid w:val="6530340F"/>
    <w:rsid w:val="65390711"/>
    <w:rsid w:val="653F522E"/>
    <w:rsid w:val="6545C8A6"/>
    <w:rsid w:val="6547DA47"/>
    <w:rsid w:val="654D3B16"/>
    <w:rsid w:val="654E2920"/>
    <w:rsid w:val="654E65AD"/>
    <w:rsid w:val="654FCC1C"/>
    <w:rsid w:val="65564D45"/>
    <w:rsid w:val="6572FC72"/>
    <w:rsid w:val="657D0C6A"/>
    <w:rsid w:val="6581BDD1"/>
    <w:rsid w:val="65843846"/>
    <w:rsid w:val="65857814"/>
    <w:rsid w:val="659F3FEB"/>
    <w:rsid w:val="65A12B87"/>
    <w:rsid w:val="65A31C40"/>
    <w:rsid w:val="65A53BB4"/>
    <w:rsid w:val="65A664B2"/>
    <w:rsid w:val="65A816E4"/>
    <w:rsid w:val="65A82E5B"/>
    <w:rsid w:val="65A996E4"/>
    <w:rsid w:val="65AA989D"/>
    <w:rsid w:val="65AC7493"/>
    <w:rsid w:val="65B0E5A1"/>
    <w:rsid w:val="65B32677"/>
    <w:rsid w:val="65BC6AF6"/>
    <w:rsid w:val="65BE49BF"/>
    <w:rsid w:val="65BE650D"/>
    <w:rsid w:val="65C1569C"/>
    <w:rsid w:val="65C4760D"/>
    <w:rsid w:val="65C48078"/>
    <w:rsid w:val="65CECF45"/>
    <w:rsid w:val="65D1B0CF"/>
    <w:rsid w:val="65D4CEE1"/>
    <w:rsid w:val="65DA6E4F"/>
    <w:rsid w:val="65DAACAF"/>
    <w:rsid w:val="65E1E1A6"/>
    <w:rsid w:val="65E46379"/>
    <w:rsid w:val="65E5150A"/>
    <w:rsid w:val="65E5CDF3"/>
    <w:rsid w:val="65F24704"/>
    <w:rsid w:val="65F5DAB0"/>
    <w:rsid w:val="65F5E8E0"/>
    <w:rsid w:val="65F778A0"/>
    <w:rsid w:val="65FB0BD6"/>
    <w:rsid w:val="65FECEF2"/>
    <w:rsid w:val="66052BED"/>
    <w:rsid w:val="66071608"/>
    <w:rsid w:val="660B4802"/>
    <w:rsid w:val="660BCA2A"/>
    <w:rsid w:val="661CDEE0"/>
    <w:rsid w:val="6620354E"/>
    <w:rsid w:val="6621D4E4"/>
    <w:rsid w:val="6621DB48"/>
    <w:rsid w:val="6622B5A9"/>
    <w:rsid w:val="66231D38"/>
    <w:rsid w:val="66253866"/>
    <w:rsid w:val="662579C4"/>
    <w:rsid w:val="66321ACB"/>
    <w:rsid w:val="66340037"/>
    <w:rsid w:val="663400B7"/>
    <w:rsid w:val="6635B25A"/>
    <w:rsid w:val="663653FD"/>
    <w:rsid w:val="66386616"/>
    <w:rsid w:val="663A8AED"/>
    <w:rsid w:val="664059BE"/>
    <w:rsid w:val="66472F09"/>
    <w:rsid w:val="6649DDD9"/>
    <w:rsid w:val="664C6C37"/>
    <w:rsid w:val="6658CDF8"/>
    <w:rsid w:val="665A57A9"/>
    <w:rsid w:val="665F010F"/>
    <w:rsid w:val="66603261"/>
    <w:rsid w:val="6660C898"/>
    <w:rsid w:val="666288FD"/>
    <w:rsid w:val="666590E4"/>
    <w:rsid w:val="666B0596"/>
    <w:rsid w:val="666F7EEC"/>
    <w:rsid w:val="66723914"/>
    <w:rsid w:val="66750755"/>
    <w:rsid w:val="66753A98"/>
    <w:rsid w:val="6676D9D6"/>
    <w:rsid w:val="667CFE4F"/>
    <w:rsid w:val="667DD0EA"/>
    <w:rsid w:val="66824259"/>
    <w:rsid w:val="66898179"/>
    <w:rsid w:val="6689CD68"/>
    <w:rsid w:val="668A64DB"/>
    <w:rsid w:val="668CFD5C"/>
    <w:rsid w:val="668FC919"/>
    <w:rsid w:val="668FE28F"/>
    <w:rsid w:val="669E4132"/>
    <w:rsid w:val="669E615C"/>
    <w:rsid w:val="66A05350"/>
    <w:rsid w:val="66A31ABA"/>
    <w:rsid w:val="66A4F936"/>
    <w:rsid w:val="66AE8F19"/>
    <w:rsid w:val="66B58DDC"/>
    <w:rsid w:val="66B5C1EA"/>
    <w:rsid w:val="66B97C04"/>
    <w:rsid w:val="66B9812D"/>
    <w:rsid w:val="66BD9F64"/>
    <w:rsid w:val="66BFB1C2"/>
    <w:rsid w:val="66C3D177"/>
    <w:rsid w:val="66CE4007"/>
    <w:rsid w:val="66DC7B8E"/>
    <w:rsid w:val="66DF4E79"/>
    <w:rsid w:val="66E14E17"/>
    <w:rsid w:val="66E3257A"/>
    <w:rsid w:val="66E6ECCE"/>
    <w:rsid w:val="66E817C7"/>
    <w:rsid w:val="66F5578B"/>
    <w:rsid w:val="66F5C18B"/>
    <w:rsid w:val="66F7DABB"/>
    <w:rsid w:val="66F87C02"/>
    <w:rsid w:val="66F9C378"/>
    <w:rsid w:val="66FDA2DE"/>
    <w:rsid w:val="66FE4EC3"/>
    <w:rsid w:val="66FE6850"/>
    <w:rsid w:val="67006511"/>
    <w:rsid w:val="6700D987"/>
    <w:rsid w:val="67084D37"/>
    <w:rsid w:val="670B015D"/>
    <w:rsid w:val="670DD5E9"/>
    <w:rsid w:val="670FA665"/>
    <w:rsid w:val="67105891"/>
    <w:rsid w:val="67107139"/>
    <w:rsid w:val="67113644"/>
    <w:rsid w:val="671207DF"/>
    <w:rsid w:val="6717D1DF"/>
    <w:rsid w:val="671915D2"/>
    <w:rsid w:val="67198186"/>
    <w:rsid w:val="671BE81B"/>
    <w:rsid w:val="67293E5F"/>
    <w:rsid w:val="672C377B"/>
    <w:rsid w:val="67319E5C"/>
    <w:rsid w:val="67416E36"/>
    <w:rsid w:val="67477869"/>
    <w:rsid w:val="6747AFBE"/>
    <w:rsid w:val="6747DEAB"/>
    <w:rsid w:val="674AC111"/>
    <w:rsid w:val="674BA730"/>
    <w:rsid w:val="674C8A16"/>
    <w:rsid w:val="674E15E3"/>
    <w:rsid w:val="6751CFF7"/>
    <w:rsid w:val="67525112"/>
    <w:rsid w:val="6759C9E1"/>
    <w:rsid w:val="6759D8FE"/>
    <w:rsid w:val="675ECE4E"/>
    <w:rsid w:val="67661ECB"/>
    <w:rsid w:val="676A3C29"/>
    <w:rsid w:val="676FEA11"/>
    <w:rsid w:val="67738803"/>
    <w:rsid w:val="67766C88"/>
    <w:rsid w:val="67795DEB"/>
    <w:rsid w:val="677EBB84"/>
    <w:rsid w:val="677FD151"/>
    <w:rsid w:val="67853F23"/>
    <w:rsid w:val="67970BAB"/>
    <w:rsid w:val="679B7095"/>
    <w:rsid w:val="679E0008"/>
    <w:rsid w:val="679F0B1C"/>
    <w:rsid w:val="67A3032D"/>
    <w:rsid w:val="67A93BB4"/>
    <w:rsid w:val="67A9425C"/>
    <w:rsid w:val="67A9D858"/>
    <w:rsid w:val="67AA4836"/>
    <w:rsid w:val="67AD4763"/>
    <w:rsid w:val="67AD8AF5"/>
    <w:rsid w:val="67C09A6C"/>
    <w:rsid w:val="67C405A3"/>
    <w:rsid w:val="67C5787E"/>
    <w:rsid w:val="67CAD9FD"/>
    <w:rsid w:val="67CB37C0"/>
    <w:rsid w:val="67CE9C39"/>
    <w:rsid w:val="67DAD9D5"/>
    <w:rsid w:val="67E45BC4"/>
    <w:rsid w:val="67EA9CCB"/>
    <w:rsid w:val="67F65B68"/>
    <w:rsid w:val="67F7A20C"/>
    <w:rsid w:val="67F914AB"/>
    <w:rsid w:val="67FA07B1"/>
    <w:rsid w:val="67FBF939"/>
    <w:rsid w:val="68008A7F"/>
    <w:rsid w:val="68034E8F"/>
    <w:rsid w:val="68166761"/>
    <w:rsid w:val="681B5412"/>
    <w:rsid w:val="6824F784"/>
    <w:rsid w:val="68259FB6"/>
    <w:rsid w:val="6827DFA1"/>
    <w:rsid w:val="682D1D59"/>
    <w:rsid w:val="6837D0BD"/>
    <w:rsid w:val="6837D43B"/>
    <w:rsid w:val="683A03A3"/>
    <w:rsid w:val="683BFE0F"/>
    <w:rsid w:val="683D97BB"/>
    <w:rsid w:val="68477969"/>
    <w:rsid w:val="684940E7"/>
    <w:rsid w:val="68542F67"/>
    <w:rsid w:val="685536A6"/>
    <w:rsid w:val="685CB548"/>
    <w:rsid w:val="685D6ACD"/>
    <w:rsid w:val="685FA045"/>
    <w:rsid w:val="686052F8"/>
    <w:rsid w:val="68657E30"/>
    <w:rsid w:val="6867BF63"/>
    <w:rsid w:val="686C1653"/>
    <w:rsid w:val="686CEF93"/>
    <w:rsid w:val="686FE081"/>
    <w:rsid w:val="687790CB"/>
    <w:rsid w:val="68783EB7"/>
    <w:rsid w:val="688065B6"/>
    <w:rsid w:val="68817698"/>
    <w:rsid w:val="6885BCD9"/>
    <w:rsid w:val="6897F7ED"/>
    <w:rsid w:val="68A0034F"/>
    <w:rsid w:val="68A62506"/>
    <w:rsid w:val="68B35EC9"/>
    <w:rsid w:val="68B6267E"/>
    <w:rsid w:val="68C04845"/>
    <w:rsid w:val="68C6E43D"/>
    <w:rsid w:val="68C92F26"/>
    <w:rsid w:val="68CBCB25"/>
    <w:rsid w:val="68CC8F1D"/>
    <w:rsid w:val="68D7D462"/>
    <w:rsid w:val="68DCE620"/>
    <w:rsid w:val="68EF7221"/>
    <w:rsid w:val="68F079D3"/>
    <w:rsid w:val="68F73710"/>
    <w:rsid w:val="68F76313"/>
    <w:rsid w:val="68F77427"/>
    <w:rsid w:val="690198D7"/>
    <w:rsid w:val="6906B2D1"/>
    <w:rsid w:val="690EC9CF"/>
    <w:rsid w:val="6911B5F9"/>
    <w:rsid w:val="691F8A70"/>
    <w:rsid w:val="6921E36B"/>
    <w:rsid w:val="6924DCD6"/>
    <w:rsid w:val="6924F95C"/>
    <w:rsid w:val="6925DEB2"/>
    <w:rsid w:val="69263FD1"/>
    <w:rsid w:val="6926A6D3"/>
    <w:rsid w:val="692722A5"/>
    <w:rsid w:val="692CFB43"/>
    <w:rsid w:val="69371738"/>
    <w:rsid w:val="69387FBB"/>
    <w:rsid w:val="693A18F5"/>
    <w:rsid w:val="6944F7BE"/>
    <w:rsid w:val="6945A7D7"/>
    <w:rsid w:val="694675F3"/>
    <w:rsid w:val="694ADB54"/>
    <w:rsid w:val="694B3B14"/>
    <w:rsid w:val="695215F4"/>
    <w:rsid w:val="695A23B4"/>
    <w:rsid w:val="695A8B74"/>
    <w:rsid w:val="695B99D7"/>
    <w:rsid w:val="695BF86E"/>
    <w:rsid w:val="695D3041"/>
    <w:rsid w:val="6962CFDA"/>
    <w:rsid w:val="6963E644"/>
    <w:rsid w:val="6965200C"/>
    <w:rsid w:val="6970C595"/>
    <w:rsid w:val="69718DFD"/>
    <w:rsid w:val="6973BC49"/>
    <w:rsid w:val="697CE463"/>
    <w:rsid w:val="698A727A"/>
    <w:rsid w:val="698D2ECD"/>
    <w:rsid w:val="69930206"/>
    <w:rsid w:val="6994A067"/>
    <w:rsid w:val="69952B56"/>
    <w:rsid w:val="6998FF7D"/>
    <w:rsid w:val="69A47FBB"/>
    <w:rsid w:val="69A92CAB"/>
    <w:rsid w:val="69AA36E7"/>
    <w:rsid w:val="69ADB7FB"/>
    <w:rsid w:val="69AFF654"/>
    <w:rsid w:val="69B075B0"/>
    <w:rsid w:val="69B6678C"/>
    <w:rsid w:val="69BA3B77"/>
    <w:rsid w:val="69BAA652"/>
    <w:rsid w:val="69BB16F4"/>
    <w:rsid w:val="69BD47CB"/>
    <w:rsid w:val="69BE969F"/>
    <w:rsid w:val="69C33845"/>
    <w:rsid w:val="69C79492"/>
    <w:rsid w:val="69CA0CAE"/>
    <w:rsid w:val="69CBF852"/>
    <w:rsid w:val="69D3E675"/>
    <w:rsid w:val="69D9D792"/>
    <w:rsid w:val="69DC574D"/>
    <w:rsid w:val="69DDBFB9"/>
    <w:rsid w:val="69E258C2"/>
    <w:rsid w:val="69E2BF01"/>
    <w:rsid w:val="69E36648"/>
    <w:rsid w:val="69EE8F0C"/>
    <w:rsid w:val="69F1B8E8"/>
    <w:rsid w:val="69F54441"/>
    <w:rsid w:val="69F7E5DE"/>
    <w:rsid w:val="69F9BBAD"/>
    <w:rsid w:val="69FA30F5"/>
    <w:rsid w:val="69FACCBC"/>
    <w:rsid w:val="69FE41B5"/>
    <w:rsid w:val="6A05F2C4"/>
    <w:rsid w:val="6A0A8D80"/>
    <w:rsid w:val="6A144F61"/>
    <w:rsid w:val="6A1BF600"/>
    <w:rsid w:val="6A1DC793"/>
    <w:rsid w:val="6A27838C"/>
    <w:rsid w:val="6A291FEC"/>
    <w:rsid w:val="6A2B01C0"/>
    <w:rsid w:val="6A2C2CD2"/>
    <w:rsid w:val="6A3285B5"/>
    <w:rsid w:val="6A32ED66"/>
    <w:rsid w:val="6A36207B"/>
    <w:rsid w:val="6A3658CE"/>
    <w:rsid w:val="6A46820E"/>
    <w:rsid w:val="6A4CE8CA"/>
    <w:rsid w:val="6A4F0933"/>
    <w:rsid w:val="6A516E95"/>
    <w:rsid w:val="6A5A7356"/>
    <w:rsid w:val="6A64C918"/>
    <w:rsid w:val="6A6978A5"/>
    <w:rsid w:val="6A6D0B32"/>
    <w:rsid w:val="6A6DE409"/>
    <w:rsid w:val="6A6EFD83"/>
    <w:rsid w:val="6A71190F"/>
    <w:rsid w:val="6A72E342"/>
    <w:rsid w:val="6A74B3E0"/>
    <w:rsid w:val="6A79EBEC"/>
    <w:rsid w:val="6A7AB192"/>
    <w:rsid w:val="6A7C27DF"/>
    <w:rsid w:val="6A870BEA"/>
    <w:rsid w:val="6A8A2071"/>
    <w:rsid w:val="6A8D838F"/>
    <w:rsid w:val="6A9D54D4"/>
    <w:rsid w:val="6A9EA0F7"/>
    <w:rsid w:val="6A9EAB03"/>
    <w:rsid w:val="6AA251F9"/>
    <w:rsid w:val="6AA8EEF9"/>
    <w:rsid w:val="6AB03623"/>
    <w:rsid w:val="6AB0E9B9"/>
    <w:rsid w:val="6AB12F9C"/>
    <w:rsid w:val="6ABB6F5D"/>
    <w:rsid w:val="6AC5A047"/>
    <w:rsid w:val="6ACE1065"/>
    <w:rsid w:val="6AD5691E"/>
    <w:rsid w:val="6ADA36B0"/>
    <w:rsid w:val="6ADA8097"/>
    <w:rsid w:val="6ADC1F99"/>
    <w:rsid w:val="6AE3AAEA"/>
    <w:rsid w:val="6AE8CD40"/>
    <w:rsid w:val="6AEA8354"/>
    <w:rsid w:val="6AECA2A5"/>
    <w:rsid w:val="6AF954FB"/>
    <w:rsid w:val="6AFA7809"/>
    <w:rsid w:val="6AFFC008"/>
    <w:rsid w:val="6B024E4E"/>
    <w:rsid w:val="6B0788FC"/>
    <w:rsid w:val="6B0A7349"/>
    <w:rsid w:val="6B0A789F"/>
    <w:rsid w:val="6B0C0485"/>
    <w:rsid w:val="6B0FE540"/>
    <w:rsid w:val="6B11E9A5"/>
    <w:rsid w:val="6B14A189"/>
    <w:rsid w:val="6B18D88A"/>
    <w:rsid w:val="6B18F1DA"/>
    <w:rsid w:val="6B1A6EA3"/>
    <w:rsid w:val="6B200B88"/>
    <w:rsid w:val="6B2790B9"/>
    <w:rsid w:val="6B29941B"/>
    <w:rsid w:val="6B2D4D7F"/>
    <w:rsid w:val="6B2DCBB3"/>
    <w:rsid w:val="6B320EF7"/>
    <w:rsid w:val="6B33F10A"/>
    <w:rsid w:val="6B3483B2"/>
    <w:rsid w:val="6B3B9016"/>
    <w:rsid w:val="6B4C1A37"/>
    <w:rsid w:val="6B52400C"/>
    <w:rsid w:val="6B533DCE"/>
    <w:rsid w:val="6B54E384"/>
    <w:rsid w:val="6B58A87D"/>
    <w:rsid w:val="6B5B3A8B"/>
    <w:rsid w:val="6B5CDB66"/>
    <w:rsid w:val="6B62B60A"/>
    <w:rsid w:val="6B64A2B3"/>
    <w:rsid w:val="6B695A7B"/>
    <w:rsid w:val="6B6D616E"/>
    <w:rsid w:val="6B6DEE88"/>
    <w:rsid w:val="6B73403F"/>
    <w:rsid w:val="6B75FD99"/>
    <w:rsid w:val="6B77EC67"/>
    <w:rsid w:val="6B7E6DFD"/>
    <w:rsid w:val="6B7E968A"/>
    <w:rsid w:val="6B8094CA"/>
    <w:rsid w:val="6B86F5D7"/>
    <w:rsid w:val="6B95F960"/>
    <w:rsid w:val="6B9776B7"/>
    <w:rsid w:val="6B97ED52"/>
    <w:rsid w:val="6B9A9FA1"/>
    <w:rsid w:val="6B9AB7C0"/>
    <w:rsid w:val="6B9BEC6A"/>
    <w:rsid w:val="6B9C332A"/>
    <w:rsid w:val="6B9D1D94"/>
    <w:rsid w:val="6B9FDA03"/>
    <w:rsid w:val="6BA25A6B"/>
    <w:rsid w:val="6BA41D97"/>
    <w:rsid w:val="6BA49021"/>
    <w:rsid w:val="6BAA6E94"/>
    <w:rsid w:val="6BAEF78D"/>
    <w:rsid w:val="6BB0B7F4"/>
    <w:rsid w:val="6BB47A47"/>
    <w:rsid w:val="6BBABAFA"/>
    <w:rsid w:val="6BBF9342"/>
    <w:rsid w:val="6BC149F0"/>
    <w:rsid w:val="6BC471D2"/>
    <w:rsid w:val="6BCFAF61"/>
    <w:rsid w:val="6BD1F29D"/>
    <w:rsid w:val="6BD91895"/>
    <w:rsid w:val="6BDAD569"/>
    <w:rsid w:val="6BDF837B"/>
    <w:rsid w:val="6BE05739"/>
    <w:rsid w:val="6BE0ED33"/>
    <w:rsid w:val="6BEB0E61"/>
    <w:rsid w:val="6BED4188"/>
    <w:rsid w:val="6BEE01DC"/>
    <w:rsid w:val="6BF97943"/>
    <w:rsid w:val="6BFF64DF"/>
    <w:rsid w:val="6C048143"/>
    <w:rsid w:val="6C0EF20B"/>
    <w:rsid w:val="6C1133CF"/>
    <w:rsid w:val="6C16DAE9"/>
    <w:rsid w:val="6C17CB0A"/>
    <w:rsid w:val="6C1A79B1"/>
    <w:rsid w:val="6C227221"/>
    <w:rsid w:val="6C275F4F"/>
    <w:rsid w:val="6C2AD043"/>
    <w:rsid w:val="6C2C8884"/>
    <w:rsid w:val="6C2DEB81"/>
    <w:rsid w:val="6C30A903"/>
    <w:rsid w:val="6C3A628A"/>
    <w:rsid w:val="6C3AE9E2"/>
    <w:rsid w:val="6C4161C1"/>
    <w:rsid w:val="6C46B258"/>
    <w:rsid w:val="6C52F773"/>
    <w:rsid w:val="6C5372AC"/>
    <w:rsid w:val="6C573E80"/>
    <w:rsid w:val="6C67C987"/>
    <w:rsid w:val="6C715C68"/>
    <w:rsid w:val="6C71814D"/>
    <w:rsid w:val="6C71CE21"/>
    <w:rsid w:val="6C724BB8"/>
    <w:rsid w:val="6C797D1D"/>
    <w:rsid w:val="6C7EA688"/>
    <w:rsid w:val="6C8F02FE"/>
    <w:rsid w:val="6C92B1CF"/>
    <w:rsid w:val="6C97C8E4"/>
    <w:rsid w:val="6C9EF6C1"/>
    <w:rsid w:val="6C9F982C"/>
    <w:rsid w:val="6CA6553D"/>
    <w:rsid w:val="6CA6FC6B"/>
    <w:rsid w:val="6CB39867"/>
    <w:rsid w:val="6CBA6654"/>
    <w:rsid w:val="6CBC0D5A"/>
    <w:rsid w:val="6CBC2AA5"/>
    <w:rsid w:val="6CCDBFEA"/>
    <w:rsid w:val="6CD3EAA9"/>
    <w:rsid w:val="6CDE2BE2"/>
    <w:rsid w:val="6CDFAE50"/>
    <w:rsid w:val="6CE05484"/>
    <w:rsid w:val="6CE56609"/>
    <w:rsid w:val="6CE5CB9D"/>
    <w:rsid w:val="6CE783AE"/>
    <w:rsid w:val="6CE9089F"/>
    <w:rsid w:val="6CEDE28C"/>
    <w:rsid w:val="6CEE38EC"/>
    <w:rsid w:val="6CF05530"/>
    <w:rsid w:val="6CFBB4C4"/>
    <w:rsid w:val="6D039E0A"/>
    <w:rsid w:val="6D03C884"/>
    <w:rsid w:val="6D0AE35E"/>
    <w:rsid w:val="6D18F0DC"/>
    <w:rsid w:val="6D1D963C"/>
    <w:rsid w:val="6D2575F6"/>
    <w:rsid w:val="6D27302D"/>
    <w:rsid w:val="6D2FCDF5"/>
    <w:rsid w:val="6D38F0C0"/>
    <w:rsid w:val="6D39E87F"/>
    <w:rsid w:val="6D41863A"/>
    <w:rsid w:val="6D434077"/>
    <w:rsid w:val="6D461C73"/>
    <w:rsid w:val="6D4849BB"/>
    <w:rsid w:val="6D4A3DE9"/>
    <w:rsid w:val="6D4EB364"/>
    <w:rsid w:val="6D5AB50A"/>
    <w:rsid w:val="6D5DA5A6"/>
    <w:rsid w:val="6D60382A"/>
    <w:rsid w:val="6D669702"/>
    <w:rsid w:val="6D760030"/>
    <w:rsid w:val="6D79C345"/>
    <w:rsid w:val="6D8335D2"/>
    <w:rsid w:val="6D845B60"/>
    <w:rsid w:val="6D883E41"/>
    <w:rsid w:val="6D8EC9F8"/>
    <w:rsid w:val="6D990728"/>
    <w:rsid w:val="6D9BE231"/>
    <w:rsid w:val="6D9E4B33"/>
    <w:rsid w:val="6D9EC6FB"/>
    <w:rsid w:val="6DA8277F"/>
    <w:rsid w:val="6DB01B12"/>
    <w:rsid w:val="6DB32657"/>
    <w:rsid w:val="6DB77E28"/>
    <w:rsid w:val="6DB9C2A0"/>
    <w:rsid w:val="6DBA716E"/>
    <w:rsid w:val="6DBBE8A9"/>
    <w:rsid w:val="6DBF2F69"/>
    <w:rsid w:val="6DC01C49"/>
    <w:rsid w:val="6DC78E45"/>
    <w:rsid w:val="6DCC2ABC"/>
    <w:rsid w:val="6DD507AB"/>
    <w:rsid w:val="6DDA720F"/>
    <w:rsid w:val="6DF4A652"/>
    <w:rsid w:val="6DF85387"/>
    <w:rsid w:val="6DF883A0"/>
    <w:rsid w:val="6DFC9AB7"/>
    <w:rsid w:val="6E0214AC"/>
    <w:rsid w:val="6E02DCD9"/>
    <w:rsid w:val="6E095968"/>
    <w:rsid w:val="6E0AA917"/>
    <w:rsid w:val="6E0C5A63"/>
    <w:rsid w:val="6E0C7F86"/>
    <w:rsid w:val="6E158627"/>
    <w:rsid w:val="6E194891"/>
    <w:rsid w:val="6E1B3483"/>
    <w:rsid w:val="6E1E1768"/>
    <w:rsid w:val="6E23811D"/>
    <w:rsid w:val="6E27C41B"/>
    <w:rsid w:val="6E2AA08E"/>
    <w:rsid w:val="6E2F9D98"/>
    <w:rsid w:val="6E376C27"/>
    <w:rsid w:val="6E3918EA"/>
    <w:rsid w:val="6E394415"/>
    <w:rsid w:val="6E3C6A9E"/>
    <w:rsid w:val="6E3CB97C"/>
    <w:rsid w:val="6E3FD8F8"/>
    <w:rsid w:val="6E407C90"/>
    <w:rsid w:val="6E445F18"/>
    <w:rsid w:val="6E4470CE"/>
    <w:rsid w:val="6E44A9F1"/>
    <w:rsid w:val="6E47F5B0"/>
    <w:rsid w:val="6E4917BF"/>
    <w:rsid w:val="6E492BB4"/>
    <w:rsid w:val="6E4B34C8"/>
    <w:rsid w:val="6E4F5D05"/>
    <w:rsid w:val="6E4F8961"/>
    <w:rsid w:val="6E508798"/>
    <w:rsid w:val="6E5302AB"/>
    <w:rsid w:val="6E55932D"/>
    <w:rsid w:val="6E55EF59"/>
    <w:rsid w:val="6E605066"/>
    <w:rsid w:val="6E615403"/>
    <w:rsid w:val="6E69DB48"/>
    <w:rsid w:val="6E6EF7F8"/>
    <w:rsid w:val="6E6F4AC0"/>
    <w:rsid w:val="6E71FA60"/>
    <w:rsid w:val="6E75256F"/>
    <w:rsid w:val="6E7A3477"/>
    <w:rsid w:val="6E7A8B0A"/>
    <w:rsid w:val="6E7B3FE0"/>
    <w:rsid w:val="6E83DECD"/>
    <w:rsid w:val="6E861557"/>
    <w:rsid w:val="6E8A95C6"/>
    <w:rsid w:val="6E8ACF39"/>
    <w:rsid w:val="6E8CB16C"/>
    <w:rsid w:val="6E8FFDAC"/>
    <w:rsid w:val="6E9096DC"/>
    <w:rsid w:val="6E91F6D2"/>
    <w:rsid w:val="6E934179"/>
    <w:rsid w:val="6E93BAA9"/>
    <w:rsid w:val="6E946A18"/>
    <w:rsid w:val="6E9647B9"/>
    <w:rsid w:val="6E968C6A"/>
    <w:rsid w:val="6E97C435"/>
    <w:rsid w:val="6E9CFC60"/>
    <w:rsid w:val="6E9DCFCB"/>
    <w:rsid w:val="6E9F46DC"/>
    <w:rsid w:val="6EA50CAB"/>
    <w:rsid w:val="6EA920D7"/>
    <w:rsid w:val="6EA997B4"/>
    <w:rsid w:val="6EAACECC"/>
    <w:rsid w:val="6EAC7D9C"/>
    <w:rsid w:val="6EB3BECE"/>
    <w:rsid w:val="6EC75863"/>
    <w:rsid w:val="6EC8A7F2"/>
    <w:rsid w:val="6ECD53E1"/>
    <w:rsid w:val="6ED170D8"/>
    <w:rsid w:val="6ED53B43"/>
    <w:rsid w:val="6ED5B75A"/>
    <w:rsid w:val="6ED6A2DE"/>
    <w:rsid w:val="6ED83366"/>
    <w:rsid w:val="6EDBF974"/>
    <w:rsid w:val="6EECE096"/>
    <w:rsid w:val="6EF02F86"/>
    <w:rsid w:val="6EF16849"/>
    <w:rsid w:val="6EF4B0B4"/>
    <w:rsid w:val="6EF4CD3E"/>
    <w:rsid w:val="6EF6C5A5"/>
    <w:rsid w:val="6EF9A4E8"/>
    <w:rsid w:val="6EFB5496"/>
    <w:rsid w:val="6F00FF12"/>
    <w:rsid w:val="6F1E56D1"/>
    <w:rsid w:val="6F219887"/>
    <w:rsid w:val="6F23ECD0"/>
    <w:rsid w:val="6F26D969"/>
    <w:rsid w:val="6F2780F8"/>
    <w:rsid w:val="6F27C113"/>
    <w:rsid w:val="6F2F52D7"/>
    <w:rsid w:val="6F35871A"/>
    <w:rsid w:val="6F3B3F2D"/>
    <w:rsid w:val="6F3D0774"/>
    <w:rsid w:val="6F49DA3B"/>
    <w:rsid w:val="6F51EC6E"/>
    <w:rsid w:val="6F565EAA"/>
    <w:rsid w:val="6F5C3E0E"/>
    <w:rsid w:val="6F5D1A53"/>
    <w:rsid w:val="6F620ADA"/>
    <w:rsid w:val="6F645CDD"/>
    <w:rsid w:val="6F6727A4"/>
    <w:rsid w:val="6F699F62"/>
    <w:rsid w:val="6F69F559"/>
    <w:rsid w:val="6F6F66F3"/>
    <w:rsid w:val="6F71FEF4"/>
    <w:rsid w:val="6F73E1A5"/>
    <w:rsid w:val="6F74F118"/>
    <w:rsid w:val="6F74F23D"/>
    <w:rsid w:val="6F77FE87"/>
    <w:rsid w:val="6F7A634C"/>
    <w:rsid w:val="6F7B2397"/>
    <w:rsid w:val="6F82566D"/>
    <w:rsid w:val="6F95FDDF"/>
    <w:rsid w:val="6F9A7421"/>
    <w:rsid w:val="6FA00578"/>
    <w:rsid w:val="6FA05ECC"/>
    <w:rsid w:val="6FA1F86E"/>
    <w:rsid w:val="6FA4553B"/>
    <w:rsid w:val="6FA48821"/>
    <w:rsid w:val="6FA4C936"/>
    <w:rsid w:val="6FA4D88E"/>
    <w:rsid w:val="6FA5F5B6"/>
    <w:rsid w:val="6FAC5A22"/>
    <w:rsid w:val="6FAC6B0A"/>
    <w:rsid w:val="6FB0F206"/>
    <w:rsid w:val="6FB2F08F"/>
    <w:rsid w:val="6FB44DA2"/>
    <w:rsid w:val="6FB505E5"/>
    <w:rsid w:val="6FBBE921"/>
    <w:rsid w:val="6FC1FFD7"/>
    <w:rsid w:val="6FC3564A"/>
    <w:rsid w:val="6FC50682"/>
    <w:rsid w:val="6FD1AD3D"/>
    <w:rsid w:val="6FD35164"/>
    <w:rsid w:val="6FD8B416"/>
    <w:rsid w:val="6FD9B52B"/>
    <w:rsid w:val="6FE22A50"/>
    <w:rsid w:val="6FE71ADF"/>
    <w:rsid w:val="6FE97353"/>
    <w:rsid w:val="6FEDA0EE"/>
    <w:rsid w:val="6FEEAD0A"/>
    <w:rsid w:val="6FF0CB4B"/>
    <w:rsid w:val="6FFC0FD5"/>
    <w:rsid w:val="6FFD7759"/>
    <w:rsid w:val="6FFFA2F1"/>
    <w:rsid w:val="7002551E"/>
    <w:rsid w:val="7002B272"/>
    <w:rsid w:val="7004654F"/>
    <w:rsid w:val="7004A871"/>
    <w:rsid w:val="70163587"/>
    <w:rsid w:val="701B904D"/>
    <w:rsid w:val="701BC7CC"/>
    <w:rsid w:val="701E1EF9"/>
    <w:rsid w:val="702355DC"/>
    <w:rsid w:val="7028AEE8"/>
    <w:rsid w:val="702AE7F3"/>
    <w:rsid w:val="702C7F80"/>
    <w:rsid w:val="702D8905"/>
    <w:rsid w:val="70345F97"/>
    <w:rsid w:val="70361446"/>
    <w:rsid w:val="703AA347"/>
    <w:rsid w:val="703C1B30"/>
    <w:rsid w:val="703EADD6"/>
    <w:rsid w:val="70468592"/>
    <w:rsid w:val="70474548"/>
    <w:rsid w:val="70519476"/>
    <w:rsid w:val="705B28C6"/>
    <w:rsid w:val="705CAB60"/>
    <w:rsid w:val="705CD447"/>
    <w:rsid w:val="70642C67"/>
    <w:rsid w:val="706773B7"/>
    <w:rsid w:val="706DCA77"/>
    <w:rsid w:val="7071A0E8"/>
    <w:rsid w:val="7071D34C"/>
    <w:rsid w:val="70769162"/>
    <w:rsid w:val="7076C558"/>
    <w:rsid w:val="707AA21A"/>
    <w:rsid w:val="707D3B54"/>
    <w:rsid w:val="707EE4AF"/>
    <w:rsid w:val="708215DF"/>
    <w:rsid w:val="70831698"/>
    <w:rsid w:val="7088028B"/>
    <w:rsid w:val="70957FE1"/>
    <w:rsid w:val="7096B93C"/>
    <w:rsid w:val="70979804"/>
    <w:rsid w:val="7098DF4F"/>
    <w:rsid w:val="709A8F89"/>
    <w:rsid w:val="709A98BD"/>
    <w:rsid w:val="709DA3B6"/>
    <w:rsid w:val="709F08AF"/>
    <w:rsid w:val="70A1F9B3"/>
    <w:rsid w:val="70AD794E"/>
    <w:rsid w:val="70B26C9A"/>
    <w:rsid w:val="70B8E1EA"/>
    <w:rsid w:val="70BEAE7C"/>
    <w:rsid w:val="70C28C82"/>
    <w:rsid w:val="70C2F6B8"/>
    <w:rsid w:val="70C31EC3"/>
    <w:rsid w:val="70C5AD23"/>
    <w:rsid w:val="70C77E3D"/>
    <w:rsid w:val="70C876AF"/>
    <w:rsid w:val="70C87E27"/>
    <w:rsid w:val="70CF3019"/>
    <w:rsid w:val="70CF33A1"/>
    <w:rsid w:val="70D2F379"/>
    <w:rsid w:val="70D3DCB1"/>
    <w:rsid w:val="70D8471B"/>
    <w:rsid w:val="70E32211"/>
    <w:rsid w:val="70E6374A"/>
    <w:rsid w:val="70E971B6"/>
    <w:rsid w:val="70EDBDDB"/>
    <w:rsid w:val="70EFC2BC"/>
    <w:rsid w:val="70F2EEAF"/>
    <w:rsid w:val="70F90E81"/>
    <w:rsid w:val="710612C0"/>
    <w:rsid w:val="7106535F"/>
    <w:rsid w:val="7107B17C"/>
    <w:rsid w:val="7110688B"/>
    <w:rsid w:val="7113148F"/>
    <w:rsid w:val="7114A78C"/>
    <w:rsid w:val="7128DC02"/>
    <w:rsid w:val="7129905A"/>
    <w:rsid w:val="712C4EBA"/>
    <w:rsid w:val="712FD7D5"/>
    <w:rsid w:val="71308E91"/>
    <w:rsid w:val="71332ACA"/>
    <w:rsid w:val="7136DFF1"/>
    <w:rsid w:val="71384C1D"/>
    <w:rsid w:val="713FAA19"/>
    <w:rsid w:val="71417BB5"/>
    <w:rsid w:val="7144FF2A"/>
    <w:rsid w:val="71498638"/>
    <w:rsid w:val="714D650D"/>
    <w:rsid w:val="71512DD3"/>
    <w:rsid w:val="7152F93C"/>
    <w:rsid w:val="7153B8A0"/>
    <w:rsid w:val="715B8731"/>
    <w:rsid w:val="715C3A5B"/>
    <w:rsid w:val="716179C1"/>
    <w:rsid w:val="71618CFE"/>
    <w:rsid w:val="716901A5"/>
    <w:rsid w:val="716AADD8"/>
    <w:rsid w:val="716B2DBB"/>
    <w:rsid w:val="716C8F41"/>
    <w:rsid w:val="716D57C3"/>
    <w:rsid w:val="717352CE"/>
    <w:rsid w:val="7173BCC5"/>
    <w:rsid w:val="71748997"/>
    <w:rsid w:val="7179E33E"/>
    <w:rsid w:val="717CCBC5"/>
    <w:rsid w:val="717F8421"/>
    <w:rsid w:val="71823BFA"/>
    <w:rsid w:val="7187AC56"/>
    <w:rsid w:val="718A2B4E"/>
    <w:rsid w:val="718B0C02"/>
    <w:rsid w:val="7195443A"/>
    <w:rsid w:val="719A0356"/>
    <w:rsid w:val="719A5542"/>
    <w:rsid w:val="719DD2C5"/>
    <w:rsid w:val="71A545BE"/>
    <w:rsid w:val="71AAAC49"/>
    <w:rsid w:val="71ACB166"/>
    <w:rsid w:val="71AE1DD0"/>
    <w:rsid w:val="71B34570"/>
    <w:rsid w:val="71B3DF28"/>
    <w:rsid w:val="71BE358D"/>
    <w:rsid w:val="71BE9797"/>
    <w:rsid w:val="71BF0C19"/>
    <w:rsid w:val="71C7319C"/>
    <w:rsid w:val="71DE3EAA"/>
    <w:rsid w:val="71E6EA60"/>
    <w:rsid w:val="71E98CE2"/>
    <w:rsid w:val="71E9D737"/>
    <w:rsid w:val="71EA0995"/>
    <w:rsid w:val="71EAFAD5"/>
    <w:rsid w:val="71EDB232"/>
    <w:rsid w:val="71F09762"/>
    <w:rsid w:val="71F179B9"/>
    <w:rsid w:val="71F4A131"/>
    <w:rsid w:val="71F72DDA"/>
    <w:rsid w:val="72023E8F"/>
    <w:rsid w:val="72043141"/>
    <w:rsid w:val="7207E430"/>
    <w:rsid w:val="72167B1C"/>
    <w:rsid w:val="7216E3F3"/>
    <w:rsid w:val="721BF509"/>
    <w:rsid w:val="721EDB93"/>
    <w:rsid w:val="7221034F"/>
    <w:rsid w:val="72267C9F"/>
    <w:rsid w:val="72267DB3"/>
    <w:rsid w:val="722BF17C"/>
    <w:rsid w:val="723245E9"/>
    <w:rsid w:val="7232B8C3"/>
    <w:rsid w:val="7237814E"/>
    <w:rsid w:val="723AA0F3"/>
    <w:rsid w:val="723B6BD6"/>
    <w:rsid w:val="723C09BF"/>
    <w:rsid w:val="723E7826"/>
    <w:rsid w:val="72443EC3"/>
    <w:rsid w:val="7245652D"/>
    <w:rsid w:val="724FB40F"/>
    <w:rsid w:val="724FDD81"/>
    <w:rsid w:val="725632DF"/>
    <w:rsid w:val="7258420D"/>
    <w:rsid w:val="725A1CF2"/>
    <w:rsid w:val="7262448E"/>
    <w:rsid w:val="72655599"/>
    <w:rsid w:val="72687765"/>
    <w:rsid w:val="72687FD9"/>
    <w:rsid w:val="72698316"/>
    <w:rsid w:val="727253CE"/>
    <w:rsid w:val="7273B2D5"/>
    <w:rsid w:val="72742F15"/>
    <w:rsid w:val="72746C99"/>
    <w:rsid w:val="727A4218"/>
    <w:rsid w:val="727A4ACA"/>
    <w:rsid w:val="727CA025"/>
    <w:rsid w:val="727CC401"/>
    <w:rsid w:val="7280806D"/>
    <w:rsid w:val="728AB1E2"/>
    <w:rsid w:val="728CC8CD"/>
    <w:rsid w:val="7294169A"/>
    <w:rsid w:val="72966C1D"/>
    <w:rsid w:val="72969819"/>
    <w:rsid w:val="7296DDD3"/>
    <w:rsid w:val="7297213B"/>
    <w:rsid w:val="7297B9CC"/>
    <w:rsid w:val="729A059D"/>
    <w:rsid w:val="729F9BDF"/>
    <w:rsid w:val="72A1B5D8"/>
    <w:rsid w:val="72A3D0C7"/>
    <w:rsid w:val="72A67DCB"/>
    <w:rsid w:val="72A72A80"/>
    <w:rsid w:val="72A7AF0B"/>
    <w:rsid w:val="72AAF7C5"/>
    <w:rsid w:val="72ADBA54"/>
    <w:rsid w:val="72B015E8"/>
    <w:rsid w:val="72B0B43F"/>
    <w:rsid w:val="72B18308"/>
    <w:rsid w:val="72B39484"/>
    <w:rsid w:val="72B8F9A3"/>
    <w:rsid w:val="72BBF37C"/>
    <w:rsid w:val="72BD5A02"/>
    <w:rsid w:val="72BDC74E"/>
    <w:rsid w:val="72C0CEFC"/>
    <w:rsid w:val="72C907A7"/>
    <w:rsid w:val="72CA6C59"/>
    <w:rsid w:val="72CE0C8E"/>
    <w:rsid w:val="72CEE4C3"/>
    <w:rsid w:val="72D07CB7"/>
    <w:rsid w:val="72D6722D"/>
    <w:rsid w:val="72D6FA3F"/>
    <w:rsid w:val="72D8861D"/>
    <w:rsid w:val="72D94E1D"/>
    <w:rsid w:val="72F8240C"/>
    <w:rsid w:val="72FB66D8"/>
    <w:rsid w:val="72FC37DA"/>
    <w:rsid w:val="73072E27"/>
    <w:rsid w:val="73099A6F"/>
    <w:rsid w:val="730A828F"/>
    <w:rsid w:val="73172AA1"/>
    <w:rsid w:val="731F6B5B"/>
    <w:rsid w:val="7324EAF0"/>
    <w:rsid w:val="73298837"/>
    <w:rsid w:val="73300180"/>
    <w:rsid w:val="73302840"/>
    <w:rsid w:val="7334534C"/>
    <w:rsid w:val="7334D00F"/>
    <w:rsid w:val="73447E18"/>
    <w:rsid w:val="73468521"/>
    <w:rsid w:val="734832BD"/>
    <w:rsid w:val="734BAB3A"/>
    <w:rsid w:val="735464DC"/>
    <w:rsid w:val="7355028C"/>
    <w:rsid w:val="735A6A7E"/>
    <w:rsid w:val="735D8821"/>
    <w:rsid w:val="735DC7E2"/>
    <w:rsid w:val="73656294"/>
    <w:rsid w:val="73688818"/>
    <w:rsid w:val="736CCA38"/>
    <w:rsid w:val="736CDF1E"/>
    <w:rsid w:val="736DE79C"/>
    <w:rsid w:val="73813AA3"/>
    <w:rsid w:val="738480E3"/>
    <w:rsid w:val="73881DCF"/>
    <w:rsid w:val="7394BA1F"/>
    <w:rsid w:val="739668A6"/>
    <w:rsid w:val="73A0A319"/>
    <w:rsid w:val="73A30C30"/>
    <w:rsid w:val="73A5042E"/>
    <w:rsid w:val="73A63FD8"/>
    <w:rsid w:val="73A78B40"/>
    <w:rsid w:val="73A88931"/>
    <w:rsid w:val="73A9C929"/>
    <w:rsid w:val="73AA6101"/>
    <w:rsid w:val="73AB2BF4"/>
    <w:rsid w:val="73AD89CC"/>
    <w:rsid w:val="73B1D039"/>
    <w:rsid w:val="73BFC8BA"/>
    <w:rsid w:val="73C2F17D"/>
    <w:rsid w:val="73C396E7"/>
    <w:rsid w:val="73C4D18E"/>
    <w:rsid w:val="73CE133D"/>
    <w:rsid w:val="73D38243"/>
    <w:rsid w:val="73D5AEE4"/>
    <w:rsid w:val="73D6CE6D"/>
    <w:rsid w:val="73D7FAE3"/>
    <w:rsid w:val="73D9726C"/>
    <w:rsid w:val="73E2D365"/>
    <w:rsid w:val="73E6DB1C"/>
    <w:rsid w:val="73E83D4C"/>
    <w:rsid w:val="73E9FB1D"/>
    <w:rsid w:val="73EB34CF"/>
    <w:rsid w:val="73ED266A"/>
    <w:rsid w:val="73F2FE2B"/>
    <w:rsid w:val="73F4CBBB"/>
    <w:rsid w:val="73F5291B"/>
    <w:rsid w:val="73FB735D"/>
    <w:rsid w:val="73FD4B2F"/>
    <w:rsid w:val="73FE033E"/>
    <w:rsid w:val="7403A91D"/>
    <w:rsid w:val="740684AF"/>
    <w:rsid w:val="74088F78"/>
    <w:rsid w:val="741B4171"/>
    <w:rsid w:val="741F2DF7"/>
    <w:rsid w:val="741FAA24"/>
    <w:rsid w:val="742468A9"/>
    <w:rsid w:val="7426230F"/>
    <w:rsid w:val="7429B9FE"/>
    <w:rsid w:val="742F4C6F"/>
    <w:rsid w:val="7438DB6A"/>
    <w:rsid w:val="74482386"/>
    <w:rsid w:val="7449F31D"/>
    <w:rsid w:val="74604CE7"/>
    <w:rsid w:val="74657FB8"/>
    <w:rsid w:val="74697325"/>
    <w:rsid w:val="7473FF87"/>
    <w:rsid w:val="7477FFFF"/>
    <w:rsid w:val="747D6E27"/>
    <w:rsid w:val="748F2912"/>
    <w:rsid w:val="74905AEF"/>
    <w:rsid w:val="74919706"/>
    <w:rsid w:val="7498872D"/>
    <w:rsid w:val="74A1B819"/>
    <w:rsid w:val="74A32E8C"/>
    <w:rsid w:val="74AAEDFA"/>
    <w:rsid w:val="74AD62BB"/>
    <w:rsid w:val="74B0F6F9"/>
    <w:rsid w:val="74B11DBF"/>
    <w:rsid w:val="74B31479"/>
    <w:rsid w:val="74B47D70"/>
    <w:rsid w:val="74C528F5"/>
    <w:rsid w:val="74CA5C84"/>
    <w:rsid w:val="74CE8DF2"/>
    <w:rsid w:val="74D3A033"/>
    <w:rsid w:val="74D4CDF0"/>
    <w:rsid w:val="74D8E44D"/>
    <w:rsid w:val="74DC39DF"/>
    <w:rsid w:val="74DFE550"/>
    <w:rsid w:val="74E04E79"/>
    <w:rsid w:val="74E155F8"/>
    <w:rsid w:val="74E827A9"/>
    <w:rsid w:val="74EFAEF8"/>
    <w:rsid w:val="74F0CEFD"/>
    <w:rsid w:val="74F46CB0"/>
    <w:rsid w:val="74F4E30B"/>
    <w:rsid w:val="7500934B"/>
    <w:rsid w:val="7505012A"/>
    <w:rsid w:val="75097AA7"/>
    <w:rsid w:val="750A9AE0"/>
    <w:rsid w:val="750B864E"/>
    <w:rsid w:val="7516A243"/>
    <w:rsid w:val="7516A499"/>
    <w:rsid w:val="751CD465"/>
    <w:rsid w:val="751CEDAC"/>
    <w:rsid w:val="751D0F18"/>
    <w:rsid w:val="751E033D"/>
    <w:rsid w:val="75247CF8"/>
    <w:rsid w:val="75262DD0"/>
    <w:rsid w:val="752A5158"/>
    <w:rsid w:val="752C1691"/>
    <w:rsid w:val="752D5541"/>
    <w:rsid w:val="7540B934"/>
    <w:rsid w:val="7545497F"/>
    <w:rsid w:val="755134EE"/>
    <w:rsid w:val="755F4952"/>
    <w:rsid w:val="7569CF87"/>
    <w:rsid w:val="758A0DF9"/>
    <w:rsid w:val="758B8EEB"/>
    <w:rsid w:val="759415F2"/>
    <w:rsid w:val="75975B38"/>
    <w:rsid w:val="75983BA9"/>
    <w:rsid w:val="75A09F01"/>
    <w:rsid w:val="75A2964B"/>
    <w:rsid w:val="75A8339A"/>
    <w:rsid w:val="75AB6A75"/>
    <w:rsid w:val="75AC271A"/>
    <w:rsid w:val="75AD8BB7"/>
    <w:rsid w:val="75AFA242"/>
    <w:rsid w:val="75B416C2"/>
    <w:rsid w:val="75B91169"/>
    <w:rsid w:val="75C30E1D"/>
    <w:rsid w:val="75C3662A"/>
    <w:rsid w:val="75C61DA1"/>
    <w:rsid w:val="75F356C0"/>
    <w:rsid w:val="75F6BF9A"/>
    <w:rsid w:val="75F75D1F"/>
    <w:rsid w:val="75FBD40F"/>
    <w:rsid w:val="75FD4E50"/>
    <w:rsid w:val="75FEC07B"/>
    <w:rsid w:val="75FF3835"/>
    <w:rsid w:val="76042B12"/>
    <w:rsid w:val="760837E8"/>
    <w:rsid w:val="761A3D1B"/>
    <w:rsid w:val="761A7AC7"/>
    <w:rsid w:val="761B7A13"/>
    <w:rsid w:val="76229827"/>
    <w:rsid w:val="7626072F"/>
    <w:rsid w:val="762B19B6"/>
    <w:rsid w:val="762DC724"/>
    <w:rsid w:val="7634E925"/>
    <w:rsid w:val="763D5D0B"/>
    <w:rsid w:val="763FDD6B"/>
    <w:rsid w:val="7640B803"/>
    <w:rsid w:val="764119CE"/>
    <w:rsid w:val="7643E140"/>
    <w:rsid w:val="7649BE6C"/>
    <w:rsid w:val="764B22FE"/>
    <w:rsid w:val="764BFF63"/>
    <w:rsid w:val="764CB5F6"/>
    <w:rsid w:val="764D476D"/>
    <w:rsid w:val="764ECB63"/>
    <w:rsid w:val="76565A7A"/>
    <w:rsid w:val="7658639A"/>
    <w:rsid w:val="7658927F"/>
    <w:rsid w:val="76687543"/>
    <w:rsid w:val="766ADE05"/>
    <w:rsid w:val="766D20AB"/>
    <w:rsid w:val="76707DB8"/>
    <w:rsid w:val="7671E0AB"/>
    <w:rsid w:val="7673C564"/>
    <w:rsid w:val="767A3C0F"/>
    <w:rsid w:val="76835004"/>
    <w:rsid w:val="7683FC07"/>
    <w:rsid w:val="76863E69"/>
    <w:rsid w:val="768B3EF7"/>
    <w:rsid w:val="768CD9B0"/>
    <w:rsid w:val="7695A414"/>
    <w:rsid w:val="7696ADAC"/>
    <w:rsid w:val="76996CF3"/>
    <w:rsid w:val="769C754F"/>
    <w:rsid w:val="76A38651"/>
    <w:rsid w:val="76AEAEF8"/>
    <w:rsid w:val="76AF8B91"/>
    <w:rsid w:val="76B3D0D7"/>
    <w:rsid w:val="76B616A3"/>
    <w:rsid w:val="76BE3B9B"/>
    <w:rsid w:val="76C07928"/>
    <w:rsid w:val="76C3399D"/>
    <w:rsid w:val="76CF466F"/>
    <w:rsid w:val="76D0D142"/>
    <w:rsid w:val="76D1210D"/>
    <w:rsid w:val="76D368E9"/>
    <w:rsid w:val="76D3A60D"/>
    <w:rsid w:val="76D4911F"/>
    <w:rsid w:val="76D598A7"/>
    <w:rsid w:val="76DBDCA4"/>
    <w:rsid w:val="76DE06B9"/>
    <w:rsid w:val="76DE9FBE"/>
    <w:rsid w:val="76E16ECA"/>
    <w:rsid w:val="76E1CB1D"/>
    <w:rsid w:val="76E32568"/>
    <w:rsid w:val="76E4D0D5"/>
    <w:rsid w:val="76F22970"/>
    <w:rsid w:val="76F7473C"/>
    <w:rsid w:val="76F8372C"/>
    <w:rsid w:val="76FD24D5"/>
    <w:rsid w:val="76FE2EA6"/>
    <w:rsid w:val="770545CE"/>
    <w:rsid w:val="7705839C"/>
    <w:rsid w:val="7705AF4A"/>
    <w:rsid w:val="77061F57"/>
    <w:rsid w:val="7708DBEF"/>
    <w:rsid w:val="77096926"/>
    <w:rsid w:val="77097696"/>
    <w:rsid w:val="77097B87"/>
    <w:rsid w:val="770CD742"/>
    <w:rsid w:val="770F9CD0"/>
    <w:rsid w:val="7714C1BE"/>
    <w:rsid w:val="7715440B"/>
    <w:rsid w:val="77164B45"/>
    <w:rsid w:val="77176772"/>
    <w:rsid w:val="7719D83A"/>
    <w:rsid w:val="771C0BF9"/>
    <w:rsid w:val="7721315A"/>
    <w:rsid w:val="772AD727"/>
    <w:rsid w:val="772FE531"/>
    <w:rsid w:val="773A3F2E"/>
    <w:rsid w:val="773C0EA0"/>
    <w:rsid w:val="773F6351"/>
    <w:rsid w:val="7740866B"/>
    <w:rsid w:val="774D8A42"/>
    <w:rsid w:val="774FC0DB"/>
    <w:rsid w:val="77520559"/>
    <w:rsid w:val="77567740"/>
    <w:rsid w:val="775A0177"/>
    <w:rsid w:val="775A10F8"/>
    <w:rsid w:val="775F881C"/>
    <w:rsid w:val="7770C579"/>
    <w:rsid w:val="777228A0"/>
    <w:rsid w:val="7778465F"/>
    <w:rsid w:val="7779E6C5"/>
    <w:rsid w:val="777BFDEA"/>
    <w:rsid w:val="77814BF5"/>
    <w:rsid w:val="7782132A"/>
    <w:rsid w:val="7784213D"/>
    <w:rsid w:val="77849447"/>
    <w:rsid w:val="778C6698"/>
    <w:rsid w:val="778CC084"/>
    <w:rsid w:val="7792DCFB"/>
    <w:rsid w:val="77930C9B"/>
    <w:rsid w:val="77942CE5"/>
    <w:rsid w:val="779B065E"/>
    <w:rsid w:val="779FBE45"/>
    <w:rsid w:val="77A543DA"/>
    <w:rsid w:val="77B17803"/>
    <w:rsid w:val="77B3DD78"/>
    <w:rsid w:val="77B470EB"/>
    <w:rsid w:val="77B4F533"/>
    <w:rsid w:val="77B5C2B7"/>
    <w:rsid w:val="77B71FFC"/>
    <w:rsid w:val="77BECD1C"/>
    <w:rsid w:val="77C058AA"/>
    <w:rsid w:val="77C6100E"/>
    <w:rsid w:val="77C86931"/>
    <w:rsid w:val="77C8CB65"/>
    <w:rsid w:val="77CE1014"/>
    <w:rsid w:val="77CECCD6"/>
    <w:rsid w:val="77D12E8C"/>
    <w:rsid w:val="77D41385"/>
    <w:rsid w:val="77D56F3F"/>
    <w:rsid w:val="77DCDC6B"/>
    <w:rsid w:val="77DE31C7"/>
    <w:rsid w:val="77E16B73"/>
    <w:rsid w:val="77E7EFB1"/>
    <w:rsid w:val="77E89DBE"/>
    <w:rsid w:val="77F21EDB"/>
    <w:rsid w:val="77F30ACE"/>
    <w:rsid w:val="77F3E78D"/>
    <w:rsid w:val="77F692D6"/>
    <w:rsid w:val="77FC7027"/>
    <w:rsid w:val="77FD612F"/>
    <w:rsid w:val="77FDAEC8"/>
    <w:rsid w:val="77FFFB27"/>
    <w:rsid w:val="7805D8A9"/>
    <w:rsid w:val="7808623F"/>
    <w:rsid w:val="78091225"/>
    <w:rsid w:val="7809D273"/>
    <w:rsid w:val="780C2086"/>
    <w:rsid w:val="78138725"/>
    <w:rsid w:val="781438B6"/>
    <w:rsid w:val="78143906"/>
    <w:rsid w:val="7819B6D5"/>
    <w:rsid w:val="7819FB48"/>
    <w:rsid w:val="781CB56C"/>
    <w:rsid w:val="781D53F5"/>
    <w:rsid w:val="78273165"/>
    <w:rsid w:val="7831CEEE"/>
    <w:rsid w:val="78371AE0"/>
    <w:rsid w:val="783913F7"/>
    <w:rsid w:val="783A38C2"/>
    <w:rsid w:val="783E261E"/>
    <w:rsid w:val="78405CE6"/>
    <w:rsid w:val="784328FB"/>
    <w:rsid w:val="7851F738"/>
    <w:rsid w:val="785898DA"/>
    <w:rsid w:val="78593232"/>
    <w:rsid w:val="785B5A05"/>
    <w:rsid w:val="785D4D7F"/>
    <w:rsid w:val="78607B63"/>
    <w:rsid w:val="7862465D"/>
    <w:rsid w:val="78648EE7"/>
    <w:rsid w:val="7864D80E"/>
    <w:rsid w:val="78651E8B"/>
    <w:rsid w:val="78695F38"/>
    <w:rsid w:val="786D3A4C"/>
    <w:rsid w:val="786F50DB"/>
    <w:rsid w:val="78709302"/>
    <w:rsid w:val="7870D697"/>
    <w:rsid w:val="78792EED"/>
    <w:rsid w:val="787A72F5"/>
    <w:rsid w:val="787E0177"/>
    <w:rsid w:val="787EFD54"/>
    <w:rsid w:val="7886EFC8"/>
    <w:rsid w:val="7886FFAD"/>
    <w:rsid w:val="7894BBC6"/>
    <w:rsid w:val="789D5D3D"/>
    <w:rsid w:val="789DFD6A"/>
    <w:rsid w:val="78A1B9B5"/>
    <w:rsid w:val="78A68EBF"/>
    <w:rsid w:val="78A84D14"/>
    <w:rsid w:val="78A888BC"/>
    <w:rsid w:val="78A9EAEC"/>
    <w:rsid w:val="78B6D0D6"/>
    <w:rsid w:val="78C7EA2F"/>
    <w:rsid w:val="78C932FB"/>
    <w:rsid w:val="78C99028"/>
    <w:rsid w:val="78CACC94"/>
    <w:rsid w:val="78CC6BA8"/>
    <w:rsid w:val="78CD1433"/>
    <w:rsid w:val="78CDC606"/>
    <w:rsid w:val="78CFF7E2"/>
    <w:rsid w:val="78D6C332"/>
    <w:rsid w:val="78DB53BD"/>
    <w:rsid w:val="78DF6197"/>
    <w:rsid w:val="78E1E133"/>
    <w:rsid w:val="78E5F8EF"/>
    <w:rsid w:val="78E74955"/>
    <w:rsid w:val="78E7EE19"/>
    <w:rsid w:val="78E8EF4E"/>
    <w:rsid w:val="78EC1C87"/>
    <w:rsid w:val="78EEB8B0"/>
    <w:rsid w:val="78F055C4"/>
    <w:rsid w:val="78F1034A"/>
    <w:rsid w:val="78F53ED9"/>
    <w:rsid w:val="78FAC32B"/>
    <w:rsid w:val="78FAF48D"/>
    <w:rsid w:val="78FE4DEB"/>
    <w:rsid w:val="78FF9CF8"/>
    <w:rsid w:val="790469B8"/>
    <w:rsid w:val="7904EA52"/>
    <w:rsid w:val="790C0B72"/>
    <w:rsid w:val="7913DFFE"/>
    <w:rsid w:val="791D8DEE"/>
    <w:rsid w:val="79200D23"/>
    <w:rsid w:val="79255A97"/>
    <w:rsid w:val="7927B5A6"/>
    <w:rsid w:val="792CD875"/>
    <w:rsid w:val="792F83F8"/>
    <w:rsid w:val="7934408A"/>
    <w:rsid w:val="794508C7"/>
    <w:rsid w:val="7946D8B5"/>
    <w:rsid w:val="795029B9"/>
    <w:rsid w:val="79508B23"/>
    <w:rsid w:val="795451AB"/>
    <w:rsid w:val="795F9742"/>
    <w:rsid w:val="7963EED2"/>
    <w:rsid w:val="79650DBB"/>
    <w:rsid w:val="7966B604"/>
    <w:rsid w:val="796A76C2"/>
    <w:rsid w:val="796A85F2"/>
    <w:rsid w:val="796FAE8C"/>
    <w:rsid w:val="79702182"/>
    <w:rsid w:val="7975B782"/>
    <w:rsid w:val="7975F66D"/>
    <w:rsid w:val="7982B724"/>
    <w:rsid w:val="7983C012"/>
    <w:rsid w:val="7985D77D"/>
    <w:rsid w:val="79893E8A"/>
    <w:rsid w:val="7989AC65"/>
    <w:rsid w:val="798F1011"/>
    <w:rsid w:val="798FC11F"/>
    <w:rsid w:val="79900BC9"/>
    <w:rsid w:val="7992AA1D"/>
    <w:rsid w:val="79930AD1"/>
    <w:rsid w:val="7996EF9E"/>
    <w:rsid w:val="799E978E"/>
    <w:rsid w:val="79A09C9D"/>
    <w:rsid w:val="79A15B2B"/>
    <w:rsid w:val="79A57158"/>
    <w:rsid w:val="79A5C485"/>
    <w:rsid w:val="79A83F13"/>
    <w:rsid w:val="79A9C621"/>
    <w:rsid w:val="79AA5F58"/>
    <w:rsid w:val="79AB76BD"/>
    <w:rsid w:val="79B2B886"/>
    <w:rsid w:val="79B3487A"/>
    <w:rsid w:val="79B878CF"/>
    <w:rsid w:val="79BDC914"/>
    <w:rsid w:val="79C0A096"/>
    <w:rsid w:val="79C3A58C"/>
    <w:rsid w:val="79CF18B7"/>
    <w:rsid w:val="79D115DE"/>
    <w:rsid w:val="79D26165"/>
    <w:rsid w:val="79D32843"/>
    <w:rsid w:val="79D6EAC6"/>
    <w:rsid w:val="79DA14F6"/>
    <w:rsid w:val="79E229BA"/>
    <w:rsid w:val="79E51971"/>
    <w:rsid w:val="79E7BF52"/>
    <w:rsid w:val="79EDA1D7"/>
    <w:rsid w:val="79F10D37"/>
    <w:rsid w:val="79F3FFCD"/>
    <w:rsid w:val="79F47CFA"/>
    <w:rsid w:val="79F67B5F"/>
    <w:rsid w:val="79FD67AB"/>
    <w:rsid w:val="7A027581"/>
    <w:rsid w:val="7A045F49"/>
    <w:rsid w:val="7A110575"/>
    <w:rsid w:val="7A14CC34"/>
    <w:rsid w:val="7A1BE3A8"/>
    <w:rsid w:val="7A1C45D7"/>
    <w:rsid w:val="7A20C2FA"/>
    <w:rsid w:val="7A276069"/>
    <w:rsid w:val="7A29761D"/>
    <w:rsid w:val="7A2B25DB"/>
    <w:rsid w:val="7A3045C6"/>
    <w:rsid w:val="7A32CFE8"/>
    <w:rsid w:val="7A34B861"/>
    <w:rsid w:val="7A37FD82"/>
    <w:rsid w:val="7A4347A8"/>
    <w:rsid w:val="7A47C7E7"/>
    <w:rsid w:val="7A490D62"/>
    <w:rsid w:val="7A4950D3"/>
    <w:rsid w:val="7A4AE7DF"/>
    <w:rsid w:val="7A4F2CE8"/>
    <w:rsid w:val="7A509103"/>
    <w:rsid w:val="7A523AF0"/>
    <w:rsid w:val="7A535874"/>
    <w:rsid w:val="7A579E83"/>
    <w:rsid w:val="7A593596"/>
    <w:rsid w:val="7A5B11F2"/>
    <w:rsid w:val="7A5E77B8"/>
    <w:rsid w:val="7A6052F9"/>
    <w:rsid w:val="7A63CFAB"/>
    <w:rsid w:val="7A649C94"/>
    <w:rsid w:val="7A6ACC5B"/>
    <w:rsid w:val="7A6BC5CA"/>
    <w:rsid w:val="7A6E27C7"/>
    <w:rsid w:val="7A6E41AC"/>
    <w:rsid w:val="7A7BB2E9"/>
    <w:rsid w:val="7A7C614D"/>
    <w:rsid w:val="7A8465D0"/>
    <w:rsid w:val="7A86271F"/>
    <w:rsid w:val="7A879735"/>
    <w:rsid w:val="7A936CFB"/>
    <w:rsid w:val="7A948EE6"/>
    <w:rsid w:val="7A9736B1"/>
    <w:rsid w:val="7A978FD3"/>
    <w:rsid w:val="7AA789B0"/>
    <w:rsid w:val="7AAE58CA"/>
    <w:rsid w:val="7AB5E8E7"/>
    <w:rsid w:val="7ABDA922"/>
    <w:rsid w:val="7ABF37AA"/>
    <w:rsid w:val="7AC3D670"/>
    <w:rsid w:val="7AC709F3"/>
    <w:rsid w:val="7AC82E3E"/>
    <w:rsid w:val="7ACC1181"/>
    <w:rsid w:val="7ADBED77"/>
    <w:rsid w:val="7ADDD1AE"/>
    <w:rsid w:val="7AE3301B"/>
    <w:rsid w:val="7AE3BEF9"/>
    <w:rsid w:val="7AE7C9C1"/>
    <w:rsid w:val="7AF15ED2"/>
    <w:rsid w:val="7AF1866F"/>
    <w:rsid w:val="7AF1DA01"/>
    <w:rsid w:val="7AF47F4E"/>
    <w:rsid w:val="7AF9A84F"/>
    <w:rsid w:val="7AFA8D27"/>
    <w:rsid w:val="7AFB9C61"/>
    <w:rsid w:val="7AFC409C"/>
    <w:rsid w:val="7AFFFD6F"/>
    <w:rsid w:val="7B05BDCF"/>
    <w:rsid w:val="7B0BA7EA"/>
    <w:rsid w:val="7B0FC6AC"/>
    <w:rsid w:val="7B10EAD4"/>
    <w:rsid w:val="7B144243"/>
    <w:rsid w:val="7B164F73"/>
    <w:rsid w:val="7B19A7FF"/>
    <w:rsid w:val="7B29A2F1"/>
    <w:rsid w:val="7B2A469F"/>
    <w:rsid w:val="7B33220D"/>
    <w:rsid w:val="7B33A30B"/>
    <w:rsid w:val="7B33DC1E"/>
    <w:rsid w:val="7B343B82"/>
    <w:rsid w:val="7B3D796B"/>
    <w:rsid w:val="7B3F3D53"/>
    <w:rsid w:val="7B40EF47"/>
    <w:rsid w:val="7B41461C"/>
    <w:rsid w:val="7B4A011F"/>
    <w:rsid w:val="7B4FDF1B"/>
    <w:rsid w:val="7B51435B"/>
    <w:rsid w:val="7B54B319"/>
    <w:rsid w:val="7B5F7F57"/>
    <w:rsid w:val="7B669765"/>
    <w:rsid w:val="7B6AF8D8"/>
    <w:rsid w:val="7B6B0823"/>
    <w:rsid w:val="7B6DE2A1"/>
    <w:rsid w:val="7B6E6C51"/>
    <w:rsid w:val="7B74CD8B"/>
    <w:rsid w:val="7B766CBF"/>
    <w:rsid w:val="7B79F031"/>
    <w:rsid w:val="7B7A7EC2"/>
    <w:rsid w:val="7B7D5C95"/>
    <w:rsid w:val="7B7FB85D"/>
    <w:rsid w:val="7B815AC9"/>
    <w:rsid w:val="7B81AE82"/>
    <w:rsid w:val="7B8A3B4B"/>
    <w:rsid w:val="7B8D181D"/>
    <w:rsid w:val="7B8E4927"/>
    <w:rsid w:val="7B9277EC"/>
    <w:rsid w:val="7B96CDED"/>
    <w:rsid w:val="7B98509A"/>
    <w:rsid w:val="7BA0055A"/>
    <w:rsid w:val="7BA0BFAE"/>
    <w:rsid w:val="7BA24139"/>
    <w:rsid w:val="7BA5661F"/>
    <w:rsid w:val="7BA929E0"/>
    <w:rsid w:val="7BA9F313"/>
    <w:rsid w:val="7BAAC472"/>
    <w:rsid w:val="7BAB3735"/>
    <w:rsid w:val="7BAF0FF6"/>
    <w:rsid w:val="7BAF4DE8"/>
    <w:rsid w:val="7BBB061D"/>
    <w:rsid w:val="7BBC112F"/>
    <w:rsid w:val="7BBC6545"/>
    <w:rsid w:val="7BBE7B5F"/>
    <w:rsid w:val="7BC0633D"/>
    <w:rsid w:val="7BC215F8"/>
    <w:rsid w:val="7BD0C3A1"/>
    <w:rsid w:val="7BD301AD"/>
    <w:rsid w:val="7BD547CD"/>
    <w:rsid w:val="7BDC85A6"/>
    <w:rsid w:val="7BDC9311"/>
    <w:rsid w:val="7BE0434D"/>
    <w:rsid w:val="7BE0A8BF"/>
    <w:rsid w:val="7BF12553"/>
    <w:rsid w:val="7BF13C4E"/>
    <w:rsid w:val="7BFAB935"/>
    <w:rsid w:val="7BFD8042"/>
    <w:rsid w:val="7BFF3BD4"/>
    <w:rsid w:val="7BFF7765"/>
    <w:rsid w:val="7C011A55"/>
    <w:rsid w:val="7C036463"/>
    <w:rsid w:val="7C0A8748"/>
    <w:rsid w:val="7C0B095F"/>
    <w:rsid w:val="7C153159"/>
    <w:rsid w:val="7C196440"/>
    <w:rsid w:val="7C1BDCEB"/>
    <w:rsid w:val="7C1C66C5"/>
    <w:rsid w:val="7C1DDD52"/>
    <w:rsid w:val="7C219F79"/>
    <w:rsid w:val="7C25008F"/>
    <w:rsid w:val="7C26AE44"/>
    <w:rsid w:val="7C2A3646"/>
    <w:rsid w:val="7C2DFF31"/>
    <w:rsid w:val="7C2E7888"/>
    <w:rsid w:val="7C2EAE4E"/>
    <w:rsid w:val="7C2F61F7"/>
    <w:rsid w:val="7C300CE8"/>
    <w:rsid w:val="7C3BA6E0"/>
    <w:rsid w:val="7C3E23CB"/>
    <w:rsid w:val="7C3F7739"/>
    <w:rsid w:val="7C40AD44"/>
    <w:rsid w:val="7C40EDE2"/>
    <w:rsid w:val="7C479716"/>
    <w:rsid w:val="7C49423B"/>
    <w:rsid w:val="7C4B1AE3"/>
    <w:rsid w:val="7C51F81C"/>
    <w:rsid w:val="7C5C5D39"/>
    <w:rsid w:val="7C5DAD35"/>
    <w:rsid w:val="7C5EE640"/>
    <w:rsid w:val="7C619359"/>
    <w:rsid w:val="7C62BBBA"/>
    <w:rsid w:val="7C66AB3E"/>
    <w:rsid w:val="7C6B914A"/>
    <w:rsid w:val="7C6E6E81"/>
    <w:rsid w:val="7C6FBCCE"/>
    <w:rsid w:val="7C7108B3"/>
    <w:rsid w:val="7C72998A"/>
    <w:rsid w:val="7C7574BE"/>
    <w:rsid w:val="7C76638F"/>
    <w:rsid w:val="7C7C91E7"/>
    <w:rsid w:val="7C832B75"/>
    <w:rsid w:val="7C8650A6"/>
    <w:rsid w:val="7C8EC0E9"/>
    <w:rsid w:val="7C900C3A"/>
    <w:rsid w:val="7C90D473"/>
    <w:rsid w:val="7C93373A"/>
    <w:rsid w:val="7C94E94C"/>
    <w:rsid w:val="7C99F801"/>
    <w:rsid w:val="7C9A10E0"/>
    <w:rsid w:val="7C9C4C5C"/>
    <w:rsid w:val="7CAB4F8F"/>
    <w:rsid w:val="7CABBBE9"/>
    <w:rsid w:val="7CB040BC"/>
    <w:rsid w:val="7CB25DA7"/>
    <w:rsid w:val="7CB45669"/>
    <w:rsid w:val="7CB8085F"/>
    <w:rsid w:val="7CBABA76"/>
    <w:rsid w:val="7CBCF55D"/>
    <w:rsid w:val="7CBF5FF4"/>
    <w:rsid w:val="7CC0F5FC"/>
    <w:rsid w:val="7CCAF9A6"/>
    <w:rsid w:val="7CD1D78D"/>
    <w:rsid w:val="7CD2EE93"/>
    <w:rsid w:val="7CD8352D"/>
    <w:rsid w:val="7CDA52D3"/>
    <w:rsid w:val="7CDAB5DD"/>
    <w:rsid w:val="7CDB41FC"/>
    <w:rsid w:val="7CE0631E"/>
    <w:rsid w:val="7CE2F8A8"/>
    <w:rsid w:val="7CE3D875"/>
    <w:rsid w:val="7CEF4A1F"/>
    <w:rsid w:val="7CF04DDB"/>
    <w:rsid w:val="7CF0B615"/>
    <w:rsid w:val="7CFF5837"/>
    <w:rsid w:val="7D090EA7"/>
    <w:rsid w:val="7D0A7023"/>
    <w:rsid w:val="7D0D200B"/>
    <w:rsid w:val="7D108F72"/>
    <w:rsid w:val="7D12924E"/>
    <w:rsid w:val="7D15E7EC"/>
    <w:rsid w:val="7D16C4A6"/>
    <w:rsid w:val="7D1BF1AD"/>
    <w:rsid w:val="7D1D567E"/>
    <w:rsid w:val="7D1DDB8E"/>
    <w:rsid w:val="7D1E513B"/>
    <w:rsid w:val="7D1FCC52"/>
    <w:rsid w:val="7D202DF4"/>
    <w:rsid w:val="7D247462"/>
    <w:rsid w:val="7D25B24A"/>
    <w:rsid w:val="7D25B863"/>
    <w:rsid w:val="7D28E6B7"/>
    <w:rsid w:val="7D32C97E"/>
    <w:rsid w:val="7D35E16E"/>
    <w:rsid w:val="7D39C7EE"/>
    <w:rsid w:val="7D3B1032"/>
    <w:rsid w:val="7D3DA2DA"/>
    <w:rsid w:val="7D3E76BA"/>
    <w:rsid w:val="7D3FADF0"/>
    <w:rsid w:val="7D451759"/>
    <w:rsid w:val="7D4BF3BF"/>
    <w:rsid w:val="7D4C0800"/>
    <w:rsid w:val="7D4D6CD8"/>
    <w:rsid w:val="7D57ACB3"/>
    <w:rsid w:val="7D5B64DA"/>
    <w:rsid w:val="7D64E2AC"/>
    <w:rsid w:val="7D697827"/>
    <w:rsid w:val="7D6CE232"/>
    <w:rsid w:val="7D714BF5"/>
    <w:rsid w:val="7D79519C"/>
    <w:rsid w:val="7D8013BC"/>
    <w:rsid w:val="7D83E521"/>
    <w:rsid w:val="7D888BDA"/>
    <w:rsid w:val="7D8AB643"/>
    <w:rsid w:val="7D8BD194"/>
    <w:rsid w:val="7D8FA7F8"/>
    <w:rsid w:val="7D9E2FFC"/>
    <w:rsid w:val="7D9F7747"/>
    <w:rsid w:val="7DA8C7F7"/>
    <w:rsid w:val="7DAA5530"/>
    <w:rsid w:val="7DB0A862"/>
    <w:rsid w:val="7DB4CE62"/>
    <w:rsid w:val="7DBD81B3"/>
    <w:rsid w:val="7DBE6A0D"/>
    <w:rsid w:val="7DC25B68"/>
    <w:rsid w:val="7DC2CF4D"/>
    <w:rsid w:val="7DC3F8D6"/>
    <w:rsid w:val="7DCE3C65"/>
    <w:rsid w:val="7DD9EF13"/>
    <w:rsid w:val="7DDA1D61"/>
    <w:rsid w:val="7DDBCF4F"/>
    <w:rsid w:val="7DDFFBF3"/>
    <w:rsid w:val="7DE66A35"/>
    <w:rsid w:val="7DE773E4"/>
    <w:rsid w:val="7DE8D9AE"/>
    <w:rsid w:val="7DECAC04"/>
    <w:rsid w:val="7DECDBD5"/>
    <w:rsid w:val="7DEE536F"/>
    <w:rsid w:val="7DF7FFC4"/>
    <w:rsid w:val="7DFAD3D9"/>
    <w:rsid w:val="7E005334"/>
    <w:rsid w:val="7E0184EB"/>
    <w:rsid w:val="7E01F368"/>
    <w:rsid w:val="7E0B4CE4"/>
    <w:rsid w:val="7E0EF492"/>
    <w:rsid w:val="7E13DB88"/>
    <w:rsid w:val="7E156160"/>
    <w:rsid w:val="7E17DD24"/>
    <w:rsid w:val="7E1A529B"/>
    <w:rsid w:val="7E1C3C27"/>
    <w:rsid w:val="7E21D1BF"/>
    <w:rsid w:val="7E2CD6EE"/>
    <w:rsid w:val="7E2D3E8F"/>
    <w:rsid w:val="7E2DE677"/>
    <w:rsid w:val="7E2FE525"/>
    <w:rsid w:val="7E3325F9"/>
    <w:rsid w:val="7E36FE93"/>
    <w:rsid w:val="7E371C55"/>
    <w:rsid w:val="7E382631"/>
    <w:rsid w:val="7E383B2C"/>
    <w:rsid w:val="7E395336"/>
    <w:rsid w:val="7E39F20B"/>
    <w:rsid w:val="7E40B474"/>
    <w:rsid w:val="7E4103B9"/>
    <w:rsid w:val="7E4672BF"/>
    <w:rsid w:val="7E47491A"/>
    <w:rsid w:val="7E4FC8FB"/>
    <w:rsid w:val="7E51EDE3"/>
    <w:rsid w:val="7E550546"/>
    <w:rsid w:val="7E59F806"/>
    <w:rsid w:val="7E64CA48"/>
    <w:rsid w:val="7E6B1DE7"/>
    <w:rsid w:val="7E6CAB4E"/>
    <w:rsid w:val="7E6F1AC2"/>
    <w:rsid w:val="7E705EFE"/>
    <w:rsid w:val="7E710D3E"/>
    <w:rsid w:val="7E7F6484"/>
    <w:rsid w:val="7E7FEAA7"/>
    <w:rsid w:val="7E836DB6"/>
    <w:rsid w:val="7E859464"/>
    <w:rsid w:val="7E88B544"/>
    <w:rsid w:val="7E8A417C"/>
    <w:rsid w:val="7E90C3A2"/>
    <w:rsid w:val="7E977D52"/>
    <w:rsid w:val="7E9CBA6D"/>
    <w:rsid w:val="7EA0FACD"/>
    <w:rsid w:val="7EA23889"/>
    <w:rsid w:val="7EA289DA"/>
    <w:rsid w:val="7EA91BEE"/>
    <w:rsid w:val="7EAA241D"/>
    <w:rsid w:val="7EAB74C0"/>
    <w:rsid w:val="7EB1E19E"/>
    <w:rsid w:val="7EB2B9FF"/>
    <w:rsid w:val="7EB33E92"/>
    <w:rsid w:val="7EC155CB"/>
    <w:rsid w:val="7EC370DB"/>
    <w:rsid w:val="7EC8B959"/>
    <w:rsid w:val="7ECB63FE"/>
    <w:rsid w:val="7ECDD800"/>
    <w:rsid w:val="7ED12AE0"/>
    <w:rsid w:val="7ED1A2A2"/>
    <w:rsid w:val="7EDA1585"/>
    <w:rsid w:val="7EDF87A2"/>
    <w:rsid w:val="7EDFD307"/>
    <w:rsid w:val="7EE24255"/>
    <w:rsid w:val="7EE2AB04"/>
    <w:rsid w:val="7EE30203"/>
    <w:rsid w:val="7EEC1AEB"/>
    <w:rsid w:val="7EECD5DC"/>
    <w:rsid w:val="7EEFC469"/>
    <w:rsid w:val="7EF537CF"/>
    <w:rsid w:val="7F029387"/>
    <w:rsid w:val="7F04B305"/>
    <w:rsid w:val="7F067E88"/>
    <w:rsid w:val="7F07461E"/>
    <w:rsid w:val="7F0BBC1F"/>
    <w:rsid w:val="7F0C8E10"/>
    <w:rsid w:val="7F24D969"/>
    <w:rsid w:val="7F284925"/>
    <w:rsid w:val="7F302371"/>
    <w:rsid w:val="7F383C4F"/>
    <w:rsid w:val="7F3C80E3"/>
    <w:rsid w:val="7F3CE90E"/>
    <w:rsid w:val="7F3E3D7E"/>
    <w:rsid w:val="7F47DE4A"/>
    <w:rsid w:val="7F4974FA"/>
    <w:rsid w:val="7F499DE2"/>
    <w:rsid w:val="7F4B1FF2"/>
    <w:rsid w:val="7F52D6E8"/>
    <w:rsid w:val="7F5851AC"/>
    <w:rsid w:val="7F5B9CD4"/>
    <w:rsid w:val="7F611CBB"/>
    <w:rsid w:val="7F62B4E7"/>
    <w:rsid w:val="7F631869"/>
    <w:rsid w:val="7F63544E"/>
    <w:rsid w:val="7F63F3A5"/>
    <w:rsid w:val="7F650F5F"/>
    <w:rsid w:val="7F68E90D"/>
    <w:rsid w:val="7F6A092C"/>
    <w:rsid w:val="7F6CB3D1"/>
    <w:rsid w:val="7F6D8240"/>
    <w:rsid w:val="7F738C1F"/>
    <w:rsid w:val="7F74A255"/>
    <w:rsid w:val="7F76FBB7"/>
    <w:rsid w:val="7F7CC04F"/>
    <w:rsid w:val="7F88D798"/>
    <w:rsid w:val="7F899D83"/>
    <w:rsid w:val="7F8D01D5"/>
    <w:rsid w:val="7F92C690"/>
    <w:rsid w:val="7F9583EF"/>
    <w:rsid w:val="7F9B2FCB"/>
    <w:rsid w:val="7F9BDB7B"/>
    <w:rsid w:val="7FA24151"/>
    <w:rsid w:val="7FA9A1C3"/>
    <w:rsid w:val="7FADC206"/>
    <w:rsid w:val="7FB20B16"/>
    <w:rsid w:val="7FB2EFC3"/>
    <w:rsid w:val="7FB59BB2"/>
    <w:rsid w:val="7FB6B38C"/>
    <w:rsid w:val="7FC36D93"/>
    <w:rsid w:val="7FC48836"/>
    <w:rsid w:val="7FC53640"/>
    <w:rsid w:val="7FCC3F7B"/>
    <w:rsid w:val="7FCCBF3D"/>
    <w:rsid w:val="7FCD57A8"/>
    <w:rsid w:val="7FD0BFA5"/>
    <w:rsid w:val="7FD15BEE"/>
    <w:rsid w:val="7FD1705D"/>
    <w:rsid w:val="7FE070EA"/>
    <w:rsid w:val="7FE1E4BF"/>
    <w:rsid w:val="7FE66D74"/>
    <w:rsid w:val="7FED2B3E"/>
    <w:rsid w:val="7FED96C7"/>
    <w:rsid w:val="7FF190F0"/>
    <w:rsid w:val="7FFAF9DE"/>
    <w:rsid w:val="7FFBC5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BDB4"/>
  <w15:chartTrackingRefBased/>
  <w15:docId w15:val="{C9165545-CD46-493E-A04E-246B9991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9E"/>
    <w:rPr>
      <w:rFonts w:ascii="Times New Roman" w:hAnsi="Times New Roman"/>
      <w:lang w:val="en-GB"/>
    </w:rPr>
  </w:style>
  <w:style w:type="paragraph" w:styleId="Heading1">
    <w:name w:val="heading 1"/>
    <w:basedOn w:val="Normal"/>
    <w:next w:val="Normal"/>
    <w:link w:val="Heading1Char"/>
    <w:uiPriority w:val="9"/>
    <w:qFormat/>
    <w:rsid w:val="006F2F03"/>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1B47"/>
    <w:pPr>
      <w:keepNext/>
      <w:keepLines/>
      <w:spacing w:before="160" w:after="120"/>
      <w:outlineLvl w:val="1"/>
    </w:pPr>
    <w:rPr>
      <w:rFonts w:eastAsiaTheme="majorEastAsia" w:cstheme="majorBidi"/>
      <w:color w:val="2E74B5" w:themeColor="accent1" w:themeShade="BF"/>
      <w:sz w:val="32"/>
      <w:szCs w:val="26"/>
    </w:rPr>
  </w:style>
  <w:style w:type="paragraph" w:styleId="Heading3">
    <w:name w:val="heading 3"/>
    <w:basedOn w:val="Normal"/>
    <w:next w:val="Normal"/>
    <w:link w:val="Heading3Char"/>
    <w:uiPriority w:val="9"/>
    <w:unhideWhenUsed/>
    <w:qFormat/>
    <w:rsid w:val="00950428"/>
    <w:pPr>
      <w:keepNext/>
      <w:keepLines/>
      <w:spacing w:after="0"/>
      <w:outlineLvl w:val="2"/>
    </w:pPr>
    <w:rPr>
      <w:rFonts w:eastAsiaTheme="majorEastAsia" w:cstheme="majorBidi"/>
      <w:color w:val="1F4E79" w:themeColor="accent1" w:themeShade="80"/>
      <w:sz w:val="26"/>
      <w:szCs w:val="24"/>
    </w:rPr>
  </w:style>
  <w:style w:type="paragraph" w:styleId="Heading4">
    <w:name w:val="heading 4"/>
    <w:basedOn w:val="Normal"/>
    <w:next w:val="Normal"/>
    <w:link w:val="Heading4Char"/>
    <w:uiPriority w:val="9"/>
    <w:unhideWhenUsed/>
    <w:qFormat/>
    <w:rsid w:val="00304079"/>
    <w:pPr>
      <w:keepNext/>
      <w:keepLines/>
      <w:spacing w:before="160" w:after="120"/>
      <w:outlineLvl w:val="3"/>
    </w:pPr>
    <w:rPr>
      <w:rFonts w:eastAsiaTheme="majorEastAsia" w:cstheme="majorBidi"/>
      <w:b/>
      <w:iCs/>
      <w:color w:val="0D0D0D" w:themeColor="text1" w:themeTint="F2"/>
    </w:rPr>
  </w:style>
  <w:style w:type="paragraph" w:styleId="Heading5">
    <w:name w:val="heading 5"/>
    <w:basedOn w:val="Normal"/>
    <w:next w:val="Normal"/>
    <w:link w:val="Heading5Char"/>
    <w:uiPriority w:val="9"/>
    <w:unhideWhenUsed/>
    <w:qFormat/>
    <w:rsid w:val="00966C8E"/>
    <w:pPr>
      <w:keepNext/>
      <w:keepLines/>
      <w:spacing w:before="40" w:after="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43E"/>
    <w:rPr>
      <w:lang w:val="en-GB"/>
    </w:rPr>
  </w:style>
  <w:style w:type="paragraph" w:styleId="Footer">
    <w:name w:val="footer"/>
    <w:basedOn w:val="Normal"/>
    <w:link w:val="FooterChar"/>
    <w:uiPriority w:val="99"/>
    <w:unhideWhenUsed/>
    <w:rsid w:val="00C92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3E"/>
    <w:rPr>
      <w:lang w:val="en-GB"/>
    </w:rPr>
  </w:style>
  <w:style w:type="character" w:customStyle="1" w:styleId="Heading1Char">
    <w:name w:val="Heading 1 Char"/>
    <w:basedOn w:val="DefaultParagraphFont"/>
    <w:link w:val="Heading1"/>
    <w:uiPriority w:val="9"/>
    <w:rsid w:val="006F2F03"/>
    <w:rPr>
      <w:rFonts w:ascii="Times New Roman" w:eastAsiaTheme="majorEastAsia" w:hAnsi="Times New Roman"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521B47"/>
    <w:rPr>
      <w:rFonts w:ascii="Times New Roman" w:eastAsiaTheme="majorEastAsia" w:hAnsi="Times New Roman" w:cstheme="majorBidi"/>
      <w:color w:val="2E74B5" w:themeColor="accent1" w:themeShade="BF"/>
      <w:sz w:val="32"/>
      <w:szCs w:val="26"/>
      <w:lang w:val="en-GB"/>
    </w:rPr>
  </w:style>
  <w:style w:type="paragraph" w:customStyle="1" w:styleId="Heading31">
    <w:name w:val="Heading 3.1"/>
    <w:basedOn w:val="Normal"/>
    <w:link w:val="Heading31Char"/>
    <w:qFormat/>
    <w:rsid w:val="00857C4A"/>
    <w:rPr>
      <w:rFonts w:cs="Times New Roman"/>
      <w:b/>
      <w:color w:val="1F4E79" w:themeColor="accent1" w:themeShade="80"/>
    </w:rPr>
  </w:style>
  <w:style w:type="character" w:customStyle="1" w:styleId="Heading3Char">
    <w:name w:val="Heading 3 Char"/>
    <w:basedOn w:val="DefaultParagraphFont"/>
    <w:link w:val="Heading3"/>
    <w:uiPriority w:val="9"/>
    <w:rsid w:val="00950428"/>
    <w:rPr>
      <w:rFonts w:ascii="Times New Roman" w:eastAsiaTheme="majorEastAsia" w:hAnsi="Times New Roman" w:cstheme="majorBidi"/>
      <w:color w:val="1F4E79" w:themeColor="accent1" w:themeShade="80"/>
      <w:sz w:val="26"/>
      <w:szCs w:val="24"/>
      <w:lang w:val="en-GB"/>
    </w:rPr>
  </w:style>
  <w:style w:type="character" w:customStyle="1" w:styleId="Heading31Char">
    <w:name w:val="Heading 3.1 Char"/>
    <w:basedOn w:val="DefaultParagraphFont"/>
    <w:link w:val="Heading31"/>
    <w:rsid w:val="00857C4A"/>
    <w:rPr>
      <w:rFonts w:ascii="Times New Roman" w:hAnsi="Times New Roman" w:cs="Times New Roman"/>
      <w:b/>
      <w:color w:val="1F4E79" w:themeColor="accent1" w:themeShade="80"/>
      <w:lang w:val="en-GB"/>
    </w:rPr>
  </w:style>
  <w:style w:type="character" w:styleId="CommentReference">
    <w:name w:val="annotation reference"/>
    <w:basedOn w:val="DefaultParagraphFont"/>
    <w:uiPriority w:val="99"/>
    <w:semiHidden/>
    <w:unhideWhenUsed/>
    <w:rsid w:val="00857C4A"/>
    <w:rPr>
      <w:sz w:val="16"/>
      <w:szCs w:val="16"/>
    </w:rPr>
  </w:style>
  <w:style w:type="paragraph" w:styleId="CommentText">
    <w:name w:val="annotation text"/>
    <w:basedOn w:val="Normal"/>
    <w:link w:val="CommentTextChar"/>
    <w:uiPriority w:val="99"/>
    <w:unhideWhenUsed/>
    <w:rsid w:val="00857C4A"/>
    <w:pPr>
      <w:spacing w:line="240" w:lineRule="auto"/>
    </w:pPr>
    <w:rPr>
      <w:sz w:val="20"/>
      <w:szCs w:val="20"/>
    </w:rPr>
  </w:style>
  <w:style w:type="character" w:customStyle="1" w:styleId="CommentTextChar">
    <w:name w:val="Comment Text Char"/>
    <w:basedOn w:val="DefaultParagraphFont"/>
    <w:link w:val="CommentText"/>
    <w:uiPriority w:val="99"/>
    <w:rsid w:val="00857C4A"/>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857C4A"/>
    <w:rPr>
      <w:b/>
      <w:bCs/>
    </w:rPr>
  </w:style>
  <w:style w:type="character" w:customStyle="1" w:styleId="CommentSubjectChar">
    <w:name w:val="Comment Subject Char"/>
    <w:basedOn w:val="CommentTextChar"/>
    <w:link w:val="CommentSubject"/>
    <w:uiPriority w:val="99"/>
    <w:semiHidden/>
    <w:rsid w:val="00857C4A"/>
    <w:rPr>
      <w:rFonts w:ascii="Times New Roman" w:hAnsi="Times New Roman"/>
      <w:b/>
      <w:bCs/>
      <w:sz w:val="20"/>
      <w:szCs w:val="20"/>
      <w:lang w:val="en-GB"/>
    </w:rPr>
  </w:style>
  <w:style w:type="paragraph" w:styleId="BalloonText">
    <w:name w:val="Balloon Text"/>
    <w:basedOn w:val="Normal"/>
    <w:link w:val="BalloonTextChar"/>
    <w:uiPriority w:val="99"/>
    <w:semiHidden/>
    <w:unhideWhenUsed/>
    <w:rsid w:val="00857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C4A"/>
    <w:rPr>
      <w:rFonts w:ascii="Segoe UI" w:hAnsi="Segoe UI" w:cs="Segoe UI"/>
      <w:sz w:val="18"/>
      <w:szCs w:val="18"/>
      <w:lang w:val="en-GB"/>
    </w:rPr>
  </w:style>
  <w:style w:type="paragraph" w:styleId="ListParagraph">
    <w:name w:val="List Paragraph"/>
    <w:basedOn w:val="Normal"/>
    <w:uiPriority w:val="34"/>
    <w:qFormat/>
    <w:rsid w:val="000B7900"/>
    <w:pPr>
      <w:ind w:left="720"/>
      <w:contextualSpacing/>
    </w:pPr>
  </w:style>
  <w:style w:type="character" w:styleId="Hyperlink">
    <w:name w:val="Hyperlink"/>
    <w:basedOn w:val="DefaultParagraphFont"/>
    <w:uiPriority w:val="99"/>
    <w:unhideWhenUsed/>
    <w:rsid w:val="00A54CBD"/>
    <w:rPr>
      <w:color w:val="0563C1" w:themeColor="hyperlink"/>
      <w:u w:val="single"/>
    </w:rPr>
  </w:style>
  <w:style w:type="character" w:customStyle="1" w:styleId="Heading4Char">
    <w:name w:val="Heading 4 Char"/>
    <w:basedOn w:val="DefaultParagraphFont"/>
    <w:link w:val="Heading4"/>
    <w:uiPriority w:val="9"/>
    <w:rsid w:val="00304079"/>
    <w:rPr>
      <w:rFonts w:ascii="Times New Roman" w:eastAsiaTheme="majorEastAsia" w:hAnsi="Times New Roman" w:cstheme="majorBidi"/>
      <w:b/>
      <w:iCs/>
      <w:color w:val="0D0D0D" w:themeColor="text1" w:themeTint="F2"/>
      <w:lang w:val="en-GB"/>
    </w:rPr>
  </w:style>
  <w:style w:type="paragraph" w:styleId="Revision">
    <w:name w:val="Revision"/>
    <w:hidden/>
    <w:uiPriority w:val="99"/>
    <w:semiHidden/>
    <w:rsid w:val="00B62154"/>
    <w:pPr>
      <w:spacing w:after="0" w:line="240" w:lineRule="auto"/>
    </w:pPr>
    <w:rPr>
      <w:rFonts w:ascii="Times New Roman" w:hAnsi="Times New Roman"/>
      <w:lang w:val="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04BD6"/>
  </w:style>
  <w:style w:type="character" w:styleId="Emphasis">
    <w:name w:val="Emphasis"/>
    <w:basedOn w:val="DefaultParagraphFont"/>
    <w:uiPriority w:val="20"/>
    <w:qFormat/>
    <w:rsid w:val="001C30C0"/>
    <w:rPr>
      <w:i/>
      <w:iCs/>
    </w:rPr>
  </w:style>
  <w:style w:type="character" w:customStyle="1" w:styleId="mtext">
    <w:name w:val="mtext"/>
    <w:basedOn w:val="DefaultParagraphFont"/>
    <w:rsid w:val="001C30C0"/>
  </w:style>
  <w:style w:type="character" w:customStyle="1" w:styleId="mi">
    <w:name w:val="mi"/>
    <w:basedOn w:val="DefaultParagraphFont"/>
    <w:rsid w:val="001C30C0"/>
  </w:style>
  <w:style w:type="character" w:customStyle="1" w:styleId="mo">
    <w:name w:val="mo"/>
    <w:basedOn w:val="DefaultParagraphFont"/>
    <w:rsid w:val="001C30C0"/>
  </w:style>
  <w:style w:type="character" w:customStyle="1" w:styleId="mn">
    <w:name w:val="mn"/>
    <w:basedOn w:val="DefaultParagraphFont"/>
    <w:rsid w:val="001C30C0"/>
  </w:style>
  <w:style w:type="character" w:customStyle="1" w:styleId="mjxassistivemathml">
    <w:name w:val="mjx_assistive_mathml"/>
    <w:basedOn w:val="DefaultParagraphFont"/>
    <w:rsid w:val="001C30C0"/>
  </w:style>
  <w:style w:type="character" w:customStyle="1" w:styleId="topsub">
    <w:name w:val="top__sub"/>
    <w:basedOn w:val="DefaultParagraphFont"/>
    <w:rsid w:val="001C30C0"/>
  </w:style>
  <w:style w:type="character" w:customStyle="1" w:styleId="toptext">
    <w:name w:val="top__text"/>
    <w:basedOn w:val="DefaultParagraphFont"/>
    <w:rsid w:val="001C30C0"/>
  </w:style>
  <w:style w:type="paragraph" w:styleId="Bibliography">
    <w:name w:val="Bibliography"/>
    <w:basedOn w:val="Normal"/>
    <w:next w:val="Normal"/>
    <w:uiPriority w:val="37"/>
    <w:unhideWhenUsed/>
    <w:rsid w:val="001C30C0"/>
    <w:pPr>
      <w:tabs>
        <w:tab w:val="left" w:pos="144"/>
      </w:tabs>
      <w:spacing w:after="240" w:line="240" w:lineRule="auto"/>
      <w:ind w:left="144" w:hanging="144"/>
    </w:pPr>
  </w:style>
  <w:style w:type="character" w:customStyle="1" w:styleId="label">
    <w:name w:val="label"/>
    <w:basedOn w:val="DefaultParagraphFont"/>
    <w:rsid w:val="001C30C0"/>
  </w:style>
  <w:style w:type="character" w:customStyle="1" w:styleId="figuretitletext">
    <w:name w:val="figure__title__text"/>
    <w:basedOn w:val="DefaultParagraphFont"/>
    <w:rsid w:val="001C30C0"/>
  </w:style>
  <w:style w:type="character" w:customStyle="1" w:styleId="inline-tablelabel">
    <w:name w:val="inline-table__label"/>
    <w:basedOn w:val="DefaultParagraphFont"/>
    <w:rsid w:val="001C30C0"/>
  </w:style>
  <w:style w:type="character" w:customStyle="1" w:styleId="inline-tabletitle">
    <w:name w:val="inline-table__title"/>
    <w:basedOn w:val="DefaultParagraphFont"/>
    <w:rsid w:val="001C30C0"/>
  </w:style>
  <w:style w:type="paragraph" w:customStyle="1" w:styleId="paragraph">
    <w:name w:val="paragraph"/>
    <w:basedOn w:val="Normal"/>
    <w:rsid w:val="00FD7A9E"/>
    <w:pPr>
      <w:spacing w:before="100" w:beforeAutospacing="1" w:after="100" w:afterAutospacing="1" w:line="240" w:lineRule="auto"/>
    </w:pPr>
    <w:rPr>
      <w:rFonts w:eastAsia="Times New Roman" w:cs="Times New Roman"/>
      <w:sz w:val="24"/>
      <w:szCs w:val="24"/>
      <w:lang w:val="en-US"/>
    </w:rPr>
  </w:style>
  <w:style w:type="character" w:customStyle="1" w:styleId="normaltextrun">
    <w:name w:val="normaltextrun"/>
    <w:basedOn w:val="DefaultParagraphFont"/>
    <w:rsid w:val="00FD7A9E"/>
  </w:style>
  <w:style w:type="character" w:customStyle="1" w:styleId="eop">
    <w:name w:val="eop"/>
    <w:basedOn w:val="DefaultParagraphFont"/>
    <w:rsid w:val="00FD7A9E"/>
  </w:style>
  <w:style w:type="paragraph" w:styleId="NormalWeb">
    <w:name w:val="Normal (Web)"/>
    <w:basedOn w:val="Normal"/>
    <w:uiPriority w:val="99"/>
    <w:unhideWhenUsed/>
    <w:rsid w:val="00781D5D"/>
    <w:pPr>
      <w:spacing w:before="100" w:beforeAutospacing="1" w:after="100" w:afterAutospacing="1" w:line="240" w:lineRule="auto"/>
    </w:pPr>
    <w:rPr>
      <w:rFonts w:eastAsia="Times New Roman" w:cs="Times New Roman"/>
      <w:sz w:val="24"/>
      <w:szCs w:val="24"/>
      <w:lang w:val="en-US"/>
    </w:rPr>
  </w:style>
  <w:style w:type="character" w:customStyle="1" w:styleId="UnresolvedMention1">
    <w:name w:val="Unresolved Mention1"/>
    <w:basedOn w:val="DefaultParagraphFont"/>
    <w:uiPriority w:val="99"/>
    <w:semiHidden/>
    <w:unhideWhenUsed/>
    <w:rsid w:val="00F738F7"/>
    <w:rPr>
      <w:color w:val="605E5C"/>
      <w:shd w:val="clear" w:color="auto" w:fill="E1DFDD"/>
    </w:rPr>
  </w:style>
  <w:style w:type="character" w:styleId="FollowedHyperlink">
    <w:name w:val="FollowedHyperlink"/>
    <w:basedOn w:val="DefaultParagraphFont"/>
    <w:uiPriority w:val="99"/>
    <w:semiHidden/>
    <w:unhideWhenUsed/>
    <w:rsid w:val="00805C31"/>
    <w:rPr>
      <w:color w:val="954F72" w:themeColor="followedHyperlink"/>
      <w:u w:val="single"/>
    </w:rPr>
  </w:style>
  <w:style w:type="character" w:customStyle="1" w:styleId="Mention1">
    <w:name w:val="Mention1"/>
    <w:basedOn w:val="DefaultParagraphFont"/>
    <w:uiPriority w:val="99"/>
    <w:unhideWhenUsed/>
    <w:rsid w:val="00957864"/>
    <w:rPr>
      <w:color w:val="2B579A"/>
      <w:shd w:val="clear" w:color="auto" w:fill="E6E6E6"/>
    </w:rPr>
  </w:style>
  <w:style w:type="character" w:styleId="Strong">
    <w:name w:val="Strong"/>
    <w:basedOn w:val="DefaultParagraphFont"/>
    <w:uiPriority w:val="22"/>
    <w:qFormat/>
    <w:rsid w:val="00272BF7"/>
    <w:rPr>
      <w:b/>
      <w:bCs/>
    </w:rPr>
  </w:style>
  <w:style w:type="paragraph" w:styleId="NoSpacing">
    <w:name w:val="No Spacing"/>
    <w:uiPriority w:val="1"/>
    <w:qFormat/>
    <w:rsid w:val="00BF6060"/>
    <w:pPr>
      <w:spacing w:after="0" w:line="240" w:lineRule="auto"/>
    </w:pPr>
    <w:rPr>
      <w:rFonts w:ascii="Times New Roman" w:hAnsi="Times New Roman"/>
      <w:lang w:val="en-GB"/>
    </w:rPr>
  </w:style>
  <w:style w:type="character" w:styleId="Mention">
    <w:name w:val="Mention"/>
    <w:basedOn w:val="DefaultParagraphFont"/>
    <w:uiPriority w:val="99"/>
    <w:unhideWhenUsed/>
    <w:rsid w:val="00C75E78"/>
    <w:rPr>
      <w:color w:val="2B579A"/>
      <w:shd w:val="clear" w:color="auto" w:fill="E6E6E6"/>
    </w:rPr>
  </w:style>
  <w:style w:type="character" w:styleId="UnresolvedMention">
    <w:name w:val="Unresolved Mention"/>
    <w:basedOn w:val="DefaultParagraphFont"/>
    <w:uiPriority w:val="99"/>
    <w:semiHidden/>
    <w:unhideWhenUsed/>
    <w:rsid w:val="00623E92"/>
    <w:rPr>
      <w:color w:val="605E5C"/>
      <w:shd w:val="clear" w:color="auto" w:fill="E1DFDD"/>
    </w:rPr>
  </w:style>
  <w:style w:type="character" w:customStyle="1" w:styleId="cf01">
    <w:name w:val="cf01"/>
    <w:basedOn w:val="DefaultParagraphFont"/>
    <w:rsid w:val="00BF793A"/>
    <w:rPr>
      <w:rFonts w:ascii="Segoe UI" w:hAnsi="Segoe UI" w:cs="Segoe UI" w:hint="default"/>
      <w:sz w:val="18"/>
      <w:szCs w:val="18"/>
    </w:rPr>
  </w:style>
  <w:style w:type="character" w:customStyle="1" w:styleId="Heading5Char">
    <w:name w:val="Heading 5 Char"/>
    <w:basedOn w:val="DefaultParagraphFont"/>
    <w:link w:val="Heading5"/>
    <w:uiPriority w:val="9"/>
    <w:rsid w:val="00966C8E"/>
    <w:rPr>
      <w:rFonts w:ascii="Times New Roman" w:eastAsiaTheme="majorEastAsia" w:hAnsi="Times New Roman" w:cstheme="majorBidi"/>
      <w:i/>
      <w:lang w:val="en-GB"/>
    </w:rPr>
  </w:style>
  <w:style w:type="character" w:styleId="PlaceholderText">
    <w:name w:val="Placeholder Text"/>
    <w:basedOn w:val="DefaultParagraphFont"/>
    <w:uiPriority w:val="99"/>
    <w:semiHidden/>
    <w:rsid w:val="00B3671C"/>
    <w:rPr>
      <w:color w:val="808080"/>
    </w:rPr>
  </w:style>
  <w:style w:type="paragraph" w:customStyle="1" w:styleId="pf0">
    <w:name w:val="pf0"/>
    <w:basedOn w:val="Normal"/>
    <w:rsid w:val="001A1361"/>
    <w:pPr>
      <w:spacing w:before="100" w:beforeAutospacing="1" w:after="100" w:afterAutospacing="1" w:line="240" w:lineRule="auto"/>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053771">
      <w:bodyDiv w:val="1"/>
      <w:marLeft w:val="0"/>
      <w:marRight w:val="0"/>
      <w:marTop w:val="0"/>
      <w:marBottom w:val="0"/>
      <w:divBdr>
        <w:top w:val="none" w:sz="0" w:space="0" w:color="auto"/>
        <w:left w:val="none" w:sz="0" w:space="0" w:color="auto"/>
        <w:bottom w:val="none" w:sz="0" w:space="0" w:color="auto"/>
        <w:right w:val="none" w:sz="0" w:space="0" w:color="auto"/>
      </w:divBdr>
      <w:divsChild>
        <w:div w:id="51780029">
          <w:marLeft w:val="0"/>
          <w:marRight w:val="0"/>
          <w:marTop w:val="150"/>
          <w:marBottom w:val="270"/>
          <w:divBdr>
            <w:top w:val="none" w:sz="0" w:space="0" w:color="auto"/>
            <w:left w:val="none" w:sz="0" w:space="0" w:color="auto"/>
            <w:bottom w:val="none" w:sz="0" w:space="0" w:color="auto"/>
            <w:right w:val="none" w:sz="0" w:space="0" w:color="auto"/>
          </w:divBdr>
        </w:div>
        <w:div w:id="181168148">
          <w:marLeft w:val="0"/>
          <w:marRight w:val="0"/>
          <w:marTop w:val="150"/>
          <w:marBottom w:val="270"/>
          <w:divBdr>
            <w:top w:val="none" w:sz="0" w:space="0" w:color="auto"/>
            <w:left w:val="none" w:sz="0" w:space="0" w:color="auto"/>
            <w:bottom w:val="none" w:sz="0" w:space="0" w:color="auto"/>
            <w:right w:val="none" w:sz="0" w:space="0" w:color="auto"/>
          </w:divBdr>
        </w:div>
        <w:div w:id="205261506">
          <w:marLeft w:val="0"/>
          <w:marRight w:val="0"/>
          <w:marTop w:val="150"/>
          <w:marBottom w:val="270"/>
          <w:divBdr>
            <w:top w:val="none" w:sz="0" w:space="0" w:color="auto"/>
            <w:left w:val="none" w:sz="0" w:space="0" w:color="auto"/>
            <w:bottom w:val="none" w:sz="0" w:space="0" w:color="auto"/>
            <w:right w:val="none" w:sz="0" w:space="0" w:color="auto"/>
          </w:divBdr>
          <w:divsChild>
            <w:div w:id="43213581">
              <w:marLeft w:val="0"/>
              <w:marRight w:val="0"/>
              <w:marTop w:val="0"/>
              <w:marBottom w:val="0"/>
              <w:divBdr>
                <w:top w:val="none" w:sz="0" w:space="0" w:color="auto"/>
                <w:left w:val="none" w:sz="0" w:space="0" w:color="auto"/>
                <w:bottom w:val="none" w:sz="0" w:space="0" w:color="auto"/>
                <w:right w:val="none" w:sz="0" w:space="0" w:color="auto"/>
              </w:divBdr>
            </w:div>
          </w:divsChild>
        </w:div>
        <w:div w:id="263925966">
          <w:marLeft w:val="0"/>
          <w:marRight w:val="0"/>
          <w:marTop w:val="150"/>
          <w:marBottom w:val="270"/>
          <w:divBdr>
            <w:top w:val="none" w:sz="0" w:space="0" w:color="auto"/>
            <w:left w:val="none" w:sz="0" w:space="0" w:color="auto"/>
            <w:bottom w:val="none" w:sz="0" w:space="0" w:color="auto"/>
            <w:right w:val="none" w:sz="0" w:space="0" w:color="auto"/>
          </w:divBdr>
        </w:div>
        <w:div w:id="446975121">
          <w:marLeft w:val="0"/>
          <w:marRight w:val="0"/>
          <w:marTop w:val="150"/>
          <w:marBottom w:val="270"/>
          <w:divBdr>
            <w:top w:val="none" w:sz="0" w:space="0" w:color="auto"/>
            <w:left w:val="none" w:sz="0" w:space="0" w:color="auto"/>
            <w:bottom w:val="none" w:sz="0" w:space="0" w:color="auto"/>
            <w:right w:val="none" w:sz="0" w:space="0" w:color="auto"/>
          </w:divBdr>
        </w:div>
        <w:div w:id="474179381">
          <w:marLeft w:val="0"/>
          <w:marRight w:val="0"/>
          <w:marTop w:val="150"/>
          <w:marBottom w:val="270"/>
          <w:divBdr>
            <w:top w:val="none" w:sz="0" w:space="0" w:color="auto"/>
            <w:left w:val="none" w:sz="0" w:space="0" w:color="auto"/>
            <w:bottom w:val="none" w:sz="0" w:space="0" w:color="auto"/>
            <w:right w:val="none" w:sz="0" w:space="0" w:color="auto"/>
          </w:divBdr>
        </w:div>
        <w:div w:id="813566620">
          <w:marLeft w:val="0"/>
          <w:marRight w:val="0"/>
          <w:marTop w:val="150"/>
          <w:marBottom w:val="270"/>
          <w:divBdr>
            <w:top w:val="none" w:sz="0" w:space="0" w:color="auto"/>
            <w:left w:val="none" w:sz="0" w:space="0" w:color="auto"/>
            <w:bottom w:val="none" w:sz="0" w:space="0" w:color="auto"/>
            <w:right w:val="none" w:sz="0" w:space="0" w:color="auto"/>
          </w:divBdr>
        </w:div>
        <w:div w:id="1258371650">
          <w:marLeft w:val="0"/>
          <w:marRight w:val="0"/>
          <w:marTop w:val="150"/>
          <w:marBottom w:val="270"/>
          <w:divBdr>
            <w:top w:val="none" w:sz="0" w:space="0" w:color="auto"/>
            <w:left w:val="none" w:sz="0" w:space="0" w:color="auto"/>
            <w:bottom w:val="none" w:sz="0" w:space="0" w:color="auto"/>
            <w:right w:val="none" w:sz="0" w:space="0" w:color="auto"/>
          </w:divBdr>
          <w:divsChild>
            <w:div w:id="1752047807">
              <w:marLeft w:val="0"/>
              <w:marRight w:val="0"/>
              <w:marTop w:val="0"/>
              <w:marBottom w:val="0"/>
              <w:divBdr>
                <w:top w:val="none" w:sz="0" w:space="0" w:color="auto"/>
                <w:left w:val="none" w:sz="0" w:space="0" w:color="auto"/>
                <w:bottom w:val="none" w:sz="0" w:space="0" w:color="auto"/>
                <w:right w:val="none" w:sz="0" w:space="0" w:color="auto"/>
              </w:divBdr>
            </w:div>
          </w:divsChild>
        </w:div>
        <w:div w:id="1408264033">
          <w:marLeft w:val="0"/>
          <w:marRight w:val="0"/>
          <w:marTop w:val="150"/>
          <w:marBottom w:val="270"/>
          <w:divBdr>
            <w:top w:val="none" w:sz="0" w:space="0" w:color="auto"/>
            <w:left w:val="none" w:sz="0" w:space="0" w:color="auto"/>
            <w:bottom w:val="none" w:sz="0" w:space="0" w:color="auto"/>
            <w:right w:val="none" w:sz="0" w:space="0" w:color="auto"/>
          </w:divBdr>
          <w:divsChild>
            <w:div w:id="149059191">
              <w:marLeft w:val="0"/>
              <w:marRight w:val="0"/>
              <w:marTop w:val="0"/>
              <w:marBottom w:val="0"/>
              <w:divBdr>
                <w:top w:val="none" w:sz="0" w:space="0" w:color="auto"/>
                <w:left w:val="none" w:sz="0" w:space="0" w:color="auto"/>
                <w:bottom w:val="none" w:sz="0" w:space="0" w:color="auto"/>
                <w:right w:val="none" w:sz="0" w:space="0" w:color="auto"/>
              </w:divBdr>
            </w:div>
          </w:divsChild>
        </w:div>
        <w:div w:id="1517305604">
          <w:marLeft w:val="0"/>
          <w:marRight w:val="0"/>
          <w:marTop w:val="150"/>
          <w:marBottom w:val="270"/>
          <w:divBdr>
            <w:top w:val="none" w:sz="0" w:space="0" w:color="auto"/>
            <w:left w:val="none" w:sz="0" w:space="0" w:color="auto"/>
            <w:bottom w:val="none" w:sz="0" w:space="0" w:color="auto"/>
            <w:right w:val="none" w:sz="0" w:space="0" w:color="auto"/>
          </w:divBdr>
        </w:div>
        <w:div w:id="1908295018">
          <w:marLeft w:val="0"/>
          <w:marRight w:val="0"/>
          <w:marTop w:val="150"/>
          <w:marBottom w:val="270"/>
          <w:divBdr>
            <w:top w:val="none" w:sz="0" w:space="0" w:color="auto"/>
            <w:left w:val="none" w:sz="0" w:space="0" w:color="auto"/>
            <w:bottom w:val="none" w:sz="0" w:space="0" w:color="auto"/>
            <w:right w:val="none" w:sz="0" w:space="0" w:color="auto"/>
          </w:divBdr>
          <w:divsChild>
            <w:div w:id="1919947814">
              <w:marLeft w:val="0"/>
              <w:marRight w:val="0"/>
              <w:marTop w:val="0"/>
              <w:marBottom w:val="0"/>
              <w:divBdr>
                <w:top w:val="none" w:sz="0" w:space="0" w:color="auto"/>
                <w:left w:val="none" w:sz="0" w:space="0" w:color="auto"/>
                <w:bottom w:val="none" w:sz="0" w:space="0" w:color="auto"/>
                <w:right w:val="none" w:sz="0" w:space="0" w:color="auto"/>
              </w:divBdr>
            </w:div>
          </w:divsChild>
        </w:div>
        <w:div w:id="1953517653">
          <w:marLeft w:val="0"/>
          <w:marRight w:val="0"/>
          <w:marTop w:val="150"/>
          <w:marBottom w:val="270"/>
          <w:divBdr>
            <w:top w:val="none" w:sz="0" w:space="0" w:color="auto"/>
            <w:left w:val="none" w:sz="0" w:space="0" w:color="auto"/>
            <w:bottom w:val="none" w:sz="0" w:space="0" w:color="auto"/>
            <w:right w:val="none" w:sz="0" w:space="0" w:color="auto"/>
          </w:divBdr>
          <w:divsChild>
            <w:div w:id="1466007454">
              <w:marLeft w:val="0"/>
              <w:marRight w:val="0"/>
              <w:marTop w:val="0"/>
              <w:marBottom w:val="0"/>
              <w:divBdr>
                <w:top w:val="none" w:sz="0" w:space="0" w:color="auto"/>
                <w:left w:val="none" w:sz="0" w:space="0" w:color="auto"/>
                <w:bottom w:val="none" w:sz="0" w:space="0" w:color="auto"/>
                <w:right w:val="none" w:sz="0" w:space="0" w:color="auto"/>
              </w:divBdr>
            </w:div>
          </w:divsChild>
        </w:div>
        <w:div w:id="1957173235">
          <w:marLeft w:val="0"/>
          <w:marRight w:val="0"/>
          <w:marTop w:val="150"/>
          <w:marBottom w:val="270"/>
          <w:divBdr>
            <w:top w:val="none" w:sz="0" w:space="0" w:color="auto"/>
            <w:left w:val="none" w:sz="0" w:space="0" w:color="auto"/>
            <w:bottom w:val="none" w:sz="0" w:space="0" w:color="auto"/>
            <w:right w:val="none" w:sz="0" w:space="0" w:color="auto"/>
          </w:divBdr>
        </w:div>
        <w:div w:id="1986274500">
          <w:marLeft w:val="0"/>
          <w:marRight w:val="0"/>
          <w:marTop w:val="150"/>
          <w:marBottom w:val="270"/>
          <w:divBdr>
            <w:top w:val="none" w:sz="0" w:space="0" w:color="auto"/>
            <w:left w:val="none" w:sz="0" w:space="0" w:color="auto"/>
            <w:bottom w:val="none" w:sz="0" w:space="0" w:color="auto"/>
            <w:right w:val="none" w:sz="0" w:space="0" w:color="auto"/>
          </w:divBdr>
        </w:div>
      </w:divsChild>
    </w:div>
    <w:div w:id="111167821">
      <w:bodyDiv w:val="1"/>
      <w:marLeft w:val="0"/>
      <w:marRight w:val="0"/>
      <w:marTop w:val="0"/>
      <w:marBottom w:val="0"/>
      <w:divBdr>
        <w:top w:val="none" w:sz="0" w:space="0" w:color="auto"/>
        <w:left w:val="none" w:sz="0" w:space="0" w:color="auto"/>
        <w:bottom w:val="none" w:sz="0" w:space="0" w:color="auto"/>
        <w:right w:val="none" w:sz="0" w:space="0" w:color="auto"/>
      </w:divBdr>
      <w:divsChild>
        <w:div w:id="132260289">
          <w:marLeft w:val="0"/>
          <w:marRight w:val="0"/>
          <w:marTop w:val="0"/>
          <w:marBottom w:val="0"/>
          <w:divBdr>
            <w:top w:val="none" w:sz="0" w:space="0" w:color="auto"/>
            <w:left w:val="none" w:sz="0" w:space="0" w:color="auto"/>
            <w:bottom w:val="none" w:sz="0" w:space="0" w:color="auto"/>
            <w:right w:val="none" w:sz="0" w:space="0" w:color="auto"/>
          </w:divBdr>
          <w:divsChild>
            <w:div w:id="338319029">
              <w:marLeft w:val="0"/>
              <w:marRight w:val="0"/>
              <w:marTop w:val="150"/>
              <w:marBottom w:val="270"/>
              <w:divBdr>
                <w:top w:val="none" w:sz="0" w:space="0" w:color="auto"/>
                <w:left w:val="none" w:sz="0" w:space="0" w:color="auto"/>
                <w:bottom w:val="none" w:sz="0" w:space="0" w:color="auto"/>
                <w:right w:val="none" w:sz="0" w:space="0" w:color="auto"/>
              </w:divBdr>
            </w:div>
          </w:divsChild>
        </w:div>
        <w:div w:id="956790976">
          <w:marLeft w:val="0"/>
          <w:marRight w:val="0"/>
          <w:marTop w:val="210"/>
          <w:marBottom w:val="0"/>
          <w:divBdr>
            <w:top w:val="none" w:sz="0" w:space="0" w:color="auto"/>
            <w:left w:val="none" w:sz="0" w:space="0" w:color="auto"/>
            <w:bottom w:val="none" w:sz="0" w:space="0" w:color="auto"/>
            <w:right w:val="none" w:sz="0" w:space="0" w:color="auto"/>
          </w:divBdr>
        </w:div>
      </w:divsChild>
    </w:div>
    <w:div w:id="285544091">
      <w:bodyDiv w:val="1"/>
      <w:marLeft w:val="0"/>
      <w:marRight w:val="0"/>
      <w:marTop w:val="0"/>
      <w:marBottom w:val="0"/>
      <w:divBdr>
        <w:top w:val="none" w:sz="0" w:space="0" w:color="auto"/>
        <w:left w:val="none" w:sz="0" w:space="0" w:color="auto"/>
        <w:bottom w:val="none" w:sz="0" w:space="0" w:color="auto"/>
        <w:right w:val="none" w:sz="0" w:space="0" w:color="auto"/>
      </w:divBdr>
    </w:div>
    <w:div w:id="340740118">
      <w:bodyDiv w:val="1"/>
      <w:marLeft w:val="0"/>
      <w:marRight w:val="0"/>
      <w:marTop w:val="0"/>
      <w:marBottom w:val="0"/>
      <w:divBdr>
        <w:top w:val="none" w:sz="0" w:space="0" w:color="auto"/>
        <w:left w:val="none" w:sz="0" w:space="0" w:color="auto"/>
        <w:bottom w:val="none" w:sz="0" w:space="0" w:color="auto"/>
        <w:right w:val="none" w:sz="0" w:space="0" w:color="auto"/>
      </w:divBdr>
      <w:divsChild>
        <w:div w:id="998117198">
          <w:marLeft w:val="0"/>
          <w:marRight w:val="0"/>
          <w:marTop w:val="210"/>
          <w:marBottom w:val="0"/>
          <w:divBdr>
            <w:top w:val="none" w:sz="0" w:space="0" w:color="auto"/>
            <w:left w:val="none" w:sz="0" w:space="0" w:color="auto"/>
            <w:bottom w:val="none" w:sz="0" w:space="0" w:color="auto"/>
            <w:right w:val="none" w:sz="0" w:space="0" w:color="auto"/>
          </w:divBdr>
        </w:div>
        <w:div w:id="1834369389">
          <w:marLeft w:val="0"/>
          <w:marRight w:val="0"/>
          <w:marTop w:val="0"/>
          <w:marBottom w:val="0"/>
          <w:divBdr>
            <w:top w:val="none" w:sz="0" w:space="0" w:color="auto"/>
            <w:left w:val="none" w:sz="0" w:space="0" w:color="auto"/>
            <w:bottom w:val="none" w:sz="0" w:space="0" w:color="auto"/>
            <w:right w:val="none" w:sz="0" w:space="0" w:color="auto"/>
          </w:divBdr>
          <w:divsChild>
            <w:div w:id="688677814">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360281106">
      <w:bodyDiv w:val="1"/>
      <w:marLeft w:val="0"/>
      <w:marRight w:val="0"/>
      <w:marTop w:val="0"/>
      <w:marBottom w:val="0"/>
      <w:divBdr>
        <w:top w:val="none" w:sz="0" w:space="0" w:color="auto"/>
        <w:left w:val="none" w:sz="0" w:space="0" w:color="auto"/>
        <w:bottom w:val="none" w:sz="0" w:space="0" w:color="auto"/>
        <w:right w:val="none" w:sz="0" w:space="0" w:color="auto"/>
      </w:divBdr>
    </w:div>
    <w:div w:id="361901135">
      <w:bodyDiv w:val="1"/>
      <w:marLeft w:val="0"/>
      <w:marRight w:val="0"/>
      <w:marTop w:val="0"/>
      <w:marBottom w:val="0"/>
      <w:divBdr>
        <w:top w:val="none" w:sz="0" w:space="0" w:color="auto"/>
        <w:left w:val="none" w:sz="0" w:space="0" w:color="auto"/>
        <w:bottom w:val="none" w:sz="0" w:space="0" w:color="auto"/>
        <w:right w:val="none" w:sz="0" w:space="0" w:color="auto"/>
      </w:divBdr>
      <w:divsChild>
        <w:div w:id="1866944992">
          <w:marLeft w:val="0"/>
          <w:marRight w:val="0"/>
          <w:marTop w:val="0"/>
          <w:marBottom w:val="0"/>
          <w:divBdr>
            <w:top w:val="none" w:sz="0" w:space="0" w:color="auto"/>
            <w:left w:val="none" w:sz="0" w:space="0" w:color="auto"/>
            <w:bottom w:val="none" w:sz="0" w:space="0" w:color="auto"/>
            <w:right w:val="none" w:sz="0" w:space="0" w:color="auto"/>
          </w:divBdr>
        </w:div>
      </w:divsChild>
    </w:div>
    <w:div w:id="381906742">
      <w:bodyDiv w:val="1"/>
      <w:marLeft w:val="0"/>
      <w:marRight w:val="0"/>
      <w:marTop w:val="0"/>
      <w:marBottom w:val="0"/>
      <w:divBdr>
        <w:top w:val="none" w:sz="0" w:space="0" w:color="auto"/>
        <w:left w:val="none" w:sz="0" w:space="0" w:color="auto"/>
        <w:bottom w:val="none" w:sz="0" w:space="0" w:color="auto"/>
        <w:right w:val="none" w:sz="0" w:space="0" w:color="auto"/>
      </w:divBdr>
    </w:div>
    <w:div w:id="446394299">
      <w:bodyDiv w:val="1"/>
      <w:marLeft w:val="0"/>
      <w:marRight w:val="0"/>
      <w:marTop w:val="0"/>
      <w:marBottom w:val="0"/>
      <w:divBdr>
        <w:top w:val="none" w:sz="0" w:space="0" w:color="auto"/>
        <w:left w:val="none" w:sz="0" w:space="0" w:color="auto"/>
        <w:bottom w:val="none" w:sz="0" w:space="0" w:color="auto"/>
        <w:right w:val="none" w:sz="0" w:space="0" w:color="auto"/>
      </w:divBdr>
      <w:divsChild>
        <w:div w:id="486871394">
          <w:marLeft w:val="0"/>
          <w:marRight w:val="0"/>
          <w:marTop w:val="210"/>
          <w:marBottom w:val="0"/>
          <w:divBdr>
            <w:top w:val="none" w:sz="0" w:space="0" w:color="auto"/>
            <w:left w:val="none" w:sz="0" w:space="0" w:color="auto"/>
            <w:bottom w:val="none" w:sz="0" w:space="0" w:color="auto"/>
            <w:right w:val="none" w:sz="0" w:space="0" w:color="auto"/>
          </w:divBdr>
        </w:div>
        <w:div w:id="1139686351">
          <w:marLeft w:val="0"/>
          <w:marRight w:val="0"/>
          <w:marTop w:val="0"/>
          <w:marBottom w:val="0"/>
          <w:divBdr>
            <w:top w:val="none" w:sz="0" w:space="0" w:color="auto"/>
            <w:left w:val="none" w:sz="0" w:space="0" w:color="auto"/>
            <w:bottom w:val="none" w:sz="0" w:space="0" w:color="auto"/>
            <w:right w:val="none" w:sz="0" w:space="0" w:color="auto"/>
          </w:divBdr>
          <w:divsChild>
            <w:div w:id="1728259777">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461576616">
      <w:bodyDiv w:val="1"/>
      <w:marLeft w:val="0"/>
      <w:marRight w:val="0"/>
      <w:marTop w:val="0"/>
      <w:marBottom w:val="0"/>
      <w:divBdr>
        <w:top w:val="none" w:sz="0" w:space="0" w:color="auto"/>
        <w:left w:val="none" w:sz="0" w:space="0" w:color="auto"/>
        <w:bottom w:val="none" w:sz="0" w:space="0" w:color="auto"/>
        <w:right w:val="none" w:sz="0" w:space="0" w:color="auto"/>
      </w:divBdr>
      <w:divsChild>
        <w:div w:id="434062575">
          <w:marLeft w:val="0"/>
          <w:marRight w:val="0"/>
          <w:marTop w:val="0"/>
          <w:marBottom w:val="0"/>
          <w:divBdr>
            <w:top w:val="none" w:sz="0" w:space="0" w:color="auto"/>
            <w:left w:val="none" w:sz="0" w:space="0" w:color="auto"/>
            <w:bottom w:val="none" w:sz="0" w:space="0" w:color="auto"/>
            <w:right w:val="none" w:sz="0" w:space="0" w:color="auto"/>
          </w:divBdr>
        </w:div>
        <w:div w:id="960452017">
          <w:marLeft w:val="0"/>
          <w:marRight w:val="0"/>
          <w:marTop w:val="150"/>
          <w:marBottom w:val="270"/>
          <w:divBdr>
            <w:top w:val="none" w:sz="0" w:space="0" w:color="auto"/>
            <w:left w:val="none" w:sz="0" w:space="0" w:color="auto"/>
            <w:bottom w:val="none" w:sz="0" w:space="0" w:color="auto"/>
            <w:right w:val="none" w:sz="0" w:space="0" w:color="auto"/>
          </w:divBdr>
        </w:div>
      </w:divsChild>
    </w:div>
    <w:div w:id="490754818">
      <w:bodyDiv w:val="1"/>
      <w:marLeft w:val="0"/>
      <w:marRight w:val="0"/>
      <w:marTop w:val="0"/>
      <w:marBottom w:val="0"/>
      <w:divBdr>
        <w:top w:val="none" w:sz="0" w:space="0" w:color="auto"/>
        <w:left w:val="none" w:sz="0" w:space="0" w:color="auto"/>
        <w:bottom w:val="none" w:sz="0" w:space="0" w:color="auto"/>
        <w:right w:val="none" w:sz="0" w:space="0" w:color="auto"/>
      </w:divBdr>
    </w:div>
    <w:div w:id="502360876">
      <w:bodyDiv w:val="1"/>
      <w:marLeft w:val="0"/>
      <w:marRight w:val="0"/>
      <w:marTop w:val="0"/>
      <w:marBottom w:val="0"/>
      <w:divBdr>
        <w:top w:val="none" w:sz="0" w:space="0" w:color="auto"/>
        <w:left w:val="none" w:sz="0" w:space="0" w:color="auto"/>
        <w:bottom w:val="none" w:sz="0" w:space="0" w:color="auto"/>
        <w:right w:val="none" w:sz="0" w:space="0" w:color="auto"/>
      </w:divBdr>
    </w:div>
    <w:div w:id="529298464">
      <w:bodyDiv w:val="1"/>
      <w:marLeft w:val="0"/>
      <w:marRight w:val="0"/>
      <w:marTop w:val="0"/>
      <w:marBottom w:val="0"/>
      <w:divBdr>
        <w:top w:val="none" w:sz="0" w:space="0" w:color="auto"/>
        <w:left w:val="none" w:sz="0" w:space="0" w:color="auto"/>
        <w:bottom w:val="none" w:sz="0" w:space="0" w:color="auto"/>
        <w:right w:val="none" w:sz="0" w:space="0" w:color="auto"/>
      </w:divBdr>
      <w:divsChild>
        <w:div w:id="46944711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548155408">
      <w:bodyDiv w:val="1"/>
      <w:marLeft w:val="0"/>
      <w:marRight w:val="0"/>
      <w:marTop w:val="0"/>
      <w:marBottom w:val="0"/>
      <w:divBdr>
        <w:top w:val="none" w:sz="0" w:space="0" w:color="auto"/>
        <w:left w:val="none" w:sz="0" w:space="0" w:color="auto"/>
        <w:bottom w:val="none" w:sz="0" w:space="0" w:color="auto"/>
        <w:right w:val="none" w:sz="0" w:space="0" w:color="auto"/>
      </w:divBdr>
      <w:divsChild>
        <w:div w:id="1648127658">
          <w:marLeft w:val="0"/>
          <w:marRight w:val="0"/>
          <w:marTop w:val="0"/>
          <w:marBottom w:val="0"/>
          <w:divBdr>
            <w:top w:val="none" w:sz="0" w:space="0" w:color="auto"/>
            <w:left w:val="none" w:sz="0" w:space="0" w:color="auto"/>
            <w:bottom w:val="none" w:sz="0" w:space="0" w:color="auto"/>
            <w:right w:val="none" w:sz="0" w:space="0" w:color="auto"/>
          </w:divBdr>
        </w:div>
      </w:divsChild>
    </w:div>
    <w:div w:id="554898140">
      <w:bodyDiv w:val="1"/>
      <w:marLeft w:val="0"/>
      <w:marRight w:val="0"/>
      <w:marTop w:val="0"/>
      <w:marBottom w:val="0"/>
      <w:divBdr>
        <w:top w:val="none" w:sz="0" w:space="0" w:color="auto"/>
        <w:left w:val="none" w:sz="0" w:space="0" w:color="auto"/>
        <w:bottom w:val="none" w:sz="0" w:space="0" w:color="auto"/>
        <w:right w:val="none" w:sz="0" w:space="0" w:color="auto"/>
      </w:divBdr>
      <w:divsChild>
        <w:div w:id="176777583">
          <w:marLeft w:val="0"/>
          <w:marRight w:val="0"/>
          <w:marTop w:val="150"/>
          <w:marBottom w:val="270"/>
          <w:divBdr>
            <w:top w:val="none" w:sz="0" w:space="0" w:color="auto"/>
            <w:left w:val="none" w:sz="0" w:space="0" w:color="auto"/>
            <w:bottom w:val="none" w:sz="0" w:space="0" w:color="auto"/>
            <w:right w:val="none" w:sz="0" w:space="0" w:color="auto"/>
          </w:divBdr>
        </w:div>
        <w:div w:id="1484855805">
          <w:marLeft w:val="0"/>
          <w:marRight w:val="0"/>
          <w:marTop w:val="150"/>
          <w:marBottom w:val="270"/>
          <w:divBdr>
            <w:top w:val="none" w:sz="0" w:space="0" w:color="auto"/>
            <w:left w:val="none" w:sz="0" w:space="0" w:color="auto"/>
            <w:bottom w:val="none" w:sz="0" w:space="0" w:color="auto"/>
            <w:right w:val="none" w:sz="0" w:space="0" w:color="auto"/>
          </w:divBdr>
        </w:div>
        <w:div w:id="2003123540">
          <w:marLeft w:val="0"/>
          <w:marRight w:val="0"/>
          <w:marTop w:val="150"/>
          <w:marBottom w:val="270"/>
          <w:divBdr>
            <w:top w:val="none" w:sz="0" w:space="0" w:color="auto"/>
            <w:left w:val="none" w:sz="0" w:space="0" w:color="auto"/>
            <w:bottom w:val="none" w:sz="0" w:space="0" w:color="auto"/>
            <w:right w:val="none" w:sz="0" w:space="0" w:color="auto"/>
          </w:divBdr>
        </w:div>
      </w:divsChild>
    </w:div>
    <w:div w:id="649941829">
      <w:bodyDiv w:val="1"/>
      <w:marLeft w:val="0"/>
      <w:marRight w:val="0"/>
      <w:marTop w:val="0"/>
      <w:marBottom w:val="0"/>
      <w:divBdr>
        <w:top w:val="none" w:sz="0" w:space="0" w:color="auto"/>
        <w:left w:val="none" w:sz="0" w:space="0" w:color="auto"/>
        <w:bottom w:val="none" w:sz="0" w:space="0" w:color="auto"/>
        <w:right w:val="none" w:sz="0" w:space="0" w:color="auto"/>
      </w:divBdr>
    </w:div>
    <w:div w:id="720402673">
      <w:bodyDiv w:val="1"/>
      <w:marLeft w:val="0"/>
      <w:marRight w:val="0"/>
      <w:marTop w:val="0"/>
      <w:marBottom w:val="0"/>
      <w:divBdr>
        <w:top w:val="none" w:sz="0" w:space="0" w:color="auto"/>
        <w:left w:val="none" w:sz="0" w:space="0" w:color="auto"/>
        <w:bottom w:val="none" w:sz="0" w:space="0" w:color="auto"/>
        <w:right w:val="none" w:sz="0" w:space="0" w:color="auto"/>
      </w:divBdr>
      <w:divsChild>
        <w:div w:id="54545050">
          <w:marLeft w:val="0"/>
          <w:marRight w:val="0"/>
          <w:marTop w:val="150"/>
          <w:marBottom w:val="270"/>
          <w:divBdr>
            <w:top w:val="none" w:sz="0" w:space="0" w:color="auto"/>
            <w:left w:val="none" w:sz="0" w:space="0" w:color="auto"/>
            <w:bottom w:val="none" w:sz="0" w:space="0" w:color="auto"/>
            <w:right w:val="none" w:sz="0" w:space="0" w:color="auto"/>
          </w:divBdr>
          <w:divsChild>
            <w:div w:id="1745175587">
              <w:marLeft w:val="0"/>
              <w:marRight w:val="0"/>
              <w:marTop w:val="0"/>
              <w:marBottom w:val="0"/>
              <w:divBdr>
                <w:top w:val="none" w:sz="0" w:space="0" w:color="auto"/>
                <w:left w:val="none" w:sz="0" w:space="0" w:color="auto"/>
                <w:bottom w:val="none" w:sz="0" w:space="0" w:color="auto"/>
                <w:right w:val="none" w:sz="0" w:space="0" w:color="auto"/>
              </w:divBdr>
            </w:div>
          </w:divsChild>
        </w:div>
        <w:div w:id="162085529">
          <w:marLeft w:val="0"/>
          <w:marRight w:val="0"/>
          <w:marTop w:val="150"/>
          <w:marBottom w:val="270"/>
          <w:divBdr>
            <w:top w:val="none" w:sz="0" w:space="0" w:color="auto"/>
            <w:left w:val="none" w:sz="0" w:space="0" w:color="auto"/>
            <w:bottom w:val="none" w:sz="0" w:space="0" w:color="auto"/>
            <w:right w:val="none" w:sz="0" w:space="0" w:color="auto"/>
          </w:divBdr>
        </w:div>
        <w:div w:id="782000027">
          <w:marLeft w:val="0"/>
          <w:marRight w:val="0"/>
          <w:marTop w:val="150"/>
          <w:marBottom w:val="270"/>
          <w:divBdr>
            <w:top w:val="none" w:sz="0" w:space="0" w:color="auto"/>
            <w:left w:val="none" w:sz="0" w:space="0" w:color="auto"/>
            <w:bottom w:val="none" w:sz="0" w:space="0" w:color="auto"/>
            <w:right w:val="none" w:sz="0" w:space="0" w:color="auto"/>
          </w:divBdr>
          <w:divsChild>
            <w:div w:id="6517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6130">
      <w:bodyDiv w:val="1"/>
      <w:marLeft w:val="0"/>
      <w:marRight w:val="0"/>
      <w:marTop w:val="0"/>
      <w:marBottom w:val="0"/>
      <w:divBdr>
        <w:top w:val="none" w:sz="0" w:space="0" w:color="auto"/>
        <w:left w:val="none" w:sz="0" w:space="0" w:color="auto"/>
        <w:bottom w:val="none" w:sz="0" w:space="0" w:color="auto"/>
        <w:right w:val="none" w:sz="0" w:space="0" w:color="auto"/>
      </w:divBdr>
      <w:divsChild>
        <w:div w:id="8407600">
          <w:marLeft w:val="0"/>
          <w:marRight w:val="0"/>
          <w:marTop w:val="0"/>
          <w:marBottom w:val="0"/>
          <w:divBdr>
            <w:top w:val="none" w:sz="0" w:space="0" w:color="auto"/>
            <w:left w:val="none" w:sz="0" w:space="0" w:color="auto"/>
            <w:bottom w:val="none" w:sz="0" w:space="0" w:color="auto"/>
            <w:right w:val="none" w:sz="0" w:space="0" w:color="auto"/>
          </w:divBdr>
        </w:div>
        <w:div w:id="247928924">
          <w:marLeft w:val="0"/>
          <w:marRight w:val="0"/>
          <w:marTop w:val="0"/>
          <w:marBottom w:val="0"/>
          <w:divBdr>
            <w:top w:val="none" w:sz="0" w:space="0" w:color="auto"/>
            <w:left w:val="none" w:sz="0" w:space="0" w:color="auto"/>
            <w:bottom w:val="none" w:sz="0" w:space="0" w:color="auto"/>
            <w:right w:val="none" w:sz="0" w:space="0" w:color="auto"/>
          </w:divBdr>
        </w:div>
        <w:div w:id="950892753">
          <w:marLeft w:val="0"/>
          <w:marRight w:val="0"/>
          <w:marTop w:val="0"/>
          <w:marBottom w:val="0"/>
          <w:divBdr>
            <w:top w:val="none" w:sz="0" w:space="0" w:color="auto"/>
            <w:left w:val="none" w:sz="0" w:space="0" w:color="auto"/>
            <w:bottom w:val="none" w:sz="0" w:space="0" w:color="auto"/>
            <w:right w:val="none" w:sz="0" w:space="0" w:color="auto"/>
          </w:divBdr>
        </w:div>
      </w:divsChild>
    </w:div>
    <w:div w:id="822509088">
      <w:bodyDiv w:val="1"/>
      <w:marLeft w:val="0"/>
      <w:marRight w:val="0"/>
      <w:marTop w:val="0"/>
      <w:marBottom w:val="0"/>
      <w:divBdr>
        <w:top w:val="none" w:sz="0" w:space="0" w:color="auto"/>
        <w:left w:val="none" w:sz="0" w:space="0" w:color="auto"/>
        <w:bottom w:val="none" w:sz="0" w:space="0" w:color="auto"/>
        <w:right w:val="none" w:sz="0" w:space="0" w:color="auto"/>
      </w:divBdr>
      <w:divsChild>
        <w:div w:id="1830290523">
          <w:marLeft w:val="0"/>
          <w:marRight w:val="0"/>
          <w:marTop w:val="150"/>
          <w:marBottom w:val="270"/>
          <w:divBdr>
            <w:top w:val="none" w:sz="0" w:space="0" w:color="auto"/>
            <w:left w:val="none" w:sz="0" w:space="0" w:color="auto"/>
            <w:bottom w:val="none" w:sz="0" w:space="0" w:color="auto"/>
            <w:right w:val="none" w:sz="0" w:space="0" w:color="auto"/>
          </w:divBdr>
        </w:div>
      </w:divsChild>
    </w:div>
    <w:div w:id="833106391">
      <w:bodyDiv w:val="1"/>
      <w:marLeft w:val="0"/>
      <w:marRight w:val="0"/>
      <w:marTop w:val="0"/>
      <w:marBottom w:val="0"/>
      <w:divBdr>
        <w:top w:val="none" w:sz="0" w:space="0" w:color="auto"/>
        <w:left w:val="none" w:sz="0" w:space="0" w:color="auto"/>
        <w:bottom w:val="none" w:sz="0" w:space="0" w:color="auto"/>
        <w:right w:val="none" w:sz="0" w:space="0" w:color="auto"/>
      </w:divBdr>
      <w:divsChild>
        <w:div w:id="186215229">
          <w:marLeft w:val="0"/>
          <w:marRight w:val="0"/>
          <w:marTop w:val="0"/>
          <w:marBottom w:val="0"/>
          <w:divBdr>
            <w:top w:val="none" w:sz="0" w:space="0" w:color="auto"/>
            <w:left w:val="none" w:sz="0" w:space="0" w:color="auto"/>
            <w:bottom w:val="none" w:sz="0" w:space="0" w:color="auto"/>
            <w:right w:val="none" w:sz="0" w:space="0" w:color="auto"/>
          </w:divBdr>
        </w:div>
        <w:div w:id="1661352290">
          <w:marLeft w:val="0"/>
          <w:marRight w:val="0"/>
          <w:marTop w:val="150"/>
          <w:marBottom w:val="270"/>
          <w:divBdr>
            <w:top w:val="none" w:sz="0" w:space="0" w:color="auto"/>
            <w:left w:val="none" w:sz="0" w:space="0" w:color="auto"/>
            <w:bottom w:val="none" w:sz="0" w:space="0" w:color="auto"/>
            <w:right w:val="none" w:sz="0" w:space="0" w:color="auto"/>
          </w:divBdr>
        </w:div>
      </w:divsChild>
    </w:div>
    <w:div w:id="890188106">
      <w:bodyDiv w:val="1"/>
      <w:marLeft w:val="0"/>
      <w:marRight w:val="0"/>
      <w:marTop w:val="0"/>
      <w:marBottom w:val="0"/>
      <w:divBdr>
        <w:top w:val="none" w:sz="0" w:space="0" w:color="auto"/>
        <w:left w:val="none" w:sz="0" w:space="0" w:color="auto"/>
        <w:bottom w:val="none" w:sz="0" w:space="0" w:color="auto"/>
        <w:right w:val="none" w:sz="0" w:space="0" w:color="auto"/>
      </w:divBdr>
      <w:divsChild>
        <w:div w:id="105538182">
          <w:marLeft w:val="0"/>
          <w:marRight w:val="0"/>
          <w:marTop w:val="150"/>
          <w:marBottom w:val="270"/>
          <w:divBdr>
            <w:top w:val="none" w:sz="0" w:space="0" w:color="auto"/>
            <w:left w:val="none" w:sz="0" w:space="0" w:color="auto"/>
            <w:bottom w:val="none" w:sz="0" w:space="0" w:color="auto"/>
            <w:right w:val="none" w:sz="0" w:space="0" w:color="auto"/>
          </w:divBdr>
        </w:div>
        <w:div w:id="1691829801">
          <w:marLeft w:val="0"/>
          <w:marRight w:val="0"/>
          <w:marTop w:val="0"/>
          <w:marBottom w:val="0"/>
          <w:divBdr>
            <w:top w:val="none" w:sz="0" w:space="0" w:color="auto"/>
            <w:left w:val="none" w:sz="0" w:space="0" w:color="auto"/>
            <w:bottom w:val="none" w:sz="0" w:space="0" w:color="auto"/>
            <w:right w:val="none" w:sz="0" w:space="0" w:color="auto"/>
          </w:divBdr>
        </w:div>
      </w:divsChild>
    </w:div>
    <w:div w:id="906261217">
      <w:bodyDiv w:val="1"/>
      <w:marLeft w:val="0"/>
      <w:marRight w:val="0"/>
      <w:marTop w:val="0"/>
      <w:marBottom w:val="0"/>
      <w:divBdr>
        <w:top w:val="none" w:sz="0" w:space="0" w:color="auto"/>
        <w:left w:val="none" w:sz="0" w:space="0" w:color="auto"/>
        <w:bottom w:val="none" w:sz="0" w:space="0" w:color="auto"/>
        <w:right w:val="none" w:sz="0" w:space="0" w:color="auto"/>
      </w:divBdr>
      <w:divsChild>
        <w:div w:id="1224365076">
          <w:marLeft w:val="0"/>
          <w:marRight w:val="0"/>
          <w:marTop w:val="0"/>
          <w:marBottom w:val="0"/>
          <w:divBdr>
            <w:top w:val="none" w:sz="0" w:space="0" w:color="auto"/>
            <w:left w:val="none" w:sz="0" w:space="0" w:color="auto"/>
            <w:bottom w:val="none" w:sz="0" w:space="0" w:color="auto"/>
            <w:right w:val="none" w:sz="0" w:space="0" w:color="auto"/>
          </w:divBdr>
          <w:divsChild>
            <w:div w:id="1427799097">
              <w:marLeft w:val="0"/>
              <w:marRight w:val="0"/>
              <w:marTop w:val="150"/>
              <w:marBottom w:val="270"/>
              <w:divBdr>
                <w:top w:val="none" w:sz="0" w:space="0" w:color="auto"/>
                <w:left w:val="none" w:sz="0" w:space="0" w:color="auto"/>
                <w:bottom w:val="none" w:sz="0" w:space="0" w:color="auto"/>
                <w:right w:val="none" w:sz="0" w:space="0" w:color="auto"/>
              </w:divBdr>
            </w:div>
          </w:divsChild>
        </w:div>
        <w:div w:id="1907185872">
          <w:marLeft w:val="0"/>
          <w:marRight w:val="0"/>
          <w:marTop w:val="210"/>
          <w:marBottom w:val="0"/>
          <w:divBdr>
            <w:top w:val="none" w:sz="0" w:space="0" w:color="auto"/>
            <w:left w:val="none" w:sz="0" w:space="0" w:color="auto"/>
            <w:bottom w:val="none" w:sz="0" w:space="0" w:color="auto"/>
            <w:right w:val="none" w:sz="0" w:space="0" w:color="auto"/>
          </w:divBdr>
        </w:div>
      </w:divsChild>
    </w:div>
    <w:div w:id="921185607">
      <w:bodyDiv w:val="1"/>
      <w:marLeft w:val="0"/>
      <w:marRight w:val="0"/>
      <w:marTop w:val="0"/>
      <w:marBottom w:val="0"/>
      <w:divBdr>
        <w:top w:val="none" w:sz="0" w:space="0" w:color="auto"/>
        <w:left w:val="none" w:sz="0" w:space="0" w:color="auto"/>
        <w:bottom w:val="none" w:sz="0" w:space="0" w:color="auto"/>
        <w:right w:val="none" w:sz="0" w:space="0" w:color="auto"/>
      </w:divBdr>
    </w:div>
    <w:div w:id="976493456">
      <w:bodyDiv w:val="1"/>
      <w:marLeft w:val="0"/>
      <w:marRight w:val="0"/>
      <w:marTop w:val="0"/>
      <w:marBottom w:val="0"/>
      <w:divBdr>
        <w:top w:val="none" w:sz="0" w:space="0" w:color="auto"/>
        <w:left w:val="none" w:sz="0" w:space="0" w:color="auto"/>
        <w:bottom w:val="none" w:sz="0" w:space="0" w:color="auto"/>
        <w:right w:val="none" w:sz="0" w:space="0" w:color="auto"/>
      </w:divBdr>
    </w:div>
    <w:div w:id="1020735864">
      <w:bodyDiv w:val="1"/>
      <w:marLeft w:val="0"/>
      <w:marRight w:val="0"/>
      <w:marTop w:val="0"/>
      <w:marBottom w:val="0"/>
      <w:divBdr>
        <w:top w:val="none" w:sz="0" w:space="0" w:color="auto"/>
        <w:left w:val="none" w:sz="0" w:space="0" w:color="auto"/>
        <w:bottom w:val="none" w:sz="0" w:space="0" w:color="auto"/>
        <w:right w:val="none" w:sz="0" w:space="0" w:color="auto"/>
      </w:divBdr>
      <w:divsChild>
        <w:div w:id="1681275816">
          <w:marLeft w:val="0"/>
          <w:marRight w:val="0"/>
          <w:marTop w:val="0"/>
          <w:marBottom w:val="0"/>
          <w:divBdr>
            <w:top w:val="none" w:sz="0" w:space="0" w:color="auto"/>
            <w:left w:val="none" w:sz="0" w:space="0" w:color="auto"/>
            <w:bottom w:val="none" w:sz="0" w:space="0" w:color="auto"/>
            <w:right w:val="none" w:sz="0" w:space="0" w:color="auto"/>
          </w:divBdr>
        </w:div>
      </w:divsChild>
    </w:div>
    <w:div w:id="1026634264">
      <w:bodyDiv w:val="1"/>
      <w:marLeft w:val="0"/>
      <w:marRight w:val="0"/>
      <w:marTop w:val="0"/>
      <w:marBottom w:val="0"/>
      <w:divBdr>
        <w:top w:val="none" w:sz="0" w:space="0" w:color="auto"/>
        <w:left w:val="none" w:sz="0" w:space="0" w:color="auto"/>
        <w:bottom w:val="none" w:sz="0" w:space="0" w:color="auto"/>
        <w:right w:val="none" w:sz="0" w:space="0" w:color="auto"/>
      </w:divBdr>
      <w:divsChild>
        <w:div w:id="150410159">
          <w:marLeft w:val="0"/>
          <w:marRight w:val="0"/>
          <w:marTop w:val="0"/>
          <w:marBottom w:val="0"/>
          <w:divBdr>
            <w:top w:val="none" w:sz="0" w:space="0" w:color="auto"/>
            <w:left w:val="none" w:sz="0" w:space="0" w:color="auto"/>
            <w:bottom w:val="none" w:sz="0" w:space="0" w:color="auto"/>
            <w:right w:val="none" w:sz="0" w:space="0" w:color="auto"/>
          </w:divBdr>
        </w:div>
      </w:divsChild>
    </w:div>
    <w:div w:id="1062174647">
      <w:bodyDiv w:val="1"/>
      <w:marLeft w:val="0"/>
      <w:marRight w:val="0"/>
      <w:marTop w:val="0"/>
      <w:marBottom w:val="0"/>
      <w:divBdr>
        <w:top w:val="none" w:sz="0" w:space="0" w:color="auto"/>
        <w:left w:val="none" w:sz="0" w:space="0" w:color="auto"/>
        <w:bottom w:val="none" w:sz="0" w:space="0" w:color="auto"/>
        <w:right w:val="none" w:sz="0" w:space="0" w:color="auto"/>
      </w:divBdr>
    </w:div>
    <w:div w:id="1085226531">
      <w:bodyDiv w:val="1"/>
      <w:marLeft w:val="0"/>
      <w:marRight w:val="0"/>
      <w:marTop w:val="0"/>
      <w:marBottom w:val="0"/>
      <w:divBdr>
        <w:top w:val="none" w:sz="0" w:space="0" w:color="auto"/>
        <w:left w:val="none" w:sz="0" w:space="0" w:color="auto"/>
        <w:bottom w:val="none" w:sz="0" w:space="0" w:color="auto"/>
        <w:right w:val="none" w:sz="0" w:space="0" w:color="auto"/>
      </w:divBdr>
      <w:divsChild>
        <w:div w:id="738477933">
          <w:marLeft w:val="0"/>
          <w:marRight w:val="0"/>
          <w:marTop w:val="210"/>
          <w:marBottom w:val="0"/>
          <w:divBdr>
            <w:top w:val="none" w:sz="0" w:space="0" w:color="auto"/>
            <w:left w:val="none" w:sz="0" w:space="0" w:color="auto"/>
            <w:bottom w:val="none" w:sz="0" w:space="0" w:color="auto"/>
            <w:right w:val="none" w:sz="0" w:space="0" w:color="auto"/>
          </w:divBdr>
        </w:div>
        <w:div w:id="1131171700">
          <w:marLeft w:val="0"/>
          <w:marRight w:val="0"/>
          <w:marTop w:val="0"/>
          <w:marBottom w:val="0"/>
          <w:divBdr>
            <w:top w:val="none" w:sz="0" w:space="0" w:color="auto"/>
            <w:left w:val="none" w:sz="0" w:space="0" w:color="auto"/>
            <w:bottom w:val="none" w:sz="0" w:space="0" w:color="auto"/>
            <w:right w:val="none" w:sz="0" w:space="0" w:color="auto"/>
          </w:divBdr>
          <w:divsChild>
            <w:div w:id="96261390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092430013">
      <w:bodyDiv w:val="1"/>
      <w:marLeft w:val="0"/>
      <w:marRight w:val="0"/>
      <w:marTop w:val="0"/>
      <w:marBottom w:val="0"/>
      <w:divBdr>
        <w:top w:val="none" w:sz="0" w:space="0" w:color="auto"/>
        <w:left w:val="none" w:sz="0" w:space="0" w:color="auto"/>
        <w:bottom w:val="none" w:sz="0" w:space="0" w:color="auto"/>
        <w:right w:val="none" w:sz="0" w:space="0" w:color="auto"/>
      </w:divBdr>
    </w:div>
    <w:div w:id="1133720228">
      <w:bodyDiv w:val="1"/>
      <w:marLeft w:val="0"/>
      <w:marRight w:val="0"/>
      <w:marTop w:val="0"/>
      <w:marBottom w:val="0"/>
      <w:divBdr>
        <w:top w:val="none" w:sz="0" w:space="0" w:color="auto"/>
        <w:left w:val="none" w:sz="0" w:space="0" w:color="auto"/>
        <w:bottom w:val="none" w:sz="0" w:space="0" w:color="auto"/>
        <w:right w:val="none" w:sz="0" w:space="0" w:color="auto"/>
      </w:divBdr>
      <w:divsChild>
        <w:div w:id="90013131">
          <w:marLeft w:val="0"/>
          <w:marRight w:val="0"/>
          <w:marTop w:val="210"/>
          <w:marBottom w:val="0"/>
          <w:divBdr>
            <w:top w:val="none" w:sz="0" w:space="0" w:color="auto"/>
            <w:left w:val="none" w:sz="0" w:space="0" w:color="auto"/>
            <w:bottom w:val="none" w:sz="0" w:space="0" w:color="auto"/>
            <w:right w:val="none" w:sz="0" w:space="0" w:color="auto"/>
          </w:divBdr>
        </w:div>
        <w:div w:id="473257154">
          <w:marLeft w:val="0"/>
          <w:marRight w:val="0"/>
          <w:marTop w:val="0"/>
          <w:marBottom w:val="0"/>
          <w:divBdr>
            <w:top w:val="none" w:sz="0" w:space="0" w:color="auto"/>
            <w:left w:val="none" w:sz="0" w:space="0" w:color="auto"/>
            <w:bottom w:val="none" w:sz="0" w:space="0" w:color="auto"/>
            <w:right w:val="none" w:sz="0" w:space="0" w:color="auto"/>
          </w:divBdr>
          <w:divsChild>
            <w:div w:id="33056408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136293683">
      <w:bodyDiv w:val="1"/>
      <w:marLeft w:val="0"/>
      <w:marRight w:val="0"/>
      <w:marTop w:val="0"/>
      <w:marBottom w:val="0"/>
      <w:divBdr>
        <w:top w:val="none" w:sz="0" w:space="0" w:color="auto"/>
        <w:left w:val="none" w:sz="0" w:space="0" w:color="auto"/>
        <w:bottom w:val="none" w:sz="0" w:space="0" w:color="auto"/>
        <w:right w:val="none" w:sz="0" w:space="0" w:color="auto"/>
      </w:divBdr>
    </w:div>
    <w:div w:id="1137525799">
      <w:bodyDiv w:val="1"/>
      <w:marLeft w:val="0"/>
      <w:marRight w:val="0"/>
      <w:marTop w:val="0"/>
      <w:marBottom w:val="0"/>
      <w:divBdr>
        <w:top w:val="none" w:sz="0" w:space="0" w:color="auto"/>
        <w:left w:val="none" w:sz="0" w:space="0" w:color="auto"/>
        <w:bottom w:val="none" w:sz="0" w:space="0" w:color="auto"/>
        <w:right w:val="none" w:sz="0" w:space="0" w:color="auto"/>
      </w:divBdr>
      <w:divsChild>
        <w:div w:id="308752496">
          <w:marLeft w:val="0"/>
          <w:marRight w:val="0"/>
          <w:marTop w:val="210"/>
          <w:marBottom w:val="0"/>
          <w:divBdr>
            <w:top w:val="none" w:sz="0" w:space="0" w:color="auto"/>
            <w:left w:val="none" w:sz="0" w:space="0" w:color="auto"/>
            <w:bottom w:val="none" w:sz="0" w:space="0" w:color="auto"/>
            <w:right w:val="none" w:sz="0" w:space="0" w:color="auto"/>
          </w:divBdr>
        </w:div>
        <w:div w:id="537091367">
          <w:marLeft w:val="0"/>
          <w:marRight w:val="0"/>
          <w:marTop w:val="0"/>
          <w:marBottom w:val="0"/>
          <w:divBdr>
            <w:top w:val="none" w:sz="0" w:space="0" w:color="auto"/>
            <w:left w:val="none" w:sz="0" w:space="0" w:color="auto"/>
            <w:bottom w:val="none" w:sz="0" w:space="0" w:color="auto"/>
            <w:right w:val="none" w:sz="0" w:space="0" w:color="auto"/>
          </w:divBdr>
          <w:divsChild>
            <w:div w:id="1173883432">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179196394">
      <w:bodyDiv w:val="1"/>
      <w:marLeft w:val="0"/>
      <w:marRight w:val="0"/>
      <w:marTop w:val="0"/>
      <w:marBottom w:val="0"/>
      <w:divBdr>
        <w:top w:val="none" w:sz="0" w:space="0" w:color="auto"/>
        <w:left w:val="none" w:sz="0" w:space="0" w:color="auto"/>
        <w:bottom w:val="none" w:sz="0" w:space="0" w:color="auto"/>
        <w:right w:val="none" w:sz="0" w:space="0" w:color="auto"/>
      </w:divBdr>
    </w:div>
    <w:div w:id="1219395368">
      <w:bodyDiv w:val="1"/>
      <w:marLeft w:val="0"/>
      <w:marRight w:val="0"/>
      <w:marTop w:val="0"/>
      <w:marBottom w:val="0"/>
      <w:divBdr>
        <w:top w:val="none" w:sz="0" w:space="0" w:color="auto"/>
        <w:left w:val="none" w:sz="0" w:space="0" w:color="auto"/>
        <w:bottom w:val="none" w:sz="0" w:space="0" w:color="auto"/>
        <w:right w:val="none" w:sz="0" w:space="0" w:color="auto"/>
      </w:divBdr>
    </w:div>
    <w:div w:id="1260681151">
      <w:bodyDiv w:val="1"/>
      <w:marLeft w:val="0"/>
      <w:marRight w:val="0"/>
      <w:marTop w:val="0"/>
      <w:marBottom w:val="0"/>
      <w:divBdr>
        <w:top w:val="none" w:sz="0" w:space="0" w:color="auto"/>
        <w:left w:val="none" w:sz="0" w:space="0" w:color="auto"/>
        <w:bottom w:val="none" w:sz="0" w:space="0" w:color="auto"/>
        <w:right w:val="none" w:sz="0" w:space="0" w:color="auto"/>
      </w:divBdr>
      <w:divsChild>
        <w:div w:id="86512046">
          <w:marLeft w:val="0"/>
          <w:marRight w:val="0"/>
          <w:marTop w:val="0"/>
          <w:marBottom w:val="0"/>
          <w:divBdr>
            <w:top w:val="none" w:sz="0" w:space="0" w:color="auto"/>
            <w:left w:val="none" w:sz="0" w:space="0" w:color="auto"/>
            <w:bottom w:val="none" w:sz="0" w:space="0" w:color="auto"/>
            <w:right w:val="none" w:sz="0" w:space="0" w:color="auto"/>
          </w:divBdr>
          <w:divsChild>
            <w:div w:id="646208048">
              <w:marLeft w:val="0"/>
              <w:marRight w:val="0"/>
              <w:marTop w:val="150"/>
              <w:marBottom w:val="270"/>
              <w:divBdr>
                <w:top w:val="none" w:sz="0" w:space="0" w:color="auto"/>
                <w:left w:val="none" w:sz="0" w:space="0" w:color="auto"/>
                <w:bottom w:val="none" w:sz="0" w:space="0" w:color="auto"/>
                <w:right w:val="none" w:sz="0" w:space="0" w:color="auto"/>
              </w:divBdr>
            </w:div>
          </w:divsChild>
        </w:div>
        <w:div w:id="352851073">
          <w:marLeft w:val="0"/>
          <w:marRight w:val="0"/>
          <w:marTop w:val="210"/>
          <w:marBottom w:val="0"/>
          <w:divBdr>
            <w:top w:val="none" w:sz="0" w:space="0" w:color="auto"/>
            <w:left w:val="none" w:sz="0" w:space="0" w:color="auto"/>
            <w:bottom w:val="none" w:sz="0" w:space="0" w:color="auto"/>
            <w:right w:val="none" w:sz="0" w:space="0" w:color="auto"/>
          </w:divBdr>
        </w:div>
      </w:divsChild>
    </w:div>
    <w:div w:id="1266881874">
      <w:bodyDiv w:val="1"/>
      <w:marLeft w:val="0"/>
      <w:marRight w:val="0"/>
      <w:marTop w:val="0"/>
      <w:marBottom w:val="0"/>
      <w:divBdr>
        <w:top w:val="none" w:sz="0" w:space="0" w:color="auto"/>
        <w:left w:val="none" w:sz="0" w:space="0" w:color="auto"/>
        <w:bottom w:val="none" w:sz="0" w:space="0" w:color="auto"/>
        <w:right w:val="none" w:sz="0" w:space="0" w:color="auto"/>
      </w:divBdr>
      <w:divsChild>
        <w:div w:id="457459494">
          <w:marLeft w:val="0"/>
          <w:marRight w:val="0"/>
          <w:marTop w:val="210"/>
          <w:marBottom w:val="0"/>
          <w:divBdr>
            <w:top w:val="none" w:sz="0" w:space="0" w:color="auto"/>
            <w:left w:val="none" w:sz="0" w:space="0" w:color="auto"/>
            <w:bottom w:val="none" w:sz="0" w:space="0" w:color="auto"/>
            <w:right w:val="none" w:sz="0" w:space="0" w:color="auto"/>
          </w:divBdr>
        </w:div>
        <w:div w:id="1371341052">
          <w:marLeft w:val="0"/>
          <w:marRight w:val="0"/>
          <w:marTop w:val="0"/>
          <w:marBottom w:val="0"/>
          <w:divBdr>
            <w:top w:val="none" w:sz="0" w:space="0" w:color="auto"/>
            <w:left w:val="none" w:sz="0" w:space="0" w:color="auto"/>
            <w:bottom w:val="none" w:sz="0" w:space="0" w:color="auto"/>
            <w:right w:val="none" w:sz="0" w:space="0" w:color="auto"/>
          </w:divBdr>
          <w:divsChild>
            <w:div w:id="515075018">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272971986">
      <w:bodyDiv w:val="1"/>
      <w:marLeft w:val="0"/>
      <w:marRight w:val="0"/>
      <w:marTop w:val="0"/>
      <w:marBottom w:val="0"/>
      <w:divBdr>
        <w:top w:val="none" w:sz="0" w:space="0" w:color="auto"/>
        <w:left w:val="none" w:sz="0" w:space="0" w:color="auto"/>
        <w:bottom w:val="none" w:sz="0" w:space="0" w:color="auto"/>
        <w:right w:val="none" w:sz="0" w:space="0" w:color="auto"/>
      </w:divBdr>
      <w:divsChild>
        <w:div w:id="499007977">
          <w:marLeft w:val="0"/>
          <w:marRight w:val="0"/>
          <w:marTop w:val="210"/>
          <w:marBottom w:val="0"/>
          <w:divBdr>
            <w:top w:val="none" w:sz="0" w:space="0" w:color="auto"/>
            <w:left w:val="none" w:sz="0" w:space="0" w:color="auto"/>
            <w:bottom w:val="none" w:sz="0" w:space="0" w:color="auto"/>
            <w:right w:val="none" w:sz="0" w:space="0" w:color="auto"/>
          </w:divBdr>
        </w:div>
        <w:div w:id="1645894257">
          <w:marLeft w:val="0"/>
          <w:marRight w:val="0"/>
          <w:marTop w:val="0"/>
          <w:marBottom w:val="0"/>
          <w:divBdr>
            <w:top w:val="none" w:sz="0" w:space="0" w:color="auto"/>
            <w:left w:val="none" w:sz="0" w:space="0" w:color="auto"/>
            <w:bottom w:val="none" w:sz="0" w:space="0" w:color="auto"/>
            <w:right w:val="none" w:sz="0" w:space="0" w:color="auto"/>
          </w:divBdr>
          <w:divsChild>
            <w:div w:id="292566843">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276519659">
      <w:bodyDiv w:val="1"/>
      <w:marLeft w:val="0"/>
      <w:marRight w:val="0"/>
      <w:marTop w:val="0"/>
      <w:marBottom w:val="0"/>
      <w:divBdr>
        <w:top w:val="none" w:sz="0" w:space="0" w:color="auto"/>
        <w:left w:val="none" w:sz="0" w:space="0" w:color="auto"/>
        <w:bottom w:val="none" w:sz="0" w:space="0" w:color="auto"/>
        <w:right w:val="none" w:sz="0" w:space="0" w:color="auto"/>
      </w:divBdr>
    </w:div>
    <w:div w:id="1301570235">
      <w:bodyDiv w:val="1"/>
      <w:marLeft w:val="0"/>
      <w:marRight w:val="0"/>
      <w:marTop w:val="0"/>
      <w:marBottom w:val="0"/>
      <w:divBdr>
        <w:top w:val="none" w:sz="0" w:space="0" w:color="auto"/>
        <w:left w:val="none" w:sz="0" w:space="0" w:color="auto"/>
        <w:bottom w:val="none" w:sz="0" w:space="0" w:color="auto"/>
        <w:right w:val="none" w:sz="0" w:space="0" w:color="auto"/>
      </w:divBdr>
      <w:divsChild>
        <w:div w:id="1020546022">
          <w:marLeft w:val="0"/>
          <w:marRight w:val="0"/>
          <w:marTop w:val="150"/>
          <w:marBottom w:val="270"/>
          <w:divBdr>
            <w:top w:val="none" w:sz="0" w:space="0" w:color="auto"/>
            <w:left w:val="none" w:sz="0" w:space="0" w:color="auto"/>
            <w:bottom w:val="none" w:sz="0" w:space="0" w:color="auto"/>
            <w:right w:val="none" w:sz="0" w:space="0" w:color="auto"/>
          </w:divBdr>
          <w:divsChild>
            <w:div w:id="490562865">
              <w:marLeft w:val="0"/>
              <w:marRight w:val="0"/>
              <w:marTop w:val="0"/>
              <w:marBottom w:val="0"/>
              <w:divBdr>
                <w:top w:val="none" w:sz="0" w:space="0" w:color="auto"/>
                <w:left w:val="none" w:sz="0" w:space="0" w:color="auto"/>
                <w:bottom w:val="none" w:sz="0" w:space="0" w:color="auto"/>
                <w:right w:val="none" w:sz="0" w:space="0" w:color="auto"/>
              </w:divBdr>
            </w:div>
            <w:div w:id="1345791038">
              <w:marLeft w:val="0"/>
              <w:marRight w:val="0"/>
              <w:marTop w:val="0"/>
              <w:marBottom w:val="0"/>
              <w:divBdr>
                <w:top w:val="none" w:sz="0" w:space="0" w:color="auto"/>
                <w:left w:val="none" w:sz="0" w:space="0" w:color="auto"/>
                <w:bottom w:val="none" w:sz="0" w:space="0" w:color="auto"/>
                <w:right w:val="none" w:sz="0" w:space="0" w:color="auto"/>
              </w:divBdr>
            </w:div>
            <w:div w:id="2063826139">
              <w:marLeft w:val="0"/>
              <w:marRight w:val="0"/>
              <w:marTop w:val="0"/>
              <w:marBottom w:val="0"/>
              <w:divBdr>
                <w:top w:val="none" w:sz="0" w:space="0" w:color="auto"/>
                <w:left w:val="none" w:sz="0" w:space="0" w:color="auto"/>
                <w:bottom w:val="none" w:sz="0" w:space="0" w:color="auto"/>
                <w:right w:val="none" w:sz="0" w:space="0" w:color="auto"/>
              </w:divBdr>
            </w:div>
          </w:divsChild>
        </w:div>
        <w:div w:id="1556773728">
          <w:marLeft w:val="0"/>
          <w:marRight w:val="0"/>
          <w:marTop w:val="150"/>
          <w:marBottom w:val="270"/>
          <w:divBdr>
            <w:top w:val="none" w:sz="0" w:space="0" w:color="auto"/>
            <w:left w:val="none" w:sz="0" w:space="0" w:color="auto"/>
            <w:bottom w:val="none" w:sz="0" w:space="0" w:color="auto"/>
            <w:right w:val="none" w:sz="0" w:space="0" w:color="auto"/>
          </w:divBdr>
        </w:div>
      </w:divsChild>
    </w:div>
    <w:div w:id="1422750282">
      <w:bodyDiv w:val="1"/>
      <w:marLeft w:val="0"/>
      <w:marRight w:val="0"/>
      <w:marTop w:val="0"/>
      <w:marBottom w:val="0"/>
      <w:divBdr>
        <w:top w:val="none" w:sz="0" w:space="0" w:color="auto"/>
        <w:left w:val="none" w:sz="0" w:space="0" w:color="auto"/>
        <w:bottom w:val="none" w:sz="0" w:space="0" w:color="auto"/>
        <w:right w:val="none" w:sz="0" w:space="0" w:color="auto"/>
      </w:divBdr>
    </w:div>
    <w:div w:id="1427920819">
      <w:bodyDiv w:val="1"/>
      <w:marLeft w:val="0"/>
      <w:marRight w:val="0"/>
      <w:marTop w:val="0"/>
      <w:marBottom w:val="0"/>
      <w:divBdr>
        <w:top w:val="none" w:sz="0" w:space="0" w:color="auto"/>
        <w:left w:val="none" w:sz="0" w:space="0" w:color="auto"/>
        <w:bottom w:val="none" w:sz="0" w:space="0" w:color="auto"/>
        <w:right w:val="none" w:sz="0" w:space="0" w:color="auto"/>
      </w:divBdr>
    </w:div>
    <w:div w:id="1444808405">
      <w:bodyDiv w:val="1"/>
      <w:marLeft w:val="0"/>
      <w:marRight w:val="0"/>
      <w:marTop w:val="0"/>
      <w:marBottom w:val="0"/>
      <w:divBdr>
        <w:top w:val="none" w:sz="0" w:space="0" w:color="auto"/>
        <w:left w:val="none" w:sz="0" w:space="0" w:color="auto"/>
        <w:bottom w:val="none" w:sz="0" w:space="0" w:color="auto"/>
        <w:right w:val="none" w:sz="0" w:space="0" w:color="auto"/>
      </w:divBdr>
    </w:div>
    <w:div w:id="1463384535">
      <w:bodyDiv w:val="1"/>
      <w:marLeft w:val="0"/>
      <w:marRight w:val="0"/>
      <w:marTop w:val="0"/>
      <w:marBottom w:val="0"/>
      <w:divBdr>
        <w:top w:val="none" w:sz="0" w:space="0" w:color="auto"/>
        <w:left w:val="none" w:sz="0" w:space="0" w:color="auto"/>
        <w:bottom w:val="none" w:sz="0" w:space="0" w:color="auto"/>
        <w:right w:val="none" w:sz="0" w:space="0" w:color="auto"/>
      </w:divBdr>
    </w:div>
    <w:div w:id="1488550854">
      <w:bodyDiv w:val="1"/>
      <w:marLeft w:val="0"/>
      <w:marRight w:val="0"/>
      <w:marTop w:val="0"/>
      <w:marBottom w:val="0"/>
      <w:divBdr>
        <w:top w:val="none" w:sz="0" w:space="0" w:color="auto"/>
        <w:left w:val="none" w:sz="0" w:space="0" w:color="auto"/>
        <w:bottom w:val="none" w:sz="0" w:space="0" w:color="auto"/>
        <w:right w:val="none" w:sz="0" w:space="0" w:color="auto"/>
      </w:divBdr>
      <w:divsChild>
        <w:div w:id="674456767">
          <w:marLeft w:val="0"/>
          <w:marRight w:val="0"/>
          <w:marTop w:val="210"/>
          <w:marBottom w:val="0"/>
          <w:divBdr>
            <w:top w:val="none" w:sz="0" w:space="0" w:color="auto"/>
            <w:left w:val="none" w:sz="0" w:space="0" w:color="auto"/>
            <w:bottom w:val="none" w:sz="0" w:space="0" w:color="auto"/>
            <w:right w:val="none" w:sz="0" w:space="0" w:color="auto"/>
          </w:divBdr>
        </w:div>
        <w:div w:id="2082553866">
          <w:marLeft w:val="0"/>
          <w:marRight w:val="0"/>
          <w:marTop w:val="0"/>
          <w:marBottom w:val="0"/>
          <w:divBdr>
            <w:top w:val="none" w:sz="0" w:space="0" w:color="auto"/>
            <w:left w:val="none" w:sz="0" w:space="0" w:color="auto"/>
            <w:bottom w:val="none" w:sz="0" w:space="0" w:color="auto"/>
            <w:right w:val="none" w:sz="0" w:space="0" w:color="auto"/>
          </w:divBdr>
          <w:divsChild>
            <w:div w:id="681665106">
              <w:marLeft w:val="0"/>
              <w:marRight w:val="0"/>
              <w:marTop w:val="150"/>
              <w:marBottom w:val="270"/>
              <w:divBdr>
                <w:top w:val="none" w:sz="0" w:space="0" w:color="auto"/>
                <w:left w:val="none" w:sz="0" w:space="0" w:color="auto"/>
                <w:bottom w:val="none" w:sz="0" w:space="0" w:color="auto"/>
                <w:right w:val="none" w:sz="0" w:space="0" w:color="auto"/>
              </w:divBdr>
            </w:div>
          </w:divsChild>
        </w:div>
      </w:divsChild>
    </w:div>
    <w:div w:id="1527711569">
      <w:bodyDiv w:val="1"/>
      <w:marLeft w:val="0"/>
      <w:marRight w:val="0"/>
      <w:marTop w:val="0"/>
      <w:marBottom w:val="0"/>
      <w:divBdr>
        <w:top w:val="none" w:sz="0" w:space="0" w:color="auto"/>
        <w:left w:val="none" w:sz="0" w:space="0" w:color="auto"/>
        <w:bottom w:val="none" w:sz="0" w:space="0" w:color="auto"/>
        <w:right w:val="none" w:sz="0" w:space="0" w:color="auto"/>
      </w:divBdr>
    </w:div>
    <w:div w:id="1535994587">
      <w:bodyDiv w:val="1"/>
      <w:marLeft w:val="0"/>
      <w:marRight w:val="0"/>
      <w:marTop w:val="0"/>
      <w:marBottom w:val="0"/>
      <w:divBdr>
        <w:top w:val="none" w:sz="0" w:space="0" w:color="auto"/>
        <w:left w:val="none" w:sz="0" w:space="0" w:color="auto"/>
        <w:bottom w:val="none" w:sz="0" w:space="0" w:color="auto"/>
        <w:right w:val="none" w:sz="0" w:space="0" w:color="auto"/>
      </w:divBdr>
      <w:divsChild>
        <w:div w:id="345375386">
          <w:marLeft w:val="0"/>
          <w:marRight w:val="0"/>
          <w:marTop w:val="0"/>
          <w:marBottom w:val="0"/>
          <w:divBdr>
            <w:top w:val="none" w:sz="0" w:space="0" w:color="auto"/>
            <w:left w:val="none" w:sz="0" w:space="0" w:color="auto"/>
            <w:bottom w:val="none" w:sz="0" w:space="0" w:color="auto"/>
            <w:right w:val="none" w:sz="0" w:space="0" w:color="auto"/>
          </w:divBdr>
        </w:div>
        <w:div w:id="426192453">
          <w:marLeft w:val="0"/>
          <w:marRight w:val="0"/>
          <w:marTop w:val="0"/>
          <w:marBottom w:val="0"/>
          <w:divBdr>
            <w:top w:val="none" w:sz="0" w:space="0" w:color="auto"/>
            <w:left w:val="none" w:sz="0" w:space="0" w:color="auto"/>
            <w:bottom w:val="none" w:sz="0" w:space="0" w:color="auto"/>
            <w:right w:val="none" w:sz="0" w:space="0" w:color="auto"/>
          </w:divBdr>
        </w:div>
        <w:div w:id="1273825456">
          <w:marLeft w:val="0"/>
          <w:marRight w:val="0"/>
          <w:marTop w:val="0"/>
          <w:marBottom w:val="0"/>
          <w:divBdr>
            <w:top w:val="none" w:sz="0" w:space="0" w:color="auto"/>
            <w:left w:val="none" w:sz="0" w:space="0" w:color="auto"/>
            <w:bottom w:val="none" w:sz="0" w:space="0" w:color="auto"/>
            <w:right w:val="none" w:sz="0" w:space="0" w:color="auto"/>
          </w:divBdr>
        </w:div>
      </w:divsChild>
    </w:div>
    <w:div w:id="1547984338">
      <w:bodyDiv w:val="1"/>
      <w:marLeft w:val="0"/>
      <w:marRight w:val="0"/>
      <w:marTop w:val="0"/>
      <w:marBottom w:val="0"/>
      <w:divBdr>
        <w:top w:val="none" w:sz="0" w:space="0" w:color="auto"/>
        <w:left w:val="none" w:sz="0" w:space="0" w:color="auto"/>
        <w:bottom w:val="none" w:sz="0" w:space="0" w:color="auto"/>
        <w:right w:val="none" w:sz="0" w:space="0" w:color="auto"/>
      </w:divBdr>
    </w:div>
    <w:div w:id="1720786213">
      <w:bodyDiv w:val="1"/>
      <w:marLeft w:val="0"/>
      <w:marRight w:val="0"/>
      <w:marTop w:val="0"/>
      <w:marBottom w:val="0"/>
      <w:divBdr>
        <w:top w:val="none" w:sz="0" w:space="0" w:color="auto"/>
        <w:left w:val="none" w:sz="0" w:space="0" w:color="auto"/>
        <w:bottom w:val="none" w:sz="0" w:space="0" w:color="auto"/>
        <w:right w:val="none" w:sz="0" w:space="0" w:color="auto"/>
      </w:divBdr>
    </w:div>
    <w:div w:id="1733656080">
      <w:bodyDiv w:val="1"/>
      <w:marLeft w:val="0"/>
      <w:marRight w:val="0"/>
      <w:marTop w:val="0"/>
      <w:marBottom w:val="0"/>
      <w:divBdr>
        <w:top w:val="none" w:sz="0" w:space="0" w:color="auto"/>
        <w:left w:val="none" w:sz="0" w:space="0" w:color="auto"/>
        <w:bottom w:val="none" w:sz="0" w:space="0" w:color="auto"/>
        <w:right w:val="none" w:sz="0" w:space="0" w:color="auto"/>
      </w:divBdr>
    </w:div>
    <w:div w:id="1741555223">
      <w:bodyDiv w:val="1"/>
      <w:marLeft w:val="0"/>
      <w:marRight w:val="0"/>
      <w:marTop w:val="0"/>
      <w:marBottom w:val="0"/>
      <w:divBdr>
        <w:top w:val="none" w:sz="0" w:space="0" w:color="auto"/>
        <w:left w:val="none" w:sz="0" w:space="0" w:color="auto"/>
        <w:bottom w:val="none" w:sz="0" w:space="0" w:color="auto"/>
        <w:right w:val="none" w:sz="0" w:space="0" w:color="auto"/>
      </w:divBdr>
      <w:divsChild>
        <w:div w:id="1256936413">
          <w:marLeft w:val="0"/>
          <w:marRight w:val="0"/>
          <w:marTop w:val="0"/>
          <w:marBottom w:val="0"/>
          <w:divBdr>
            <w:top w:val="none" w:sz="0" w:space="0" w:color="auto"/>
            <w:left w:val="none" w:sz="0" w:space="0" w:color="auto"/>
            <w:bottom w:val="none" w:sz="0" w:space="0" w:color="auto"/>
            <w:right w:val="none" w:sz="0" w:space="0" w:color="auto"/>
          </w:divBdr>
          <w:divsChild>
            <w:div w:id="1368607214">
              <w:marLeft w:val="0"/>
              <w:marRight w:val="0"/>
              <w:marTop w:val="150"/>
              <w:marBottom w:val="270"/>
              <w:divBdr>
                <w:top w:val="none" w:sz="0" w:space="0" w:color="auto"/>
                <w:left w:val="none" w:sz="0" w:space="0" w:color="auto"/>
                <w:bottom w:val="none" w:sz="0" w:space="0" w:color="auto"/>
                <w:right w:val="none" w:sz="0" w:space="0" w:color="auto"/>
              </w:divBdr>
            </w:div>
          </w:divsChild>
        </w:div>
        <w:div w:id="2090997013">
          <w:marLeft w:val="0"/>
          <w:marRight w:val="0"/>
          <w:marTop w:val="210"/>
          <w:marBottom w:val="0"/>
          <w:divBdr>
            <w:top w:val="none" w:sz="0" w:space="0" w:color="auto"/>
            <w:left w:val="none" w:sz="0" w:space="0" w:color="auto"/>
            <w:bottom w:val="none" w:sz="0" w:space="0" w:color="auto"/>
            <w:right w:val="none" w:sz="0" w:space="0" w:color="auto"/>
          </w:divBdr>
        </w:div>
      </w:divsChild>
    </w:div>
    <w:div w:id="1816409214">
      <w:bodyDiv w:val="1"/>
      <w:marLeft w:val="0"/>
      <w:marRight w:val="0"/>
      <w:marTop w:val="0"/>
      <w:marBottom w:val="0"/>
      <w:divBdr>
        <w:top w:val="none" w:sz="0" w:space="0" w:color="auto"/>
        <w:left w:val="none" w:sz="0" w:space="0" w:color="auto"/>
        <w:bottom w:val="none" w:sz="0" w:space="0" w:color="auto"/>
        <w:right w:val="none" w:sz="0" w:space="0" w:color="auto"/>
      </w:divBdr>
    </w:div>
    <w:div w:id="1862088587">
      <w:bodyDiv w:val="1"/>
      <w:marLeft w:val="0"/>
      <w:marRight w:val="0"/>
      <w:marTop w:val="0"/>
      <w:marBottom w:val="0"/>
      <w:divBdr>
        <w:top w:val="none" w:sz="0" w:space="0" w:color="auto"/>
        <w:left w:val="none" w:sz="0" w:space="0" w:color="auto"/>
        <w:bottom w:val="none" w:sz="0" w:space="0" w:color="auto"/>
        <w:right w:val="none" w:sz="0" w:space="0" w:color="auto"/>
      </w:divBdr>
    </w:div>
    <w:div w:id="1909731461">
      <w:bodyDiv w:val="1"/>
      <w:marLeft w:val="0"/>
      <w:marRight w:val="0"/>
      <w:marTop w:val="0"/>
      <w:marBottom w:val="0"/>
      <w:divBdr>
        <w:top w:val="none" w:sz="0" w:space="0" w:color="auto"/>
        <w:left w:val="none" w:sz="0" w:space="0" w:color="auto"/>
        <w:bottom w:val="none" w:sz="0" w:space="0" w:color="auto"/>
        <w:right w:val="none" w:sz="0" w:space="0" w:color="auto"/>
      </w:divBdr>
    </w:div>
    <w:div w:id="2032149458">
      <w:bodyDiv w:val="1"/>
      <w:marLeft w:val="0"/>
      <w:marRight w:val="0"/>
      <w:marTop w:val="0"/>
      <w:marBottom w:val="0"/>
      <w:divBdr>
        <w:top w:val="none" w:sz="0" w:space="0" w:color="auto"/>
        <w:left w:val="none" w:sz="0" w:space="0" w:color="auto"/>
        <w:bottom w:val="none" w:sz="0" w:space="0" w:color="auto"/>
        <w:right w:val="none" w:sz="0" w:space="0" w:color="auto"/>
      </w:divBdr>
    </w:div>
    <w:div w:id="2065565848">
      <w:bodyDiv w:val="1"/>
      <w:marLeft w:val="0"/>
      <w:marRight w:val="0"/>
      <w:marTop w:val="0"/>
      <w:marBottom w:val="0"/>
      <w:divBdr>
        <w:top w:val="none" w:sz="0" w:space="0" w:color="auto"/>
        <w:left w:val="none" w:sz="0" w:space="0" w:color="auto"/>
        <w:bottom w:val="none" w:sz="0" w:space="0" w:color="auto"/>
        <w:right w:val="none" w:sz="0" w:space="0" w:color="auto"/>
      </w:divBdr>
      <w:divsChild>
        <w:div w:id="318316903">
          <w:marLeft w:val="0"/>
          <w:marRight w:val="0"/>
          <w:marTop w:val="0"/>
          <w:marBottom w:val="0"/>
          <w:divBdr>
            <w:top w:val="none" w:sz="0" w:space="0" w:color="auto"/>
            <w:left w:val="none" w:sz="0" w:space="0" w:color="auto"/>
            <w:bottom w:val="none" w:sz="0" w:space="0" w:color="auto"/>
            <w:right w:val="none" w:sz="0" w:space="0" w:color="auto"/>
          </w:divBdr>
        </w:div>
        <w:div w:id="390080278">
          <w:marLeft w:val="0"/>
          <w:marRight w:val="0"/>
          <w:marTop w:val="0"/>
          <w:marBottom w:val="0"/>
          <w:divBdr>
            <w:top w:val="none" w:sz="0" w:space="0" w:color="auto"/>
            <w:left w:val="none" w:sz="0" w:space="0" w:color="auto"/>
            <w:bottom w:val="none" w:sz="0" w:space="0" w:color="auto"/>
            <w:right w:val="none" w:sz="0" w:space="0" w:color="auto"/>
          </w:divBdr>
        </w:div>
        <w:div w:id="484593301">
          <w:marLeft w:val="0"/>
          <w:marRight w:val="0"/>
          <w:marTop w:val="0"/>
          <w:marBottom w:val="0"/>
          <w:divBdr>
            <w:top w:val="none" w:sz="0" w:space="0" w:color="auto"/>
            <w:left w:val="none" w:sz="0" w:space="0" w:color="auto"/>
            <w:bottom w:val="none" w:sz="0" w:space="0" w:color="auto"/>
            <w:right w:val="none" w:sz="0" w:space="0" w:color="auto"/>
          </w:divBdr>
        </w:div>
        <w:div w:id="1112557493">
          <w:marLeft w:val="0"/>
          <w:marRight w:val="0"/>
          <w:marTop w:val="0"/>
          <w:marBottom w:val="0"/>
          <w:divBdr>
            <w:top w:val="none" w:sz="0" w:space="0" w:color="auto"/>
            <w:left w:val="none" w:sz="0" w:space="0" w:color="auto"/>
            <w:bottom w:val="none" w:sz="0" w:space="0" w:color="auto"/>
            <w:right w:val="none" w:sz="0" w:space="0" w:color="auto"/>
          </w:divBdr>
        </w:div>
        <w:div w:id="1152210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oud.ihme.washington.edu/s/Q7nnHz9CBbTErrx"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uwnetid-my.sharepoint.com/personal/geoihme_uw_edu/Documents/Scientific%20Publications%20team/SWIM%20team%20projects/GBD%202021%20capstones/03%20GBD%202021%20Causes%20of%20Death/03_Drafting/nagham@uw.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hdx.healthdata.org/gbd-2021/sour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loud.ihme.washington.edu/s/Q7nnHz9CBbTErrx" TargetMode="External"/><Relationship Id="rId5" Type="http://schemas.openxmlformats.org/officeDocument/2006/relationships/numbering" Target="numbering.xml"/><Relationship Id="rId15" Type="http://schemas.openxmlformats.org/officeDocument/2006/relationships/hyperlink" Target="http://ghdx.healthdata.org/gbd-2021/co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hdx.healthdata.org/gbd-2021"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F0B36AD2-F99D-4A4E-926F-90682BFF7DC2}">
    <t:Anchor>
      <t:Comment id="676160720"/>
    </t:Anchor>
    <t:History>
      <t:Event id="{38D62B93-0AE5-4998-8D77-D60FC6DCFFF2}" time="2023-07-06T16:44:56.357Z">
        <t:Attribution userId="S::ndweaver@uw.edu::e8829a9d-7f51-4c40-bcfa-af2a6a1fb6c6" userProvider="AD" userName="Nicole Weaver"/>
        <t:Anchor>
          <t:Comment id="676400024"/>
        </t:Anchor>
        <t:Create/>
      </t:Event>
      <t:Event id="{B61F1796-C2FC-4E8B-A0B4-92CF13AF3724}" time="2023-07-06T16:44:56.357Z">
        <t:Attribution userId="S::ndweaver@uw.edu::e8829a9d-7f51-4c40-bcfa-af2a6a1fb6c6" userProvider="AD" userName="Nicole Weaver"/>
        <t:Anchor>
          <t:Comment id="676400024"/>
        </t:Anchor>
        <t:Assign userId="S::lmarczak@uw.edu::67c86cff-ef14-4e4f-82de-96570197c9ae" userProvider="AD" userName="Laurie Marczak"/>
      </t:Event>
      <t:Event id="{5685FC97-A6D9-47BA-8547-ECF8F8F4CBA7}" time="2023-07-06T16:44:56.357Z">
        <t:Attribution userId="S::ndweaver@uw.edu::e8829a9d-7f51-4c40-bcfa-af2a6a1fb6c6" userProvider="AD" userName="Nicole Weaver"/>
        <t:Anchor>
          <t:Comment id="676400024"/>
        </t:Anchor>
        <t:SetTitle title="@Laurie Marczak Do you think that would be possible?"/>
      </t:Event>
    </t:History>
  </t:Task>
  <t:Task id="{47C2B11F-C91F-4909-8C08-5EE3AF97C30B}">
    <t:Anchor>
      <t:Comment id="683686571"/>
    </t:Anchor>
    <t:History>
      <t:Event id="{446433E8-B64F-4816-BBF2-CD89FA97E6CA}" time="2023-09-29T00:47:23.072Z">
        <t:Attribution userId="S::ewool@uw.edu::91949f1f-6c64-4c95-a802-caa37d6dc6e9" userProvider="AD" userName="Eve Wool"/>
        <t:Anchor>
          <t:Comment id="683686571"/>
        </t:Anchor>
        <t:Create/>
      </t:Event>
      <t:Event id="{03B5C295-5718-4FBA-92E7-17224521999E}" time="2023-09-29T00:47:23.072Z">
        <t:Attribution userId="S::ewool@uw.edu::91949f1f-6c64-4c95-a802-caa37d6dc6e9" userProvider="AD" userName="Eve Wool"/>
        <t:Anchor>
          <t:Comment id="683686571"/>
        </t:Anchor>
        <t:Assign userId="S::kkinzel@uw.edu::b4381ab5-5c73-4aa3-86a6-dd2bf1685a76" userProvider="AD" userName="Kasey E Kinzel"/>
      </t:Event>
      <t:Event id="{C6E93001-026B-42D7-9EE1-AEC423667DC3}" time="2023-09-29T00:47:23.072Z">
        <t:Attribution userId="S::ewool@uw.edu::91949f1f-6c64-4c95-a802-caa37d6dc6e9" userProvider="AD" userName="Eve Wool"/>
        <t:Anchor>
          <t:Comment id="683686571"/>
        </t:Anchor>
        <t:SetTitle title="@Kasey E Kinzel is this something you already have in your paper that we can paraphrase?"/>
      </t:Event>
      <t:Event id="{BA0D6453-6523-468C-80A1-46D56B8188DD}" time="2023-10-17T02:38:21.315Z">
        <t:Attribution userId="S::ewool@uw.edu::91949f1f-6c64-4c95-a802-caa37d6dc6e9" userProvider="AD" userName="Eve Wool"/>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20d8c3a-519c-4a66-bb69-947f012b6d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6894273882B249AF4680D41C3A0517" ma:contentTypeVersion="16" ma:contentTypeDescription="Create a new document." ma:contentTypeScope="" ma:versionID="77508378ce48b0ec39914a627ab6f4ac">
  <xsd:schema xmlns:xsd="http://www.w3.org/2001/XMLSchema" xmlns:xs="http://www.w3.org/2001/XMLSchema" xmlns:p="http://schemas.microsoft.com/office/2006/metadata/properties" xmlns:ns3="d20d8c3a-519c-4a66-bb69-947f012b6df2" xmlns:ns4="f07863e2-c5a3-4bf1-a7d4-f0998cfff3ef" targetNamespace="http://schemas.microsoft.com/office/2006/metadata/properties" ma:root="true" ma:fieldsID="5ef40de9b072fa0150d72b26631a79bf" ns3:_="" ns4:_="">
    <xsd:import namespace="d20d8c3a-519c-4a66-bb69-947f012b6df2"/>
    <xsd:import namespace="f07863e2-c5a3-4bf1-a7d4-f0998cfff3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DateTaken" minOccurs="0"/>
                <xsd:element ref="ns3:MediaServiceObjectDetectorVersions"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d8c3a-519c-4a66-bb69-947f012b6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7863e2-c5a3-4bf1-a7d4-f0998cfff3e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BA54F-7FFE-4D66-8440-5BBB8CC80B5E}">
  <ds:schemaRefs>
    <ds:schemaRef ds:uri="http://schemas.openxmlformats.org/officeDocument/2006/bibliography"/>
  </ds:schemaRefs>
</ds:datastoreItem>
</file>

<file path=customXml/itemProps2.xml><?xml version="1.0" encoding="utf-8"?>
<ds:datastoreItem xmlns:ds="http://schemas.openxmlformats.org/officeDocument/2006/customXml" ds:itemID="{31CC6C52-A538-48BA-83AE-028CDD613A01}">
  <ds:schemaRefs>
    <ds:schemaRef ds:uri="http://www.w3.org/XML/1998/namespace"/>
    <ds:schemaRef ds:uri="http://schemas.microsoft.com/office/2006/documentManagement/types"/>
    <ds:schemaRef ds:uri="d20d8c3a-519c-4a66-bb69-947f012b6df2"/>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f07863e2-c5a3-4bf1-a7d4-f0998cfff3ef"/>
    <ds:schemaRef ds:uri="http://schemas.microsoft.com/office/2006/metadata/properties"/>
  </ds:schemaRefs>
</ds:datastoreItem>
</file>

<file path=customXml/itemProps3.xml><?xml version="1.0" encoding="utf-8"?>
<ds:datastoreItem xmlns:ds="http://schemas.openxmlformats.org/officeDocument/2006/customXml" ds:itemID="{A4797A48-1D8A-46E5-85ED-999D95F0857D}">
  <ds:schemaRefs>
    <ds:schemaRef ds:uri="http://schemas.microsoft.com/sharepoint/v3/contenttype/forms"/>
  </ds:schemaRefs>
</ds:datastoreItem>
</file>

<file path=customXml/itemProps4.xml><?xml version="1.0" encoding="utf-8"?>
<ds:datastoreItem xmlns:ds="http://schemas.openxmlformats.org/officeDocument/2006/customXml" ds:itemID="{88C47F6D-69C5-428E-96E0-40DF2DF9A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d8c3a-519c-4a66-bb69-947f012b6df2"/>
    <ds:schemaRef ds:uri="f07863e2-c5a3-4bf1-a7d4-f0998cfff3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0</TotalTime>
  <Pages>37</Pages>
  <Words>70343</Words>
  <Characters>400958</Characters>
  <Application>Microsoft Office Word</Application>
  <DocSecurity>0</DocSecurity>
  <Lines>3341</Lines>
  <Paragraphs>940</Paragraphs>
  <ScaleCrop>false</ScaleCrop>
  <Company>University of Washington</Company>
  <LinksUpToDate>false</LinksUpToDate>
  <CharactersWithSpaces>470361</CharactersWithSpaces>
  <SharedDoc>false</SharedDoc>
  <HLinks>
    <vt:vector size="54" baseType="variant">
      <vt:variant>
        <vt:i4>4653136</vt:i4>
      </vt:variant>
      <vt:variant>
        <vt:i4>324</vt:i4>
      </vt:variant>
      <vt:variant>
        <vt:i4>0</vt:i4>
      </vt:variant>
      <vt:variant>
        <vt:i4>5</vt:i4>
      </vt:variant>
      <vt:variant>
        <vt:lpwstr>https://ghdx.healthdata.org/gbd-2021/sources</vt:lpwstr>
      </vt:variant>
      <vt:variant>
        <vt:lpwstr/>
      </vt:variant>
      <vt:variant>
        <vt:i4>4784206</vt:i4>
      </vt:variant>
      <vt:variant>
        <vt:i4>72</vt:i4>
      </vt:variant>
      <vt:variant>
        <vt:i4>0</vt:i4>
      </vt:variant>
      <vt:variant>
        <vt:i4>5</vt:i4>
      </vt:variant>
      <vt:variant>
        <vt:lpwstr>http://ghdx.healthdata.org/gbd-2021/code</vt:lpwstr>
      </vt:variant>
      <vt:variant>
        <vt:lpwstr/>
      </vt:variant>
      <vt:variant>
        <vt:i4>7078008</vt:i4>
      </vt:variant>
      <vt:variant>
        <vt:i4>36</vt:i4>
      </vt:variant>
      <vt:variant>
        <vt:i4>0</vt:i4>
      </vt:variant>
      <vt:variant>
        <vt:i4>5</vt:i4>
      </vt:variant>
      <vt:variant>
        <vt:lpwstr>http://ghdx.healthdata.org/gbd-2021</vt:lpwstr>
      </vt:variant>
      <vt:variant>
        <vt:lpwstr/>
      </vt:variant>
      <vt:variant>
        <vt:i4>3211318</vt:i4>
      </vt:variant>
      <vt:variant>
        <vt:i4>24</vt:i4>
      </vt:variant>
      <vt:variant>
        <vt:i4>0</vt:i4>
      </vt:variant>
      <vt:variant>
        <vt:i4>5</vt:i4>
      </vt:variant>
      <vt:variant>
        <vt:lpwstr>https://cloud.ihme.washington.edu/s/Q7nnHz9CBbTErrx</vt:lpwstr>
      </vt:variant>
      <vt:variant>
        <vt:lpwstr/>
      </vt:variant>
      <vt:variant>
        <vt:i4>2818155</vt:i4>
      </vt:variant>
      <vt:variant>
        <vt:i4>3</vt:i4>
      </vt:variant>
      <vt:variant>
        <vt:i4>0</vt:i4>
      </vt:variant>
      <vt:variant>
        <vt:i4>5</vt:i4>
      </vt:variant>
      <vt:variant>
        <vt:lpwstr>https://uwnetid-my.sharepoint.com/personal/geoihme_uw_edu/Documents/Scientific Publications team/SWIM team projects/GBD 2021 capstones/03 GBD 2021 Causes of Death/03_Drafting/nagham@uw.edu</vt:lpwstr>
      </vt:variant>
      <vt:variant>
        <vt:lpwstr/>
      </vt:variant>
      <vt:variant>
        <vt:i4>3211318</vt:i4>
      </vt:variant>
      <vt:variant>
        <vt:i4>0</vt:i4>
      </vt:variant>
      <vt:variant>
        <vt:i4>0</vt:i4>
      </vt:variant>
      <vt:variant>
        <vt:i4>5</vt:i4>
      </vt:variant>
      <vt:variant>
        <vt:lpwstr>https://cloud.ihme.washington.edu/s/Q7nnHz9CBbTErrx</vt:lpwstr>
      </vt:variant>
      <vt:variant>
        <vt:lpwstr/>
      </vt:variant>
      <vt:variant>
        <vt:i4>4980855</vt:i4>
      </vt:variant>
      <vt:variant>
        <vt:i4>6</vt:i4>
      </vt:variant>
      <vt:variant>
        <vt:i4>0</vt:i4>
      </vt:variant>
      <vt:variant>
        <vt:i4>5</vt:i4>
      </vt:variant>
      <vt:variant>
        <vt:lpwstr>mailto:mwcunnin@uw.edu</vt:lpwstr>
      </vt:variant>
      <vt:variant>
        <vt:lpwstr/>
      </vt:variant>
      <vt:variant>
        <vt:i4>4980855</vt:i4>
      </vt:variant>
      <vt:variant>
        <vt:i4>3</vt:i4>
      </vt:variant>
      <vt:variant>
        <vt:i4>0</vt:i4>
      </vt:variant>
      <vt:variant>
        <vt:i4>5</vt:i4>
      </vt:variant>
      <vt:variant>
        <vt:lpwstr>mailto:mwcunnin@uw.edu</vt:lpwstr>
      </vt:variant>
      <vt:variant>
        <vt:lpwstr/>
      </vt:variant>
      <vt:variant>
        <vt:i4>4980855</vt:i4>
      </vt:variant>
      <vt:variant>
        <vt:i4>0</vt:i4>
      </vt:variant>
      <vt:variant>
        <vt:i4>0</vt:i4>
      </vt:variant>
      <vt:variant>
        <vt:i4>5</vt:i4>
      </vt:variant>
      <vt:variant>
        <vt:lpwstr>mailto:mwcunnin@uw.edu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 Bisignano</dc:creator>
  <cp:keywords/>
  <dc:description/>
  <cp:lastModifiedBy>Tanya Palmer</cp:lastModifiedBy>
  <cp:revision>2</cp:revision>
  <cp:lastPrinted>2023-11-03T19:07:00Z</cp:lastPrinted>
  <dcterms:created xsi:type="dcterms:W3CDTF">2024-08-12T08:48:00Z</dcterms:created>
  <dcterms:modified xsi:type="dcterms:W3CDTF">2024-08-12T08:48:00Z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0x010100076894273882B249AF4680D41C3A0517</vt:lpwstr>
  </property>
  <property fmtid="{D5CDD505-2E9C-101B-9397-08002B2CF9AE}" pid="3" name="GrammarlyDocumentId">
    <vt:lpwstr>c4e29c86cfb6678f4f25b696044a3a85490163bad84531d94f9e601798a75661</vt:lpwstr>
  </property>
  <property fmtid="{D5CDD505-2E9C-101B-9397-08002B2CF9AE}" pid="4" name="ZOTERO_PREF_2">
    <vt:lpwstr>iations" value="true"/&gt;&lt;pref name="dontAskDelayCitationUpdates" value="true"/&gt;&lt;/prefs&gt;&lt;/data&gt;</vt:lpwstr>
  </property>
  <property fmtid="{D5CDD505-2E9C-101B-9397-08002B2CF9AE}" pid="5" name="ZOTERO_PREF_1">
    <vt:lpwstr>&lt;data data-version="3" zotero-version="6.0.30"&gt;&lt;session id="eUK3VSH8"/&gt;&lt;style id="http://www.zotero.org/styles/the-lancet" hasBibliography="1" bibliographyStyleHasBeenSet="1"/&gt;&lt;prefs&gt;&lt;pref name="fieldType" value="Field"/&gt;&lt;pref name="automaticJournalAbbrev</vt:lpwstr>
  </property>
</Properties>
</file>