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15BBB" w14:textId="1AD29456" w:rsidR="00E407B0" w:rsidRDefault="00DF53A5" w:rsidP="00DF53A5">
      <w:r w:rsidRPr="001D0AC0">
        <w:rPr>
          <w:b/>
          <w:bCs/>
        </w:rPr>
        <w:t>Title:</w:t>
      </w:r>
      <w:r w:rsidR="006461B0">
        <w:rPr>
          <w:b/>
          <w:bCs/>
        </w:rPr>
        <w:t xml:space="preserve"> </w:t>
      </w:r>
      <w:r>
        <w:t xml:space="preserve">Eureka – </w:t>
      </w:r>
      <w:r w:rsidR="00E407B0">
        <w:t>objective assessment of the empty pelvis syndrome to measure volumetric changes in pelvic dead space following pelvic exenteration</w:t>
      </w:r>
    </w:p>
    <w:p w14:paraId="79D5BD31" w14:textId="77777777" w:rsidR="00CB6043" w:rsidRDefault="00DF53A5" w:rsidP="00DF53A5">
      <w:pPr>
        <w:rPr>
          <w:b/>
          <w:bCs/>
        </w:rPr>
      </w:pPr>
      <w:r>
        <w:rPr>
          <w:b/>
          <w:bCs/>
        </w:rPr>
        <w:t>Authors:</w:t>
      </w:r>
      <w:r w:rsidR="006461B0">
        <w:rPr>
          <w:b/>
          <w:bCs/>
        </w:rPr>
        <w:t xml:space="preserve"> </w:t>
      </w:r>
    </w:p>
    <w:p w14:paraId="5E78524A" w14:textId="7308ED91" w:rsidR="00CB6043" w:rsidRPr="00544669" w:rsidRDefault="00DF53A5" w:rsidP="00DF53A5">
      <w:r>
        <w:t>CT West</w:t>
      </w:r>
      <w:r w:rsidR="00544669">
        <w:rPr>
          <w:vertAlign w:val="superscript"/>
        </w:rPr>
        <w:t xml:space="preserve">1,2 </w:t>
      </w:r>
      <w:r w:rsidR="00544669">
        <w:t xml:space="preserve">– </w:t>
      </w:r>
      <w:hyperlink r:id="rId8" w:history="1">
        <w:r w:rsidR="00544669" w:rsidRPr="00ED15F1">
          <w:rPr>
            <w:rStyle w:val="Hyperlink"/>
          </w:rPr>
          <w:t>Charles.west4@nhs.net</w:t>
        </w:r>
      </w:hyperlink>
      <w:r w:rsidR="00544669">
        <w:t xml:space="preserve"> </w:t>
      </w:r>
      <w:r w:rsidR="00CB20DB">
        <w:t>(ORCID: 0000-0003-3602-0065)</w:t>
      </w:r>
      <w:r w:rsidR="002356F8">
        <w:t xml:space="preserve"> </w:t>
      </w:r>
      <w:r w:rsidR="00723EF6">
        <w:t xml:space="preserve">/ @charliewest89 </w:t>
      </w:r>
    </w:p>
    <w:p w14:paraId="750B6062" w14:textId="3027C667" w:rsidR="00CB6043" w:rsidRPr="00544669" w:rsidRDefault="00DF53A5" w:rsidP="00DF53A5">
      <w:r>
        <w:t>A Tiwari</w:t>
      </w:r>
      <w:r w:rsidR="00544669">
        <w:rPr>
          <w:vertAlign w:val="superscript"/>
        </w:rPr>
        <w:t>1</w:t>
      </w:r>
      <w:r w:rsidR="00544669">
        <w:t xml:space="preserve"> </w:t>
      </w:r>
      <w:r w:rsidR="00CB20DB">
        <w:t>–</w:t>
      </w:r>
      <w:r w:rsidR="00544669">
        <w:t xml:space="preserve"> </w:t>
      </w:r>
      <w:hyperlink r:id="rId9" w:history="1">
        <w:r w:rsidR="00CB20DB" w:rsidRPr="00ED15F1">
          <w:rPr>
            <w:rStyle w:val="Hyperlink"/>
          </w:rPr>
          <w:t>Abhinav.tiwari@uhs.nhs.uk</w:t>
        </w:r>
      </w:hyperlink>
      <w:r w:rsidR="00CB20DB">
        <w:t xml:space="preserve"> </w:t>
      </w:r>
    </w:p>
    <w:p w14:paraId="2B968186" w14:textId="34A1339B" w:rsidR="00CB6043" w:rsidRPr="00CB20DB" w:rsidRDefault="003E4380" w:rsidP="00DF53A5">
      <w:r>
        <w:t>L Matthews</w:t>
      </w:r>
      <w:r w:rsidR="00544669">
        <w:rPr>
          <w:vertAlign w:val="superscript"/>
        </w:rPr>
        <w:t>2</w:t>
      </w:r>
      <w:r w:rsidR="00CB20DB">
        <w:t xml:space="preserve"> – </w:t>
      </w:r>
      <w:hyperlink r:id="rId10" w:history="1">
        <w:r w:rsidR="00CB20DB" w:rsidRPr="00ED15F1">
          <w:rPr>
            <w:rStyle w:val="Hyperlink"/>
          </w:rPr>
          <w:t>l.matthews@soton.ac.uk</w:t>
        </w:r>
      </w:hyperlink>
      <w:r w:rsidR="00CB20DB">
        <w:t xml:space="preserve"> </w:t>
      </w:r>
    </w:p>
    <w:p w14:paraId="5A9A687F" w14:textId="78F39F73" w:rsidR="00CB6043" w:rsidRDefault="006461B0" w:rsidP="00DF53A5">
      <w:r>
        <w:t>I Drami</w:t>
      </w:r>
      <w:r w:rsidR="00544669">
        <w:rPr>
          <w:vertAlign w:val="superscript"/>
        </w:rPr>
        <w:t>3</w:t>
      </w:r>
      <w:r w:rsidR="00EB7EF7">
        <w:rPr>
          <w:vertAlign w:val="superscript"/>
        </w:rPr>
        <w:t>,4</w:t>
      </w:r>
      <w:r w:rsidR="00CB20DB">
        <w:t xml:space="preserve"> – </w:t>
      </w:r>
      <w:hyperlink r:id="rId11" w:history="1">
        <w:r w:rsidR="00CB20DB" w:rsidRPr="00ED15F1">
          <w:rPr>
            <w:rStyle w:val="Hyperlink"/>
          </w:rPr>
          <w:t>Ioanna.drami@nhs.net</w:t>
        </w:r>
      </w:hyperlink>
      <w:r w:rsidR="00CB20DB">
        <w:t xml:space="preserve"> </w:t>
      </w:r>
    </w:p>
    <w:p w14:paraId="26999141" w14:textId="682A4307" w:rsidR="00D9623A" w:rsidRPr="00D9623A" w:rsidRDefault="00D9623A" w:rsidP="00DF53A5">
      <w:r>
        <w:t>Mai D</w:t>
      </w:r>
      <w:r>
        <w:rPr>
          <w:vertAlign w:val="superscript"/>
        </w:rPr>
        <w:t>3</w:t>
      </w:r>
      <w:r w:rsidR="00EB7EF7">
        <w:rPr>
          <w:vertAlign w:val="superscript"/>
        </w:rPr>
        <w:t>,4</w:t>
      </w:r>
      <w:r>
        <w:rPr>
          <w:vertAlign w:val="superscript"/>
        </w:rPr>
        <w:t xml:space="preserve"> </w:t>
      </w:r>
      <w:r>
        <w:t xml:space="preserve">– </w:t>
      </w:r>
      <w:hyperlink r:id="rId12" w:history="1">
        <w:r w:rsidRPr="00225690">
          <w:rPr>
            <w:rStyle w:val="Hyperlink"/>
          </w:rPr>
          <w:t>dinh.mai1@nhs.net</w:t>
        </w:r>
      </w:hyperlink>
      <w:r>
        <w:t xml:space="preserve"> </w:t>
      </w:r>
    </w:p>
    <w:p w14:paraId="7A2B872D" w14:textId="7B5BAE77" w:rsidR="00CB6043" w:rsidRPr="00CB20DB" w:rsidRDefault="00EB7EF7" w:rsidP="00DF53A5">
      <w:r>
        <w:t>JT</w:t>
      </w:r>
      <w:r w:rsidR="00DF53A5">
        <w:t xml:space="preserve"> Jenkins</w:t>
      </w:r>
      <w:r w:rsidR="00544669">
        <w:rPr>
          <w:vertAlign w:val="superscript"/>
        </w:rPr>
        <w:t>3</w:t>
      </w:r>
      <w:r>
        <w:rPr>
          <w:vertAlign w:val="superscript"/>
        </w:rPr>
        <w:t>,4</w:t>
      </w:r>
      <w:r w:rsidR="00CB20DB">
        <w:t xml:space="preserve"> – </w:t>
      </w:r>
      <w:hyperlink r:id="rId13" w:history="1">
        <w:r w:rsidR="00CB20DB" w:rsidRPr="00ED15F1">
          <w:rPr>
            <w:rStyle w:val="Hyperlink"/>
          </w:rPr>
          <w:t>i.jenkins@nhs.net</w:t>
        </w:r>
      </w:hyperlink>
      <w:r w:rsidR="00CB20DB">
        <w:t xml:space="preserve"> </w:t>
      </w:r>
    </w:p>
    <w:p w14:paraId="5988C263" w14:textId="0B6159FD" w:rsidR="00CB6043" w:rsidRPr="00CB20DB" w:rsidRDefault="00DF53A5" w:rsidP="00DF53A5">
      <w:r>
        <w:t>H Yano</w:t>
      </w:r>
      <w:r w:rsidR="00544669">
        <w:rPr>
          <w:vertAlign w:val="superscript"/>
        </w:rPr>
        <w:t>1</w:t>
      </w:r>
      <w:r w:rsidR="00CB20DB">
        <w:t xml:space="preserve"> – </w:t>
      </w:r>
      <w:hyperlink r:id="rId14" w:history="1">
        <w:r w:rsidR="00CB20DB" w:rsidRPr="00ED15F1">
          <w:rPr>
            <w:rStyle w:val="Hyperlink"/>
          </w:rPr>
          <w:t>hideaki.yano@uhs.nhs.uk</w:t>
        </w:r>
      </w:hyperlink>
      <w:r w:rsidR="00CB20DB">
        <w:t xml:space="preserve"> </w:t>
      </w:r>
    </w:p>
    <w:p w14:paraId="673C8BC6" w14:textId="623CA08C" w:rsidR="00CB6043" w:rsidRPr="00CB20DB" w:rsidRDefault="00EB7EF7" w:rsidP="00DF53A5">
      <w:r>
        <w:t>*</w:t>
      </w:r>
      <w:r w:rsidR="00DF53A5">
        <w:t>MA West</w:t>
      </w:r>
      <w:r w:rsidR="00544669">
        <w:rPr>
          <w:vertAlign w:val="superscript"/>
        </w:rPr>
        <w:t>1,2</w:t>
      </w:r>
      <w:r w:rsidR="00CB20DB">
        <w:t xml:space="preserve">– </w:t>
      </w:r>
      <w:hyperlink r:id="rId15" w:history="1">
        <w:r w:rsidR="00CB20DB" w:rsidRPr="00ED15F1">
          <w:rPr>
            <w:rStyle w:val="Hyperlink"/>
          </w:rPr>
          <w:t>m.west@soton.ac.uk</w:t>
        </w:r>
      </w:hyperlink>
    </w:p>
    <w:p w14:paraId="2940B87E" w14:textId="4AE7F84B" w:rsidR="00DF53A5" w:rsidRDefault="00EB7EF7" w:rsidP="00DF53A5">
      <w:r>
        <w:t>*</w:t>
      </w:r>
      <w:r w:rsidR="00DF53A5">
        <w:t>AH Mirnezami</w:t>
      </w:r>
      <w:r w:rsidR="00544669">
        <w:rPr>
          <w:vertAlign w:val="superscript"/>
        </w:rPr>
        <w:t>1,2</w:t>
      </w:r>
      <w:r w:rsidR="00B168F6">
        <w:rPr>
          <w:vertAlign w:val="superscript"/>
        </w:rPr>
        <w:t xml:space="preserve"> *</w:t>
      </w:r>
      <w:r w:rsidR="00CB20DB">
        <w:t xml:space="preserve"> – </w:t>
      </w:r>
      <w:hyperlink r:id="rId16" w:history="1">
        <w:r w:rsidR="00CB20DB" w:rsidRPr="00ED15F1">
          <w:rPr>
            <w:rStyle w:val="Hyperlink"/>
          </w:rPr>
          <w:t>alex.mirnezami@uhs.nhs.uk</w:t>
        </w:r>
      </w:hyperlink>
      <w:r w:rsidR="00CB20DB">
        <w:t xml:space="preserve"> </w:t>
      </w:r>
    </w:p>
    <w:p w14:paraId="2AEAE966" w14:textId="77777777" w:rsidR="00EB7EF7" w:rsidRDefault="00EB7EF7" w:rsidP="00EB7EF7"/>
    <w:p w14:paraId="0F721777" w14:textId="18D26EE7" w:rsidR="00B168F6" w:rsidRDefault="00EB7EF7" w:rsidP="00EB7EF7">
      <w:r>
        <w:t>*</w:t>
      </w:r>
      <w:r w:rsidR="00B168F6" w:rsidRPr="00EB7EF7">
        <w:t>Authors contributed equally</w:t>
      </w:r>
    </w:p>
    <w:p w14:paraId="0834A9AF" w14:textId="377F62EE" w:rsidR="00CB6043" w:rsidRDefault="00CB6043" w:rsidP="00DF53A5">
      <w:pPr>
        <w:rPr>
          <w:b/>
          <w:bCs/>
        </w:rPr>
      </w:pPr>
      <w:r>
        <w:rPr>
          <w:b/>
          <w:bCs/>
        </w:rPr>
        <w:t>Institutions:</w:t>
      </w:r>
    </w:p>
    <w:p w14:paraId="6F1A9411" w14:textId="413BF9E2" w:rsidR="00CB6043" w:rsidRPr="00EB7EF7" w:rsidRDefault="00544669" w:rsidP="00CB6043">
      <w:pPr>
        <w:pStyle w:val="ListParagraph"/>
        <w:numPr>
          <w:ilvl w:val="0"/>
          <w:numId w:val="1"/>
        </w:numPr>
      </w:pPr>
      <w:r>
        <w:t xml:space="preserve">Southampton Complex Cancer and Exenteration Team, </w:t>
      </w:r>
      <w:r w:rsidR="00CB6043">
        <w:t xml:space="preserve">University Hospital Southampton </w:t>
      </w:r>
      <w:r w:rsidR="00CB6043" w:rsidRPr="00EB7EF7">
        <w:t>NHS Foundation Trust</w:t>
      </w:r>
      <w:r w:rsidR="0082388D">
        <w:t>, UK</w:t>
      </w:r>
    </w:p>
    <w:p w14:paraId="02200741" w14:textId="4F573D60" w:rsidR="00CB6043" w:rsidRPr="00EB7EF7" w:rsidRDefault="00544669" w:rsidP="00CB6043">
      <w:pPr>
        <w:pStyle w:val="ListParagraph"/>
        <w:numPr>
          <w:ilvl w:val="0"/>
          <w:numId w:val="1"/>
        </w:numPr>
      </w:pPr>
      <w:r w:rsidRPr="00EB7EF7">
        <w:t>Cancer Sciences, Faculty of Medicine, University of Southampton</w:t>
      </w:r>
      <w:r w:rsidR="0082388D">
        <w:t>, UK</w:t>
      </w:r>
    </w:p>
    <w:p w14:paraId="388C2A95" w14:textId="7A81FBEF" w:rsidR="00544669" w:rsidRPr="00EB7EF7" w:rsidRDefault="00544669" w:rsidP="00544669">
      <w:pPr>
        <w:pStyle w:val="ListParagraph"/>
        <w:numPr>
          <w:ilvl w:val="0"/>
          <w:numId w:val="1"/>
        </w:numPr>
        <w:rPr>
          <w:color w:val="000000" w:themeColor="text1"/>
        </w:rPr>
      </w:pPr>
      <w:r w:rsidRPr="00EB7EF7">
        <w:rPr>
          <w:color w:val="000000" w:themeColor="text1"/>
        </w:rPr>
        <w:t xml:space="preserve">St Mark’s </w:t>
      </w:r>
      <w:r w:rsidR="00EB7EF7" w:rsidRPr="00EB7EF7">
        <w:rPr>
          <w:color w:val="000000" w:themeColor="text1"/>
        </w:rPr>
        <w:t xml:space="preserve">Hospital &amp; </w:t>
      </w:r>
      <w:r w:rsidRPr="00EB7EF7">
        <w:rPr>
          <w:color w:val="000000" w:themeColor="text1"/>
        </w:rPr>
        <w:t>Academic Institute</w:t>
      </w:r>
      <w:r w:rsidR="00EB7EF7" w:rsidRPr="00EB7EF7">
        <w:rPr>
          <w:color w:val="000000" w:themeColor="text1"/>
        </w:rPr>
        <w:t>, London UK</w:t>
      </w:r>
    </w:p>
    <w:p w14:paraId="4305E8B4" w14:textId="302CADBE" w:rsidR="00EB7EF7" w:rsidRPr="00EB7EF7" w:rsidRDefault="00EB7EF7" w:rsidP="00544669">
      <w:pPr>
        <w:pStyle w:val="ListParagraph"/>
        <w:numPr>
          <w:ilvl w:val="0"/>
          <w:numId w:val="1"/>
        </w:numPr>
        <w:rPr>
          <w:color w:val="000000" w:themeColor="text1"/>
        </w:rPr>
      </w:pPr>
      <w:r w:rsidRPr="00EB7EF7">
        <w:rPr>
          <w:color w:val="000000" w:themeColor="text1"/>
        </w:rPr>
        <w:t>Imperial College, London, UK</w:t>
      </w:r>
    </w:p>
    <w:p w14:paraId="36F85E15" w14:textId="2E08FFD9" w:rsidR="0082388D" w:rsidRPr="0082388D" w:rsidRDefault="0082388D" w:rsidP="00DF53A5">
      <w:r>
        <w:rPr>
          <w:b/>
          <w:bCs/>
        </w:rPr>
        <w:t xml:space="preserve">Corresponding author: </w:t>
      </w:r>
      <w:r>
        <w:t xml:space="preserve">CT West – </w:t>
      </w:r>
      <w:hyperlink r:id="rId17" w:history="1">
        <w:r w:rsidRPr="00225690">
          <w:rPr>
            <w:rStyle w:val="Hyperlink"/>
          </w:rPr>
          <w:t>Charles.west4@nhs.net</w:t>
        </w:r>
      </w:hyperlink>
      <w:r>
        <w:t xml:space="preserve"> </w:t>
      </w:r>
    </w:p>
    <w:p w14:paraId="35311948" w14:textId="7F5E41D3" w:rsidR="007012A2" w:rsidRPr="002354EF" w:rsidRDefault="00723EF6" w:rsidP="00DF53A5">
      <w:r>
        <w:rPr>
          <w:b/>
          <w:bCs/>
        </w:rPr>
        <w:t xml:space="preserve">Acknowledgements </w:t>
      </w:r>
      <w:r w:rsidR="00DF53A5">
        <w:rPr>
          <w:b/>
          <w:bCs/>
        </w:rPr>
        <w:t>:</w:t>
      </w:r>
      <w:r w:rsidR="006461B0">
        <w:rPr>
          <w:b/>
          <w:bCs/>
        </w:rPr>
        <w:t xml:space="preserve"> </w:t>
      </w:r>
      <w:r w:rsidR="00DF53A5">
        <w:t>Lead author CT West is sponsored by the Fergus Scholefield Cancer Research Fund kindly donated from Penguins Against Cancer, a</w:t>
      </w:r>
      <w:r w:rsidR="00035D0E">
        <w:t xml:space="preserve"> </w:t>
      </w:r>
      <w:r w:rsidR="00DF53A5">
        <w:t>PLANETS Cancer Charity</w:t>
      </w:r>
      <w:r>
        <w:t xml:space="preserve"> Grant</w:t>
      </w:r>
      <w:r w:rsidR="00035D0E">
        <w:t>, and Bowel Research UK.</w:t>
      </w:r>
    </w:p>
    <w:p w14:paraId="1793DF1D" w14:textId="5E104B23" w:rsidR="002356F8" w:rsidRDefault="002356F8" w:rsidP="00DF53A5">
      <w:r>
        <w:rPr>
          <w:b/>
          <w:bCs/>
        </w:rPr>
        <w:t xml:space="preserve">Article type: </w:t>
      </w:r>
      <w:r w:rsidR="006613C3">
        <w:t>Short communication</w:t>
      </w:r>
    </w:p>
    <w:p w14:paraId="3002390B" w14:textId="2F6D6B86" w:rsidR="002354EF" w:rsidRDefault="002354EF" w:rsidP="002354EF">
      <w:pPr>
        <w:autoSpaceDE w:val="0"/>
        <w:autoSpaceDN w:val="0"/>
        <w:adjustRightInd w:val="0"/>
        <w:rPr>
          <w:rFonts w:ascii="Calibri" w:hAnsi="Calibri" w:cs="Calibri"/>
          <w:b/>
          <w:bCs/>
          <w:color w:val="000000"/>
        </w:rPr>
      </w:pPr>
      <w:r w:rsidRPr="00636BB7">
        <w:rPr>
          <w:rFonts w:ascii="Calibri" w:hAnsi="Calibri" w:cs="Calibri"/>
          <w:b/>
          <w:bCs/>
          <w:color w:val="000000"/>
        </w:rPr>
        <w:t>Author contributions</w:t>
      </w:r>
      <w:r>
        <w:rPr>
          <w:rFonts w:ascii="Calibri" w:hAnsi="Calibri" w:cs="Calibri"/>
          <w:b/>
          <w:bCs/>
          <w:color w:val="000000"/>
        </w:rPr>
        <w:t>:</w:t>
      </w:r>
    </w:p>
    <w:p w14:paraId="298D0654" w14:textId="4E013034" w:rsidR="002354EF" w:rsidRDefault="002354EF" w:rsidP="002354EF">
      <w:pPr>
        <w:autoSpaceDE w:val="0"/>
        <w:autoSpaceDN w:val="0"/>
        <w:adjustRightInd w:val="0"/>
        <w:rPr>
          <w:rFonts w:ascii="Calibri" w:hAnsi="Calibri" w:cs="Calibri"/>
          <w:color w:val="000000"/>
        </w:rPr>
      </w:pPr>
      <w:r>
        <w:rPr>
          <w:rFonts w:ascii="Calibri" w:hAnsi="Calibri" w:cs="Calibri"/>
          <w:color w:val="000000"/>
        </w:rPr>
        <w:t>All authors contributed to the study conception and design. Material preparation and data collection were performed by CT West, H Yano, MA West, and AH Mirnezami. Analysis was planned and completed by L Matthews, A Tiwari, and CT West. I Drami, Mai D, and JT Jenkins gave expertise on body composition analysis. The first draft of the manuscript was written by CT West and A Tiwari. All authors commented on previous versions of the manuscript, all authors read and approved the final manuscript.</w:t>
      </w:r>
    </w:p>
    <w:p w14:paraId="22387E23" w14:textId="77777777" w:rsidR="002354EF" w:rsidRPr="00845F5F" w:rsidRDefault="002354EF" w:rsidP="002354EF">
      <w:pPr>
        <w:ind w:left="720" w:hanging="720"/>
        <w:rPr>
          <w:b/>
          <w:bCs/>
        </w:rPr>
      </w:pPr>
    </w:p>
    <w:p w14:paraId="321F77ED" w14:textId="7C487C63" w:rsidR="002354EF" w:rsidRDefault="002354EF" w:rsidP="00DF53A5"/>
    <w:p w14:paraId="70AA03C0" w14:textId="77777777" w:rsidR="002354EF" w:rsidRDefault="002354EF" w:rsidP="00DF53A5"/>
    <w:p w14:paraId="7C285610" w14:textId="1EA31003" w:rsidR="001D7B24" w:rsidRDefault="001D7B24" w:rsidP="00DF53A5">
      <w:pPr>
        <w:rPr>
          <w:b/>
          <w:bCs/>
        </w:rPr>
      </w:pPr>
      <w:r>
        <w:rPr>
          <w:b/>
          <w:bCs/>
        </w:rPr>
        <w:lastRenderedPageBreak/>
        <w:t xml:space="preserve">Abstract </w:t>
      </w:r>
    </w:p>
    <w:p w14:paraId="35A359C5" w14:textId="464BB9AA" w:rsidR="0082388D" w:rsidRDefault="0082388D" w:rsidP="0082388D">
      <w:pPr>
        <w:rPr>
          <w:b/>
          <w:bCs/>
        </w:rPr>
      </w:pPr>
      <w:r>
        <w:rPr>
          <w:b/>
          <w:bCs/>
        </w:rPr>
        <w:t>Background:</w:t>
      </w:r>
    </w:p>
    <w:p w14:paraId="5FC79481" w14:textId="7BC2BC1D" w:rsidR="0082388D" w:rsidRDefault="0082388D" w:rsidP="0082388D">
      <w:r>
        <w:t>Large tissue defects following pelvic exenteration (PE) fill with fluid and small bowel, leading to the “the empty pelvis syndrome” (EPS). EPS causes a constellation of complications including pelvic sepsis and reduced quality-of-life. EPS remains poorly defined and cannot be objectively measured. Pathophysiology of EPS is multifactorial, with increase</w:t>
      </w:r>
      <w:r w:rsidR="00953369">
        <w:t>d</w:t>
      </w:r>
      <w:r>
        <w:t xml:space="preserve"> pelvic dead</w:t>
      </w:r>
      <w:r w:rsidR="00953369">
        <w:t xml:space="preserve"> </w:t>
      </w:r>
      <w:r>
        <w:t xml:space="preserve">space </w:t>
      </w:r>
      <w:r w:rsidR="00953369">
        <w:t>potentially</w:t>
      </w:r>
      <w:r>
        <w:t xml:space="preserve"> important. This study aims to describe methodology </w:t>
      </w:r>
      <w:r w:rsidR="00953369">
        <w:t>to</w:t>
      </w:r>
      <w:r>
        <w:t xml:space="preserve"> objective</w:t>
      </w:r>
      <w:r w:rsidR="00953369">
        <w:t>ly</w:t>
      </w:r>
      <w:r>
        <w:t xml:space="preserve"> measure volumetric changes relating to EPS</w:t>
      </w:r>
      <w:r w:rsidR="002C02FB">
        <w:t>.</w:t>
      </w:r>
    </w:p>
    <w:p w14:paraId="06990630" w14:textId="77777777" w:rsidR="0082388D" w:rsidRDefault="0082388D" w:rsidP="0082388D">
      <w:pPr>
        <w:rPr>
          <w:b/>
          <w:bCs/>
        </w:rPr>
      </w:pPr>
      <w:r>
        <w:rPr>
          <w:b/>
          <w:bCs/>
        </w:rPr>
        <w:t>Methods:</w:t>
      </w:r>
    </w:p>
    <w:p w14:paraId="378F1370" w14:textId="67B169C2" w:rsidR="0082388D" w:rsidRPr="00AC294D" w:rsidRDefault="0082388D" w:rsidP="0082388D">
      <w:r>
        <w:t>The true pelvis is defined by the pelvic inlet and outlet. Within the true pelvis there is physiological pelvic dead</w:t>
      </w:r>
      <w:r w:rsidR="00953369">
        <w:t xml:space="preserve"> </w:t>
      </w:r>
      <w:r>
        <w:t>space (</w:t>
      </w:r>
      <w:r w:rsidRPr="00852B48">
        <w:rPr>
          <w:highlight w:val="yellow"/>
        </w:rPr>
        <w:t>PD</w:t>
      </w:r>
      <w:r w:rsidR="00852B48" w:rsidRPr="00852B48">
        <w:rPr>
          <w:highlight w:val="yellow"/>
        </w:rPr>
        <w:t>S</w:t>
      </w:r>
      <w:r>
        <w:t>) between the peritoneal reflection and the inlet</w:t>
      </w:r>
      <w:r w:rsidR="002C02FB">
        <w:t>. T</w:t>
      </w:r>
      <w:r>
        <w:t>his dead</w:t>
      </w:r>
      <w:r w:rsidR="00953369">
        <w:t xml:space="preserve"> </w:t>
      </w:r>
      <w:r>
        <w:t xml:space="preserve">space </w:t>
      </w:r>
      <w:r w:rsidR="00953369">
        <w:t>is</w:t>
      </w:r>
      <w:r>
        <w:t xml:space="preserve"> increased </w:t>
      </w:r>
      <w:r w:rsidR="002C02FB">
        <w:t xml:space="preserve">following PE </w:t>
      </w:r>
      <w:r>
        <w:t>and is defined as the exenteration pelvic dead</w:t>
      </w:r>
      <w:r w:rsidR="00953369">
        <w:t xml:space="preserve"> </w:t>
      </w:r>
      <w:r>
        <w:t xml:space="preserve">space (EPD). EPD may be reduced with pelvic filling, the volume of filling is defined as the pelvic filling volume (PFV). </w:t>
      </w:r>
      <w:r w:rsidR="00852B48" w:rsidRPr="00852B48">
        <w:rPr>
          <w:highlight w:val="yellow"/>
        </w:rPr>
        <w:t>PDS</w:t>
      </w:r>
      <w:r>
        <w:t xml:space="preserve">, EPD, and PFV were measured intra-operatively using a bladder syringe, and Archimedes’ water displacement principle. </w:t>
      </w:r>
    </w:p>
    <w:p w14:paraId="06E98BC7" w14:textId="77777777" w:rsidR="0082388D" w:rsidRDefault="0082388D" w:rsidP="0082388D">
      <w:pPr>
        <w:rPr>
          <w:b/>
          <w:bCs/>
        </w:rPr>
      </w:pPr>
      <w:r>
        <w:rPr>
          <w:b/>
          <w:bCs/>
        </w:rPr>
        <w:t>Results:</w:t>
      </w:r>
    </w:p>
    <w:p w14:paraId="48A40DD6" w14:textId="51A720E0" w:rsidR="0082388D" w:rsidRDefault="0082388D" w:rsidP="0082388D">
      <w:r>
        <w:t xml:space="preserve">A patient undergoing total infralevator PE, had a </w:t>
      </w:r>
      <w:r w:rsidR="00852B48" w:rsidRPr="00852B48">
        <w:rPr>
          <w:highlight w:val="yellow"/>
        </w:rPr>
        <w:t>PDS</w:t>
      </w:r>
      <w:r>
        <w:t xml:space="preserve"> of 50ml. A rectus flap </w:t>
      </w:r>
      <w:r w:rsidR="00953369">
        <w:t>rendered</w:t>
      </w:r>
      <w:r>
        <w:t xml:space="preserve"> the pelvic outlet watertight. EPD was then measured as 540ml, therefore there was a 10.8</w:t>
      </w:r>
      <w:r w:rsidR="00953369">
        <w:t>-fold</w:t>
      </w:r>
      <w:r>
        <w:t xml:space="preserve"> increase in true pelvis dead</w:t>
      </w:r>
      <w:r w:rsidR="00953369">
        <w:t xml:space="preserve"> </w:t>
      </w:r>
      <w:r>
        <w:t xml:space="preserve">space. An omentoplasty was placed into the EPD, displacing 130ml, therefore percentage of PFV to EPD was 24.1%. </w:t>
      </w:r>
    </w:p>
    <w:p w14:paraId="58B39B97" w14:textId="77777777" w:rsidR="0082388D" w:rsidRPr="001D0AC0" w:rsidRDefault="0082388D" w:rsidP="0082388D">
      <w:pPr>
        <w:rPr>
          <w:b/>
          <w:bCs/>
        </w:rPr>
      </w:pPr>
      <w:r>
        <w:rPr>
          <w:b/>
          <w:bCs/>
        </w:rPr>
        <w:t>Conclusions:</w:t>
      </w:r>
    </w:p>
    <w:p w14:paraId="12EFF1AE" w14:textId="7AB2FB1A" w:rsidR="00D623D2" w:rsidRDefault="0082388D" w:rsidP="00EB7EF7">
      <w:r>
        <w:t>This is the first reported quantitative assessment of pathophysiological volumetric changes of pelvic dead</w:t>
      </w:r>
      <w:r w:rsidR="00953369">
        <w:t xml:space="preserve"> </w:t>
      </w:r>
      <w:r>
        <w:t xml:space="preserve">space – these measurements may correlate to severity of EPS. </w:t>
      </w:r>
      <w:r w:rsidR="00852B48" w:rsidRPr="00852B48">
        <w:rPr>
          <w:highlight w:val="yellow"/>
        </w:rPr>
        <w:t>PDS</w:t>
      </w:r>
      <w:r>
        <w:t>, EPD and PFV should be amendable to assessment based on peri-operative cross-sectional imaging, allowing for</w:t>
      </w:r>
      <w:r w:rsidR="00953369">
        <w:t xml:space="preserve"> potential</w:t>
      </w:r>
      <w:r>
        <w:t xml:space="preserve"> prediction of EPS-related outcomes.</w:t>
      </w:r>
    </w:p>
    <w:p w14:paraId="0D8A8640" w14:textId="0037DE69" w:rsidR="00D623D2" w:rsidRDefault="0082388D" w:rsidP="00EB7EF7">
      <w:pPr>
        <w:rPr>
          <w:b/>
          <w:bCs/>
        </w:rPr>
      </w:pPr>
      <w:r>
        <w:rPr>
          <w:b/>
          <w:bCs/>
        </w:rPr>
        <w:t>Key words:</w:t>
      </w:r>
    </w:p>
    <w:p w14:paraId="7A5C031C" w14:textId="2EE9E04E" w:rsidR="0082388D" w:rsidRPr="0082388D" w:rsidRDefault="0082388D" w:rsidP="00EB7EF7">
      <w:r>
        <w:t xml:space="preserve">Pelvic exenteration, empty pelvis syndrome, dead space, volumetrics </w:t>
      </w:r>
    </w:p>
    <w:p w14:paraId="2067DAD5" w14:textId="30409CB7" w:rsidR="00D623D2" w:rsidRDefault="00D623D2" w:rsidP="00EB7EF7"/>
    <w:p w14:paraId="39C8D566" w14:textId="68AF7761" w:rsidR="00723EF6" w:rsidRDefault="00723EF6" w:rsidP="00EB7EF7"/>
    <w:p w14:paraId="2E83AF76" w14:textId="0CEF18F0" w:rsidR="00723EF6" w:rsidRDefault="00723EF6" w:rsidP="00EB7EF7"/>
    <w:p w14:paraId="4B9C6536" w14:textId="4B02ECE3" w:rsidR="00723EF6" w:rsidRDefault="00723EF6" w:rsidP="00EB7EF7">
      <w:r>
        <w:t>Word count of main text:</w:t>
      </w:r>
      <w:r w:rsidR="00BA201D">
        <w:t xml:space="preserve"> 1</w:t>
      </w:r>
      <w:r w:rsidR="00E668CF">
        <w:t>500</w:t>
      </w:r>
      <w:r w:rsidR="00BA201D">
        <w:t>/1500</w:t>
      </w:r>
    </w:p>
    <w:p w14:paraId="60C2CBA8" w14:textId="621E97BB" w:rsidR="00D623D2" w:rsidRDefault="00D623D2" w:rsidP="00EB7EF7"/>
    <w:p w14:paraId="4AAFCD21" w14:textId="1593B1C6" w:rsidR="0082388D" w:rsidRDefault="0082388D" w:rsidP="00EB7EF7"/>
    <w:p w14:paraId="5E17C8E0" w14:textId="5182324F" w:rsidR="0082388D" w:rsidRDefault="0082388D" w:rsidP="00EB7EF7"/>
    <w:p w14:paraId="0AD0E0FC" w14:textId="77777777" w:rsidR="0082388D" w:rsidRDefault="0082388D" w:rsidP="00EB7EF7"/>
    <w:p w14:paraId="77CFB78B" w14:textId="76C15324" w:rsidR="0082388D" w:rsidRDefault="0082388D" w:rsidP="00EB7EF7"/>
    <w:p w14:paraId="719F91D3" w14:textId="77777777" w:rsidR="0082388D" w:rsidRDefault="0082388D" w:rsidP="00EB7EF7"/>
    <w:p w14:paraId="08B2F3ED" w14:textId="7A0A5E86" w:rsidR="00FA7624" w:rsidRPr="006C4EC8" w:rsidRDefault="00FA7624" w:rsidP="00EB7EF7">
      <w:pPr>
        <w:rPr>
          <w:b/>
          <w:bCs/>
          <w:highlight w:val="yellow"/>
        </w:rPr>
      </w:pPr>
      <w:r w:rsidRPr="006C4EC8">
        <w:rPr>
          <w:b/>
          <w:bCs/>
          <w:highlight w:val="yellow"/>
        </w:rPr>
        <w:lastRenderedPageBreak/>
        <w:t>List of abbreviations:</w:t>
      </w:r>
    </w:p>
    <w:p w14:paraId="5B515680" w14:textId="4154E311" w:rsidR="006C4EC8" w:rsidRPr="006C4EC8" w:rsidRDefault="006C4EC8" w:rsidP="00FA7624">
      <w:pPr>
        <w:pStyle w:val="ListParagraph"/>
        <w:numPr>
          <w:ilvl w:val="0"/>
          <w:numId w:val="11"/>
        </w:numPr>
        <w:rPr>
          <w:highlight w:val="yellow"/>
        </w:rPr>
      </w:pPr>
      <w:r w:rsidRPr="006C4EC8">
        <w:rPr>
          <w:highlight w:val="yellow"/>
        </w:rPr>
        <w:t xml:space="preserve">Computed tomography – CT </w:t>
      </w:r>
    </w:p>
    <w:p w14:paraId="4B6794E9" w14:textId="5BE0D4D2" w:rsidR="00FA7624" w:rsidRPr="006C4EC8" w:rsidRDefault="00FA7624" w:rsidP="00FA7624">
      <w:pPr>
        <w:pStyle w:val="ListParagraph"/>
        <w:numPr>
          <w:ilvl w:val="0"/>
          <w:numId w:val="11"/>
        </w:numPr>
        <w:rPr>
          <w:highlight w:val="yellow"/>
        </w:rPr>
      </w:pPr>
      <w:r w:rsidRPr="006C4EC8">
        <w:rPr>
          <w:highlight w:val="yellow"/>
        </w:rPr>
        <w:t xml:space="preserve">Empty pelvis syndrome – EPS </w:t>
      </w:r>
    </w:p>
    <w:p w14:paraId="0574FA1A" w14:textId="515DED20" w:rsidR="00FA7624" w:rsidRPr="006C4EC8" w:rsidRDefault="00FA7624" w:rsidP="00FA7624">
      <w:pPr>
        <w:pStyle w:val="ListParagraph"/>
        <w:numPr>
          <w:ilvl w:val="0"/>
          <w:numId w:val="11"/>
        </w:numPr>
        <w:rPr>
          <w:highlight w:val="yellow"/>
        </w:rPr>
      </w:pPr>
      <w:r w:rsidRPr="006C4EC8">
        <w:rPr>
          <w:highlight w:val="yellow"/>
        </w:rPr>
        <w:t xml:space="preserve">Exenteration pelvic dead space – EPD </w:t>
      </w:r>
    </w:p>
    <w:p w14:paraId="7AD93A6E" w14:textId="7097C928" w:rsidR="00FA7624" w:rsidRPr="006C4EC8" w:rsidRDefault="00FA7624" w:rsidP="00FA7624">
      <w:pPr>
        <w:pStyle w:val="ListParagraph"/>
        <w:numPr>
          <w:ilvl w:val="0"/>
          <w:numId w:val="11"/>
        </w:numPr>
        <w:rPr>
          <w:highlight w:val="yellow"/>
        </w:rPr>
      </w:pPr>
      <w:r w:rsidRPr="006C4EC8">
        <w:rPr>
          <w:highlight w:val="yellow"/>
        </w:rPr>
        <w:t>Pelvic exenteration – PE</w:t>
      </w:r>
    </w:p>
    <w:p w14:paraId="0A0CF666" w14:textId="1F615904" w:rsidR="006C4EC8" w:rsidRPr="006C4EC8" w:rsidRDefault="006C4EC8" w:rsidP="00FA7624">
      <w:pPr>
        <w:pStyle w:val="ListParagraph"/>
        <w:numPr>
          <w:ilvl w:val="0"/>
          <w:numId w:val="11"/>
        </w:numPr>
        <w:rPr>
          <w:highlight w:val="yellow"/>
        </w:rPr>
      </w:pPr>
      <w:r w:rsidRPr="006C4EC8">
        <w:rPr>
          <w:highlight w:val="yellow"/>
        </w:rPr>
        <w:t xml:space="preserve">Pelvic filling volume – PFV </w:t>
      </w:r>
    </w:p>
    <w:p w14:paraId="09789CE2" w14:textId="200AF5CE" w:rsidR="00FA7624" w:rsidRPr="006C4EC8" w:rsidRDefault="00FA7624" w:rsidP="00FA7624">
      <w:pPr>
        <w:pStyle w:val="ListParagraph"/>
        <w:numPr>
          <w:ilvl w:val="0"/>
          <w:numId w:val="11"/>
        </w:numPr>
        <w:rPr>
          <w:highlight w:val="yellow"/>
        </w:rPr>
      </w:pPr>
      <w:r w:rsidRPr="006C4EC8">
        <w:rPr>
          <w:highlight w:val="yellow"/>
        </w:rPr>
        <w:t xml:space="preserve">Physiological pelvic dead space – PDS </w:t>
      </w:r>
    </w:p>
    <w:p w14:paraId="5F84AB83" w14:textId="2AD22BA3" w:rsidR="006C4EC8" w:rsidRPr="006C4EC8" w:rsidRDefault="006C4EC8" w:rsidP="00FA7624">
      <w:pPr>
        <w:pStyle w:val="ListParagraph"/>
        <w:numPr>
          <w:ilvl w:val="0"/>
          <w:numId w:val="11"/>
        </w:numPr>
        <w:rPr>
          <w:highlight w:val="yellow"/>
        </w:rPr>
      </w:pPr>
      <w:r w:rsidRPr="006C4EC8">
        <w:rPr>
          <w:highlight w:val="yellow"/>
        </w:rPr>
        <w:t xml:space="preserve">Vertical rectus abdominis myocutaneous flap – VRAM </w:t>
      </w:r>
    </w:p>
    <w:p w14:paraId="627C41CA" w14:textId="77777777" w:rsidR="00FA7624" w:rsidRDefault="00FA7624" w:rsidP="00EB7EF7">
      <w:pPr>
        <w:rPr>
          <w:b/>
          <w:bCs/>
        </w:rPr>
      </w:pPr>
    </w:p>
    <w:p w14:paraId="44489E6E" w14:textId="54447D00" w:rsidR="00D623D2" w:rsidRDefault="00D623D2" w:rsidP="00EB7EF7">
      <w:pPr>
        <w:rPr>
          <w:b/>
          <w:bCs/>
        </w:rPr>
      </w:pPr>
      <w:r w:rsidRPr="00D623D2">
        <w:rPr>
          <w:b/>
          <w:bCs/>
        </w:rPr>
        <w:t>Introduction</w:t>
      </w:r>
      <w:r w:rsidR="0081195B">
        <w:rPr>
          <w:b/>
          <w:bCs/>
        </w:rPr>
        <w:t>:</w:t>
      </w:r>
    </w:p>
    <w:p w14:paraId="0D7CEA8C" w14:textId="2D8BE9A3" w:rsidR="00E41675" w:rsidRDefault="002044A1" w:rsidP="002044A1">
      <w:r>
        <w:t xml:space="preserve">Pelvic exenteration (PE) </w:t>
      </w:r>
      <w:r w:rsidR="0081195B">
        <w:t>constitutes</w:t>
      </w:r>
      <w:r w:rsidR="00E41675">
        <w:t xml:space="preserve"> radical surgery for locally advanced and locally recurrent pelvic cancers, </w:t>
      </w:r>
      <w:r w:rsidR="007012A2">
        <w:t>and</w:t>
      </w:r>
      <w:r w:rsidR="0081195B">
        <w:t xml:space="preserve"> is associated with </w:t>
      </w:r>
      <w:r w:rsidR="00E41675">
        <w:t>post-operative</w:t>
      </w:r>
      <w:r>
        <w:t xml:space="preserve"> complications</w:t>
      </w:r>
      <w:r w:rsidR="00E41675">
        <w:t>. The empty pelvis syndrome</w:t>
      </w:r>
      <w:r w:rsidR="0022480B">
        <w:t xml:space="preserve"> (EPS)</w:t>
      </w:r>
      <w:r w:rsidR="00E41675">
        <w:t xml:space="preserve"> is </w:t>
      </w:r>
      <w:r w:rsidR="00F36602">
        <w:t xml:space="preserve">an </w:t>
      </w:r>
      <w:r w:rsidR="00E41675">
        <w:t>emerging concept</w:t>
      </w:r>
      <w:r w:rsidR="0081195B">
        <w:t xml:space="preserve">, </w:t>
      </w:r>
      <w:r w:rsidR="00E41675">
        <w:t>occurring in up to 21.9%</w:t>
      </w:r>
      <w:r w:rsidR="0081195B">
        <w:t xml:space="preserve"> of cases </w:t>
      </w:r>
      <w:r w:rsidR="00E41675">
        <w:t xml:space="preserve">and estimated to </w:t>
      </w:r>
      <w:r w:rsidR="0081195B">
        <w:t>contribute</w:t>
      </w:r>
      <w:r w:rsidR="0022480B">
        <w:t xml:space="preserve"> to</w:t>
      </w:r>
      <w:r w:rsidR="00E41675">
        <w:t xml:space="preserve"> 40% of the morbidity fo</w:t>
      </w:r>
      <w:r w:rsidR="0081195B">
        <w:t>llowing</w:t>
      </w:r>
      <w:r w:rsidR="00E41675">
        <w:t xml:space="preserve"> PE</w:t>
      </w:r>
      <w:r w:rsidR="00EC1B56">
        <w:t xml:space="preserve">. </w:t>
      </w:r>
      <w:r w:rsidR="0081195B">
        <w:t>EPS</w:t>
      </w:r>
      <w:r w:rsidR="00E41675">
        <w:t xml:space="preserve"> </w:t>
      </w:r>
      <w:r w:rsidR="0081195B">
        <w:t xml:space="preserve">is a spectrum of complications </w:t>
      </w:r>
      <w:r w:rsidR="00E41675">
        <w:t>manifest</w:t>
      </w:r>
      <w:r w:rsidR="0081195B">
        <w:t>ing</w:t>
      </w:r>
      <w:r w:rsidR="00E41675">
        <w:t xml:space="preserve"> with pelvic sepsis, bowel obstruction, enteric fistulation, and chronic perineal sinus</w:t>
      </w:r>
      <w:r w:rsidR="0081195B">
        <w:t>. H</w:t>
      </w:r>
      <w:r w:rsidR="00E41675">
        <w:t>owever</w:t>
      </w:r>
      <w:r w:rsidR="0081195B">
        <w:t>,</w:t>
      </w:r>
      <w:r w:rsidR="00E41675">
        <w:t xml:space="preserve"> </w:t>
      </w:r>
      <w:r w:rsidR="007012A2">
        <w:t>variable</w:t>
      </w:r>
      <w:r w:rsidR="00E41675">
        <w:t xml:space="preserve"> definitions and outcomes for EPS in the literature have </w:t>
      </w:r>
      <w:r w:rsidR="0081195B">
        <w:t xml:space="preserve">hindered the identification of effective strategies </w:t>
      </w:r>
      <w:r w:rsidR="00E41675">
        <w:t>to mitigate this issue</w:t>
      </w:r>
      <w:r w:rsidR="0095582B">
        <w:t xml:space="preserve"> [1, 2].</w:t>
      </w:r>
      <w:r w:rsidR="00E41675">
        <w:t xml:space="preserve"> This is an area of unmet clinical and research need</w:t>
      </w:r>
      <w:r w:rsidR="0081195B">
        <w:t xml:space="preserve">, </w:t>
      </w:r>
      <w:r w:rsidR="00E41675">
        <w:t xml:space="preserve">reflected by </w:t>
      </w:r>
      <w:r w:rsidR="0081195B">
        <w:t>the</w:t>
      </w:r>
      <w:r w:rsidR="00E41675">
        <w:t xml:space="preserve"> ongoing </w:t>
      </w:r>
      <w:r w:rsidR="00D70F8B">
        <w:t xml:space="preserve">consensus </w:t>
      </w:r>
      <w:r w:rsidR="00E41675">
        <w:t xml:space="preserve">study </w:t>
      </w:r>
      <w:r w:rsidR="0043038A" w:rsidRPr="007B230F">
        <w:rPr>
          <w:highlight w:val="yellow"/>
        </w:rPr>
        <w:t>by</w:t>
      </w:r>
      <w:r w:rsidR="00E41675">
        <w:t xml:space="preserve"> the PelvEx Collaborative </w:t>
      </w:r>
      <w:r w:rsidR="0095582B">
        <w:t>[3]</w:t>
      </w:r>
      <w:r w:rsidR="00E41675">
        <w:t>.</w:t>
      </w:r>
    </w:p>
    <w:p w14:paraId="7974680C" w14:textId="2C5118B4" w:rsidR="00E41675" w:rsidRDefault="00E41675" w:rsidP="00E41675">
      <w:r>
        <w:t>The pathophysiology of EPS is multifactorial and</w:t>
      </w:r>
      <w:r w:rsidR="0081195B">
        <w:t xml:space="preserve"> </w:t>
      </w:r>
      <w:r>
        <w:t>currently principally based on expert opinion</w:t>
      </w:r>
      <w:r w:rsidR="0081195B">
        <w:t xml:space="preserve">. Nevertheless, </w:t>
      </w:r>
      <w:r w:rsidR="007012A2">
        <w:t>although inconsistent</w:t>
      </w:r>
      <w:r w:rsidR="00F36602">
        <w:t>,</w:t>
      </w:r>
      <w:r w:rsidR="007012A2">
        <w:t xml:space="preserve"> </w:t>
      </w:r>
      <w:r w:rsidR="0081195B">
        <w:t xml:space="preserve">the </w:t>
      </w:r>
      <w:r w:rsidR="007012A2">
        <w:t>literature</w:t>
      </w:r>
      <w:r w:rsidR="0081195B">
        <w:t xml:space="preserve"> describe</w:t>
      </w:r>
      <w:r w:rsidR="007012A2">
        <w:t>s</w:t>
      </w:r>
      <w:r w:rsidR="0081195B">
        <w:t xml:space="preserve"> </w:t>
      </w:r>
      <w:r>
        <w:t>a large defect, void, vacant space, empty space, dead space, or empty cavity as being implicated</w:t>
      </w:r>
      <w:r w:rsidR="0095582B">
        <w:t xml:space="preserve"> [1, 2, 4, 5]</w:t>
      </w:r>
      <w:r>
        <w:t xml:space="preserve">. It has been </w:t>
      </w:r>
      <w:r w:rsidR="0081195B">
        <w:t>shown</w:t>
      </w:r>
      <w:r>
        <w:t xml:space="preserve"> that EPS complications are both more likely to occur and require surgical re-intervention </w:t>
      </w:r>
      <w:r w:rsidR="007012A2">
        <w:t>following</w:t>
      </w:r>
      <w:r>
        <w:t xml:space="preserve"> more radical PE </w:t>
      </w:r>
      <w:r w:rsidR="0095582B">
        <w:t>[1, 6]</w:t>
      </w:r>
      <w:r>
        <w:t xml:space="preserve">. </w:t>
      </w:r>
      <w:r w:rsidR="0081195B">
        <w:t>Therefore,</w:t>
      </w:r>
      <w:r>
        <w:t xml:space="preserve"> changes in volumes of pelvic dead space before and after PE </w:t>
      </w:r>
      <w:r w:rsidR="0081195B">
        <w:t>may be</w:t>
      </w:r>
      <w:r>
        <w:t xml:space="preserve"> relevant to the incidence and severity of EPS.</w:t>
      </w:r>
    </w:p>
    <w:p w14:paraId="5FE4D1FF" w14:textId="5A5A672B" w:rsidR="00E41675" w:rsidRDefault="00E41675" w:rsidP="002044A1">
      <w:r>
        <w:t>There is currently no methodology described to assess volumetric changes associated with PE. This study aims to demonstrate that alterations in the volumes of pelvic dead space are objectively measurable.</w:t>
      </w:r>
    </w:p>
    <w:p w14:paraId="2EDED5C8" w14:textId="2C575BAD" w:rsidR="00D623D2" w:rsidRDefault="00D623D2" w:rsidP="00EB7EF7">
      <w:pPr>
        <w:rPr>
          <w:b/>
          <w:bCs/>
        </w:rPr>
      </w:pPr>
      <w:r>
        <w:rPr>
          <w:b/>
          <w:bCs/>
        </w:rPr>
        <w:t>Materials and methods</w:t>
      </w:r>
      <w:r w:rsidR="002C55BE">
        <w:rPr>
          <w:b/>
          <w:bCs/>
        </w:rPr>
        <w:t>:</w:t>
      </w:r>
    </w:p>
    <w:p w14:paraId="148F5115" w14:textId="281FF4B4" w:rsidR="00E41675" w:rsidRDefault="00E41675" w:rsidP="00E41675">
      <w:r>
        <w:t xml:space="preserve">The pelvis can be divided into the true (or lesser) pelvis and false pelvis. The true pelvis is defined by the pelvic inlet superiorly </w:t>
      </w:r>
      <w:r w:rsidR="00F36602">
        <w:t>and</w:t>
      </w:r>
      <w:r>
        <w:t xml:space="preserve"> the pelvic outlet inferiorly,</w:t>
      </w:r>
      <w:r w:rsidR="007A7E99">
        <w:t xml:space="preserve"> with boundaries formed </w:t>
      </w:r>
      <w:r>
        <w:t xml:space="preserve">by the pubic bones anteroinferiorly, sacrum and coccyx posteriorly, and the fused ischium and ilium laterally. This space contains the pelvic viscera that may be resected during PE and forms the basis of volumetric assessment. The pelvic inlet is defined by the sacral promontory, pelvic brim, and superior border of the symphysis pubis; while the outlet is defined by the ischial tuberosities laterally; anteriorly the inferior ischiopubic rami, and inferior border of the pubic symphysis; and posteriorly the sacrotuberous ligaments and coccyx, and levator ani muscle inferiorly </w:t>
      </w:r>
      <w:r w:rsidR="0095582B">
        <w:t>[7].</w:t>
      </w:r>
    </w:p>
    <w:p w14:paraId="337F9DD7" w14:textId="12612E5C" w:rsidR="00E41675" w:rsidRDefault="00075FF3" w:rsidP="00E41675">
      <w:r>
        <w:t>T</w:t>
      </w:r>
      <w:r w:rsidR="00E41675">
        <w:t>he true pelvis contain</w:t>
      </w:r>
      <w:r>
        <w:t>s</w:t>
      </w:r>
      <w:r w:rsidR="00E41675">
        <w:t xml:space="preserve"> a volume of dead space between the pelvic inlet superiorly and the peritoneal reflection over the rectum inferiorly</w:t>
      </w:r>
      <w:r w:rsidR="0022480B">
        <w:t>.</w:t>
      </w:r>
      <w:r w:rsidR="00E41675">
        <w:t xml:space="preserve"> </w:t>
      </w:r>
      <w:r w:rsidR="0022480B">
        <w:t>T</w:t>
      </w:r>
      <w:r w:rsidR="00E41675">
        <w:t xml:space="preserve">his study defines this area as the ‘physiological pelvic dead space’ (PDS). Following PE and </w:t>
      </w:r>
      <w:r w:rsidR="007A7E99">
        <w:t>resection</w:t>
      </w:r>
      <w:r w:rsidR="00E41675">
        <w:t xml:space="preserve"> of pelvic viscera</w:t>
      </w:r>
      <w:r w:rsidR="007A7E99">
        <w:t>,</w:t>
      </w:r>
      <w:r w:rsidR="00E41675">
        <w:t xml:space="preserve"> the PDS increases, </w:t>
      </w:r>
      <w:r w:rsidR="007A7E99">
        <w:t>and</w:t>
      </w:r>
      <w:r w:rsidR="00E41675">
        <w:t xml:space="preserve"> the inferior border of the pelvic outlet may be disrupted by resection of the levator ani muscle or bony landmarks of the pelvic outlet. Finally, any subsequent reconstruction of the levator ani, for example with simple primary closure, myocutaneous flaps or meshes, will then create a neo-pelvic outlet. The </w:t>
      </w:r>
      <w:r w:rsidR="00E41675">
        <w:lastRenderedPageBreak/>
        <w:t>‘exenteration pelvic dead space’ (EPD) is therefore defined here as the volume of dead space between the pelvic inlet superiorly and the inferior border of the void created following PE</w:t>
      </w:r>
      <w:r w:rsidR="007A7E99">
        <w:t xml:space="preserve">. When this </w:t>
      </w:r>
      <w:r w:rsidR="00E41675">
        <w:t>void continues through the perineum</w:t>
      </w:r>
      <w:r w:rsidR="007A7E99">
        <w:t>,</w:t>
      </w:r>
      <w:r w:rsidR="00E41675">
        <w:t xml:space="preserve"> the EPD is defined as the superior border of any reconstruction to close the perineal wound.</w:t>
      </w:r>
    </w:p>
    <w:p w14:paraId="41D71A0C" w14:textId="056A9979" w:rsidR="00E41675" w:rsidRDefault="007A7E99" w:rsidP="00E41675">
      <w:r>
        <w:t>V</w:t>
      </w:r>
      <w:r w:rsidR="00E41675">
        <w:t>ari</w:t>
      </w:r>
      <w:r>
        <w:t>ous</w:t>
      </w:r>
      <w:r w:rsidR="00E41675">
        <w:t xml:space="preserve"> methods of pelvic filling have been used to reduce the EPD </w:t>
      </w:r>
      <w:r>
        <w:t>after</w:t>
      </w:r>
      <w:r w:rsidR="00E41675">
        <w:t xml:space="preserve"> PE</w:t>
      </w:r>
      <w:r>
        <w:t>,</w:t>
      </w:r>
      <w:r w:rsidR="00E41675">
        <w:t xml:space="preserve"> includ</w:t>
      </w:r>
      <w:r>
        <w:t>ing</w:t>
      </w:r>
      <w:r w:rsidR="00E41675">
        <w:t xml:space="preserve"> omentoplasty, Bakri obstetric balloons, or breast implants</w:t>
      </w:r>
      <w:r w:rsidR="0095582B">
        <w:t xml:space="preserve"> [2]</w:t>
      </w:r>
      <w:r w:rsidR="00E41675">
        <w:t>. The ‘pelvic filling volume’ (PFV) is defined here as the volume of any reconstructive implant or flap deliberately placed within the EPD in order to fill the empty space created within the pelvis.</w:t>
      </w:r>
    </w:p>
    <w:p w14:paraId="740F0923" w14:textId="7A0C6099" w:rsidR="00E41675" w:rsidRDefault="00E41675" w:rsidP="00E41675">
      <w:r>
        <w:t xml:space="preserve">The PDS was measured using routine sterile wash with a bladder syringe prior to any resection within the true pelvis. The table was tilted </w:t>
      </w:r>
      <w:r w:rsidR="007A7E99">
        <w:t xml:space="preserve">head down </w:t>
      </w:r>
      <w:r>
        <w:t xml:space="preserve">in the </w:t>
      </w:r>
      <w:r w:rsidR="007A7E99">
        <w:t>Lloyd-Davies</w:t>
      </w:r>
      <w:r>
        <w:t xml:space="preserve"> position so that the pelvic inlet and fluid level w</w:t>
      </w:r>
      <w:r w:rsidR="007A7E99">
        <w:t>ere both</w:t>
      </w:r>
      <w:r>
        <w:t xml:space="preserve"> perpendicular to the floor. The EPD was measured in the same manner once the resectional phase of the PE was completed, and the perineum reconstructed to be watertight</w:t>
      </w:r>
      <w:r w:rsidR="00E049A1">
        <w:t>, preventing</w:t>
      </w:r>
      <w:r>
        <w:t xml:space="preserve"> sterile wash </w:t>
      </w:r>
      <w:r w:rsidR="00E049A1">
        <w:t>from</w:t>
      </w:r>
      <w:r>
        <w:t xml:space="preserve"> drain</w:t>
      </w:r>
      <w:r w:rsidR="00E049A1">
        <w:t>ing</w:t>
      </w:r>
      <w:r>
        <w:t xml:space="preserve"> out. </w:t>
      </w:r>
    </w:p>
    <w:p w14:paraId="7FDE6831" w14:textId="4F366A8E" w:rsidR="00E41675" w:rsidRDefault="00E41675" w:rsidP="00E41675">
      <w:r>
        <w:t>Finally</w:t>
      </w:r>
      <w:r w:rsidR="005D69F1">
        <w:t>,</w:t>
      </w:r>
      <w:r>
        <w:t xml:space="preserve"> the PFV was measured using Archimedes’ water-displacement principle</w:t>
      </w:r>
      <w:r w:rsidR="00DE4DDB">
        <w:t>. A</w:t>
      </w:r>
      <w:r>
        <w:t xml:space="preserve">n omentoplasty </w:t>
      </w:r>
      <w:r w:rsidR="00F36602">
        <w:t xml:space="preserve">was </w:t>
      </w:r>
      <w:r>
        <w:t xml:space="preserve">placed into the already wash-filled EPD, </w:t>
      </w:r>
      <w:r w:rsidR="00DE4DDB">
        <w:t xml:space="preserve">and </w:t>
      </w:r>
      <w:r>
        <w:t xml:space="preserve">the wash that was displaced was then aspirated with a bladder syringe until the fluid level was </w:t>
      </w:r>
      <w:r w:rsidR="00DE4DDB">
        <w:t>returned to</w:t>
      </w:r>
      <w:r>
        <w:t xml:space="preserve"> the pelvic inlet.</w:t>
      </w:r>
    </w:p>
    <w:p w14:paraId="12500FF9" w14:textId="77777777" w:rsidR="00E41675" w:rsidRDefault="00E41675" w:rsidP="00E41675">
      <w:r>
        <w:t>Ratios to calculate volumetric changes were then performed:</w:t>
      </w:r>
    </w:p>
    <w:p w14:paraId="248173CA" w14:textId="7759098F" w:rsidR="00E41675" w:rsidRDefault="00E41675" w:rsidP="00E41675">
      <w:pPr>
        <w:pStyle w:val="ListParagraph"/>
        <w:numPr>
          <w:ilvl w:val="0"/>
          <w:numId w:val="5"/>
        </w:numPr>
      </w:pPr>
      <w:r>
        <w:t xml:space="preserve">EPD / PDS = the degree of increase of the pelvic dead space following </w:t>
      </w:r>
      <w:r w:rsidR="000238DB">
        <w:t>PE</w:t>
      </w:r>
    </w:p>
    <w:p w14:paraId="1543C5EE" w14:textId="6E0D9B9B" w:rsidR="00E41675" w:rsidRDefault="00E41675" w:rsidP="00E41675">
      <w:pPr>
        <w:pStyle w:val="ListParagraph"/>
        <w:numPr>
          <w:ilvl w:val="0"/>
          <w:numId w:val="5"/>
        </w:numPr>
      </w:pPr>
      <w:r>
        <w:t xml:space="preserve">PFV / EPD = the ratio of filling of the pelvic dead space remaining following </w:t>
      </w:r>
      <w:r w:rsidR="000238DB">
        <w:t>PE</w:t>
      </w:r>
    </w:p>
    <w:p w14:paraId="60A8C1E3" w14:textId="77777777" w:rsidR="00E41675" w:rsidRDefault="00E41675" w:rsidP="00EB7EF7">
      <w:pPr>
        <w:rPr>
          <w:b/>
          <w:bCs/>
        </w:rPr>
      </w:pPr>
    </w:p>
    <w:p w14:paraId="30269516" w14:textId="77777777" w:rsidR="00E421F6" w:rsidRDefault="00D623D2" w:rsidP="00E41675">
      <w:pPr>
        <w:rPr>
          <w:b/>
          <w:bCs/>
        </w:rPr>
      </w:pPr>
      <w:r>
        <w:rPr>
          <w:b/>
          <w:bCs/>
        </w:rPr>
        <w:t>Results</w:t>
      </w:r>
      <w:r w:rsidR="00E421F6">
        <w:rPr>
          <w:b/>
          <w:bCs/>
        </w:rPr>
        <w:t>:</w:t>
      </w:r>
    </w:p>
    <w:p w14:paraId="7725BFCC" w14:textId="67E1ABF4" w:rsidR="005D69F1" w:rsidRDefault="00E41675" w:rsidP="00E41675">
      <w:r>
        <w:t xml:space="preserve">The </w:t>
      </w:r>
      <w:r w:rsidR="005D69F1">
        <w:t>methodology</w:t>
      </w:r>
      <w:r>
        <w:t xml:space="preserve"> was trialled in </w:t>
      </w:r>
      <w:r w:rsidR="005D69F1">
        <w:t>a</w:t>
      </w:r>
      <w:r>
        <w:t xml:space="preserve"> 50-year-old male with locally recurrent rectal cancer involving the right pelvic sidewall, coccygeus,</w:t>
      </w:r>
      <w:r w:rsidR="00F36602">
        <w:t xml:space="preserve"> and</w:t>
      </w:r>
      <w:r>
        <w:t xml:space="preserve"> piriformis. </w:t>
      </w:r>
      <w:r w:rsidR="005D69F1">
        <w:t xml:space="preserve">He underwent total infralevator PE, lexicon coding was: P3, A3, C2, left SV1, right SV3, right PM2, left PM1, vertical rectus abdominis myocutaneous flap (VRAM) </w:t>
      </w:r>
      <w:r w:rsidR="00E421F6">
        <w:t>/</w:t>
      </w:r>
      <w:r w:rsidR="005D69F1">
        <w:t xml:space="preserve"> omentoplasty, </w:t>
      </w:r>
      <w:r w:rsidR="00E421F6">
        <w:t xml:space="preserve">and </w:t>
      </w:r>
      <w:r w:rsidR="005D69F1">
        <w:t>Wallace conduit</w:t>
      </w:r>
      <w:r w:rsidR="0095582B">
        <w:t xml:space="preserve"> [8]</w:t>
      </w:r>
      <w:r w:rsidR="005D69F1">
        <w:t xml:space="preserve">. </w:t>
      </w:r>
      <w:r>
        <w:t>Prior to any resection inferior to the pelvic inlet</w:t>
      </w:r>
      <w:r w:rsidR="00E421F6">
        <w:t>,</w:t>
      </w:r>
      <w:r>
        <w:t xml:space="preserve"> the PDS volume was measured to be 50ml (Figure </w:t>
      </w:r>
      <w:r w:rsidR="007012A2">
        <w:t>1</w:t>
      </w:r>
      <w:r>
        <w:t>)</w:t>
      </w:r>
      <w:r w:rsidR="005D69F1">
        <w:t>. Following the resectional phase</w:t>
      </w:r>
      <w:r w:rsidR="00E421F6">
        <w:t>,</w:t>
      </w:r>
      <w:r w:rsidR="005D69F1">
        <w:t xml:space="preserve"> a VRAM was sutured into the perineal wound</w:t>
      </w:r>
      <w:r w:rsidR="00E421F6">
        <w:t>,</w:t>
      </w:r>
      <w:r w:rsidR="005D69F1">
        <w:t xml:space="preserve"> rendering it watertight, and the EPD was measured </w:t>
      </w:r>
      <w:r w:rsidR="00E421F6">
        <w:t>at</w:t>
      </w:r>
      <w:r w:rsidR="005D69F1">
        <w:t xml:space="preserve"> 540ml (Figure </w:t>
      </w:r>
      <w:r w:rsidR="007012A2">
        <w:t>2</w:t>
      </w:r>
      <w:r w:rsidR="005D69F1">
        <w:t>). An omentoplasty was mobilised into the EPD, displac</w:t>
      </w:r>
      <w:r w:rsidR="00E421F6">
        <w:t>ing</w:t>
      </w:r>
      <w:r w:rsidR="005D69F1">
        <w:t xml:space="preserve"> 130ml of fluid to give the PFV (Figure </w:t>
      </w:r>
      <w:r w:rsidR="007012A2">
        <w:t>3</w:t>
      </w:r>
      <w:r w:rsidR="005D69F1">
        <w:t>).</w:t>
      </w:r>
    </w:p>
    <w:p w14:paraId="55CA095F" w14:textId="33DAA4C2" w:rsidR="005D69F1" w:rsidRDefault="005D69F1" w:rsidP="005D69F1">
      <w:r>
        <w:t>The ratio of PDS to EPD was</w:t>
      </w:r>
      <w:r w:rsidR="00E421F6">
        <w:t xml:space="preserve"> calculated as</w:t>
      </w:r>
      <w:r>
        <w:t xml:space="preserve"> 540ml / </w:t>
      </w:r>
      <w:r w:rsidR="005D7D4F">
        <w:t>50</w:t>
      </w:r>
      <w:r>
        <w:t xml:space="preserve">ml demonstrating a 10.8-fold increase </w:t>
      </w:r>
      <w:r w:rsidR="00E421F6">
        <w:t>in</w:t>
      </w:r>
      <w:r>
        <w:t xml:space="preserve"> dead space within the true pelvis. The PFV to EPD ratio was 130ml / 540ml therefore the omentoplasty filled 24.1% of the dead space that it was placed into. The patient went on to </w:t>
      </w:r>
      <w:r w:rsidR="00E421F6">
        <w:t>develop</w:t>
      </w:r>
      <w:r>
        <w:t xml:space="preserve"> an EPS complication with an infected pelvic fluid collection that required ultrasound guided-drainage prior to discharge.</w:t>
      </w:r>
    </w:p>
    <w:p w14:paraId="12C6E0B2" w14:textId="77777777" w:rsidR="005D69F1" w:rsidRDefault="005D69F1" w:rsidP="005D69F1"/>
    <w:p w14:paraId="3C71D61F" w14:textId="77777777" w:rsidR="006710BA" w:rsidRDefault="006710BA" w:rsidP="006710BA">
      <w:pPr>
        <w:jc w:val="center"/>
      </w:pPr>
      <w:r>
        <w:rPr>
          <w:noProof/>
        </w:rPr>
        <w:lastRenderedPageBreak/>
        <w:drawing>
          <wp:inline distT="0" distB="0" distL="0" distR="0" wp14:anchorId="3F43A295" wp14:editId="20C0FED4">
            <wp:extent cx="3960415" cy="520967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extLst>
                        <a:ext uri="{28A0092B-C50C-407E-A947-70E740481C1C}">
                          <a14:useLocalDpi xmlns:a14="http://schemas.microsoft.com/office/drawing/2010/main" val="0"/>
                        </a:ext>
                      </a:extLst>
                    </a:blip>
                    <a:srcRect l="16963" t="15715" r="8703" b="10950"/>
                    <a:stretch/>
                  </pic:blipFill>
                  <pic:spPr bwMode="auto">
                    <a:xfrm>
                      <a:off x="0" y="0"/>
                      <a:ext cx="3971442" cy="5224178"/>
                    </a:xfrm>
                    <a:prstGeom prst="rect">
                      <a:avLst/>
                    </a:prstGeom>
                    <a:ln>
                      <a:noFill/>
                    </a:ln>
                    <a:extLst>
                      <a:ext uri="{53640926-AAD7-44D8-BBD7-CCE9431645EC}">
                        <a14:shadowObscured xmlns:a14="http://schemas.microsoft.com/office/drawing/2010/main"/>
                      </a:ext>
                    </a:extLst>
                  </pic:spPr>
                </pic:pic>
              </a:graphicData>
            </a:graphic>
          </wp:inline>
        </w:drawing>
      </w:r>
    </w:p>
    <w:p w14:paraId="7630344B" w14:textId="77777777" w:rsidR="006710BA" w:rsidRPr="0011455E" w:rsidRDefault="006710BA" w:rsidP="006710BA">
      <w:r w:rsidRPr="00EB14FB">
        <w:rPr>
          <w:b/>
          <w:bCs/>
        </w:rPr>
        <w:t>Fig. 1</w:t>
      </w:r>
      <w:r>
        <w:t xml:space="preserve"> – Measurement of the physiological pelvic dead space</w:t>
      </w:r>
      <w:r>
        <w:rPr>
          <w:b/>
          <w:bCs/>
          <w:i/>
          <w:iCs/>
        </w:rPr>
        <w:t xml:space="preserve">. </w:t>
      </w:r>
      <w:r>
        <w:t>P</w:t>
      </w:r>
      <w:r w:rsidRPr="0011455E">
        <w:t xml:space="preserve">rior to any resection below the level of the pelvic inlet the patient was placed </w:t>
      </w:r>
      <w:r>
        <w:t>head down</w:t>
      </w:r>
      <w:r w:rsidRPr="0011455E">
        <w:t xml:space="preserve"> to render the pelvic inlet perpendicular </w:t>
      </w:r>
      <w:r>
        <w:t>to the floor. This space was then filled with sterile wash until the fluid level was at the pelvic inlet. Forceps mark the sacral promontory and the superior pubic symphysis with the fluid level seen between these points.</w:t>
      </w:r>
    </w:p>
    <w:p w14:paraId="32531F47" w14:textId="77777777" w:rsidR="006710BA" w:rsidRDefault="006710BA" w:rsidP="006710BA"/>
    <w:p w14:paraId="39E3AE5A" w14:textId="77777777" w:rsidR="006710BA" w:rsidRDefault="006710BA" w:rsidP="006710BA">
      <w:pPr>
        <w:jc w:val="right"/>
      </w:pPr>
      <w:r>
        <w:rPr>
          <w:noProof/>
        </w:rPr>
        <w:lastRenderedPageBreak/>
        <w:drawing>
          <wp:anchor distT="0" distB="0" distL="114300" distR="114300" simplePos="0" relativeHeight="251659264" behindDoc="0" locked="0" layoutInCell="1" allowOverlap="1" wp14:anchorId="26FCD68C" wp14:editId="4CBF6FEE">
            <wp:simplePos x="0" y="0"/>
            <wp:positionH relativeFrom="column">
              <wp:posOffset>0</wp:posOffset>
            </wp:positionH>
            <wp:positionV relativeFrom="paragraph">
              <wp:posOffset>227631</wp:posOffset>
            </wp:positionV>
            <wp:extent cx="5412259" cy="4059194"/>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2259" cy="4059194"/>
                    </a:xfrm>
                    <a:prstGeom prst="rect">
                      <a:avLst/>
                    </a:prstGeom>
                  </pic:spPr>
                </pic:pic>
              </a:graphicData>
            </a:graphic>
          </wp:anchor>
        </w:drawing>
      </w:r>
    </w:p>
    <w:p w14:paraId="6EA47814" w14:textId="77777777" w:rsidR="006710BA" w:rsidRPr="005D69F1" w:rsidRDefault="006710BA" w:rsidP="006710BA">
      <w:pPr>
        <w:jc w:val="right"/>
      </w:pPr>
    </w:p>
    <w:p w14:paraId="369F78C0" w14:textId="77777777" w:rsidR="006710BA" w:rsidRPr="003C6A0E" w:rsidRDefault="006710BA" w:rsidP="006710BA">
      <w:r w:rsidRPr="00EB14FB">
        <w:rPr>
          <w:b/>
          <w:bCs/>
        </w:rPr>
        <w:t>Fig. 2</w:t>
      </w:r>
      <w:r>
        <w:t xml:space="preserve"> – Measurement of the exenteration pelvic dead space. Following the resectional phase of pelvic exenteration a vertical rectus abdominis myocutaneous flap was sutured into the pelvic outlet to render it watertight. The table was again tilted head down and wash placed into the pelvis until the fluid level was at the pelvic inlet between the sacral promontory and the superior border of the pubic symphysis.</w:t>
      </w:r>
    </w:p>
    <w:p w14:paraId="1EE81D5E" w14:textId="77777777" w:rsidR="006710BA" w:rsidRPr="00CD6CAB" w:rsidRDefault="006710BA" w:rsidP="006710BA">
      <w:r>
        <w:br w:type="textWrapping" w:clear="all"/>
      </w:r>
    </w:p>
    <w:p w14:paraId="49BB5ACB" w14:textId="77777777" w:rsidR="006710BA" w:rsidRDefault="006710BA" w:rsidP="006710BA">
      <w:pPr>
        <w:rPr>
          <w:noProof/>
        </w:rPr>
      </w:pPr>
      <w:r>
        <w:rPr>
          <w:noProof/>
        </w:rPr>
        <w:lastRenderedPageBreak/>
        <w:drawing>
          <wp:inline distT="0" distB="0" distL="0" distR="0" wp14:anchorId="6735EAB4" wp14:editId="1A79F527">
            <wp:extent cx="5412105" cy="405907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5088" cy="4061316"/>
                    </a:xfrm>
                    <a:prstGeom prst="rect">
                      <a:avLst/>
                    </a:prstGeom>
                  </pic:spPr>
                </pic:pic>
              </a:graphicData>
            </a:graphic>
          </wp:inline>
        </w:drawing>
      </w:r>
    </w:p>
    <w:p w14:paraId="3396E7B4" w14:textId="77777777" w:rsidR="006710BA" w:rsidRDefault="006710BA" w:rsidP="006710BA">
      <w:r w:rsidRPr="00EB14FB">
        <w:rPr>
          <w:b/>
          <w:bCs/>
        </w:rPr>
        <w:t>Fig. 3</w:t>
      </w:r>
      <w:r>
        <w:t xml:space="preserve"> – Measuring the pelvic filling volume. Immediately after measuring the exenteration pelvic dead space an omentoplasty that had already been mobilised was placed into the pelvis. The volume of the omentoplasty within the true pelvis was measured using Archimedes’ water displacement principle by aspirating wash until the fluid level was back to the level of the pelvic inlet.</w:t>
      </w:r>
    </w:p>
    <w:p w14:paraId="396263E4" w14:textId="0E9EF53A" w:rsidR="003C6A0E" w:rsidRDefault="003C6A0E" w:rsidP="00EB7EF7"/>
    <w:p w14:paraId="03326BEB" w14:textId="77777777" w:rsidR="003C6A0E" w:rsidRDefault="003C6A0E" w:rsidP="00EB7EF7"/>
    <w:p w14:paraId="597C8EC1" w14:textId="2A5B1243" w:rsidR="00D623D2" w:rsidRDefault="00D623D2" w:rsidP="00EB7EF7">
      <w:pPr>
        <w:rPr>
          <w:b/>
          <w:bCs/>
        </w:rPr>
      </w:pPr>
      <w:r>
        <w:rPr>
          <w:b/>
          <w:bCs/>
        </w:rPr>
        <w:t>Discussion:</w:t>
      </w:r>
    </w:p>
    <w:p w14:paraId="43EC0D04" w14:textId="3C0306C5" w:rsidR="00D70F8B" w:rsidRDefault="006710BA" w:rsidP="00D70F8B">
      <w:r w:rsidRPr="006710BA">
        <w:rPr>
          <w:highlight w:val="yellow"/>
        </w:rPr>
        <w:t>S</w:t>
      </w:r>
      <w:r w:rsidR="00E421F6" w:rsidRPr="006710BA">
        <w:rPr>
          <w:highlight w:val="yellow"/>
        </w:rPr>
        <w:t>terile</w:t>
      </w:r>
      <w:r w:rsidR="005D69F1" w:rsidRPr="006710BA">
        <w:rPr>
          <w:highlight w:val="yellow"/>
        </w:rPr>
        <w:t xml:space="preserve"> solution and a bladder</w:t>
      </w:r>
      <w:r w:rsidR="00E421F6" w:rsidRPr="006710BA">
        <w:rPr>
          <w:highlight w:val="yellow"/>
        </w:rPr>
        <w:t xml:space="preserve"> syringe</w:t>
      </w:r>
      <w:r w:rsidR="005D69F1" w:rsidRPr="006710BA">
        <w:rPr>
          <w:highlight w:val="yellow"/>
        </w:rPr>
        <w:t xml:space="preserve"> h</w:t>
      </w:r>
      <w:r w:rsidRPr="006710BA">
        <w:rPr>
          <w:highlight w:val="yellow"/>
        </w:rPr>
        <w:t>ave</w:t>
      </w:r>
      <w:r w:rsidR="005D69F1">
        <w:t xml:space="preserve"> </w:t>
      </w:r>
      <w:r w:rsidR="00EC1B56">
        <w:t xml:space="preserve">previously </w:t>
      </w:r>
      <w:r w:rsidR="005D69F1">
        <w:t xml:space="preserve">been </w:t>
      </w:r>
      <w:r w:rsidR="00E421F6">
        <w:t xml:space="preserve">employed </w:t>
      </w:r>
      <w:r w:rsidR="005D69F1">
        <w:t xml:space="preserve">to size appropriate breast implants for pelvic filling </w:t>
      </w:r>
      <w:r w:rsidR="00E421F6">
        <w:t>during</w:t>
      </w:r>
      <w:r w:rsidR="00D70F8B">
        <w:t xml:space="preserve"> reconstruction</w:t>
      </w:r>
      <w:r w:rsidR="00DF521E">
        <w:t>.</w:t>
      </w:r>
      <w:r w:rsidR="005D69F1">
        <w:t xml:space="preserve"> </w:t>
      </w:r>
      <w:r w:rsidR="00DF521E">
        <w:t>H</w:t>
      </w:r>
      <w:r w:rsidR="00D70F8B">
        <w:t>owever</w:t>
      </w:r>
      <w:r w:rsidR="00DF521E">
        <w:t>,</w:t>
      </w:r>
      <w:r w:rsidR="00D70F8B">
        <w:t xml:space="preserve"> </w:t>
      </w:r>
      <w:r w:rsidR="005D69F1">
        <w:t xml:space="preserve">this is the first </w:t>
      </w:r>
      <w:r w:rsidR="00E421F6">
        <w:t xml:space="preserve">instance in which </w:t>
      </w:r>
      <w:r w:rsidR="005D69F1">
        <w:t>changes in pelvic dead space have been objectively measured using defined anatomical landmarks</w:t>
      </w:r>
      <w:r w:rsidR="0095582B">
        <w:t xml:space="preserve"> [5]</w:t>
      </w:r>
      <w:r w:rsidR="005D69F1">
        <w:t xml:space="preserve">. </w:t>
      </w:r>
      <w:r w:rsidR="00D70F8B">
        <w:t>The</w:t>
      </w:r>
      <w:r w:rsidR="00EC1B56">
        <w:t xml:space="preserve"> </w:t>
      </w:r>
      <w:r w:rsidR="00D70F8B">
        <w:t>use</w:t>
      </w:r>
      <w:r w:rsidR="00EC1B56">
        <w:t xml:space="preserve"> of</w:t>
      </w:r>
      <w:r w:rsidR="00D70F8B">
        <w:t xml:space="preserve"> </w:t>
      </w:r>
      <w:r w:rsidR="00EC1B56">
        <w:t xml:space="preserve">the </w:t>
      </w:r>
      <w:r w:rsidR="00D70F8B">
        <w:t>PDS and E</w:t>
      </w:r>
      <w:r w:rsidR="00DF521E">
        <w:t>PD</w:t>
      </w:r>
      <w:r w:rsidR="00D70F8B">
        <w:t xml:space="preserve"> to define the magnitude of change in pelvic dead space, and the E</w:t>
      </w:r>
      <w:r w:rsidR="00DF521E">
        <w:t>PD</w:t>
      </w:r>
      <w:r w:rsidR="00D70F8B">
        <w:t xml:space="preserve"> and PFV to define the degree of filling of dead space</w:t>
      </w:r>
      <w:r w:rsidR="00E421F6">
        <w:t xml:space="preserve">, is </w:t>
      </w:r>
      <w:r w:rsidR="00D70F8B">
        <w:t xml:space="preserve">likely to be more </w:t>
      </w:r>
      <w:r w:rsidR="00E421F6">
        <w:t>informative</w:t>
      </w:r>
      <w:r w:rsidR="00D70F8B">
        <w:t xml:space="preserve"> than the discrete measurements alone. Calculating ratios of measurements help</w:t>
      </w:r>
      <w:r w:rsidR="00E421F6">
        <w:t>s to</w:t>
      </w:r>
      <w:r w:rsidR="00D70F8B">
        <w:t xml:space="preserve"> manag</w:t>
      </w:r>
      <w:r w:rsidR="00E421F6">
        <w:t>e</w:t>
      </w:r>
      <w:r w:rsidR="00D70F8B">
        <w:t xml:space="preserve"> anatomical variations between subjects</w:t>
      </w:r>
      <w:r w:rsidR="0095582B">
        <w:t xml:space="preserve"> [9]</w:t>
      </w:r>
      <w:r w:rsidR="00D70F8B">
        <w:t xml:space="preserve">. VRAM flaps have been advocated for pelvic filling to mitigate EPS, as they are bulkier more voluminous flaps. This study demonstrates that </w:t>
      </w:r>
      <w:r w:rsidR="00E421F6">
        <w:t>even with a</w:t>
      </w:r>
      <w:r w:rsidR="00D70F8B">
        <w:t xml:space="preserve"> VRAM </w:t>
      </w:r>
      <w:r w:rsidR="00E421F6">
        <w:t xml:space="preserve">flap, </w:t>
      </w:r>
      <w:r w:rsidR="00D70F8B">
        <w:t xml:space="preserve">the volume of dead space within the true pelvis </w:t>
      </w:r>
      <w:r w:rsidR="00E421F6">
        <w:t>above</w:t>
      </w:r>
      <w:r w:rsidR="00D70F8B">
        <w:t xml:space="preserve"> the neo-perineum increased by 10.8-fold, supporting the </w:t>
      </w:r>
      <w:r w:rsidR="00E421F6">
        <w:t>use of</w:t>
      </w:r>
      <w:r w:rsidR="00D70F8B">
        <w:t xml:space="preserve"> multiple technique</w:t>
      </w:r>
      <w:r w:rsidR="00E421F6">
        <w:t>s</w:t>
      </w:r>
      <w:r w:rsidR="00D70F8B">
        <w:t xml:space="preserve">, including omentoplasty, to </w:t>
      </w:r>
      <w:r w:rsidR="00E421F6">
        <w:t xml:space="preserve">further </w:t>
      </w:r>
      <w:r w:rsidR="00D70F8B">
        <w:t xml:space="preserve">reduce dead space. </w:t>
      </w:r>
    </w:p>
    <w:p w14:paraId="3F6AA102" w14:textId="0E50270A" w:rsidR="00D70F8B" w:rsidRDefault="0027291A" w:rsidP="00B83337">
      <w:r>
        <w:t>There are p</w:t>
      </w:r>
      <w:r w:rsidR="004A44E6">
        <w:t xml:space="preserve">ractical </w:t>
      </w:r>
      <w:r w:rsidR="005D69F1">
        <w:t>limitations</w:t>
      </w:r>
      <w:r w:rsidR="00D70F8B">
        <w:t xml:space="preserve"> </w:t>
      </w:r>
      <w:r w:rsidR="00F36602">
        <w:t>to</w:t>
      </w:r>
      <w:r w:rsidR="00D70F8B">
        <w:t xml:space="preserve"> the described</w:t>
      </w:r>
      <w:r w:rsidR="00BC45FA">
        <w:t xml:space="preserve"> methodology</w:t>
      </w:r>
      <w:r>
        <w:t>,</w:t>
      </w:r>
      <w:r w:rsidR="00BC45FA">
        <w:t xml:space="preserve"> includ</w:t>
      </w:r>
      <w:r>
        <w:t>ing</w:t>
      </w:r>
      <w:r w:rsidR="00BC45FA">
        <w:t xml:space="preserve"> the</w:t>
      </w:r>
      <w:r w:rsidR="00B54861">
        <w:t xml:space="preserve"> add</w:t>
      </w:r>
      <w:r w:rsidR="00BC45FA">
        <w:t xml:space="preserve">itional time it adds to </w:t>
      </w:r>
      <w:r w:rsidR="00B54861">
        <w:t>already lengthy procedures</w:t>
      </w:r>
      <w:r w:rsidR="00B83337">
        <w:t>,</w:t>
      </w:r>
      <w:r w:rsidR="00B54861">
        <w:t xml:space="preserve"> and </w:t>
      </w:r>
      <w:r w:rsidR="00F36602">
        <w:t xml:space="preserve">that the </w:t>
      </w:r>
      <w:r w:rsidR="005D69F1">
        <w:t>technique</w:t>
      </w:r>
      <w:r w:rsidR="00B83337">
        <w:t xml:space="preserve"> has inaccuracies which may lead to inconsistent measurements</w:t>
      </w:r>
      <w:r w:rsidR="00BC45FA">
        <w:t xml:space="preserve">. This is illustrated in Figure </w:t>
      </w:r>
      <w:r w:rsidR="007012A2">
        <w:t>3</w:t>
      </w:r>
      <w:r w:rsidR="00BC45FA">
        <w:t xml:space="preserve">, where </w:t>
      </w:r>
      <w:r w:rsidR="005D69F1">
        <w:t xml:space="preserve">serous fluid and blood from the operative field </w:t>
      </w:r>
      <w:r w:rsidR="00BC45FA">
        <w:t xml:space="preserve">are </w:t>
      </w:r>
      <w:r w:rsidR="005D69F1">
        <w:t>mixed with the wash in the syringe</w:t>
      </w:r>
      <w:r w:rsidR="00BC45FA">
        <w:t>. It was assumed that the perineal wound</w:t>
      </w:r>
      <w:r w:rsidR="005D69F1">
        <w:t xml:space="preserve"> was watertight</w:t>
      </w:r>
      <w:r>
        <w:t>,</w:t>
      </w:r>
      <w:r w:rsidR="005D69F1">
        <w:t xml:space="preserve"> </w:t>
      </w:r>
      <w:r w:rsidR="00F36602">
        <w:t>however</w:t>
      </w:r>
      <w:r w:rsidR="005D69F1">
        <w:t xml:space="preserve"> wash may have leaked inferiorly</w:t>
      </w:r>
      <w:r>
        <w:t>. In the case described t</w:t>
      </w:r>
      <w:r w:rsidR="005D69F1">
        <w:t xml:space="preserve">he reconstructive strategy was </w:t>
      </w:r>
      <w:r w:rsidR="005D69F1">
        <w:lastRenderedPageBreak/>
        <w:t>planned pre-operatively</w:t>
      </w:r>
      <w:r>
        <w:t>,</w:t>
      </w:r>
      <w:r w:rsidR="005D69F1">
        <w:t xml:space="preserve"> and obtaining these measurements </w:t>
      </w:r>
      <w:r>
        <w:t xml:space="preserve">during </w:t>
      </w:r>
      <w:r w:rsidR="005D69F1">
        <w:t xml:space="preserve">surgery </w:t>
      </w:r>
      <w:r>
        <w:t>did not</w:t>
      </w:r>
      <w:r w:rsidR="005D69F1">
        <w:t xml:space="preserve"> influenc</w:t>
      </w:r>
      <w:r>
        <w:t xml:space="preserve">e </w:t>
      </w:r>
      <w:r w:rsidR="005D69F1">
        <w:t xml:space="preserve">surgical decision making. </w:t>
      </w:r>
      <w:r w:rsidR="007B7B47">
        <w:t xml:space="preserve">In </w:t>
      </w:r>
      <w:r w:rsidR="00D70F8B">
        <w:t xml:space="preserve">high complexity PE </w:t>
      </w:r>
      <w:r w:rsidR="007B7B47">
        <w:t>with</w:t>
      </w:r>
      <w:r w:rsidR="00D70F8B">
        <w:t xml:space="preserve"> high sacrectomy, high subcortical sacrectomy, pubic bone resection</w:t>
      </w:r>
      <w:r w:rsidR="001F0A0E" w:rsidRPr="001F0A0E">
        <w:rPr>
          <w:highlight w:val="yellow"/>
        </w:rPr>
        <w:t>, or tumour growth out of the pelvic inlet,</w:t>
      </w:r>
      <w:r w:rsidR="00D70F8B">
        <w:t xml:space="preserve"> </w:t>
      </w:r>
      <w:r>
        <w:t xml:space="preserve">there </w:t>
      </w:r>
      <w:r w:rsidR="00D70F8B">
        <w:t xml:space="preserve">may </w:t>
      </w:r>
      <w:r>
        <w:t xml:space="preserve">be </w:t>
      </w:r>
      <w:r w:rsidR="00D70F8B">
        <w:t>disrupt</w:t>
      </w:r>
      <w:r>
        <w:t>ion of</w:t>
      </w:r>
      <w:r w:rsidR="00D70F8B">
        <w:t xml:space="preserve"> the bony landmarks</w:t>
      </w:r>
      <w:r>
        <w:t xml:space="preserve">, upon which this technique </w:t>
      </w:r>
      <w:r w:rsidR="00D70F8B">
        <w:t>reli</w:t>
      </w:r>
      <w:r>
        <w:t>es</w:t>
      </w:r>
      <w:r w:rsidR="00D70F8B">
        <w:t xml:space="preserve">. </w:t>
      </w:r>
      <w:r w:rsidR="003E5DEF">
        <w:t>The pathophysiology of EPS is poorly defined, and other factors may be relevant</w:t>
      </w:r>
      <w:r w:rsidR="00EC1B56">
        <w:t>,</w:t>
      </w:r>
      <w:r w:rsidR="003E5DEF">
        <w:t xml:space="preserve"> including migration of the bowel into the pelvis, loss of mechanical support from the pelvic outlet, relative ischaemia secondary to radiotherapy, exposure of bony surfaces, scar tissue from previous surgery, and ligation of the internal </w:t>
      </w:r>
      <w:r w:rsidR="003E5DEF" w:rsidRPr="00E3350C">
        <w:t>iliac system</w:t>
      </w:r>
      <w:r w:rsidR="006710BA">
        <w:t xml:space="preserve"> [6]</w:t>
      </w:r>
      <w:r w:rsidR="003E5DEF" w:rsidRPr="00E3350C">
        <w:t>. Changes</w:t>
      </w:r>
      <w:r w:rsidR="003E5DEF">
        <w:t xml:space="preserve"> in the volumes of dead space may not be as important as these other factors, and it is notable that despite omentoplasty and a VRAM flap for pelvic filling in the presented case, </w:t>
      </w:r>
      <w:r w:rsidR="00DD6E7F" w:rsidRPr="00DD6E7F">
        <w:rPr>
          <w:highlight w:val="yellow"/>
        </w:rPr>
        <w:t>an</w:t>
      </w:r>
      <w:r w:rsidR="003E5DEF" w:rsidRPr="00DD6E7F">
        <w:rPr>
          <w:highlight w:val="yellow"/>
        </w:rPr>
        <w:t xml:space="preserve"> infected pelvic collection</w:t>
      </w:r>
      <w:r w:rsidR="00DD6E7F" w:rsidRPr="00DD6E7F">
        <w:rPr>
          <w:highlight w:val="yellow"/>
        </w:rPr>
        <w:t xml:space="preserve"> occurred</w:t>
      </w:r>
      <w:r w:rsidR="003E5DEF">
        <w:t>.</w:t>
      </w:r>
    </w:p>
    <w:p w14:paraId="2BBB7490" w14:textId="693FE341" w:rsidR="00DD6E7F" w:rsidRDefault="007012A2" w:rsidP="007012A2">
      <w:r>
        <w:t>The concept of loss of domain in the context of massive ventral hernias is another recently recognised pathological process where volumetric changes within the peritoneal cavity occur. Several studies have aimed to establish a volumetric definition for loss of domain through analysis of cross-sectional imaging, through an international Delphi study the Sabbagh volumetric definition was selected due to its ease of application in a clinical setting using pre-operative computed tomography (CT)</w:t>
      </w:r>
      <w:r w:rsidR="0095582B">
        <w:t xml:space="preserve"> [10]</w:t>
      </w:r>
      <w:r>
        <w:t xml:space="preserve">. </w:t>
      </w:r>
      <w:r w:rsidR="004C3096" w:rsidRPr="00DD6E7F">
        <w:rPr>
          <w:highlight w:val="yellow"/>
        </w:rPr>
        <w:t>Pre-operative CT scans in</w:t>
      </w:r>
      <w:r w:rsidR="00F44FBC" w:rsidRPr="00DD6E7F">
        <w:rPr>
          <w:highlight w:val="yellow"/>
        </w:rPr>
        <w:t xml:space="preserve"> 28 patients </w:t>
      </w:r>
      <w:r w:rsidR="004C3096" w:rsidRPr="00DD6E7F">
        <w:rPr>
          <w:highlight w:val="yellow"/>
        </w:rPr>
        <w:t xml:space="preserve">undergoing PE were analysed using automated </w:t>
      </w:r>
      <w:r w:rsidR="00F44FBC" w:rsidRPr="00DD6E7F">
        <w:rPr>
          <w:highlight w:val="yellow"/>
        </w:rPr>
        <w:t xml:space="preserve">CT segmentation using </w:t>
      </w:r>
      <w:r w:rsidR="00F44FBC" w:rsidRPr="00CC29C0">
        <w:rPr>
          <w:highlight w:val="yellow"/>
        </w:rPr>
        <w:t>deep learning-driven software</w:t>
      </w:r>
      <w:r w:rsidR="004C3096" w:rsidRPr="00CC29C0">
        <w:rPr>
          <w:highlight w:val="yellow"/>
        </w:rPr>
        <w:t xml:space="preserve">, </w:t>
      </w:r>
      <w:r w:rsidR="007B230F">
        <w:rPr>
          <w:highlight w:val="yellow"/>
        </w:rPr>
        <w:t>which was able to</w:t>
      </w:r>
      <w:r w:rsidR="004C3096" w:rsidRPr="00CC29C0">
        <w:rPr>
          <w:highlight w:val="yellow"/>
        </w:rPr>
        <w:t xml:space="preserve"> predict EPD by </w:t>
      </w:r>
      <w:r w:rsidR="00DD6E7F" w:rsidRPr="00CC29C0">
        <w:rPr>
          <w:highlight w:val="yellow"/>
        </w:rPr>
        <w:t xml:space="preserve">subtracting organs and tissues resected during PE from the volume of the true pelvis [11]. </w:t>
      </w:r>
      <w:r w:rsidR="00E41675" w:rsidRPr="00CC29C0">
        <w:rPr>
          <w:highlight w:val="yellow"/>
        </w:rPr>
        <w:t xml:space="preserve">The method described here </w:t>
      </w:r>
      <w:r w:rsidR="00CC29C0" w:rsidRPr="00CC29C0">
        <w:rPr>
          <w:highlight w:val="yellow"/>
        </w:rPr>
        <w:t>could</w:t>
      </w:r>
      <w:r w:rsidR="00DD6E7F" w:rsidRPr="00CC29C0">
        <w:rPr>
          <w:highlight w:val="yellow"/>
        </w:rPr>
        <w:t xml:space="preserve"> have</w:t>
      </w:r>
      <w:r w:rsidR="00E41675" w:rsidRPr="00CC29C0">
        <w:rPr>
          <w:highlight w:val="yellow"/>
        </w:rPr>
        <w:t xml:space="preserve"> valu</w:t>
      </w:r>
      <w:r w:rsidR="00DD6E7F" w:rsidRPr="00CC29C0">
        <w:rPr>
          <w:highlight w:val="yellow"/>
        </w:rPr>
        <w:t>e</w:t>
      </w:r>
      <w:r w:rsidR="00E41675" w:rsidRPr="00CC29C0">
        <w:rPr>
          <w:highlight w:val="yellow"/>
        </w:rPr>
        <w:t xml:space="preserve"> </w:t>
      </w:r>
      <w:r w:rsidR="00DD6E7F" w:rsidRPr="00CC29C0">
        <w:rPr>
          <w:highlight w:val="yellow"/>
        </w:rPr>
        <w:t>in</w:t>
      </w:r>
      <w:r w:rsidR="00517F94" w:rsidRPr="00CC29C0">
        <w:rPr>
          <w:highlight w:val="yellow"/>
        </w:rPr>
        <w:t xml:space="preserve"> </w:t>
      </w:r>
      <w:r w:rsidR="00E41675" w:rsidRPr="00CC29C0">
        <w:rPr>
          <w:highlight w:val="yellow"/>
        </w:rPr>
        <w:t>validating radiological assessmen</w:t>
      </w:r>
      <w:r w:rsidR="007B7B47" w:rsidRPr="00CC29C0">
        <w:rPr>
          <w:highlight w:val="yellow"/>
        </w:rPr>
        <w:t>t</w:t>
      </w:r>
      <w:r w:rsidR="00DD6E7F" w:rsidRPr="00CC29C0">
        <w:rPr>
          <w:highlight w:val="yellow"/>
        </w:rPr>
        <w:t>s</w:t>
      </w:r>
      <w:r w:rsidR="007B7B47" w:rsidRPr="00CC29C0">
        <w:rPr>
          <w:highlight w:val="yellow"/>
        </w:rPr>
        <w:t xml:space="preserve"> </w:t>
      </w:r>
      <w:r w:rsidR="00517F94" w:rsidRPr="00CC29C0">
        <w:rPr>
          <w:highlight w:val="yellow"/>
        </w:rPr>
        <w:t>and ultimately</w:t>
      </w:r>
      <w:r w:rsidR="007B7B47" w:rsidRPr="00CC29C0">
        <w:rPr>
          <w:highlight w:val="yellow"/>
        </w:rPr>
        <w:t xml:space="preserve"> </w:t>
      </w:r>
      <w:r w:rsidR="00F36602" w:rsidRPr="00CC29C0">
        <w:rPr>
          <w:highlight w:val="yellow"/>
        </w:rPr>
        <w:t>lead to</w:t>
      </w:r>
      <w:r w:rsidR="007B7B47" w:rsidRPr="00CC29C0">
        <w:rPr>
          <w:highlight w:val="yellow"/>
        </w:rPr>
        <w:t xml:space="preserve"> a volumetric definition for EPS </w:t>
      </w:r>
      <w:r w:rsidR="00517F94" w:rsidRPr="00CC29C0">
        <w:rPr>
          <w:highlight w:val="yellow"/>
        </w:rPr>
        <w:t>that</w:t>
      </w:r>
      <w:r w:rsidR="007B7B47" w:rsidRPr="00CC29C0">
        <w:rPr>
          <w:highlight w:val="yellow"/>
        </w:rPr>
        <w:t xml:space="preserve"> correlate</w:t>
      </w:r>
      <w:r w:rsidR="00517F94" w:rsidRPr="00CC29C0">
        <w:rPr>
          <w:highlight w:val="yellow"/>
        </w:rPr>
        <w:t xml:space="preserve">s with </w:t>
      </w:r>
      <w:r w:rsidR="007B7B47" w:rsidRPr="00CC29C0">
        <w:rPr>
          <w:highlight w:val="yellow"/>
        </w:rPr>
        <w:t>adverse outcomes</w:t>
      </w:r>
      <w:r w:rsidR="00F36602" w:rsidRPr="00CC29C0">
        <w:rPr>
          <w:highlight w:val="yellow"/>
        </w:rPr>
        <w:t>,</w:t>
      </w:r>
      <w:r w:rsidRPr="00CC29C0">
        <w:rPr>
          <w:highlight w:val="yellow"/>
        </w:rPr>
        <w:t xml:space="preserve"> thereby enhancing </w:t>
      </w:r>
      <w:r w:rsidR="006710BA">
        <w:rPr>
          <w:highlight w:val="yellow"/>
        </w:rPr>
        <w:t xml:space="preserve">the </w:t>
      </w:r>
      <w:r w:rsidRPr="00CC29C0">
        <w:rPr>
          <w:highlight w:val="yellow"/>
        </w:rPr>
        <w:t>understanding and management of this issue.</w:t>
      </w:r>
    </w:p>
    <w:p w14:paraId="4A7E6AAE" w14:textId="531326C4" w:rsidR="00517F94" w:rsidRDefault="00517F94" w:rsidP="00517F94">
      <w:pPr>
        <w:rPr>
          <w:b/>
          <w:bCs/>
        </w:rPr>
      </w:pPr>
      <w:r>
        <w:rPr>
          <w:b/>
          <w:bCs/>
        </w:rPr>
        <w:t>Conclusions:</w:t>
      </w:r>
    </w:p>
    <w:p w14:paraId="3A6CCDA3" w14:textId="7AB4A014" w:rsidR="00E41675" w:rsidRPr="007B7B47" w:rsidRDefault="00517F94" w:rsidP="00EB7EF7">
      <w:r>
        <w:t xml:space="preserve">As </w:t>
      </w:r>
      <w:r w:rsidR="007B7B47">
        <w:t>PE for more invasive tumours becom</w:t>
      </w:r>
      <w:r>
        <w:t xml:space="preserve">es </w:t>
      </w:r>
      <w:r w:rsidR="007B7B47">
        <w:t>increasing</w:t>
      </w:r>
      <w:r w:rsidR="00F36602">
        <w:t>ly</w:t>
      </w:r>
      <w:r w:rsidR="007B7B47">
        <w:t xml:space="preserve"> feasible</w:t>
      </w:r>
      <w:r>
        <w:t xml:space="preserve"> </w:t>
      </w:r>
      <w:r w:rsidR="007B7B47">
        <w:t xml:space="preserve">the prevalence and severity of EPS is </w:t>
      </w:r>
      <w:r>
        <w:t>likely to rise</w:t>
      </w:r>
      <w:r w:rsidR="007B7B47">
        <w:t>. A</w:t>
      </w:r>
      <w:r w:rsidR="00F36602">
        <w:t xml:space="preserve"> better</w:t>
      </w:r>
      <w:r w:rsidR="007B7B47">
        <w:t xml:space="preserve"> understanding and quantification of the pathophysiological factors causing EPS </w:t>
      </w:r>
      <w:r w:rsidR="00F36602">
        <w:t>is</w:t>
      </w:r>
      <w:r w:rsidR="007B7B47">
        <w:t xml:space="preserve"> urgently required, with volumetrics representing a possible avenue of </w:t>
      </w:r>
      <w:r w:rsidR="00B83337">
        <w:t xml:space="preserve">objective </w:t>
      </w:r>
      <w:r w:rsidR="007B7B47">
        <w:t>inquiry.</w:t>
      </w:r>
    </w:p>
    <w:p w14:paraId="485F88C1" w14:textId="069F31EA" w:rsidR="00D70F8B" w:rsidRDefault="007B7B47" w:rsidP="007B7B47">
      <w:r>
        <w:t xml:space="preserve">Research into EPS is challenging due to the multifactorial nature of this issue. This study demonstrates that the pathological volumetric changes relating to PE are objectively measurable. This </w:t>
      </w:r>
      <w:r w:rsidR="00517F94">
        <w:t xml:space="preserve">preliminary work </w:t>
      </w:r>
      <w:r w:rsidR="00B83337">
        <w:t>suggests</w:t>
      </w:r>
      <w:r>
        <w:t xml:space="preserve"> a </w:t>
      </w:r>
      <w:r w:rsidR="00517F94">
        <w:t xml:space="preserve">path toward </w:t>
      </w:r>
      <w:r>
        <w:t>a clinically helpful volumetric definition f</w:t>
      </w:r>
      <w:r w:rsidR="00F36602">
        <w:t>or</w:t>
      </w:r>
      <w:r>
        <w:t xml:space="preserve"> EPS that could aid </w:t>
      </w:r>
      <w:r w:rsidR="00B83337">
        <w:t>planning the requirements and means of pelvic filling in the reconstructive phase of PE</w:t>
      </w:r>
      <w:r>
        <w:t>.</w:t>
      </w:r>
    </w:p>
    <w:p w14:paraId="7ACF0C84" w14:textId="57A45198" w:rsidR="00116900" w:rsidRDefault="00116900" w:rsidP="00EB7EF7">
      <w:pPr>
        <w:rPr>
          <w:b/>
          <w:bCs/>
        </w:rPr>
      </w:pPr>
    </w:p>
    <w:p w14:paraId="55DB1254" w14:textId="77777777" w:rsidR="00D70F8B" w:rsidRDefault="00D70F8B" w:rsidP="00EB7EF7">
      <w:pPr>
        <w:rPr>
          <w:b/>
          <w:bCs/>
        </w:rPr>
      </w:pPr>
    </w:p>
    <w:p w14:paraId="3B1BE5F5" w14:textId="77777777" w:rsidR="00116900" w:rsidRPr="00116900" w:rsidRDefault="00116900" w:rsidP="00EB7EF7">
      <w:pPr>
        <w:rPr>
          <w:b/>
          <w:bCs/>
        </w:rPr>
      </w:pPr>
    </w:p>
    <w:p w14:paraId="64B69B3A" w14:textId="6CB61D23" w:rsidR="00116900" w:rsidRDefault="007012A2" w:rsidP="00116900">
      <w:pPr>
        <w:rPr>
          <w:b/>
          <w:bCs/>
        </w:rPr>
      </w:pPr>
      <w:r>
        <w:rPr>
          <w:b/>
          <w:bCs/>
        </w:rPr>
        <w:t>Declarations:</w:t>
      </w:r>
    </w:p>
    <w:p w14:paraId="26D803EE" w14:textId="65E26D7D" w:rsidR="007012A2" w:rsidRDefault="007012A2" w:rsidP="00116900">
      <w:r>
        <w:t>Conflict of interest: The authors declare they have no conflicts of interest.</w:t>
      </w:r>
    </w:p>
    <w:p w14:paraId="68C27AA4" w14:textId="133D043B" w:rsidR="00116900" w:rsidRDefault="00116900" w:rsidP="00116900">
      <w:r>
        <w:t>This work is original and neither published, accepted, or submitted elsewhere, its publication has been approved by all co-authors.</w:t>
      </w:r>
    </w:p>
    <w:p w14:paraId="32AEC39B" w14:textId="1976E779" w:rsidR="00116900" w:rsidRDefault="00116900" w:rsidP="00116900">
      <w:r>
        <w:t xml:space="preserve">CTW is sponsored </w:t>
      </w:r>
      <w:r w:rsidR="009246F2">
        <w:t>by the Fergus Scholefield Cancer Research Fund kindly donated from Penguins Against Cancer, a grant from PLANETS Cancer Charity, and Bowel Research UK</w:t>
      </w:r>
      <w:r w:rsidR="007012A2">
        <w:t xml:space="preserve"> (SG23019)</w:t>
      </w:r>
      <w:r w:rsidR="009246F2">
        <w:t>.</w:t>
      </w:r>
    </w:p>
    <w:p w14:paraId="7188B093" w14:textId="23257B1F" w:rsidR="00116900" w:rsidRDefault="00116900" w:rsidP="00116900">
      <w:r>
        <w:t>Ethics approval: This study was performed in line with the principles of the Declaration of Helsinki. Approval granted under North East – Newcastle and North 2 Research Ethics Committee (REC: 22/NE/0032).</w:t>
      </w:r>
    </w:p>
    <w:p w14:paraId="5EB6397E" w14:textId="019AD62B" w:rsidR="00116900" w:rsidRDefault="00116900" w:rsidP="00116900">
      <w:r>
        <w:lastRenderedPageBreak/>
        <w:t>Informed consent: The participant completed a consent form</w:t>
      </w:r>
      <w:r w:rsidR="00E407B0">
        <w:t xml:space="preserve"> for photographs for potential publication to be taken during surgery.</w:t>
      </w:r>
    </w:p>
    <w:p w14:paraId="2C16CE7E" w14:textId="74232141" w:rsidR="007012A2" w:rsidRPr="00116900" w:rsidRDefault="007012A2" w:rsidP="00116900">
      <w:r>
        <w:t xml:space="preserve">Data availability: </w:t>
      </w:r>
      <w:r w:rsidR="00013EF4">
        <w:t>D</w:t>
      </w:r>
      <w:r>
        <w:t>atasets generated during the current study are available from the corresponding author on reasonable request.</w:t>
      </w:r>
    </w:p>
    <w:p w14:paraId="210198B6" w14:textId="77777777" w:rsidR="0082388D" w:rsidRDefault="0082388D"/>
    <w:p w14:paraId="045B4E46" w14:textId="070B312E" w:rsidR="003C7D3F" w:rsidRDefault="00845F5F" w:rsidP="003C7D3F">
      <w:pPr>
        <w:rPr>
          <w:b/>
          <w:bCs/>
        </w:rPr>
      </w:pPr>
      <w:r>
        <w:rPr>
          <w:b/>
          <w:bCs/>
        </w:rPr>
        <w:t>References:</w:t>
      </w:r>
    </w:p>
    <w:p w14:paraId="5F46DF58" w14:textId="33D2160C" w:rsidR="00A07021" w:rsidRPr="00E3350C" w:rsidRDefault="0095582B" w:rsidP="00A07021">
      <w:pPr>
        <w:spacing w:after="0" w:line="240" w:lineRule="auto"/>
        <w:rPr>
          <w:rFonts w:ascii="Calibri" w:eastAsia="Times New Roman" w:hAnsi="Calibri" w:cs="Calibri"/>
          <w:color w:val="5B616B"/>
          <w:sz w:val="24"/>
          <w:szCs w:val="24"/>
          <w:shd w:val="clear" w:color="auto" w:fill="FFFFFF"/>
          <w:lang w:eastAsia="en-GB"/>
        </w:rPr>
      </w:pPr>
      <w:r w:rsidRPr="00E3350C">
        <w:rPr>
          <w:rFonts w:ascii="Calibri" w:hAnsi="Calibri" w:cs="Calibri"/>
          <w:sz w:val="24"/>
          <w:szCs w:val="24"/>
        </w:rPr>
        <w:t xml:space="preserve">1. </w:t>
      </w:r>
      <w:r w:rsidRPr="00E3350C">
        <w:rPr>
          <w:rFonts w:ascii="Calibri" w:hAnsi="Calibri" w:cs="Calibri"/>
          <w:noProof/>
          <w:sz w:val="24"/>
          <w:szCs w:val="24"/>
        </w:rPr>
        <w:t>Nekkanti SS, Jajoo B, Mohan A, Vasudevan L, et al</w:t>
      </w:r>
      <w:r w:rsidR="00883B5D" w:rsidRPr="00E3350C">
        <w:rPr>
          <w:rFonts w:ascii="Calibri" w:hAnsi="Calibri" w:cs="Calibri"/>
          <w:noProof/>
          <w:sz w:val="24"/>
          <w:szCs w:val="24"/>
        </w:rPr>
        <w:t xml:space="preserve"> (2023)</w:t>
      </w:r>
      <w:r w:rsidRPr="00E3350C">
        <w:rPr>
          <w:rFonts w:ascii="Calibri" w:hAnsi="Calibri" w:cs="Calibri"/>
          <w:noProof/>
          <w:sz w:val="24"/>
          <w:szCs w:val="24"/>
        </w:rPr>
        <w:t xml:space="preserve"> Empty pelvis syndrome: a retrospective audit from a tertiary cancer center. Langenbecks Arch Surg</w:t>
      </w:r>
      <w:r w:rsidR="00883B5D" w:rsidRPr="00E3350C">
        <w:rPr>
          <w:rFonts w:ascii="Calibri" w:hAnsi="Calibri" w:cs="Calibri"/>
          <w:noProof/>
          <w:sz w:val="24"/>
          <w:szCs w:val="24"/>
        </w:rPr>
        <w:t xml:space="preserve"> </w:t>
      </w:r>
      <w:r w:rsidRPr="00E3350C">
        <w:rPr>
          <w:rFonts w:ascii="Calibri" w:hAnsi="Calibri" w:cs="Calibri"/>
          <w:noProof/>
          <w:sz w:val="24"/>
          <w:szCs w:val="24"/>
        </w:rPr>
        <w:t>408(1):331.</w:t>
      </w:r>
      <w:r w:rsidR="00883B5D" w:rsidRPr="00E3350C">
        <w:rPr>
          <w:rFonts w:ascii="Calibri" w:hAnsi="Calibri" w:cs="Calibri"/>
          <w:noProof/>
          <w:sz w:val="24"/>
          <w:szCs w:val="24"/>
        </w:rPr>
        <w:t xml:space="preserve"> </w:t>
      </w:r>
      <w:hyperlink r:id="rId21" w:history="1">
        <w:r w:rsidR="00A07021" w:rsidRPr="00E3350C">
          <w:rPr>
            <w:rStyle w:val="Hyperlink"/>
            <w:rFonts w:ascii="Calibri" w:hAnsi="Calibri" w:cs="Calibri"/>
            <w:noProof/>
            <w:sz w:val="24"/>
            <w:szCs w:val="24"/>
          </w:rPr>
          <w:t>https://</w:t>
        </w:r>
        <w:r w:rsidR="00A07021" w:rsidRPr="00E3350C">
          <w:rPr>
            <w:rStyle w:val="Hyperlink"/>
            <w:rFonts w:ascii="Calibri" w:eastAsia="Times New Roman" w:hAnsi="Calibri" w:cs="Calibri"/>
            <w:sz w:val="24"/>
            <w:szCs w:val="24"/>
            <w:shd w:val="clear" w:color="auto" w:fill="FFFFFF"/>
            <w:lang w:eastAsia="en-GB"/>
          </w:rPr>
          <w:t>doi.org/10.1007/s00423-023-03069-y</w:t>
        </w:r>
      </w:hyperlink>
      <w:r w:rsidR="00A07021" w:rsidRPr="00E3350C">
        <w:rPr>
          <w:rFonts w:ascii="Calibri" w:eastAsia="Times New Roman" w:hAnsi="Calibri" w:cs="Calibri"/>
          <w:color w:val="5B616B"/>
          <w:sz w:val="24"/>
          <w:szCs w:val="24"/>
          <w:shd w:val="clear" w:color="auto" w:fill="FFFFFF"/>
          <w:lang w:eastAsia="en-GB"/>
        </w:rPr>
        <w:t xml:space="preserve"> </w:t>
      </w:r>
    </w:p>
    <w:p w14:paraId="1DA49777" w14:textId="77777777" w:rsidR="00A07021" w:rsidRPr="00E3350C" w:rsidRDefault="00A07021" w:rsidP="00A07021">
      <w:pPr>
        <w:spacing w:after="0" w:line="240" w:lineRule="auto"/>
        <w:rPr>
          <w:rFonts w:ascii="Calibri" w:eastAsia="Times New Roman" w:hAnsi="Calibri" w:cs="Calibri"/>
          <w:sz w:val="24"/>
          <w:szCs w:val="24"/>
          <w:lang w:eastAsia="en-GB"/>
        </w:rPr>
      </w:pPr>
    </w:p>
    <w:p w14:paraId="0864E93C" w14:textId="583131E9"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 xml:space="preserve">2. </w:t>
      </w:r>
      <w:r w:rsidRPr="00E3350C">
        <w:rPr>
          <w:rFonts w:ascii="Calibri" w:hAnsi="Calibri" w:cs="Calibri"/>
          <w:noProof/>
          <w:sz w:val="24"/>
          <w:szCs w:val="24"/>
        </w:rPr>
        <w:t>Johnson YL, West MA, Gould LE, et al</w:t>
      </w:r>
      <w:r w:rsidR="00A07021" w:rsidRPr="00E3350C">
        <w:rPr>
          <w:rFonts w:ascii="Calibri" w:hAnsi="Calibri" w:cs="Calibri"/>
          <w:noProof/>
          <w:sz w:val="24"/>
          <w:szCs w:val="24"/>
        </w:rPr>
        <w:t xml:space="preserve"> (2022)</w:t>
      </w:r>
      <w:r w:rsidRPr="00E3350C">
        <w:rPr>
          <w:rFonts w:ascii="Calibri" w:hAnsi="Calibri" w:cs="Calibri"/>
          <w:noProof/>
          <w:sz w:val="24"/>
          <w:szCs w:val="24"/>
        </w:rPr>
        <w:t xml:space="preserve"> Empty pelvis syndrome: a systematic review of reconstruction techniques and their associated complications. Colorectal Dis</w:t>
      </w:r>
      <w:r w:rsidR="00A07021" w:rsidRPr="00E3350C">
        <w:rPr>
          <w:rFonts w:ascii="Calibri" w:hAnsi="Calibri" w:cs="Calibri"/>
          <w:noProof/>
          <w:sz w:val="24"/>
          <w:szCs w:val="24"/>
        </w:rPr>
        <w:t xml:space="preserve"> </w:t>
      </w:r>
      <w:r w:rsidRPr="00E3350C">
        <w:rPr>
          <w:rFonts w:ascii="Calibri" w:hAnsi="Calibri" w:cs="Calibri"/>
          <w:noProof/>
          <w:sz w:val="24"/>
          <w:szCs w:val="24"/>
        </w:rPr>
        <w:t>24(1):16-26.</w:t>
      </w:r>
      <w:r w:rsidR="00A07021" w:rsidRPr="00E3350C">
        <w:rPr>
          <w:rFonts w:ascii="Calibri" w:hAnsi="Calibri" w:cs="Calibri"/>
          <w:noProof/>
          <w:sz w:val="24"/>
          <w:szCs w:val="24"/>
        </w:rPr>
        <w:t xml:space="preserve"> </w:t>
      </w:r>
      <w:hyperlink r:id="rId22"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10.1111/codi.15956</w:t>
        </w:r>
      </w:hyperlink>
      <w:r w:rsidR="00A07021" w:rsidRPr="00E3350C">
        <w:rPr>
          <w:rFonts w:ascii="Calibri" w:eastAsia="Times New Roman" w:hAnsi="Calibri" w:cs="Calibri"/>
          <w:color w:val="5B616B"/>
          <w:sz w:val="24"/>
          <w:szCs w:val="24"/>
          <w:shd w:val="clear" w:color="auto" w:fill="FFFFFF"/>
          <w:lang w:eastAsia="en-GB"/>
        </w:rPr>
        <w:t xml:space="preserve"> </w:t>
      </w:r>
    </w:p>
    <w:p w14:paraId="0C2FA6FD" w14:textId="22544D22" w:rsidR="00A07021" w:rsidRPr="00E3350C" w:rsidRDefault="00A07021" w:rsidP="003C7D3F">
      <w:pPr>
        <w:rPr>
          <w:rFonts w:ascii="Calibri" w:hAnsi="Calibri" w:cs="Calibri"/>
          <w:sz w:val="24"/>
          <w:szCs w:val="24"/>
        </w:rPr>
      </w:pPr>
    </w:p>
    <w:p w14:paraId="4EA082C5" w14:textId="39ED63ED"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 xml:space="preserve">3. </w:t>
      </w:r>
      <w:r w:rsidR="00A07021" w:rsidRPr="00E3350C">
        <w:rPr>
          <w:rFonts w:ascii="Calibri" w:hAnsi="Calibri" w:cs="Calibri"/>
          <w:sz w:val="24"/>
          <w:szCs w:val="24"/>
        </w:rPr>
        <w:t>PelvEx Collaborative (</w:t>
      </w:r>
      <w:r w:rsidR="00A07021" w:rsidRPr="003E31A8">
        <w:rPr>
          <w:rFonts w:ascii="Calibri" w:hAnsi="Calibri" w:cs="Calibri"/>
          <w:color w:val="000000" w:themeColor="text1"/>
          <w:sz w:val="24"/>
          <w:szCs w:val="24"/>
        </w:rPr>
        <w:t xml:space="preserve">2023) </w:t>
      </w:r>
      <w:r w:rsidRPr="003E31A8">
        <w:rPr>
          <w:rFonts w:ascii="Calibri" w:hAnsi="Calibri" w:cs="Calibri"/>
          <w:noProof/>
          <w:color w:val="000000" w:themeColor="text1"/>
          <w:sz w:val="24"/>
          <w:szCs w:val="24"/>
        </w:rPr>
        <w:t>Empty pelvis syndrome: PelvEx Collaborative guideline proposal. Br J Surg</w:t>
      </w:r>
      <w:r w:rsidR="00A07021" w:rsidRPr="003E31A8">
        <w:rPr>
          <w:rFonts w:ascii="Calibri" w:hAnsi="Calibri" w:cs="Calibri"/>
          <w:noProof/>
          <w:color w:val="000000" w:themeColor="text1"/>
          <w:sz w:val="24"/>
          <w:szCs w:val="24"/>
        </w:rPr>
        <w:t xml:space="preserve"> </w:t>
      </w:r>
      <w:r w:rsidR="005B1762">
        <w:rPr>
          <w:rFonts w:ascii="Calibri" w:eastAsia="Times New Roman" w:hAnsi="Calibri" w:cs="Calibri"/>
          <w:color w:val="000000" w:themeColor="text1"/>
          <w:sz w:val="24"/>
          <w:szCs w:val="24"/>
          <w:shd w:val="clear" w:color="auto" w:fill="FFFFFF"/>
          <w:lang w:eastAsia="en-GB"/>
        </w:rPr>
        <w:t>110(12):1730-1</w:t>
      </w:r>
      <w:r w:rsidRPr="00E3350C">
        <w:rPr>
          <w:rFonts w:ascii="Calibri" w:hAnsi="Calibri" w:cs="Calibri"/>
          <w:noProof/>
          <w:sz w:val="24"/>
          <w:szCs w:val="24"/>
        </w:rPr>
        <w:t xml:space="preserve">. </w:t>
      </w:r>
      <w:hyperlink r:id="rId23"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10.1093/</w:t>
        </w:r>
        <w:proofErr w:type="spellStart"/>
        <w:r w:rsidR="00A07021" w:rsidRPr="00E3350C">
          <w:rPr>
            <w:rStyle w:val="Hyperlink"/>
            <w:rFonts w:ascii="Calibri" w:eastAsia="Times New Roman" w:hAnsi="Calibri" w:cs="Calibri"/>
            <w:sz w:val="24"/>
            <w:szCs w:val="24"/>
            <w:shd w:val="clear" w:color="auto" w:fill="FFFFFF"/>
            <w:lang w:eastAsia="en-GB"/>
          </w:rPr>
          <w:t>bjs</w:t>
        </w:r>
        <w:proofErr w:type="spellEnd"/>
        <w:r w:rsidR="00A07021" w:rsidRPr="00E3350C">
          <w:rPr>
            <w:rStyle w:val="Hyperlink"/>
            <w:rFonts w:ascii="Calibri" w:eastAsia="Times New Roman" w:hAnsi="Calibri" w:cs="Calibri"/>
            <w:sz w:val="24"/>
            <w:szCs w:val="24"/>
            <w:shd w:val="clear" w:color="auto" w:fill="FFFFFF"/>
            <w:lang w:eastAsia="en-GB"/>
          </w:rPr>
          <w:t>/znad301</w:t>
        </w:r>
      </w:hyperlink>
      <w:r w:rsidR="00A07021" w:rsidRPr="00E3350C">
        <w:rPr>
          <w:rFonts w:ascii="Calibri" w:eastAsia="Times New Roman" w:hAnsi="Calibri" w:cs="Calibri"/>
          <w:color w:val="5B616B"/>
          <w:sz w:val="24"/>
          <w:szCs w:val="24"/>
          <w:shd w:val="clear" w:color="auto" w:fill="FFFFFF"/>
          <w:lang w:eastAsia="en-GB"/>
        </w:rPr>
        <w:t xml:space="preserve"> </w:t>
      </w:r>
    </w:p>
    <w:p w14:paraId="14141D17" w14:textId="7EC59B20" w:rsidR="0095582B" w:rsidRPr="00E3350C" w:rsidRDefault="0095582B" w:rsidP="003C7D3F">
      <w:pPr>
        <w:rPr>
          <w:rFonts w:ascii="Calibri" w:hAnsi="Calibri" w:cs="Calibri"/>
          <w:sz w:val="24"/>
          <w:szCs w:val="24"/>
        </w:rPr>
      </w:pPr>
    </w:p>
    <w:p w14:paraId="441B5337" w14:textId="003EB102"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 xml:space="preserve">4. </w:t>
      </w:r>
      <w:r w:rsidRPr="00E3350C">
        <w:rPr>
          <w:rFonts w:ascii="Calibri" w:hAnsi="Calibri" w:cs="Calibri"/>
          <w:noProof/>
          <w:sz w:val="24"/>
          <w:szCs w:val="24"/>
        </w:rPr>
        <w:t>Tuech JJ, Pinson J, Nouhaud FX, et al</w:t>
      </w:r>
      <w:r w:rsidR="00A07021" w:rsidRPr="00E3350C">
        <w:rPr>
          <w:rFonts w:ascii="Calibri" w:hAnsi="Calibri" w:cs="Calibri"/>
          <w:noProof/>
          <w:sz w:val="24"/>
          <w:szCs w:val="24"/>
        </w:rPr>
        <w:t xml:space="preserve"> (2020)</w:t>
      </w:r>
      <w:r w:rsidRPr="00E3350C">
        <w:rPr>
          <w:rFonts w:ascii="Calibri" w:hAnsi="Calibri" w:cs="Calibri"/>
          <w:noProof/>
          <w:sz w:val="24"/>
          <w:szCs w:val="24"/>
        </w:rPr>
        <w:t xml:space="preserve"> Total Pelvic Exenteration, Cytoreductive Surgery, and Hyperthermic Intraperitoneal Chemotherapy for Rectal Cancer with Associate Peritoneal Metastases: Surgical Strategies to Optimize Safety. Cancers (Basel)</w:t>
      </w:r>
      <w:r w:rsidR="00A07021" w:rsidRPr="00E3350C">
        <w:rPr>
          <w:rFonts w:ascii="Calibri" w:hAnsi="Calibri" w:cs="Calibri"/>
          <w:noProof/>
          <w:sz w:val="24"/>
          <w:szCs w:val="24"/>
        </w:rPr>
        <w:t xml:space="preserve"> </w:t>
      </w:r>
      <w:r w:rsidRPr="00E3350C">
        <w:rPr>
          <w:rFonts w:ascii="Calibri" w:hAnsi="Calibri" w:cs="Calibri"/>
          <w:noProof/>
          <w:sz w:val="24"/>
          <w:szCs w:val="24"/>
        </w:rPr>
        <w:t>12(11)</w:t>
      </w:r>
      <w:r w:rsidR="00A07021" w:rsidRPr="00E3350C">
        <w:rPr>
          <w:rFonts w:ascii="Calibri" w:hAnsi="Calibri" w:cs="Calibri"/>
          <w:noProof/>
          <w:sz w:val="24"/>
          <w:szCs w:val="24"/>
        </w:rPr>
        <w:t xml:space="preserve">:3478. </w:t>
      </w:r>
      <w:hyperlink r:id="rId24"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10.3390/cancers12113478</w:t>
        </w:r>
      </w:hyperlink>
      <w:r w:rsidR="00A07021" w:rsidRPr="00E3350C">
        <w:rPr>
          <w:rFonts w:ascii="Calibri" w:eastAsia="Times New Roman" w:hAnsi="Calibri" w:cs="Calibri"/>
          <w:color w:val="5B616B"/>
          <w:sz w:val="24"/>
          <w:szCs w:val="24"/>
          <w:shd w:val="clear" w:color="auto" w:fill="FFFFFF"/>
          <w:lang w:eastAsia="en-GB"/>
        </w:rPr>
        <w:t xml:space="preserve"> </w:t>
      </w:r>
    </w:p>
    <w:p w14:paraId="288FFBF5" w14:textId="67543FB7" w:rsidR="0095582B" w:rsidRPr="00E3350C" w:rsidRDefault="0095582B" w:rsidP="003C7D3F">
      <w:pPr>
        <w:rPr>
          <w:rFonts w:ascii="Calibri" w:hAnsi="Calibri" w:cs="Calibri"/>
          <w:sz w:val="24"/>
          <w:szCs w:val="24"/>
        </w:rPr>
      </w:pPr>
    </w:p>
    <w:p w14:paraId="223093F9" w14:textId="31C93870"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5.</w:t>
      </w:r>
      <w:r w:rsidRPr="00E3350C">
        <w:rPr>
          <w:rFonts w:ascii="Calibri" w:hAnsi="Calibri" w:cs="Calibri"/>
          <w:noProof/>
          <w:sz w:val="24"/>
          <w:szCs w:val="24"/>
        </w:rPr>
        <w:t xml:space="preserve"> Carboni F, Federici O, Giofre M, </w:t>
      </w:r>
      <w:r w:rsidR="00A07021" w:rsidRPr="00E3350C">
        <w:rPr>
          <w:rFonts w:ascii="Calibri" w:hAnsi="Calibri" w:cs="Calibri"/>
          <w:noProof/>
          <w:sz w:val="24"/>
          <w:szCs w:val="24"/>
        </w:rPr>
        <w:t>et al (2019)</w:t>
      </w:r>
      <w:r w:rsidRPr="00E3350C">
        <w:rPr>
          <w:rFonts w:ascii="Calibri" w:hAnsi="Calibri" w:cs="Calibri"/>
          <w:noProof/>
          <w:sz w:val="24"/>
          <w:szCs w:val="24"/>
        </w:rPr>
        <w:t xml:space="preserve"> Empty pelvis syndrome: the use of breast prosthesis in the prevention of complications. Colorectal Dis</w:t>
      </w:r>
      <w:r w:rsidR="00A07021" w:rsidRPr="00E3350C">
        <w:rPr>
          <w:rFonts w:ascii="Calibri" w:hAnsi="Calibri" w:cs="Calibri"/>
          <w:noProof/>
          <w:sz w:val="24"/>
          <w:szCs w:val="24"/>
        </w:rPr>
        <w:t xml:space="preserve"> </w:t>
      </w:r>
      <w:r w:rsidRPr="00E3350C">
        <w:rPr>
          <w:rFonts w:ascii="Calibri" w:hAnsi="Calibri" w:cs="Calibri"/>
          <w:noProof/>
          <w:sz w:val="24"/>
          <w:szCs w:val="24"/>
        </w:rPr>
        <w:t>21(11):1321-5</w:t>
      </w:r>
      <w:r w:rsidR="00A07021" w:rsidRPr="00E3350C">
        <w:rPr>
          <w:rFonts w:ascii="Calibri" w:hAnsi="Calibri" w:cs="Calibri"/>
          <w:noProof/>
          <w:sz w:val="24"/>
          <w:szCs w:val="24"/>
        </w:rPr>
        <w:t xml:space="preserve">. </w:t>
      </w:r>
      <w:hyperlink r:id="rId25"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10.1111/codi.14737</w:t>
        </w:r>
      </w:hyperlink>
      <w:r w:rsidR="00A07021" w:rsidRPr="00E3350C">
        <w:rPr>
          <w:rFonts w:ascii="Calibri" w:eastAsia="Times New Roman" w:hAnsi="Calibri" w:cs="Calibri"/>
          <w:color w:val="5B616B"/>
          <w:sz w:val="24"/>
          <w:szCs w:val="24"/>
          <w:shd w:val="clear" w:color="auto" w:fill="FFFFFF"/>
          <w:lang w:eastAsia="en-GB"/>
        </w:rPr>
        <w:t xml:space="preserve"> </w:t>
      </w:r>
    </w:p>
    <w:p w14:paraId="49D7887F" w14:textId="3CA96E88" w:rsidR="0095582B" w:rsidRPr="00E3350C" w:rsidRDefault="0095582B" w:rsidP="003C7D3F">
      <w:pPr>
        <w:rPr>
          <w:rFonts w:ascii="Calibri" w:hAnsi="Calibri" w:cs="Calibri"/>
          <w:sz w:val="24"/>
          <w:szCs w:val="24"/>
        </w:rPr>
      </w:pPr>
    </w:p>
    <w:p w14:paraId="5BEA60B7" w14:textId="10E30A82"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 xml:space="preserve">6. </w:t>
      </w:r>
      <w:r w:rsidRPr="00E3350C">
        <w:rPr>
          <w:rFonts w:ascii="Calibri" w:hAnsi="Calibri" w:cs="Calibri"/>
          <w:noProof/>
          <w:sz w:val="24"/>
          <w:szCs w:val="24"/>
        </w:rPr>
        <w:t xml:space="preserve">Sutton PA, Brown KGM, Ebrahimi N, </w:t>
      </w:r>
      <w:r w:rsidR="00A07021" w:rsidRPr="00E3350C">
        <w:rPr>
          <w:rFonts w:ascii="Calibri" w:hAnsi="Calibri" w:cs="Calibri"/>
          <w:noProof/>
          <w:sz w:val="24"/>
          <w:szCs w:val="24"/>
        </w:rPr>
        <w:t>et al (2022)</w:t>
      </w:r>
      <w:r w:rsidRPr="00E3350C">
        <w:rPr>
          <w:rFonts w:ascii="Calibri" w:hAnsi="Calibri" w:cs="Calibri"/>
          <w:noProof/>
          <w:sz w:val="24"/>
          <w:szCs w:val="24"/>
        </w:rPr>
        <w:t xml:space="preserve"> Long term surgical complications following pelvic exenteration - operative management of the empty pelvis syndrome. Colorectal Dis</w:t>
      </w:r>
      <w:r w:rsidR="00A07021" w:rsidRPr="00E3350C">
        <w:rPr>
          <w:rFonts w:ascii="Calibri" w:hAnsi="Calibri" w:cs="Calibri"/>
          <w:noProof/>
          <w:sz w:val="24"/>
          <w:szCs w:val="24"/>
        </w:rPr>
        <w:t xml:space="preserve"> 24(12):1491-7. </w:t>
      </w:r>
      <w:hyperlink r:id="rId26"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10.1111/codi.16238</w:t>
        </w:r>
      </w:hyperlink>
      <w:r w:rsidR="00A07021" w:rsidRPr="00E3350C">
        <w:rPr>
          <w:rFonts w:ascii="Calibri" w:eastAsia="Times New Roman" w:hAnsi="Calibri" w:cs="Calibri"/>
          <w:color w:val="5B616B"/>
          <w:sz w:val="24"/>
          <w:szCs w:val="24"/>
          <w:shd w:val="clear" w:color="auto" w:fill="FFFFFF"/>
          <w:lang w:eastAsia="en-GB"/>
        </w:rPr>
        <w:t xml:space="preserve"> </w:t>
      </w:r>
    </w:p>
    <w:p w14:paraId="3AB3A08C" w14:textId="77777777" w:rsidR="00A07021" w:rsidRPr="00E3350C" w:rsidRDefault="00A07021" w:rsidP="003C7D3F">
      <w:pPr>
        <w:rPr>
          <w:rFonts w:ascii="Calibri" w:hAnsi="Calibri" w:cs="Calibri"/>
          <w:sz w:val="24"/>
          <w:szCs w:val="24"/>
        </w:rPr>
      </w:pPr>
    </w:p>
    <w:p w14:paraId="5B869EC2" w14:textId="31D0EC40" w:rsidR="0095582B" w:rsidRPr="00E3350C" w:rsidRDefault="0095582B" w:rsidP="00A07021">
      <w:pPr>
        <w:autoSpaceDE w:val="0"/>
        <w:autoSpaceDN w:val="0"/>
        <w:adjustRightInd w:val="0"/>
        <w:spacing w:after="0" w:line="240" w:lineRule="auto"/>
        <w:rPr>
          <w:rFonts w:ascii="Calibri" w:hAnsi="Calibri" w:cs="Calibri"/>
          <w:color w:val="000000"/>
          <w:sz w:val="24"/>
          <w:szCs w:val="24"/>
        </w:rPr>
      </w:pPr>
      <w:r w:rsidRPr="00E3350C">
        <w:rPr>
          <w:rFonts w:ascii="Calibri" w:hAnsi="Calibri" w:cs="Calibri"/>
          <w:sz w:val="24"/>
          <w:szCs w:val="24"/>
        </w:rPr>
        <w:t xml:space="preserve">7. </w:t>
      </w:r>
      <w:r w:rsidR="00E3350C" w:rsidRPr="00E3350C">
        <w:rPr>
          <w:rFonts w:ascii="Calibri" w:hAnsi="Calibri" w:cs="Calibri"/>
          <w:color w:val="000000"/>
          <w:sz w:val="24"/>
          <w:szCs w:val="24"/>
        </w:rPr>
        <w:t>Soames RW</w:t>
      </w:r>
      <w:r w:rsidR="00A07021" w:rsidRPr="00E3350C">
        <w:rPr>
          <w:rFonts w:ascii="Calibri" w:hAnsi="Calibri" w:cs="Calibri"/>
          <w:color w:val="000000"/>
          <w:sz w:val="24"/>
          <w:szCs w:val="24"/>
        </w:rPr>
        <w:t xml:space="preserve"> (</w:t>
      </w:r>
      <w:r w:rsidR="00E3350C" w:rsidRPr="00E3350C">
        <w:rPr>
          <w:rFonts w:ascii="Calibri" w:hAnsi="Calibri" w:cs="Calibri"/>
          <w:color w:val="000000"/>
          <w:sz w:val="24"/>
          <w:szCs w:val="24"/>
        </w:rPr>
        <w:t>1995</w:t>
      </w:r>
      <w:r w:rsidR="00A07021" w:rsidRPr="00E3350C">
        <w:rPr>
          <w:rFonts w:ascii="Calibri" w:hAnsi="Calibri" w:cs="Calibri"/>
          <w:color w:val="000000"/>
          <w:sz w:val="24"/>
          <w:szCs w:val="24"/>
        </w:rPr>
        <w:t xml:space="preserve">) </w:t>
      </w:r>
      <w:r w:rsidR="00E3350C" w:rsidRPr="00E3350C">
        <w:rPr>
          <w:rFonts w:ascii="Calibri" w:hAnsi="Calibri" w:cs="Calibri"/>
          <w:color w:val="000000"/>
          <w:sz w:val="24"/>
          <w:szCs w:val="24"/>
        </w:rPr>
        <w:t>Skeletal System</w:t>
      </w:r>
      <w:r w:rsidR="00A07021" w:rsidRPr="00E3350C">
        <w:rPr>
          <w:rFonts w:ascii="Calibri" w:hAnsi="Calibri" w:cs="Calibri"/>
          <w:color w:val="000000"/>
          <w:sz w:val="24"/>
          <w:szCs w:val="24"/>
        </w:rPr>
        <w:t xml:space="preserve">. In: </w:t>
      </w:r>
      <w:r w:rsidR="00E3350C" w:rsidRPr="00E3350C">
        <w:rPr>
          <w:rFonts w:ascii="Calibri" w:hAnsi="Calibri" w:cs="Calibri"/>
          <w:color w:val="000000"/>
          <w:sz w:val="24"/>
          <w:szCs w:val="24"/>
        </w:rPr>
        <w:t>Williams P</w:t>
      </w:r>
      <w:r w:rsidR="00A07021" w:rsidRPr="00E3350C">
        <w:rPr>
          <w:rFonts w:ascii="Calibri" w:hAnsi="Calibri" w:cs="Calibri"/>
          <w:color w:val="000000"/>
          <w:sz w:val="24"/>
          <w:szCs w:val="24"/>
        </w:rPr>
        <w:t xml:space="preserve"> (ed) </w:t>
      </w:r>
      <w:r w:rsidR="00E3350C" w:rsidRPr="00E3350C">
        <w:rPr>
          <w:rFonts w:ascii="Calibri" w:hAnsi="Calibri" w:cs="Calibri"/>
          <w:color w:val="000000"/>
          <w:sz w:val="24"/>
          <w:szCs w:val="24"/>
        </w:rPr>
        <w:t>Gray’s Anatomy: The Anatomical Basis of Medicine and Surgery</w:t>
      </w:r>
      <w:r w:rsidR="00A07021" w:rsidRPr="00E3350C">
        <w:rPr>
          <w:rFonts w:ascii="Calibri" w:hAnsi="Calibri" w:cs="Calibri"/>
          <w:color w:val="000000"/>
          <w:sz w:val="24"/>
          <w:szCs w:val="24"/>
        </w:rPr>
        <w:t>, 3</w:t>
      </w:r>
      <w:r w:rsidR="00E3350C" w:rsidRPr="00E3350C">
        <w:rPr>
          <w:rFonts w:ascii="Calibri" w:hAnsi="Calibri" w:cs="Calibri"/>
          <w:color w:val="000000"/>
          <w:sz w:val="24"/>
          <w:szCs w:val="24"/>
        </w:rPr>
        <w:t>8th</w:t>
      </w:r>
      <w:r w:rsidR="00A07021" w:rsidRPr="00E3350C">
        <w:rPr>
          <w:rFonts w:ascii="Calibri" w:hAnsi="Calibri" w:cs="Calibri"/>
          <w:color w:val="000000"/>
          <w:sz w:val="24"/>
          <w:szCs w:val="24"/>
        </w:rPr>
        <w:t xml:space="preserve"> </w:t>
      </w:r>
      <w:proofErr w:type="spellStart"/>
      <w:r w:rsidR="00A07021" w:rsidRPr="00E3350C">
        <w:rPr>
          <w:rFonts w:ascii="Calibri" w:hAnsi="Calibri" w:cs="Calibri"/>
          <w:color w:val="000000"/>
          <w:sz w:val="24"/>
          <w:szCs w:val="24"/>
        </w:rPr>
        <w:t>edn</w:t>
      </w:r>
      <w:proofErr w:type="spellEnd"/>
      <w:r w:rsidR="00A07021" w:rsidRPr="00E3350C">
        <w:rPr>
          <w:rFonts w:ascii="Calibri" w:hAnsi="Calibri" w:cs="Calibri"/>
          <w:color w:val="000000"/>
          <w:sz w:val="24"/>
          <w:szCs w:val="24"/>
        </w:rPr>
        <w:t xml:space="preserve">. </w:t>
      </w:r>
      <w:r w:rsidR="00E3350C" w:rsidRPr="00E3350C">
        <w:rPr>
          <w:rFonts w:ascii="Calibri" w:hAnsi="Calibri" w:cs="Calibri"/>
          <w:color w:val="000000"/>
          <w:sz w:val="24"/>
          <w:szCs w:val="24"/>
        </w:rPr>
        <w:t>Churchill Livingstone</w:t>
      </w:r>
      <w:r w:rsidR="00A07021" w:rsidRPr="00E3350C">
        <w:rPr>
          <w:rFonts w:ascii="Calibri" w:hAnsi="Calibri" w:cs="Calibri"/>
          <w:color w:val="000000"/>
          <w:sz w:val="24"/>
          <w:szCs w:val="24"/>
        </w:rPr>
        <w:t xml:space="preserve">, New York, pp </w:t>
      </w:r>
      <w:r w:rsidR="00E3350C" w:rsidRPr="00E3350C">
        <w:rPr>
          <w:rFonts w:ascii="Calibri" w:hAnsi="Calibri" w:cs="Calibri"/>
          <w:color w:val="000000"/>
          <w:sz w:val="24"/>
          <w:szCs w:val="24"/>
        </w:rPr>
        <w:t>669</w:t>
      </w:r>
      <w:r w:rsidR="00A07021" w:rsidRPr="00E3350C">
        <w:rPr>
          <w:rFonts w:ascii="Calibri" w:hAnsi="Calibri" w:cs="Calibri"/>
          <w:color w:val="000000"/>
          <w:sz w:val="24"/>
          <w:szCs w:val="24"/>
        </w:rPr>
        <w:t>-</w:t>
      </w:r>
      <w:r w:rsidR="00E3350C" w:rsidRPr="00E3350C">
        <w:rPr>
          <w:rFonts w:ascii="Calibri" w:hAnsi="Calibri" w:cs="Calibri"/>
          <w:color w:val="000000"/>
          <w:sz w:val="24"/>
          <w:szCs w:val="24"/>
        </w:rPr>
        <w:t>671.</w:t>
      </w:r>
      <w:r w:rsidR="00A07021" w:rsidRPr="00E3350C">
        <w:rPr>
          <w:rFonts w:ascii="Calibri" w:hAnsi="Calibri" w:cs="Calibri"/>
          <w:color w:val="000000"/>
          <w:sz w:val="24"/>
          <w:szCs w:val="24"/>
        </w:rPr>
        <w:t xml:space="preserve"> </w:t>
      </w:r>
    </w:p>
    <w:p w14:paraId="325AC45A" w14:textId="77777777" w:rsidR="00A07021" w:rsidRPr="00E3350C" w:rsidRDefault="00A07021" w:rsidP="00A07021">
      <w:pPr>
        <w:autoSpaceDE w:val="0"/>
        <w:autoSpaceDN w:val="0"/>
        <w:adjustRightInd w:val="0"/>
        <w:spacing w:after="0" w:line="240" w:lineRule="auto"/>
        <w:rPr>
          <w:rFonts w:ascii="Calibri" w:hAnsi="Calibri" w:cs="Calibri"/>
          <w:color w:val="000000"/>
          <w:sz w:val="24"/>
          <w:szCs w:val="24"/>
        </w:rPr>
      </w:pPr>
    </w:p>
    <w:p w14:paraId="58CC9118" w14:textId="565F12E3"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 xml:space="preserve">8. </w:t>
      </w:r>
      <w:r w:rsidRPr="00E3350C">
        <w:rPr>
          <w:rFonts w:ascii="Calibri" w:hAnsi="Calibri" w:cs="Calibri"/>
          <w:noProof/>
          <w:sz w:val="24"/>
          <w:szCs w:val="24"/>
        </w:rPr>
        <w:t>Burns EM, Quyn A</w:t>
      </w:r>
      <w:r w:rsidR="00A07021" w:rsidRPr="00E3350C">
        <w:rPr>
          <w:rFonts w:ascii="Calibri" w:hAnsi="Calibri" w:cs="Calibri"/>
          <w:noProof/>
          <w:sz w:val="24"/>
          <w:szCs w:val="24"/>
        </w:rPr>
        <w:t xml:space="preserve"> (2023) </w:t>
      </w:r>
      <w:r w:rsidRPr="00E3350C">
        <w:rPr>
          <w:rFonts w:ascii="Calibri" w:hAnsi="Calibri" w:cs="Calibri"/>
          <w:noProof/>
          <w:sz w:val="24"/>
          <w:szCs w:val="24"/>
        </w:rPr>
        <w:t>The 'Pelvic exenteration lexicon': Creating a common language for complex pelvic cancer surgery. Colorectal Dis</w:t>
      </w:r>
      <w:r w:rsidR="00A07021" w:rsidRPr="00E3350C">
        <w:rPr>
          <w:rFonts w:ascii="Calibri" w:hAnsi="Calibri" w:cs="Calibri"/>
          <w:noProof/>
          <w:sz w:val="24"/>
          <w:szCs w:val="24"/>
        </w:rPr>
        <w:t xml:space="preserve"> 25(5):888-96</w:t>
      </w:r>
      <w:r w:rsidRPr="00E3350C">
        <w:rPr>
          <w:rFonts w:ascii="Calibri" w:hAnsi="Calibri" w:cs="Calibri"/>
          <w:noProof/>
          <w:sz w:val="24"/>
          <w:szCs w:val="24"/>
        </w:rPr>
        <w:t xml:space="preserve">. </w:t>
      </w:r>
      <w:hyperlink r:id="rId27"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10.1111/codi.16476</w:t>
        </w:r>
      </w:hyperlink>
      <w:r w:rsidR="00A07021" w:rsidRPr="00E3350C">
        <w:rPr>
          <w:rFonts w:ascii="Calibri" w:eastAsia="Times New Roman" w:hAnsi="Calibri" w:cs="Calibri"/>
          <w:color w:val="5B616B"/>
          <w:sz w:val="24"/>
          <w:szCs w:val="24"/>
          <w:shd w:val="clear" w:color="auto" w:fill="FFFFFF"/>
          <w:lang w:eastAsia="en-GB"/>
        </w:rPr>
        <w:t xml:space="preserve"> </w:t>
      </w:r>
    </w:p>
    <w:p w14:paraId="1ACA4F50" w14:textId="3AE71F8F" w:rsidR="0095582B" w:rsidRPr="00E3350C" w:rsidRDefault="0095582B" w:rsidP="003C7D3F">
      <w:pPr>
        <w:rPr>
          <w:rFonts w:ascii="Calibri" w:hAnsi="Calibri" w:cs="Calibri"/>
          <w:sz w:val="24"/>
          <w:szCs w:val="24"/>
        </w:rPr>
      </w:pPr>
    </w:p>
    <w:p w14:paraId="0BAE826F" w14:textId="58F59B18"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 xml:space="preserve">9. </w:t>
      </w:r>
      <w:r w:rsidRPr="00E3350C">
        <w:rPr>
          <w:rFonts w:ascii="Calibri" w:hAnsi="Calibri" w:cs="Calibri"/>
          <w:noProof/>
          <w:sz w:val="24"/>
          <w:szCs w:val="24"/>
        </w:rPr>
        <w:t>West CT, Slim N, Steele D</w:t>
      </w:r>
      <w:r w:rsidR="00A07021" w:rsidRPr="00E3350C">
        <w:rPr>
          <w:rFonts w:ascii="Calibri" w:hAnsi="Calibri" w:cs="Calibri"/>
          <w:noProof/>
          <w:sz w:val="24"/>
          <w:szCs w:val="24"/>
        </w:rPr>
        <w:t>, et al (2021)</w:t>
      </w:r>
      <w:r w:rsidRPr="00E3350C">
        <w:rPr>
          <w:rFonts w:ascii="Calibri" w:hAnsi="Calibri" w:cs="Calibri"/>
          <w:noProof/>
          <w:sz w:val="24"/>
          <w:szCs w:val="24"/>
        </w:rPr>
        <w:t xml:space="preserve"> Are textbook lungs really normal? A cadaveric study on the anatomical and clinical importance of variations in the major lung fissures, and the incomplete right horizontal fissure. Clin Anat</w:t>
      </w:r>
      <w:r w:rsidR="00A07021" w:rsidRPr="00E3350C">
        <w:rPr>
          <w:rFonts w:ascii="Calibri" w:hAnsi="Calibri" w:cs="Calibri"/>
          <w:noProof/>
          <w:sz w:val="24"/>
          <w:szCs w:val="24"/>
        </w:rPr>
        <w:t xml:space="preserve"> </w:t>
      </w:r>
      <w:r w:rsidRPr="00E3350C">
        <w:rPr>
          <w:rFonts w:ascii="Calibri" w:hAnsi="Calibri" w:cs="Calibri"/>
          <w:noProof/>
          <w:sz w:val="24"/>
          <w:szCs w:val="24"/>
        </w:rPr>
        <w:t>34(3):387-96</w:t>
      </w:r>
      <w:r w:rsidR="00A07021" w:rsidRPr="00E3350C">
        <w:rPr>
          <w:rFonts w:ascii="Calibri" w:hAnsi="Calibri" w:cs="Calibri"/>
          <w:noProof/>
          <w:sz w:val="24"/>
          <w:szCs w:val="24"/>
        </w:rPr>
        <w:t xml:space="preserve">. </w:t>
      </w:r>
      <w:hyperlink r:id="rId28"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10.1002/ca.23661</w:t>
        </w:r>
      </w:hyperlink>
      <w:r w:rsidR="00A07021" w:rsidRPr="00E3350C">
        <w:rPr>
          <w:rFonts w:ascii="Calibri" w:eastAsia="Times New Roman" w:hAnsi="Calibri" w:cs="Calibri"/>
          <w:color w:val="5B616B"/>
          <w:sz w:val="24"/>
          <w:szCs w:val="24"/>
          <w:shd w:val="clear" w:color="auto" w:fill="FFFFFF"/>
          <w:lang w:eastAsia="en-GB"/>
        </w:rPr>
        <w:t xml:space="preserve"> </w:t>
      </w:r>
    </w:p>
    <w:p w14:paraId="21331A92" w14:textId="40CEA0F5" w:rsidR="0095582B" w:rsidRPr="00E3350C" w:rsidRDefault="0095582B" w:rsidP="003C7D3F">
      <w:pPr>
        <w:rPr>
          <w:rFonts w:ascii="Calibri" w:hAnsi="Calibri" w:cs="Calibri"/>
          <w:sz w:val="24"/>
          <w:szCs w:val="24"/>
        </w:rPr>
      </w:pPr>
    </w:p>
    <w:p w14:paraId="6886A365" w14:textId="45ED09E1" w:rsidR="00A07021" w:rsidRPr="00E3350C" w:rsidRDefault="0095582B" w:rsidP="00A07021">
      <w:pPr>
        <w:spacing w:after="0" w:line="240" w:lineRule="auto"/>
        <w:rPr>
          <w:rFonts w:ascii="Calibri" w:eastAsia="Times New Roman" w:hAnsi="Calibri" w:cs="Calibri"/>
          <w:sz w:val="24"/>
          <w:szCs w:val="24"/>
          <w:lang w:eastAsia="en-GB"/>
        </w:rPr>
      </w:pPr>
      <w:r w:rsidRPr="00E3350C">
        <w:rPr>
          <w:rFonts w:ascii="Calibri" w:hAnsi="Calibri" w:cs="Calibri"/>
          <w:sz w:val="24"/>
          <w:szCs w:val="24"/>
        </w:rPr>
        <w:t xml:space="preserve">10. </w:t>
      </w:r>
      <w:r w:rsidRPr="00E3350C">
        <w:rPr>
          <w:rFonts w:ascii="Calibri" w:hAnsi="Calibri" w:cs="Calibri"/>
          <w:noProof/>
          <w:sz w:val="24"/>
          <w:szCs w:val="24"/>
        </w:rPr>
        <w:t>Parker SG, Halligan S, Liang MK, et al</w:t>
      </w:r>
      <w:r w:rsidR="00A07021" w:rsidRPr="00E3350C">
        <w:rPr>
          <w:rFonts w:ascii="Calibri" w:hAnsi="Calibri" w:cs="Calibri"/>
          <w:noProof/>
          <w:sz w:val="24"/>
          <w:szCs w:val="24"/>
        </w:rPr>
        <w:t xml:space="preserve"> (2020) </w:t>
      </w:r>
      <w:r w:rsidRPr="00E3350C">
        <w:rPr>
          <w:rFonts w:ascii="Calibri" w:hAnsi="Calibri" w:cs="Calibri"/>
          <w:noProof/>
          <w:sz w:val="24"/>
          <w:szCs w:val="24"/>
        </w:rPr>
        <w:t>Definitions for Loss of Domain: An International Delphi Consensus of Expert Surgeons. World J Surg.</w:t>
      </w:r>
      <w:r w:rsidR="00A07021" w:rsidRPr="00E3350C">
        <w:rPr>
          <w:rFonts w:ascii="Calibri" w:hAnsi="Calibri" w:cs="Calibri"/>
          <w:noProof/>
          <w:sz w:val="24"/>
          <w:szCs w:val="24"/>
        </w:rPr>
        <w:t xml:space="preserve"> </w:t>
      </w:r>
      <w:r w:rsidRPr="00E3350C">
        <w:rPr>
          <w:rFonts w:ascii="Calibri" w:hAnsi="Calibri" w:cs="Calibri"/>
          <w:noProof/>
          <w:sz w:val="24"/>
          <w:szCs w:val="24"/>
        </w:rPr>
        <w:t>44(4):1070-8.</w:t>
      </w:r>
      <w:r w:rsidR="00A07021" w:rsidRPr="00E3350C">
        <w:rPr>
          <w:rFonts w:ascii="Calibri" w:hAnsi="Calibri" w:cs="Calibri"/>
          <w:noProof/>
          <w:sz w:val="24"/>
          <w:szCs w:val="24"/>
        </w:rPr>
        <w:t xml:space="preserve"> </w:t>
      </w:r>
      <w:hyperlink r:id="rId29" w:history="1">
        <w:r w:rsidR="00A07021" w:rsidRPr="00E3350C">
          <w:rPr>
            <w:rStyle w:val="Hyperlink"/>
            <w:rFonts w:ascii="Calibri" w:hAnsi="Calibri" w:cs="Calibri"/>
            <w:noProof/>
            <w:sz w:val="24"/>
            <w:szCs w:val="24"/>
          </w:rPr>
          <w:t>https://doi.org/</w:t>
        </w:r>
        <w:r w:rsidR="00A07021" w:rsidRPr="00E3350C">
          <w:rPr>
            <w:rStyle w:val="Hyperlink"/>
            <w:rFonts w:ascii="Calibri" w:eastAsia="Times New Roman" w:hAnsi="Calibri" w:cs="Calibri"/>
            <w:sz w:val="24"/>
            <w:szCs w:val="24"/>
            <w:shd w:val="clear" w:color="auto" w:fill="FFFFFF"/>
            <w:lang w:eastAsia="en-GB"/>
          </w:rPr>
          <w:t>10.1007/s00268-019-05317-z</w:t>
        </w:r>
      </w:hyperlink>
      <w:r w:rsidR="00A07021" w:rsidRPr="00E3350C">
        <w:rPr>
          <w:rFonts w:ascii="Calibri" w:eastAsia="Times New Roman" w:hAnsi="Calibri" w:cs="Calibri"/>
          <w:color w:val="5B616B"/>
          <w:sz w:val="24"/>
          <w:szCs w:val="24"/>
          <w:shd w:val="clear" w:color="auto" w:fill="FFFFFF"/>
          <w:lang w:eastAsia="en-GB"/>
        </w:rPr>
        <w:t xml:space="preserve"> </w:t>
      </w:r>
    </w:p>
    <w:p w14:paraId="56135A39" w14:textId="10375B2C" w:rsidR="0095582B" w:rsidRPr="00E3350C" w:rsidRDefault="0095582B" w:rsidP="003C7D3F">
      <w:pPr>
        <w:rPr>
          <w:rFonts w:ascii="Calibri" w:hAnsi="Calibri" w:cs="Calibri"/>
          <w:sz w:val="24"/>
          <w:szCs w:val="24"/>
        </w:rPr>
      </w:pPr>
    </w:p>
    <w:p w14:paraId="5557007C" w14:textId="345D9D61" w:rsidR="00735A70" w:rsidRPr="00E3350C" w:rsidRDefault="00735A70" w:rsidP="00A07021">
      <w:pPr>
        <w:spacing w:after="0" w:line="240" w:lineRule="auto"/>
        <w:rPr>
          <w:rFonts w:ascii="Calibri" w:eastAsia="Times New Roman" w:hAnsi="Calibri" w:cs="Calibri"/>
          <w:sz w:val="24"/>
          <w:szCs w:val="24"/>
          <w:lang w:eastAsia="en-GB"/>
        </w:rPr>
      </w:pPr>
      <w:r w:rsidRPr="00D17A2A">
        <w:rPr>
          <w:rFonts w:ascii="Calibri" w:eastAsia="Calibri" w:hAnsi="Calibri" w:cs="Calibri"/>
          <w:sz w:val="24"/>
          <w:szCs w:val="24"/>
          <w:highlight w:val="yellow"/>
        </w:rPr>
        <w:t xml:space="preserve">11. Drami I, Mai D, Gould L, et al (2023) A feasibility study of preoperative 3D volumetric pelvic measurement using automated DEEP-learning CT segmentation to better define the empty pelvic after pelvic exenteration surgery. Colorectal Dis 25(Suppl. 2):34-35. </w:t>
      </w:r>
      <w:hyperlink r:id="rId30" w:history="1">
        <w:r w:rsidRPr="00D17A2A">
          <w:rPr>
            <w:rStyle w:val="Hyperlink"/>
            <w:rFonts w:ascii="Calibri" w:eastAsia="Calibri" w:hAnsi="Calibri" w:cs="Calibri"/>
            <w:sz w:val="24"/>
            <w:szCs w:val="24"/>
            <w:highlight w:val="yellow"/>
          </w:rPr>
          <w:t>https://doi.org/10.1111/codi.16719</w:t>
        </w:r>
      </w:hyperlink>
      <w:r>
        <w:rPr>
          <w:rFonts w:ascii="Calibri" w:eastAsia="Calibri" w:hAnsi="Calibri" w:cs="Calibri"/>
          <w:sz w:val="24"/>
          <w:szCs w:val="24"/>
        </w:rPr>
        <w:t xml:space="preserve"> </w:t>
      </w:r>
    </w:p>
    <w:p w14:paraId="190D5A66" w14:textId="77777777" w:rsidR="006C4EC8" w:rsidRDefault="006C4EC8" w:rsidP="00157E44">
      <w:pPr>
        <w:spacing w:after="0" w:line="240" w:lineRule="auto"/>
        <w:rPr>
          <w:rFonts w:ascii="Calibri" w:eastAsia="Times New Roman" w:hAnsi="Calibri" w:cs="Calibri"/>
          <w:color w:val="5B616B"/>
          <w:sz w:val="24"/>
          <w:szCs w:val="24"/>
          <w:shd w:val="clear" w:color="auto" w:fill="FFFFFF"/>
          <w:lang w:eastAsia="en-GB"/>
        </w:rPr>
      </w:pPr>
    </w:p>
    <w:p w14:paraId="383C63DA" w14:textId="5B278CCE" w:rsidR="005A1EB0" w:rsidRDefault="005A1EB0" w:rsidP="00157E44">
      <w:pPr>
        <w:spacing w:after="0" w:line="240" w:lineRule="auto"/>
        <w:rPr>
          <w:rFonts w:ascii="Calibri" w:eastAsia="Times New Roman" w:hAnsi="Calibri" w:cs="Calibri"/>
          <w:color w:val="5B616B"/>
          <w:sz w:val="24"/>
          <w:szCs w:val="24"/>
          <w:shd w:val="clear" w:color="auto" w:fill="FFFFFF"/>
          <w:lang w:eastAsia="en-GB"/>
        </w:rPr>
      </w:pPr>
    </w:p>
    <w:sectPr w:rsidR="005A1EB0" w:rsidSect="000B644A">
      <w:footerReference w:type="even" r:id="rId31"/>
      <w:footerReference w:type="default" r:id="rId3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46929" w14:textId="77777777" w:rsidR="00AB73FD" w:rsidRDefault="00AB73FD" w:rsidP="00415CB7">
      <w:pPr>
        <w:spacing w:after="0" w:line="240" w:lineRule="auto"/>
      </w:pPr>
      <w:r>
        <w:separator/>
      </w:r>
    </w:p>
  </w:endnote>
  <w:endnote w:type="continuationSeparator" w:id="0">
    <w:p w14:paraId="21CDDD52" w14:textId="77777777" w:rsidR="00AB73FD" w:rsidRDefault="00AB73FD" w:rsidP="0041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1386495"/>
      <w:docPartObj>
        <w:docPartGallery w:val="Page Numbers (Bottom of Page)"/>
        <w:docPartUnique/>
      </w:docPartObj>
    </w:sdtPr>
    <w:sdtEndPr>
      <w:rPr>
        <w:rStyle w:val="PageNumber"/>
      </w:rPr>
    </w:sdtEndPr>
    <w:sdtContent>
      <w:p w14:paraId="6C4092CB" w14:textId="02BAAF72" w:rsidR="006C4EC8" w:rsidRDefault="006C4EC8" w:rsidP="006C34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5C88D" w14:textId="77777777" w:rsidR="006C4EC8" w:rsidRDefault="006C4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1042838"/>
      <w:docPartObj>
        <w:docPartGallery w:val="Page Numbers (Bottom of Page)"/>
        <w:docPartUnique/>
      </w:docPartObj>
    </w:sdtPr>
    <w:sdtEndPr>
      <w:rPr>
        <w:rStyle w:val="PageNumber"/>
      </w:rPr>
    </w:sdtEndPr>
    <w:sdtContent>
      <w:p w14:paraId="465FC001" w14:textId="75F6E353" w:rsidR="006C4EC8" w:rsidRDefault="006C4EC8" w:rsidP="006C34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D8A992" w14:textId="77777777" w:rsidR="006C4EC8" w:rsidRDefault="006C4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613F3" w14:textId="77777777" w:rsidR="00AB73FD" w:rsidRDefault="00AB73FD" w:rsidP="00415CB7">
      <w:pPr>
        <w:spacing w:after="0" w:line="240" w:lineRule="auto"/>
      </w:pPr>
      <w:r>
        <w:separator/>
      </w:r>
    </w:p>
  </w:footnote>
  <w:footnote w:type="continuationSeparator" w:id="0">
    <w:p w14:paraId="4A9EA8FE" w14:textId="77777777" w:rsidR="00AB73FD" w:rsidRDefault="00AB73FD" w:rsidP="00415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63A773"/>
    <w:multiLevelType w:val="hybridMultilevel"/>
    <w:tmpl w:val="4E2B93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94534"/>
    <w:multiLevelType w:val="hybridMultilevel"/>
    <w:tmpl w:val="451DE1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6811693"/>
    <w:multiLevelType w:val="hybridMultilevel"/>
    <w:tmpl w:val="5B92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24AF9"/>
    <w:multiLevelType w:val="hybridMultilevel"/>
    <w:tmpl w:val="5793E2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3615299"/>
    <w:multiLevelType w:val="hybridMultilevel"/>
    <w:tmpl w:val="F86028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 w15:restartNumberingAfterBreak="0">
    <w:nsid w:val="411B63F3"/>
    <w:multiLevelType w:val="hybridMultilevel"/>
    <w:tmpl w:val="6A30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830A35"/>
    <w:multiLevelType w:val="hybridMultilevel"/>
    <w:tmpl w:val="893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C72B2"/>
    <w:multiLevelType w:val="hybridMultilevel"/>
    <w:tmpl w:val="B976551C"/>
    <w:lvl w:ilvl="0" w:tplc="7A74317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B467B8"/>
    <w:multiLevelType w:val="hybridMultilevel"/>
    <w:tmpl w:val="2B3402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277459D"/>
    <w:multiLevelType w:val="hybridMultilevel"/>
    <w:tmpl w:val="CC02D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347C69"/>
    <w:multiLevelType w:val="hybridMultilevel"/>
    <w:tmpl w:val="4F78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10"/>
  </w:num>
  <w:num w:numId="5">
    <w:abstractNumId w:val="4"/>
  </w:num>
  <w:num w:numId="6">
    <w:abstractNumId w:val="7"/>
  </w:num>
  <w:num w:numId="7">
    <w:abstractNumId w:val="1"/>
  </w:num>
  <w:num w:numId="8">
    <w:abstractNumId w:val="3"/>
  </w:num>
  <w:num w:numId="9">
    <w:abstractNumId w:val="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a2s5w5atypst5yera0axpx5ttf0r02tvarfv&quot;&gt;My EndNote Library&lt;record-ids&gt;&lt;item&gt;15310&lt;/item&gt;&lt;/record-ids&gt;&lt;/item&gt;&lt;/Libraries&gt;"/>
  </w:docVars>
  <w:rsids>
    <w:rsidRoot w:val="00DF53A5"/>
    <w:rsid w:val="000018F6"/>
    <w:rsid w:val="00003989"/>
    <w:rsid w:val="00013674"/>
    <w:rsid w:val="00013EF4"/>
    <w:rsid w:val="00013FA7"/>
    <w:rsid w:val="00017E85"/>
    <w:rsid w:val="000238DB"/>
    <w:rsid w:val="000350F2"/>
    <w:rsid w:val="00035D0E"/>
    <w:rsid w:val="00037D35"/>
    <w:rsid w:val="0004128A"/>
    <w:rsid w:val="00047A38"/>
    <w:rsid w:val="00055C0A"/>
    <w:rsid w:val="000706F7"/>
    <w:rsid w:val="00071059"/>
    <w:rsid w:val="00074694"/>
    <w:rsid w:val="00075FF3"/>
    <w:rsid w:val="0007612D"/>
    <w:rsid w:val="000762EE"/>
    <w:rsid w:val="000778B0"/>
    <w:rsid w:val="00081570"/>
    <w:rsid w:val="000945E9"/>
    <w:rsid w:val="000A47D1"/>
    <w:rsid w:val="000A5966"/>
    <w:rsid w:val="000A5BA9"/>
    <w:rsid w:val="000A665B"/>
    <w:rsid w:val="000B0979"/>
    <w:rsid w:val="000B1415"/>
    <w:rsid w:val="000B47C4"/>
    <w:rsid w:val="000B4FF2"/>
    <w:rsid w:val="000B644A"/>
    <w:rsid w:val="000C25CE"/>
    <w:rsid w:val="000C7545"/>
    <w:rsid w:val="000D4743"/>
    <w:rsid w:val="000F0E51"/>
    <w:rsid w:val="000F699E"/>
    <w:rsid w:val="000F723B"/>
    <w:rsid w:val="0011455E"/>
    <w:rsid w:val="0011598A"/>
    <w:rsid w:val="00116900"/>
    <w:rsid w:val="001222BD"/>
    <w:rsid w:val="00126748"/>
    <w:rsid w:val="0013045D"/>
    <w:rsid w:val="001318D7"/>
    <w:rsid w:val="00135EAB"/>
    <w:rsid w:val="001503BF"/>
    <w:rsid w:val="00157E44"/>
    <w:rsid w:val="00160E30"/>
    <w:rsid w:val="00167E8A"/>
    <w:rsid w:val="00176B82"/>
    <w:rsid w:val="00195FED"/>
    <w:rsid w:val="001A3237"/>
    <w:rsid w:val="001B1857"/>
    <w:rsid w:val="001B1C31"/>
    <w:rsid w:val="001B523A"/>
    <w:rsid w:val="001C1AEF"/>
    <w:rsid w:val="001C1FB4"/>
    <w:rsid w:val="001C2C03"/>
    <w:rsid w:val="001D7B24"/>
    <w:rsid w:val="001E2B21"/>
    <w:rsid w:val="001E4446"/>
    <w:rsid w:val="001E77A7"/>
    <w:rsid w:val="001E78E3"/>
    <w:rsid w:val="001F08E8"/>
    <w:rsid w:val="001F0A0E"/>
    <w:rsid w:val="001F39EF"/>
    <w:rsid w:val="001F3A6C"/>
    <w:rsid w:val="001F4861"/>
    <w:rsid w:val="001F685D"/>
    <w:rsid w:val="002044A1"/>
    <w:rsid w:val="00212153"/>
    <w:rsid w:val="00215B38"/>
    <w:rsid w:val="00216685"/>
    <w:rsid w:val="00216695"/>
    <w:rsid w:val="00221708"/>
    <w:rsid w:val="00223DD3"/>
    <w:rsid w:val="00223E97"/>
    <w:rsid w:val="0022480B"/>
    <w:rsid w:val="002354EF"/>
    <w:rsid w:val="002356F8"/>
    <w:rsid w:val="00235932"/>
    <w:rsid w:val="00240201"/>
    <w:rsid w:val="00256B68"/>
    <w:rsid w:val="002571B9"/>
    <w:rsid w:val="00267C9B"/>
    <w:rsid w:val="0027291A"/>
    <w:rsid w:val="002801B5"/>
    <w:rsid w:val="0028225A"/>
    <w:rsid w:val="00282E76"/>
    <w:rsid w:val="0028321B"/>
    <w:rsid w:val="002A40A2"/>
    <w:rsid w:val="002B67E2"/>
    <w:rsid w:val="002C02FB"/>
    <w:rsid w:val="002C4D27"/>
    <w:rsid w:val="002C55BE"/>
    <w:rsid w:val="002D3756"/>
    <w:rsid w:val="002D68FB"/>
    <w:rsid w:val="002E08DF"/>
    <w:rsid w:val="002E31F8"/>
    <w:rsid w:val="002F2BA6"/>
    <w:rsid w:val="002F43AB"/>
    <w:rsid w:val="002F7C7C"/>
    <w:rsid w:val="003009D9"/>
    <w:rsid w:val="003057DB"/>
    <w:rsid w:val="00307F65"/>
    <w:rsid w:val="00313FB3"/>
    <w:rsid w:val="00321760"/>
    <w:rsid w:val="003220B4"/>
    <w:rsid w:val="00322187"/>
    <w:rsid w:val="00330341"/>
    <w:rsid w:val="003326BA"/>
    <w:rsid w:val="00332A14"/>
    <w:rsid w:val="00334DBA"/>
    <w:rsid w:val="00335289"/>
    <w:rsid w:val="00335A75"/>
    <w:rsid w:val="003519CC"/>
    <w:rsid w:val="00360407"/>
    <w:rsid w:val="0036313E"/>
    <w:rsid w:val="003635ED"/>
    <w:rsid w:val="003644FB"/>
    <w:rsid w:val="00364ED0"/>
    <w:rsid w:val="00373C78"/>
    <w:rsid w:val="00377821"/>
    <w:rsid w:val="003828C5"/>
    <w:rsid w:val="00395C24"/>
    <w:rsid w:val="003A1E44"/>
    <w:rsid w:val="003A7E3C"/>
    <w:rsid w:val="003B7C7C"/>
    <w:rsid w:val="003C21BE"/>
    <w:rsid w:val="003C46E5"/>
    <w:rsid w:val="003C6A0E"/>
    <w:rsid w:val="003C7D3F"/>
    <w:rsid w:val="003D11F0"/>
    <w:rsid w:val="003D5823"/>
    <w:rsid w:val="003D61E8"/>
    <w:rsid w:val="003E31A8"/>
    <w:rsid w:val="003E4380"/>
    <w:rsid w:val="003E5ADC"/>
    <w:rsid w:val="003E5DEF"/>
    <w:rsid w:val="003F74A8"/>
    <w:rsid w:val="00404428"/>
    <w:rsid w:val="00405A63"/>
    <w:rsid w:val="00413042"/>
    <w:rsid w:val="00414C3D"/>
    <w:rsid w:val="00415CB7"/>
    <w:rsid w:val="00427356"/>
    <w:rsid w:val="0043038A"/>
    <w:rsid w:val="0043139F"/>
    <w:rsid w:val="004353A5"/>
    <w:rsid w:val="00435E6F"/>
    <w:rsid w:val="00442F18"/>
    <w:rsid w:val="00444FD2"/>
    <w:rsid w:val="004504CF"/>
    <w:rsid w:val="0045632B"/>
    <w:rsid w:val="004578E6"/>
    <w:rsid w:val="00457D5C"/>
    <w:rsid w:val="0046357A"/>
    <w:rsid w:val="004802B2"/>
    <w:rsid w:val="004812EA"/>
    <w:rsid w:val="00483BC0"/>
    <w:rsid w:val="00486DB9"/>
    <w:rsid w:val="00487329"/>
    <w:rsid w:val="00491990"/>
    <w:rsid w:val="004A44E6"/>
    <w:rsid w:val="004A6741"/>
    <w:rsid w:val="004A6CA3"/>
    <w:rsid w:val="004C3096"/>
    <w:rsid w:val="004F0AF1"/>
    <w:rsid w:val="004F0CF1"/>
    <w:rsid w:val="004F6A8F"/>
    <w:rsid w:val="00502007"/>
    <w:rsid w:val="00506432"/>
    <w:rsid w:val="00506FC6"/>
    <w:rsid w:val="00517F94"/>
    <w:rsid w:val="005209FE"/>
    <w:rsid w:val="00544669"/>
    <w:rsid w:val="00545F29"/>
    <w:rsid w:val="00547D33"/>
    <w:rsid w:val="00554278"/>
    <w:rsid w:val="005567AB"/>
    <w:rsid w:val="0056223F"/>
    <w:rsid w:val="00563DEE"/>
    <w:rsid w:val="00567F2E"/>
    <w:rsid w:val="0057616D"/>
    <w:rsid w:val="00584420"/>
    <w:rsid w:val="005848BD"/>
    <w:rsid w:val="005927FE"/>
    <w:rsid w:val="005A0946"/>
    <w:rsid w:val="005A1EB0"/>
    <w:rsid w:val="005A2763"/>
    <w:rsid w:val="005A5D9D"/>
    <w:rsid w:val="005A627E"/>
    <w:rsid w:val="005B1762"/>
    <w:rsid w:val="005C5B11"/>
    <w:rsid w:val="005D0829"/>
    <w:rsid w:val="005D69F1"/>
    <w:rsid w:val="005D7D4F"/>
    <w:rsid w:val="005E1219"/>
    <w:rsid w:val="005E7A43"/>
    <w:rsid w:val="005F04B3"/>
    <w:rsid w:val="005F2293"/>
    <w:rsid w:val="006039B1"/>
    <w:rsid w:val="00611BFD"/>
    <w:rsid w:val="006155D1"/>
    <w:rsid w:val="006266DC"/>
    <w:rsid w:val="00640483"/>
    <w:rsid w:val="006461B0"/>
    <w:rsid w:val="00651375"/>
    <w:rsid w:val="0065325E"/>
    <w:rsid w:val="006564A6"/>
    <w:rsid w:val="00661065"/>
    <w:rsid w:val="006613C3"/>
    <w:rsid w:val="00661838"/>
    <w:rsid w:val="006710BA"/>
    <w:rsid w:val="006712A7"/>
    <w:rsid w:val="00677CD1"/>
    <w:rsid w:val="00693AD3"/>
    <w:rsid w:val="006A0125"/>
    <w:rsid w:val="006A581C"/>
    <w:rsid w:val="006B0139"/>
    <w:rsid w:val="006B0B77"/>
    <w:rsid w:val="006B6ED0"/>
    <w:rsid w:val="006C03B4"/>
    <w:rsid w:val="006C4EC8"/>
    <w:rsid w:val="006D27E9"/>
    <w:rsid w:val="006D5FCF"/>
    <w:rsid w:val="007012A2"/>
    <w:rsid w:val="00704F46"/>
    <w:rsid w:val="007061EA"/>
    <w:rsid w:val="0072213E"/>
    <w:rsid w:val="00723EF6"/>
    <w:rsid w:val="00735A70"/>
    <w:rsid w:val="00736942"/>
    <w:rsid w:val="00741C92"/>
    <w:rsid w:val="00745153"/>
    <w:rsid w:val="00764F15"/>
    <w:rsid w:val="0077352E"/>
    <w:rsid w:val="00774BE5"/>
    <w:rsid w:val="00786991"/>
    <w:rsid w:val="0078793C"/>
    <w:rsid w:val="00795630"/>
    <w:rsid w:val="007A7CCB"/>
    <w:rsid w:val="007A7E99"/>
    <w:rsid w:val="007B230F"/>
    <w:rsid w:val="007B7B47"/>
    <w:rsid w:val="007D3C91"/>
    <w:rsid w:val="00806617"/>
    <w:rsid w:val="0081195B"/>
    <w:rsid w:val="00814AEA"/>
    <w:rsid w:val="0082388D"/>
    <w:rsid w:val="00837F12"/>
    <w:rsid w:val="0084222C"/>
    <w:rsid w:val="0084470D"/>
    <w:rsid w:val="00845F5F"/>
    <w:rsid w:val="008521A8"/>
    <w:rsid w:val="00852B48"/>
    <w:rsid w:val="00857BFD"/>
    <w:rsid w:val="00867920"/>
    <w:rsid w:val="00870B5E"/>
    <w:rsid w:val="008726F0"/>
    <w:rsid w:val="00876292"/>
    <w:rsid w:val="0087796B"/>
    <w:rsid w:val="008810B5"/>
    <w:rsid w:val="008835CC"/>
    <w:rsid w:val="00883B5D"/>
    <w:rsid w:val="00896031"/>
    <w:rsid w:val="008977B8"/>
    <w:rsid w:val="00897B19"/>
    <w:rsid w:val="008A3EB4"/>
    <w:rsid w:val="008B02A6"/>
    <w:rsid w:val="008B3E5B"/>
    <w:rsid w:val="008C6225"/>
    <w:rsid w:val="008D544B"/>
    <w:rsid w:val="008E1F50"/>
    <w:rsid w:val="00901ACC"/>
    <w:rsid w:val="00913DB7"/>
    <w:rsid w:val="009246F2"/>
    <w:rsid w:val="00932095"/>
    <w:rsid w:val="009531A3"/>
    <w:rsid w:val="00953369"/>
    <w:rsid w:val="0095582B"/>
    <w:rsid w:val="00957755"/>
    <w:rsid w:val="009626AD"/>
    <w:rsid w:val="009757AD"/>
    <w:rsid w:val="00975814"/>
    <w:rsid w:val="009A1E61"/>
    <w:rsid w:val="009A72B9"/>
    <w:rsid w:val="009B7ADD"/>
    <w:rsid w:val="009C2E17"/>
    <w:rsid w:val="009D5404"/>
    <w:rsid w:val="009E2842"/>
    <w:rsid w:val="009E2F11"/>
    <w:rsid w:val="009F6C9F"/>
    <w:rsid w:val="00A01787"/>
    <w:rsid w:val="00A05ABC"/>
    <w:rsid w:val="00A06DB4"/>
    <w:rsid w:val="00A07021"/>
    <w:rsid w:val="00A120D0"/>
    <w:rsid w:val="00A4045F"/>
    <w:rsid w:val="00A41762"/>
    <w:rsid w:val="00A44AC4"/>
    <w:rsid w:val="00A52754"/>
    <w:rsid w:val="00A708A2"/>
    <w:rsid w:val="00A731F9"/>
    <w:rsid w:val="00A74A82"/>
    <w:rsid w:val="00A8234E"/>
    <w:rsid w:val="00A90340"/>
    <w:rsid w:val="00A91FF8"/>
    <w:rsid w:val="00A976DB"/>
    <w:rsid w:val="00A97F8A"/>
    <w:rsid w:val="00AB2408"/>
    <w:rsid w:val="00AB51DC"/>
    <w:rsid w:val="00AB73FD"/>
    <w:rsid w:val="00AC6C9F"/>
    <w:rsid w:val="00AD47C3"/>
    <w:rsid w:val="00AD7D6C"/>
    <w:rsid w:val="00AF2671"/>
    <w:rsid w:val="00AF2830"/>
    <w:rsid w:val="00AF644E"/>
    <w:rsid w:val="00B015A7"/>
    <w:rsid w:val="00B01D76"/>
    <w:rsid w:val="00B0786C"/>
    <w:rsid w:val="00B1391F"/>
    <w:rsid w:val="00B168F6"/>
    <w:rsid w:val="00B27296"/>
    <w:rsid w:val="00B32756"/>
    <w:rsid w:val="00B52BD1"/>
    <w:rsid w:val="00B54861"/>
    <w:rsid w:val="00B62874"/>
    <w:rsid w:val="00B65194"/>
    <w:rsid w:val="00B70B11"/>
    <w:rsid w:val="00B76AAD"/>
    <w:rsid w:val="00B83337"/>
    <w:rsid w:val="00B92276"/>
    <w:rsid w:val="00B94619"/>
    <w:rsid w:val="00B95168"/>
    <w:rsid w:val="00BA19FD"/>
    <w:rsid w:val="00BA201D"/>
    <w:rsid w:val="00BA7FD2"/>
    <w:rsid w:val="00BB069C"/>
    <w:rsid w:val="00BB4B3F"/>
    <w:rsid w:val="00BC1A1E"/>
    <w:rsid w:val="00BC45FA"/>
    <w:rsid w:val="00BD48B6"/>
    <w:rsid w:val="00BD58C6"/>
    <w:rsid w:val="00BE0B76"/>
    <w:rsid w:val="00BF325B"/>
    <w:rsid w:val="00C22E88"/>
    <w:rsid w:val="00C25BC5"/>
    <w:rsid w:val="00C31A31"/>
    <w:rsid w:val="00C32EA2"/>
    <w:rsid w:val="00C33AC1"/>
    <w:rsid w:val="00C34887"/>
    <w:rsid w:val="00C34B9B"/>
    <w:rsid w:val="00C43D04"/>
    <w:rsid w:val="00C45551"/>
    <w:rsid w:val="00C46FC2"/>
    <w:rsid w:val="00C665A2"/>
    <w:rsid w:val="00C74450"/>
    <w:rsid w:val="00C75FF8"/>
    <w:rsid w:val="00C83691"/>
    <w:rsid w:val="00C85C6B"/>
    <w:rsid w:val="00C85C85"/>
    <w:rsid w:val="00CA4FBF"/>
    <w:rsid w:val="00CA7FF7"/>
    <w:rsid w:val="00CB0C58"/>
    <w:rsid w:val="00CB10F0"/>
    <w:rsid w:val="00CB20DB"/>
    <w:rsid w:val="00CB2B8A"/>
    <w:rsid w:val="00CB2C45"/>
    <w:rsid w:val="00CB6043"/>
    <w:rsid w:val="00CC0C0A"/>
    <w:rsid w:val="00CC29C0"/>
    <w:rsid w:val="00CD379B"/>
    <w:rsid w:val="00CD6CAB"/>
    <w:rsid w:val="00CE0367"/>
    <w:rsid w:val="00CE03D7"/>
    <w:rsid w:val="00CF1FA7"/>
    <w:rsid w:val="00D017E5"/>
    <w:rsid w:val="00D07DD0"/>
    <w:rsid w:val="00D12AB0"/>
    <w:rsid w:val="00D17A2A"/>
    <w:rsid w:val="00D2269E"/>
    <w:rsid w:val="00D475A7"/>
    <w:rsid w:val="00D51FD2"/>
    <w:rsid w:val="00D623D2"/>
    <w:rsid w:val="00D70F8B"/>
    <w:rsid w:val="00D74F30"/>
    <w:rsid w:val="00D77219"/>
    <w:rsid w:val="00D87362"/>
    <w:rsid w:val="00D875F5"/>
    <w:rsid w:val="00D87897"/>
    <w:rsid w:val="00D9623A"/>
    <w:rsid w:val="00DB0F51"/>
    <w:rsid w:val="00DB15F1"/>
    <w:rsid w:val="00DB4C4E"/>
    <w:rsid w:val="00DB7A0D"/>
    <w:rsid w:val="00DD6E7F"/>
    <w:rsid w:val="00DE4136"/>
    <w:rsid w:val="00DE4DDB"/>
    <w:rsid w:val="00DF521E"/>
    <w:rsid w:val="00DF53A5"/>
    <w:rsid w:val="00DF76D8"/>
    <w:rsid w:val="00E03B56"/>
    <w:rsid w:val="00E049A1"/>
    <w:rsid w:val="00E13273"/>
    <w:rsid w:val="00E25102"/>
    <w:rsid w:val="00E32E46"/>
    <w:rsid w:val="00E3350C"/>
    <w:rsid w:val="00E407B0"/>
    <w:rsid w:val="00E41675"/>
    <w:rsid w:val="00E421F6"/>
    <w:rsid w:val="00E43836"/>
    <w:rsid w:val="00E44009"/>
    <w:rsid w:val="00E560F7"/>
    <w:rsid w:val="00E57FAE"/>
    <w:rsid w:val="00E668CF"/>
    <w:rsid w:val="00E67376"/>
    <w:rsid w:val="00E82133"/>
    <w:rsid w:val="00E82561"/>
    <w:rsid w:val="00E8302F"/>
    <w:rsid w:val="00E84D93"/>
    <w:rsid w:val="00E85292"/>
    <w:rsid w:val="00E97D1A"/>
    <w:rsid w:val="00EA1A6E"/>
    <w:rsid w:val="00EB14FB"/>
    <w:rsid w:val="00EB6094"/>
    <w:rsid w:val="00EB7EF7"/>
    <w:rsid w:val="00EC1B56"/>
    <w:rsid w:val="00EC40B2"/>
    <w:rsid w:val="00EC6B9F"/>
    <w:rsid w:val="00ED74BF"/>
    <w:rsid w:val="00EE6F54"/>
    <w:rsid w:val="00EF0461"/>
    <w:rsid w:val="00F0612D"/>
    <w:rsid w:val="00F07E43"/>
    <w:rsid w:val="00F15390"/>
    <w:rsid w:val="00F15E04"/>
    <w:rsid w:val="00F35469"/>
    <w:rsid w:val="00F36602"/>
    <w:rsid w:val="00F37205"/>
    <w:rsid w:val="00F4191D"/>
    <w:rsid w:val="00F44FBC"/>
    <w:rsid w:val="00F46EBA"/>
    <w:rsid w:val="00F47BC5"/>
    <w:rsid w:val="00F5062E"/>
    <w:rsid w:val="00F5108E"/>
    <w:rsid w:val="00F67CBB"/>
    <w:rsid w:val="00F73636"/>
    <w:rsid w:val="00F8258E"/>
    <w:rsid w:val="00F8440D"/>
    <w:rsid w:val="00F90821"/>
    <w:rsid w:val="00F91475"/>
    <w:rsid w:val="00F9466E"/>
    <w:rsid w:val="00FA0493"/>
    <w:rsid w:val="00FA1339"/>
    <w:rsid w:val="00FA218F"/>
    <w:rsid w:val="00FA5B60"/>
    <w:rsid w:val="00FA65B5"/>
    <w:rsid w:val="00FA6F80"/>
    <w:rsid w:val="00FA7624"/>
    <w:rsid w:val="00FB5769"/>
    <w:rsid w:val="00FC1ED4"/>
    <w:rsid w:val="00FC27B4"/>
    <w:rsid w:val="00FD6873"/>
    <w:rsid w:val="00FD745C"/>
    <w:rsid w:val="00FE38EA"/>
    <w:rsid w:val="00FF083D"/>
    <w:rsid w:val="00FF3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6BE48"/>
  <w15:chartTrackingRefBased/>
  <w15:docId w15:val="{6A745A00-7C45-924E-B35B-1A35E954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A5"/>
    <w:pPr>
      <w:spacing w:after="160" w:line="259" w:lineRule="auto"/>
    </w:pPr>
    <w:rPr>
      <w:sz w:val="22"/>
      <w:szCs w:val="22"/>
    </w:rPr>
  </w:style>
  <w:style w:type="paragraph" w:styleId="Heading2">
    <w:name w:val="heading 2"/>
    <w:basedOn w:val="Normal"/>
    <w:next w:val="Normal"/>
    <w:link w:val="Heading2Char"/>
    <w:uiPriority w:val="9"/>
    <w:semiHidden/>
    <w:unhideWhenUsed/>
    <w:qFormat/>
    <w:rsid w:val="00D623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613C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1B0"/>
    <w:rPr>
      <w:color w:val="0563C1" w:themeColor="hyperlink"/>
      <w:u w:val="single"/>
    </w:rPr>
  </w:style>
  <w:style w:type="character" w:styleId="UnresolvedMention">
    <w:name w:val="Unresolved Mention"/>
    <w:basedOn w:val="DefaultParagraphFont"/>
    <w:uiPriority w:val="99"/>
    <w:semiHidden/>
    <w:unhideWhenUsed/>
    <w:rsid w:val="006461B0"/>
    <w:rPr>
      <w:color w:val="605E5C"/>
      <w:shd w:val="clear" w:color="auto" w:fill="E1DFDD"/>
    </w:rPr>
  </w:style>
  <w:style w:type="paragraph" w:styleId="ListParagraph">
    <w:name w:val="List Paragraph"/>
    <w:basedOn w:val="Normal"/>
    <w:uiPriority w:val="34"/>
    <w:qFormat/>
    <w:rsid w:val="00CB6043"/>
    <w:pPr>
      <w:ind w:left="720"/>
      <w:contextualSpacing/>
    </w:pPr>
  </w:style>
  <w:style w:type="paragraph" w:customStyle="1" w:styleId="EndNoteBibliographyTitle">
    <w:name w:val="EndNote Bibliography Title"/>
    <w:basedOn w:val="Normal"/>
    <w:link w:val="EndNoteBibliographyTitleChar"/>
    <w:rsid w:val="003C7D3F"/>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C7D3F"/>
    <w:rPr>
      <w:rFonts w:ascii="Calibri" w:hAnsi="Calibri" w:cs="Calibri"/>
      <w:sz w:val="22"/>
      <w:szCs w:val="22"/>
      <w:lang w:val="en-US"/>
    </w:rPr>
  </w:style>
  <w:style w:type="paragraph" w:customStyle="1" w:styleId="EndNoteBibliography">
    <w:name w:val="EndNote Bibliography"/>
    <w:basedOn w:val="Normal"/>
    <w:link w:val="EndNoteBibliographyChar"/>
    <w:rsid w:val="003C7D3F"/>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3C7D3F"/>
    <w:rPr>
      <w:rFonts w:ascii="Calibri" w:hAnsi="Calibri" w:cs="Calibri"/>
      <w:sz w:val="22"/>
      <w:szCs w:val="22"/>
      <w:lang w:val="en-US"/>
    </w:rPr>
  </w:style>
  <w:style w:type="character" w:customStyle="1" w:styleId="apple-converted-space">
    <w:name w:val="apple-converted-space"/>
    <w:basedOn w:val="DefaultParagraphFont"/>
    <w:rsid w:val="00E03B56"/>
  </w:style>
  <w:style w:type="character" w:styleId="FollowedHyperlink">
    <w:name w:val="FollowedHyperlink"/>
    <w:basedOn w:val="DefaultParagraphFont"/>
    <w:uiPriority w:val="99"/>
    <w:semiHidden/>
    <w:unhideWhenUsed/>
    <w:rsid w:val="00F0612D"/>
    <w:rPr>
      <w:color w:val="954F72" w:themeColor="followedHyperlink"/>
      <w:u w:val="single"/>
    </w:rPr>
  </w:style>
  <w:style w:type="table" w:styleId="TableGrid">
    <w:name w:val="Table Grid"/>
    <w:basedOn w:val="TableNormal"/>
    <w:uiPriority w:val="39"/>
    <w:rsid w:val="00B9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5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CB7"/>
    <w:rPr>
      <w:sz w:val="22"/>
      <w:szCs w:val="22"/>
    </w:rPr>
  </w:style>
  <w:style w:type="paragraph" w:styleId="Footer">
    <w:name w:val="footer"/>
    <w:basedOn w:val="Normal"/>
    <w:link w:val="FooterChar"/>
    <w:uiPriority w:val="99"/>
    <w:unhideWhenUsed/>
    <w:rsid w:val="00415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CB7"/>
    <w:rPr>
      <w:sz w:val="22"/>
      <w:szCs w:val="22"/>
    </w:rPr>
  </w:style>
  <w:style w:type="paragraph" w:styleId="Revision">
    <w:name w:val="Revision"/>
    <w:hidden/>
    <w:uiPriority w:val="99"/>
    <w:semiHidden/>
    <w:rsid w:val="00B168F6"/>
    <w:rPr>
      <w:sz w:val="22"/>
      <w:szCs w:val="22"/>
    </w:rPr>
  </w:style>
  <w:style w:type="character" w:styleId="CommentReference">
    <w:name w:val="annotation reference"/>
    <w:basedOn w:val="DefaultParagraphFont"/>
    <w:uiPriority w:val="99"/>
    <w:semiHidden/>
    <w:unhideWhenUsed/>
    <w:rsid w:val="00B168F6"/>
    <w:rPr>
      <w:sz w:val="16"/>
      <w:szCs w:val="16"/>
    </w:rPr>
  </w:style>
  <w:style w:type="paragraph" w:styleId="CommentText">
    <w:name w:val="annotation text"/>
    <w:basedOn w:val="Normal"/>
    <w:link w:val="CommentTextChar"/>
    <w:uiPriority w:val="99"/>
    <w:unhideWhenUsed/>
    <w:rsid w:val="00B168F6"/>
    <w:pPr>
      <w:spacing w:line="240" w:lineRule="auto"/>
    </w:pPr>
    <w:rPr>
      <w:sz w:val="20"/>
      <w:szCs w:val="20"/>
    </w:rPr>
  </w:style>
  <w:style w:type="character" w:customStyle="1" w:styleId="CommentTextChar">
    <w:name w:val="Comment Text Char"/>
    <w:basedOn w:val="DefaultParagraphFont"/>
    <w:link w:val="CommentText"/>
    <w:uiPriority w:val="99"/>
    <w:rsid w:val="00B168F6"/>
    <w:rPr>
      <w:sz w:val="20"/>
      <w:szCs w:val="20"/>
    </w:rPr>
  </w:style>
  <w:style w:type="paragraph" w:styleId="CommentSubject">
    <w:name w:val="annotation subject"/>
    <w:basedOn w:val="CommentText"/>
    <w:next w:val="CommentText"/>
    <w:link w:val="CommentSubjectChar"/>
    <w:uiPriority w:val="99"/>
    <w:semiHidden/>
    <w:unhideWhenUsed/>
    <w:rsid w:val="00B168F6"/>
    <w:rPr>
      <w:b/>
      <w:bCs/>
    </w:rPr>
  </w:style>
  <w:style w:type="character" w:customStyle="1" w:styleId="CommentSubjectChar">
    <w:name w:val="Comment Subject Char"/>
    <w:basedOn w:val="CommentTextChar"/>
    <w:link w:val="CommentSubject"/>
    <w:uiPriority w:val="99"/>
    <w:semiHidden/>
    <w:rsid w:val="00B168F6"/>
    <w:rPr>
      <w:b/>
      <w:bCs/>
      <w:sz w:val="20"/>
      <w:szCs w:val="20"/>
    </w:rPr>
  </w:style>
  <w:style w:type="character" w:customStyle="1" w:styleId="Heading3Char">
    <w:name w:val="Heading 3 Char"/>
    <w:basedOn w:val="DefaultParagraphFont"/>
    <w:link w:val="Heading3"/>
    <w:uiPriority w:val="9"/>
    <w:rsid w:val="006613C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613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D623D2"/>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6C4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0992">
      <w:bodyDiv w:val="1"/>
      <w:marLeft w:val="0"/>
      <w:marRight w:val="0"/>
      <w:marTop w:val="0"/>
      <w:marBottom w:val="0"/>
      <w:divBdr>
        <w:top w:val="none" w:sz="0" w:space="0" w:color="auto"/>
        <w:left w:val="none" w:sz="0" w:space="0" w:color="auto"/>
        <w:bottom w:val="none" w:sz="0" w:space="0" w:color="auto"/>
        <w:right w:val="none" w:sz="0" w:space="0" w:color="auto"/>
      </w:divBdr>
      <w:divsChild>
        <w:div w:id="662045750">
          <w:marLeft w:val="0"/>
          <w:marRight w:val="0"/>
          <w:marTop w:val="0"/>
          <w:marBottom w:val="600"/>
          <w:divBdr>
            <w:top w:val="none" w:sz="0" w:space="0" w:color="auto"/>
            <w:left w:val="none" w:sz="0" w:space="0" w:color="auto"/>
            <w:bottom w:val="none" w:sz="0" w:space="0" w:color="auto"/>
            <w:right w:val="none" w:sz="0" w:space="0" w:color="auto"/>
          </w:divBdr>
          <w:divsChild>
            <w:div w:id="2033531067">
              <w:marLeft w:val="0"/>
              <w:marRight w:val="0"/>
              <w:marTop w:val="0"/>
              <w:marBottom w:val="360"/>
              <w:divBdr>
                <w:top w:val="single" w:sz="12" w:space="15" w:color="D5D5D5"/>
                <w:left w:val="single" w:sz="12" w:space="8" w:color="D5D5D5"/>
                <w:bottom w:val="single" w:sz="12" w:space="15" w:color="D5D5D5"/>
                <w:right w:val="single" w:sz="12" w:space="8" w:color="D5D5D5"/>
              </w:divBdr>
            </w:div>
            <w:div w:id="71440331">
              <w:marLeft w:val="0"/>
              <w:marRight w:val="0"/>
              <w:marTop w:val="0"/>
              <w:marBottom w:val="360"/>
              <w:divBdr>
                <w:top w:val="single" w:sz="12" w:space="15" w:color="D5D5D5"/>
                <w:left w:val="single" w:sz="12" w:space="8" w:color="D5D5D5"/>
                <w:bottom w:val="single" w:sz="12" w:space="15" w:color="D5D5D5"/>
                <w:right w:val="single" w:sz="12" w:space="8" w:color="D5D5D5"/>
              </w:divBdr>
            </w:div>
            <w:div w:id="1149248371">
              <w:marLeft w:val="0"/>
              <w:marRight w:val="0"/>
              <w:marTop w:val="0"/>
              <w:marBottom w:val="360"/>
              <w:divBdr>
                <w:top w:val="single" w:sz="12" w:space="15" w:color="D5D5D5"/>
                <w:left w:val="single" w:sz="12" w:space="8" w:color="D5D5D5"/>
                <w:bottom w:val="single" w:sz="12" w:space="15" w:color="D5D5D5"/>
                <w:right w:val="single" w:sz="12" w:space="8" w:color="D5D5D5"/>
              </w:divBdr>
            </w:div>
            <w:div w:id="1696734508">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56466639">
                  <w:marLeft w:val="0"/>
                  <w:marRight w:val="0"/>
                  <w:marTop w:val="0"/>
                  <w:marBottom w:val="240"/>
                  <w:divBdr>
                    <w:top w:val="none" w:sz="0" w:space="0" w:color="auto"/>
                    <w:left w:val="none" w:sz="0" w:space="0" w:color="auto"/>
                    <w:bottom w:val="none" w:sz="0" w:space="0" w:color="auto"/>
                    <w:right w:val="none" w:sz="0" w:space="0" w:color="auto"/>
                  </w:divBdr>
                  <w:divsChild>
                    <w:div w:id="310911014">
                      <w:marLeft w:val="0"/>
                      <w:marRight w:val="0"/>
                      <w:marTop w:val="0"/>
                      <w:marBottom w:val="0"/>
                      <w:divBdr>
                        <w:top w:val="none" w:sz="0" w:space="0" w:color="auto"/>
                        <w:left w:val="none" w:sz="0" w:space="0" w:color="auto"/>
                        <w:bottom w:val="none" w:sz="0" w:space="0" w:color="auto"/>
                        <w:right w:val="none" w:sz="0" w:space="0" w:color="auto"/>
                      </w:divBdr>
                    </w:div>
                    <w:div w:id="14135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1355">
      <w:bodyDiv w:val="1"/>
      <w:marLeft w:val="0"/>
      <w:marRight w:val="0"/>
      <w:marTop w:val="0"/>
      <w:marBottom w:val="0"/>
      <w:divBdr>
        <w:top w:val="none" w:sz="0" w:space="0" w:color="auto"/>
        <w:left w:val="none" w:sz="0" w:space="0" w:color="auto"/>
        <w:bottom w:val="none" w:sz="0" w:space="0" w:color="auto"/>
        <w:right w:val="none" w:sz="0" w:space="0" w:color="auto"/>
      </w:divBdr>
    </w:div>
    <w:div w:id="232936825">
      <w:bodyDiv w:val="1"/>
      <w:marLeft w:val="0"/>
      <w:marRight w:val="0"/>
      <w:marTop w:val="0"/>
      <w:marBottom w:val="0"/>
      <w:divBdr>
        <w:top w:val="none" w:sz="0" w:space="0" w:color="auto"/>
        <w:left w:val="none" w:sz="0" w:space="0" w:color="auto"/>
        <w:bottom w:val="none" w:sz="0" w:space="0" w:color="auto"/>
        <w:right w:val="none" w:sz="0" w:space="0" w:color="auto"/>
      </w:divBdr>
    </w:div>
    <w:div w:id="496503577">
      <w:bodyDiv w:val="1"/>
      <w:marLeft w:val="0"/>
      <w:marRight w:val="0"/>
      <w:marTop w:val="0"/>
      <w:marBottom w:val="0"/>
      <w:divBdr>
        <w:top w:val="none" w:sz="0" w:space="0" w:color="auto"/>
        <w:left w:val="none" w:sz="0" w:space="0" w:color="auto"/>
        <w:bottom w:val="none" w:sz="0" w:space="0" w:color="auto"/>
        <w:right w:val="none" w:sz="0" w:space="0" w:color="auto"/>
      </w:divBdr>
    </w:div>
    <w:div w:id="568923215">
      <w:bodyDiv w:val="1"/>
      <w:marLeft w:val="0"/>
      <w:marRight w:val="0"/>
      <w:marTop w:val="0"/>
      <w:marBottom w:val="0"/>
      <w:divBdr>
        <w:top w:val="none" w:sz="0" w:space="0" w:color="auto"/>
        <w:left w:val="none" w:sz="0" w:space="0" w:color="auto"/>
        <w:bottom w:val="none" w:sz="0" w:space="0" w:color="auto"/>
        <w:right w:val="none" w:sz="0" w:space="0" w:color="auto"/>
      </w:divBdr>
    </w:div>
    <w:div w:id="812018834">
      <w:bodyDiv w:val="1"/>
      <w:marLeft w:val="0"/>
      <w:marRight w:val="0"/>
      <w:marTop w:val="0"/>
      <w:marBottom w:val="0"/>
      <w:divBdr>
        <w:top w:val="none" w:sz="0" w:space="0" w:color="auto"/>
        <w:left w:val="none" w:sz="0" w:space="0" w:color="auto"/>
        <w:bottom w:val="none" w:sz="0" w:space="0" w:color="auto"/>
        <w:right w:val="none" w:sz="0" w:space="0" w:color="auto"/>
      </w:divBdr>
    </w:div>
    <w:div w:id="961031776">
      <w:bodyDiv w:val="1"/>
      <w:marLeft w:val="0"/>
      <w:marRight w:val="0"/>
      <w:marTop w:val="0"/>
      <w:marBottom w:val="0"/>
      <w:divBdr>
        <w:top w:val="none" w:sz="0" w:space="0" w:color="auto"/>
        <w:left w:val="none" w:sz="0" w:space="0" w:color="auto"/>
        <w:bottom w:val="none" w:sz="0" w:space="0" w:color="auto"/>
        <w:right w:val="none" w:sz="0" w:space="0" w:color="auto"/>
      </w:divBdr>
    </w:div>
    <w:div w:id="979188708">
      <w:bodyDiv w:val="1"/>
      <w:marLeft w:val="0"/>
      <w:marRight w:val="0"/>
      <w:marTop w:val="0"/>
      <w:marBottom w:val="0"/>
      <w:divBdr>
        <w:top w:val="none" w:sz="0" w:space="0" w:color="auto"/>
        <w:left w:val="none" w:sz="0" w:space="0" w:color="auto"/>
        <w:bottom w:val="none" w:sz="0" w:space="0" w:color="auto"/>
        <w:right w:val="none" w:sz="0" w:space="0" w:color="auto"/>
      </w:divBdr>
    </w:div>
    <w:div w:id="1234271097">
      <w:bodyDiv w:val="1"/>
      <w:marLeft w:val="0"/>
      <w:marRight w:val="0"/>
      <w:marTop w:val="0"/>
      <w:marBottom w:val="0"/>
      <w:divBdr>
        <w:top w:val="none" w:sz="0" w:space="0" w:color="auto"/>
        <w:left w:val="none" w:sz="0" w:space="0" w:color="auto"/>
        <w:bottom w:val="none" w:sz="0" w:space="0" w:color="auto"/>
        <w:right w:val="none" w:sz="0" w:space="0" w:color="auto"/>
      </w:divBdr>
    </w:div>
    <w:div w:id="1254240118">
      <w:bodyDiv w:val="1"/>
      <w:marLeft w:val="0"/>
      <w:marRight w:val="0"/>
      <w:marTop w:val="0"/>
      <w:marBottom w:val="0"/>
      <w:divBdr>
        <w:top w:val="none" w:sz="0" w:space="0" w:color="auto"/>
        <w:left w:val="none" w:sz="0" w:space="0" w:color="auto"/>
        <w:bottom w:val="none" w:sz="0" w:space="0" w:color="auto"/>
        <w:right w:val="none" w:sz="0" w:space="0" w:color="auto"/>
      </w:divBdr>
    </w:div>
    <w:div w:id="1267352736">
      <w:bodyDiv w:val="1"/>
      <w:marLeft w:val="0"/>
      <w:marRight w:val="0"/>
      <w:marTop w:val="0"/>
      <w:marBottom w:val="0"/>
      <w:divBdr>
        <w:top w:val="none" w:sz="0" w:space="0" w:color="auto"/>
        <w:left w:val="none" w:sz="0" w:space="0" w:color="auto"/>
        <w:bottom w:val="none" w:sz="0" w:space="0" w:color="auto"/>
        <w:right w:val="none" w:sz="0" w:space="0" w:color="auto"/>
      </w:divBdr>
      <w:divsChild>
        <w:div w:id="1601260943">
          <w:marLeft w:val="0"/>
          <w:marRight w:val="0"/>
          <w:marTop w:val="0"/>
          <w:marBottom w:val="0"/>
          <w:divBdr>
            <w:top w:val="none" w:sz="0" w:space="0" w:color="auto"/>
            <w:left w:val="none" w:sz="0" w:space="0" w:color="auto"/>
            <w:bottom w:val="none" w:sz="0" w:space="0" w:color="auto"/>
            <w:right w:val="none" w:sz="0" w:space="0" w:color="auto"/>
          </w:divBdr>
          <w:divsChild>
            <w:div w:id="916744162">
              <w:marLeft w:val="0"/>
              <w:marRight w:val="0"/>
              <w:marTop w:val="0"/>
              <w:marBottom w:val="600"/>
              <w:divBdr>
                <w:top w:val="none" w:sz="0" w:space="0" w:color="auto"/>
                <w:left w:val="none" w:sz="0" w:space="0" w:color="auto"/>
                <w:bottom w:val="none" w:sz="0" w:space="0" w:color="auto"/>
                <w:right w:val="none" w:sz="0" w:space="0" w:color="auto"/>
              </w:divBdr>
            </w:div>
          </w:divsChild>
        </w:div>
        <w:div w:id="363797044">
          <w:marLeft w:val="0"/>
          <w:marRight w:val="0"/>
          <w:marTop w:val="0"/>
          <w:marBottom w:val="0"/>
          <w:divBdr>
            <w:top w:val="none" w:sz="0" w:space="0" w:color="auto"/>
            <w:left w:val="none" w:sz="0" w:space="0" w:color="auto"/>
            <w:bottom w:val="none" w:sz="0" w:space="0" w:color="auto"/>
            <w:right w:val="none" w:sz="0" w:space="0" w:color="auto"/>
          </w:divBdr>
        </w:div>
      </w:divsChild>
    </w:div>
    <w:div w:id="1276715318">
      <w:bodyDiv w:val="1"/>
      <w:marLeft w:val="0"/>
      <w:marRight w:val="0"/>
      <w:marTop w:val="0"/>
      <w:marBottom w:val="0"/>
      <w:divBdr>
        <w:top w:val="none" w:sz="0" w:space="0" w:color="auto"/>
        <w:left w:val="none" w:sz="0" w:space="0" w:color="auto"/>
        <w:bottom w:val="none" w:sz="0" w:space="0" w:color="auto"/>
        <w:right w:val="none" w:sz="0" w:space="0" w:color="auto"/>
      </w:divBdr>
    </w:div>
    <w:div w:id="1336805373">
      <w:bodyDiv w:val="1"/>
      <w:marLeft w:val="0"/>
      <w:marRight w:val="0"/>
      <w:marTop w:val="0"/>
      <w:marBottom w:val="0"/>
      <w:divBdr>
        <w:top w:val="none" w:sz="0" w:space="0" w:color="auto"/>
        <w:left w:val="none" w:sz="0" w:space="0" w:color="auto"/>
        <w:bottom w:val="none" w:sz="0" w:space="0" w:color="auto"/>
        <w:right w:val="none" w:sz="0" w:space="0" w:color="auto"/>
      </w:divBdr>
    </w:div>
    <w:div w:id="1338849504">
      <w:bodyDiv w:val="1"/>
      <w:marLeft w:val="0"/>
      <w:marRight w:val="0"/>
      <w:marTop w:val="0"/>
      <w:marBottom w:val="0"/>
      <w:divBdr>
        <w:top w:val="none" w:sz="0" w:space="0" w:color="auto"/>
        <w:left w:val="none" w:sz="0" w:space="0" w:color="auto"/>
        <w:bottom w:val="none" w:sz="0" w:space="0" w:color="auto"/>
        <w:right w:val="none" w:sz="0" w:space="0" w:color="auto"/>
      </w:divBdr>
    </w:div>
    <w:div w:id="1503625134">
      <w:bodyDiv w:val="1"/>
      <w:marLeft w:val="0"/>
      <w:marRight w:val="0"/>
      <w:marTop w:val="0"/>
      <w:marBottom w:val="0"/>
      <w:divBdr>
        <w:top w:val="none" w:sz="0" w:space="0" w:color="auto"/>
        <w:left w:val="none" w:sz="0" w:space="0" w:color="auto"/>
        <w:bottom w:val="none" w:sz="0" w:space="0" w:color="auto"/>
        <w:right w:val="none" w:sz="0" w:space="0" w:color="auto"/>
      </w:divBdr>
    </w:div>
    <w:div w:id="1508205732">
      <w:bodyDiv w:val="1"/>
      <w:marLeft w:val="0"/>
      <w:marRight w:val="0"/>
      <w:marTop w:val="0"/>
      <w:marBottom w:val="0"/>
      <w:divBdr>
        <w:top w:val="none" w:sz="0" w:space="0" w:color="auto"/>
        <w:left w:val="none" w:sz="0" w:space="0" w:color="auto"/>
        <w:bottom w:val="none" w:sz="0" w:space="0" w:color="auto"/>
        <w:right w:val="none" w:sz="0" w:space="0" w:color="auto"/>
      </w:divBdr>
    </w:div>
    <w:div w:id="1514420909">
      <w:bodyDiv w:val="1"/>
      <w:marLeft w:val="0"/>
      <w:marRight w:val="0"/>
      <w:marTop w:val="0"/>
      <w:marBottom w:val="0"/>
      <w:divBdr>
        <w:top w:val="none" w:sz="0" w:space="0" w:color="auto"/>
        <w:left w:val="none" w:sz="0" w:space="0" w:color="auto"/>
        <w:bottom w:val="none" w:sz="0" w:space="0" w:color="auto"/>
        <w:right w:val="none" w:sz="0" w:space="0" w:color="auto"/>
      </w:divBdr>
    </w:div>
    <w:div w:id="1658338746">
      <w:bodyDiv w:val="1"/>
      <w:marLeft w:val="0"/>
      <w:marRight w:val="0"/>
      <w:marTop w:val="0"/>
      <w:marBottom w:val="0"/>
      <w:divBdr>
        <w:top w:val="none" w:sz="0" w:space="0" w:color="auto"/>
        <w:left w:val="none" w:sz="0" w:space="0" w:color="auto"/>
        <w:bottom w:val="none" w:sz="0" w:space="0" w:color="auto"/>
        <w:right w:val="none" w:sz="0" w:space="0" w:color="auto"/>
      </w:divBdr>
    </w:div>
    <w:div w:id="1681472353">
      <w:bodyDiv w:val="1"/>
      <w:marLeft w:val="0"/>
      <w:marRight w:val="0"/>
      <w:marTop w:val="0"/>
      <w:marBottom w:val="0"/>
      <w:divBdr>
        <w:top w:val="none" w:sz="0" w:space="0" w:color="auto"/>
        <w:left w:val="none" w:sz="0" w:space="0" w:color="auto"/>
        <w:bottom w:val="none" w:sz="0" w:space="0" w:color="auto"/>
        <w:right w:val="none" w:sz="0" w:space="0" w:color="auto"/>
      </w:divBdr>
    </w:div>
    <w:div w:id="1711801444">
      <w:bodyDiv w:val="1"/>
      <w:marLeft w:val="0"/>
      <w:marRight w:val="0"/>
      <w:marTop w:val="0"/>
      <w:marBottom w:val="0"/>
      <w:divBdr>
        <w:top w:val="none" w:sz="0" w:space="0" w:color="auto"/>
        <w:left w:val="none" w:sz="0" w:space="0" w:color="auto"/>
        <w:bottom w:val="none" w:sz="0" w:space="0" w:color="auto"/>
        <w:right w:val="none" w:sz="0" w:space="0" w:color="auto"/>
      </w:divBdr>
      <w:divsChild>
        <w:div w:id="1202671024">
          <w:marLeft w:val="0"/>
          <w:marRight w:val="0"/>
          <w:marTop w:val="0"/>
          <w:marBottom w:val="600"/>
          <w:divBdr>
            <w:top w:val="none" w:sz="0" w:space="0" w:color="auto"/>
            <w:left w:val="none" w:sz="0" w:space="0" w:color="auto"/>
            <w:bottom w:val="none" w:sz="0" w:space="0" w:color="auto"/>
            <w:right w:val="none" w:sz="0" w:space="0" w:color="auto"/>
          </w:divBdr>
        </w:div>
      </w:divsChild>
    </w:div>
    <w:div w:id="1730612463">
      <w:bodyDiv w:val="1"/>
      <w:marLeft w:val="0"/>
      <w:marRight w:val="0"/>
      <w:marTop w:val="0"/>
      <w:marBottom w:val="0"/>
      <w:divBdr>
        <w:top w:val="none" w:sz="0" w:space="0" w:color="auto"/>
        <w:left w:val="none" w:sz="0" w:space="0" w:color="auto"/>
        <w:bottom w:val="none" w:sz="0" w:space="0" w:color="auto"/>
        <w:right w:val="none" w:sz="0" w:space="0" w:color="auto"/>
      </w:divBdr>
    </w:div>
    <w:div w:id="1802648770">
      <w:bodyDiv w:val="1"/>
      <w:marLeft w:val="0"/>
      <w:marRight w:val="0"/>
      <w:marTop w:val="0"/>
      <w:marBottom w:val="0"/>
      <w:divBdr>
        <w:top w:val="none" w:sz="0" w:space="0" w:color="auto"/>
        <w:left w:val="none" w:sz="0" w:space="0" w:color="auto"/>
        <w:bottom w:val="none" w:sz="0" w:space="0" w:color="auto"/>
        <w:right w:val="none" w:sz="0" w:space="0" w:color="auto"/>
      </w:divBdr>
    </w:div>
    <w:div w:id="1806507006">
      <w:bodyDiv w:val="1"/>
      <w:marLeft w:val="0"/>
      <w:marRight w:val="0"/>
      <w:marTop w:val="0"/>
      <w:marBottom w:val="0"/>
      <w:divBdr>
        <w:top w:val="none" w:sz="0" w:space="0" w:color="auto"/>
        <w:left w:val="none" w:sz="0" w:space="0" w:color="auto"/>
        <w:bottom w:val="none" w:sz="0" w:space="0" w:color="auto"/>
        <w:right w:val="none" w:sz="0" w:space="0" w:color="auto"/>
      </w:divBdr>
    </w:div>
    <w:div w:id="1862477437">
      <w:bodyDiv w:val="1"/>
      <w:marLeft w:val="0"/>
      <w:marRight w:val="0"/>
      <w:marTop w:val="0"/>
      <w:marBottom w:val="0"/>
      <w:divBdr>
        <w:top w:val="none" w:sz="0" w:space="0" w:color="auto"/>
        <w:left w:val="none" w:sz="0" w:space="0" w:color="auto"/>
        <w:bottom w:val="none" w:sz="0" w:space="0" w:color="auto"/>
        <w:right w:val="none" w:sz="0" w:space="0" w:color="auto"/>
      </w:divBdr>
      <w:divsChild>
        <w:div w:id="35472425">
          <w:marLeft w:val="0"/>
          <w:marRight w:val="0"/>
          <w:marTop w:val="0"/>
          <w:marBottom w:val="600"/>
          <w:divBdr>
            <w:top w:val="none" w:sz="0" w:space="0" w:color="auto"/>
            <w:left w:val="none" w:sz="0" w:space="0" w:color="auto"/>
            <w:bottom w:val="none" w:sz="0" w:space="0" w:color="auto"/>
            <w:right w:val="none" w:sz="0" w:space="0" w:color="auto"/>
          </w:divBdr>
        </w:div>
      </w:divsChild>
    </w:div>
    <w:div w:id="1904440040">
      <w:bodyDiv w:val="1"/>
      <w:marLeft w:val="0"/>
      <w:marRight w:val="0"/>
      <w:marTop w:val="0"/>
      <w:marBottom w:val="0"/>
      <w:divBdr>
        <w:top w:val="none" w:sz="0" w:space="0" w:color="auto"/>
        <w:left w:val="none" w:sz="0" w:space="0" w:color="auto"/>
        <w:bottom w:val="none" w:sz="0" w:space="0" w:color="auto"/>
        <w:right w:val="none" w:sz="0" w:space="0" w:color="auto"/>
      </w:divBdr>
    </w:div>
    <w:div w:id="2007317617">
      <w:bodyDiv w:val="1"/>
      <w:marLeft w:val="0"/>
      <w:marRight w:val="0"/>
      <w:marTop w:val="0"/>
      <w:marBottom w:val="0"/>
      <w:divBdr>
        <w:top w:val="none" w:sz="0" w:space="0" w:color="auto"/>
        <w:left w:val="none" w:sz="0" w:space="0" w:color="auto"/>
        <w:bottom w:val="none" w:sz="0" w:space="0" w:color="auto"/>
        <w:right w:val="none" w:sz="0" w:space="0" w:color="auto"/>
      </w:divBdr>
      <w:divsChild>
        <w:div w:id="1720321708">
          <w:marLeft w:val="0"/>
          <w:marRight w:val="0"/>
          <w:marTop w:val="0"/>
          <w:marBottom w:val="0"/>
          <w:divBdr>
            <w:top w:val="none" w:sz="0" w:space="0" w:color="auto"/>
            <w:left w:val="none" w:sz="0" w:space="0" w:color="auto"/>
            <w:bottom w:val="none" w:sz="0" w:space="0" w:color="auto"/>
            <w:right w:val="none" w:sz="0" w:space="0" w:color="auto"/>
          </w:divBdr>
          <w:divsChild>
            <w:div w:id="1971979260">
              <w:marLeft w:val="0"/>
              <w:marRight w:val="0"/>
              <w:marTop w:val="0"/>
              <w:marBottom w:val="600"/>
              <w:divBdr>
                <w:top w:val="none" w:sz="0" w:space="0" w:color="auto"/>
                <w:left w:val="none" w:sz="0" w:space="0" w:color="auto"/>
                <w:bottom w:val="none" w:sz="0" w:space="0" w:color="auto"/>
                <w:right w:val="none" w:sz="0" w:space="0" w:color="auto"/>
              </w:divBdr>
            </w:div>
          </w:divsChild>
        </w:div>
        <w:div w:id="507721541">
          <w:marLeft w:val="0"/>
          <w:marRight w:val="0"/>
          <w:marTop w:val="0"/>
          <w:marBottom w:val="0"/>
          <w:divBdr>
            <w:top w:val="none" w:sz="0" w:space="0" w:color="auto"/>
            <w:left w:val="none" w:sz="0" w:space="0" w:color="auto"/>
            <w:bottom w:val="none" w:sz="0" w:space="0" w:color="auto"/>
            <w:right w:val="none" w:sz="0" w:space="0" w:color="auto"/>
          </w:divBdr>
          <w:divsChild>
            <w:div w:id="18856794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05450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jenkins@nhs.net" TargetMode="External"/><Relationship Id="rId18" Type="http://schemas.openxmlformats.org/officeDocument/2006/relationships/image" Target="media/image1.jpeg"/><Relationship Id="rId26" Type="http://schemas.openxmlformats.org/officeDocument/2006/relationships/hyperlink" Target="https://doi.org/10.1111/codi.16238" TargetMode="External"/><Relationship Id="rId3" Type="http://schemas.openxmlformats.org/officeDocument/2006/relationships/styles" Target="styles.xml"/><Relationship Id="rId21" Type="http://schemas.openxmlformats.org/officeDocument/2006/relationships/hyperlink" Target="https://doi.org/10.1007/s00423-023-03069-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inh.mai1@nhs.net" TargetMode="External"/><Relationship Id="rId17" Type="http://schemas.openxmlformats.org/officeDocument/2006/relationships/hyperlink" Target="mailto:Charles.west4@nhs.net" TargetMode="External"/><Relationship Id="rId25" Type="http://schemas.openxmlformats.org/officeDocument/2006/relationships/hyperlink" Target="https://doi.org/10.1111/codi.1473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ex.mirnezami@uhs.nhs.uk" TargetMode="External"/><Relationship Id="rId20" Type="http://schemas.openxmlformats.org/officeDocument/2006/relationships/image" Target="media/image3.jpeg"/><Relationship Id="rId29" Type="http://schemas.openxmlformats.org/officeDocument/2006/relationships/hyperlink" Target="https://doi.org/10.1007/s00268-019-05317-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anna.drami@nhs.net" TargetMode="External"/><Relationship Id="rId24" Type="http://schemas.openxmlformats.org/officeDocument/2006/relationships/hyperlink" Target="https://doi.org/10.3390/cancers1211347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west@soton.ac.uk" TargetMode="External"/><Relationship Id="rId23" Type="http://schemas.openxmlformats.org/officeDocument/2006/relationships/hyperlink" Target="https://doi.org/10.1093/bjs/znad301" TargetMode="External"/><Relationship Id="rId28" Type="http://schemas.openxmlformats.org/officeDocument/2006/relationships/hyperlink" Target="https://doi.org/10.1002/ca.23661" TargetMode="External"/><Relationship Id="rId10" Type="http://schemas.openxmlformats.org/officeDocument/2006/relationships/hyperlink" Target="mailto:l.matthews@soton.ac.uk" TargetMode="External"/><Relationship Id="rId19" Type="http://schemas.openxmlformats.org/officeDocument/2006/relationships/image" Target="media/image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bhinav.tiwari@uhs.nhs.uk" TargetMode="External"/><Relationship Id="rId14" Type="http://schemas.openxmlformats.org/officeDocument/2006/relationships/hyperlink" Target="mailto:hideaki.yano@uhs.nhs.uk" TargetMode="External"/><Relationship Id="rId22" Type="http://schemas.openxmlformats.org/officeDocument/2006/relationships/hyperlink" Target="https://doi.org/10.1111/codi.15956" TargetMode="External"/><Relationship Id="rId27" Type="http://schemas.openxmlformats.org/officeDocument/2006/relationships/hyperlink" Target="https://doi.org/10.1111/codi.16476" TargetMode="External"/><Relationship Id="rId30" Type="http://schemas.openxmlformats.org/officeDocument/2006/relationships/hyperlink" Target="https://doi.org/10.1111/codi.16719" TargetMode="External"/><Relationship Id="rId8" Type="http://schemas.openxmlformats.org/officeDocument/2006/relationships/hyperlink" Target="mailto:Charles.west4@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5AEB4-ECBC-664B-A833-4869768A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Pages>
  <Words>2835</Words>
  <Characters>16165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C-Wizard West</dc:creator>
  <cp:keywords/>
  <dc:description/>
  <cp:lastModifiedBy>Mr C West</cp:lastModifiedBy>
  <cp:revision>24</cp:revision>
  <dcterms:created xsi:type="dcterms:W3CDTF">2023-11-01T10:59:00Z</dcterms:created>
  <dcterms:modified xsi:type="dcterms:W3CDTF">2024-01-02T10:42:00Z</dcterms:modified>
</cp:coreProperties>
</file>