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E04B" w14:textId="27B24469" w:rsidR="00C84881" w:rsidRDefault="00845F02" w:rsidP="003B2DF9">
      <w:pPr>
        <w:jc w:val="center"/>
        <w:rPr>
          <w:b/>
          <w:bCs/>
          <w:i/>
          <w:iCs/>
        </w:rPr>
      </w:pPr>
      <w:bookmarkStart w:id="0" w:name="_Int_JfI3JPlI"/>
      <w:r w:rsidRPr="5BE7781D">
        <w:rPr>
          <w:b/>
          <w:bCs/>
          <w:i/>
          <w:iCs/>
        </w:rPr>
        <w:t>J. S. Mill on Harm Prevention</w:t>
      </w:r>
      <w:bookmarkEnd w:id="0"/>
    </w:p>
    <w:p w14:paraId="79C6FE46" w14:textId="77777777" w:rsidR="003B2DF9" w:rsidRDefault="003B2DF9" w:rsidP="5BE7781D">
      <w:pPr>
        <w:jc w:val="both"/>
        <w:rPr>
          <w:i/>
          <w:iCs/>
        </w:rPr>
      </w:pPr>
    </w:p>
    <w:p w14:paraId="1A16E0EB" w14:textId="1364D606" w:rsidR="00CE5139" w:rsidRDefault="10138A1A" w:rsidP="5BE7781D">
      <w:pPr>
        <w:jc w:val="both"/>
        <w:rPr>
          <w:i/>
          <w:iCs/>
        </w:rPr>
      </w:pPr>
      <w:r w:rsidRPr="5BE7781D">
        <w:rPr>
          <w:i/>
          <w:iCs/>
        </w:rPr>
        <w:t xml:space="preserve">According to J. S. Mill’s </w:t>
      </w:r>
      <w:r w:rsidR="62D83ACE" w:rsidRPr="5BE7781D">
        <w:rPr>
          <w:i/>
          <w:iCs/>
        </w:rPr>
        <w:t>l</w:t>
      </w:r>
      <w:r w:rsidRPr="5BE7781D">
        <w:rPr>
          <w:i/>
          <w:iCs/>
        </w:rPr>
        <w:t xml:space="preserve">iberty </w:t>
      </w:r>
      <w:r w:rsidR="7B4BE4ED" w:rsidRPr="5BE7781D">
        <w:rPr>
          <w:i/>
          <w:iCs/>
        </w:rPr>
        <w:t>p</w:t>
      </w:r>
      <w:r w:rsidRPr="5BE7781D">
        <w:rPr>
          <w:i/>
          <w:iCs/>
        </w:rPr>
        <w:t xml:space="preserve">rinciple, the only legitimate justification for </w:t>
      </w:r>
      <w:r w:rsidR="5C49F994" w:rsidRPr="5BE7781D">
        <w:rPr>
          <w:i/>
          <w:iCs/>
        </w:rPr>
        <w:t>restricting the freedom of competent adults</w:t>
      </w:r>
      <w:r w:rsidR="5F29009E" w:rsidRPr="5BE7781D">
        <w:rPr>
          <w:i/>
          <w:iCs/>
        </w:rPr>
        <w:t xml:space="preserve"> </w:t>
      </w:r>
      <w:r w:rsidRPr="5BE7781D">
        <w:rPr>
          <w:i/>
          <w:iCs/>
        </w:rPr>
        <w:t>is to prevent harm to others. However, this is ambi</w:t>
      </w:r>
      <w:r w:rsidR="639B9E8A" w:rsidRPr="5BE7781D">
        <w:rPr>
          <w:i/>
          <w:iCs/>
        </w:rPr>
        <w:t xml:space="preserve">guous between two interpretations. The </w:t>
      </w:r>
      <w:r w:rsidR="639B9E8A" w:rsidRPr="5BE7781D">
        <w:t>harm causation</w:t>
      </w:r>
      <w:r w:rsidR="639B9E8A" w:rsidRPr="5BE7781D">
        <w:rPr>
          <w:i/>
          <w:iCs/>
        </w:rPr>
        <w:t xml:space="preserve"> version </w:t>
      </w:r>
      <w:r w:rsidR="3A6080E4" w:rsidRPr="5BE7781D">
        <w:rPr>
          <w:i/>
          <w:iCs/>
        </w:rPr>
        <w:t>(Brown</w:t>
      </w:r>
      <w:r w:rsidR="00645C52">
        <w:rPr>
          <w:i/>
          <w:iCs/>
        </w:rPr>
        <w:t>,</w:t>
      </w:r>
      <w:r w:rsidR="3A6080E4" w:rsidRPr="5BE7781D">
        <w:rPr>
          <w:i/>
          <w:iCs/>
        </w:rPr>
        <w:t xml:space="preserve"> 1972) </w:t>
      </w:r>
      <w:r w:rsidR="639B9E8A" w:rsidRPr="5BE7781D">
        <w:rPr>
          <w:i/>
          <w:iCs/>
        </w:rPr>
        <w:t>has it that only conduct</w:t>
      </w:r>
      <w:r w:rsidR="7D61BB41" w:rsidRPr="5BE7781D">
        <w:rPr>
          <w:i/>
          <w:iCs/>
        </w:rPr>
        <w:t xml:space="preserve"> that is itself harmful</w:t>
      </w:r>
      <w:r w:rsidR="639B9E8A" w:rsidRPr="5BE7781D">
        <w:rPr>
          <w:i/>
          <w:iCs/>
        </w:rPr>
        <w:t xml:space="preserve"> is liable to interference</w:t>
      </w:r>
      <w:r w:rsidR="771A65B0" w:rsidRPr="5BE7781D">
        <w:rPr>
          <w:i/>
          <w:iCs/>
        </w:rPr>
        <w:t>. In contrast</w:t>
      </w:r>
      <w:r w:rsidR="639B9E8A" w:rsidRPr="5BE7781D">
        <w:rPr>
          <w:i/>
          <w:iCs/>
        </w:rPr>
        <w:t xml:space="preserve">, the </w:t>
      </w:r>
      <w:r w:rsidR="639B9E8A" w:rsidRPr="5BE7781D">
        <w:t>gene</w:t>
      </w:r>
      <w:r w:rsidR="7023BD46" w:rsidRPr="5BE7781D">
        <w:t>ral preventio</w:t>
      </w:r>
      <w:r w:rsidR="00E041D6">
        <w:t xml:space="preserve">n of </w:t>
      </w:r>
      <w:r w:rsidR="00E041D6" w:rsidRPr="00E041D6">
        <w:t xml:space="preserve">harm </w:t>
      </w:r>
      <w:r w:rsidR="7023BD46" w:rsidRPr="5BE7781D">
        <w:rPr>
          <w:i/>
          <w:iCs/>
        </w:rPr>
        <w:t>version</w:t>
      </w:r>
      <w:r w:rsidR="7BE03FA1" w:rsidRPr="5BE7781D">
        <w:rPr>
          <w:i/>
          <w:iCs/>
        </w:rPr>
        <w:t xml:space="preserve"> (Lyons</w:t>
      </w:r>
      <w:r w:rsidR="00645C52">
        <w:rPr>
          <w:i/>
          <w:iCs/>
        </w:rPr>
        <w:t>,</w:t>
      </w:r>
      <w:r w:rsidR="7BE03FA1" w:rsidRPr="5BE7781D">
        <w:rPr>
          <w:i/>
          <w:iCs/>
        </w:rPr>
        <w:t xml:space="preserve"> 1979)</w:t>
      </w:r>
      <w:r w:rsidR="7023BD46" w:rsidRPr="5BE7781D">
        <w:rPr>
          <w:i/>
          <w:iCs/>
        </w:rPr>
        <w:t xml:space="preserve"> allows interference with conduct</w:t>
      </w:r>
      <w:r w:rsidR="3DD1C6DA" w:rsidRPr="5BE7781D">
        <w:rPr>
          <w:i/>
          <w:iCs/>
        </w:rPr>
        <w:t xml:space="preserve"> that </w:t>
      </w:r>
      <w:r w:rsidR="7337AED3" w:rsidRPr="5BE7781D">
        <w:rPr>
          <w:i/>
          <w:iCs/>
        </w:rPr>
        <w:t xml:space="preserve">does not </w:t>
      </w:r>
      <w:r w:rsidR="3BFFEB26" w:rsidRPr="5BE7781D">
        <w:rPr>
          <w:i/>
          <w:iCs/>
        </w:rPr>
        <w:t xml:space="preserve">itself </w:t>
      </w:r>
      <w:r w:rsidR="7337AED3" w:rsidRPr="5BE7781D">
        <w:rPr>
          <w:i/>
          <w:iCs/>
        </w:rPr>
        <w:t>cause</w:t>
      </w:r>
      <w:r w:rsidR="3DD1C6DA" w:rsidRPr="5BE7781D">
        <w:rPr>
          <w:i/>
          <w:iCs/>
        </w:rPr>
        <w:t xml:space="preserve"> harm</w:t>
      </w:r>
      <w:r w:rsidR="7023BD46" w:rsidRPr="5BE7781D">
        <w:rPr>
          <w:i/>
          <w:iCs/>
        </w:rPr>
        <w:t xml:space="preserve">, such as refusals to assist others, </w:t>
      </w:r>
      <w:r w:rsidR="79E1A870" w:rsidRPr="5BE7781D">
        <w:rPr>
          <w:i/>
          <w:iCs/>
        </w:rPr>
        <w:t>so long as</w:t>
      </w:r>
      <w:r w:rsidR="7023BD46" w:rsidRPr="5BE7781D">
        <w:rPr>
          <w:i/>
          <w:iCs/>
        </w:rPr>
        <w:t xml:space="preserve"> this</w:t>
      </w:r>
      <w:r w:rsidR="4F93BB7A" w:rsidRPr="5BE7781D">
        <w:rPr>
          <w:i/>
          <w:iCs/>
        </w:rPr>
        <w:t xml:space="preserve"> interference</w:t>
      </w:r>
      <w:r w:rsidR="7023BD46" w:rsidRPr="5BE7781D">
        <w:rPr>
          <w:i/>
          <w:iCs/>
        </w:rPr>
        <w:t xml:space="preserve"> prevents harm</w:t>
      </w:r>
      <w:r w:rsidR="6F2856A2" w:rsidRPr="5BE7781D">
        <w:rPr>
          <w:i/>
          <w:iCs/>
        </w:rPr>
        <w:t xml:space="preserve"> from occurring</w:t>
      </w:r>
      <w:r w:rsidR="7023BD46" w:rsidRPr="5BE7781D">
        <w:rPr>
          <w:i/>
          <w:iCs/>
        </w:rPr>
        <w:t xml:space="preserve">. </w:t>
      </w:r>
    </w:p>
    <w:p w14:paraId="05B70AC0" w14:textId="4C7F115B" w:rsidR="10138A1A" w:rsidRDefault="6178157F" w:rsidP="5BE7781D">
      <w:pPr>
        <w:jc w:val="both"/>
        <w:rPr>
          <w:i/>
          <w:iCs/>
        </w:rPr>
      </w:pPr>
      <w:r w:rsidRPr="5BE7781D">
        <w:rPr>
          <w:i/>
          <w:iCs/>
        </w:rPr>
        <w:t xml:space="preserve">Mark Tunick (2024) has recently offered new arguments for the harm causation </w:t>
      </w:r>
      <w:r w:rsidR="7E069A76" w:rsidRPr="5BE7781D">
        <w:rPr>
          <w:i/>
          <w:iCs/>
        </w:rPr>
        <w:t>interpretation</w:t>
      </w:r>
      <w:r w:rsidRPr="5BE7781D">
        <w:rPr>
          <w:i/>
          <w:iCs/>
        </w:rPr>
        <w:t xml:space="preserve">, suggesting that only this can explain Mill’s resistance to </w:t>
      </w:r>
      <w:r w:rsidR="11B56725" w:rsidRPr="5BE7781D">
        <w:rPr>
          <w:i/>
          <w:iCs/>
        </w:rPr>
        <w:t>legal interference with</w:t>
      </w:r>
      <w:r w:rsidRPr="5BE7781D">
        <w:rPr>
          <w:i/>
          <w:iCs/>
        </w:rPr>
        <w:t xml:space="preserve"> prostitutes. This pape</w:t>
      </w:r>
      <w:r w:rsidR="1FF9C563" w:rsidRPr="5BE7781D">
        <w:rPr>
          <w:i/>
          <w:iCs/>
        </w:rPr>
        <w:t xml:space="preserve">r </w:t>
      </w:r>
      <w:r w:rsidR="00E041D6">
        <w:rPr>
          <w:i/>
          <w:iCs/>
        </w:rPr>
        <w:t>challenges</w:t>
      </w:r>
      <w:r w:rsidR="1FF9C563" w:rsidRPr="5BE7781D">
        <w:rPr>
          <w:i/>
          <w:iCs/>
        </w:rPr>
        <w:t xml:space="preserve"> Tunick’s arguments. First, I show that Mill does not </w:t>
      </w:r>
      <w:r w:rsidR="00E041D6">
        <w:rPr>
          <w:i/>
          <w:iCs/>
        </w:rPr>
        <w:t>clearly</w:t>
      </w:r>
      <w:r w:rsidR="1FF9C563" w:rsidRPr="5BE7781D">
        <w:rPr>
          <w:i/>
          <w:iCs/>
        </w:rPr>
        <w:t xml:space="preserve"> restrict interference to the proximate causes of harm</w:t>
      </w:r>
      <w:r w:rsidR="16E6CB7E" w:rsidRPr="5BE7781D">
        <w:rPr>
          <w:i/>
          <w:iCs/>
        </w:rPr>
        <w:t xml:space="preserve">. While he </w:t>
      </w:r>
      <w:r w:rsidR="16E6CB7E" w:rsidRPr="005D2905">
        <w:t>prefers</w:t>
      </w:r>
      <w:r w:rsidR="16E6CB7E" w:rsidRPr="5BE7781D">
        <w:rPr>
          <w:i/>
          <w:iCs/>
        </w:rPr>
        <w:t xml:space="preserve"> interference to focus on the clients, </w:t>
      </w:r>
      <w:r w:rsidR="00E041D6">
        <w:rPr>
          <w:i/>
          <w:iCs/>
        </w:rPr>
        <w:t xml:space="preserve">rather than singling out the prostitutes, </w:t>
      </w:r>
      <w:r w:rsidR="16E6CB7E" w:rsidRPr="5BE7781D">
        <w:rPr>
          <w:i/>
          <w:iCs/>
        </w:rPr>
        <w:t xml:space="preserve">he is prepared to countenance interference with the prostitutes as well. </w:t>
      </w:r>
      <w:r w:rsidR="7A159393" w:rsidRPr="5BE7781D">
        <w:rPr>
          <w:i/>
          <w:iCs/>
        </w:rPr>
        <w:t xml:space="preserve">Further, his preference for focusing on the clients is explicable, even </w:t>
      </w:r>
      <w:r w:rsidR="4694B2A1" w:rsidRPr="5BE7781D">
        <w:rPr>
          <w:i/>
          <w:iCs/>
        </w:rPr>
        <w:t xml:space="preserve">if not required by </w:t>
      </w:r>
      <w:r w:rsidR="7A159393" w:rsidRPr="5BE7781D">
        <w:rPr>
          <w:i/>
          <w:iCs/>
        </w:rPr>
        <w:t xml:space="preserve">the </w:t>
      </w:r>
      <w:r w:rsidR="7001DF02" w:rsidRPr="5BE7781D">
        <w:rPr>
          <w:i/>
          <w:iCs/>
        </w:rPr>
        <w:t xml:space="preserve">liberty </w:t>
      </w:r>
      <w:r w:rsidR="7A159393" w:rsidRPr="5BE7781D">
        <w:rPr>
          <w:i/>
          <w:iCs/>
        </w:rPr>
        <w:t>principl</w:t>
      </w:r>
      <w:r w:rsidR="6D4F2BF9" w:rsidRPr="5BE7781D">
        <w:rPr>
          <w:i/>
          <w:iCs/>
        </w:rPr>
        <w:t>e</w:t>
      </w:r>
      <w:r w:rsidR="7A159393" w:rsidRPr="5BE7781D">
        <w:rPr>
          <w:i/>
          <w:iCs/>
        </w:rPr>
        <w:t>.</w:t>
      </w:r>
    </w:p>
    <w:p w14:paraId="2BC394D9" w14:textId="31B5BFBE" w:rsidR="10138A1A" w:rsidRDefault="10138A1A" w:rsidP="5BE7781D">
      <w:pPr>
        <w:jc w:val="both"/>
      </w:pPr>
      <w:r w:rsidRPr="5BE7781D">
        <w:rPr>
          <w:i/>
          <w:iCs/>
        </w:rPr>
        <w:t xml:space="preserve"> </w:t>
      </w:r>
    </w:p>
    <w:p w14:paraId="49619D69" w14:textId="5F74019D" w:rsidR="51818CA4" w:rsidRDefault="51818CA4" w:rsidP="5BE7781D">
      <w:pPr>
        <w:jc w:val="both"/>
      </w:pPr>
      <w:r>
        <w:t>Keywords: harm; interference; J.S.Mill; liberty; prevention; prostitution.</w:t>
      </w:r>
    </w:p>
    <w:p w14:paraId="5859122F" w14:textId="39805550" w:rsidR="5BE7781D" w:rsidRDefault="5BE7781D" w:rsidP="5BE7781D">
      <w:pPr>
        <w:jc w:val="both"/>
      </w:pPr>
    </w:p>
    <w:p w14:paraId="75CB88F1" w14:textId="77777777" w:rsidR="003B2DF9" w:rsidRDefault="003B2DF9" w:rsidP="5BE7781D">
      <w:pPr>
        <w:jc w:val="both"/>
      </w:pPr>
    </w:p>
    <w:p w14:paraId="13039434" w14:textId="2220719F" w:rsidR="476289B8" w:rsidRDefault="476289B8" w:rsidP="5BE7781D">
      <w:pPr>
        <w:jc w:val="both"/>
      </w:pPr>
      <w:r w:rsidRPr="5BE7781D">
        <w:rPr>
          <w:i/>
          <w:iCs/>
        </w:rPr>
        <w:t>1. Introduction</w:t>
      </w:r>
    </w:p>
    <w:p w14:paraId="5D398724" w14:textId="797ADC8C" w:rsidR="002B0B80" w:rsidRDefault="003405DF" w:rsidP="5BE7781D">
      <w:pPr>
        <w:jc w:val="both"/>
      </w:pPr>
      <w:r>
        <w:t xml:space="preserve">The central thesis of </w:t>
      </w:r>
      <w:r>
        <w:rPr>
          <w:i/>
          <w:iCs/>
        </w:rPr>
        <w:t>On Liberty</w:t>
      </w:r>
      <w:r>
        <w:t xml:space="preserve"> is that </w:t>
      </w:r>
      <w:r w:rsidR="00FC704C">
        <w:t>‘</w:t>
      </w:r>
      <w:r>
        <w:t>the only purpose for which power can be rightfully exercised over any [competent adult] member of a civilized community, against his will, is to prevent harm to others</w:t>
      </w:r>
      <w:r w:rsidR="00FC704C">
        <w:t>’</w:t>
      </w:r>
      <w:r>
        <w:t xml:space="preserve"> (CW18:</w:t>
      </w:r>
      <w:r w:rsidR="003B2DF9">
        <w:t xml:space="preserve"> </w:t>
      </w:r>
      <w:r>
        <w:t>223).</w:t>
      </w:r>
      <w:r>
        <w:rPr>
          <w:rStyle w:val="FootnoteReference"/>
        </w:rPr>
        <w:footnoteReference w:id="2"/>
      </w:r>
      <w:r>
        <w:t xml:space="preserve"> Call this </w:t>
      </w:r>
      <w:r w:rsidR="00203F53" w:rsidRPr="00E041D6">
        <w:rPr>
          <w:i/>
          <w:iCs/>
        </w:rPr>
        <w:t xml:space="preserve">Mill’s </w:t>
      </w:r>
      <w:r w:rsidR="0EE57F94" w:rsidRPr="00E041D6">
        <w:rPr>
          <w:i/>
          <w:iCs/>
        </w:rPr>
        <w:t>Liberty</w:t>
      </w:r>
      <w:r w:rsidR="00203F53" w:rsidRPr="00E041D6">
        <w:rPr>
          <w:i/>
          <w:iCs/>
        </w:rPr>
        <w:t xml:space="preserve"> Principle</w:t>
      </w:r>
      <w:r w:rsidR="00203F53">
        <w:t xml:space="preserve"> (henceforth: M</w:t>
      </w:r>
      <w:r w:rsidR="45A70311">
        <w:t>L</w:t>
      </w:r>
      <w:r w:rsidR="00203F53">
        <w:t>P)</w:t>
      </w:r>
      <w:r>
        <w:t>.</w:t>
      </w:r>
      <w:r w:rsidRPr="003405DF">
        <w:rPr>
          <w:vertAlign w:val="superscript"/>
        </w:rPr>
        <w:footnoteReference w:id="3"/>
      </w:r>
      <w:r>
        <w:t xml:space="preserve"> It</w:t>
      </w:r>
      <w:r w:rsidR="00203F53">
        <w:t xml:space="preserve"> protects individual freedom by limiting justifications for coercive interference.</w:t>
      </w:r>
      <w:r w:rsidRPr="003405DF">
        <w:rPr>
          <w:vertAlign w:val="superscript"/>
        </w:rPr>
        <w:footnoteReference w:id="4"/>
      </w:r>
      <w:r w:rsidR="00203F53">
        <w:t xml:space="preserve"> However, </w:t>
      </w:r>
      <w:r w:rsidR="397AA146">
        <w:t>t</w:t>
      </w:r>
      <w:r w:rsidR="00203F53">
        <w:t>here are many ambiguities and interpretive puzzles.</w:t>
      </w:r>
      <w:r w:rsidR="006D5742">
        <w:rPr>
          <w:rStyle w:val="FootnoteReference"/>
        </w:rPr>
        <w:footnoteReference w:id="5"/>
      </w:r>
      <w:r w:rsidR="75EC65F3">
        <w:t xml:space="preserve"> </w:t>
      </w:r>
      <w:r w:rsidR="00203F53">
        <w:t>This paper focuses on</w:t>
      </w:r>
      <w:r w:rsidR="64F851A5">
        <w:t xml:space="preserve"> </w:t>
      </w:r>
      <w:r w:rsidR="00203F53">
        <w:t>the connection between interference and harm prevention.</w:t>
      </w:r>
      <w:r w:rsidR="7EF5959F">
        <w:t xml:space="preserve"> More specifically, </w:t>
      </w:r>
      <w:r w:rsidR="51BDC223">
        <w:t>it</w:t>
      </w:r>
      <w:r w:rsidR="7EF5959F">
        <w:t xml:space="preserve"> concerns whether legitimate interference is limited to harmful conduct or whether </w:t>
      </w:r>
      <w:r w:rsidR="4546B286">
        <w:t>MLP allows interference with harmless conduct, provided some harm is prevented.</w:t>
      </w:r>
    </w:p>
    <w:p w14:paraId="1907DAD7" w14:textId="3C841141" w:rsidR="002B0B80" w:rsidRDefault="006D5742" w:rsidP="03FE00F0">
      <w:pPr>
        <w:jc w:val="both"/>
      </w:pPr>
      <w:r>
        <w:t xml:space="preserve">Mill </w:t>
      </w:r>
      <w:r w:rsidR="005D2905">
        <w:t>holds that</w:t>
      </w:r>
      <w:r>
        <w:t xml:space="preserve"> </w:t>
      </w:r>
      <w:r w:rsidR="00FC704C">
        <w:t>‘</w:t>
      </w:r>
      <w:r>
        <w:t>there is no room for entertaining</w:t>
      </w:r>
      <w:r w:rsidR="00FC704C">
        <w:t>’</w:t>
      </w:r>
      <w:r>
        <w:t xml:space="preserve"> interference </w:t>
      </w:r>
      <w:r w:rsidR="00FC704C">
        <w:t>‘</w:t>
      </w:r>
      <w:r>
        <w:t>when a person’s conduct affects the interests of no persons besides himself</w:t>
      </w:r>
      <w:r w:rsidR="00FC704C">
        <w:t>’</w:t>
      </w:r>
      <w:r>
        <w:t xml:space="preserve"> (CW18:</w:t>
      </w:r>
      <w:r w:rsidR="003B2DF9">
        <w:t xml:space="preserve"> </w:t>
      </w:r>
      <w:r>
        <w:t>276). On this basis, s</w:t>
      </w:r>
      <w:r w:rsidR="009436BC">
        <w:t>ome interpreters (Brown</w:t>
      </w:r>
      <w:r w:rsidR="00FC704C">
        <w:t>,</w:t>
      </w:r>
      <w:r w:rsidR="009436BC">
        <w:t xml:space="preserve"> 1972; LaSelva</w:t>
      </w:r>
      <w:r w:rsidR="00FC704C">
        <w:t>,</w:t>
      </w:r>
      <w:r w:rsidR="009436BC">
        <w:t xml:space="preserve"> 1988; Tunick</w:t>
      </w:r>
      <w:r w:rsidR="00FC704C">
        <w:t>,</w:t>
      </w:r>
      <w:r w:rsidR="009436BC">
        <w:t xml:space="preserve"> 2024) think that interference </w:t>
      </w:r>
      <w:r w:rsidR="00C21C06">
        <w:t>should be</w:t>
      </w:r>
      <w:r w:rsidR="009436BC">
        <w:t xml:space="preserve"> restricted to actions that cause harm to others.</w:t>
      </w:r>
      <w:r w:rsidR="00C21C06">
        <w:t xml:space="preserve"> </w:t>
      </w:r>
      <w:r w:rsidR="325022CB">
        <w:t>Let us call this the</w:t>
      </w:r>
      <w:r w:rsidR="00C773F7">
        <w:t xml:space="preserve"> </w:t>
      </w:r>
      <w:r w:rsidR="00C773F7" w:rsidRPr="5BE7781D">
        <w:rPr>
          <w:i/>
          <w:iCs/>
        </w:rPr>
        <w:t>harm-causation</w:t>
      </w:r>
      <w:r w:rsidR="00C773F7">
        <w:t xml:space="preserve"> </w:t>
      </w:r>
      <w:r w:rsidR="00DE495B">
        <w:t>view</w:t>
      </w:r>
      <w:r w:rsidR="344BECB8">
        <w:t xml:space="preserve"> (</w:t>
      </w:r>
      <w:r w:rsidR="00C773F7">
        <w:t>HC</w:t>
      </w:r>
      <w:r w:rsidR="182A3D07">
        <w:t>)</w:t>
      </w:r>
      <w:r w:rsidR="00203F53">
        <w:t>.</w:t>
      </w:r>
    </w:p>
    <w:p w14:paraId="73AE7F78" w14:textId="56C907D7" w:rsidR="002B0B80" w:rsidRDefault="4D065612" w:rsidP="03FE00F0">
      <w:pPr>
        <w:ind w:firstLine="720"/>
        <w:jc w:val="both"/>
      </w:pPr>
      <w:r>
        <w:t>HC:</w:t>
      </w:r>
      <w:r w:rsidR="00203F53">
        <w:tab/>
      </w:r>
      <w:r w:rsidR="48ACFA84">
        <w:t xml:space="preserve">A competent adult’s conduct is liable to </w:t>
      </w:r>
      <w:r w:rsidR="00E041D6">
        <w:t xml:space="preserve">coercive </w:t>
      </w:r>
      <w:r w:rsidR="48ACFA84">
        <w:t xml:space="preserve">interference iff that conduct causes </w:t>
      </w:r>
      <w:r w:rsidR="00203F53">
        <w:tab/>
      </w:r>
      <w:r w:rsidR="00203F53">
        <w:tab/>
      </w:r>
      <w:r w:rsidR="48ACFA84">
        <w:t>harm to others</w:t>
      </w:r>
      <w:r w:rsidR="009436BC">
        <w:t>.</w:t>
      </w:r>
    </w:p>
    <w:p w14:paraId="451D8066" w14:textId="6BDB78A2" w:rsidR="006E252B" w:rsidRDefault="00203F53" w:rsidP="03FE00F0">
      <w:pPr>
        <w:jc w:val="both"/>
      </w:pPr>
      <w:r>
        <w:lastRenderedPageBreak/>
        <w:t xml:space="preserve">Some finessing </w:t>
      </w:r>
      <w:r w:rsidR="00310DE4">
        <w:t>is</w:t>
      </w:r>
      <w:r>
        <w:t xml:space="preserve"> required here. Mill </w:t>
      </w:r>
      <w:r w:rsidR="00310DE4">
        <w:t>allows for</w:t>
      </w:r>
      <w:r>
        <w:t xml:space="preserve"> interference where there is merely a </w:t>
      </w:r>
      <w:r w:rsidRPr="5BE7781D">
        <w:rPr>
          <w:i/>
          <w:iCs/>
        </w:rPr>
        <w:t>risk</w:t>
      </w:r>
      <w:r>
        <w:t xml:space="preserve"> of harm, rather than actual harm</w:t>
      </w:r>
      <w:r w:rsidR="0C5B47D5">
        <w:t xml:space="preserve"> (</w:t>
      </w:r>
      <w:r w:rsidR="36B20E96">
        <w:t xml:space="preserve">e.g., </w:t>
      </w:r>
      <w:r w:rsidR="24DD545B">
        <w:t>C</w:t>
      </w:r>
      <w:r w:rsidR="24DD545B" w:rsidRPr="00DE495B">
        <w:t>W18</w:t>
      </w:r>
      <w:r w:rsidR="24DD545B">
        <w:t>:</w:t>
      </w:r>
      <w:r w:rsidR="003B2DF9">
        <w:t xml:space="preserve"> </w:t>
      </w:r>
      <w:r w:rsidR="24DD545B">
        <w:t>282, 2</w:t>
      </w:r>
      <w:r w:rsidR="68B08CCC">
        <w:t>92</w:t>
      </w:r>
      <w:r w:rsidR="0C5B47D5">
        <w:t>)</w:t>
      </w:r>
      <w:r>
        <w:t xml:space="preserve">. Further, </w:t>
      </w:r>
      <w:r w:rsidR="00310DE4">
        <w:t xml:space="preserve">at least </w:t>
      </w:r>
      <w:r>
        <w:t xml:space="preserve">when it comes to legal interference, it may be necessary to prohibit </w:t>
      </w:r>
      <w:r w:rsidR="00310DE4">
        <w:t xml:space="preserve">all actions of a type, even if some tokens may be harmless. Thus, a suitably refined version of HC </w:t>
      </w:r>
      <w:r w:rsidR="25ADBBB4">
        <w:t>might</w:t>
      </w:r>
      <w:r w:rsidR="00310DE4">
        <w:t xml:space="preserve"> permit interference with some actions</w:t>
      </w:r>
      <w:r w:rsidR="00E041D6">
        <w:t xml:space="preserve"> that are themselves </w:t>
      </w:r>
      <w:r w:rsidR="00E041D6" w:rsidRPr="00E041D6">
        <w:t>harmless</w:t>
      </w:r>
      <w:r w:rsidR="00310DE4">
        <w:t xml:space="preserve">, </w:t>
      </w:r>
      <w:r w:rsidR="1F263C29">
        <w:t>though</w:t>
      </w:r>
      <w:r w:rsidR="5389B48F">
        <w:t xml:space="preserve"> </w:t>
      </w:r>
      <w:r w:rsidR="00310DE4">
        <w:t>they must at least be of a type that tends to cause harm.</w:t>
      </w:r>
      <w:r w:rsidR="009436BC">
        <w:t xml:space="preserve"> This explains why self-regarding actions cannot be interfered with</w:t>
      </w:r>
      <w:r w:rsidR="00E041D6">
        <w:t>;</w:t>
      </w:r>
      <w:r w:rsidR="009436BC">
        <w:t xml:space="preserve"> </w:t>
      </w:r>
      <w:r w:rsidR="00E041D6">
        <w:t xml:space="preserve">if an action does not affect anyone other than the agent then it </w:t>
      </w:r>
      <w:r w:rsidR="00E041D6">
        <w:rPr>
          <w:i/>
          <w:iCs/>
        </w:rPr>
        <w:t>a fortiori</w:t>
      </w:r>
      <w:r w:rsidR="00E041D6">
        <w:t xml:space="preserve"> it cannot harm anyone else</w:t>
      </w:r>
      <w:r w:rsidR="009436BC">
        <w:t>.</w:t>
      </w:r>
    </w:p>
    <w:p w14:paraId="31CE0A46" w14:textId="2AD61FA8" w:rsidR="7E7D5DA6" w:rsidRDefault="009436BC" w:rsidP="5BE7781D">
      <w:pPr>
        <w:jc w:val="both"/>
      </w:pPr>
      <w:r>
        <w:t>However, this</w:t>
      </w:r>
      <w:r w:rsidR="006E252B">
        <w:t xml:space="preserve"> HC</w:t>
      </w:r>
      <w:r>
        <w:t xml:space="preserve"> interpretation faces difficulty explaining those cases </w:t>
      </w:r>
      <w:r w:rsidR="0D57CD9F">
        <w:t xml:space="preserve">where Mill says that people can be compelled to </w:t>
      </w:r>
      <w:r w:rsidR="00E041D6">
        <w:t xml:space="preserve">perform positive </w:t>
      </w:r>
      <w:r w:rsidR="0D57CD9F">
        <w:t>act</w:t>
      </w:r>
      <w:r w:rsidR="00E041D6">
        <w:t>s</w:t>
      </w:r>
      <w:r w:rsidR="0D57CD9F">
        <w:t xml:space="preserve">, </w:t>
      </w:r>
      <w:r w:rsidR="00E041D6">
        <w:t>such as</w:t>
      </w:r>
      <w:r w:rsidR="0D57CD9F">
        <w:t xml:space="preserve"> </w:t>
      </w:r>
      <w:r w:rsidR="31478E13">
        <w:t xml:space="preserve">testifying in court or performing easy rescues (CW18: 225). </w:t>
      </w:r>
      <w:r>
        <w:t>Mill</w:t>
      </w:r>
      <w:r w:rsidR="006E252B">
        <w:t xml:space="preserve"> suggests that interference is justified in these cases because one causes harm by inaction, </w:t>
      </w:r>
      <w:r w:rsidR="005D2905">
        <w:t xml:space="preserve">but </w:t>
      </w:r>
      <w:r w:rsidR="006E252B">
        <w:t xml:space="preserve">the idea that </w:t>
      </w:r>
      <w:r w:rsidR="00E041D6">
        <w:t xml:space="preserve">one </w:t>
      </w:r>
      <w:r w:rsidR="006E252B">
        <w:t>can cause harm</w:t>
      </w:r>
      <w:r w:rsidR="00E041D6">
        <w:t xml:space="preserve"> by </w:t>
      </w:r>
      <w:r w:rsidR="00E041D6" w:rsidRPr="00E041D6">
        <w:t>omission</w:t>
      </w:r>
      <w:r w:rsidR="006E252B">
        <w:t xml:space="preserve"> is controversial. </w:t>
      </w:r>
      <w:r w:rsidR="004C3DA6">
        <w:t xml:space="preserve">We might ordinarily say that an agent who does nothing merely allows harm to occur. </w:t>
      </w:r>
      <w:r w:rsidR="00DE495B">
        <w:t>In light of such cases, some</w:t>
      </w:r>
      <w:r w:rsidR="00702406">
        <w:t xml:space="preserve"> interpreters</w:t>
      </w:r>
      <w:r w:rsidR="0AC9BAB1">
        <w:t xml:space="preserve"> (</w:t>
      </w:r>
      <w:r w:rsidR="00702406">
        <w:t xml:space="preserve">Lyons 1979, 1982; </w:t>
      </w:r>
      <w:r w:rsidR="0AC9BAB1">
        <w:t>Threet</w:t>
      </w:r>
      <w:r w:rsidR="00FC704C">
        <w:t>,</w:t>
      </w:r>
      <w:r w:rsidR="0AC9BAB1">
        <w:t xml:space="preserve"> 2018</w:t>
      </w:r>
      <w:r w:rsidR="00FC704C">
        <w:t>, p.</w:t>
      </w:r>
      <w:r w:rsidR="0AC9BAB1">
        <w:t xml:space="preserve"> 544; Waldron</w:t>
      </w:r>
      <w:r w:rsidR="00FC704C">
        <w:t>,</w:t>
      </w:r>
      <w:r w:rsidR="0AC9BAB1">
        <w:t xml:space="preserve"> 2007</w:t>
      </w:r>
      <w:r w:rsidR="00FC704C">
        <w:t>, p.</w:t>
      </w:r>
      <w:r w:rsidR="0AC9BAB1">
        <w:t xml:space="preserve"> 18)</w:t>
      </w:r>
      <w:r w:rsidR="00702406">
        <w:t xml:space="preserve"> hold </w:t>
      </w:r>
      <w:r w:rsidR="00E041D6">
        <w:t>that MLP permits</w:t>
      </w:r>
      <w:r w:rsidR="00203F53">
        <w:t xml:space="preserve"> interfere</w:t>
      </w:r>
      <w:r w:rsidR="00E041D6">
        <w:t>nce</w:t>
      </w:r>
      <w:r w:rsidR="00310DE4">
        <w:t xml:space="preserve"> with</w:t>
      </w:r>
      <w:r w:rsidR="4E1D912E">
        <w:t xml:space="preserve"> </w:t>
      </w:r>
      <w:r w:rsidR="00310DE4">
        <w:t>actions</w:t>
      </w:r>
      <w:r w:rsidR="1027A94F">
        <w:t xml:space="preserve"> that </w:t>
      </w:r>
      <w:r w:rsidR="00E041D6">
        <w:t>do not</w:t>
      </w:r>
      <w:r w:rsidR="1027A94F">
        <w:t xml:space="preserve"> themselves </w:t>
      </w:r>
      <w:r w:rsidR="00E041D6">
        <w:t xml:space="preserve">cause </w:t>
      </w:r>
      <w:r w:rsidR="1027A94F">
        <w:t>harm</w:t>
      </w:r>
      <w:r w:rsidR="00310DE4">
        <w:t xml:space="preserve">, provided that </w:t>
      </w:r>
      <w:r w:rsidR="00485F64">
        <w:t>this interference somehow</w:t>
      </w:r>
      <w:r w:rsidR="00310DE4">
        <w:t xml:space="preserve"> prevents harm</w:t>
      </w:r>
      <w:r w:rsidR="00A14ACE">
        <w:t xml:space="preserve">. </w:t>
      </w:r>
      <w:r w:rsidR="182F04E8">
        <w:t xml:space="preserve">Let us call this the </w:t>
      </w:r>
      <w:r w:rsidR="182F04E8" w:rsidRPr="5BE7781D">
        <w:rPr>
          <w:i/>
          <w:iCs/>
        </w:rPr>
        <w:t>general preventio</w:t>
      </w:r>
      <w:r w:rsidR="00AB1950">
        <w:rPr>
          <w:i/>
          <w:iCs/>
        </w:rPr>
        <w:t>n of harm</w:t>
      </w:r>
      <w:r w:rsidR="182F04E8">
        <w:t xml:space="preserve"> </w:t>
      </w:r>
      <w:r w:rsidR="00DE495B">
        <w:t>reading</w:t>
      </w:r>
      <w:r w:rsidR="182F04E8">
        <w:t xml:space="preserve"> (GP</w:t>
      </w:r>
      <w:r w:rsidR="00AB1950">
        <w:t>H</w:t>
      </w:r>
      <w:r w:rsidR="182F04E8">
        <w:t>).</w:t>
      </w:r>
    </w:p>
    <w:p w14:paraId="476233E7" w14:textId="7AB39A09" w:rsidR="74C9BD41" w:rsidRDefault="74C9BD41" w:rsidP="004C3DA6">
      <w:pPr>
        <w:ind w:left="1440" w:hanging="720"/>
        <w:jc w:val="both"/>
      </w:pPr>
      <w:r>
        <w:t>GP</w:t>
      </w:r>
      <w:r w:rsidR="00AB1950">
        <w:t>H</w:t>
      </w:r>
      <w:r>
        <w:t>:</w:t>
      </w:r>
      <w:r>
        <w:tab/>
      </w:r>
      <w:r w:rsidR="66CAF00F">
        <w:t>A competent adult’s c</w:t>
      </w:r>
      <w:r w:rsidR="09DF47B7">
        <w:t xml:space="preserve">onduct is liable to </w:t>
      </w:r>
      <w:r w:rsidR="004C3DA6">
        <w:t xml:space="preserve">coercive </w:t>
      </w:r>
      <w:r w:rsidR="09DF47B7">
        <w:t>interference iff that interference prevents harm to others.</w:t>
      </w:r>
    </w:p>
    <w:p w14:paraId="750007B2" w14:textId="01DA8805" w:rsidR="00702406" w:rsidRDefault="005D2905" w:rsidP="5BE7781D">
      <w:pPr>
        <w:jc w:val="both"/>
      </w:pPr>
      <w:r>
        <w:t>On this interpretation, t</w:t>
      </w:r>
      <w:r w:rsidRPr="005D2905">
        <w:t xml:space="preserve">he harm that is prevented need not be caused by the agent or action interfered with. </w:t>
      </w:r>
      <w:r>
        <w:t>Thus, i</w:t>
      </w:r>
      <w:r w:rsidR="00702406">
        <w:t>n</w:t>
      </w:r>
      <w:r w:rsidR="00702406" w:rsidRPr="00702406">
        <w:t>terference is permissible w</w:t>
      </w:r>
      <w:r w:rsidR="00702406">
        <w:t>ith</w:t>
      </w:r>
      <w:r w:rsidR="00702406" w:rsidRPr="00702406">
        <w:t xml:space="preserve"> </w:t>
      </w:r>
      <w:r w:rsidR="0078527D">
        <w:t>conduct (actions or omissions)</w:t>
      </w:r>
      <w:r w:rsidR="00702406">
        <w:t xml:space="preserve"> that</w:t>
      </w:r>
      <w:r w:rsidR="00702406" w:rsidRPr="00702406">
        <w:t xml:space="preserve"> cause</w:t>
      </w:r>
      <w:r w:rsidR="0078527D">
        <w:t>s</w:t>
      </w:r>
      <w:r w:rsidR="00702406" w:rsidRPr="00702406">
        <w:t xml:space="preserve"> </w:t>
      </w:r>
      <w:r w:rsidR="00702406" w:rsidRPr="00702406">
        <w:rPr>
          <w:i/>
          <w:iCs/>
        </w:rPr>
        <w:t>or fail</w:t>
      </w:r>
      <w:r w:rsidR="0078527D">
        <w:rPr>
          <w:i/>
          <w:iCs/>
        </w:rPr>
        <w:t>s</w:t>
      </w:r>
      <w:r w:rsidR="00702406" w:rsidRPr="00702406">
        <w:rPr>
          <w:i/>
          <w:iCs/>
        </w:rPr>
        <w:t xml:space="preserve"> to prevent</w:t>
      </w:r>
      <w:r w:rsidR="00702406" w:rsidRPr="00702406">
        <w:t xml:space="preserve"> harm (Lyons</w:t>
      </w:r>
      <w:r w:rsidR="00FC704C">
        <w:t>,</w:t>
      </w:r>
      <w:r w:rsidR="00702406" w:rsidRPr="00702406">
        <w:t xml:space="preserve"> 1982</w:t>
      </w:r>
      <w:r w:rsidR="00FC704C">
        <w:t>, p.</w:t>
      </w:r>
      <w:r w:rsidR="00702406" w:rsidRPr="00702406">
        <w:t xml:space="preserve"> 56).</w:t>
      </w:r>
      <w:r w:rsidR="00702406">
        <w:t xml:space="preserve"> </w:t>
      </w:r>
      <w:r w:rsidRPr="005D2905">
        <w:t>Th</w:t>
      </w:r>
      <w:r>
        <w:t xml:space="preserve">is </w:t>
      </w:r>
      <w:r w:rsidR="00C339AB">
        <w:t xml:space="preserve">would allow </w:t>
      </w:r>
      <w:r w:rsidR="0078527D">
        <w:t xml:space="preserve">the </w:t>
      </w:r>
      <w:r w:rsidR="00C339AB">
        <w:t>enforcement of</w:t>
      </w:r>
      <w:r w:rsidRPr="005D2905">
        <w:t xml:space="preserve"> duties </w:t>
      </w:r>
      <w:r w:rsidR="00C339AB">
        <w:t>t</w:t>
      </w:r>
      <w:r w:rsidRPr="005D2905">
        <w:t>o rescue</w:t>
      </w:r>
      <w:r w:rsidR="00C339AB">
        <w:t>,</w:t>
      </w:r>
      <w:r w:rsidRPr="005D2905">
        <w:t xml:space="preserve"> because </w:t>
      </w:r>
      <w:r w:rsidR="0078527D">
        <w:t xml:space="preserve">this </w:t>
      </w:r>
      <w:r w:rsidRPr="005D2905">
        <w:t>save</w:t>
      </w:r>
      <w:r w:rsidR="00C339AB">
        <w:t>s</w:t>
      </w:r>
      <w:r w:rsidRPr="005D2905">
        <w:t xml:space="preserve"> people from harm</w:t>
      </w:r>
      <w:r w:rsidR="0078527D">
        <w:t>s, such as drowning, that would occur were they not rescued</w:t>
      </w:r>
      <w:r>
        <w:t>.</w:t>
      </w:r>
    </w:p>
    <w:p w14:paraId="392CFD43" w14:textId="4F674EF2" w:rsidR="00C21C06" w:rsidRDefault="0078527D" w:rsidP="00C21C06">
      <w:pPr>
        <w:jc w:val="both"/>
      </w:pPr>
      <w:r>
        <w:t xml:space="preserve">While this interpretive dispute goes back to the 1970s, </w:t>
      </w:r>
      <w:r w:rsidR="00C21C06">
        <w:t>Mark Tunick (2024) has recently offered new arguments in favour of HC</w:t>
      </w:r>
      <w:r>
        <w:t>. A</w:t>
      </w:r>
      <w:r w:rsidR="00C21C06" w:rsidRPr="00C21C06">
        <w:t>ccording to</w:t>
      </w:r>
      <w:r>
        <w:t xml:space="preserve"> Tunick’s interpretation of</w:t>
      </w:r>
      <w:r w:rsidR="00C21C06" w:rsidRPr="00C21C06">
        <w:t xml:space="preserve"> Mill, interference should focus on clients rather than prostitutes</w:t>
      </w:r>
      <w:r>
        <w:t>. He holds that this restriction is only explicable if</w:t>
      </w:r>
      <w:r w:rsidR="00DE495B">
        <w:t xml:space="preserve"> MLP </w:t>
      </w:r>
      <w:r>
        <w:t>restricts</w:t>
      </w:r>
      <w:r w:rsidR="00DE495B">
        <w:t xml:space="preserve"> interference </w:t>
      </w:r>
      <w:r>
        <w:t>to</w:t>
      </w:r>
      <w:r w:rsidR="00DE495B">
        <w:t xml:space="preserve"> the proximate causes of harm</w:t>
      </w:r>
      <w:r w:rsidR="00C21C06" w:rsidRPr="00C21C06">
        <w:t xml:space="preserve">. </w:t>
      </w:r>
      <w:r>
        <w:t xml:space="preserve">However, </w:t>
      </w:r>
      <w:r w:rsidR="00C21C06" w:rsidRPr="00C21C06">
        <w:t xml:space="preserve">I </w:t>
      </w:r>
      <w:r w:rsidR="00485F64">
        <w:t>find</w:t>
      </w:r>
      <w:r w:rsidR="00C21C06" w:rsidRPr="00C21C06">
        <w:t xml:space="preserve"> Tunick</w:t>
      </w:r>
      <w:r w:rsidR="00485F64">
        <w:t>’s interpretation unpersuasive</w:t>
      </w:r>
      <w:r w:rsidR="00C21C06" w:rsidRPr="00C21C06">
        <w:t xml:space="preserve"> on both counts. First, Mill does not </w:t>
      </w:r>
      <w:r w:rsidR="00485F64">
        <w:t>clearly</w:t>
      </w:r>
      <w:r w:rsidR="00C21C06" w:rsidRPr="00C21C06">
        <w:t xml:space="preserve"> limit interference to proximate causes in either of the cases that Tunick discusses</w:t>
      </w:r>
      <w:r>
        <w:t>. R</w:t>
      </w:r>
      <w:r w:rsidR="00C21C06" w:rsidRPr="00C21C06">
        <w:t xml:space="preserve">ather, </w:t>
      </w:r>
      <w:r>
        <w:t>in these passages and elsewhere, he seems</w:t>
      </w:r>
      <w:r w:rsidR="00C21C06" w:rsidRPr="00C21C06">
        <w:t xml:space="preserve"> willing to countenance interference with non-proximate causes. Second, while </w:t>
      </w:r>
      <w:r>
        <w:t xml:space="preserve">it is true that </w:t>
      </w:r>
      <w:r w:rsidR="00C21C06" w:rsidRPr="00C21C06">
        <w:t>Mill sometimes prefer</w:t>
      </w:r>
      <w:r>
        <w:t>s</w:t>
      </w:r>
      <w:r w:rsidR="00C21C06" w:rsidRPr="00C21C06">
        <w:t xml:space="preserve"> interference to target the proximate causes, that does not commit him to HC</w:t>
      </w:r>
      <w:r>
        <w:t>. T</w:t>
      </w:r>
      <w:r w:rsidR="00C21C06" w:rsidRPr="00C21C06">
        <w:t>his preference is compatible with G</w:t>
      </w:r>
      <w:r w:rsidR="00AB1950">
        <w:t>P</w:t>
      </w:r>
      <w:r w:rsidR="00C21C06" w:rsidRPr="00C21C06">
        <w:t>H.</w:t>
      </w:r>
      <w:r w:rsidR="00C21C06">
        <w:t xml:space="preserve"> Thus, Tunick’s case for HC is inconclusive.</w:t>
      </w:r>
    </w:p>
    <w:p w14:paraId="5E19B499" w14:textId="1B324D11" w:rsidR="00C21C06" w:rsidRDefault="00C21C06" w:rsidP="00C21C06">
      <w:pPr>
        <w:jc w:val="both"/>
      </w:pPr>
    </w:p>
    <w:p w14:paraId="73C345D6" w14:textId="6303D5B6" w:rsidR="00C21C06" w:rsidRPr="00E63A5D" w:rsidRDefault="00E63A5D" w:rsidP="00C21C06">
      <w:pPr>
        <w:jc w:val="both"/>
        <w:rPr>
          <w:i/>
          <w:iCs/>
        </w:rPr>
      </w:pPr>
      <w:r>
        <w:rPr>
          <w:i/>
          <w:iCs/>
        </w:rPr>
        <w:t>2. Harms and Rights</w:t>
      </w:r>
    </w:p>
    <w:p w14:paraId="1756BC21" w14:textId="0B265CD1" w:rsidR="00CE5139" w:rsidRDefault="00C21C06" w:rsidP="5BE7781D">
      <w:pPr>
        <w:jc w:val="both"/>
      </w:pPr>
      <w:r>
        <w:t xml:space="preserve">Before addressing the causation of harm, it will be helpful to clarify what Mill means by harm. </w:t>
      </w:r>
      <w:r w:rsidR="2D75FD92">
        <w:t>Tunick (2024</w:t>
      </w:r>
      <w:r w:rsidR="00FC704C">
        <w:t>, p.</w:t>
      </w:r>
      <w:r w:rsidR="2D75FD92">
        <w:t xml:space="preserve"> 6) </w:t>
      </w:r>
      <w:r w:rsidR="00C339AB">
        <w:t>considers</w:t>
      </w:r>
      <w:r w:rsidR="2D75FD92">
        <w:t xml:space="preserve"> harm to be a moralised notion. That is, </w:t>
      </w:r>
      <w:r w:rsidR="00485F64">
        <w:t>he takes harm to</w:t>
      </w:r>
      <w:r w:rsidR="2D75FD92">
        <w:t xml:space="preserve"> consist not simply in bad consequences, but</w:t>
      </w:r>
      <w:r w:rsidR="00485F64">
        <w:t xml:space="preserve"> to</w:t>
      </w:r>
      <w:r w:rsidR="2D75FD92">
        <w:t xml:space="preserve"> involve violation</w:t>
      </w:r>
      <w:r w:rsidR="00924671">
        <w:t xml:space="preserve"> of some right</w:t>
      </w:r>
      <w:r w:rsidR="2D75FD92">
        <w:t>.</w:t>
      </w:r>
      <w:r w:rsidR="00DA74FF">
        <w:rPr>
          <w:rStyle w:val="FootnoteReference"/>
        </w:rPr>
        <w:footnoteReference w:id="6"/>
      </w:r>
      <w:r w:rsidR="2D75FD92">
        <w:t xml:space="preserve"> </w:t>
      </w:r>
      <w:r w:rsidR="00CE5139">
        <w:t>Tunick is by no means the only interpreter to read Mill this way (e.g., Brink</w:t>
      </w:r>
      <w:r w:rsidR="00FC704C">
        <w:t>,</w:t>
      </w:r>
      <w:r w:rsidR="00CE5139">
        <w:t xml:space="preserve"> 1992</w:t>
      </w:r>
      <w:r w:rsidR="00FC704C">
        <w:t>, p.</w:t>
      </w:r>
      <w:r w:rsidR="00A52F08">
        <w:t xml:space="preserve"> 85</w:t>
      </w:r>
      <w:r w:rsidR="00C34BCE">
        <w:t>; Fuchs</w:t>
      </w:r>
      <w:r w:rsidR="00FC704C">
        <w:t>,</w:t>
      </w:r>
      <w:r w:rsidR="00C34BCE">
        <w:t xml:space="preserve"> 2006</w:t>
      </w:r>
      <w:r w:rsidR="00FC704C">
        <w:t>, p.</w:t>
      </w:r>
      <w:r w:rsidR="00C34BCE">
        <w:t xml:space="preserve"> 150</w:t>
      </w:r>
      <w:r w:rsidR="00CE5139">
        <w:t>), but I believe this is a mistake.</w:t>
      </w:r>
      <w:r w:rsidR="00CE5139">
        <w:rPr>
          <w:rStyle w:val="FootnoteReference"/>
        </w:rPr>
        <w:footnoteReference w:id="7"/>
      </w:r>
      <w:r w:rsidR="00EB5A51">
        <w:t xml:space="preserve"> To be sure, Mill </w:t>
      </w:r>
      <w:r w:rsidR="00EB5A51" w:rsidRPr="009E024A">
        <w:rPr>
          <w:i/>
          <w:iCs/>
        </w:rPr>
        <w:t>does</w:t>
      </w:r>
      <w:r w:rsidR="00EB5A51">
        <w:t xml:space="preserve"> consider rights violations to constitute harms</w:t>
      </w:r>
      <w:r w:rsidR="009E024A">
        <w:t xml:space="preserve"> of the sort that might justify interference</w:t>
      </w:r>
      <w:r w:rsidR="00EB5A51">
        <w:t>. However, this does not commit him to the view that all harms involve rights violations.</w:t>
      </w:r>
      <w:r w:rsidR="009E024A">
        <w:t xml:space="preserve"> A rights violation, in my view, is sufficient but not necessary for harm.</w:t>
      </w:r>
    </w:p>
    <w:p w14:paraId="46B88040" w14:textId="7853500F" w:rsidR="00AD293D" w:rsidRDefault="2D75FD92" w:rsidP="5BE7781D">
      <w:pPr>
        <w:jc w:val="both"/>
      </w:pPr>
      <w:r w:rsidRPr="5BE7781D">
        <w:lastRenderedPageBreak/>
        <w:t>One passage that Tunick (2024</w:t>
      </w:r>
      <w:r w:rsidR="00FC704C">
        <w:t>, pp.</w:t>
      </w:r>
      <w:r w:rsidRPr="5BE7781D">
        <w:t xml:space="preserve"> 5</w:t>
      </w:r>
      <w:r w:rsidR="008A0BE3" w:rsidRPr="008A0BE3">
        <w:t>–</w:t>
      </w:r>
      <w:r w:rsidRPr="5BE7781D">
        <w:t>6) cites is that where Mill says that unsuccessful competitors have no right to be protected from loss (CW18: 293). Tunick takes this to indicate that there is no harm here.</w:t>
      </w:r>
      <w:r w:rsidRPr="5BE7781D">
        <w:rPr>
          <w:rStyle w:val="FootnoteReference"/>
        </w:rPr>
        <w:footnoteReference w:id="8"/>
      </w:r>
      <w:r w:rsidRPr="5BE7781D">
        <w:t xml:space="preserve"> However, </w:t>
      </w:r>
      <w:r w:rsidR="00485F64">
        <w:t xml:space="preserve">I believe </w:t>
      </w:r>
      <w:r w:rsidRPr="5BE7781D">
        <w:t xml:space="preserve">this misconstrues the purpose of these remarks. Mill introduces this case to warn against the mistaken assumption that </w:t>
      </w:r>
      <w:r w:rsidR="00FC704C">
        <w:t>‘</w:t>
      </w:r>
      <w:r w:rsidRPr="5BE7781D">
        <w:rPr>
          <w:rFonts w:ascii="Calibri" w:eastAsia="Calibri" w:hAnsi="Calibri" w:cs="Calibri"/>
        </w:rPr>
        <w:t>because damage, or probability of damage, to the interests of others, can alone justify the interference of society, that therefore it always does justify such interference</w:t>
      </w:r>
      <w:r w:rsidR="00FC704C">
        <w:t>’</w:t>
      </w:r>
      <w:r w:rsidRPr="5BE7781D">
        <w:t xml:space="preserve"> (CW18: 292). Mill’s point is that harm, while necessary, is not sufficient, to justify interference. </w:t>
      </w:r>
      <w:r w:rsidR="00924671">
        <w:t xml:space="preserve">This requires that losses from competition </w:t>
      </w:r>
      <w:r w:rsidR="00924671" w:rsidRPr="00924671">
        <w:rPr>
          <w:i/>
          <w:iCs/>
        </w:rPr>
        <w:t>are</w:t>
      </w:r>
      <w:r w:rsidR="00924671">
        <w:t xml:space="preserve"> harms. Mill does not say that society is forbidden from interfering here by MLP, but only that it is not </w:t>
      </w:r>
      <w:r w:rsidR="00FC704C">
        <w:t>‘</w:t>
      </w:r>
      <w:r w:rsidR="00924671">
        <w:t>called on to interfere</w:t>
      </w:r>
      <w:r w:rsidR="00FC704C">
        <w:t>’</w:t>
      </w:r>
      <w:r w:rsidR="00924671">
        <w:t xml:space="preserve"> because it is </w:t>
      </w:r>
      <w:r w:rsidR="00FC704C">
        <w:t>‘</w:t>
      </w:r>
      <w:r w:rsidR="00924671">
        <w:t>better for the general interest of mankind</w:t>
      </w:r>
      <w:r w:rsidR="00FC704C">
        <w:t>’</w:t>
      </w:r>
      <w:r w:rsidR="00924671">
        <w:t xml:space="preserve"> not to (CW18: 293). I take this to be a matter of expediency, rather than principle.</w:t>
      </w:r>
      <w:r w:rsidR="00C12394">
        <w:rPr>
          <w:rStyle w:val="FootnoteReference"/>
        </w:rPr>
        <w:footnoteReference w:id="9"/>
      </w:r>
      <w:r w:rsidR="009E024A">
        <w:t xml:space="preserve"> In other words, I consider the case for free competition to be like that for free trade, which Mill explicitly distinguishes from MLP (CW18: 293).</w:t>
      </w:r>
    </w:p>
    <w:p w14:paraId="66EA9482" w14:textId="7F268982" w:rsidR="00924671" w:rsidRDefault="2D75FD92" w:rsidP="5BE7781D">
      <w:pPr>
        <w:jc w:val="both"/>
      </w:pPr>
      <w:r w:rsidRPr="5BE7781D">
        <w:t>Tunick (2024</w:t>
      </w:r>
      <w:r w:rsidR="00FC704C">
        <w:t>, p.</w:t>
      </w:r>
      <w:r w:rsidRPr="5BE7781D">
        <w:t xml:space="preserve"> 6, n.10) also references Mill’s remark that the conduct which each can be bound to observe </w:t>
      </w:r>
      <w:r w:rsidR="00FC704C">
        <w:t>‘</w:t>
      </w:r>
      <w:r w:rsidRPr="5BE7781D">
        <w:t xml:space="preserve">consists </w:t>
      </w:r>
      <w:r w:rsidRPr="5BE7781D">
        <w:rPr>
          <w:i/>
          <w:iCs/>
        </w:rPr>
        <w:t>first</w:t>
      </w:r>
      <w:r w:rsidRPr="5BE7781D">
        <w:t xml:space="preserve">, in </w:t>
      </w:r>
      <w:r w:rsidRPr="5BE7781D">
        <w:rPr>
          <w:rFonts w:ascii="Calibri" w:eastAsia="Calibri" w:hAnsi="Calibri" w:cs="Calibri"/>
        </w:rPr>
        <w:t>not injuring the interests of one another: or rather certain interests, which... ought to be considered as rights</w:t>
      </w:r>
      <w:r w:rsidR="00FC704C">
        <w:t>’</w:t>
      </w:r>
      <w:r w:rsidRPr="5BE7781D">
        <w:t xml:space="preserve"> (CW18: 276, emphasis added). However, Tunick’s quotation omits the </w:t>
      </w:r>
      <w:r w:rsidR="00FC704C">
        <w:t>‘</w:t>
      </w:r>
      <w:r w:rsidRPr="5BE7781D">
        <w:t>first</w:t>
      </w:r>
      <w:r w:rsidR="00FC704C">
        <w:t>’</w:t>
      </w:r>
      <w:r w:rsidRPr="5BE7781D">
        <w:t>,</w:t>
      </w:r>
      <w:r w:rsidR="00C339AB">
        <w:t xml:space="preserve"> thereby</w:t>
      </w:r>
      <w:r w:rsidRPr="5BE7781D">
        <w:t xml:space="preserve"> giving the impression that this is the whole of Mill’s view. In fact, it is only the beginning of a list.</w:t>
      </w:r>
      <w:r w:rsidR="00C12394">
        <w:rPr>
          <w:rStyle w:val="FootnoteReference"/>
        </w:rPr>
        <w:footnoteReference w:id="10"/>
      </w:r>
      <w:r w:rsidRPr="5BE7781D">
        <w:t xml:space="preserve"> </w:t>
      </w:r>
      <w:r w:rsidR="00924671" w:rsidRPr="00924671">
        <w:t xml:space="preserve">The passage quoted continues, adding </w:t>
      </w:r>
      <w:r w:rsidR="00FC704C">
        <w:t>‘</w:t>
      </w:r>
      <w:r w:rsidR="00924671" w:rsidRPr="00924671">
        <w:t>secondly, in each person's bearing his share... of the labours and sacrifices incurred for defending the society or its members from injury</w:t>
      </w:r>
      <w:r w:rsidR="00FC704C">
        <w:t>’</w:t>
      </w:r>
      <w:r w:rsidR="00924671" w:rsidRPr="00924671">
        <w:t xml:space="preserve"> (CW18: 276). It is this </w:t>
      </w:r>
      <w:r w:rsidR="00A34443">
        <w:t xml:space="preserve">second </w:t>
      </w:r>
      <w:r w:rsidR="00924671" w:rsidRPr="00924671">
        <w:t>provision, rather than the first, that seems to justify requirements to testify in court or to perform easy rescues.</w:t>
      </w:r>
      <w:r w:rsidR="00C12394">
        <w:t xml:space="preserve"> So, there is no need to subsume these cases under rights-violations.</w:t>
      </w:r>
    </w:p>
    <w:p w14:paraId="7F49771D" w14:textId="73364BFF" w:rsidR="005D2905" w:rsidRDefault="00C12394" w:rsidP="5BE7781D">
      <w:pPr>
        <w:jc w:val="both"/>
      </w:pPr>
      <w:r>
        <w:t xml:space="preserve">Further, Mill goes </w:t>
      </w:r>
      <w:r w:rsidR="2D75FD92" w:rsidRPr="5BE7781D">
        <w:t xml:space="preserve">on to add that </w:t>
      </w:r>
      <w:r w:rsidR="00FC704C">
        <w:t>‘</w:t>
      </w:r>
      <w:r w:rsidR="2D75FD92" w:rsidRPr="5BE7781D">
        <w:rPr>
          <w:rFonts w:ascii="Calibri" w:eastAsia="Calibri" w:hAnsi="Calibri" w:cs="Calibri"/>
        </w:rPr>
        <w:t>an individual may be hurtful to others, or wanting in due consideration for their welfare, without going the length of violating any of their constituted rights. The offender may then be justly punished by opinion, though not by law</w:t>
      </w:r>
      <w:r w:rsidR="00FC704C">
        <w:t>’</w:t>
      </w:r>
      <w:r w:rsidR="2D75FD92" w:rsidRPr="5BE7781D">
        <w:t xml:space="preserve"> (CW18: 276). </w:t>
      </w:r>
      <w:r>
        <w:t xml:space="preserve">Ironically, this passage has </w:t>
      </w:r>
      <w:r w:rsidR="008D2041">
        <w:t xml:space="preserve">sometimes </w:t>
      </w:r>
      <w:r>
        <w:t xml:space="preserve">been </w:t>
      </w:r>
      <w:r w:rsidR="009E024A">
        <w:t>cited</w:t>
      </w:r>
      <w:r>
        <w:t xml:space="preserve"> to support the </w:t>
      </w:r>
      <w:r w:rsidR="00330BDB">
        <w:t>view that MLP only concerns rights-violations (Kogelmann and Carroll</w:t>
      </w:r>
      <w:r w:rsidR="00FC704C">
        <w:t>,</w:t>
      </w:r>
      <w:r w:rsidR="00330BDB">
        <w:t xml:space="preserve"> 2024</w:t>
      </w:r>
      <w:r w:rsidR="00FC704C">
        <w:t>, p.</w:t>
      </w:r>
      <w:r w:rsidR="00330BDB">
        <w:t xml:space="preserve"> 3). The reasoning seems to be that, if law cannot interfere with these hurts, then they cannot constitute harms</w:t>
      </w:r>
      <w:r w:rsidR="00DA74FF">
        <w:t xml:space="preserve"> </w:t>
      </w:r>
      <w:r w:rsidR="009E024A">
        <w:t>(</w:t>
      </w:r>
      <w:r w:rsidR="00DA74FF">
        <w:t>or, at least, not the kind of harm relevant to MLP</w:t>
      </w:r>
      <w:r w:rsidR="009E024A">
        <w:t>)</w:t>
      </w:r>
      <w:r w:rsidR="00330BDB">
        <w:t>. But</w:t>
      </w:r>
      <w:r w:rsidR="00DA74FF">
        <w:t>, while some modern interpreters are concerned only or primarily with</w:t>
      </w:r>
      <w:r w:rsidR="00330BDB">
        <w:t xml:space="preserve"> legal interference</w:t>
      </w:r>
      <w:r w:rsidR="00DA74FF">
        <w:t>, this is not Mill’s only concern</w:t>
      </w:r>
      <w:r w:rsidR="00330BDB">
        <w:t>. MLP</w:t>
      </w:r>
      <w:r w:rsidR="00DA74FF">
        <w:t xml:space="preserve"> is introduced to</w:t>
      </w:r>
      <w:r w:rsidR="00330BDB">
        <w:t xml:space="preserve"> govern </w:t>
      </w:r>
      <w:r w:rsidR="00FC704C">
        <w:t>‘</w:t>
      </w:r>
      <w:r w:rsidR="00330BDB">
        <w:t>compulsion and control, whether… in the form of legal penalties, or the moral coercion of public opinion</w:t>
      </w:r>
      <w:r w:rsidR="00FC704C">
        <w:t>’</w:t>
      </w:r>
      <w:r w:rsidR="00330BDB">
        <w:t xml:space="preserve"> (CW18: 223).</w:t>
      </w:r>
      <w:r w:rsidR="008F2511">
        <w:rPr>
          <w:rStyle w:val="FootnoteReference"/>
        </w:rPr>
        <w:footnoteReference w:id="11"/>
      </w:r>
      <w:r w:rsidR="00263DF2">
        <w:t xml:space="preserve"> Hence, saying that certain things are not appropriate for </w:t>
      </w:r>
      <w:r w:rsidR="00263DF2" w:rsidRPr="008D2041">
        <w:rPr>
          <w:i/>
          <w:iCs/>
        </w:rPr>
        <w:t>legal</w:t>
      </w:r>
      <w:r w:rsidR="00263DF2">
        <w:t xml:space="preserve"> interference does not </w:t>
      </w:r>
      <w:r w:rsidR="007A48DD">
        <w:t>imply</w:t>
      </w:r>
      <w:r w:rsidR="00263DF2">
        <w:t xml:space="preserve"> that they are not </w:t>
      </w:r>
      <w:r w:rsidR="008F2511">
        <w:t xml:space="preserve">liable to </w:t>
      </w:r>
      <w:r w:rsidR="00DA74FF">
        <w:t xml:space="preserve">other forms of </w:t>
      </w:r>
      <w:r w:rsidR="007A48DD">
        <w:t xml:space="preserve">social </w:t>
      </w:r>
      <w:r w:rsidR="008F2511">
        <w:t xml:space="preserve">interference, much less that they are not </w:t>
      </w:r>
      <w:r w:rsidR="00263DF2">
        <w:t>harms</w:t>
      </w:r>
      <w:r w:rsidR="008F2511">
        <w:t xml:space="preserve"> at all</w:t>
      </w:r>
      <w:r w:rsidR="00263DF2">
        <w:t xml:space="preserve">. </w:t>
      </w:r>
      <w:r w:rsidR="005D2905">
        <w:t xml:space="preserve">If people can be punished for these hurts, even </w:t>
      </w:r>
      <w:r w:rsidR="005D2905">
        <w:lastRenderedPageBreak/>
        <w:t>only by opinion</w:t>
      </w:r>
      <w:r w:rsidR="009E024A">
        <w:t xml:space="preserve"> (or other non-legal forms of social control)</w:t>
      </w:r>
      <w:r w:rsidR="005D2905">
        <w:t>, th</w:t>
      </w:r>
      <w:r w:rsidR="00C339AB">
        <w:t>is</w:t>
      </w:r>
      <w:r w:rsidR="005D2905">
        <w:t xml:space="preserve"> means that these hurts must constitute harm in the relevant sense.</w:t>
      </w:r>
    </w:p>
    <w:p w14:paraId="5EB0E4C1" w14:textId="77777777" w:rsidR="00AD293D" w:rsidRDefault="00AD293D" w:rsidP="5BE7781D">
      <w:pPr>
        <w:jc w:val="both"/>
        <w:rPr>
          <w:i/>
          <w:iCs/>
        </w:rPr>
      </w:pPr>
    </w:p>
    <w:p w14:paraId="27A9A26D" w14:textId="68DCF743" w:rsidR="28A20A00" w:rsidRDefault="28A20A00" w:rsidP="5BE7781D">
      <w:pPr>
        <w:jc w:val="both"/>
        <w:rPr>
          <w:i/>
          <w:iCs/>
        </w:rPr>
      </w:pPr>
      <w:r w:rsidRPr="5BE7781D">
        <w:rPr>
          <w:i/>
          <w:iCs/>
        </w:rPr>
        <w:t>3</w:t>
      </w:r>
      <w:r w:rsidR="1340A66D" w:rsidRPr="5BE7781D">
        <w:rPr>
          <w:i/>
          <w:iCs/>
        </w:rPr>
        <w:t>. Pro</w:t>
      </w:r>
      <w:r w:rsidR="00E63A5D">
        <w:rPr>
          <w:i/>
          <w:iCs/>
        </w:rPr>
        <w:t>stitution</w:t>
      </w:r>
    </w:p>
    <w:p w14:paraId="38E9326E" w14:textId="3A2248A6" w:rsidR="3132C662" w:rsidRDefault="009E024A" w:rsidP="5BE7781D">
      <w:pPr>
        <w:jc w:val="both"/>
      </w:pPr>
      <w:r>
        <w:t xml:space="preserve">So far, </w:t>
      </w:r>
      <w:r w:rsidR="00F7026E">
        <w:t xml:space="preserve">I have </w:t>
      </w:r>
      <w:r>
        <w:t>suggest</w:t>
      </w:r>
      <w:r w:rsidR="00F7026E">
        <w:t xml:space="preserve">ed that Tunick misinterprets Mill’s notion of harm, but this need not undermine his arguments about harm causation, to which I now turn. </w:t>
      </w:r>
      <w:r w:rsidR="3132C662">
        <w:t xml:space="preserve">Tunick’s first </w:t>
      </w:r>
      <w:r w:rsidR="00F7026E">
        <w:t>example</w:t>
      </w:r>
      <w:r w:rsidR="3132C662">
        <w:t xml:space="preserve"> is drawn from </w:t>
      </w:r>
      <w:r w:rsidR="2D0BB18F">
        <w:t xml:space="preserve">evidence that Mill gave to an 1870 Royal Commission, concerning the Contagious Diseases Acts of 1866 and 1869 (CW21: </w:t>
      </w:r>
      <w:r w:rsidR="361108B2">
        <w:t>349</w:t>
      </w:r>
      <w:r w:rsidR="008A0BE3" w:rsidRPr="008A0BE3">
        <w:t>–</w:t>
      </w:r>
      <w:r w:rsidR="361108B2">
        <w:t>71</w:t>
      </w:r>
      <w:r w:rsidR="2D0BB18F">
        <w:t>).</w:t>
      </w:r>
      <w:r w:rsidR="00D42814">
        <w:rPr>
          <w:rStyle w:val="FootnoteReference"/>
        </w:rPr>
        <w:footnoteReference w:id="12"/>
      </w:r>
      <w:r w:rsidR="7CC99CF8">
        <w:t xml:space="preserve"> These acts </w:t>
      </w:r>
      <w:r w:rsidR="57ED1524">
        <w:t>sought to limit the spread of sexually transmitted diseases by placing restrictions on prostitutes.</w:t>
      </w:r>
      <w:r w:rsidR="6B9F33CF">
        <w:t xml:space="preserve"> Mill</w:t>
      </w:r>
      <w:r w:rsidR="6B4FA4AC">
        <w:t xml:space="preserve"> </w:t>
      </w:r>
      <w:r w:rsidR="6B9F33CF">
        <w:t>object</w:t>
      </w:r>
      <w:r w:rsidR="6FF474F7">
        <w:t>s tha</w:t>
      </w:r>
      <w:r w:rsidR="6B9F33CF">
        <w:t xml:space="preserve">t </w:t>
      </w:r>
      <w:r w:rsidR="0C602CD9">
        <w:t>the measures involved are</w:t>
      </w:r>
      <w:r w:rsidR="6B9F33CF">
        <w:t xml:space="preserve"> </w:t>
      </w:r>
      <w:r w:rsidR="00FC704C">
        <w:t>‘</w:t>
      </w:r>
      <w:r w:rsidR="6B9F33CF" w:rsidRPr="5BE7781D">
        <w:rPr>
          <w:rFonts w:ascii="Calibri" w:eastAsia="Calibri" w:hAnsi="Calibri" w:cs="Calibri"/>
        </w:rPr>
        <w:t>opposed to one o</w:t>
      </w:r>
      <w:r w:rsidR="5971EA4B" w:rsidRPr="5BE7781D">
        <w:rPr>
          <w:rFonts w:ascii="Calibri" w:eastAsia="Calibri" w:hAnsi="Calibri" w:cs="Calibri"/>
        </w:rPr>
        <w:t>f</w:t>
      </w:r>
      <w:r w:rsidR="6B9F33CF" w:rsidRPr="5BE7781D">
        <w:rPr>
          <w:rFonts w:ascii="Calibri" w:eastAsia="Calibri" w:hAnsi="Calibri" w:cs="Calibri"/>
        </w:rPr>
        <w:t xml:space="preserve"> the greatest principles of legislation, the security of personal liberty</w:t>
      </w:r>
      <w:r w:rsidR="00FC704C">
        <w:t>’</w:t>
      </w:r>
      <w:r w:rsidR="6B9F33CF">
        <w:t xml:space="preserve"> (CW21: 351).</w:t>
      </w:r>
      <w:r w:rsidR="19DBBB13">
        <w:t xml:space="preserve"> He </w:t>
      </w:r>
      <w:r w:rsidR="28D219B3">
        <w:t xml:space="preserve">is </w:t>
      </w:r>
      <w:r w:rsidR="19DBBB13">
        <w:t xml:space="preserve">particularly </w:t>
      </w:r>
      <w:r w:rsidR="7F2CF1CB">
        <w:t>critic</w:t>
      </w:r>
      <w:r w:rsidR="2ED6F0DE">
        <w:t>al of</w:t>
      </w:r>
      <w:r w:rsidR="19DBBB13">
        <w:t xml:space="preserve"> the fact that the interference licensed by these acts targets </w:t>
      </w:r>
      <w:r w:rsidR="30505A3A">
        <w:t xml:space="preserve">the female prostitutes, rather than the male clients, who are the ones </w:t>
      </w:r>
      <w:r w:rsidR="00E26F52">
        <w:t xml:space="preserve">directly </w:t>
      </w:r>
      <w:r w:rsidR="30505A3A">
        <w:t>culpable for transmitting infection to innocent, non-consenting parties (</w:t>
      </w:r>
      <w:r w:rsidR="3F214DF4">
        <w:t>CW21: 354, 362).</w:t>
      </w:r>
      <w:r w:rsidR="619F6EC8">
        <w:t xml:space="preserve"> </w:t>
      </w:r>
      <w:r w:rsidR="3F214DF4">
        <w:t>Tunick (2024</w:t>
      </w:r>
      <w:r w:rsidR="00FC704C">
        <w:t>, pp.</w:t>
      </w:r>
      <w:r w:rsidR="3F214DF4">
        <w:t xml:space="preserve"> 7</w:t>
      </w:r>
      <w:r w:rsidR="008A0BE3" w:rsidRPr="008A0BE3">
        <w:t>–</w:t>
      </w:r>
      <w:r w:rsidR="3F214DF4">
        <w:t>9</w:t>
      </w:r>
      <w:r w:rsidR="0B4D7236">
        <w:t>) contends that Mill’s objection to punishing the prostitutes</w:t>
      </w:r>
      <w:r w:rsidR="4D356D05">
        <w:t>, rather than clients,</w:t>
      </w:r>
      <w:r w:rsidR="0B4D7236">
        <w:t xml:space="preserve"> makes sense only if </w:t>
      </w:r>
      <w:r w:rsidR="12582AB7">
        <w:t>M</w:t>
      </w:r>
      <w:r w:rsidR="0E8905F9">
        <w:t>L</w:t>
      </w:r>
      <w:r w:rsidR="12582AB7">
        <w:t>P is interpreted as HC.</w:t>
      </w:r>
    </w:p>
    <w:p w14:paraId="06AD842B" w14:textId="4DA4633C" w:rsidR="7724D300" w:rsidRDefault="7724D300" w:rsidP="5BE7781D">
      <w:pPr>
        <w:jc w:val="both"/>
      </w:pPr>
      <w:r>
        <w:t xml:space="preserve">However, while Mill clearly objects to punishing the prostitutes </w:t>
      </w:r>
      <w:r w:rsidRPr="5BE7781D">
        <w:rPr>
          <w:i/>
          <w:iCs/>
        </w:rPr>
        <w:t>rather than</w:t>
      </w:r>
      <w:r>
        <w:t xml:space="preserve"> the clients, </w:t>
      </w:r>
      <w:r w:rsidR="2F454F3A">
        <w:t xml:space="preserve">he </w:t>
      </w:r>
      <w:r w:rsidR="152F8894">
        <w:t>does not rule out</w:t>
      </w:r>
      <w:r w:rsidR="2F454F3A">
        <w:t xml:space="preserve"> punishing both (as he should, if only the proximate cause of harm can be punished).</w:t>
      </w:r>
      <w:r w:rsidR="21AB37AC">
        <w:t xml:space="preserve"> </w:t>
      </w:r>
      <w:bookmarkStart w:id="1" w:name="_Hlk175647082"/>
      <w:r w:rsidR="21AB37AC">
        <w:t xml:space="preserve">Mill suggests that, if anyone is to be subjected to personal examination, </w:t>
      </w:r>
      <w:r w:rsidR="00FC704C">
        <w:t>‘</w:t>
      </w:r>
      <w:r w:rsidR="21AB37AC" w:rsidRPr="5BE7781D">
        <w:rPr>
          <w:rFonts w:ascii="Calibri" w:eastAsia="Calibri" w:hAnsi="Calibri" w:cs="Calibri"/>
        </w:rPr>
        <w:t xml:space="preserve">it should be applied to men </w:t>
      </w:r>
      <w:r w:rsidR="21AB37AC" w:rsidRPr="5BE7781D">
        <w:rPr>
          <w:rFonts w:ascii="Calibri" w:eastAsia="Calibri" w:hAnsi="Calibri" w:cs="Calibri"/>
          <w:i/>
          <w:iCs/>
        </w:rPr>
        <w:t>as well as</w:t>
      </w:r>
      <w:r w:rsidR="21AB37AC" w:rsidRPr="5BE7781D">
        <w:rPr>
          <w:rFonts w:ascii="Calibri" w:eastAsia="Calibri" w:hAnsi="Calibri" w:cs="Calibri"/>
        </w:rPr>
        <w:t xml:space="preserve"> women, or </w:t>
      </w:r>
      <w:r w:rsidR="21AB37AC" w:rsidRPr="5BE7781D">
        <w:rPr>
          <w:rFonts w:ascii="Calibri" w:eastAsia="Calibri" w:hAnsi="Calibri" w:cs="Calibri"/>
          <w:i/>
          <w:iCs/>
        </w:rPr>
        <w:t>if not to both</w:t>
      </w:r>
      <w:r w:rsidR="21AB37AC" w:rsidRPr="5BE7781D">
        <w:rPr>
          <w:rFonts w:ascii="Calibri" w:eastAsia="Calibri" w:hAnsi="Calibri" w:cs="Calibri"/>
        </w:rPr>
        <w:t>, rather to men than to women</w:t>
      </w:r>
      <w:r w:rsidR="00FC704C">
        <w:t>’</w:t>
      </w:r>
      <w:r w:rsidR="21AB37AC">
        <w:t xml:space="preserve"> (CW21: 356, emphases add</w:t>
      </w:r>
      <w:r w:rsidR="40DDC4F3">
        <w:t>ed</w:t>
      </w:r>
      <w:r w:rsidR="21AB37AC">
        <w:t>).</w:t>
      </w:r>
      <w:r w:rsidR="00BC7C88">
        <w:rPr>
          <w:rStyle w:val="FootnoteReference"/>
        </w:rPr>
        <w:footnoteReference w:id="13"/>
      </w:r>
      <w:r w:rsidR="7C55DA75">
        <w:t xml:space="preserve"> </w:t>
      </w:r>
      <w:r w:rsidR="715F5B2E">
        <w:t>He repeats th</w:t>
      </w:r>
      <w:r w:rsidR="321180A4">
        <w:t>i</w:t>
      </w:r>
      <w:r w:rsidR="3147B690">
        <w:t>s</w:t>
      </w:r>
      <w:r w:rsidR="715F5B2E">
        <w:t xml:space="preserve"> point later; </w:t>
      </w:r>
      <w:r w:rsidR="00FC704C">
        <w:t>‘</w:t>
      </w:r>
      <w:r w:rsidR="715F5B2E" w:rsidRPr="5BE7781D">
        <w:rPr>
          <w:rFonts w:ascii="Calibri" w:eastAsia="Calibri" w:hAnsi="Calibri" w:cs="Calibri"/>
        </w:rPr>
        <w:t>the woman should not be singled out to be subject to examination, but the men should be subjected to it also</w:t>
      </w:r>
      <w:r w:rsidR="5E29BC2A" w:rsidRPr="5BE7781D">
        <w:rPr>
          <w:rFonts w:ascii="Calibri" w:eastAsia="Calibri" w:hAnsi="Calibri" w:cs="Calibri"/>
        </w:rPr>
        <w:t>,</w:t>
      </w:r>
      <w:r w:rsidR="715F5B2E" w:rsidRPr="5BE7781D">
        <w:rPr>
          <w:rFonts w:ascii="Calibri" w:eastAsia="Calibri" w:hAnsi="Calibri" w:cs="Calibri"/>
        </w:rPr>
        <w:t xml:space="preserve"> or even if the women were not subjected the men might be, but if the one is, certainly I should say both</w:t>
      </w:r>
      <w:r w:rsidR="00FC704C">
        <w:t>’</w:t>
      </w:r>
      <w:r w:rsidR="715F5B2E">
        <w:t xml:space="preserve"> (CW21: 363).</w:t>
      </w:r>
      <w:bookmarkEnd w:id="1"/>
      <w:r w:rsidR="2B029A3B">
        <w:t xml:space="preserve"> These passages do </w:t>
      </w:r>
      <w:r w:rsidR="2B029A3B" w:rsidRPr="5BE7781D">
        <w:rPr>
          <w:i/>
          <w:iCs/>
        </w:rPr>
        <w:t xml:space="preserve">not </w:t>
      </w:r>
      <w:r w:rsidR="2B029A3B">
        <w:t>r</w:t>
      </w:r>
      <w:r w:rsidR="00BC3AE1">
        <w:t>ule out</w:t>
      </w:r>
      <w:r w:rsidR="2B029A3B">
        <w:t xml:space="preserve"> examining the women, as one might expect if – as </w:t>
      </w:r>
      <w:r w:rsidR="4E65849C">
        <w:t>Tunick suggests</w:t>
      </w:r>
      <w:r w:rsidR="2B029A3B">
        <w:t xml:space="preserve"> – interference ought to be limited to the proximate cause of harm.</w:t>
      </w:r>
      <w:r w:rsidR="49C523CA">
        <w:t xml:space="preserve"> What they object to is only </w:t>
      </w:r>
      <w:r w:rsidR="49C523CA" w:rsidRPr="5BE7781D">
        <w:rPr>
          <w:i/>
          <w:iCs/>
        </w:rPr>
        <w:t>singling out</w:t>
      </w:r>
      <w:r w:rsidR="49C523CA">
        <w:t xml:space="preserve"> the women</w:t>
      </w:r>
      <w:r w:rsidR="78369C1D">
        <w:t>, while doing nothing to the men</w:t>
      </w:r>
      <w:r w:rsidR="49C523CA">
        <w:t xml:space="preserve">. </w:t>
      </w:r>
      <w:r w:rsidR="4BDE4994">
        <w:t>In fact, s</w:t>
      </w:r>
      <w:r w:rsidR="49C523CA">
        <w:t>ince they allow</w:t>
      </w:r>
      <w:r w:rsidR="38C88FD2">
        <w:t xml:space="preserve"> that prostitutes </w:t>
      </w:r>
      <w:r w:rsidR="38C88FD2" w:rsidRPr="008B66BE">
        <w:rPr>
          <w:i/>
          <w:iCs/>
        </w:rPr>
        <w:t>can</w:t>
      </w:r>
      <w:r w:rsidR="38C88FD2">
        <w:t xml:space="preserve"> </w:t>
      </w:r>
      <w:r w:rsidR="24288192">
        <w:t xml:space="preserve">be subjected to examinations, </w:t>
      </w:r>
      <w:r w:rsidR="7BD71AD5">
        <w:t>so long as clients are too</w:t>
      </w:r>
      <w:r w:rsidR="24288192">
        <w:t xml:space="preserve">, they </w:t>
      </w:r>
      <w:r w:rsidR="60595758">
        <w:t>appear</w:t>
      </w:r>
      <w:r w:rsidR="24288192">
        <w:t xml:space="preserve"> to </w:t>
      </w:r>
      <w:r w:rsidR="46ACECFE">
        <w:t>contradict</w:t>
      </w:r>
      <w:r w:rsidR="24288192">
        <w:t xml:space="preserve"> </w:t>
      </w:r>
      <w:r w:rsidR="008B66BE">
        <w:t>Tunick’s claim that interference should be limited to the proximate causes of harm</w:t>
      </w:r>
      <w:r w:rsidR="24288192">
        <w:t>.</w:t>
      </w:r>
    </w:p>
    <w:p w14:paraId="2BE4FF33" w14:textId="7E3EE603" w:rsidR="02F83C99" w:rsidRDefault="02F83C99" w:rsidP="5BE7781D">
      <w:pPr>
        <w:jc w:val="both"/>
      </w:pPr>
      <w:r>
        <w:t xml:space="preserve">One might </w:t>
      </w:r>
      <w:r w:rsidR="47F49C5B">
        <w:t xml:space="preserve">still </w:t>
      </w:r>
      <w:r>
        <w:t>respond that GP</w:t>
      </w:r>
      <w:r w:rsidR="00485F64">
        <w:t>H</w:t>
      </w:r>
      <w:r w:rsidR="0F1CD42D">
        <w:t xml:space="preserve"> </w:t>
      </w:r>
      <w:r w:rsidR="53D3591D">
        <w:t>can</w:t>
      </w:r>
      <w:r w:rsidR="466B1F75">
        <w:t>n</w:t>
      </w:r>
      <w:r w:rsidR="0F1CD42D">
        <w:t>o</w:t>
      </w:r>
      <w:r w:rsidR="0B9249C8">
        <w:t>t</w:t>
      </w:r>
      <w:r>
        <w:t xml:space="preserve"> explain Mill’s preference</w:t>
      </w:r>
      <w:r w:rsidR="6C584BF7">
        <w:t xml:space="preserve"> for interfering with the clients</w:t>
      </w:r>
      <w:r w:rsidR="5F8836F3">
        <w:t xml:space="preserve">, rather than the </w:t>
      </w:r>
      <w:r w:rsidR="5B64B248">
        <w:t>prostitute</w:t>
      </w:r>
      <w:r w:rsidR="5F8836F3">
        <w:t>s. This m</w:t>
      </w:r>
      <w:r w:rsidR="46DBCD9D">
        <w:t>ight</w:t>
      </w:r>
      <w:r w:rsidR="5F8836F3">
        <w:t xml:space="preserve"> be true. But</w:t>
      </w:r>
      <w:r w:rsidR="6D549D2E">
        <w:t xml:space="preserve"> this </w:t>
      </w:r>
      <w:r w:rsidR="008B66BE">
        <w:t xml:space="preserve">is not something that </w:t>
      </w:r>
      <w:r w:rsidR="6D549D2E">
        <w:t>need</w:t>
      </w:r>
      <w:r w:rsidR="008B66BE">
        <w:t>s to</w:t>
      </w:r>
      <w:r w:rsidR="6D549D2E">
        <w:t xml:space="preserve"> be explained by MLP itself. W</w:t>
      </w:r>
      <w:r w:rsidR="3AD47269">
        <w:t xml:space="preserve">hile </w:t>
      </w:r>
      <w:r w:rsidR="008B66BE">
        <w:t>GPH</w:t>
      </w:r>
      <w:r w:rsidR="3AD47269">
        <w:t xml:space="preserve"> would equally </w:t>
      </w:r>
      <w:r w:rsidR="3AD47269" w:rsidRPr="5BE7781D">
        <w:rPr>
          <w:i/>
          <w:iCs/>
        </w:rPr>
        <w:t>permit</w:t>
      </w:r>
      <w:r w:rsidR="3AD47269" w:rsidRPr="5BE7781D">
        <w:t xml:space="preserve"> interference with either </w:t>
      </w:r>
      <w:r w:rsidR="4DA210F3" w:rsidRPr="5BE7781D">
        <w:t>party</w:t>
      </w:r>
      <w:r w:rsidR="3AD47269" w:rsidRPr="5BE7781D">
        <w:t>, we need not think it a matter of indifference who is interfered with.</w:t>
      </w:r>
      <w:r w:rsidR="634AFF12" w:rsidRPr="5BE7781D">
        <w:t xml:space="preserve"> </w:t>
      </w:r>
      <w:r w:rsidR="00BC3AE1">
        <w:t>Once the MLP test is passed, the form that interference should take</w:t>
      </w:r>
      <w:r w:rsidR="634AFF12" w:rsidRPr="5BE7781D">
        <w:t xml:space="preserve"> is determined by other considerations.</w:t>
      </w:r>
      <w:r w:rsidR="5F499528" w:rsidRPr="5BE7781D">
        <w:t xml:space="preserve"> In deciding where to interfere, and with whom, we should be sensitive </w:t>
      </w:r>
      <w:r w:rsidR="3A97D276" w:rsidRPr="5BE7781D">
        <w:t>to factors such as</w:t>
      </w:r>
      <w:r w:rsidR="5F499528" w:rsidRPr="5BE7781D">
        <w:t xml:space="preserve"> the costs of the interference itself and its expressive effects</w:t>
      </w:r>
      <w:r w:rsidR="2636A1C9" w:rsidRPr="5BE7781D">
        <w:t xml:space="preserve"> (CW18: 225)</w:t>
      </w:r>
      <w:r w:rsidR="5F499528" w:rsidRPr="5BE7781D">
        <w:t>. These co</w:t>
      </w:r>
      <w:r w:rsidR="4B05F659" w:rsidRPr="5BE7781D">
        <w:t xml:space="preserve">nsiderations can explain Mill’s preference for interfering with clients, even </w:t>
      </w:r>
      <w:r w:rsidR="0AA468ED" w:rsidRPr="5BE7781D">
        <w:t>if</w:t>
      </w:r>
      <w:r w:rsidR="4B05F659" w:rsidRPr="5BE7781D">
        <w:t xml:space="preserve"> the </w:t>
      </w:r>
      <w:r w:rsidR="05396A6B" w:rsidRPr="5BE7781D">
        <w:t>prostitutes</w:t>
      </w:r>
      <w:r w:rsidR="4B05F659" w:rsidRPr="5BE7781D">
        <w:t xml:space="preserve"> are </w:t>
      </w:r>
      <w:r w:rsidR="3157BEC2" w:rsidRPr="5BE7781D">
        <w:t>also</w:t>
      </w:r>
      <w:r w:rsidR="4B05F659" w:rsidRPr="5BE7781D">
        <w:t xml:space="preserve"> liable to interference.</w:t>
      </w:r>
      <w:r w:rsidR="73ADDDB7" w:rsidRPr="5BE7781D">
        <w:t xml:space="preserve"> </w:t>
      </w:r>
      <w:r w:rsidR="008B66BE">
        <w:t xml:space="preserve">Moreover, there is evidence that such considerations influenced </w:t>
      </w:r>
      <w:r w:rsidR="73ADDDB7" w:rsidRPr="5BE7781D">
        <w:t>Mill</w:t>
      </w:r>
      <w:r w:rsidR="008B66BE">
        <w:t xml:space="preserve">’s comments. For instance, </w:t>
      </w:r>
      <w:r w:rsidR="00BC3AE1">
        <w:t xml:space="preserve">one reason he prefers measures targeting the male clients is because </w:t>
      </w:r>
      <w:r w:rsidR="008B66BE">
        <w:t xml:space="preserve">he </w:t>
      </w:r>
      <w:r w:rsidR="008B66BE">
        <w:lastRenderedPageBreak/>
        <w:t>regards</w:t>
      </w:r>
      <w:r w:rsidR="73ADDDB7" w:rsidRPr="5BE7781D">
        <w:t xml:space="preserve"> personal examination</w:t>
      </w:r>
      <w:r w:rsidR="4BB7C087" w:rsidRPr="5BE7781D">
        <w:t>s</w:t>
      </w:r>
      <w:r w:rsidR="008B66BE">
        <w:t xml:space="preserve"> as</w:t>
      </w:r>
      <w:r w:rsidR="73ADDDB7" w:rsidRPr="5BE7781D">
        <w:t xml:space="preserve"> </w:t>
      </w:r>
      <w:r w:rsidR="00FC704C">
        <w:t>‘</w:t>
      </w:r>
      <w:r w:rsidR="73ADDDB7" w:rsidRPr="5BE7781D">
        <w:rPr>
          <w:rFonts w:ascii="Calibri" w:eastAsia="Calibri" w:hAnsi="Calibri" w:cs="Calibri"/>
        </w:rPr>
        <w:t>exceedingly degrading to the women</w:t>
      </w:r>
      <w:r w:rsidR="00FC704C">
        <w:rPr>
          <w:rFonts w:ascii="Calibri" w:eastAsia="Calibri" w:hAnsi="Calibri" w:cs="Calibri"/>
        </w:rPr>
        <w:t>’</w:t>
      </w:r>
      <w:r w:rsidR="73ADDDB7" w:rsidRPr="5BE7781D">
        <w:rPr>
          <w:rFonts w:ascii="Calibri" w:eastAsia="Calibri" w:hAnsi="Calibri" w:cs="Calibri"/>
        </w:rPr>
        <w:t xml:space="preserve"> but </w:t>
      </w:r>
      <w:r w:rsidR="00FC704C">
        <w:rPr>
          <w:rFonts w:ascii="Calibri" w:eastAsia="Calibri" w:hAnsi="Calibri" w:cs="Calibri"/>
        </w:rPr>
        <w:t>‘</w:t>
      </w:r>
      <w:r w:rsidR="73ADDDB7" w:rsidRPr="5BE7781D">
        <w:rPr>
          <w:rFonts w:ascii="Calibri" w:eastAsia="Calibri" w:hAnsi="Calibri" w:cs="Calibri"/>
        </w:rPr>
        <w:t>not in the same degree to men</w:t>
      </w:r>
      <w:r w:rsidR="00FC704C">
        <w:t>’</w:t>
      </w:r>
      <w:r w:rsidR="73ADDDB7" w:rsidRPr="5BE7781D">
        <w:t xml:space="preserve"> (CW21: 356). </w:t>
      </w:r>
      <w:r w:rsidR="008B66BE">
        <w:t>Furth</w:t>
      </w:r>
      <w:r w:rsidR="6741BC33" w:rsidRPr="5BE7781D">
        <w:t xml:space="preserve">er, Mill </w:t>
      </w:r>
      <w:r w:rsidR="0731869D" w:rsidRPr="5BE7781D">
        <w:t>worries that state examination of prostitut</w:t>
      </w:r>
      <w:r w:rsidR="42B3ACEA" w:rsidRPr="5BE7781D">
        <w:t>es</w:t>
      </w:r>
      <w:r w:rsidR="0731869D" w:rsidRPr="5BE7781D">
        <w:t>, like licensing, mig</w:t>
      </w:r>
      <w:r w:rsidR="45CC7A27" w:rsidRPr="5BE7781D">
        <w:t>ht be seen as officially condoning</w:t>
      </w:r>
      <w:r w:rsidR="4C92AD17" w:rsidRPr="5BE7781D">
        <w:t xml:space="preserve"> prostitution (CW21: 357). In contrast,</w:t>
      </w:r>
      <w:r w:rsidR="1AF13FC2" w:rsidRPr="5BE7781D">
        <w:t xml:space="preserve"> imposing a penalty on soldiers or sailors who are found to be diseased would clearly express disapprobation</w:t>
      </w:r>
      <w:r w:rsidR="5AFDC0D0" w:rsidRPr="5BE7781D">
        <w:t xml:space="preserve"> of those who visit prostitutes</w:t>
      </w:r>
      <w:r w:rsidR="1AF13FC2" w:rsidRPr="5BE7781D">
        <w:t xml:space="preserve"> (CW21: 360).</w:t>
      </w:r>
      <w:r w:rsidR="3D2D3A29" w:rsidRPr="5BE7781D">
        <w:t xml:space="preserve"> Thus, Mill’s preference for targeting clients, </w:t>
      </w:r>
      <w:r w:rsidR="00E26F52">
        <w:t>instead of</w:t>
      </w:r>
      <w:r w:rsidR="3D2D3A29" w:rsidRPr="5BE7781D">
        <w:t xml:space="preserve"> prostitutes, is fully explicable, even if </w:t>
      </w:r>
      <w:r w:rsidR="2B2C294B" w:rsidRPr="5BE7781D">
        <w:t>both</w:t>
      </w:r>
      <w:r w:rsidR="3D2D3A29" w:rsidRPr="5BE7781D">
        <w:t xml:space="preserve"> </w:t>
      </w:r>
      <w:r w:rsidR="3FF3A5CA" w:rsidRPr="5BE7781D">
        <w:t xml:space="preserve">are </w:t>
      </w:r>
      <w:r w:rsidR="3D2D3A29" w:rsidRPr="5BE7781D">
        <w:t>liable to interference.</w:t>
      </w:r>
    </w:p>
    <w:p w14:paraId="34E2744D" w14:textId="6E94906D" w:rsidR="00702406" w:rsidRDefault="00702406" w:rsidP="5BE7781D">
      <w:pPr>
        <w:jc w:val="both"/>
      </w:pPr>
    </w:p>
    <w:p w14:paraId="5475995C" w14:textId="04A9E18F" w:rsidR="00702406" w:rsidRPr="00E63A5D" w:rsidRDefault="00E63A5D" w:rsidP="5BE7781D">
      <w:pPr>
        <w:jc w:val="both"/>
        <w:rPr>
          <w:i/>
          <w:iCs/>
        </w:rPr>
      </w:pPr>
      <w:r>
        <w:rPr>
          <w:i/>
          <w:iCs/>
        </w:rPr>
        <w:t xml:space="preserve">4. Other Cases of </w:t>
      </w:r>
      <w:r w:rsidR="00080A4E">
        <w:rPr>
          <w:i/>
          <w:iCs/>
        </w:rPr>
        <w:t>Non-</w:t>
      </w:r>
      <w:r>
        <w:rPr>
          <w:i/>
          <w:iCs/>
        </w:rPr>
        <w:t>Proximate Causation</w:t>
      </w:r>
    </w:p>
    <w:p w14:paraId="0F2B4B59" w14:textId="6AF07E1B" w:rsidR="46A20A56" w:rsidRDefault="46A20A56" w:rsidP="5BE7781D">
      <w:pPr>
        <w:jc w:val="both"/>
      </w:pPr>
      <w:r w:rsidRPr="5BE7781D">
        <w:t>Tunick</w:t>
      </w:r>
      <w:r w:rsidR="7E3DA142" w:rsidRPr="5BE7781D">
        <w:t>’</w:t>
      </w:r>
      <w:r w:rsidR="070CE42B" w:rsidRPr="5BE7781D">
        <w:t xml:space="preserve">s </w:t>
      </w:r>
      <w:r w:rsidRPr="5BE7781D">
        <w:t>second example</w:t>
      </w:r>
      <w:r w:rsidR="7504760E" w:rsidRPr="5BE7781D">
        <w:t xml:space="preserve"> </w:t>
      </w:r>
      <w:r w:rsidR="15B8671C" w:rsidRPr="5BE7781D">
        <w:t>concern</w:t>
      </w:r>
      <w:r w:rsidR="381512BC" w:rsidRPr="5BE7781D">
        <w:t>s</w:t>
      </w:r>
      <w:r w:rsidR="15B8671C" w:rsidRPr="5BE7781D">
        <w:t xml:space="preserve"> freedom of expression. A</w:t>
      </w:r>
      <w:r w:rsidR="4E148260" w:rsidRPr="5BE7781D">
        <w:t>gain</w:t>
      </w:r>
      <w:r w:rsidR="48FBA3A1" w:rsidRPr="5BE7781D">
        <w:t>, this is</w:t>
      </w:r>
      <w:r w:rsidR="7504760E" w:rsidRPr="5BE7781D">
        <w:t xml:space="preserve"> intended to demonstrate that interference is limited to the proximate causes of harm. </w:t>
      </w:r>
      <w:r w:rsidRPr="5BE7781D">
        <w:t>Tunick (2024</w:t>
      </w:r>
      <w:r w:rsidR="00FC704C">
        <w:t>, p.</w:t>
      </w:r>
      <w:r w:rsidRPr="5BE7781D">
        <w:t xml:space="preserve"> 11) suggests that one should be permitted to publish </w:t>
      </w:r>
      <w:r w:rsidR="7910C361" w:rsidRPr="5BE7781D">
        <w:t xml:space="preserve">dangerous opinions, </w:t>
      </w:r>
      <w:r w:rsidR="1F8CA509" w:rsidRPr="5BE7781D">
        <w:t xml:space="preserve">even ones that might encourage harmful acts such as tyrannicide or lynching, because </w:t>
      </w:r>
      <w:r w:rsidR="41C47433" w:rsidRPr="5BE7781D">
        <w:t>it is</w:t>
      </w:r>
      <w:r w:rsidR="05097E86" w:rsidRPr="5BE7781D">
        <w:t xml:space="preserve"> </w:t>
      </w:r>
      <w:r w:rsidR="00BC3AE1">
        <w:t xml:space="preserve">generally </w:t>
      </w:r>
      <w:r w:rsidR="05097E86" w:rsidRPr="5BE7781D">
        <w:t xml:space="preserve">the perpetrators – </w:t>
      </w:r>
      <w:r w:rsidR="2231B55B" w:rsidRPr="5BE7781D">
        <w:t>not the speaker – who should be held</w:t>
      </w:r>
      <w:r w:rsidR="05097E86" w:rsidRPr="5BE7781D">
        <w:t xml:space="preserve"> </w:t>
      </w:r>
      <w:r w:rsidR="7DD965D4" w:rsidRPr="5BE7781D">
        <w:t xml:space="preserve">morally </w:t>
      </w:r>
      <w:r w:rsidR="05097E86" w:rsidRPr="5BE7781D">
        <w:t>responsible for any resulting harm</w:t>
      </w:r>
      <w:r w:rsidR="545DF042" w:rsidRPr="5BE7781D">
        <w:t>.</w:t>
      </w:r>
      <w:r w:rsidR="0E63864B" w:rsidRPr="5BE7781D">
        <w:t xml:space="preserve"> This restriction on interference supports HC since, according to GP</w:t>
      </w:r>
      <w:r w:rsidR="00485F64">
        <w:t>H</w:t>
      </w:r>
      <w:r w:rsidR="0E63864B" w:rsidRPr="5BE7781D">
        <w:t xml:space="preserve">, it would be permissible to interfere with the speakers, if that </w:t>
      </w:r>
      <w:r w:rsidR="0E1864EC" w:rsidRPr="5BE7781D">
        <w:t>was an effective way to prevent harm.</w:t>
      </w:r>
    </w:p>
    <w:p w14:paraId="6D4AE4D9" w14:textId="109A931D" w:rsidR="5502C0EE" w:rsidRDefault="5502C0EE" w:rsidP="5BE7781D">
      <w:pPr>
        <w:jc w:val="both"/>
        <w:rPr>
          <w:rFonts w:ascii="Calibri" w:eastAsia="Calibri" w:hAnsi="Calibri" w:cs="Calibri"/>
        </w:rPr>
      </w:pPr>
      <w:r w:rsidRPr="5BE7781D">
        <w:t xml:space="preserve">Once more though, careful attention to Mill’s text does not entirely support Tunick’s reading. For sure, Mill </w:t>
      </w:r>
      <w:r w:rsidRPr="5BE7781D">
        <w:rPr>
          <w:i/>
          <w:iCs/>
        </w:rPr>
        <w:t xml:space="preserve">does </w:t>
      </w:r>
      <w:r w:rsidRPr="5BE7781D">
        <w:t xml:space="preserve">think that </w:t>
      </w:r>
      <w:r w:rsidR="06122EF9" w:rsidRPr="5BE7781D">
        <w:t>expression – even encouragement to immoral acts – should generally be</w:t>
      </w:r>
      <w:r w:rsidR="41306F0C" w:rsidRPr="5BE7781D">
        <w:t xml:space="preserve"> </w:t>
      </w:r>
      <w:r w:rsidR="06122EF9" w:rsidRPr="5BE7781D">
        <w:t>permitted. But, as in the previous case, he does not</w:t>
      </w:r>
      <w:r w:rsidR="00BC3AE1">
        <w:t xml:space="preserve"> clearly</w:t>
      </w:r>
      <w:r w:rsidR="06122EF9" w:rsidRPr="5BE7781D">
        <w:t xml:space="preserve"> limit interference to the pr</w:t>
      </w:r>
      <w:r w:rsidR="5BBF4987" w:rsidRPr="5BE7781D">
        <w:t xml:space="preserve">oximate causes of harm. </w:t>
      </w:r>
      <w:r w:rsidR="06BBBEEF" w:rsidRPr="5BE7781D">
        <w:t>In</w:t>
      </w:r>
      <w:r w:rsidR="5BBF4987" w:rsidRPr="5BE7781D">
        <w:t xml:space="preserve"> the footnote near the start of chapter two of </w:t>
      </w:r>
      <w:r w:rsidR="29C6F97D" w:rsidRPr="5BE7781D">
        <w:rPr>
          <w:i/>
          <w:iCs/>
        </w:rPr>
        <w:t>On Liberty</w:t>
      </w:r>
      <w:r w:rsidR="0171A8DA" w:rsidRPr="5BE7781D">
        <w:t>,</w:t>
      </w:r>
      <w:r w:rsidR="29C6F97D" w:rsidRPr="5BE7781D">
        <w:t xml:space="preserve"> Mill says there </w:t>
      </w:r>
      <w:r w:rsidR="00FC704C">
        <w:t>‘</w:t>
      </w:r>
      <w:r w:rsidR="29C6F97D" w:rsidRPr="5BE7781D">
        <w:t>ought to exist the fullest liberty of professing and discussing, as a matter of ethical conviction, any doctri</w:t>
      </w:r>
      <w:r w:rsidR="7158579A" w:rsidRPr="5BE7781D">
        <w:t>ne</w:t>
      </w:r>
      <w:r w:rsidR="00FC704C">
        <w:t>’</w:t>
      </w:r>
      <w:r w:rsidR="3AFA29C1" w:rsidRPr="5BE7781D">
        <w:t xml:space="preserve"> even the morality of tyrannicide (CW18: 228n).</w:t>
      </w:r>
      <w:r w:rsidR="34A3E152" w:rsidRPr="5BE7781D">
        <w:t xml:space="preserve"> The reference to ethical conviction here</w:t>
      </w:r>
      <w:r w:rsidR="00BC3AE1">
        <w:t xml:space="preserve"> presumably</w:t>
      </w:r>
      <w:r w:rsidR="34A3E152" w:rsidRPr="5BE7781D">
        <w:t xml:space="preserve"> limits this </w:t>
      </w:r>
      <w:r w:rsidR="00FC704C">
        <w:t>‘</w:t>
      </w:r>
      <w:r w:rsidR="34A3E152" w:rsidRPr="5BE7781D">
        <w:t>fullest liberty</w:t>
      </w:r>
      <w:r w:rsidR="00FC704C">
        <w:t>’</w:t>
      </w:r>
      <w:r w:rsidR="34A3E152" w:rsidRPr="5BE7781D">
        <w:t xml:space="preserve"> to cases of mere discussion, rather than action. </w:t>
      </w:r>
      <w:r w:rsidR="463CB840" w:rsidRPr="5BE7781D">
        <w:t>However,</w:t>
      </w:r>
      <w:r w:rsidR="3D2FB06C" w:rsidRPr="5BE7781D">
        <w:rPr>
          <w:rFonts w:ascii="Calibri" w:eastAsia="Calibri" w:hAnsi="Calibri" w:cs="Calibri"/>
        </w:rPr>
        <w:t xml:space="preserve"> Mill </w:t>
      </w:r>
      <w:r w:rsidR="533C027B" w:rsidRPr="5BE7781D">
        <w:rPr>
          <w:rFonts w:ascii="Calibri" w:eastAsia="Calibri" w:hAnsi="Calibri" w:cs="Calibri"/>
        </w:rPr>
        <w:t>goes on to add</w:t>
      </w:r>
      <w:r w:rsidR="3D2FB06C" w:rsidRPr="5BE7781D">
        <w:rPr>
          <w:rFonts w:ascii="Calibri" w:eastAsia="Calibri" w:hAnsi="Calibri" w:cs="Calibri"/>
        </w:rPr>
        <w:t xml:space="preserve"> </w:t>
      </w:r>
      <w:r w:rsidR="6F3B13EE" w:rsidRPr="5BE7781D">
        <w:rPr>
          <w:rFonts w:ascii="Calibri" w:eastAsia="Calibri" w:hAnsi="Calibri" w:cs="Calibri"/>
        </w:rPr>
        <w:t xml:space="preserve">that </w:t>
      </w:r>
      <w:r w:rsidR="00FC704C">
        <w:rPr>
          <w:rFonts w:ascii="Calibri" w:eastAsia="Calibri" w:hAnsi="Calibri" w:cs="Calibri"/>
        </w:rPr>
        <w:t>‘</w:t>
      </w:r>
      <w:r w:rsidR="6F3B13EE" w:rsidRPr="5BE7781D">
        <w:rPr>
          <w:rFonts w:ascii="Calibri" w:eastAsia="Calibri" w:hAnsi="Calibri" w:cs="Calibri"/>
        </w:rPr>
        <w:t>the instigation... may be a proper subject of punishment, but only if an over</w:t>
      </w:r>
      <w:r w:rsidR="00AB1950">
        <w:rPr>
          <w:rFonts w:ascii="Calibri" w:eastAsia="Calibri" w:hAnsi="Calibri" w:cs="Calibri"/>
        </w:rPr>
        <w:t>t</w:t>
      </w:r>
      <w:r w:rsidR="6F3B13EE" w:rsidRPr="5BE7781D">
        <w:rPr>
          <w:rFonts w:ascii="Calibri" w:eastAsia="Calibri" w:hAnsi="Calibri" w:cs="Calibri"/>
        </w:rPr>
        <w:t xml:space="preserve"> act has followed, and at least a probable connexion can be established</w:t>
      </w:r>
      <w:r w:rsidR="00FC704C">
        <w:rPr>
          <w:rFonts w:ascii="Calibri" w:eastAsia="Calibri" w:hAnsi="Calibri" w:cs="Calibri"/>
        </w:rPr>
        <w:t>’</w:t>
      </w:r>
      <w:r w:rsidR="6F3B13EE" w:rsidRPr="5BE7781D">
        <w:rPr>
          <w:rFonts w:ascii="Calibri" w:eastAsia="Calibri" w:hAnsi="Calibri" w:cs="Calibri"/>
        </w:rPr>
        <w:t xml:space="preserve"> (CW18: 228n). </w:t>
      </w:r>
      <w:r w:rsidR="1E441187" w:rsidRPr="5BE7781D">
        <w:rPr>
          <w:rFonts w:ascii="Calibri" w:eastAsia="Calibri" w:hAnsi="Calibri" w:cs="Calibri"/>
        </w:rPr>
        <w:t xml:space="preserve">Thus, punishment is </w:t>
      </w:r>
      <w:r w:rsidR="1E441187" w:rsidRPr="00E26F52">
        <w:rPr>
          <w:rFonts w:ascii="Calibri" w:eastAsia="Calibri" w:hAnsi="Calibri" w:cs="Calibri"/>
          <w:i/>
          <w:iCs/>
        </w:rPr>
        <w:t>not</w:t>
      </w:r>
      <w:r w:rsidR="1E441187" w:rsidRPr="5BE7781D">
        <w:rPr>
          <w:rFonts w:ascii="Calibri" w:eastAsia="Calibri" w:hAnsi="Calibri" w:cs="Calibri"/>
        </w:rPr>
        <w:t xml:space="preserve"> limited to the perpetrators of the act</w:t>
      </w:r>
      <w:r w:rsidR="00E26F52">
        <w:rPr>
          <w:rFonts w:ascii="Calibri" w:eastAsia="Calibri" w:hAnsi="Calibri" w:cs="Calibri"/>
        </w:rPr>
        <w:t xml:space="preserve"> alone</w:t>
      </w:r>
      <w:r w:rsidR="47093037" w:rsidRPr="5BE7781D">
        <w:rPr>
          <w:rFonts w:ascii="Calibri" w:eastAsia="Calibri" w:hAnsi="Calibri" w:cs="Calibri"/>
        </w:rPr>
        <w:t>; i</w:t>
      </w:r>
      <w:r w:rsidR="1E441187" w:rsidRPr="5BE7781D">
        <w:rPr>
          <w:rFonts w:ascii="Calibri" w:eastAsia="Calibri" w:hAnsi="Calibri" w:cs="Calibri"/>
        </w:rPr>
        <w:t>t can also include the instigators</w:t>
      </w:r>
      <w:r w:rsidR="3CE3A221" w:rsidRPr="5BE7781D">
        <w:rPr>
          <w:rFonts w:ascii="Calibri" w:eastAsia="Calibri" w:hAnsi="Calibri" w:cs="Calibri"/>
        </w:rPr>
        <w:t xml:space="preserve">, where they are a </w:t>
      </w:r>
      <w:r w:rsidR="00377A68">
        <w:rPr>
          <w:rFonts w:ascii="Calibri" w:eastAsia="Calibri" w:hAnsi="Calibri" w:cs="Calibri"/>
        </w:rPr>
        <w:t>(</w:t>
      </w:r>
      <w:r w:rsidR="3CE3A221" w:rsidRPr="5BE7781D">
        <w:rPr>
          <w:rFonts w:ascii="Calibri" w:eastAsia="Calibri" w:hAnsi="Calibri" w:cs="Calibri"/>
        </w:rPr>
        <w:t>non-proximate</w:t>
      </w:r>
      <w:r w:rsidR="00377A68">
        <w:rPr>
          <w:rFonts w:ascii="Calibri" w:eastAsia="Calibri" w:hAnsi="Calibri" w:cs="Calibri"/>
        </w:rPr>
        <w:t>)</w:t>
      </w:r>
      <w:r w:rsidR="3CE3A221" w:rsidRPr="5BE7781D">
        <w:rPr>
          <w:rFonts w:ascii="Calibri" w:eastAsia="Calibri" w:hAnsi="Calibri" w:cs="Calibri"/>
        </w:rPr>
        <w:t xml:space="preserve"> part of the causal chain</w:t>
      </w:r>
      <w:r w:rsidR="1E441187" w:rsidRPr="5BE7781D">
        <w:rPr>
          <w:rFonts w:ascii="Calibri" w:eastAsia="Calibri" w:hAnsi="Calibri" w:cs="Calibri"/>
        </w:rPr>
        <w:t>.</w:t>
      </w:r>
      <w:r w:rsidR="001146F4">
        <w:rPr>
          <w:rStyle w:val="FootnoteReference"/>
          <w:rFonts w:ascii="Calibri" w:eastAsia="Calibri" w:hAnsi="Calibri" w:cs="Calibri"/>
        </w:rPr>
        <w:footnoteReference w:id="14"/>
      </w:r>
      <w:r w:rsidR="0F6B2C1F" w:rsidRPr="5BE7781D">
        <w:rPr>
          <w:rFonts w:ascii="Calibri" w:eastAsia="Calibri" w:hAnsi="Calibri" w:cs="Calibri"/>
        </w:rPr>
        <w:t xml:space="preserve"> </w:t>
      </w:r>
      <w:r w:rsidR="40DE6578" w:rsidRPr="5BE7781D">
        <w:rPr>
          <w:rFonts w:ascii="Calibri" w:eastAsia="Calibri" w:hAnsi="Calibri" w:cs="Calibri"/>
        </w:rPr>
        <w:t>Again, t</w:t>
      </w:r>
      <w:r w:rsidR="0F6B2C1F" w:rsidRPr="5BE7781D">
        <w:rPr>
          <w:rFonts w:ascii="Calibri" w:eastAsia="Calibri" w:hAnsi="Calibri" w:cs="Calibri"/>
        </w:rPr>
        <w:t xml:space="preserve">his </w:t>
      </w:r>
      <w:r w:rsidR="75578E13" w:rsidRPr="5BE7781D">
        <w:rPr>
          <w:rFonts w:ascii="Calibri" w:eastAsia="Calibri" w:hAnsi="Calibri" w:cs="Calibri"/>
        </w:rPr>
        <w:t>contradicts Tunick’s claim that interference should be limited to proximate causes</w:t>
      </w:r>
      <w:r w:rsidR="00E26F52">
        <w:rPr>
          <w:rFonts w:ascii="Calibri" w:eastAsia="Calibri" w:hAnsi="Calibri" w:cs="Calibri"/>
        </w:rPr>
        <w:t xml:space="preserve"> only</w:t>
      </w:r>
      <w:r w:rsidR="0F6B2C1F" w:rsidRPr="5BE7781D">
        <w:rPr>
          <w:rFonts w:ascii="Calibri" w:eastAsia="Calibri" w:hAnsi="Calibri" w:cs="Calibri"/>
        </w:rPr>
        <w:t>.</w:t>
      </w:r>
    </w:p>
    <w:p w14:paraId="2CEF39F2" w14:textId="49A2EA20" w:rsidR="00377A68" w:rsidRDefault="00377A68" w:rsidP="03FE00F0">
      <w:pPr>
        <w:jc w:val="both"/>
      </w:pPr>
      <w:r>
        <w:rPr>
          <w:rFonts w:ascii="Calibri" w:eastAsia="Calibri" w:hAnsi="Calibri" w:cs="Calibri"/>
        </w:rPr>
        <w:t xml:space="preserve">So, </w:t>
      </w:r>
      <w:r w:rsidR="7EEA5C4F" w:rsidRPr="5BE7781D">
        <w:rPr>
          <w:rFonts w:ascii="Calibri" w:eastAsia="Calibri" w:hAnsi="Calibri" w:cs="Calibri"/>
        </w:rPr>
        <w:t>Mill does not</w:t>
      </w:r>
      <w:r>
        <w:rPr>
          <w:rFonts w:ascii="Calibri" w:eastAsia="Calibri" w:hAnsi="Calibri" w:cs="Calibri"/>
        </w:rPr>
        <w:t xml:space="preserve"> clearly</w:t>
      </w:r>
      <w:r w:rsidR="7EEA5C4F" w:rsidRPr="5BE7781D">
        <w:rPr>
          <w:rFonts w:ascii="Calibri" w:eastAsia="Calibri" w:hAnsi="Calibri" w:cs="Calibri"/>
        </w:rPr>
        <w:t xml:space="preserve"> restrict interference to the proximate causes of harm</w:t>
      </w:r>
      <w:r w:rsidR="1D645F3B" w:rsidRPr="03FE00F0">
        <w:rPr>
          <w:rFonts w:ascii="Calibri" w:eastAsia="Calibri" w:hAnsi="Calibri" w:cs="Calibri"/>
        </w:rPr>
        <w:t xml:space="preserve"> in either of Tunick’s examples</w:t>
      </w:r>
      <w:r w:rsidR="7EEA5C4F" w:rsidRPr="03FE00F0">
        <w:rPr>
          <w:rFonts w:ascii="Calibri" w:eastAsia="Calibri" w:hAnsi="Calibri" w:cs="Calibri"/>
        </w:rPr>
        <w:t xml:space="preserve">. </w:t>
      </w:r>
      <w:r w:rsidR="1FCC6100" w:rsidRPr="03FE00F0">
        <w:rPr>
          <w:rFonts w:ascii="Calibri" w:eastAsia="Calibri" w:hAnsi="Calibri" w:cs="Calibri"/>
        </w:rPr>
        <w:t>Moreover, t</w:t>
      </w:r>
      <w:r w:rsidR="7EEA5C4F" w:rsidRPr="03FE00F0">
        <w:rPr>
          <w:rFonts w:ascii="Calibri" w:eastAsia="Calibri" w:hAnsi="Calibri" w:cs="Calibri"/>
        </w:rPr>
        <w:t xml:space="preserve">here </w:t>
      </w:r>
      <w:r w:rsidR="7EEA5C4F" w:rsidRPr="5BE7781D">
        <w:rPr>
          <w:rFonts w:ascii="Calibri" w:eastAsia="Calibri" w:hAnsi="Calibri" w:cs="Calibri"/>
        </w:rPr>
        <w:t xml:space="preserve">are other </w:t>
      </w:r>
      <w:r w:rsidR="4C47FA21" w:rsidRPr="03FE00F0">
        <w:rPr>
          <w:rFonts w:ascii="Calibri" w:eastAsia="Calibri" w:hAnsi="Calibri" w:cs="Calibri"/>
        </w:rPr>
        <w:t>cases</w:t>
      </w:r>
      <w:r w:rsidR="77B494B8" w:rsidRPr="03FE00F0">
        <w:rPr>
          <w:rFonts w:ascii="Calibri" w:eastAsia="Calibri" w:hAnsi="Calibri" w:cs="Calibri"/>
        </w:rPr>
        <w:t>,</w:t>
      </w:r>
      <w:r w:rsidR="7EEA5C4F" w:rsidRPr="5BE7781D">
        <w:rPr>
          <w:rFonts w:ascii="Calibri" w:eastAsia="Calibri" w:hAnsi="Calibri" w:cs="Calibri"/>
        </w:rPr>
        <w:t xml:space="preserve"> in </w:t>
      </w:r>
      <w:r w:rsidR="7EEA5C4F" w:rsidRPr="5BE7781D">
        <w:rPr>
          <w:rFonts w:ascii="Calibri" w:eastAsia="Calibri" w:hAnsi="Calibri" w:cs="Calibri"/>
          <w:i/>
          <w:iCs/>
        </w:rPr>
        <w:t>On Liberty</w:t>
      </w:r>
      <w:r w:rsidR="1E61174B" w:rsidRPr="03FE00F0">
        <w:rPr>
          <w:rFonts w:ascii="Calibri" w:eastAsia="Calibri" w:hAnsi="Calibri" w:cs="Calibri"/>
        </w:rPr>
        <w:t xml:space="preserve"> and elsewhere</w:t>
      </w:r>
      <w:r w:rsidR="7EEA5C4F" w:rsidRPr="03FE00F0">
        <w:rPr>
          <w:rFonts w:ascii="Calibri" w:eastAsia="Calibri" w:hAnsi="Calibri" w:cs="Calibri"/>
        </w:rPr>
        <w:t>,</w:t>
      </w:r>
      <w:r w:rsidR="4ABC26AA" w:rsidRPr="03FE00F0">
        <w:rPr>
          <w:rFonts w:ascii="Calibri" w:eastAsia="Calibri" w:hAnsi="Calibri" w:cs="Calibri"/>
        </w:rPr>
        <w:t xml:space="preserve"> that </w:t>
      </w:r>
      <w:r>
        <w:rPr>
          <w:rFonts w:ascii="Calibri" w:eastAsia="Calibri" w:hAnsi="Calibri" w:cs="Calibri"/>
        </w:rPr>
        <w:t xml:space="preserve">seem to </w:t>
      </w:r>
      <w:r w:rsidR="4ABC26AA" w:rsidRPr="03FE00F0">
        <w:rPr>
          <w:rFonts w:ascii="Calibri" w:eastAsia="Calibri" w:hAnsi="Calibri" w:cs="Calibri"/>
        </w:rPr>
        <w:t xml:space="preserve">involve interference with those </w:t>
      </w:r>
      <w:r w:rsidR="00E26F52">
        <w:rPr>
          <w:rFonts w:ascii="Calibri" w:eastAsia="Calibri" w:hAnsi="Calibri" w:cs="Calibri"/>
        </w:rPr>
        <w:t>who</w:t>
      </w:r>
      <w:r w:rsidR="4ABC26AA" w:rsidRPr="03FE00F0">
        <w:rPr>
          <w:rFonts w:ascii="Calibri" w:eastAsia="Calibri" w:hAnsi="Calibri" w:cs="Calibri"/>
        </w:rPr>
        <w:t xml:space="preserve"> are not proximate causes of harm</w:t>
      </w:r>
      <w:r w:rsidR="00213564" w:rsidRPr="03FE00F0">
        <w:rPr>
          <w:rFonts w:ascii="Calibri" w:eastAsia="Calibri" w:hAnsi="Calibri" w:cs="Calibri"/>
        </w:rPr>
        <w:t>s. F</w:t>
      </w:r>
      <w:r w:rsidR="7EEA5C4F" w:rsidRPr="03FE00F0">
        <w:rPr>
          <w:rFonts w:ascii="Calibri" w:eastAsia="Calibri" w:hAnsi="Calibri" w:cs="Calibri"/>
        </w:rPr>
        <w:t>or</w:t>
      </w:r>
      <w:r w:rsidR="7EEA5C4F" w:rsidRPr="5BE7781D">
        <w:rPr>
          <w:rFonts w:ascii="Calibri" w:eastAsia="Calibri" w:hAnsi="Calibri" w:cs="Calibri"/>
        </w:rPr>
        <w:t xml:space="preserve"> instance</w:t>
      </w:r>
      <w:r w:rsidR="6FD1D009" w:rsidRPr="03FE00F0">
        <w:rPr>
          <w:rFonts w:ascii="Calibri" w:eastAsia="Calibri" w:hAnsi="Calibri" w:cs="Calibri"/>
        </w:rPr>
        <w:t>,</w:t>
      </w:r>
      <w:r w:rsidR="7EEA5C4F" w:rsidRPr="5BE7781D">
        <w:rPr>
          <w:rFonts w:ascii="Calibri" w:eastAsia="Calibri" w:hAnsi="Calibri" w:cs="Calibri"/>
        </w:rPr>
        <w:t xml:space="preserve"> Mill suggests that</w:t>
      </w:r>
      <w:r w:rsidR="60E5536F" w:rsidRPr="5BE7781D">
        <w:t xml:space="preserve"> </w:t>
      </w:r>
      <w:r w:rsidR="00FC704C">
        <w:t>‘</w:t>
      </w:r>
      <w:r w:rsidR="60E5536F" w:rsidRPr="5BE7781D">
        <w:rPr>
          <w:rFonts w:ascii="Calibri" w:eastAsia="Calibri" w:hAnsi="Calibri" w:cs="Calibri"/>
        </w:rPr>
        <w:t>a soldier or a policeman should be punished for being drunk on duty</w:t>
      </w:r>
      <w:r w:rsidR="00FC704C">
        <w:t>’</w:t>
      </w:r>
      <w:r w:rsidR="60E5536F">
        <w:t xml:space="preserve"> (CW18: 282). </w:t>
      </w:r>
      <w:r w:rsidR="4FD4A568">
        <w:t xml:space="preserve">Their drunkenness might allow others to commit crimes without impediment, but it is </w:t>
      </w:r>
      <w:r>
        <w:t xml:space="preserve">presumably </w:t>
      </w:r>
      <w:r w:rsidR="4FD4A568">
        <w:t>the criminals who are proximately responsibl</w:t>
      </w:r>
      <w:r w:rsidR="647BBB4F">
        <w:t>e here.</w:t>
      </w:r>
      <w:r w:rsidR="66F812A0">
        <w:t xml:space="preserve"> Further, in an 1868 </w:t>
      </w:r>
      <w:r w:rsidR="60E5536F">
        <w:t>letter [#1361] to James Beal, Mill writes that</w:t>
      </w:r>
      <w:r>
        <w:t>:</w:t>
      </w:r>
    </w:p>
    <w:p w14:paraId="775AE439" w14:textId="0D2894AC" w:rsidR="00377A68" w:rsidRDefault="00FC704C" w:rsidP="00377A68">
      <w:pPr>
        <w:ind w:left="720"/>
        <w:jc w:val="both"/>
        <w:rPr>
          <w:rFonts w:ascii="Calibri" w:eastAsia="Calibri" w:hAnsi="Calibri" w:cs="Calibri"/>
        </w:rPr>
      </w:pPr>
      <w:r>
        <w:rPr>
          <w:rFonts w:ascii="Calibri" w:eastAsia="Calibri" w:hAnsi="Calibri" w:cs="Calibri"/>
        </w:rPr>
        <w:t>‘</w:t>
      </w:r>
      <w:r w:rsidR="00377A68">
        <w:rPr>
          <w:rFonts w:ascii="Calibri" w:eastAsia="Calibri" w:hAnsi="Calibri" w:cs="Calibri"/>
        </w:rPr>
        <w:t>[T]</w:t>
      </w:r>
      <w:r w:rsidR="60E5536F" w:rsidRPr="5BE7781D">
        <w:rPr>
          <w:rFonts w:ascii="Calibri" w:eastAsia="Calibri" w:hAnsi="Calibri" w:cs="Calibri"/>
        </w:rPr>
        <w:t xml:space="preserve">here should be a great increase of efforts to root out the receivers of stolen goods…. without them a criminal class, as a class, could not exist. If there were no receivers there could be no professional or habitual thieves…. I am not in a condition to say what means should be adopted for making receivers of stolen goods more amenable to justice… but I am satisfied </w:t>
      </w:r>
      <w:r w:rsidR="60E5536F" w:rsidRPr="5BE7781D">
        <w:rPr>
          <w:rFonts w:ascii="Calibri" w:eastAsia="Calibri" w:hAnsi="Calibri" w:cs="Calibri"/>
        </w:rPr>
        <w:lastRenderedPageBreak/>
        <w:t>that this is a direction in which the law requires either to be strengthened or to be more vigorously enforced</w:t>
      </w:r>
      <w:r>
        <w:rPr>
          <w:rFonts w:ascii="Calibri" w:eastAsia="Calibri" w:hAnsi="Calibri" w:cs="Calibri"/>
        </w:rPr>
        <w:t>’</w:t>
      </w:r>
      <w:r w:rsidR="60E5536F" w:rsidRPr="5BE7781D">
        <w:rPr>
          <w:rFonts w:ascii="Calibri" w:eastAsia="Calibri" w:hAnsi="Calibri" w:cs="Calibri"/>
        </w:rPr>
        <w:t xml:space="preserve"> (CW16: 1523</w:t>
      </w:r>
      <w:r w:rsidR="008A0BE3" w:rsidRPr="008A0BE3">
        <w:rPr>
          <w:rFonts w:ascii="Calibri" w:eastAsia="Calibri" w:hAnsi="Calibri" w:cs="Calibri"/>
        </w:rPr>
        <w:t>–</w:t>
      </w:r>
      <w:r w:rsidR="60E5536F" w:rsidRPr="5BE7781D">
        <w:rPr>
          <w:rFonts w:ascii="Calibri" w:eastAsia="Calibri" w:hAnsi="Calibri" w:cs="Calibri"/>
        </w:rPr>
        <w:t>24).</w:t>
      </w:r>
    </w:p>
    <w:p w14:paraId="6262E781" w14:textId="145DE5EA" w:rsidR="00E63A5D" w:rsidRDefault="00377A68" w:rsidP="00377A68">
      <w:pPr>
        <w:jc w:val="both"/>
        <w:rPr>
          <w:rFonts w:ascii="Calibri" w:eastAsia="Calibri" w:hAnsi="Calibri" w:cs="Calibri"/>
        </w:rPr>
      </w:pPr>
      <w:r>
        <w:rPr>
          <w:rFonts w:ascii="Calibri" w:eastAsia="Calibri" w:hAnsi="Calibri" w:cs="Calibri"/>
        </w:rPr>
        <w:t>Maybe</w:t>
      </w:r>
      <w:r w:rsidR="1ACCE1BD" w:rsidRPr="5BE7781D">
        <w:rPr>
          <w:rFonts w:ascii="Calibri" w:eastAsia="Calibri" w:hAnsi="Calibri" w:cs="Calibri"/>
        </w:rPr>
        <w:t xml:space="preserve"> Tunick could show that these cases do </w:t>
      </w:r>
      <w:r w:rsidR="010F50B0" w:rsidRPr="5BE7781D">
        <w:rPr>
          <w:rFonts w:ascii="Calibri" w:eastAsia="Calibri" w:hAnsi="Calibri" w:cs="Calibri"/>
        </w:rPr>
        <w:t>somehow</w:t>
      </w:r>
      <w:r w:rsidR="1ACCE1BD" w:rsidRPr="5BE7781D">
        <w:rPr>
          <w:rFonts w:ascii="Calibri" w:eastAsia="Calibri" w:hAnsi="Calibri" w:cs="Calibri"/>
        </w:rPr>
        <w:t xml:space="preserve"> involve proximate harms</w:t>
      </w:r>
      <w:r w:rsidR="37B77A80" w:rsidRPr="5BE7781D">
        <w:rPr>
          <w:rFonts w:ascii="Calibri" w:eastAsia="Calibri" w:hAnsi="Calibri" w:cs="Calibri"/>
        </w:rPr>
        <w:t>, as he argues in other cases</w:t>
      </w:r>
      <w:r w:rsidR="6363A31F" w:rsidRPr="5BE7781D">
        <w:rPr>
          <w:rFonts w:ascii="Calibri" w:eastAsia="Calibri" w:hAnsi="Calibri" w:cs="Calibri"/>
        </w:rPr>
        <w:t xml:space="preserve"> (Tunick</w:t>
      </w:r>
      <w:r w:rsidR="00FC704C">
        <w:rPr>
          <w:rFonts w:ascii="Calibri" w:eastAsia="Calibri" w:hAnsi="Calibri" w:cs="Calibri"/>
        </w:rPr>
        <w:t>,</w:t>
      </w:r>
      <w:r w:rsidR="6363A31F" w:rsidRPr="5BE7781D">
        <w:rPr>
          <w:rFonts w:ascii="Calibri" w:eastAsia="Calibri" w:hAnsi="Calibri" w:cs="Calibri"/>
        </w:rPr>
        <w:t xml:space="preserve"> 2024</w:t>
      </w:r>
      <w:r w:rsidR="00FC704C">
        <w:rPr>
          <w:rFonts w:ascii="Calibri" w:eastAsia="Calibri" w:hAnsi="Calibri" w:cs="Calibri"/>
        </w:rPr>
        <w:t>, pp.</w:t>
      </w:r>
      <w:r w:rsidR="6363A31F" w:rsidRPr="5BE7781D">
        <w:rPr>
          <w:rFonts w:ascii="Calibri" w:eastAsia="Calibri" w:hAnsi="Calibri" w:cs="Calibri"/>
        </w:rPr>
        <w:t xml:space="preserve"> 12</w:t>
      </w:r>
      <w:r w:rsidR="008A0BE3" w:rsidRPr="008A0BE3">
        <w:rPr>
          <w:rFonts w:ascii="Calibri" w:eastAsia="Calibri" w:hAnsi="Calibri" w:cs="Calibri"/>
        </w:rPr>
        <w:t>–</w:t>
      </w:r>
      <w:r w:rsidR="6363A31F" w:rsidRPr="5BE7781D">
        <w:rPr>
          <w:rFonts w:ascii="Calibri" w:eastAsia="Calibri" w:hAnsi="Calibri" w:cs="Calibri"/>
        </w:rPr>
        <w:t>13)</w:t>
      </w:r>
      <w:r w:rsidR="4A177FFD" w:rsidRPr="5BE7781D">
        <w:rPr>
          <w:rFonts w:ascii="Calibri" w:eastAsia="Calibri" w:hAnsi="Calibri" w:cs="Calibri"/>
        </w:rPr>
        <w:t>.</w:t>
      </w:r>
      <w:r w:rsidRPr="00377A68">
        <w:rPr>
          <w:rFonts w:ascii="Calibri" w:eastAsia="Calibri" w:hAnsi="Calibri" w:cs="Calibri"/>
          <w:vertAlign w:val="superscript"/>
        </w:rPr>
        <w:footnoteReference w:id="15"/>
      </w:r>
      <w:r w:rsidR="4A177FFD" w:rsidRPr="5BE7781D">
        <w:rPr>
          <w:rFonts w:ascii="Calibri" w:eastAsia="Calibri" w:hAnsi="Calibri" w:cs="Calibri"/>
        </w:rPr>
        <w:t xml:space="preserve"> B</w:t>
      </w:r>
      <w:r w:rsidR="1ACCE1BD" w:rsidRPr="5BE7781D">
        <w:rPr>
          <w:rFonts w:ascii="Calibri" w:eastAsia="Calibri" w:hAnsi="Calibri" w:cs="Calibri"/>
        </w:rPr>
        <w:t>ut</w:t>
      </w:r>
      <w:r w:rsidR="505B1123" w:rsidRPr="5BE7781D">
        <w:rPr>
          <w:rFonts w:ascii="Calibri" w:eastAsia="Calibri" w:hAnsi="Calibri" w:cs="Calibri"/>
        </w:rPr>
        <w:t>,</w:t>
      </w:r>
      <w:r w:rsidR="1ACCE1BD" w:rsidRPr="5BE7781D">
        <w:rPr>
          <w:rFonts w:ascii="Calibri" w:eastAsia="Calibri" w:hAnsi="Calibri" w:cs="Calibri"/>
        </w:rPr>
        <w:t xml:space="preserve"> at first sight</w:t>
      </w:r>
      <w:r w:rsidR="2320A38A" w:rsidRPr="5BE7781D">
        <w:rPr>
          <w:rFonts w:ascii="Calibri" w:eastAsia="Calibri" w:hAnsi="Calibri" w:cs="Calibri"/>
        </w:rPr>
        <w:t>, these cases involve interference with non-proximate causes</w:t>
      </w:r>
      <w:r w:rsidR="1ACCE1BD" w:rsidRPr="5BE7781D">
        <w:rPr>
          <w:rFonts w:ascii="Calibri" w:eastAsia="Calibri" w:hAnsi="Calibri" w:cs="Calibri"/>
        </w:rPr>
        <w:t>.</w:t>
      </w:r>
    </w:p>
    <w:p w14:paraId="3BB8281D" w14:textId="3C490816" w:rsidR="00E63A5D" w:rsidRPr="00E63A5D" w:rsidRDefault="00E63A5D" w:rsidP="00E63A5D">
      <w:pPr>
        <w:jc w:val="both"/>
        <w:rPr>
          <w:rFonts w:ascii="Calibri" w:eastAsia="Calibri" w:hAnsi="Calibri" w:cs="Calibri"/>
        </w:rPr>
      </w:pPr>
      <w:r w:rsidRPr="00E63A5D">
        <w:rPr>
          <w:rFonts w:ascii="Calibri" w:eastAsia="Calibri" w:hAnsi="Calibri" w:cs="Calibri"/>
        </w:rPr>
        <w:t xml:space="preserve">Even if Mill did </w:t>
      </w:r>
      <w:r w:rsidR="00377A68">
        <w:rPr>
          <w:rFonts w:ascii="Calibri" w:eastAsia="Calibri" w:hAnsi="Calibri" w:cs="Calibri"/>
        </w:rPr>
        <w:t>generally</w:t>
      </w:r>
      <w:r w:rsidRPr="00E63A5D">
        <w:rPr>
          <w:rFonts w:ascii="Calibri" w:eastAsia="Calibri" w:hAnsi="Calibri" w:cs="Calibri"/>
        </w:rPr>
        <w:t xml:space="preserve"> favour interference t</w:t>
      </w:r>
      <w:r w:rsidR="00377A68">
        <w:rPr>
          <w:rFonts w:ascii="Calibri" w:eastAsia="Calibri" w:hAnsi="Calibri" w:cs="Calibri"/>
        </w:rPr>
        <w:t>argeting</w:t>
      </w:r>
      <w:r w:rsidRPr="00E63A5D">
        <w:rPr>
          <w:rFonts w:ascii="Calibri" w:eastAsia="Calibri" w:hAnsi="Calibri" w:cs="Calibri"/>
        </w:rPr>
        <w:t xml:space="preserve"> the proximate causes of harm, </w:t>
      </w:r>
      <w:r w:rsidR="00E26F52">
        <w:rPr>
          <w:rFonts w:ascii="Calibri" w:eastAsia="Calibri" w:hAnsi="Calibri" w:cs="Calibri"/>
        </w:rPr>
        <w:t xml:space="preserve">as Tunick claims, </w:t>
      </w:r>
      <w:r w:rsidRPr="00E63A5D">
        <w:rPr>
          <w:rFonts w:ascii="Calibri" w:eastAsia="Calibri" w:hAnsi="Calibri" w:cs="Calibri"/>
        </w:rPr>
        <w:t>this is not strong evidence for HC. It might be that there are reasons to focus on the proximate causes, even when others are also liable to interference. In contrast, evidence that Mill would, even sometimes, allow interference with non-proximate causes refutes Tunick’s argument</w:t>
      </w:r>
      <w:r w:rsidR="00E26F52">
        <w:rPr>
          <w:rFonts w:ascii="Calibri" w:eastAsia="Calibri" w:hAnsi="Calibri" w:cs="Calibri"/>
        </w:rPr>
        <w:t xml:space="preserve"> that interference must be limited to the proximate causes of harm</w:t>
      </w:r>
      <w:r w:rsidRPr="00E63A5D">
        <w:rPr>
          <w:rFonts w:ascii="Calibri" w:eastAsia="Calibri" w:hAnsi="Calibri" w:cs="Calibri"/>
        </w:rPr>
        <w:t xml:space="preserve">. </w:t>
      </w:r>
      <w:r w:rsidR="00BD6642">
        <w:rPr>
          <w:rFonts w:ascii="Calibri" w:eastAsia="Calibri" w:hAnsi="Calibri" w:cs="Calibri"/>
        </w:rPr>
        <w:t>However, t</w:t>
      </w:r>
      <w:r w:rsidRPr="00E63A5D">
        <w:rPr>
          <w:rFonts w:ascii="Calibri" w:eastAsia="Calibri" w:hAnsi="Calibri" w:cs="Calibri"/>
        </w:rPr>
        <w:t>his does not necessarily support GP</w:t>
      </w:r>
      <w:r w:rsidR="00485F64">
        <w:rPr>
          <w:rFonts w:ascii="Calibri" w:eastAsia="Calibri" w:hAnsi="Calibri" w:cs="Calibri"/>
        </w:rPr>
        <w:t>H</w:t>
      </w:r>
      <w:r w:rsidRPr="00E63A5D">
        <w:rPr>
          <w:rFonts w:ascii="Calibri" w:eastAsia="Calibri" w:hAnsi="Calibri" w:cs="Calibri"/>
        </w:rPr>
        <w:t xml:space="preserve">. Even if interference is not restricted to </w:t>
      </w:r>
      <w:r w:rsidRPr="00E63A5D">
        <w:rPr>
          <w:rFonts w:ascii="Calibri" w:eastAsia="Calibri" w:hAnsi="Calibri" w:cs="Calibri"/>
          <w:i/>
          <w:iCs/>
        </w:rPr>
        <w:t>proximate</w:t>
      </w:r>
      <w:r w:rsidRPr="00E63A5D">
        <w:rPr>
          <w:rFonts w:ascii="Calibri" w:eastAsia="Calibri" w:hAnsi="Calibri" w:cs="Calibri"/>
        </w:rPr>
        <w:t xml:space="preserve"> causes of harm, it might still be limited to those whose conduct causally contributes to harm</w:t>
      </w:r>
      <w:r w:rsidR="00BD6642">
        <w:rPr>
          <w:rFonts w:ascii="Calibri" w:eastAsia="Calibri" w:hAnsi="Calibri" w:cs="Calibri"/>
        </w:rPr>
        <w:t xml:space="preserve"> in a more extended sense</w:t>
      </w:r>
      <w:r w:rsidRPr="00E63A5D">
        <w:rPr>
          <w:rFonts w:ascii="Calibri" w:eastAsia="Calibri" w:hAnsi="Calibri" w:cs="Calibri"/>
        </w:rPr>
        <w:t>. For instance, LaSelva (1988</w:t>
      </w:r>
      <w:r w:rsidR="00FC704C">
        <w:rPr>
          <w:rFonts w:ascii="Calibri" w:eastAsia="Calibri" w:hAnsi="Calibri" w:cs="Calibri"/>
        </w:rPr>
        <w:t>, p.</w:t>
      </w:r>
      <w:r w:rsidRPr="00E63A5D">
        <w:rPr>
          <w:rFonts w:ascii="Calibri" w:eastAsia="Calibri" w:hAnsi="Calibri" w:cs="Calibri"/>
        </w:rPr>
        <w:t xml:space="preserve"> 494) suggests that one need only be </w:t>
      </w:r>
      <w:r w:rsidR="00FC704C">
        <w:rPr>
          <w:rFonts w:ascii="Calibri" w:eastAsia="Calibri" w:hAnsi="Calibri" w:cs="Calibri"/>
        </w:rPr>
        <w:t>‘</w:t>
      </w:r>
      <w:r w:rsidRPr="00E63A5D">
        <w:rPr>
          <w:rFonts w:ascii="Calibri" w:eastAsia="Calibri" w:hAnsi="Calibri" w:cs="Calibri"/>
        </w:rPr>
        <w:t>part of the sequence of events that results in harm</w:t>
      </w:r>
      <w:r w:rsidR="00FC704C">
        <w:rPr>
          <w:rFonts w:ascii="Calibri" w:eastAsia="Calibri" w:hAnsi="Calibri" w:cs="Calibri"/>
        </w:rPr>
        <w:t>’</w:t>
      </w:r>
      <w:r w:rsidRPr="00E63A5D">
        <w:rPr>
          <w:rFonts w:ascii="Calibri" w:eastAsia="Calibri" w:hAnsi="Calibri" w:cs="Calibri"/>
        </w:rPr>
        <w:t xml:space="preserve"> in order to be liable to interference or punishment. Unlike Tunick’s proximate</w:t>
      </w:r>
      <w:r w:rsidR="00BD6642">
        <w:rPr>
          <w:rFonts w:ascii="Calibri" w:eastAsia="Calibri" w:hAnsi="Calibri" w:cs="Calibri"/>
        </w:rPr>
        <w:t xml:space="preserve"> version of</w:t>
      </w:r>
      <w:r w:rsidRPr="00E63A5D">
        <w:rPr>
          <w:rFonts w:ascii="Calibri" w:eastAsia="Calibri" w:hAnsi="Calibri" w:cs="Calibri"/>
        </w:rPr>
        <w:t xml:space="preserve"> HC, this extended HC would permit interference with prostitutes and instigators.</w:t>
      </w:r>
    </w:p>
    <w:p w14:paraId="3EC4AB2E" w14:textId="77777777" w:rsidR="00E63A5D" w:rsidRPr="00E63A5D" w:rsidRDefault="00E63A5D" w:rsidP="00E63A5D">
      <w:pPr>
        <w:jc w:val="both"/>
        <w:rPr>
          <w:rFonts w:ascii="Calibri" w:eastAsia="Calibri" w:hAnsi="Calibri" w:cs="Calibri"/>
          <w:i/>
          <w:iCs/>
        </w:rPr>
      </w:pPr>
    </w:p>
    <w:p w14:paraId="19E7E1F9" w14:textId="321F082C" w:rsidR="00E63A5D" w:rsidRPr="00E63A5D" w:rsidRDefault="00E63A5D" w:rsidP="00E63A5D">
      <w:pPr>
        <w:jc w:val="both"/>
        <w:rPr>
          <w:rFonts w:ascii="Calibri" w:eastAsia="Calibri" w:hAnsi="Calibri" w:cs="Calibri"/>
        </w:rPr>
      </w:pPr>
      <w:r>
        <w:rPr>
          <w:rFonts w:ascii="Calibri" w:eastAsia="Calibri" w:hAnsi="Calibri" w:cs="Calibri"/>
          <w:i/>
          <w:iCs/>
        </w:rPr>
        <w:t>5</w:t>
      </w:r>
      <w:r w:rsidRPr="00E63A5D">
        <w:rPr>
          <w:rFonts w:ascii="Calibri" w:eastAsia="Calibri" w:hAnsi="Calibri" w:cs="Calibri"/>
          <w:i/>
          <w:iCs/>
        </w:rPr>
        <w:t>. Conclusion</w:t>
      </w:r>
    </w:p>
    <w:p w14:paraId="6D3A5706" w14:textId="68482F41" w:rsidR="5BE7781D" w:rsidRDefault="4C5C4E26" w:rsidP="5BE7781D">
      <w:pPr>
        <w:jc w:val="both"/>
      </w:pPr>
      <w:r>
        <w:t>Given Mill’s looseness of language</w:t>
      </w:r>
      <w:r w:rsidR="6916C1D7">
        <w:t>,</w:t>
      </w:r>
      <w:r>
        <w:t xml:space="preserve"> and the various formulations of MLP that he offers, it is difficult to find any interpretation that </w:t>
      </w:r>
      <w:r w:rsidR="5C0743F5">
        <w:t>is consistent</w:t>
      </w:r>
      <w:r>
        <w:t xml:space="preserve"> with everything</w:t>
      </w:r>
      <w:r w:rsidR="5891744B">
        <w:t xml:space="preserve"> that he says</w:t>
      </w:r>
      <w:r w:rsidR="00331577">
        <w:t xml:space="preserve">, even in </w:t>
      </w:r>
      <w:r w:rsidR="00331577" w:rsidRPr="006A3E73">
        <w:rPr>
          <w:i/>
          <w:iCs/>
        </w:rPr>
        <w:t>On Liberty</w:t>
      </w:r>
      <w:r w:rsidR="5891744B">
        <w:t>.</w:t>
      </w:r>
      <w:r w:rsidR="00996A01">
        <w:rPr>
          <w:rStyle w:val="FootnoteReference"/>
        </w:rPr>
        <w:footnoteReference w:id="16"/>
      </w:r>
      <w:r w:rsidR="5891744B">
        <w:t xml:space="preserve"> </w:t>
      </w:r>
      <w:r w:rsidR="1C773C72">
        <w:t xml:space="preserve">Nonetheless, Tunick’s recent arguments for HC conflict with </w:t>
      </w:r>
      <w:r w:rsidR="65C94F9B">
        <w:t>various things that Mill says, even in the passages that Tunick cites for support.</w:t>
      </w:r>
      <w:r w:rsidR="150C4127">
        <w:t xml:space="preserve"> While it is true that Mill </w:t>
      </w:r>
      <w:r w:rsidR="56CCA07C">
        <w:t xml:space="preserve">often </w:t>
      </w:r>
      <w:r w:rsidR="150C4127">
        <w:t xml:space="preserve">favours interference targeting the proximate causes of harm, and therefore criticises the Contagious Diseases Acts for focusing on the prostitutes </w:t>
      </w:r>
      <w:r w:rsidR="150C4127" w:rsidRPr="03FE00F0">
        <w:rPr>
          <w:i/>
        </w:rPr>
        <w:t>rather than</w:t>
      </w:r>
      <w:r w:rsidR="150C4127">
        <w:t xml:space="preserve"> the clients, he </w:t>
      </w:r>
      <w:r w:rsidR="10B53DC4">
        <w:t xml:space="preserve">does </w:t>
      </w:r>
      <w:r w:rsidR="10B53DC4" w:rsidRPr="5BE7781D">
        <w:rPr>
          <w:i/>
          <w:iCs/>
        </w:rPr>
        <w:t xml:space="preserve">not </w:t>
      </w:r>
      <w:r w:rsidR="10B53DC4">
        <w:t xml:space="preserve">say that interference must be restricted only to the clients. </w:t>
      </w:r>
      <w:r w:rsidR="2F519798">
        <w:t>In fact</w:t>
      </w:r>
      <w:r w:rsidR="10B53DC4">
        <w:t xml:space="preserve">, he </w:t>
      </w:r>
      <w:r w:rsidR="00BD6642">
        <w:t xml:space="preserve">seems to </w:t>
      </w:r>
      <w:r w:rsidR="10B53DC4">
        <w:t>allow th</w:t>
      </w:r>
      <w:r w:rsidR="2A7DE0E0">
        <w:t>e possibility of interfering with both clients and prostitutes</w:t>
      </w:r>
      <w:r w:rsidR="00E26F52">
        <w:t xml:space="preserve"> (and, similarly, with instigators as well as the p</w:t>
      </w:r>
      <w:r w:rsidR="00D137C3">
        <w:t>e</w:t>
      </w:r>
      <w:r w:rsidR="00E26F52">
        <w:t>rpetrat</w:t>
      </w:r>
      <w:r w:rsidR="00D137C3">
        <w:t>ors of harmful acts)</w:t>
      </w:r>
      <w:r w:rsidR="2A7DE0E0">
        <w:t xml:space="preserve">. </w:t>
      </w:r>
      <w:r w:rsidR="00D137C3">
        <w:t>Again, t</w:t>
      </w:r>
      <w:r w:rsidR="2A7DE0E0">
        <w:t>his</w:t>
      </w:r>
      <w:r w:rsidR="00D137C3">
        <w:t xml:space="preserve"> observation</w:t>
      </w:r>
      <w:r w:rsidR="7BA5B4AC">
        <w:t xml:space="preserve"> need not support GP</w:t>
      </w:r>
      <w:r w:rsidR="00485F64">
        <w:t>H</w:t>
      </w:r>
      <w:r w:rsidR="7BA5B4AC">
        <w:t>, since it</w:t>
      </w:r>
      <w:r w:rsidR="2A7DE0E0">
        <w:t xml:space="preserve"> is </w:t>
      </w:r>
      <w:r w:rsidR="00D137C3">
        <w:t xml:space="preserve">still </w:t>
      </w:r>
      <w:r w:rsidR="2A7DE0E0">
        <w:t>consistent with thinking that interferen</w:t>
      </w:r>
      <w:r w:rsidR="1FD704A1">
        <w:t xml:space="preserve">ce </w:t>
      </w:r>
      <w:r w:rsidR="00BD6642">
        <w:t>should be</w:t>
      </w:r>
      <w:r w:rsidR="1FD704A1">
        <w:t xml:space="preserve"> restricted to </w:t>
      </w:r>
      <w:r w:rsidR="00BD6642">
        <w:t>those who are part of the extended causal chain</w:t>
      </w:r>
      <w:r w:rsidR="1FD704A1">
        <w:t xml:space="preserve"> producing harm</w:t>
      </w:r>
      <w:r w:rsidR="33B9B848">
        <w:t>. Nonetheless</w:t>
      </w:r>
      <w:r w:rsidR="4B78B7DF">
        <w:t xml:space="preserve">, </w:t>
      </w:r>
      <w:r w:rsidR="00AB1950">
        <w:t>I suggest that</w:t>
      </w:r>
      <w:r w:rsidR="00BD6642">
        <w:t xml:space="preserve"> Mill did not hold that</w:t>
      </w:r>
      <w:r w:rsidR="00AB1950">
        <w:t xml:space="preserve"> </w:t>
      </w:r>
      <w:r w:rsidR="4B78B7DF">
        <w:t xml:space="preserve">interference </w:t>
      </w:r>
      <w:r w:rsidR="00BD6642">
        <w:t>must</w:t>
      </w:r>
      <w:r w:rsidR="4B78B7DF">
        <w:t xml:space="preserve"> be limited to the </w:t>
      </w:r>
      <w:r w:rsidR="4B78B7DF" w:rsidRPr="00D137C3">
        <w:rPr>
          <w:i/>
          <w:iCs/>
        </w:rPr>
        <w:t>proximate</w:t>
      </w:r>
      <w:r w:rsidR="4B78B7DF">
        <w:t xml:space="preserve"> cause of harm</w:t>
      </w:r>
      <w:r w:rsidR="1C6E9032">
        <w:t>.</w:t>
      </w:r>
      <w:r w:rsidR="007B1EB5">
        <w:rPr>
          <w:rStyle w:val="FootnoteReference"/>
        </w:rPr>
        <w:footnoteReference w:id="17"/>
      </w:r>
    </w:p>
    <w:p w14:paraId="6C35AE00" w14:textId="77777777" w:rsidR="0087646F" w:rsidRPr="00702406" w:rsidRDefault="0087646F" w:rsidP="5BE7781D">
      <w:pPr>
        <w:jc w:val="both"/>
      </w:pPr>
    </w:p>
    <w:p w14:paraId="0AC6AEE9" w14:textId="15E0DA40" w:rsidR="007C2BF5" w:rsidRDefault="600C2B26" w:rsidP="5BE7781D">
      <w:pPr>
        <w:jc w:val="both"/>
      </w:pPr>
      <w:r w:rsidRPr="5BE7781D">
        <w:rPr>
          <w:i/>
          <w:iCs/>
        </w:rPr>
        <w:t>References</w:t>
      </w:r>
    </w:p>
    <w:p w14:paraId="37070814" w14:textId="369A96E8" w:rsidR="00A52F08" w:rsidRPr="00A52F08" w:rsidRDefault="00FC704C" w:rsidP="5BE7781D">
      <w:pPr>
        <w:jc w:val="both"/>
      </w:pPr>
      <w:r>
        <w:t xml:space="preserve">David O. </w:t>
      </w:r>
      <w:r w:rsidR="00A52F08">
        <w:t xml:space="preserve">Brink, </w:t>
      </w:r>
      <w:r>
        <w:t>‘</w:t>
      </w:r>
      <w:r w:rsidR="00A52F08">
        <w:t>Mill’s deliberative utilitarianism</w:t>
      </w:r>
      <w:r>
        <w:t>’,</w:t>
      </w:r>
      <w:r w:rsidR="00A52F08">
        <w:t xml:space="preserve"> </w:t>
      </w:r>
      <w:r w:rsidR="00A52F08">
        <w:rPr>
          <w:i/>
          <w:iCs/>
        </w:rPr>
        <w:t>Philosophy &amp; Public Affairs</w:t>
      </w:r>
      <w:r>
        <w:t xml:space="preserve">, </w:t>
      </w:r>
      <w:r w:rsidR="00A52F08">
        <w:t>21</w:t>
      </w:r>
      <w:r>
        <w:t xml:space="preserve"> </w:t>
      </w:r>
      <w:r w:rsidR="00A52F08">
        <w:t>(1</w:t>
      </w:r>
      <w:r>
        <w:t>992</w:t>
      </w:r>
      <w:r w:rsidR="00A52F08">
        <w:t>)</w:t>
      </w:r>
      <w:r>
        <w:t>,</w:t>
      </w:r>
      <w:r w:rsidR="00A52F08">
        <w:t xml:space="preserve"> 67</w:t>
      </w:r>
      <w:r>
        <w:rPr>
          <w:rFonts w:cstheme="minorHAnsi"/>
        </w:rPr>
        <w:t>–</w:t>
      </w:r>
      <w:r w:rsidR="00A52F08">
        <w:t>103.</w:t>
      </w:r>
      <w:r>
        <w:t xml:space="preserve"> </w:t>
      </w:r>
    </w:p>
    <w:p w14:paraId="056B823C" w14:textId="6B3738DF" w:rsidR="007C2BF5" w:rsidRDefault="00FC704C" w:rsidP="5BE7781D">
      <w:pPr>
        <w:jc w:val="both"/>
      </w:pPr>
      <w:r>
        <w:t xml:space="preserve">D. G. </w:t>
      </w:r>
      <w:r w:rsidR="007C2BF5">
        <w:t>Brown</w:t>
      </w:r>
      <w:r w:rsidR="007C0486">
        <w:t xml:space="preserve"> </w:t>
      </w:r>
      <w:r>
        <w:t>‘</w:t>
      </w:r>
      <w:r w:rsidR="007C0486">
        <w:t xml:space="preserve">Mill on </w:t>
      </w:r>
      <w:r w:rsidR="2D1E347D">
        <w:t>l</w:t>
      </w:r>
      <w:r w:rsidR="007C0486">
        <w:t xml:space="preserve">iberty and </w:t>
      </w:r>
      <w:r w:rsidR="443B1B07">
        <w:t>m</w:t>
      </w:r>
      <w:r w:rsidR="007C0486">
        <w:t>orality</w:t>
      </w:r>
      <w:r>
        <w:t>’,</w:t>
      </w:r>
      <w:r w:rsidR="007C0486">
        <w:t xml:space="preserve"> </w:t>
      </w:r>
      <w:r w:rsidR="007C0486" w:rsidRPr="5BE7781D">
        <w:rPr>
          <w:i/>
          <w:iCs/>
        </w:rPr>
        <w:t>Philosophical Review</w:t>
      </w:r>
      <w:r>
        <w:t xml:space="preserve">, </w:t>
      </w:r>
      <w:r w:rsidR="007C0486">
        <w:t>81</w:t>
      </w:r>
      <w:r>
        <w:t xml:space="preserve"> </w:t>
      </w:r>
      <w:r w:rsidR="007C0486">
        <w:t>(</w:t>
      </w:r>
      <w:r>
        <w:t>197</w:t>
      </w:r>
      <w:r w:rsidR="007C0486">
        <w:t>2)</w:t>
      </w:r>
      <w:r>
        <w:t>,</w:t>
      </w:r>
      <w:r w:rsidR="007C0486">
        <w:t xml:space="preserve"> 133</w:t>
      </w:r>
      <w:r w:rsidRPr="00FC704C">
        <w:t>–</w:t>
      </w:r>
      <w:r w:rsidR="007C0486">
        <w:t>158.</w:t>
      </w:r>
    </w:p>
    <w:p w14:paraId="00B81886" w14:textId="1BD40DBF" w:rsidR="00C34BCE" w:rsidRDefault="006B1437" w:rsidP="5BE7781D">
      <w:pPr>
        <w:jc w:val="both"/>
      </w:pPr>
      <w:r>
        <w:t xml:space="preserve">Alan E. </w:t>
      </w:r>
      <w:r w:rsidR="00C34BCE">
        <w:t xml:space="preserve">Fuchs, </w:t>
      </w:r>
      <w:r>
        <w:t>‘</w:t>
      </w:r>
      <w:r w:rsidR="004E3A93">
        <w:t>Mill’s theory of morally correct action</w:t>
      </w:r>
      <w:r>
        <w:t>’</w:t>
      </w:r>
      <w:r w:rsidR="004E3A93">
        <w:t>. In H</w:t>
      </w:r>
      <w:r w:rsidR="00F9462A">
        <w:t>enry</w:t>
      </w:r>
      <w:r w:rsidR="004E3A93">
        <w:t xml:space="preserve"> R. West (ed) </w:t>
      </w:r>
      <w:r w:rsidR="004E3A93">
        <w:rPr>
          <w:i/>
          <w:iCs/>
        </w:rPr>
        <w:t xml:space="preserve">The Blackwell Guide to Mill’s </w:t>
      </w:r>
      <w:r w:rsidR="004E3A93">
        <w:t>Utilitarianism (Malden MA: Blackwell</w:t>
      </w:r>
      <w:r>
        <w:t>, 2006</w:t>
      </w:r>
      <w:r w:rsidR="004E3A93">
        <w:t>), pp. 139</w:t>
      </w:r>
      <w:r w:rsidR="00FC704C" w:rsidRPr="00FC704C">
        <w:t>–</w:t>
      </w:r>
      <w:r w:rsidR="004E3A93">
        <w:t>158.</w:t>
      </w:r>
    </w:p>
    <w:p w14:paraId="5FE939E8" w14:textId="39896B19" w:rsidR="006D5742" w:rsidRDefault="00FC704C" w:rsidP="5BE7781D">
      <w:pPr>
        <w:jc w:val="both"/>
      </w:pPr>
      <w:r>
        <w:t xml:space="preserve">Nils </w:t>
      </w:r>
      <w:r w:rsidR="006D5742">
        <w:t xml:space="preserve">Holtug, </w:t>
      </w:r>
      <w:r>
        <w:t>‘</w:t>
      </w:r>
      <w:r w:rsidR="006D5742">
        <w:t>The harm principle</w:t>
      </w:r>
      <w:r>
        <w:t>’,</w:t>
      </w:r>
      <w:r w:rsidR="006D5742">
        <w:t xml:space="preserve"> </w:t>
      </w:r>
      <w:r w:rsidR="006D5742">
        <w:rPr>
          <w:i/>
          <w:iCs/>
        </w:rPr>
        <w:t>Ethical Theory and Moral Practice</w:t>
      </w:r>
      <w:r>
        <w:t xml:space="preserve">, </w:t>
      </w:r>
      <w:r w:rsidR="006D5742">
        <w:t>5</w:t>
      </w:r>
      <w:r>
        <w:t xml:space="preserve"> </w:t>
      </w:r>
      <w:r w:rsidR="006D5742">
        <w:t>(</w:t>
      </w:r>
      <w:r>
        <w:t>2002</w:t>
      </w:r>
      <w:r w:rsidR="006D5742">
        <w:t>)</w:t>
      </w:r>
      <w:r>
        <w:t>,</w:t>
      </w:r>
      <w:r w:rsidR="006D5742">
        <w:t xml:space="preserve"> 357</w:t>
      </w:r>
      <w:r w:rsidRPr="00FC704C">
        <w:t>–</w:t>
      </w:r>
      <w:r w:rsidR="006D5742">
        <w:t>389.</w:t>
      </w:r>
    </w:p>
    <w:p w14:paraId="4FB29896" w14:textId="27591410" w:rsidR="00996A01" w:rsidRPr="00996A01" w:rsidRDefault="006B1437" w:rsidP="5BE7781D">
      <w:pPr>
        <w:jc w:val="both"/>
      </w:pPr>
      <w:r>
        <w:lastRenderedPageBreak/>
        <w:t xml:space="preserve">Brian </w:t>
      </w:r>
      <w:r w:rsidR="00996A01">
        <w:t>Kogelmann and Jeffrey Carroll</w:t>
      </w:r>
      <w:r>
        <w:t>,</w:t>
      </w:r>
      <w:r w:rsidR="00996A01">
        <w:t xml:space="preserve"> </w:t>
      </w:r>
      <w:r>
        <w:t>‘</w:t>
      </w:r>
      <w:r w:rsidR="00996A01">
        <w:t>The moral status of pecuniary externalities</w:t>
      </w:r>
      <w:r>
        <w:t>’,</w:t>
      </w:r>
      <w:r w:rsidR="00996A01">
        <w:t xml:space="preserve"> </w:t>
      </w:r>
      <w:r w:rsidR="00996A01">
        <w:rPr>
          <w:i/>
          <w:iCs/>
        </w:rPr>
        <w:t>Journal of Business Ethics</w:t>
      </w:r>
      <w:r>
        <w:t>, o</w:t>
      </w:r>
      <w:r w:rsidR="00996A01">
        <w:t>nline first (</w:t>
      </w:r>
      <w:r>
        <w:t xml:space="preserve">2024), </w:t>
      </w:r>
      <w:hyperlink r:id="rId10" w:history="1">
        <w:r w:rsidRPr="00EE2ED6">
          <w:rPr>
            <w:rStyle w:val="Hyperlink"/>
          </w:rPr>
          <w:t>https://doi.org/10.1007/s10551-024-05696-x</w:t>
        </w:r>
      </w:hyperlink>
      <w:r w:rsidR="00996A01">
        <w:t xml:space="preserve">. </w:t>
      </w:r>
    </w:p>
    <w:p w14:paraId="5160FA43" w14:textId="47380B93" w:rsidR="0F2C0ADC" w:rsidRDefault="006B1437" w:rsidP="5BE7781D">
      <w:pPr>
        <w:jc w:val="both"/>
      </w:pPr>
      <w:r w:rsidRPr="006B1437">
        <w:t xml:space="preserve">Samuel V. </w:t>
      </w:r>
      <w:r w:rsidR="0F2C0ADC">
        <w:t>La</w:t>
      </w:r>
      <w:r w:rsidR="311C802F">
        <w:t>S</w:t>
      </w:r>
      <w:r w:rsidR="0F2C0ADC">
        <w:t>elva, ‘</w:t>
      </w:r>
      <w:r>
        <w:t>“</w:t>
      </w:r>
      <w:r w:rsidR="0F2C0ADC">
        <w:t>A single truth</w:t>
      </w:r>
      <w:r>
        <w:t>”</w:t>
      </w:r>
      <w:r w:rsidR="0F2C0ADC">
        <w:t>: Mill on harm, paternalism and good samaritanism</w:t>
      </w:r>
      <w:r>
        <w:t>’,</w:t>
      </w:r>
      <w:r w:rsidR="0005A913">
        <w:t xml:space="preserve"> </w:t>
      </w:r>
      <w:r w:rsidR="0005A913" w:rsidRPr="5BE7781D">
        <w:rPr>
          <w:i/>
          <w:iCs/>
        </w:rPr>
        <w:t>Political Studies</w:t>
      </w:r>
      <w:r>
        <w:t xml:space="preserve">, </w:t>
      </w:r>
      <w:r w:rsidR="0005A913" w:rsidRPr="5BE7781D">
        <w:t>36</w:t>
      </w:r>
      <w:r>
        <w:t xml:space="preserve"> </w:t>
      </w:r>
      <w:r w:rsidR="0005A913" w:rsidRPr="5BE7781D">
        <w:t>(</w:t>
      </w:r>
      <w:r w:rsidR="00FC704C">
        <w:t>1988</w:t>
      </w:r>
      <w:r w:rsidR="0005A913" w:rsidRPr="5BE7781D">
        <w:t>)</w:t>
      </w:r>
      <w:r>
        <w:t>,</w:t>
      </w:r>
      <w:r w:rsidR="0005A913" w:rsidRPr="5BE7781D">
        <w:t xml:space="preserve"> 486</w:t>
      </w:r>
      <w:r w:rsidR="00FC704C" w:rsidRPr="00FC704C">
        <w:t>–</w:t>
      </w:r>
      <w:r w:rsidR="0005A913" w:rsidRPr="5BE7781D">
        <w:t>496.</w:t>
      </w:r>
    </w:p>
    <w:p w14:paraId="6B5C69AE" w14:textId="0E0CDA51" w:rsidR="00C1059D" w:rsidRPr="007C0486" w:rsidRDefault="005A5D38" w:rsidP="5BE7781D">
      <w:pPr>
        <w:jc w:val="both"/>
      </w:pPr>
      <w:r w:rsidRPr="005A5D38">
        <w:t xml:space="preserve">David </w:t>
      </w:r>
      <w:r w:rsidR="007C2BF5">
        <w:t>Lyons</w:t>
      </w:r>
      <w:r w:rsidR="007C0486">
        <w:t xml:space="preserve">, </w:t>
      </w:r>
      <w:r>
        <w:t>‘</w:t>
      </w:r>
      <w:r w:rsidR="007C0486">
        <w:t xml:space="preserve">Liberty and </w:t>
      </w:r>
      <w:r w:rsidR="33229764">
        <w:t>h</w:t>
      </w:r>
      <w:r w:rsidR="007C0486">
        <w:t xml:space="preserve">arm to </w:t>
      </w:r>
      <w:r w:rsidR="76A26FB9">
        <w:t>o</w:t>
      </w:r>
      <w:r w:rsidR="007C0486">
        <w:t>thers</w:t>
      </w:r>
      <w:r>
        <w:t>’,</w:t>
      </w:r>
      <w:r w:rsidR="007C0486">
        <w:t xml:space="preserve"> </w:t>
      </w:r>
      <w:r w:rsidR="007C0486" w:rsidRPr="5BE7781D">
        <w:rPr>
          <w:i/>
          <w:iCs/>
        </w:rPr>
        <w:t>Canadian Journal of Philosophy</w:t>
      </w:r>
      <w:r>
        <w:t xml:space="preserve">, </w:t>
      </w:r>
      <w:r w:rsidR="007C0486">
        <w:t>supp. vol. 5</w:t>
      </w:r>
      <w:r w:rsidR="00FC704C">
        <w:t xml:space="preserve"> (1979),</w:t>
      </w:r>
      <w:r w:rsidR="007C0486">
        <w:t xml:space="preserve"> 1</w:t>
      </w:r>
      <w:r w:rsidR="00FC704C" w:rsidRPr="00FC704C">
        <w:t>–</w:t>
      </w:r>
      <w:r w:rsidR="007C0486">
        <w:t>19.</w:t>
      </w:r>
    </w:p>
    <w:p w14:paraId="2FEFEF8F" w14:textId="169394A1" w:rsidR="3E91A498" w:rsidRDefault="005A5D38" w:rsidP="5BE7781D">
      <w:pPr>
        <w:jc w:val="both"/>
      </w:pPr>
      <w:r w:rsidRPr="005A5D38">
        <w:t xml:space="preserve">David </w:t>
      </w:r>
      <w:r w:rsidR="3E91A498">
        <w:t xml:space="preserve">Lyons, </w:t>
      </w:r>
      <w:r>
        <w:t>‘</w:t>
      </w:r>
      <w:r w:rsidR="3E91A498">
        <w:t>Benevolence and justice in Mill</w:t>
      </w:r>
      <w:r>
        <w:t>’</w:t>
      </w:r>
      <w:r w:rsidR="3E91A498">
        <w:t xml:space="preserve">. In Harlan B. Miller and William H. Williams (eds) </w:t>
      </w:r>
      <w:r w:rsidR="47FA05DE" w:rsidRPr="5BE7781D">
        <w:rPr>
          <w:i/>
          <w:iCs/>
        </w:rPr>
        <w:t>The Limits of Utilitarianism</w:t>
      </w:r>
      <w:r w:rsidR="47FA05DE" w:rsidRPr="5BE7781D">
        <w:t xml:space="preserve"> (Minneapolis: University of Minnesota Press</w:t>
      </w:r>
      <w:r>
        <w:t>, 1982</w:t>
      </w:r>
      <w:r w:rsidR="47FA05DE" w:rsidRPr="5BE7781D">
        <w:t xml:space="preserve">), pp. </w:t>
      </w:r>
      <w:r w:rsidR="409FB0F2" w:rsidRPr="5BE7781D">
        <w:t>42</w:t>
      </w:r>
      <w:r w:rsidR="00FC704C" w:rsidRPr="00FC704C">
        <w:t>–</w:t>
      </w:r>
      <w:r w:rsidR="409FB0F2" w:rsidRPr="5BE7781D">
        <w:t>70.</w:t>
      </w:r>
    </w:p>
    <w:p w14:paraId="623A5CA6" w14:textId="432FDEA0" w:rsidR="00C1059D" w:rsidRDefault="00354EAE" w:rsidP="5BE7781D">
      <w:pPr>
        <w:jc w:val="both"/>
      </w:pPr>
      <w:r>
        <w:t xml:space="preserve">John Stuart </w:t>
      </w:r>
      <w:r w:rsidR="00C1059D">
        <w:t>Mill</w:t>
      </w:r>
      <w:r w:rsidR="71F4C205">
        <w:t xml:space="preserve">, </w:t>
      </w:r>
      <w:r w:rsidR="2F097B1B" w:rsidRPr="5BE7781D">
        <w:rPr>
          <w:i/>
          <w:iCs/>
        </w:rPr>
        <w:t>The Collected Works of John Stuart Mill</w:t>
      </w:r>
      <w:r w:rsidR="2F097B1B">
        <w:t xml:space="preserve">, vol. 33, ed. J.M. Robson </w:t>
      </w:r>
      <w:r>
        <w:t>(</w:t>
      </w:r>
      <w:r w:rsidR="2F097B1B">
        <w:t>Toronto: University of Toronto Press; London: Routledge</w:t>
      </w:r>
      <w:r>
        <w:t xml:space="preserve">, </w:t>
      </w:r>
      <w:r w:rsidRPr="00354EAE">
        <w:t>1963–91</w:t>
      </w:r>
      <w:r>
        <w:t>)</w:t>
      </w:r>
      <w:r w:rsidR="2F097B1B">
        <w:t>.</w:t>
      </w:r>
    </w:p>
    <w:p w14:paraId="4DB02DB7" w14:textId="0E20D812" w:rsidR="00996A01" w:rsidRDefault="00D446A8" w:rsidP="5BE7781D">
      <w:pPr>
        <w:jc w:val="both"/>
      </w:pPr>
      <w:r w:rsidRPr="00D446A8">
        <w:t xml:space="preserve">Dale E. </w:t>
      </w:r>
      <w:r w:rsidR="00996A01">
        <w:t xml:space="preserve">Miller, </w:t>
      </w:r>
      <w:r>
        <w:t>‘</w:t>
      </w:r>
      <w:r w:rsidR="00996A01">
        <w:t xml:space="preserve">Principle, pragmatism, and piecework in </w:t>
      </w:r>
      <w:r w:rsidR="00996A01">
        <w:rPr>
          <w:i/>
          <w:iCs/>
        </w:rPr>
        <w:t>On Liberty</w:t>
      </w:r>
      <w:r>
        <w:t>’,</w:t>
      </w:r>
      <w:r w:rsidR="00996A01">
        <w:t xml:space="preserve"> </w:t>
      </w:r>
      <w:r w:rsidR="00996A01">
        <w:rPr>
          <w:i/>
          <w:iCs/>
        </w:rPr>
        <w:t>Utilitas</w:t>
      </w:r>
      <w:r>
        <w:t xml:space="preserve">, </w:t>
      </w:r>
      <w:r w:rsidR="00996A01">
        <w:t>35</w:t>
      </w:r>
      <w:r>
        <w:t xml:space="preserve"> </w:t>
      </w:r>
      <w:r w:rsidR="00996A01">
        <w:t>(</w:t>
      </w:r>
      <w:r w:rsidR="00FC704C">
        <w:t>2023</w:t>
      </w:r>
      <w:r w:rsidR="00996A01">
        <w:t>)</w:t>
      </w:r>
      <w:r>
        <w:t>,</w:t>
      </w:r>
      <w:r w:rsidR="00996A01">
        <w:t xml:space="preserve"> 312</w:t>
      </w:r>
      <w:r w:rsidR="00FC704C" w:rsidRPr="00FC704C">
        <w:t>–</w:t>
      </w:r>
      <w:r w:rsidR="00996A01">
        <w:t>319.</w:t>
      </w:r>
    </w:p>
    <w:p w14:paraId="2481D462" w14:textId="4FB5A4E8" w:rsidR="00543EBC" w:rsidRPr="00543EBC" w:rsidRDefault="00D446A8" w:rsidP="5BE7781D">
      <w:pPr>
        <w:jc w:val="both"/>
      </w:pPr>
      <w:r>
        <w:t xml:space="preserve">M. J. </w:t>
      </w:r>
      <w:r w:rsidR="00543EBC">
        <w:t xml:space="preserve">Mulnix, </w:t>
      </w:r>
      <w:r>
        <w:t>‘</w:t>
      </w:r>
      <w:r w:rsidR="00543EBC">
        <w:t>Harm, rights, and liberty: Towards a non-normative reading of Mill’s liberty principle</w:t>
      </w:r>
      <w:r>
        <w:t>’,</w:t>
      </w:r>
      <w:r w:rsidR="00543EBC">
        <w:t xml:space="preserve"> </w:t>
      </w:r>
      <w:r w:rsidR="00543EBC">
        <w:rPr>
          <w:i/>
          <w:iCs/>
        </w:rPr>
        <w:t>Journal of Moral Philosophy</w:t>
      </w:r>
      <w:r>
        <w:t xml:space="preserve">, </w:t>
      </w:r>
      <w:r w:rsidR="00543EBC">
        <w:t>6</w:t>
      </w:r>
      <w:r>
        <w:t xml:space="preserve"> </w:t>
      </w:r>
      <w:r w:rsidR="00543EBC">
        <w:t>(2</w:t>
      </w:r>
      <w:r>
        <w:t>009</w:t>
      </w:r>
      <w:r w:rsidR="00543EBC">
        <w:t>)</w:t>
      </w:r>
      <w:r>
        <w:t>,</w:t>
      </w:r>
      <w:r w:rsidR="00543EBC">
        <w:t xml:space="preserve"> 196</w:t>
      </w:r>
      <w:r w:rsidR="00FC704C" w:rsidRPr="00FC704C">
        <w:t>–</w:t>
      </w:r>
      <w:r w:rsidR="00543EBC">
        <w:t>217.</w:t>
      </w:r>
    </w:p>
    <w:p w14:paraId="37D19047" w14:textId="67A05AF4" w:rsidR="00996A01" w:rsidRPr="00996A01" w:rsidRDefault="00D446A8" w:rsidP="5BE7781D">
      <w:pPr>
        <w:jc w:val="both"/>
      </w:pPr>
      <w:r>
        <w:t xml:space="preserve">Ben </w:t>
      </w:r>
      <w:r w:rsidR="00996A01">
        <w:t xml:space="preserve">Saunders, </w:t>
      </w:r>
      <w:r>
        <w:t>‘</w:t>
      </w:r>
      <w:r w:rsidR="00996A01">
        <w:t>Harm to what others? J. S. Mill’s ambivalence regarding third-party harm</w:t>
      </w:r>
      <w:r>
        <w:t>’,</w:t>
      </w:r>
      <w:r w:rsidR="00996A01">
        <w:t xml:space="preserve"> </w:t>
      </w:r>
      <w:r w:rsidR="00996A01">
        <w:rPr>
          <w:i/>
          <w:iCs/>
        </w:rPr>
        <w:t>Journal of the History of Philosophy</w:t>
      </w:r>
      <w:r>
        <w:t xml:space="preserve">, </w:t>
      </w:r>
      <w:r w:rsidR="00996A01">
        <w:t>62</w:t>
      </w:r>
      <w:r>
        <w:t xml:space="preserve"> </w:t>
      </w:r>
      <w:r w:rsidR="00996A01">
        <w:t>(2</w:t>
      </w:r>
      <w:r>
        <w:t>024</w:t>
      </w:r>
      <w:r w:rsidR="00996A01">
        <w:t>)</w:t>
      </w:r>
      <w:r>
        <w:t>,</w:t>
      </w:r>
      <w:r w:rsidR="00996A01">
        <w:t xml:space="preserve"> 263</w:t>
      </w:r>
      <w:r w:rsidR="00FC704C" w:rsidRPr="00FC704C">
        <w:t>–</w:t>
      </w:r>
      <w:r w:rsidR="00996A01">
        <w:t>287.</w:t>
      </w:r>
    </w:p>
    <w:p w14:paraId="5FAE422E" w14:textId="0E268314" w:rsidR="00E63A5D" w:rsidRPr="00E63A5D" w:rsidRDefault="00D446A8" w:rsidP="5BE7781D">
      <w:pPr>
        <w:jc w:val="both"/>
      </w:pPr>
      <w:r w:rsidRPr="00D446A8">
        <w:t xml:space="preserve">Christoph </w:t>
      </w:r>
      <w:r w:rsidR="00E63A5D">
        <w:t>Schmidt-Petri, Michael Schefczyk, and Lilly Osburg</w:t>
      </w:r>
      <w:r>
        <w:t>, ‘</w:t>
      </w:r>
      <w:r w:rsidR="00E63A5D">
        <w:t xml:space="preserve">Who authored </w:t>
      </w:r>
      <w:r w:rsidR="00E63A5D">
        <w:rPr>
          <w:i/>
          <w:iCs/>
        </w:rPr>
        <w:t>On Liberty</w:t>
      </w:r>
      <w:r w:rsidR="00E63A5D">
        <w:t>? Stylometric evidence on Harriet Taylor Mill’s contribution</w:t>
      </w:r>
      <w:r>
        <w:t>’,</w:t>
      </w:r>
      <w:r w:rsidR="00E63A5D">
        <w:t xml:space="preserve"> </w:t>
      </w:r>
      <w:r w:rsidR="00E63A5D">
        <w:rPr>
          <w:i/>
          <w:iCs/>
        </w:rPr>
        <w:t>Utilitas</w:t>
      </w:r>
      <w:r>
        <w:t xml:space="preserve">, </w:t>
      </w:r>
      <w:r w:rsidR="00E63A5D">
        <w:t>34</w:t>
      </w:r>
      <w:r>
        <w:t xml:space="preserve"> </w:t>
      </w:r>
      <w:r w:rsidR="00E63A5D">
        <w:t>(</w:t>
      </w:r>
      <w:r w:rsidR="00FC704C">
        <w:t>202</w:t>
      </w:r>
      <w:r w:rsidR="00E63A5D">
        <w:t>2)</w:t>
      </w:r>
      <w:r>
        <w:t>,</w:t>
      </w:r>
      <w:r w:rsidR="00E63A5D">
        <w:t xml:space="preserve"> 120</w:t>
      </w:r>
      <w:r w:rsidR="00FC704C" w:rsidRPr="00FC704C">
        <w:t>–</w:t>
      </w:r>
      <w:r w:rsidR="00E63A5D">
        <w:t>138.</w:t>
      </w:r>
    </w:p>
    <w:p w14:paraId="73F20B00" w14:textId="37FC2649" w:rsidR="785255D1" w:rsidRDefault="00D446A8" w:rsidP="5BE7781D">
      <w:pPr>
        <w:jc w:val="both"/>
      </w:pPr>
      <w:r>
        <w:t xml:space="preserve">Dan </w:t>
      </w:r>
      <w:r w:rsidR="785255D1">
        <w:t xml:space="preserve">Threet, </w:t>
      </w:r>
      <w:r>
        <w:t>‘</w:t>
      </w:r>
      <w:r w:rsidR="785255D1">
        <w:t>Mill’s social pressure puzzle</w:t>
      </w:r>
      <w:r>
        <w:t>’,</w:t>
      </w:r>
      <w:r w:rsidR="785255D1">
        <w:t xml:space="preserve"> </w:t>
      </w:r>
      <w:r w:rsidR="785255D1" w:rsidRPr="5BE7781D">
        <w:rPr>
          <w:i/>
          <w:iCs/>
        </w:rPr>
        <w:t>Social Theory and Practice</w:t>
      </w:r>
      <w:r>
        <w:t xml:space="preserve">, </w:t>
      </w:r>
      <w:r w:rsidR="785255D1" w:rsidRPr="5BE7781D">
        <w:t>44</w:t>
      </w:r>
      <w:r>
        <w:t xml:space="preserve"> </w:t>
      </w:r>
      <w:r w:rsidR="785255D1" w:rsidRPr="5BE7781D">
        <w:t>(</w:t>
      </w:r>
      <w:r w:rsidR="00FC704C">
        <w:t>2018</w:t>
      </w:r>
      <w:r w:rsidR="785255D1" w:rsidRPr="5BE7781D">
        <w:t>)</w:t>
      </w:r>
      <w:r>
        <w:t>,</w:t>
      </w:r>
      <w:r w:rsidR="785255D1" w:rsidRPr="5BE7781D">
        <w:t xml:space="preserve"> 539</w:t>
      </w:r>
      <w:r w:rsidR="00FC704C" w:rsidRPr="00FC704C">
        <w:t>–</w:t>
      </w:r>
      <w:r w:rsidR="785255D1" w:rsidRPr="5BE7781D">
        <w:t>565.</w:t>
      </w:r>
    </w:p>
    <w:p w14:paraId="193D52C4" w14:textId="07AD772E" w:rsidR="007C2BF5" w:rsidRDefault="00D446A8" w:rsidP="5BE7781D">
      <w:pPr>
        <w:jc w:val="both"/>
      </w:pPr>
      <w:r>
        <w:t xml:space="preserve">Mark </w:t>
      </w:r>
      <w:r w:rsidR="007C2BF5">
        <w:t>Tunick</w:t>
      </w:r>
      <w:r w:rsidR="00C773F7">
        <w:t xml:space="preserve">, </w:t>
      </w:r>
      <w:r>
        <w:t>‘</w:t>
      </w:r>
      <w:r w:rsidR="00C773F7">
        <w:t xml:space="preserve">J.S. Mill’s </w:t>
      </w:r>
      <w:r w:rsidR="6947076E">
        <w:t>p</w:t>
      </w:r>
      <w:r w:rsidR="00C773F7">
        <w:t xml:space="preserve">uzzling </w:t>
      </w:r>
      <w:r w:rsidR="26910941">
        <w:t>p</w:t>
      </w:r>
      <w:r w:rsidR="00C773F7">
        <w:t xml:space="preserve">osition on </w:t>
      </w:r>
      <w:r w:rsidR="2357E606">
        <w:t>p</w:t>
      </w:r>
      <w:r w:rsidR="00C773F7">
        <w:t xml:space="preserve">rostitution and his </w:t>
      </w:r>
      <w:r w:rsidR="67D044C9">
        <w:t>h</w:t>
      </w:r>
      <w:r w:rsidR="00C773F7">
        <w:t xml:space="preserve">arm </w:t>
      </w:r>
      <w:r w:rsidR="259F507A">
        <w:t>p</w:t>
      </w:r>
      <w:r w:rsidR="00C773F7">
        <w:t>rinciple</w:t>
      </w:r>
      <w:r>
        <w:t>’,</w:t>
      </w:r>
      <w:r w:rsidR="00C773F7">
        <w:t xml:space="preserve"> </w:t>
      </w:r>
      <w:r w:rsidR="00C773F7" w:rsidRPr="5BE7781D">
        <w:rPr>
          <w:i/>
          <w:iCs/>
        </w:rPr>
        <w:t>Philosophy</w:t>
      </w:r>
      <w:r>
        <w:t xml:space="preserve">, </w:t>
      </w:r>
      <w:r w:rsidR="00C773F7">
        <w:t>99</w:t>
      </w:r>
      <w:r>
        <w:t xml:space="preserve"> </w:t>
      </w:r>
      <w:r w:rsidR="00C773F7">
        <w:t>(</w:t>
      </w:r>
      <w:r w:rsidR="00FC704C">
        <w:t>2024</w:t>
      </w:r>
      <w:r w:rsidR="00C773F7">
        <w:t>)</w:t>
      </w:r>
      <w:r>
        <w:t>,</w:t>
      </w:r>
      <w:r w:rsidR="00C773F7">
        <w:t xml:space="preserve"> 1</w:t>
      </w:r>
      <w:r w:rsidR="00FC704C" w:rsidRPr="00FC704C">
        <w:t>–</w:t>
      </w:r>
      <w:r w:rsidR="00C773F7">
        <w:t>25.</w:t>
      </w:r>
    </w:p>
    <w:p w14:paraId="311D19A2" w14:textId="237D4F8F" w:rsidR="00A52F08" w:rsidRPr="00A52F08" w:rsidRDefault="00D446A8" w:rsidP="5BE7781D">
      <w:pPr>
        <w:jc w:val="both"/>
      </w:pPr>
      <w:r w:rsidRPr="00D446A8">
        <w:t xml:space="preserve">Piers N. </w:t>
      </w:r>
      <w:r w:rsidR="00A52F08">
        <w:t xml:space="preserve">Turner, </w:t>
      </w:r>
      <w:r w:rsidR="00FC704C">
        <w:t>‘</w:t>
      </w:r>
      <w:r>
        <w:t>“</w:t>
      </w:r>
      <w:r w:rsidR="00A52F08">
        <w:t>Harm</w:t>
      </w:r>
      <w:r>
        <w:t>”</w:t>
      </w:r>
      <w:r w:rsidR="00A52F08">
        <w:t xml:space="preserve"> and Mill’s harm principle</w:t>
      </w:r>
      <w:r>
        <w:t>’,</w:t>
      </w:r>
      <w:r w:rsidR="00A52F08">
        <w:t xml:space="preserve"> </w:t>
      </w:r>
      <w:r w:rsidR="00A52F08">
        <w:rPr>
          <w:i/>
          <w:iCs/>
        </w:rPr>
        <w:t>Ethics</w:t>
      </w:r>
      <w:r>
        <w:t xml:space="preserve">, </w:t>
      </w:r>
      <w:r w:rsidR="00A52F08">
        <w:t>124</w:t>
      </w:r>
      <w:r>
        <w:t xml:space="preserve"> </w:t>
      </w:r>
      <w:r w:rsidR="00A52F08">
        <w:t>(2</w:t>
      </w:r>
      <w:r w:rsidR="00FC704C">
        <w:t>014</w:t>
      </w:r>
      <w:r w:rsidR="00A52F08">
        <w:t>)</w:t>
      </w:r>
      <w:r>
        <w:t>,</w:t>
      </w:r>
      <w:r w:rsidR="00A52F08">
        <w:t xml:space="preserve"> 299</w:t>
      </w:r>
      <w:r w:rsidR="00FC704C" w:rsidRPr="00FC704C">
        <w:t>–</w:t>
      </w:r>
      <w:r w:rsidR="00A52F08">
        <w:t>326.</w:t>
      </w:r>
    </w:p>
    <w:p w14:paraId="2DABD1DE" w14:textId="3AF5D6D6" w:rsidR="5BE7781D" w:rsidRDefault="00D446A8" w:rsidP="5BE7781D">
      <w:pPr>
        <w:jc w:val="both"/>
      </w:pPr>
      <w:r w:rsidRPr="00D446A8">
        <w:t>Jeremy</w:t>
      </w:r>
      <w:r w:rsidRPr="00D446A8">
        <w:t xml:space="preserve"> </w:t>
      </w:r>
      <w:r w:rsidR="14F4C0F4">
        <w:t>Waldron</w:t>
      </w:r>
      <w:r w:rsidR="251667CC">
        <w:t xml:space="preserve">, </w:t>
      </w:r>
      <w:r>
        <w:t>‘</w:t>
      </w:r>
      <w:r w:rsidR="251667CC">
        <w:t>Mill on liberty and on the Contagious Diseases Acts</w:t>
      </w:r>
      <w:r>
        <w:t>’</w:t>
      </w:r>
      <w:r w:rsidR="251667CC">
        <w:t xml:space="preserve">. In Nadia Urbinati and Alex Zakaras (eds) </w:t>
      </w:r>
      <w:r w:rsidR="251667CC" w:rsidRPr="5BE7781D">
        <w:rPr>
          <w:i/>
          <w:iCs/>
        </w:rPr>
        <w:t>J.S. Mill’s Political Thought: A Bicentennial Reassessment</w:t>
      </w:r>
      <w:r w:rsidR="251667CC" w:rsidRPr="5BE7781D">
        <w:t xml:space="preserve"> (</w:t>
      </w:r>
      <w:r w:rsidR="634BB37B" w:rsidRPr="5BE7781D">
        <w:t>New York: Cambridge University Press</w:t>
      </w:r>
      <w:r>
        <w:t>, 2007</w:t>
      </w:r>
      <w:r w:rsidR="634BB37B" w:rsidRPr="5BE7781D">
        <w:t>), pp. 11</w:t>
      </w:r>
      <w:r w:rsidR="00FC704C" w:rsidRPr="00FC704C">
        <w:t>–</w:t>
      </w:r>
      <w:r w:rsidR="634BB37B" w:rsidRPr="5BE7781D">
        <w:t>42.</w:t>
      </w:r>
    </w:p>
    <w:p w14:paraId="19622A6A" w14:textId="77777777" w:rsidR="00DF7B9B" w:rsidRDefault="00DF7B9B" w:rsidP="5BE7781D">
      <w:pPr>
        <w:jc w:val="both"/>
      </w:pPr>
    </w:p>
    <w:p w14:paraId="739BE41E" w14:textId="46EF8151" w:rsidR="00DF7B9B" w:rsidRDefault="00DF7B9B" w:rsidP="5BE7781D">
      <w:pPr>
        <w:jc w:val="both"/>
      </w:pPr>
      <w:r>
        <w:t xml:space="preserve">BEN SAUNDERS is an Associate Professor in Politics and International Relations at the University of Southampton. His main research interests are democratic theory and the moral/political thought of J. S. Mill. He has published articles on Mill’s hedonism and harm principle in the </w:t>
      </w:r>
      <w:r w:rsidRPr="00DF7B9B">
        <w:rPr>
          <w:i/>
          <w:iCs/>
        </w:rPr>
        <w:t>Journal of the History of Philosophy</w:t>
      </w:r>
      <w:r>
        <w:t xml:space="preserve"> (2024), </w:t>
      </w:r>
      <w:r w:rsidRPr="00DF7B9B">
        <w:rPr>
          <w:i/>
          <w:iCs/>
        </w:rPr>
        <w:t>Mind</w:t>
      </w:r>
      <w:r>
        <w:t xml:space="preserve"> (2016), </w:t>
      </w:r>
      <w:r w:rsidRPr="00DF7B9B">
        <w:rPr>
          <w:i/>
          <w:iCs/>
        </w:rPr>
        <w:t>Philosophy</w:t>
      </w:r>
      <w:r>
        <w:t xml:space="preserve"> (2016), and </w:t>
      </w:r>
      <w:r w:rsidRPr="00DF7B9B">
        <w:rPr>
          <w:i/>
          <w:iCs/>
        </w:rPr>
        <w:t>Utilitas</w:t>
      </w:r>
      <w:r>
        <w:t xml:space="preserve"> (2010).</w:t>
      </w:r>
    </w:p>
    <w:p w14:paraId="0144132D" w14:textId="73560A81" w:rsidR="5BE7781D" w:rsidRDefault="5BE7781D" w:rsidP="5BE7781D">
      <w:pPr>
        <w:jc w:val="both"/>
      </w:pPr>
    </w:p>
    <w:sectPr w:rsidR="5BE778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25B7C" w14:textId="77777777" w:rsidR="00644B65" w:rsidRDefault="00644B65">
      <w:pPr>
        <w:spacing w:after="0" w:line="240" w:lineRule="auto"/>
      </w:pPr>
      <w:r>
        <w:separator/>
      </w:r>
    </w:p>
  </w:endnote>
  <w:endnote w:type="continuationSeparator" w:id="0">
    <w:p w14:paraId="3A947D62" w14:textId="77777777" w:rsidR="00644B65" w:rsidRDefault="00644B65">
      <w:pPr>
        <w:spacing w:after="0" w:line="240" w:lineRule="auto"/>
      </w:pPr>
      <w:r>
        <w:continuationSeparator/>
      </w:r>
    </w:p>
  </w:endnote>
  <w:endnote w:type="continuationNotice" w:id="1">
    <w:p w14:paraId="6C0BCDF4" w14:textId="77777777" w:rsidR="00644B65" w:rsidRDefault="00644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354F" w14:textId="77777777" w:rsidR="00644B65" w:rsidRDefault="00644B65">
      <w:pPr>
        <w:spacing w:after="0" w:line="240" w:lineRule="auto"/>
      </w:pPr>
      <w:r>
        <w:separator/>
      </w:r>
    </w:p>
  </w:footnote>
  <w:footnote w:type="continuationSeparator" w:id="0">
    <w:p w14:paraId="7D9EFE43" w14:textId="77777777" w:rsidR="00644B65" w:rsidRDefault="00644B65">
      <w:pPr>
        <w:spacing w:after="0" w:line="240" w:lineRule="auto"/>
      </w:pPr>
      <w:r>
        <w:continuationSeparator/>
      </w:r>
    </w:p>
  </w:footnote>
  <w:footnote w:type="continuationNotice" w:id="1">
    <w:p w14:paraId="606C57DE" w14:textId="77777777" w:rsidR="00644B65" w:rsidRDefault="00644B65">
      <w:pPr>
        <w:spacing w:after="0" w:line="240" w:lineRule="auto"/>
      </w:pPr>
    </w:p>
  </w:footnote>
  <w:footnote w:id="2">
    <w:p w14:paraId="4A3B50E3" w14:textId="68DFF300" w:rsidR="003405DF" w:rsidRDefault="003405DF" w:rsidP="00D446A8">
      <w:pPr>
        <w:pStyle w:val="FootnoteText"/>
        <w:jc w:val="both"/>
      </w:pPr>
      <w:r>
        <w:rPr>
          <w:rStyle w:val="FootnoteReference"/>
        </w:rPr>
        <w:footnoteRef/>
      </w:r>
      <w:r>
        <w:t xml:space="preserve"> </w:t>
      </w:r>
      <w:r w:rsidRPr="003405DF">
        <w:t>All references to Mill are from Mill (1963</w:t>
      </w:r>
      <w:r w:rsidR="008A0BE3" w:rsidRPr="008A0BE3">
        <w:t>–</w:t>
      </w:r>
      <w:r w:rsidRPr="003405DF">
        <w:t>91) and given by volume and page.</w:t>
      </w:r>
    </w:p>
  </w:footnote>
  <w:footnote w:id="3">
    <w:p w14:paraId="6F9985E4" w14:textId="4B3874BF" w:rsidR="003405DF" w:rsidRDefault="003405DF" w:rsidP="00D446A8">
      <w:pPr>
        <w:pStyle w:val="FootnoteText"/>
        <w:jc w:val="both"/>
      </w:pPr>
      <w:r w:rsidRPr="5BE7781D">
        <w:rPr>
          <w:rStyle w:val="FootnoteReference"/>
        </w:rPr>
        <w:footnoteRef/>
      </w:r>
      <w:r>
        <w:t xml:space="preserve"> This is </w:t>
      </w:r>
      <w:r w:rsidR="00E041D6">
        <w:t>also</w:t>
      </w:r>
      <w:r>
        <w:t xml:space="preserve"> commonly referred to as </w:t>
      </w:r>
      <w:r w:rsidR="00E041D6">
        <w:t>Mill’s</w:t>
      </w:r>
      <w:r>
        <w:t xml:space="preserve"> </w:t>
      </w:r>
      <w:r w:rsidRPr="000B31A6">
        <w:rPr>
          <w:i/>
          <w:iCs/>
        </w:rPr>
        <w:t>harm</w:t>
      </w:r>
      <w:r>
        <w:t xml:space="preserve"> principle. As is traditional, I refer to </w:t>
      </w:r>
      <w:r w:rsidR="00080A4E">
        <w:t>it</w:t>
      </w:r>
      <w:r>
        <w:t xml:space="preserve"> as Mill’s, though recent stylometry supports Harriet Taylor’s claim to co-authorship (Schmidt-Petri </w:t>
      </w:r>
      <w:r w:rsidRPr="00E63A5D">
        <w:rPr>
          <w:i/>
          <w:iCs/>
        </w:rPr>
        <w:t>et al</w:t>
      </w:r>
      <w:r>
        <w:t>, 2022).</w:t>
      </w:r>
    </w:p>
  </w:footnote>
  <w:footnote w:id="4">
    <w:p w14:paraId="175159B9" w14:textId="620D2D0C" w:rsidR="003405DF" w:rsidRDefault="003405DF" w:rsidP="00D446A8">
      <w:pPr>
        <w:pStyle w:val="FootnoteText"/>
        <w:jc w:val="both"/>
      </w:pPr>
      <w:r>
        <w:rPr>
          <w:rStyle w:val="FootnoteReference"/>
        </w:rPr>
        <w:footnoteRef/>
      </w:r>
      <w:r>
        <w:t xml:space="preserve"> One ambiguity here concerns the kind of interference in question. Mill allows </w:t>
      </w:r>
      <w:r w:rsidRPr="003405DF">
        <w:rPr>
          <w:i/>
          <w:iCs/>
        </w:rPr>
        <w:t>some</w:t>
      </w:r>
      <w:r>
        <w:t xml:space="preserve"> interference, even with self-regarding conduct. Others may still offer advice, warnings, and exhortations (e.g., CW18: 224, 277, 292). </w:t>
      </w:r>
      <w:r w:rsidR="00DE495B">
        <w:t xml:space="preserve">MLP is intended to limit </w:t>
      </w:r>
      <w:r w:rsidR="00FC704C">
        <w:t>‘</w:t>
      </w:r>
      <w:r w:rsidR="00DE495B">
        <w:t>compulsion and control, whether… in the form of legal penalties, or the moral coercion of public opinion</w:t>
      </w:r>
      <w:r w:rsidR="00FC704C">
        <w:t>’</w:t>
      </w:r>
      <w:r>
        <w:t xml:space="preserve"> (CW18: </w:t>
      </w:r>
      <w:r w:rsidR="00DE495B">
        <w:t>223</w:t>
      </w:r>
      <w:r>
        <w:t>).</w:t>
      </w:r>
    </w:p>
  </w:footnote>
  <w:footnote w:id="5">
    <w:p w14:paraId="487B3733" w14:textId="5AA26786" w:rsidR="006D5742" w:rsidRDefault="006D5742" w:rsidP="00D446A8">
      <w:pPr>
        <w:pStyle w:val="FootnoteText"/>
        <w:jc w:val="both"/>
      </w:pPr>
      <w:r>
        <w:rPr>
          <w:rStyle w:val="FootnoteReference"/>
        </w:rPr>
        <w:footnoteRef/>
      </w:r>
      <w:r>
        <w:t xml:space="preserve"> For a helpful summary of several ambiguities, see Holtug (2002</w:t>
      </w:r>
      <w:r w:rsidR="00FC704C">
        <w:t>, pp.</w:t>
      </w:r>
      <w:r>
        <w:t xml:space="preserve"> 359</w:t>
      </w:r>
      <w:r w:rsidR="008A0BE3" w:rsidRPr="008A0BE3">
        <w:t>–</w:t>
      </w:r>
      <w:r>
        <w:t>362).</w:t>
      </w:r>
    </w:p>
  </w:footnote>
  <w:footnote w:id="6">
    <w:p w14:paraId="746C48E8" w14:textId="68ACEE0D" w:rsidR="00DA74FF" w:rsidRDefault="00DA74FF" w:rsidP="00D446A8">
      <w:pPr>
        <w:pStyle w:val="FootnoteText"/>
        <w:jc w:val="both"/>
      </w:pPr>
      <w:r>
        <w:rPr>
          <w:rStyle w:val="FootnoteReference"/>
        </w:rPr>
        <w:footnoteRef/>
      </w:r>
      <w:r>
        <w:t xml:space="preserve"> Or, perhaps, a moral wrong. For Mill, rights concern only a subset of morality (CW10: 247). This provides further evidence that moral punishment should not be limited to rights-violations.</w:t>
      </w:r>
    </w:p>
  </w:footnote>
  <w:footnote w:id="7">
    <w:p w14:paraId="2A564415" w14:textId="38203B28" w:rsidR="00CE5139" w:rsidRDefault="00CE5139" w:rsidP="00D446A8">
      <w:pPr>
        <w:pStyle w:val="FootnoteText"/>
        <w:jc w:val="both"/>
      </w:pPr>
      <w:r>
        <w:rPr>
          <w:rStyle w:val="FootnoteReference"/>
        </w:rPr>
        <w:footnoteRef/>
      </w:r>
      <w:r>
        <w:t xml:space="preserve"> For fuller </w:t>
      </w:r>
      <w:r w:rsidR="00543EBC">
        <w:t>criticisms of these normative approaches</w:t>
      </w:r>
      <w:r>
        <w:t>, see</w:t>
      </w:r>
      <w:r w:rsidR="00543EBC">
        <w:t xml:space="preserve"> Mulnix (2009) and</w:t>
      </w:r>
      <w:r>
        <w:t xml:space="preserve"> Turner (2014).</w:t>
      </w:r>
    </w:p>
  </w:footnote>
  <w:footnote w:id="8">
    <w:p w14:paraId="529CFA87" w14:textId="2C321FA8" w:rsidR="5BE7781D" w:rsidRDefault="5BE7781D" w:rsidP="00D446A8">
      <w:pPr>
        <w:pStyle w:val="FootnoteText"/>
        <w:jc w:val="both"/>
      </w:pPr>
      <w:r w:rsidRPr="5BE7781D">
        <w:rPr>
          <w:rStyle w:val="FootnoteReference"/>
        </w:rPr>
        <w:footnoteRef/>
      </w:r>
      <w:r>
        <w:t xml:space="preserve"> Perhaps there is some confusion here between harm </w:t>
      </w:r>
      <w:r w:rsidRPr="5BE7781D">
        <w:rPr>
          <w:i/>
          <w:iCs/>
        </w:rPr>
        <w:t>simpliciter</w:t>
      </w:r>
      <w:r w:rsidRPr="5BE7781D">
        <w:t xml:space="preserve"> and the kind of harm that can justify interference. Such a confusion appears evident when Tunick (2024</w:t>
      </w:r>
      <w:r w:rsidR="00FC704C">
        <w:t>, p.</w:t>
      </w:r>
      <w:r w:rsidRPr="5BE7781D">
        <w:t xml:space="preserve"> 7) says, first, that consensual activity cannot be said to cause harm, but then that it has not caused </w:t>
      </w:r>
      <w:r w:rsidRPr="5BE7781D">
        <w:rPr>
          <w:i/>
          <w:iCs/>
        </w:rPr>
        <w:t>non-consensual</w:t>
      </w:r>
      <w:r w:rsidRPr="5BE7781D">
        <w:t xml:space="preserve"> harm. The latter seems more accurate; the former is a mistake, unless ‘harm’ is construed as only what licenses interference.</w:t>
      </w:r>
    </w:p>
  </w:footnote>
  <w:footnote w:id="9">
    <w:p w14:paraId="4C505553" w14:textId="0E7E1D4C" w:rsidR="00C12394" w:rsidRDefault="00C12394" w:rsidP="00D446A8">
      <w:pPr>
        <w:pStyle w:val="FootnoteText"/>
        <w:jc w:val="both"/>
      </w:pPr>
      <w:r>
        <w:rPr>
          <w:rStyle w:val="FootnoteReference"/>
        </w:rPr>
        <w:footnoteRef/>
      </w:r>
      <w:r>
        <w:t xml:space="preserve"> Mill points out that there may be good reasons of expediency not to enforce responsibility, such as when </w:t>
      </w:r>
      <w:r w:rsidR="00FC704C">
        <w:t>‘</w:t>
      </w:r>
      <w:r>
        <w:t>the attempt to exercise control would produce other evils, greater than those which it would prevent</w:t>
      </w:r>
      <w:r w:rsidR="00FC704C">
        <w:t>’</w:t>
      </w:r>
      <w:r>
        <w:t xml:space="preserve"> (CW18: 225). Even in those cases where society has jurisdiction, it still has to be determined </w:t>
      </w:r>
      <w:r w:rsidR="00FC704C">
        <w:t>‘</w:t>
      </w:r>
      <w:r>
        <w:t>whether the general welfare will or will not be promoted by interfering</w:t>
      </w:r>
      <w:r w:rsidR="00FC704C">
        <w:t>’</w:t>
      </w:r>
      <w:r>
        <w:t xml:space="preserve"> (CW18: 276). I take this to be a case of this kind, where society has the right to interfere, but ought not to do so.</w:t>
      </w:r>
    </w:p>
  </w:footnote>
  <w:footnote w:id="10">
    <w:p w14:paraId="0E316005" w14:textId="10127C08" w:rsidR="00C12394" w:rsidRDefault="00C12394" w:rsidP="00D446A8">
      <w:pPr>
        <w:pStyle w:val="FootnoteText"/>
        <w:jc w:val="both"/>
      </w:pPr>
      <w:r>
        <w:rPr>
          <w:rStyle w:val="FootnoteReference"/>
        </w:rPr>
        <w:footnoteRef/>
      </w:r>
      <w:r>
        <w:t xml:space="preserve"> See also CW18: 279, where encroaching on others’ rights is, again, only one item in a list of things that warrant interference.</w:t>
      </w:r>
    </w:p>
  </w:footnote>
  <w:footnote w:id="11">
    <w:p w14:paraId="2CA41738" w14:textId="3656894C" w:rsidR="008F2511" w:rsidRDefault="008F2511" w:rsidP="00D446A8">
      <w:pPr>
        <w:pStyle w:val="FootnoteText"/>
        <w:jc w:val="both"/>
      </w:pPr>
      <w:r>
        <w:rPr>
          <w:rStyle w:val="FootnoteReference"/>
        </w:rPr>
        <w:footnoteRef/>
      </w:r>
      <w:r>
        <w:t xml:space="preserve"> See also Mill’s remarks concerning </w:t>
      </w:r>
      <w:r w:rsidR="00FC704C">
        <w:t>‘</w:t>
      </w:r>
      <w:r>
        <w:t>the tyranny of the prevailing opinion and feeling</w:t>
      </w:r>
      <w:r w:rsidR="00FC704C">
        <w:t>’</w:t>
      </w:r>
      <w:r>
        <w:t xml:space="preserve"> (CW18: 220). He is at least as concerned by this</w:t>
      </w:r>
      <w:r w:rsidR="006A3E73">
        <w:t xml:space="preserve"> </w:t>
      </w:r>
      <w:r w:rsidR="00FC704C">
        <w:t>‘</w:t>
      </w:r>
      <w:r w:rsidR="006A3E73">
        <w:t>yoke of opinion</w:t>
      </w:r>
      <w:r w:rsidR="00FC704C">
        <w:t>’</w:t>
      </w:r>
      <w:r w:rsidR="006A3E73">
        <w:t xml:space="preserve"> (CW18: 223)</w:t>
      </w:r>
      <w:r>
        <w:t xml:space="preserve"> as</w:t>
      </w:r>
      <w:r w:rsidR="006A3E73">
        <w:t xml:space="preserve"> he is</w:t>
      </w:r>
      <w:r>
        <w:t xml:space="preserve"> by legal coercion.</w:t>
      </w:r>
      <w:r w:rsidR="007A48DD">
        <w:t xml:space="preserve"> </w:t>
      </w:r>
      <w:r w:rsidR="006A3E73">
        <w:t xml:space="preserve">This is repeatedly emphasised throughout </w:t>
      </w:r>
      <w:r w:rsidR="006A3E73" w:rsidRPr="006A3E73">
        <w:rPr>
          <w:i/>
          <w:iCs/>
        </w:rPr>
        <w:t>On Liberty</w:t>
      </w:r>
      <w:r w:rsidR="006A3E73">
        <w:t xml:space="preserve">. </w:t>
      </w:r>
      <w:r w:rsidR="007A48DD">
        <w:t xml:space="preserve">In self-regarding matters, </w:t>
      </w:r>
      <w:r w:rsidR="00FC704C">
        <w:t>‘</w:t>
      </w:r>
      <w:r w:rsidR="007A48DD">
        <w:t xml:space="preserve">there should be perfect freedom, legal </w:t>
      </w:r>
      <w:r w:rsidR="007A48DD" w:rsidRPr="00DA74FF">
        <w:rPr>
          <w:i/>
          <w:iCs/>
        </w:rPr>
        <w:t>and social</w:t>
      </w:r>
      <w:r w:rsidR="00FC704C">
        <w:t>’</w:t>
      </w:r>
      <w:r w:rsidR="007A48DD">
        <w:t xml:space="preserve"> (CW18: 276</w:t>
      </w:r>
      <w:r w:rsidR="00DA74FF">
        <w:t>, emphasis added</w:t>
      </w:r>
      <w:r w:rsidR="007A48DD">
        <w:t>).</w:t>
      </w:r>
      <w:r>
        <w:t xml:space="preserve"> </w:t>
      </w:r>
      <w:r w:rsidR="00DA74FF">
        <w:t>Conversely,</w:t>
      </w:r>
      <w:r>
        <w:t xml:space="preserve"> acts that harm others</w:t>
      </w:r>
      <w:r w:rsidR="006A3E73">
        <w:t xml:space="preserve"> are </w:t>
      </w:r>
      <w:r w:rsidR="00FC704C">
        <w:t>‘</w:t>
      </w:r>
      <w:r w:rsidR="006A3E73">
        <w:t xml:space="preserve">taken out of the province of liberty, and placed in that of </w:t>
      </w:r>
      <w:r w:rsidR="006A3E73" w:rsidRPr="006A3E73">
        <w:rPr>
          <w:i/>
          <w:iCs/>
        </w:rPr>
        <w:t>morality or</w:t>
      </w:r>
      <w:r w:rsidR="006A3E73">
        <w:t xml:space="preserve"> law</w:t>
      </w:r>
      <w:r w:rsidR="00FC704C">
        <w:t>’</w:t>
      </w:r>
      <w:r w:rsidR="006A3E73">
        <w:t xml:space="preserve"> (CW18: 282, emphasis added), which is to say that they</w:t>
      </w:r>
      <w:r>
        <w:t xml:space="preserve"> </w:t>
      </w:r>
      <w:r w:rsidR="00FC704C">
        <w:t>‘</w:t>
      </w:r>
      <w:r>
        <w:t xml:space="preserve">may be subjected </w:t>
      </w:r>
      <w:r w:rsidRPr="008F2511">
        <w:rPr>
          <w:i/>
          <w:iCs/>
        </w:rPr>
        <w:t>either to social or</w:t>
      </w:r>
      <w:r>
        <w:t xml:space="preserve"> to legal punishment</w:t>
      </w:r>
      <w:r w:rsidR="00FC704C">
        <w:t>’</w:t>
      </w:r>
      <w:r>
        <w:t xml:space="preserve"> (CW18: 292, emphasis added).</w:t>
      </w:r>
    </w:p>
  </w:footnote>
  <w:footnote w:id="12">
    <w:p w14:paraId="52F99070" w14:textId="4E287070" w:rsidR="00D42814" w:rsidRDefault="00D42814" w:rsidP="00D446A8">
      <w:pPr>
        <w:pStyle w:val="FootnoteText"/>
        <w:jc w:val="both"/>
      </w:pPr>
      <w:r>
        <w:rPr>
          <w:rStyle w:val="FootnoteReference"/>
        </w:rPr>
        <w:footnoteRef/>
      </w:r>
      <w:r>
        <w:t xml:space="preserve"> Tunick (2024</w:t>
      </w:r>
      <w:r w:rsidR="00FC704C">
        <w:t>, p.</w:t>
      </w:r>
      <w:r>
        <w:t xml:space="preserve"> 4) also references Mill’s remark, in </w:t>
      </w:r>
      <w:r w:rsidRPr="00D42814">
        <w:rPr>
          <w:i/>
          <w:iCs/>
        </w:rPr>
        <w:t>On Liberty</w:t>
      </w:r>
      <w:r>
        <w:t xml:space="preserve">, that it would be anomalous to punish a mere accessory (e.g., a pimp) when the principal (i.e., the prostitute) </w:t>
      </w:r>
      <w:r w:rsidR="00FC704C">
        <w:t>‘</w:t>
      </w:r>
      <w:r>
        <w:t>is (and must be) allowed to go free</w:t>
      </w:r>
      <w:r w:rsidR="00FC704C">
        <w:t>’</w:t>
      </w:r>
      <w:r>
        <w:t xml:space="preserve"> (CW18:</w:t>
      </w:r>
      <w:r w:rsidR="003B2DF9">
        <w:t xml:space="preserve"> </w:t>
      </w:r>
      <w:r>
        <w:t xml:space="preserve">297). However, this comes in a passage where Mill is summarising opposing arguments concerning solicitation. While this parenthetical remark </w:t>
      </w:r>
      <w:r w:rsidRPr="00D42814">
        <w:rPr>
          <w:i/>
          <w:iCs/>
        </w:rPr>
        <w:t>could</w:t>
      </w:r>
      <w:r>
        <w:t xml:space="preserve"> be a statement of his own view, it could simply be part of what an imagined interlocutor might contend. Given this interpretive uncertainty, I put more weight on comments from the Royal Commission, which </w:t>
      </w:r>
      <w:r w:rsidR="00BC7C88">
        <w:t xml:space="preserve">give a fuller treatment of prostitution. </w:t>
      </w:r>
      <w:r w:rsidR="00BC3AE1">
        <w:t>As shown below, t</w:t>
      </w:r>
      <w:r w:rsidR="00BC7C88">
        <w:t xml:space="preserve">hese </w:t>
      </w:r>
      <w:r>
        <w:t>seem to countenance interference with the prostitutes</w:t>
      </w:r>
      <w:r w:rsidR="00BC7C88">
        <w:t>, so long as they are not singled out</w:t>
      </w:r>
      <w:r>
        <w:t>.</w:t>
      </w:r>
    </w:p>
  </w:footnote>
  <w:footnote w:id="13">
    <w:p w14:paraId="698E39DD" w14:textId="51CF9D37" w:rsidR="00BC7C88" w:rsidRDefault="00BC7C88" w:rsidP="00D446A8">
      <w:pPr>
        <w:pStyle w:val="FootnoteText"/>
        <w:jc w:val="both"/>
      </w:pPr>
      <w:r>
        <w:rPr>
          <w:rStyle w:val="FootnoteReference"/>
        </w:rPr>
        <w:footnoteRef/>
      </w:r>
      <w:r>
        <w:t xml:space="preserve"> Tunick (personal communication) suggests that the </w:t>
      </w:r>
      <w:r w:rsidR="00FC704C">
        <w:t>‘</w:t>
      </w:r>
      <w:r>
        <w:t>rather</w:t>
      </w:r>
      <w:r w:rsidR="00FC704C">
        <w:t>’</w:t>
      </w:r>
      <w:r>
        <w:t xml:space="preserve"> may be a sign of Mill correcting himself, retracting an initial misstatement. However, as shown in the following quotation, Mill repeats a similar claim later.</w:t>
      </w:r>
    </w:p>
  </w:footnote>
  <w:footnote w:id="14">
    <w:p w14:paraId="3EE3A0CE" w14:textId="317F7817" w:rsidR="001146F4" w:rsidRDefault="001146F4" w:rsidP="00D446A8">
      <w:pPr>
        <w:pStyle w:val="FootnoteText"/>
        <w:jc w:val="both"/>
      </w:pPr>
      <w:r>
        <w:rPr>
          <w:rStyle w:val="FootnoteReference"/>
        </w:rPr>
        <w:footnoteRef/>
      </w:r>
      <w:r>
        <w:t xml:space="preserve"> Tunick (personal communication) suggests that the instigator </w:t>
      </w:r>
      <w:r w:rsidRPr="001146F4">
        <w:rPr>
          <w:i/>
          <w:iCs/>
        </w:rPr>
        <w:t>would</w:t>
      </w:r>
      <w:r>
        <w:t xml:space="preserve"> be a proximate cause if there is no intervening agency. I take it that this explains Mill’s remarks about inciting an angry mob outside a corn dealer’s house (CW18:</w:t>
      </w:r>
      <w:r w:rsidR="003B2DF9">
        <w:t xml:space="preserve"> </w:t>
      </w:r>
      <w:r>
        <w:t xml:space="preserve">260). In this circumstance, the rioters may not be responsible, so the instigator would be the proximate cause. However, advocating the lawfulness of tyrannicide is not likely to lead to immediate action in the same way. </w:t>
      </w:r>
      <w:r w:rsidR="00377A68">
        <w:t xml:space="preserve">Mill’s concern here seems to be circulating the opinion through the press, which he says would be permissible in the corn-dealer case. Therefore, </w:t>
      </w:r>
      <w:r>
        <w:t xml:space="preserve">I assume </w:t>
      </w:r>
      <w:r w:rsidR="00377A68">
        <w:t>that the perpetrator would be responsible for their actions</w:t>
      </w:r>
      <w:r>
        <w:t>, making the instigator a non-proximate cause.</w:t>
      </w:r>
    </w:p>
  </w:footnote>
  <w:footnote w:id="15">
    <w:p w14:paraId="1D38DB7C" w14:textId="76BC644D" w:rsidR="00377A68" w:rsidRDefault="00377A68" w:rsidP="00D446A8">
      <w:pPr>
        <w:pStyle w:val="FootnoteText"/>
        <w:jc w:val="both"/>
      </w:pPr>
      <w:r>
        <w:rPr>
          <w:rStyle w:val="FootnoteReference"/>
        </w:rPr>
        <w:footnoteRef/>
      </w:r>
      <w:r>
        <w:t xml:space="preserve"> For instance, perhaps the drunken policeman is proximately responsible for certain harms, such as denying people the protection they had a right to expect, even if the criminals are responsible for further harm, such as actual theft.</w:t>
      </w:r>
    </w:p>
  </w:footnote>
  <w:footnote w:id="16">
    <w:p w14:paraId="1C1C4318" w14:textId="4DEE8994" w:rsidR="00996A01" w:rsidRDefault="00996A01" w:rsidP="00D446A8">
      <w:pPr>
        <w:pStyle w:val="FootnoteText"/>
        <w:jc w:val="both"/>
      </w:pPr>
      <w:r>
        <w:rPr>
          <w:rStyle w:val="FootnoteReference"/>
        </w:rPr>
        <w:footnoteRef/>
      </w:r>
      <w:r>
        <w:t xml:space="preserve"> For two recent discussions of </w:t>
      </w:r>
      <w:r w:rsidR="006A3E73">
        <w:t xml:space="preserve">internal </w:t>
      </w:r>
      <w:r>
        <w:t>inconsistencies</w:t>
      </w:r>
      <w:r w:rsidR="00BD6642">
        <w:t xml:space="preserve"> in </w:t>
      </w:r>
      <w:r w:rsidR="00BD6642" w:rsidRPr="00BD6642">
        <w:rPr>
          <w:i/>
          <w:iCs/>
        </w:rPr>
        <w:t>On Liberty</w:t>
      </w:r>
      <w:r>
        <w:t>, see Miller (2023) and Saunders (2024).</w:t>
      </w:r>
    </w:p>
  </w:footnote>
  <w:footnote w:id="17">
    <w:p w14:paraId="41866878" w14:textId="2F18A6B3" w:rsidR="007B1EB5" w:rsidRDefault="007B1EB5" w:rsidP="00D446A8">
      <w:pPr>
        <w:pStyle w:val="FootnoteText"/>
        <w:jc w:val="both"/>
      </w:pPr>
      <w:r>
        <w:rPr>
          <w:rStyle w:val="FootnoteReference"/>
        </w:rPr>
        <w:footnoteRef/>
      </w:r>
      <w:r>
        <w:t xml:space="preserve"> </w:t>
      </w:r>
      <w:r w:rsidR="00485F64">
        <w:t>I have benefited from many discussions of these issues with Brian McElwee and Adam Meylan-Stevenson. For comments on this piece, I thank Julia Maskivker, Mark Tunick, and another anonymous reviewer for the journal.</w:t>
      </w:r>
    </w:p>
  </w:footnote>
</w:footnotes>
</file>

<file path=word/intelligence2.xml><?xml version="1.0" encoding="utf-8"?>
<int2:intelligence xmlns:int2="http://schemas.microsoft.com/office/intelligence/2020/intelligence" xmlns:oel="http://schemas.microsoft.com/office/2019/extlst">
  <int2:observations>
    <int2:bookmark int2:bookmarkName="_Int_JfI3JPlI" int2:invalidationBookmarkName="" int2:hashCode="yhT2Ti22MXaHUT" int2:id="YwjGKs3i">
      <int2:state int2:value="Reviewed" int2:type="WordDesignerSuggestedImage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F53"/>
    <w:rsid w:val="0005A913"/>
    <w:rsid w:val="00080A4E"/>
    <w:rsid w:val="000B31A6"/>
    <w:rsid w:val="000F48D8"/>
    <w:rsid w:val="001146F4"/>
    <w:rsid w:val="00171454"/>
    <w:rsid w:val="00194F8B"/>
    <w:rsid w:val="001F0941"/>
    <w:rsid w:val="00203E65"/>
    <w:rsid w:val="00203F53"/>
    <w:rsid w:val="00213564"/>
    <w:rsid w:val="00263DF2"/>
    <w:rsid w:val="002B0B80"/>
    <w:rsid w:val="002BF676"/>
    <w:rsid w:val="00310DE4"/>
    <w:rsid w:val="00314CFA"/>
    <w:rsid w:val="00330BDB"/>
    <w:rsid w:val="00331577"/>
    <w:rsid w:val="003405DF"/>
    <w:rsid w:val="00354EAE"/>
    <w:rsid w:val="00377A68"/>
    <w:rsid w:val="003B2DF9"/>
    <w:rsid w:val="003BF503"/>
    <w:rsid w:val="00483100"/>
    <w:rsid w:val="00485F64"/>
    <w:rsid w:val="004BA5F2"/>
    <w:rsid w:val="004C3DA6"/>
    <w:rsid w:val="004CA9FF"/>
    <w:rsid w:val="004E195B"/>
    <w:rsid w:val="004E3A93"/>
    <w:rsid w:val="004E6BAA"/>
    <w:rsid w:val="004F428D"/>
    <w:rsid w:val="00543EBC"/>
    <w:rsid w:val="00546579"/>
    <w:rsid w:val="005A5D38"/>
    <w:rsid w:val="005D2905"/>
    <w:rsid w:val="0061C731"/>
    <w:rsid w:val="00644B65"/>
    <w:rsid w:val="00645C52"/>
    <w:rsid w:val="006759EC"/>
    <w:rsid w:val="006A3E73"/>
    <w:rsid w:val="006B0B96"/>
    <w:rsid w:val="006B1437"/>
    <w:rsid w:val="006D5742"/>
    <w:rsid w:val="006E252B"/>
    <w:rsid w:val="00702406"/>
    <w:rsid w:val="0078527D"/>
    <w:rsid w:val="007A48DD"/>
    <w:rsid w:val="007B1EB5"/>
    <w:rsid w:val="007C0486"/>
    <w:rsid w:val="007C2BF5"/>
    <w:rsid w:val="007F7613"/>
    <w:rsid w:val="00845F02"/>
    <w:rsid w:val="00847A6D"/>
    <w:rsid w:val="0087646F"/>
    <w:rsid w:val="008A0BE3"/>
    <w:rsid w:val="008B66BE"/>
    <w:rsid w:val="008D2041"/>
    <w:rsid w:val="008F2511"/>
    <w:rsid w:val="009164BA"/>
    <w:rsid w:val="00924671"/>
    <w:rsid w:val="009436BC"/>
    <w:rsid w:val="0098627F"/>
    <w:rsid w:val="00990A42"/>
    <w:rsid w:val="00996A01"/>
    <w:rsid w:val="009C31D1"/>
    <w:rsid w:val="009E024A"/>
    <w:rsid w:val="009F8CCA"/>
    <w:rsid w:val="00A14ACE"/>
    <w:rsid w:val="00A23F3B"/>
    <w:rsid w:val="00A34443"/>
    <w:rsid w:val="00A52F08"/>
    <w:rsid w:val="00AB1950"/>
    <w:rsid w:val="00AD293D"/>
    <w:rsid w:val="00B5C47B"/>
    <w:rsid w:val="00B5E74D"/>
    <w:rsid w:val="00BC3AE1"/>
    <w:rsid w:val="00BC7C88"/>
    <w:rsid w:val="00BD6642"/>
    <w:rsid w:val="00BF2114"/>
    <w:rsid w:val="00BF5491"/>
    <w:rsid w:val="00C1059D"/>
    <w:rsid w:val="00C12394"/>
    <w:rsid w:val="00C21C06"/>
    <w:rsid w:val="00C339AB"/>
    <w:rsid w:val="00C34BCE"/>
    <w:rsid w:val="00C36BF5"/>
    <w:rsid w:val="00C773F7"/>
    <w:rsid w:val="00C84881"/>
    <w:rsid w:val="00CE3CD8"/>
    <w:rsid w:val="00CE5139"/>
    <w:rsid w:val="00D137C3"/>
    <w:rsid w:val="00D42814"/>
    <w:rsid w:val="00D446A8"/>
    <w:rsid w:val="00D83A70"/>
    <w:rsid w:val="00DA74FF"/>
    <w:rsid w:val="00DC16E8"/>
    <w:rsid w:val="00DE495B"/>
    <w:rsid w:val="00DF7B9B"/>
    <w:rsid w:val="00DFCB21"/>
    <w:rsid w:val="00E041D6"/>
    <w:rsid w:val="00E26F52"/>
    <w:rsid w:val="00E63A5D"/>
    <w:rsid w:val="00E86A2D"/>
    <w:rsid w:val="00EB5A51"/>
    <w:rsid w:val="00F7026E"/>
    <w:rsid w:val="00F9462A"/>
    <w:rsid w:val="00F9D941"/>
    <w:rsid w:val="00FB492C"/>
    <w:rsid w:val="00FC704C"/>
    <w:rsid w:val="010F50B0"/>
    <w:rsid w:val="011675B8"/>
    <w:rsid w:val="012FBCC4"/>
    <w:rsid w:val="01327EED"/>
    <w:rsid w:val="0133DD77"/>
    <w:rsid w:val="0141AC85"/>
    <w:rsid w:val="01547DE0"/>
    <w:rsid w:val="0158C67C"/>
    <w:rsid w:val="0168A726"/>
    <w:rsid w:val="0171A8DA"/>
    <w:rsid w:val="01B134ED"/>
    <w:rsid w:val="01C5CA6A"/>
    <w:rsid w:val="01DF35B3"/>
    <w:rsid w:val="01F0E263"/>
    <w:rsid w:val="01F482AE"/>
    <w:rsid w:val="021E044C"/>
    <w:rsid w:val="0239889E"/>
    <w:rsid w:val="024AB5AF"/>
    <w:rsid w:val="025A1810"/>
    <w:rsid w:val="026758C6"/>
    <w:rsid w:val="026B9BE3"/>
    <w:rsid w:val="028808C5"/>
    <w:rsid w:val="028CA1A8"/>
    <w:rsid w:val="029F93B7"/>
    <w:rsid w:val="02D49467"/>
    <w:rsid w:val="02F83C99"/>
    <w:rsid w:val="03001CBB"/>
    <w:rsid w:val="03075288"/>
    <w:rsid w:val="032BDE18"/>
    <w:rsid w:val="034AF07B"/>
    <w:rsid w:val="0358AB86"/>
    <w:rsid w:val="0375C4D1"/>
    <w:rsid w:val="037C85FC"/>
    <w:rsid w:val="037F71AE"/>
    <w:rsid w:val="03949EF1"/>
    <w:rsid w:val="039AA0EE"/>
    <w:rsid w:val="039E6161"/>
    <w:rsid w:val="03B3BCD4"/>
    <w:rsid w:val="03BBA2CD"/>
    <w:rsid w:val="03C6F6B4"/>
    <w:rsid w:val="03CFF86D"/>
    <w:rsid w:val="03EF92DF"/>
    <w:rsid w:val="03FE00F0"/>
    <w:rsid w:val="041D7E62"/>
    <w:rsid w:val="042FAB94"/>
    <w:rsid w:val="0450C625"/>
    <w:rsid w:val="04567A78"/>
    <w:rsid w:val="046DB626"/>
    <w:rsid w:val="04B03B15"/>
    <w:rsid w:val="04D76E79"/>
    <w:rsid w:val="04F693AF"/>
    <w:rsid w:val="05097E86"/>
    <w:rsid w:val="05201E3E"/>
    <w:rsid w:val="052A4CBD"/>
    <w:rsid w:val="0535E164"/>
    <w:rsid w:val="05396A6B"/>
    <w:rsid w:val="053B1552"/>
    <w:rsid w:val="054994C5"/>
    <w:rsid w:val="055935EE"/>
    <w:rsid w:val="0575A27E"/>
    <w:rsid w:val="057EBB48"/>
    <w:rsid w:val="0586D69F"/>
    <w:rsid w:val="0598D8BD"/>
    <w:rsid w:val="05BBD71C"/>
    <w:rsid w:val="05BE1E8F"/>
    <w:rsid w:val="05E6FA32"/>
    <w:rsid w:val="05F41364"/>
    <w:rsid w:val="060AF1E1"/>
    <w:rsid w:val="06122EF9"/>
    <w:rsid w:val="06184ED8"/>
    <w:rsid w:val="063FFA33"/>
    <w:rsid w:val="067569C7"/>
    <w:rsid w:val="067F6D33"/>
    <w:rsid w:val="06B044D6"/>
    <w:rsid w:val="06B3C311"/>
    <w:rsid w:val="06BBBEEF"/>
    <w:rsid w:val="06C3D40F"/>
    <w:rsid w:val="06DED805"/>
    <w:rsid w:val="06DEEC04"/>
    <w:rsid w:val="070CE42B"/>
    <w:rsid w:val="0731869D"/>
    <w:rsid w:val="073DB2CF"/>
    <w:rsid w:val="074F4B7D"/>
    <w:rsid w:val="07571B52"/>
    <w:rsid w:val="0766E871"/>
    <w:rsid w:val="076A036F"/>
    <w:rsid w:val="078069C2"/>
    <w:rsid w:val="07861AA3"/>
    <w:rsid w:val="07875979"/>
    <w:rsid w:val="07A05983"/>
    <w:rsid w:val="07BEFDC5"/>
    <w:rsid w:val="07C60163"/>
    <w:rsid w:val="07D1924C"/>
    <w:rsid w:val="07E56666"/>
    <w:rsid w:val="07F28AFF"/>
    <w:rsid w:val="080763D9"/>
    <w:rsid w:val="080C5A6D"/>
    <w:rsid w:val="0819F154"/>
    <w:rsid w:val="0832D9C6"/>
    <w:rsid w:val="0838094B"/>
    <w:rsid w:val="083852AA"/>
    <w:rsid w:val="08550136"/>
    <w:rsid w:val="08691B55"/>
    <w:rsid w:val="08795101"/>
    <w:rsid w:val="08A1C257"/>
    <w:rsid w:val="08C3B0D8"/>
    <w:rsid w:val="08F608BD"/>
    <w:rsid w:val="09056063"/>
    <w:rsid w:val="09144078"/>
    <w:rsid w:val="09263C9B"/>
    <w:rsid w:val="0927F5B0"/>
    <w:rsid w:val="093153B3"/>
    <w:rsid w:val="0932660A"/>
    <w:rsid w:val="093D9770"/>
    <w:rsid w:val="095D10EB"/>
    <w:rsid w:val="095F608D"/>
    <w:rsid w:val="09699E13"/>
    <w:rsid w:val="09744BB3"/>
    <w:rsid w:val="0979D163"/>
    <w:rsid w:val="097C32B3"/>
    <w:rsid w:val="099FE43E"/>
    <w:rsid w:val="09C2D116"/>
    <w:rsid w:val="09D8C4D8"/>
    <w:rsid w:val="09DC56CE"/>
    <w:rsid w:val="09DCFE88"/>
    <w:rsid w:val="09DF47B7"/>
    <w:rsid w:val="09E61A22"/>
    <w:rsid w:val="09E73642"/>
    <w:rsid w:val="0A041CBC"/>
    <w:rsid w:val="0A0D87E2"/>
    <w:rsid w:val="0A1CBE96"/>
    <w:rsid w:val="0A2BE173"/>
    <w:rsid w:val="0A7FEC20"/>
    <w:rsid w:val="0A8E94E5"/>
    <w:rsid w:val="0A92F6A9"/>
    <w:rsid w:val="0AA468ED"/>
    <w:rsid w:val="0AB4641C"/>
    <w:rsid w:val="0AC1E55E"/>
    <w:rsid w:val="0AC3777D"/>
    <w:rsid w:val="0AC64D23"/>
    <w:rsid w:val="0AC9BAB1"/>
    <w:rsid w:val="0AD5DC82"/>
    <w:rsid w:val="0ADA184D"/>
    <w:rsid w:val="0AFF822A"/>
    <w:rsid w:val="0B116D8A"/>
    <w:rsid w:val="0B26B2F9"/>
    <w:rsid w:val="0B29C42D"/>
    <w:rsid w:val="0B405146"/>
    <w:rsid w:val="0B40A11C"/>
    <w:rsid w:val="0B428794"/>
    <w:rsid w:val="0B4D7236"/>
    <w:rsid w:val="0B5C6694"/>
    <w:rsid w:val="0B9249C8"/>
    <w:rsid w:val="0B9EB2D1"/>
    <w:rsid w:val="0BAC61E0"/>
    <w:rsid w:val="0BC00C45"/>
    <w:rsid w:val="0BD3F57E"/>
    <w:rsid w:val="0BD7AEB2"/>
    <w:rsid w:val="0BD8005D"/>
    <w:rsid w:val="0BE10BE1"/>
    <w:rsid w:val="0BFC81B8"/>
    <w:rsid w:val="0C132D88"/>
    <w:rsid w:val="0C15AA02"/>
    <w:rsid w:val="0C19A4F9"/>
    <w:rsid w:val="0C5B47D5"/>
    <w:rsid w:val="0C5EC553"/>
    <w:rsid w:val="0C602CD9"/>
    <w:rsid w:val="0C642DA2"/>
    <w:rsid w:val="0C70836C"/>
    <w:rsid w:val="0C7C47D9"/>
    <w:rsid w:val="0C82676A"/>
    <w:rsid w:val="0C959007"/>
    <w:rsid w:val="0CC3196D"/>
    <w:rsid w:val="0CCDF04B"/>
    <w:rsid w:val="0CD36A70"/>
    <w:rsid w:val="0CDC8108"/>
    <w:rsid w:val="0CF68DB9"/>
    <w:rsid w:val="0D048DEA"/>
    <w:rsid w:val="0D1149E7"/>
    <w:rsid w:val="0D57CD9F"/>
    <w:rsid w:val="0D8B1751"/>
    <w:rsid w:val="0D97347C"/>
    <w:rsid w:val="0DBD9E0E"/>
    <w:rsid w:val="0DC854C0"/>
    <w:rsid w:val="0DEA6B16"/>
    <w:rsid w:val="0E10DD9B"/>
    <w:rsid w:val="0E1864EC"/>
    <w:rsid w:val="0E3C7E38"/>
    <w:rsid w:val="0E443189"/>
    <w:rsid w:val="0E490C3A"/>
    <w:rsid w:val="0E63864B"/>
    <w:rsid w:val="0E6CB669"/>
    <w:rsid w:val="0E72618B"/>
    <w:rsid w:val="0E8905F9"/>
    <w:rsid w:val="0E9DF510"/>
    <w:rsid w:val="0EA4B954"/>
    <w:rsid w:val="0EC3CF45"/>
    <w:rsid w:val="0EC9CA9A"/>
    <w:rsid w:val="0ECB5680"/>
    <w:rsid w:val="0EE57F94"/>
    <w:rsid w:val="0EE67ED6"/>
    <w:rsid w:val="0EEE3876"/>
    <w:rsid w:val="0EFA0109"/>
    <w:rsid w:val="0F1CD42D"/>
    <w:rsid w:val="0F27516D"/>
    <w:rsid w:val="0F2978D0"/>
    <w:rsid w:val="0F2C0ADC"/>
    <w:rsid w:val="0F3D77AC"/>
    <w:rsid w:val="0F406E07"/>
    <w:rsid w:val="0F4D56CF"/>
    <w:rsid w:val="0F60BF4C"/>
    <w:rsid w:val="0F6B2C1F"/>
    <w:rsid w:val="0F7CDD9C"/>
    <w:rsid w:val="0FF3BF3C"/>
    <w:rsid w:val="0FFB08D1"/>
    <w:rsid w:val="10138A1A"/>
    <w:rsid w:val="101D6FC1"/>
    <w:rsid w:val="1027A94F"/>
    <w:rsid w:val="10303B41"/>
    <w:rsid w:val="1045BAF4"/>
    <w:rsid w:val="106FAE0B"/>
    <w:rsid w:val="107EDBC2"/>
    <w:rsid w:val="1088F83C"/>
    <w:rsid w:val="109DC7CA"/>
    <w:rsid w:val="10A54D04"/>
    <w:rsid w:val="10B53DC4"/>
    <w:rsid w:val="10CAD369"/>
    <w:rsid w:val="10E2A80E"/>
    <w:rsid w:val="10E4DFCD"/>
    <w:rsid w:val="10F7DE0D"/>
    <w:rsid w:val="10FB2CAF"/>
    <w:rsid w:val="10FB9096"/>
    <w:rsid w:val="11048BEA"/>
    <w:rsid w:val="1108666E"/>
    <w:rsid w:val="110EF9BD"/>
    <w:rsid w:val="112C9DED"/>
    <w:rsid w:val="112EB629"/>
    <w:rsid w:val="11348B25"/>
    <w:rsid w:val="115A35CE"/>
    <w:rsid w:val="115C8B74"/>
    <w:rsid w:val="11B56725"/>
    <w:rsid w:val="11C6756A"/>
    <w:rsid w:val="11D4764C"/>
    <w:rsid w:val="11D7F2C5"/>
    <w:rsid w:val="11F4F465"/>
    <w:rsid w:val="121A7DE9"/>
    <w:rsid w:val="121AB5A5"/>
    <w:rsid w:val="1244C2AD"/>
    <w:rsid w:val="124CFEDD"/>
    <w:rsid w:val="124DBEF7"/>
    <w:rsid w:val="12505BD5"/>
    <w:rsid w:val="12582AB7"/>
    <w:rsid w:val="12647106"/>
    <w:rsid w:val="12750ADB"/>
    <w:rsid w:val="128F31D2"/>
    <w:rsid w:val="12A7366A"/>
    <w:rsid w:val="12C2FCE6"/>
    <w:rsid w:val="12C6387C"/>
    <w:rsid w:val="12D429EE"/>
    <w:rsid w:val="12DB329E"/>
    <w:rsid w:val="12E2DDA3"/>
    <w:rsid w:val="12FFB2D6"/>
    <w:rsid w:val="132119C9"/>
    <w:rsid w:val="133BD83E"/>
    <w:rsid w:val="1340A66D"/>
    <w:rsid w:val="135A5C91"/>
    <w:rsid w:val="13A64886"/>
    <w:rsid w:val="13AFA59A"/>
    <w:rsid w:val="13BEBFE7"/>
    <w:rsid w:val="13F194B8"/>
    <w:rsid w:val="140BE22E"/>
    <w:rsid w:val="1466BE62"/>
    <w:rsid w:val="1480F042"/>
    <w:rsid w:val="148F0E13"/>
    <w:rsid w:val="149965BD"/>
    <w:rsid w:val="14B67663"/>
    <w:rsid w:val="14BD17EC"/>
    <w:rsid w:val="14C38A7E"/>
    <w:rsid w:val="14DF093F"/>
    <w:rsid w:val="14F4C0F4"/>
    <w:rsid w:val="14F61093"/>
    <w:rsid w:val="150C4127"/>
    <w:rsid w:val="151CBB9B"/>
    <w:rsid w:val="152F8894"/>
    <w:rsid w:val="153A248D"/>
    <w:rsid w:val="153A3B5D"/>
    <w:rsid w:val="154F8D15"/>
    <w:rsid w:val="156EA866"/>
    <w:rsid w:val="15714DBA"/>
    <w:rsid w:val="1578126C"/>
    <w:rsid w:val="15B08AD7"/>
    <w:rsid w:val="15B8671C"/>
    <w:rsid w:val="15C7CDD2"/>
    <w:rsid w:val="15D4155B"/>
    <w:rsid w:val="15D7A26C"/>
    <w:rsid w:val="15E52229"/>
    <w:rsid w:val="15EF0507"/>
    <w:rsid w:val="15EF81D2"/>
    <w:rsid w:val="15FBBF90"/>
    <w:rsid w:val="16122FF4"/>
    <w:rsid w:val="16160FE7"/>
    <w:rsid w:val="1618D81D"/>
    <w:rsid w:val="16388D7B"/>
    <w:rsid w:val="1646F714"/>
    <w:rsid w:val="165FF0C1"/>
    <w:rsid w:val="16895016"/>
    <w:rsid w:val="1692684F"/>
    <w:rsid w:val="16D49AA9"/>
    <w:rsid w:val="16E6CB7E"/>
    <w:rsid w:val="16E99B7C"/>
    <w:rsid w:val="16F0B501"/>
    <w:rsid w:val="16FB5ED5"/>
    <w:rsid w:val="1705A895"/>
    <w:rsid w:val="1720DE59"/>
    <w:rsid w:val="17388A72"/>
    <w:rsid w:val="1760F8E7"/>
    <w:rsid w:val="177A793C"/>
    <w:rsid w:val="17A13392"/>
    <w:rsid w:val="17C8039B"/>
    <w:rsid w:val="17C953D1"/>
    <w:rsid w:val="17D54A9A"/>
    <w:rsid w:val="17E87F50"/>
    <w:rsid w:val="180E02CB"/>
    <w:rsid w:val="182A3D07"/>
    <w:rsid w:val="182F04E8"/>
    <w:rsid w:val="18618232"/>
    <w:rsid w:val="187B2CA4"/>
    <w:rsid w:val="188D9A7F"/>
    <w:rsid w:val="188F1D59"/>
    <w:rsid w:val="189FF628"/>
    <w:rsid w:val="18AE8F3A"/>
    <w:rsid w:val="18DEE32C"/>
    <w:rsid w:val="18EB7BE8"/>
    <w:rsid w:val="19013C2D"/>
    <w:rsid w:val="1908BEBB"/>
    <w:rsid w:val="1931425F"/>
    <w:rsid w:val="19382CBE"/>
    <w:rsid w:val="193DB600"/>
    <w:rsid w:val="1957E563"/>
    <w:rsid w:val="198DA6A0"/>
    <w:rsid w:val="199187D5"/>
    <w:rsid w:val="19949CEA"/>
    <w:rsid w:val="199E3734"/>
    <w:rsid w:val="19AFD910"/>
    <w:rsid w:val="19BBEC0B"/>
    <w:rsid w:val="19BE3E51"/>
    <w:rsid w:val="19C961CF"/>
    <w:rsid w:val="19CBC4F7"/>
    <w:rsid w:val="19D003CA"/>
    <w:rsid w:val="19D5C064"/>
    <w:rsid w:val="19DBBB13"/>
    <w:rsid w:val="19F928AB"/>
    <w:rsid w:val="1A22E15D"/>
    <w:rsid w:val="1A29ECD5"/>
    <w:rsid w:val="1A2FB7B3"/>
    <w:rsid w:val="1A42BCF4"/>
    <w:rsid w:val="1A5C8B35"/>
    <w:rsid w:val="1A629173"/>
    <w:rsid w:val="1A75E1A8"/>
    <w:rsid w:val="1A8BB077"/>
    <w:rsid w:val="1AA10F10"/>
    <w:rsid w:val="1AB41C78"/>
    <w:rsid w:val="1AB5BBBC"/>
    <w:rsid w:val="1ACCE1BD"/>
    <w:rsid w:val="1AF13FC2"/>
    <w:rsid w:val="1AF8DBBB"/>
    <w:rsid w:val="1AF915B9"/>
    <w:rsid w:val="1B082B7C"/>
    <w:rsid w:val="1B431D9A"/>
    <w:rsid w:val="1B49D7AF"/>
    <w:rsid w:val="1B4BEE97"/>
    <w:rsid w:val="1B66838B"/>
    <w:rsid w:val="1B77BB48"/>
    <w:rsid w:val="1B7D438E"/>
    <w:rsid w:val="1B802498"/>
    <w:rsid w:val="1B8E6B99"/>
    <w:rsid w:val="1B90F889"/>
    <w:rsid w:val="1B9864CB"/>
    <w:rsid w:val="1BAD0AB9"/>
    <w:rsid w:val="1BCA30FC"/>
    <w:rsid w:val="1BD28A31"/>
    <w:rsid w:val="1BDB7002"/>
    <w:rsid w:val="1BE62B6E"/>
    <w:rsid w:val="1BFC73B5"/>
    <w:rsid w:val="1C42D002"/>
    <w:rsid w:val="1C4B198D"/>
    <w:rsid w:val="1C5A1812"/>
    <w:rsid w:val="1C6D3B2C"/>
    <w:rsid w:val="1C6E9032"/>
    <w:rsid w:val="1C773C72"/>
    <w:rsid w:val="1C827868"/>
    <w:rsid w:val="1C8CDD59"/>
    <w:rsid w:val="1C9DC121"/>
    <w:rsid w:val="1CC5D623"/>
    <w:rsid w:val="1CD95742"/>
    <w:rsid w:val="1CD98658"/>
    <w:rsid w:val="1CEDC86C"/>
    <w:rsid w:val="1CF36FA4"/>
    <w:rsid w:val="1D16175D"/>
    <w:rsid w:val="1D2AFBCC"/>
    <w:rsid w:val="1D2DFF88"/>
    <w:rsid w:val="1D41104B"/>
    <w:rsid w:val="1D4FAE1A"/>
    <w:rsid w:val="1D5C8C09"/>
    <w:rsid w:val="1D645F3B"/>
    <w:rsid w:val="1D655EEA"/>
    <w:rsid w:val="1D7D7049"/>
    <w:rsid w:val="1D9AC025"/>
    <w:rsid w:val="1DA68430"/>
    <w:rsid w:val="1DA83126"/>
    <w:rsid w:val="1DA969C5"/>
    <w:rsid w:val="1DB84596"/>
    <w:rsid w:val="1DB89B6B"/>
    <w:rsid w:val="1DD0073D"/>
    <w:rsid w:val="1DDEC302"/>
    <w:rsid w:val="1E17969A"/>
    <w:rsid w:val="1E1CAA20"/>
    <w:rsid w:val="1E2742E6"/>
    <w:rsid w:val="1E2D1570"/>
    <w:rsid w:val="1E441187"/>
    <w:rsid w:val="1E4823E0"/>
    <w:rsid w:val="1E61174B"/>
    <w:rsid w:val="1E6A71C3"/>
    <w:rsid w:val="1E84C757"/>
    <w:rsid w:val="1EB03E48"/>
    <w:rsid w:val="1EB13386"/>
    <w:rsid w:val="1EB681D5"/>
    <w:rsid w:val="1EB6BFC0"/>
    <w:rsid w:val="1EC73D26"/>
    <w:rsid w:val="1ED4890E"/>
    <w:rsid w:val="1EF9672C"/>
    <w:rsid w:val="1EFE4FED"/>
    <w:rsid w:val="1F187F01"/>
    <w:rsid w:val="1F18ADBB"/>
    <w:rsid w:val="1F263C29"/>
    <w:rsid w:val="1F502BB8"/>
    <w:rsid w:val="1F534C9F"/>
    <w:rsid w:val="1F66B998"/>
    <w:rsid w:val="1F803198"/>
    <w:rsid w:val="1F892279"/>
    <w:rsid w:val="1F8CA509"/>
    <w:rsid w:val="1F9B2B1C"/>
    <w:rsid w:val="1FCC6100"/>
    <w:rsid w:val="1FCD6965"/>
    <w:rsid w:val="1FCEFC51"/>
    <w:rsid w:val="1FD704A1"/>
    <w:rsid w:val="1FF9C563"/>
    <w:rsid w:val="1FFF233E"/>
    <w:rsid w:val="200C0667"/>
    <w:rsid w:val="20108373"/>
    <w:rsid w:val="201A52DC"/>
    <w:rsid w:val="20280E91"/>
    <w:rsid w:val="202B19C3"/>
    <w:rsid w:val="2045CCBD"/>
    <w:rsid w:val="209B1EDC"/>
    <w:rsid w:val="20A2D41A"/>
    <w:rsid w:val="20AB54DE"/>
    <w:rsid w:val="20DAD565"/>
    <w:rsid w:val="20F56D5B"/>
    <w:rsid w:val="2102F8B9"/>
    <w:rsid w:val="2122778B"/>
    <w:rsid w:val="214899E5"/>
    <w:rsid w:val="215F0D79"/>
    <w:rsid w:val="21A95C69"/>
    <w:rsid w:val="21AB37AC"/>
    <w:rsid w:val="21B2E108"/>
    <w:rsid w:val="21F47A99"/>
    <w:rsid w:val="21F6A65B"/>
    <w:rsid w:val="2209B418"/>
    <w:rsid w:val="2231B55B"/>
    <w:rsid w:val="224A616B"/>
    <w:rsid w:val="225190CE"/>
    <w:rsid w:val="22539FC8"/>
    <w:rsid w:val="2257C435"/>
    <w:rsid w:val="22674A35"/>
    <w:rsid w:val="226A8CA0"/>
    <w:rsid w:val="227BECB9"/>
    <w:rsid w:val="227DA89D"/>
    <w:rsid w:val="22AF13F8"/>
    <w:rsid w:val="22BD15BB"/>
    <w:rsid w:val="22D582DC"/>
    <w:rsid w:val="22FFDBCA"/>
    <w:rsid w:val="231C43BB"/>
    <w:rsid w:val="2320A38A"/>
    <w:rsid w:val="23215999"/>
    <w:rsid w:val="2338CBBF"/>
    <w:rsid w:val="2346DB52"/>
    <w:rsid w:val="2357E606"/>
    <w:rsid w:val="2374380E"/>
    <w:rsid w:val="23773427"/>
    <w:rsid w:val="23850057"/>
    <w:rsid w:val="23C4CC0D"/>
    <w:rsid w:val="23D37D5F"/>
    <w:rsid w:val="23D4BD7F"/>
    <w:rsid w:val="23F2191A"/>
    <w:rsid w:val="23FA263B"/>
    <w:rsid w:val="24288192"/>
    <w:rsid w:val="243CD38E"/>
    <w:rsid w:val="24406042"/>
    <w:rsid w:val="2494D3D8"/>
    <w:rsid w:val="24960D7D"/>
    <w:rsid w:val="24C4205B"/>
    <w:rsid w:val="24DD545B"/>
    <w:rsid w:val="24F9E2B5"/>
    <w:rsid w:val="24FDAA01"/>
    <w:rsid w:val="24FE658B"/>
    <w:rsid w:val="251667CC"/>
    <w:rsid w:val="2521BFEA"/>
    <w:rsid w:val="253E091C"/>
    <w:rsid w:val="25641726"/>
    <w:rsid w:val="25666F9E"/>
    <w:rsid w:val="25964645"/>
    <w:rsid w:val="25977EBE"/>
    <w:rsid w:val="2597EF54"/>
    <w:rsid w:val="259F507A"/>
    <w:rsid w:val="25A55843"/>
    <w:rsid w:val="25ADBBB4"/>
    <w:rsid w:val="25F0B8FB"/>
    <w:rsid w:val="25F8C618"/>
    <w:rsid w:val="260ACAA9"/>
    <w:rsid w:val="260B8F6E"/>
    <w:rsid w:val="262CF82D"/>
    <w:rsid w:val="26344563"/>
    <w:rsid w:val="2636A1C9"/>
    <w:rsid w:val="263D742C"/>
    <w:rsid w:val="2676AA01"/>
    <w:rsid w:val="267FBD71"/>
    <w:rsid w:val="268ABE0D"/>
    <w:rsid w:val="26910941"/>
    <w:rsid w:val="269EE958"/>
    <w:rsid w:val="26C45540"/>
    <w:rsid w:val="26E2F5D2"/>
    <w:rsid w:val="270AFB08"/>
    <w:rsid w:val="272EE8C2"/>
    <w:rsid w:val="2749F62F"/>
    <w:rsid w:val="275392A6"/>
    <w:rsid w:val="2756F61C"/>
    <w:rsid w:val="27609AE7"/>
    <w:rsid w:val="2765195B"/>
    <w:rsid w:val="277BF0FE"/>
    <w:rsid w:val="277FB7EA"/>
    <w:rsid w:val="2791ED94"/>
    <w:rsid w:val="27C1AC77"/>
    <w:rsid w:val="27C47F8A"/>
    <w:rsid w:val="27D3D159"/>
    <w:rsid w:val="27D5017A"/>
    <w:rsid w:val="27EBCB10"/>
    <w:rsid w:val="283D6372"/>
    <w:rsid w:val="2840F783"/>
    <w:rsid w:val="2858B761"/>
    <w:rsid w:val="285A47CC"/>
    <w:rsid w:val="286580BB"/>
    <w:rsid w:val="28813E1E"/>
    <w:rsid w:val="288E1519"/>
    <w:rsid w:val="28929680"/>
    <w:rsid w:val="289689CE"/>
    <w:rsid w:val="28978536"/>
    <w:rsid w:val="28A20A00"/>
    <w:rsid w:val="28CA81A5"/>
    <w:rsid w:val="28CB7D12"/>
    <w:rsid w:val="28D219B3"/>
    <w:rsid w:val="28E26EDE"/>
    <w:rsid w:val="28EA8DFD"/>
    <w:rsid w:val="290D5968"/>
    <w:rsid w:val="297C43DA"/>
    <w:rsid w:val="29901AE8"/>
    <w:rsid w:val="29BC7AC0"/>
    <w:rsid w:val="29C6F97D"/>
    <w:rsid w:val="29D1858A"/>
    <w:rsid w:val="29DFB145"/>
    <w:rsid w:val="29E1110B"/>
    <w:rsid w:val="29E9C04D"/>
    <w:rsid w:val="29EF6030"/>
    <w:rsid w:val="29F31C1C"/>
    <w:rsid w:val="2A19CCFA"/>
    <w:rsid w:val="2A1E7FF6"/>
    <w:rsid w:val="2A236EFC"/>
    <w:rsid w:val="2A622E25"/>
    <w:rsid w:val="2A6688DF"/>
    <w:rsid w:val="2A6D5315"/>
    <w:rsid w:val="2A7B63E4"/>
    <w:rsid w:val="2A7DE0E0"/>
    <w:rsid w:val="2A8AF6AE"/>
    <w:rsid w:val="2A8C6E4C"/>
    <w:rsid w:val="2AB7ED7A"/>
    <w:rsid w:val="2AE22299"/>
    <w:rsid w:val="2B029A3B"/>
    <w:rsid w:val="2B1B6380"/>
    <w:rsid w:val="2B1EFAD5"/>
    <w:rsid w:val="2B26471F"/>
    <w:rsid w:val="2B26495B"/>
    <w:rsid w:val="2B2C294B"/>
    <w:rsid w:val="2B3B8FEE"/>
    <w:rsid w:val="2B7A233B"/>
    <w:rsid w:val="2B9D20AC"/>
    <w:rsid w:val="2B9DBE78"/>
    <w:rsid w:val="2BBAD772"/>
    <w:rsid w:val="2BC5F62F"/>
    <w:rsid w:val="2BCAF15F"/>
    <w:rsid w:val="2BCCEC85"/>
    <w:rsid w:val="2BF59009"/>
    <w:rsid w:val="2C02E216"/>
    <w:rsid w:val="2C03DD86"/>
    <w:rsid w:val="2C206346"/>
    <w:rsid w:val="2C2B5FF9"/>
    <w:rsid w:val="2C46DEF5"/>
    <w:rsid w:val="2C5A359F"/>
    <w:rsid w:val="2C5B1A9F"/>
    <w:rsid w:val="2C92BF8A"/>
    <w:rsid w:val="2C9F8E6A"/>
    <w:rsid w:val="2CC69453"/>
    <w:rsid w:val="2CC9A596"/>
    <w:rsid w:val="2CED6CE2"/>
    <w:rsid w:val="2CF47E7C"/>
    <w:rsid w:val="2CF48E94"/>
    <w:rsid w:val="2D0BB18F"/>
    <w:rsid w:val="2D1E347D"/>
    <w:rsid w:val="2D451224"/>
    <w:rsid w:val="2D4ACEEF"/>
    <w:rsid w:val="2D4F05A4"/>
    <w:rsid w:val="2D5C8B3B"/>
    <w:rsid w:val="2D75FD92"/>
    <w:rsid w:val="2D92ADF1"/>
    <w:rsid w:val="2D978924"/>
    <w:rsid w:val="2DA805E9"/>
    <w:rsid w:val="2DB445E1"/>
    <w:rsid w:val="2E2655EA"/>
    <w:rsid w:val="2E2EA9DF"/>
    <w:rsid w:val="2E51373E"/>
    <w:rsid w:val="2E683139"/>
    <w:rsid w:val="2E705ED7"/>
    <w:rsid w:val="2E7BE3DF"/>
    <w:rsid w:val="2E90D394"/>
    <w:rsid w:val="2ED6F0DE"/>
    <w:rsid w:val="2EEA213C"/>
    <w:rsid w:val="2EF81937"/>
    <w:rsid w:val="2F097B1B"/>
    <w:rsid w:val="2F221BB6"/>
    <w:rsid w:val="2F2CFF17"/>
    <w:rsid w:val="2F454F3A"/>
    <w:rsid w:val="2F4D591D"/>
    <w:rsid w:val="2F519798"/>
    <w:rsid w:val="2F63A6DC"/>
    <w:rsid w:val="2F7A0795"/>
    <w:rsid w:val="2F9ACD1C"/>
    <w:rsid w:val="2F9EB287"/>
    <w:rsid w:val="2FB1F52D"/>
    <w:rsid w:val="2FBC2F03"/>
    <w:rsid w:val="2FD2FAE1"/>
    <w:rsid w:val="2FDD3EF3"/>
    <w:rsid w:val="300DAA3A"/>
    <w:rsid w:val="3018132C"/>
    <w:rsid w:val="303530C5"/>
    <w:rsid w:val="304404F6"/>
    <w:rsid w:val="30505A3A"/>
    <w:rsid w:val="30538FAD"/>
    <w:rsid w:val="309835AE"/>
    <w:rsid w:val="30AEA1AC"/>
    <w:rsid w:val="30B9EF9E"/>
    <w:rsid w:val="30D0C708"/>
    <w:rsid w:val="30ED5499"/>
    <w:rsid w:val="310EE673"/>
    <w:rsid w:val="311C802F"/>
    <w:rsid w:val="3132C662"/>
    <w:rsid w:val="3144B8C9"/>
    <w:rsid w:val="31478E13"/>
    <w:rsid w:val="3147B690"/>
    <w:rsid w:val="31521550"/>
    <w:rsid w:val="3157BEC2"/>
    <w:rsid w:val="31B915E4"/>
    <w:rsid w:val="31C9EF2B"/>
    <w:rsid w:val="31D1018B"/>
    <w:rsid w:val="31E3FCA1"/>
    <w:rsid w:val="31FD9154"/>
    <w:rsid w:val="32079142"/>
    <w:rsid w:val="321180A4"/>
    <w:rsid w:val="32405120"/>
    <w:rsid w:val="325022CB"/>
    <w:rsid w:val="32719BA9"/>
    <w:rsid w:val="32769D90"/>
    <w:rsid w:val="327CB8EE"/>
    <w:rsid w:val="3294F637"/>
    <w:rsid w:val="32A5CF71"/>
    <w:rsid w:val="32AF8450"/>
    <w:rsid w:val="32C2E184"/>
    <w:rsid w:val="32C6348A"/>
    <w:rsid w:val="3304C6C9"/>
    <w:rsid w:val="330BD100"/>
    <w:rsid w:val="33229764"/>
    <w:rsid w:val="33740C0A"/>
    <w:rsid w:val="33767560"/>
    <w:rsid w:val="33A83BEC"/>
    <w:rsid w:val="33ABA5FE"/>
    <w:rsid w:val="33B39A8A"/>
    <w:rsid w:val="33B4B88C"/>
    <w:rsid w:val="33B9B848"/>
    <w:rsid w:val="33BEF141"/>
    <w:rsid w:val="33C91130"/>
    <w:rsid w:val="33CA8802"/>
    <w:rsid w:val="33CF6C51"/>
    <w:rsid w:val="33FAFA90"/>
    <w:rsid w:val="3433FBB0"/>
    <w:rsid w:val="344BECB8"/>
    <w:rsid w:val="344D6DAE"/>
    <w:rsid w:val="34849539"/>
    <w:rsid w:val="34A3CA9F"/>
    <w:rsid w:val="34A3E152"/>
    <w:rsid w:val="34B2BAC2"/>
    <w:rsid w:val="34CD4E99"/>
    <w:rsid w:val="34DD4646"/>
    <w:rsid w:val="34F22D0F"/>
    <w:rsid w:val="34F519B2"/>
    <w:rsid w:val="34F6E1EB"/>
    <w:rsid w:val="35167B94"/>
    <w:rsid w:val="355E2E20"/>
    <w:rsid w:val="35693A6F"/>
    <w:rsid w:val="35829A39"/>
    <w:rsid w:val="35A6467B"/>
    <w:rsid w:val="35ACBB43"/>
    <w:rsid w:val="35BD803A"/>
    <w:rsid w:val="360A2B43"/>
    <w:rsid w:val="360F13BE"/>
    <w:rsid w:val="361108B2"/>
    <w:rsid w:val="3628302C"/>
    <w:rsid w:val="363010A5"/>
    <w:rsid w:val="36448DA7"/>
    <w:rsid w:val="365FF486"/>
    <w:rsid w:val="366BB094"/>
    <w:rsid w:val="3689B81D"/>
    <w:rsid w:val="369855FF"/>
    <w:rsid w:val="36A849FA"/>
    <w:rsid w:val="36B20E96"/>
    <w:rsid w:val="36BCF6B3"/>
    <w:rsid w:val="36C5271E"/>
    <w:rsid w:val="36D537B9"/>
    <w:rsid w:val="36DE8AAE"/>
    <w:rsid w:val="36E107D5"/>
    <w:rsid w:val="36FE091B"/>
    <w:rsid w:val="37017E23"/>
    <w:rsid w:val="372C04D1"/>
    <w:rsid w:val="3733BD4B"/>
    <w:rsid w:val="373F9685"/>
    <w:rsid w:val="3755FC39"/>
    <w:rsid w:val="37811F8F"/>
    <w:rsid w:val="37923F29"/>
    <w:rsid w:val="37A81CCF"/>
    <w:rsid w:val="37A9B6BA"/>
    <w:rsid w:val="37B73CD3"/>
    <w:rsid w:val="37B77A80"/>
    <w:rsid w:val="37BF8D9F"/>
    <w:rsid w:val="37C65609"/>
    <w:rsid w:val="37C7D3DB"/>
    <w:rsid w:val="3802D772"/>
    <w:rsid w:val="381512BC"/>
    <w:rsid w:val="381F8826"/>
    <w:rsid w:val="382AAC75"/>
    <w:rsid w:val="386B2669"/>
    <w:rsid w:val="38B782C5"/>
    <w:rsid w:val="38BA9E1E"/>
    <w:rsid w:val="38C88FD2"/>
    <w:rsid w:val="38D95F22"/>
    <w:rsid w:val="38DD9DA5"/>
    <w:rsid w:val="3928D020"/>
    <w:rsid w:val="3932D70B"/>
    <w:rsid w:val="3947040D"/>
    <w:rsid w:val="39520992"/>
    <w:rsid w:val="39562417"/>
    <w:rsid w:val="3965EDCA"/>
    <w:rsid w:val="397AA146"/>
    <w:rsid w:val="398CFDDE"/>
    <w:rsid w:val="399E1AB8"/>
    <w:rsid w:val="399FC405"/>
    <w:rsid w:val="39B1A1DF"/>
    <w:rsid w:val="39B85C67"/>
    <w:rsid w:val="39B9F275"/>
    <w:rsid w:val="39D275A7"/>
    <w:rsid w:val="39DB9F86"/>
    <w:rsid w:val="39EBA37B"/>
    <w:rsid w:val="39F9722A"/>
    <w:rsid w:val="39FC5317"/>
    <w:rsid w:val="3A01E2D9"/>
    <w:rsid w:val="3A162974"/>
    <w:rsid w:val="3A32E3C3"/>
    <w:rsid w:val="3A4370E2"/>
    <w:rsid w:val="3A57DA43"/>
    <w:rsid w:val="3A6080E4"/>
    <w:rsid w:val="3A8C459A"/>
    <w:rsid w:val="3A8E35E0"/>
    <w:rsid w:val="3A97D276"/>
    <w:rsid w:val="3AB2E7E3"/>
    <w:rsid w:val="3ABABB8D"/>
    <w:rsid w:val="3AC8FDEE"/>
    <w:rsid w:val="3AD47269"/>
    <w:rsid w:val="3AE43B3F"/>
    <w:rsid w:val="3AFA29C1"/>
    <w:rsid w:val="3AFCC5E6"/>
    <w:rsid w:val="3B20537B"/>
    <w:rsid w:val="3B3A47BE"/>
    <w:rsid w:val="3B80E7F1"/>
    <w:rsid w:val="3B96CA6F"/>
    <w:rsid w:val="3B9A5078"/>
    <w:rsid w:val="3B9FE699"/>
    <w:rsid w:val="3BB06026"/>
    <w:rsid w:val="3BC11D1B"/>
    <w:rsid w:val="3BFFEB26"/>
    <w:rsid w:val="3C0BB69B"/>
    <w:rsid w:val="3C2C2A81"/>
    <w:rsid w:val="3C2E4B2E"/>
    <w:rsid w:val="3C4F9BB2"/>
    <w:rsid w:val="3C515D77"/>
    <w:rsid w:val="3C60CA0E"/>
    <w:rsid w:val="3C8D3EFB"/>
    <w:rsid w:val="3CAB2453"/>
    <w:rsid w:val="3CB866BD"/>
    <w:rsid w:val="3CDC6931"/>
    <w:rsid w:val="3CE3A221"/>
    <w:rsid w:val="3CEDF49A"/>
    <w:rsid w:val="3D0F2957"/>
    <w:rsid w:val="3D24E74F"/>
    <w:rsid w:val="3D2D3A29"/>
    <w:rsid w:val="3D2FB06C"/>
    <w:rsid w:val="3D4A5017"/>
    <w:rsid w:val="3D4E7CD7"/>
    <w:rsid w:val="3D50AC27"/>
    <w:rsid w:val="3D549BAB"/>
    <w:rsid w:val="3D5A05E5"/>
    <w:rsid w:val="3D5FC0A4"/>
    <w:rsid w:val="3D67F437"/>
    <w:rsid w:val="3D854419"/>
    <w:rsid w:val="3DD1C6DA"/>
    <w:rsid w:val="3DD70C56"/>
    <w:rsid w:val="3DDAC1A5"/>
    <w:rsid w:val="3DDE53A1"/>
    <w:rsid w:val="3DEF8F3C"/>
    <w:rsid w:val="3DF3C669"/>
    <w:rsid w:val="3E0015D7"/>
    <w:rsid w:val="3E221506"/>
    <w:rsid w:val="3E2EEA62"/>
    <w:rsid w:val="3E5F9D9D"/>
    <w:rsid w:val="3E600BCD"/>
    <w:rsid w:val="3E9099E1"/>
    <w:rsid w:val="3E91A498"/>
    <w:rsid w:val="3E9278EB"/>
    <w:rsid w:val="3E937A81"/>
    <w:rsid w:val="3E9A8DD5"/>
    <w:rsid w:val="3F214DF4"/>
    <w:rsid w:val="3F221C25"/>
    <w:rsid w:val="3F45BDEA"/>
    <w:rsid w:val="3F499AA2"/>
    <w:rsid w:val="3F5F403C"/>
    <w:rsid w:val="3FA09947"/>
    <w:rsid w:val="3FA8104E"/>
    <w:rsid w:val="3FB3FDA1"/>
    <w:rsid w:val="3FBBDB9F"/>
    <w:rsid w:val="3FE48451"/>
    <w:rsid w:val="3FF255DE"/>
    <w:rsid w:val="3FF3A5CA"/>
    <w:rsid w:val="3FFEDDFF"/>
    <w:rsid w:val="401114C6"/>
    <w:rsid w:val="40142F7B"/>
    <w:rsid w:val="40255284"/>
    <w:rsid w:val="402CE642"/>
    <w:rsid w:val="403C083B"/>
    <w:rsid w:val="404E1CD6"/>
    <w:rsid w:val="409FB0F2"/>
    <w:rsid w:val="40ABF19E"/>
    <w:rsid w:val="40BADE3F"/>
    <w:rsid w:val="40C2035B"/>
    <w:rsid w:val="40D0DCEC"/>
    <w:rsid w:val="40DDC4F3"/>
    <w:rsid w:val="40DE6578"/>
    <w:rsid w:val="40E6F286"/>
    <w:rsid w:val="40F5DD6F"/>
    <w:rsid w:val="412E0949"/>
    <w:rsid w:val="41306F0C"/>
    <w:rsid w:val="41BB0160"/>
    <w:rsid w:val="41C2B4F0"/>
    <w:rsid w:val="41C3A742"/>
    <w:rsid w:val="41C47433"/>
    <w:rsid w:val="422F0682"/>
    <w:rsid w:val="4256DB44"/>
    <w:rsid w:val="429B1D99"/>
    <w:rsid w:val="42AFDB22"/>
    <w:rsid w:val="42B016FE"/>
    <w:rsid w:val="42B3ACEA"/>
    <w:rsid w:val="42BF9769"/>
    <w:rsid w:val="42E7710A"/>
    <w:rsid w:val="42EC5BF8"/>
    <w:rsid w:val="43252AD3"/>
    <w:rsid w:val="4326509E"/>
    <w:rsid w:val="43294EF3"/>
    <w:rsid w:val="4331B213"/>
    <w:rsid w:val="43399925"/>
    <w:rsid w:val="4362A304"/>
    <w:rsid w:val="436F5017"/>
    <w:rsid w:val="437CB265"/>
    <w:rsid w:val="43BDE823"/>
    <w:rsid w:val="43CBC88E"/>
    <w:rsid w:val="43D28FCE"/>
    <w:rsid w:val="43E0998B"/>
    <w:rsid w:val="43EDBA41"/>
    <w:rsid w:val="440E0B46"/>
    <w:rsid w:val="4423AA59"/>
    <w:rsid w:val="442438F9"/>
    <w:rsid w:val="442CEBF1"/>
    <w:rsid w:val="443B1B07"/>
    <w:rsid w:val="445D0DB4"/>
    <w:rsid w:val="446D5ED3"/>
    <w:rsid w:val="44E26297"/>
    <w:rsid w:val="44E8405C"/>
    <w:rsid w:val="44E97112"/>
    <w:rsid w:val="44ED5A3E"/>
    <w:rsid w:val="4503B4E2"/>
    <w:rsid w:val="450C5220"/>
    <w:rsid w:val="450F9E79"/>
    <w:rsid w:val="45275612"/>
    <w:rsid w:val="4544E0DD"/>
    <w:rsid w:val="4546B286"/>
    <w:rsid w:val="4584B91C"/>
    <w:rsid w:val="459F7A81"/>
    <w:rsid w:val="45A54878"/>
    <w:rsid w:val="45A70311"/>
    <w:rsid w:val="45A8088F"/>
    <w:rsid w:val="45AC5485"/>
    <w:rsid w:val="45AC9AF9"/>
    <w:rsid w:val="45BB6C64"/>
    <w:rsid w:val="45CC6074"/>
    <w:rsid w:val="45CC7A27"/>
    <w:rsid w:val="45D3E616"/>
    <w:rsid w:val="45D581B3"/>
    <w:rsid w:val="45DB215D"/>
    <w:rsid w:val="46071727"/>
    <w:rsid w:val="4625B787"/>
    <w:rsid w:val="462FDEE1"/>
    <w:rsid w:val="46301E4D"/>
    <w:rsid w:val="4633D159"/>
    <w:rsid w:val="46383C79"/>
    <w:rsid w:val="463CB840"/>
    <w:rsid w:val="46453467"/>
    <w:rsid w:val="4654E54A"/>
    <w:rsid w:val="465862CC"/>
    <w:rsid w:val="4658AF86"/>
    <w:rsid w:val="465EAE36"/>
    <w:rsid w:val="466B1F75"/>
    <w:rsid w:val="467246D0"/>
    <w:rsid w:val="4678EC84"/>
    <w:rsid w:val="468421ED"/>
    <w:rsid w:val="4686DCDF"/>
    <w:rsid w:val="46910292"/>
    <w:rsid w:val="4694B2A1"/>
    <w:rsid w:val="46A20A56"/>
    <w:rsid w:val="46A292ED"/>
    <w:rsid w:val="46ACECFE"/>
    <w:rsid w:val="46B5F014"/>
    <w:rsid w:val="46C673AD"/>
    <w:rsid w:val="46DA87EB"/>
    <w:rsid w:val="46DBCD9D"/>
    <w:rsid w:val="46F957EC"/>
    <w:rsid w:val="46F9F417"/>
    <w:rsid w:val="47093037"/>
    <w:rsid w:val="471E2311"/>
    <w:rsid w:val="471E5374"/>
    <w:rsid w:val="473DF563"/>
    <w:rsid w:val="4741C3E8"/>
    <w:rsid w:val="476289B8"/>
    <w:rsid w:val="4767C357"/>
    <w:rsid w:val="47A88BCC"/>
    <w:rsid w:val="47B27662"/>
    <w:rsid w:val="47B9BF6A"/>
    <w:rsid w:val="47F32E27"/>
    <w:rsid w:val="47F49C5B"/>
    <w:rsid w:val="47FA05DE"/>
    <w:rsid w:val="4815385C"/>
    <w:rsid w:val="482936A9"/>
    <w:rsid w:val="4839C8EA"/>
    <w:rsid w:val="48457F65"/>
    <w:rsid w:val="4861711B"/>
    <w:rsid w:val="4872B007"/>
    <w:rsid w:val="48867A9A"/>
    <w:rsid w:val="489EA8D2"/>
    <w:rsid w:val="48A5174F"/>
    <w:rsid w:val="48ACFA84"/>
    <w:rsid w:val="48BE91D9"/>
    <w:rsid w:val="48D35B12"/>
    <w:rsid w:val="48FBA3A1"/>
    <w:rsid w:val="491204A4"/>
    <w:rsid w:val="493D32C0"/>
    <w:rsid w:val="493EEF49"/>
    <w:rsid w:val="4978B863"/>
    <w:rsid w:val="49BC98CB"/>
    <w:rsid w:val="49C0F7F5"/>
    <w:rsid w:val="49C523CA"/>
    <w:rsid w:val="49C89528"/>
    <w:rsid w:val="49CFCBEF"/>
    <w:rsid w:val="49CFF521"/>
    <w:rsid w:val="49D1DD96"/>
    <w:rsid w:val="49E41A13"/>
    <w:rsid w:val="49F77E43"/>
    <w:rsid w:val="49FA4D12"/>
    <w:rsid w:val="4A177FFD"/>
    <w:rsid w:val="4A18238A"/>
    <w:rsid w:val="4A18CD7D"/>
    <w:rsid w:val="4A19690F"/>
    <w:rsid w:val="4A3E2333"/>
    <w:rsid w:val="4A525F6F"/>
    <w:rsid w:val="4A54A8D9"/>
    <w:rsid w:val="4A5AF1A6"/>
    <w:rsid w:val="4A5E04E4"/>
    <w:rsid w:val="4A662910"/>
    <w:rsid w:val="4A944791"/>
    <w:rsid w:val="4AABB18D"/>
    <w:rsid w:val="4ABC26AA"/>
    <w:rsid w:val="4AD08776"/>
    <w:rsid w:val="4AD61ABA"/>
    <w:rsid w:val="4AEBBFBE"/>
    <w:rsid w:val="4AF2648D"/>
    <w:rsid w:val="4AFF5996"/>
    <w:rsid w:val="4B05F659"/>
    <w:rsid w:val="4B06A37A"/>
    <w:rsid w:val="4B0D1880"/>
    <w:rsid w:val="4B1D73DC"/>
    <w:rsid w:val="4B3E7828"/>
    <w:rsid w:val="4B63DB66"/>
    <w:rsid w:val="4B6E850E"/>
    <w:rsid w:val="4B78B7DF"/>
    <w:rsid w:val="4B875748"/>
    <w:rsid w:val="4B8CC2B4"/>
    <w:rsid w:val="4B9B5FF5"/>
    <w:rsid w:val="4BA08954"/>
    <w:rsid w:val="4BB7C087"/>
    <w:rsid w:val="4BCCB678"/>
    <w:rsid w:val="4BDE4994"/>
    <w:rsid w:val="4BE76DA6"/>
    <w:rsid w:val="4BE9B7A4"/>
    <w:rsid w:val="4BEB5A92"/>
    <w:rsid w:val="4BF3710F"/>
    <w:rsid w:val="4C00C66A"/>
    <w:rsid w:val="4C0E930C"/>
    <w:rsid w:val="4C111C68"/>
    <w:rsid w:val="4C1E8F45"/>
    <w:rsid w:val="4C47FA21"/>
    <w:rsid w:val="4C4C730E"/>
    <w:rsid w:val="4C5C4E26"/>
    <w:rsid w:val="4C607756"/>
    <w:rsid w:val="4C6A2E24"/>
    <w:rsid w:val="4C74F9A9"/>
    <w:rsid w:val="4C7F1233"/>
    <w:rsid w:val="4C92AD17"/>
    <w:rsid w:val="4C9A1B44"/>
    <w:rsid w:val="4CF1B5A1"/>
    <w:rsid w:val="4CF1CFCB"/>
    <w:rsid w:val="4D065612"/>
    <w:rsid w:val="4D079D60"/>
    <w:rsid w:val="4D0A3810"/>
    <w:rsid w:val="4D0BAD46"/>
    <w:rsid w:val="4D0F82BA"/>
    <w:rsid w:val="4D3398BE"/>
    <w:rsid w:val="4D356D05"/>
    <w:rsid w:val="4D53A8E9"/>
    <w:rsid w:val="4D552893"/>
    <w:rsid w:val="4D5B666B"/>
    <w:rsid w:val="4D617130"/>
    <w:rsid w:val="4D9D830F"/>
    <w:rsid w:val="4DA210F3"/>
    <w:rsid w:val="4DB6DB7A"/>
    <w:rsid w:val="4DC4C418"/>
    <w:rsid w:val="4DD17A89"/>
    <w:rsid w:val="4DD86EC7"/>
    <w:rsid w:val="4DEB172C"/>
    <w:rsid w:val="4E148260"/>
    <w:rsid w:val="4E1D912E"/>
    <w:rsid w:val="4E569928"/>
    <w:rsid w:val="4E65849C"/>
    <w:rsid w:val="4E6D4ACF"/>
    <w:rsid w:val="4E91C91E"/>
    <w:rsid w:val="4EBE4B3D"/>
    <w:rsid w:val="4EC20A02"/>
    <w:rsid w:val="4F128828"/>
    <w:rsid w:val="4F466418"/>
    <w:rsid w:val="4F6DF4B6"/>
    <w:rsid w:val="4F7C12FA"/>
    <w:rsid w:val="4F7EA426"/>
    <w:rsid w:val="4F819CAA"/>
    <w:rsid w:val="4F8756DE"/>
    <w:rsid w:val="4F93BB7A"/>
    <w:rsid w:val="4FA65B04"/>
    <w:rsid w:val="4FBB70A5"/>
    <w:rsid w:val="4FCCE6F2"/>
    <w:rsid w:val="4FD4A568"/>
    <w:rsid w:val="4FE172F1"/>
    <w:rsid w:val="4FE9935B"/>
    <w:rsid w:val="4FF73D86"/>
    <w:rsid w:val="5007D15B"/>
    <w:rsid w:val="503BD916"/>
    <w:rsid w:val="504108FE"/>
    <w:rsid w:val="504D0E0D"/>
    <w:rsid w:val="505B1123"/>
    <w:rsid w:val="506BF4B6"/>
    <w:rsid w:val="5071BA63"/>
    <w:rsid w:val="507476B1"/>
    <w:rsid w:val="508660EA"/>
    <w:rsid w:val="50898E5E"/>
    <w:rsid w:val="50BA7673"/>
    <w:rsid w:val="50CEB45A"/>
    <w:rsid w:val="50E41059"/>
    <w:rsid w:val="50E443CC"/>
    <w:rsid w:val="50E6BCD8"/>
    <w:rsid w:val="50FBBDE3"/>
    <w:rsid w:val="50FFA4CD"/>
    <w:rsid w:val="511A9B7D"/>
    <w:rsid w:val="515C6266"/>
    <w:rsid w:val="515C7B54"/>
    <w:rsid w:val="5165B231"/>
    <w:rsid w:val="51818CA4"/>
    <w:rsid w:val="5194B105"/>
    <w:rsid w:val="51BDC223"/>
    <w:rsid w:val="51CB33B2"/>
    <w:rsid w:val="52218B37"/>
    <w:rsid w:val="52243ABF"/>
    <w:rsid w:val="523CC819"/>
    <w:rsid w:val="5247BA2E"/>
    <w:rsid w:val="524F3034"/>
    <w:rsid w:val="52579DB1"/>
    <w:rsid w:val="525BBB18"/>
    <w:rsid w:val="52604137"/>
    <w:rsid w:val="52615B73"/>
    <w:rsid w:val="5262FC5D"/>
    <w:rsid w:val="528F740E"/>
    <w:rsid w:val="5291BE0A"/>
    <w:rsid w:val="52A1835B"/>
    <w:rsid w:val="52AD5A70"/>
    <w:rsid w:val="52B18AB9"/>
    <w:rsid w:val="52BB2BA6"/>
    <w:rsid w:val="52EDBD15"/>
    <w:rsid w:val="52FD3367"/>
    <w:rsid w:val="530473D7"/>
    <w:rsid w:val="5326B09E"/>
    <w:rsid w:val="5328B3C3"/>
    <w:rsid w:val="533C027B"/>
    <w:rsid w:val="536C459D"/>
    <w:rsid w:val="537859D3"/>
    <w:rsid w:val="5389B48F"/>
    <w:rsid w:val="538DCA4C"/>
    <w:rsid w:val="538EB1E9"/>
    <w:rsid w:val="53A3B76E"/>
    <w:rsid w:val="53D3591D"/>
    <w:rsid w:val="53E41DEA"/>
    <w:rsid w:val="53FC043E"/>
    <w:rsid w:val="5402A7B7"/>
    <w:rsid w:val="54077CB9"/>
    <w:rsid w:val="540D98C8"/>
    <w:rsid w:val="54106931"/>
    <w:rsid w:val="54419E1C"/>
    <w:rsid w:val="545DF042"/>
    <w:rsid w:val="549477F8"/>
    <w:rsid w:val="54AA851D"/>
    <w:rsid w:val="54B50926"/>
    <w:rsid w:val="54B9EB8F"/>
    <w:rsid w:val="54C0E539"/>
    <w:rsid w:val="54E029F8"/>
    <w:rsid w:val="54FB2CBC"/>
    <w:rsid w:val="5502C0EE"/>
    <w:rsid w:val="55219AAE"/>
    <w:rsid w:val="5535486B"/>
    <w:rsid w:val="55560D75"/>
    <w:rsid w:val="5585078E"/>
    <w:rsid w:val="559ED986"/>
    <w:rsid w:val="55A2FD42"/>
    <w:rsid w:val="55B3ED28"/>
    <w:rsid w:val="55BC1C12"/>
    <w:rsid w:val="55CA1170"/>
    <w:rsid w:val="55E0AF0D"/>
    <w:rsid w:val="55EEED3C"/>
    <w:rsid w:val="55F9747A"/>
    <w:rsid w:val="56091271"/>
    <w:rsid w:val="562B60C5"/>
    <w:rsid w:val="562C615E"/>
    <w:rsid w:val="563875EC"/>
    <w:rsid w:val="563CD261"/>
    <w:rsid w:val="56915ABC"/>
    <w:rsid w:val="569FB3C9"/>
    <w:rsid w:val="56A311CC"/>
    <w:rsid w:val="56B72695"/>
    <w:rsid w:val="56B855CA"/>
    <w:rsid w:val="56CB8FC3"/>
    <w:rsid w:val="56CCA07C"/>
    <w:rsid w:val="570A4165"/>
    <w:rsid w:val="571A1F58"/>
    <w:rsid w:val="574001EA"/>
    <w:rsid w:val="575983B0"/>
    <w:rsid w:val="5766C619"/>
    <w:rsid w:val="5775DB10"/>
    <w:rsid w:val="5791CC76"/>
    <w:rsid w:val="57923AA5"/>
    <w:rsid w:val="57ACF820"/>
    <w:rsid w:val="57B2B8E5"/>
    <w:rsid w:val="57BD1A2E"/>
    <w:rsid w:val="57ED1524"/>
    <w:rsid w:val="57FD5C99"/>
    <w:rsid w:val="584B1D2E"/>
    <w:rsid w:val="58805911"/>
    <w:rsid w:val="5891744B"/>
    <w:rsid w:val="589FB810"/>
    <w:rsid w:val="58A51A0A"/>
    <w:rsid w:val="58B0A157"/>
    <w:rsid w:val="58C3623F"/>
    <w:rsid w:val="58E3A881"/>
    <w:rsid w:val="5909758E"/>
    <w:rsid w:val="5922C954"/>
    <w:rsid w:val="593078FD"/>
    <w:rsid w:val="5941FFBB"/>
    <w:rsid w:val="594E973D"/>
    <w:rsid w:val="5958DD40"/>
    <w:rsid w:val="595BDDB3"/>
    <w:rsid w:val="595E8CF5"/>
    <w:rsid w:val="5968A1ED"/>
    <w:rsid w:val="5971EA4B"/>
    <w:rsid w:val="597F0F37"/>
    <w:rsid w:val="598B3908"/>
    <w:rsid w:val="59A71901"/>
    <w:rsid w:val="59A7A230"/>
    <w:rsid w:val="59C58DEF"/>
    <w:rsid w:val="59DDFC73"/>
    <w:rsid w:val="59E3E4E7"/>
    <w:rsid w:val="59E80698"/>
    <w:rsid w:val="5A129A56"/>
    <w:rsid w:val="5A2EF204"/>
    <w:rsid w:val="5A486FFE"/>
    <w:rsid w:val="5A5D8463"/>
    <w:rsid w:val="5A76B5E6"/>
    <w:rsid w:val="5A8E1C36"/>
    <w:rsid w:val="5AB829E0"/>
    <w:rsid w:val="5ABC1B72"/>
    <w:rsid w:val="5AE47171"/>
    <w:rsid w:val="5AFB1D21"/>
    <w:rsid w:val="5AFC9854"/>
    <w:rsid w:val="5AFDC0D0"/>
    <w:rsid w:val="5B0D41E9"/>
    <w:rsid w:val="5B28C5B1"/>
    <w:rsid w:val="5B5F229E"/>
    <w:rsid w:val="5B64B248"/>
    <w:rsid w:val="5B75E291"/>
    <w:rsid w:val="5B800BCE"/>
    <w:rsid w:val="5B808A3B"/>
    <w:rsid w:val="5B80BF2B"/>
    <w:rsid w:val="5B9D57E8"/>
    <w:rsid w:val="5BAB4F72"/>
    <w:rsid w:val="5BAEFE1D"/>
    <w:rsid w:val="5BBF4987"/>
    <w:rsid w:val="5BD7F769"/>
    <w:rsid w:val="5BE2B7B6"/>
    <w:rsid w:val="5BE7781D"/>
    <w:rsid w:val="5BEFDF30"/>
    <w:rsid w:val="5BFBDF47"/>
    <w:rsid w:val="5C062599"/>
    <w:rsid w:val="5C0743F5"/>
    <w:rsid w:val="5C137EBF"/>
    <w:rsid w:val="5C49F994"/>
    <w:rsid w:val="5C546EF6"/>
    <w:rsid w:val="5C5BEC1B"/>
    <w:rsid w:val="5C73FC66"/>
    <w:rsid w:val="5CAA2215"/>
    <w:rsid w:val="5CD0726A"/>
    <w:rsid w:val="5CEEE835"/>
    <w:rsid w:val="5CF8E87E"/>
    <w:rsid w:val="5CFEA2A3"/>
    <w:rsid w:val="5D049FAE"/>
    <w:rsid w:val="5D281F9D"/>
    <w:rsid w:val="5D8DC51A"/>
    <w:rsid w:val="5D964F76"/>
    <w:rsid w:val="5D9D5672"/>
    <w:rsid w:val="5DAA733F"/>
    <w:rsid w:val="5DACBA25"/>
    <w:rsid w:val="5DD20ABD"/>
    <w:rsid w:val="5DDA561D"/>
    <w:rsid w:val="5E26C3A2"/>
    <w:rsid w:val="5E29BC2A"/>
    <w:rsid w:val="5E2B9EB9"/>
    <w:rsid w:val="5E4CAF8C"/>
    <w:rsid w:val="5E68B5D4"/>
    <w:rsid w:val="5EA1E4C7"/>
    <w:rsid w:val="5EAC42C3"/>
    <w:rsid w:val="5EB267DF"/>
    <w:rsid w:val="5ED60BE8"/>
    <w:rsid w:val="5EEA84F8"/>
    <w:rsid w:val="5EEEA52B"/>
    <w:rsid w:val="5EFCB045"/>
    <w:rsid w:val="5F0C381A"/>
    <w:rsid w:val="5F24072F"/>
    <w:rsid w:val="5F29009E"/>
    <w:rsid w:val="5F3D56BD"/>
    <w:rsid w:val="5F46F01F"/>
    <w:rsid w:val="5F499528"/>
    <w:rsid w:val="5F614B8F"/>
    <w:rsid w:val="5F849630"/>
    <w:rsid w:val="5F8836F3"/>
    <w:rsid w:val="5FAD5B38"/>
    <w:rsid w:val="5FCBEFB3"/>
    <w:rsid w:val="600C2B26"/>
    <w:rsid w:val="6018D62B"/>
    <w:rsid w:val="6033A5A5"/>
    <w:rsid w:val="60349245"/>
    <w:rsid w:val="603A1834"/>
    <w:rsid w:val="603E0942"/>
    <w:rsid w:val="6050E08A"/>
    <w:rsid w:val="60595758"/>
    <w:rsid w:val="606F5B55"/>
    <w:rsid w:val="60735B5E"/>
    <w:rsid w:val="609B37DF"/>
    <w:rsid w:val="609F2614"/>
    <w:rsid w:val="60A040B6"/>
    <w:rsid w:val="60A7CAC7"/>
    <w:rsid w:val="60B5D57D"/>
    <w:rsid w:val="60C48989"/>
    <w:rsid w:val="60D7F1E6"/>
    <w:rsid w:val="60D9DC32"/>
    <w:rsid w:val="60DCF4BD"/>
    <w:rsid w:val="60E5536F"/>
    <w:rsid w:val="6109C03C"/>
    <w:rsid w:val="611870AD"/>
    <w:rsid w:val="611B0547"/>
    <w:rsid w:val="612052A0"/>
    <w:rsid w:val="612AD54A"/>
    <w:rsid w:val="61311FD3"/>
    <w:rsid w:val="6137661A"/>
    <w:rsid w:val="613B5849"/>
    <w:rsid w:val="6144B43C"/>
    <w:rsid w:val="614699C2"/>
    <w:rsid w:val="614E8A39"/>
    <w:rsid w:val="615066BE"/>
    <w:rsid w:val="615AF9D0"/>
    <w:rsid w:val="6167475A"/>
    <w:rsid w:val="6178157F"/>
    <w:rsid w:val="617A9DD1"/>
    <w:rsid w:val="61832A88"/>
    <w:rsid w:val="618684FA"/>
    <w:rsid w:val="618E5A19"/>
    <w:rsid w:val="619F6EC8"/>
    <w:rsid w:val="61B36BD5"/>
    <w:rsid w:val="61BCEAEB"/>
    <w:rsid w:val="61E814C3"/>
    <w:rsid w:val="61FB01CE"/>
    <w:rsid w:val="6201743A"/>
    <w:rsid w:val="620AE2C6"/>
    <w:rsid w:val="621474B2"/>
    <w:rsid w:val="621E0A6E"/>
    <w:rsid w:val="625489A4"/>
    <w:rsid w:val="62668DE4"/>
    <w:rsid w:val="6288478A"/>
    <w:rsid w:val="62A37C41"/>
    <w:rsid w:val="62D83ACE"/>
    <w:rsid w:val="62FC2D1F"/>
    <w:rsid w:val="63094AD1"/>
    <w:rsid w:val="63182349"/>
    <w:rsid w:val="632775F3"/>
    <w:rsid w:val="632D9801"/>
    <w:rsid w:val="633B23F6"/>
    <w:rsid w:val="634AFF12"/>
    <w:rsid w:val="634BB37B"/>
    <w:rsid w:val="6363A31F"/>
    <w:rsid w:val="6379A07C"/>
    <w:rsid w:val="639B9E8A"/>
    <w:rsid w:val="63C8BA1D"/>
    <w:rsid w:val="6422A514"/>
    <w:rsid w:val="6442F6AE"/>
    <w:rsid w:val="647BBB4F"/>
    <w:rsid w:val="64CDC5AD"/>
    <w:rsid w:val="64D1CB50"/>
    <w:rsid w:val="64E4616B"/>
    <w:rsid w:val="64E75C74"/>
    <w:rsid w:val="64F607E4"/>
    <w:rsid w:val="64F851A5"/>
    <w:rsid w:val="6540C73F"/>
    <w:rsid w:val="65581AC9"/>
    <w:rsid w:val="6567B90F"/>
    <w:rsid w:val="6595AA1D"/>
    <w:rsid w:val="65A7397B"/>
    <w:rsid w:val="65B60C7B"/>
    <w:rsid w:val="65C17954"/>
    <w:rsid w:val="65C94F9B"/>
    <w:rsid w:val="65E80A8B"/>
    <w:rsid w:val="65FDD747"/>
    <w:rsid w:val="661C3879"/>
    <w:rsid w:val="6651D5C3"/>
    <w:rsid w:val="665DCFED"/>
    <w:rsid w:val="667D7BCF"/>
    <w:rsid w:val="667F6892"/>
    <w:rsid w:val="668D6E19"/>
    <w:rsid w:val="66A990FD"/>
    <w:rsid w:val="66CAF00F"/>
    <w:rsid w:val="66F812A0"/>
    <w:rsid w:val="67172A4C"/>
    <w:rsid w:val="671A715F"/>
    <w:rsid w:val="6741BC33"/>
    <w:rsid w:val="6756FA98"/>
    <w:rsid w:val="6761CC9C"/>
    <w:rsid w:val="67877B47"/>
    <w:rsid w:val="679D7E7A"/>
    <w:rsid w:val="67B27691"/>
    <w:rsid w:val="67C0DD5F"/>
    <w:rsid w:val="67D044C9"/>
    <w:rsid w:val="67E7F32E"/>
    <w:rsid w:val="67EEFE65"/>
    <w:rsid w:val="68187785"/>
    <w:rsid w:val="681CE16E"/>
    <w:rsid w:val="6823F17A"/>
    <w:rsid w:val="6832D664"/>
    <w:rsid w:val="683B2884"/>
    <w:rsid w:val="68487393"/>
    <w:rsid w:val="68616C76"/>
    <w:rsid w:val="688B4DBD"/>
    <w:rsid w:val="688CF6B3"/>
    <w:rsid w:val="68B08CCC"/>
    <w:rsid w:val="68DBE898"/>
    <w:rsid w:val="690A1278"/>
    <w:rsid w:val="6916C1D7"/>
    <w:rsid w:val="69183C37"/>
    <w:rsid w:val="691EB553"/>
    <w:rsid w:val="691F97BF"/>
    <w:rsid w:val="693489BF"/>
    <w:rsid w:val="6936A9E5"/>
    <w:rsid w:val="6947076E"/>
    <w:rsid w:val="695184CE"/>
    <w:rsid w:val="69584EC4"/>
    <w:rsid w:val="695F99CD"/>
    <w:rsid w:val="6983DCDD"/>
    <w:rsid w:val="6985C4CB"/>
    <w:rsid w:val="69917A3B"/>
    <w:rsid w:val="69C0FD11"/>
    <w:rsid w:val="69CDE95C"/>
    <w:rsid w:val="69EEDC7A"/>
    <w:rsid w:val="6A211EB9"/>
    <w:rsid w:val="6A2F065C"/>
    <w:rsid w:val="6A62119B"/>
    <w:rsid w:val="6A72B513"/>
    <w:rsid w:val="6A9DAD98"/>
    <w:rsid w:val="6A9E4E2F"/>
    <w:rsid w:val="6AA44A19"/>
    <w:rsid w:val="6AA754FB"/>
    <w:rsid w:val="6AAB733E"/>
    <w:rsid w:val="6AB56825"/>
    <w:rsid w:val="6AC9BDA9"/>
    <w:rsid w:val="6AD0CC32"/>
    <w:rsid w:val="6AF5631F"/>
    <w:rsid w:val="6B13710D"/>
    <w:rsid w:val="6B1F8284"/>
    <w:rsid w:val="6B219F9C"/>
    <w:rsid w:val="6B30CAAE"/>
    <w:rsid w:val="6B36D775"/>
    <w:rsid w:val="6B4A9647"/>
    <w:rsid w:val="6B4C9950"/>
    <w:rsid w:val="6B4E02FF"/>
    <w:rsid w:val="6B4E5A63"/>
    <w:rsid w:val="6B4FA4AC"/>
    <w:rsid w:val="6B56C606"/>
    <w:rsid w:val="6B60E616"/>
    <w:rsid w:val="6B7804DF"/>
    <w:rsid w:val="6B7A9CFA"/>
    <w:rsid w:val="6B7DD10B"/>
    <w:rsid w:val="6B9F33CF"/>
    <w:rsid w:val="6BB2E552"/>
    <w:rsid w:val="6BC0BC0C"/>
    <w:rsid w:val="6BDCB179"/>
    <w:rsid w:val="6BE39657"/>
    <w:rsid w:val="6BF6C635"/>
    <w:rsid w:val="6C0F73C2"/>
    <w:rsid w:val="6C206ED1"/>
    <w:rsid w:val="6C246C45"/>
    <w:rsid w:val="6C4201C4"/>
    <w:rsid w:val="6C52F2FA"/>
    <w:rsid w:val="6C584BF7"/>
    <w:rsid w:val="6C601788"/>
    <w:rsid w:val="6C883B59"/>
    <w:rsid w:val="6C981323"/>
    <w:rsid w:val="6C98707E"/>
    <w:rsid w:val="6CF44D67"/>
    <w:rsid w:val="6D0E253D"/>
    <w:rsid w:val="6D204537"/>
    <w:rsid w:val="6D214096"/>
    <w:rsid w:val="6D3DD76D"/>
    <w:rsid w:val="6D46E54E"/>
    <w:rsid w:val="6D4F2BF9"/>
    <w:rsid w:val="6D549D2E"/>
    <w:rsid w:val="6D932234"/>
    <w:rsid w:val="6D939C53"/>
    <w:rsid w:val="6DB5DB52"/>
    <w:rsid w:val="6DDEED2E"/>
    <w:rsid w:val="6DE3E17A"/>
    <w:rsid w:val="6E0B15F3"/>
    <w:rsid w:val="6E609FAD"/>
    <w:rsid w:val="6E6126E0"/>
    <w:rsid w:val="6E6D4FE3"/>
    <w:rsid w:val="6E704EF2"/>
    <w:rsid w:val="6E7CEB58"/>
    <w:rsid w:val="6E7DD722"/>
    <w:rsid w:val="6E872AE6"/>
    <w:rsid w:val="6EA99701"/>
    <w:rsid w:val="6EC6F1A3"/>
    <w:rsid w:val="6ECCD5CA"/>
    <w:rsid w:val="6ED401AD"/>
    <w:rsid w:val="6ED788DC"/>
    <w:rsid w:val="6EDAE964"/>
    <w:rsid w:val="6F0EB30A"/>
    <w:rsid w:val="6F2856A2"/>
    <w:rsid w:val="6F304787"/>
    <w:rsid w:val="6F34A765"/>
    <w:rsid w:val="6F3811AB"/>
    <w:rsid w:val="6F3B13EE"/>
    <w:rsid w:val="6F8D5B88"/>
    <w:rsid w:val="6F952A8C"/>
    <w:rsid w:val="6FD1D009"/>
    <w:rsid w:val="6FD7C851"/>
    <w:rsid w:val="6FF474F7"/>
    <w:rsid w:val="7001DF02"/>
    <w:rsid w:val="70164866"/>
    <w:rsid w:val="7023BD46"/>
    <w:rsid w:val="703D8993"/>
    <w:rsid w:val="70407E47"/>
    <w:rsid w:val="70523AAA"/>
    <w:rsid w:val="70574DF0"/>
    <w:rsid w:val="70640251"/>
    <w:rsid w:val="707CF0E3"/>
    <w:rsid w:val="70825F1B"/>
    <w:rsid w:val="7098909B"/>
    <w:rsid w:val="709F4BE9"/>
    <w:rsid w:val="70BC709C"/>
    <w:rsid w:val="70BE0F96"/>
    <w:rsid w:val="70DC311C"/>
    <w:rsid w:val="70E04FE3"/>
    <w:rsid w:val="70E661B9"/>
    <w:rsid w:val="7106CE86"/>
    <w:rsid w:val="713EF8DC"/>
    <w:rsid w:val="71522819"/>
    <w:rsid w:val="7158579A"/>
    <w:rsid w:val="715F5B2E"/>
    <w:rsid w:val="716B50CF"/>
    <w:rsid w:val="717E34ED"/>
    <w:rsid w:val="71845055"/>
    <w:rsid w:val="7194FE70"/>
    <w:rsid w:val="71A078B8"/>
    <w:rsid w:val="71AC12A4"/>
    <w:rsid w:val="71DA1E0F"/>
    <w:rsid w:val="71EBCC8B"/>
    <w:rsid w:val="71F4C205"/>
    <w:rsid w:val="71F9E356"/>
    <w:rsid w:val="72014377"/>
    <w:rsid w:val="7204968E"/>
    <w:rsid w:val="724147F3"/>
    <w:rsid w:val="72517500"/>
    <w:rsid w:val="72AEE1AC"/>
    <w:rsid w:val="72B8B76D"/>
    <w:rsid w:val="72E84006"/>
    <w:rsid w:val="72F0FA93"/>
    <w:rsid w:val="72F356C5"/>
    <w:rsid w:val="72FA4F5F"/>
    <w:rsid w:val="72FA69FE"/>
    <w:rsid w:val="72FBF43B"/>
    <w:rsid w:val="73136EFE"/>
    <w:rsid w:val="7315F1E9"/>
    <w:rsid w:val="731FDD0A"/>
    <w:rsid w:val="7335B81C"/>
    <w:rsid w:val="7337AED3"/>
    <w:rsid w:val="734DC473"/>
    <w:rsid w:val="7358CB5D"/>
    <w:rsid w:val="73817FEE"/>
    <w:rsid w:val="7384F704"/>
    <w:rsid w:val="73887CC1"/>
    <w:rsid w:val="738A27C4"/>
    <w:rsid w:val="739A4EFD"/>
    <w:rsid w:val="73ADDDB7"/>
    <w:rsid w:val="73AE3BE6"/>
    <w:rsid w:val="73B7BDB8"/>
    <w:rsid w:val="73BA534F"/>
    <w:rsid w:val="73E78175"/>
    <w:rsid w:val="7404DACF"/>
    <w:rsid w:val="7410E698"/>
    <w:rsid w:val="74236B98"/>
    <w:rsid w:val="74502CBB"/>
    <w:rsid w:val="74613B7A"/>
    <w:rsid w:val="746DC1AC"/>
    <w:rsid w:val="747E208C"/>
    <w:rsid w:val="74A09E33"/>
    <w:rsid w:val="74ADA1EC"/>
    <w:rsid w:val="74C877C3"/>
    <w:rsid w:val="74C9BD41"/>
    <w:rsid w:val="74D92677"/>
    <w:rsid w:val="74FB9E84"/>
    <w:rsid w:val="75008777"/>
    <w:rsid w:val="7500F974"/>
    <w:rsid w:val="75038DC5"/>
    <w:rsid w:val="7504760E"/>
    <w:rsid w:val="751BDEB0"/>
    <w:rsid w:val="751D44A6"/>
    <w:rsid w:val="7549E0E8"/>
    <w:rsid w:val="75578E13"/>
    <w:rsid w:val="75872D5A"/>
    <w:rsid w:val="758CADF1"/>
    <w:rsid w:val="7591CDBC"/>
    <w:rsid w:val="759B0280"/>
    <w:rsid w:val="75A976D4"/>
    <w:rsid w:val="75B6DAEA"/>
    <w:rsid w:val="75BF1372"/>
    <w:rsid w:val="75C95A61"/>
    <w:rsid w:val="75DDCFDD"/>
    <w:rsid w:val="75EC65F3"/>
    <w:rsid w:val="76084C3A"/>
    <w:rsid w:val="7615D3A7"/>
    <w:rsid w:val="76193863"/>
    <w:rsid w:val="763636AD"/>
    <w:rsid w:val="7640A01B"/>
    <w:rsid w:val="7643E972"/>
    <w:rsid w:val="7678B516"/>
    <w:rsid w:val="7689DDA0"/>
    <w:rsid w:val="76A1066B"/>
    <w:rsid w:val="76A26FB9"/>
    <w:rsid w:val="76A457C3"/>
    <w:rsid w:val="76E91355"/>
    <w:rsid w:val="7701FB24"/>
    <w:rsid w:val="771A65B0"/>
    <w:rsid w:val="7724D300"/>
    <w:rsid w:val="77265F33"/>
    <w:rsid w:val="7742A763"/>
    <w:rsid w:val="774C4508"/>
    <w:rsid w:val="776EC09C"/>
    <w:rsid w:val="778AF639"/>
    <w:rsid w:val="7792A030"/>
    <w:rsid w:val="77AC3467"/>
    <w:rsid w:val="77B3918E"/>
    <w:rsid w:val="77B494B8"/>
    <w:rsid w:val="77BAEDA4"/>
    <w:rsid w:val="77BD22B7"/>
    <w:rsid w:val="77C6622C"/>
    <w:rsid w:val="77DF1990"/>
    <w:rsid w:val="78049AF0"/>
    <w:rsid w:val="781E4AAD"/>
    <w:rsid w:val="7821AB87"/>
    <w:rsid w:val="782B1F56"/>
    <w:rsid w:val="78369C1D"/>
    <w:rsid w:val="785255D1"/>
    <w:rsid w:val="7877BF09"/>
    <w:rsid w:val="7881ADEC"/>
    <w:rsid w:val="78822324"/>
    <w:rsid w:val="78A01BA1"/>
    <w:rsid w:val="78AC144B"/>
    <w:rsid w:val="78B6CDEE"/>
    <w:rsid w:val="78DA41EE"/>
    <w:rsid w:val="78E57C58"/>
    <w:rsid w:val="7910C361"/>
    <w:rsid w:val="791A43B7"/>
    <w:rsid w:val="79247A0E"/>
    <w:rsid w:val="7926AEEA"/>
    <w:rsid w:val="7929AC55"/>
    <w:rsid w:val="79381637"/>
    <w:rsid w:val="7956DB75"/>
    <w:rsid w:val="795AEFB8"/>
    <w:rsid w:val="797E51A2"/>
    <w:rsid w:val="79E1A870"/>
    <w:rsid w:val="79FE7993"/>
    <w:rsid w:val="7A159393"/>
    <w:rsid w:val="7A2D4988"/>
    <w:rsid w:val="7A2ECD33"/>
    <w:rsid w:val="7A3477BA"/>
    <w:rsid w:val="7A34C60F"/>
    <w:rsid w:val="7A73B7E4"/>
    <w:rsid w:val="7AAD7612"/>
    <w:rsid w:val="7AB7CD43"/>
    <w:rsid w:val="7AE19E5E"/>
    <w:rsid w:val="7AE6AAE2"/>
    <w:rsid w:val="7AF693BA"/>
    <w:rsid w:val="7B0B62C8"/>
    <w:rsid w:val="7B26A006"/>
    <w:rsid w:val="7B34753D"/>
    <w:rsid w:val="7B3ABB6F"/>
    <w:rsid w:val="7B3B342E"/>
    <w:rsid w:val="7B4BE4ED"/>
    <w:rsid w:val="7B4D3DE5"/>
    <w:rsid w:val="7B596903"/>
    <w:rsid w:val="7BA5B4AC"/>
    <w:rsid w:val="7BBC9D64"/>
    <w:rsid w:val="7BD71AD5"/>
    <w:rsid w:val="7BDA2200"/>
    <w:rsid w:val="7BDD902D"/>
    <w:rsid w:val="7BE03FA1"/>
    <w:rsid w:val="7BE2048B"/>
    <w:rsid w:val="7BEC6B4E"/>
    <w:rsid w:val="7BF3972F"/>
    <w:rsid w:val="7C087181"/>
    <w:rsid w:val="7C0F7F62"/>
    <w:rsid w:val="7C18D72E"/>
    <w:rsid w:val="7C2E8A59"/>
    <w:rsid w:val="7C55DA75"/>
    <w:rsid w:val="7C61EE74"/>
    <w:rsid w:val="7C73F2F2"/>
    <w:rsid w:val="7C81F0E2"/>
    <w:rsid w:val="7C895EA9"/>
    <w:rsid w:val="7CB4F549"/>
    <w:rsid w:val="7CC99CF8"/>
    <w:rsid w:val="7CE545DB"/>
    <w:rsid w:val="7CFDE839"/>
    <w:rsid w:val="7D0B6C62"/>
    <w:rsid w:val="7D0D8FC1"/>
    <w:rsid w:val="7D213C9A"/>
    <w:rsid w:val="7D279FB5"/>
    <w:rsid w:val="7D47F2EF"/>
    <w:rsid w:val="7D61BB41"/>
    <w:rsid w:val="7D6514FB"/>
    <w:rsid w:val="7D700674"/>
    <w:rsid w:val="7D84F408"/>
    <w:rsid w:val="7D9B6E9D"/>
    <w:rsid w:val="7DA0E7C1"/>
    <w:rsid w:val="7DA79918"/>
    <w:rsid w:val="7DB3D2D4"/>
    <w:rsid w:val="7DB3DA4D"/>
    <w:rsid w:val="7DB54886"/>
    <w:rsid w:val="7DD406A5"/>
    <w:rsid w:val="7DD965D4"/>
    <w:rsid w:val="7DDE1614"/>
    <w:rsid w:val="7DF158AA"/>
    <w:rsid w:val="7DF2C195"/>
    <w:rsid w:val="7DF77E92"/>
    <w:rsid w:val="7DF7F4B4"/>
    <w:rsid w:val="7E069A76"/>
    <w:rsid w:val="7E3916A7"/>
    <w:rsid w:val="7E3DA142"/>
    <w:rsid w:val="7E462F55"/>
    <w:rsid w:val="7E48D4C8"/>
    <w:rsid w:val="7E5AAF7F"/>
    <w:rsid w:val="7E7D5DA6"/>
    <w:rsid w:val="7E7E977F"/>
    <w:rsid w:val="7EA23A88"/>
    <w:rsid w:val="7EB79674"/>
    <w:rsid w:val="7EB88A0B"/>
    <w:rsid w:val="7EBB2844"/>
    <w:rsid w:val="7EBCACBC"/>
    <w:rsid w:val="7EC3A38F"/>
    <w:rsid w:val="7EDB7334"/>
    <w:rsid w:val="7EE6DFA6"/>
    <w:rsid w:val="7EEA5C4F"/>
    <w:rsid w:val="7EEF8327"/>
    <w:rsid w:val="7EEFE612"/>
    <w:rsid w:val="7EF5959F"/>
    <w:rsid w:val="7F076082"/>
    <w:rsid w:val="7F0C2A39"/>
    <w:rsid w:val="7F1013EB"/>
    <w:rsid w:val="7F1964A1"/>
    <w:rsid w:val="7F1DAB3F"/>
    <w:rsid w:val="7F2CF1CB"/>
    <w:rsid w:val="7F517AD9"/>
    <w:rsid w:val="7F5740E3"/>
    <w:rsid w:val="7F5CAA41"/>
    <w:rsid w:val="7F6B0E58"/>
    <w:rsid w:val="7F724B59"/>
    <w:rsid w:val="7F7F41AB"/>
    <w:rsid w:val="7F88A2B7"/>
    <w:rsid w:val="7F9E7DBF"/>
    <w:rsid w:val="7FBD5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1B73"/>
  <w15:chartTrackingRefBased/>
  <w15:docId w15:val="{8D742FFD-8D45-4556-B94F-51383ABB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59D"/>
    <w:pPr>
      <w:ind w:left="720"/>
      <w:contextualSpacing/>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semiHidden/>
    <w:unhideWhenUsed/>
    <w:rsid w:val="009C31D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C31D1"/>
  </w:style>
  <w:style w:type="paragraph" w:styleId="Footer">
    <w:name w:val="footer"/>
    <w:basedOn w:val="Normal"/>
    <w:link w:val="FooterChar"/>
    <w:uiPriority w:val="99"/>
    <w:semiHidden/>
    <w:unhideWhenUsed/>
    <w:rsid w:val="009C31D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C31D1"/>
  </w:style>
  <w:style w:type="character" w:styleId="Hyperlink">
    <w:name w:val="Hyperlink"/>
    <w:basedOn w:val="DefaultParagraphFont"/>
    <w:uiPriority w:val="99"/>
    <w:unhideWhenUsed/>
    <w:rsid w:val="00996A01"/>
    <w:rPr>
      <w:color w:val="0563C1" w:themeColor="hyperlink"/>
      <w:u w:val="single"/>
    </w:rPr>
  </w:style>
  <w:style w:type="character" w:styleId="UnresolvedMention">
    <w:name w:val="Unresolved Mention"/>
    <w:basedOn w:val="DefaultParagraphFont"/>
    <w:uiPriority w:val="99"/>
    <w:semiHidden/>
    <w:unhideWhenUsed/>
    <w:rsid w:val="00996A01"/>
    <w:rPr>
      <w:color w:val="605E5C"/>
      <w:shd w:val="clear" w:color="auto" w:fill="E1DFDD"/>
    </w:rPr>
  </w:style>
  <w:style w:type="character" w:styleId="FollowedHyperlink">
    <w:name w:val="FollowedHyperlink"/>
    <w:basedOn w:val="DefaultParagraphFont"/>
    <w:uiPriority w:val="99"/>
    <w:semiHidden/>
    <w:unhideWhenUsed/>
    <w:rsid w:val="00BD66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i.org/10.1007/s10551-024-05696-x"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48D632E41B347B88E51A30026A499" ma:contentTypeVersion="17" ma:contentTypeDescription="Create a new document." ma:contentTypeScope="" ma:versionID="c6f59cb6ab4622671480c3645287aff9">
  <xsd:schema xmlns:xsd="http://www.w3.org/2001/XMLSchema" xmlns:xs="http://www.w3.org/2001/XMLSchema" xmlns:p="http://schemas.microsoft.com/office/2006/metadata/properties" xmlns:ns3="a49b3dbc-dc41-4be6-9ad8-00972f37dd6e" xmlns:ns4="fed3c55f-45a3-4a94-bf8b-c037aa10d3ae" targetNamespace="http://schemas.microsoft.com/office/2006/metadata/properties" ma:root="true" ma:fieldsID="4e1f3311ae010cd1d4a83cc0d18ad87e" ns3:_="" ns4:_="">
    <xsd:import namespace="a49b3dbc-dc41-4be6-9ad8-00972f37dd6e"/>
    <xsd:import namespace="fed3c55f-45a3-4a94-bf8b-c037aa10d3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b3dbc-dc41-4be6-9ad8-00972f37d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3c55f-45a3-4a94-bf8b-c037aa10d3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49b3dbc-dc41-4be6-9ad8-00972f37dd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EFEB3-804D-42DD-B7C5-CD67571D5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b3dbc-dc41-4be6-9ad8-00972f37dd6e"/>
    <ds:schemaRef ds:uri="fed3c55f-45a3-4a94-bf8b-c037aa10d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9B3CB-1AAE-4DF8-9488-52991783E95E}">
  <ds:schemaRefs>
    <ds:schemaRef ds:uri="http://schemas.microsoft.com/office/2006/metadata/properties"/>
    <ds:schemaRef ds:uri="http://schemas.microsoft.com/office/infopath/2007/PartnerControls"/>
    <ds:schemaRef ds:uri="a49b3dbc-dc41-4be6-9ad8-00972f37dd6e"/>
  </ds:schemaRefs>
</ds:datastoreItem>
</file>

<file path=customXml/itemProps3.xml><?xml version="1.0" encoding="utf-8"?>
<ds:datastoreItem xmlns:ds="http://schemas.openxmlformats.org/officeDocument/2006/customXml" ds:itemID="{31693CB9-700C-4F10-B27D-D23DEE64C4F9}">
  <ds:schemaRefs>
    <ds:schemaRef ds:uri="http://schemas.microsoft.com/sharepoint/v3/contenttype/forms"/>
  </ds:schemaRefs>
</ds:datastoreItem>
</file>

<file path=customXml/itemProps4.xml><?xml version="1.0" encoding="utf-8"?>
<ds:datastoreItem xmlns:ds="http://schemas.openxmlformats.org/officeDocument/2006/customXml" ds:itemID="{F1BA1B65-ABB3-44E3-AA23-8056F507B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3084</Words>
  <Characters>17582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Saunders</dc:creator>
  <cp:keywords/>
  <dc:description/>
  <cp:lastModifiedBy>anon</cp:lastModifiedBy>
  <cp:revision>9</cp:revision>
  <dcterms:created xsi:type="dcterms:W3CDTF">2024-08-29T08:14:00Z</dcterms:created>
  <dcterms:modified xsi:type="dcterms:W3CDTF">2024-08-29T13:48:00Z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0x010100D5348D632E41B347B88E51A30026A499</vt:lpwstr>
  </property>
</Properties>
</file>