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0DD46" w14:textId="77777777" w:rsidR="0028692B" w:rsidRDefault="0028692B" w:rsidP="0028692B">
      <w:pPr>
        <w:spacing w:after="0" w:line="240" w:lineRule="auto"/>
        <w:rPr>
          <w:b/>
          <w:bCs/>
          <w:sz w:val="32"/>
          <w:szCs w:val="32"/>
        </w:rPr>
      </w:pPr>
      <w:bookmarkStart w:id="0" w:name="_Hlk109115668"/>
    </w:p>
    <w:p w14:paraId="7A65AF67" w14:textId="77777777" w:rsidR="0028692B" w:rsidRPr="00A951DC" w:rsidRDefault="0028692B" w:rsidP="00F81521">
      <w:pPr>
        <w:spacing w:after="0" w:line="240" w:lineRule="auto"/>
        <w:jc w:val="center"/>
        <w:rPr>
          <w:b/>
          <w:bCs/>
          <w:sz w:val="32"/>
          <w:szCs w:val="32"/>
          <w:u w:val="single"/>
        </w:rPr>
      </w:pPr>
      <w:r>
        <w:rPr>
          <w:b/>
          <w:bCs/>
          <w:sz w:val="32"/>
          <w:szCs w:val="32"/>
        </w:rPr>
        <w:t>L</w:t>
      </w:r>
      <w:r w:rsidRPr="00A951DC">
        <w:rPr>
          <w:b/>
          <w:bCs/>
          <w:sz w:val="32"/>
          <w:szCs w:val="32"/>
        </w:rPr>
        <w:t>ow</w:t>
      </w:r>
      <w:r>
        <w:rPr>
          <w:b/>
          <w:bCs/>
          <w:sz w:val="32"/>
          <w:szCs w:val="32"/>
        </w:rPr>
        <w:t>-</w:t>
      </w:r>
      <w:r w:rsidRPr="00A951DC">
        <w:rPr>
          <w:b/>
          <w:bCs/>
          <w:sz w:val="32"/>
          <w:szCs w:val="32"/>
        </w:rPr>
        <w:t>dose amitriptyline for irritable bowel syndrome (IBS)</w:t>
      </w:r>
      <w:bookmarkEnd w:id="0"/>
      <w:r>
        <w:rPr>
          <w:b/>
          <w:bCs/>
          <w:sz w:val="32"/>
          <w:szCs w:val="32"/>
        </w:rPr>
        <w:t xml:space="preserve">: </w:t>
      </w:r>
      <w:bookmarkStart w:id="1" w:name="_Hlk126051202"/>
      <w:r>
        <w:rPr>
          <w:b/>
          <w:bCs/>
          <w:sz w:val="32"/>
          <w:szCs w:val="32"/>
        </w:rPr>
        <w:t xml:space="preserve">a qualitative study of patients’ and GPs’ views </w:t>
      </w:r>
      <w:r w:rsidRPr="009D4860">
        <w:rPr>
          <w:b/>
          <w:bCs/>
          <w:sz w:val="32"/>
          <w:szCs w:val="32"/>
        </w:rPr>
        <w:t>and experiences</w:t>
      </w:r>
    </w:p>
    <w:bookmarkEnd w:id="1"/>
    <w:p w14:paraId="2A06EEB1" w14:textId="77777777" w:rsidR="0028692B" w:rsidRDefault="0028692B" w:rsidP="00821854">
      <w:pPr>
        <w:rPr>
          <w:sz w:val="24"/>
          <w:szCs w:val="24"/>
        </w:rPr>
      </w:pPr>
    </w:p>
    <w:p w14:paraId="66FFC1E8" w14:textId="77777777" w:rsidR="0028692B" w:rsidRDefault="0028692B" w:rsidP="00821854">
      <w:pPr>
        <w:rPr>
          <w:color w:val="0070C0"/>
          <w:sz w:val="24"/>
          <w:szCs w:val="24"/>
        </w:rPr>
      </w:pPr>
      <w:r w:rsidRPr="00A951DC">
        <w:rPr>
          <w:color w:val="0070C0"/>
          <w:sz w:val="24"/>
          <w:szCs w:val="24"/>
        </w:rPr>
        <w:t>Running title</w:t>
      </w:r>
      <w:r w:rsidRPr="009D4860">
        <w:rPr>
          <w:color w:val="0070C0"/>
          <w:sz w:val="24"/>
          <w:szCs w:val="24"/>
        </w:rPr>
        <w:t xml:space="preserve">:  Views and experiences </w:t>
      </w:r>
      <w:r w:rsidRPr="00A951DC">
        <w:rPr>
          <w:color w:val="0070C0"/>
          <w:sz w:val="24"/>
          <w:szCs w:val="24"/>
        </w:rPr>
        <w:t xml:space="preserve">of </w:t>
      </w:r>
      <w:r>
        <w:rPr>
          <w:color w:val="0070C0"/>
          <w:sz w:val="24"/>
          <w:szCs w:val="24"/>
        </w:rPr>
        <w:t xml:space="preserve">low-dose </w:t>
      </w:r>
      <w:r w:rsidRPr="00A951DC">
        <w:rPr>
          <w:color w:val="0070C0"/>
          <w:sz w:val="24"/>
          <w:szCs w:val="24"/>
        </w:rPr>
        <w:t>amitriptyline for IBS</w:t>
      </w:r>
    </w:p>
    <w:p w14:paraId="7CBED7AA" w14:textId="77777777" w:rsidR="0028692B" w:rsidRPr="00ED3CE7" w:rsidRDefault="0028692B" w:rsidP="00821854">
      <w:pPr>
        <w:rPr>
          <w:color w:val="0070C0"/>
          <w:sz w:val="24"/>
          <w:szCs w:val="24"/>
          <w:u w:val="single"/>
        </w:rPr>
      </w:pPr>
    </w:p>
    <w:p w14:paraId="406494A9" w14:textId="77777777" w:rsidR="0028692B" w:rsidRPr="000D7E5D" w:rsidRDefault="0028692B" w:rsidP="00821854">
      <w:r w:rsidRPr="0096217C">
        <w:rPr>
          <w:b/>
          <w:bCs/>
          <w:sz w:val="24"/>
          <w:szCs w:val="24"/>
        </w:rPr>
        <w:t>E</w:t>
      </w:r>
      <w:r>
        <w:rPr>
          <w:b/>
          <w:bCs/>
          <w:sz w:val="24"/>
          <w:szCs w:val="24"/>
        </w:rPr>
        <w:t>mma</w:t>
      </w:r>
      <w:r w:rsidRPr="0096217C">
        <w:rPr>
          <w:b/>
          <w:bCs/>
          <w:sz w:val="24"/>
          <w:szCs w:val="24"/>
        </w:rPr>
        <w:t xml:space="preserve"> </w:t>
      </w:r>
      <w:r>
        <w:rPr>
          <w:b/>
          <w:bCs/>
          <w:sz w:val="24"/>
          <w:szCs w:val="24"/>
        </w:rPr>
        <w:t xml:space="preserve">J </w:t>
      </w:r>
      <w:r w:rsidRPr="0096217C">
        <w:rPr>
          <w:b/>
          <w:bCs/>
          <w:sz w:val="24"/>
          <w:szCs w:val="24"/>
        </w:rPr>
        <w:t>Teasdale</w:t>
      </w:r>
      <w:r w:rsidRPr="0096217C">
        <w:rPr>
          <w:b/>
          <w:bCs/>
          <w:sz w:val="24"/>
          <w:szCs w:val="24"/>
          <w:vertAlign w:val="superscript"/>
        </w:rPr>
        <w:t>1</w:t>
      </w:r>
      <w:r w:rsidRPr="0096217C">
        <w:rPr>
          <w:b/>
          <w:bCs/>
          <w:sz w:val="24"/>
          <w:szCs w:val="24"/>
        </w:rPr>
        <w:t>*</w:t>
      </w:r>
      <w:r>
        <w:rPr>
          <w:b/>
          <w:bCs/>
          <w:sz w:val="24"/>
          <w:szCs w:val="24"/>
        </w:rPr>
        <w:t xml:space="preserve"> </w:t>
      </w:r>
      <w:r w:rsidRPr="00DD00ED">
        <w:rPr>
          <w:b/>
          <w:bCs/>
          <w:sz w:val="18"/>
          <w:szCs w:val="18"/>
        </w:rPr>
        <w:t>PhD Qualitative Research Fellow</w:t>
      </w:r>
      <w:r>
        <w:rPr>
          <w:b/>
          <w:bCs/>
          <w:sz w:val="18"/>
          <w:szCs w:val="18"/>
        </w:rPr>
        <w:t xml:space="preserve"> (</w:t>
      </w:r>
      <w:r w:rsidRPr="00335489">
        <w:rPr>
          <w:b/>
          <w:bCs/>
          <w:sz w:val="18"/>
          <w:szCs w:val="18"/>
        </w:rPr>
        <w:t>0000-0001-9147-193X</w:t>
      </w:r>
      <w:r>
        <w:rPr>
          <w:b/>
          <w:bCs/>
          <w:sz w:val="18"/>
          <w:szCs w:val="18"/>
        </w:rPr>
        <w:t>)</w:t>
      </w:r>
      <w:r w:rsidRPr="0096217C">
        <w:rPr>
          <w:b/>
          <w:bCs/>
          <w:sz w:val="24"/>
          <w:szCs w:val="24"/>
        </w:rPr>
        <w:t xml:space="preserve">, </w:t>
      </w:r>
      <w:r w:rsidRPr="00110113">
        <w:t>Hazel A. Everitt</w:t>
      </w:r>
      <w:r w:rsidRPr="00110113">
        <w:rPr>
          <w:vertAlign w:val="superscript"/>
        </w:rPr>
        <w:t>2</w:t>
      </w:r>
      <w:r w:rsidRPr="00110113">
        <w:t xml:space="preserve"> </w:t>
      </w:r>
      <w:r w:rsidRPr="00DD00ED">
        <w:rPr>
          <w:sz w:val="18"/>
          <w:szCs w:val="18"/>
        </w:rPr>
        <w:t>PhD Professor of Primary Care Research (0000-0001-7362-8403)</w:t>
      </w:r>
      <w:r>
        <w:t>, Sarah L. Alderson</w:t>
      </w:r>
      <w:r>
        <w:rPr>
          <w:vertAlign w:val="superscript"/>
        </w:rPr>
        <w:t>3</w:t>
      </w:r>
      <w:r>
        <w:t xml:space="preserve"> </w:t>
      </w:r>
      <w:r w:rsidRPr="00335489">
        <w:rPr>
          <w:sz w:val="18"/>
          <w:szCs w:val="18"/>
        </w:rPr>
        <w:t>PhD MRCGP Clinical Associate Professor of Primary Care</w:t>
      </w:r>
      <w:r>
        <w:rPr>
          <w:sz w:val="18"/>
          <w:szCs w:val="18"/>
        </w:rPr>
        <w:t xml:space="preserve"> </w:t>
      </w:r>
      <w:r>
        <w:t>(</w:t>
      </w:r>
      <w:r w:rsidRPr="00864347">
        <w:rPr>
          <w:sz w:val="18"/>
          <w:szCs w:val="18"/>
        </w:rPr>
        <w:t>0000-0002-5418-0495</w:t>
      </w:r>
      <w:r>
        <w:rPr>
          <w:sz w:val="18"/>
          <w:szCs w:val="18"/>
        </w:rPr>
        <w:t>)</w:t>
      </w:r>
      <w:r>
        <w:t>,</w:t>
      </w:r>
      <w:r w:rsidRPr="00110113">
        <w:t xml:space="preserve"> </w:t>
      </w:r>
      <w:r>
        <w:t>Alexander C. Ford</w:t>
      </w:r>
      <w:r>
        <w:rPr>
          <w:vertAlign w:val="superscript"/>
        </w:rPr>
        <w:t>4,5</w:t>
      </w:r>
      <w:r>
        <w:t xml:space="preserve"> </w:t>
      </w:r>
      <w:r w:rsidRPr="00864347">
        <w:rPr>
          <w:sz w:val="18"/>
          <w:szCs w:val="18"/>
        </w:rPr>
        <w:t>MD Professor of Gastroenterology (0000-0001-6371-4359)</w:t>
      </w:r>
      <w:r>
        <w:t>,</w:t>
      </w:r>
      <w:r w:rsidRPr="00B02A35">
        <w:t xml:space="preserve"> </w:t>
      </w:r>
      <w:r>
        <w:t>James Hanney</w:t>
      </w:r>
      <w:r w:rsidRPr="002278E1">
        <w:rPr>
          <w:vertAlign w:val="superscript"/>
        </w:rPr>
        <w:t>1</w:t>
      </w:r>
      <w:r w:rsidRPr="00B02A35">
        <w:t xml:space="preserve"> </w:t>
      </w:r>
      <w:r w:rsidRPr="00317F26">
        <w:rPr>
          <w:sz w:val="18"/>
          <w:szCs w:val="18"/>
        </w:rPr>
        <w:t>Doctoral Student</w:t>
      </w:r>
      <w:r>
        <w:t>,  Matthew</w:t>
      </w:r>
      <w:r>
        <w:rPr>
          <w:rFonts w:cs="Times New Roman"/>
          <w:bCs/>
          <w:szCs w:val="24"/>
        </w:rPr>
        <w:t xml:space="preserve"> Chaddock</w:t>
      </w:r>
      <w:r w:rsidRPr="00730BF2">
        <w:rPr>
          <w:rFonts w:cs="Times New Roman"/>
          <w:bCs/>
          <w:szCs w:val="24"/>
          <w:vertAlign w:val="superscript"/>
        </w:rPr>
        <w:t>6</w:t>
      </w:r>
      <w:r>
        <w:rPr>
          <w:rFonts w:cs="Times New Roman"/>
          <w:bCs/>
          <w:szCs w:val="24"/>
        </w:rPr>
        <w:t xml:space="preserve"> </w:t>
      </w:r>
      <w:r w:rsidRPr="00317F26">
        <w:rPr>
          <w:rFonts w:cs="Times New Roman"/>
          <w:bCs/>
          <w:sz w:val="18"/>
          <w:szCs w:val="18"/>
        </w:rPr>
        <w:t>Patient Contributor</w:t>
      </w:r>
      <w:r>
        <w:rPr>
          <w:rFonts w:cs="Times New Roman"/>
          <w:bCs/>
          <w:szCs w:val="24"/>
        </w:rPr>
        <w:t xml:space="preserve">, </w:t>
      </w:r>
      <w:r>
        <w:t>Emmajane Williamson</w:t>
      </w:r>
      <w:r w:rsidRPr="00730BF2">
        <w:rPr>
          <w:vertAlign w:val="superscript"/>
        </w:rPr>
        <w:t>6</w:t>
      </w:r>
      <w:r>
        <w:t xml:space="preserve"> </w:t>
      </w:r>
      <w:r w:rsidRPr="00317F26">
        <w:rPr>
          <w:rFonts w:cs="Times New Roman"/>
          <w:bCs/>
          <w:sz w:val="18"/>
          <w:szCs w:val="18"/>
        </w:rPr>
        <w:t>Patient Contributor</w:t>
      </w:r>
      <w:r>
        <w:rPr>
          <w:rFonts w:cs="Times New Roman"/>
          <w:bCs/>
          <w:szCs w:val="24"/>
        </w:rPr>
        <w:t>,</w:t>
      </w:r>
      <w:r>
        <w:t xml:space="preserve"> </w:t>
      </w:r>
      <w:r w:rsidRPr="00ED3CE7">
        <w:t>Heather Cook</w:t>
      </w:r>
      <w:r w:rsidRPr="00ED3CE7">
        <w:rPr>
          <w:vertAlign w:val="superscript"/>
        </w:rPr>
        <w:t>7</w:t>
      </w:r>
      <w:r>
        <w:t xml:space="preserve"> </w:t>
      </w:r>
      <w:r w:rsidRPr="00317F26">
        <w:rPr>
          <w:sz w:val="18"/>
          <w:szCs w:val="18"/>
        </w:rPr>
        <w:t>PhD Head of Trial Management</w:t>
      </w:r>
      <w:r>
        <w:t xml:space="preserve">, </w:t>
      </w:r>
      <w:r w:rsidRPr="00ED3CE7">
        <w:t>Amanda J. Farrin</w:t>
      </w:r>
      <w:r w:rsidRPr="00ED3CE7">
        <w:rPr>
          <w:vertAlign w:val="superscript"/>
        </w:rPr>
        <w:t>8</w:t>
      </w:r>
      <w:r>
        <w:t xml:space="preserve"> </w:t>
      </w:r>
      <w:r w:rsidRPr="00335489">
        <w:rPr>
          <w:sz w:val="18"/>
          <w:szCs w:val="18"/>
        </w:rPr>
        <w:t>MSc Professor of Clinical Trials and Evaluation of Complex Interventions (0000-0002-2876-0584</w:t>
      </w:r>
      <w:r w:rsidRPr="00DD00ED">
        <w:rPr>
          <w:sz w:val="18"/>
          <w:szCs w:val="18"/>
        </w:rPr>
        <w:t>)</w:t>
      </w:r>
      <w:r>
        <w:t>,</w:t>
      </w:r>
      <w:r w:rsidRPr="00ED3CE7">
        <w:t xml:space="preserve"> Catherine Fernandez</w:t>
      </w:r>
      <w:r w:rsidRPr="00ED3CE7">
        <w:rPr>
          <w:vertAlign w:val="superscript"/>
        </w:rPr>
        <w:t>8</w:t>
      </w:r>
      <w:r>
        <w:t xml:space="preserve"> </w:t>
      </w:r>
      <w:r w:rsidRPr="00335489">
        <w:rPr>
          <w:sz w:val="18"/>
          <w:szCs w:val="18"/>
        </w:rPr>
        <w:t>PhD Senior Trial Manager</w:t>
      </w:r>
      <w:r>
        <w:t xml:space="preserve">, </w:t>
      </w:r>
      <w:r w:rsidRPr="00EA15B5">
        <w:t>Elspeth A. Guthrie</w:t>
      </w:r>
      <w:r>
        <w:rPr>
          <w:vertAlign w:val="superscript"/>
        </w:rPr>
        <w:t>3</w:t>
      </w:r>
      <w:r>
        <w:t xml:space="preserve"> </w:t>
      </w:r>
      <w:r w:rsidRPr="008D0280">
        <w:rPr>
          <w:sz w:val="18"/>
          <w:szCs w:val="18"/>
        </w:rPr>
        <w:t>MD Professor of Psychological Medicine</w:t>
      </w:r>
      <w:r>
        <w:rPr>
          <w:sz w:val="18"/>
          <w:szCs w:val="18"/>
        </w:rPr>
        <w:t xml:space="preserve"> (</w:t>
      </w:r>
      <w:r w:rsidRPr="008D0280">
        <w:rPr>
          <w:sz w:val="18"/>
          <w:szCs w:val="18"/>
        </w:rPr>
        <w:t>0000-0002-5834-6616</w:t>
      </w:r>
      <w:r>
        <w:rPr>
          <w:sz w:val="18"/>
          <w:szCs w:val="18"/>
        </w:rPr>
        <w:t>)</w:t>
      </w:r>
      <w:r>
        <w:t xml:space="preserve">, </w:t>
      </w:r>
      <w:r w:rsidRPr="00EA15B5">
        <w:t xml:space="preserve"> </w:t>
      </w:r>
      <w:r w:rsidRPr="00ED3CE7">
        <w:t>Suzanne Hartley</w:t>
      </w:r>
      <w:r w:rsidRPr="00ED3CE7">
        <w:rPr>
          <w:vertAlign w:val="superscript"/>
        </w:rPr>
        <w:t>8</w:t>
      </w:r>
      <w:r>
        <w:t xml:space="preserve"> </w:t>
      </w:r>
      <w:r w:rsidRPr="00317F26">
        <w:rPr>
          <w:sz w:val="18"/>
          <w:szCs w:val="18"/>
        </w:rPr>
        <w:t>MSc Head of Trial Management</w:t>
      </w:r>
      <w:r>
        <w:t xml:space="preserve">, </w:t>
      </w:r>
      <w:r w:rsidRPr="00ED3CE7">
        <w:t xml:space="preserve">Amy </w:t>
      </w:r>
      <w:r w:rsidRPr="00EA15B5">
        <w:t>Herbert</w:t>
      </w:r>
      <w:r w:rsidRPr="00EA15B5">
        <w:rPr>
          <w:vertAlign w:val="superscript"/>
        </w:rPr>
        <w:t>9</w:t>
      </w:r>
      <w:r>
        <w:t xml:space="preserve"> </w:t>
      </w:r>
      <w:r w:rsidRPr="00576910">
        <w:rPr>
          <w:sz w:val="18"/>
          <w:szCs w:val="18"/>
        </w:rPr>
        <w:t>MSc</w:t>
      </w:r>
      <w:r w:rsidRPr="00576910">
        <w:rPr>
          <w:rFonts w:ascii="Calibri" w:hAnsi="Calibri" w:cs="Calibri"/>
          <w:b/>
          <w:bCs/>
          <w:color w:val="000000"/>
          <w:lang w:eastAsia="en-GB"/>
        </w:rPr>
        <w:t xml:space="preserve"> </w:t>
      </w:r>
      <w:r w:rsidRPr="00576910">
        <w:rPr>
          <w:sz w:val="18"/>
          <w:szCs w:val="18"/>
        </w:rPr>
        <w:t>Clinical Study Officer</w:t>
      </w:r>
      <w:r>
        <w:rPr>
          <w:sz w:val="18"/>
          <w:szCs w:val="18"/>
        </w:rPr>
        <w:t xml:space="preserve"> </w:t>
      </w:r>
      <w:r w:rsidRPr="00576910">
        <w:rPr>
          <w:sz w:val="18"/>
          <w:szCs w:val="18"/>
        </w:rPr>
        <w:t>(0009-0008-6109-6006),</w:t>
      </w:r>
      <w:r>
        <w:t xml:space="preserve"> </w:t>
      </w:r>
      <w:r w:rsidRPr="00EA15B5">
        <w:t>Daniel Howdon</w:t>
      </w:r>
      <w:r>
        <w:rPr>
          <w:vertAlign w:val="superscript"/>
        </w:rPr>
        <w:t>3</w:t>
      </w:r>
      <w:r>
        <w:t xml:space="preserve"> </w:t>
      </w:r>
      <w:r w:rsidRPr="00576910">
        <w:rPr>
          <w:sz w:val="18"/>
          <w:szCs w:val="18"/>
        </w:rPr>
        <w:t>PhD Senior Research Fellow</w:t>
      </w:r>
      <w:r>
        <w:t>,</w:t>
      </w:r>
      <w:r w:rsidRPr="00EA15B5">
        <w:t xml:space="preserve"> </w:t>
      </w:r>
      <w:r w:rsidRPr="00ED3CE7">
        <w:t>Delia Muir</w:t>
      </w:r>
      <w:r w:rsidRPr="00ED3CE7">
        <w:rPr>
          <w:vertAlign w:val="superscript"/>
        </w:rPr>
        <w:t>8</w:t>
      </w:r>
      <w:r>
        <w:t xml:space="preserve"> </w:t>
      </w:r>
      <w:r w:rsidRPr="00576910">
        <w:rPr>
          <w:sz w:val="18"/>
          <w:szCs w:val="18"/>
        </w:rPr>
        <w:t>BA Public Involvement and Engagement Lead</w:t>
      </w:r>
      <w:r>
        <w:t>,</w:t>
      </w:r>
      <w:r w:rsidRPr="00ED3CE7">
        <w:t xml:space="preserve"> Sonia Newman</w:t>
      </w:r>
      <w:r w:rsidRPr="00ED3CE7">
        <w:rPr>
          <w:vertAlign w:val="superscript"/>
        </w:rPr>
        <w:t>2</w:t>
      </w:r>
      <w:r>
        <w:t xml:space="preserve"> </w:t>
      </w:r>
      <w:r w:rsidRPr="00A21334">
        <w:rPr>
          <w:sz w:val="18"/>
          <w:szCs w:val="18"/>
        </w:rPr>
        <w:t>PG Dip Research Nurse</w:t>
      </w:r>
      <w:r>
        <w:t>,</w:t>
      </w:r>
      <w:r w:rsidRPr="00ED3CE7">
        <w:t xml:space="preserve"> Pei Loo Ow</w:t>
      </w:r>
      <w:r w:rsidRPr="00ED3CE7">
        <w:rPr>
          <w:vertAlign w:val="superscript"/>
        </w:rPr>
        <w:t>8</w:t>
      </w:r>
      <w:r>
        <w:t xml:space="preserve"> </w:t>
      </w:r>
      <w:r w:rsidRPr="00A21334">
        <w:rPr>
          <w:sz w:val="18"/>
          <w:szCs w:val="18"/>
        </w:rPr>
        <w:t>MSc Medical Statistician</w:t>
      </w:r>
      <w:r>
        <w:t>,</w:t>
      </w:r>
      <w:r w:rsidRPr="00ED3CE7">
        <w:t xml:space="preserve"> Matthew J. Ridd</w:t>
      </w:r>
      <w:r w:rsidRPr="00ED3CE7">
        <w:rPr>
          <w:vertAlign w:val="superscript"/>
        </w:rPr>
        <w:t>9</w:t>
      </w:r>
      <w:r>
        <w:t xml:space="preserve"> </w:t>
      </w:r>
      <w:r w:rsidRPr="00A21334">
        <w:rPr>
          <w:sz w:val="18"/>
          <w:szCs w:val="18"/>
        </w:rPr>
        <w:t>PhD Professor of Primary Health Care (0000-0002-7954-8823)</w:t>
      </w:r>
      <w:r>
        <w:t xml:space="preserve">, </w:t>
      </w:r>
      <w:r w:rsidRPr="00ED3CE7">
        <w:t xml:space="preserve">Christopher </w:t>
      </w:r>
      <w:r>
        <w:t xml:space="preserve">M. </w:t>
      </w:r>
      <w:r w:rsidRPr="00ED3CE7">
        <w:t>Taylor</w:t>
      </w:r>
      <w:r w:rsidRPr="00ED3CE7">
        <w:rPr>
          <w:vertAlign w:val="superscript"/>
        </w:rPr>
        <w:t>8</w:t>
      </w:r>
      <w:r>
        <w:t xml:space="preserve"> </w:t>
      </w:r>
      <w:r w:rsidRPr="000D7E5D">
        <w:rPr>
          <w:sz w:val="18"/>
          <w:szCs w:val="18"/>
        </w:rPr>
        <w:t xml:space="preserve">BA </w:t>
      </w:r>
      <w:r w:rsidRPr="000D7E5D">
        <w:rPr>
          <w:sz w:val="18"/>
          <w:szCs w:val="18"/>
          <w:lang w:val="en-US"/>
        </w:rPr>
        <w:t>Data Manager</w:t>
      </w:r>
      <w:r>
        <w:t>,</w:t>
      </w:r>
      <w:r w:rsidRPr="00ED3CE7">
        <w:t xml:space="preserve"> Ruth </w:t>
      </w:r>
      <w:r>
        <w:t>Thornton</w:t>
      </w:r>
      <w:r w:rsidRPr="00EA15B5">
        <w:rPr>
          <w:vertAlign w:val="superscript"/>
        </w:rPr>
        <w:t>2</w:t>
      </w:r>
      <w:r>
        <w:t xml:space="preserve"> </w:t>
      </w:r>
      <w:r w:rsidRPr="00A21334">
        <w:rPr>
          <w:sz w:val="18"/>
          <w:szCs w:val="18"/>
        </w:rPr>
        <w:t>BN Research Nurse</w:t>
      </w:r>
      <w:r>
        <w:t>,</w:t>
      </w:r>
      <w:r w:rsidRPr="00EA15B5">
        <w:t xml:space="preserve"> </w:t>
      </w:r>
      <w:r w:rsidRPr="00ED3CE7">
        <w:t>Alexandra Wright-Hughes</w:t>
      </w:r>
      <w:r w:rsidRPr="00ED3CE7">
        <w:rPr>
          <w:vertAlign w:val="superscript"/>
        </w:rPr>
        <w:t>8</w:t>
      </w:r>
      <w:r>
        <w:t xml:space="preserve"> </w:t>
      </w:r>
      <w:r w:rsidRPr="000D7E5D">
        <w:rPr>
          <w:sz w:val="18"/>
          <w:szCs w:val="18"/>
        </w:rPr>
        <w:t xml:space="preserve">MSc </w:t>
      </w:r>
      <w:r w:rsidRPr="008E09A1">
        <w:rPr>
          <w:sz w:val="18"/>
          <w:szCs w:val="18"/>
        </w:rPr>
        <w:t xml:space="preserve">Principal Statistician </w:t>
      </w:r>
      <w:r w:rsidRPr="000D7E5D">
        <w:rPr>
          <w:sz w:val="18"/>
          <w:szCs w:val="18"/>
        </w:rPr>
        <w:t>(0000-0001-8839-6756)</w:t>
      </w:r>
      <w:r>
        <w:t>,</w:t>
      </w:r>
      <w:r w:rsidRPr="00ED3CE7">
        <w:t xml:space="preserve"> Felicity </w:t>
      </w:r>
      <w:r>
        <w:t>L Bishop</w:t>
      </w:r>
      <w:r>
        <w:rPr>
          <w:vertAlign w:val="superscript"/>
        </w:rPr>
        <w:t>1</w:t>
      </w:r>
      <w:r>
        <w:t xml:space="preserve"> </w:t>
      </w:r>
      <w:r w:rsidRPr="000D7E5D">
        <w:rPr>
          <w:sz w:val="18"/>
          <w:szCs w:val="18"/>
        </w:rPr>
        <w:t>PhD</w:t>
      </w:r>
      <w:r>
        <w:rPr>
          <w:sz w:val="18"/>
          <w:szCs w:val="18"/>
        </w:rPr>
        <w:t xml:space="preserve"> </w:t>
      </w:r>
      <w:r w:rsidRPr="000D7E5D">
        <w:rPr>
          <w:sz w:val="18"/>
          <w:szCs w:val="18"/>
        </w:rPr>
        <w:t>Professor of Health Psychology (0000-0002-8737-6662)</w:t>
      </w:r>
      <w:r>
        <w:t xml:space="preserve">, </w:t>
      </w:r>
      <w:r w:rsidRPr="0052396B">
        <w:t>on behalf of the ATLANTIS team</w:t>
      </w:r>
      <w:r>
        <w:t>.</w:t>
      </w:r>
    </w:p>
    <w:p w14:paraId="6DA7F3A1" w14:textId="77777777" w:rsidR="0028692B" w:rsidRDefault="0028692B" w:rsidP="00821854">
      <w:pPr>
        <w:rPr>
          <w:vertAlign w:val="superscript"/>
        </w:rPr>
      </w:pPr>
    </w:p>
    <w:p w14:paraId="5F3A5854" w14:textId="77777777" w:rsidR="0028692B" w:rsidRDefault="0028692B" w:rsidP="008B5F36">
      <w:r>
        <w:rPr>
          <w:vertAlign w:val="superscript"/>
        </w:rPr>
        <w:t xml:space="preserve">1 </w:t>
      </w:r>
      <w:r>
        <w:t>Centre for Clinical and Community Applications of Health Psychology, School of Psychology, University of Southampton, UK</w:t>
      </w:r>
    </w:p>
    <w:p w14:paraId="5C5B7DA2" w14:textId="77777777" w:rsidR="0028692B" w:rsidRDefault="0028692B" w:rsidP="008B5F36">
      <w:r>
        <w:rPr>
          <w:rFonts w:cs="Times New Roman"/>
          <w:szCs w:val="24"/>
          <w:vertAlign w:val="superscript"/>
        </w:rPr>
        <w:t xml:space="preserve">2 </w:t>
      </w:r>
      <w:r>
        <w:t>Primary Care Research Centre, Faculty of Medicine, University of Southampton, Southampton, UK</w:t>
      </w:r>
    </w:p>
    <w:p w14:paraId="3CEF9801" w14:textId="77777777" w:rsidR="0028692B" w:rsidRDefault="0028692B" w:rsidP="008B5F36">
      <w:pPr>
        <w:rPr>
          <w:rFonts w:cs="Times New Roman"/>
          <w:szCs w:val="24"/>
        </w:rPr>
      </w:pPr>
      <w:bookmarkStart w:id="2" w:name="_Hlk155166604"/>
      <w:r>
        <w:rPr>
          <w:rFonts w:cs="Times New Roman"/>
          <w:szCs w:val="24"/>
          <w:vertAlign w:val="superscript"/>
        </w:rPr>
        <w:t>3</w:t>
      </w:r>
      <w:r>
        <w:rPr>
          <w:rFonts w:cs="Times New Roman"/>
          <w:szCs w:val="24"/>
        </w:rPr>
        <w:t>Leeds Institute of Health Sciences</w:t>
      </w:r>
      <w:bookmarkEnd w:id="2"/>
      <w:r>
        <w:rPr>
          <w:rFonts w:cs="Times New Roman"/>
          <w:szCs w:val="24"/>
        </w:rPr>
        <w:t>, School of Medicine, University of Leeds, UK</w:t>
      </w:r>
    </w:p>
    <w:p w14:paraId="4EA72445" w14:textId="77777777" w:rsidR="0028692B" w:rsidRDefault="0028692B" w:rsidP="005E2C95">
      <w:r>
        <w:rPr>
          <w:vertAlign w:val="superscript"/>
        </w:rPr>
        <w:t>4</w:t>
      </w:r>
      <w:r>
        <w:t>Leeds Gastroenterology Institute, St James's University Hospital, Leeds, UK</w:t>
      </w:r>
    </w:p>
    <w:p w14:paraId="7D2756F6" w14:textId="77777777" w:rsidR="0028692B" w:rsidRDefault="0028692B" w:rsidP="005E2C95">
      <w:r>
        <w:rPr>
          <w:vertAlign w:val="superscript"/>
        </w:rPr>
        <w:t>5</w:t>
      </w:r>
      <w:r>
        <w:t>Leeds Institute of Medical Research at St. James’s, University of Leeds, Leeds, UK</w:t>
      </w:r>
    </w:p>
    <w:p w14:paraId="69400AC9" w14:textId="77777777" w:rsidR="0028692B" w:rsidRDefault="0028692B" w:rsidP="00730BF2">
      <w:r w:rsidRPr="00730BF2">
        <w:rPr>
          <w:vertAlign w:val="superscript"/>
        </w:rPr>
        <w:t>6</w:t>
      </w:r>
      <w:r>
        <w:t>Let’sCure IBS, Leeds IBS Support Group</w:t>
      </w:r>
    </w:p>
    <w:p w14:paraId="58EA9EC1" w14:textId="77777777" w:rsidR="0028692B" w:rsidRPr="00750269" w:rsidRDefault="0028692B" w:rsidP="00750269">
      <w:r w:rsidRPr="00750269">
        <w:rPr>
          <w:vertAlign w:val="superscript"/>
        </w:rPr>
        <w:t>7</w:t>
      </w:r>
      <w:r w:rsidRPr="00750269">
        <w:t xml:space="preserve">Exeter Clinical Trials Unit, University of Exeter, UK </w:t>
      </w:r>
    </w:p>
    <w:p w14:paraId="3BD934DF" w14:textId="77777777" w:rsidR="0028692B" w:rsidRPr="007C25A5" w:rsidRDefault="0028692B" w:rsidP="007C25A5">
      <w:r w:rsidRPr="007C25A5">
        <w:rPr>
          <w:vertAlign w:val="superscript"/>
        </w:rPr>
        <w:t>8</w:t>
      </w:r>
      <w:r w:rsidRPr="007C25A5">
        <w:t>Clinical Trial Research Unit, Leeds Institute of Clinical Trials Research, School of Medicine, University of Leeds, UK</w:t>
      </w:r>
    </w:p>
    <w:p w14:paraId="16CE11ED" w14:textId="77777777" w:rsidR="0028692B" w:rsidRDefault="0028692B" w:rsidP="00ED3CE7">
      <w:r w:rsidRPr="007C25A5">
        <w:rPr>
          <w:vertAlign w:val="superscript"/>
        </w:rPr>
        <w:t>9</w:t>
      </w:r>
      <w:r w:rsidRPr="007C25A5">
        <w:t>Population Health Sciences, Bristol Medical School, University of Bristol, UK</w:t>
      </w:r>
    </w:p>
    <w:p w14:paraId="7A926C70" w14:textId="77777777" w:rsidR="0028692B" w:rsidRPr="00355327" w:rsidRDefault="0028692B" w:rsidP="00821854">
      <w:pPr>
        <w:rPr>
          <w:b/>
          <w:bCs/>
          <w:sz w:val="24"/>
          <w:szCs w:val="24"/>
          <w:vertAlign w:val="superscript"/>
        </w:rPr>
      </w:pPr>
    </w:p>
    <w:p w14:paraId="4A9479E3" w14:textId="1F42F97C" w:rsidR="0028692B" w:rsidRPr="0028692B" w:rsidRDefault="0028692B" w:rsidP="0028692B">
      <w:pPr>
        <w:rPr>
          <w:b/>
          <w:bCs/>
        </w:rPr>
      </w:pPr>
      <w:r w:rsidRPr="00355327">
        <w:rPr>
          <w:b/>
          <w:bCs/>
          <w:vertAlign w:val="superscript"/>
        </w:rPr>
        <w:t>*</w:t>
      </w:r>
      <w:r w:rsidRPr="00355327">
        <w:rPr>
          <w:b/>
          <w:bCs/>
        </w:rPr>
        <w:t xml:space="preserve">Corresponding author: </w:t>
      </w:r>
      <w:r w:rsidRPr="00355327">
        <w:t xml:space="preserve">Dr Emma Teasdale </w:t>
      </w:r>
    </w:p>
    <w:p w14:paraId="3D14CFA2" w14:textId="77777777" w:rsidR="0028692B" w:rsidRPr="00355327" w:rsidRDefault="0028692B" w:rsidP="00821854">
      <w:pPr>
        <w:spacing w:after="0" w:line="240" w:lineRule="auto"/>
      </w:pPr>
      <w:r w:rsidRPr="00355327">
        <w:t>University of Southampton</w:t>
      </w:r>
    </w:p>
    <w:p w14:paraId="626E4F58" w14:textId="77777777" w:rsidR="0028692B" w:rsidRPr="00355327" w:rsidRDefault="0028692B" w:rsidP="00821854">
      <w:pPr>
        <w:spacing w:after="0" w:line="240" w:lineRule="auto"/>
      </w:pPr>
      <w:r w:rsidRPr="00355327">
        <w:t>Aldermoor Health Centre</w:t>
      </w:r>
    </w:p>
    <w:p w14:paraId="3CE6C679" w14:textId="77777777" w:rsidR="0028692B" w:rsidRPr="00355327" w:rsidRDefault="0028692B" w:rsidP="00821854">
      <w:pPr>
        <w:spacing w:after="0" w:line="240" w:lineRule="auto"/>
      </w:pPr>
      <w:r w:rsidRPr="00355327">
        <w:t>Aldermoor Close</w:t>
      </w:r>
    </w:p>
    <w:p w14:paraId="7C58F22F" w14:textId="77777777" w:rsidR="0028692B" w:rsidRPr="00355327" w:rsidRDefault="0028692B" w:rsidP="00821854">
      <w:pPr>
        <w:spacing w:after="0" w:line="240" w:lineRule="auto"/>
      </w:pPr>
      <w:r w:rsidRPr="00355327">
        <w:t>Southampton</w:t>
      </w:r>
    </w:p>
    <w:p w14:paraId="2DBCB617" w14:textId="77777777" w:rsidR="0028692B" w:rsidRDefault="0028692B" w:rsidP="0028692B">
      <w:pPr>
        <w:rPr>
          <w:rStyle w:val="Hyperlink"/>
          <w:color w:val="auto"/>
        </w:rPr>
      </w:pPr>
      <w:r w:rsidRPr="00355327">
        <w:t>SO16 5ST</w:t>
      </w:r>
      <w:r>
        <w:t xml:space="preserve">. Tel: </w:t>
      </w:r>
      <w:r w:rsidRPr="008348FE">
        <w:t>02380 590740</w:t>
      </w:r>
      <w:r>
        <w:t xml:space="preserve">, </w:t>
      </w:r>
      <w:hyperlink r:id="rId7" w:history="1">
        <w:r w:rsidRPr="00355327">
          <w:rPr>
            <w:rStyle w:val="Hyperlink"/>
            <w:color w:val="auto"/>
          </w:rPr>
          <w:t>e.j.teasdale@soton.ac.uk</w:t>
        </w:r>
      </w:hyperlink>
    </w:p>
    <w:p w14:paraId="7F1B6D38" w14:textId="6097546C" w:rsidR="0028692B" w:rsidRPr="0028692B" w:rsidRDefault="0028692B" w:rsidP="0028692B">
      <w:pPr>
        <w:spacing w:after="0" w:line="240" w:lineRule="auto"/>
      </w:pPr>
      <w:r>
        <w:lastRenderedPageBreak/>
        <w:tab/>
      </w:r>
    </w:p>
    <w:p w14:paraId="5A3A075C" w14:textId="77777777" w:rsidR="0028692B" w:rsidRPr="005767E1" w:rsidRDefault="0028692B" w:rsidP="0040005D">
      <w:pPr>
        <w:pStyle w:val="Heading1"/>
        <w:rPr>
          <w:sz w:val="20"/>
          <w:szCs w:val="20"/>
          <w:lang w:val="en"/>
        </w:rPr>
      </w:pPr>
      <w:r w:rsidRPr="00702EF3">
        <w:rPr>
          <w:bCs/>
          <w:lang w:val="en"/>
        </w:rPr>
        <w:t xml:space="preserve">ABSTRACT </w:t>
      </w:r>
      <w:r w:rsidRPr="005767E1">
        <w:rPr>
          <w:bCs/>
          <w:sz w:val="20"/>
          <w:szCs w:val="20"/>
          <w:lang w:val="en"/>
        </w:rPr>
        <w:t>(</w:t>
      </w:r>
      <w:r w:rsidRPr="005767E1">
        <w:rPr>
          <w:sz w:val="20"/>
          <w:szCs w:val="20"/>
          <w:lang w:val="en"/>
        </w:rPr>
        <w:t>24</w:t>
      </w:r>
      <w:r>
        <w:rPr>
          <w:sz w:val="20"/>
          <w:szCs w:val="20"/>
          <w:lang w:val="en"/>
        </w:rPr>
        <w:t>0</w:t>
      </w:r>
      <w:r w:rsidRPr="005767E1">
        <w:rPr>
          <w:sz w:val="20"/>
          <w:szCs w:val="20"/>
          <w:lang w:val="en"/>
        </w:rPr>
        <w:t xml:space="preserve"> words)</w:t>
      </w:r>
    </w:p>
    <w:p w14:paraId="7F3944BC" w14:textId="77777777" w:rsidR="0028692B" w:rsidRDefault="0028692B" w:rsidP="5CA9F855">
      <w:pPr>
        <w:autoSpaceDE w:val="0"/>
        <w:autoSpaceDN w:val="0"/>
        <w:adjustRightInd w:val="0"/>
        <w:spacing w:after="0" w:line="360" w:lineRule="auto"/>
      </w:pPr>
      <w:r w:rsidRPr="5CA9F855">
        <w:rPr>
          <w:b/>
          <w:bCs/>
          <w:lang w:val="en"/>
        </w:rPr>
        <w:t xml:space="preserve">Background: </w:t>
      </w:r>
      <w:r w:rsidRPr="5CA9F855">
        <w:rPr>
          <w:rFonts w:eastAsia="Times New Roman"/>
        </w:rPr>
        <w:t xml:space="preserve">Irritable bowel syndrome (IBS) can cause troublesome symptoms impacting patients’ quality of life and incur considerable health service resource use.  Guidelines suggest low-dose amitriptyline for IBS as second line treatment, but this is rarely prescribed in primary care. </w:t>
      </w:r>
    </w:p>
    <w:p w14:paraId="530EEB37" w14:textId="77777777" w:rsidR="0028692B" w:rsidRPr="000C379A" w:rsidRDefault="0028692B" w:rsidP="000C379A">
      <w:pPr>
        <w:autoSpaceDE w:val="0"/>
        <w:autoSpaceDN w:val="0"/>
        <w:adjustRightInd w:val="0"/>
        <w:spacing w:after="0" w:line="360" w:lineRule="auto"/>
        <w:rPr>
          <w:rFonts w:cstheme="minorHAnsi"/>
        </w:rPr>
      </w:pPr>
    </w:p>
    <w:p w14:paraId="7E626DD3" w14:textId="77777777" w:rsidR="0028692B" w:rsidRPr="009D4860" w:rsidRDefault="0028692B">
      <w:pPr>
        <w:autoSpaceDE w:val="0"/>
        <w:autoSpaceDN w:val="0"/>
        <w:adjustRightInd w:val="0"/>
        <w:spacing w:after="240" w:line="360" w:lineRule="auto"/>
        <w:rPr>
          <w:rFonts w:cstheme="minorHAnsi"/>
        </w:rPr>
      </w:pPr>
      <w:r w:rsidRPr="00417E9B">
        <w:rPr>
          <w:b/>
          <w:bCs/>
          <w:lang w:val="en"/>
        </w:rPr>
        <w:t xml:space="preserve">Aim: </w:t>
      </w:r>
      <w:bookmarkStart w:id="3" w:name="_Hlk148078004"/>
      <w:r w:rsidRPr="009D4860">
        <w:rPr>
          <w:lang w:val="en"/>
        </w:rPr>
        <w:t xml:space="preserve">To explore </w:t>
      </w:r>
      <w:r w:rsidRPr="009D4860">
        <w:rPr>
          <w:rFonts w:cstheme="minorHAnsi"/>
        </w:rPr>
        <w:t>patients’</w:t>
      </w:r>
      <w:r w:rsidRPr="009D4860">
        <w:rPr>
          <w:rFonts w:cstheme="minorHAnsi"/>
          <w:color w:val="FF0000"/>
        </w:rPr>
        <w:t xml:space="preserve"> </w:t>
      </w:r>
      <w:r w:rsidRPr="009D4860">
        <w:rPr>
          <w:rFonts w:cstheme="minorHAnsi"/>
        </w:rPr>
        <w:t>and general practitioners’ (GPs) views</w:t>
      </w:r>
      <w:r w:rsidRPr="009D4860">
        <w:t xml:space="preserve"> and experiences of using</w:t>
      </w:r>
      <w:r w:rsidRPr="009D4860">
        <w:rPr>
          <w:rFonts w:cstheme="minorHAnsi"/>
        </w:rPr>
        <w:t xml:space="preserve"> low-dose amitriptyline for IBS. </w:t>
      </w:r>
      <w:bookmarkEnd w:id="3"/>
    </w:p>
    <w:p w14:paraId="211C377B" w14:textId="77777777" w:rsidR="0028692B" w:rsidRPr="00417E9B" w:rsidRDefault="0028692B" w:rsidP="00821854">
      <w:pPr>
        <w:spacing w:line="360" w:lineRule="auto"/>
        <w:rPr>
          <w:rFonts w:ascii="Calibri" w:eastAsia="SimSun" w:hAnsi="Calibri" w:cs="Arial"/>
          <w:lang w:val="en-US"/>
        </w:rPr>
      </w:pPr>
      <w:r w:rsidRPr="00417E9B">
        <w:rPr>
          <w:rFonts w:ascii="Calibri" w:eastAsia="SimSun" w:hAnsi="Calibri" w:cs="Arial"/>
          <w:b/>
          <w:lang w:val="en-US"/>
        </w:rPr>
        <w:t>Design and Setting:</w:t>
      </w:r>
      <w:r w:rsidRPr="00417E9B">
        <w:rPr>
          <w:rFonts w:ascii="Calibri" w:eastAsia="SimSun" w:hAnsi="Calibri" w:cs="Arial"/>
          <w:lang w:val="en-US"/>
        </w:rPr>
        <w:t xml:space="preserve"> </w:t>
      </w:r>
      <w:r>
        <w:rPr>
          <w:rFonts w:cs="DIN-Light"/>
        </w:rPr>
        <w:t>Q</w:t>
      </w:r>
      <w:r w:rsidRPr="00702EF3">
        <w:rPr>
          <w:rFonts w:cs="DIN-Light"/>
        </w:rPr>
        <w:t xml:space="preserve">ualitative </w:t>
      </w:r>
      <w:r>
        <w:rPr>
          <w:rFonts w:cs="DIN-Light"/>
        </w:rPr>
        <w:t xml:space="preserve">interview </w:t>
      </w:r>
      <w:r w:rsidRPr="00702EF3">
        <w:rPr>
          <w:rFonts w:cs="DIN-Light"/>
        </w:rPr>
        <w:t>study</w:t>
      </w:r>
      <w:r w:rsidRPr="00DB5D3B">
        <w:rPr>
          <w:rFonts w:cs="DIN-Light"/>
        </w:rPr>
        <w:t xml:space="preserve"> </w:t>
      </w:r>
      <w:r>
        <w:rPr>
          <w:rFonts w:cs="DIN-Light"/>
        </w:rPr>
        <w:t>with patients and GPs in England, nested</w:t>
      </w:r>
      <w:r w:rsidRPr="00702EF3">
        <w:rPr>
          <w:rFonts w:cs="DIN-Light"/>
        </w:rPr>
        <w:t xml:space="preserve"> within the ATLANTIS </w:t>
      </w:r>
      <w:r>
        <w:rPr>
          <w:rFonts w:cs="DIN-Light"/>
        </w:rPr>
        <w:t>t</w:t>
      </w:r>
      <w:r w:rsidRPr="00702EF3">
        <w:rPr>
          <w:rFonts w:cs="DIN-Light"/>
        </w:rPr>
        <w:t>rial</w:t>
      </w:r>
      <w:r>
        <w:rPr>
          <w:rFonts w:cs="DIN-Light"/>
        </w:rPr>
        <w:t xml:space="preserve"> of low-dose amitriptyline versus placebo (</w:t>
      </w:r>
      <w:r w:rsidRPr="00D170E5">
        <w:rPr>
          <w:rFonts w:cs="DIN-Light"/>
        </w:rPr>
        <w:t>ISRCTN48075063</w:t>
      </w:r>
      <w:r>
        <w:rPr>
          <w:rFonts w:cs="DIN-Light"/>
        </w:rPr>
        <w:t xml:space="preserve">). </w:t>
      </w:r>
    </w:p>
    <w:p w14:paraId="52893F07" w14:textId="77777777" w:rsidR="0028692B" w:rsidRPr="00E07977" w:rsidRDefault="0028692B" w:rsidP="00821854">
      <w:pPr>
        <w:spacing w:line="360" w:lineRule="auto"/>
        <w:rPr>
          <w:lang w:val="en"/>
        </w:rPr>
      </w:pPr>
      <w:r w:rsidRPr="00417E9B">
        <w:rPr>
          <w:rFonts w:ascii="Calibri" w:eastAsia="SimSun" w:hAnsi="Calibri" w:cs="Arial"/>
          <w:b/>
          <w:iCs/>
          <w:lang w:val="en"/>
        </w:rPr>
        <w:t xml:space="preserve">Methods: </w:t>
      </w:r>
      <w:r w:rsidRPr="00417E9B">
        <w:rPr>
          <w:b/>
          <w:bCs/>
          <w:lang w:val="en"/>
        </w:rPr>
        <w:t xml:space="preserve"> </w:t>
      </w:r>
      <w:r>
        <w:rPr>
          <w:b/>
          <w:bCs/>
          <w:lang w:val="en"/>
        </w:rPr>
        <w:t xml:space="preserve"> </w:t>
      </w:r>
      <w:bookmarkStart w:id="4" w:name="_Hlk107835347"/>
      <w:r w:rsidRPr="00332D06">
        <w:rPr>
          <w:lang w:val="en"/>
        </w:rPr>
        <w:t>Semi-structured telephone interviews</w:t>
      </w:r>
      <w:r>
        <w:rPr>
          <w:lang w:val="en"/>
        </w:rPr>
        <w:t xml:space="preserve"> with</w:t>
      </w:r>
      <w:r w:rsidRPr="00332D06">
        <w:rPr>
          <w:lang w:val="en"/>
        </w:rPr>
        <w:t xml:space="preserve"> </w:t>
      </w:r>
      <w:r>
        <w:rPr>
          <w:lang w:val="en"/>
        </w:rPr>
        <w:t>42 patients</w:t>
      </w:r>
      <w:r>
        <w:rPr>
          <w:rFonts w:cs="Arial"/>
        </w:rPr>
        <w:t xml:space="preserve"> at 6-months</w:t>
      </w:r>
      <w:r w:rsidRPr="000B3863">
        <w:rPr>
          <w:rFonts w:cs="Arial"/>
        </w:rPr>
        <w:t xml:space="preserve"> </w:t>
      </w:r>
      <w:r>
        <w:rPr>
          <w:rFonts w:cs="Arial"/>
        </w:rPr>
        <w:t xml:space="preserve">post-randomisation, 19 patients again at 12-months post-randomisation, and 16 GPs. </w:t>
      </w:r>
      <w:bookmarkEnd w:id="4"/>
      <w:r>
        <w:rPr>
          <w:rFonts w:cs="Arial"/>
        </w:rPr>
        <w:t xml:space="preserve">Reflexive thematic analysis was used to analyse patient and GP data separately, then together, to identify unique and cross-cutting themes.  </w:t>
      </w:r>
    </w:p>
    <w:p w14:paraId="7643C51C" w14:textId="77777777" w:rsidR="0028692B" w:rsidRDefault="0028692B" w:rsidP="00321668">
      <w:pPr>
        <w:autoSpaceDE w:val="0"/>
        <w:autoSpaceDN w:val="0"/>
        <w:adjustRightInd w:val="0"/>
        <w:spacing w:after="0" w:line="360" w:lineRule="auto"/>
        <w:rPr>
          <w:rFonts w:cstheme="minorHAnsi"/>
          <w:color w:val="FF0000"/>
        </w:rPr>
      </w:pPr>
      <w:r w:rsidRPr="009D4860">
        <w:rPr>
          <w:rFonts w:ascii="Calibri" w:eastAsia="SimSun" w:hAnsi="Calibri" w:cs="Arial"/>
          <w:b/>
          <w:bCs/>
          <w:lang w:val="en"/>
        </w:rPr>
        <w:t>Results:</w:t>
      </w:r>
      <w:bookmarkStart w:id="5" w:name="_Hlk122012436"/>
      <w:bookmarkStart w:id="6" w:name="_Hlk110433248"/>
      <w:r w:rsidRPr="009D4860">
        <w:rPr>
          <w:rFonts w:ascii="Calibri" w:eastAsia="SimSun" w:hAnsi="Calibri" w:cs="Arial"/>
          <w:b/>
          <w:bCs/>
          <w:lang w:val="en"/>
        </w:rPr>
        <w:t xml:space="preserve"> </w:t>
      </w:r>
      <w:r w:rsidRPr="009D4860">
        <w:rPr>
          <w:rFonts w:cstheme="minorHAnsi"/>
        </w:rPr>
        <w:t xml:space="preserve">We found </w:t>
      </w:r>
      <w:r w:rsidRPr="009D4860">
        <w:t>concerns about amitriptyline being an antidepressant, medicalising IBS, and side-effects. Perceived benefits included the low and flexible dose, ease of treatment, familiarity of amitriptyline and its potential to offer benefits beyond IBS symptom relief. These concerns and perceived benefits were expressed in the context of desire for a novel approach to IBS: GPs were keen to offer more options for IBS and patients sought a cure for their symptoms.</w:t>
      </w:r>
    </w:p>
    <w:p w14:paraId="20EDADA6" w14:textId="77777777" w:rsidR="0028692B" w:rsidRPr="00321668" w:rsidRDefault="0028692B" w:rsidP="00321668">
      <w:pPr>
        <w:autoSpaceDE w:val="0"/>
        <w:autoSpaceDN w:val="0"/>
        <w:adjustRightInd w:val="0"/>
        <w:spacing w:after="0" w:line="360" w:lineRule="auto"/>
        <w:rPr>
          <w:rFonts w:cstheme="minorHAnsi"/>
          <w:color w:val="FF0000"/>
        </w:rPr>
      </w:pPr>
    </w:p>
    <w:bookmarkEnd w:id="5"/>
    <w:bookmarkEnd w:id="6"/>
    <w:p w14:paraId="592B7120" w14:textId="77777777" w:rsidR="0028692B" w:rsidRPr="005767E1" w:rsidRDefault="0028692B" w:rsidP="00876184">
      <w:pPr>
        <w:spacing w:line="360" w:lineRule="auto"/>
        <w:rPr>
          <w:iCs/>
        </w:rPr>
      </w:pPr>
      <w:r w:rsidRPr="00417E9B">
        <w:rPr>
          <w:b/>
          <w:iCs/>
        </w:rPr>
        <w:t>Conclusions:</w:t>
      </w:r>
      <w:r w:rsidRPr="00417E9B">
        <w:rPr>
          <w:iCs/>
        </w:rPr>
        <w:t xml:space="preserve"> </w:t>
      </w:r>
      <w:bookmarkStart w:id="7" w:name="_Hlk129094637"/>
      <w:r w:rsidRPr="007C6D45">
        <w:rPr>
          <w:lang w:val="en"/>
        </w:rPr>
        <w:t xml:space="preserve">Patients and GPs felt the potential </w:t>
      </w:r>
      <w:r>
        <w:rPr>
          <w:lang w:val="en"/>
        </w:rPr>
        <w:t>benefits</w:t>
      </w:r>
      <w:r w:rsidRPr="007C6D45">
        <w:rPr>
          <w:lang w:val="en"/>
        </w:rPr>
        <w:t xml:space="preserve"> from trying low</w:t>
      </w:r>
      <w:r>
        <w:rPr>
          <w:lang w:val="en"/>
        </w:rPr>
        <w:t>-</w:t>
      </w:r>
      <w:r w:rsidRPr="007C6D45">
        <w:rPr>
          <w:lang w:val="en"/>
        </w:rPr>
        <w:t xml:space="preserve">dose amitriptyline for IBS outweighed </w:t>
      </w:r>
      <w:r>
        <w:rPr>
          <w:lang w:val="en"/>
        </w:rPr>
        <w:t xml:space="preserve">their </w:t>
      </w:r>
      <w:r w:rsidRPr="007C6D45">
        <w:rPr>
          <w:lang w:val="en"/>
        </w:rPr>
        <w:t>concerns</w:t>
      </w:r>
      <w:bookmarkEnd w:id="7"/>
      <w:r w:rsidRPr="007C6D45">
        <w:rPr>
          <w:lang w:val="en"/>
        </w:rPr>
        <w:t xml:space="preserve">. </w:t>
      </w:r>
      <w:r>
        <w:t xml:space="preserve">When offering low-dose amitriptyline for IBS, GPs could </w:t>
      </w:r>
      <w:r w:rsidRPr="00596542">
        <w:t>address</w:t>
      </w:r>
      <w:r>
        <w:t xml:space="preserve"> </w:t>
      </w:r>
      <w:r w:rsidRPr="00596542">
        <w:t>patient concerns about taking an antidepressant</w:t>
      </w:r>
      <w:r>
        <w:t xml:space="preserve"> for IBS, highlighting the</w:t>
      </w:r>
      <w:r w:rsidRPr="00596542">
        <w:t xml:space="preserve"> low and flexible dosage and</w:t>
      </w:r>
      <w:r>
        <w:t xml:space="preserve"> </w:t>
      </w:r>
      <w:r w:rsidRPr="00596542">
        <w:t>other potential benefits of amitriptyline</w:t>
      </w:r>
      <w:r>
        <w:t xml:space="preserve"> such as improved sleep. </w:t>
      </w:r>
    </w:p>
    <w:p w14:paraId="729FBED3" w14:textId="77777777" w:rsidR="0028692B" w:rsidRDefault="0028692B" w:rsidP="00821854">
      <w:pPr>
        <w:rPr>
          <w:b/>
        </w:rPr>
      </w:pPr>
    </w:p>
    <w:p w14:paraId="75689B90" w14:textId="77777777" w:rsidR="0028692B" w:rsidRPr="00702EF3" w:rsidRDefault="0028692B" w:rsidP="00821854">
      <w:pPr>
        <w:rPr>
          <w:b/>
          <w:color w:val="0070C0"/>
          <w:sz w:val="24"/>
          <w:szCs w:val="24"/>
        </w:rPr>
      </w:pPr>
      <w:r w:rsidRPr="00702EF3">
        <w:rPr>
          <w:b/>
          <w:color w:val="0070C0"/>
          <w:sz w:val="24"/>
          <w:szCs w:val="24"/>
        </w:rPr>
        <w:t>Keywords</w:t>
      </w:r>
    </w:p>
    <w:p w14:paraId="4924C757" w14:textId="77777777" w:rsidR="0028692B" w:rsidRDefault="0028692B" w:rsidP="00821854">
      <w:pPr>
        <w:rPr>
          <w:bCs/>
        </w:rPr>
      </w:pPr>
      <w:r>
        <w:rPr>
          <w:bCs/>
        </w:rPr>
        <w:t>IBS</w:t>
      </w:r>
      <w:r w:rsidRPr="005C349A">
        <w:rPr>
          <w:bCs/>
        </w:rPr>
        <w:t xml:space="preserve">; </w:t>
      </w:r>
      <w:r>
        <w:rPr>
          <w:bCs/>
        </w:rPr>
        <w:t>primary health care; qualitative</w:t>
      </w:r>
      <w:r w:rsidRPr="005C349A">
        <w:rPr>
          <w:bCs/>
        </w:rPr>
        <w:t>; patient experience</w:t>
      </w:r>
      <w:r>
        <w:rPr>
          <w:bCs/>
        </w:rPr>
        <w:t>; amitriptyline</w:t>
      </w:r>
      <w:r w:rsidRPr="005C349A">
        <w:rPr>
          <w:bCs/>
        </w:rPr>
        <w:t xml:space="preserve">. </w:t>
      </w:r>
    </w:p>
    <w:p w14:paraId="23004154" w14:textId="77777777" w:rsidR="0028692B" w:rsidRDefault="0028692B" w:rsidP="00821854">
      <w:pPr>
        <w:rPr>
          <w:bCs/>
        </w:rPr>
      </w:pPr>
    </w:p>
    <w:p w14:paraId="5BD6FC7F" w14:textId="77777777" w:rsidR="0028692B" w:rsidRDefault="0028692B" w:rsidP="00821854">
      <w:pPr>
        <w:rPr>
          <w:bCs/>
        </w:rPr>
      </w:pPr>
    </w:p>
    <w:p w14:paraId="61A16AD4" w14:textId="77777777" w:rsidR="0028692B" w:rsidRDefault="0028692B" w:rsidP="00821854">
      <w:pPr>
        <w:rPr>
          <w:bCs/>
        </w:rPr>
      </w:pPr>
    </w:p>
    <w:p w14:paraId="088C26ED" w14:textId="77777777" w:rsidR="0028692B" w:rsidRDefault="0028692B" w:rsidP="00821854">
      <w:pPr>
        <w:rPr>
          <w:bCs/>
        </w:rPr>
      </w:pPr>
    </w:p>
    <w:p w14:paraId="03BE18C2" w14:textId="77777777" w:rsidR="0028692B" w:rsidRPr="005C349A" w:rsidRDefault="0028692B" w:rsidP="00821854">
      <w:pPr>
        <w:rPr>
          <w:bCs/>
        </w:rPr>
      </w:pPr>
    </w:p>
    <w:p w14:paraId="2EC888F8" w14:textId="77777777" w:rsidR="0028692B" w:rsidRDefault="0028692B" w:rsidP="005B6DDE">
      <w:pPr>
        <w:rPr>
          <w:b/>
          <w:color w:val="0070C0"/>
          <w:sz w:val="24"/>
          <w:szCs w:val="24"/>
        </w:rPr>
      </w:pPr>
      <w:r w:rsidRPr="00702EF3">
        <w:rPr>
          <w:b/>
          <w:color w:val="0070C0"/>
          <w:sz w:val="24"/>
          <w:szCs w:val="24"/>
        </w:rPr>
        <w:lastRenderedPageBreak/>
        <w:t xml:space="preserve">How </w:t>
      </w:r>
      <w:proofErr w:type="gramStart"/>
      <w:r w:rsidRPr="00702EF3">
        <w:rPr>
          <w:b/>
          <w:color w:val="0070C0"/>
          <w:sz w:val="24"/>
          <w:szCs w:val="24"/>
        </w:rPr>
        <w:t>this fits</w:t>
      </w:r>
      <w:proofErr w:type="gramEnd"/>
      <w:r w:rsidRPr="00702EF3">
        <w:rPr>
          <w:b/>
          <w:color w:val="0070C0"/>
          <w:sz w:val="24"/>
          <w:szCs w:val="24"/>
        </w:rPr>
        <w:t xml:space="preserve"> in</w:t>
      </w:r>
    </w:p>
    <w:p w14:paraId="5E3B584D" w14:textId="77777777" w:rsidR="0028692B" w:rsidRDefault="0028692B" w:rsidP="005B6DDE">
      <w:pPr>
        <w:rPr>
          <w:b/>
          <w:color w:val="0070C0"/>
          <w:sz w:val="24"/>
          <w:szCs w:val="24"/>
        </w:rPr>
      </w:pPr>
    </w:p>
    <w:p w14:paraId="25B76362" w14:textId="77777777" w:rsidR="0028692B" w:rsidRPr="005B6DDE" w:rsidRDefault="0028692B" w:rsidP="005B6DDE">
      <w:pPr>
        <w:pStyle w:val="ListParagraph"/>
        <w:numPr>
          <w:ilvl w:val="0"/>
          <w:numId w:val="30"/>
        </w:numPr>
        <w:spacing w:after="120" w:line="360" w:lineRule="auto"/>
        <w:ind w:left="714" w:hanging="357"/>
        <w:contextualSpacing w:val="0"/>
        <w:rPr>
          <w:b/>
        </w:rPr>
      </w:pPr>
      <w:r w:rsidRPr="005B6DDE">
        <w:rPr>
          <w:bCs/>
        </w:rPr>
        <w:t>L</w:t>
      </w:r>
      <w:r w:rsidRPr="005B6DDE">
        <w:rPr>
          <w:rFonts w:cstheme="minorHAnsi"/>
        </w:rPr>
        <w:t>ow</w:t>
      </w:r>
      <w:r>
        <w:rPr>
          <w:rFonts w:cstheme="minorHAnsi"/>
        </w:rPr>
        <w:t>-</w:t>
      </w:r>
      <w:r w:rsidRPr="005B6DDE">
        <w:rPr>
          <w:rFonts w:cstheme="minorHAnsi"/>
        </w:rPr>
        <w:t>dose amitriptyline is suggested in NICE guidelines for IBS patients if first line treatments are ineffective, but it is infrequently prescribed in primary care.</w:t>
      </w:r>
    </w:p>
    <w:p w14:paraId="076C5F2D" w14:textId="77777777" w:rsidR="0028692B" w:rsidRPr="005B6DDE" w:rsidRDefault="0028692B" w:rsidP="005B6DDE">
      <w:pPr>
        <w:pStyle w:val="ListParagraph"/>
        <w:numPr>
          <w:ilvl w:val="0"/>
          <w:numId w:val="30"/>
        </w:numPr>
        <w:spacing w:after="120" w:line="360" w:lineRule="auto"/>
        <w:ind w:left="714" w:hanging="357"/>
        <w:contextualSpacing w:val="0"/>
        <w:rPr>
          <w:b/>
        </w:rPr>
      </w:pPr>
      <w:r w:rsidRPr="005B6DDE">
        <w:rPr>
          <w:rFonts w:cstheme="minorHAnsi"/>
        </w:rPr>
        <w:t xml:space="preserve">Greater insight into factors affecting prescribing and uptake of low-dose amitriptyline </w:t>
      </w:r>
      <w:r w:rsidRPr="61316C32">
        <w:t xml:space="preserve">for IBS in primary care </w:t>
      </w:r>
      <w:r w:rsidRPr="005B6DDE">
        <w:rPr>
          <w:rFonts w:cstheme="minorHAnsi"/>
        </w:rPr>
        <w:t>may improve outcomes for people with IBS.</w:t>
      </w:r>
    </w:p>
    <w:p w14:paraId="638BFA24" w14:textId="77777777" w:rsidR="0028692B" w:rsidRPr="005B6DDE" w:rsidRDefault="0028692B" w:rsidP="005B6DDE">
      <w:pPr>
        <w:pStyle w:val="ListParagraph"/>
        <w:numPr>
          <w:ilvl w:val="0"/>
          <w:numId w:val="30"/>
        </w:numPr>
        <w:spacing w:after="120" w:line="360" w:lineRule="auto"/>
        <w:ind w:left="714" w:hanging="357"/>
        <w:contextualSpacing w:val="0"/>
        <w:rPr>
          <w:b/>
        </w:rPr>
      </w:pPr>
      <w:r w:rsidRPr="005B6DDE">
        <w:rPr>
          <w:rFonts w:cstheme="minorHAnsi"/>
        </w:rPr>
        <w:t>This study found that patients and GPs felt the potential benefits from trying low</w:t>
      </w:r>
      <w:r>
        <w:rPr>
          <w:rFonts w:cstheme="minorHAnsi"/>
        </w:rPr>
        <w:t>-</w:t>
      </w:r>
      <w:r w:rsidRPr="005B6DDE">
        <w:rPr>
          <w:rFonts w:cstheme="minorHAnsi"/>
        </w:rPr>
        <w:t xml:space="preserve">dose amitriptyline for IBS outweighed their concerns </w:t>
      </w:r>
      <w:r w:rsidRPr="005B6DDE">
        <w:rPr>
          <w:bCs/>
          <w:color w:val="000000" w:themeColor="text1"/>
        </w:rPr>
        <w:t xml:space="preserve">about taking an antidepressant for IBS </w:t>
      </w:r>
      <w:r w:rsidRPr="005B6DDE">
        <w:rPr>
          <w:rFonts w:cstheme="minorHAnsi"/>
        </w:rPr>
        <w:t xml:space="preserve">and highlights how concerns can be addressed.  </w:t>
      </w:r>
    </w:p>
    <w:p w14:paraId="0C082B25" w14:textId="77777777" w:rsidR="0028692B" w:rsidRPr="0014585B" w:rsidRDefault="0028692B" w:rsidP="0089624C">
      <w:pPr>
        <w:ind w:left="720"/>
        <w:rPr>
          <w:bCs/>
          <w:color w:val="FF0000"/>
        </w:rPr>
      </w:pPr>
    </w:p>
    <w:p w14:paraId="306BEBC8" w14:textId="77777777" w:rsidR="0028692B" w:rsidRDefault="0028692B" w:rsidP="002F6FFD">
      <w:pPr>
        <w:jc w:val="both"/>
        <w:rPr>
          <w:rFonts w:cstheme="minorHAnsi"/>
          <w:u w:val="single"/>
        </w:rPr>
      </w:pPr>
    </w:p>
    <w:p w14:paraId="37411A1E" w14:textId="77777777" w:rsidR="0028692B" w:rsidRDefault="0028692B" w:rsidP="002F6FFD">
      <w:pPr>
        <w:jc w:val="both"/>
        <w:rPr>
          <w:rFonts w:cstheme="minorHAnsi"/>
          <w:u w:val="single"/>
        </w:rPr>
      </w:pPr>
    </w:p>
    <w:p w14:paraId="5793CF28" w14:textId="77777777" w:rsidR="0028692B" w:rsidRPr="006D2239" w:rsidRDefault="0028692B" w:rsidP="00821854">
      <w:pPr>
        <w:rPr>
          <w:b/>
        </w:rPr>
      </w:pPr>
    </w:p>
    <w:p w14:paraId="5C7F1EB3" w14:textId="77777777" w:rsidR="0028692B" w:rsidRPr="006D2239" w:rsidRDefault="0028692B" w:rsidP="00821854">
      <w:pPr>
        <w:rPr>
          <w:b/>
        </w:rPr>
      </w:pPr>
    </w:p>
    <w:p w14:paraId="13C9ABD2" w14:textId="77777777" w:rsidR="0028692B" w:rsidRPr="00E26327" w:rsidRDefault="0028692B" w:rsidP="00E26327">
      <w:pPr>
        <w:rPr>
          <w:b/>
        </w:rPr>
      </w:pPr>
      <w:r>
        <w:rPr>
          <w:b/>
        </w:rPr>
        <w:br w:type="page"/>
      </w:r>
    </w:p>
    <w:p w14:paraId="3AD15541" w14:textId="77777777" w:rsidR="0028692B" w:rsidRPr="00702EF3" w:rsidRDefault="0028692B" w:rsidP="00597272">
      <w:pPr>
        <w:pStyle w:val="Heading1"/>
      </w:pPr>
      <w:r w:rsidRPr="00702EF3">
        <w:lastRenderedPageBreak/>
        <w:t>INTRODUCTION</w:t>
      </w:r>
    </w:p>
    <w:p w14:paraId="0BC080C6" w14:textId="0119BBA5" w:rsidR="0028692B" w:rsidRPr="00821854" w:rsidRDefault="0028692B" w:rsidP="000F56D4">
      <w:pPr>
        <w:autoSpaceDE w:val="0"/>
        <w:autoSpaceDN w:val="0"/>
        <w:adjustRightInd w:val="0"/>
        <w:spacing w:line="360" w:lineRule="auto"/>
        <w:rPr>
          <w:rFonts w:cstheme="minorHAnsi"/>
        </w:rPr>
      </w:pPr>
      <w:r w:rsidRPr="0032100B">
        <w:rPr>
          <w:rFonts w:eastAsia="Times New Roman" w:cstheme="minorHAnsi"/>
        </w:rPr>
        <w:t>Irritable bowel syndrome (IBS) is a common, chronic, functional bowel disorder</w:t>
      </w:r>
      <w:r w:rsidRPr="0032100B">
        <w:rPr>
          <w:rFonts w:cstheme="minorHAnsi"/>
        </w:rPr>
        <w:t xml:space="preserve"> that is characterised by abdominal pain and altered bowel habit.</w:t>
      </w:r>
      <w:r w:rsidRPr="00821854">
        <w:rPr>
          <w:rFonts w:cstheme="minorHAnsi"/>
        </w:rPr>
        <w:t xml:space="preserve"> </w:t>
      </w:r>
      <w:r w:rsidRPr="0032100B">
        <w:rPr>
          <w:rFonts w:cstheme="minorHAnsi"/>
        </w:rPr>
        <w:t xml:space="preserve">Symptoms range from mild to severe and can often be </w:t>
      </w:r>
      <w:r w:rsidRPr="0032100B">
        <w:rPr>
          <w:rFonts w:eastAsia="Times New Roman" w:cs="Times New Roman"/>
          <w:szCs w:val="24"/>
        </w:rPr>
        <w:t>recurring and erratic</w:t>
      </w:r>
      <w:r>
        <w:rPr>
          <w:rFonts w:eastAsia="Times New Roman" w:cs="Times New Roman"/>
          <w:szCs w:val="24"/>
        </w:rPr>
        <w:t xml:space="preserve">. </w:t>
      </w:r>
      <w:r w:rsidRPr="00A17E15">
        <w:rPr>
          <w:rFonts w:eastAsia="Times New Roman" w:cs="Times New Roman"/>
          <w:noProof/>
          <w:szCs w:val="24"/>
          <w:vertAlign w:val="superscript"/>
        </w:rPr>
        <w:t>1</w:t>
      </w:r>
      <w:r>
        <w:rPr>
          <w:rFonts w:eastAsia="Times New Roman" w:cs="Times New Roman"/>
          <w:szCs w:val="24"/>
        </w:rPr>
        <w:t xml:space="preserve"> </w:t>
      </w:r>
      <w:r>
        <w:rPr>
          <w:rFonts w:cstheme="minorHAnsi"/>
        </w:rPr>
        <w:t xml:space="preserve">IBS </w:t>
      </w:r>
      <w:r w:rsidRPr="0032100B">
        <w:rPr>
          <w:rFonts w:cstheme="minorHAnsi"/>
        </w:rPr>
        <w:t>has</w:t>
      </w:r>
      <w:r w:rsidRPr="0032100B">
        <w:rPr>
          <w:rFonts w:eastAsia="Times New Roman" w:cstheme="minorHAnsi"/>
        </w:rPr>
        <w:t xml:space="preserve"> a </w:t>
      </w:r>
      <w:r w:rsidRPr="0032100B">
        <w:rPr>
          <w:rFonts w:eastAsia="Times New Roman" w:cs="Times New Roman"/>
          <w:szCs w:val="24"/>
        </w:rPr>
        <w:t xml:space="preserve">substantial </w:t>
      </w:r>
      <w:r w:rsidRPr="0032100B">
        <w:rPr>
          <w:rFonts w:eastAsia="Times New Roman" w:cstheme="minorHAnsi"/>
        </w:rPr>
        <w:t>impact on patient quality of life</w:t>
      </w:r>
      <w:r w:rsidRPr="0032100B">
        <w:rPr>
          <w:rFonts w:eastAsia="Times New Roman" w:cs="Times New Roman"/>
          <w:szCs w:val="24"/>
        </w:rPr>
        <w:t xml:space="preserve"> and social functioning</w:t>
      </w:r>
      <w:r>
        <w:rPr>
          <w:rFonts w:eastAsia="Times New Roman" w:cs="Times New Roman"/>
          <w:szCs w:val="24"/>
        </w:rPr>
        <w:t>,</w:t>
      </w:r>
      <w:r>
        <w:rPr>
          <w:rFonts w:eastAsia="Times New Roman" w:cstheme="minorHAnsi"/>
        </w:rPr>
        <w:t xml:space="preserve"> which</w:t>
      </w:r>
      <w:r w:rsidRPr="0032100B">
        <w:rPr>
          <w:rFonts w:cstheme="minorHAnsi"/>
          <w:bCs/>
        </w:rPr>
        <w:t xml:space="preserve"> </w:t>
      </w:r>
      <w:r w:rsidRPr="000E5D44">
        <w:rPr>
          <w:rFonts w:cstheme="minorHAnsi"/>
          <w:bCs/>
        </w:rPr>
        <w:t>incur</w:t>
      </w:r>
      <w:r>
        <w:rPr>
          <w:rFonts w:cstheme="minorHAnsi"/>
          <w:bCs/>
        </w:rPr>
        <w:t>s</w:t>
      </w:r>
      <w:r w:rsidRPr="000E5D44">
        <w:rPr>
          <w:rFonts w:cstheme="minorHAnsi"/>
          <w:bCs/>
        </w:rPr>
        <w:t xml:space="preserve"> considerable health service resource use</w:t>
      </w:r>
      <w:r>
        <w:rPr>
          <w:rFonts w:cstheme="minorHAnsi"/>
          <w:bCs/>
        </w:rPr>
        <w:t>.</w:t>
      </w:r>
      <w:r w:rsidRPr="00122B2B">
        <w:rPr>
          <w:rFonts w:cstheme="minorHAnsi"/>
          <w:bCs/>
          <w:noProof/>
          <w:vertAlign w:val="superscript"/>
        </w:rPr>
        <w:t>2</w:t>
      </w:r>
      <w:r>
        <w:rPr>
          <w:rFonts w:cstheme="minorHAnsi"/>
          <w:bCs/>
        </w:rPr>
        <w:t xml:space="preserve"> </w:t>
      </w:r>
      <w:r w:rsidRPr="0032100B">
        <w:rPr>
          <w:rFonts w:eastAsia="Times New Roman" w:cs="Times New Roman"/>
          <w:szCs w:val="24"/>
        </w:rPr>
        <w:t>Prevalence of IBS in the community is around 10%</w:t>
      </w:r>
      <w:r>
        <w:rPr>
          <w:rFonts w:eastAsia="Times New Roman" w:cs="Times New Roman"/>
          <w:szCs w:val="24"/>
        </w:rPr>
        <w:t xml:space="preserve"> </w:t>
      </w:r>
      <w:r w:rsidRPr="00122B2B">
        <w:rPr>
          <w:rFonts w:eastAsia="Times New Roman" w:cs="Times New Roman"/>
          <w:noProof/>
          <w:szCs w:val="24"/>
          <w:vertAlign w:val="superscript"/>
        </w:rPr>
        <w:t>3</w:t>
      </w:r>
      <w:r w:rsidRPr="0032100B">
        <w:rPr>
          <w:rFonts w:eastAsia="Times New Roman" w:cs="Times New Roman"/>
          <w:szCs w:val="24"/>
        </w:rPr>
        <w:t xml:space="preserve"> and </w:t>
      </w:r>
      <w:r>
        <w:rPr>
          <w:rFonts w:eastAsia="Times New Roman" w:cs="Times New Roman"/>
          <w:szCs w:val="24"/>
        </w:rPr>
        <w:t xml:space="preserve">IBS </w:t>
      </w:r>
      <w:r w:rsidRPr="0032100B">
        <w:rPr>
          <w:rFonts w:eastAsia="Times New Roman" w:cs="Times New Roman"/>
          <w:szCs w:val="24"/>
        </w:rPr>
        <w:t>accounts for over 3% of all consultations in primary care</w:t>
      </w:r>
      <w:r>
        <w:rPr>
          <w:rFonts w:eastAsia="Times New Roman" w:cs="Times New Roman"/>
          <w:szCs w:val="24"/>
        </w:rPr>
        <w:t xml:space="preserve">, </w:t>
      </w:r>
      <w:r w:rsidRPr="00122B2B">
        <w:rPr>
          <w:rFonts w:eastAsia="Times New Roman" w:cs="Times New Roman"/>
          <w:noProof/>
          <w:szCs w:val="24"/>
          <w:vertAlign w:val="superscript"/>
        </w:rPr>
        <w:t>4</w:t>
      </w:r>
      <w:r w:rsidRPr="0032100B">
        <w:rPr>
          <w:rFonts w:eastAsia="Times New Roman" w:cs="Times New Roman"/>
          <w:szCs w:val="24"/>
        </w:rPr>
        <w:t xml:space="preserve"> </w:t>
      </w:r>
      <w:r w:rsidRPr="0032100B">
        <w:rPr>
          <w:rFonts w:cstheme="minorHAnsi"/>
          <w:bCs/>
        </w:rPr>
        <w:t>cost</w:t>
      </w:r>
      <w:r>
        <w:rPr>
          <w:rFonts w:cstheme="minorHAnsi"/>
          <w:bCs/>
        </w:rPr>
        <w:t>ing</w:t>
      </w:r>
      <w:r w:rsidRPr="0032100B">
        <w:rPr>
          <w:rFonts w:cstheme="minorHAnsi"/>
          <w:bCs/>
        </w:rPr>
        <w:t xml:space="preserve"> the </w:t>
      </w:r>
      <w:r>
        <w:rPr>
          <w:rFonts w:cstheme="minorHAnsi"/>
          <w:bCs/>
        </w:rPr>
        <w:t xml:space="preserve">UK </w:t>
      </w:r>
      <w:r w:rsidRPr="0032100B">
        <w:rPr>
          <w:rFonts w:cstheme="minorHAnsi"/>
          <w:bCs/>
        </w:rPr>
        <w:t>health service over £200 million/year.</w:t>
      </w:r>
      <w:r>
        <w:rPr>
          <w:rFonts w:cstheme="minorHAnsi"/>
          <w:bCs/>
        </w:rPr>
        <w:t xml:space="preserve"> </w:t>
      </w:r>
      <w:r w:rsidRPr="00122B2B">
        <w:rPr>
          <w:rFonts w:cstheme="minorHAnsi"/>
          <w:bCs/>
          <w:noProof/>
          <w:vertAlign w:val="superscript"/>
        </w:rPr>
        <w:t>5</w:t>
      </w:r>
    </w:p>
    <w:p w14:paraId="7318DD74" w14:textId="77777777" w:rsidR="0028692B" w:rsidRDefault="0028692B" w:rsidP="000F56D4">
      <w:pPr>
        <w:spacing w:line="360" w:lineRule="auto"/>
        <w:jc w:val="both"/>
        <w:rPr>
          <w:noProof/>
        </w:rPr>
      </w:pPr>
      <w:r w:rsidRPr="61316C32">
        <w:rPr>
          <w:rFonts w:eastAsia="Times New Roman" w:cs="Times New Roman"/>
        </w:rPr>
        <w:t xml:space="preserve">Current treatment </w:t>
      </w:r>
      <w:r>
        <w:t xml:space="preserve">of IBS in primary care </w:t>
      </w:r>
      <w:r w:rsidRPr="61316C32">
        <w:rPr>
          <w:rFonts w:eastAsia="Times New Roman" w:cs="Times New Roman"/>
        </w:rPr>
        <w:t>include</w:t>
      </w:r>
      <w:r>
        <w:rPr>
          <w:rFonts w:eastAsia="Times New Roman" w:cs="Times New Roman"/>
        </w:rPr>
        <w:t>s</w:t>
      </w:r>
      <w:r>
        <w:t xml:space="preserve"> dietary and lifestyle advice, laxatives, </w:t>
      </w:r>
      <w:r w:rsidRPr="00295C7A">
        <w:rPr>
          <w:noProof/>
        </w:rPr>
        <w:t xml:space="preserve">antimotility </w:t>
      </w:r>
      <w:r>
        <w:t>and antispasmodic drugs.</w:t>
      </w:r>
      <w:r w:rsidRPr="00295C7A">
        <w:rPr>
          <w:noProof/>
          <w:vertAlign w:val="superscript"/>
        </w:rPr>
        <w:t>6</w:t>
      </w:r>
      <w:r>
        <w:t xml:space="preserve"> If these treatments are ineffective, NICE </w:t>
      </w:r>
      <w:r>
        <w:rPr>
          <w:rFonts w:eastAsia="Times New Roman" w:cs="Times New Roman"/>
        </w:rPr>
        <w:t>guidelines suggest that general practitioners (</w:t>
      </w:r>
      <w:r w:rsidRPr="61316C32">
        <w:rPr>
          <w:rFonts w:eastAsia="Times New Roman" w:cs="Times New Roman"/>
        </w:rPr>
        <w:t>GPs</w:t>
      </w:r>
      <w:r>
        <w:rPr>
          <w:rFonts w:eastAsia="Times New Roman" w:cs="Times New Roman"/>
        </w:rPr>
        <w:t>)</w:t>
      </w:r>
      <w:r>
        <w:t xml:space="preserve"> </w:t>
      </w:r>
      <w:r w:rsidRPr="61316C32">
        <w:t>consider</w:t>
      </w:r>
      <w:r w:rsidRPr="00FD6C5A">
        <w:rPr>
          <w:rFonts w:eastAsia="Times New Roman" w:cs="Times New Roman"/>
        </w:rPr>
        <w:t xml:space="preserve"> </w:t>
      </w:r>
      <w:r>
        <w:rPr>
          <w:rFonts w:eastAsia="Times New Roman" w:cs="Times New Roman"/>
        </w:rPr>
        <w:t>p</w:t>
      </w:r>
      <w:r w:rsidRPr="61316C32">
        <w:rPr>
          <w:rFonts w:eastAsia="Times New Roman" w:cs="Times New Roman"/>
        </w:rPr>
        <w:t xml:space="preserve">rescribing </w:t>
      </w:r>
      <w:r>
        <w:rPr>
          <w:rFonts w:eastAsia="Times New Roman" w:cs="Times New Roman"/>
        </w:rPr>
        <w:t xml:space="preserve">low-dose </w:t>
      </w:r>
      <w:r w:rsidRPr="61316C32">
        <w:rPr>
          <w:rFonts w:eastAsia="Times New Roman" w:cs="Times New Roman"/>
        </w:rPr>
        <w:t>tricyclic antidepressants</w:t>
      </w:r>
      <w:r>
        <w:rPr>
          <w:rFonts w:eastAsia="Times New Roman" w:cs="Times New Roman"/>
        </w:rPr>
        <w:t>,</w:t>
      </w:r>
      <w:r w:rsidRPr="61316C32">
        <w:rPr>
          <w:rFonts w:eastAsia="Times New Roman" w:cs="Times New Roman"/>
        </w:rPr>
        <w:t xml:space="preserve"> such </w:t>
      </w:r>
      <w:r>
        <w:rPr>
          <w:rFonts w:eastAsia="Times New Roman" w:cs="Times New Roman"/>
        </w:rPr>
        <w:t xml:space="preserve">as </w:t>
      </w:r>
      <w:r w:rsidRPr="61316C32">
        <w:rPr>
          <w:rFonts w:eastAsia="Times New Roman" w:cs="Times New Roman"/>
        </w:rPr>
        <w:t>amitriptyline</w:t>
      </w:r>
      <w:r>
        <w:rPr>
          <w:rFonts w:eastAsia="Times New Roman" w:cs="Times New Roman"/>
        </w:rPr>
        <w:t>,</w:t>
      </w:r>
      <w:r w:rsidRPr="61316C32">
        <w:rPr>
          <w:rFonts w:eastAsia="Times New Roman" w:cs="Times New Roman"/>
        </w:rPr>
        <w:t xml:space="preserve"> </w:t>
      </w:r>
      <w:r w:rsidRPr="61316C32">
        <w:rPr>
          <w:noProof/>
        </w:rPr>
        <w:t>as second-line treatment for IBS</w:t>
      </w:r>
      <w:r>
        <w:rPr>
          <w:noProof/>
        </w:rPr>
        <w:t>.</w:t>
      </w:r>
      <w:r w:rsidRPr="00295C7A">
        <w:rPr>
          <w:noProof/>
          <w:vertAlign w:val="superscript"/>
        </w:rPr>
        <w:t>7 8</w:t>
      </w:r>
      <w:r>
        <w:rPr>
          <w:noProof/>
        </w:rPr>
        <w:t xml:space="preserve"> </w:t>
      </w:r>
      <w:r>
        <w:rPr>
          <w:rFonts w:eastAsia="Times New Roman" w:cs="Times New Roman"/>
          <w:szCs w:val="24"/>
        </w:rPr>
        <w:t>Systematic reviews and meta-analyses</w:t>
      </w:r>
      <w:r>
        <w:rPr>
          <w:noProof/>
        </w:rPr>
        <w:t xml:space="preserve"> suggest that low-dose amitriptyline might </w:t>
      </w:r>
      <w:r>
        <w:rPr>
          <w:rFonts w:eastAsia="Times New Roman" w:cs="Times New Roman"/>
          <w:szCs w:val="24"/>
        </w:rPr>
        <w:t xml:space="preserve">improve IBS symptoms due to its pain-modifying properties, </w:t>
      </w:r>
      <w:r w:rsidRPr="00002602">
        <w:rPr>
          <w:rFonts w:eastAsia="Times New Roman" w:cs="Times New Roman"/>
          <w:noProof/>
          <w:szCs w:val="24"/>
          <w:vertAlign w:val="superscript"/>
        </w:rPr>
        <w:t>9-12</w:t>
      </w:r>
      <w:r>
        <w:rPr>
          <w:rFonts w:eastAsia="Times New Roman" w:cs="Times New Roman"/>
          <w:szCs w:val="24"/>
        </w:rPr>
        <w:t xml:space="preserve"> and influence on gastrointestinal motility </w:t>
      </w:r>
      <w:r w:rsidRPr="00002602">
        <w:rPr>
          <w:rFonts w:eastAsia="Times New Roman" w:cs="Times New Roman"/>
          <w:noProof/>
          <w:szCs w:val="24"/>
          <w:vertAlign w:val="superscript"/>
        </w:rPr>
        <w:t>13 14</w:t>
      </w:r>
      <w:r>
        <w:rPr>
          <w:rFonts w:eastAsia="Times New Roman" w:cs="Times New Roman"/>
          <w:szCs w:val="24"/>
        </w:rPr>
        <w:t xml:space="preserve"> </w:t>
      </w:r>
      <w:r>
        <w:rPr>
          <w:rFonts w:eastAsia="Times New Roman" w:cstheme="minorHAnsi"/>
        </w:rPr>
        <w:t>and so acts as a</w:t>
      </w:r>
      <w:r w:rsidRPr="00AE4CCD">
        <w:rPr>
          <w:rFonts w:eastAsia="Times New Roman" w:cstheme="minorHAnsi"/>
        </w:rPr>
        <w:t xml:space="preserve"> </w:t>
      </w:r>
      <w:r w:rsidRPr="00AE4CCD">
        <w:rPr>
          <w:rStyle w:val="cf01"/>
          <w:rFonts w:cstheme="minorHAnsi"/>
        </w:rPr>
        <w:t>neuromodulat</w:t>
      </w:r>
      <w:r>
        <w:rPr>
          <w:rStyle w:val="cf01"/>
          <w:rFonts w:cstheme="minorHAnsi"/>
        </w:rPr>
        <w:t>or</w:t>
      </w:r>
      <w:r w:rsidRPr="00AE4CCD">
        <w:rPr>
          <w:rStyle w:val="cf01"/>
          <w:rFonts w:cstheme="minorHAnsi"/>
        </w:rPr>
        <w:t xml:space="preserve"> at low dose.</w:t>
      </w:r>
    </w:p>
    <w:p w14:paraId="1BF4ADD1" w14:textId="77777777" w:rsidR="0028692B" w:rsidRPr="00643EA5" w:rsidRDefault="0028692B" w:rsidP="00643EA5">
      <w:pPr>
        <w:autoSpaceDE w:val="0"/>
        <w:autoSpaceDN w:val="0"/>
        <w:adjustRightInd w:val="0"/>
        <w:spacing w:after="240" w:line="360" w:lineRule="auto"/>
        <w:rPr>
          <w:rFonts w:ascii="Calibri" w:hAnsi="Calibri" w:cs="Calibri"/>
        </w:rPr>
      </w:pPr>
      <w:r>
        <w:rPr>
          <w:noProof/>
        </w:rPr>
        <w:t xml:space="preserve">Previous qualitative research has explored </w:t>
      </w:r>
      <w:r w:rsidRPr="00EB41DA">
        <w:t xml:space="preserve">the impact of IBS </w:t>
      </w:r>
      <w:r>
        <w:t xml:space="preserve">on physical health, psychological and social wellbeing, daily activities, </w:t>
      </w:r>
      <w:r w:rsidRPr="00EB41DA">
        <w:t>and patients’ experiences of treatment seeking</w:t>
      </w:r>
      <w:r>
        <w:t xml:space="preserve">. </w:t>
      </w:r>
      <w:r w:rsidRPr="00002602">
        <w:rPr>
          <w:noProof/>
          <w:vertAlign w:val="superscript"/>
        </w:rPr>
        <w:t>15-20</w:t>
      </w:r>
      <w:r>
        <w:t xml:space="preserve"> </w:t>
      </w:r>
      <w:r w:rsidRPr="006D6EF6">
        <w:rPr>
          <w:rFonts w:ascii="Calibri" w:hAnsi="Calibri" w:cs="Calibri"/>
        </w:rPr>
        <w:t>The diagnostic process is seen as confusing, and patients are frequently frustrated by prolonged searches for effective treatments</w:t>
      </w:r>
      <w:r>
        <w:rPr>
          <w:rFonts w:ascii="Calibri" w:hAnsi="Calibri" w:cs="Calibri"/>
        </w:rPr>
        <w:t xml:space="preserve">, which </w:t>
      </w:r>
      <w:r w:rsidRPr="006D6EF6">
        <w:rPr>
          <w:rFonts w:ascii="Calibri" w:hAnsi="Calibri" w:cs="Calibri"/>
        </w:rPr>
        <w:t>can reduce their trust in doctors</w:t>
      </w:r>
      <w:r w:rsidRPr="009D6360">
        <w:rPr>
          <w:rFonts w:ascii="Calibri" w:hAnsi="Calibri" w:cs="Calibri"/>
        </w:rPr>
        <w:t>.</w:t>
      </w:r>
      <w:r>
        <w:rPr>
          <w:rFonts w:ascii="Calibri" w:hAnsi="Calibri" w:cs="Calibri"/>
        </w:rPr>
        <w:t xml:space="preserve"> </w:t>
      </w:r>
      <w:r w:rsidRPr="00002602">
        <w:rPr>
          <w:rFonts w:ascii="Calibri" w:hAnsi="Calibri" w:cs="Calibri"/>
          <w:noProof/>
          <w:vertAlign w:val="superscript"/>
        </w:rPr>
        <w:t>16 17</w:t>
      </w:r>
      <w:r>
        <w:rPr>
          <w:rFonts w:cstheme="minorHAnsi"/>
        </w:rPr>
        <w:t xml:space="preserve"> </w:t>
      </w:r>
      <w:r>
        <w:t xml:space="preserve">More support from healthcare professionals and initiatives against societal stigma of IBS are needed to help people </w:t>
      </w:r>
      <w:r>
        <w:rPr>
          <w:rFonts w:cstheme="minorHAnsi"/>
        </w:rPr>
        <w:t>cope with the</w:t>
      </w:r>
      <w:r w:rsidRPr="00643EA5">
        <w:rPr>
          <w:rFonts w:cstheme="minorHAnsi"/>
        </w:rPr>
        <w:t xml:space="preserve"> disruption to their lives </w:t>
      </w:r>
      <w:r>
        <w:rPr>
          <w:rFonts w:cstheme="minorHAnsi"/>
        </w:rPr>
        <w:t>caused by</w:t>
      </w:r>
      <w:r w:rsidRPr="00643EA5">
        <w:rPr>
          <w:rFonts w:cstheme="minorHAnsi"/>
        </w:rPr>
        <w:t xml:space="preserve"> painful and uncomfortable physical symptoms, loss of social and employment activity</w:t>
      </w:r>
      <w:r>
        <w:rPr>
          <w:rFonts w:cstheme="minorHAnsi"/>
        </w:rPr>
        <w:t>,</w:t>
      </w:r>
      <w:r w:rsidRPr="00643EA5">
        <w:rPr>
          <w:rFonts w:cstheme="minorHAnsi"/>
        </w:rPr>
        <w:t xml:space="preserve"> and psychological distress.</w:t>
      </w:r>
      <w:r>
        <w:rPr>
          <w:rFonts w:cstheme="minorHAnsi"/>
        </w:rPr>
        <w:t xml:space="preserve"> </w:t>
      </w:r>
      <w:r w:rsidRPr="00002602">
        <w:rPr>
          <w:rFonts w:cstheme="minorHAnsi"/>
          <w:noProof/>
          <w:vertAlign w:val="superscript"/>
        </w:rPr>
        <w:t>21</w:t>
      </w:r>
    </w:p>
    <w:p w14:paraId="14BCFC60" w14:textId="77777777" w:rsidR="0028692B" w:rsidRPr="000E6575" w:rsidRDefault="0028692B" w:rsidP="00F65B97">
      <w:pPr>
        <w:spacing w:line="360" w:lineRule="auto"/>
        <w:rPr>
          <w:rFonts w:cstheme="minorHAnsi"/>
        </w:rPr>
      </w:pPr>
      <w:r w:rsidRPr="00EB41DA">
        <w:rPr>
          <w:rFonts w:cstheme="minorHAnsi"/>
          <w:bCs/>
        </w:rPr>
        <w:t xml:space="preserve">The </w:t>
      </w:r>
      <w:r w:rsidRPr="001E5499">
        <w:rPr>
          <w:rFonts w:cstheme="minorHAnsi"/>
          <w:b/>
        </w:rPr>
        <w:t xml:space="preserve">ATLANTIS </w:t>
      </w:r>
      <w:r w:rsidRPr="001E5499">
        <w:rPr>
          <w:rFonts w:cstheme="minorHAnsi"/>
        </w:rPr>
        <w:t>(</w:t>
      </w:r>
      <w:r w:rsidRPr="001E5499">
        <w:rPr>
          <w:rFonts w:cstheme="minorHAnsi"/>
          <w:b/>
          <w:u w:val="single"/>
        </w:rPr>
        <w:t>A</w:t>
      </w:r>
      <w:r w:rsidRPr="001E5499">
        <w:rPr>
          <w:rFonts w:cstheme="minorHAnsi"/>
        </w:rPr>
        <w:t>mi</w:t>
      </w:r>
      <w:r w:rsidRPr="001E5499">
        <w:rPr>
          <w:rFonts w:cstheme="minorHAnsi"/>
          <w:b/>
          <w:u w:val="single"/>
        </w:rPr>
        <w:t>t</w:t>
      </w:r>
      <w:r w:rsidRPr="001E5499">
        <w:rPr>
          <w:rFonts w:cstheme="minorHAnsi"/>
        </w:rPr>
        <w:t xml:space="preserve">riptyline at </w:t>
      </w:r>
      <w:r w:rsidRPr="001E5499">
        <w:rPr>
          <w:rFonts w:cstheme="minorHAnsi"/>
          <w:b/>
          <w:u w:val="single"/>
        </w:rPr>
        <w:t>L</w:t>
      </w:r>
      <w:r w:rsidRPr="001E5499">
        <w:rPr>
          <w:rFonts w:cstheme="minorHAnsi"/>
        </w:rPr>
        <w:t xml:space="preserve">ow-dose </w:t>
      </w:r>
      <w:r w:rsidRPr="001E5499">
        <w:rPr>
          <w:rFonts w:cstheme="minorHAnsi"/>
          <w:b/>
          <w:u w:val="single"/>
        </w:rPr>
        <w:t>an</w:t>
      </w:r>
      <w:r w:rsidRPr="001E5499">
        <w:rPr>
          <w:rFonts w:cstheme="minorHAnsi"/>
        </w:rPr>
        <w:t xml:space="preserve">d </w:t>
      </w:r>
      <w:r w:rsidRPr="001E5499">
        <w:rPr>
          <w:rFonts w:cstheme="minorHAnsi"/>
          <w:b/>
          <w:u w:val="single"/>
        </w:rPr>
        <w:t>T</w:t>
      </w:r>
      <w:r w:rsidRPr="001E5499">
        <w:rPr>
          <w:rFonts w:cstheme="minorHAnsi"/>
        </w:rPr>
        <w:t xml:space="preserve">itrated for </w:t>
      </w:r>
      <w:r w:rsidRPr="001E5499">
        <w:rPr>
          <w:rFonts w:cstheme="minorHAnsi"/>
          <w:b/>
          <w:u w:val="single"/>
        </w:rPr>
        <w:t>I</w:t>
      </w:r>
      <w:r w:rsidRPr="001E5499">
        <w:rPr>
          <w:rFonts w:cstheme="minorHAnsi"/>
        </w:rPr>
        <w:t xml:space="preserve">rritable Bowel Syndrome as </w:t>
      </w:r>
      <w:r w:rsidRPr="001E5499">
        <w:rPr>
          <w:rFonts w:cstheme="minorHAnsi"/>
          <w:b/>
          <w:u w:val="single"/>
        </w:rPr>
        <w:t>S</w:t>
      </w:r>
      <w:r w:rsidRPr="001E5499">
        <w:rPr>
          <w:rFonts w:cstheme="minorHAnsi"/>
        </w:rPr>
        <w:t xml:space="preserve">econd-line Treatment) </w:t>
      </w:r>
      <w:r>
        <w:rPr>
          <w:rFonts w:cstheme="minorHAnsi"/>
        </w:rPr>
        <w:t>trial evaluated</w:t>
      </w:r>
      <w:r w:rsidRPr="001E5499">
        <w:rPr>
          <w:rFonts w:cstheme="minorHAnsi"/>
        </w:rPr>
        <w:t xml:space="preserve"> the clinical and cost-effectiveness of low-dose amitriptyline</w:t>
      </w:r>
      <w:r>
        <w:rPr>
          <w:rFonts w:cstheme="minorHAnsi"/>
        </w:rPr>
        <w:t xml:space="preserve"> vs placebo</w:t>
      </w:r>
      <w:r w:rsidRPr="001E5499">
        <w:rPr>
          <w:rFonts w:cstheme="minorHAnsi"/>
        </w:rPr>
        <w:t xml:space="preserve"> as a second-line treatment for IBS in primary care.</w:t>
      </w:r>
      <w:r w:rsidRPr="00002602">
        <w:rPr>
          <w:rFonts w:cstheme="minorHAnsi"/>
          <w:noProof/>
          <w:vertAlign w:val="superscript"/>
        </w:rPr>
        <w:t>22 23</w:t>
      </w:r>
      <w:r>
        <w:rPr>
          <w:rFonts w:cstheme="minorHAnsi"/>
        </w:rPr>
        <w:t xml:space="preserve"> Nested within the main trial, this </w:t>
      </w:r>
      <w:r w:rsidRPr="001E5499">
        <w:rPr>
          <w:rFonts w:cstheme="minorHAnsi"/>
        </w:rPr>
        <w:t>qualitative study</w:t>
      </w:r>
      <w:r>
        <w:rPr>
          <w:rFonts w:cstheme="minorHAnsi"/>
        </w:rPr>
        <w:t xml:space="preserve"> </w:t>
      </w:r>
      <w:r w:rsidRPr="001542C9">
        <w:rPr>
          <w:rFonts w:cstheme="minorHAnsi"/>
        </w:rPr>
        <w:t>explore</w:t>
      </w:r>
      <w:r>
        <w:rPr>
          <w:rFonts w:cstheme="minorHAnsi"/>
        </w:rPr>
        <w:t>d</w:t>
      </w:r>
      <w:r w:rsidRPr="001542C9">
        <w:rPr>
          <w:rFonts w:cstheme="minorHAnsi"/>
        </w:rPr>
        <w:t xml:space="preserve"> patients’ and GPs’ experiences</w:t>
      </w:r>
      <w:r w:rsidRPr="008A2F2F">
        <w:rPr>
          <w:rFonts w:cstheme="minorHAnsi"/>
        </w:rPr>
        <w:t xml:space="preserve"> </w:t>
      </w:r>
      <w:r w:rsidRPr="001542C9">
        <w:rPr>
          <w:rFonts w:cstheme="minorHAnsi"/>
        </w:rPr>
        <w:t xml:space="preserve">of </w:t>
      </w:r>
      <w:r>
        <w:rPr>
          <w:rFonts w:cstheme="minorHAnsi"/>
        </w:rPr>
        <w:t xml:space="preserve">trial </w:t>
      </w:r>
      <w:r w:rsidRPr="001542C9">
        <w:rPr>
          <w:rFonts w:cstheme="minorHAnsi"/>
        </w:rPr>
        <w:t xml:space="preserve">treatments and </w:t>
      </w:r>
      <w:r>
        <w:rPr>
          <w:rFonts w:cstheme="minorHAnsi"/>
        </w:rPr>
        <w:t xml:space="preserve">processes, aiming </w:t>
      </w:r>
      <w:r w:rsidRPr="61316C32">
        <w:rPr>
          <w:rFonts w:eastAsiaTheme="minorEastAsia"/>
          <w:lang w:eastAsia="zh-CN"/>
        </w:rPr>
        <w:t>to</w:t>
      </w:r>
      <w:r>
        <w:rPr>
          <w:shd w:val="clear" w:color="auto" w:fill="FFFFFF"/>
        </w:rPr>
        <w:t xml:space="preserve"> </w:t>
      </w:r>
      <w:r w:rsidRPr="61316C32">
        <w:rPr>
          <w:shd w:val="clear" w:color="auto" w:fill="FFFFFF"/>
        </w:rPr>
        <w:t xml:space="preserve">support </w:t>
      </w:r>
      <w:r>
        <w:rPr>
          <w:shd w:val="clear" w:color="auto" w:fill="FFFFFF"/>
        </w:rPr>
        <w:t xml:space="preserve">the </w:t>
      </w:r>
      <w:r w:rsidRPr="61316C32">
        <w:rPr>
          <w:shd w:val="clear" w:color="auto" w:fill="FFFFFF"/>
        </w:rPr>
        <w:t xml:space="preserve">interpretation of </w:t>
      </w:r>
      <w:r w:rsidRPr="009D4860">
        <w:rPr>
          <w:shd w:val="clear" w:color="auto" w:fill="FFFFFF"/>
        </w:rPr>
        <w:t xml:space="preserve">trial outcomes and inform future efforts to promote wider use of amitriptyline for IBS, if appropriate. </w:t>
      </w:r>
      <w:r w:rsidRPr="009D4860">
        <w:rPr>
          <w:rFonts w:eastAsia="Times New Roman" w:cs="Times New Roman"/>
          <w:szCs w:val="24"/>
        </w:rPr>
        <w:t xml:space="preserve">This paper focuses on patients’ and GPs’ </w:t>
      </w:r>
      <w:r w:rsidRPr="009D4860">
        <w:rPr>
          <w:rFonts w:cstheme="minorHAnsi"/>
        </w:rPr>
        <w:t>views</w:t>
      </w:r>
      <w:r w:rsidRPr="009D4860">
        <w:t xml:space="preserve"> and experiences of using </w:t>
      </w:r>
      <w:r w:rsidRPr="009D4860">
        <w:rPr>
          <w:rFonts w:cstheme="minorHAnsi"/>
        </w:rPr>
        <w:t>low-dose amitriptyline for IBS in primary care.</w:t>
      </w:r>
      <w:r>
        <w:rPr>
          <w:rFonts w:cstheme="minorHAnsi"/>
        </w:rPr>
        <w:t xml:space="preserve"> The analysis was conducted prior to the trial results being available. The ATLANTIS trial results have since been published </w:t>
      </w:r>
      <w:r w:rsidRPr="00002602">
        <w:rPr>
          <w:rFonts w:cstheme="minorHAnsi"/>
          <w:noProof/>
          <w:vertAlign w:val="superscript"/>
        </w:rPr>
        <w:t>23</w:t>
      </w:r>
      <w:r>
        <w:rPr>
          <w:rFonts w:cstheme="minorHAnsi"/>
        </w:rPr>
        <w:t xml:space="preserve"> and indicate that low dose amitriptyline for IBS is effective and safe.</w:t>
      </w:r>
    </w:p>
    <w:p w14:paraId="312AB35C" w14:textId="77777777" w:rsidR="0028692B" w:rsidRDefault="0028692B">
      <w:pPr>
        <w:rPr>
          <w:b/>
          <w:color w:val="0070C0"/>
          <w:sz w:val="24"/>
          <w:szCs w:val="24"/>
        </w:rPr>
      </w:pPr>
    </w:p>
    <w:p w14:paraId="4E2FAB02" w14:textId="77777777" w:rsidR="0028692B" w:rsidRDefault="0028692B">
      <w:pPr>
        <w:rPr>
          <w:b/>
          <w:color w:val="0070C0"/>
          <w:sz w:val="24"/>
          <w:szCs w:val="24"/>
        </w:rPr>
      </w:pPr>
    </w:p>
    <w:p w14:paraId="00901A87" w14:textId="77777777" w:rsidR="0028692B" w:rsidRDefault="0028692B">
      <w:pPr>
        <w:rPr>
          <w:b/>
          <w:color w:val="0070C0"/>
          <w:sz w:val="24"/>
          <w:szCs w:val="24"/>
        </w:rPr>
      </w:pPr>
    </w:p>
    <w:p w14:paraId="15C05CB9" w14:textId="77777777" w:rsidR="0028692B" w:rsidRPr="00B46419" w:rsidRDefault="0028692B" w:rsidP="00597272">
      <w:pPr>
        <w:pStyle w:val="Heading1"/>
      </w:pPr>
      <w:r w:rsidRPr="00B46419">
        <w:lastRenderedPageBreak/>
        <w:t>METHODS</w:t>
      </w:r>
    </w:p>
    <w:p w14:paraId="0FB1D564" w14:textId="77777777" w:rsidR="0028692B" w:rsidRPr="00F71C82" w:rsidRDefault="0028692B" w:rsidP="61316C32">
      <w:pPr>
        <w:spacing w:line="360" w:lineRule="auto"/>
        <w:rPr>
          <w:rFonts w:cs="DIN-Light"/>
          <w:b/>
          <w:bCs/>
          <w:color w:val="0070C0"/>
        </w:rPr>
      </w:pPr>
      <w:bookmarkStart w:id="8" w:name="_Hlk109644225"/>
      <w:r w:rsidRPr="00F71C82">
        <w:rPr>
          <w:rFonts w:cs="DIN-Light"/>
          <w:b/>
          <w:bCs/>
          <w:color w:val="0070C0"/>
        </w:rPr>
        <w:t>Design</w:t>
      </w:r>
    </w:p>
    <w:p w14:paraId="345408F0" w14:textId="77777777" w:rsidR="0028692B" w:rsidRDefault="0028692B" w:rsidP="0076487B">
      <w:pPr>
        <w:spacing w:line="360" w:lineRule="auto"/>
      </w:pPr>
      <w:r>
        <w:rPr>
          <w:rFonts w:cs="DIN-Light"/>
        </w:rPr>
        <w:t>A n</w:t>
      </w:r>
      <w:r w:rsidRPr="0014585B">
        <w:rPr>
          <w:rFonts w:cs="DIN-Light"/>
        </w:rPr>
        <w:t>ested qualitative study comprising semi-structured telephone interviews</w:t>
      </w:r>
      <w:r>
        <w:t xml:space="preserve"> </w:t>
      </w:r>
      <w:r w:rsidRPr="0014585B">
        <w:t xml:space="preserve">with a sub-sample of </w:t>
      </w:r>
      <w:r>
        <w:t>patients</w:t>
      </w:r>
      <w:r w:rsidRPr="0014585B">
        <w:t xml:space="preserve"> and GPs</w:t>
      </w:r>
      <w:r>
        <w:t xml:space="preserve"> from West Yorkshire, West of England, and Southern England</w:t>
      </w:r>
      <w:r w:rsidRPr="0014585B">
        <w:t xml:space="preserve"> in </w:t>
      </w:r>
      <w:r>
        <w:t xml:space="preserve">the ATLANTIS trial. </w:t>
      </w:r>
      <w:r w:rsidRPr="002356EE">
        <w:t>The qualitative team comprised a female research fellow with experience of conducting qualitative research about IBS</w:t>
      </w:r>
      <w:r>
        <w:t xml:space="preserve"> (EJT)</w:t>
      </w:r>
      <w:r w:rsidRPr="002356EE">
        <w:t>, a female health psychologist</w:t>
      </w:r>
      <w:r>
        <w:t xml:space="preserve"> (FLB)</w:t>
      </w:r>
      <w:r w:rsidRPr="002356EE">
        <w:t>, two female GPs</w:t>
      </w:r>
      <w:r>
        <w:t xml:space="preserve"> (HAE, SLA)</w:t>
      </w:r>
      <w:r w:rsidRPr="002356EE">
        <w:t>, a male student</w:t>
      </w:r>
      <w:r>
        <w:t xml:space="preserve"> (JH)</w:t>
      </w:r>
      <w:r w:rsidRPr="002356EE">
        <w:t>, a female studen</w:t>
      </w:r>
      <w:r w:rsidRPr="003E01EB">
        <w:t>t</w:t>
      </w:r>
      <w:r>
        <w:t xml:space="preserve"> (CM)</w:t>
      </w:r>
      <w:r w:rsidRPr="003003B2">
        <w:t xml:space="preserve"> </w:t>
      </w:r>
      <w:r>
        <w:t xml:space="preserve">and </w:t>
      </w:r>
      <w:r w:rsidRPr="00AE4CCD">
        <w:t>two PPI contributors (MC - male, EJW - female</w:t>
      </w:r>
      <w:r w:rsidRPr="009D4860">
        <w:t xml:space="preserve">). Core members (EJT, FLB, HAE, SLA) held monthly meetings to review study progress, review interview data and collaborate on data analysis. Bi-monthly meetings were held with PPI members to seek their input in these activities. </w:t>
      </w:r>
      <w:bookmarkStart w:id="9" w:name="_Hlk152059575"/>
      <w:r w:rsidRPr="009D4860">
        <w:t xml:space="preserve">This study </w:t>
      </w:r>
      <w:bookmarkEnd w:id="9"/>
      <w:r w:rsidRPr="009D4860">
        <w:t xml:space="preserve">is reported in accordance with the Standards for reporting qualitative research. </w:t>
      </w:r>
      <w:r w:rsidRPr="009D4860">
        <w:rPr>
          <w:noProof/>
          <w:vertAlign w:val="superscript"/>
        </w:rPr>
        <w:t>24</w:t>
      </w:r>
    </w:p>
    <w:p w14:paraId="16E7AE17" w14:textId="77777777" w:rsidR="0028692B" w:rsidRDefault="0028692B" w:rsidP="00B46419">
      <w:pPr>
        <w:spacing w:after="0" w:line="240" w:lineRule="auto"/>
        <w:rPr>
          <w:b/>
          <w:color w:val="0070C0"/>
        </w:rPr>
      </w:pPr>
    </w:p>
    <w:p w14:paraId="510E6618" w14:textId="77777777" w:rsidR="0028692B" w:rsidRPr="00AB7C39" w:rsidRDefault="0028692B" w:rsidP="00B46419">
      <w:pPr>
        <w:spacing w:after="0" w:line="240" w:lineRule="auto"/>
        <w:rPr>
          <w:b/>
          <w:color w:val="0070C0"/>
        </w:rPr>
      </w:pPr>
      <w:r w:rsidRPr="00AB7C39">
        <w:rPr>
          <w:b/>
          <w:color w:val="0070C0"/>
        </w:rPr>
        <w:t>Participants and Recruitment</w:t>
      </w:r>
    </w:p>
    <w:p w14:paraId="306F9A56" w14:textId="77777777" w:rsidR="0028692B" w:rsidRPr="00AB5CCE" w:rsidRDefault="0028692B" w:rsidP="00B46419">
      <w:pPr>
        <w:spacing w:after="0" w:line="240" w:lineRule="auto"/>
        <w:rPr>
          <w:b/>
        </w:rPr>
      </w:pPr>
    </w:p>
    <w:p w14:paraId="44809322" w14:textId="77777777" w:rsidR="0028692B" w:rsidRPr="00AB7C39" w:rsidRDefault="0028692B" w:rsidP="00B46419">
      <w:pPr>
        <w:spacing w:after="120" w:line="240" w:lineRule="auto"/>
        <w:rPr>
          <w:rFonts w:cs="Arial"/>
          <w:i/>
          <w:iCs/>
          <w:color w:val="0070C0"/>
        </w:rPr>
      </w:pPr>
      <w:r>
        <w:rPr>
          <w:i/>
          <w:iCs/>
          <w:color w:val="0070C0"/>
          <w:lang w:val="en"/>
        </w:rPr>
        <w:t>Patients</w:t>
      </w:r>
    </w:p>
    <w:p w14:paraId="13995A8B" w14:textId="77777777" w:rsidR="0028692B" w:rsidRPr="009D4860" w:rsidRDefault="0028692B" w:rsidP="00855706">
      <w:pPr>
        <w:spacing w:line="360" w:lineRule="auto"/>
        <w:jc w:val="both"/>
        <w:rPr>
          <w:rFonts w:cstheme="minorHAnsi"/>
          <w:color w:val="FF0000"/>
        </w:rPr>
      </w:pPr>
      <w:r>
        <w:rPr>
          <w:rFonts w:cs="Arial"/>
        </w:rPr>
        <w:t>A</w:t>
      </w:r>
      <w:r w:rsidRPr="61316C32">
        <w:rPr>
          <w:rFonts w:cs="Arial"/>
        </w:rPr>
        <w:t xml:space="preserve">dults aged 18 </w:t>
      </w:r>
      <w:r>
        <w:rPr>
          <w:rFonts w:cs="Arial"/>
        </w:rPr>
        <w:t xml:space="preserve">years </w:t>
      </w:r>
      <w:r w:rsidRPr="61316C32">
        <w:rPr>
          <w:rFonts w:cs="Arial"/>
        </w:rPr>
        <w:t xml:space="preserve">or over with a </w:t>
      </w:r>
      <w:r w:rsidRPr="61316C32">
        <w:t xml:space="preserve">GP diagnosis of IBS and ongoing troublesome symptoms </w:t>
      </w:r>
      <w:r>
        <w:t>were invited via GP practice mailouts to participate in the trial. Between October 2019 and April 2022, 463 patients were recruited. During the</w:t>
      </w:r>
      <w:r w:rsidRPr="61316C32">
        <w:t xml:space="preserve"> trial consent procedure, </w:t>
      </w:r>
      <w:r>
        <w:t>patients</w:t>
      </w:r>
      <w:r w:rsidRPr="61316C32">
        <w:t xml:space="preserve"> </w:t>
      </w:r>
      <w:r>
        <w:t xml:space="preserve">optionally consented </w:t>
      </w:r>
      <w:r w:rsidRPr="61316C32">
        <w:t xml:space="preserve">to be contacted about </w:t>
      </w:r>
      <w:r>
        <w:t xml:space="preserve">the qualitative study. </w:t>
      </w:r>
      <w:r w:rsidRPr="61316C32">
        <w:t xml:space="preserve"> </w:t>
      </w:r>
      <w:r>
        <w:t xml:space="preserve">After 6 months in the trial, </w:t>
      </w:r>
      <w:r>
        <w:rPr>
          <w:rFonts w:cs="Arial"/>
        </w:rPr>
        <w:t>the ATLANTIS trial team based at Leeds</w:t>
      </w:r>
      <w:r w:rsidRPr="001D4A5C">
        <w:rPr>
          <w:rFonts w:cs="Arial"/>
        </w:rPr>
        <w:t xml:space="preserve"> </w:t>
      </w:r>
      <w:r w:rsidRPr="61316C32">
        <w:rPr>
          <w:rFonts w:cs="Arial"/>
        </w:rPr>
        <w:t>Clinical Trials Unit (CTRU</w:t>
      </w:r>
      <w:r>
        <w:rPr>
          <w:rFonts w:cs="Arial"/>
        </w:rPr>
        <w:t xml:space="preserve">) sent consenting </w:t>
      </w:r>
      <w:r>
        <w:t xml:space="preserve">patients </w:t>
      </w:r>
      <w:r w:rsidRPr="61316C32">
        <w:rPr>
          <w:rFonts w:cs="Arial"/>
        </w:rPr>
        <w:t>a qualitative study invitation pack comprising invit</w:t>
      </w:r>
      <w:r>
        <w:rPr>
          <w:rFonts w:cs="Arial"/>
        </w:rPr>
        <w:t>ation</w:t>
      </w:r>
      <w:r w:rsidRPr="61316C32">
        <w:rPr>
          <w:rFonts w:cs="Arial"/>
        </w:rPr>
        <w:t xml:space="preserve"> letter, participant information sheet and qualitative interview consent form</w:t>
      </w:r>
      <w:r>
        <w:rPr>
          <w:rFonts w:cs="Arial"/>
        </w:rPr>
        <w:t xml:space="preserve">. Interested patients emailed completed consent forms to </w:t>
      </w:r>
      <w:r w:rsidRPr="61316C32">
        <w:rPr>
          <w:rFonts w:cs="Arial"/>
        </w:rPr>
        <w:t xml:space="preserve">the qualitative </w:t>
      </w:r>
      <w:r>
        <w:rPr>
          <w:rFonts w:cs="Arial"/>
        </w:rPr>
        <w:t>team</w:t>
      </w:r>
      <w:r w:rsidRPr="61316C32">
        <w:rPr>
          <w:rFonts w:cs="Arial"/>
        </w:rPr>
        <w:t>, who arrange</w:t>
      </w:r>
      <w:r>
        <w:rPr>
          <w:rFonts w:cs="Arial"/>
        </w:rPr>
        <w:t>d</w:t>
      </w:r>
      <w:r w:rsidRPr="61316C32">
        <w:rPr>
          <w:rFonts w:cs="Arial"/>
        </w:rPr>
        <w:t xml:space="preserve"> a mutually convenient time </w:t>
      </w:r>
      <w:r>
        <w:rPr>
          <w:rFonts w:cs="Arial"/>
        </w:rPr>
        <w:t>for interview</w:t>
      </w:r>
      <w:r w:rsidRPr="009D4860">
        <w:rPr>
          <w:rStyle w:val="cf01"/>
        </w:rPr>
        <w:t xml:space="preserve">. </w:t>
      </w:r>
      <w:r w:rsidRPr="009D4860">
        <w:rPr>
          <w:rFonts w:cstheme="minorHAnsi"/>
        </w:rPr>
        <w:t xml:space="preserve">One hundred and forty invitations were sent between April 2020 and March 2022. </w:t>
      </w:r>
      <w:r w:rsidRPr="009D4860">
        <w:rPr>
          <w:rFonts w:cs="Arial"/>
        </w:rPr>
        <w:t>Patient interviewees were also invited to a follow-up interview at 12 months post-randomisation.</w:t>
      </w:r>
      <w:r w:rsidRPr="009D4860">
        <w:rPr>
          <w:rFonts w:cstheme="minorHAnsi"/>
          <w:color w:val="FF0000"/>
        </w:rPr>
        <w:t xml:space="preserve"> </w:t>
      </w:r>
      <w:r w:rsidRPr="009D4860">
        <w:rPr>
          <w:rFonts w:cstheme="minorHAnsi"/>
        </w:rPr>
        <w:t xml:space="preserve"> EJT and JH conducted 61 telephone interviews (42 initial and 19 follow-ups).</w:t>
      </w:r>
      <w:r w:rsidRPr="009D4860">
        <w:rPr>
          <w:rFonts w:cstheme="minorHAnsi"/>
          <w:color w:val="FF0000"/>
        </w:rPr>
        <w:t xml:space="preserve"> </w:t>
      </w:r>
      <w:r w:rsidRPr="009D4860">
        <w:t xml:space="preserve">Of the 42 participants, only 29 could be contacted for a follow up interview. Due to recruitment delays caused by the COVID 19 pandemic, the remaining 13 participants had not reached their 12-month timepoint. </w:t>
      </w:r>
    </w:p>
    <w:p w14:paraId="7D333C24" w14:textId="77777777" w:rsidR="0028692B" w:rsidRPr="009D4860" w:rsidRDefault="0028692B" w:rsidP="00855706">
      <w:pPr>
        <w:jc w:val="both"/>
        <w:rPr>
          <w:rFonts w:cstheme="minorHAnsi"/>
          <w:i/>
          <w:iCs/>
          <w:color w:val="0070C0"/>
        </w:rPr>
      </w:pPr>
      <w:r w:rsidRPr="009D4860">
        <w:rPr>
          <w:rFonts w:cstheme="minorHAnsi"/>
          <w:i/>
          <w:iCs/>
          <w:color w:val="0070C0"/>
        </w:rPr>
        <w:t>GPs</w:t>
      </w:r>
    </w:p>
    <w:p w14:paraId="31973361" w14:textId="77777777" w:rsidR="0028692B" w:rsidRDefault="0028692B" w:rsidP="00DA081C">
      <w:pPr>
        <w:spacing w:line="360" w:lineRule="auto"/>
        <w:jc w:val="both"/>
        <w:rPr>
          <w:rFonts w:cstheme="minorHAnsi"/>
          <w:lang w:val="en-MY"/>
        </w:rPr>
      </w:pPr>
      <w:r w:rsidRPr="009D4860">
        <w:t xml:space="preserve">Forty two of the 55 </w:t>
      </w:r>
      <w:r w:rsidRPr="009D4860">
        <w:rPr>
          <w:rFonts w:cs="Arial"/>
        </w:rPr>
        <w:t>ATLANTIS</w:t>
      </w:r>
      <w:r w:rsidRPr="009D4860">
        <w:t xml:space="preserve"> general practices were available to be contacted during the qualitative study timeframe. EJT sent the GP information sheet and consent form to these practices </w:t>
      </w:r>
      <w:r w:rsidRPr="009D4860">
        <w:rPr>
          <w:rFonts w:cs="Arial"/>
        </w:rPr>
        <w:t xml:space="preserve">following their </w:t>
      </w:r>
      <w:r w:rsidRPr="009D4860">
        <w:t>patient recruitment period (approximately 5 months after they completed their mailout).</w:t>
      </w:r>
      <w:r w:rsidRPr="009D4860">
        <w:rPr>
          <w:noProof/>
          <w:vertAlign w:val="superscript"/>
        </w:rPr>
        <w:t>22</w:t>
      </w:r>
      <w:r w:rsidRPr="009D4860">
        <w:t xml:space="preserve"> GPs</w:t>
      </w:r>
      <w:r>
        <w:t xml:space="preserve"> interested in taking part emailed a completed consent form to the qualitative team. </w:t>
      </w:r>
      <w:bookmarkStart w:id="10" w:name="_Hlk109644307"/>
      <w:r>
        <w:t xml:space="preserve">Interviews were conducted by EJT (n =15) and CM (n=1) </w:t>
      </w:r>
      <w:r>
        <w:rPr>
          <w:rFonts w:cstheme="minorHAnsi"/>
        </w:rPr>
        <w:t xml:space="preserve">between </w:t>
      </w:r>
      <w:r w:rsidRPr="00050D84">
        <w:rPr>
          <w:rFonts w:cstheme="minorHAnsi"/>
        </w:rPr>
        <w:t>Oct 2020 and March 2022</w:t>
      </w:r>
      <w:r>
        <w:t xml:space="preserve">. </w:t>
      </w:r>
    </w:p>
    <w:p w14:paraId="109AE549" w14:textId="77777777" w:rsidR="0028692B" w:rsidRPr="006A7B18" w:rsidRDefault="0028692B" w:rsidP="00DA081C">
      <w:pPr>
        <w:spacing w:line="360" w:lineRule="auto"/>
        <w:jc w:val="both"/>
        <w:rPr>
          <w:rFonts w:cstheme="minorHAnsi"/>
          <w:i/>
          <w:iCs/>
          <w:color w:val="4472C4" w:themeColor="accent1"/>
          <w:lang w:val="en-MY"/>
        </w:rPr>
      </w:pPr>
      <w:r w:rsidRPr="006A7B18">
        <w:rPr>
          <w:rFonts w:cstheme="minorHAnsi"/>
          <w:i/>
          <w:iCs/>
          <w:color w:val="4472C4" w:themeColor="accent1"/>
          <w:lang w:val="en-MY"/>
        </w:rPr>
        <w:t>Sampling</w:t>
      </w:r>
    </w:p>
    <w:p w14:paraId="215ADB37" w14:textId="30D298B9" w:rsidR="0028692B" w:rsidRPr="00DA081C" w:rsidRDefault="0028692B" w:rsidP="00DA081C">
      <w:pPr>
        <w:spacing w:line="360" w:lineRule="auto"/>
        <w:jc w:val="both"/>
        <w:rPr>
          <w:rFonts w:cs="Arial"/>
        </w:rPr>
      </w:pPr>
      <w:r>
        <w:rPr>
          <w:rFonts w:cstheme="minorHAnsi"/>
        </w:rPr>
        <w:lastRenderedPageBreak/>
        <w:t>We used convenience sampling, rather than sampling for variation as planned, due to delays to ATLANTIS caused by the COVID-19 pandemic.  All patients and GPs that expressed interest, consented, and responded to the qualitative researcher’s request to arrange an interview were included.  Nevertheless, our interviewees varied in their personal and professional characteristics (Tables 1 and 2).</w:t>
      </w:r>
      <w:r w:rsidRPr="00B603CE">
        <w:t xml:space="preserve"> </w:t>
      </w:r>
      <w:r>
        <w:t xml:space="preserve">In terms of treatment arm, 55% (n=23) of patient interviewees were allocated to the amitriptyline arm and 45% (n=19) were allocated to the placebo arm. Patients and interviewers remained blinded to treatment allocation during interviews (except 7 patients unblinded, as per trial procedures, prior to their 12-month interview). </w:t>
      </w:r>
    </w:p>
    <w:bookmarkEnd w:id="10"/>
    <w:p w14:paraId="3598A193" w14:textId="77777777" w:rsidR="0028692B" w:rsidRPr="00523AC0" w:rsidRDefault="0028692B" w:rsidP="00523AC0">
      <w:pPr>
        <w:jc w:val="both"/>
        <w:rPr>
          <w:rFonts w:cstheme="minorHAnsi"/>
        </w:rPr>
      </w:pPr>
    </w:p>
    <w:p w14:paraId="3B7B6104" w14:textId="77777777" w:rsidR="0028692B" w:rsidRPr="00AB7C39" w:rsidRDefault="0028692B" w:rsidP="00821854">
      <w:pPr>
        <w:rPr>
          <w:b/>
          <w:color w:val="0070C0"/>
        </w:rPr>
      </w:pPr>
      <w:r w:rsidRPr="00AB7C39">
        <w:rPr>
          <w:b/>
          <w:color w:val="0070C0"/>
        </w:rPr>
        <w:t xml:space="preserve">Data collection </w:t>
      </w:r>
    </w:p>
    <w:p w14:paraId="07459D6A" w14:textId="747499E4" w:rsidR="0028692B" w:rsidRPr="0023364F" w:rsidRDefault="0028692B" w:rsidP="00D4668E">
      <w:pPr>
        <w:spacing w:line="360" w:lineRule="auto"/>
        <w:jc w:val="both"/>
        <w:rPr>
          <w:rFonts w:cstheme="minorHAnsi"/>
        </w:rPr>
      </w:pPr>
      <w:r>
        <w:rPr>
          <w:color w:val="000000"/>
        </w:rPr>
        <w:t xml:space="preserve">Supplementing prior written informed consent, </w:t>
      </w:r>
      <w:bookmarkStart w:id="11" w:name="_Hlk110430289"/>
      <w:r w:rsidRPr="009D67C3">
        <w:rPr>
          <w:color w:val="000000"/>
        </w:rPr>
        <w:t xml:space="preserve">interviewers obtained </w:t>
      </w:r>
      <w:r>
        <w:rPr>
          <w:color w:val="000000"/>
        </w:rPr>
        <w:t xml:space="preserve">verbal </w:t>
      </w:r>
      <w:r w:rsidRPr="009D67C3">
        <w:rPr>
          <w:color w:val="000000"/>
        </w:rPr>
        <w:t>consent</w:t>
      </w:r>
      <w:r>
        <w:rPr>
          <w:color w:val="000000"/>
        </w:rPr>
        <w:t xml:space="preserve"> before starting each interview. </w:t>
      </w:r>
      <w:bookmarkEnd w:id="11"/>
      <w:r w:rsidRPr="009D4860">
        <w:rPr>
          <w:color w:val="000000"/>
        </w:rPr>
        <w:t>Two</w:t>
      </w:r>
      <w:r>
        <w:rPr>
          <w:color w:val="000000"/>
        </w:rPr>
        <w:t xml:space="preserve"> topic guides com</w:t>
      </w:r>
      <w:r>
        <w:rPr>
          <w:rFonts w:cstheme="minorHAnsi"/>
        </w:rPr>
        <w:t>prising</w:t>
      </w:r>
      <w:r w:rsidRPr="00E06D6D">
        <w:rPr>
          <w:rFonts w:cstheme="minorHAnsi"/>
        </w:rPr>
        <w:t xml:space="preserve"> open-ended questio</w:t>
      </w:r>
      <w:r>
        <w:rPr>
          <w:rFonts w:cstheme="minorHAnsi"/>
        </w:rPr>
        <w:t>ns</w:t>
      </w:r>
      <w:r w:rsidRPr="00F60387">
        <w:t xml:space="preserve"> were developed by the </w:t>
      </w:r>
      <w:r>
        <w:t>qualitative</w:t>
      </w:r>
      <w:r w:rsidRPr="00F60387">
        <w:t xml:space="preserve"> team drawing on</w:t>
      </w:r>
      <w:r w:rsidRPr="00F60387">
        <w:rPr>
          <w:rFonts w:eastAsia="Times New Roman" w:cs="Times New Roman"/>
          <w:lang w:eastAsia="en-GB"/>
        </w:rPr>
        <w:t xml:space="preserve"> existing literature</w:t>
      </w:r>
      <w:r>
        <w:rPr>
          <w:rFonts w:eastAsia="Times New Roman" w:cs="Times New Roman"/>
          <w:lang w:eastAsia="en-GB"/>
        </w:rPr>
        <w:t xml:space="preserve"> </w:t>
      </w:r>
      <w:r w:rsidRPr="00F60387">
        <w:rPr>
          <w:rFonts w:eastAsia="Times New Roman" w:cs="Times New Roman"/>
          <w:lang w:eastAsia="en-GB"/>
        </w:rPr>
        <w:t xml:space="preserve">and input from </w:t>
      </w:r>
      <w:r>
        <w:rPr>
          <w:rFonts w:eastAsia="Times New Roman" w:cs="Times New Roman"/>
          <w:lang w:eastAsia="en-GB"/>
        </w:rPr>
        <w:t xml:space="preserve">a </w:t>
      </w:r>
      <w:r w:rsidRPr="00F60387">
        <w:rPr>
          <w:rFonts w:eastAsia="Times New Roman" w:cs="Times New Roman"/>
          <w:lang w:eastAsia="en-GB"/>
        </w:rPr>
        <w:t>patient collaborator</w:t>
      </w:r>
      <w:r>
        <w:rPr>
          <w:rFonts w:eastAsia="Times New Roman" w:cs="Times New Roman"/>
          <w:lang w:eastAsia="en-GB"/>
        </w:rPr>
        <w:t xml:space="preserve"> (MC)</w:t>
      </w:r>
      <w:r>
        <w:t xml:space="preserve">. Interviewers used topic guides flexibly </w:t>
      </w:r>
      <w:r>
        <w:rPr>
          <w:rFonts w:cstheme="minorHAnsi"/>
        </w:rPr>
        <w:t>to remain</w:t>
      </w:r>
      <w:r w:rsidRPr="00510F00">
        <w:rPr>
          <w:rFonts w:cstheme="minorHAnsi"/>
        </w:rPr>
        <w:t xml:space="preserve"> open to exploring </w:t>
      </w:r>
      <w:r>
        <w:rPr>
          <w:rFonts w:cstheme="minorHAnsi"/>
        </w:rPr>
        <w:t>interviewee</w:t>
      </w:r>
      <w:r w:rsidRPr="00510F00">
        <w:rPr>
          <w:rFonts w:cstheme="minorHAnsi"/>
        </w:rPr>
        <w:t>s’ individual experiences and perspectives in-depth, allow</w:t>
      </w:r>
      <w:r>
        <w:rPr>
          <w:rFonts w:cstheme="minorHAnsi"/>
        </w:rPr>
        <w:t>ing</w:t>
      </w:r>
      <w:r w:rsidRPr="00510F00">
        <w:rPr>
          <w:rFonts w:cstheme="minorHAnsi"/>
        </w:rPr>
        <w:t xml:space="preserve"> novel and unanticipated insights.</w:t>
      </w:r>
      <w:r>
        <w:rPr>
          <w:rFonts w:eastAsia="Times New Roman" w:cs="Times New Roman"/>
          <w:lang w:eastAsia="en-GB"/>
        </w:rPr>
        <w:t xml:space="preserve"> </w:t>
      </w:r>
      <w:r>
        <w:rPr>
          <w:rFonts w:cstheme="minorHAnsi"/>
        </w:rPr>
        <w:t>The patient topic guide (</w:t>
      </w:r>
      <w:r w:rsidR="00893131" w:rsidRPr="00893131">
        <w:rPr>
          <w:rFonts w:cstheme="minorHAnsi"/>
        </w:rPr>
        <w:t>Supplementary Box 1</w:t>
      </w:r>
      <w:r w:rsidR="00893131">
        <w:rPr>
          <w:rFonts w:cstheme="minorHAnsi"/>
        </w:rPr>
        <w:t xml:space="preserve">) </w:t>
      </w:r>
      <w:r>
        <w:rPr>
          <w:rFonts w:cstheme="minorHAnsi"/>
        </w:rPr>
        <w:t xml:space="preserve">was informed by </w:t>
      </w:r>
      <w:r w:rsidRPr="00510F00">
        <w:rPr>
          <w:rFonts w:cstheme="minorHAnsi"/>
        </w:rPr>
        <w:t>the common-sense model of illness perception</w:t>
      </w:r>
      <w:r>
        <w:rPr>
          <w:rFonts w:cstheme="minorHAnsi"/>
        </w:rPr>
        <w:t xml:space="preserve"> </w:t>
      </w:r>
      <w:r w:rsidRPr="00002602">
        <w:rPr>
          <w:rFonts w:cstheme="minorHAnsi"/>
          <w:noProof/>
          <w:vertAlign w:val="superscript"/>
        </w:rPr>
        <w:t>25</w:t>
      </w:r>
      <w:r>
        <w:rPr>
          <w:rFonts w:cstheme="minorHAnsi"/>
        </w:rPr>
        <w:t xml:space="preserve">, </w:t>
      </w:r>
      <w:r>
        <w:t xml:space="preserve">which provides a framework for understanding how people experience treatments and make treatment decisions within the context of chronic illness; this has proved relevant in previous qualitative work on IBS. </w:t>
      </w:r>
      <w:r w:rsidRPr="00002602">
        <w:rPr>
          <w:noProof/>
          <w:vertAlign w:val="superscript"/>
        </w:rPr>
        <w:t>19</w:t>
      </w:r>
      <w:r>
        <w:t xml:space="preserve"> </w:t>
      </w:r>
      <w:r>
        <w:rPr>
          <w:rFonts w:cstheme="minorHAnsi"/>
        </w:rPr>
        <w:t>The GP topic guide (</w:t>
      </w:r>
      <w:r w:rsidR="00893131">
        <w:rPr>
          <w:rFonts w:eastAsia="Times New Roman"/>
        </w:rPr>
        <w:t>Supplementary Box 2</w:t>
      </w:r>
      <w:r>
        <w:rPr>
          <w:rFonts w:cstheme="minorHAnsi"/>
        </w:rPr>
        <w:t xml:space="preserve">) was </w:t>
      </w:r>
      <w:r w:rsidRPr="00E06D6D">
        <w:rPr>
          <w:rFonts w:cstheme="minorHAnsi"/>
        </w:rPr>
        <w:t xml:space="preserve">informed by key domains from </w:t>
      </w:r>
      <w:r>
        <w:rPr>
          <w:rFonts w:cstheme="minorHAnsi"/>
        </w:rPr>
        <w:t>n</w:t>
      </w:r>
      <w:r w:rsidRPr="00E06D6D">
        <w:rPr>
          <w:rFonts w:cstheme="minorHAnsi"/>
        </w:rPr>
        <w:t xml:space="preserve">ormalisation </w:t>
      </w:r>
      <w:r>
        <w:rPr>
          <w:rFonts w:cstheme="minorHAnsi"/>
        </w:rPr>
        <w:t>p</w:t>
      </w:r>
      <w:r w:rsidRPr="00E06D6D">
        <w:rPr>
          <w:rFonts w:cstheme="minorHAnsi"/>
        </w:rPr>
        <w:t xml:space="preserve">rocess </w:t>
      </w:r>
      <w:r>
        <w:rPr>
          <w:rFonts w:cstheme="minorHAnsi"/>
        </w:rPr>
        <w:t xml:space="preserve">theory </w:t>
      </w:r>
      <w:r w:rsidRPr="00002602">
        <w:rPr>
          <w:rFonts w:cstheme="minorHAnsi"/>
          <w:noProof/>
          <w:vertAlign w:val="superscript"/>
        </w:rPr>
        <w:t>26</w:t>
      </w:r>
      <w:r>
        <w:rPr>
          <w:rFonts w:cstheme="minorHAnsi"/>
        </w:rPr>
        <w:t>,</w:t>
      </w:r>
      <w:r w:rsidRPr="00E06D6D">
        <w:rPr>
          <w:rFonts w:cstheme="minorHAnsi"/>
        </w:rPr>
        <w:t xml:space="preserve"> </w:t>
      </w:r>
      <w:bookmarkStart w:id="12" w:name="_Hlk110349268"/>
      <w:r>
        <w:t>which provides a framework for identifying factors and processes likely to hinder or enable widespread implementation of new practices.</w:t>
      </w:r>
    </w:p>
    <w:bookmarkEnd w:id="12"/>
    <w:p w14:paraId="14B49F83" w14:textId="77777777" w:rsidR="0028692B" w:rsidRDefault="0028692B" w:rsidP="00AB7C39">
      <w:pPr>
        <w:spacing w:line="360" w:lineRule="auto"/>
        <w:jc w:val="both"/>
        <w:rPr>
          <w:rFonts w:cstheme="minorHAnsi"/>
        </w:rPr>
      </w:pPr>
      <w:r>
        <w:rPr>
          <w:rFonts w:cstheme="minorHAnsi"/>
        </w:rPr>
        <w:t>I</w:t>
      </w:r>
      <w:r w:rsidRPr="00AE7CEA">
        <w:rPr>
          <w:rFonts w:cstheme="minorHAnsi"/>
        </w:rPr>
        <w:t>nterviews were audio-recorded using a digital recorder</w:t>
      </w:r>
      <w:r>
        <w:rPr>
          <w:rFonts w:cstheme="minorHAnsi"/>
        </w:rPr>
        <w:t xml:space="preserve"> </w:t>
      </w:r>
      <w:r>
        <w:t>(except one interview which was audio-recorded using MS Teams)</w:t>
      </w:r>
      <w:r>
        <w:rPr>
          <w:rFonts w:cstheme="minorHAnsi"/>
        </w:rPr>
        <w:t>.</w:t>
      </w:r>
      <w:r w:rsidRPr="00AE7CEA">
        <w:rPr>
          <w:rFonts w:cstheme="minorHAnsi"/>
        </w:rPr>
        <w:t xml:space="preserve"> </w:t>
      </w:r>
      <w:r>
        <w:rPr>
          <w:rFonts w:cstheme="minorHAnsi"/>
        </w:rPr>
        <w:t>F</w:t>
      </w:r>
      <w:r w:rsidRPr="00AE7CEA">
        <w:rPr>
          <w:rFonts w:cstheme="minorHAnsi"/>
        </w:rPr>
        <w:t xml:space="preserve">ield notes </w:t>
      </w:r>
      <w:r>
        <w:rPr>
          <w:rFonts w:cstheme="minorHAnsi"/>
        </w:rPr>
        <w:t xml:space="preserve">were </w:t>
      </w:r>
      <w:r w:rsidRPr="00AE7CEA">
        <w:rPr>
          <w:rFonts w:cstheme="minorHAnsi"/>
        </w:rPr>
        <w:t>taken to capture the interviewers</w:t>
      </w:r>
      <w:r>
        <w:rPr>
          <w:rFonts w:cstheme="minorHAnsi"/>
        </w:rPr>
        <w:t>’</w:t>
      </w:r>
      <w:r w:rsidRPr="00AE7CEA">
        <w:rPr>
          <w:rFonts w:cstheme="minorHAnsi"/>
        </w:rPr>
        <w:t xml:space="preserve"> impressions and reflections, and any aspects not captured by the audio-recorder. </w:t>
      </w:r>
      <w:r>
        <w:rPr>
          <w:color w:val="000000"/>
        </w:rPr>
        <w:t>GP</w:t>
      </w:r>
      <w:r w:rsidRPr="008E2438">
        <w:rPr>
          <w:color w:val="000000"/>
        </w:rPr>
        <w:t xml:space="preserve"> interviews </w:t>
      </w:r>
      <w:r>
        <w:rPr>
          <w:color w:val="000000"/>
        </w:rPr>
        <w:t>lasted 18-45</w:t>
      </w:r>
      <w:r w:rsidRPr="008E2438">
        <w:rPr>
          <w:color w:val="000000"/>
        </w:rPr>
        <w:t xml:space="preserve"> minutes (mean </w:t>
      </w:r>
      <w:r>
        <w:rPr>
          <w:color w:val="000000"/>
        </w:rPr>
        <w:t>27</w:t>
      </w:r>
      <w:r w:rsidRPr="008E2438">
        <w:rPr>
          <w:color w:val="000000"/>
        </w:rPr>
        <w:t xml:space="preserve"> minutes).</w:t>
      </w:r>
      <w:r>
        <w:rPr>
          <w:rFonts w:cstheme="minorHAnsi"/>
        </w:rPr>
        <w:t xml:space="preserve"> Patient interviews lasted </w:t>
      </w:r>
      <w:r>
        <w:rPr>
          <w:color w:val="000000"/>
        </w:rPr>
        <w:t>17 to 65</w:t>
      </w:r>
      <w:r w:rsidRPr="008E2438">
        <w:rPr>
          <w:color w:val="000000"/>
        </w:rPr>
        <w:t xml:space="preserve"> minutes</w:t>
      </w:r>
      <w:r>
        <w:rPr>
          <w:color w:val="000000"/>
        </w:rPr>
        <w:t xml:space="preserve"> (</w:t>
      </w:r>
      <w:r w:rsidRPr="008E2438">
        <w:rPr>
          <w:color w:val="000000"/>
        </w:rPr>
        <w:t xml:space="preserve">mean </w:t>
      </w:r>
      <w:r>
        <w:rPr>
          <w:color w:val="000000"/>
        </w:rPr>
        <w:t>40</w:t>
      </w:r>
      <w:r w:rsidRPr="008E2438">
        <w:rPr>
          <w:color w:val="000000"/>
        </w:rPr>
        <w:t xml:space="preserve"> minutes</w:t>
      </w:r>
      <w:r>
        <w:rPr>
          <w:color w:val="000000"/>
        </w:rPr>
        <w:t xml:space="preserve">) at 6 months and </w:t>
      </w:r>
      <w:r w:rsidRPr="00D07783">
        <w:rPr>
          <w:color w:val="000000"/>
        </w:rPr>
        <w:t>15 to 60 minutes (mean 29 minutes)</w:t>
      </w:r>
      <w:r>
        <w:rPr>
          <w:color w:val="000000"/>
        </w:rPr>
        <w:t xml:space="preserve"> at 12 months. On finishing each </w:t>
      </w:r>
      <w:r w:rsidRPr="00AE7CEA">
        <w:rPr>
          <w:rFonts w:cstheme="minorHAnsi"/>
        </w:rPr>
        <w:t xml:space="preserve">interview, interviewees were thanked and </w:t>
      </w:r>
      <w:r>
        <w:rPr>
          <w:rFonts w:cstheme="minorHAnsi"/>
        </w:rPr>
        <w:t xml:space="preserve">debriefed. </w:t>
      </w:r>
      <w:r w:rsidRPr="00777D02">
        <w:t>They were offered a copy of their transcript and study findings</w:t>
      </w:r>
      <w:r>
        <w:t>,</w:t>
      </w:r>
      <w:r w:rsidRPr="00777D02">
        <w:t xml:space="preserve"> when available. </w:t>
      </w:r>
      <w:r>
        <w:rPr>
          <w:rFonts w:cstheme="minorHAnsi"/>
        </w:rPr>
        <w:t xml:space="preserve">Data collection stopped on reaching thematic </w:t>
      </w:r>
      <w:r w:rsidRPr="0001735E">
        <w:rPr>
          <w:rFonts w:cstheme="minorHAnsi"/>
        </w:rPr>
        <w:t xml:space="preserve">saturation </w:t>
      </w:r>
      <w:r>
        <w:rPr>
          <w:rFonts w:cstheme="minorHAnsi"/>
        </w:rPr>
        <w:t xml:space="preserve">(i.e., themes were rich, well-developed, and understood) </w:t>
      </w:r>
      <w:r w:rsidRPr="0001735E">
        <w:rPr>
          <w:rFonts w:cstheme="minorHAnsi"/>
        </w:rPr>
        <w:t>and</w:t>
      </w:r>
      <w:r>
        <w:rPr>
          <w:rFonts w:cstheme="minorHAnsi"/>
        </w:rPr>
        <w:t xml:space="preserve"> a</w:t>
      </w:r>
      <w:r w:rsidRPr="0001735E">
        <w:rPr>
          <w:rFonts w:cstheme="minorHAnsi"/>
        </w:rPr>
        <w:t xml:space="preserve"> rigorous, credible analysis in relation to our aims</w:t>
      </w:r>
      <w:r>
        <w:rPr>
          <w:rFonts w:cstheme="minorHAnsi"/>
        </w:rPr>
        <w:t xml:space="preserve"> had been achieved. </w:t>
      </w:r>
      <w:r w:rsidRPr="0001735E">
        <w:rPr>
          <w:rFonts w:cstheme="minorHAnsi"/>
        </w:rPr>
        <w:t xml:space="preserve"> </w:t>
      </w:r>
    </w:p>
    <w:p w14:paraId="70581A50" w14:textId="77777777" w:rsidR="0028692B" w:rsidRDefault="0028692B">
      <w:pPr>
        <w:rPr>
          <w:b/>
        </w:rPr>
      </w:pPr>
    </w:p>
    <w:p w14:paraId="10B3C32B" w14:textId="77777777" w:rsidR="0028692B" w:rsidRDefault="0028692B">
      <w:pPr>
        <w:rPr>
          <w:b/>
        </w:rPr>
      </w:pPr>
    </w:p>
    <w:p w14:paraId="1C880B32" w14:textId="77777777" w:rsidR="0028692B" w:rsidRDefault="0028692B">
      <w:pPr>
        <w:rPr>
          <w:b/>
        </w:rPr>
      </w:pPr>
    </w:p>
    <w:p w14:paraId="7EF651F7" w14:textId="77777777" w:rsidR="0028692B" w:rsidRPr="00AE7CEA" w:rsidRDefault="0028692B">
      <w:pPr>
        <w:rPr>
          <w:b/>
          <w:color w:val="0070C0"/>
          <w:sz w:val="24"/>
          <w:szCs w:val="24"/>
        </w:rPr>
      </w:pPr>
      <w:r>
        <w:rPr>
          <w:b/>
          <w:color w:val="0070C0"/>
          <w:sz w:val="24"/>
          <w:szCs w:val="24"/>
        </w:rPr>
        <w:lastRenderedPageBreak/>
        <w:t>Data a</w:t>
      </w:r>
      <w:r w:rsidRPr="00AE7CEA">
        <w:rPr>
          <w:b/>
          <w:color w:val="0070C0"/>
          <w:sz w:val="24"/>
          <w:szCs w:val="24"/>
        </w:rPr>
        <w:t>nalysis</w:t>
      </w:r>
    </w:p>
    <w:p w14:paraId="4AB367F1" w14:textId="7F436C4D" w:rsidR="0028692B" w:rsidRPr="009D4860" w:rsidRDefault="0028692B" w:rsidP="007875B6">
      <w:pPr>
        <w:spacing w:line="360" w:lineRule="auto"/>
        <w:jc w:val="both"/>
        <w:rPr>
          <w:rFonts w:cstheme="minorHAnsi"/>
        </w:rPr>
      </w:pPr>
      <w:bookmarkStart w:id="13" w:name="_Hlk122012047"/>
      <w:r>
        <w:rPr>
          <w:rFonts w:cstheme="minorHAnsi"/>
        </w:rPr>
        <w:t>P</w:t>
      </w:r>
      <w:r w:rsidRPr="00171FDC">
        <w:rPr>
          <w:rFonts w:cstheme="minorHAnsi"/>
        </w:rPr>
        <w:t>rior to analysis</w:t>
      </w:r>
      <w:r>
        <w:rPr>
          <w:rFonts w:cstheme="minorHAnsi"/>
        </w:rPr>
        <w:t>,</w:t>
      </w:r>
      <w:r w:rsidRPr="00171FDC">
        <w:rPr>
          <w:rFonts w:cstheme="minorHAnsi"/>
        </w:rPr>
        <w:t xml:space="preserve"> interviews </w:t>
      </w:r>
      <w:r>
        <w:rPr>
          <w:rFonts w:cstheme="minorHAnsi"/>
        </w:rPr>
        <w:t>were</w:t>
      </w:r>
      <w:r w:rsidRPr="00171FDC">
        <w:rPr>
          <w:rFonts w:cstheme="minorHAnsi"/>
        </w:rPr>
        <w:t xml:space="preserve"> transcribed verbatim </w:t>
      </w:r>
      <w:r>
        <w:t>by a professional transcription company and any identifiable data removed</w:t>
      </w:r>
      <w:r w:rsidRPr="009D4860">
        <w:t xml:space="preserve">. Reflexive thematic analysis </w:t>
      </w:r>
      <w:r w:rsidRPr="009D4860">
        <w:rPr>
          <w:noProof/>
          <w:vertAlign w:val="superscript"/>
        </w:rPr>
        <w:t>27 28</w:t>
      </w:r>
      <w:r w:rsidRPr="009D4860">
        <w:rPr>
          <w:color w:val="FF0000"/>
        </w:rPr>
        <w:t xml:space="preserve"> </w:t>
      </w:r>
      <w:r w:rsidRPr="009D4860">
        <w:rPr>
          <w:iCs/>
        </w:rPr>
        <w:t xml:space="preserve">was used to explore </w:t>
      </w:r>
      <w:r w:rsidRPr="009D4860">
        <w:rPr>
          <w:iCs/>
          <w:lang w:val="en-US"/>
        </w:rPr>
        <w:t>the data</w:t>
      </w:r>
      <w:r w:rsidRPr="009D4860">
        <w:rPr>
          <w:iCs/>
        </w:rPr>
        <w:t xml:space="preserve"> </w:t>
      </w:r>
      <w:r w:rsidRPr="009D4860">
        <w:rPr>
          <w:rFonts w:cstheme="minorHAnsi"/>
        </w:rPr>
        <w:t>(</w:t>
      </w:r>
      <w:r w:rsidR="00893131" w:rsidRPr="009D4860">
        <w:rPr>
          <w:rFonts w:cstheme="minorHAnsi"/>
        </w:rPr>
        <w:t>Box 1</w:t>
      </w:r>
      <w:r w:rsidRPr="009D4860">
        <w:rPr>
          <w:rFonts w:cstheme="minorHAnsi"/>
        </w:rPr>
        <w:t xml:space="preserve">). </w:t>
      </w:r>
      <w:r w:rsidRPr="009D4860">
        <w:t xml:space="preserve">Data collection and initial analyses proceeded iteratively (i.e., coding started after the first few interviews and informed subsequent interviews). </w:t>
      </w:r>
    </w:p>
    <w:bookmarkEnd w:id="13"/>
    <w:p w14:paraId="5FA76217" w14:textId="77777777" w:rsidR="0028692B" w:rsidRPr="009D4860" w:rsidRDefault="0028692B" w:rsidP="00937E97">
      <w:pPr>
        <w:spacing w:line="360" w:lineRule="auto"/>
        <w:jc w:val="both"/>
        <w:rPr>
          <w:rFonts w:cstheme="minorHAnsi"/>
        </w:rPr>
      </w:pPr>
      <w:r w:rsidRPr="009D4860">
        <w:t xml:space="preserve">Although analysis was primarily inductive (i.e., data driven), the common-sense model of illness perception </w:t>
      </w:r>
      <w:r w:rsidRPr="009D4860">
        <w:rPr>
          <w:noProof/>
          <w:vertAlign w:val="superscript"/>
        </w:rPr>
        <w:t>25</w:t>
      </w:r>
      <w:r w:rsidRPr="009D4860">
        <w:t xml:space="preserve"> and normalisation process theory </w:t>
      </w:r>
      <w:r w:rsidRPr="009D4860">
        <w:rPr>
          <w:noProof/>
          <w:vertAlign w:val="superscript"/>
        </w:rPr>
        <w:t>26</w:t>
      </w:r>
      <w:r w:rsidRPr="009D4860">
        <w:t xml:space="preserve"> were consulted during analysis to aid our interpretation. NVivo (version 12) </w:t>
      </w:r>
      <w:r w:rsidRPr="009D4860">
        <w:rPr>
          <w:noProof/>
          <w:vertAlign w:val="superscript"/>
        </w:rPr>
        <w:t>29</w:t>
      </w:r>
      <w:r w:rsidRPr="009D4860">
        <w:t xml:space="preserve"> was used to manage data, implement, and record coding and to perform thematic comparisons described above. </w:t>
      </w:r>
    </w:p>
    <w:p w14:paraId="336AE885" w14:textId="77777777" w:rsidR="0028692B" w:rsidRPr="009D4860" w:rsidRDefault="0028692B">
      <w:pPr>
        <w:rPr>
          <w:b/>
        </w:rPr>
      </w:pPr>
    </w:p>
    <w:bookmarkEnd w:id="8"/>
    <w:p w14:paraId="2766F9D4" w14:textId="77777777" w:rsidR="0028692B" w:rsidRPr="009D4860" w:rsidRDefault="0028692B" w:rsidP="00597272">
      <w:pPr>
        <w:pStyle w:val="Heading1"/>
      </w:pPr>
      <w:r w:rsidRPr="009D4860">
        <w:t>RESULTS</w:t>
      </w:r>
    </w:p>
    <w:p w14:paraId="348B06BE" w14:textId="77777777" w:rsidR="0028692B" w:rsidRPr="005030F7" w:rsidRDefault="0028692B" w:rsidP="00582F73">
      <w:pPr>
        <w:autoSpaceDE w:val="0"/>
        <w:autoSpaceDN w:val="0"/>
        <w:adjustRightInd w:val="0"/>
        <w:spacing w:after="0" w:line="360" w:lineRule="auto"/>
        <w:rPr>
          <w:rFonts w:cstheme="minorHAnsi"/>
        </w:rPr>
      </w:pPr>
      <w:bookmarkStart w:id="14" w:name="_Hlk126313969"/>
      <w:r w:rsidRPr="009D4860">
        <w:t>We identified</w:t>
      </w:r>
      <w:r w:rsidRPr="009D4860">
        <w:rPr>
          <w:rFonts w:cstheme="minorHAnsi"/>
        </w:rPr>
        <w:t xml:space="preserve"> concerns and perceived benefits </w:t>
      </w:r>
      <w:r w:rsidRPr="009D4860">
        <w:t>to using low-dose amitriptyline for IBS</w:t>
      </w:r>
      <w:r w:rsidRPr="009D4860">
        <w:rPr>
          <w:rFonts w:cstheme="minorHAnsi"/>
        </w:rPr>
        <w:t xml:space="preserve"> from GPs’ and patients’ perspectives </w:t>
      </w:r>
      <w:r w:rsidRPr="009D4860">
        <w:t>as well as an overarching theme that explained why patients and GPs in this trial were willing to try low-dose amitriptyline despite some concerns</w:t>
      </w:r>
      <w:r w:rsidRPr="009D4860">
        <w:rPr>
          <w:rFonts w:cstheme="minorHAnsi"/>
        </w:rPr>
        <w:t xml:space="preserve"> (Figure 1). Three </w:t>
      </w:r>
      <w:r w:rsidRPr="009D4860">
        <w:t xml:space="preserve">cross-cutting themes encompassed both concerns and potential benefits: 1) </w:t>
      </w:r>
      <w:r w:rsidRPr="009D4860">
        <w:rPr>
          <w:i/>
          <w:lang w:val="en"/>
        </w:rPr>
        <w:t>A</w:t>
      </w:r>
      <w:r w:rsidRPr="00582F73">
        <w:rPr>
          <w:i/>
          <w:lang w:val="en"/>
        </w:rPr>
        <w:t xml:space="preserve">ddressing concerns about amitriptyline being an antidepressant, </w:t>
      </w:r>
      <w:r w:rsidRPr="00582F73">
        <w:rPr>
          <w:iCs/>
          <w:lang w:val="en"/>
        </w:rPr>
        <w:t xml:space="preserve">2) </w:t>
      </w:r>
      <w:bookmarkStart w:id="15" w:name="_Hlk148346064"/>
      <w:r>
        <w:rPr>
          <w:i/>
          <w:iCs/>
        </w:rPr>
        <w:t>Addressing</w:t>
      </w:r>
      <w:r w:rsidRPr="00582F73">
        <w:rPr>
          <w:i/>
          <w:iCs/>
        </w:rPr>
        <w:t xml:space="preserve"> concerns about</w:t>
      </w:r>
      <w:r>
        <w:rPr>
          <w:i/>
          <w:iCs/>
        </w:rPr>
        <w:t xml:space="preserve"> long-term medication for</w:t>
      </w:r>
      <w:r w:rsidRPr="00582F73">
        <w:rPr>
          <w:i/>
          <w:iCs/>
        </w:rPr>
        <w:t xml:space="preserve"> IBS</w:t>
      </w:r>
      <w:bookmarkEnd w:id="15"/>
      <w:r w:rsidRPr="00582F73">
        <w:rPr>
          <w:i/>
          <w:iCs/>
        </w:rPr>
        <w:t xml:space="preserve">, </w:t>
      </w:r>
      <w:r w:rsidRPr="00582F73">
        <w:t>3)</w:t>
      </w:r>
      <w:r w:rsidRPr="00582F73">
        <w:rPr>
          <w:i/>
          <w:iCs/>
        </w:rPr>
        <w:t xml:space="preserve"> </w:t>
      </w:r>
      <w:bookmarkStart w:id="16" w:name="_Hlk148346098"/>
      <w:r w:rsidRPr="00582F73">
        <w:rPr>
          <w:i/>
          <w:iCs/>
        </w:rPr>
        <w:t xml:space="preserve">Meeting the desire for </w:t>
      </w:r>
      <w:r>
        <w:rPr>
          <w:i/>
          <w:iCs/>
        </w:rPr>
        <w:t xml:space="preserve">a novel approach to </w:t>
      </w:r>
      <w:r w:rsidRPr="00582F73">
        <w:rPr>
          <w:i/>
          <w:iCs/>
        </w:rPr>
        <w:t>IBS</w:t>
      </w:r>
      <w:r>
        <w:rPr>
          <w:i/>
          <w:iCs/>
        </w:rPr>
        <w:t xml:space="preserve"> </w:t>
      </w:r>
      <w:r w:rsidRPr="002B5E99">
        <w:t xml:space="preserve">(Figure 2). </w:t>
      </w:r>
      <w:bookmarkEnd w:id="14"/>
      <w:bookmarkEnd w:id="16"/>
      <w:r>
        <w:rPr>
          <w:bCs/>
          <w:iCs/>
        </w:rPr>
        <w:t>We explore these themes below and present selected</w:t>
      </w:r>
      <w:r w:rsidRPr="003058FA">
        <w:rPr>
          <w:bCs/>
          <w:iCs/>
        </w:rPr>
        <w:t xml:space="preserve"> </w:t>
      </w:r>
      <w:r>
        <w:rPr>
          <w:bCs/>
          <w:iCs/>
        </w:rPr>
        <w:t xml:space="preserve">illustrative anonymised </w:t>
      </w:r>
      <w:r w:rsidRPr="003058FA">
        <w:rPr>
          <w:bCs/>
          <w:iCs/>
        </w:rPr>
        <w:t>quotes</w:t>
      </w:r>
      <w:r>
        <w:rPr>
          <w:bCs/>
          <w:iCs/>
        </w:rPr>
        <w:t xml:space="preserve">. </w:t>
      </w:r>
    </w:p>
    <w:p w14:paraId="548E80DD" w14:textId="77777777" w:rsidR="0028692B" w:rsidRDefault="0028692B" w:rsidP="00821854">
      <w:pPr>
        <w:spacing w:after="120" w:line="360" w:lineRule="auto"/>
        <w:rPr>
          <w:b/>
        </w:rPr>
      </w:pPr>
    </w:p>
    <w:p w14:paraId="79F26FF4" w14:textId="77777777" w:rsidR="0028692B" w:rsidRPr="00085FE1" w:rsidRDefault="0028692B" w:rsidP="003737C3">
      <w:pPr>
        <w:rPr>
          <w:b/>
          <w:bCs/>
          <w:i/>
          <w:lang w:val="en"/>
        </w:rPr>
      </w:pPr>
      <w:bookmarkStart w:id="17" w:name="_Hlk126313484"/>
      <w:r w:rsidRPr="00085FE1">
        <w:rPr>
          <w:b/>
          <w:bCs/>
          <w:i/>
          <w:lang w:val="en"/>
        </w:rPr>
        <w:t>Addressing concerns about amitriptyline</w:t>
      </w:r>
      <w:r>
        <w:rPr>
          <w:b/>
          <w:bCs/>
          <w:i/>
          <w:lang w:val="en"/>
        </w:rPr>
        <w:t xml:space="preserve"> being an antidepressant</w:t>
      </w:r>
    </w:p>
    <w:bookmarkEnd w:id="17"/>
    <w:p w14:paraId="64BDE364" w14:textId="77777777" w:rsidR="0028692B" w:rsidRPr="00C9725E" w:rsidRDefault="0028692B" w:rsidP="00E7658A">
      <w:pPr>
        <w:spacing w:line="360" w:lineRule="auto"/>
        <w:rPr>
          <w:color w:val="0070C0"/>
          <w:lang w:val="en"/>
        </w:rPr>
      </w:pPr>
      <w:r w:rsidRPr="009D4860">
        <w:rPr>
          <w:iCs/>
          <w:lang w:val="en"/>
        </w:rPr>
        <w:t>An overriding concern</w:t>
      </w:r>
      <w:r w:rsidRPr="009D4860">
        <w:rPr>
          <w:lang w:val="en"/>
        </w:rPr>
        <w:t xml:space="preserve"> raised by both patients and GPs was</w:t>
      </w:r>
      <w:r>
        <w:rPr>
          <w:lang w:val="en"/>
        </w:rPr>
        <w:t xml:space="preserve"> about </w:t>
      </w:r>
      <w:bookmarkStart w:id="18" w:name="_Hlk148346877"/>
      <w:r w:rsidRPr="009269AE">
        <w:rPr>
          <w:b/>
          <w:bCs/>
          <w:i/>
          <w:iCs/>
          <w:color w:val="0070C0"/>
          <w:lang w:val="en"/>
        </w:rPr>
        <w:t>amitriptyline being an antidepressant</w:t>
      </w:r>
      <w:r w:rsidRPr="009269AE">
        <w:rPr>
          <w:color w:val="0070C0"/>
          <w:lang w:val="en"/>
        </w:rPr>
        <w:t>.</w:t>
      </w:r>
      <w:bookmarkEnd w:id="18"/>
      <w:r>
        <w:rPr>
          <w:color w:val="0070C0"/>
          <w:lang w:val="en"/>
        </w:rPr>
        <w:t xml:space="preserve"> </w:t>
      </w:r>
      <w:r>
        <w:rPr>
          <w:rFonts w:cstheme="minorHAnsi"/>
        </w:rPr>
        <w:t>Patients expressed</w:t>
      </w:r>
      <w:r w:rsidRPr="00BE39D2">
        <w:rPr>
          <w:rFonts w:cstheme="minorHAnsi"/>
        </w:rPr>
        <w:t xml:space="preserve"> concerns </w:t>
      </w:r>
      <w:r>
        <w:rPr>
          <w:rFonts w:cstheme="minorHAnsi"/>
        </w:rPr>
        <w:t xml:space="preserve">about experiencing </w:t>
      </w:r>
      <w:bookmarkStart w:id="19" w:name="_Hlk148346813"/>
      <w:r w:rsidRPr="00B63118">
        <w:rPr>
          <w:rFonts w:cstheme="minorHAnsi"/>
          <w:color w:val="0070C0"/>
        </w:rPr>
        <w:t>adverse psychological effects</w:t>
      </w:r>
      <w:r w:rsidRPr="00CF7F62">
        <w:rPr>
          <w:rFonts w:cstheme="minorHAnsi"/>
        </w:rPr>
        <w:t xml:space="preserve"> and </w:t>
      </w:r>
      <w:bookmarkEnd w:id="19"/>
      <w:r>
        <w:rPr>
          <w:rFonts w:cstheme="minorHAnsi"/>
        </w:rPr>
        <w:t>thought that taking amitriptyline might “</w:t>
      </w:r>
      <w:r w:rsidRPr="00CF7F62">
        <w:rPr>
          <w:rFonts w:cstheme="minorHAnsi"/>
          <w:i/>
          <w:iCs/>
        </w:rPr>
        <w:t>alter my mind</w:t>
      </w:r>
      <w:r>
        <w:rPr>
          <w:rFonts w:cstheme="minorHAnsi"/>
        </w:rPr>
        <w:t>” (P2), “</w:t>
      </w:r>
      <w:r w:rsidRPr="00D97780">
        <w:rPr>
          <w:rFonts w:cstheme="minorHAnsi"/>
          <w:i/>
          <w:iCs/>
        </w:rPr>
        <w:t xml:space="preserve">mess with </w:t>
      </w:r>
      <w:r>
        <w:rPr>
          <w:rFonts w:cstheme="minorHAnsi"/>
          <w:i/>
          <w:iCs/>
        </w:rPr>
        <w:t xml:space="preserve">my </w:t>
      </w:r>
      <w:r w:rsidRPr="00D97780">
        <w:rPr>
          <w:rFonts w:cstheme="minorHAnsi"/>
          <w:i/>
          <w:iCs/>
        </w:rPr>
        <w:t>head</w:t>
      </w:r>
      <w:r>
        <w:rPr>
          <w:rFonts w:cstheme="minorHAnsi"/>
          <w:i/>
          <w:iCs/>
        </w:rPr>
        <w:t>”</w:t>
      </w:r>
      <w:r>
        <w:rPr>
          <w:rFonts w:cstheme="minorHAnsi"/>
        </w:rPr>
        <w:t xml:space="preserve"> (P4) or “</w:t>
      </w:r>
      <w:r w:rsidRPr="00105559">
        <w:rPr>
          <w:rFonts w:cstheme="minorHAnsi"/>
          <w:i/>
          <w:iCs/>
        </w:rPr>
        <w:t xml:space="preserve">zombify </w:t>
      </w:r>
      <w:r>
        <w:rPr>
          <w:rFonts w:cstheme="minorHAnsi"/>
          <w:i/>
          <w:iCs/>
        </w:rPr>
        <w:t xml:space="preserve">me” </w:t>
      </w:r>
      <w:r w:rsidRPr="00B518BD">
        <w:rPr>
          <w:rFonts w:cstheme="minorHAnsi"/>
        </w:rPr>
        <w:t>(P14).</w:t>
      </w:r>
      <w:r>
        <w:rPr>
          <w:rFonts w:cstheme="minorHAnsi"/>
        </w:rPr>
        <w:t xml:space="preserve"> Another predominant concern for patients was that they may experience </w:t>
      </w:r>
      <w:bookmarkStart w:id="20" w:name="_Hlk125973032"/>
      <w:r>
        <w:rPr>
          <w:rFonts w:cstheme="minorHAnsi"/>
        </w:rPr>
        <w:t>stigma</w:t>
      </w:r>
      <w:r w:rsidRPr="00D97780">
        <w:rPr>
          <w:rFonts w:cstheme="minorHAnsi"/>
        </w:rPr>
        <w:t xml:space="preserve"> </w:t>
      </w:r>
      <w:r>
        <w:rPr>
          <w:rFonts w:cstheme="minorHAnsi"/>
        </w:rPr>
        <w:t xml:space="preserve">for taking an antidepressant, as amitriptyline is not commonly viewed as a treatment for IBS. </w:t>
      </w:r>
      <w:bookmarkEnd w:id="20"/>
    </w:p>
    <w:p w14:paraId="63C967FD" w14:textId="77777777" w:rsidR="0028692B" w:rsidRPr="001B4B15" w:rsidRDefault="0028692B" w:rsidP="00854F67">
      <w:pPr>
        <w:ind w:left="720"/>
        <w:rPr>
          <w:b/>
          <w:bCs/>
          <w:sz w:val="20"/>
          <w:szCs w:val="20"/>
        </w:rPr>
      </w:pPr>
      <w:r w:rsidRPr="001B4B15">
        <w:rPr>
          <w:rFonts w:cstheme="minorHAnsi"/>
          <w:i/>
          <w:iCs/>
          <w:sz w:val="20"/>
          <w:szCs w:val="20"/>
        </w:rPr>
        <w:t xml:space="preserve">“The worst thing about it is that it can be used as an antidepressant, and it's almost like, if somebody saw that on your prescription, they wouldn't think, oh, she's taking that because she has IBS; they would think, oh, she must have stress or depression, and there is still a sigma about that. I think that's probably the biggest negative, is that kind of stigma.” </w:t>
      </w:r>
      <w:r w:rsidRPr="001B4B15">
        <w:rPr>
          <w:b/>
          <w:bCs/>
          <w:i/>
          <w:iCs/>
          <w:sz w:val="20"/>
          <w:szCs w:val="20"/>
        </w:rPr>
        <w:t>(</w:t>
      </w:r>
      <w:r w:rsidRPr="001B4B15">
        <w:rPr>
          <w:b/>
          <w:bCs/>
          <w:sz w:val="20"/>
          <w:szCs w:val="20"/>
        </w:rPr>
        <w:t>P22, female aged 55-64 years with mild IBS, 12-month interview)</w:t>
      </w:r>
    </w:p>
    <w:p w14:paraId="40A74DFF" w14:textId="77777777" w:rsidR="0028692B" w:rsidRDefault="0028692B" w:rsidP="003737C3">
      <w:pPr>
        <w:rPr>
          <w:lang w:val="en"/>
        </w:rPr>
      </w:pPr>
    </w:p>
    <w:p w14:paraId="6D67F77E" w14:textId="77777777" w:rsidR="0028692B" w:rsidRDefault="0028692B" w:rsidP="00854F67">
      <w:pPr>
        <w:autoSpaceDE w:val="0"/>
        <w:autoSpaceDN w:val="0"/>
        <w:adjustRightInd w:val="0"/>
        <w:spacing w:after="0" w:line="360" w:lineRule="auto"/>
      </w:pPr>
      <w:bookmarkStart w:id="21" w:name="_Hlk148346836"/>
      <w:r w:rsidRPr="00B63118">
        <w:rPr>
          <w:color w:val="0070C0"/>
        </w:rPr>
        <w:t xml:space="preserve">Perceived social stigma </w:t>
      </w:r>
      <w:bookmarkEnd w:id="21"/>
      <w:r>
        <w:t xml:space="preserve">of taking an antidepressant </w:t>
      </w:r>
      <w:r w:rsidRPr="009D4860">
        <w:t>was also recognised by GP interviewees. They</w:t>
      </w:r>
      <w:r>
        <w:t xml:space="preserve"> reflected on the potential for patient reticence towards taking an antidepressant for a “</w:t>
      </w:r>
      <w:r w:rsidRPr="00713DCE">
        <w:rPr>
          <w:i/>
          <w:iCs/>
        </w:rPr>
        <w:t xml:space="preserve">functional </w:t>
      </w:r>
      <w:r w:rsidRPr="00713DCE">
        <w:rPr>
          <w:i/>
          <w:iCs/>
        </w:rPr>
        <w:lastRenderedPageBreak/>
        <w:t>physical health problem</w:t>
      </w:r>
      <w:r>
        <w:rPr>
          <w:i/>
          <w:iCs/>
        </w:rPr>
        <w:t xml:space="preserve">” </w:t>
      </w:r>
      <w:r w:rsidRPr="00B518BD">
        <w:t>(GP3),</w:t>
      </w:r>
      <w:r>
        <w:t xml:space="preserve"> especially in patients with mild symptoms and how this could affect their prescribing decisions. </w:t>
      </w:r>
    </w:p>
    <w:p w14:paraId="488E7E08" w14:textId="77777777" w:rsidR="0028692B" w:rsidRDefault="0028692B" w:rsidP="003737C3">
      <w:pPr>
        <w:autoSpaceDE w:val="0"/>
        <w:autoSpaceDN w:val="0"/>
        <w:adjustRightInd w:val="0"/>
        <w:spacing w:after="0"/>
      </w:pPr>
    </w:p>
    <w:p w14:paraId="1D85CA0E" w14:textId="77777777" w:rsidR="0028692B" w:rsidRDefault="0028692B" w:rsidP="009A7DCD">
      <w:pPr>
        <w:autoSpaceDE w:val="0"/>
        <w:autoSpaceDN w:val="0"/>
        <w:adjustRightInd w:val="0"/>
        <w:spacing w:after="0"/>
        <w:ind w:left="720"/>
        <w:rPr>
          <w:rFonts w:cstheme="minorHAnsi"/>
          <w:b/>
          <w:bCs/>
          <w:i/>
          <w:iCs/>
          <w:sz w:val="20"/>
          <w:szCs w:val="20"/>
        </w:rPr>
      </w:pPr>
      <w:r w:rsidRPr="00854F67">
        <w:rPr>
          <w:rFonts w:cstheme="minorHAnsi"/>
          <w:i/>
          <w:iCs/>
          <w:sz w:val="20"/>
          <w:szCs w:val="20"/>
        </w:rPr>
        <w:t>“</w:t>
      </w:r>
      <w:r>
        <w:rPr>
          <w:rFonts w:cstheme="minorHAnsi"/>
          <w:i/>
          <w:iCs/>
          <w:sz w:val="20"/>
          <w:szCs w:val="20"/>
        </w:rPr>
        <w:t>I</w:t>
      </w:r>
      <w:r w:rsidRPr="00854F67">
        <w:rPr>
          <w:rFonts w:cstheme="minorHAnsi"/>
          <w:i/>
          <w:iCs/>
          <w:sz w:val="20"/>
          <w:szCs w:val="20"/>
        </w:rPr>
        <w:t xml:space="preserve">n patients potentially with mild symptoms, they may be reluctant to use a medication that's labelled an antidepressant for their physical health problem, and there are quite a number of patients who are reluctant to use antidepressants even when they have depression.” </w:t>
      </w:r>
      <w:r w:rsidRPr="009A7DCD">
        <w:rPr>
          <w:rFonts w:cstheme="minorHAnsi"/>
          <w:b/>
          <w:bCs/>
          <w:i/>
          <w:iCs/>
          <w:sz w:val="20"/>
          <w:szCs w:val="20"/>
        </w:rPr>
        <w:t>(GP2, male GP aged 35-44 years with 15-20 years’ experience)</w:t>
      </w:r>
    </w:p>
    <w:p w14:paraId="30A54A10" w14:textId="77777777" w:rsidR="0028692B" w:rsidRPr="009A7DCD" w:rsidRDefault="0028692B" w:rsidP="009A7DCD">
      <w:pPr>
        <w:autoSpaceDE w:val="0"/>
        <w:autoSpaceDN w:val="0"/>
        <w:adjustRightInd w:val="0"/>
        <w:spacing w:after="0"/>
        <w:ind w:left="720"/>
        <w:rPr>
          <w:rFonts w:cstheme="minorHAnsi"/>
          <w:b/>
          <w:bCs/>
          <w:i/>
          <w:iCs/>
          <w:sz w:val="20"/>
          <w:szCs w:val="20"/>
        </w:rPr>
      </w:pPr>
    </w:p>
    <w:p w14:paraId="50170C85" w14:textId="77777777" w:rsidR="0028692B" w:rsidRDefault="0028692B" w:rsidP="003737C3">
      <w:pPr>
        <w:autoSpaceDE w:val="0"/>
        <w:autoSpaceDN w:val="0"/>
        <w:adjustRightInd w:val="0"/>
        <w:spacing w:after="0"/>
        <w:rPr>
          <w:b/>
          <w:bCs/>
          <w:i/>
          <w:iCs/>
          <w:color w:val="0070C0"/>
        </w:rPr>
      </w:pPr>
      <w:bookmarkStart w:id="22" w:name="_Toc102482587"/>
      <w:bookmarkStart w:id="23" w:name="_Hlk110260541"/>
    </w:p>
    <w:p w14:paraId="1F4839D0" w14:textId="77777777" w:rsidR="0028692B" w:rsidRDefault="0028692B" w:rsidP="00A16E92">
      <w:pPr>
        <w:spacing w:line="360" w:lineRule="auto"/>
      </w:pPr>
      <w:bookmarkStart w:id="24" w:name="_Hlk126499799"/>
      <w:bookmarkStart w:id="25" w:name="_Hlk126499971"/>
      <w:r w:rsidRPr="00854F67">
        <w:rPr>
          <w:b/>
          <w:bCs/>
          <w:i/>
          <w:iCs/>
          <w:color w:val="0070C0"/>
        </w:rPr>
        <w:t xml:space="preserve">Distinguishing </w:t>
      </w:r>
      <w:r>
        <w:rPr>
          <w:b/>
          <w:bCs/>
          <w:i/>
          <w:iCs/>
          <w:color w:val="0070C0"/>
        </w:rPr>
        <w:t>amitriptyline</w:t>
      </w:r>
      <w:r w:rsidRPr="00854F67">
        <w:rPr>
          <w:b/>
          <w:bCs/>
          <w:i/>
          <w:iCs/>
          <w:color w:val="0070C0"/>
        </w:rPr>
        <w:t xml:space="preserve"> for IBS</w:t>
      </w:r>
      <w:r w:rsidRPr="00D46B41">
        <w:t xml:space="preserve"> </w:t>
      </w:r>
      <w:bookmarkEnd w:id="24"/>
      <w:r w:rsidRPr="00D46B41">
        <w:t xml:space="preserve">from </w:t>
      </w:r>
      <w:r>
        <w:t xml:space="preserve">its </w:t>
      </w:r>
      <w:r w:rsidRPr="00D46B41">
        <w:t>traditional antidepressant use</w:t>
      </w:r>
      <w:r w:rsidRPr="00D46B41">
        <w:rPr>
          <w:b/>
          <w:bCs/>
          <w:i/>
          <w:iCs/>
        </w:rPr>
        <w:t xml:space="preserve"> </w:t>
      </w:r>
      <w:r>
        <w:t xml:space="preserve">may </w:t>
      </w:r>
      <w:r w:rsidRPr="00F2561D">
        <w:t xml:space="preserve">address </w:t>
      </w:r>
      <w:r>
        <w:t>such</w:t>
      </w:r>
      <w:r w:rsidRPr="00F2561D">
        <w:t xml:space="preserve"> concern</w:t>
      </w:r>
      <w:r>
        <w:t>s and thus potentially facilitate uptake</w:t>
      </w:r>
      <w:bookmarkEnd w:id="25"/>
      <w:r>
        <w:t xml:space="preserve">. </w:t>
      </w:r>
      <w:bookmarkStart w:id="26" w:name="_Hlk148346954"/>
      <w:r w:rsidRPr="00B63118">
        <w:rPr>
          <w:color w:val="0070C0"/>
        </w:rPr>
        <w:t>Acknowledging the low dosage</w:t>
      </w:r>
      <w:r>
        <w:t xml:space="preserve"> of amitriptyline for IBS treatment </w:t>
      </w:r>
      <w:bookmarkEnd w:id="26"/>
      <w:r>
        <w:t xml:space="preserve">was important to patients as they felt this reduced the likelihood of adverse effects and helped them distinguish it from being </w:t>
      </w:r>
      <w:r>
        <w:rPr>
          <w:i/>
          <w:iCs/>
        </w:rPr>
        <w:t>“</w:t>
      </w:r>
      <w:r w:rsidRPr="006819F0">
        <w:rPr>
          <w:i/>
          <w:iCs/>
        </w:rPr>
        <w:t>just a treatment for depression</w:t>
      </w:r>
      <w:r>
        <w:rPr>
          <w:i/>
          <w:iCs/>
        </w:rPr>
        <w:t xml:space="preserve">” </w:t>
      </w:r>
      <w:r w:rsidRPr="00B63118">
        <w:t>(P23).</w:t>
      </w:r>
      <w:r>
        <w:t xml:space="preserve"> </w:t>
      </w:r>
    </w:p>
    <w:p w14:paraId="30DE9ED4" w14:textId="77777777" w:rsidR="0028692B" w:rsidRDefault="0028692B" w:rsidP="00CF7F62">
      <w:pPr>
        <w:spacing w:line="240" w:lineRule="auto"/>
        <w:ind w:left="720"/>
        <w:rPr>
          <w:b/>
          <w:bCs/>
          <w:i/>
          <w:iCs/>
          <w:sz w:val="20"/>
          <w:szCs w:val="20"/>
        </w:rPr>
      </w:pPr>
      <w:r w:rsidRPr="00A8668C">
        <w:rPr>
          <w:rFonts w:cstheme="minorHAnsi"/>
          <w:i/>
          <w:iCs/>
          <w:sz w:val="20"/>
          <w:szCs w:val="20"/>
        </w:rPr>
        <w:t>“I personally don't have an issue with it and knowing how the dosages work in terms of treating mental illness compared to those levels that were being suggested for this</w:t>
      </w:r>
      <w:r>
        <w:rPr>
          <w:rFonts w:cstheme="minorHAnsi"/>
          <w:i/>
          <w:iCs/>
          <w:sz w:val="20"/>
          <w:szCs w:val="20"/>
        </w:rPr>
        <w:t xml:space="preserve">” </w:t>
      </w:r>
      <w:r w:rsidRPr="00A8668C">
        <w:rPr>
          <w:b/>
          <w:bCs/>
          <w:i/>
          <w:iCs/>
          <w:sz w:val="20"/>
          <w:szCs w:val="20"/>
        </w:rPr>
        <w:t xml:space="preserve">(P38, male aged </w:t>
      </w:r>
      <w:r>
        <w:rPr>
          <w:b/>
          <w:bCs/>
          <w:i/>
          <w:iCs/>
          <w:sz w:val="20"/>
          <w:szCs w:val="20"/>
        </w:rPr>
        <w:t>45-54</w:t>
      </w:r>
      <w:r w:rsidRPr="00A8668C">
        <w:rPr>
          <w:b/>
          <w:bCs/>
          <w:i/>
          <w:iCs/>
          <w:sz w:val="20"/>
          <w:szCs w:val="20"/>
        </w:rPr>
        <w:t xml:space="preserve"> years with moderate IBS, 6-month interview)</w:t>
      </w:r>
    </w:p>
    <w:p w14:paraId="678002AE" w14:textId="77777777" w:rsidR="0028692B" w:rsidRPr="00CF7F62" w:rsidRDefault="0028692B" w:rsidP="00CF7F62">
      <w:pPr>
        <w:spacing w:line="240" w:lineRule="auto"/>
        <w:ind w:left="720"/>
        <w:rPr>
          <w:b/>
          <w:bCs/>
          <w:i/>
          <w:iCs/>
          <w:sz w:val="20"/>
          <w:szCs w:val="20"/>
        </w:rPr>
      </w:pPr>
    </w:p>
    <w:p w14:paraId="34F3BAFB" w14:textId="77777777" w:rsidR="0028692B" w:rsidRPr="00E70E04" w:rsidRDefault="0028692B" w:rsidP="006819F0">
      <w:pPr>
        <w:autoSpaceDE w:val="0"/>
        <w:autoSpaceDN w:val="0"/>
        <w:adjustRightInd w:val="0"/>
        <w:spacing w:after="0" w:line="360" w:lineRule="auto"/>
      </w:pPr>
      <w:r>
        <w:t xml:space="preserve">Similarly, GPs felt that it was important to reassure patients that amitriptyline, prescribed at a much lower dose than used for depression, is used for other conditions for other effects such as pain reduction. They also felt that emphasising to patients that amitriptyline is prescribed for their ‘physical symptoms’ helps to validate patient experience of symptoms and to address potential misunderstandings, where patients might think amitriptyline is being prescribed </w:t>
      </w:r>
      <w:r w:rsidRPr="5CA9F855">
        <w:rPr>
          <w:i/>
          <w:iCs/>
        </w:rPr>
        <w:t>“because you think it's all in the mind”</w:t>
      </w:r>
      <w:r>
        <w:t xml:space="preserve"> (GP13). </w:t>
      </w:r>
    </w:p>
    <w:p w14:paraId="05590CFF" w14:textId="77777777" w:rsidR="0028692B" w:rsidRDefault="0028692B" w:rsidP="006819F0">
      <w:pPr>
        <w:ind w:left="720"/>
        <w:rPr>
          <w:i/>
          <w:iCs/>
          <w:color w:val="002060"/>
          <w:sz w:val="20"/>
          <w:szCs w:val="20"/>
        </w:rPr>
      </w:pPr>
    </w:p>
    <w:p w14:paraId="445455FF" w14:textId="77777777" w:rsidR="0028692B" w:rsidRPr="001532F1" w:rsidRDefault="0028692B" w:rsidP="001532F1">
      <w:pPr>
        <w:spacing w:line="240" w:lineRule="auto"/>
        <w:ind w:left="720"/>
        <w:rPr>
          <w:b/>
          <w:bCs/>
          <w:i/>
          <w:iCs/>
          <w:sz w:val="20"/>
          <w:szCs w:val="20"/>
        </w:rPr>
      </w:pPr>
      <w:r w:rsidRPr="00C806FA">
        <w:rPr>
          <w:i/>
          <w:iCs/>
          <w:sz w:val="20"/>
          <w:szCs w:val="20"/>
        </w:rPr>
        <w:t xml:space="preserve">“I think often patients can be worried that amitriptyline is - they've heard of it as an antidepressant and they're worried about it from the point of view, but if you explain to them that we're not using it for those properties and it's a much lower dose and it's very safe, etc., it actually is quite well accepted.” </w:t>
      </w:r>
      <w:r w:rsidRPr="00B63118">
        <w:rPr>
          <w:b/>
          <w:bCs/>
          <w:sz w:val="20"/>
          <w:szCs w:val="20"/>
        </w:rPr>
        <w:t>(GP6, female aged 45-54 years with 15-20 years' experience)</w:t>
      </w:r>
      <w:bookmarkStart w:id="27" w:name="_Toc102482593"/>
    </w:p>
    <w:bookmarkEnd w:id="27"/>
    <w:p w14:paraId="7273FCCA" w14:textId="77777777" w:rsidR="0028692B" w:rsidRDefault="0028692B" w:rsidP="003737C3">
      <w:pPr>
        <w:autoSpaceDE w:val="0"/>
        <w:autoSpaceDN w:val="0"/>
        <w:adjustRightInd w:val="0"/>
        <w:spacing w:after="0"/>
        <w:rPr>
          <w:b/>
          <w:bCs/>
          <w:i/>
          <w:iCs/>
        </w:rPr>
      </w:pPr>
    </w:p>
    <w:p w14:paraId="66B5B376" w14:textId="77777777" w:rsidR="0028692B" w:rsidRDefault="0028692B" w:rsidP="002F24F0">
      <w:pPr>
        <w:spacing w:line="360" w:lineRule="auto"/>
      </w:pPr>
      <w:bookmarkStart w:id="28" w:name="_Hlk148346987"/>
      <w:bookmarkStart w:id="29" w:name="_Hlk126500628"/>
      <w:r w:rsidRPr="009D4860">
        <w:rPr>
          <w:i/>
          <w:iCs/>
          <w:color w:val="0070C0"/>
        </w:rPr>
        <w:t>Emphasising ease and flexibility of treatment</w:t>
      </w:r>
      <w:r w:rsidRPr="009D4860">
        <w:t xml:space="preserve"> </w:t>
      </w:r>
      <w:bookmarkEnd w:id="28"/>
      <w:r w:rsidRPr="009D4860">
        <w:t>was viewed as important.</w:t>
      </w:r>
      <w:r>
        <w:t xml:space="preserve">  </w:t>
      </w:r>
      <w:bookmarkEnd w:id="29"/>
      <w:r>
        <w:t xml:space="preserve">Patients particularly appreciated the small size of the tablets </w:t>
      </w:r>
      <w:r w:rsidRPr="00530CF9">
        <w:t>making them “</w:t>
      </w:r>
      <w:r w:rsidRPr="00EA24B8">
        <w:rPr>
          <w:i/>
          <w:iCs/>
        </w:rPr>
        <w:t>easy to swallow”</w:t>
      </w:r>
      <w:r w:rsidRPr="00530CF9">
        <w:t xml:space="preserve"> (P6) and only having to take tablets once a day </w:t>
      </w:r>
      <w:r>
        <w:t xml:space="preserve">making it easy to fit into existing daily routines. </w:t>
      </w:r>
      <w:bookmarkStart w:id="30" w:name="_Toc102482594"/>
    </w:p>
    <w:p w14:paraId="63B2AD3A" w14:textId="77777777" w:rsidR="0028692B" w:rsidRPr="00106657" w:rsidRDefault="0028692B" w:rsidP="003737C3">
      <w:pPr>
        <w:spacing w:line="240" w:lineRule="auto"/>
        <w:ind w:left="720"/>
        <w:rPr>
          <w:b/>
          <w:bCs/>
          <w:i/>
          <w:iCs/>
          <w:sz w:val="20"/>
          <w:szCs w:val="20"/>
        </w:rPr>
      </w:pPr>
      <w:r w:rsidRPr="00106657">
        <w:rPr>
          <w:i/>
          <w:iCs/>
          <w:sz w:val="20"/>
          <w:szCs w:val="20"/>
        </w:rPr>
        <w:t xml:space="preserve">“It's just become part of the norm now. It's in the kitchen in the container and come six o'clock I just take the three pills and my phone goes off to remind me. I've had no problems taking it or anything like that. They're the smallest tablets in the world!” </w:t>
      </w:r>
      <w:r w:rsidRPr="00106657">
        <w:rPr>
          <w:b/>
          <w:bCs/>
          <w:i/>
          <w:iCs/>
          <w:sz w:val="20"/>
          <w:szCs w:val="20"/>
        </w:rPr>
        <w:t>(P10, male aged 5</w:t>
      </w:r>
      <w:r>
        <w:rPr>
          <w:b/>
          <w:bCs/>
          <w:i/>
          <w:iCs/>
          <w:sz w:val="20"/>
          <w:szCs w:val="20"/>
        </w:rPr>
        <w:t xml:space="preserve">5-64 </w:t>
      </w:r>
      <w:r w:rsidRPr="00106657">
        <w:rPr>
          <w:b/>
          <w:bCs/>
          <w:i/>
          <w:iCs/>
          <w:sz w:val="20"/>
          <w:szCs w:val="20"/>
        </w:rPr>
        <w:t>years with mild IBS, 6-month interview)</w:t>
      </w:r>
    </w:p>
    <w:p w14:paraId="58AC7178" w14:textId="77777777" w:rsidR="0028692B" w:rsidRPr="002304A0" w:rsidRDefault="0028692B" w:rsidP="003737C3">
      <w:pPr>
        <w:rPr>
          <w:i/>
          <w:iCs/>
          <w:sz w:val="20"/>
          <w:szCs w:val="20"/>
        </w:rPr>
      </w:pPr>
    </w:p>
    <w:p w14:paraId="6A89FBE8" w14:textId="77777777" w:rsidR="0028692B" w:rsidRPr="0094422E" w:rsidRDefault="0028692B" w:rsidP="0094422E">
      <w:pPr>
        <w:spacing w:line="360" w:lineRule="auto"/>
        <w:rPr>
          <w:sz w:val="24"/>
          <w:szCs w:val="24"/>
        </w:rPr>
      </w:pPr>
      <w:bookmarkStart w:id="31" w:name="_Hlk110260584"/>
      <w:r>
        <w:t>Another element of perceived ease of treatment was individualisation of the dose</w:t>
      </w:r>
      <w:bookmarkEnd w:id="31"/>
      <w:r>
        <w:t xml:space="preserve"> (i.e., being able to adjust the dose from one 10mg tablet (10mg) up to three 10mg tablets (30mg) and down again). </w:t>
      </w:r>
      <w:r w:rsidRPr="004D3E31">
        <w:lastRenderedPageBreak/>
        <w:t>Although, some patients were uneasy about adjusting the dose themselves and felt they would prefer any dose adjustment to be a medical judgement</w:t>
      </w:r>
      <w:r>
        <w:rPr>
          <w:i/>
          <w:iCs/>
        </w:rPr>
        <w:t xml:space="preserve">, </w:t>
      </w:r>
      <w:r w:rsidRPr="004D3E31">
        <w:t xml:space="preserve">most </w:t>
      </w:r>
      <w:r>
        <w:t xml:space="preserve">patients felt empowered and </w:t>
      </w:r>
      <w:r w:rsidRPr="5CA9F855">
        <w:t>appreciated having the flexibility to adjust the dose according to their needs and at their own pace e.g., “</w:t>
      </w:r>
      <w:r w:rsidRPr="5CA9F855">
        <w:rPr>
          <w:i/>
          <w:iCs/>
        </w:rPr>
        <w:t xml:space="preserve">having control over it and going with what my body felt like” </w:t>
      </w:r>
      <w:r w:rsidRPr="5CA9F855">
        <w:t xml:space="preserve">(P17). They found the trial dose titration instructions and flowchart straightforward and helpful. </w:t>
      </w:r>
      <w:r>
        <w:t>GPs were typically positive about patients having the ability to individualise their dose to suit their needs. They typically reflected that patient self-titration was a good idea, one which could</w:t>
      </w:r>
      <w:r w:rsidRPr="5CA9F855">
        <w:rPr>
          <w:i/>
          <w:iCs/>
        </w:rPr>
        <w:t xml:space="preserve"> </w:t>
      </w:r>
      <w:r>
        <w:t>empower patients as well as reduce appointment time e.g.</w:t>
      </w:r>
      <w:bookmarkStart w:id="32" w:name="_Hlk126501294"/>
      <w:r>
        <w:t>, “</w:t>
      </w:r>
      <w:r w:rsidRPr="5CA9F855">
        <w:rPr>
          <w:i/>
          <w:iCs/>
        </w:rPr>
        <w:t xml:space="preserve">otherwise that's three appointments just to get them to 30 milligrams” (GP3). </w:t>
      </w:r>
      <w:bookmarkStart w:id="33" w:name="_Toc102482589"/>
      <w:bookmarkEnd w:id="30"/>
      <w:bookmarkEnd w:id="32"/>
    </w:p>
    <w:bookmarkEnd w:id="33"/>
    <w:p w14:paraId="4A91E206" w14:textId="77777777" w:rsidR="0028692B" w:rsidRDefault="0028692B" w:rsidP="003737C3">
      <w:pPr>
        <w:autoSpaceDE w:val="0"/>
        <w:autoSpaceDN w:val="0"/>
        <w:adjustRightInd w:val="0"/>
        <w:spacing w:after="0"/>
        <w:rPr>
          <w:b/>
          <w:bCs/>
          <w:i/>
          <w:iCs/>
        </w:rPr>
      </w:pPr>
    </w:p>
    <w:p w14:paraId="5998EBDA" w14:textId="77777777" w:rsidR="0028692B" w:rsidRDefault="0028692B" w:rsidP="00C918EB">
      <w:pPr>
        <w:spacing w:line="360" w:lineRule="auto"/>
        <w:rPr>
          <w:b/>
          <w:bCs/>
          <w:i/>
          <w:iCs/>
        </w:rPr>
      </w:pPr>
      <w:r w:rsidRPr="00B518BD">
        <w:rPr>
          <w:b/>
          <w:bCs/>
          <w:i/>
          <w:iCs/>
        </w:rPr>
        <w:t xml:space="preserve">Addressing concerns about long-term medication for IBS </w:t>
      </w:r>
    </w:p>
    <w:p w14:paraId="5A9CE4B5" w14:textId="77777777" w:rsidR="0028692B" w:rsidRDefault="0028692B" w:rsidP="00C918EB">
      <w:pPr>
        <w:spacing w:line="360" w:lineRule="auto"/>
        <w:rPr>
          <w:lang w:val="en"/>
        </w:rPr>
      </w:pPr>
      <w:r>
        <w:t xml:space="preserve">Broader concerns were expressed, particularly by GPs, </w:t>
      </w:r>
      <w:r>
        <w:rPr>
          <w:lang w:val="en"/>
        </w:rPr>
        <w:t>about</w:t>
      </w:r>
      <w:r w:rsidRPr="00A129C4">
        <w:t xml:space="preserve"> </w:t>
      </w:r>
      <w:r>
        <w:t>the consequences of</w:t>
      </w:r>
      <w:r w:rsidRPr="007C6D45">
        <w:rPr>
          <w:lang w:val="en"/>
        </w:rPr>
        <w:t xml:space="preserve"> prescribing </w:t>
      </w:r>
      <w:r w:rsidRPr="00A129C4">
        <w:t xml:space="preserve">a long-term ‘drug’ </w:t>
      </w:r>
      <w:r>
        <w:t xml:space="preserve">such as </w:t>
      </w:r>
      <w:r w:rsidRPr="007C6D45">
        <w:rPr>
          <w:lang w:val="en"/>
        </w:rPr>
        <w:t>amitriptyline</w:t>
      </w:r>
      <w:r>
        <w:rPr>
          <w:lang w:val="en"/>
        </w:rPr>
        <w:t xml:space="preserve"> for IBS. </w:t>
      </w:r>
      <w:r>
        <w:t xml:space="preserve">GPs </w:t>
      </w:r>
      <w:bookmarkStart w:id="34" w:name="_Int_FRubxtve"/>
      <w:r>
        <w:t>predominantly worried</w:t>
      </w:r>
      <w:bookmarkEnd w:id="34"/>
      <w:r>
        <w:t xml:space="preserve"> that prescribing amitriptyline could ‘medicalise’ IBS and increase administrative burden of repeat prescriptions and review consultations and highlighted potential contraindications to its prescription and polypharmacy issues.</w:t>
      </w:r>
    </w:p>
    <w:p w14:paraId="4FFEDDC7" w14:textId="77777777" w:rsidR="0028692B" w:rsidRPr="00712635" w:rsidRDefault="0028692B" w:rsidP="00712635">
      <w:pPr>
        <w:autoSpaceDE w:val="0"/>
        <w:autoSpaceDN w:val="0"/>
        <w:adjustRightInd w:val="0"/>
        <w:spacing w:after="0" w:line="240" w:lineRule="auto"/>
        <w:ind w:left="720"/>
        <w:rPr>
          <w:rFonts w:cstheme="minorHAnsi"/>
          <w:b/>
          <w:bCs/>
          <w:i/>
          <w:iCs/>
          <w:sz w:val="20"/>
          <w:szCs w:val="20"/>
        </w:rPr>
      </w:pPr>
      <w:r w:rsidRPr="00C918EB">
        <w:rPr>
          <w:rFonts w:cstheme="minorHAnsi"/>
          <w:i/>
          <w:iCs/>
          <w:sz w:val="20"/>
          <w:szCs w:val="20"/>
        </w:rPr>
        <w:t xml:space="preserve">“My general view is that if you can manage with lifestyle changes and not drugs, that is a better thing to do. I think it's an established well-known drug and if it works it would be cheap and if it's effective that is good. It's just what happens longer term, you know? Whether it is something, it would be interesting to know whether you can have it for a bit and then withdraw it, for example. Rather than it </w:t>
      </w:r>
      <w:proofErr w:type="gramStart"/>
      <w:r w:rsidRPr="00C918EB">
        <w:rPr>
          <w:rFonts w:cstheme="minorHAnsi"/>
          <w:i/>
          <w:iCs/>
          <w:sz w:val="20"/>
          <w:szCs w:val="20"/>
        </w:rPr>
        <w:t>becoming</w:t>
      </w:r>
      <w:proofErr w:type="gramEnd"/>
      <w:r w:rsidRPr="00C918EB">
        <w:rPr>
          <w:rFonts w:cstheme="minorHAnsi"/>
          <w:i/>
          <w:iCs/>
          <w:sz w:val="20"/>
          <w:szCs w:val="20"/>
        </w:rPr>
        <w:t xml:space="preserve"> another long-term drug to add to the burden </w:t>
      </w:r>
      <w:r>
        <w:rPr>
          <w:rFonts w:cstheme="minorHAnsi"/>
          <w:i/>
          <w:iCs/>
          <w:sz w:val="20"/>
          <w:szCs w:val="20"/>
        </w:rPr>
        <w:t xml:space="preserve">of </w:t>
      </w:r>
      <w:r w:rsidRPr="00C918EB">
        <w:rPr>
          <w:rFonts w:cstheme="minorHAnsi"/>
          <w:i/>
          <w:iCs/>
          <w:sz w:val="20"/>
          <w:szCs w:val="20"/>
        </w:rPr>
        <w:t xml:space="preserve">polypharmacy that we have!” </w:t>
      </w:r>
      <w:r w:rsidRPr="00712635">
        <w:rPr>
          <w:rFonts w:cstheme="minorHAnsi"/>
          <w:b/>
          <w:bCs/>
          <w:i/>
          <w:iCs/>
          <w:sz w:val="20"/>
          <w:szCs w:val="20"/>
        </w:rPr>
        <w:t xml:space="preserve">(GP1, female GP aged 55-64 years </w:t>
      </w:r>
      <w:bookmarkStart w:id="35" w:name="_Hlk136526538"/>
      <w:r w:rsidRPr="00712635">
        <w:rPr>
          <w:rFonts w:cstheme="minorHAnsi"/>
          <w:b/>
          <w:bCs/>
          <w:i/>
          <w:iCs/>
          <w:sz w:val="20"/>
          <w:szCs w:val="20"/>
        </w:rPr>
        <w:t>with over 20 years’ experience)</w:t>
      </w:r>
    </w:p>
    <w:bookmarkEnd w:id="35"/>
    <w:p w14:paraId="7F8EF5F4" w14:textId="77777777" w:rsidR="0028692B" w:rsidRPr="00C918EB" w:rsidRDefault="0028692B" w:rsidP="003737C3">
      <w:pPr>
        <w:autoSpaceDE w:val="0"/>
        <w:autoSpaceDN w:val="0"/>
        <w:adjustRightInd w:val="0"/>
        <w:spacing w:after="0" w:line="240" w:lineRule="auto"/>
        <w:ind w:left="720"/>
        <w:rPr>
          <w:rFonts w:cstheme="minorHAnsi"/>
          <w:i/>
          <w:iCs/>
          <w:sz w:val="20"/>
          <w:szCs w:val="20"/>
        </w:rPr>
      </w:pPr>
    </w:p>
    <w:p w14:paraId="2A7E899A" w14:textId="77777777" w:rsidR="0028692B" w:rsidRPr="00C918EB" w:rsidRDefault="0028692B" w:rsidP="003737C3">
      <w:pPr>
        <w:autoSpaceDE w:val="0"/>
        <w:autoSpaceDN w:val="0"/>
        <w:adjustRightInd w:val="0"/>
        <w:spacing w:after="0" w:line="240" w:lineRule="auto"/>
        <w:rPr>
          <w:rFonts w:cstheme="minorHAnsi"/>
          <w:i/>
          <w:iCs/>
          <w:sz w:val="20"/>
          <w:szCs w:val="20"/>
        </w:rPr>
      </w:pPr>
    </w:p>
    <w:p w14:paraId="5371AB71" w14:textId="77777777" w:rsidR="0028692B" w:rsidRPr="00777D02" w:rsidRDefault="0028692B" w:rsidP="00E37BEF">
      <w:pPr>
        <w:spacing w:line="360" w:lineRule="auto"/>
      </w:pPr>
      <w:r w:rsidRPr="00777D02">
        <w:t>GP</w:t>
      </w:r>
      <w:r>
        <w:t>s</w:t>
      </w:r>
      <w:r w:rsidRPr="00777D02">
        <w:t xml:space="preserve"> </w:t>
      </w:r>
      <w:r>
        <w:t xml:space="preserve">also expressed </w:t>
      </w:r>
      <w:r w:rsidRPr="00777D02">
        <w:t>concerns about patient tolerability of side effects, potential of overdose</w:t>
      </w:r>
      <w:r>
        <w:t>,</w:t>
      </w:r>
      <w:r w:rsidRPr="00777D02">
        <w:t xml:space="preserve"> and wider impacts of prescribing amitriptyline</w:t>
      </w:r>
      <w:r>
        <w:t>,</w:t>
      </w:r>
      <w:r w:rsidRPr="00777D02">
        <w:t xml:space="preserve"> including anticholinergic burden</w:t>
      </w:r>
      <w:r>
        <w:t>,</w:t>
      </w:r>
      <w:r w:rsidRPr="00777D02">
        <w:t xml:space="preserve"> in older patients. </w:t>
      </w:r>
    </w:p>
    <w:p w14:paraId="4ACAE75D" w14:textId="77777777" w:rsidR="0028692B" w:rsidRPr="00E37BEF" w:rsidRDefault="0028692B" w:rsidP="00712635">
      <w:pPr>
        <w:ind w:left="720"/>
        <w:rPr>
          <w:b/>
          <w:bCs/>
          <w:sz w:val="20"/>
          <w:szCs w:val="20"/>
        </w:rPr>
      </w:pPr>
      <w:r w:rsidRPr="00E37BEF">
        <w:rPr>
          <w:i/>
          <w:iCs/>
          <w:sz w:val="20"/>
          <w:szCs w:val="20"/>
        </w:rPr>
        <w:t xml:space="preserve">“Often these patients are quite young, but as they get older, then it's an anticholinergic and it adds to the anticholinergic </w:t>
      </w:r>
      <w:bookmarkStart w:id="36" w:name="_Int_vnyCTKHj"/>
      <w:proofErr w:type="gramStart"/>
      <w:r w:rsidRPr="00E37BEF">
        <w:rPr>
          <w:i/>
          <w:iCs/>
          <w:sz w:val="20"/>
          <w:szCs w:val="20"/>
        </w:rPr>
        <w:t>burden</w:t>
      </w:r>
      <w:bookmarkEnd w:id="36"/>
      <w:proofErr w:type="gramEnd"/>
      <w:r w:rsidRPr="00E37BEF">
        <w:rPr>
          <w:i/>
          <w:iCs/>
          <w:sz w:val="20"/>
          <w:szCs w:val="20"/>
        </w:rPr>
        <w:t xml:space="preserve"> and we know that people fall over and get confused and having long-term anticholinergic burden is not a great idea in terms of overall well-being.”</w:t>
      </w:r>
      <w:r w:rsidRPr="00E37BEF">
        <w:rPr>
          <w:sz w:val="20"/>
          <w:szCs w:val="20"/>
        </w:rPr>
        <w:t xml:space="preserve"> </w:t>
      </w:r>
      <w:r w:rsidRPr="00E37BEF">
        <w:rPr>
          <w:b/>
          <w:bCs/>
          <w:sz w:val="20"/>
          <w:szCs w:val="20"/>
        </w:rPr>
        <w:t>(GP1, female GP aged 55-64 years with over 20 years’ experience)</w:t>
      </w:r>
    </w:p>
    <w:p w14:paraId="651AC867" w14:textId="77777777" w:rsidR="0028692B" w:rsidRDefault="0028692B" w:rsidP="003737C3">
      <w:pPr>
        <w:rPr>
          <w:lang w:val="en"/>
        </w:rPr>
      </w:pPr>
    </w:p>
    <w:p w14:paraId="4F870DA7" w14:textId="77777777" w:rsidR="0028692B" w:rsidRDefault="0028692B" w:rsidP="00234CB2">
      <w:pPr>
        <w:spacing w:line="360" w:lineRule="auto"/>
        <w:rPr>
          <w:i/>
          <w:iCs/>
        </w:rPr>
      </w:pPr>
      <w:bookmarkStart w:id="37" w:name="_Hlk126497495"/>
      <w:r w:rsidRPr="00E50D24">
        <w:rPr>
          <w:color w:val="0070C0"/>
        </w:rPr>
        <w:t xml:space="preserve">Reluctance to ‘medicalise’ IBS </w:t>
      </w:r>
      <w:r>
        <w:t>was also evident in the patient data.</w:t>
      </w:r>
      <w:r w:rsidRPr="00BE39D2">
        <w:t xml:space="preserve"> </w:t>
      </w:r>
      <w:r>
        <w:t>C</w:t>
      </w:r>
      <w:r w:rsidRPr="00BE39D2">
        <w:t>oncerns about drug side-effects</w:t>
      </w:r>
      <w:r>
        <w:t xml:space="preserve"> or </w:t>
      </w:r>
      <w:r w:rsidRPr="00BE39D2">
        <w:t xml:space="preserve">dependency </w:t>
      </w:r>
      <w:r>
        <w:t xml:space="preserve">were expressed </w:t>
      </w:r>
      <w:r>
        <w:rPr>
          <w:rFonts w:cstheme="minorHAnsi"/>
          <w:i/>
          <w:iCs/>
        </w:rPr>
        <w:t>“</w:t>
      </w:r>
      <w:r w:rsidRPr="00BE39D2">
        <w:rPr>
          <w:rFonts w:cstheme="minorHAnsi"/>
          <w:i/>
          <w:iCs/>
        </w:rPr>
        <w:t>Initially I was a little bit worried. I didn't want any side effects</w:t>
      </w:r>
      <w:r>
        <w:rPr>
          <w:rFonts w:cstheme="minorHAnsi"/>
          <w:i/>
          <w:iCs/>
        </w:rPr>
        <w:t xml:space="preserve">” (P12), </w:t>
      </w:r>
      <w:r w:rsidRPr="00BE39D2">
        <w:rPr>
          <w:rFonts w:cstheme="minorHAnsi"/>
          <w:i/>
          <w:iCs/>
        </w:rPr>
        <w:t>“</w:t>
      </w:r>
      <w:r w:rsidRPr="00E37BEF">
        <w:rPr>
          <w:i/>
          <w:iCs/>
        </w:rPr>
        <w:t>I was worried that I might get addicted to it in some way</w:t>
      </w:r>
      <w:r>
        <w:rPr>
          <w:i/>
          <w:iCs/>
        </w:rPr>
        <w:t xml:space="preserve">” </w:t>
      </w:r>
      <w:r w:rsidRPr="00E37BEF">
        <w:t>(P6)</w:t>
      </w:r>
      <w:r>
        <w:rPr>
          <w:i/>
          <w:iCs/>
        </w:rPr>
        <w:t xml:space="preserve"> </w:t>
      </w:r>
      <w:r w:rsidRPr="00BE39D2">
        <w:t>but this seemed to have been tempered by th</w:t>
      </w:r>
      <w:r>
        <w:t>e sense that</w:t>
      </w:r>
      <w:r w:rsidRPr="00BE39D2">
        <w:t xml:space="preserve"> </w:t>
      </w:r>
      <w:r>
        <w:t>if they</w:t>
      </w:r>
      <w:r w:rsidRPr="00BE39D2">
        <w:t xml:space="preserve"> </w:t>
      </w:r>
      <w:r w:rsidRPr="00BE39D2">
        <w:rPr>
          <w:rFonts w:cstheme="minorHAnsi"/>
        </w:rPr>
        <w:t>experience</w:t>
      </w:r>
      <w:r>
        <w:rPr>
          <w:rFonts w:cstheme="minorHAnsi"/>
        </w:rPr>
        <w:t>d any adverse effects, it would be</w:t>
      </w:r>
      <w:r w:rsidRPr="00BE39D2">
        <w:rPr>
          <w:rFonts w:cstheme="minorHAnsi"/>
        </w:rPr>
        <w:t xml:space="preserve"> </w:t>
      </w:r>
      <w:r>
        <w:rPr>
          <w:rFonts w:cstheme="minorHAnsi"/>
        </w:rPr>
        <w:t>‘</w:t>
      </w:r>
      <w:r w:rsidRPr="00BE39D2">
        <w:rPr>
          <w:rFonts w:cstheme="minorHAnsi"/>
        </w:rPr>
        <w:t>known</w:t>
      </w:r>
      <w:r>
        <w:rPr>
          <w:rFonts w:cstheme="minorHAnsi"/>
        </w:rPr>
        <w:t>’</w:t>
      </w:r>
      <w:r w:rsidRPr="00BE39D2">
        <w:rPr>
          <w:rFonts w:cstheme="minorHAnsi"/>
        </w:rPr>
        <w:t xml:space="preserve"> side effects </w:t>
      </w:r>
      <w:r>
        <w:rPr>
          <w:rFonts w:cstheme="minorHAnsi"/>
        </w:rPr>
        <w:t xml:space="preserve">and, as such, manageable. </w:t>
      </w:r>
      <w:r w:rsidRPr="000F32C7">
        <w:t xml:space="preserve">This may </w:t>
      </w:r>
      <w:r>
        <w:t>be because</w:t>
      </w:r>
      <w:r w:rsidRPr="000F32C7">
        <w:t xml:space="preserve"> </w:t>
      </w:r>
      <w:r>
        <w:t>patient</w:t>
      </w:r>
      <w:r w:rsidRPr="000F32C7">
        <w:t>s had all signed up for the ATLANTIS trial and so had been provided with detailed information about possible side effects.</w:t>
      </w:r>
      <w:r>
        <w:rPr>
          <w:i/>
          <w:iCs/>
        </w:rPr>
        <w:t xml:space="preserve"> </w:t>
      </w:r>
      <w:bookmarkEnd w:id="22"/>
      <w:bookmarkEnd w:id="23"/>
    </w:p>
    <w:p w14:paraId="0B23B1A3" w14:textId="77777777" w:rsidR="0028692B" w:rsidRPr="00E37BEF" w:rsidRDefault="0028692B" w:rsidP="009C608D">
      <w:pPr>
        <w:ind w:left="720"/>
        <w:rPr>
          <w:b/>
          <w:bCs/>
          <w:sz w:val="20"/>
          <w:szCs w:val="20"/>
        </w:rPr>
      </w:pPr>
      <w:r w:rsidRPr="00E37BEF">
        <w:rPr>
          <w:i/>
          <w:iCs/>
          <w:sz w:val="20"/>
          <w:szCs w:val="20"/>
        </w:rPr>
        <w:lastRenderedPageBreak/>
        <w:t xml:space="preserve">“I suppose with any low-dose medication that can be used for depression, anxiety, and whatnot, I did think weight gain might be part of it, but again I thought if it helps with my stomach </w:t>
      </w:r>
      <w:bookmarkStart w:id="38" w:name="_Int_CuAZOEUG"/>
      <w:r w:rsidRPr="00E37BEF">
        <w:rPr>
          <w:i/>
          <w:iCs/>
          <w:sz w:val="20"/>
          <w:szCs w:val="20"/>
        </w:rPr>
        <w:t>I'm</w:t>
      </w:r>
      <w:bookmarkEnd w:id="38"/>
      <w:r w:rsidRPr="00E37BEF">
        <w:rPr>
          <w:i/>
          <w:iCs/>
          <w:sz w:val="20"/>
          <w:szCs w:val="20"/>
        </w:rPr>
        <w:t xml:space="preserve"> prepared to deal with any sort of mild side-effects. If it were to help, </w:t>
      </w:r>
      <w:bookmarkStart w:id="39" w:name="_Int_OPIHSFIF"/>
      <w:r w:rsidRPr="00E37BEF">
        <w:rPr>
          <w:i/>
          <w:iCs/>
          <w:sz w:val="20"/>
          <w:szCs w:val="20"/>
        </w:rPr>
        <w:t>I'd</w:t>
      </w:r>
      <w:bookmarkEnd w:id="39"/>
      <w:r w:rsidRPr="00E37BEF">
        <w:rPr>
          <w:i/>
          <w:iCs/>
          <w:sz w:val="20"/>
          <w:szCs w:val="20"/>
        </w:rPr>
        <w:t xml:space="preserve"> be up for a bit of weight gain if </w:t>
      </w:r>
      <w:bookmarkStart w:id="40" w:name="_Int_scN16pCN"/>
      <w:r w:rsidRPr="00E37BEF">
        <w:rPr>
          <w:i/>
          <w:iCs/>
          <w:sz w:val="20"/>
          <w:szCs w:val="20"/>
        </w:rPr>
        <w:t>that's</w:t>
      </w:r>
      <w:bookmarkEnd w:id="40"/>
      <w:r w:rsidRPr="00E37BEF">
        <w:rPr>
          <w:i/>
          <w:iCs/>
          <w:sz w:val="20"/>
          <w:szCs w:val="20"/>
        </w:rPr>
        <w:t xml:space="preserve"> what it took.”</w:t>
      </w:r>
      <w:r w:rsidRPr="00E37BEF">
        <w:rPr>
          <w:sz w:val="20"/>
          <w:szCs w:val="20"/>
        </w:rPr>
        <w:t xml:space="preserve"> </w:t>
      </w:r>
      <w:r w:rsidRPr="00E37BEF">
        <w:rPr>
          <w:b/>
          <w:bCs/>
          <w:sz w:val="20"/>
          <w:szCs w:val="20"/>
        </w:rPr>
        <w:t>(P42, female aged 18-25 years with severe IBS, 6-month interview)</w:t>
      </w:r>
    </w:p>
    <w:p w14:paraId="73627841" w14:textId="77777777" w:rsidR="0028692B" w:rsidRDefault="0028692B" w:rsidP="00E37BEF">
      <w:pPr>
        <w:spacing w:line="360" w:lineRule="auto"/>
      </w:pPr>
    </w:p>
    <w:p w14:paraId="23AC3EBD" w14:textId="77777777" w:rsidR="0028692B" w:rsidRPr="00E50D24" w:rsidRDefault="0028692B" w:rsidP="00234CB2">
      <w:pPr>
        <w:spacing w:line="360" w:lineRule="auto"/>
        <w:rPr>
          <w:b/>
          <w:bCs/>
          <w:sz w:val="20"/>
          <w:szCs w:val="20"/>
        </w:rPr>
      </w:pPr>
      <w:r w:rsidRPr="001532F1">
        <w:t xml:space="preserve">Despite these concerns, </w:t>
      </w:r>
      <w:r>
        <w:t xml:space="preserve">the </w:t>
      </w:r>
      <w:r w:rsidRPr="00E50D24">
        <w:rPr>
          <w:i/>
          <w:iCs/>
          <w:color w:val="0070C0"/>
        </w:rPr>
        <w:t>familiarity of amitriptyline</w:t>
      </w:r>
      <w:r w:rsidRPr="00363CD9">
        <w:t xml:space="preserve"> </w:t>
      </w:r>
      <w:r>
        <w:t>appeared to help reassure patients and GPs about using amitriptyline for IBS.</w:t>
      </w:r>
      <w:bookmarkEnd w:id="37"/>
      <w:r>
        <w:rPr>
          <w:b/>
          <w:bCs/>
          <w:sz w:val="20"/>
          <w:szCs w:val="20"/>
        </w:rPr>
        <w:t xml:space="preserve"> </w:t>
      </w:r>
      <w:r>
        <w:t xml:space="preserve">For patients, the </w:t>
      </w:r>
      <w:r w:rsidRPr="00363CD9">
        <w:rPr>
          <w:rFonts w:cstheme="minorHAnsi"/>
        </w:rPr>
        <w:t>well-established nature of amitriptyline</w:t>
      </w:r>
      <w:r w:rsidRPr="00363CD9">
        <w:t xml:space="preserve"> as something that</w:t>
      </w:r>
      <w:r w:rsidRPr="00363CD9">
        <w:rPr>
          <w:i/>
          <w:iCs/>
        </w:rPr>
        <w:t xml:space="preserve"> </w:t>
      </w:r>
      <w:r>
        <w:rPr>
          <w:i/>
          <w:iCs/>
        </w:rPr>
        <w:t>“has been</w:t>
      </w:r>
      <w:r w:rsidRPr="00363CD9">
        <w:rPr>
          <w:i/>
          <w:iCs/>
        </w:rPr>
        <w:t xml:space="preserve"> tried and tested’ </w:t>
      </w:r>
      <w:r w:rsidRPr="00B8192A">
        <w:t>(P18)</w:t>
      </w:r>
      <w:r>
        <w:rPr>
          <w:i/>
          <w:iCs/>
        </w:rPr>
        <w:t xml:space="preserve"> </w:t>
      </w:r>
      <w:r w:rsidRPr="0094422E">
        <w:t>and</w:t>
      </w:r>
      <w:r w:rsidRPr="00363CD9">
        <w:rPr>
          <w:i/>
          <w:iCs/>
        </w:rPr>
        <w:t xml:space="preserve"> </w:t>
      </w:r>
      <w:r>
        <w:rPr>
          <w:rFonts w:cstheme="minorHAnsi"/>
          <w:i/>
          <w:iCs/>
        </w:rPr>
        <w:t>“</w:t>
      </w:r>
      <w:r w:rsidRPr="00363CD9">
        <w:rPr>
          <w:rFonts w:cstheme="minorHAnsi"/>
          <w:i/>
          <w:iCs/>
        </w:rPr>
        <w:t>wasn’t like something that was brand new that I'd never heard of</w:t>
      </w:r>
      <w:r>
        <w:rPr>
          <w:rFonts w:cstheme="minorHAnsi"/>
          <w:i/>
          <w:iCs/>
        </w:rPr>
        <w:t xml:space="preserve">” </w:t>
      </w:r>
      <w:r w:rsidRPr="00B8192A">
        <w:rPr>
          <w:rFonts w:cstheme="minorHAnsi"/>
        </w:rPr>
        <w:t>(P2)</w:t>
      </w:r>
      <w:r>
        <w:rPr>
          <w:rFonts w:cstheme="minorHAnsi"/>
          <w:i/>
          <w:iCs/>
        </w:rPr>
        <w:t xml:space="preserve"> </w:t>
      </w:r>
      <w:r w:rsidRPr="00234CB2">
        <w:rPr>
          <w:rFonts w:cstheme="minorHAnsi"/>
        </w:rPr>
        <w:t xml:space="preserve">as well </w:t>
      </w:r>
      <w:bookmarkStart w:id="41" w:name="_Hlk126497712"/>
      <w:r w:rsidRPr="00234CB2">
        <w:rPr>
          <w:rFonts w:cstheme="minorHAnsi"/>
        </w:rPr>
        <w:t>as</w:t>
      </w:r>
      <w:r>
        <w:t xml:space="preserve"> </w:t>
      </w:r>
      <w:r>
        <w:rPr>
          <w:rFonts w:cstheme="minorHAnsi"/>
        </w:rPr>
        <w:t>p</w:t>
      </w:r>
      <w:r w:rsidRPr="00BE4AB0">
        <w:rPr>
          <w:rFonts w:cstheme="minorHAnsi"/>
        </w:rPr>
        <w:t xml:space="preserve">rior personal experience or knowing others already taking </w:t>
      </w:r>
      <w:r>
        <w:rPr>
          <w:rFonts w:cstheme="minorHAnsi"/>
        </w:rPr>
        <w:t>amitriptyline</w:t>
      </w:r>
      <w:r w:rsidRPr="00BE4AB0">
        <w:rPr>
          <w:rFonts w:cstheme="minorHAnsi"/>
        </w:rPr>
        <w:t xml:space="preserve"> for non-mental health conditions</w:t>
      </w:r>
      <w:r>
        <w:rPr>
          <w:rFonts w:cstheme="minorHAnsi"/>
        </w:rPr>
        <w:t xml:space="preserve"> appeared to reassure and normalise drug treatment, and specifically amitriptyline, for IBS.</w:t>
      </w:r>
    </w:p>
    <w:bookmarkEnd w:id="41"/>
    <w:p w14:paraId="21EFAC82" w14:textId="77777777" w:rsidR="0028692B" w:rsidRPr="00363CD9" w:rsidRDefault="0028692B" w:rsidP="009C608D">
      <w:pPr>
        <w:spacing w:line="240" w:lineRule="auto"/>
        <w:ind w:left="720"/>
        <w:rPr>
          <w:b/>
          <w:bCs/>
          <w:i/>
          <w:iCs/>
          <w:sz w:val="20"/>
          <w:szCs w:val="20"/>
        </w:rPr>
      </w:pPr>
      <w:r w:rsidRPr="00363CD9">
        <w:rPr>
          <w:rFonts w:cstheme="minorHAnsi"/>
          <w:i/>
          <w:iCs/>
          <w:sz w:val="20"/>
          <w:szCs w:val="20"/>
        </w:rPr>
        <w:t xml:space="preserve">“Well, I've got a couple of friends that are on them, but not for their tummies, they've got them because they've got a bit of stress in their lives, and have lost their husbands and stuff, and it helps them sleep. I was quite happy to go on them, because I knew that I'd got friends on it; it wasn't something that I didn't recognise.” </w:t>
      </w:r>
      <w:r w:rsidRPr="00363CD9">
        <w:rPr>
          <w:b/>
          <w:bCs/>
          <w:i/>
          <w:iCs/>
          <w:sz w:val="20"/>
          <w:szCs w:val="20"/>
        </w:rPr>
        <w:t xml:space="preserve">(P9, female aged </w:t>
      </w:r>
      <w:r>
        <w:rPr>
          <w:b/>
          <w:bCs/>
          <w:i/>
          <w:iCs/>
          <w:sz w:val="20"/>
          <w:szCs w:val="20"/>
        </w:rPr>
        <w:t>over 65</w:t>
      </w:r>
      <w:r w:rsidRPr="00363CD9">
        <w:rPr>
          <w:b/>
          <w:bCs/>
          <w:i/>
          <w:iCs/>
          <w:sz w:val="20"/>
          <w:szCs w:val="20"/>
        </w:rPr>
        <w:t xml:space="preserve"> years with moderate IBS, 6-month interview)</w:t>
      </w:r>
    </w:p>
    <w:p w14:paraId="02B9B486" w14:textId="77777777" w:rsidR="0028692B" w:rsidRDefault="0028692B" w:rsidP="003737C3">
      <w:bookmarkStart w:id="42" w:name="_Toc102482588"/>
    </w:p>
    <w:p w14:paraId="294F1C1F" w14:textId="77777777" w:rsidR="0028692B" w:rsidRPr="002304A0" w:rsidRDefault="0028692B" w:rsidP="00002EA1">
      <w:pPr>
        <w:spacing w:line="360" w:lineRule="auto"/>
      </w:pPr>
      <w:bookmarkStart w:id="43" w:name="_Hlk126498177"/>
      <w:r>
        <w:t>F</w:t>
      </w:r>
      <w:r w:rsidRPr="00BE4AB0">
        <w:t xml:space="preserve">amiliarity </w:t>
      </w:r>
      <w:r>
        <w:t>was also highlighted by GPs as potentially facilitating prescribing. GPs demonstrated existing knowledge of amitriptyline and seemed confident in making prescribing decisions about people with IBS. A</w:t>
      </w:r>
      <w:r w:rsidRPr="002304A0">
        <w:t xml:space="preserve">mitriptyline </w:t>
      </w:r>
      <w:r>
        <w:t xml:space="preserve">was commonly viewed as </w:t>
      </w:r>
      <w:r w:rsidRPr="002304A0">
        <w:t>a widely</w:t>
      </w:r>
      <w:r>
        <w:t xml:space="preserve"> available </w:t>
      </w:r>
      <w:r w:rsidRPr="002304A0">
        <w:t xml:space="preserve">and inexpensive </w:t>
      </w:r>
      <w:r>
        <w:t xml:space="preserve">treatment with well-established knowledge of side effects, that anecdotally </w:t>
      </w:r>
      <w:r>
        <w:rPr>
          <w:i/>
          <w:iCs/>
        </w:rPr>
        <w:t>“</w:t>
      </w:r>
      <w:r w:rsidRPr="00F13C7F">
        <w:rPr>
          <w:i/>
          <w:iCs/>
        </w:rPr>
        <w:t>seems logical</w:t>
      </w:r>
      <w:r>
        <w:rPr>
          <w:i/>
          <w:iCs/>
        </w:rPr>
        <w:t>”</w:t>
      </w:r>
      <w:r>
        <w:t xml:space="preserve"> (GP11) that it could</w:t>
      </w:r>
      <w:r w:rsidRPr="002304A0">
        <w:t xml:space="preserve"> be </w:t>
      </w:r>
      <w:r>
        <w:t xml:space="preserve">successful is helping to resolve IBS symptoms.  </w:t>
      </w:r>
      <w:bookmarkEnd w:id="43"/>
    </w:p>
    <w:p w14:paraId="5AF6A7E1" w14:textId="77777777" w:rsidR="0028692B" w:rsidRPr="00726E8D" w:rsidRDefault="0028692B" w:rsidP="003737C3">
      <w:pPr>
        <w:spacing w:line="240" w:lineRule="auto"/>
        <w:ind w:left="720"/>
        <w:rPr>
          <w:i/>
          <w:iCs/>
          <w:sz w:val="20"/>
          <w:szCs w:val="20"/>
        </w:rPr>
      </w:pPr>
    </w:p>
    <w:p w14:paraId="439352AE" w14:textId="77777777" w:rsidR="0028692B" w:rsidRPr="00B8192A" w:rsidRDefault="0028692B" w:rsidP="00B8192A">
      <w:pPr>
        <w:ind w:left="720"/>
        <w:rPr>
          <w:b/>
          <w:bCs/>
          <w:sz w:val="20"/>
          <w:szCs w:val="20"/>
        </w:rPr>
      </w:pPr>
      <w:r w:rsidRPr="00B8192A">
        <w:rPr>
          <w:i/>
          <w:iCs/>
          <w:sz w:val="20"/>
          <w:szCs w:val="20"/>
        </w:rPr>
        <w:t xml:space="preserve">“It's freely available and, as I said, very cheap, so there isn't going to be that barrier in terms of an expensive, new medication.” </w:t>
      </w:r>
      <w:r w:rsidRPr="00B8192A">
        <w:rPr>
          <w:b/>
          <w:bCs/>
          <w:sz w:val="20"/>
          <w:szCs w:val="20"/>
        </w:rPr>
        <w:t>(GP2, male GP aged 35-45 years with 15-20 years’ experience)</w:t>
      </w:r>
    </w:p>
    <w:p w14:paraId="05D7C54A" w14:textId="77777777" w:rsidR="0028692B" w:rsidRDefault="0028692B" w:rsidP="003737C3">
      <w:pPr>
        <w:rPr>
          <w:i/>
          <w:iCs/>
          <w:sz w:val="20"/>
          <w:szCs w:val="20"/>
        </w:rPr>
      </w:pPr>
    </w:p>
    <w:p w14:paraId="41B866D3" w14:textId="77777777" w:rsidR="0028692B" w:rsidRPr="00906732" w:rsidRDefault="0028692B" w:rsidP="008B54B4">
      <w:pPr>
        <w:autoSpaceDE w:val="0"/>
        <w:autoSpaceDN w:val="0"/>
        <w:adjustRightInd w:val="0"/>
        <w:spacing w:after="0" w:line="360" w:lineRule="auto"/>
      </w:pPr>
      <w:bookmarkStart w:id="44" w:name="_Hlk126498718"/>
      <w:r>
        <w:t xml:space="preserve">Careful consideration of the suitability of amitriptyline for people with IBS was also evident. A common view was prescribing amitriptyline to patients experiencing pain and diarrhoea, rather than </w:t>
      </w:r>
      <w:r w:rsidRPr="00DC23B5">
        <w:t>constipation</w:t>
      </w:r>
      <w:r>
        <w:t>, was preferable</w:t>
      </w:r>
      <w:r w:rsidRPr="00DC23B5">
        <w:t xml:space="preserve"> due to a p</w:t>
      </w:r>
      <w:r>
        <w:t>otential</w:t>
      </w:r>
      <w:r w:rsidRPr="00DC23B5">
        <w:t xml:space="preserve"> </w:t>
      </w:r>
      <w:r>
        <w:t>adverse</w:t>
      </w:r>
      <w:r w:rsidRPr="00DC23B5">
        <w:t xml:space="preserve"> effect of constipation and not wanting to </w:t>
      </w:r>
      <w:r>
        <w:t>“</w:t>
      </w:r>
      <w:r w:rsidRPr="00DC23B5">
        <w:rPr>
          <w:rFonts w:cstheme="minorHAnsi"/>
          <w:i/>
          <w:iCs/>
        </w:rPr>
        <w:t>give them something that's going to also constipate them</w:t>
      </w:r>
      <w:r>
        <w:rPr>
          <w:rFonts w:cstheme="minorHAnsi"/>
          <w:i/>
          <w:iCs/>
        </w:rPr>
        <w:t xml:space="preserve">” (GP14). </w:t>
      </w:r>
      <w:r w:rsidRPr="00DC23B5">
        <w:rPr>
          <w:rFonts w:cstheme="minorHAnsi"/>
          <w:i/>
          <w:iCs/>
        </w:rPr>
        <w:t xml:space="preserve"> </w:t>
      </w:r>
    </w:p>
    <w:bookmarkEnd w:id="44"/>
    <w:p w14:paraId="5A4D764E" w14:textId="77777777" w:rsidR="0028692B" w:rsidRDefault="0028692B" w:rsidP="00B8192A">
      <w:pPr>
        <w:ind w:left="720"/>
        <w:rPr>
          <w:b/>
          <w:bCs/>
          <w:sz w:val="20"/>
          <w:szCs w:val="20"/>
        </w:rPr>
      </w:pPr>
    </w:p>
    <w:p w14:paraId="68C07D61" w14:textId="77777777" w:rsidR="0028692B" w:rsidRPr="00530CF9" w:rsidRDefault="0028692B" w:rsidP="00B63118">
      <w:pPr>
        <w:spacing w:line="360" w:lineRule="auto"/>
        <w:rPr>
          <w:rFonts w:cstheme="minorHAnsi"/>
        </w:rPr>
      </w:pPr>
      <w:bookmarkStart w:id="45" w:name="_Hlk126500321"/>
      <w:r w:rsidRPr="009D4860">
        <w:rPr>
          <w:i/>
          <w:iCs/>
          <w:color w:val="0070C0"/>
          <w:lang w:val="en"/>
        </w:rPr>
        <w:t>Recognising potential benefits beyond IBS symptom relief</w:t>
      </w:r>
      <w:r w:rsidRPr="009D4860">
        <w:rPr>
          <w:lang w:val="en"/>
        </w:rPr>
        <w:t xml:space="preserve"> was also highlighted by patients and GPs.</w:t>
      </w:r>
      <w:bookmarkEnd w:id="45"/>
      <w:r w:rsidRPr="009D4860">
        <w:rPr>
          <w:lang w:val="en"/>
        </w:rPr>
        <w:t xml:space="preserve"> A</w:t>
      </w:r>
      <w:r>
        <w:rPr>
          <w:lang w:val="en"/>
        </w:rPr>
        <w:t xml:space="preserve"> common misperception among patients was that </w:t>
      </w:r>
      <w:r>
        <w:rPr>
          <w:rFonts w:cstheme="minorHAnsi"/>
        </w:rPr>
        <w:t xml:space="preserve">taking low-dose </w:t>
      </w:r>
      <w:r w:rsidRPr="00530CF9">
        <w:rPr>
          <w:rFonts w:cstheme="minorHAnsi"/>
        </w:rPr>
        <w:t xml:space="preserve">amitriptyline might benefit their emotional health e.g., </w:t>
      </w:r>
      <w:r w:rsidRPr="00EA24B8">
        <w:rPr>
          <w:rStyle w:val="cf01"/>
          <w:rFonts w:cstheme="minorHAnsi"/>
          <w:i/>
          <w:iCs/>
        </w:rPr>
        <w:t xml:space="preserve">“lift my mood a bit…lift my confidence a little bit” </w:t>
      </w:r>
      <w:r w:rsidRPr="00530CF9">
        <w:rPr>
          <w:rStyle w:val="cf01"/>
          <w:rFonts w:cstheme="minorHAnsi"/>
        </w:rPr>
        <w:t>(P12</w:t>
      </w:r>
      <w:r w:rsidRPr="00530CF9">
        <w:rPr>
          <w:rFonts w:cstheme="minorHAnsi"/>
        </w:rPr>
        <w:t>).</w:t>
      </w:r>
      <w:r>
        <w:rPr>
          <w:rFonts w:cstheme="minorHAnsi"/>
        </w:rPr>
        <w:t xml:space="preserve"> Patients with prior experience of amitriptyline saw the potential to </w:t>
      </w:r>
      <w:r w:rsidRPr="00806DDA">
        <w:rPr>
          <w:rFonts w:cstheme="minorHAnsi"/>
        </w:rPr>
        <w:t>reliev</w:t>
      </w:r>
      <w:r>
        <w:rPr>
          <w:rFonts w:cstheme="minorHAnsi"/>
        </w:rPr>
        <w:t>e</w:t>
      </w:r>
      <w:r w:rsidRPr="00806DDA">
        <w:rPr>
          <w:rFonts w:cstheme="minorHAnsi"/>
        </w:rPr>
        <w:t xml:space="preserve"> symptoms in other pain-related conditions and i</w:t>
      </w:r>
      <w:r w:rsidRPr="00806DDA">
        <w:t>mprov</w:t>
      </w:r>
      <w:r>
        <w:t>e</w:t>
      </w:r>
      <w:r w:rsidRPr="00806DDA">
        <w:t xml:space="preserve"> sleep</w:t>
      </w:r>
      <w:r w:rsidRPr="00806DDA">
        <w:rPr>
          <w:rFonts w:cstheme="minorHAnsi"/>
        </w:rPr>
        <w:t xml:space="preserve">. </w:t>
      </w:r>
    </w:p>
    <w:p w14:paraId="3B96D36C" w14:textId="77777777" w:rsidR="0028692B" w:rsidRPr="00824531" w:rsidRDefault="0028692B" w:rsidP="00B63118">
      <w:pPr>
        <w:spacing w:line="240" w:lineRule="auto"/>
        <w:ind w:left="720"/>
        <w:rPr>
          <w:b/>
          <w:bCs/>
          <w:i/>
          <w:iCs/>
          <w:sz w:val="20"/>
          <w:szCs w:val="20"/>
        </w:rPr>
      </w:pPr>
      <w:r w:rsidRPr="00824531">
        <w:rPr>
          <w:rFonts w:cstheme="minorHAnsi"/>
          <w:i/>
          <w:iCs/>
          <w:sz w:val="20"/>
          <w:szCs w:val="20"/>
        </w:rPr>
        <w:lastRenderedPageBreak/>
        <w:t xml:space="preserve">“I was crossing my fingers I was going to get amitriptyline because I had had it before, and it helped me sleep, and that was welcome. I think that was the naughty reason for wanting to do it. I mean, there was a good reason, but it's also an additional motive for me if that makes sense.” </w:t>
      </w:r>
      <w:r w:rsidRPr="00824531">
        <w:rPr>
          <w:b/>
          <w:bCs/>
          <w:i/>
          <w:iCs/>
          <w:sz w:val="20"/>
          <w:szCs w:val="20"/>
        </w:rPr>
        <w:t xml:space="preserve">(P40, male aged </w:t>
      </w:r>
      <w:r>
        <w:rPr>
          <w:b/>
          <w:bCs/>
          <w:i/>
          <w:iCs/>
          <w:sz w:val="20"/>
          <w:szCs w:val="20"/>
        </w:rPr>
        <w:t>45-</w:t>
      </w:r>
      <w:r w:rsidRPr="00824531">
        <w:rPr>
          <w:b/>
          <w:bCs/>
          <w:i/>
          <w:iCs/>
          <w:sz w:val="20"/>
          <w:szCs w:val="20"/>
        </w:rPr>
        <w:t>54 years with moderate IBS, 6-month interview)</w:t>
      </w:r>
    </w:p>
    <w:p w14:paraId="2439A044" w14:textId="77777777" w:rsidR="0028692B" w:rsidRDefault="0028692B" w:rsidP="00B63118">
      <w:pPr>
        <w:rPr>
          <w:b/>
          <w:bCs/>
          <w:i/>
          <w:iCs/>
        </w:rPr>
      </w:pPr>
    </w:p>
    <w:p w14:paraId="51C615DC" w14:textId="77777777" w:rsidR="0028692B" w:rsidRPr="0029435E" w:rsidRDefault="0028692B" w:rsidP="0029435E">
      <w:pPr>
        <w:spacing w:line="360" w:lineRule="auto"/>
        <w:rPr>
          <w:sz w:val="20"/>
          <w:szCs w:val="20"/>
        </w:rPr>
      </w:pPr>
      <w:r>
        <w:t>GPs also reflected on the utility of being able to</w:t>
      </w:r>
      <w:r w:rsidRPr="002304A0">
        <w:rPr>
          <w:i/>
          <w:iCs/>
        </w:rPr>
        <w:t xml:space="preserve"> </w:t>
      </w:r>
      <w:r>
        <w:rPr>
          <w:i/>
          <w:iCs/>
        </w:rPr>
        <w:t>“</w:t>
      </w:r>
      <w:r w:rsidRPr="002304A0">
        <w:rPr>
          <w:i/>
          <w:iCs/>
        </w:rPr>
        <w:t>use some of the side effects to their advantage</w:t>
      </w:r>
      <w:r>
        <w:rPr>
          <w:i/>
          <w:iCs/>
        </w:rPr>
        <w:t xml:space="preserve">” </w:t>
      </w:r>
      <w:r>
        <w:t>(GP8) and described how they promoted</w:t>
      </w:r>
      <w:r w:rsidRPr="00062F3F">
        <w:t xml:space="preserve"> amitriptyline </w:t>
      </w:r>
      <w:r>
        <w:t>as a treatment with multiple benefits, particularly for</w:t>
      </w:r>
      <w:r w:rsidRPr="00062F3F">
        <w:t xml:space="preserve"> addressing sleep problems</w:t>
      </w:r>
      <w:r>
        <w:t>.</w:t>
      </w:r>
      <w:r w:rsidRPr="00062F3F">
        <w:t xml:space="preserve"> </w:t>
      </w:r>
    </w:p>
    <w:p w14:paraId="37418BDD" w14:textId="77777777" w:rsidR="0028692B" w:rsidRPr="0064546B" w:rsidRDefault="0028692B" w:rsidP="00B63118">
      <w:pPr>
        <w:spacing w:line="240" w:lineRule="auto"/>
        <w:ind w:left="720"/>
        <w:rPr>
          <w:i/>
          <w:iCs/>
          <w:sz w:val="20"/>
          <w:szCs w:val="20"/>
        </w:rPr>
      </w:pPr>
      <w:r w:rsidRPr="00824531">
        <w:rPr>
          <w:i/>
          <w:iCs/>
          <w:sz w:val="20"/>
          <w:szCs w:val="20"/>
        </w:rPr>
        <w:t xml:space="preserve">“I think that there are going to be certain patients who with their anxiety and their stress they might have sleep problems. Having the option of using amitriptyline as an agent to help them with their IBS as well as their sleep is always for some people in that sort of predicament is an attractive one.” </w:t>
      </w:r>
      <w:bookmarkStart w:id="46" w:name="_Hlk136526982"/>
      <w:r w:rsidRPr="0064546B">
        <w:rPr>
          <w:b/>
          <w:bCs/>
          <w:i/>
          <w:iCs/>
          <w:sz w:val="20"/>
          <w:szCs w:val="20"/>
        </w:rPr>
        <w:t>(GP11, male GP aged 45-54 years with over 20 years’ experience)</w:t>
      </w:r>
    </w:p>
    <w:bookmarkEnd w:id="42"/>
    <w:bookmarkEnd w:id="46"/>
    <w:p w14:paraId="689F692F" w14:textId="77777777" w:rsidR="0028692B" w:rsidRDefault="0028692B" w:rsidP="003737C3">
      <w:pPr>
        <w:pStyle w:val="CommentText"/>
        <w:rPr>
          <w:b/>
          <w:bCs/>
          <w:color w:val="0070C0"/>
          <w:sz w:val="24"/>
          <w:szCs w:val="24"/>
        </w:rPr>
      </w:pPr>
    </w:p>
    <w:p w14:paraId="4693305A" w14:textId="77777777" w:rsidR="0028692B" w:rsidRDefault="0028692B" w:rsidP="002413AD">
      <w:pPr>
        <w:spacing w:line="360" w:lineRule="auto"/>
        <w:rPr>
          <w:b/>
          <w:bCs/>
          <w:i/>
          <w:iCs/>
          <w:sz w:val="24"/>
          <w:szCs w:val="24"/>
        </w:rPr>
      </w:pPr>
      <w:bookmarkStart w:id="47" w:name="_Hlk110260489"/>
      <w:bookmarkStart w:id="48" w:name="_Hlk126501352"/>
      <w:r w:rsidRPr="00B518BD">
        <w:rPr>
          <w:b/>
          <w:bCs/>
          <w:i/>
          <w:iCs/>
          <w:sz w:val="24"/>
          <w:szCs w:val="24"/>
        </w:rPr>
        <w:t>Meeting the desire for a novel approach to IBS.</w:t>
      </w:r>
    </w:p>
    <w:p w14:paraId="17B2C557" w14:textId="77777777" w:rsidR="0028692B" w:rsidRPr="002413AD" w:rsidRDefault="0028692B" w:rsidP="002413AD">
      <w:pPr>
        <w:spacing w:line="360" w:lineRule="auto"/>
        <w:rPr>
          <w:lang w:eastAsia="en-GB"/>
        </w:rPr>
      </w:pPr>
      <w:r>
        <w:rPr>
          <w:iCs/>
          <w:lang w:val="en"/>
        </w:rPr>
        <w:t>Patients’</w:t>
      </w:r>
      <w:r w:rsidRPr="008B54B4">
        <w:rPr>
          <w:iCs/>
          <w:lang w:val="en"/>
        </w:rPr>
        <w:t xml:space="preserve"> desire for a cure and GPs wanting to offer more patient choice around IBS treatments seemed to contribute to an overarching theme that the potential positives </w:t>
      </w:r>
      <w:r>
        <w:rPr>
          <w:iCs/>
          <w:lang w:val="en"/>
        </w:rPr>
        <w:t xml:space="preserve">of </w:t>
      </w:r>
      <w:r w:rsidRPr="008B54B4">
        <w:rPr>
          <w:iCs/>
          <w:lang w:val="en"/>
        </w:rPr>
        <w:t xml:space="preserve">trying amitriptyline for IBS outweighed any concerns. </w:t>
      </w:r>
      <w:r>
        <w:rPr>
          <w:lang w:eastAsia="en-GB"/>
        </w:rPr>
        <w:t xml:space="preserve">Patients expressed frustration at having unresolved symptoms and feeling that they had tried </w:t>
      </w:r>
      <w:r w:rsidRPr="002413AD">
        <w:rPr>
          <w:lang w:eastAsia="en-GB"/>
        </w:rPr>
        <w:t>everything else</w:t>
      </w:r>
      <w:r w:rsidRPr="002413AD">
        <w:rPr>
          <w:rFonts w:cstheme="minorHAnsi"/>
          <w:i/>
          <w:iCs/>
        </w:rPr>
        <w:t xml:space="preserve"> </w:t>
      </w:r>
      <w:r w:rsidRPr="00C136C7">
        <w:rPr>
          <w:rFonts w:cstheme="minorHAnsi"/>
          <w:i/>
          <w:iCs/>
        </w:rPr>
        <w:t xml:space="preserve">“you name it; I think I've tried it; nothing seems to work” </w:t>
      </w:r>
      <w:r w:rsidRPr="00C136C7">
        <w:rPr>
          <w:rFonts w:cstheme="minorHAnsi"/>
        </w:rPr>
        <w:t>(P30)</w:t>
      </w:r>
      <w:r>
        <w:rPr>
          <w:rFonts w:cstheme="minorHAnsi"/>
          <w:i/>
          <w:iCs/>
        </w:rPr>
        <w:t xml:space="preserve"> </w:t>
      </w:r>
      <w:r w:rsidRPr="002413AD">
        <w:rPr>
          <w:rFonts w:cstheme="minorHAnsi"/>
        </w:rPr>
        <w:t>and</w:t>
      </w:r>
      <w:r>
        <w:rPr>
          <w:rFonts w:cstheme="minorHAnsi"/>
        </w:rPr>
        <w:t>,</w:t>
      </w:r>
      <w:r w:rsidRPr="002413AD">
        <w:rPr>
          <w:rFonts w:cstheme="minorHAnsi"/>
        </w:rPr>
        <w:t xml:space="preserve"> as such</w:t>
      </w:r>
      <w:r>
        <w:rPr>
          <w:rFonts w:cstheme="minorHAnsi"/>
        </w:rPr>
        <w:t>,</w:t>
      </w:r>
      <w:r w:rsidRPr="002413AD">
        <w:rPr>
          <w:rFonts w:cstheme="minorHAnsi"/>
        </w:rPr>
        <w:t xml:space="preserve"> were</w:t>
      </w:r>
      <w:r w:rsidRPr="002413AD">
        <w:rPr>
          <w:lang w:eastAsia="en-GB"/>
        </w:rPr>
        <w:t xml:space="preserve"> highly motivated to try something new, especially if it offered the hope of sustained symptom relief. </w:t>
      </w:r>
      <w:bookmarkEnd w:id="47"/>
    </w:p>
    <w:bookmarkEnd w:id="48"/>
    <w:p w14:paraId="40494983" w14:textId="77777777" w:rsidR="0028692B" w:rsidRPr="0039252A" w:rsidRDefault="0028692B" w:rsidP="003737C3">
      <w:pPr>
        <w:spacing w:line="240" w:lineRule="auto"/>
        <w:ind w:left="720"/>
        <w:rPr>
          <w:b/>
          <w:bCs/>
          <w:i/>
          <w:iCs/>
          <w:sz w:val="20"/>
          <w:szCs w:val="20"/>
        </w:rPr>
      </w:pPr>
      <w:r w:rsidRPr="0039252A">
        <w:rPr>
          <w:rFonts w:cstheme="minorHAnsi"/>
          <w:i/>
          <w:iCs/>
          <w:sz w:val="20"/>
          <w:szCs w:val="20"/>
        </w:rPr>
        <w:t xml:space="preserve">“That's one of the reasons I was quite keen to come on this trial because it offered a ray of hope. A miracle </w:t>
      </w:r>
      <w:proofErr w:type="gramStart"/>
      <w:r w:rsidRPr="0039252A">
        <w:rPr>
          <w:rFonts w:cstheme="minorHAnsi"/>
          <w:i/>
          <w:iCs/>
          <w:sz w:val="20"/>
          <w:szCs w:val="20"/>
        </w:rPr>
        <w:t>cure</w:t>
      </w:r>
      <w:proofErr w:type="gramEnd"/>
      <w:r w:rsidRPr="0039252A">
        <w:rPr>
          <w:rFonts w:cstheme="minorHAnsi"/>
          <w:i/>
          <w:iCs/>
          <w:sz w:val="20"/>
          <w:szCs w:val="20"/>
        </w:rPr>
        <w:t xml:space="preserve">! There are things you can try but none of them seem to be very effective. So really, if they could find those little blue pills that cure it, it would be brilliant.” </w:t>
      </w:r>
      <w:r w:rsidRPr="0039252A">
        <w:rPr>
          <w:b/>
          <w:bCs/>
          <w:i/>
          <w:iCs/>
          <w:sz w:val="20"/>
          <w:szCs w:val="20"/>
        </w:rPr>
        <w:t>(P1, male aged over 65 years with severe IBS, 6-month interview)</w:t>
      </w:r>
    </w:p>
    <w:p w14:paraId="5695F530" w14:textId="77777777" w:rsidR="0028692B" w:rsidRPr="00C271D2" w:rsidRDefault="0028692B" w:rsidP="003737C3">
      <w:pPr>
        <w:rPr>
          <w:b/>
          <w:bCs/>
          <w:i/>
          <w:iCs/>
          <w:color w:val="0070C0"/>
          <w:sz w:val="20"/>
          <w:szCs w:val="20"/>
        </w:rPr>
      </w:pPr>
    </w:p>
    <w:p w14:paraId="51EC2108" w14:textId="77777777" w:rsidR="0028692B" w:rsidRPr="003D59FE" w:rsidRDefault="0028692B" w:rsidP="003D59FE">
      <w:pPr>
        <w:spacing w:line="360" w:lineRule="auto"/>
      </w:pPr>
      <w:r>
        <w:t>Although</w:t>
      </w:r>
      <w:r w:rsidRPr="004A21B0">
        <w:t xml:space="preserve"> GP</w:t>
      </w:r>
      <w:r>
        <w:t>s</w:t>
      </w:r>
      <w:r w:rsidRPr="004A21B0">
        <w:t xml:space="preserve"> did not view amitriptyline as a potential cure for IBS, they commonly expressed appreciation</w:t>
      </w:r>
      <w:r>
        <w:t xml:space="preserve"> of having something else to offer patients, explaining that</w:t>
      </w:r>
      <w:r w:rsidRPr="004A21B0">
        <w:t xml:space="preserve"> prescribing amitriptyline for IBS would allow them to add </w:t>
      </w:r>
      <w:r>
        <w:t>“</w:t>
      </w:r>
      <w:r w:rsidRPr="004A21B0">
        <w:rPr>
          <w:i/>
          <w:iCs/>
        </w:rPr>
        <w:t>another string to your bow</w:t>
      </w:r>
      <w:r>
        <w:rPr>
          <w:i/>
          <w:iCs/>
        </w:rPr>
        <w:t>” (GP14)</w:t>
      </w:r>
      <w:r w:rsidRPr="004A21B0">
        <w:t xml:space="preserve"> or have </w:t>
      </w:r>
      <w:r>
        <w:t>“</w:t>
      </w:r>
      <w:r w:rsidRPr="004A21B0">
        <w:rPr>
          <w:rFonts w:cstheme="minorHAnsi"/>
          <w:i/>
          <w:iCs/>
        </w:rPr>
        <w:t>another tool in the belt</w:t>
      </w:r>
      <w:r>
        <w:rPr>
          <w:rFonts w:cstheme="minorHAnsi"/>
          <w:i/>
          <w:iCs/>
        </w:rPr>
        <w:t>” (GP3)</w:t>
      </w:r>
      <w:r>
        <w:rPr>
          <w:rFonts w:cstheme="minorHAnsi"/>
        </w:rPr>
        <w:t xml:space="preserve">. </w:t>
      </w:r>
      <w:bookmarkStart w:id="49" w:name="_Hlk110331122"/>
      <w:bookmarkStart w:id="50" w:name="_Hlk126501729"/>
      <w:r>
        <w:rPr>
          <w:rFonts w:cstheme="minorHAnsi"/>
        </w:rPr>
        <w:t xml:space="preserve">GPs wanted </w:t>
      </w:r>
      <w:r w:rsidRPr="00404C02">
        <w:t>reliable patient information</w:t>
      </w:r>
      <w:r>
        <w:t xml:space="preserve"> about </w:t>
      </w:r>
      <w:r w:rsidRPr="00F85346">
        <w:t>amitriptylin</w:t>
      </w:r>
      <w:r>
        <w:t>e for</w:t>
      </w:r>
      <w:r w:rsidRPr="00F85346">
        <w:t xml:space="preserve"> IBS</w:t>
      </w:r>
      <w:r>
        <w:t xml:space="preserve"> (like the information provided to patients in the trial)</w:t>
      </w:r>
      <w:r w:rsidRPr="00F85346">
        <w:t xml:space="preserve"> </w:t>
      </w:r>
      <w:bookmarkEnd w:id="49"/>
      <w:r>
        <w:t xml:space="preserve">to help them offer it as an additional option for future patients.  </w:t>
      </w:r>
      <w:bookmarkEnd w:id="50"/>
    </w:p>
    <w:p w14:paraId="6ABC0DA4" w14:textId="77777777" w:rsidR="0028692B" w:rsidRPr="0039252A" w:rsidRDefault="0028692B" w:rsidP="0039252A">
      <w:pPr>
        <w:ind w:left="720"/>
        <w:rPr>
          <w:sz w:val="20"/>
          <w:szCs w:val="20"/>
        </w:rPr>
      </w:pPr>
      <w:r w:rsidRPr="0039252A">
        <w:rPr>
          <w:i/>
          <w:iCs/>
          <w:sz w:val="20"/>
          <w:szCs w:val="20"/>
        </w:rPr>
        <w:t>“If there was a sort of information sheet about amitriptyline and IBS, so that would be quite… The side effects, how you can titrate it up yourself if it's not working, and length of treatment and that sort of thing. Also maybe just revisiting the dietary and lifestyle things as well to complement that, 'Don't forget to manage your diet and manage your stress levels as well.' That would be quite helpful; that's always a good thing.”</w:t>
      </w:r>
      <w:r w:rsidRPr="0039252A">
        <w:rPr>
          <w:sz w:val="20"/>
          <w:szCs w:val="20"/>
        </w:rPr>
        <w:t xml:space="preserve"> </w:t>
      </w:r>
      <w:r w:rsidRPr="0039252A">
        <w:rPr>
          <w:b/>
          <w:bCs/>
          <w:sz w:val="20"/>
          <w:szCs w:val="20"/>
        </w:rPr>
        <w:t>(GP8, female GP aged 45-54 years with over 20 years’ experience)</w:t>
      </w:r>
    </w:p>
    <w:p w14:paraId="4B642F55" w14:textId="77777777" w:rsidR="0028692B" w:rsidRDefault="0028692B" w:rsidP="00821854">
      <w:pPr>
        <w:rPr>
          <w:b/>
        </w:rPr>
      </w:pPr>
    </w:p>
    <w:p w14:paraId="7B63EEDF" w14:textId="77777777" w:rsidR="0028692B" w:rsidRDefault="0028692B" w:rsidP="00821854">
      <w:pPr>
        <w:rPr>
          <w:b/>
        </w:rPr>
      </w:pPr>
    </w:p>
    <w:p w14:paraId="43CFDBD2" w14:textId="77777777" w:rsidR="0028692B" w:rsidRPr="002617BF" w:rsidRDefault="0028692B" w:rsidP="0040005D">
      <w:pPr>
        <w:pStyle w:val="Heading1"/>
      </w:pPr>
      <w:r w:rsidRPr="002617BF">
        <w:lastRenderedPageBreak/>
        <w:t>DISCUSSION</w:t>
      </w:r>
    </w:p>
    <w:p w14:paraId="1830D60B" w14:textId="77777777" w:rsidR="0028692B" w:rsidRPr="002617BF" w:rsidRDefault="0028692B" w:rsidP="00821854">
      <w:pPr>
        <w:rPr>
          <w:b/>
          <w:color w:val="0070C0"/>
        </w:rPr>
      </w:pPr>
      <w:r>
        <w:rPr>
          <w:b/>
          <w:color w:val="0070C0"/>
        </w:rPr>
        <w:t>Summary</w:t>
      </w:r>
    </w:p>
    <w:p w14:paraId="249013CD" w14:textId="77777777" w:rsidR="0028692B" w:rsidRDefault="0028692B" w:rsidP="006C489A">
      <w:pPr>
        <w:autoSpaceDE w:val="0"/>
        <w:autoSpaceDN w:val="0"/>
        <w:adjustRightInd w:val="0"/>
        <w:spacing w:after="0" w:line="360" w:lineRule="auto"/>
        <w:rPr>
          <w:rFonts w:cstheme="minorHAnsi"/>
        </w:rPr>
      </w:pPr>
      <w:r w:rsidRPr="009D4860">
        <w:t xml:space="preserve">Nested within the ATLANTIS trial of </w:t>
      </w:r>
      <w:r w:rsidRPr="009D4860">
        <w:rPr>
          <w:rFonts w:cstheme="minorHAnsi"/>
        </w:rPr>
        <w:t xml:space="preserve">low-dose amitriptyline for IBS, 77 semi-structured interviews were conducted.  Thematic analysis identified concerns and perceived benefits from GPs’ and patients’ perspectives.  These included </w:t>
      </w:r>
      <w:r w:rsidRPr="009D4860">
        <w:t>concerns about possible stigma associated with a medication commonly viewed as an antidepressant, medicalising IBS and</w:t>
      </w:r>
      <w:r w:rsidRPr="009D4860">
        <w:rPr>
          <w:rFonts w:cstheme="minorHAnsi"/>
        </w:rPr>
        <w:t xml:space="preserve"> associated health service burden, and the perceived potential for dependency and adverse effects. Perceived benefits included the familiarity of amitriptyline as a well-established drug, the low and flexible dose needed for IBS, and the potential for beneficial side-effects (e.g., on sleep). </w:t>
      </w:r>
      <w:bookmarkStart w:id="51" w:name="_Hlk148349037"/>
      <w:r w:rsidRPr="009D4860">
        <w:t>Concerns and perceived benefits were</w:t>
      </w:r>
      <w:r w:rsidRPr="006C489A">
        <w:t xml:space="preserve"> expressed in the context of </w:t>
      </w:r>
      <w:r>
        <w:t xml:space="preserve">a </w:t>
      </w:r>
      <w:r w:rsidRPr="006C489A">
        <w:t>desire for a novel approach to IBS: GPs were keen to offer more options for IBS and patients sought a cure for their symptoms.</w:t>
      </w:r>
      <w:bookmarkEnd w:id="51"/>
      <w:r>
        <w:t xml:space="preserve"> This</w:t>
      </w:r>
      <w:r w:rsidRPr="006C489A">
        <w:rPr>
          <w:rFonts w:cstheme="minorHAnsi"/>
        </w:rPr>
        <w:t xml:space="preserve"> </w:t>
      </w:r>
      <w:r>
        <w:t xml:space="preserve">suggests GPs and primary care patients with IBS may consider low-dose amitriptyline for IBS despite concerns, or after their concerns are appropriately addressed. </w:t>
      </w:r>
      <w:r>
        <w:rPr>
          <w:rFonts w:cstheme="minorHAnsi"/>
        </w:rPr>
        <w:t xml:space="preserve">Further thematic analysis then identified unique concepts, common concepts, and coherent threads that linked between GPs’ and patients’ perspectives, suggesting important implications for practice described below.  </w:t>
      </w:r>
    </w:p>
    <w:p w14:paraId="465474F7" w14:textId="77777777" w:rsidR="0028692B" w:rsidRDefault="0028692B" w:rsidP="00510D24">
      <w:pPr>
        <w:autoSpaceDE w:val="0"/>
        <w:autoSpaceDN w:val="0"/>
        <w:adjustRightInd w:val="0"/>
        <w:spacing w:after="0" w:line="240" w:lineRule="auto"/>
      </w:pPr>
    </w:p>
    <w:p w14:paraId="31180B3D" w14:textId="77777777" w:rsidR="0028692B" w:rsidRPr="002617BF" w:rsidRDefault="0028692B" w:rsidP="00821854">
      <w:pPr>
        <w:spacing w:line="360" w:lineRule="auto"/>
        <w:rPr>
          <w:b/>
          <w:bCs/>
          <w:iCs/>
          <w:color w:val="0070C0"/>
        </w:rPr>
      </w:pPr>
      <w:r w:rsidRPr="002617BF">
        <w:rPr>
          <w:b/>
          <w:bCs/>
          <w:iCs/>
          <w:color w:val="0070C0"/>
        </w:rPr>
        <w:t>Strengths and limitations</w:t>
      </w:r>
    </w:p>
    <w:p w14:paraId="0273DF08" w14:textId="77777777" w:rsidR="0028692B" w:rsidRDefault="0028692B" w:rsidP="00821854">
      <w:pPr>
        <w:spacing w:line="360" w:lineRule="auto"/>
      </w:pPr>
      <w:r w:rsidRPr="00777D02">
        <w:t>Despite using convenience sampling</w:t>
      </w:r>
      <w:r>
        <w:t xml:space="preserve">, </w:t>
      </w:r>
      <w:r w:rsidRPr="00777D02">
        <w:t>a diverse sample of p</w:t>
      </w:r>
      <w:r>
        <w:t>atient</w:t>
      </w:r>
      <w:r w:rsidRPr="00777D02">
        <w:t xml:space="preserve">s </w:t>
      </w:r>
      <w:r>
        <w:t xml:space="preserve">(in age, gender, education, and baseline symptoms, but not ethnicity) </w:t>
      </w:r>
      <w:r w:rsidRPr="00777D02">
        <w:t>from each trial arm were in</w:t>
      </w:r>
      <w:r>
        <w:t xml:space="preserve">terviewed, </w:t>
      </w:r>
      <w:r w:rsidRPr="00777D02">
        <w:t>ensu</w:t>
      </w:r>
      <w:r>
        <w:t>r</w:t>
      </w:r>
      <w:r w:rsidRPr="00777D02">
        <w:t xml:space="preserve">ing that </w:t>
      </w:r>
      <w:r>
        <w:t xml:space="preserve">we </w:t>
      </w:r>
      <w:r w:rsidRPr="0001735E">
        <w:rPr>
          <w:rFonts w:cstheme="minorHAnsi"/>
        </w:rPr>
        <w:t>achiev</w:t>
      </w:r>
      <w:r>
        <w:rPr>
          <w:rFonts w:cstheme="minorHAnsi"/>
        </w:rPr>
        <w:t>ed</w:t>
      </w:r>
      <w:r w:rsidRPr="0001735E">
        <w:rPr>
          <w:rFonts w:cstheme="minorHAnsi"/>
        </w:rPr>
        <w:t xml:space="preserve"> a comprehensive account of </w:t>
      </w:r>
      <w:r>
        <w:rPr>
          <w:rFonts w:cstheme="minorHAnsi"/>
        </w:rPr>
        <w:t>patient</w:t>
      </w:r>
      <w:r w:rsidRPr="0001735E">
        <w:rPr>
          <w:rFonts w:cstheme="minorHAnsi"/>
        </w:rPr>
        <w:t>s’ perspectives.</w:t>
      </w:r>
      <w:r>
        <w:rPr>
          <w:rFonts w:cstheme="minorHAnsi"/>
        </w:rPr>
        <w:t xml:space="preserve"> The lack of ethnic diversity reflects the participants recruited to the trial. </w:t>
      </w:r>
      <w:r>
        <w:t>Patients</w:t>
      </w:r>
      <w:r w:rsidRPr="00777D02">
        <w:t xml:space="preserve"> </w:t>
      </w:r>
      <w:r>
        <w:t xml:space="preserve">who have consented to take part in a placebo randomised trial and were </w:t>
      </w:r>
      <w:r w:rsidRPr="00777D02">
        <w:t xml:space="preserve">willing to undertake the qualitative interviews may not hold the same views as </w:t>
      </w:r>
      <w:r>
        <w:t xml:space="preserve">people who did not </w:t>
      </w:r>
      <w:r w:rsidRPr="00777D02">
        <w:t>participa</w:t>
      </w:r>
      <w:r>
        <w:t>te</w:t>
      </w:r>
      <w:r w:rsidRPr="00777D02">
        <w:t>.</w:t>
      </w:r>
      <w:r>
        <w:t xml:space="preserve"> Unfortunately, no GPs from West Yorkshire had capacity to be interviewed due to the COVID-19 pandemic</w:t>
      </w:r>
      <w:r w:rsidRPr="009D4860">
        <w:t xml:space="preserve">. Conducting interviews with the same patients at two time-points permitted the development of rapport and the evocation of experiences over a longer time than is often achieved.  This allowed us to see that patients’ views were broadly similar at 6 and 12 months.  Future work might use diary methods or begin repeated interviews with patients earlier in their journeys with low dose amitriptyline to further explore possible changes over time. Future trials might benefit from including </w:t>
      </w:r>
      <w:bookmarkStart w:id="52" w:name="_Int_GCRUJRe5"/>
      <w:r w:rsidRPr="009D4860">
        <w:t>a very early</w:t>
      </w:r>
      <w:bookmarkEnd w:id="52"/>
      <w:r w:rsidRPr="009D4860">
        <w:t xml:space="preserve"> interview timepoint (e.g., at 2-4 weeks) to explore patients’ initial impressions and experiences of trial interventions; for ATLANTIS, this would have enabled us to capture patients’ perspectives on titrating closer in time to when they were engaged in this aspect of the trial. Interviewing patients and GPs permitted a more comprehensive analysis of views and experiences of low-dose amitriptyline for IBS than would have been possible by including</w:t>
      </w:r>
      <w:r>
        <w:t xml:space="preserve"> only one of these groups. The multidisciplinary qualitative team, including input from patient collaborators, </w:t>
      </w:r>
      <w:r>
        <w:lastRenderedPageBreak/>
        <w:t xml:space="preserve">meant that we approached the data from diverse perspectives, achieving richer insights than otherwise possible. </w:t>
      </w:r>
    </w:p>
    <w:p w14:paraId="323FEE67" w14:textId="77777777" w:rsidR="0028692B" w:rsidRPr="00EC2810" w:rsidRDefault="0028692B" w:rsidP="00821854">
      <w:pPr>
        <w:spacing w:line="360" w:lineRule="auto"/>
      </w:pPr>
    </w:p>
    <w:p w14:paraId="59A9BD9C" w14:textId="77777777" w:rsidR="0028692B" w:rsidRPr="002617BF" w:rsidRDefault="0028692B" w:rsidP="00821854">
      <w:pPr>
        <w:spacing w:line="360" w:lineRule="auto"/>
        <w:rPr>
          <w:b/>
          <w:bCs/>
          <w:iCs/>
          <w:color w:val="0070C0"/>
        </w:rPr>
      </w:pPr>
      <w:r w:rsidRPr="002617BF">
        <w:rPr>
          <w:b/>
          <w:bCs/>
          <w:iCs/>
          <w:color w:val="0070C0"/>
        </w:rPr>
        <w:t>Comparison with existing literature</w:t>
      </w:r>
    </w:p>
    <w:p w14:paraId="5FDBF27F" w14:textId="77777777" w:rsidR="0028692B" w:rsidRDefault="0028692B" w:rsidP="00EC2810">
      <w:pPr>
        <w:spacing w:line="360" w:lineRule="auto"/>
      </w:pPr>
      <w:r>
        <w:t xml:space="preserve">Patients and GPs were encouraged to use </w:t>
      </w:r>
      <w:r w:rsidRPr="00777D02">
        <w:t>amitriptyline</w:t>
      </w:r>
      <w:r>
        <w:t xml:space="preserve"> for IBS by </w:t>
      </w:r>
      <w:r w:rsidRPr="00777D02">
        <w:t xml:space="preserve">the low and flexible recommended dosage, its potential to offer benefits beyond IBS symptom relief </w:t>
      </w:r>
      <w:r>
        <w:t xml:space="preserve">including, for example, its effects on sleep, </w:t>
      </w:r>
      <w:r w:rsidRPr="00777D02">
        <w:t>and perceived ease of treatment</w:t>
      </w:r>
      <w:r w:rsidRPr="00D50DC0">
        <w:t xml:space="preserve"> </w:t>
      </w:r>
      <w:r>
        <w:t>(once daily dosing and small tablets) including the patient self-titration process, which most participants found acceptable and empowering</w:t>
      </w:r>
      <w:r w:rsidRPr="00777D02">
        <w:t xml:space="preserve">. </w:t>
      </w:r>
      <w:r>
        <w:t xml:space="preserve">Simple treatment regimens may facilitate adherence to medication, </w:t>
      </w:r>
      <w:r w:rsidRPr="00C34B52">
        <w:rPr>
          <w:noProof/>
          <w:vertAlign w:val="superscript"/>
        </w:rPr>
        <w:t>30</w:t>
      </w:r>
      <w:r>
        <w:t xml:space="preserve"> where adherence to complex dietary regimens such as a low FODMAP diet can be poor </w:t>
      </w:r>
      <w:r w:rsidRPr="00C34B52">
        <w:rPr>
          <w:noProof/>
          <w:vertAlign w:val="superscript"/>
        </w:rPr>
        <w:t>31</w:t>
      </w:r>
      <w:r>
        <w:t xml:space="preserve"> and difficult for patients to manage within the context of daily life. </w:t>
      </w:r>
      <w:r w:rsidRPr="00C34B52">
        <w:rPr>
          <w:noProof/>
          <w:vertAlign w:val="superscript"/>
        </w:rPr>
        <w:t>19 32</w:t>
      </w:r>
      <w:r>
        <w:t xml:space="preserve"> Being able to reframe minor ‘adverse’ effects as potential benefits (such as effects on sleep) could help reduce concerns and thus might increase adherence.</w:t>
      </w:r>
      <w:r w:rsidRPr="00C34B52">
        <w:rPr>
          <w:noProof/>
          <w:vertAlign w:val="superscript"/>
        </w:rPr>
        <w:t>33 34</w:t>
      </w:r>
      <w:r>
        <w:t xml:space="preserve"> </w:t>
      </w:r>
      <w:r w:rsidRPr="00434977">
        <w:t>Empowering patients to self-titrate their dose</w:t>
      </w:r>
      <w:r>
        <w:t>,</w:t>
      </w:r>
      <w:r w:rsidRPr="00434977">
        <w:t xml:space="preserve"> </w:t>
      </w:r>
      <w:r>
        <w:t xml:space="preserve">with the support of the dose titration document carefully developed for the ATLANTIS trial with PPI and clinician input, </w:t>
      </w:r>
      <w:r w:rsidRPr="00434977">
        <w:t xml:space="preserve">is consistent with increasing </w:t>
      </w:r>
      <w:r>
        <w:t xml:space="preserve">patient engagement </w:t>
      </w:r>
      <w:r w:rsidRPr="00C34B52">
        <w:rPr>
          <w:noProof/>
          <w:vertAlign w:val="superscript"/>
        </w:rPr>
        <w:t>35</w:t>
      </w:r>
      <w:r>
        <w:t xml:space="preserve"> and </w:t>
      </w:r>
      <w:r w:rsidRPr="00434977">
        <w:t>participation within patient-centred care</w:t>
      </w:r>
      <w:r>
        <w:t xml:space="preserve">. </w:t>
      </w:r>
      <w:r w:rsidRPr="00C34B52">
        <w:rPr>
          <w:noProof/>
          <w:vertAlign w:val="superscript"/>
        </w:rPr>
        <w:t>36</w:t>
      </w:r>
      <w:r w:rsidRPr="00C75A9B">
        <w:t xml:space="preserve"> Other recent work has found using terms such ‘neuromodulators’ rather than ‘antidepressant’ may be helpful as well as explaining that in small doses the drugs target the ‘little brain in the gut’ as opposed to the big brain. </w:t>
      </w:r>
      <w:r w:rsidRPr="00C34B52">
        <w:rPr>
          <w:noProof/>
          <w:vertAlign w:val="superscript"/>
        </w:rPr>
        <w:t>37</w:t>
      </w:r>
      <w:r>
        <w:t xml:space="preserve"> </w:t>
      </w:r>
    </w:p>
    <w:p w14:paraId="13F2D066" w14:textId="77777777" w:rsidR="0028692B" w:rsidRPr="00EC2810" w:rsidRDefault="0028692B" w:rsidP="00EC2810">
      <w:pPr>
        <w:spacing w:line="360" w:lineRule="auto"/>
      </w:pPr>
      <w:r>
        <w:t xml:space="preserve">Consistent with the common-sense model of illness perception </w:t>
      </w:r>
      <w:r w:rsidRPr="00002602">
        <w:rPr>
          <w:noProof/>
          <w:vertAlign w:val="superscript"/>
        </w:rPr>
        <w:t>25</w:t>
      </w:r>
      <w:r w:rsidRPr="76939284">
        <w:rPr>
          <w:noProof/>
        </w:rPr>
        <w:t xml:space="preserve"> </w:t>
      </w:r>
      <w:r>
        <w:t xml:space="preserve">and previous work in IBS, </w:t>
      </w:r>
      <w:r w:rsidRPr="00C34B52">
        <w:rPr>
          <w:noProof/>
          <w:vertAlign w:val="superscript"/>
        </w:rPr>
        <w:t>19 38</w:t>
      </w:r>
      <w:r>
        <w:t xml:space="preserve"> patient-perceived ongoing need for symptom relief facilitated their uptake of a novel treatment, in this case low-dose amitriptyline for IBS. This is consistent with previous work examining the wider impact of IBS on patients’ lives and highlighting the challenges of treatment-seeking. </w:t>
      </w:r>
      <w:r w:rsidRPr="00C34B52">
        <w:rPr>
          <w:noProof/>
          <w:vertAlign w:val="superscript"/>
        </w:rPr>
        <w:t>19 21 39</w:t>
      </w:r>
      <w:r>
        <w:t xml:space="preserve"> That some patients expressed this in terms of wanting a ‘cure’, suggests that they may perceive IBS as an acute condition to be cured instead of a long-term condition to be managed. </w:t>
      </w:r>
      <w:r w:rsidRPr="00C34B52">
        <w:rPr>
          <w:noProof/>
          <w:vertAlign w:val="superscript"/>
        </w:rPr>
        <w:t>40</w:t>
      </w:r>
      <w:r>
        <w:t xml:space="preserve"> Consistent with the necessity-concerns framework, </w:t>
      </w:r>
      <w:r w:rsidRPr="00C34B52">
        <w:rPr>
          <w:noProof/>
          <w:vertAlign w:val="superscript"/>
        </w:rPr>
        <w:t>33</w:t>
      </w:r>
      <w:r>
        <w:t xml:space="preserve"> although patients expressed concerns about low-dose amitriptyline for IBS, these concerns were outweighed by the perceived need and desire for symptom relief and the benefits hoped for (at the start of the trial) and experienced (during the trial). </w:t>
      </w:r>
    </w:p>
    <w:p w14:paraId="65319FDC" w14:textId="77777777" w:rsidR="0028692B" w:rsidRDefault="0028692B" w:rsidP="00821854">
      <w:pPr>
        <w:spacing w:line="360" w:lineRule="auto"/>
      </w:pPr>
      <w:r>
        <w:t xml:space="preserve">Our findings map to three key concepts from normalisation process theory </w:t>
      </w:r>
      <w:r w:rsidRPr="00C34B52">
        <w:rPr>
          <w:noProof/>
          <w:vertAlign w:val="superscript"/>
        </w:rPr>
        <w:t>41</w:t>
      </w:r>
      <w:r>
        <w:t>, suggesting that low-dose amitriptyline for IBS made sense to GP interviewees (was “coherent”), that GPs appreciated its potential benefits for people with IBS and its ease of use and therefore committed to it (“cognitive participation”). To facilitate “collective action</w:t>
      </w:r>
      <w:bookmarkStart w:id="53" w:name="_Int_ERgrGGhF"/>
      <w:r>
        <w:t>”,</w:t>
      </w:r>
      <w:bookmarkEnd w:id="53"/>
      <w:r>
        <w:t xml:space="preserve"> GPs valued additional patient-facing resources to support prescribing low-dose amitriptyline for IBS. </w:t>
      </w:r>
    </w:p>
    <w:p w14:paraId="3BCEADB6" w14:textId="77777777" w:rsidR="0028692B" w:rsidRPr="002617BF" w:rsidRDefault="0028692B" w:rsidP="00821854">
      <w:pPr>
        <w:spacing w:line="360" w:lineRule="auto"/>
        <w:rPr>
          <w:b/>
          <w:bCs/>
          <w:iCs/>
          <w:color w:val="0070C0"/>
        </w:rPr>
      </w:pPr>
      <w:r w:rsidRPr="002617BF">
        <w:rPr>
          <w:b/>
          <w:bCs/>
          <w:iCs/>
          <w:color w:val="0070C0"/>
        </w:rPr>
        <w:lastRenderedPageBreak/>
        <w:t>Implications for research</w:t>
      </w:r>
      <w:r w:rsidRPr="005255E3">
        <w:rPr>
          <w:b/>
          <w:bCs/>
          <w:iCs/>
          <w:color w:val="0070C0"/>
        </w:rPr>
        <w:t xml:space="preserve"> and/or practice</w:t>
      </w:r>
    </w:p>
    <w:p w14:paraId="02EB0373" w14:textId="77777777" w:rsidR="0028692B" w:rsidRPr="006C3B77" w:rsidRDefault="0028692B" w:rsidP="00821854">
      <w:pPr>
        <w:spacing w:line="360" w:lineRule="auto"/>
      </w:pPr>
      <w:r w:rsidRPr="009D4860">
        <w:t>Future qualitative research that adopts more innovative approaches such</w:t>
      </w:r>
      <w:r w:rsidRPr="009D4860">
        <w:rPr>
          <w:rFonts w:eastAsia="Times New Roman"/>
        </w:rPr>
        <w:t xml:space="preserve"> a real time, longitudinal or diary study</w:t>
      </w:r>
      <w:r w:rsidRPr="009D4860">
        <w:t xml:space="preserve"> would be beneficial and enhance the findings from this study. Future studies of uptake and adherence could also u</w:t>
      </w:r>
      <w:r>
        <w:t xml:space="preserve">se questionnaires to relate patient perceptions quantitatively to patient behaviour. Such studies should note the salient concerns (e.g., about stigma) and benefits (e.g., benefits of side-effects) about low-dose amitriptyline for IBS identified by this study that are not measured by the leading generic questionnaire. </w:t>
      </w:r>
      <w:r w:rsidRPr="00C34B52">
        <w:rPr>
          <w:noProof/>
          <w:vertAlign w:val="superscript"/>
        </w:rPr>
        <w:t>42</w:t>
      </w:r>
      <w:r>
        <w:t xml:space="preserve"> Bespoke measures may be needed to capture fully patients’ beliefs about low-dose amitriptyline for IBS. Further research is needed into the potential anticholinergic burden risks of low dose amitriptyline to inform prescribing. </w:t>
      </w:r>
      <w:r w:rsidRPr="00C34B52">
        <w:rPr>
          <w:noProof/>
          <w:vertAlign w:val="superscript"/>
        </w:rPr>
        <w:t>43 44</w:t>
      </w:r>
    </w:p>
    <w:p w14:paraId="0CF00E93" w14:textId="77777777" w:rsidR="0028692B" w:rsidRPr="00296F73" w:rsidRDefault="0028692B" w:rsidP="00296F73">
      <w:pPr>
        <w:spacing w:line="360" w:lineRule="auto"/>
        <w:rPr>
          <w:rFonts w:ascii="Calibri" w:eastAsia="Calibri" w:hAnsi="Calibri" w:cs="Arial"/>
          <w:bCs/>
          <w:i/>
          <w:iCs/>
          <w:color w:val="FF0000"/>
        </w:rPr>
      </w:pPr>
      <w:r>
        <w:t xml:space="preserve">Low-dose amitriptyline for IBS is likely to be acceptable to, and often welcomed by, GPs and patients as an additional treatment option. The familiarity of amitriptyline may both hinder uptake (being associated with depression) and facilitate it (being a low dose of a medication taken by others with known mild side-effects). </w:t>
      </w:r>
      <w:r>
        <w:rPr>
          <w:lang w:val="en"/>
        </w:rPr>
        <w:t>Effective communication to address concerns and support informed patient-centered decision-making should provide</w:t>
      </w:r>
      <w:bookmarkStart w:id="54" w:name="_Hlk138229268"/>
      <w:r>
        <w:t xml:space="preserve"> c</w:t>
      </w:r>
      <w:r w:rsidRPr="0023371A">
        <w:rPr>
          <w:bCs/>
        </w:rPr>
        <w:t>lear guidance about low-dose amitriptyline for IBS and anticholinergic burden</w:t>
      </w:r>
      <w:r>
        <w:rPr>
          <w:bCs/>
        </w:rPr>
        <w:t xml:space="preserve"> and </w:t>
      </w:r>
      <w:r>
        <w:t>resources for GPs and patients to distinguish low-dose amitriptyline for IBS from amitriptyline for other conditions (especially depression)</w:t>
      </w:r>
      <w:bookmarkEnd w:id="54"/>
      <w:r>
        <w:t xml:space="preserve"> and </w:t>
      </w:r>
      <w:r w:rsidRPr="0023371A">
        <w:rPr>
          <w:bCs/>
        </w:rPr>
        <w:t xml:space="preserve">support patients managing </w:t>
      </w:r>
      <w:r w:rsidRPr="003C5ACF">
        <w:rPr>
          <w:bCs/>
        </w:rPr>
        <w:t xml:space="preserve">their own dose-titration. </w:t>
      </w:r>
      <w:r w:rsidRPr="003C5ACF">
        <w:rPr>
          <w:rFonts w:ascii="Calibri" w:eastAsia="Calibri" w:hAnsi="Calibri" w:cs="Arial"/>
          <w:bCs/>
        </w:rPr>
        <w:t>Our PPI co-produced self-titration document and rationale for amitriptyline for IBS are currently being disseminated for use in clinical practice</w:t>
      </w:r>
      <w:r w:rsidRPr="003C5ACF">
        <w:rPr>
          <w:rFonts w:ascii="Calibri" w:eastAsia="Calibri" w:hAnsi="Calibri" w:cs="Arial"/>
          <w:b/>
        </w:rPr>
        <w:t xml:space="preserve">. </w:t>
      </w:r>
      <w:r w:rsidRPr="003C5ACF">
        <w:rPr>
          <w:rFonts w:ascii="Calibri" w:eastAsia="Calibri" w:hAnsi="Calibri" w:cs="Arial"/>
          <w:bCs/>
        </w:rPr>
        <w:t>They are freely available on the ATLANTIS CTRU trial website</w:t>
      </w:r>
      <w:r>
        <w:rPr>
          <w:rFonts w:ascii="Calibri" w:eastAsia="Calibri" w:hAnsi="Calibri" w:cs="Arial"/>
          <w:bCs/>
        </w:rPr>
        <w:t xml:space="preserve"> </w:t>
      </w:r>
      <w:hyperlink r:id="rId8" w:history="1">
        <w:r w:rsidRPr="00027982">
          <w:rPr>
            <w:rStyle w:val="Hyperlink"/>
            <w:rFonts w:ascii="Calibri" w:eastAsia="Calibri" w:hAnsi="Calibri" w:cs="Times New Roman"/>
            <w:bCs/>
          </w:rPr>
          <w:t>https://ctru.leeds.ac.uk/atlantis/</w:t>
        </w:r>
      </w:hyperlink>
      <w:r>
        <w:rPr>
          <w:rFonts w:ascii="Calibri" w:eastAsia="Calibri" w:hAnsi="Calibri" w:cs="Arial"/>
          <w:bCs/>
        </w:rPr>
        <w:t>.</w:t>
      </w:r>
    </w:p>
    <w:p w14:paraId="706BCEEE" w14:textId="77777777" w:rsidR="0028692B" w:rsidRDefault="0028692B" w:rsidP="00AA421B">
      <w:pPr>
        <w:spacing w:line="360" w:lineRule="auto"/>
      </w:pPr>
    </w:p>
    <w:p w14:paraId="72EE73C3" w14:textId="77777777" w:rsidR="0028692B" w:rsidRDefault="0028692B" w:rsidP="00AA421B">
      <w:pPr>
        <w:spacing w:line="360" w:lineRule="auto"/>
      </w:pPr>
    </w:p>
    <w:p w14:paraId="40DC05BD" w14:textId="77777777" w:rsidR="0028692B" w:rsidRDefault="0028692B" w:rsidP="00AA421B">
      <w:pPr>
        <w:spacing w:line="360" w:lineRule="auto"/>
      </w:pPr>
    </w:p>
    <w:p w14:paraId="53D4EDEA" w14:textId="77777777" w:rsidR="0028692B" w:rsidRDefault="0028692B" w:rsidP="00AA421B">
      <w:pPr>
        <w:spacing w:line="360" w:lineRule="auto"/>
      </w:pPr>
    </w:p>
    <w:p w14:paraId="2AB80413" w14:textId="77777777" w:rsidR="0028692B" w:rsidRDefault="0028692B" w:rsidP="00AA421B">
      <w:pPr>
        <w:spacing w:line="360" w:lineRule="auto"/>
      </w:pPr>
    </w:p>
    <w:p w14:paraId="70810D1D" w14:textId="77777777" w:rsidR="0028692B" w:rsidRDefault="0028692B" w:rsidP="00AA421B">
      <w:pPr>
        <w:spacing w:line="360" w:lineRule="auto"/>
      </w:pPr>
    </w:p>
    <w:p w14:paraId="21E104ED" w14:textId="77777777" w:rsidR="0028692B" w:rsidRDefault="0028692B" w:rsidP="00AA421B">
      <w:pPr>
        <w:spacing w:line="360" w:lineRule="auto"/>
      </w:pPr>
    </w:p>
    <w:p w14:paraId="5086C772" w14:textId="77777777" w:rsidR="0028692B" w:rsidRDefault="0028692B" w:rsidP="00AA421B">
      <w:pPr>
        <w:spacing w:line="360" w:lineRule="auto"/>
      </w:pPr>
    </w:p>
    <w:p w14:paraId="5D9E47F7" w14:textId="77777777" w:rsidR="0028692B" w:rsidRDefault="0028692B" w:rsidP="00AA421B">
      <w:pPr>
        <w:spacing w:line="360" w:lineRule="auto"/>
      </w:pPr>
    </w:p>
    <w:p w14:paraId="2D97CBC9" w14:textId="77777777" w:rsidR="006B5137" w:rsidRPr="00AA421B" w:rsidRDefault="006B5137" w:rsidP="00AA421B">
      <w:pPr>
        <w:spacing w:line="360" w:lineRule="auto"/>
      </w:pPr>
    </w:p>
    <w:p w14:paraId="1C3BA99F" w14:textId="77777777" w:rsidR="0028692B" w:rsidRDefault="0028692B" w:rsidP="00821854">
      <w:pPr>
        <w:rPr>
          <w:b/>
        </w:rPr>
      </w:pPr>
      <w:r w:rsidRPr="00355327">
        <w:rPr>
          <w:b/>
        </w:rPr>
        <w:lastRenderedPageBreak/>
        <w:t>Funding Statement</w:t>
      </w:r>
    </w:p>
    <w:p w14:paraId="37E6F8E7" w14:textId="77777777" w:rsidR="0028692B" w:rsidRDefault="0028692B" w:rsidP="00AA421B">
      <w:pPr>
        <w:spacing w:line="360" w:lineRule="auto"/>
        <w:rPr>
          <w:bCs/>
        </w:rPr>
      </w:pPr>
      <w:r w:rsidRPr="00040E5B">
        <w:rPr>
          <w:bCs/>
        </w:rPr>
        <w:t>The study was funded by the NIHR Health Technology Assessment</w:t>
      </w:r>
      <w:r>
        <w:rPr>
          <w:bCs/>
        </w:rPr>
        <w:t xml:space="preserve"> </w:t>
      </w:r>
      <w:r w:rsidRPr="00040E5B">
        <w:rPr>
          <w:bCs/>
        </w:rPr>
        <w:t>Programme (grant reference 16/162/01). The funder had no role in data</w:t>
      </w:r>
      <w:r>
        <w:rPr>
          <w:bCs/>
        </w:rPr>
        <w:t xml:space="preserve"> </w:t>
      </w:r>
      <w:r w:rsidRPr="00040E5B">
        <w:rPr>
          <w:bCs/>
        </w:rPr>
        <w:t>collection, analysis, or interpretation, writing of the manuscript, or the</w:t>
      </w:r>
      <w:r>
        <w:rPr>
          <w:bCs/>
        </w:rPr>
        <w:t xml:space="preserve"> </w:t>
      </w:r>
      <w:r w:rsidRPr="00040E5B">
        <w:rPr>
          <w:bCs/>
        </w:rPr>
        <w:t>decision to submit for publication. The views expressed in this publication are those of the authors,</w:t>
      </w:r>
      <w:r>
        <w:rPr>
          <w:bCs/>
        </w:rPr>
        <w:t xml:space="preserve"> </w:t>
      </w:r>
      <w:r w:rsidRPr="00040E5B">
        <w:rPr>
          <w:bCs/>
        </w:rPr>
        <w:t>not necessarily those of the National Health Service, the NIHR, or the</w:t>
      </w:r>
      <w:r>
        <w:rPr>
          <w:bCs/>
        </w:rPr>
        <w:t xml:space="preserve"> </w:t>
      </w:r>
      <w:r w:rsidRPr="00040E5B">
        <w:rPr>
          <w:bCs/>
        </w:rPr>
        <w:t>Department of Health and Social Care.</w:t>
      </w:r>
    </w:p>
    <w:p w14:paraId="32E77BFA" w14:textId="77777777" w:rsidR="0028692B" w:rsidRDefault="0028692B" w:rsidP="00AA421B">
      <w:pPr>
        <w:spacing w:line="360" w:lineRule="auto"/>
        <w:rPr>
          <w:bCs/>
        </w:rPr>
      </w:pPr>
    </w:p>
    <w:p w14:paraId="758BF94A" w14:textId="77777777" w:rsidR="0028692B" w:rsidRDefault="0028692B" w:rsidP="00AA421B">
      <w:pPr>
        <w:spacing w:line="360" w:lineRule="auto"/>
        <w:rPr>
          <w:b/>
        </w:rPr>
      </w:pPr>
      <w:r w:rsidRPr="002617BF">
        <w:rPr>
          <w:b/>
        </w:rPr>
        <w:t>Ethical approval</w:t>
      </w:r>
    </w:p>
    <w:p w14:paraId="15E77310" w14:textId="77777777" w:rsidR="0028692B" w:rsidRPr="002617BF" w:rsidRDefault="0028692B" w:rsidP="00AA421B">
      <w:pPr>
        <w:spacing w:line="360" w:lineRule="auto"/>
        <w:rPr>
          <w:b/>
        </w:rPr>
      </w:pPr>
      <w:r>
        <w:t xml:space="preserve">This study was </w:t>
      </w:r>
      <w:r w:rsidRPr="00777D02">
        <w:t xml:space="preserve">approved by </w:t>
      </w:r>
      <w:r w:rsidRPr="006C0811">
        <w:rPr>
          <w:rFonts w:eastAsia="Times New Roman"/>
          <w:bCs/>
        </w:rPr>
        <w:t xml:space="preserve">Yorkshire and the Humber (Sheffield) Research Ethics Committee </w:t>
      </w:r>
      <w:r>
        <w:rPr>
          <w:rFonts w:eastAsia="Times New Roman"/>
          <w:bCs/>
        </w:rPr>
        <w:t xml:space="preserve">(ref: </w:t>
      </w:r>
      <w:r w:rsidRPr="006C0811">
        <w:rPr>
          <w:rFonts w:eastAsia="Times New Roman"/>
          <w:bCs/>
        </w:rPr>
        <w:t>19/YH/0150</w:t>
      </w:r>
      <w:r>
        <w:rPr>
          <w:rFonts w:eastAsia="Times New Roman"/>
          <w:bCs/>
        </w:rPr>
        <w:t xml:space="preserve">), the Medicines &amp; Healthcare products Regulatory Agency (EudraCT: 2019-000324-17), the Health Research Authority (IRAS project ID 252282) and CRNs/CCGs/R&amp;D departments for participating sites prior to entering patients into the trial. </w:t>
      </w:r>
    </w:p>
    <w:p w14:paraId="6B35E4EE" w14:textId="77777777" w:rsidR="0028692B" w:rsidRDefault="0028692B" w:rsidP="002617BF">
      <w:pPr>
        <w:rPr>
          <w:b/>
        </w:rPr>
      </w:pPr>
    </w:p>
    <w:p w14:paraId="0D9C808A" w14:textId="77777777" w:rsidR="0028692B" w:rsidRPr="00355327" w:rsidRDefault="0028692B" w:rsidP="002617BF">
      <w:pPr>
        <w:rPr>
          <w:b/>
        </w:rPr>
      </w:pPr>
      <w:r w:rsidRPr="00355327">
        <w:rPr>
          <w:b/>
        </w:rPr>
        <w:t>Competing interests</w:t>
      </w:r>
    </w:p>
    <w:p w14:paraId="47FBEE32" w14:textId="77777777" w:rsidR="0028692B" w:rsidRPr="004D560C" w:rsidRDefault="0028692B" w:rsidP="00821854">
      <w:pPr>
        <w:rPr>
          <w:bCs/>
          <w:i/>
          <w:iCs/>
          <w:color w:val="FF0000"/>
        </w:rPr>
      </w:pPr>
      <w:r w:rsidRPr="000217DA">
        <w:rPr>
          <w:bCs/>
        </w:rPr>
        <w:t xml:space="preserve">The authors have no </w:t>
      </w:r>
      <w:r>
        <w:rPr>
          <w:bCs/>
        </w:rPr>
        <w:t xml:space="preserve">competing </w:t>
      </w:r>
      <w:r w:rsidRPr="000217DA">
        <w:rPr>
          <w:bCs/>
        </w:rPr>
        <w:t>interests to declare</w:t>
      </w:r>
      <w:r>
        <w:rPr>
          <w:bCs/>
        </w:rPr>
        <w:t>.</w:t>
      </w:r>
      <w:r w:rsidRPr="004D560C">
        <w:rPr>
          <w:bCs/>
          <w:i/>
          <w:iCs/>
          <w:color w:val="FF0000"/>
        </w:rPr>
        <w:t xml:space="preserve"> </w:t>
      </w:r>
    </w:p>
    <w:p w14:paraId="26EDD99E" w14:textId="77777777" w:rsidR="0028692B" w:rsidRDefault="0028692B" w:rsidP="00821854">
      <w:pPr>
        <w:rPr>
          <w:b/>
        </w:rPr>
      </w:pPr>
    </w:p>
    <w:p w14:paraId="0DC259FE" w14:textId="77777777" w:rsidR="0028692B" w:rsidRPr="00110D10" w:rsidRDefault="0028692B" w:rsidP="00821854">
      <w:pPr>
        <w:rPr>
          <w:b/>
        </w:rPr>
      </w:pPr>
      <w:r w:rsidRPr="00110D10">
        <w:rPr>
          <w:b/>
        </w:rPr>
        <w:t>Acknowledgements</w:t>
      </w:r>
    </w:p>
    <w:p w14:paraId="740325B5" w14:textId="77777777" w:rsidR="0028692B" w:rsidRDefault="0028692B" w:rsidP="00C24F94">
      <w:pPr>
        <w:spacing w:line="360" w:lineRule="auto"/>
      </w:pPr>
      <w:r>
        <w:t xml:space="preserve">We would like to </w:t>
      </w:r>
      <w:r w:rsidRPr="002159A6">
        <w:t xml:space="preserve">thank </w:t>
      </w:r>
      <w:r>
        <w:t xml:space="preserve">all the patients and GPs who took part </w:t>
      </w:r>
      <w:r w:rsidRPr="002159A6">
        <w:t xml:space="preserve">in </w:t>
      </w:r>
      <w:r>
        <w:t>this nested qualitative study, members of the ATLANTIS team Robbie</w:t>
      </w:r>
      <w:r w:rsidRPr="00EA15B5">
        <w:t xml:space="preserve"> Foy</w:t>
      </w:r>
      <w:r>
        <w:rPr>
          <w:vertAlign w:val="superscript"/>
        </w:rPr>
        <w:t xml:space="preserve"> </w:t>
      </w:r>
      <w:r>
        <w:t xml:space="preserve">and </w:t>
      </w:r>
      <w:r w:rsidRPr="00ED3CE7">
        <w:t>Deborah Cooper</w:t>
      </w:r>
      <w:r>
        <w:rPr>
          <w:vertAlign w:val="superscript"/>
        </w:rPr>
        <w:t xml:space="preserve"> </w:t>
      </w:r>
      <w:r w:rsidRPr="0052396B">
        <w:t>at</w:t>
      </w:r>
      <w:r>
        <w:rPr>
          <w:b/>
          <w:bCs/>
          <w:color w:val="FF0000"/>
        </w:rPr>
        <w:t xml:space="preserve"> </w:t>
      </w:r>
      <w:r>
        <w:rPr>
          <w:rFonts w:cs="Times New Roman"/>
          <w:szCs w:val="24"/>
        </w:rPr>
        <w:t xml:space="preserve">Leeds Institute of Health Sciences, and </w:t>
      </w:r>
      <w:r>
        <w:t xml:space="preserve">Cicely Mathews (psychology student at the University of Southampton) who helped us with conducting GP interviews. </w:t>
      </w:r>
    </w:p>
    <w:p w14:paraId="37CA990D" w14:textId="77777777" w:rsidR="0028692B" w:rsidRDefault="0028692B" w:rsidP="00BA4906">
      <w:pPr>
        <w:spacing w:after="0" w:line="240" w:lineRule="auto"/>
        <w:rPr>
          <w:b/>
          <w:color w:val="0070C0"/>
        </w:rPr>
      </w:pPr>
    </w:p>
    <w:p w14:paraId="725E4AC8" w14:textId="77777777" w:rsidR="0028692B" w:rsidRDefault="0028692B" w:rsidP="00BA4906">
      <w:pPr>
        <w:spacing w:after="0" w:line="240" w:lineRule="auto"/>
        <w:rPr>
          <w:b/>
          <w:color w:val="0070C0"/>
        </w:rPr>
      </w:pPr>
    </w:p>
    <w:p w14:paraId="2667CA4D" w14:textId="77777777" w:rsidR="0028692B" w:rsidRDefault="0028692B" w:rsidP="00BA4906">
      <w:pPr>
        <w:spacing w:after="0" w:line="240" w:lineRule="auto"/>
        <w:rPr>
          <w:b/>
          <w:color w:val="0070C0"/>
        </w:rPr>
      </w:pPr>
    </w:p>
    <w:p w14:paraId="76C8B852" w14:textId="77777777" w:rsidR="0028692B" w:rsidRDefault="0028692B" w:rsidP="00BA4906">
      <w:pPr>
        <w:spacing w:after="0" w:line="240" w:lineRule="auto"/>
        <w:rPr>
          <w:b/>
          <w:color w:val="0070C0"/>
        </w:rPr>
      </w:pPr>
    </w:p>
    <w:p w14:paraId="0D542584" w14:textId="77777777" w:rsidR="0028692B" w:rsidRDefault="0028692B" w:rsidP="00BA4906">
      <w:pPr>
        <w:spacing w:after="0" w:line="240" w:lineRule="auto"/>
        <w:rPr>
          <w:b/>
          <w:color w:val="0070C0"/>
        </w:rPr>
      </w:pPr>
    </w:p>
    <w:p w14:paraId="702FF904" w14:textId="77777777" w:rsidR="0028692B" w:rsidRDefault="0028692B" w:rsidP="00BA4906">
      <w:pPr>
        <w:spacing w:after="0" w:line="240" w:lineRule="auto"/>
        <w:rPr>
          <w:b/>
          <w:color w:val="0070C0"/>
        </w:rPr>
      </w:pPr>
    </w:p>
    <w:p w14:paraId="7B70F3E7" w14:textId="77777777" w:rsidR="0028692B" w:rsidRDefault="0028692B" w:rsidP="00BA4906">
      <w:pPr>
        <w:spacing w:after="0" w:line="240" w:lineRule="auto"/>
        <w:rPr>
          <w:b/>
          <w:color w:val="0070C0"/>
        </w:rPr>
      </w:pPr>
    </w:p>
    <w:p w14:paraId="3749E306" w14:textId="77777777" w:rsidR="0028692B" w:rsidRDefault="0028692B" w:rsidP="00BA4906">
      <w:pPr>
        <w:spacing w:after="0" w:line="240" w:lineRule="auto"/>
        <w:rPr>
          <w:b/>
          <w:color w:val="0070C0"/>
        </w:rPr>
      </w:pPr>
    </w:p>
    <w:p w14:paraId="28972BA2" w14:textId="77777777" w:rsidR="0028692B" w:rsidRDefault="0028692B" w:rsidP="00BA4906">
      <w:pPr>
        <w:spacing w:after="0" w:line="240" w:lineRule="auto"/>
        <w:rPr>
          <w:b/>
          <w:color w:val="0070C0"/>
        </w:rPr>
      </w:pPr>
    </w:p>
    <w:p w14:paraId="4A71A025" w14:textId="77777777" w:rsidR="0028692B" w:rsidRDefault="0028692B" w:rsidP="00BA4906">
      <w:pPr>
        <w:spacing w:after="0" w:line="240" w:lineRule="auto"/>
        <w:rPr>
          <w:b/>
          <w:color w:val="0070C0"/>
        </w:rPr>
      </w:pPr>
    </w:p>
    <w:p w14:paraId="0419916C" w14:textId="77777777" w:rsidR="0028692B" w:rsidRDefault="0028692B" w:rsidP="00BA4906">
      <w:pPr>
        <w:spacing w:after="0" w:line="240" w:lineRule="auto"/>
        <w:rPr>
          <w:b/>
          <w:color w:val="0070C0"/>
        </w:rPr>
      </w:pPr>
    </w:p>
    <w:p w14:paraId="63EC97E0" w14:textId="77777777" w:rsidR="0028692B" w:rsidRDefault="0028692B" w:rsidP="00BA4906">
      <w:pPr>
        <w:spacing w:after="0" w:line="240" w:lineRule="auto"/>
        <w:rPr>
          <w:b/>
          <w:color w:val="0070C0"/>
        </w:rPr>
      </w:pPr>
    </w:p>
    <w:p w14:paraId="068B5CB2" w14:textId="77777777" w:rsidR="0028692B" w:rsidRDefault="0028692B" w:rsidP="00BA4906">
      <w:pPr>
        <w:spacing w:after="0" w:line="240" w:lineRule="auto"/>
        <w:rPr>
          <w:b/>
          <w:color w:val="0070C0"/>
        </w:rPr>
      </w:pPr>
    </w:p>
    <w:p w14:paraId="2B6FD6DB" w14:textId="77777777" w:rsidR="0028692B" w:rsidRDefault="0028692B" w:rsidP="00BA4906">
      <w:pPr>
        <w:spacing w:after="0" w:line="240" w:lineRule="auto"/>
        <w:rPr>
          <w:b/>
          <w:color w:val="0070C0"/>
        </w:rPr>
      </w:pPr>
    </w:p>
    <w:p w14:paraId="7C926041" w14:textId="77777777" w:rsidR="0028692B" w:rsidRDefault="0028692B" w:rsidP="00BA4906">
      <w:pPr>
        <w:spacing w:after="0" w:line="240" w:lineRule="auto"/>
        <w:rPr>
          <w:b/>
          <w:color w:val="0070C0"/>
        </w:rPr>
      </w:pPr>
    </w:p>
    <w:p w14:paraId="16838F82" w14:textId="77777777" w:rsidR="0028692B" w:rsidRDefault="0028692B" w:rsidP="00BA4906">
      <w:pPr>
        <w:spacing w:after="0" w:line="240" w:lineRule="auto"/>
        <w:rPr>
          <w:b/>
          <w:color w:val="0070C0"/>
        </w:rPr>
      </w:pPr>
    </w:p>
    <w:p w14:paraId="3C14C1DB" w14:textId="4425DCDD" w:rsidR="0028692B" w:rsidRPr="008805F8" w:rsidRDefault="0028692B" w:rsidP="008805F8">
      <w:pPr>
        <w:pStyle w:val="Heading1"/>
      </w:pPr>
      <w:r w:rsidRPr="00090F9E">
        <w:lastRenderedPageBreak/>
        <w:t>REFERENCES</w:t>
      </w:r>
    </w:p>
    <w:p w14:paraId="035DC1F5" w14:textId="4826CBED" w:rsidR="0028692B" w:rsidRPr="00C34B52" w:rsidRDefault="0028692B" w:rsidP="00C34B52">
      <w:pPr>
        <w:pStyle w:val="EndNoteBibliography"/>
        <w:spacing w:after="240"/>
        <w:ind w:left="720" w:hanging="720"/>
      </w:pPr>
      <w:bookmarkStart w:id="55" w:name="_ENREF_1"/>
      <w:r w:rsidRPr="00C34B52">
        <w:t xml:space="preserve">1. Ford AC, Forman D, Bailey AG, et al. Irritable bowel syndrome: a 10-yr natural history of symptoms and factors that influence consultation behavior. </w:t>
      </w:r>
      <w:r w:rsidR="002F063E" w:rsidRPr="002F063E">
        <w:rPr>
          <w:i/>
          <w:lang w:val="en-GB"/>
        </w:rPr>
        <w:t xml:space="preserve">Am J Gastroenterol </w:t>
      </w:r>
      <w:r w:rsidRPr="00C34B52">
        <w:t>2008;103(5):1229-39.</w:t>
      </w:r>
      <w:bookmarkEnd w:id="55"/>
    </w:p>
    <w:p w14:paraId="3EE68DD9" w14:textId="098181E1" w:rsidR="0028692B" w:rsidRPr="00C34B52" w:rsidRDefault="0028692B" w:rsidP="00C34B52">
      <w:pPr>
        <w:pStyle w:val="EndNoteBibliography"/>
        <w:spacing w:after="240"/>
        <w:ind w:left="720" w:hanging="720"/>
      </w:pPr>
      <w:bookmarkStart w:id="56" w:name="_ENREF_2"/>
      <w:r w:rsidRPr="00C34B52">
        <w:t xml:space="preserve">2. Goodoory VC, Ng CE, Black CJ, et al. Impact of Rome IV irritable bowel syndrome on work and activities of daily living. </w:t>
      </w:r>
      <w:bookmarkStart w:id="57" w:name="_Hlk172813654"/>
      <w:r w:rsidR="002F063E" w:rsidRPr="002F063E">
        <w:rPr>
          <w:i/>
          <w:lang w:val="en-GB"/>
        </w:rPr>
        <w:t xml:space="preserve">Aliment Pharmacol Ther </w:t>
      </w:r>
      <w:bookmarkEnd w:id="57"/>
      <w:r w:rsidRPr="00C34B52">
        <w:t>2022;56(5):844-56.</w:t>
      </w:r>
      <w:bookmarkEnd w:id="56"/>
    </w:p>
    <w:p w14:paraId="2DDCA05D" w14:textId="1BAF4EA5" w:rsidR="0028692B" w:rsidRPr="00C34B52" w:rsidRDefault="0028692B" w:rsidP="00C34B52">
      <w:pPr>
        <w:pStyle w:val="EndNoteBibliography"/>
        <w:spacing w:after="240"/>
        <w:ind w:left="720" w:hanging="720"/>
      </w:pPr>
      <w:bookmarkStart w:id="58" w:name="_ENREF_3"/>
      <w:r w:rsidRPr="00C34B52">
        <w:t xml:space="preserve">3. Oka P, Parr H, Barberio B, et al. Global prevalence of irritable bowel syndrome according to Rome III or IV criteria: a systematic review and meta-analysis. </w:t>
      </w:r>
      <w:r w:rsidR="002F063E" w:rsidRPr="002F063E">
        <w:rPr>
          <w:i/>
          <w:lang w:val="en-GB"/>
        </w:rPr>
        <w:t xml:space="preserve">Lancet Gastroenterol Hepatol </w:t>
      </w:r>
      <w:r w:rsidRPr="00C34B52">
        <w:t>2020;5(10):908-17.</w:t>
      </w:r>
      <w:bookmarkEnd w:id="58"/>
    </w:p>
    <w:p w14:paraId="0400E429" w14:textId="6F044126" w:rsidR="0028692B" w:rsidRPr="00C34B52" w:rsidRDefault="0028692B" w:rsidP="00C34B52">
      <w:pPr>
        <w:pStyle w:val="EndNoteBibliography"/>
        <w:spacing w:after="240"/>
        <w:ind w:left="720" w:hanging="720"/>
      </w:pPr>
      <w:bookmarkStart w:id="59" w:name="_ENREF_4"/>
      <w:r w:rsidRPr="00C34B52">
        <w:t xml:space="preserve">4. Thompson WG, Heaton KW, Smyth GT, et al. Irritable bowel syndrome: the view from general practice. </w:t>
      </w:r>
      <w:bookmarkStart w:id="60" w:name="_Hlk172815608"/>
      <w:r w:rsidR="00C3781B" w:rsidRPr="00C3781B">
        <w:rPr>
          <w:i/>
          <w:lang w:val="en-GB"/>
        </w:rPr>
        <w:t xml:space="preserve">Eur J Gastroenterol Hepatol </w:t>
      </w:r>
      <w:bookmarkEnd w:id="60"/>
      <w:r w:rsidRPr="00C34B52">
        <w:t>1997;9(7):689-92.</w:t>
      </w:r>
      <w:bookmarkEnd w:id="59"/>
    </w:p>
    <w:p w14:paraId="313D9A3D" w14:textId="7040911D" w:rsidR="0028692B" w:rsidRPr="00C34B52" w:rsidRDefault="0028692B" w:rsidP="00C34B52">
      <w:pPr>
        <w:pStyle w:val="EndNoteBibliography"/>
        <w:spacing w:after="240"/>
        <w:ind w:left="720" w:hanging="720"/>
      </w:pPr>
      <w:bookmarkStart w:id="61" w:name="_ENREF_5"/>
      <w:r w:rsidRPr="00C34B52">
        <w:t xml:space="preserve">5. Goodoory VC, Ng CE, Black CJ, et al. Direct healthcare costs of Rome IV or Rome III‐defined irritable bowel syndrome in the United Kingdom. </w:t>
      </w:r>
      <w:bookmarkStart w:id="62" w:name="_Hlk172813929"/>
      <w:r w:rsidR="00C3781B" w:rsidRPr="00C3781B">
        <w:rPr>
          <w:i/>
          <w:lang w:val="en-GB"/>
        </w:rPr>
        <w:t xml:space="preserve">Aliment Pharmacol Ther </w:t>
      </w:r>
      <w:bookmarkEnd w:id="62"/>
      <w:r w:rsidRPr="00C34B52">
        <w:t>2022;56(1):110-20.</w:t>
      </w:r>
      <w:bookmarkEnd w:id="61"/>
    </w:p>
    <w:p w14:paraId="2352E97C" w14:textId="77777777" w:rsidR="0028692B" w:rsidRPr="00C34B52" w:rsidRDefault="0028692B" w:rsidP="00C34B52">
      <w:pPr>
        <w:pStyle w:val="EndNoteBibliography"/>
        <w:spacing w:after="240"/>
        <w:ind w:left="720" w:hanging="720"/>
      </w:pPr>
      <w:bookmarkStart w:id="63" w:name="_ENREF_6"/>
      <w:r w:rsidRPr="00C34B52">
        <w:t>6. NICE. Clinical Knowledge Summary: Management of irritable bowel syndrome. National Institute for Health and Clinical Excellence, 2023.</w:t>
      </w:r>
      <w:bookmarkEnd w:id="63"/>
    </w:p>
    <w:p w14:paraId="3ED3ECEC" w14:textId="4B1DFE23" w:rsidR="0028692B" w:rsidRPr="00C34B52" w:rsidRDefault="0028692B" w:rsidP="00C34B52">
      <w:pPr>
        <w:pStyle w:val="EndNoteBibliography"/>
        <w:spacing w:after="240"/>
        <w:ind w:left="720" w:hanging="720"/>
      </w:pPr>
      <w:bookmarkStart w:id="64" w:name="_ENREF_7"/>
      <w:r w:rsidRPr="00C34B52">
        <w:t xml:space="preserve">7. Hookway C, Buckner S, Crosland P, et al. Irritable bowel syndrome in adults in primary care: summary of updated NICE guidance. </w:t>
      </w:r>
      <w:r w:rsidRPr="00C34B52">
        <w:rPr>
          <w:i/>
        </w:rPr>
        <w:t>B</w:t>
      </w:r>
      <w:r w:rsidR="00C3781B">
        <w:rPr>
          <w:i/>
        </w:rPr>
        <w:t xml:space="preserve">MJ </w:t>
      </w:r>
      <w:r w:rsidRPr="00C34B52">
        <w:t>015;350</w:t>
      </w:r>
      <w:bookmarkEnd w:id="64"/>
    </w:p>
    <w:p w14:paraId="63350062" w14:textId="4BAFA789" w:rsidR="0028692B" w:rsidRPr="002F063E" w:rsidRDefault="0028692B" w:rsidP="00C34B52">
      <w:pPr>
        <w:pStyle w:val="EndNoteBibliography"/>
        <w:spacing w:after="240"/>
        <w:ind w:left="720" w:hanging="720"/>
      </w:pPr>
      <w:bookmarkStart w:id="65" w:name="_ENREF_8"/>
      <w:r w:rsidRPr="00C34B52">
        <w:t>8. NICE. Irritable bowel syndrome in adults: diagnosis and management.: National Institute for Health and Care Excellence., 2017.</w:t>
      </w:r>
      <w:bookmarkEnd w:id="65"/>
      <w:r w:rsidRPr="0028692B">
        <w:t xml:space="preserve"> </w:t>
      </w:r>
      <w:hyperlink r:id="rId9" w:history="1">
        <w:r w:rsidRPr="00920ADA">
          <w:rPr>
            <w:rStyle w:val="Hyperlink"/>
          </w:rPr>
          <w:t>https://www.nice.org.uk/Guidance/CG61</w:t>
        </w:r>
      </w:hyperlink>
      <w:r>
        <w:rPr>
          <w:color w:val="0070C0"/>
        </w:rPr>
        <w:t xml:space="preserve">, </w:t>
      </w:r>
      <w:r w:rsidRPr="002F063E">
        <w:t xml:space="preserve">accessed </w:t>
      </w:r>
      <w:r w:rsidR="002F063E" w:rsidRPr="002F063E">
        <w:t xml:space="preserve">June 2022. </w:t>
      </w:r>
    </w:p>
    <w:p w14:paraId="035CA9F7" w14:textId="3966EC47" w:rsidR="0028692B" w:rsidRPr="00C34B52" w:rsidRDefault="0028692B" w:rsidP="00C34B52">
      <w:pPr>
        <w:pStyle w:val="EndNoteBibliography"/>
        <w:spacing w:after="240"/>
        <w:ind w:left="720" w:hanging="720"/>
      </w:pPr>
      <w:bookmarkStart w:id="66" w:name="_ENREF_9"/>
      <w:r w:rsidRPr="00C34B52">
        <w:t xml:space="preserve">9. Saarto T, Wiffen PJ. Antidepressants for neuropathic pain. </w:t>
      </w:r>
      <w:r w:rsidR="00C3781B" w:rsidRPr="00C3781B">
        <w:rPr>
          <w:i/>
          <w:lang w:val="en-GB"/>
        </w:rPr>
        <w:t>Cochrane Database Syst Rev</w:t>
      </w:r>
      <w:r w:rsidRPr="00C34B52">
        <w:t xml:space="preserve"> 2007(4)</w:t>
      </w:r>
      <w:bookmarkEnd w:id="66"/>
    </w:p>
    <w:p w14:paraId="14F10D99" w14:textId="7D80F795" w:rsidR="0028692B" w:rsidRPr="00C34B52" w:rsidRDefault="0028692B" w:rsidP="00C34B52">
      <w:pPr>
        <w:pStyle w:val="EndNoteBibliography"/>
        <w:spacing w:after="240"/>
        <w:ind w:left="720" w:hanging="720"/>
      </w:pPr>
      <w:bookmarkStart w:id="67" w:name="_ENREF_10"/>
      <w:r w:rsidRPr="00C34B52">
        <w:t xml:space="preserve">10. Sindrup SH, Otto M, Finnerup NB, et al. Antidepressants in the treatment of neuropathic pain. </w:t>
      </w:r>
      <w:r w:rsidR="00C3781B" w:rsidRPr="00C3781B">
        <w:rPr>
          <w:i/>
          <w:lang w:val="en-GB"/>
        </w:rPr>
        <w:t xml:space="preserve">Basic Clin Pharmacol Toxicol </w:t>
      </w:r>
      <w:r w:rsidRPr="00C34B52">
        <w:t>2005;96(6):399-409.</w:t>
      </w:r>
      <w:bookmarkEnd w:id="67"/>
    </w:p>
    <w:p w14:paraId="7EA36824" w14:textId="54A59404" w:rsidR="0028692B" w:rsidRPr="00C34B52" w:rsidRDefault="0028692B" w:rsidP="00C34B52">
      <w:pPr>
        <w:pStyle w:val="EndNoteBibliography"/>
        <w:spacing w:after="240"/>
        <w:ind w:left="720" w:hanging="720"/>
      </w:pPr>
      <w:bookmarkStart w:id="68" w:name="_ENREF_11"/>
      <w:r w:rsidRPr="00C34B52">
        <w:t xml:space="preserve">11. Talley NJ, Locke GR, Saito YA, et al. Effect of amitriptyline and escitalopram on functional dyspepsia: a multicenter, randomized controlled study. </w:t>
      </w:r>
      <w:r w:rsidRPr="00C34B52">
        <w:rPr>
          <w:i/>
        </w:rPr>
        <w:t>Gastroenterol</w:t>
      </w:r>
      <w:r w:rsidRPr="00C34B52">
        <w:t xml:space="preserve"> 2015;149(2):340-49. e2.</w:t>
      </w:r>
      <w:bookmarkEnd w:id="68"/>
    </w:p>
    <w:p w14:paraId="5DDF2ACE" w14:textId="369D1935" w:rsidR="0028692B" w:rsidRPr="00C34B52" w:rsidRDefault="0028692B" w:rsidP="00C34B52">
      <w:pPr>
        <w:pStyle w:val="EndNoteBibliography"/>
        <w:spacing w:after="240"/>
        <w:ind w:left="720" w:hanging="720"/>
      </w:pPr>
      <w:bookmarkStart w:id="69" w:name="_ENREF_12"/>
      <w:r w:rsidRPr="00C34B52">
        <w:t xml:space="preserve">12. Wong J, Motulsky A, Abrahamowicz M, et al. Off-label indications for antidepressants in primary care. </w:t>
      </w:r>
      <w:r w:rsidRPr="00C34B52">
        <w:rPr>
          <w:i/>
        </w:rPr>
        <w:t>BMJ</w:t>
      </w:r>
      <w:r w:rsidR="00C3781B">
        <w:rPr>
          <w:i/>
        </w:rPr>
        <w:t xml:space="preserve"> </w:t>
      </w:r>
      <w:r w:rsidRPr="00C34B52">
        <w:t>2017;356</w:t>
      </w:r>
      <w:bookmarkEnd w:id="69"/>
    </w:p>
    <w:p w14:paraId="557A193F" w14:textId="278BDE27" w:rsidR="0028692B" w:rsidRPr="00C34B52" w:rsidRDefault="0028692B" w:rsidP="00C34B52">
      <w:pPr>
        <w:pStyle w:val="EndNoteBibliography"/>
        <w:spacing w:after="240"/>
        <w:ind w:left="720" w:hanging="720"/>
      </w:pPr>
      <w:bookmarkStart w:id="70" w:name="_ENREF_13"/>
      <w:r w:rsidRPr="00C34B52">
        <w:t xml:space="preserve">13. Gorard D, Libby G, Farthing M. Influence of antidepressants on whole gut and orocaecal transit times in health and irritable bowel syndrome. </w:t>
      </w:r>
      <w:r w:rsidR="00C3781B" w:rsidRPr="00C3781B">
        <w:rPr>
          <w:i/>
          <w:lang w:val="en-GB"/>
        </w:rPr>
        <w:t xml:space="preserve">Aliment Pharmacol Ther </w:t>
      </w:r>
      <w:r w:rsidRPr="00C34B52">
        <w:t>1994;8(2):159-66.</w:t>
      </w:r>
      <w:bookmarkEnd w:id="70"/>
    </w:p>
    <w:p w14:paraId="48275BC1" w14:textId="655956D6" w:rsidR="0028692B" w:rsidRPr="00C34B52" w:rsidRDefault="0028692B" w:rsidP="00C34B52">
      <w:pPr>
        <w:pStyle w:val="EndNoteBibliography"/>
        <w:spacing w:after="240"/>
        <w:ind w:left="720" w:hanging="720"/>
      </w:pPr>
      <w:bookmarkStart w:id="71" w:name="_ENREF_14"/>
      <w:r w:rsidRPr="00C34B52">
        <w:t xml:space="preserve">14. Gorard D, Libby G, Farthing M. Effect of a tricyclic antidepressant on small intestinal motility in health and diarrhea-predominant irritable bowel syndrome. </w:t>
      </w:r>
      <w:r w:rsidRPr="00C34B52">
        <w:rPr>
          <w:i/>
        </w:rPr>
        <w:t xml:space="preserve">Dig </w:t>
      </w:r>
      <w:r w:rsidR="00C3781B">
        <w:rPr>
          <w:i/>
        </w:rPr>
        <w:t>D</w:t>
      </w:r>
      <w:r w:rsidRPr="00C34B52">
        <w:rPr>
          <w:i/>
        </w:rPr>
        <w:t xml:space="preserve">is </w:t>
      </w:r>
      <w:r w:rsidR="00C3781B">
        <w:rPr>
          <w:i/>
        </w:rPr>
        <w:t>S</w:t>
      </w:r>
      <w:r w:rsidRPr="00C34B52">
        <w:rPr>
          <w:i/>
        </w:rPr>
        <w:t>ci</w:t>
      </w:r>
      <w:r w:rsidRPr="00C34B52">
        <w:t xml:space="preserve"> 1995;40:86-95.</w:t>
      </w:r>
      <w:bookmarkEnd w:id="71"/>
    </w:p>
    <w:p w14:paraId="28F7DB19" w14:textId="77E2DD20" w:rsidR="0028692B" w:rsidRPr="00C34B52" w:rsidRDefault="0028692B" w:rsidP="00C34B52">
      <w:pPr>
        <w:pStyle w:val="EndNoteBibliography"/>
        <w:spacing w:after="240"/>
        <w:ind w:left="720" w:hanging="720"/>
      </w:pPr>
      <w:bookmarkStart w:id="72" w:name="_ENREF_15"/>
      <w:r w:rsidRPr="00C34B52">
        <w:t xml:space="preserve">15. Björkman I, Dellenborg L, Ringström G, et al. The gendered impact of Irritable Bowel Syndrome: a qualitative study of patients' experiences. </w:t>
      </w:r>
      <w:r w:rsidR="00C3781B" w:rsidRPr="00C3781B">
        <w:rPr>
          <w:i/>
          <w:lang w:val="en-GB"/>
        </w:rPr>
        <w:t xml:space="preserve">J Adv Nurs </w:t>
      </w:r>
      <w:r w:rsidRPr="00C34B52">
        <w:t>2014;70(6):1334-43.</w:t>
      </w:r>
      <w:bookmarkEnd w:id="72"/>
    </w:p>
    <w:p w14:paraId="479D1BB5" w14:textId="4FD39060" w:rsidR="0028692B" w:rsidRPr="00C34B52" w:rsidRDefault="0028692B" w:rsidP="00C34B52">
      <w:pPr>
        <w:pStyle w:val="EndNoteBibliography"/>
        <w:spacing w:after="240"/>
        <w:ind w:left="720" w:hanging="720"/>
      </w:pPr>
      <w:bookmarkStart w:id="73" w:name="_ENREF_16"/>
      <w:r w:rsidRPr="00C34B52">
        <w:t xml:space="preserve">16. Casiday RE, Hungin A, Cornford CS, et al. Patients' explanatory models for irritable bowel syndrome: symptoms and treatment more important than explaining aetiology. </w:t>
      </w:r>
      <w:r w:rsidR="00C3781B" w:rsidRPr="00C3781B">
        <w:rPr>
          <w:i/>
          <w:lang w:val="en-GB"/>
        </w:rPr>
        <w:t xml:space="preserve">Fam Pract </w:t>
      </w:r>
      <w:r w:rsidRPr="00C34B52">
        <w:t>2009;26(1):40-47.</w:t>
      </w:r>
      <w:bookmarkEnd w:id="73"/>
    </w:p>
    <w:p w14:paraId="713CCF7C" w14:textId="2CABD8CD" w:rsidR="0028692B" w:rsidRPr="00C34B52" w:rsidRDefault="0028692B" w:rsidP="00C34B52">
      <w:pPr>
        <w:pStyle w:val="EndNoteBibliography"/>
        <w:spacing w:after="240"/>
        <w:ind w:left="720" w:hanging="720"/>
      </w:pPr>
      <w:bookmarkStart w:id="74" w:name="_ENREF_17"/>
      <w:r w:rsidRPr="00C34B52">
        <w:lastRenderedPageBreak/>
        <w:t xml:space="preserve">17. Farndale R, Roberts L. Long-term impact of irritable bowel syndrome: a qualitative study. </w:t>
      </w:r>
      <w:r w:rsidR="005D67D7" w:rsidRPr="005D67D7">
        <w:rPr>
          <w:i/>
          <w:lang w:val="en-GB"/>
        </w:rPr>
        <w:t xml:space="preserve">Prim Health Care Res Dev </w:t>
      </w:r>
      <w:r w:rsidRPr="00C34B52">
        <w:t>2011;12(1):52-67.</w:t>
      </w:r>
      <w:bookmarkEnd w:id="74"/>
    </w:p>
    <w:p w14:paraId="44F0B4FE" w14:textId="1C420829" w:rsidR="0028692B" w:rsidRPr="00C34B52" w:rsidRDefault="0028692B" w:rsidP="00C34B52">
      <w:pPr>
        <w:pStyle w:val="EndNoteBibliography"/>
        <w:spacing w:after="240"/>
        <w:ind w:left="720" w:hanging="720"/>
      </w:pPr>
      <w:bookmarkStart w:id="75" w:name="_ENREF_18"/>
      <w:r w:rsidRPr="00C34B52">
        <w:t xml:space="preserve">18. Håkanson C, Sahlberg-Blom E, Ternestedt B-M. Being in the patient position: Experiences of health care among people with irritable bowel syndrome. </w:t>
      </w:r>
      <w:r w:rsidR="005D67D7" w:rsidRPr="005D67D7">
        <w:rPr>
          <w:i/>
          <w:lang w:val="en-GB"/>
        </w:rPr>
        <w:t xml:space="preserve">Qual Health Res </w:t>
      </w:r>
      <w:r w:rsidRPr="00C34B52">
        <w:t>2010;20(8):1116-27.</w:t>
      </w:r>
      <w:bookmarkEnd w:id="75"/>
    </w:p>
    <w:p w14:paraId="615C524F" w14:textId="4DE8F376" w:rsidR="0028692B" w:rsidRPr="00C34B52" w:rsidRDefault="0028692B" w:rsidP="00C34B52">
      <w:pPr>
        <w:pStyle w:val="EndNoteBibliography"/>
        <w:spacing w:after="240"/>
        <w:ind w:left="720" w:hanging="720"/>
      </w:pPr>
      <w:bookmarkStart w:id="76" w:name="_ENREF_19"/>
      <w:r w:rsidRPr="00C34B52">
        <w:t xml:space="preserve">19. Harvey JM, Sibelli A, Chalder T, et al. Desperately seeking a cure: treatment seeking and appraisal in irritable bowel syndrome. </w:t>
      </w:r>
      <w:r w:rsidR="00251775" w:rsidRPr="00251775">
        <w:rPr>
          <w:i/>
          <w:lang w:val="en-GB"/>
        </w:rPr>
        <w:t xml:space="preserve">Br J Health Psychol </w:t>
      </w:r>
      <w:r w:rsidRPr="00C34B52">
        <w:t>2018;23(3):561-79.</w:t>
      </w:r>
      <w:bookmarkEnd w:id="76"/>
    </w:p>
    <w:p w14:paraId="2DCE78F7" w14:textId="74B77A65" w:rsidR="0028692B" w:rsidRPr="00C34B52" w:rsidRDefault="0028692B" w:rsidP="00C34B52">
      <w:pPr>
        <w:pStyle w:val="EndNoteBibliography"/>
        <w:spacing w:after="240"/>
        <w:ind w:left="720" w:hanging="720"/>
      </w:pPr>
      <w:bookmarkStart w:id="77" w:name="_ENREF_20"/>
      <w:r w:rsidRPr="00C34B52">
        <w:t xml:space="preserve">20. Rønnevig M, Vandvik PO, Bergbom I. Patients’ experiences of living with irritable bowel syndrome. </w:t>
      </w:r>
      <w:r w:rsidR="00251775" w:rsidRPr="00251775">
        <w:rPr>
          <w:i/>
          <w:lang w:val="en-GB"/>
        </w:rPr>
        <w:t xml:space="preserve">J Adv Nurs </w:t>
      </w:r>
      <w:r w:rsidRPr="00C34B52">
        <w:t>2009;65(8):1676-85.</w:t>
      </w:r>
      <w:bookmarkEnd w:id="77"/>
    </w:p>
    <w:p w14:paraId="65037485" w14:textId="387C408E" w:rsidR="0028692B" w:rsidRPr="00C34B52" w:rsidRDefault="0028692B" w:rsidP="00C34B52">
      <w:pPr>
        <w:pStyle w:val="EndNoteBibliography"/>
        <w:spacing w:after="240"/>
        <w:ind w:left="720" w:hanging="720"/>
      </w:pPr>
      <w:bookmarkStart w:id="78" w:name="_ENREF_21"/>
      <w:r w:rsidRPr="00C34B52">
        <w:t xml:space="preserve">21. Shorey S, Demutska A, Chan V, et al. Adults living with irritable bowel syndrome (IBS): A qualitative systematic review. </w:t>
      </w:r>
      <w:r w:rsidR="00251775" w:rsidRPr="00251775">
        <w:rPr>
          <w:i/>
          <w:lang w:val="en-GB"/>
        </w:rPr>
        <w:t xml:space="preserve">J Psychosom Res </w:t>
      </w:r>
      <w:r w:rsidRPr="00C34B52">
        <w:t>2021;140:110289.</w:t>
      </w:r>
      <w:bookmarkEnd w:id="78"/>
    </w:p>
    <w:p w14:paraId="5099F585" w14:textId="77777777" w:rsidR="0028692B" w:rsidRPr="00C34B52" w:rsidRDefault="0028692B" w:rsidP="00C34B52">
      <w:pPr>
        <w:pStyle w:val="EndNoteBibliography"/>
        <w:spacing w:after="240"/>
        <w:ind w:left="720" w:hanging="720"/>
      </w:pPr>
      <w:bookmarkStart w:id="79" w:name="_ENREF_22"/>
      <w:r w:rsidRPr="00C34B52">
        <w:t xml:space="preserve">22. Alderson SL, Wright-Hughes A, Ford AC, et al. Amitriptyline at low-dose and titrated for irritable bowel syndrome as second-line treatment (The ATLANTIS trial): protocol for a randomised double-blind placebo-controlled trial in primary care. </w:t>
      </w:r>
      <w:r w:rsidRPr="00C34B52">
        <w:rPr>
          <w:i/>
        </w:rPr>
        <w:t>Trials</w:t>
      </w:r>
      <w:r w:rsidRPr="00C34B52">
        <w:t xml:space="preserve"> 2022;23(1):1-12.</w:t>
      </w:r>
      <w:bookmarkEnd w:id="79"/>
    </w:p>
    <w:p w14:paraId="3D6CDC0A" w14:textId="3854CECF" w:rsidR="0028692B" w:rsidRPr="00C34B52" w:rsidRDefault="0028692B" w:rsidP="00C34B52">
      <w:pPr>
        <w:pStyle w:val="EndNoteBibliography"/>
        <w:spacing w:after="240"/>
        <w:ind w:left="720" w:hanging="720"/>
      </w:pPr>
      <w:bookmarkStart w:id="80" w:name="_ENREF_23"/>
      <w:r w:rsidRPr="00C34B52">
        <w:t xml:space="preserve">23. Ford AC, Wright-Hughes A, Alderson SL, et al. Amitriptyline at Low-Dose and Titrated for Irritable Bowel Syndrome as Second-Line Treatment in primary care (ATLANTIS): a randomised, double-blind, placebo-controlled, phase 3 trial. </w:t>
      </w:r>
      <w:r w:rsidRPr="00C34B52">
        <w:rPr>
          <w:i/>
        </w:rPr>
        <w:t>Lancet</w:t>
      </w:r>
      <w:r w:rsidRPr="00C34B52">
        <w:t xml:space="preserve"> 2023;402(10414):1773-85.</w:t>
      </w:r>
      <w:bookmarkEnd w:id="80"/>
    </w:p>
    <w:p w14:paraId="1442349E" w14:textId="0938A2EA" w:rsidR="0028692B" w:rsidRPr="00C34B52" w:rsidRDefault="0028692B" w:rsidP="00C34B52">
      <w:pPr>
        <w:pStyle w:val="EndNoteBibliography"/>
        <w:spacing w:after="240"/>
        <w:ind w:left="720" w:hanging="720"/>
      </w:pPr>
      <w:bookmarkStart w:id="81" w:name="_ENREF_24"/>
      <w:r w:rsidRPr="00C34B52">
        <w:t xml:space="preserve">24. O’Brien BC, Harris IB, Beckman TJ, et al. Standards for reporting qualitative research: a synthesis of recommendations. </w:t>
      </w:r>
      <w:r w:rsidRPr="00C34B52">
        <w:rPr>
          <w:i/>
        </w:rPr>
        <w:t xml:space="preserve">Acad </w:t>
      </w:r>
      <w:r w:rsidR="00D8142A">
        <w:rPr>
          <w:i/>
        </w:rPr>
        <w:t>M</w:t>
      </w:r>
      <w:r w:rsidRPr="00C34B52">
        <w:rPr>
          <w:i/>
        </w:rPr>
        <w:t>ed</w:t>
      </w:r>
      <w:r w:rsidRPr="00C34B52">
        <w:t xml:space="preserve"> 2014;89(9):1245-51.</w:t>
      </w:r>
      <w:bookmarkEnd w:id="81"/>
    </w:p>
    <w:p w14:paraId="4AE941BA" w14:textId="77EA5FFC" w:rsidR="0028692B" w:rsidRPr="00C34B52" w:rsidRDefault="0028692B" w:rsidP="00C34B52">
      <w:pPr>
        <w:pStyle w:val="EndNoteBibliography"/>
        <w:spacing w:after="240"/>
        <w:ind w:left="720" w:hanging="720"/>
      </w:pPr>
      <w:bookmarkStart w:id="82" w:name="_ENREF_25"/>
      <w:r w:rsidRPr="00C34B52">
        <w:t xml:space="preserve">25. Leventhal H, Phillips LA, Burns E. The Common-Sense Model of Self-Regulation (CSM): a dynamic framework for understanding illness self-management. </w:t>
      </w:r>
      <w:bookmarkStart w:id="83" w:name="_Hlk172815569"/>
      <w:r w:rsidR="00D8142A" w:rsidRPr="00D8142A">
        <w:rPr>
          <w:i/>
          <w:lang w:val="en-GB"/>
        </w:rPr>
        <w:t xml:space="preserve">J Behav Med </w:t>
      </w:r>
      <w:bookmarkEnd w:id="83"/>
      <w:r w:rsidRPr="00C34B52">
        <w:t>2016;39:935-46.</w:t>
      </w:r>
      <w:bookmarkEnd w:id="82"/>
    </w:p>
    <w:p w14:paraId="718B5C7A" w14:textId="321CDE92" w:rsidR="0028692B" w:rsidRPr="00C34B52" w:rsidRDefault="0028692B" w:rsidP="00C34B52">
      <w:pPr>
        <w:pStyle w:val="EndNoteBibliography"/>
        <w:spacing w:after="240"/>
        <w:ind w:left="720" w:hanging="720"/>
      </w:pPr>
      <w:bookmarkStart w:id="84" w:name="_ENREF_26"/>
      <w:r w:rsidRPr="00C34B52">
        <w:t xml:space="preserve">26. May C, Finch T, Mair F, et al. Understanding the implementation of complex interventions in health care: the normalization process model. </w:t>
      </w:r>
      <w:r w:rsidR="00D8142A" w:rsidRPr="00D8142A">
        <w:rPr>
          <w:i/>
          <w:lang w:val="en-GB"/>
        </w:rPr>
        <w:t xml:space="preserve">BMC Health Serv Res </w:t>
      </w:r>
      <w:r w:rsidRPr="00C34B52">
        <w:t>2007;7(1):1-7.</w:t>
      </w:r>
      <w:bookmarkEnd w:id="84"/>
    </w:p>
    <w:p w14:paraId="0A67A158" w14:textId="1897C35F" w:rsidR="0028692B" w:rsidRPr="00C34B52" w:rsidRDefault="0028692B" w:rsidP="00C34B52">
      <w:pPr>
        <w:pStyle w:val="EndNoteBibliography"/>
        <w:spacing w:after="240"/>
        <w:ind w:left="720" w:hanging="720"/>
      </w:pPr>
      <w:bookmarkStart w:id="85" w:name="_ENREF_27"/>
      <w:r w:rsidRPr="00C34B52">
        <w:t xml:space="preserve">27. Braun V, Clarke V. Using thematic analysis in psychology. </w:t>
      </w:r>
      <w:r w:rsidR="00D8142A" w:rsidRPr="00D8142A">
        <w:rPr>
          <w:i/>
          <w:lang w:val="en-GB"/>
        </w:rPr>
        <w:t xml:space="preserve">Qual Res Psychol </w:t>
      </w:r>
      <w:r w:rsidRPr="00C34B52">
        <w:t>2006;3(2):77-101.</w:t>
      </w:r>
      <w:bookmarkEnd w:id="85"/>
    </w:p>
    <w:p w14:paraId="44A56B89" w14:textId="67BF3CD8" w:rsidR="0028692B" w:rsidRPr="00C34B52" w:rsidRDefault="0028692B" w:rsidP="00C34B52">
      <w:pPr>
        <w:pStyle w:val="EndNoteBibliography"/>
        <w:spacing w:after="240"/>
        <w:ind w:left="720" w:hanging="720"/>
      </w:pPr>
      <w:bookmarkStart w:id="86" w:name="_ENREF_28"/>
      <w:r w:rsidRPr="00C34B52">
        <w:t xml:space="preserve">28. Braun V, Clarke V. One size fits all? What counts as quality practice in (reflexive) thematic analysis? </w:t>
      </w:r>
      <w:r w:rsidR="00D8142A" w:rsidRPr="00D8142A">
        <w:rPr>
          <w:i/>
          <w:lang w:val="en-GB"/>
        </w:rPr>
        <w:t xml:space="preserve">Qual Res Psychol </w:t>
      </w:r>
      <w:r w:rsidRPr="00C34B52">
        <w:t>2021;18(3):328-52.</w:t>
      </w:r>
      <w:bookmarkEnd w:id="86"/>
    </w:p>
    <w:p w14:paraId="191B33F3" w14:textId="0CC4AC9E" w:rsidR="0028692B" w:rsidRPr="00C34B52" w:rsidRDefault="0028692B" w:rsidP="00C34B52">
      <w:pPr>
        <w:pStyle w:val="EndNoteBibliography"/>
        <w:spacing w:after="240"/>
        <w:ind w:left="720" w:hanging="720"/>
      </w:pPr>
      <w:bookmarkStart w:id="87" w:name="_ENREF_29"/>
      <w:r w:rsidRPr="00C34B52">
        <w:t xml:space="preserve">29. </w:t>
      </w:r>
      <w:r w:rsidR="00D8142A">
        <w:t xml:space="preserve">OSR International. </w:t>
      </w:r>
      <w:r w:rsidRPr="00C34B52">
        <w:t xml:space="preserve"> NVivo (Version 12)</w:t>
      </w:r>
      <w:r w:rsidR="00104143">
        <w:t xml:space="preserve"> Qualitative analysis software</w:t>
      </w:r>
      <w:r w:rsidRPr="00C34B52">
        <w:t xml:space="preserve"> 20</w:t>
      </w:r>
      <w:bookmarkEnd w:id="87"/>
      <w:r w:rsidR="00D8142A">
        <w:t>22</w:t>
      </w:r>
      <w:r w:rsidR="00104143">
        <w:t xml:space="preserve">. </w:t>
      </w:r>
      <w:r w:rsidR="00D8142A">
        <w:t xml:space="preserve"> </w:t>
      </w:r>
    </w:p>
    <w:p w14:paraId="43A4A833" w14:textId="5675705E" w:rsidR="0028692B" w:rsidRPr="00C34B52" w:rsidRDefault="0028692B" w:rsidP="00C34B52">
      <w:pPr>
        <w:pStyle w:val="EndNoteBibliography"/>
        <w:spacing w:after="240"/>
        <w:ind w:left="720" w:hanging="720"/>
      </w:pPr>
      <w:bookmarkStart w:id="88" w:name="_ENREF_30"/>
      <w:r w:rsidRPr="00C34B52">
        <w:t xml:space="preserve">30. Ingersoll KS, Cohen J. The impact of medication regimen factors on adherence to chronic treatment: a review of literature. </w:t>
      </w:r>
      <w:r w:rsidR="00104143" w:rsidRPr="00104143">
        <w:rPr>
          <w:i/>
          <w:lang w:val="en-GB"/>
        </w:rPr>
        <w:t xml:space="preserve">J Behav Med </w:t>
      </w:r>
      <w:r w:rsidRPr="00C34B52">
        <w:t>2008;31:213-24.</w:t>
      </w:r>
      <w:bookmarkEnd w:id="88"/>
    </w:p>
    <w:p w14:paraId="1ED58BD7" w14:textId="778DEFEC" w:rsidR="0028692B" w:rsidRPr="00C34B52" w:rsidRDefault="0028692B" w:rsidP="00C34B52">
      <w:pPr>
        <w:pStyle w:val="EndNoteBibliography"/>
        <w:spacing w:after="240"/>
        <w:ind w:left="720" w:hanging="720"/>
      </w:pPr>
      <w:bookmarkStart w:id="89" w:name="_ENREF_31"/>
      <w:r w:rsidRPr="00C34B52">
        <w:t xml:space="preserve">31. Mari A, Hosadurg D, Martin L, et al. Adherence with a low-FODMAP diet in irritable bowel syndrome: are eating disorders the missing link? </w:t>
      </w:r>
      <w:r w:rsidR="00104143" w:rsidRPr="00104143">
        <w:rPr>
          <w:i/>
          <w:lang w:val="en-GB"/>
        </w:rPr>
        <w:t xml:space="preserve">Eur J Gastroenterol Hepatol </w:t>
      </w:r>
      <w:r w:rsidRPr="00C34B52">
        <w:t>2019;31(2):178-82.</w:t>
      </w:r>
      <w:bookmarkEnd w:id="89"/>
    </w:p>
    <w:p w14:paraId="01626C62" w14:textId="6221A898" w:rsidR="0028692B" w:rsidRPr="00C34B52" w:rsidRDefault="0028692B" w:rsidP="00C34B52">
      <w:pPr>
        <w:pStyle w:val="EndNoteBibliography"/>
        <w:spacing w:after="240"/>
        <w:ind w:left="720" w:hanging="720"/>
      </w:pPr>
      <w:bookmarkStart w:id="90" w:name="_ENREF_32"/>
      <w:r w:rsidRPr="00C34B52">
        <w:t xml:space="preserve">32. Tuck CJ, Reed DE, Muir JG, et al. Implementation of the low FODMAP diet in functional gastrointestinal symptoms: a real‐world experience. </w:t>
      </w:r>
      <w:r w:rsidR="00104143" w:rsidRPr="00104143">
        <w:rPr>
          <w:i/>
          <w:lang w:val="en-GB"/>
        </w:rPr>
        <w:t xml:space="preserve">J Neurogastroenterol Motil </w:t>
      </w:r>
      <w:r w:rsidRPr="00C34B52">
        <w:t>2020;32(1):e13730.</w:t>
      </w:r>
      <w:bookmarkEnd w:id="90"/>
    </w:p>
    <w:p w14:paraId="37E4A4B3" w14:textId="77777777" w:rsidR="0028692B" w:rsidRPr="00C34B52" w:rsidRDefault="0028692B" w:rsidP="00C34B52">
      <w:pPr>
        <w:pStyle w:val="EndNoteBibliography"/>
        <w:spacing w:after="240"/>
        <w:ind w:left="720" w:hanging="720"/>
      </w:pPr>
      <w:bookmarkStart w:id="91" w:name="_ENREF_33"/>
      <w:r w:rsidRPr="00C34B52">
        <w:lastRenderedPageBreak/>
        <w:t xml:space="preserve">33. Horne R, Chapman SC, Parham R, et al. Understanding patients’ adherence-related beliefs about medicines prescribed for long-term conditions: a meta-analytic review of the Necessity-Concerns Framework. </w:t>
      </w:r>
      <w:r w:rsidRPr="00C34B52">
        <w:rPr>
          <w:i/>
        </w:rPr>
        <w:t>PloS one</w:t>
      </w:r>
      <w:r w:rsidRPr="00C34B52">
        <w:t xml:space="preserve"> 2013;8(12):e80633.</w:t>
      </w:r>
      <w:bookmarkEnd w:id="91"/>
    </w:p>
    <w:p w14:paraId="598F2A3D" w14:textId="36C9CBC1" w:rsidR="0028692B" w:rsidRPr="00C34B52" w:rsidRDefault="0028692B" w:rsidP="00C34B52">
      <w:pPr>
        <w:pStyle w:val="EndNoteBibliography"/>
        <w:spacing w:after="240"/>
        <w:ind w:left="720" w:hanging="720"/>
      </w:pPr>
      <w:bookmarkStart w:id="92" w:name="_ENREF_34"/>
      <w:r w:rsidRPr="00C34B52">
        <w:t xml:space="preserve">34. Stewart S-JF, Moon Z, Horne R. Medication nonadherence: health impact, prevalence, correlates and interventions. </w:t>
      </w:r>
      <w:bookmarkStart w:id="93" w:name="_Hlk172816061"/>
      <w:r w:rsidRPr="00C34B52">
        <w:rPr>
          <w:i/>
        </w:rPr>
        <w:t>Psychol Health</w:t>
      </w:r>
      <w:r w:rsidRPr="00C34B52">
        <w:t xml:space="preserve"> </w:t>
      </w:r>
      <w:bookmarkEnd w:id="93"/>
      <w:r w:rsidRPr="00C34B52">
        <w:t>2023;38(6):726-65.</w:t>
      </w:r>
      <w:bookmarkEnd w:id="92"/>
    </w:p>
    <w:p w14:paraId="645448D7" w14:textId="78B83997" w:rsidR="0028692B" w:rsidRPr="00C34B52" w:rsidRDefault="0028692B" w:rsidP="00C34B52">
      <w:pPr>
        <w:pStyle w:val="EndNoteBibliography"/>
        <w:spacing w:after="240"/>
        <w:ind w:left="720" w:hanging="720"/>
      </w:pPr>
      <w:bookmarkStart w:id="94" w:name="_ENREF_35"/>
      <w:r w:rsidRPr="00C34B52">
        <w:t xml:space="preserve">35. Timmermans S. The engaged patient: The relevance of patient–physician communication for twenty-first-century health. </w:t>
      </w:r>
      <w:r w:rsidR="00104143" w:rsidRPr="00104143">
        <w:rPr>
          <w:i/>
          <w:lang w:val="en-GB"/>
        </w:rPr>
        <w:t xml:space="preserve">J Health Soc Behav </w:t>
      </w:r>
      <w:r w:rsidRPr="00C34B52">
        <w:t>2020;61(3):259-73.</w:t>
      </w:r>
      <w:bookmarkEnd w:id="94"/>
    </w:p>
    <w:p w14:paraId="107B426A" w14:textId="59CE3492" w:rsidR="0028692B" w:rsidRPr="00C34B52" w:rsidRDefault="0028692B" w:rsidP="00C34B52">
      <w:pPr>
        <w:pStyle w:val="EndNoteBibliography"/>
        <w:spacing w:after="240"/>
        <w:ind w:left="720" w:hanging="720"/>
      </w:pPr>
      <w:bookmarkStart w:id="95" w:name="_ENREF_36"/>
      <w:r w:rsidRPr="00C34B52">
        <w:t xml:space="preserve">36. </w:t>
      </w:r>
      <w:r w:rsidR="00104143">
        <w:t>NHS England</w:t>
      </w:r>
      <w:r w:rsidRPr="00C34B52">
        <w:t xml:space="preserve">. The NHS Long Term Plan 2019. </w:t>
      </w:r>
      <w:r w:rsidRPr="00C34B52">
        <w:rPr>
          <w:i/>
        </w:rPr>
        <w:t xml:space="preserve">Available from: </w:t>
      </w:r>
      <w:r w:rsidRPr="0028692B">
        <w:rPr>
          <w:i/>
        </w:rPr>
        <w:t>https://wwwlongtermplannhsuk/publication/nhs-long-term-plan/</w:t>
      </w:r>
      <w:r w:rsidRPr="00C34B52">
        <w:t xml:space="preserve"> updated 21 August 2019</w:t>
      </w:r>
      <w:bookmarkEnd w:id="95"/>
    </w:p>
    <w:p w14:paraId="63AF9BF8" w14:textId="149F9FAC" w:rsidR="0028692B" w:rsidRPr="00C34B52" w:rsidRDefault="0028692B" w:rsidP="00C34B52">
      <w:pPr>
        <w:pStyle w:val="EndNoteBibliography"/>
        <w:spacing w:after="240"/>
        <w:ind w:left="720" w:hanging="720"/>
      </w:pPr>
      <w:bookmarkStart w:id="96" w:name="_ENREF_37"/>
      <w:r w:rsidRPr="00C34B52">
        <w:t xml:space="preserve">37. Ongaro G, Ballou S, Kube T, et al. Doctors speak: a qualitative study of physicians’ prescribing of antidepressants in functional bowel disorders. </w:t>
      </w:r>
      <w:r w:rsidR="00104143" w:rsidRPr="00104143">
        <w:rPr>
          <w:i/>
          <w:lang w:val="en-GB"/>
        </w:rPr>
        <w:t xml:space="preserve">Cult Med Psychiatry </w:t>
      </w:r>
      <w:r w:rsidRPr="00C34B52">
        <w:t>2023;47(3):669-83.</w:t>
      </w:r>
      <w:bookmarkEnd w:id="96"/>
    </w:p>
    <w:p w14:paraId="62FF7386" w14:textId="6A4B4874" w:rsidR="0028692B" w:rsidRPr="00C34B52" w:rsidRDefault="0028692B" w:rsidP="00C34B52">
      <w:pPr>
        <w:pStyle w:val="EndNoteBibliography"/>
        <w:spacing w:after="240"/>
        <w:ind w:left="720" w:hanging="720"/>
      </w:pPr>
      <w:bookmarkStart w:id="97" w:name="_ENREF_38"/>
      <w:r w:rsidRPr="00C34B52">
        <w:t xml:space="preserve">38. Schwille-Kiuntke J, Rüdlin SL, Junne F, et al. Illness perception and health care use in individuals with irritable bowel syndrome: results from an online survey. </w:t>
      </w:r>
      <w:r w:rsidR="00104143" w:rsidRPr="00FA0250">
        <w:rPr>
          <w:i/>
          <w:lang w:val="en-GB"/>
        </w:rPr>
        <w:t>BMC</w:t>
      </w:r>
      <w:r w:rsidR="00104143" w:rsidRPr="00104143">
        <w:rPr>
          <w:i/>
          <w:lang w:val="en-GB"/>
        </w:rPr>
        <w:t xml:space="preserve"> Fam Pract </w:t>
      </w:r>
      <w:r w:rsidRPr="00C34B52">
        <w:t>2021;22(1):1-14.</w:t>
      </w:r>
      <w:bookmarkEnd w:id="97"/>
    </w:p>
    <w:p w14:paraId="7CFFD43C" w14:textId="0A4A6AA1" w:rsidR="0028692B" w:rsidRPr="00C34B52" w:rsidRDefault="0028692B" w:rsidP="00C34B52">
      <w:pPr>
        <w:pStyle w:val="EndNoteBibliography"/>
        <w:spacing w:after="240"/>
        <w:ind w:left="720" w:hanging="720"/>
      </w:pPr>
      <w:bookmarkStart w:id="98" w:name="_ENREF_39"/>
      <w:r w:rsidRPr="00C34B52">
        <w:t xml:space="preserve">39. Sibelli A, Moss-Morris R, Chalder T, et al. Patients’ perspectives on GP interactions after cognitive behavioural therapy for refractory IBS: a qualitative study in UK primary and secondary care. </w:t>
      </w:r>
      <w:r w:rsidR="00104143" w:rsidRPr="00104143">
        <w:rPr>
          <w:i/>
          <w:lang w:val="en-GB"/>
        </w:rPr>
        <w:t xml:space="preserve">Br J Gen Pract </w:t>
      </w:r>
      <w:r w:rsidRPr="00C34B52">
        <w:t>2018;68(674):e654-e62.</w:t>
      </w:r>
      <w:bookmarkEnd w:id="98"/>
    </w:p>
    <w:p w14:paraId="7D7E0BF6" w14:textId="52CA1550" w:rsidR="0028692B" w:rsidRPr="00C34B52" w:rsidRDefault="0028692B" w:rsidP="00C34B52">
      <w:pPr>
        <w:pStyle w:val="EndNoteBibliography"/>
        <w:spacing w:after="240"/>
        <w:ind w:left="720" w:hanging="720"/>
      </w:pPr>
      <w:bookmarkStart w:id="99" w:name="_ENREF_40"/>
      <w:r w:rsidRPr="00C34B52">
        <w:t xml:space="preserve">40. Tonkin-Crine S, Bishop FL, Ellis M, et al. Exploring patients' views of a cognitive behavioral therapy-based website for the self-management of irritable bowel syndrome symptoms. </w:t>
      </w:r>
      <w:r w:rsidRPr="00C34B52">
        <w:rPr>
          <w:i/>
        </w:rPr>
        <w:t xml:space="preserve">J </w:t>
      </w:r>
      <w:r w:rsidR="00104143">
        <w:rPr>
          <w:i/>
        </w:rPr>
        <w:t>M</w:t>
      </w:r>
      <w:r w:rsidRPr="00C34B52">
        <w:rPr>
          <w:i/>
        </w:rPr>
        <w:t xml:space="preserve">ed Internet </w:t>
      </w:r>
      <w:r w:rsidR="00104143">
        <w:rPr>
          <w:i/>
        </w:rPr>
        <w:t>R</w:t>
      </w:r>
      <w:r w:rsidRPr="00C34B52">
        <w:rPr>
          <w:i/>
        </w:rPr>
        <w:t>es</w:t>
      </w:r>
      <w:r w:rsidRPr="00C34B52">
        <w:t xml:space="preserve"> 2013;15(9):e2672.</w:t>
      </w:r>
      <w:bookmarkEnd w:id="99"/>
    </w:p>
    <w:p w14:paraId="679DDA78" w14:textId="4FE23436" w:rsidR="0028692B" w:rsidRPr="00C34B52" w:rsidRDefault="0028692B" w:rsidP="00C34B52">
      <w:pPr>
        <w:pStyle w:val="EndNoteBibliography"/>
        <w:spacing w:after="240"/>
        <w:ind w:left="720" w:hanging="720"/>
      </w:pPr>
      <w:bookmarkStart w:id="100" w:name="_ENREF_41"/>
      <w:r w:rsidRPr="00C34B52">
        <w:t xml:space="preserve">41. Murray E, Treweek S, Pope C, et al. Normalisation process theory: a framework for developing, evaluating and implementing complex interventions. </w:t>
      </w:r>
      <w:r w:rsidRPr="00C34B52">
        <w:rPr>
          <w:i/>
        </w:rPr>
        <w:t xml:space="preserve">BMC </w:t>
      </w:r>
      <w:r w:rsidR="007C69C4">
        <w:rPr>
          <w:i/>
        </w:rPr>
        <w:t>Med</w:t>
      </w:r>
      <w:r w:rsidRPr="00C34B52">
        <w:t xml:space="preserve"> 2010;8:1-11.</w:t>
      </w:r>
      <w:bookmarkEnd w:id="100"/>
    </w:p>
    <w:p w14:paraId="2DD32269" w14:textId="426934DD" w:rsidR="0028692B" w:rsidRPr="00C34B52" w:rsidRDefault="0028692B" w:rsidP="00C34B52">
      <w:pPr>
        <w:pStyle w:val="EndNoteBibliography"/>
        <w:spacing w:after="240"/>
        <w:ind w:left="720" w:hanging="720"/>
      </w:pPr>
      <w:bookmarkStart w:id="101" w:name="_ENREF_42"/>
      <w:r w:rsidRPr="00C34B52">
        <w:t xml:space="preserve">42. Horne R, Weinman J, Hankins M. The beliefs about medicines questionnaire: the development and evaluation of a new method for assessing the cognitive representation of medication. </w:t>
      </w:r>
      <w:r w:rsidR="008805F8" w:rsidRPr="008805F8">
        <w:rPr>
          <w:i/>
          <w:lang w:val="en-GB"/>
        </w:rPr>
        <w:t xml:space="preserve">Psychol Health </w:t>
      </w:r>
      <w:r w:rsidRPr="00C34B52">
        <w:t>1999;14(1):1-24.</w:t>
      </w:r>
      <w:bookmarkEnd w:id="101"/>
    </w:p>
    <w:p w14:paraId="17DBD071" w14:textId="6767FE22" w:rsidR="0028692B" w:rsidRPr="00C34B52" w:rsidRDefault="0028692B" w:rsidP="00C34B52">
      <w:pPr>
        <w:pStyle w:val="EndNoteBibliography"/>
        <w:spacing w:after="240"/>
        <w:ind w:left="720" w:hanging="720"/>
      </w:pPr>
      <w:bookmarkStart w:id="102" w:name="_ENREF_43"/>
      <w:r w:rsidRPr="00C34B52">
        <w:t xml:space="preserve">43. Lisibach A, Benelli V, Ceppi MG, et al. Quality of anticholinergic burden scales and their impact on clinical outcomes: a systematic review. </w:t>
      </w:r>
      <w:r w:rsidR="008805F8" w:rsidRPr="008805F8">
        <w:rPr>
          <w:i/>
          <w:lang w:val="en-GB"/>
        </w:rPr>
        <w:t xml:space="preserve">Eur J Clin Pharmacol </w:t>
      </w:r>
      <w:r w:rsidRPr="00C34B52">
        <w:t>2021;77(2):147-62. doi: 10.1007/s00228-020-02994-x</w:t>
      </w:r>
      <w:bookmarkEnd w:id="102"/>
    </w:p>
    <w:p w14:paraId="66D83EAA" w14:textId="4B25AF4E" w:rsidR="0028692B" w:rsidRPr="00C34B52" w:rsidRDefault="0028692B" w:rsidP="00C34B52">
      <w:pPr>
        <w:pStyle w:val="EndNoteBibliography"/>
        <w:spacing w:after="240"/>
        <w:ind w:left="720" w:hanging="720"/>
      </w:pPr>
      <w:bookmarkStart w:id="103" w:name="_ENREF_44"/>
      <w:r w:rsidRPr="00C34B52">
        <w:t xml:space="preserve">44. Michael HU, Enechukwu O, Brouillette M-J, et al. The Prognostic Utility of Anticholinergic Burden Scales: An Integrative Review and Gap Analysis. </w:t>
      </w:r>
      <w:r w:rsidRPr="00C34B52">
        <w:rPr>
          <w:i/>
        </w:rPr>
        <w:t>Drugs Aging</w:t>
      </w:r>
      <w:r w:rsidRPr="00C34B52">
        <w:t xml:space="preserve"> 2023;40(9):763-83. doi: 10.1007/s40266-023-01050-4</w:t>
      </w:r>
      <w:bookmarkEnd w:id="103"/>
    </w:p>
    <w:p w14:paraId="10E8E1C4" w14:textId="7FAA0A7F" w:rsidR="0028692B" w:rsidRPr="00C34B52" w:rsidRDefault="0028692B" w:rsidP="00C34B52">
      <w:pPr>
        <w:pStyle w:val="EndNoteBibliography"/>
        <w:spacing w:after="240"/>
        <w:ind w:left="720" w:hanging="720"/>
      </w:pPr>
      <w:bookmarkStart w:id="104" w:name="_ENREF_45"/>
      <w:r w:rsidRPr="00C34B52">
        <w:t xml:space="preserve">45. Garfield S, Jheeta S, Husson F, et al. Lay involvement in the analysis of qualitative data in health services research: a descriptive study. </w:t>
      </w:r>
      <w:r w:rsidR="002F063E" w:rsidRPr="002F063E">
        <w:rPr>
          <w:i/>
          <w:lang w:val="en-GB"/>
        </w:rPr>
        <w:t xml:space="preserve">Res Involv Engagem </w:t>
      </w:r>
      <w:r w:rsidRPr="00C34B52">
        <w:t>2016;2(1):1-12.</w:t>
      </w:r>
      <w:bookmarkEnd w:id="104"/>
    </w:p>
    <w:p w14:paraId="4F6F7116" w14:textId="7FC32929" w:rsidR="0028692B" w:rsidRPr="008805F8" w:rsidRDefault="0028692B" w:rsidP="008805F8">
      <w:pPr>
        <w:pStyle w:val="EndNoteBibliography"/>
        <w:ind w:left="720" w:hanging="720"/>
      </w:pPr>
      <w:bookmarkStart w:id="105" w:name="_ENREF_46"/>
      <w:r w:rsidRPr="00C34B52">
        <w:t xml:space="preserve">46. Muir D. Public Involvement in Qualitative Health Research. </w:t>
      </w:r>
      <w:r w:rsidRPr="00C34B52">
        <w:rPr>
          <w:i/>
        </w:rPr>
        <w:t>Applied Qualitative Research in Psychology Basingstoke: Palgrave Macmillan</w:t>
      </w:r>
      <w:r w:rsidRPr="00C34B52">
        <w:t xml:space="preserve"> 2017</w:t>
      </w:r>
      <w:bookmarkEnd w:id="105"/>
    </w:p>
    <w:p w14:paraId="015229B2" w14:textId="77777777" w:rsidR="0028692B" w:rsidRDefault="0028692B">
      <w:pPr>
        <w:rPr>
          <w:b/>
        </w:rPr>
      </w:pPr>
    </w:p>
    <w:p w14:paraId="17424075" w14:textId="7D0F0453" w:rsidR="0028692B" w:rsidRDefault="0028692B" w:rsidP="008805F8">
      <w:pPr>
        <w:spacing w:after="0" w:line="240" w:lineRule="auto"/>
        <w:ind w:left="357" w:hanging="357"/>
      </w:pPr>
      <w:r>
        <w:rPr>
          <w:b/>
          <w:sz w:val="24"/>
          <w:szCs w:val="24"/>
        </w:rPr>
        <w:br w:type="page"/>
      </w:r>
      <w:r w:rsidRPr="00AE2D1D">
        <w:lastRenderedPageBreak/>
        <w:t>TABLES</w:t>
      </w:r>
    </w:p>
    <w:p w14:paraId="6A92BB0B" w14:textId="77777777" w:rsidR="005664A5" w:rsidRPr="00323506" w:rsidRDefault="005664A5" w:rsidP="008805F8">
      <w:pPr>
        <w:spacing w:after="0" w:line="240" w:lineRule="auto"/>
        <w:ind w:left="357" w:hanging="357"/>
      </w:pPr>
    </w:p>
    <w:p w14:paraId="63AF747C" w14:textId="77777777" w:rsidR="0028692B" w:rsidRDefault="0028692B" w:rsidP="5CA9F855">
      <w:pPr>
        <w:rPr>
          <w:b/>
          <w:bCs/>
        </w:rPr>
      </w:pPr>
      <w:r w:rsidRPr="5CA9F855">
        <w:rPr>
          <w:b/>
          <w:bCs/>
        </w:rPr>
        <w:t>Table 1: Baseline characteristics</w:t>
      </w:r>
      <w:r w:rsidRPr="5CA9F855">
        <w:t xml:space="preserve"> </w:t>
      </w:r>
      <w:r w:rsidRPr="5CA9F855">
        <w:rPr>
          <w:b/>
          <w:bCs/>
        </w:rPr>
        <w:t>of interviewees at 6 and 12 months</w:t>
      </w:r>
      <w:r>
        <w:rPr>
          <w:b/>
          <w:bCs/>
        </w:rPr>
        <w:t xml:space="preserve"> and whole trial sample</w:t>
      </w:r>
    </w:p>
    <w:p w14:paraId="5D14AAC9" w14:textId="77777777" w:rsidR="0028692B" w:rsidRPr="00CC7995" w:rsidRDefault="0028692B" w:rsidP="5CA9F855">
      <w:pPr>
        <w:rPr>
          <w:u w:val="single"/>
        </w:rPr>
      </w:pPr>
    </w:p>
    <w:tbl>
      <w:tblPr>
        <w:tblStyle w:val="GridTable1Light-Accent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108"/>
        <w:gridCol w:w="1086"/>
        <w:gridCol w:w="1109"/>
        <w:gridCol w:w="1233"/>
        <w:gridCol w:w="1134"/>
      </w:tblGrid>
      <w:tr w:rsidR="0028692B" w:rsidRPr="00912807" w14:paraId="55FE0450" w14:textId="77777777" w:rsidTr="00912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tcPr>
          <w:p w14:paraId="7CE8D6E1" w14:textId="77777777" w:rsidR="0028692B" w:rsidRPr="00912807" w:rsidRDefault="0028692B" w:rsidP="00323506">
            <w:pPr>
              <w:rPr>
                <w:rFonts w:asciiTheme="minorHAnsi" w:hAnsiTheme="minorHAnsi" w:cstheme="minorHAnsi"/>
                <w:sz w:val="20"/>
                <w:szCs w:val="20"/>
              </w:rPr>
            </w:pPr>
            <w:r w:rsidRPr="00912807">
              <w:rPr>
                <w:rFonts w:asciiTheme="minorHAnsi" w:hAnsiTheme="minorHAnsi" w:cstheme="minorHAnsi"/>
                <w:sz w:val="20"/>
                <w:szCs w:val="20"/>
              </w:rPr>
              <w:t>Baseline Characteristics</w:t>
            </w:r>
          </w:p>
        </w:tc>
        <w:tc>
          <w:tcPr>
            <w:tcW w:w="2384" w:type="dxa"/>
            <w:gridSpan w:val="2"/>
            <w:tcBorders>
              <w:bottom w:val="none" w:sz="0" w:space="0" w:color="auto"/>
            </w:tcBorders>
          </w:tcPr>
          <w:p w14:paraId="0B886B3B" w14:textId="77777777" w:rsidR="0028692B" w:rsidRPr="00912807" w:rsidRDefault="0028692B" w:rsidP="003235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color w:val="0070C0"/>
                <w:sz w:val="20"/>
                <w:szCs w:val="20"/>
              </w:rPr>
              <w:t>6 months (n=42)</w:t>
            </w:r>
          </w:p>
        </w:tc>
        <w:tc>
          <w:tcPr>
            <w:tcW w:w="2195" w:type="dxa"/>
            <w:gridSpan w:val="2"/>
            <w:tcBorders>
              <w:bottom w:val="none" w:sz="0" w:space="0" w:color="auto"/>
            </w:tcBorders>
          </w:tcPr>
          <w:p w14:paraId="0B8662B8" w14:textId="77777777" w:rsidR="0028692B" w:rsidRPr="00912807" w:rsidRDefault="0028692B" w:rsidP="003235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color w:val="0070C0"/>
                <w:sz w:val="20"/>
                <w:szCs w:val="20"/>
              </w:rPr>
              <w:t>12 months (n=19)</w:t>
            </w:r>
          </w:p>
        </w:tc>
        <w:tc>
          <w:tcPr>
            <w:tcW w:w="2367" w:type="dxa"/>
            <w:gridSpan w:val="2"/>
            <w:tcBorders>
              <w:bottom w:val="none" w:sz="0" w:space="0" w:color="auto"/>
            </w:tcBorders>
          </w:tcPr>
          <w:p w14:paraId="3D85EDBB" w14:textId="77777777" w:rsidR="0028692B" w:rsidRPr="00912807" w:rsidRDefault="0028692B" w:rsidP="003235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color w:val="0070C0"/>
                <w:sz w:val="20"/>
                <w:szCs w:val="20"/>
              </w:rPr>
              <w:t>All trial participants (n=463)</w:t>
            </w:r>
          </w:p>
        </w:tc>
      </w:tr>
      <w:tr w:rsidR="0028692B" w:rsidRPr="00912807" w14:paraId="6B6385F6"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0CF841B0" w14:textId="77777777" w:rsidR="0028692B" w:rsidRPr="00912807" w:rsidRDefault="0028692B" w:rsidP="00323506">
            <w:pPr>
              <w:rPr>
                <w:rFonts w:asciiTheme="minorHAnsi" w:hAnsiTheme="minorHAnsi" w:cstheme="minorHAnsi"/>
                <w:sz w:val="20"/>
                <w:szCs w:val="20"/>
              </w:rPr>
            </w:pPr>
          </w:p>
        </w:tc>
        <w:tc>
          <w:tcPr>
            <w:tcW w:w="1276" w:type="dxa"/>
          </w:tcPr>
          <w:p w14:paraId="2AFCC180"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2807">
              <w:rPr>
                <w:rFonts w:asciiTheme="minorHAnsi" w:hAnsiTheme="minorHAnsi" w:cstheme="minorHAnsi"/>
                <w:b/>
                <w:bCs/>
                <w:sz w:val="20"/>
                <w:szCs w:val="20"/>
              </w:rPr>
              <w:t>n</w:t>
            </w:r>
          </w:p>
        </w:tc>
        <w:tc>
          <w:tcPr>
            <w:tcW w:w="1108" w:type="dxa"/>
          </w:tcPr>
          <w:p w14:paraId="3D9806B2"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2807">
              <w:rPr>
                <w:rFonts w:asciiTheme="minorHAnsi" w:hAnsiTheme="minorHAnsi" w:cstheme="minorHAnsi"/>
                <w:b/>
                <w:bCs/>
                <w:sz w:val="20"/>
                <w:szCs w:val="20"/>
              </w:rPr>
              <w:t>%</w:t>
            </w:r>
          </w:p>
        </w:tc>
        <w:tc>
          <w:tcPr>
            <w:tcW w:w="1086" w:type="dxa"/>
          </w:tcPr>
          <w:p w14:paraId="0C45A12D"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2807">
              <w:rPr>
                <w:rFonts w:asciiTheme="minorHAnsi" w:hAnsiTheme="minorHAnsi" w:cstheme="minorHAnsi"/>
                <w:b/>
                <w:bCs/>
                <w:sz w:val="20"/>
                <w:szCs w:val="20"/>
              </w:rPr>
              <w:t>n</w:t>
            </w:r>
          </w:p>
        </w:tc>
        <w:tc>
          <w:tcPr>
            <w:tcW w:w="1109" w:type="dxa"/>
          </w:tcPr>
          <w:p w14:paraId="6644EBE6"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2807">
              <w:rPr>
                <w:rFonts w:asciiTheme="minorHAnsi" w:hAnsiTheme="minorHAnsi" w:cstheme="minorHAnsi"/>
                <w:b/>
                <w:bCs/>
                <w:sz w:val="20"/>
                <w:szCs w:val="20"/>
              </w:rPr>
              <w:t>%</w:t>
            </w:r>
          </w:p>
        </w:tc>
        <w:tc>
          <w:tcPr>
            <w:tcW w:w="1233" w:type="dxa"/>
          </w:tcPr>
          <w:p w14:paraId="7D1ACB5D"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2807">
              <w:rPr>
                <w:rFonts w:asciiTheme="minorHAnsi" w:hAnsiTheme="minorHAnsi" w:cstheme="minorHAnsi"/>
                <w:b/>
                <w:bCs/>
                <w:sz w:val="20"/>
                <w:szCs w:val="20"/>
              </w:rPr>
              <w:t>n</w:t>
            </w:r>
          </w:p>
        </w:tc>
        <w:tc>
          <w:tcPr>
            <w:tcW w:w="1134" w:type="dxa"/>
          </w:tcPr>
          <w:p w14:paraId="07F8B5CF"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2807">
              <w:rPr>
                <w:rFonts w:asciiTheme="minorHAnsi" w:hAnsiTheme="minorHAnsi" w:cstheme="minorHAnsi"/>
                <w:b/>
                <w:bCs/>
                <w:sz w:val="20"/>
                <w:szCs w:val="20"/>
              </w:rPr>
              <w:t>%</w:t>
            </w:r>
          </w:p>
        </w:tc>
      </w:tr>
      <w:tr w:rsidR="0028692B" w:rsidRPr="00912807" w14:paraId="3815F987"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64171E4F" w14:textId="77777777" w:rsidR="0028692B" w:rsidRPr="00912807" w:rsidRDefault="0028692B" w:rsidP="00323506">
            <w:pPr>
              <w:rPr>
                <w:rFonts w:asciiTheme="minorHAnsi" w:hAnsiTheme="minorHAnsi" w:cstheme="minorHAnsi"/>
                <w:b w:val="0"/>
                <w:bCs w:val="0"/>
                <w:sz w:val="20"/>
                <w:szCs w:val="20"/>
              </w:rPr>
            </w:pPr>
            <w:r w:rsidRPr="00912807">
              <w:rPr>
                <w:rFonts w:asciiTheme="minorHAnsi" w:hAnsiTheme="minorHAnsi" w:cstheme="minorHAnsi"/>
                <w:sz w:val="20"/>
                <w:szCs w:val="20"/>
              </w:rPr>
              <w:t>Gender</w:t>
            </w:r>
          </w:p>
        </w:tc>
        <w:tc>
          <w:tcPr>
            <w:tcW w:w="1276" w:type="dxa"/>
          </w:tcPr>
          <w:p w14:paraId="65F2A4E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108" w:type="dxa"/>
          </w:tcPr>
          <w:p w14:paraId="28ADE4FA"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086" w:type="dxa"/>
          </w:tcPr>
          <w:p w14:paraId="32360C3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109" w:type="dxa"/>
          </w:tcPr>
          <w:p w14:paraId="5E80233A"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233" w:type="dxa"/>
          </w:tcPr>
          <w:p w14:paraId="74D44235"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134" w:type="dxa"/>
          </w:tcPr>
          <w:p w14:paraId="0DFCD8CD"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r>
      <w:tr w:rsidR="0028692B" w:rsidRPr="00912807" w14:paraId="1DB161C1"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E128DB4" w14:textId="77777777" w:rsidR="0028692B" w:rsidRPr="00912807" w:rsidRDefault="0028692B" w:rsidP="001512B7">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Female</w:t>
            </w:r>
          </w:p>
        </w:tc>
        <w:tc>
          <w:tcPr>
            <w:tcW w:w="1276" w:type="dxa"/>
            <w:noWrap/>
            <w:hideMark/>
          </w:tcPr>
          <w:p w14:paraId="68D30E2D"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912807">
              <w:rPr>
                <w:rFonts w:asciiTheme="minorHAnsi" w:hAnsiTheme="minorHAnsi" w:cstheme="minorHAnsi"/>
                <w:sz w:val="20"/>
                <w:szCs w:val="20"/>
              </w:rPr>
              <w:t>30</w:t>
            </w:r>
          </w:p>
        </w:tc>
        <w:tc>
          <w:tcPr>
            <w:tcW w:w="1108" w:type="dxa"/>
          </w:tcPr>
          <w:p w14:paraId="03D3C1BF"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71%</w:t>
            </w:r>
          </w:p>
        </w:tc>
        <w:tc>
          <w:tcPr>
            <w:tcW w:w="1086" w:type="dxa"/>
          </w:tcPr>
          <w:p w14:paraId="6DBC775A"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15</w:t>
            </w:r>
          </w:p>
        </w:tc>
        <w:tc>
          <w:tcPr>
            <w:tcW w:w="1109" w:type="dxa"/>
          </w:tcPr>
          <w:p w14:paraId="723BB606"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79%</w:t>
            </w:r>
          </w:p>
        </w:tc>
        <w:tc>
          <w:tcPr>
            <w:tcW w:w="1233" w:type="dxa"/>
          </w:tcPr>
          <w:p w14:paraId="77C2E79B"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315 </w:t>
            </w:r>
          </w:p>
        </w:tc>
        <w:tc>
          <w:tcPr>
            <w:tcW w:w="1134" w:type="dxa"/>
          </w:tcPr>
          <w:p w14:paraId="0B3C2703"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68%</w:t>
            </w:r>
          </w:p>
        </w:tc>
      </w:tr>
      <w:tr w:rsidR="0028692B" w:rsidRPr="00912807" w14:paraId="302C4CF3"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8FFDD6A" w14:textId="77777777" w:rsidR="0028692B" w:rsidRPr="00912807" w:rsidRDefault="0028692B" w:rsidP="001512B7">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Male</w:t>
            </w:r>
          </w:p>
        </w:tc>
        <w:tc>
          <w:tcPr>
            <w:tcW w:w="1276" w:type="dxa"/>
            <w:noWrap/>
            <w:hideMark/>
          </w:tcPr>
          <w:p w14:paraId="4ADDFD1B"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912807">
              <w:rPr>
                <w:rFonts w:asciiTheme="minorHAnsi" w:hAnsiTheme="minorHAnsi" w:cstheme="minorHAnsi"/>
                <w:sz w:val="20"/>
                <w:szCs w:val="20"/>
              </w:rPr>
              <w:t>12</w:t>
            </w:r>
          </w:p>
        </w:tc>
        <w:tc>
          <w:tcPr>
            <w:tcW w:w="1108" w:type="dxa"/>
          </w:tcPr>
          <w:p w14:paraId="4143C73B"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29%</w:t>
            </w:r>
          </w:p>
        </w:tc>
        <w:tc>
          <w:tcPr>
            <w:tcW w:w="1086" w:type="dxa"/>
          </w:tcPr>
          <w:p w14:paraId="603EF4C7"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4</w:t>
            </w:r>
          </w:p>
        </w:tc>
        <w:tc>
          <w:tcPr>
            <w:tcW w:w="1109" w:type="dxa"/>
          </w:tcPr>
          <w:p w14:paraId="6A416808"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21%</w:t>
            </w:r>
          </w:p>
        </w:tc>
        <w:tc>
          <w:tcPr>
            <w:tcW w:w="1233" w:type="dxa"/>
          </w:tcPr>
          <w:p w14:paraId="6A40F0C4"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148 </w:t>
            </w:r>
          </w:p>
        </w:tc>
        <w:tc>
          <w:tcPr>
            <w:tcW w:w="1134" w:type="dxa"/>
          </w:tcPr>
          <w:p w14:paraId="586184B1"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32%</w:t>
            </w:r>
          </w:p>
        </w:tc>
      </w:tr>
      <w:tr w:rsidR="0028692B" w:rsidRPr="00912807" w14:paraId="0F1C10BA"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2E90C72B" w14:textId="77777777" w:rsidR="0028692B" w:rsidRPr="00912807" w:rsidRDefault="0028692B" w:rsidP="00323506">
            <w:pPr>
              <w:rPr>
                <w:rFonts w:asciiTheme="minorHAnsi" w:eastAsia="Times New Roman" w:hAnsiTheme="minorHAnsi" w:cstheme="minorHAnsi"/>
                <w:b w:val="0"/>
                <w:bCs w:val="0"/>
                <w:color w:val="0070C0"/>
                <w:sz w:val="20"/>
                <w:szCs w:val="20"/>
                <w:lang w:eastAsia="en-GB"/>
              </w:rPr>
            </w:pPr>
            <w:r w:rsidRPr="00912807">
              <w:rPr>
                <w:rFonts w:asciiTheme="minorHAnsi" w:eastAsia="Times New Roman" w:hAnsiTheme="minorHAnsi" w:cstheme="minorHAnsi"/>
                <w:sz w:val="20"/>
                <w:szCs w:val="20"/>
                <w:lang w:eastAsia="en-GB"/>
              </w:rPr>
              <w:t>Age</w:t>
            </w:r>
          </w:p>
        </w:tc>
        <w:tc>
          <w:tcPr>
            <w:tcW w:w="1276" w:type="dxa"/>
            <w:noWrap/>
          </w:tcPr>
          <w:p w14:paraId="03357BA4"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c>
          <w:tcPr>
            <w:tcW w:w="1108" w:type="dxa"/>
          </w:tcPr>
          <w:p w14:paraId="35D4ECD7"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c>
          <w:tcPr>
            <w:tcW w:w="1086" w:type="dxa"/>
          </w:tcPr>
          <w:p w14:paraId="448EB8A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c>
          <w:tcPr>
            <w:tcW w:w="1109" w:type="dxa"/>
          </w:tcPr>
          <w:p w14:paraId="324F4A52"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c>
          <w:tcPr>
            <w:tcW w:w="1233" w:type="dxa"/>
          </w:tcPr>
          <w:p w14:paraId="26E2E93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c>
          <w:tcPr>
            <w:tcW w:w="1134" w:type="dxa"/>
          </w:tcPr>
          <w:p w14:paraId="6A1A542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r>
      <w:tr w:rsidR="0028692B" w:rsidRPr="00912807" w14:paraId="21F21170"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42BA62E5" w14:textId="77777777" w:rsidR="0028692B" w:rsidRPr="00912807" w:rsidRDefault="0028692B" w:rsidP="00323506">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Median age (years)</w:t>
            </w:r>
          </w:p>
        </w:tc>
        <w:tc>
          <w:tcPr>
            <w:tcW w:w="1276" w:type="dxa"/>
            <w:noWrap/>
          </w:tcPr>
          <w:p w14:paraId="0370D54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912807">
              <w:rPr>
                <w:rFonts w:asciiTheme="minorHAnsi" w:eastAsia="Times New Roman" w:hAnsiTheme="minorHAnsi" w:cstheme="minorHAnsi"/>
                <w:sz w:val="20"/>
                <w:szCs w:val="20"/>
                <w:lang w:eastAsia="en-GB"/>
              </w:rPr>
              <w:t>54</w:t>
            </w:r>
          </w:p>
        </w:tc>
        <w:tc>
          <w:tcPr>
            <w:tcW w:w="1108" w:type="dxa"/>
          </w:tcPr>
          <w:p w14:paraId="1AB35984"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c>
          <w:tcPr>
            <w:tcW w:w="1086" w:type="dxa"/>
          </w:tcPr>
          <w:p w14:paraId="6D7DEA6D"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912807">
              <w:rPr>
                <w:rFonts w:asciiTheme="minorHAnsi" w:eastAsia="Times New Roman" w:hAnsiTheme="minorHAnsi" w:cstheme="minorHAnsi"/>
                <w:sz w:val="20"/>
                <w:szCs w:val="20"/>
                <w:lang w:eastAsia="en-GB"/>
              </w:rPr>
              <w:t>54</w:t>
            </w:r>
          </w:p>
        </w:tc>
        <w:tc>
          <w:tcPr>
            <w:tcW w:w="1109" w:type="dxa"/>
          </w:tcPr>
          <w:p w14:paraId="129750C3"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c>
          <w:tcPr>
            <w:tcW w:w="1233" w:type="dxa"/>
          </w:tcPr>
          <w:p w14:paraId="5201F160"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912807">
              <w:rPr>
                <w:rFonts w:asciiTheme="minorHAnsi" w:hAnsiTheme="minorHAnsi" w:cstheme="minorHAnsi"/>
                <w:color w:val="000000"/>
                <w:sz w:val="20"/>
                <w:szCs w:val="20"/>
              </w:rPr>
              <w:t xml:space="preserve">49 </w:t>
            </w:r>
          </w:p>
        </w:tc>
        <w:tc>
          <w:tcPr>
            <w:tcW w:w="1134" w:type="dxa"/>
          </w:tcPr>
          <w:p w14:paraId="2F95D3F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p>
        </w:tc>
      </w:tr>
      <w:tr w:rsidR="0028692B" w:rsidRPr="00912807" w14:paraId="3DC3E82A"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5E93B394" w14:textId="77777777" w:rsidR="0028692B" w:rsidRPr="00912807" w:rsidRDefault="0028692B" w:rsidP="00323506">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Range (years)</w:t>
            </w:r>
          </w:p>
        </w:tc>
        <w:tc>
          <w:tcPr>
            <w:tcW w:w="1276" w:type="dxa"/>
            <w:noWrap/>
          </w:tcPr>
          <w:p w14:paraId="635D0FF4"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912807">
              <w:rPr>
                <w:rFonts w:asciiTheme="minorHAnsi" w:hAnsiTheme="minorHAnsi" w:cstheme="minorHAnsi"/>
                <w:sz w:val="20"/>
                <w:szCs w:val="20"/>
              </w:rPr>
              <w:t>21-83</w:t>
            </w:r>
          </w:p>
        </w:tc>
        <w:tc>
          <w:tcPr>
            <w:tcW w:w="1108" w:type="dxa"/>
          </w:tcPr>
          <w:p w14:paraId="0439DFA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3B45E59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912807">
              <w:rPr>
                <w:rFonts w:asciiTheme="minorHAnsi" w:eastAsia="Times New Roman" w:hAnsiTheme="minorHAnsi" w:cstheme="minorHAnsi"/>
                <w:sz w:val="20"/>
                <w:szCs w:val="20"/>
                <w:lang w:eastAsia="en-GB"/>
              </w:rPr>
              <w:t>25-83</w:t>
            </w:r>
          </w:p>
        </w:tc>
        <w:tc>
          <w:tcPr>
            <w:tcW w:w="1109" w:type="dxa"/>
          </w:tcPr>
          <w:p w14:paraId="0386404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tcPr>
          <w:p w14:paraId="505CBCE2"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19-87</w:t>
            </w:r>
          </w:p>
        </w:tc>
        <w:tc>
          <w:tcPr>
            <w:tcW w:w="1134" w:type="dxa"/>
          </w:tcPr>
          <w:p w14:paraId="10C702D2"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8692B" w:rsidRPr="00912807" w14:paraId="38DC5E39"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1FAE5DBD" w14:textId="77777777" w:rsidR="0028692B" w:rsidRPr="00912807" w:rsidRDefault="0028692B" w:rsidP="00323506">
            <w:pPr>
              <w:rPr>
                <w:rFonts w:asciiTheme="minorHAnsi" w:hAnsiTheme="minorHAnsi" w:cstheme="minorHAnsi"/>
                <w:b w:val="0"/>
                <w:bCs w:val="0"/>
                <w:color w:val="000000"/>
                <w:sz w:val="20"/>
                <w:szCs w:val="20"/>
              </w:rPr>
            </w:pPr>
            <w:r w:rsidRPr="00912807">
              <w:rPr>
                <w:rFonts w:asciiTheme="minorHAnsi" w:hAnsiTheme="minorHAnsi" w:cstheme="minorHAnsi"/>
                <w:color w:val="000000"/>
                <w:sz w:val="20"/>
                <w:szCs w:val="20"/>
              </w:rPr>
              <w:t>Recruitment hub</w:t>
            </w:r>
          </w:p>
        </w:tc>
        <w:tc>
          <w:tcPr>
            <w:tcW w:w="1276" w:type="dxa"/>
          </w:tcPr>
          <w:p w14:paraId="7F4EE443"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8" w:type="dxa"/>
          </w:tcPr>
          <w:p w14:paraId="1097DEE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2D4FAB86"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9" w:type="dxa"/>
          </w:tcPr>
          <w:p w14:paraId="6473F876"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tcPr>
          <w:p w14:paraId="500FBD54"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Pr>
          <w:p w14:paraId="06DF2007"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8692B" w:rsidRPr="00912807" w14:paraId="1E151754"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9177497" w14:textId="77777777" w:rsidR="0028692B" w:rsidRPr="00912807" w:rsidRDefault="0028692B" w:rsidP="001512B7">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Wessex</w:t>
            </w:r>
          </w:p>
        </w:tc>
        <w:tc>
          <w:tcPr>
            <w:tcW w:w="1276" w:type="dxa"/>
            <w:noWrap/>
            <w:hideMark/>
          </w:tcPr>
          <w:p w14:paraId="13E0B46D"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16</w:t>
            </w:r>
          </w:p>
        </w:tc>
        <w:tc>
          <w:tcPr>
            <w:tcW w:w="1108" w:type="dxa"/>
          </w:tcPr>
          <w:p w14:paraId="2E767EE8"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38%</w:t>
            </w:r>
          </w:p>
        </w:tc>
        <w:tc>
          <w:tcPr>
            <w:tcW w:w="1086" w:type="dxa"/>
          </w:tcPr>
          <w:p w14:paraId="12EF64CC"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6</w:t>
            </w:r>
          </w:p>
        </w:tc>
        <w:tc>
          <w:tcPr>
            <w:tcW w:w="1109" w:type="dxa"/>
          </w:tcPr>
          <w:p w14:paraId="04FAA9C6"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32%</w:t>
            </w:r>
          </w:p>
        </w:tc>
        <w:tc>
          <w:tcPr>
            <w:tcW w:w="1233" w:type="dxa"/>
          </w:tcPr>
          <w:p w14:paraId="1F4FC53B"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192 </w:t>
            </w:r>
          </w:p>
        </w:tc>
        <w:tc>
          <w:tcPr>
            <w:tcW w:w="1134" w:type="dxa"/>
          </w:tcPr>
          <w:p w14:paraId="524E3A08"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41.5%</w:t>
            </w:r>
          </w:p>
        </w:tc>
      </w:tr>
      <w:tr w:rsidR="0028692B" w:rsidRPr="00912807" w14:paraId="10BE6490"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A2CC3DD" w14:textId="77777777" w:rsidR="0028692B" w:rsidRPr="00912807" w:rsidRDefault="0028692B" w:rsidP="00323506">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West Yorkshire</w:t>
            </w:r>
          </w:p>
        </w:tc>
        <w:tc>
          <w:tcPr>
            <w:tcW w:w="1276" w:type="dxa"/>
            <w:noWrap/>
            <w:hideMark/>
          </w:tcPr>
          <w:p w14:paraId="1262C0A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9</w:t>
            </w:r>
          </w:p>
        </w:tc>
        <w:tc>
          <w:tcPr>
            <w:tcW w:w="1108" w:type="dxa"/>
          </w:tcPr>
          <w:p w14:paraId="71860941"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22%</w:t>
            </w:r>
          </w:p>
        </w:tc>
        <w:tc>
          <w:tcPr>
            <w:tcW w:w="1086" w:type="dxa"/>
          </w:tcPr>
          <w:p w14:paraId="3E1DF81A"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6</w:t>
            </w:r>
          </w:p>
        </w:tc>
        <w:tc>
          <w:tcPr>
            <w:tcW w:w="1109" w:type="dxa"/>
          </w:tcPr>
          <w:p w14:paraId="1EC3D01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32%</w:t>
            </w:r>
          </w:p>
        </w:tc>
        <w:tc>
          <w:tcPr>
            <w:tcW w:w="1233" w:type="dxa"/>
          </w:tcPr>
          <w:p w14:paraId="5912E99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87 </w:t>
            </w:r>
          </w:p>
        </w:tc>
        <w:tc>
          <w:tcPr>
            <w:tcW w:w="1134" w:type="dxa"/>
          </w:tcPr>
          <w:p w14:paraId="4598C4B0"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18.8%</w:t>
            </w:r>
          </w:p>
        </w:tc>
      </w:tr>
      <w:tr w:rsidR="0028692B" w:rsidRPr="00912807" w14:paraId="30101D05"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324ACDE" w14:textId="77777777" w:rsidR="0028692B" w:rsidRPr="00912807" w:rsidRDefault="0028692B" w:rsidP="001512B7">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West of England</w:t>
            </w:r>
          </w:p>
        </w:tc>
        <w:tc>
          <w:tcPr>
            <w:tcW w:w="1276" w:type="dxa"/>
            <w:noWrap/>
            <w:hideMark/>
          </w:tcPr>
          <w:p w14:paraId="6108C891"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17</w:t>
            </w:r>
          </w:p>
        </w:tc>
        <w:tc>
          <w:tcPr>
            <w:tcW w:w="1108" w:type="dxa"/>
          </w:tcPr>
          <w:p w14:paraId="29034FB3"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40%</w:t>
            </w:r>
          </w:p>
        </w:tc>
        <w:tc>
          <w:tcPr>
            <w:tcW w:w="1086" w:type="dxa"/>
          </w:tcPr>
          <w:p w14:paraId="7F154484"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7</w:t>
            </w:r>
          </w:p>
        </w:tc>
        <w:tc>
          <w:tcPr>
            <w:tcW w:w="1109" w:type="dxa"/>
          </w:tcPr>
          <w:p w14:paraId="6DF26886"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37%</w:t>
            </w:r>
          </w:p>
        </w:tc>
        <w:tc>
          <w:tcPr>
            <w:tcW w:w="1233" w:type="dxa"/>
          </w:tcPr>
          <w:p w14:paraId="07A0BE2A"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184 </w:t>
            </w:r>
          </w:p>
        </w:tc>
        <w:tc>
          <w:tcPr>
            <w:tcW w:w="1134" w:type="dxa"/>
          </w:tcPr>
          <w:p w14:paraId="3CAC10DF" w14:textId="77777777" w:rsidR="0028692B" w:rsidRPr="00912807" w:rsidRDefault="0028692B" w:rsidP="00151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 39.7%</w:t>
            </w:r>
          </w:p>
        </w:tc>
      </w:tr>
      <w:tr w:rsidR="0028692B" w:rsidRPr="00912807" w14:paraId="4FE42F4D"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753612C5" w14:textId="77777777" w:rsidR="0028692B" w:rsidRPr="00912807" w:rsidRDefault="0028692B" w:rsidP="00323506">
            <w:pPr>
              <w:rPr>
                <w:rFonts w:asciiTheme="minorHAnsi" w:hAnsiTheme="minorHAnsi" w:cstheme="minorHAnsi"/>
                <w:b w:val="0"/>
                <w:bCs w:val="0"/>
                <w:color w:val="000000"/>
                <w:sz w:val="20"/>
                <w:szCs w:val="20"/>
              </w:rPr>
            </w:pPr>
            <w:r w:rsidRPr="00912807">
              <w:rPr>
                <w:rFonts w:asciiTheme="minorHAnsi" w:hAnsiTheme="minorHAnsi" w:cstheme="minorHAnsi"/>
                <w:color w:val="000000"/>
                <w:sz w:val="20"/>
                <w:szCs w:val="20"/>
              </w:rPr>
              <w:t>Education level</w:t>
            </w:r>
          </w:p>
        </w:tc>
        <w:tc>
          <w:tcPr>
            <w:tcW w:w="1276" w:type="dxa"/>
          </w:tcPr>
          <w:p w14:paraId="367AF41F"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8" w:type="dxa"/>
          </w:tcPr>
          <w:p w14:paraId="25F41A1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209A7DA3"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9" w:type="dxa"/>
          </w:tcPr>
          <w:p w14:paraId="61D2AB6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tcPr>
          <w:p w14:paraId="6A06A2C6"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Pr>
          <w:p w14:paraId="1B9F78A6"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8692B" w:rsidRPr="00912807" w14:paraId="0957A799"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7FF7833F" w14:textId="77777777" w:rsidR="0028692B" w:rsidRPr="00912807" w:rsidRDefault="0028692B" w:rsidP="008A3699">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No formal</w:t>
            </w:r>
          </w:p>
        </w:tc>
        <w:tc>
          <w:tcPr>
            <w:tcW w:w="1276" w:type="dxa"/>
            <w:noWrap/>
          </w:tcPr>
          <w:p w14:paraId="557305C4"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w:t>
            </w:r>
          </w:p>
        </w:tc>
        <w:tc>
          <w:tcPr>
            <w:tcW w:w="1108" w:type="dxa"/>
          </w:tcPr>
          <w:p w14:paraId="38B1100A"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w:t>
            </w:r>
          </w:p>
        </w:tc>
        <w:tc>
          <w:tcPr>
            <w:tcW w:w="1086" w:type="dxa"/>
          </w:tcPr>
          <w:p w14:paraId="7BC10F52"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1</w:t>
            </w:r>
          </w:p>
        </w:tc>
        <w:tc>
          <w:tcPr>
            <w:tcW w:w="1109" w:type="dxa"/>
          </w:tcPr>
          <w:p w14:paraId="3875A5C4"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5%</w:t>
            </w:r>
          </w:p>
        </w:tc>
        <w:tc>
          <w:tcPr>
            <w:tcW w:w="1233" w:type="dxa"/>
            <w:shd w:val="clear" w:color="auto" w:fill="FFFFFF" w:themeFill="background1"/>
          </w:tcPr>
          <w:p w14:paraId="1465161D"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31 </w:t>
            </w:r>
          </w:p>
        </w:tc>
        <w:tc>
          <w:tcPr>
            <w:tcW w:w="1134" w:type="dxa"/>
            <w:shd w:val="clear" w:color="auto" w:fill="FFFFFF" w:themeFill="background1"/>
          </w:tcPr>
          <w:p w14:paraId="050E1C13"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6.7%</w:t>
            </w:r>
          </w:p>
        </w:tc>
      </w:tr>
      <w:tr w:rsidR="0028692B" w:rsidRPr="00912807" w14:paraId="4C19C512"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2C54FE2" w14:textId="77777777" w:rsidR="0028692B" w:rsidRPr="00912807" w:rsidRDefault="0028692B" w:rsidP="008A3699">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GCSE</w:t>
            </w:r>
          </w:p>
        </w:tc>
        <w:tc>
          <w:tcPr>
            <w:tcW w:w="1276" w:type="dxa"/>
            <w:noWrap/>
            <w:hideMark/>
          </w:tcPr>
          <w:p w14:paraId="66964686"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7</w:t>
            </w:r>
          </w:p>
        </w:tc>
        <w:tc>
          <w:tcPr>
            <w:tcW w:w="1108" w:type="dxa"/>
          </w:tcPr>
          <w:p w14:paraId="2E1C7014"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17%</w:t>
            </w:r>
          </w:p>
        </w:tc>
        <w:tc>
          <w:tcPr>
            <w:tcW w:w="1086" w:type="dxa"/>
          </w:tcPr>
          <w:p w14:paraId="1404813D"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3</w:t>
            </w:r>
          </w:p>
        </w:tc>
        <w:tc>
          <w:tcPr>
            <w:tcW w:w="1109" w:type="dxa"/>
          </w:tcPr>
          <w:p w14:paraId="0BDED010"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16%</w:t>
            </w:r>
          </w:p>
        </w:tc>
        <w:tc>
          <w:tcPr>
            <w:tcW w:w="1233" w:type="dxa"/>
            <w:shd w:val="clear" w:color="auto" w:fill="FFFFFF" w:themeFill="background1"/>
          </w:tcPr>
          <w:p w14:paraId="7DE0B38D"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122</w:t>
            </w:r>
          </w:p>
        </w:tc>
        <w:tc>
          <w:tcPr>
            <w:tcW w:w="1134" w:type="dxa"/>
            <w:shd w:val="clear" w:color="auto" w:fill="FFFFFF" w:themeFill="background1"/>
          </w:tcPr>
          <w:p w14:paraId="30551BD7"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26.5%</w:t>
            </w:r>
          </w:p>
        </w:tc>
      </w:tr>
      <w:tr w:rsidR="0028692B" w:rsidRPr="00912807" w14:paraId="3A760F55"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3AA25B3" w14:textId="77777777" w:rsidR="0028692B" w:rsidRPr="00912807" w:rsidRDefault="0028692B" w:rsidP="008A3699">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A level</w:t>
            </w:r>
          </w:p>
        </w:tc>
        <w:tc>
          <w:tcPr>
            <w:tcW w:w="1276" w:type="dxa"/>
            <w:noWrap/>
            <w:hideMark/>
          </w:tcPr>
          <w:p w14:paraId="0174F58F"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11</w:t>
            </w:r>
          </w:p>
        </w:tc>
        <w:tc>
          <w:tcPr>
            <w:tcW w:w="1108" w:type="dxa"/>
          </w:tcPr>
          <w:p w14:paraId="7EFD24E5"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26%</w:t>
            </w:r>
          </w:p>
        </w:tc>
        <w:tc>
          <w:tcPr>
            <w:tcW w:w="1086" w:type="dxa"/>
          </w:tcPr>
          <w:p w14:paraId="507D5D01"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5</w:t>
            </w:r>
          </w:p>
        </w:tc>
        <w:tc>
          <w:tcPr>
            <w:tcW w:w="1109" w:type="dxa"/>
          </w:tcPr>
          <w:p w14:paraId="7465BF75"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26%</w:t>
            </w:r>
          </w:p>
        </w:tc>
        <w:tc>
          <w:tcPr>
            <w:tcW w:w="1233" w:type="dxa"/>
            <w:shd w:val="clear" w:color="auto" w:fill="FFFFFF" w:themeFill="background1"/>
          </w:tcPr>
          <w:p w14:paraId="7E6EF25F"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108 </w:t>
            </w:r>
          </w:p>
        </w:tc>
        <w:tc>
          <w:tcPr>
            <w:tcW w:w="1134" w:type="dxa"/>
            <w:shd w:val="clear" w:color="auto" w:fill="FFFFFF" w:themeFill="background1"/>
          </w:tcPr>
          <w:p w14:paraId="015524EB"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23.4%</w:t>
            </w:r>
          </w:p>
        </w:tc>
      </w:tr>
      <w:tr w:rsidR="0028692B" w:rsidRPr="00912807" w14:paraId="27954D6C"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E37000D" w14:textId="77777777" w:rsidR="0028692B" w:rsidRPr="00912807" w:rsidRDefault="0028692B" w:rsidP="008A3699">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Degree</w:t>
            </w:r>
          </w:p>
        </w:tc>
        <w:tc>
          <w:tcPr>
            <w:tcW w:w="1276" w:type="dxa"/>
            <w:noWrap/>
            <w:hideMark/>
          </w:tcPr>
          <w:p w14:paraId="7F09E5A9"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9</w:t>
            </w:r>
          </w:p>
        </w:tc>
        <w:tc>
          <w:tcPr>
            <w:tcW w:w="1108" w:type="dxa"/>
          </w:tcPr>
          <w:p w14:paraId="39BC76A9"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21%</w:t>
            </w:r>
          </w:p>
        </w:tc>
        <w:tc>
          <w:tcPr>
            <w:tcW w:w="1086" w:type="dxa"/>
          </w:tcPr>
          <w:p w14:paraId="0E210B63"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4</w:t>
            </w:r>
          </w:p>
        </w:tc>
        <w:tc>
          <w:tcPr>
            <w:tcW w:w="1109" w:type="dxa"/>
          </w:tcPr>
          <w:p w14:paraId="24BE8E36"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21%</w:t>
            </w:r>
          </w:p>
        </w:tc>
        <w:tc>
          <w:tcPr>
            <w:tcW w:w="1233" w:type="dxa"/>
            <w:shd w:val="clear" w:color="auto" w:fill="FFFFFF" w:themeFill="background1"/>
          </w:tcPr>
          <w:p w14:paraId="3D627EC4"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110 </w:t>
            </w:r>
          </w:p>
        </w:tc>
        <w:tc>
          <w:tcPr>
            <w:tcW w:w="1134" w:type="dxa"/>
            <w:shd w:val="clear" w:color="auto" w:fill="FFFFFF" w:themeFill="background1"/>
          </w:tcPr>
          <w:p w14:paraId="06A5F42E"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23.9%</w:t>
            </w:r>
          </w:p>
        </w:tc>
      </w:tr>
      <w:tr w:rsidR="0028692B" w:rsidRPr="00912807" w14:paraId="0FB97583"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5C7F15E" w14:textId="77777777" w:rsidR="0028692B" w:rsidRPr="00912807" w:rsidRDefault="0028692B" w:rsidP="008A3699">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Postgraduate</w:t>
            </w:r>
          </w:p>
        </w:tc>
        <w:tc>
          <w:tcPr>
            <w:tcW w:w="1276" w:type="dxa"/>
            <w:noWrap/>
            <w:hideMark/>
          </w:tcPr>
          <w:p w14:paraId="0283616B"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13</w:t>
            </w:r>
          </w:p>
        </w:tc>
        <w:tc>
          <w:tcPr>
            <w:tcW w:w="1108" w:type="dxa"/>
          </w:tcPr>
          <w:p w14:paraId="053CF72E"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31%</w:t>
            </w:r>
          </w:p>
        </w:tc>
        <w:tc>
          <w:tcPr>
            <w:tcW w:w="1086" w:type="dxa"/>
          </w:tcPr>
          <w:p w14:paraId="0EE340C3"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5</w:t>
            </w:r>
          </w:p>
        </w:tc>
        <w:tc>
          <w:tcPr>
            <w:tcW w:w="1109" w:type="dxa"/>
          </w:tcPr>
          <w:p w14:paraId="3F3820EB"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26%</w:t>
            </w:r>
          </w:p>
        </w:tc>
        <w:tc>
          <w:tcPr>
            <w:tcW w:w="1233" w:type="dxa"/>
            <w:shd w:val="clear" w:color="auto" w:fill="FFFFFF" w:themeFill="background1"/>
          </w:tcPr>
          <w:p w14:paraId="6753A8C7"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78 </w:t>
            </w:r>
          </w:p>
        </w:tc>
        <w:tc>
          <w:tcPr>
            <w:tcW w:w="1134" w:type="dxa"/>
            <w:shd w:val="clear" w:color="auto" w:fill="FFFFFF" w:themeFill="background1"/>
          </w:tcPr>
          <w:p w14:paraId="0F7ED4E1" w14:textId="77777777" w:rsidR="0028692B" w:rsidRPr="00912807" w:rsidRDefault="0028692B" w:rsidP="008A36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16.9%</w:t>
            </w:r>
          </w:p>
        </w:tc>
      </w:tr>
      <w:tr w:rsidR="0028692B" w:rsidRPr="00912807" w14:paraId="191A8509"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58DDD7CA" w14:textId="77777777" w:rsidR="0028692B" w:rsidRPr="00912807" w:rsidRDefault="0028692B" w:rsidP="00912807">
            <w:pPr>
              <w:rPr>
                <w:rFonts w:asciiTheme="minorHAnsi" w:hAnsiTheme="minorHAnsi" w:cstheme="minorHAnsi"/>
                <w:color w:val="0070C0"/>
                <w:sz w:val="20"/>
                <w:szCs w:val="20"/>
              </w:rPr>
            </w:pPr>
            <w:r w:rsidRPr="00912807">
              <w:rPr>
                <w:rFonts w:asciiTheme="minorHAnsi" w:hAnsiTheme="minorHAnsi" w:cstheme="minorHAnsi"/>
                <w:color w:val="0070C0"/>
                <w:sz w:val="20"/>
                <w:szCs w:val="20"/>
              </w:rPr>
              <w:t>Diploma</w:t>
            </w:r>
          </w:p>
        </w:tc>
        <w:tc>
          <w:tcPr>
            <w:tcW w:w="1276" w:type="dxa"/>
            <w:noWrap/>
          </w:tcPr>
          <w:p w14:paraId="51AC38DF"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w:t>
            </w:r>
          </w:p>
        </w:tc>
        <w:tc>
          <w:tcPr>
            <w:tcW w:w="1108" w:type="dxa"/>
          </w:tcPr>
          <w:p w14:paraId="570EB0B5"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w:t>
            </w:r>
          </w:p>
        </w:tc>
        <w:tc>
          <w:tcPr>
            <w:tcW w:w="1086" w:type="dxa"/>
          </w:tcPr>
          <w:p w14:paraId="699DE698"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1</w:t>
            </w:r>
          </w:p>
        </w:tc>
        <w:tc>
          <w:tcPr>
            <w:tcW w:w="1109" w:type="dxa"/>
          </w:tcPr>
          <w:p w14:paraId="69A44310"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5%</w:t>
            </w:r>
          </w:p>
        </w:tc>
        <w:tc>
          <w:tcPr>
            <w:tcW w:w="1233" w:type="dxa"/>
            <w:shd w:val="clear" w:color="auto" w:fill="FFFFFF" w:themeFill="background1"/>
          </w:tcPr>
          <w:p w14:paraId="5DADA197"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6 </w:t>
            </w:r>
          </w:p>
        </w:tc>
        <w:tc>
          <w:tcPr>
            <w:tcW w:w="1134" w:type="dxa"/>
            <w:shd w:val="clear" w:color="auto" w:fill="FFFFFF" w:themeFill="background1"/>
          </w:tcPr>
          <w:p w14:paraId="691D0375"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1.3%</w:t>
            </w:r>
          </w:p>
        </w:tc>
      </w:tr>
      <w:tr w:rsidR="0028692B" w:rsidRPr="00912807" w14:paraId="3E4A3D1A"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296E6278" w14:textId="77777777" w:rsidR="0028692B" w:rsidRPr="00912807" w:rsidRDefault="0028692B" w:rsidP="00F854D9">
            <w:pPr>
              <w:rPr>
                <w:rFonts w:asciiTheme="minorHAnsi" w:hAnsiTheme="minorHAnsi" w:cstheme="minorHAnsi"/>
                <w:color w:val="0070C0"/>
                <w:sz w:val="20"/>
                <w:szCs w:val="20"/>
              </w:rPr>
            </w:pPr>
            <w:r w:rsidRPr="00912807">
              <w:rPr>
                <w:rFonts w:asciiTheme="minorHAnsi" w:hAnsiTheme="minorHAnsi" w:cstheme="minorHAnsi"/>
                <w:color w:val="0070C0"/>
                <w:sz w:val="20"/>
                <w:szCs w:val="20"/>
              </w:rPr>
              <w:t xml:space="preserve">Other </w:t>
            </w:r>
          </w:p>
        </w:tc>
        <w:tc>
          <w:tcPr>
            <w:tcW w:w="1276" w:type="dxa"/>
            <w:noWrap/>
          </w:tcPr>
          <w:p w14:paraId="0AC451EA" w14:textId="77777777" w:rsidR="0028692B" w:rsidRPr="00F854D9" w:rsidRDefault="0028692B" w:rsidP="00F854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sz w:val="20"/>
                <w:szCs w:val="20"/>
              </w:rPr>
              <w:t>0</w:t>
            </w:r>
          </w:p>
        </w:tc>
        <w:tc>
          <w:tcPr>
            <w:tcW w:w="1108" w:type="dxa"/>
          </w:tcPr>
          <w:p w14:paraId="288739F4" w14:textId="77777777" w:rsidR="0028692B" w:rsidRPr="00F854D9" w:rsidRDefault="0028692B" w:rsidP="00F854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sz w:val="20"/>
                <w:szCs w:val="20"/>
              </w:rPr>
              <w:t>0%</w:t>
            </w:r>
          </w:p>
        </w:tc>
        <w:tc>
          <w:tcPr>
            <w:tcW w:w="1086" w:type="dxa"/>
          </w:tcPr>
          <w:p w14:paraId="66C7051A" w14:textId="77777777" w:rsidR="0028692B" w:rsidRPr="00F854D9" w:rsidRDefault="0028692B" w:rsidP="00F854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sz w:val="20"/>
                <w:szCs w:val="20"/>
              </w:rPr>
              <w:t>0</w:t>
            </w:r>
          </w:p>
        </w:tc>
        <w:tc>
          <w:tcPr>
            <w:tcW w:w="1109" w:type="dxa"/>
          </w:tcPr>
          <w:p w14:paraId="7C1BB0E0" w14:textId="77777777" w:rsidR="0028692B" w:rsidRPr="00F854D9" w:rsidRDefault="0028692B" w:rsidP="00F854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sz w:val="20"/>
                <w:szCs w:val="20"/>
              </w:rPr>
              <w:t>0%</w:t>
            </w:r>
          </w:p>
        </w:tc>
        <w:tc>
          <w:tcPr>
            <w:tcW w:w="1233" w:type="dxa"/>
            <w:shd w:val="clear" w:color="auto" w:fill="FFFFFF" w:themeFill="background1"/>
          </w:tcPr>
          <w:p w14:paraId="4D5D79EF" w14:textId="77777777" w:rsidR="0028692B" w:rsidRPr="00912807" w:rsidRDefault="0028692B" w:rsidP="00F854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6 </w:t>
            </w:r>
          </w:p>
        </w:tc>
        <w:tc>
          <w:tcPr>
            <w:tcW w:w="1134" w:type="dxa"/>
            <w:shd w:val="clear" w:color="auto" w:fill="FFFFFF" w:themeFill="background1"/>
          </w:tcPr>
          <w:p w14:paraId="161BA9B5" w14:textId="77777777" w:rsidR="0028692B" w:rsidRPr="00912807" w:rsidRDefault="0028692B" w:rsidP="00F854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1.3%</w:t>
            </w:r>
          </w:p>
        </w:tc>
      </w:tr>
      <w:tr w:rsidR="0028692B" w:rsidRPr="00912807" w14:paraId="1B434264"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4116D8B3" w14:textId="77777777" w:rsidR="0028692B" w:rsidRPr="00912807" w:rsidRDefault="0028692B" w:rsidP="00912807">
            <w:pPr>
              <w:rPr>
                <w:rFonts w:asciiTheme="minorHAnsi" w:hAnsiTheme="minorHAnsi" w:cstheme="minorHAnsi"/>
                <w:color w:val="0070C0"/>
                <w:sz w:val="20"/>
                <w:szCs w:val="20"/>
              </w:rPr>
            </w:pPr>
            <w:r w:rsidRPr="00912807">
              <w:rPr>
                <w:rFonts w:asciiTheme="minorHAnsi" w:hAnsiTheme="minorHAnsi" w:cstheme="minorHAnsi"/>
                <w:color w:val="0070C0"/>
                <w:sz w:val="20"/>
                <w:szCs w:val="20"/>
              </w:rPr>
              <w:t>Missing</w:t>
            </w:r>
          </w:p>
        </w:tc>
        <w:tc>
          <w:tcPr>
            <w:tcW w:w="1276" w:type="dxa"/>
            <w:noWrap/>
          </w:tcPr>
          <w:p w14:paraId="24842518"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8" w:type="dxa"/>
          </w:tcPr>
          <w:p w14:paraId="7C8FC9EE"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3342A2DA"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9" w:type="dxa"/>
          </w:tcPr>
          <w:p w14:paraId="1E6E548C"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shd w:val="clear" w:color="auto" w:fill="FFFFFF" w:themeFill="background1"/>
          </w:tcPr>
          <w:p w14:paraId="09AE400D"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2</w:t>
            </w:r>
          </w:p>
        </w:tc>
        <w:tc>
          <w:tcPr>
            <w:tcW w:w="1134" w:type="dxa"/>
            <w:shd w:val="clear" w:color="auto" w:fill="FFFFFF" w:themeFill="background1"/>
          </w:tcPr>
          <w:p w14:paraId="7CDBE73E"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2</w:t>
            </w:r>
          </w:p>
        </w:tc>
      </w:tr>
      <w:tr w:rsidR="0028692B" w:rsidRPr="00912807" w14:paraId="226EB80D"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7E56BC62" w14:textId="77777777" w:rsidR="0028692B" w:rsidRPr="00912807" w:rsidRDefault="0028692B" w:rsidP="00323506">
            <w:pPr>
              <w:rPr>
                <w:rFonts w:asciiTheme="minorHAnsi" w:hAnsiTheme="minorHAnsi" w:cstheme="minorHAnsi"/>
                <w:b w:val="0"/>
                <w:bCs w:val="0"/>
                <w:color w:val="000000"/>
                <w:sz w:val="20"/>
                <w:szCs w:val="20"/>
              </w:rPr>
            </w:pPr>
            <w:r w:rsidRPr="00912807">
              <w:rPr>
                <w:rFonts w:asciiTheme="minorHAnsi" w:hAnsiTheme="minorHAnsi" w:cstheme="minorHAnsi"/>
                <w:color w:val="000000"/>
                <w:sz w:val="20"/>
                <w:szCs w:val="20"/>
              </w:rPr>
              <w:t>Ethnicity</w:t>
            </w:r>
          </w:p>
        </w:tc>
        <w:tc>
          <w:tcPr>
            <w:tcW w:w="1276" w:type="dxa"/>
          </w:tcPr>
          <w:p w14:paraId="6085F56F"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8" w:type="dxa"/>
          </w:tcPr>
          <w:p w14:paraId="0E258AA7"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5144EEA6"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9" w:type="dxa"/>
          </w:tcPr>
          <w:p w14:paraId="5C84492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tcPr>
          <w:p w14:paraId="59F7E1E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Pr>
          <w:p w14:paraId="15A2D269"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8692B" w:rsidRPr="00912807" w14:paraId="4BF3CFAA"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0C977D27" w14:textId="77777777" w:rsidR="0028692B" w:rsidRPr="00912807" w:rsidRDefault="0028692B" w:rsidP="00323506">
            <w:pPr>
              <w:rPr>
                <w:rFonts w:asciiTheme="minorHAnsi" w:hAnsiTheme="minorHAnsi" w:cstheme="minorHAnsi"/>
                <w:color w:val="0070C0"/>
                <w:sz w:val="20"/>
                <w:szCs w:val="20"/>
              </w:rPr>
            </w:pPr>
            <w:r w:rsidRPr="00912807">
              <w:rPr>
                <w:rFonts w:asciiTheme="minorHAnsi" w:hAnsiTheme="minorHAnsi" w:cstheme="minorHAnsi"/>
                <w:color w:val="0070C0"/>
                <w:sz w:val="20"/>
                <w:szCs w:val="20"/>
              </w:rPr>
              <w:t>White</w:t>
            </w:r>
          </w:p>
        </w:tc>
        <w:tc>
          <w:tcPr>
            <w:tcW w:w="1276" w:type="dxa"/>
          </w:tcPr>
          <w:p w14:paraId="2AA8FE03"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41</w:t>
            </w:r>
          </w:p>
        </w:tc>
        <w:tc>
          <w:tcPr>
            <w:tcW w:w="1108" w:type="dxa"/>
          </w:tcPr>
          <w:p w14:paraId="30257F73"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98%</w:t>
            </w:r>
          </w:p>
        </w:tc>
        <w:tc>
          <w:tcPr>
            <w:tcW w:w="1086" w:type="dxa"/>
          </w:tcPr>
          <w:p w14:paraId="299727C2"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18</w:t>
            </w:r>
          </w:p>
        </w:tc>
        <w:tc>
          <w:tcPr>
            <w:tcW w:w="1109" w:type="dxa"/>
          </w:tcPr>
          <w:p w14:paraId="26DD142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95%</w:t>
            </w:r>
          </w:p>
        </w:tc>
        <w:tc>
          <w:tcPr>
            <w:tcW w:w="1233" w:type="dxa"/>
          </w:tcPr>
          <w:p w14:paraId="0A5B958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451 </w:t>
            </w:r>
          </w:p>
        </w:tc>
        <w:tc>
          <w:tcPr>
            <w:tcW w:w="1134" w:type="dxa"/>
          </w:tcPr>
          <w:p w14:paraId="76844910"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97.6%</w:t>
            </w:r>
          </w:p>
        </w:tc>
      </w:tr>
      <w:tr w:rsidR="0028692B" w:rsidRPr="00912807" w14:paraId="0ACCA795"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6372997A" w14:textId="77777777" w:rsidR="0028692B" w:rsidRPr="00912807" w:rsidRDefault="0028692B" w:rsidP="00323506">
            <w:pPr>
              <w:rPr>
                <w:rFonts w:asciiTheme="minorHAnsi" w:hAnsiTheme="minorHAnsi" w:cstheme="minorHAnsi"/>
                <w:color w:val="0070C0"/>
                <w:sz w:val="20"/>
                <w:szCs w:val="20"/>
              </w:rPr>
            </w:pPr>
            <w:r w:rsidRPr="00912807">
              <w:rPr>
                <w:rFonts w:asciiTheme="minorHAnsi" w:hAnsiTheme="minorHAnsi" w:cstheme="minorHAnsi"/>
                <w:color w:val="0070C0"/>
                <w:sz w:val="20"/>
                <w:szCs w:val="20"/>
              </w:rPr>
              <w:t>Asian</w:t>
            </w:r>
          </w:p>
        </w:tc>
        <w:tc>
          <w:tcPr>
            <w:tcW w:w="1276" w:type="dxa"/>
          </w:tcPr>
          <w:p w14:paraId="3E76CCAA"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1</w:t>
            </w:r>
          </w:p>
        </w:tc>
        <w:tc>
          <w:tcPr>
            <w:tcW w:w="1108" w:type="dxa"/>
          </w:tcPr>
          <w:p w14:paraId="6E966C73"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w:t>
            </w:r>
          </w:p>
        </w:tc>
        <w:tc>
          <w:tcPr>
            <w:tcW w:w="1086" w:type="dxa"/>
          </w:tcPr>
          <w:p w14:paraId="1BCB57B0"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1</w:t>
            </w:r>
          </w:p>
        </w:tc>
        <w:tc>
          <w:tcPr>
            <w:tcW w:w="1109" w:type="dxa"/>
          </w:tcPr>
          <w:p w14:paraId="62EFC19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5%</w:t>
            </w:r>
          </w:p>
        </w:tc>
        <w:tc>
          <w:tcPr>
            <w:tcW w:w="1233" w:type="dxa"/>
          </w:tcPr>
          <w:p w14:paraId="22E2C913"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4 </w:t>
            </w:r>
          </w:p>
        </w:tc>
        <w:tc>
          <w:tcPr>
            <w:tcW w:w="1134" w:type="dxa"/>
          </w:tcPr>
          <w:p w14:paraId="7148A41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0.9%</w:t>
            </w:r>
          </w:p>
        </w:tc>
      </w:tr>
      <w:tr w:rsidR="0028692B" w:rsidRPr="00912807" w14:paraId="7A6F97E3"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6845B7B3" w14:textId="77777777" w:rsidR="0028692B" w:rsidRPr="00912807" w:rsidRDefault="0028692B" w:rsidP="00912807">
            <w:pPr>
              <w:rPr>
                <w:rFonts w:asciiTheme="minorHAnsi" w:hAnsiTheme="minorHAnsi" w:cstheme="minorHAnsi"/>
                <w:color w:val="0070C0"/>
                <w:sz w:val="20"/>
                <w:szCs w:val="20"/>
              </w:rPr>
            </w:pPr>
            <w:r w:rsidRPr="00912807">
              <w:rPr>
                <w:rFonts w:asciiTheme="minorHAnsi" w:hAnsiTheme="minorHAnsi" w:cstheme="minorHAnsi"/>
                <w:color w:val="0070C0"/>
                <w:sz w:val="20"/>
                <w:szCs w:val="20"/>
              </w:rPr>
              <w:t>Black</w:t>
            </w:r>
          </w:p>
        </w:tc>
        <w:tc>
          <w:tcPr>
            <w:tcW w:w="1276" w:type="dxa"/>
          </w:tcPr>
          <w:p w14:paraId="55A52D2F"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8" w:type="dxa"/>
          </w:tcPr>
          <w:p w14:paraId="3CC35823"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086" w:type="dxa"/>
          </w:tcPr>
          <w:p w14:paraId="2D191E6B"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9" w:type="dxa"/>
          </w:tcPr>
          <w:p w14:paraId="37B0B155"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233" w:type="dxa"/>
          </w:tcPr>
          <w:p w14:paraId="108FE824"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 xml:space="preserve">1 </w:t>
            </w:r>
          </w:p>
        </w:tc>
        <w:tc>
          <w:tcPr>
            <w:tcW w:w="1134" w:type="dxa"/>
          </w:tcPr>
          <w:p w14:paraId="7BC973E2"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color w:val="000000"/>
                <w:sz w:val="20"/>
                <w:szCs w:val="20"/>
              </w:rPr>
              <w:t>0.2%</w:t>
            </w:r>
          </w:p>
        </w:tc>
      </w:tr>
      <w:tr w:rsidR="0028692B" w:rsidRPr="00912807" w14:paraId="7DF99CD2"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2622EA29" w14:textId="77777777" w:rsidR="0028692B" w:rsidRPr="00912807" w:rsidRDefault="0028692B" w:rsidP="00912807">
            <w:pPr>
              <w:rPr>
                <w:rFonts w:asciiTheme="minorHAnsi" w:hAnsiTheme="minorHAnsi" w:cstheme="minorHAnsi"/>
                <w:color w:val="0070C0"/>
                <w:sz w:val="20"/>
                <w:szCs w:val="20"/>
              </w:rPr>
            </w:pPr>
            <w:proofErr w:type="gramStart"/>
            <w:r w:rsidRPr="00912807">
              <w:rPr>
                <w:rFonts w:asciiTheme="minorHAnsi" w:hAnsiTheme="minorHAnsi" w:cstheme="minorHAnsi"/>
                <w:color w:val="0070C0"/>
                <w:sz w:val="20"/>
                <w:szCs w:val="20"/>
              </w:rPr>
              <w:t>Other</w:t>
            </w:r>
            <w:proofErr w:type="gramEnd"/>
            <w:r w:rsidRPr="00912807">
              <w:rPr>
                <w:rFonts w:asciiTheme="minorHAnsi" w:hAnsiTheme="minorHAnsi" w:cstheme="minorHAnsi"/>
                <w:color w:val="0070C0"/>
                <w:sz w:val="20"/>
                <w:szCs w:val="20"/>
              </w:rPr>
              <w:t xml:space="preserve"> ethnic group</w:t>
            </w:r>
          </w:p>
        </w:tc>
        <w:tc>
          <w:tcPr>
            <w:tcW w:w="1276" w:type="dxa"/>
          </w:tcPr>
          <w:p w14:paraId="247DE2C4"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8" w:type="dxa"/>
          </w:tcPr>
          <w:p w14:paraId="0C7131B4"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086" w:type="dxa"/>
          </w:tcPr>
          <w:p w14:paraId="6D8C7837"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9" w:type="dxa"/>
          </w:tcPr>
          <w:p w14:paraId="40ECCE2A"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233" w:type="dxa"/>
          </w:tcPr>
          <w:p w14:paraId="57AE0895"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2 </w:t>
            </w:r>
          </w:p>
        </w:tc>
        <w:tc>
          <w:tcPr>
            <w:tcW w:w="1134" w:type="dxa"/>
          </w:tcPr>
          <w:p w14:paraId="4A8C287A"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0.4%</w:t>
            </w:r>
          </w:p>
        </w:tc>
      </w:tr>
      <w:tr w:rsidR="0028692B" w:rsidRPr="00912807" w14:paraId="4A263345"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6C020F96" w14:textId="77777777" w:rsidR="0028692B" w:rsidRPr="00912807" w:rsidRDefault="0028692B" w:rsidP="00912807">
            <w:pPr>
              <w:rPr>
                <w:rFonts w:asciiTheme="minorHAnsi" w:hAnsiTheme="minorHAnsi" w:cstheme="minorHAnsi"/>
                <w:color w:val="0070C0"/>
                <w:sz w:val="20"/>
                <w:szCs w:val="20"/>
              </w:rPr>
            </w:pPr>
            <w:r w:rsidRPr="00912807">
              <w:rPr>
                <w:rFonts w:asciiTheme="minorHAnsi" w:hAnsiTheme="minorHAnsi" w:cstheme="minorHAnsi"/>
                <w:color w:val="0070C0"/>
                <w:sz w:val="20"/>
                <w:szCs w:val="20"/>
              </w:rPr>
              <w:t>Mixed</w:t>
            </w:r>
          </w:p>
        </w:tc>
        <w:tc>
          <w:tcPr>
            <w:tcW w:w="1276" w:type="dxa"/>
          </w:tcPr>
          <w:p w14:paraId="261CCB87"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8" w:type="dxa"/>
          </w:tcPr>
          <w:p w14:paraId="39B8D262"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086" w:type="dxa"/>
          </w:tcPr>
          <w:p w14:paraId="026BD95D"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9" w:type="dxa"/>
          </w:tcPr>
          <w:p w14:paraId="7E7E7D81"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233" w:type="dxa"/>
          </w:tcPr>
          <w:p w14:paraId="55A1AAF6"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3 </w:t>
            </w:r>
          </w:p>
        </w:tc>
        <w:tc>
          <w:tcPr>
            <w:tcW w:w="1134" w:type="dxa"/>
          </w:tcPr>
          <w:p w14:paraId="36287BE8"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0.6%</w:t>
            </w:r>
          </w:p>
        </w:tc>
      </w:tr>
      <w:tr w:rsidR="0028692B" w:rsidRPr="00912807" w14:paraId="1CC8BCBF"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3689BC8D" w14:textId="77777777" w:rsidR="0028692B" w:rsidRPr="00912807" w:rsidRDefault="0028692B" w:rsidP="00912807">
            <w:pPr>
              <w:rPr>
                <w:rFonts w:asciiTheme="minorHAnsi" w:hAnsiTheme="minorHAnsi" w:cstheme="minorHAnsi"/>
                <w:color w:val="0070C0"/>
                <w:sz w:val="20"/>
                <w:szCs w:val="20"/>
              </w:rPr>
            </w:pPr>
            <w:r w:rsidRPr="00912807">
              <w:rPr>
                <w:rFonts w:asciiTheme="minorHAnsi" w:hAnsiTheme="minorHAnsi" w:cstheme="minorHAnsi"/>
                <w:color w:val="0070C0"/>
                <w:sz w:val="20"/>
                <w:szCs w:val="20"/>
              </w:rPr>
              <w:t>Prefer not to say</w:t>
            </w:r>
          </w:p>
        </w:tc>
        <w:tc>
          <w:tcPr>
            <w:tcW w:w="1276" w:type="dxa"/>
          </w:tcPr>
          <w:p w14:paraId="5D1348EF"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8" w:type="dxa"/>
          </w:tcPr>
          <w:p w14:paraId="47E1DF40"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086" w:type="dxa"/>
          </w:tcPr>
          <w:p w14:paraId="3F3E7FB4"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109" w:type="dxa"/>
          </w:tcPr>
          <w:p w14:paraId="5BB5F3FB"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w:t>
            </w:r>
          </w:p>
        </w:tc>
        <w:tc>
          <w:tcPr>
            <w:tcW w:w="1233" w:type="dxa"/>
          </w:tcPr>
          <w:p w14:paraId="6E5DCAFC"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 xml:space="preserve">1 </w:t>
            </w:r>
          </w:p>
        </w:tc>
        <w:tc>
          <w:tcPr>
            <w:tcW w:w="1134" w:type="dxa"/>
          </w:tcPr>
          <w:p w14:paraId="1F41077B"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0.2%</w:t>
            </w:r>
          </w:p>
        </w:tc>
      </w:tr>
      <w:tr w:rsidR="0028692B" w:rsidRPr="00912807" w14:paraId="04E5642B"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5BFDB4AA" w14:textId="77777777" w:rsidR="0028692B" w:rsidRPr="00912807" w:rsidRDefault="0028692B" w:rsidP="00912807">
            <w:pPr>
              <w:rPr>
                <w:rFonts w:asciiTheme="minorHAnsi" w:hAnsiTheme="minorHAnsi" w:cstheme="minorHAnsi"/>
                <w:color w:val="0070C0"/>
                <w:sz w:val="20"/>
                <w:szCs w:val="20"/>
              </w:rPr>
            </w:pPr>
            <w:r w:rsidRPr="00912807">
              <w:rPr>
                <w:rFonts w:asciiTheme="minorHAnsi" w:hAnsiTheme="minorHAnsi" w:cstheme="minorHAnsi"/>
                <w:color w:val="0070C0"/>
                <w:sz w:val="20"/>
                <w:szCs w:val="20"/>
              </w:rPr>
              <w:t>Missing</w:t>
            </w:r>
          </w:p>
        </w:tc>
        <w:tc>
          <w:tcPr>
            <w:tcW w:w="1276" w:type="dxa"/>
          </w:tcPr>
          <w:p w14:paraId="2F08D053"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8" w:type="dxa"/>
          </w:tcPr>
          <w:p w14:paraId="002CCF95"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522428EC"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9" w:type="dxa"/>
          </w:tcPr>
          <w:p w14:paraId="5042BC81"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tcPr>
          <w:p w14:paraId="2B466FC4"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1</w:t>
            </w:r>
          </w:p>
        </w:tc>
        <w:tc>
          <w:tcPr>
            <w:tcW w:w="1134" w:type="dxa"/>
          </w:tcPr>
          <w:p w14:paraId="483A6FF2" w14:textId="77777777" w:rsidR="0028692B" w:rsidRPr="00912807" w:rsidRDefault="0028692B" w:rsidP="009128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1</w:t>
            </w:r>
          </w:p>
        </w:tc>
      </w:tr>
      <w:tr w:rsidR="0028692B" w:rsidRPr="00912807" w14:paraId="7707BA6A"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Pr>
          <w:p w14:paraId="6F408382" w14:textId="77777777" w:rsidR="0028692B" w:rsidRPr="00912807" w:rsidRDefault="0028692B" w:rsidP="00323506">
            <w:pPr>
              <w:rPr>
                <w:rFonts w:asciiTheme="minorHAnsi" w:hAnsiTheme="minorHAnsi" w:cstheme="minorHAnsi"/>
                <w:b w:val="0"/>
                <w:bCs w:val="0"/>
                <w:sz w:val="20"/>
                <w:szCs w:val="20"/>
              </w:rPr>
            </w:pPr>
            <w:r w:rsidRPr="00912807">
              <w:rPr>
                <w:rFonts w:asciiTheme="minorHAnsi" w:hAnsiTheme="minorHAnsi" w:cstheme="minorHAnsi"/>
                <w:sz w:val="20"/>
                <w:szCs w:val="20"/>
              </w:rPr>
              <w:t>IBS-SSS at baseline</w:t>
            </w:r>
          </w:p>
        </w:tc>
        <w:tc>
          <w:tcPr>
            <w:tcW w:w="1276" w:type="dxa"/>
          </w:tcPr>
          <w:p w14:paraId="190213C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8" w:type="dxa"/>
          </w:tcPr>
          <w:p w14:paraId="7FBD9560"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27188D25"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9" w:type="dxa"/>
          </w:tcPr>
          <w:p w14:paraId="73EB9549"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tcPr>
          <w:p w14:paraId="2FCB1159"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Pr>
          <w:p w14:paraId="1C6558AE"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8692B" w:rsidRPr="00912807" w14:paraId="44CA09B2"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E875EFA" w14:textId="77777777" w:rsidR="0028692B" w:rsidRPr="00912807" w:rsidRDefault="0028692B" w:rsidP="00323506">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Mild</w:t>
            </w:r>
          </w:p>
        </w:tc>
        <w:tc>
          <w:tcPr>
            <w:tcW w:w="1276" w:type="dxa"/>
            <w:noWrap/>
            <w:hideMark/>
          </w:tcPr>
          <w:p w14:paraId="2A53A15F"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9</w:t>
            </w:r>
          </w:p>
        </w:tc>
        <w:tc>
          <w:tcPr>
            <w:tcW w:w="1108" w:type="dxa"/>
          </w:tcPr>
          <w:p w14:paraId="6562796C"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22%</w:t>
            </w:r>
          </w:p>
        </w:tc>
        <w:tc>
          <w:tcPr>
            <w:tcW w:w="1086" w:type="dxa"/>
          </w:tcPr>
          <w:p w14:paraId="0DD9221E"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4</w:t>
            </w:r>
          </w:p>
        </w:tc>
        <w:tc>
          <w:tcPr>
            <w:tcW w:w="1109" w:type="dxa"/>
          </w:tcPr>
          <w:p w14:paraId="5DFE925E"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21%</w:t>
            </w:r>
          </w:p>
        </w:tc>
        <w:tc>
          <w:tcPr>
            <w:tcW w:w="1233" w:type="dxa"/>
          </w:tcPr>
          <w:p w14:paraId="0A420634" w14:textId="77777777" w:rsidR="0028692B" w:rsidRPr="00F854D9"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color w:val="000000"/>
                <w:sz w:val="20"/>
                <w:szCs w:val="20"/>
              </w:rPr>
              <w:t xml:space="preserve">63 </w:t>
            </w:r>
          </w:p>
        </w:tc>
        <w:tc>
          <w:tcPr>
            <w:tcW w:w="1134" w:type="dxa"/>
          </w:tcPr>
          <w:p w14:paraId="21F4BB81" w14:textId="77777777" w:rsidR="0028692B" w:rsidRPr="00F854D9"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color w:val="000000"/>
                <w:sz w:val="20"/>
                <w:szCs w:val="20"/>
              </w:rPr>
              <w:t>13.6%</w:t>
            </w:r>
          </w:p>
        </w:tc>
      </w:tr>
      <w:tr w:rsidR="0028692B" w:rsidRPr="00912807" w14:paraId="70E7A69B"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5E2D698" w14:textId="77777777" w:rsidR="0028692B" w:rsidRPr="00912807" w:rsidRDefault="0028692B" w:rsidP="00323506">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Moderate</w:t>
            </w:r>
          </w:p>
        </w:tc>
        <w:tc>
          <w:tcPr>
            <w:tcW w:w="1276" w:type="dxa"/>
            <w:noWrap/>
            <w:hideMark/>
          </w:tcPr>
          <w:p w14:paraId="3A4F5265"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19</w:t>
            </w:r>
          </w:p>
        </w:tc>
        <w:tc>
          <w:tcPr>
            <w:tcW w:w="1108" w:type="dxa"/>
          </w:tcPr>
          <w:p w14:paraId="1018C9FB"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45%</w:t>
            </w:r>
          </w:p>
        </w:tc>
        <w:tc>
          <w:tcPr>
            <w:tcW w:w="1086" w:type="dxa"/>
          </w:tcPr>
          <w:p w14:paraId="22095B22"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9</w:t>
            </w:r>
          </w:p>
        </w:tc>
        <w:tc>
          <w:tcPr>
            <w:tcW w:w="1109" w:type="dxa"/>
          </w:tcPr>
          <w:p w14:paraId="5BF9DCA0"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47%</w:t>
            </w:r>
          </w:p>
        </w:tc>
        <w:tc>
          <w:tcPr>
            <w:tcW w:w="1233" w:type="dxa"/>
          </w:tcPr>
          <w:p w14:paraId="1B91C596" w14:textId="77777777" w:rsidR="0028692B" w:rsidRPr="00F854D9"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color w:val="000000"/>
                <w:sz w:val="20"/>
                <w:szCs w:val="20"/>
              </w:rPr>
              <w:t xml:space="preserve">201 </w:t>
            </w:r>
          </w:p>
        </w:tc>
        <w:tc>
          <w:tcPr>
            <w:tcW w:w="1134" w:type="dxa"/>
          </w:tcPr>
          <w:p w14:paraId="4255CEB4" w14:textId="77777777" w:rsidR="0028692B" w:rsidRPr="00F854D9"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color w:val="000000"/>
                <w:sz w:val="20"/>
                <w:szCs w:val="20"/>
              </w:rPr>
              <w:t>43.4%</w:t>
            </w:r>
          </w:p>
        </w:tc>
      </w:tr>
      <w:tr w:rsidR="0028692B" w:rsidRPr="00912807" w14:paraId="7A4C960A"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1EF72A3" w14:textId="77777777" w:rsidR="0028692B" w:rsidRPr="00912807" w:rsidRDefault="0028692B" w:rsidP="00323506">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Severe</w:t>
            </w:r>
          </w:p>
        </w:tc>
        <w:tc>
          <w:tcPr>
            <w:tcW w:w="1276" w:type="dxa"/>
            <w:noWrap/>
            <w:hideMark/>
          </w:tcPr>
          <w:p w14:paraId="5A0D8119"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0"/>
                <w:szCs w:val="20"/>
                <w:lang w:eastAsia="en-GB"/>
              </w:rPr>
            </w:pPr>
            <w:r w:rsidRPr="00912807">
              <w:rPr>
                <w:rFonts w:asciiTheme="minorHAnsi" w:hAnsiTheme="minorHAnsi" w:cstheme="minorHAnsi"/>
                <w:sz w:val="20"/>
                <w:szCs w:val="20"/>
              </w:rPr>
              <w:t>14</w:t>
            </w:r>
          </w:p>
        </w:tc>
        <w:tc>
          <w:tcPr>
            <w:tcW w:w="1108" w:type="dxa"/>
          </w:tcPr>
          <w:p w14:paraId="531E8A87"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2807">
              <w:rPr>
                <w:rFonts w:asciiTheme="minorHAnsi" w:hAnsiTheme="minorHAnsi" w:cstheme="minorHAnsi"/>
                <w:sz w:val="20"/>
                <w:szCs w:val="20"/>
              </w:rPr>
              <w:t>33%</w:t>
            </w:r>
          </w:p>
        </w:tc>
        <w:tc>
          <w:tcPr>
            <w:tcW w:w="1086" w:type="dxa"/>
          </w:tcPr>
          <w:p w14:paraId="55B543D8"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6</w:t>
            </w:r>
          </w:p>
        </w:tc>
        <w:tc>
          <w:tcPr>
            <w:tcW w:w="1109" w:type="dxa"/>
          </w:tcPr>
          <w:p w14:paraId="25F89767"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912807">
              <w:rPr>
                <w:rFonts w:asciiTheme="minorHAnsi" w:hAnsiTheme="minorHAnsi" w:cstheme="minorHAnsi"/>
                <w:sz w:val="20"/>
                <w:szCs w:val="20"/>
              </w:rPr>
              <w:t>32%</w:t>
            </w:r>
          </w:p>
        </w:tc>
        <w:tc>
          <w:tcPr>
            <w:tcW w:w="1233" w:type="dxa"/>
          </w:tcPr>
          <w:p w14:paraId="4CD50D67" w14:textId="77777777" w:rsidR="0028692B" w:rsidRPr="00F854D9"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color w:val="000000"/>
                <w:sz w:val="20"/>
                <w:szCs w:val="20"/>
              </w:rPr>
              <w:t xml:space="preserve">191 </w:t>
            </w:r>
          </w:p>
        </w:tc>
        <w:tc>
          <w:tcPr>
            <w:tcW w:w="1134" w:type="dxa"/>
          </w:tcPr>
          <w:p w14:paraId="24701118" w14:textId="77777777" w:rsidR="0028692B" w:rsidRPr="00F854D9"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D9">
              <w:rPr>
                <w:rFonts w:asciiTheme="minorHAnsi" w:hAnsiTheme="minorHAnsi" w:cstheme="minorHAnsi"/>
                <w:color w:val="000000"/>
                <w:sz w:val="20"/>
                <w:szCs w:val="20"/>
              </w:rPr>
              <w:t>41.3%</w:t>
            </w:r>
          </w:p>
        </w:tc>
      </w:tr>
      <w:tr w:rsidR="0028692B" w:rsidRPr="00912807" w14:paraId="2D918531"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6724F30B" w14:textId="77777777" w:rsidR="0028692B" w:rsidRPr="00912807" w:rsidRDefault="0028692B" w:rsidP="00323506">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sz w:val="20"/>
                <w:szCs w:val="20"/>
                <w:lang w:eastAsia="en-GB"/>
              </w:rPr>
              <w:t>Trial Arm</w:t>
            </w:r>
          </w:p>
        </w:tc>
        <w:tc>
          <w:tcPr>
            <w:tcW w:w="1276" w:type="dxa"/>
            <w:noWrap/>
          </w:tcPr>
          <w:p w14:paraId="0F8CDF1D"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8" w:type="dxa"/>
          </w:tcPr>
          <w:p w14:paraId="2A582784"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86" w:type="dxa"/>
          </w:tcPr>
          <w:p w14:paraId="12F0AD7A"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09" w:type="dxa"/>
          </w:tcPr>
          <w:p w14:paraId="363BCF7A"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33" w:type="dxa"/>
          </w:tcPr>
          <w:p w14:paraId="2F9350F7"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Pr>
          <w:p w14:paraId="4195DECF" w14:textId="77777777" w:rsidR="0028692B" w:rsidRPr="00912807" w:rsidRDefault="0028692B" w:rsidP="003235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8692B" w:rsidRPr="00912807" w14:paraId="06068B2F"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42AF620C" w14:textId="77777777" w:rsidR="0028692B" w:rsidRPr="00912807" w:rsidRDefault="0028692B" w:rsidP="00B77898">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Amitriptyline</w:t>
            </w:r>
          </w:p>
        </w:tc>
        <w:tc>
          <w:tcPr>
            <w:tcW w:w="1276" w:type="dxa"/>
            <w:noWrap/>
          </w:tcPr>
          <w:p w14:paraId="5D513781"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23</w:t>
            </w:r>
          </w:p>
        </w:tc>
        <w:tc>
          <w:tcPr>
            <w:tcW w:w="1108" w:type="dxa"/>
          </w:tcPr>
          <w:p w14:paraId="0FCB4534"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55%</w:t>
            </w:r>
          </w:p>
        </w:tc>
        <w:tc>
          <w:tcPr>
            <w:tcW w:w="1086" w:type="dxa"/>
          </w:tcPr>
          <w:p w14:paraId="042AA09B"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tcW w:w="1109" w:type="dxa"/>
          </w:tcPr>
          <w:p w14:paraId="725FFD13"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47%</w:t>
            </w:r>
          </w:p>
        </w:tc>
        <w:tc>
          <w:tcPr>
            <w:tcW w:w="1233" w:type="dxa"/>
          </w:tcPr>
          <w:p w14:paraId="677CA687"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232</w:t>
            </w:r>
          </w:p>
        </w:tc>
        <w:tc>
          <w:tcPr>
            <w:tcW w:w="1134" w:type="dxa"/>
          </w:tcPr>
          <w:p w14:paraId="340D8726" w14:textId="77777777" w:rsidR="0028692B" w:rsidRPr="00B77898"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7898">
              <w:rPr>
                <w:rFonts w:asciiTheme="minorHAnsi" w:hAnsiTheme="minorHAnsi" w:cstheme="minorHAnsi"/>
                <w:sz w:val="20"/>
                <w:szCs w:val="20"/>
              </w:rPr>
              <w:t>50.1%</w:t>
            </w:r>
          </w:p>
        </w:tc>
      </w:tr>
      <w:tr w:rsidR="0028692B" w:rsidRPr="00912807" w14:paraId="12226321" w14:textId="77777777" w:rsidTr="00912807">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noWrap/>
          </w:tcPr>
          <w:p w14:paraId="44163D66" w14:textId="77777777" w:rsidR="0028692B" w:rsidRPr="00912807" w:rsidRDefault="0028692B" w:rsidP="00B77898">
            <w:pPr>
              <w:rPr>
                <w:rFonts w:asciiTheme="minorHAnsi" w:eastAsia="Times New Roman" w:hAnsiTheme="minorHAnsi" w:cstheme="minorHAnsi"/>
                <w:color w:val="0070C0"/>
                <w:sz w:val="20"/>
                <w:szCs w:val="20"/>
                <w:lang w:eastAsia="en-GB"/>
              </w:rPr>
            </w:pPr>
            <w:r w:rsidRPr="00912807">
              <w:rPr>
                <w:rFonts w:asciiTheme="minorHAnsi" w:eastAsia="Times New Roman" w:hAnsiTheme="minorHAnsi" w:cstheme="minorHAnsi"/>
                <w:color w:val="0070C0"/>
                <w:sz w:val="20"/>
                <w:szCs w:val="20"/>
                <w:lang w:eastAsia="en-GB"/>
              </w:rPr>
              <w:t>Placebo</w:t>
            </w:r>
          </w:p>
        </w:tc>
        <w:tc>
          <w:tcPr>
            <w:tcW w:w="1276" w:type="dxa"/>
            <w:noWrap/>
          </w:tcPr>
          <w:p w14:paraId="243E5C28"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19</w:t>
            </w:r>
          </w:p>
        </w:tc>
        <w:tc>
          <w:tcPr>
            <w:tcW w:w="1108" w:type="dxa"/>
          </w:tcPr>
          <w:p w14:paraId="076225CE"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45%</w:t>
            </w:r>
          </w:p>
        </w:tc>
        <w:tc>
          <w:tcPr>
            <w:tcW w:w="1086" w:type="dxa"/>
          </w:tcPr>
          <w:p w14:paraId="5B50F6F2"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1109" w:type="dxa"/>
          </w:tcPr>
          <w:p w14:paraId="4C1E9B13"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53%</w:t>
            </w:r>
          </w:p>
        </w:tc>
        <w:tc>
          <w:tcPr>
            <w:tcW w:w="1233" w:type="dxa"/>
          </w:tcPr>
          <w:p w14:paraId="4D2FF6BA" w14:textId="77777777" w:rsidR="0028692B" w:rsidRPr="00912807"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231</w:t>
            </w:r>
          </w:p>
        </w:tc>
        <w:tc>
          <w:tcPr>
            <w:tcW w:w="1134" w:type="dxa"/>
          </w:tcPr>
          <w:p w14:paraId="44191AB5" w14:textId="77777777" w:rsidR="0028692B" w:rsidRPr="00B77898" w:rsidRDefault="0028692B" w:rsidP="00B778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7898">
              <w:rPr>
                <w:rFonts w:asciiTheme="minorHAnsi" w:hAnsiTheme="minorHAnsi" w:cstheme="minorHAnsi"/>
                <w:sz w:val="20"/>
                <w:szCs w:val="20"/>
              </w:rPr>
              <w:t>49.9%</w:t>
            </w:r>
          </w:p>
        </w:tc>
      </w:tr>
    </w:tbl>
    <w:p w14:paraId="4C41A681" w14:textId="77777777" w:rsidR="0028692B" w:rsidRDefault="0028692B" w:rsidP="00B3337D">
      <w:pPr>
        <w:rPr>
          <w:rFonts w:ascii="Arial" w:hAnsi="Arial" w:cs="Arial"/>
          <w:color w:val="FF0000"/>
        </w:rPr>
      </w:pPr>
    </w:p>
    <w:p w14:paraId="0D9D8193" w14:textId="77777777" w:rsidR="0028692B" w:rsidRDefault="0028692B" w:rsidP="00B3337D">
      <w:pPr>
        <w:rPr>
          <w:rFonts w:ascii="Arial" w:hAnsi="Arial" w:cs="Arial"/>
          <w:color w:val="FF0000"/>
        </w:rPr>
      </w:pPr>
    </w:p>
    <w:p w14:paraId="6E80AEA7" w14:textId="77777777" w:rsidR="0028692B" w:rsidRDefault="0028692B" w:rsidP="00B3337D"/>
    <w:p w14:paraId="59B93D18" w14:textId="77777777" w:rsidR="0028692B" w:rsidRDefault="0028692B" w:rsidP="00B3337D">
      <w:pPr>
        <w:rPr>
          <w:rFonts w:ascii="Arial" w:hAnsi="Arial" w:cs="Arial"/>
          <w:color w:val="FF0000"/>
        </w:rPr>
      </w:pPr>
    </w:p>
    <w:p w14:paraId="2E7F5024" w14:textId="77777777" w:rsidR="005664A5" w:rsidRPr="00360F31" w:rsidRDefault="005664A5" w:rsidP="00B3337D">
      <w:pPr>
        <w:rPr>
          <w:rFonts w:ascii="Arial" w:hAnsi="Arial" w:cs="Arial"/>
          <w:color w:val="FF0000"/>
        </w:rPr>
      </w:pPr>
    </w:p>
    <w:p w14:paraId="3269A872" w14:textId="77777777" w:rsidR="0028692B" w:rsidRDefault="0028692B" w:rsidP="00B3337D">
      <w:pPr>
        <w:rPr>
          <w:b/>
          <w:bCs/>
        </w:rPr>
      </w:pPr>
      <w:r w:rsidRPr="009F5F6A">
        <w:rPr>
          <w:b/>
          <w:bCs/>
        </w:rPr>
        <w:lastRenderedPageBreak/>
        <w:t>Table 2: Demographic data for GP interviewees (n=16)</w:t>
      </w:r>
    </w:p>
    <w:tbl>
      <w:tblPr>
        <w:tblStyle w:val="GridTable1Light-Accent1"/>
        <w:tblW w:w="0" w:type="auto"/>
        <w:tblLook w:val="04A0" w:firstRow="1" w:lastRow="0" w:firstColumn="1" w:lastColumn="0" w:noHBand="0" w:noVBand="1"/>
      </w:tblPr>
      <w:tblGrid>
        <w:gridCol w:w="3369"/>
        <w:gridCol w:w="1275"/>
        <w:gridCol w:w="1418"/>
      </w:tblGrid>
      <w:tr w:rsidR="0028692B" w:rsidRPr="00F501DE" w14:paraId="5B938AE9" w14:textId="77777777" w:rsidTr="007E6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A6FF861" w14:textId="77777777" w:rsidR="0028692B" w:rsidRPr="00F501DE" w:rsidRDefault="0028692B" w:rsidP="007E6429">
            <w:pPr>
              <w:rPr>
                <w:rFonts w:asciiTheme="minorHAnsi" w:hAnsiTheme="minorHAnsi" w:cstheme="minorHAnsi"/>
                <w:b w:val="0"/>
                <w:bCs w:val="0"/>
                <w:sz w:val="22"/>
                <w:szCs w:val="22"/>
              </w:rPr>
            </w:pPr>
            <w:r w:rsidRPr="00F501DE">
              <w:rPr>
                <w:rFonts w:asciiTheme="minorHAnsi" w:hAnsiTheme="minorHAnsi" w:cstheme="minorHAnsi"/>
                <w:sz w:val="22"/>
                <w:szCs w:val="22"/>
              </w:rPr>
              <w:t>Gender</w:t>
            </w:r>
          </w:p>
        </w:tc>
        <w:tc>
          <w:tcPr>
            <w:tcW w:w="1275" w:type="dxa"/>
          </w:tcPr>
          <w:p w14:paraId="54986858" w14:textId="77777777" w:rsidR="0028692B" w:rsidRPr="00F501DE" w:rsidRDefault="0028692B" w:rsidP="007E642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F501DE">
              <w:rPr>
                <w:rFonts w:asciiTheme="minorHAnsi" w:hAnsiTheme="minorHAnsi" w:cstheme="minorHAnsi"/>
                <w:sz w:val="22"/>
                <w:szCs w:val="22"/>
              </w:rPr>
              <w:t>N</w:t>
            </w:r>
          </w:p>
        </w:tc>
        <w:tc>
          <w:tcPr>
            <w:tcW w:w="1418" w:type="dxa"/>
          </w:tcPr>
          <w:p w14:paraId="75E7E044" w14:textId="77777777" w:rsidR="0028692B" w:rsidRPr="006C6D12" w:rsidRDefault="0028692B" w:rsidP="007E642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6C6D12">
              <w:rPr>
                <w:rFonts w:asciiTheme="minorHAnsi" w:hAnsiTheme="minorHAnsi" w:cstheme="minorHAnsi"/>
                <w:sz w:val="22"/>
                <w:szCs w:val="22"/>
              </w:rPr>
              <w:t>%</w:t>
            </w:r>
          </w:p>
        </w:tc>
      </w:tr>
      <w:tr w:rsidR="0028692B" w:rsidRPr="00F501DE" w14:paraId="0523F6CB"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644F060"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eastAsia="Times New Roman" w:hAnsiTheme="minorHAnsi" w:cstheme="minorHAnsi"/>
                <w:color w:val="0070C0"/>
                <w:sz w:val="22"/>
                <w:szCs w:val="22"/>
                <w:lang w:eastAsia="en-GB"/>
              </w:rPr>
              <w:t>Female</w:t>
            </w:r>
          </w:p>
        </w:tc>
        <w:tc>
          <w:tcPr>
            <w:tcW w:w="1275" w:type="dxa"/>
            <w:noWrap/>
            <w:hideMark/>
          </w:tcPr>
          <w:p w14:paraId="5DC663A5"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r w:rsidRPr="00F501DE">
              <w:rPr>
                <w:rFonts w:asciiTheme="minorHAnsi" w:hAnsiTheme="minorHAnsi" w:cstheme="minorHAnsi"/>
                <w:sz w:val="22"/>
                <w:szCs w:val="22"/>
              </w:rPr>
              <w:t>8</w:t>
            </w:r>
          </w:p>
        </w:tc>
        <w:tc>
          <w:tcPr>
            <w:tcW w:w="1418" w:type="dxa"/>
          </w:tcPr>
          <w:p w14:paraId="1EE9A9CE"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50%</w:t>
            </w:r>
          </w:p>
        </w:tc>
      </w:tr>
      <w:tr w:rsidR="0028692B" w:rsidRPr="00F501DE" w14:paraId="2ECC8381"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FBF6AA4"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eastAsia="Times New Roman" w:hAnsiTheme="minorHAnsi" w:cstheme="minorHAnsi"/>
                <w:color w:val="0070C0"/>
                <w:sz w:val="22"/>
                <w:szCs w:val="22"/>
                <w:lang w:eastAsia="en-GB"/>
              </w:rPr>
              <w:t>Male</w:t>
            </w:r>
          </w:p>
        </w:tc>
        <w:tc>
          <w:tcPr>
            <w:tcW w:w="1275" w:type="dxa"/>
            <w:noWrap/>
            <w:hideMark/>
          </w:tcPr>
          <w:p w14:paraId="7D6AE573"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r w:rsidRPr="00F501DE">
              <w:rPr>
                <w:rFonts w:asciiTheme="minorHAnsi" w:hAnsiTheme="minorHAnsi" w:cstheme="minorHAnsi"/>
                <w:sz w:val="22"/>
                <w:szCs w:val="22"/>
              </w:rPr>
              <w:t>8</w:t>
            </w:r>
          </w:p>
        </w:tc>
        <w:tc>
          <w:tcPr>
            <w:tcW w:w="1418" w:type="dxa"/>
          </w:tcPr>
          <w:p w14:paraId="08F15EBF"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50%</w:t>
            </w:r>
          </w:p>
        </w:tc>
      </w:tr>
      <w:tr w:rsidR="0028692B" w:rsidRPr="00F501DE" w14:paraId="093E3C65"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tcPr>
          <w:p w14:paraId="76DDB597" w14:textId="77777777" w:rsidR="0028692B" w:rsidRPr="00F501DE" w:rsidRDefault="0028692B" w:rsidP="007E6429">
            <w:pPr>
              <w:rPr>
                <w:rFonts w:asciiTheme="minorHAnsi" w:eastAsia="Times New Roman" w:hAnsiTheme="minorHAnsi" w:cstheme="minorHAnsi"/>
                <w:b w:val="0"/>
                <w:bCs w:val="0"/>
                <w:color w:val="0070C0"/>
                <w:sz w:val="22"/>
                <w:szCs w:val="22"/>
                <w:lang w:eastAsia="en-GB"/>
              </w:rPr>
            </w:pPr>
            <w:r w:rsidRPr="00F501DE">
              <w:rPr>
                <w:rFonts w:asciiTheme="minorHAnsi" w:eastAsia="Times New Roman" w:hAnsiTheme="minorHAnsi" w:cstheme="minorHAnsi"/>
                <w:sz w:val="22"/>
                <w:szCs w:val="22"/>
                <w:lang w:eastAsia="en-GB"/>
              </w:rPr>
              <w:t>Age</w:t>
            </w:r>
          </w:p>
        </w:tc>
        <w:tc>
          <w:tcPr>
            <w:tcW w:w="1275" w:type="dxa"/>
            <w:noWrap/>
          </w:tcPr>
          <w:p w14:paraId="328C57DE"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p>
        </w:tc>
        <w:tc>
          <w:tcPr>
            <w:tcW w:w="1418" w:type="dxa"/>
          </w:tcPr>
          <w:p w14:paraId="4D13BCC9"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GB"/>
              </w:rPr>
            </w:pPr>
          </w:p>
        </w:tc>
      </w:tr>
      <w:tr w:rsidR="0028692B" w:rsidRPr="00F501DE" w14:paraId="765FF99C"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tcPr>
          <w:p w14:paraId="339FAC35"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eastAsia="Times New Roman" w:hAnsiTheme="minorHAnsi" w:cstheme="minorHAnsi"/>
                <w:color w:val="0070C0"/>
                <w:sz w:val="22"/>
                <w:szCs w:val="22"/>
                <w:lang w:eastAsia="en-GB"/>
              </w:rPr>
              <w:t>Median age (years)</w:t>
            </w:r>
          </w:p>
        </w:tc>
        <w:tc>
          <w:tcPr>
            <w:tcW w:w="1275" w:type="dxa"/>
            <w:noWrap/>
          </w:tcPr>
          <w:p w14:paraId="0F9E4BF7"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GB"/>
              </w:rPr>
            </w:pPr>
            <w:r w:rsidRPr="00F501DE">
              <w:rPr>
                <w:rFonts w:asciiTheme="minorHAnsi" w:eastAsia="Times New Roman" w:hAnsiTheme="minorHAnsi" w:cstheme="minorHAnsi"/>
                <w:sz w:val="22"/>
                <w:szCs w:val="22"/>
                <w:lang w:eastAsia="en-GB"/>
              </w:rPr>
              <w:t>45</w:t>
            </w:r>
          </w:p>
        </w:tc>
        <w:tc>
          <w:tcPr>
            <w:tcW w:w="1418" w:type="dxa"/>
          </w:tcPr>
          <w:p w14:paraId="46D50CFC"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GB"/>
              </w:rPr>
            </w:pPr>
          </w:p>
        </w:tc>
      </w:tr>
      <w:tr w:rsidR="0028692B" w:rsidRPr="00F501DE" w14:paraId="0A0EAD86"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tcPr>
          <w:p w14:paraId="5AF7BC3F"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eastAsia="Times New Roman" w:hAnsiTheme="minorHAnsi" w:cstheme="minorHAnsi"/>
                <w:color w:val="0070C0"/>
                <w:sz w:val="22"/>
                <w:szCs w:val="22"/>
                <w:lang w:eastAsia="en-GB"/>
              </w:rPr>
              <w:t>Range (years)</w:t>
            </w:r>
          </w:p>
        </w:tc>
        <w:tc>
          <w:tcPr>
            <w:tcW w:w="1275" w:type="dxa"/>
            <w:noWrap/>
          </w:tcPr>
          <w:p w14:paraId="6CFDB059"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GB"/>
              </w:rPr>
            </w:pPr>
            <w:r w:rsidRPr="00F501DE">
              <w:rPr>
                <w:rFonts w:asciiTheme="minorHAnsi" w:hAnsiTheme="minorHAnsi" w:cstheme="minorHAnsi"/>
                <w:sz w:val="22"/>
                <w:szCs w:val="22"/>
              </w:rPr>
              <w:t>34-60</w:t>
            </w:r>
          </w:p>
        </w:tc>
        <w:tc>
          <w:tcPr>
            <w:tcW w:w="1418" w:type="dxa"/>
          </w:tcPr>
          <w:p w14:paraId="5B634303"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8692B" w:rsidRPr="00F501DE" w14:paraId="4F6B751B" w14:textId="77777777" w:rsidTr="007E6429">
        <w:tc>
          <w:tcPr>
            <w:cnfStyle w:val="001000000000" w:firstRow="0" w:lastRow="0" w:firstColumn="1" w:lastColumn="0" w:oddVBand="0" w:evenVBand="0" w:oddHBand="0" w:evenHBand="0" w:firstRowFirstColumn="0" w:firstRowLastColumn="0" w:lastRowFirstColumn="0" w:lastRowLastColumn="0"/>
            <w:tcW w:w="3369" w:type="dxa"/>
          </w:tcPr>
          <w:p w14:paraId="7023A294" w14:textId="77777777" w:rsidR="0028692B" w:rsidRPr="00F501DE" w:rsidRDefault="0028692B" w:rsidP="007E6429">
            <w:pPr>
              <w:rPr>
                <w:rFonts w:asciiTheme="minorHAnsi" w:hAnsiTheme="minorHAnsi" w:cstheme="minorHAnsi"/>
                <w:b w:val="0"/>
                <w:bCs w:val="0"/>
                <w:color w:val="000000"/>
                <w:sz w:val="22"/>
                <w:szCs w:val="22"/>
              </w:rPr>
            </w:pPr>
            <w:r w:rsidRPr="00F501DE">
              <w:rPr>
                <w:rFonts w:asciiTheme="minorHAnsi" w:hAnsiTheme="minorHAnsi" w:cstheme="minorHAnsi"/>
                <w:color w:val="000000"/>
                <w:sz w:val="22"/>
                <w:szCs w:val="22"/>
              </w:rPr>
              <w:t>Recruitment hub</w:t>
            </w:r>
          </w:p>
        </w:tc>
        <w:tc>
          <w:tcPr>
            <w:tcW w:w="1275" w:type="dxa"/>
          </w:tcPr>
          <w:p w14:paraId="2220EAC0"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418" w:type="dxa"/>
          </w:tcPr>
          <w:p w14:paraId="63DA7947"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8692B" w:rsidRPr="00F501DE" w14:paraId="6227D635"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8785E41"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eastAsia="Times New Roman" w:hAnsiTheme="minorHAnsi" w:cstheme="minorHAnsi"/>
                <w:color w:val="0070C0"/>
                <w:sz w:val="22"/>
                <w:szCs w:val="22"/>
                <w:lang w:eastAsia="en-GB"/>
              </w:rPr>
              <w:t>Southampton</w:t>
            </w:r>
          </w:p>
        </w:tc>
        <w:tc>
          <w:tcPr>
            <w:tcW w:w="1275" w:type="dxa"/>
            <w:noWrap/>
            <w:hideMark/>
          </w:tcPr>
          <w:p w14:paraId="6CC4CE75"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r w:rsidRPr="00F501DE">
              <w:rPr>
                <w:rFonts w:asciiTheme="minorHAnsi" w:hAnsiTheme="minorHAnsi" w:cstheme="minorHAnsi"/>
                <w:sz w:val="22"/>
                <w:szCs w:val="22"/>
              </w:rPr>
              <w:t>7</w:t>
            </w:r>
          </w:p>
        </w:tc>
        <w:tc>
          <w:tcPr>
            <w:tcW w:w="1418" w:type="dxa"/>
          </w:tcPr>
          <w:p w14:paraId="55315F74"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44%</w:t>
            </w:r>
          </w:p>
        </w:tc>
      </w:tr>
      <w:tr w:rsidR="0028692B" w:rsidRPr="00F501DE" w14:paraId="2C430302"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D518CC4"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eastAsia="Times New Roman" w:hAnsiTheme="minorHAnsi" w:cstheme="minorHAnsi"/>
                <w:color w:val="0070C0"/>
                <w:sz w:val="22"/>
                <w:szCs w:val="22"/>
                <w:lang w:eastAsia="en-GB"/>
              </w:rPr>
              <w:t>West Yorkshire</w:t>
            </w:r>
          </w:p>
        </w:tc>
        <w:tc>
          <w:tcPr>
            <w:tcW w:w="1275" w:type="dxa"/>
            <w:noWrap/>
            <w:hideMark/>
          </w:tcPr>
          <w:p w14:paraId="2C92090E"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r w:rsidRPr="00F501DE">
              <w:rPr>
                <w:rFonts w:asciiTheme="minorHAnsi" w:hAnsiTheme="minorHAnsi" w:cstheme="minorHAnsi"/>
                <w:sz w:val="22"/>
                <w:szCs w:val="22"/>
              </w:rPr>
              <w:t>0</w:t>
            </w:r>
          </w:p>
        </w:tc>
        <w:tc>
          <w:tcPr>
            <w:tcW w:w="1418" w:type="dxa"/>
          </w:tcPr>
          <w:p w14:paraId="79722D5B"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0%</w:t>
            </w:r>
          </w:p>
        </w:tc>
      </w:tr>
      <w:tr w:rsidR="0028692B" w:rsidRPr="00F501DE" w14:paraId="003B3DD0"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1D71C73"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eastAsia="Times New Roman" w:hAnsiTheme="minorHAnsi" w:cstheme="minorHAnsi"/>
                <w:color w:val="0070C0"/>
                <w:sz w:val="22"/>
                <w:szCs w:val="22"/>
                <w:lang w:eastAsia="en-GB"/>
              </w:rPr>
              <w:t>West of England</w:t>
            </w:r>
          </w:p>
        </w:tc>
        <w:tc>
          <w:tcPr>
            <w:tcW w:w="1275" w:type="dxa"/>
            <w:noWrap/>
            <w:hideMark/>
          </w:tcPr>
          <w:p w14:paraId="546B2E82"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r w:rsidRPr="00F501DE">
              <w:rPr>
                <w:rFonts w:asciiTheme="minorHAnsi" w:hAnsiTheme="minorHAnsi" w:cstheme="minorHAnsi"/>
                <w:sz w:val="22"/>
                <w:szCs w:val="22"/>
              </w:rPr>
              <w:t>9</w:t>
            </w:r>
          </w:p>
        </w:tc>
        <w:tc>
          <w:tcPr>
            <w:tcW w:w="1418" w:type="dxa"/>
          </w:tcPr>
          <w:p w14:paraId="2EE41D0D"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56%</w:t>
            </w:r>
          </w:p>
        </w:tc>
      </w:tr>
      <w:tr w:rsidR="0028692B" w:rsidRPr="00F501DE" w14:paraId="772F5088" w14:textId="77777777" w:rsidTr="007E6429">
        <w:tc>
          <w:tcPr>
            <w:cnfStyle w:val="001000000000" w:firstRow="0" w:lastRow="0" w:firstColumn="1" w:lastColumn="0" w:oddVBand="0" w:evenVBand="0" w:oddHBand="0" w:evenHBand="0" w:firstRowFirstColumn="0" w:firstRowLastColumn="0" w:lastRowFirstColumn="0" w:lastRowLastColumn="0"/>
            <w:tcW w:w="3369" w:type="dxa"/>
          </w:tcPr>
          <w:p w14:paraId="7BBF0FFA" w14:textId="77777777" w:rsidR="0028692B" w:rsidRPr="00F501DE" w:rsidRDefault="0028692B" w:rsidP="007E6429">
            <w:pPr>
              <w:rPr>
                <w:rFonts w:asciiTheme="minorHAnsi" w:hAnsiTheme="minorHAnsi" w:cstheme="minorHAnsi"/>
                <w:b w:val="0"/>
                <w:bCs w:val="0"/>
                <w:color w:val="000000"/>
                <w:sz w:val="22"/>
                <w:szCs w:val="22"/>
              </w:rPr>
            </w:pPr>
            <w:r w:rsidRPr="00F501DE">
              <w:rPr>
                <w:rFonts w:asciiTheme="minorHAnsi" w:hAnsiTheme="minorHAnsi" w:cstheme="minorHAnsi"/>
                <w:color w:val="000000"/>
                <w:sz w:val="22"/>
                <w:szCs w:val="22"/>
              </w:rPr>
              <w:t>Ethnicity</w:t>
            </w:r>
          </w:p>
        </w:tc>
        <w:tc>
          <w:tcPr>
            <w:tcW w:w="1275" w:type="dxa"/>
          </w:tcPr>
          <w:p w14:paraId="6BD4EB98"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418" w:type="dxa"/>
          </w:tcPr>
          <w:p w14:paraId="625F2585"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8692B" w:rsidRPr="00F501DE" w14:paraId="57773F22" w14:textId="77777777" w:rsidTr="007E6429">
        <w:tc>
          <w:tcPr>
            <w:cnfStyle w:val="001000000000" w:firstRow="0" w:lastRow="0" w:firstColumn="1" w:lastColumn="0" w:oddVBand="0" w:evenVBand="0" w:oddHBand="0" w:evenHBand="0" w:firstRowFirstColumn="0" w:firstRowLastColumn="0" w:lastRowFirstColumn="0" w:lastRowLastColumn="0"/>
            <w:tcW w:w="3369" w:type="dxa"/>
          </w:tcPr>
          <w:p w14:paraId="6D315CDA" w14:textId="77777777" w:rsidR="0028692B" w:rsidRPr="00F501DE" w:rsidRDefault="0028692B" w:rsidP="007E6429">
            <w:pPr>
              <w:rPr>
                <w:rFonts w:asciiTheme="minorHAnsi" w:hAnsiTheme="minorHAnsi" w:cstheme="minorHAnsi"/>
                <w:color w:val="0070C0"/>
                <w:sz w:val="22"/>
                <w:szCs w:val="22"/>
              </w:rPr>
            </w:pPr>
            <w:r w:rsidRPr="00F501DE">
              <w:rPr>
                <w:rFonts w:asciiTheme="minorHAnsi" w:hAnsiTheme="minorHAnsi" w:cstheme="minorHAnsi"/>
                <w:color w:val="0070C0"/>
                <w:sz w:val="22"/>
                <w:szCs w:val="22"/>
              </w:rPr>
              <w:t>White</w:t>
            </w:r>
          </w:p>
        </w:tc>
        <w:tc>
          <w:tcPr>
            <w:tcW w:w="1275" w:type="dxa"/>
          </w:tcPr>
          <w:p w14:paraId="19C40352"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2"/>
                <w:szCs w:val="22"/>
              </w:rPr>
            </w:pPr>
            <w:r w:rsidRPr="00F501DE">
              <w:rPr>
                <w:rFonts w:asciiTheme="minorHAnsi" w:hAnsiTheme="minorHAnsi" w:cstheme="minorHAnsi"/>
                <w:sz w:val="22"/>
                <w:szCs w:val="22"/>
              </w:rPr>
              <w:t>12</w:t>
            </w:r>
          </w:p>
        </w:tc>
        <w:tc>
          <w:tcPr>
            <w:tcW w:w="1418" w:type="dxa"/>
          </w:tcPr>
          <w:p w14:paraId="0FC01877"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75%</w:t>
            </w:r>
          </w:p>
        </w:tc>
      </w:tr>
      <w:tr w:rsidR="0028692B" w:rsidRPr="00F501DE" w14:paraId="61A74AB7" w14:textId="77777777" w:rsidTr="007E6429">
        <w:tc>
          <w:tcPr>
            <w:cnfStyle w:val="001000000000" w:firstRow="0" w:lastRow="0" w:firstColumn="1" w:lastColumn="0" w:oddVBand="0" w:evenVBand="0" w:oddHBand="0" w:evenHBand="0" w:firstRowFirstColumn="0" w:firstRowLastColumn="0" w:lastRowFirstColumn="0" w:lastRowLastColumn="0"/>
            <w:tcW w:w="3369" w:type="dxa"/>
          </w:tcPr>
          <w:p w14:paraId="14BDD425" w14:textId="77777777" w:rsidR="0028692B" w:rsidRPr="00F501DE" w:rsidRDefault="0028692B" w:rsidP="007E6429">
            <w:pPr>
              <w:rPr>
                <w:rFonts w:asciiTheme="minorHAnsi" w:hAnsiTheme="minorHAnsi" w:cstheme="minorHAnsi"/>
                <w:color w:val="0070C0"/>
                <w:sz w:val="22"/>
                <w:szCs w:val="22"/>
              </w:rPr>
            </w:pPr>
            <w:r w:rsidRPr="00F501DE">
              <w:rPr>
                <w:rFonts w:asciiTheme="minorHAnsi" w:hAnsiTheme="minorHAnsi" w:cstheme="minorHAnsi"/>
                <w:color w:val="0070C0"/>
                <w:sz w:val="22"/>
                <w:szCs w:val="22"/>
              </w:rPr>
              <w:t>Asian</w:t>
            </w:r>
          </w:p>
        </w:tc>
        <w:tc>
          <w:tcPr>
            <w:tcW w:w="1275" w:type="dxa"/>
          </w:tcPr>
          <w:p w14:paraId="51804C48"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2"/>
                <w:szCs w:val="22"/>
              </w:rPr>
            </w:pPr>
            <w:r w:rsidRPr="00F501DE">
              <w:rPr>
                <w:rFonts w:asciiTheme="minorHAnsi" w:hAnsiTheme="minorHAnsi" w:cstheme="minorHAnsi"/>
                <w:sz w:val="22"/>
                <w:szCs w:val="22"/>
              </w:rPr>
              <w:t>3</w:t>
            </w:r>
          </w:p>
        </w:tc>
        <w:tc>
          <w:tcPr>
            <w:tcW w:w="1418" w:type="dxa"/>
          </w:tcPr>
          <w:p w14:paraId="41FB52E1"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19%</w:t>
            </w:r>
          </w:p>
        </w:tc>
      </w:tr>
      <w:tr w:rsidR="0028692B" w:rsidRPr="00F501DE" w14:paraId="78F15480" w14:textId="77777777" w:rsidTr="007E6429">
        <w:tc>
          <w:tcPr>
            <w:cnfStyle w:val="001000000000" w:firstRow="0" w:lastRow="0" w:firstColumn="1" w:lastColumn="0" w:oddVBand="0" w:evenVBand="0" w:oddHBand="0" w:evenHBand="0" w:firstRowFirstColumn="0" w:firstRowLastColumn="0" w:lastRowFirstColumn="0" w:lastRowLastColumn="0"/>
            <w:tcW w:w="3369" w:type="dxa"/>
          </w:tcPr>
          <w:p w14:paraId="69EA4B89" w14:textId="77777777" w:rsidR="0028692B" w:rsidRPr="00F501DE" w:rsidRDefault="0028692B" w:rsidP="007E6429">
            <w:pPr>
              <w:rPr>
                <w:rFonts w:asciiTheme="minorHAnsi" w:hAnsiTheme="minorHAnsi" w:cstheme="minorHAnsi"/>
                <w:color w:val="0070C0"/>
                <w:sz w:val="22"/>
                <w:szCs w:val="22"/>
              </w:rPr>
            </w:pPr>
            <w:r w:rsidRPr="00F501DE">
              <w:rPr>
                <w:rFonts w:asciiTheme="minorHAnsi" w:hAnsiTheme="minorHAnsi" w:cstheme="minorHAnsi"/>
                <w:color w:val="0070C0"/>
                <w:sz w:val="22"/>
                <w:szCs w:val="22"/>
              </w:rPr>
              <w:t>Mixed</w:t>
            </w:r>
          </w:p>
        </w:tc>
        <w:tc>
          <w:tcPr>
            <w:tcW w:w="1275" w:type="dxa"/>
          </w:tcPr>
          <w:p w14:paraId="5C60A6AD"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01DE">
              <w:rPr>
                <w:rFonts w:asciiTheme="minorHAnsi" w:hAnsiTheme="minorHAnsi" w:cstheme="minorHAnsi"/>
                <w:sz w:val="22"/>
                <w:szCs w:val="22"/>
              </w:rPr>
              <w:t>1</w:t>
            </w:r>
          </w:p>
        </w:tc>
        <w:tc>
          <w:tcPr>
            <w:tcW w:w="1418" w:type="dxa"/>
          </w:tcPr>
          <w:p w14:paraId="02E727DF"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6%</w:t>
            </w:r>
          </w:p>
        </w:tc>
      </w:tr>
      <w:tr w:rsidR="0028692B" w:rsidRPr="00F501DE" w14:paraId="24CF406D" w14:textId="77777777" w:rsidTr="007E6429">
        <w:tc>
          <w:tcPr>
            <w:cnfStyle w:val="001000000000" w:firstRow="0" w:lastRow="0" w:firstColumn="1" w:lastColumn="0" w:oddVBand="0" w:evenVBand="0" w:oddHBand="0" w:evenHBand="0" w:firstRowFirstColumn="0" w:firstRowLastColumn="0" w:lastRowFirstColumn="0" w:lastRowLastColumn="0"/>
            <w:tcW w:w="3369" w:type="dxa"/>
          </w:tcPr>
          <w:p w14:paraId="5D439F12" w14:textId="77777777" w:rsidR="0028692B" w:rsidRPr="00F501DE" w:rsidRDefault="0028692B" w:rsidP="007E6429">
            <w:pPr>
              <w:rPr>
                <w:rFonts w:asciiTheme="minorHAnsi" w:hAnsiTheme="minorHAnsi" w:cstheme="minorHAnsi"/>
                <w:b w:val="0"/>
                <w:bCs w:val="0"/>
                <w:sz w:val="22"/>
                <w:szCs w:val="22"/>
              </w:rPr>
            </w:pPr>
            <w:r w:rsidRPr="00F501DE">
              <w:rPr>
                <w:rFonts w:asciiTheme="minorHAnsi" w:hAnsiTheme="minorHAnsi" w:cstheme="minorHAnsi"/>
                <w:sz w:val="22"/>
                <w:szCs w:val="22"/>
              </w:rPr>
              <w:t xml:space="preserve">Employment status </w:t>
            </w:r>
          </w:p>
        </w:tc>
        <w:tc>
          <w:tcPr>
            <w:tcW w:w="1275" w:type="dxa"/>
          </w:tcPr>
          <w:p w14:paraId="063A6DF4"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418" w:type="dxa"/>
          </w:tcPr>
          <w:p w14:paraId="0A98D926"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8692B" w:rsidRPr="00F501DE" w14:paraId="5A7AD7E3"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DE76339"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hAnsiTheme="minorHAnsi" w:cstheme="minorHAnsi"/>
                <w:color w:val="0070C0"/>
                <w:sz w:val="22"/>
                <w:szCs w:val="22"/>
              </w:rPr>
              <w:t>Part-time</w:t>
            </w:r>
          </w:p>
        </w:tc>
        <w:tc>
          <w:tcPr>
            <w:tcW w:w="1275" w:type="dxa"/>
            <w:noWrap/>
            <w:hideMark/>
          </w:tcPr>
          <w:p w14:paraId="70D66270"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r w:rsidRPr="00F501DE">
              <w:rPr>
                <w:rFonts w:asciiTheme="minorHAnsi" w:hAnsiTheme="minorHAnsi" w:cstheme="minorHAnsi"/>
                <w:sz w:val="22"/>
                <w:szCs w:val="22"/>
              </w:rPr>
              <w:t>11</w:t>
            </w:r>
          </w:p>
        </w:tc>
        <w:tc>
          <w:tcPr>
            <w:tcW w:w="1418" w:type="dxa"/>
          </w:tcPr>
          <w:p w14:paraId="6B8B4FA2"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69%</w:t>
            </w:r>
          </w:p>
        </w:tc>
      </w:tr>
      <w:tr w:rsidR="0028692B" w:rsidRPr="00F501DE" w14:paraId="46E2C611"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5B8F7CE" w14:textId="77777777" w:rsidR="0028692B" w:rsidRPr="00F501DE" w:rsidRDefault="0028692B" w:rsidP="007E6429">
            <w:pPr>
              <w:rPr>
                <w:rFonts w:asciiTheme="minorHAnsi" w:eastAsia="Times New Roman" w:hAnsiTheme="minorHAnsi" w:cstheme="minorHAnsi"/>
                <w:color w:val="0070C0"/>
                <w:sz w:val="22"/>
                <w:szCs w:val="22"/>
                <w:lang w:eastAsia="en-GB"/>
              </w:rPr>
            </w:pPr>
            <w:r w:rsidRPr="00F501DE">
              <w:rPr>
                <w:rFonts w:asciiTheme="minorHAnsi" w:hAnsiTheme="minorHAnsi" w:cstheme="minorHAnsi"/>
                <w:color w:val="0070C0"/>
                <w:sz w:val="22"/>
                <w:szCs w:val="22"/>
              </w:rPr>
              <w:t>Full-time</w:t>
            </w:r>
          </w:p>
        </w:tc>
        <w:tc>
          <w:tcPr>
            <w:tcW w:w="1275" w:type="dxa"/>
            <w:noWrap/>
            <w:hideMark/>
          </w:tcPr>
          <w:p w14:paraId="14077999"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70C0"/>
                <w:sz w:val="22"/>
                <w:szCs w:val="22"/>
                <w:lang w:eastAsia="en-GB"/>
              </w:rPr>
            </w:pPr>
            <w:r w:rsidRPr="00F501DE">
              <w:rPr>
                <w:rFonts w:asciiTheme="minorHAnsi" w:hAnsiTheme="minorHAnsi" w:cstheme="minorHAnsi"/>
                <w:sz w:val="22"/>
                <w:szCs w:val="22"/>
              </w:rPr>
              <w:t>5</w:t>
            </w:r>
          </w:p>
        </w:tc>
        <w:tc>
          <w:tcPr>
            <w:tcW w:w="1418" w:type="dxa"/>
          </w:tcPr>
          <w:p w14:paraId="7DD09B4D"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6D12">
              <w:rPr>
                <w:rFonts w:asciiTheme="minorHAnsi" w:hAnsiTheme="minorHAnsi" w:cstheme="minorHAnsi"/>
                <w:sz w:val="22"/>
                <w:szCs w:val="22"/>
              </w:rPr>
              <w:t>31%</w:t>
            </w:r>
          </w:p>
        </w:tc>
      </w:tr>
      <w:tr w:rsidR="0028692B" w:rsidRPr="00F501DE" w14:paraId="1ED23058"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tcPr>
          <w:p w14:paraId="04D56600" w14:textId="77777777" w:rsidR="0028692B" w:rsidRPr="00F501DE" w:rsidRDefault="0028692B" w:rsidP="007E6429">
            <w:pPr>
              <w:rPr>
                <w:rFonts w:asciiTheme="minorHAnsi" w:hAnsiTheme="minorHAnsi" w:cstheme="minorHAnsi"/>
                <w:b w:val="0"/>
                <w:bCs w:val="0"/>
                <w:color w:val="0070C0"/>
                <w:sz w:val="22"/>
                <w:szCs w:val="22"/>
              </w:rPr>
            </w:pPr>
            <w:r w:rsidRPr="00F501DE">
              <w:rPr>
                <w:rFonts w:asciiTheme="minorHAnsi" w:hAnsiTheme="minorHAnsi" w:cstheme="minorHAnsi"/>
                <w:sz w:val="22"/>
                <w:szCs w:val="22"/>
              </w:rPr>
              <w:t>Years worked as GP</w:t>
            </w:r>
          </w:p>
        </w:tc>
        <w:tc>
          <w:tcPr>
            <w:tcW w:w="1275" w:type="dxa"/>
            <w:noWrap/>
          </w:tcPr>
          <w:p w14:paraId="09B6D017"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418" w:type="dxa"/>
          </w:tcPr>
          <w:p w14:paraId="4559BDC6"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8692B" w:rsidRPr="00F501DE" w14:paraId="190F76E5"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tcPr>
          <w:p w14:paraId="00956A87" w14:textId="77777777" w:rsidR="0028692B" w:rsidRPr="00F501DE" w:rsidRDefault="0028692B" w:rsidP="007E6429">
            <w:pPr>
              <w:rPr>
                <w:rFonts w:asciiTheme="minorHAnsi" w:hAnsiTheme="minorHAnsi" w:cstheme="minorHAnsi"/>
                <w:color w:val="0070C0"/>
                <w:sz w:val="22"/>
                <w:szCs w:val="22"/>
              </w:rPr>
            </w:pPr>
            <w:r w:rsidRPr="00F501DE">
              <w:rPr>
                <w:rFonts w:asciiTheme="minorHAnsi" w:hAnsiTheme="minorHAnsi" w:cstheme="minorHAnsi"/>
                <w:color w:val="0070C0"/>
                <w:sz w:val="22"/>
                <w:szCs w:val="22"/>
              </w:rPr>
              <w:t>Median (years)</w:t>
            </w:r>
          </w:p>
        </w:tc>
        <w:tc>
          <w:tcPr>
            <w:tcW w:w="1275" w:type="dxa"/>
            <w:noWrap/>
          </w:tcPr>
          <w:p w14:paraId="7F246640"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01DE">
              <w:rPr>
                <w:rFonts w:asciiTheme="minorHAnsi" w:hAnsiTheme="minorHAnsi" w:cstheme="minorHAnsi"/>
                <w:sz w:val="22"/>
                <w:szCs w:val="22"/>
              </w:rPr>
              <w:t xml:space="preserve">18 </w:t>
            </w:r>
          </w:p>
        </w:tc>
        <w:tc>
          <w:tcPr>
            <w:tcW w:w="1418" w:type="dxa"/>
          </w:tcPr>
          <w:p w14:paraId="3273A1B5"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8692B" w:rsidRPr="00F501DE" w14:paraId="482EB1C5" w14:textId="77777777" w:rsidTr="007E6429">
        <w:trPr>
          <w:trHeight w:val="320"/>
        </w:trPr>
        <w:tc>
          <w:tcPr>
            <w:cnfStyle w:val="001000000000" w:firstRow="0" w:lastRow="0" w:firstColumn="1" w:lastColumn="0" w:oddVBand="0" w:evenVBand="0" w:oddHBand="0" w:evenHBand="0" w:firstRowFirstColumn="0" w:firstRowLastColumn="0" w:lastRowFirstColumn="0" w:lastRowLastColumn="0"/>
            <w:tcW w:w="3369" w:type="dxa"/>
            <w:noWrap/>
          </w:tcPr>
          <w:p w14:paraId="0150F661" w14:textId="77777777" w:rsidR="0028692B" w:rsidRPr="00F501DE" w:rsidRDefault="0028692B" w:rsidP="007E6429">
            <w:pPr>
              <w:rPr>
                <w:rFonts w:asciiTheme="minorHAnsi" w:hAnsiTheme="minorHAnsi" w:cstheme="minorHAnsi"/>
                <w:color w:val="0070C0"/>
                <w:sz w:val="22"/>
                <w:szCs w:val="22"/>
              </w:rPr>
            </w:pPr>
            <w:r w:rsidRPr="00F501DE">
              <w:rPr>
                <w:rFonts w:asciiTheme="minorHAnsi" w:hAnsiTheme="minorHAnsi" w:cstheme="minorHAnsi"/>
                <w:color w:val="0070C0"/>
                <w:sz w:val="22"/>
                <w:szCs w:val="22"/>
              </w:rPr>
              <w:t>Range (years)</w:t>
            </w:r>
          </w:p>
        </w:tc>
        <w:tc>
          <w:tcPr>
            <w:tcW w:w="1275" w:type="dxa"/>
            <w:noWrap/>
          </w:tcPr>
          <w:p w14:paraId="1A0889C8" w14:textId="77777777" w:rsidR="0028692B" w:rsidRPr="00F501DE"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01DE">
              <w:rPr>
                <w:rFonts w:asciiTheme="minorHAnsi" w:hAnsiTheme="minorHAnsi" w:cstheme="minorHAnsi"/>
                <w:sz w:val="22"/>
                <w:szCs w:val="22"/>
              </w:rPr>
              <w:t>3-30</w:t>
            </w:r>
          </w:p>
        </w:tc>
        <w:tc>
          <w:tcPr>
            <w:tcW w:w="1418" w:type="dxa"/>
          </w:tcPr>
          <w:p w14:paraId="549A8D61" w14:textId="77777777" w:rsidR="0028692B" w:rsidRPr="006C6D12" w:rsidRDefault="0028692B" w:rsidP="007E64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4266A789" w14:textId="77777777" w:rsidR="0028692B" w:rsidRDefault="0028692B" w:rsidP="00B3337D">
      <w:pPr>
        <w:rPr>
          <w:b/>
          <w:sz w:val="24"/>
          <w:szCs w:val="24"/>
        </w:rPr>
      </w:pPr>
    </w:p>
    <w:p w14:paraId="77360BDB" w14:textId="77777777" w:rsidR="0028692B" w:rsidRDefault="0028692B" w:rsidP="00B3337D">
      <w:pPr>
        <w:rPr>
          <w:color w:val="FF0000"/>
        </w:rPr>
      </w:pPr>
      <w:bookmarkStart w:id="106" w:name="_Hlk122004599"/>
    </w:p>
    <w:p w14:paraId="6F71CFA2" w14:textId="77777777" w:rsidR="0028692B" w:rsidRDefault="0028692B" w:rsidP="00B3337D">
      <w:pPr>
        <w:rPr>
          <w:color w:val="FF0000"/>
        </w:rPr>
      </w:pPr>
    </w:p>
    <w:p w14:paraId="7C377C73" w14:textId="77777777" w:rsidR="0028692B" w:rsidRDefault="0028692B" w:rsidP="00B3337D">
      <w:pPr>
        <w:rPr>
          <w:color w:val="FF0000"/>
        </w:rPr>
      </w:pPr>
    </w:p>
    <w:p w14:paraId="77AE38B1" w14:textId="77777777" w:rsidR="0028692B" w:rsidRDefault="0028692B" w:rsidP="00B3337D">
      <w:pPr>
        <w:rPr>
          <w:color w:val="FF0000"/>
        </w:rPr>
      </w:pPr>
    </w:p>
    <w:p w14:paraId="71C1D44F" w14:textId="77777777" w:rsidR="0028692B" w:rsidRDefault="0028692B" w:rsidP="00B3337D">
      <w:pPr>
        <w:rPr>
          <w:color w:val="FF0000"/>
        </w:rPr>
      </w:pPr>
    </w:p>
    <w:p w14:paraId="33FADE33" w14:textId="77777777" w:rsidR="0028692B" w:rsidRDefault="0028692B" w:rsidP="00B3337D">
      <w:pPr>
        <w:rPr>
          <w:color w:val="FF0000"/>
        </w:rPr>
      </w:pPr>
    </w:p>
    <w:p w14:paraId="3A2B1BFA" w14:textId="77777777" w:rsidR="0028692B" w:rsidRDefault="0028692B" w:rsidP="00B3337D">
      <w:pPr>
        <w:rPr>
          <w:color w:val="FF0000"/>
        </w:rPr>
      </w:pPr>
    </w:p>
    <w:p w14:paraId="22DD0A4F" w14:textId="77777777" w:rsidR="0028692B" w:rsidRDefault="0028692B" w:rsidP="00B3337D">
      <w:pPr>
        <w:rPr>
          <w:color w:val="FF0000"/>
        </w:rPr>
      </w:pPr>
    </w:p>
    <w:p w14:paraId="544FB2F5" w14:textId="77777777" w:rsidR="005664A5" w:rsidRDefault="005664A5" w:rsidP="00B3337D">
      <w:pPr>
        <w:rPr>
          <w:color w:val="FF0000"/>
        </w:rPr>
      </w:pPr>
    </w:p>
    <w:p w14:paraId="31991EF7" w14:textId="77777777" w:rsidR="005664A5" w:rsidRDefault="005664A5" w:rsidP="00B3337D">
      <w:pPr>
        <w:rPr>
          <w:color w:val="FF0000"/>
        </w:rPr>
      </w:pPr>
    </w:p>
    <w:p w14:paraId="401958F9" w14:textId="77777777" w:rsidR="005664A5" w:rsidRDefault="005664A5" w:rsidP="00B3337D">
      <w:pPr>
        <w:rPr>
          <w:color w:val="FF0000"/>
        </w:rPr>
      </w:pPr>
    </w:p>
    <w:p w14:paraId="1E7D2587" w14:textId="77777777" w:rsidR="005664A5" w:rsidRDefault="005664A5" w:rsidP="00B3337D">
      <w:pPr>
        <w:rPr>
          <w:color w:val="FF0000"/>
        </w:rPr>
      </w:pPr>
    </w:p>
    <w:p w14:paraId="4BAA6435" w14:textId="77777777" w:rsidR="005664A5" w:rsidRDefault="005664A5" w:rsidP="00B3337D">
      <w:pPr>
        <w:rPr>
          <w:color w:val="FF0000"/>
        </w:rPr>
      </w:pPr>
    </w:p>
    <w:p w14:paraId="5AC99174" w14:textId="77777777" w:rsidR="005664A5" w:rsidRDefault="005664A5" w:rsidP="00B3337D">
      <w:pPr>
        <w:rPr>
          <w:color w:val="FF0000"/>
        </w:rPr>
      </w:pPr>
    </w:p>
    <w:p w14:paraId="3DC342DE" w14:textId="77777777" w:rsidR="005664A5" w:rsidRDefault="005664A5" w:rsidP="00B3337D">
      <w:pPr>
        <w:rPr>
          <w:color w:val="FF0000"/>
        </w:rPr>
      </w:pPr>
    </w:p>
    <w:p w14:paraId="14E12CED" w14:textId="21742E1C" w:rsidR="0028692B" w:rsidRPr="00F501DE" w:rsidRDefault="00893131" w:rsidP="00F501DE">
      <w:pPr>
        <w:rPr>
          <w:b/>
          <w:bCs/>
        </w:rPr>
      </w:pPr>
      <w:r>
        <w:rPr>
          <w:b/>
          <w:bCs/>
        </w:rPr>
        <w:lastRenderedPageBreak/>
        <w:t>Box 1</w:t>
      </w:r>
      <w:r w:rsidR="0028692B" w:rsidRPr="00AA421B">
        <w:rPr>
          <w:b/>
          <w:bCs/>
        </w:rPr>
        <w:t xml:space="preserve"> – D</w:t>
      </w:r>
      <w:r w:rsidR="0028692B">
        <w:rPr>
          <w:b/>
          <w:bCs/>
        </w:rPr>
        <w:t>etailed d</w:t>
      </w:r>
      <w:r w:rsidR="0028692B" w:rsidRPr="00AA421B">
        <w:rPr>
          <w:b/>
          <w:bCs/>
        </w:rPr>
        <w:t xml:space="preserve">escription of data analysis </w:t>
      </w:r>
      <w:r w:rsidR="0028692B">
        <w:rPr>
          <w:b/>
          <w:bCs/>
        </w:rPr>
        <w:t>method</w:t>
      </w:r>
    </w:p>
    <w:tbl>
      <w:tblPr>
        <w:tblStyle w:val="TableGrid"/>
        <w:tblW w:w="0" w:type="auto"/>
        <w:tblLook w:val="04A0" w:firstRow="1" w:lastRow="0" w:firstColumn="1" w:lastColumn="0" w:noHBand="0" w:noVBand="1"/>
      </w:tblPr>
      <w:tblGrid>
        <w:gridCol w:w="3114"/>
        <w:gridCol w:w="5902"/>
      </w:tblGrid>
      <w:tr w:rsidR="0028692B" w14:paraId="4F286282" w14:textId="77777777" w:rsidTr="00F501DE">
        <w:tc>
          <w:tcPr>
            <w:tcW w:w="3114" w:type="dxa"/>
          </w:tcPr>
          <w:bookmarkEnd w:id="106"/>
          <w:p w14:paraId="1D854ABB" w14:textId="77777777" w:rsidR="0028692B" w:rsidRPr="00F501DE" w:rsidRDefault="0028692B" w:rsidP="00B3337D">
            <w:pPr>
              <w:rPr>
                <w:b/>
                <w:bCs/>
                <w:color w:val="0070C0"/>
              </w:rPr>
            </w:pPr>
            <w:r w:rsidRPr="00F501DE">
              <w:rPr>
                <w:b/>
                <w:bCs/>
                <w:color w:val="0070C0"/>
              </w:rPr>
              <w:t>Six Phases of Reflexive Thematic Analysis</w:t>
            </w:r>
          </w:p>
        </w:tc>
        <w:tc>
          <w:tcPr>
            <w:tcW w:w="5902" w:type="dxa"/>
          </w:tcPr>
          <w:p w14:paraId="1D90981D" w14:textId="77777777" w:rsidR="0028692B" w:rsidRPr="00F501DE" w:rsidRDefault="0028692B" w:rsidP="00B3337D">
            <w:pPr>
              <w:rPr>
                <w:b/>
                <w:bCs/>
                <w:color w:val="0070C0"/>
              </w:rPr>
            </w:pPr>
            <w:r w:rsidRPr="00F501DE">
              <w:rPr>
                <w:b/>
                <w:bCs/>
                <w:color w:val="0070C0"/>
              </w:rPr>
              <w:t xml:space="preserve">Description </w:t>
            </w:r>
            <w:r>
              <w:rPr>
                <w:b/>
                <w:bCs/>
                <w:color w:val="0070C0"/>
              </w:rPr>
              <w:t>of tasks undertaken</w:t>
            </w:r>
          </w:p>
        </w:tc>
      </w:tr>
      <w:tr w:rsidR="0028692B" w14:paraId="47E56A2F" w14:textId="77777777" w:rsidTr="00F501DE">
        <w:tc>
          <w:tcPr>
            <w:tcW w:w="3114" w:type="dxa"/>
          </w:tcPr>
          <w:p w14:paraId="5B57E420" w14:textId="77777777" w:rsidR="0028692B" w:rsidRPr="00F501DE" w:rsidRDefault="0028692B" w:rsidP="00B3337D">
            <w:pPr>
              <w:rPr>
                <w:b/>
                <w:bCs/>
              </w:rPr>
            </w:pPr>
            <w:r w:rsidRPr="00F501DE">
              <w:rPr>
                <w:b/>
                <w:bCs/>
              </w:rPr>
              <w:t xml:space="preserve">Phase 1: </w:t>
            </w:r>
            <w:r>
              <w:rPr>
                <w:b/>
                <w:bCs/>
              </w:rPr>
              <w:t>D</w:t>
            </w:r>
            <w:r w:rsidRPr="00F501DE">
              <w:rPr>
                <w:b/>
                <w:bCs/>
              </w:rPr>
              <w:t>ata familiarisation</w:t>
            </w:r>
          </w:p>
        </w:tc>
        <w:tc>
          <w:tcPr>
            <w:tcW w:w="5902" w:type="dxa"/>
          </w:tcPr>
          <w:p w14:paraId="55D783BA" w14:textId="77777777" w:rsidR="0028692B" w:rsidRPr="009D4860" w:rsidRDefault="0028692B" w:rsidP="00B3337D">
            <w:r w:rsidRPr="009D4860">
              <w:t xml:space="preserve">EJT repeatedly </w:t>
            </w:r>
            <w:bookmarkStart w:id="107" w:name="_Int_1OpVrMAH"/>
            <w:r w:rsidRPr="009D4860">
              <w:t>read through</w:t>
            </w:r>
            <w:bookmarkEnd w:id="107"/>
            <w:r w:rsidRPr="009D4860">
              <w:t xml:space="preserve"> all the transcripts and listened back to the audio-recordings. Other core members of the qualitative team (FB, HE, SA) read at least 4 transcripts to familiarise themselves with the data. </w:t>
            </w:r>
          </w:p>
        </w:tc>
      </w:tr>
      <w:tr w:rsidR="0028692B" w14:paraId="05909B68" w14:textId="77777777" w:rsidTr="00F501DE">
        <w:tc>
          <w:tcPr>
            <w:tcW w:w="3114" w:type="dxa"/>
          </w:tcPr>
          <w:p w14:paraId="47277154" w14:textId="77777777" w:rsidR="0028692B" w:rsidRPr="00F501DE" w:rsidRDefault="0028692B" w:rsidP="00B3337D">
            <w:pPr>
              <w:rPr>
                <w:b/>
                <w:bCs/>
              </w:rPr>
            </w:pPr>
            <w:r w:rsidRPr="00F501DE">
              <w:rPr>
                <w:b/>
                <w:bCs/>
              </w:rPr>
              <w:t xml:space="preserve">Phase 2: </w:t>
            </w:r>
            <w:r>
              <w:rPr>
                <w:b/>
                <w:bCs/>
              </w:rPr>
              <w:t>G</w:t>
            </w:r>
            <w:r w:rsidRPr="00F501DE">
              <w:rPr>
                <w:b/>
                <w:bCs/>
              </w:rPr>
              <w:t>enerating initial codes</w:t>
            </w:r>
          </w:p>
        </w:tc>
        <w:tc>
          <w:tcPr>
            <w:tcW w:w="5902" w:type="dxa"/>
          </w:tcPr>
          <w:p w14:paraId="4F337EB4" w14:textId="77777777" w:rsidR="0028692B" w:rsidRPr="009D4860" w:rsidRDefault="0028692B" w:rsidP="00B3337D">
            <w:r w:rsidRPr="009D4860">
              <w:t xml:space="preserve">EJT conducted line-by-line coding. Patient 6-month and 12-month interviews and GP interviews were all coded separately. Codes were derived inductively from the data and grouped together to produce separate initial coding frames for the three interview data sets. Initial codes were reviewed and discussed with the core qualitative team and PPI reps. </w:t>
            </w:r>
          </w:p>
        </w:tc>
      </w:tr>
      <w:tr w:rsidR="0028692B" w14:paraId="58FC67A2" w14:textId="77777777" w:rsidTr="00F501DE">
        <w:tc>
          <w:tcPr>
            <w:tcW w:w="3114" w:type="dxa"/>
          </w:tcPr>
          <w:p w14:paraId="17A69A5C" w14:textId="77777777" w:rsidR="0028692B" w:rsidRPr="00F501DE" w:rsidRDefault="0028692B" w:rsidP="00B3337D">
            <w:pPr>
              <w:rPr>
                <w:b/>
                <w:bCs/>
              </w:rPr>
            </w:pPr>
            <w:r w:rsidRPr="00F501DE">
              <w:rPr>
                <w:b/>
                <w:bCs/>
              </w:rPr>
              <w:t xml:space="preserve">Phase 3: </w:t>
            </w:r>
            <w:r>
              <w:rPr>
                <w:b/>
                <w:bCs/>
              </w:rPr>
              <w:t>S</w:t>
            </w:r>
            <w:r w:rsidRPr="00F501DE">
              <w:rPr>
                <w:b/>
                <w:bCs/>
              </w:rPr>
              <w:t>earching for themes</w:t>
            </w:r>
          </w:p>
        </w:tc>
        <w:tc>
          <w:tcPr>
            <w:tcW w:w="5902" w:type="dxa"/>
          </w:tcPr>
          <w:p w14:paraId="6D7C6A06" w14:textId="77777777" w:rsidR="0028692B" w:rsidRPr="009D4860" w:rsidRDefault="0028692B" w:rsidP="00B3337D">
            <w:r w:rsidRPr="009D4860">
              <w:t xml:space="preserve">After coding all the transcripts, EJT sorted codes into potential themes by recognising meaningful repeated patterns and identifying key concepts in the data. To enhance the quality and credibility of the analysis, detailed coding manuals were produced containing names and descriptions of potential themes and subthemes along with example quotes. Two coding manuals were produced – one for GP data and one for 6- and 12-month patient data. These were reviewed with the core team at monthly meetings. </w:t>
            </w:r>
          </w:p>
        </w:tc>
      </w:tr>
      <w:tr w:rsidR="0028692B" w14:paraId="32B91D61" w14:textId="77777777" w:rsidTr="00F501DE">
        <w:tc>
          <w:tcPr>
            <w:tcW w:w="3114" w:type="dxa"/>
          </w:tcPr>
          <w:p w14:paraId="66208AA4" w14:textId="77777777" w:rsidR="0028692B" w:rsidRPr="00F501DE" w:rsidRDefault="0028692B" w:rsidP="00B3337D">
            <w:pPr>
              <w:rPr>
                <w:b/>
                <w:bCs/>
              </w:rPr>
            </w:pPr>
            <w:r w:rsidRPr="00F501DE">
              <w:rPr>
                <w:b/>
                <w:bCs/>
              </w:rPr>
              <w:t xml:space="preserve">Phase 4: </w:t>
            </w:r>
            <w:r>
              <w:rPr>
                <w:b/>
                <w:bCs/>
              </w:rPr>
              <w:t>R</w:t>
            </w:r>
            <w:r w:rsidRPr="00F501DE">
              <w:rPr>
                <w:b/>
                <w:bCs/>
              </w:rPr>
              <w:t>eviewing themes</w:t>
            </w:r>
          </w:p>
        </w:tc>
        <w:tc>
          <w:tcPr>
            <w:tcW w:w="5902" w:type="dxa"/>
          </w:tcPr>
          <w:p w14:paraId="097398C9" w14:textId="77777777" w:rsidR="0028692B" w:rsidRPr="009D4860" w:rsidRDefault="0028692B" w:rsidP="00B3337D">
            <w:r w:rsidRPr="009D4860">
              <w:t xml:space="preserve">Potential themes and sub-themes were discussed with, and iteratively developed by, members of the qualitative team (EJT, </w:t>
            </w:r>
            <w:bookmarkStart w:id="108" w:name="_Int_QlO1LCCQ"/>
            <w:r w:rsidRPr="009D4860">
              <w:t>FB</w:t>
            </w:r>
            <w:bookmarkEnd w:id="108"/>
            <w:r w:rsidRPr="009D4860">
              <w:t xml:space="preserve">, </w:t>
            </w:r>
            <w:bookmarkStart w:id="109" w:name="_Int_o8nwhyxV"/>
            <w:r w:rsidRPr="009D4860">
              <w:t>HE</w:t>
            </w:r>
            <w:bookmarkEnd w:id="109"/>
            <w:r w:rsidRPr="009D4860">
              <w:t xml:space="preserve">, </w:t>
            </w:r>
            <w:bookmarkStart w:id="110" w:name="_Int_VMtuDuNo"/>
            <w:r w:rsidRPr="009D4860">
              <w:t>SA</w:t>
            </w:r>
            <w:bookmarkEnd w:id="110"/>
            <w:r w:rsidRPr="009D4860">
              <w:t xml:space="preserve">) </w:t>
            </w:r>
            <w:bookmarkStart w:id="111" w:name="_Hlk153184563"/>
            <w:r w:rsidRPr="009D4860">
              <w:t xml:space="preserve">and PPI members (MC, EJW) </w:t>
            </w:r>
            <w:bookmarkEnd w:id="111"/>
            <w:r w:rsidRPr="009D4860">
              <w:t xml:space="preserve">to offer diverse interpretations of the data at regular meetings. </w:t>
            </w:r>
            <w:r w:rsidRPr="009D4860">
              <w:rPr>
                <w:noProof/>
                <w:vertAlign w:val="superscript"/>
              </w:rPr>
              <w:t>45 46</w:t>
            </w:r>
            <w:r w:rsidRPr="009D4860">
              <w:t xml:space="preserve"> Reviewing themes for fit with coded extracts and entire data set involved reviewing the original data for relevant incidents for each potential theme and expanding, merging, or generating new themes. A negative case analysis was carried out, which explicitly searched for ideas in the data that were potentially inconsistent with our interpretations. This allowed us to identify and reflect upon important, but rare, views and the limits of the analysis</w:t>
            </w:r>
          </w:p>
        </w:tc>
      </w:tr>
      <w:tr w:rsidR="0028692B" w14:paraId="3DC99B2E" w14:textId="77777777" w:rsidTr="00F501DE">
        <w:tc>
          <w:tcPr>
            <w:tcW w:w="3114" w:type="dxa"/>
          </w:tcPr>
          <w:p w14:paraId="02A8DB39" w14:textId="77777777" w:rsidR="0028692B" w:rsidRPr="00F501DE" w:rsidRDefault="0028692B" w:rsidP="00B3337D">
            <w:pPr>
              <w:rPr>
                <w:b/>
                <w:bCs/>
              </w:rPr>
            </w:pPr>
            <w:r w:rsidRPr="00F501DE">
              <w:rPr>
                <w:b/>
                <w:bCs/>
              </w:rPr>
              <w:t>Phase 5: Defining and naming themes</w:t>
            </w:r>
          </w:p>
        </w:tc>
        <w:tc>
          <w:tcPr>
            <w:tcW w:w="5902" w:type="dxa"/>
          </w:tcPr>
          <w:p w14:paraId="22EECA0A" w14:textId="77777777" w:rsidR="0028692B" w:rsidRDefault="0028692B" w:rsidP="00B3337D">
            <w:r>
              <w:t>M</w:t>
            </w:r>
            <w:r w:rsidRPr="00777D02">
              <w:t xml:space="preserve">atrices and diagramming were used to compare the themes similarities and differences between the 6-month and 12-month </w:t>
            </w:r>
            <w:r>
              <w:t>patient</w:t>
            </w:r>
            <w:r w:rsidRPr="00777D02">
              <w:t xml:space="preserve"> interviews and between the </w:t>
            </w:r>
            <w:r>
              <w:t>patient</w:t>
            </w:r>
            <w:r w:rsidRPr="00777D02">
              <w:t xml:space="preserve"> and GP interviews. Themes were reviewed and refined to form broader cross cutting themes producing an overarching narrative that drew on the </w:t>
            </w:r>
            <w:r>
              <w:t>patient</w:t>
            </w:r>
            <w:r w:rsidRPr="00777D02">
              <w:t xml:space="preserve"> 6</w:t>
            </w:r>
            <w:r>
              <w:t>-</w:t>
            </w:r>
            <w:r w:rsidRPr="00777D02">
              <w:t>m</w:t>
            </w:r>
            <w:r>
              <w:t>onth</w:t>
            </w:r>
            <w:r w:rsidRPr="00777D02">
              <w:t xml:space="preserve">, </w:t>
            </w:r>
            <w:r>
              <w:t xml:space="preserve">patient </w:t>
            </w:r>
            <w:r w:rsidRPr="00777D02">
              <w:t>12</w:t>
            </w:r>
            <w:r>
              <w:t>-</w:t>
            </w:r>
            <w:r w:rsidRPr="00777D02">
              <w:t>m</w:t>
            </w:r>
            <w:r>
              <w:t>onth</w:t>
            </w:r>
            <w:r w:rsidRPr="00777D02">
              <w:t>, and GP interviews.</w:t>
            </w:r>
          </w:p>
        </w:tc>
      </w:tr>
      <w:tr w:rsidR="0028692B" w14:paraId="07456215" w14:textId="77777777" w:rsidTr="00F501DE">
        <w:tc>
          <w:tcPr>
            <w:tcW w:w="3114" w:type="dxa"/>
          </w:tcPr>
          <w:p w14:paraId="7A53115E" w14:textId="77777777" w:rsidR="0028692B" w:rsidRPr="00F501DE" w:rsidRDefault="0028692B" w:rsidP="00B3337D">
            <w:pPr>
              <w:rPr>
                <w:b/>
                <w:bCs/>
              </w:rPr>
            </w:pPr>
            <w:r w:rsidRPr="00F501DE">
              <w:rPr>
                <w:b/>
                <w:bCs/>
              </w:rPr>
              <w:t>Phase 6: Reporting</w:t>
            </w:r>
          </w:p>
        </w:tc>
        <w:tc>
          <w:tcPr>
            <w:tcW w:w="5902" w:type="dxa"/>
          </w:tcPr>
          <w:p w14:paraId="5FCE454C" w14:textId="77777777" w:rsidR="0028692B" w:rsidRDefault="0028692B" w:rsidP="00B3337D">
            <w:r>
              <w:t>Q</w:t>
            </w:r>
            <w:r w:rsidRPr="00777D02">
              <w:t xml:space="preserve">uotes were reviewed and discussed by the qualitative team to provide compelling examples for theme and sub themes and to write up our </w:t>
            </w:r>
            <w:r>
              <w:t xml:space="preserve">findings. </w:t>
            </w:r>
            <w:r w:rsidRPr="00777D02">
              <w:t xml:space="preserve"> </w:t>
            </w:r>
          </w:p>
        </w:tc>
      </w:tr>
    </w:tbl>
    <w:p w14:paraId="0BD08192" w14:textId="77777777" w:rsidR="0028692B" w:rsidRDefault="0028692B">
      <w:pPr>
        <w:rPr>
          <w:b/>
        </w:rPr>
      </w:pPr>
    </w:p>
    <w:p w14:paraId="59076B85" w14:textId="77777777" w:rsidR="0028692B" w:rsidRDefault="0028692B">
      <w:pPr>
        <w:rPr>
          <w:b/>
        </w:rPr>
        <w:sectPr w:rsidR="0028692B" w:rsidSect="0028692B">
          <w:headerReference w:type="default" r:id="rId10"/>
          <w:footerReference w:type="default" r:id="rId11"/>
          <w:headerReference w:type="first" r:id="rId12"/>
          <w:pgSz w:w="11906" w:h="16838"/>
          <w:pgMar w:top="1440" w:right="1440" w:bottom="1440" w:left="1440" w:header="708" w:footer="708" w:gutter="0"/>
          <w:cols w:space="708"/>
          <w:docGrid w:linePitch="360"/>
        </w:sectPr>
      </w:pPr>
    </w:p>
    <w:p w14:paraId="0CB4B0F9" w14:textId="77777777" w:rsidR="0028692B" w:rsidRDefault="0028692B">
      <w:pPr>
        <w:rPr>
          <w:b/>
        </w:rPr>
      </w:pPr>
      <w:r>
        <w:rPr>
          <w:b/>
        </w:rPr>
        <w:lastRenderedPageBreak/>
        <w:t>FIGURES</w:t>
      </w:r>
    </w:p>
    <w:p w14:paraId="0AF60A44" w14:textId="77777777" w:rsidR="0028692B" w:rsidRDefault="0028692B">
      <w:pPr>
        <w:rPr>
          <w:b/>
        </w:rPr>
      </w:pPr>
      <w:r>
        <w:rPr>
          <w:b/>
        </w:rPr>
        <w:t>Figure 1: Key themes</w:t>
      </w:r>
    </w:p>
    <w:p w14:paraId="1BF482F6" w14:textId="77777777" w:rsidR="0028692B" w:rsidRDefault="0028692B">
      <w:pPr>
        <w:rPr>
          <w:b/>
        </w:rPr>
      </w:pPr>
      <w:r>
        <w:rPr>
          <w:noProof/>
        </w:rPr>
        <w:drawing>
          <wp:inline distT="0" distB="0" distL="0" distR="0" wp14:anchorId="680667B7" wp14:editId="58C5C972">
            <wp:extent cx="8669867" cy="48768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678294" cy="4881540"/>
                    </a:xfrm>
                    <a:prstGeom prst="rect">
                      <a:avLst/>
                    </a:prstGeom>
                  </pic:spPr>
                </pic:pic>
              </a:graphicData>
            </a:graphic>
          </wp:inline>
        </w:drawing>
      </w:r>
    </w:p>
    <w:p w14:paraId="0E50C9F2" w14:textId="77777777" w:rsidR="0028692B" w:rsidRDefault="0028692B">
      <w:pPr>
        <w:rPr>
          <w:b/>
        </w:rPr>
      </w:pPr>
      <w:r>
        <w:rPr>
          <w:b/>
        </w:rPr>
        <w:lastRenderedPageBreak/>
        <w:t>Figure 2: Thematic Map</w:t>
      </w:r>
    </w:p>
    <w:p w14:paraId="4C6013B1" w14:textId="77777777" w:rsidR="0028692B" w:rsidRDefault="0028692B">
      <w:pPr>
        <w:rPr>
          <w:b/>
        </w:rPr>
      </w:pPr>
    </w:p>
    <w:tbl>
      <w:tblPr>
        <w:tblStyle w:val="TableGrid"/>
        <w:tblW w:w="0" w:type="auto"/>
        <w:tblLook w:val="04A0" w:firstRow="1" w:lastRow="0" w:firstColumn="1" w:lastColumn="0" w:noHBand="0" w:noVBand="1"/>
      </w:tblPr>
      <w:tblGrid>
        <w:gridCol w:w="3487"/>
        <w:gridCol w:w="3487"/>
        <w:gridCol w:w="1243"/>
        <w:gridCol w:w="5731"/>
      </w:tblGrid>
      <w:tr w:rsidR="0028692B" w14:paraId="73C5557C" w14:textId="77777777" w:rsidTr="00F14812">
        <w:tc>
          <w:tcPr>
            <w:tcW w:w="3487" w:type="dxa"/>
          </w:tcPr>
          <w:p w14:paraId="1CE051C8" w14:textId="77777777" w:rsidR="0028692B" w:rsidRDefault="0028692B" w:rsidP="005446EC">
            <w:pPr>
              <w:jc w:val="center"/>
              <w:rPr>
                <w:b/>
              </w:rPr>
            </w:pPr>
            <w:r>
              <w:rPr>
                <w:b/>
              </w:rPr>
              <w:t>PATIENT 6 AND 12-MONTH CODING</w:t>
            </w:r>
          </w:p>
        </w:tc>
        <w:tc>
          <w:tcPr>
            <w:tcW w:w="3487" w:type="dxa"/>
          </w:tcPr>
          <w:p w14:paraId="64AE2F62" w14:textId="77777777" w:rsidR="0028692B" w:rsidRDefault="0028692B" w:rsidP="005446EC">
            <w:pPr>
              <w:jc w:val="center"/>
              <w:rPr>
                <w:b/>
              </w:rPr>
            </w:pPr>
            <w:r>
              <w:rPr>
                <w:b/>
              </w:rPr>
              <w:t>GP CODING</w:t>
            </w:r>
          </w:p>
        </w:tc>
        <w:tc>
          <w:tcPr>
            <w:tcW w:w="1243" w:type="dxa"/>
          </w:tcPr>
          <w:p w14:paraId="095CB89E" w14:textId="77777777" w:rsidR="0028692B" w:rsidRDefault="0028692B">
            <w:pPr>
              <w:rPr>
                <w:b/>
              </w:rPr>
            </w:pPr>
          </w:p>
        </w:tc>
        <w:tc>
          <w:tcPr>
            <w:tcW w:w="5731" w:type="dxa"/>
            <w:shd w:val="clear" w:color="auto" w:fill="EDEDED" w:themeFill="accent3" w:themeFillTint="33"/>
          </w:tcPr>
          <w:p w14:paraId="45233C19" w14:textId="77777777" w:rsidR="0028692B" w:rsidRPr="00F14812" w:rsidRDefault="0028692B" w:rsidP="00F14812">
            <w:pPr>
              <w:jc w:val="center"/>
              <w:rPr>
                <w:b/>
                <w:i/>
                <w:iCs/>
              </w:rPr>
            </w:pPr>
            <w:r w:rsidRPr="00F14812">
              <w:rPr>
                <w:b/>
                <w:i/>
                <w:iCs/>
              </w:rPr>
              <w:t>Crossing-cutting Themes and subthemes</w:t>
            </w:r>
          </w:p>
        </w:tc>
      </w:tr>
      <w:tr w:rsidR="0028692B" w14:paraId="7EF6CA0B" w14:textId="77777777" w:rsidTr="00F14812">
        <w:tc>
          <w:tcPr>
            <w:tcW w:w="3487" w:type="dxa"/>
          </w:tcPr>
          <w:p w14:paraId="746D5E0B" w14:textId="77777777" w:rsidR="0028692B" w:rsidRPr="009D4860" w:rsidRDefault="0028692B" w:rsidP="002F2A9C">
            <w:pPr>
              <w:jc w:val="center"/>
              <w:rPr>
                <w:bCs/>
              </w:rPr>
            </w:pPr>
            <w:r w:rsidRPr="009D4860">
              <w:rPr>
                <w:bCs/>
              </w:rPr>
              <w:t>PATIENT CONCERNS</w:t>
            </w:r>
          </w:p>
          <w:p w14:paraId="22BDD0B2" w14:textId="77777777" w:rsidR="0028692B" w:rsidRPr="009D4860" w:rsidRDefault="0028692B" w:rsidP="002F2A9C">
            <w:pPr>
              <w:pStyle w:val="ListParagraph"/>
              <w:numPr>
                <w:ilvl w:val="0"/>
                <w:numId w:val="36"/>
              </w:numPr>
              <w:rPr>
                <w:bCs/>
              </w:rPr>
            </w:pPr>
            <w:r w:rsidRPr="009D4860">
              <w:rPr>
                <w:bCs/>
              </w:rPr>
              <w:t>Concerns about experiencing negative effects.</w:t>
            </w:r>
          </w:p>
          <w:p w14:paraId="66FC0A83" w14:textId="77777777" w:rsidR="0028692B" w:rsidRPr="009D4860" w:rsidRDefault="0028692B" w:rsidP="002F2A9C">
            <w:pPr>
              <w:pStyle w:val="ListParagraph"/>
              <w:numPr>
                <w:ilvl w:val="0"/>
                <w:numId w:val="36"/>
              </w:numPr>
              <w:rPr>
                <w:bCs/>
              </w:rPr>
            </w:pPr>
            <w:r w:rsidRPr="009D4860">
              <w:rPr>
                <w:bCs/>
              </w:rPr>
              <w:t>Concerns about social acceptability.</w:t>
            </w:r>
          </w:p>
          <w:p w14:paraId="6E2C393A" w14:textId="77777777" w:rsidR="0028692B" w:rsidRPr="009D4860" w:rsidRDefault="0028692B" w:rsidP="005446EC">
            <w:pPr>
              <w:rPr>
                <w:bCs/>
              </w:rPr>
            </w:pPr>
            <w:r w:rsidRPr="009D4860">
              <w:t>PERCEIVED</w:t>
            </w:r>
            <w:r w:rsidRPr="009D4860">
              <w:rPr>
                <w:bCs/>
              </w:rPr>
              <w:t xml:space="preserve"> FACILITATORS OF ACCEPTABILITY AND UPTAKE</w:t>
            </w:r>
          </w:p>
          <w:p w14:paraId="319C46A7" w14:textId="77777777" w:rsidR="0028692B" w:rsidRPr="009D4860" w:rsidRDefault="0028692B" w:rsidP="00E30E9B">
            <w:pPr>
              <w:pStyle w:val="ListParagraph"/>
              <w:numPr>
                <w:ilvl w:val="0"/>
                <w:numId w:val="41"/>
              </w:numPr>
              <w:rPr>
                <w:bCs/>
              </w:rPr>
            </w:pPr>
            <w:r w:rsidRPr="009D4860">
              <w:rPr>
                <w:bCs/>
              </w:rPr>
              <w:t>Reassured by low dose.</w:t>
            </w:r>
            <w:r w:rsidRPr="009D4860">
              <w:rPr>
                <w:bCs/>
              </w:rPr>
              <w:tab/>
            </w:r>
          </w:p>
          <w:p w14:paraId="534F53C0" w14:textId="77777777" w:rsidR="0028692B" w:rsidRPr="009D4860" w:rsidRDefault="0028692B" w:rsidP="00E30E9B">
            <w:pPr>
              <w:pStyle w:val="ListParagraph"/>
              <w:numPr>
                <w:ilvl w:val="0"/>
                <w:numId w:val="42"/>
              </w:numPr>
              <w:rPr>
                <w:bCs/>
              </w:rPr>
            </w:pPr>
            <w:r w:rsidRPr="009D4860">
              <w:rPr>
                <w:bCs/>
              </w:rPr>
              <w:t>Tablets are easy to take.</w:t>
            </w:r>
            <w:r w:rsidRPr="009D4860">
              <w:rPr>
                <w:bCs/>
              </w:rPr>
              <w:tab/>
            </w:r>
          </w:p>
          <w:p w14:paraId="254CD9D9" w14:textId="77777777" w:rsidR="0028692B" w:rsidRPr="009D4860" w:rsidRDefault="0028692B" w:rsidP="00E30E9B">
            <w:pPr>
              <w:pStyle w:val="ListParagraph"/>
              <w:numPr>
                <w:ilvl w:val="0"/>
                <w:numId w:val="42"/>
              </w:numPr>
              <w:rPr>
                <w:bCs/>
              </w:rPr>
            </w:pPr>
            <w:r w:rsidRPr="009D4860">
              <w:rPr>
                <w:bCs/>
              </w:rPr>
              <w:t>Flexibility of dose adjustment.</w:t>
            </w:r>
          </w:p>
          <w:p w14:paraId="104E1F4B" w14:textId="77777777" w:rsidR="0028692B" w:rsidRPr="009D4860" w:rsidRDefault="0028692B" w:rsidP="00E30E9B">
            <w:pPr>
              <w:pStyle w:val="ListParagraph"/>
              <w:numPr>
                <w:ilvl w:val="0"/>
                <w:numId w:val="42"/>
              </w:numPr>
              <w:rPr>
                <w:b/>
              </w:rPr>
            </w:pPr>
            <w:r w:rsidRPr="009D4860">
              <w:rPr>
                <w:bCs/>
              </w:rPr>
              <w:t>Establishing a daily routine.</w:t>
            </w:r>
          </w:p>
        </w:tc>
        <w:tc>
          <w:tcPr>
            <w:tcW w:w="3487" w:type="dxa"/>
          </w:tcPr>
          <w:p w14:paraId="20134256" w14:textId="77777777" w:rsidR="0028692B" w:rsidRPr="009D4860" w:rsidRDefault="0028692B" w:rsidP="002F2A9C">
            <w:pPr>
              <w:jc w:val="center"/>
            </w:pPr>
            <w:r w:rsidRPr="009D4860">
              <w:t>GP PRESCRIBING CONCERNS</w:t>
            </w:r>
          </w:p>
          <w:p w14:paraId="1DE498AA" w14:textId="77777777" w:rsidR="0028692B" w:rsidRPr="009D4860" w:rsidRDefault="0028692B" w:rsidP="002F2A9C">
            <w:pPr>
              <w:pStyle w:val="ListParagraph"/>
              <w:numPr>
                <w:ilvl w:val="0"/>
                <w:numId w:val="35"/>
              </w:numPr>
              <w:rPr>
                <w:rFonts w:eastAsiaTheme="minorHAnsi"/>
                <w:lang w:eastAsia="en-US"/>
              </w:rPr>
            </w:pPr>
            <w:r w:rsidRPr="009D4860">
              <w:t>Not suitable for everyone</w:t>
            </w:r>
          </w:p>
          <w:p w14:paraId="65C166CE" w14:textId="77777777" w:rsidR="0028692B" w:rsidRPr="009D4860" w:rsidRDefault="0028692B" w:rsidP="002F2A9C">
            <w:pPr>
              <w:pStyle w:val="ListParagraph"/>
              <w:numPr>
                <w:ilvl w:val="0"/>
                <w:numId w:val="35"/>
              </w:numPr>
            </w:pPr>
            <w:r w:rsidRPr="009D4860">
              <w:t>Concern about potential side effects</w:t>
            </w:r>
            <w:r w:rsidRPr="009D4860">
              <w:tab/>
            </w:r>
          </w:p>
          <w:p w14:paraId="4791DDC1" w14:textId="77777777" w:rsidR="0028692B" w:rsidRPr="009D4860" w:rsidRDefault="0028692B" w:rsidP="005446EC">
            <w:r w:rsidRPr="009D4860">
              <w:tab/>
            </w:r>
          </w:p>
          <w:p w14:paraId="41F504B0" w14:textId="77777777" w:rsidR="0028692B" w:rsidRPr="009D4860" w:rsidRDefault="0028692B" w:rsidP="00E30E9B">
            <w:r w:rsidRPr="009D4860">
              <w:t>PERCEIVED GP FACILITATORS OF PATIENT UPTAKE</w:t>
            </w:r>
            <w:r w:rsidRPr="009D4860">
              <w:tab/>
            </w:r>
          </w:p>
          <w:p w14:paraId="6FC1AA07" w14:textId="77777777" w:rsidR="0028692B" w:rsidRPr="009D4860" w:rsidRDefault="0028692B" w:rsidP="00E30E9B">
            <w:pPr>
              <w:pStyle w:val="ListParagraph"/>
              <w:numPr>
                <w:ilvl w:val="0"/>
                <w:numId w:val="43"/>
              </w:numPr>
              <w:rPr>
                <w:rFonts w:eastAsiaTheme="minorHAnsi"/>
                <w:lang w:eastAsia="en-US"/>
              </w:rPr>
            </w:pPr>
            <w:r w:rsidRPr="009D4860">
              <w:t>Being able to reassure patients about low dose and multiple uses of amitriptyline.</w:t>
            </w:r>
          </w:p>
          <w:p w14:paraId="73A4C36E" w14:textId="77777777" w:rsidR="0028692B" w:rsidRPr="009D4860" w:rsidRDefault="0028692B" w:rsidP="002F2A9C">
            <w:pPr>
              <w:pStyle w:val="ListParagraph"/>
              <w:numPr>
                <w:ilvl w:val="0"/>
                <w:numId w:val="43"/>
              </w:numPr>
              <w:rPr>
                <w:rFonts w:eastAsiaTheme="minorHAnsi"/>
                <w:lang w:eastAsia="en-US"/>
              </w:rPr>
            </w:pPr>
            <w:r w:rsidRPr="009D4860">
              <w:t>Allowing patients to adjust dose.</w:t>
            </w:r>
            <w:r w:rsidRPr="009D4860">
              <w:tab/>
            </w:r>
          </w:p>
        </w:tc>
        <w:tc>
          <w:tcPr>
            <w:tcW w:w="1243" w:type="dxa"/>
          </w:tcPr>
          <w:p w14:paraId="12EA3A97" w14:textId="77777777" w:rsidR="0028692B" w:rsidRPr="009D4860" w:rsidRDefault="0028692B">
            <w:pPr>
              <w:rPr>
                <w:b/>
              </w:rPr>
            </w:pPr>
            <w:r w:rsidRPr="009D4860">
              <w:rPr>
                <w:b/>
                <w:noProof/>
                <w:lang w:eastAsia="en-GB"/>
              </w:rPr>
              <mc:AlternateContent>
                <mc:Choice Requires="wps">
                  <w:drawing>
                    <wp:anchor distT="0" distB="0" distL="114300" distR="114300" simplePos="0" relativeHeight="251659264" behindDoc="0" locked="0" layoutInCell="1" allowOverlap="1" wp14:anchorId="36CDFED2" wp14:editId="17B5810E">
                      <wp:simplePos x="0" y="0"/>
                      <wp:positionH relativeFrom="column">
                        <wp:posOffset>43180</wp:posOffset>
                      </wp:positionH>
                      <wp:positionV relativeFrom="paragraph">
                        <wp:posOffset>1061085</wp:posOffset>
                      </wp:positionV>
                      <wp:extent cx="571500" cy="247650"/>
                      <wp:effectExtent l="0" t="19050" r="38100" b="38100"/>
                      <wp:wrapNone/>
                      <wp:docPr id="16" name="Arrow: Right 16"/>
                      <wp:cNvGraphicFramePr/>
                      <a:graphic xmlns:a="http://schemas.openxmlformats.org/drawingml/2006/main">
                        <a:graphicData uri="http://schemas.microsoft.com/office/word/2010/wordprocessingShape">
                          <wps:wsp>
                            <wps:cNvSpPr/>
                            <wps:spPr>
                              <a:xfrm>
                                <a:off x="0" y="0"/>
                                <a:ext cx="57150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E49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3.4pt;margin-top:83.55pt;width:4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" adj="16920" fillcolor="#4472c4 [3204]" strokecolor="#1f3763 [1604]" strokeweight="1pt"/>
                  </w:pict>
                </mc:Fallback>
              </mc:AlternateContent>
            </w:r>
          </w:p>
        </w:tc>
        <w:tc>
          <w:tcPr>
            <w:tcW w:w="5731" w:type="dxa"/>
            <w:shd w:val="clear" w:color="auto" w:fill="EDEDED" w:themeFill="accent3" w:themeFillTint="33"/>
          </w:tcPr>
          <w:p w14:paraId="3ED66E6D" w14:textId="77777777" w:rsidR="0028692B" w:rsidRPr="009D4860" w:rsidRDefault="0028692B" w:rsidP="005446EC">
            <w:pPr>
              <w:jc w:val="center"/>
              <w:rPr>
                <w:b/>
                <w:bCs/>
                <w:i/>
                <w:lang w:val="en"/>
              </w:rPr>
            </w:pPr>
            <w:r w:rsidRPr="009D4860">
              <w:rPr>
                <w:b/>
                <w:bCs/>
                <w:i/>
                <w:lang w:val="en"/>
              </w:rPr>
              <w:t>Addressing concerns about amitriptyline being an antidepressant</w:t>
            </w:r>
          </w:p>
          <w:p w14:paraId="43570E95" w14:textId="77777777" w:rsidR="0028692B" w:rsidRPr="009D4860" w:rsidRDefault="0028692B" w:rsidP="005446EC">
            <w:pPr>
              <w:rPr>
                <w:color w:val="0070C0"/>
                <w:lang w:val="en"/>
              </w:rPr>
            </w:pPr>
            <w:r w:rsidRPr="009D4860">
              <w:rPr>
                <w:b/>
                <w:bCs/>
                <w:i/>
                <w:iCs/>
                <w:color w:val="0070C0"/>
                <w:lang w:val="en"/>
              </w:rPr>
              <w:t xml:space="preserve">Concerns </w:t>
            </w:r>
          </w:p>
          <w:p w14:paraId="7DD752CD" w14:textId="77777777" w:rsidR="0028692B" w:rsidRPr="009D4860" w:rsidRDefault="0028692B" w:rsidP="005446EC">
            <w:pPr>
              <w:pStyle w:val="ListParagraph"/>
              <w:numPr>
                <w:ilvl w:val="0"/>
                <w:numId w:val="34"/>
              </w:numPr>
              <w:rPr>
                <w:rFonts w:cstheme="minorHAnsi"/>
              </w:rPr>
            </w:pPr>
            <w:r w:rsidRPr="009D4860">
              <w:rPr>
                <w:rFonts w:cstheme="minorHAnsi"/>
              </w:rPr>
              <w:t>Concern about adverse psychological effects.</w:t>
            </w:r>
          </w:p>
          <w:p w14:paraId="48907929" w14:textId="77777777" w:rsidR="0028692B" w:rsidRPr="009D4860" w:rsidRDefault="0028692B" w:rsidP="005446EC">
            <w:pPr>
              <w:pStyle w:val="ListParagraph"/>
              <w:numPr>
                <w:ilvl w:val="0"/>
                <w:numId w:val="34"/>
              </w:numPr>
            </w:pPr>
            <w:r w:rsidRPr="009D4860">
              <w:t>Perceived social stigma.</w:t>
            </w:r>
          </w:p>
          <w:p w14:paraId="6984E8F1" w14:textId="77777777" w:rsidR="0028692B" w:rsidRPr="009D4860" w:rsidRDefault="0028692B" w:rsidP="002F2A9C">
            <w:pPr>
              <w:rPr>
                <w:b/>
                <w:i/>
                <w:iCs/>
                <w:color w:val="0070C0"/>
              </w:rPr>
            </w:pPr>
            <w:r w:rsidRPr="009D4860">
              <w:rPr>
                <w:b/>
                <w:i/>
                <w:iCs/>
                <w:color w:val="0070C0"/>
              </w:rPr>
              <w:t>Facilitators</w:t>
            </w:r>
          </w:p>
          <w:p w14:paraId="2AE95798" w14:textId="77777777" w:rsidR="0028692B" w:rsidRPr="009D4860" w:rsidRDefault="0028692B" w:rsidP="002F2A9C">
            <w:pPr>
              <w:pStyle w:val="ListParagraph"/>
              <w:numPr>
                <w:ilvl w:val="0"/>
                <w:numId w:val="39"/>
              </w:numPr>
              <w:rPr>
                <w:bCs/>
              </w:rPr>
            </w:pPr>
            <w:r w:rsidRPr="009D4860">
              <w:rPr>
                <w:bCs/>
              </w:rPr>
              <w:t>Distinguishing amitriptyline for IBS for traditional antidepressant use:</w:t>
            </w:r>
          </w:p>
          <w:p w14:paraId="54D2273A" w14:textId="77777777" w:rsidR="0028692B" w:rsidRPr="009D4860" w:rsidRDefault="0028692B" w:rsidP="002F2A9C">
            <w:pPr>
              <w:pStyle w:val="ListParagraph"/>
              <w:numPr>
                <w:ilvl w:val="1"/>
                <w:numId w:val="40"/>
              </w:numPr>
              <w:rPr>
                <w:bCs/>
              </w:rPr>
            </w:pPr>
            <w:r w:rsidRPr="009D4860">
              <w:rPr>
                <w:bCs/>
              </w:rPr>
              <w:t xml:space="preserve">Acknowledging the low dosage </w:t>
            </w:r>
          </w:p>
          <w:p w14:paraId="1D37C113" w14:textId="77777777" w:rsidR="0028692B" w:rsidRPr="009D4860" w:rsidRDefault="0028692B" w:rsidP="002F2A9C">
            <w:pPr>
              <w:pStyle w:val="ListParagraph"/>
              <w:numPr>
                <w:ilvl w:val="1"/>
                <w:numId w:val="40"/>
              </w:numPr>
              <w:rPr>
                <w:b/>
              </w:rPr>
            </w:pPr>
            <w:r w:rsidRPr="009D4860">
              <w:rPr>
                <w:bCs/>
              </w:rPr>
              <w:t>Emphasising ease and flexibility of treatment</w:t>
            </w:r>
          </w:p>
        </w:tc>
      </w:tr>
      <w:tr w:rsidR="0028692B" w14:paraId="2D7FD88B" w14:textId="77777777" w:rsidTr="00F14812">
        <w:tc>
          <w:tcPr>
            <w:tcW w:w="3487" w:type="dxa"/>
          </w:tcPr>
          <w:p w14:paraId="5CB20786" w14:textId="77777777" w:rsidR="0028692B" w:rsidRPr="009D4860" w:rsidRDefault="0028692B" w:rsidP="00F14812">
            <w:pPr>
              <w:jc w:val="center"/>
              <w:rPr>
                <w:bCs/>
              </w:rPr>
            </w:pPr>
            <w:r w:rsidRPr="009D4860">
              <w:rPr>
                <w:bCs/>
              </w:rPr>
              <w:t>PATIENT CONCERNS</w:t>
            </w:r>
          </w:p>
          <w:p w14:paraId="34D77F84" w14:textId="77777777" w:rsidR="0028692B" w:rsidRPr="009D4860" w:rsidRDefault="0028692B" w:rsidP="00E30E9B">
            <w:pPr>
              <w:pStyle w:val="ListParagraph"/>
              <w:numPr>
                <w:ilvl w:val="0"/>
                <w:numId w:val="36"/>
              </w:numPr>
              <w:rPr>
                <w:bCs/>
              </w:rPr>
            </w:pPr>
            <w:r w:rsidRPr="009D4860">
              <w:rPr>
                <w:bCs/>
              </w:rPr>
              <w:t>Concerns about experiencing negative effects.</w:t>
            </w:r>
          </w:p>
          <w:p w14:paraId="4A43AAA4" w14:textId="77777777" w:rsidR="0028692B" w:rsidRPr="009D4860" w:rsidRDefault="0028692B" w:rsidP="00E30E9B">
            <w:pPr>
              <w:pStyle w:val="ListParagraph"/>
              <w:numPr>
                <w:ilvl w:val="0"/>
                <w:numId w:val="36"/>
              </w:numPr>
              <w:rPr>
                <w:bCs/>
              </w:rPr>
            </w:pPr>
            <w:r w:rsidRPr="009D4860">
              <w:rPr>
                <w:bCs/>
              </w:rPr>
              <w:t>Concerns about taking long-term medication.</w:t>
            </w:r>
          </w:p>
          <w:p w14:paraId="20F63E8E" w14:textId="77777777" w:rsidR="0028692B" w:rsidRPr="009D4860" w:rsidRDefault="0028692B" w:rsidP="00E30E9B">
            <w:pPr>
              <w:rPr>
                <w:bCs/>
              </w:rPr>
            </w:pPr>
            <w:r w:rsidRPr="009D4860">
              <w:t>PERCEIVED</w:t>
            </w:r>
            <w:r w:rsidRPr="009D4860">
              <w:rPr>
                <w:bCs/>
              </w:rPr>
              <w:t xml:space="preserve"> FACILITATORS OF ACCEPTABILITY AND UPTAKE</w:t>
            </w:r>
            <w:r w:rsidRPr="009D4860">
              <w:rPr>
                <w:bCs/>
              </w:rPr>
              <w:tab/>
            </w:r>
          </w:p>
          <w:p w14:paraId="21CA936C" w14:textId="77777777" w:rsidR="0028692B" w:rsidRPr="009D4860" w:rsidRDefault="0028692B" w:rsidP="00F14812">
            <w:pPr>
              <w:pStyle w:val="ListParagraph"/>
              <w:numPr>
                <w:ilvl w:val="0"/>
                <w:numId w:val="46"/>
              </w:numPr>
              <w:rPr>
                <w:bCs/>
              </w:rPr>
            </w:pPr>
            <w:r w:rsidRPr="009D4860">
              <w:rPr>
                <w:bCs/>
              </w:rPr>
              <w:t>Familiarity of amitriptyline.</w:t>
            </w:r>
            <w:r w:rsidRPr="009D4860">
              <w:rPr>
                <w:bCs/>
              </w:rPr>
              <w:tab/>
            </w:r>
          </w:p>
          <w:p w14:paraId="738654CC" w14:textId="77777777" w:rsidR="0028692B" w:rsidRPr="009D4860" w:rsidRDefault="0028692B" w:rsidP="00F14812">
            <w:pPr>
              <w:pStyle w:val="ListParagraph"/>
              <w:numPr>
                <w:ilvl w:val="0"/>
                <w:numId w:val="46"/>
              </w:numPr>
              <w:rPr>
                <w:b/>
              </w:rPr>
            </w:pPr>
            <w:r w:rsidRPr="009D4860">
              <w:rPr>
                <w:bCs/>
              </w:rPr>
              <w:t>Amitriptyline seen to have other potential benefits.</w:t>
            </w:r>
            <w:r w:rsidRPr="009D4860">
              <w:rPr>
                <w:bCs/>
              </w:rPr>
              <w:tab/>
            </w:r>
          </w:p>
        </w:tc>
        <w:tc>
          <w:tcPr>
            <w:tcW w:w="3487" w:type="dxa"/>
          </w:tcPr>
          <w:p w14:paraId="037009A7" w14:textId="77777777" w:rsidR="0028692B" w:rsidRPr="009D4860" w:rsidRDefault="0028692B" w:rsidP="00F14812">
            <w:pPr>
              <w:jc w:val="center"/>
            </w:pPr>
            <w:r w:rsidRPr="009D4860">
              <w:t>GP PRESCRIBING CONCERNS</w:t>
            </w:r>
          </w:p>
          <w:p w14:paraId="7C2F02BD" w14:textId="77777777" w:rsidR="0028692B" w:rsidRPr="009D4860" w:rsidRDefault="0028692B" w:rsidP="00F14812">
            <w:pPr>
              <w:pStyle w:val="ListParagraph"/>
              <w:numPr>
                <w:ilvl w:val="0"/>
                <w:numId w:val="45"/>
              </w:numPr>
              <w:rPr>
                <w:rFonts w:eastAsiaTheme="minorHAnsi"/>
                <w:lang w:eastAsia="en-US"/>
              </w:rPr>
            </w:pPr>
            <w:r w:rsidRPr="009D4860">
              <w:t>Concerns about polypharmacy.</w:t>
            </w:r>
          </w:p>
          <w:p w14:paraId="3288F9E8" w14:textId="77777777" w:rsidR="0028692B" w:rsidRPr="009D4860" w:rsidRDefault="0028692B" w:rsidP="00F14812">
            <w:pPr>
              <w:pStyle w:val="ListParagraph"/>
              <w:numPr>
                <w:ilvl w:val="0"/>
                <w:numId w:val="45"/>
              </w:numPr>
              <w:rPr>
                <w:rFonts w:eastAsiaTheme="minorHAnsi"/>
                <w:lang w:eastAsia="en-US"/>
              </w:rPr>
            </w:pPr>
            <w:r w:rsidRPr="009D4860">
              <w:t xml:space="preserve">Concerns about increased administrative burden. </w:t>
            </w:r>
          </w:p>
          <w:p w14:paraId="4BE80CD3" w14:textId="77777777" w:rsidR="0028692B" w:rsidRPr="009D4860" w:rsidRDefault="0028692B" w:rsidP="00E30E9B">
            <w:pPr>
              <w:pStyle w:val="ListParagraph"/>
              <w:numPr>
                <w:ilvl w:val="0"/>
                <w:numId w:val="45"/>
              </w:numPr>
            </w:pPr>
            <w:r w:rsidRPr="009D4860">
              <w:t>Concern about potential side effects.</w:t>
            </w:r>
            <w:r w:rsidRPr="009D4860">
              <w:tab/>
            </w:r>
          </w:p>
          <w:p w14:paraId="2040E8CD" w14:textId="77777777" w:rsidR="0028692B" w:rsidRPr="009D4860" w:rsidRDefault="0028692B" w:rsidP="000A5C3B">
            <w:r w:rsidRPr="009D4860">
              <w:t xml:space="preserve">PERCEIVED FACILITATORS OF GP PRESCRIBING </w:t>
            </w:r>
          </w:p>
          <w:p w14:paraId="752FB465" w14:textId="77777777" w:rsidR="0028692B" w:rsidRPr="009D4860" w:rsidRDefault="0028692B" w:rsidP="00F14812">
            <w:pPr>
              <w:pStyle w:val="ListParagraph"/>
              <w:numPr>
                <w:ilvl w:val="0"/>
                <w:numId w:val="47"/>
              </w:numPr>
              <w:rPr>
                <w:b/>
              </w:rPr>
            </w:pPr>
            <w:r w:rsidRPr="009D4860">
              <w:t>Familiarity of amitriptyline</w:t>
            </w:r>
          </w:p>
          <w:p w14:paraId="4228822C" w14:textId="77777777" w:rsidR="0028692B" w:rsidRPr="009D4860" w:rsidRDefault="0028692B" w:rsidP="00F14812">
            <w:pPr>
              <w:pStyle w:val="ListParagraph"/>
              <w:numPr>
                <w:ilvl w:val="0"/>
                <w:numId w:val="47"/>
              </w:numPr>
              <w:rPr>
                <w:b/>
              </w:rPr>
            </w:pPr>
            <w:r w:rsidRPr="009D4860">
              <w:lastRenderedPageBreak/>
              <w:t>Reassuring patients of other potential benefits</w:t>
            </w:r>
          </w:p>
        </w:tc>
        <w:tc>
          <w:tcPr>
            <w:tcW w:w="1243" w:type="dxa"/>
          </w:tcPr>
          <w:p w14:paraId="2716B903" w14:textId="77777777" w:rsidR="0028692B" w:rsidRPr="009D4860" w:rsidRDefault="0028692B" w:rsidP="00E30E9B">
            <w:pPr>
              <w:rPr>
                <w:b/>
              </w:rPr>
            </w:pPr>
            <w:r w:rsidRPr="009D4860">
              <w:rPr>
                <w:b/>
                <w:noProof/>
                <w:lang w:eastAsia="en-GB"/>
              </w:rPr>
              <w:lastRenderedPageBreak/>
              <mc:AlternateContent>
                <mc:Choice Requires="wps">
                  <w:drawing>
                    <wp:anchor distT="0" distB="0" distL="114300" distR="114300" simplePos="0" relativeHeight="251660288" behindDoc="0" locked="0" layoutInCell="1" allowOverlap="1" wp14:anchorId="2924A37F" wp14:editId="7DA0F575">
                      <wp:simplePos x="0" y="0"/>
                      <wp:positionH relativeFrom="column">
                        <wp:posOffset>43180</wp:posOffset>
                      </wp:positionH>
                      <wp:positionV relativeFrom="paragraph">
                        <wp:posOffset>1061085</wp:posOffset>
                      </wp:positionV>
                      <wp:extent cx="571500" cy="247650"/>
                      <wp:effectExtent l="0" t="19050" r="38100" b="38100"/>
                      <wp:wrapNone/>
                      <wp:docPr id="17" name="Arrow: Right 17"/>
                      <wp:cNvGraphicFramePr/>
                      <a:graphic xmlns:a="http://schemas.openxmlformats.org/drawingml/2006/main">
                        <a:graphicData uri="http://schemas.microsoft.com/office/word/2010/wordprocessingShape">
                          <wps:wsp>
                            <wps:cNvSpPr/>
                            <wps:spPr>
                              <a:xfrm>
                                <a:off x="0" y="0"/>
                                <a:ext cx="57150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5230" id="Arrow: Right 17" o:spid="_x0000_s1026" type="#_x0000_t13" style="position:absolute;margin-left:3.4pt;margin-top:83.55pt;width:4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" adj="16920" fillcolor="#4472c4 [3204]" strokecolor="#1f3763 [1604]" strokeweight="1pt"/>
                  </w:pict>
                </mc:Fallback>
              </mc:AlternateContent>
            </w:r>
          </w:p>
        </w:tc>
        <w:tc>
          <w:tcPr>
            <w:tcW w:w="5731" w:type="dxa"/>
            <w:shd w:val="clear" w:color="auto" w:fill="EDEDED" w:themeFill="accent3" w:themeFillTint="33"/>
          </w:tcPr>
          <w:p w14:paraId="2DC47890" w14:textId="77777777" w:rsidR="0028692B" w:rsidRPr="009D4860" w:rsidRDefault="0028692B" w:rsidP="00E30E9B">
            <w:pPr>
              <w:jc w:val="center"/>
              <w:rPr>
                <w:b/>
                <w:bCs/>
                <w:i/>
                <w:lang w:val="en"/>
              </w:rPr>
            </w:pPr>
            <w:r w:rsidRPr="009D4860">
              <w:rPr>
                <w:b/>
                <w:bCs/>
                <w:i/>
                <w:lang w:val="en"/>
              </w:rPr>
              <w:t>Addressing concerns about long-term medication for IBS</w:t>
            </w:r>
          </w:p>
          <w:p w14:paraId="6552094C" w14:textId="77777777" w:rsidR="0028692B" w:rsidRPr="009D4860" w:rsidRDefault="0028692B" w:rsidP="00E30E9B">
            <w:pPr>
              <w:rPr>
                <w:color w:val="0070C0"/>
                <w:lang w:val="en"/>
              </w:rPr>
            </w:pPr>
            <w:r w:rsidRPr="009D4860">
              <w:rPr>
                <w:b/>
                <w:bCs/>
                <w:i/>
                <w:iCs/>
                <w:color w:val="0070C0"/>
                <w:lang w:val="en"/>
              </w:rPr>
              <w:t>Concerns</w:t>
            </w:r>
          </w:p>
          <w:p w14:paraId="173B9269" w14:textId="77777777" w:rsidR="0028692B" w:rsidRPr="009D4860" w:rsidRDefault="0028692B" w:rsidP="00E30E9B">
            <w:pPr>
              <w:pStyle w:val="ListParagraph"/>
              <w:numPr>
                <w:ilvl w:val="0"/>
                <w:numId w:val="34"/>
              </w:numPr>
              <w:rPr>
                <w:rFonts w:eastAsiaTheme="minorHAnsi"/>
                <w:lang w:eastAsia="en-US"/>
              </w:rPr>
            </w:pPr>
            <w:r w:rsidRPr="009D4860">
              <w:t xml:space="preserve">Reluctance to ‘medicalise’ IBS. </w:t>
            </w:r>
          </w:p>
          <w:p w14:paraId="636C8BE7" w14:textId="77777777" w:rsidR="0028692B" w:rsidRPr="009D4860" w:rsidRDefault="0028692B" w:rsidP="00E30E9B">
            <w:pPr>
              <w:pStyle w:val="ListParagraph"/>
              <w:numPr>
                <w:ilvl w:val="0"/>
                <w:numId w:val="34"/>
              </w:numPr>
              <w:rPr>
                <w:rFonts w:eastAsiaTheme="minorHAnsi"/>
                <w:lang w:eastAsia="en-US"/>
              </w:rPr>
            </w:pPr>
            <w:r w:rsidRPr="009D4860">
              <w:t>Concerns about patient tolerability of side effects</w:t>
            </w:r>
            <w:r w:rsidRPr="009D4860">
              <w:rPr>
                <w:b/>
                <w:i/>
                <w:iCs/>
                <w:color w:val="0070C0"/>
              </w:rPr>
              <w:t xml:space="preserve"> </w:t>
            </w:r>
            <w:r w:rsidRPr="009D4860">
              <w:rPr>
                <w:bCs/>
              </w:rPr>
              <w:t>and antic</w:t>
            </w:r>
            <w:r w:rsidRPr="009D4860">
              <w:t xml:space="preserve">holinergic burden in older patients. </w:t>
            </w:r>
          </w:p>
          <w:p w14:paraId="563FFAE1" w14:textId="77777777" w:rsidR="0028692B" w:rsidRPr="009D4860" w:rsidRDefault="0028692B" w:rsidP="00E30E9B">
            <w:pPr>
              <w:rPr>
                <w:b/>
                <w:i/>
                <w:iCs/>
                <w:color w:val="0070C0"/>
              </w:rPr>
            </w:pPr>
            <w:r w:rsidRPr="009D4860">
              <w:rPr>
                <w:b/>
                <w:i/>
                <w:iCs/>
                <w:color w:val="0070C0"/>
              </w:rPr>
              <w:t xml:space="preserve">Facilitators </w:t>
            </w:r>
          </w:p>
          <w:p w14:paraId="6F885B08" w14:textId="77777777" w:rsidR="0028692B" w:rsidRPr="009D4860" w:rsidRDefault="0028692B" w:rsidP="00F14812">
            <w:pPr>
              <w:pStyle w:val="ListParagraph"/>
              <w:numPr>
                <w:ilvl w:val="0"/>
                <w:numId w:val="44"/>
              </w:numPr>
              <w:rPr>
                <w:bCs/>
              </w:rPr>
            </w:pPr>
            <w:r w:rsidRPr="009D4860">
              <w:rPr>
                <w:bCs/>
              </w:rPr>
              <w:t>Feeling reassured by familiarity of Amitriptyline</w:t>
            </w:r>
          </w:p>
          <w:p w14:paraId="5D19452E" w14:textId="77777777" w:rsidR="0028692B" w:rsidRPr="009D4860" w:rsidRDefault="0028692B" w:rsidP="00F14812">
            <w:pPr>
              <w:pStyle w:val="ListParagraph"/>
              <w:numPr>
                <w:ilvl w:val="0"/>
                <w:numId w:val="44"/>
              </w:numPr>
              <w:rPr>
                <w:bCs/>
              </w:rPr>
            </w:pPr>
            <w:r w:rsidRPr="009D4860">
              <w:rPr>
                <w:lang w:val="en"/>
              </w:rPr>
              <w:t>Recognising potential benefits beyond IBS symptom relief</w:t>
            </w:r>
          </w:p>
        </w:tc>
      </w:tr>
      <w:tr w:rsidR="0028692B" w14:paraId="184897CE" w14:textId="77777777" w:rsidTr="00F14812">
        <w:tc>
          <w:tcPr>
            <w:tcW w:w="3487" w:type="dxa"/>
          </w:tcPr>
          <w:p w14:paraId="1CA31661" w14:textId="77777777" w:rsidR="0028692B" w:rsidRPr="005446EC" w:rsidRDefault="0028692B" w:rsidP="00E30E9B">
            <w:pPr>
              <w:rPr>
                <w:b/>
              </w:rPr>
            </w:pPr>
          </w:p>
          <w:p w14:paraId="379E3E76" w14:textId="77777777" w:rsidR="0028692B" w:rsidRPr="00F14812" w:rsidRDefault="0028692B" w:rsidP="00F14812">
            <w:pPr>
              <w:pStyle w:val="ListParagraph"/>
              <w:numPr>
                <w:ilvl w:val="0"/>
                <w:numId w:val="44"/>
              </w:numPr>
              <w:rPr>
                <w:bCs/>
              </w:rPr>
            </w:pPr>
            <w:r w:rsidRPr="00F14812">
              <w:rPr>
                <w:bCs/>
              </w:rPr>
              <w:t>Prior unsuccessful treatment (unresolved IBS symptoms)</w:t>
            </w:r>
            <w:r>
              <w:rPr>
                <w:bCs/>
              </w:rPr>
              <w:t>.</w:t>
            </w:r>
          </w:p>
          <w:p w14:paraId="4CCF09B0" w14:textId="77777777" w:rsidR="0028692B" w:rsidRPr="00F14812" w:rsidRDefault="0028692B" w:rsidP="00F14812">
            <w:pPr>
              <w:pStyle w:val="ListParagraph"/>
              <w:numPr>
                <w:ilvl w:val="0"/>
                <w:numId w:val="44"/>
              </w:numPr>
              <w:rPr>
                <w:b/>
              </w:rPr>
            </w:pPr>
            <w:r w:rsidRPr="00F14812">
              <w:rPr>
                <w:bCs/>
              </w:rPr>
              <w:t>Desire to cure IBS</w:t>
            </w:r>
            <w:r>
              <w:rPr>
                <w:bCs/>
              </w:rPr>
              <w:t>.</w:t>
            </w:r>
          </w:p>
        </w:tc>
        <w:tc>
          <w:tcPr>
            <w:tcW w:w="3487" w:type="dxa"/>
          </w:tcPr>
          <w:p w14:paraId="3DB37017" w14:textId="77777777" w:rsidR="0028692B" w:rsidRDefault="0028692B" w:rsidP="00E30E9B">
            <w:r>
              <w:tab/>
            </w:r>
          </w:p>
          <w:p w14:paraId="27E00351" w14:textId="77777777" w:rsidR="0028692B" w:rsidRDefault="0028692B" w:rsidP="00F14812">
            <w:pPr>
              <w:pStyle w:val="ListParagraph"/>
              <w:numPr>
                <w:ilvl w:val="0"/>
                <w:numId w:val="48"/>
              </w:numPr>
            </w:pPr>
            <w:r>
              <w:t>Able to offer another treatment option.</w:t>
            </w:r>
            <w:r>
              <w:tab/>
            </w:r>
          </w:p>
          <w:p w14:paraId="57EBEF8C" w14:textId="77777777" w:rsidR="0028692B" w:rsidRDefault="0028692B" w:rsidP="00F14812">
            <w:pPr>
              <w:pStyle w:val="ListParagraph"/>
              <w:numPr>
                <w:ilvl w:val="0"/>
                <w:numId w:val="48"/>
              </w:numPr>
            </w:pPr>
            <w:r>
              <w:t>Being able to provide reliable patient information.</w:t>
            </w:r>
            <w:r>
              <w:tab/>
            </w:r>
          </w:p>
          <w:p w14:paraId="1151C5BF" w14:textId="77777777" w:rsidR="0028692B" w:rsidRDefault="0028692B" w:rsidP="00E30E9B">
            <w:pPr>
              <w:rPr>
                <w:b/>
              </w:rPr>
            </w:pPr>
          </w:p>
        </w:tc>
        <w:tc>
          <w:tcPr>
            <w:tcW w:w="1243" w:type="dxa"/>
          </w:tcPr>
          <w:p w14:paraId="091BFBD8" w14:textId="77777777" w:rsidR="0028692B" w:rsidRDefault="0028692B" w:rsidP="00E30E9B">
            <w:pPr>
              <w:rPr>
                <w:b/>
              </w:rPr>
            </w:pPr>
            <w:r>
              <w:rPr>
                <w:b/>
                <w:noProof/>
                <w:lang w:eastAsia="en-GB"/>
              </w:rPr>
              <mc:AlternateContent>
                <mc:Choice Requires="wps">
                  <w:drawing>
                    <wp:anchor distT="0" distB="0" distL="114300" distR="114300" simplePos="0" relativeHeight="251661312" behindDoc="0" locked="0" layoutInCell="1" allowOverlap="1" wp14:anchorId="22F57DCB" wp14:editId="3EE7AAFD">
                      <wp:simplePos x="0" y="0"/>
                      <wp:positionH relativeFrom="column">
                        <wp:posOffset>32385</wp:posOffset>
                      </wp:positionH>
                      <wp:positionV relativeFrom="paragraph">
                        <wp:posOffset>654685</wp:posOffset>
                      </wp:positionV>
                      <wp:extent cx="571500" cy="247650"/>
                      <wp:effectExtent l="0" t="19050" r="38100" b="38100"/>
                      <wp:wrapNone/>
                      <wp:docPr id="18" name="Arrow: Right 18"/>
                      <wp:cNvGraphicFramePr/>
                      <a:graphic xmlns:a="http://schemas.openxmlformats.org/drawingml/2006/main">
                        <a:graphicData uri="http://schemas.microsoft.com/office/word/2010/wordprocessingShape">
                          <wps:wsp>
                            <wps:cNvSpPr/>
                            <wps:spPr>
                              <a:xfrm>
                                <a:off x="0" y="0"/>
                                <a:ext cx="57150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C99D" id="Arrow: Right 18" o:spid="_x0000_s1026" type="#_x0000_t13" style="position:absolute;margin-left:2.55pt;margin-top:51.55pt;width:4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" adj="16920" fillcolor="#5b9bd5" strokecolor="#41719c" strokeweight="1pt"/>
                  </w:pict>
                </mc:Fallback>
              </mc:AlternateContent>
            </w:r>
          </w:p>
        </w:tc>
        <w:tc>
          <w:tcPr>
            <w:tcW w:w="5731" w:type="dxa"/>
            <w:shd w:val="clear" w:color="auto" w:fill="EDEDED" w:themeFill="accent3" w:themeFillTint="33"/>
          </w:tcPr>
          <w:p w14:paraId="11993D93" w14:textId="77777777" w:rsidR="0028692B" w:rsidRPr="00F14812" w:rsidRDefault="0028692B" w:rsidP="00F14812">
            <w:pPr>
              <w:spacing w:line="360" w:lineRule="auto"/>
              <w:jc w:val="center"/>
              <w:rPr>
                <w:b/>
                <w:bCs/>
                <w:i/>
                <w:iCs/>
              </w:rPr>
            </w:pPr>
            <w:r w:rsidRPr="00F14812">
              <w:rPr>
                <w:b/>
                <w:bCs/>
                <w:i/>
                <w:iCs/>
              </w:rPr>
              <w:t>Meeting the desire for a novel approach to IBS</w:t>
            </w:r>
          </w:p>
          <w:p w14:paraId="3EDBFB68" w14:textId="77777777" w:rsidR="0028692B" w:rsidRDefault="0028692B" w:rsidP="00E30E9B">
            <w:pPr>
              <w:rPr>
                <w:b/>
              </w:rPr>
            </w:pPr>
          </w:p>
        </w:tc>
      </w:tr>
    </w:tbl>
    <w:p w14:paraId="33F47734" w14:textId="77777777" w:rsidR="0028692B" w:rsidRDefault="0028692B">
      <w:pPr>
        <w:rPr>
          <w:b/>
        </w:rPr>
      </w:pPr>
    </w:p>
    <w:p w14:paraId="448DD6AA" w14:textId="77777777" w:rsidR="0028692B" w:rsidRDefault="0028692B">
      <w:pPr>
        <w:rPr>
          <w:b/>
        </w:rPr>
      </w:pPr>
    </w:p>
    <w:p w14:paraId="10710A42" w14:textId="77777777" w:rsidR="0028692B" w:rsidRDefault="0028692B">
      <w:pPr>
        <w:rPr>
          <w:b/>
        </w:rPr>
      </w:pPr>
    </w:p>
    <w:p w14:paraId="5BA338ED" w14:textId="77777777" w:rsidR="0028692B" w:rsidRPr="00AE2D1D" w:rsidRDefault="0028692B">
      <w:pPr>
        <w:rPr>
          <w:b/>
        </w:rPr>
      </w:pPr>
    </w:p>
    <w:p w14:paraId="1FCBC9B8" w14:textId="77777777" w:rsidR="00C45F71" w:rsidRDefault="00C45F71"/>
    <w:sectPr w:rsidR="00C45F71" w:rsidSect="0028692B">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7B4D8" w14:textId="77777777" w:rsidR="006B5137" w:rsidRDefault="006B5137">
      <w:pPr>
        <w:spacing w:after="0" w:line="240" w:lineRule="auto"/>
      </w:pPr>
      <w:r>
        <w:separator/>
      </w:r>
    </w:p>
  </w:endnote>
  <w:endnote w:type="continuationSeparator" w:id="0">
    <w:p w14:paraId="79348DEE" w14:textId="77777777" w:rsidR="006B5137" w:rsidRDefault="006B5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IN-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942137"/>
      <w:docPartObj>
        <w:docPartGallery w:val="Page Numbers (Bottom of Page)"/>
        <w:docPartUnique/>
      </w:docPartObj>
    </w:sdtPr>
    <w:sdtEndPr>
      <w:rPr>
        <w:noProof/>
      </w:rPr>
    </w:sdtEndPr>
    <w:sdtContent>
      <w:p w14:paraId="09B7F505" w14:textId="77777777" w:rsidR="00F65178" w:rsidRDefault="00F65178">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13F8932" w14:textId="77777777" w:rsidR="00F65178" w:rsidRDefault="00F65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F9E3D" w14:textId="77777777" w:rsidR="006B5137" w:rsidRDefault="006B5137">
      <w:pPr>
        <w:spacing w:after="0" w:line="240" w:lineRule="auto"/>
      </w:pPr>
      <w:r>
        <w:separator/>
      </w:r>
    </w:p>
  </w:footnote>
  <w:footnote w:type="continuationSeparator" w:id="0">
    <w:p w14:paraId="5C7E25DE" w14:textId="77777777" w:rsidR="006B5137" w:rsidRDefault="006B5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9EE2" w14:textId="77777777" w:rsidR="00F65178" w:rsidRPr="00A951DC" w:rsidRDefault="00F65178" w:rsidP="0096081C">
    <w:pPr>
      <w:pStyle w:val="Header"/>
      <w:jc w:val="right"/>
      <w:rPr>
        <w:sz w:val="18"/>
        <w:szCs w:val="18"/>
      </w:rPr>
    </w:pPr>
    <w:r w:rsidRPr="00A951DC">
      <w:rPr>
        <w:sz w:val="18"/>
        <w:szCs w:val="18"/>
      </w:rPr>
      <w:t xml:space="preserve">ATLANTIS Manuscript </w:t>
    </w:r>
    <w:r>
      <w:rPr>
        <w:sz w:val="18"/>
        <w:szCs w:val="18"/>
      </w:rPr>
      <w:t>Revised 25/07/24.</w:t>
    </w:r>
  </w:p>
  <w:p w14:paraId="12EB3B77" w14:textId="77777777" w:rsidR="00F65178" w:rsidRDefault="00F651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A256" w14:textId="77777777" w:rsidR="00F65178" w:rsidRPr="00295C7A" w:rsidRDefault="00F65178" w:rsidP="001E7664">
    <w:pPr>
      <w:pStyle w:val="Header"/>
      <w:jc w:val="right"/>
      <w:rPr>
        <w:sz w:val="18"/>
        <w:szCs w:val="18"/>
      </w:rPr>
    </w:pPr>
    <w:r w:rsidRPr="00295C7A">
      <w:rPr>
        <w:sz w:val="18"/>
        <w:szCs w:val="18"/>
      </w:rPr>
      <w:t xml:space="preserve">ATLANTIS Manuscript - Revised </w:t>
    </w:r>
    <w:r>
      <w:rPr>
        <w:sz w:val="18"/>
        <w:szCs w:val="18"/>
      </w:rPr>
      <w:t>2</w:t>
    </w:r>
    <w:r w:rsidRPr="00295C7A">
      <w:rPr>
        <w:sz w:val="18"/>
        <w:szCs w:val="18"/>
      </w:rPr>
      <w:t>5.0</w:t>
    </w:r>
    <w:r>
      <w:rPr>
        <w:sz w:val="18"/>
        <w:szCs w:val="18"/>
      </w:rPr>
      <w:t>7</w:t>
    </w:r>
    <w:r w:rsidRPr="00295C7A">
      <w:rPr>
        <w:sz w:val="18"/>
        <w:szCs w:val="18"/>
      </w:rPr>
      <w:t>.24.</w:t>
    </w:r>
  </w:p>
  <w:p w14:paraId="15446183" w14:textId="77777777" w:rsidR="00F65178" w:rsidRDefault="00F651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824"/>
    <w:multiLevelType w:val="hybridMultilevel"/>
    <w:tmpl w:val="E86292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1D152F"/>
    <w:multiLevelType w:val="hybridMultilevel"/>
    <w:tmpl w:val="BDDAE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278DB"/>
    <w:multiLevelType w:val="hybridMultilevel"/>
    <w:tmpl w:val="7630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D374A"/>
    <w:multiLevelType w:val="hybridMultilevel"/>
    <w:tmpl w:val="3B56DCCA"/>
    <w:lvl w:ilvl="0" w:tplc="11CC0968">
      <w:start w:val="1"/>
      <w:numFmt w:val="bullet"/>
      <w:lvlText w:val=""/>
      <w:lvlJc w:val="left"/>
      <w:pPr>
        <w:ind w:left="1211" w:hanging="360"/>
      </w:pPr>
      <w:rPr>
        <w:rFonts w:ascii="Symbol" w:hAnsi="Symbol" w:hint="default"/>
      </w:rPr>
    </w:lvl>
    <w:lvl w:ilvl="1" w:tplc="3F482E1C">
      <w:start w:val="1"/>
      <w:numFmt w:val="bullet"/>
      <w:lvlText w:val="o"/>
      <w:lvlJc w:val="left"/>
      <w:pPr>
        <w:ind w:left="1931" w:hanging="360"/>
      </w:pPr>
      <w:rPr>
        <w:rFonts w:ascii="Courier New" w:hAnsi="Courier New" w:cs="Courier New" w:hint="default"/>
      </w:rPr>
    </w:lvl>
    <w:lvl w:ilvl="2" w:tplc="61AEA9A0" w:tentative="1">
      <w:start w:val="1"/>
      <w:numFmt w:val="bullet"/>
      <w:lvlText w:val=""/>
      <w:lvlJc w:val="left"/>
      <w:pPr>
        <w:ind w:left="2651" w:hanging="360"/>
      </w:pPr>
      <w:rPr>
        <w:rFonts w:ascii="Wingdings" w:hAnsi="Wingdings" w:hint="default"/>
      </w:rPr>
    </w:lvl>
    <w:lvl w:ilvl="3" w:tplc="EFD07DA2" w:tentative="1">
      <w:start w:val="1"/>
      <w:numFmt w:val="bullet"/>
      <w:lvlText w:val=""/>
      <w:lvlJc w:val="left"/>
      <w:pPr>
        <w:ind w:left="3371" w:hanging="360"/>
      </w:pPr>
      <w:rPr>
        <w:rFonts w:ascii="Symbol" w:hAnsi="Symbol" w:hint="default"/>
      </w:rPr>
    </w:lvl>
    <w:lvl w:ilvl="4" w:tplc="36F0FAE0" w:tentative="1">
      <w:start w:val="1"/>
      <w:numFmt w:val="bullet"/>
      <w:lvlText w:val="o"/>
      <w:lvlJc w:val="left"/>
      <w:pPr>
        <w:ind w:left="4091" w:hanging="360"/>
      </w:pPr>
      <w:rPr>
        <w:rFonts w:ascii="Courier New" w:hAnsi="Courier New" w:cs="Courier New" w:hint="default"/>
      </w:rPr>
    </w:lvl>
    <w:lvl w:ilvl="5" w:tplc="02F499E0" w:tentative="1">
      <w:start w:val="1"/>
      <w:numFmt w:val="bullet"/>
      <w:lvlText w:val=""/>
      <w:lvlJc w:val="left"/>
      <w:pPr>
        <w:ind w:left="4811" w:hanging="360"/>
      </w:pPr>
      <w:rPr>
        <w:rFonts w:ascii="Wingdings" w:hAnsi="Wingdings" w:hint="default"/>
      </w:rPr>
    </w:lvl>
    <w:lvl w:ilvl="6" w:tplc="8D30D950" w:tentative="1">
      <w:start w:val="1"/>
      <w:numFmt w:val="bullet"/>
      <w:lvlText w:val=""/>
      <w:lvlJc w:val="left"/>
      <w:pPr>
        <w:ind w:left="5531" w:hanging="360"/>
      </w:pPr>
      <w:rPr>
        <w:rFonts w:ascii="Symbol" w:hAnsi="Symbol" w:hint="default"/>
      </w:rPr>
    </w:lvl>
    <w:lvl w:ilvl="7" w:tplc="6246A5F6" w:tentative="1">
      <w:start w:val="1"/>
      <w:numFmt w:val="bullet"/>
      <w:lvlText w:val="o"/>
      <w:lvlJc w:val="left"/>
      <w:pPr>
        <w:ind w:left="6251" w:hanging="360"/>
      </w:pPr>
      <w:rPr>
        <w:rFonts w:ascii="Courier New" w:hAnsi="Courier New" w:cs="Courier New" w:hint="default"/>
      </w:rPr>
    </w:lvl>
    <w:lvl w:ilvl="8" w:tplc="77124986" w:tentative="1">
      <w:start w:val="1"/>
      <w:numFmt w:val="bullet"/>
      <w:lvlText w:val=""/>
      <w:lvlJc w:val="left"/>
      <w:pPr>
        <w:ind w:left="6971" w:hanging="360"/>
      </w:pPr>
      <w:rPr>
        <w:rFonts w:ascii="Wingdings" w:hAnsi="Wingdings" w:hint="default"/>
      </w:rPr>
    </w:lvl>
  </w:abstractNum>
  <w:abstractNum w:abstractNumId="4" w15:restartNumberingAfterBreak="0">
    <w:nsid w:val="0C9D0480"/>
    <w:multiLevelType w:val="hybridMultilevel"/>
    <w:tmpl w:val="B96E47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2520F0"/>
    <w:multiLevelType w:val="hybridMultilevel"/>
    <w:tmpl w:val="B432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B2C42"/>
    <w:multiLevelType w:val="hybridMultilevel"/>
    <w:tmpl w:val="4C8AE27E"/>
    <w:lvl w:ilvl="0" w:tplc="394A1BF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34630"/>
    <w:multiLevelType w:val="hybridMultilevel"/>
    <w:tmpl w:val="BA68ABEC"/>
    <w:lvl w:ilvl="0" w:tplc="4D38B87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9C2732"/>
    <w:multiLevelType w:val="hybridMultilevel"/>
    <w:tmpl w:val="CA3A9BEE"/>
    <w:lvl w:ilvl="0" w:tplc="4D38B87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EB2E63"/>
    <w:multiLevelType w:val="hybridMultilevel"/>
    <w:tmpl w:val="900E13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C4235D"/>
    <w:multiLevelType w:val="hybridMultilevel"/>
    <w:tmpl w:val="A59A9F68"/>
    <w:lvl w:ilvl="0" w:tplc="394A1BF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21E69"/>
    <w:multiLevelType w:val="multilevel"/>
    <w:tmpl w:val="C11A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E7B62"/>
    <w:multiLevelType w:val="hybridMultilevel"/>
    <w:tmpl w:val="54000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584CB2"/>
    <w:multiLevelType w:val="hybridMultilevel"/>
    <w:tmpl w:val="158E2BCE"/>
    <w:lvl w:ilvl="0" w:tplc="A0A8BBB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64D21"/>
    <w:multiLevelType w:val="hybridMultilevel"/>
    <w:tmpl w:val="AD66B03A"/>
    <w:lvl w:ilvl="0" w:tplc="25128B70">
      <w:start w:val="1"/>
      <w:numFmt w:val="bullet"/>
      <w:lvlText w:val="ü"/>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3E7528"/>
    <w:multiLevelType w:val="hybridMultilevel"/>
    <w:tmpl w:val="BF50170E"/>
    <w:lvl w:ilvl="0" w:tplc="A0A8BBB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6C0E51"/>
    <w:multiLevelType w:val="hybridMultilevel"/>
    <w:tmpl w:val="6E00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5640C"/>
    <w:multiLevelType w:val="hybridMultilevel"/>
    <w:tmpl w:val="F08C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97ECA"/>
    <w:multiLevelType w:val="hybridMultilevel"/>
    <w:tmpl w:val="ADD2FDA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9012577"/>
    <w:multiLevelType w:val="hybridMultilevel"/>
    <w:tmpl w:val="41F60B16"/>
    <w:lvl w:ilvl="0" w:tplc="A48C37B2">
      <w:start w:val="1"/>
      <w:numFmt w:val="decimal"/>
      <w:lvlText w:val="%1."/>
      <w:lvlJc w:val="left"/>
      <w:pPr>
        <w:ind w:left="720" w:hanging="360"/>
      </w:pPr>
      <w:rPr>
        <w:rFonts w:asciiTheme="majorHAnsi" w:eastAsiaTheme="majorEastAsia" w:hAnsiTheme="majorHAns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7549E0"/>
    <w:multiLevelType w:val="hybridMultilevel"/>
    <w:tmpl w:val="BA82928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12409E8C">
      <w:start w:val="1"/>
      <w:numFmt w:val="bullet"/>
      <w:lvlText w:val="-"/>
      <w:lvlJc w:val="left"/>
      <w:pPr>
        <w:ind w:left="2880" w:hanging="360"/>
      </w:pPr>
      <w:rPr>
        <w:rFonts w:ascii="Calibri" w:hAnsi="Calibri"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643970"/>
    <w:multiLevelType w:val="hybridMultilevel"/>
    <w:tmpl w:val="41F60B16"/>
    <w:lvl w:ilvl="0" w:tplc="A48C37B2">
      <w:start w:val="1"/>
      <w:numFmt w:val="decimal"/>
      <w:lvlText w:val="%1."/>
      <w:lvlJc w:val="left"/>
      <w:pPr>
        <w:ind w:left="720" w:hanging="360"/>
      </w:pPr>
      <w:rPr>
        <w:rFonts w:asciiTheme="majorHAnsi" w:eastAsiaTheme="majorEastAsia" w:hAnsiTheme="majorHAns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C53259"/>
    <w:multiLevelType w:val="hybridMultilevel"/>
    <w:tmpl w:val="D6D66CB2"/>
    <w:lvl w:ilvl="0" w:tplc="4D38B87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1669AA"/>
    <w:multiLevelType w:val="hybridMultilevel"/>
    <w:tmpl w:val="D770A412"/>
    <w:lvl w:ilvl="0" w:tplc="A0A8BBB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E26660"/>
    <w:multiLevelType w:val="hybridMultilevel"/>
    <w:tmpl w:val="96E66DBC"/>
    <w:lvl w:ilvl="0" w:tplc="FFFFFFFF">
      <w:start w:val="1"/>
      <w:numFmt w:val="bullet"/>
      <w:lvlText w:val="ü"/>
      <w:lvlJc w:val="left"/>
      <w:pPr>
        <w:ind w:left="720" w:hanging="360"/>
      </w:pPr>
      <w:rPr>
        <w:rFonts w:ascii="Wingdings" w:hAnsi="Wingdings" w:hint="default"/>
      </w:rPr>
    </w:lvl>
    <w:lvl w:ilvl="1" w:tplc="25128B70">
      <w:start w:val="1"/>
      <w:numFmt w:val="bullet"/>
      <w:lvlText w:val="ü"/>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81388C"/>
    <w:multiLevelType w:val="hybridMultilevel"/>
    <w:tmpl w:val="107818F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58C4034"/>
    <w:multiLevelType w:val="hybridMultilevel"/>
    <w:tmpl w:val="993AC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417CB"/>
    <w:multiLevelType w:val="hybridMultilevel"/>
    <w:tmpl w:val="01C05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D3D0A"/>
    <w:multiLevelType w:val="hybridMultilevel"/>
    <w:tmpl w:val="C942A284"/>
    <w:lvl w:ilvl="0" w:tplc="A0A8BBB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016F39"/>
    <w:multiLevelType w:val="hybridMultilevel"/>
    <w:tmpl w:val="701C4D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835378D"/>
    <w:multiLevelType w:val="hybridMultilevel"/>
    <w:tmpl w:val="C43A795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876AA1"/>
    <w:multiLevelType w:val="hybridMultilevel"/>
    <w:tmpl w:val="D16A8DC4"/>
    <w:lvl w:ilvl="0" w:tplc="A0A8BBB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D114DF"/>
    <w:multiLevelType w:val="hybridMultilevel"/>
    <w:tmpl w:val="D426509E"/>
    <w:lvl w:ilvl="0" w:tplc="FFFFFFFF">
      <w:start w:val="1"/>
      <w:numFmt w:val="bullet"/>
      <w:lvlText w:val="+"/>
      <w:lvlJc w:val="left"/>
      <w:pPr>
        <w:ind w:left="720" w:hanging="360"/>
      </w:pPr>
      <w:rPr>
        <w:rFonts w:ascii="Calibri" w:hAnsi="Calibri" w:hint="default"/>
      </w:rPr>
    </w:lvl>
    <w:lvl w:ilvl="1" w:tplc="A0A8BBB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A023BFF"/>
    <w:multiLevelType w:val="hybridMultilevel"/>
    <w:tmpl w:val="23303B2A"/>
    <w:lvl w:ilvl="0" w:tplc="FFFFFFFF">
      <w:start w:val="1"/>
      <w:numFmt w:val="decimal"/>
      <w:lvlText w:val="%1."/>
      <w:lvlJc w:val="left"/>
      <w:pPr>
        <w:ind w:left="720" w:hanging="360"/>
      </w:pPr>
    </w:lvl>
    <w:lvl w:ilvl="1" w:tplc="6568DDCA">
      <w:numFmt w:val="bullet"/>
      <w:lvlText w:val="-"/>
      <w:lvlJc w:val="left"/>
      <w:pPr>
        <w:ind w:left="1440" w:hanging="360"/>
      </w:pPr>
      <w:rPr>
        <w:rFonts w:ascii="Calibri" w:eastAsia="Times New Roman" w:hAnsi="Calibri" w:cs="Calibri" w:hint="default"/>
      </w:rPr>
    </w:lvl>
    <w:lvl w:ilvl="2" w:tplc="EDD814A0">
      <w:start w:val="1"/>
      <w:numFmt w:val="lowerRoman"/>
      <w:lvlText w:val="%3."/>
      <w:lvlJc w:val="right"/>
      <w:pPr>
        <w:ind w:left="2160" w:hanging="180"/>
      </w:pPr>
    </w:lvl>
    <w:lvl w:ilvl="3" w:tplc="8D6E1694">
      <w:start w:val="1"/>
      <w:numFmt w:val="decimal"/>
      <w:lvlText w:val="%4."/>
      <w:lvlJc w:val="left"/>
      <w:pPr>
        <w:ind w:left="2880" w:hanging="360"/>
      </w:pPr>
    </w:lvl>
    <w:lvl w:ilvl="4" w:tplc="8DD25706">
      <w:start w:val="1"/>
      <w:numFmt w:val="lowerLetter"/>
      <w:lvlText w:val="%5."/>
      <w:lvlJc w:val="left"/>
      <w:pPr>
        <w:ind w:left="3600" w:hanging="360"/>
      </w:pPr>
    </w:lvl>
    <w:lvl w:ilvl="5" w:tplc="D61C9CF8">
      <w:start w:val="1"/>
      <w:numFmt w:val="lowerRoman"/>
      <w:lvlText w:val="%6."/>
      <w:lvlJc w:val="right"/>
      <w:pPr>
        <w:ind w:left="4320" w:hanging="180"/>
      </w:pPr>
    </w:lvl>
    <w:lvl w:ilvl="6" w:tplc="3F3AF3DE">
      <w:start w:val="1"/>
      <w:numFmt w:val="decimal"/>
      <w:lvlText w:val="%7."/>
      <w:lvlJc w:val="left"/>
      <w:pPr>
        <w:ind w:left="5040" w:hanging="360"/>
      </w:pPr>
    </w:lvl>
    <w:lvl w:ilvl="7" w:tplc="32C8A9EE">
      <w:start w:val="1"/>
      <w:numFmt w:val="lowerLetter"/>
      <w:lvlText w:val="%8."/>
      <w:lvlJc w:val="left"/>
      <w:pPr>
        <w:ind w:left="5760" w:hanging="360"/>
      </w:pPr>
    </w:lvl>
    <w:lvl w:ilvl="8" w:tplc="85C2FF66">
      <w:start w:val="1"/>
      <w:numFmt w:val="lowerRoman"/>
      <w:lvlText w:val="%9."/>
      <w:lvlJc w:val="right"/>
      <w:pPr>
        <w:ind w:left="6480" w:hanging="180"/>
      </w:pPr>
    </w:lvl>
  </w:abstractNum>
  <w:abstractNum w:abstractNumId="34" w15:restartNumberingAfterBreak="0">
    <w:nsid w:val="5AD6174D"/>
    <w:multiLevelType w:val="hybridMultilevel"/>
    <w:tmpl w:val="747C1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EE1630"/>
    <w:multiLevelType w:val="hybridMultilevel"/>
    <w:tmpl w:val="C882A9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C851490"/>
    <w:multiLevelType w:val="hybridMultilevel"/>
    <w:tmpl w:val="AAB6ACC4"/>
    <w:lvl w:ilvl="0" w:tplc="A0A8BBB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662259"/>
    <w:multiLevelType w:val="hybridMultilevel"/>
    <w:tmpl w:val="AD809FE6"/>
    <w:lvl w:ilvl="0" w:tplc="4D38B87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940EA8"/>
    <w:multiLevelType w:val="hybridMultilevel"/>
    <w:tmpl w:val="0A78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F24402"/>
    <w:multiLevelType w:val="hybridMultilevel"/>
    <w:tmpl w:val="E5709574"/>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A910C0F"/>
    <w:multiLevelType w:val="hybridMultilevel"/>
    <w:tmpl w:val="009A5B4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B2E2464"/>
    <w:multiLevelType w:val="hybridMultilevel"/>
    <w:tmpl w:val="B406D862"/>
    <w:lvl w:ilvl="0" w:tplc="A0A8BBB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956F68"/>
    <w:multiLevelType w:val="hybridMultilevel"/>
    <w:tmpl w:val="61A0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0A5872"/>
    <w:multiLevelType w:val="hybridMultilevel"/>
    <w:tmpl w:val="9F2E2B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28352A9"/>
    <w:multiLevelType w:val="hybridMultilevel"/>
    <w:tmpl w:val="4DC84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3C607C"/>
    <w:multiLevelType w:val="hybridMultilevel"/>
    <w:tmpl w:val="6FE878B4"/>
    <w:lvl w:ilvl="0" w:tplc="A0A8BBB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271CCD"/>
    <w:multiLevelType w:val="hybridMultilevel"/>
    <w:tmpl w:val="29F8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05427B"/>
    <w:multiLevelType w:val="hybridMultilevel"/>
    <w:tmpl w:val="3E36F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5035868">
    <w:abstractNumId w:val="25"/>
  </w:num>
  <w:num w:numId="2" w16cid:durableId="2098624193">
    <w:abstractNumId w:val="11"/>
  </w:num>
  <w:num w:numId="3" w16cid:durableId="929387465">
    <w:abstractNumId w:val="10"/>
  </w:num>
  <w:num w:numId="4" w16cid:durableId="1752116166">
    <w:abstractNumId w:val="6"/>
  </w:num>
  <w:num w:numId="5" w16cid:durableId="710156421">
    <w:abstractNumId w:val="39"/>
  </w:num>
  <w:num w:numId="6" w16cid:durableId="13313614">
    <w:abstractNumId w:val="0"/>
  </w:num>
  <w:num w:numId="7" w16cid:durableId="957417254">
    <w:abstractNumId w:val="20"/>
  </w:num>
  <w:num w:numId="8" w16cid:durableId="1219198648">
    <w:abstractNumId w:val="30"/>
  </w:num>
  <w:num w:numId="9" w16cid:durableId="2002193863">
    <w:abstractNumId w:val="38"/>
  </w:num>
  <w:num w:numId="10" w16cid:durableId="714818186">
    <w:abstractNumId w:val="21"/>
  </w:num>
  <w:num w:numId="11" w16cid:durableId="1858736540">
    <w:abstractNumId w:val="19"/>
  </w:num>
  <w:num w:numId="12" w16cid:durableId="679355445">
    <w:abstractNumId w:val="4"/>
  </w:num>
  <w:num w:numId="13" w16cid:durableId="1193226503">
    <w:abstractNumId w:val="35"/>
  </w:num>
  <w:num w:numId="14" w16cid:durableId="725883461">
    <w:abstractNumId w:val="9"/>
  </w:num>
  <w:num w:numId="15" w16cid:durableId="1680307183">
    <w:abstractNumId w:val="43"/>
  </w:num>
  <w:num w:numId="16" w16cid:durableId="1860460098">
    <w:abstractNumId w:val="44"/>
  </w:num>
  <w:num w:numId="17" w16cid:durableId="1869173939">
    <w:abstractNumId w:val="40"/>
  </w:num>
  <w:num w:numId="18" w16cid:durableId="1837842094">
    <w:abstractNumId w:val="3"/>
  </w:num>
  <w:num w:numId="19" w16cid:durableId="2027441402">
    <w:abstractNumId w:val="33"/>
  </w:num>
  <w:num w:numId="20" w16cid:durableId="650476453">
    <w:abstractNumId w:val="17"/>
  </w:num>
  <w:num w:numId="21" w16cid:durableId="2014919395">
    <w:abstractNumId w:val="29"/>
  </w:num>
  <w:num w:numId="22" w16cid:durableId="1880779066">
    <w:abstractNumId w:val="27"/>
  </w:num>
  <w:num w:numId="23" w16cid:durableId="1060055957">
    <w:abstractNumId w:val="47"/>
  </w:num>
  <w:num w:numId="24" w16cid:durableId="950938721">
    <w:abstractNumId w:val="16"/>
  </w:num>
  <w:num w:numId="25" w16cid:durableId="1133986115">
    <w:abstractNumId w:val="18"/>
  </w:num>
  <w:num w:numId="26" w16cid:durableId="1179541968">
    <w:abstractNumId w:val="2"/>
  </w:num>
  <w:num w:numId="27" w16cid:durableId="1637223596">
    <w:abstractNumId w:val="42"/>
  </w:num>
  <w:num w:numId="28" w16cid:durableId="672299166">
    <w:abstractNumId w:val="12"/>
  </w:num>
  <w:num w:numId="29" w16cid:durableId="1019236976">
    <w:abstractNumId w:val="26"/>
  </w:num>
  <w:num w:numId="30" w16cid:durableId="650984417">
    <w:abstractNumId w:val="1"/>
  </w:num>
  <w:num w:numId="31" w16cid:durableId="1983922458">
    <w:abstractNumId w:val="34"/>
  </w:num>
  <w:num w:numId="32" w16cid:durableId="710500535">
    <w:abstractNumId w:val="46"/>
  </w:num>
  <w:num w:numId="33" w16cid:durableId="819269532">
    <w:abstractNumId w:val="5"/>
  </w:num>
  <w:num w:numId="34" w16cid:durableId="1988850735">
    <w:abstractNumId w:val="22"/>
  </w:num>
  <w:num w:numId="35" w16cid:durableId="611059190">
    <w:abstractNumId w:val="37"/>
  </w:num>
  <w:num w:numId="36" w16cid:durableId="1046952418">
    <w:abstractNumId w:val="7"/>
  </w:num>
  <w:num w:numId="37" w16cid:durableId="1948654819">
    <w:abstractNumId w:val="14"/>
  </w:num>
  <w:num w:numId="38" w16cid:durableId="1578172619">
    <w:abstractNumId w:val="24"/>
  </w:num>
  <w:num w:numId="39" w16cid:durableId="1956523736">
    <w:abstractNumId w:val="31"/>
  </w:num>
  <w:num w:numId="40" w16cid:durableId="399406455">
    <w:abstractNumId w:val="32"/>
  </w:num>
  <w:num w:numId="41" w16cid:durableId="887031315">
    <w:abstractNumId w:val="45"/>
  </w:num>
  <w:num w:numId="42" w16cid:durableId="2015834351">
    <w:abstractNumId w:val="41"/>
  </w:num>
  <w:num w:numId="43" w16cid:durableId="521405399">
    <w:abstractNumId w:val="28"/>
  </w:num>
  <w:num w:numId="44" w16cid:durableId="569851655">
    <w:abstractNumId w:val="36"/>
  </w:num>
  <w:num w:numId="45" w16cid:durableId="1409571942">
    <w:abstractNumId w:val="8"/>
  </w:num>
  <w:num w:numId="46" w16cid:durableId="1433436056">
    <w:abstractNumId w:val="15"/>
  </w:num>
  <w:num w:numId="47" w16cid:durableId="84229283">
    <w:abstractNumId w:val="23"/>
  </w:num>
  <w:num w:numId="48" w16cid:durableId="6246266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8692B"/>
    <w:rsid w:val="00104143"/>
    <w:rsid w:val="00251775"/>
    <w:rsid w:val="0028692B"/>
    <w:rsid w:val="002F063E"/>
    <w:rsid w:val="005664A5"/>
    <w:rsid w:val="005B69B5"/>
    <w:rsid w:val="005D67D7"/>
    <w:rsid w:val="006B5137"/>
    <w:rsid w:val="007C69C4"/>
    <w:rsid w:val="008805F8"/>
    <w:rsid w:val="00893131"/>
    <w:rsid w:val="009D4860"/>
    <w:rsid w:val="00BC668A"/>
    <w:rsid w:val="00C3781B"/>
    <w:rsid w:val="00C45F71"/>
    <w:rsid w:val="00D8142A"/>
    <w:rsid w:val="00F65178"/>
    <w:rsid w:val="00FA0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77151"/>
  <w15:chartTrackingRefBased/>
  <w15:docId w15:val="{12F09C75-DE60-4D1E-BEFC-E8A5D076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92B"/>
    <w:rPr>
      <w:kern w:val="0"/>
      <w14:ligatures w14:val="none"/>
    </w:rPr>
  </w:style>
  <w:style w:type="paragraph" w:styleId="Heading1">
    <w:name w:val="heading 1"/>
    <w:basedOn w:val="Normal"/>
    <w:next w:val="Normal"/>
    <w:link w:val="Heading1Char"/>
    <w:uiPriority w:val="9"/>
    <w:qFormat/>
    <w:rsid w:val="0028692B"/>
    <w:pPr>
      <w:outlineLvl w:val="0"/>
    </w:pPr>
    <w:rPr>
      <w:b/>
      <w:color w:val="0070C0"/>
      <w:sz w:val="24"/>
      <w:szCs w:val="24"/>
    </w:rPr>
  </w:style>
  <w:style w:type="paragraph" w:styleId="Heading2">
    <w:name w:val="heading 2"/>
    <w:basedOn w:val="Normal"/>
    <w:next w:val="Normal"/>
    <w:link w:val="Heading2Char"/>
    <w:uiPriority w:val="9"/>
    <w:unhideWhenUsed/>
    <w:qFormat/>
    <w:rsid w:val="002869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869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869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92B"/>
    <w:rPr>
      <w:b/>
      <w:color w:val="0070C0"/>
      <w:kern w:val="0"/>
      <w:sz w:val="24"/>
      <w:szCs w:val="24"/>
      <w14:ligatures w14:val="none"/>
    </w:rPr>
  </w:style>
  <w:style w:type="character" w:customStyle="1" w:styleId="Heading2Char">
    <w:name w:val="Heading 2 Char"/>
    <w:basedOn w:val="DefaultParagraphFont"/>
    <w:link w:val="Heading2"/>
    <w:uiPriority w:val="9"/>
    <w:rsid w:val="0028692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28692B"/>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28692B"/>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basedOn w:val="Normal"/>
    <w:link w:val="ListParagraphChar"/>
    <w:uiPriority w:val="34"/>
    <w:qFormat/>
    <w:rsid w:val="0028692B"/>
    <w:pPr>
      <w:spacing w:after="200" w:line="276" w:lineRule="auto"/>
      <w:ind w:left="720"/>
      <w:contextualSpacing/>
    </w:pPr>
  </w:style>
  <w:style w:type="character" w:styleId="Hyperlink">
    <w:name w:val="Hyperlink"/>
    <w:basedOn w:val="DefaultParagraphFont"/>
    <w:uiPriority w:val="99"/>
    <w:unhideWhenUsed/>
    <w:rsid w:val="0028692B"/>
    <w:rPr>
      <w:color w:val="0563C1" w:themeColor="hyperlink"/>
      <w:u w:val="single"/>
    </w:rPr>
  </w:style>
  <w:style w:type="table" w:styleId="TableGrid">
    <w:name w:val="Table Grid"/>
    <w:basedOn w:val="TableNormal"/>
    <w:uiPriority w:val="39"/>
    <w:rsid w:val="0028692B"/>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869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92B"/>
    <w:rPr>
      <w:kern w:val="0"/>
      <w14:ligatures w14:val="none"/>
    </w:rPr>
  </w:style>
  <w:style w:type="paragraph" w:customStyle="1" w:styleId="EndNoteBibliography">
    <w:name w:val="EndNote Bibliography"/>
    <w:basedOn w:val="Normal"/>
    <w:link w:val="EndNoteBibliographyChar"/>
    <w:rsid w:val="0028692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8692B"/>
    <w:rPr>
      <w:rFonts w:ascii="Calibri" w:hAnsi="Calibri" w:cs="Calibri"/>
      <w:noProof/>
      <w:kern w:val="0"/>
      <w:lang w:val="en-US"/>
      <w14:ligatures w14:val="none"/>
    </w:rPr>
  </w:style>
  <w:style w:type="paragraph" w:styleId="Header">
    <w:name w:val="header"/>
    <w:basedOn w:val="Normal"/>
    <w:link w:val="HeaderChar"/>
    <w:uiPriority w:val="99"/>
    <w:unhideWhenUsed/>
    <w:rsid w:val="002869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92B"/>
    <w:rPr>
      <w:kern w:val="0"/>
      <w14:ligatures w14:val="none"/>
    </w:rPr>
  </w:style>
  <w:style w:type="character" w:styleId="CommentReference">
    <w:name w:val="annotation reference"/>
    <w:basedOn w:val="DefaultParagraphFont"/>
    <w:uiPriority w:val="99"/>
    <w:unhideWhenUsed/>
    <w:rsid w:val="0028692B"/>
    <w:rPr>
      <w:sz w:val="16"/>
      <w:szCs w:val="16"/>
    </w:rPr>
  </w:style>
  <w:style w:type="paragraph" w:styleId="CommentText">
    <w:name w:val="annotation text"/>
    <w:basedOn w:val="Normal"/>
    <w:link w:val="CommentTextChar"/>
    <w:uiPriority w:val="99"/>
    <w:unhideWhenUsed/>
    <w:rsid w:val="0028692B"/>
    <w:pPr>
      <w:spacing w:line="240" w:lineRule="auto"/>
    </w:pPr>
    <w:rPr>
      <w:sz w:val="20"/>
      <w:szCs w:val="20"/>
    </w:rPr>
  </w:style>
  <w:style w:type="character" w:customStyle="1" w:styleId="CommentTextChar">
    <w:name w:val="Comment Text Char"/>
    <w:basedOn w:val="DefaultParagraphFont"/>
    <w:link w:val="CommentText"/>
    <w:uiPriority w:val="99"/>
    <w:rsid w:val="0028692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8692B"/>
    <w:rPr>
      <w:b/>
      <w:bCs/>
    </w:rPr>
  </w:style>
  <w:style w:type="character" w:customStyle="1" w:styleId="CommentSubjectChar">
    <w:name w:val="Comment Subject Char"/>
    <w:basedOn w:val="CommentTextChar"/>
    <w:link w:val="CommentSubject"/>
    <w:uiPriority w:val="99"/>
    <w:semiHidden/>
    <w:rsid w:val="0028692B"/>
    <w:rPr>
      <w:b/>
      <w:bCs/>
      <w:kern w:val="0"/>
      <w:sz w:val="20"/>
      <w:szCs w:val="20"/>
      <w14:ligatures w14:val="none"/>
    </w:rPr>
  </w:style>
  <w:style w:type="paragraph" w:styleId="BalloonText">
    <w:name w:val="Balloon Text"/>
    <w:basedOn w:val="Normal"/>
    <w:link w:val="BalloonTextChar"/>
    <w:uiPriority w:val="99"/>
    <w:semiHidden/>
    <w:unhideWhenUsed/>
    <w:rsid w:val="00286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92B"/>
    <w:rPr>
      <w:rFonts w:ascii="Segoe UI" w:hAnsi="Segoe UI" w:cs="Segoe UI"/>
      <w:kern w:val="0"/>
      <w:sz w:val="18"/>
      <w:szCs w:val="18"/>
      <w14:ligatures w14:val="none"/>
    </w:rPr>
  </w:style>
  <w:style w:type="paragraph" w:customStyle="1" w:styleId="EndNoteBibliographyTitle">
    <w:name w:val="EndNote Bibliography Title"/>
    <w:basedOn w:val="Normal"/>
    <w:link w:val="EndNoteBibliographyTitleChar"/>
    <w:rsid w:val="0028692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8692B"/>
    <w:rPr>
      <w:rFonts w:ascii="Calibri" w:hAnsi="Calibri" w:cs="Calibri"/>
      <w:noProof/>
      <w:kern w:val="0"/>
      <w:lang w:val="en-US"/>
      <w14:ligatures w14:val="none"/>
    </w:rPr>
  </w:style>
  <w:style w:type="character" w:customStyle="1" w:styleId="UnresolvedMention1">
    <w:name w:val="Unresolved Mention1"/>
    <w:basedOn w:val="DefaultParagraphFont"/>
    <w:uiPriority w:val="99"/>
    <w:semiHidden/>
    <w:unhideWhenUsed/>
    <w:rsid w:val="0028692B"/>
    <w:rPr>
      <w:color w:val="808080"/>
      <w:shd w:val="clear" w:color="auto" w:fill="E6E6E6"/>
    </w:rPr>
  </w:style>
  <w:style w:type="table" w:customStyle="1" w:styleId="TableGrid1">
    <w:name w:val="Table Grid1"/>
    <w:basedOn w:val="TableNormal"/>
    <w:next w:val="TableGrid"/>
    <w:uiPriority w:val="39"/>
    <w:rsid w:val="0028692B"/>
    <w:pPr>
      <w:spacing w:after="0" w:line="240" w:lineRule="auto"/>
      <w:ind w:left="357" w:hanging="357"/>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8692B"/>
    <w:rPr>
      <w:kern w:val="0"/>
      <w14:ligatures w14:val="none"/>
    </w:rPr>
  </w:style>
  <w:style w:type="paragraph" w:styleId="BodyText">
    <w:name w:val="Body Text"/>
    <w:basedOn w:val="Normal"/>
    <w:link w:val="BodyTextChar"/>
    <w:uiPriority w:val="99"/>
    <w:rsid w:val="0028692B"/>
    <w:pPr>
      <w:tabs>
        <w:tab w:val="left" w:pos="567"/>
        <w:tab w:val="left" w:pos="2268"/>
      </w:tabs>
      <w:spacing w:before="120" w:after="0" w:line="240" w:lineRule="auto"/>
      <w:ind w:left="567"/>
    </w:pPr>
    <w:rPr>
      <w:rFonts w:eastAsia="Times New Roman" w:cs="Times New Roman"/>
      <w:szCs w:val="20"/>
    </w:rPr>
  </w:style>
  <w:style w:type="character" w:customStyle="1" w:styleId="BodyTextChar">
    <w:name w:val="Body Text Char"/>
    <w:basedOn w:val="DefaultParagraphFont"/>
    <w:link w:val="BodyText"/>
    <w:uiPriority w:val="99"/>
    <w:rsid w:val="0028692B"/>
    <w:rPr>
      <w:rFonts w:eastAsia="Times New Roman" w:cs="Times New Roman"/>
      <w:kern w:val="0"/>
      <w:szCs w:val="20"/>
      <w14:ligatures w14:val="none"/>
    </w:rPr>
  </w:style>
  <w:style w:type="paragraph" w:styleId="BodyText2">
    <w:name w:val="Body Text 2"/>
    <w:basedOn w:val="Normal"/>
    <w:link w:val="BodyText2Char"/>
    <w:uiPriority w:val="99"/>
    <w:semiHidden/>
    <w:unhideWhenUsed/>
    <w:rsid w:val="0028692B"/>
    <w:pPr>
      <w:spacing w:after="120" w:line="480" w:lineRule="auto"/>
    </w:pPr>
  </w:style>
  <w:style w:type="character" w:customStyle="1" w:styleId="BodyText2Char">
    <w:name w:val="Body Text 2 Char"/>
    <w:basedOn w:val="DefaultParagraphFont"/>
    <w:link w:val="BodyText2"/>
    <w:uiPriority w:val="99"/>
    <w:semiHidden/>
    <w:rsid w:val="0028692B"/>
    <w:rPr>
      <w:kern w:val="0"/>
      <w14:ligatures w14:val="none"/>
    </w:rPr>
  </w:style>
  <w:style w:type="character" w:customStyle="1" w:styleId="CommentTextChar1">
    <w:name w:val="Comment Text Char1"/>
    <w:basedOn w:val="DefaultParagraphFont"/>
    <w:uiPriority w:val="99"/>
    <w:rsid w:val="0028692B"/>
    <w:rPr>
      <w:sz w:val="20"/>
      <w:szCs w:val="20"/>
    </w:rPr>
  </w:style>
  <w:style w:type="character" w:customStyle="1" w:styleId="UnresolvedMention2">
    <w:name w:val="Unresolved Mention2"/>
    <w:basedOn w:val="DefaultParagraphFont"/>
    <w:uiPriority w:val="99"/>
    <w:semiHidden/>
    <w:unhideWhenUsed/>
    <w:rsid w:val="0028692B"/>
    <w:rPr>
      <w:color w:val="605E5C"/>
      <w:shd w:val="clear" w:color="auto" w:fill="E1DFDD"/>
    </w:rPr>
  </w:style>
  <w:style w:type="table" w:styleId="GridTable1Light-Accent1">
    <w:name w:val="Grid Table 1 Light Accent 1"/>
    <w:basedOn w:val="TableNormal"/>
    <w:uiPriority w:val="46"/>
    <w:rsid w:val="0028692B"/>
    <w:pPr>
      <w:spacing w:after="0" w:line="240" w:lineRule="auto"/>
    </w:pPr>
    <w:rPr>
      <w:rFonts w:ascii="Arial" w:hAnsi="Arial" w:cs="Arial"/>
      <w:kern w:val="0"/>
      <w:sz w:val="24"/>
      <w:szCs w:val="24"/>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28692B"/>
    <w:pPr>
      <w:spacing w:after="0" w:line="240" w:lineRule="auto"/>
    </w:pPr>
    <w:rPr>
      <w:kern w:val="0"/>
      <w14:ligatures w14:val="none"/>
    </w:rPr>
  </w:style>
  <w:style w:type="character" w:customStyle="1" w:styleId="cf01">
    <w:name w:val="cf01"/>
    <w:basedOn w:val="DefaultParagraphFont"/>
    <w:rsid w:val="0028692B"/>
    <w:rPr>
      <w:rFonts w:ascii="Segoe UI" w:hAnsi="Segoe UI" w:cs="Segoe UI" w:hint="default"/>
      <w:sz w:val="18"/>
      <w:szCs w:val="18"/>
    </w:rPr>
  </w:style>
  <w:style w:type="character" w:styleId="UnresolvedMention">
    <w:name w:val="Unresolved Mention"/>
    <w:basedOn w:val="DefaultParagraphFont"/>
    <w:uiPriority w:val="99"/>
    <w:semiHidden/>
    <w:unhideWhenUsed/>
    <w:rsid w:val="0028692B"/>
    <w:rPr>
      <w:color w:val="605E5C"/>
      <w:shd w:val="clear" w:color="auto" w:fill="E1DFDD"/>
    </w:rPr>
  </w:style>
  <w:style w:type="paragraph" w:customStyle="1" w:styleId="pf0">
    <w:name w:val="pf0"/>
    <w:basedOn w:val="Normal"/>
    <w:rsid w:val="002869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2869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692B"/>
    <w:rPr>
      <w:kern w:val="0"/>
      <w:sz w:val="20"/>
      <w:szCs w:val="20"/>
      <w14:ligatures w14:val="none"/>
    </w:rPr>
  </w:style>
  <w:style w:type="character" w:styleId="FootnoteReference">
    <w:name w:val="footnote reference"/>
    <w:basedOn w:val="DefaultParagraphFont"/>
    <w:uiPriority w:val="99"/>
    <w:semiHidden/>
    <w:unhideWhenUsed/>
    <w:rsid w:val="0028692B"/>
    <w:rPr>
      <w:vertAlign w:val="superscript"/>
    </w:rPr>
  </w:style>
  <w:style w:type="paragraph" w:styleId="NormalWeb">
    <w:name w:val="Normal (Web)"/>
    <w:basedOn w:val="Normal"/>
    <w:uiPriority w:val="99"/>
    <w:semiHidden/>
    <w:unhideWhenUsed/>
    <w:rsid w:val="0028692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ru.leeds.ac.uk/atlantis/"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j.teasdale@soton.ac.uk"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ice.org.uk/Guidance/CG61" TargetMode="External"/><Relationship Id="rId14"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7387</Words>
  <Characters>42107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Teasdale</dc:creator>
  <cp:keywords/>
  <dc:description/>
  <cp:lastModifiedBy>Emma Teasdale</cp:lastModifiedBy>
  <cp:revision>3</cp:revision>
  <dcterms:created xsi:type="dcterms:W3CDTF">2024-07-25T15:46:00Z</dcterms:created>
  <dcterms:modified xsi:type="dcterms:W3CDTF">2024-07-25T15:49:00Z</dcterms:modified>
</cp:coreProperties>
</file>