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7A0D9" w14:textId="5A5FE302" w:rsidR="006D7095" w:rsidRPr="00D041C0" w:rsidRDefault="006D7095" w:rsidP="007C1C22">
      <w:pPr>
        <w:spacing w:line="360" w:lineRule="auto"/>
        <w:ind w:firstLine="0"/>
        <w:jc w:val="center"/>
        <w:rPr>
          <w:b/>
          <w:sz w:val="28"/>
        </w:rPr>
      </w:pPr>
    </w:p>
    <w:p w14:paraId="3DE450FC" w14:textId="799CC9AD" w:rsidR="00F342B4" w:rsidRPr="00D041C0" w:rsidRDefault="00F92FE5" w:rsidP="00AF0250">
      <w:pPr>
        <w:spacing w:line="276" w:lineRule="auto"/>
        <w:ind w:firstLine="0"/>
        <w:jc w:val="center"/>
        <w:rPr>
          <w:rFonts w:ascii="Times New Roman" w:hAnsi="Times New Roman" w:cs="Times New Roman"/>
        </w:rPr>
      </w:pPr>
      <w:bookmarkStart w:id="0" w:name="_Hlk155696793"/>
      <w:bookmarkStart w:id="1" w:name="_Hlk134617006"/>
      <w:r w:rsidRPr="00D041C0">
        <w:rPr>
          <w:rFonts w:ascii="Times New Roman" w:hAnsi="Times New Roman" w:cs="Times New Roman"/>
          <w:b/>
          <w:sz w:val="32"/>
          <w:szCs w:val="28"/>
        </w:rPr>
        <w:t>Trends in Body Mass Index Among Individuals with Neurodevelopmental Disorders</w:t>
      </w:r>
    </w:p>
    <w:bookmarkEnd w:id="0"/>
    <w:p w14:paraId="0EB6E588" w14:textId="19904702" w:rsidR="007C1C22" w:rsidRPr="00D041C0" w:rsidRDefault="007C1C22">
      <w:pPr>
        <w:rPr>
          <w:rFonts w:ascii="Times New Roman" w:hAnsi="Times New Roman" w:cs="Times New Roman"/>
        </w:rPr>
      </w:pPr>
    </w:p>
    <w:p w14:paraId="782F9960" w14:textId="36B23652" w:rsidR="007C1C22" w:rsidRPr="00D041C0" w:rsidRDefault="007C1C22" w:rsidP="00AF0250">
      <w:pPr>
        <w:spacing w:after="0" w:line="276" w:lineRule="auto"/>
        <w:ind w:firstLine="0"/>
        <w:rPr>
          <w:rFonts w:ascii="Times New Roman" w:hAnsi="Times New Roman" w:cs="Times New Roman"/>
          <w:iCs/>
          <w:szCs w:val="28"/>
          <w:vertAlign w:val="superscript"/>
        </w:rPr>
      </w:pPr>
      <w:r w:rsidRPr="00D041C0">
        <w:rPr>
          <w:rFonts w:ascii="Times New Roman" w:hAnsi="Times New Roman" w:cs="Times New Roman"/>
          <w:iCs/>
          <w:szCs w:val="28"/>
        </w:rPr>
        <w:t>Miguel Garcia-Argibay</w:t>
      </w:r>
      <w:r w:rsidR="00951705" w:rsidRPr="00D041C0">
        <w:rPr>
          <w:rFonts w:ascii="Times New Roman" w:hAnsi="Times New Roman" w:cs="Times New Roman"/>
          <w:iCs/>
          <w:szCs w:val="28"/>
        </w:rPr>
        <w:t xml:space="preserve">, </w:t>
      </w:r>
      <w:r w:rsidRPr="00D041C0">
        <w:rPr>
          <w:rFonts w:ascii="Times New Roman" w:hAnsi="Times New Roman" w:cs="Times New Roman"/>
          <w:iCs/>
          <w:szCs w:val="28"/>
        </w:rPr>
        <w:t>Ph.D</w:t>
      </w:r>
      <w:r w:rsidR="006D7095" w:rsidRPr="00D041C0">
        <w:rPr>
          <w:rFonts w:ascii="Times New Roman" w:hAnsi="Times New Roman" w:cs="Times New Roman"/>
          <w:iCs/>
          <w:szCs w:val="28"/>
        </w:rPr>
        <w:t>.</w:t>
      </w:r>
      <w:r w:rsidR="00951705" w:rsidRPr="00D041C0">
        <w:rPr>
          <w:rFonts w:ascii="Times New Roman" w:hAnsi="Times New Roman" w:cs="Times New Roman"/>
          <w:iCs/>
          <w:szCs w:val="28"/>
          <w:vertAlign w:val="superscript"/>
        </w:rPr>
        <w:t>1,2</w:t>
      </w:r>
      <w:r w:rsidR="00153246">
        <w:rPr>
          <w:rFonts w:ascii="Times New Roman" w:hAnsi="Times New Roman" w:cs="Times New Roman"/>
          <w:iCs/>
          <w:szCs w:val="28"/>
          <w:vertAlign w:val="superscript"/>
        </w:rPr>
        <w:t>,5</w:t>
      </w:r>
      <w:r w:rsidR="00951705" w:rsidRPr="00D041C0">
        <w:rPr>
          <w:rFonts w:ascii="Times New Roman" w:hAnsi="Times New Roman" w:cs="Times New Roman"/>
          <w:iCs/>
          <w:szCs w:val="28"/>
          <w:vertAlign w:val="superscript"/>
        </w:rPr>
        <w:t>*</w:t>
      </w:r>
      <w:r w:rsidRPr="00D041C0">
        <w:rPr>
          <w:rFonts w:ascii="Times New Roman" w:hAnsi="Times New Roman" w:cs="Times New Roman"/>
          <w:iCs/>
          <w:szCs w:val="28"/>
        </w:rPr>
        <w:t>,</w:t>
      </w:r>
      <w:r w:rsidR="003641E0" w:rsidRPr="00D041C0">
        <w:rPr>
          <w:rFonts w:ascii="Times New Roman" w:hAnsi="Times New Roman" w:cs="Times New Roman"/>
          <w:iCs/>
          <w:szCs w:val="28"/>
        </w:rPr>
        <w:t xml:space="preserve"> </w:t>
      </w:r>
      <w:r w:rsidR="00B67FCB" w:rsidRPr="00D041C0">
        <w:rPr>
          <w:rFonts w:ascii="Times New Roman" w:hAnsi="Times New Roman" w:cs="Times New Roman"/>
          <w:iCs/>
          <w:szCs w:val="28"/>
        </w:rPr>
        <w:t>Sebastian Lundström, Ph.D.</w:t>
      </w:r>
      <w:r w:rsidR="00951705" w:rsidRPr="00D041C0">
        <w:rPr>
          <w:rFonts w:ascii="Times New Roman" w:hAnsi="Times New Roman" w:cs="Times New Roman"/>
          <w:iCs/>
          <w:szCs w:val="28"/>
          <w:vertAlign w:val="superscript"/>
        </w:rPr>
        <w:t>3</w:t>
      </w:r>
      <w:r w:rsidR="002F4A2D">
        <w:rPr>
          <w:rFonts w:ascii="Times New Roman" w:hAnsi="Times New Roman" w:cs="Times New Roman"/>
          <w:iCs/>
          <w:szCs w:val="28"/>
          <w:vertAlign w:val="superscript"/>
        </w:rPr>
        <w:t>,4</w:t>
      </w:r>
      <w:r w:rsidR="00B67FCB" w:rsidRPr="00D041C0">
        <w:rPr>
          <w:rFonts w:ascii="Times New Roman" w:hAnsi="Times New Roman" w:cs="Times New Roman"/>
          <w:iCs/>
          <w:szCs w:val="28"/>
        </w:rPr>
        <w:t xml:space="preserve">, </w:t>
      </w:r>
      <w:r w:rsidR="00040EE2" w:rsidRPr="00D041C0">
        <w:rPr>
          <w:rFonts w:ascii="Times New Roman" w:hAnsi="Times New Roman" w:cs="Times New Roman"/>
          <w:iCs/>
          <w:szCs w:val="28"/>
        </w:rPr>
        <w:t xml:space="preserve">Samuele Cortese, </w:t>
      </w:r>
      <w:r w:rsidR="00B825A8" w:rsidRPr="00D041C0">
        <w:rPr>
          <w:rFonts w:ascii="Times New Roman" w:hAnsi="Times New Roman" w:cs="Times New Roman"/>
          <w:iCs/>
          <w:szCs w:val="28"/>
        </w:rPr>
        <w:t xml:space="preserve">MD, </w:t>
      </w:r>
      <w:r w:rsidR="00040EE2" w:rsidRPr="00D041C0">
        <w:rPr>
          <w:rFonts w:ascii="Times New Roman" w:hAnsi="Times New Roman" w:cs="Times New Roman"/>
          <w:iCs/>
          <w:szCs w:val="28"/>
        </w:rPr>
        <w:t>Ph.D.</w:t>
      </w:r>
      <w:r w:rsidR="002F4A2D">
        <w:rPr>
          <w:rFonts w:ascii="Times New Roman" w:hAnsi="Times New Roman" w:cs="Times New Roman"/>
          <w:iCs/>
          <w:szCs w:val="28"/>
          <w:vertAlign w:val="superscript"/>
        </w:rPr>
        <w:t>5</w:t>
      </w:r>
      <w:r w:rsidR="00B1679E" w:rsidRPr="00D041C0">
        <w:rPr>
          <w:rFonts w:ascii="Times New Roman" w:hAnsi="Times New Roman" w:cs="Times New Roman"/>
          <w:iCs/>
          <w:szCs w:val="28"/>
          <w:vertAlign w:val="superscript"/>
        </w:rPr>
        <w:t>-</w:t>
      </w:r>
      <w:r w:rsidR="00BF508A">
        <w:rPr>
          <w:rFonts w:ascii="Times New Roman" w:hAnsi="Times New Roman" w:cs="Times New Roman"/>
          <w:iCs/>
          <w:szCs w:val="28"/>
          <w:vertAlign w:val="superscript"/>
        </w:rPr>
        <w:t>9</w:t>
      </w:r>
      <w:r w:rsidR="00040EE2" w:rsidRPr="00D041C0">
        <w:rPr>
          <w:rFonts w:ascii="Times New Roman" w:hAnsi="Times New Roman" w:cs="Times New Roman"/>
          <w:iCs/>
          <w:szCs w:val="28"/>
        </w:rPr>
        <w:t xml:space="preserve">, </w:t>
      </w:r>
      <w:r w:rsidR="00E535BE" w:rsidRPr="00D041C0">
        <w:rPr>
          <w:rFonts w:ascii="Times New Roman" w:hAnsi="Times New Roman" w:cs="Times New Roman"/>
          <w:iCs/>
          <w:szCs w:val="28"/>
        </w:rPr>
        <w:t>Henrik Larsson, Ph.D.</w:t>
      </w:r>
      <w:r w:rsidR="00951705" w:rsidRPr="00D041C0">
        <w:rPr>
          <w:rFonts w:ascii="Times New Roman" w:hAnsi="Times New Roman" w:cs="Times New Roman"/>
          <w:iCs/>
          <w:szCs w:val="28"/>
          <w:vertAlign w:val="superscript"/>
        </w:rPr>
        <w:t>1,2</w:t>
      </w:r>
    </w:p>
    <w:bookmarkEnd w:id="1"/>
    <w:p w14:paraId="4F00DED5" w14:textId="5A5B553A" w:rsidR="007C1C22" w:rsidRPr="00D041C0" w:rsidRDefault="007C1C22">
      <w:pPr>
        <w:rPr>
          <w:rFonts w:ascii="Times New Roman" w:hAnsi="Times New Roman" w:cs="Times New Roman"/>
          <w:sz w:val="28"/>
          <w:szCs w:val="28"/>
        </w:rPr>
      </w:pPr>
    </w:p>
    <w:p w14:paraId="2100FD75" w14:textId="67A0F225" w:rsidR="007C1C22" w:rsidRPr="00D041C0" w:rsidRDefault="007C1C22" w:rsidP="0051670A">
      <w:pPr>
        <w:spacing w:after="0" w:line="276" w:lineRule="auto"/>
        <w:ind w:firstLine="0"/>
        <w:rPr>
          <w:rFonts w:ascii="Times New Roman" w:hAnsi="Times New Roman" w:cs="Times New Roman"/>
          <w:szCs w:val="28"/>
        </w:rPr>
      </w:pPr>
      <w:r w:rsidRPr="00D041C0">
        <w:rPr>
          <w:rFonts w:ascii="Times New Roman" w:hAnsi="Times New Roman" w:cs="Times New Roman"/>
          <w:szCs w:val="28"/>
          <w:vertAlign w:val="superscript"/>
        </w:rPr>
        <w:t>1</w:t>
      </w:r>
      <w:r w:rsidRPr="00D041C0">
        <w:rPr>
          <w:rFonts w:ascii="Times New Roman" w:hAnsi="Times New Roman" w:cs="Times New Roman"/>
          <w:szCs w:val="28"/>
        </w:rPr>
        <w:t xml:space="preserve">School of Medical Sciences, </w:t>
      </w:r>
      <w:bookmarkStart w:id="2" w:name="_Hlk135830923"/>
      <w:r w:rsidR="00E349F3" w:rsidRPr="00D041C0">
        <w:rPr>
          <w:rFonts w:ascii="Times New Roman" w:hAnsi="Times New Roman" w:cs="Times New Roman"/>
          <w:szCs w:val="28"/>
        </w:rPr>
        <w:t>Faculty of Medicine and Health</w:t>
      </w:r>
      <w:bookmarkEnd w:id="2"/>
      <w:r w:rsidR="00E349F3" w:rsidRPr="00D041C0">
        <w:rPr>
          <w:rFonts w:ascii="Times New Roman" w:hAnsi="Times New Roman" w:cs="Times New Roman"/>
          <w:szCs w:val="28"/>
        </w:rPr>
        <w:t xml:space="preserve">, </w:t>
      </w:r>
      <w:proofErr w:type="spellStart"/>
      <w:r w:rsidRPr="00D041C0">
        <w:rPr>
          <w:rFonts w:ascii="Times New Roman" w:hAnsi="Times New Roman" w:cs="Times New Roman"/>
          <w:szCs w:val="28"/>
        </w:rPr>
        <w:t>Örebro</w:t>
      </w:r>
      <w:proofErr w:type="spellEnd"/>
      <w:r w:rsidRPr="00D041C0">
        <w:rPr>
          <w:rFonts w:ascii="Times New Roman" w:hAnsi="Times New Roman" w:cs="Times New Roman"/>
          <w:szCs w:val="28"/>
        </w:rPr>
        <w:t xml:space="preserve"> University, </w:t>
      </w:r>
      <w:proofErr w:type="spellStart"/>
      <w:r w:rsidRPr="00D041C0">
        <w:rPr>
          <w:rFonts w:ascii="Times New Roman" w:hAnsi="Times New Roman" w:cs="Times New Roman"/>
          <w:szCs w:val="28"/>
        </w:rPr>
        <w:t>Örebro</w:t>
      </w:r>
      <w:proofErr w:type="spellEnd"/>
      <w:r w:rsidR="00D10FC0" w:rsidRPr="00D041C0">
        <w:rPr>
          <w:rFonts w:ascii="Times New Roman" w:hAnsi="Times New Roman" w:cs="Times New Roman"/>
          <w:szCs w:val="28"/>
        </w:rPr>
        <w:t>, Sweden</w:t>
      </w:r>
    </w:p>
    <w:p w14:paraId="7BC44347" w14:textId="03E701D5" w:rsidR="00D721D0" w:rsidRPr="00D041C0" w:rsidRDefault="00D721D0" w:rsidP="0051670A">
      <w:pPr>
        <w:spacing w:after="0" w:line="276" w:lineRule="auto"/>
        <w:ind w:firstLine="0"/>
        <w:rPr>
          <w:rFonts w:ascii="Times New Roman" w:hAnsi="Times New Roman" w:cs="Times New Roman"/>
          <w:szCs w:val="28"/>
        </w:rPr>
      </w:pPr>
      <w:r w:rsidRPr="00D041C0">
        <w:rPr>
          <w:rFonts w:ascii="Times New Roman" w:hAnsi="Times New Roman" w:cs="Times New Roman"/>
          <w:szCs w:val="28"/>
          <w:vertAlign w:val="superscript"/>
        </w:rPr>
        <w:t>2</w:t>
      </w:r>
      <w:r w:rsidRPr="00D041C0">
        <w:rPr>
          <w:rFonts w:ascii="Times New Roman" w:hAnsi="Times New Roman" w:cs="Times New Roman"/>
          <w:szCs w:val="28"/>
        </w:rPr>
        <w:t xml:space="preserve">Department of Medical Epidemiology and Biostatistics, Karolinska </w:t>
      </w:r>
      <w:proofErr w:type="spellStart"/>
      <w:r w:rsidRPr="00D041C0">
        <w:rPr>
          <w:rFonts w:ascii="Times New Roman" w:hAnsi="Times New Roman" w:cs="Times New Roman"/>
          <w:szCs w:val="28"/>
        </w:rPr>
        <w:t>Institutet</w:t>
      </w:r>
      <w:proofErr w:type="spellEnd"/>
      <w:r w:rsidRPr="00D041C0">
        <w:rPr>
          <w:rFonts w:ascii="Times New Roman" w:hAnsi="Times New Roman" w:cs="Times New Roman"/>
          <w:szCs w:val="28"/>
        </w:rPr>
        <w:t>, Stockholm, Sweden</w:t>
      </w:r>
    </w:p>
    <w:p w14:paraId="36C7D7E0" w14:textId="77777777" w:rsidR="00215714" w:rsidRDefault="00D721D0" w:rsidP="00040EE2">
      <w:pPr>
        <w:spacing w:after="0" w:line="276" w:lineRule="auto"/>
        <w:ind w:firstLine="0"/>
        <w:rPr>
          <w:rFonts w:ascii="Times New Roman" w:hAnsi="Times New Roman" w:cs="Times New Roman"/>
          <w:szCs w:val="28"/>
        </w:rPr>
      </w:pPr>
      <w:r w:rsidRPr="00D041C0">
        <w:rPr>
          <w:rFonts w:ascii="Times New Roman" w:hAnsi="Times New Roman" w:cs="Times New Roman"/>
          <w:szCs w:val="28"/>
          <w:vertAlign w:val="superscript"/>
        </w:rPr>
        <w:t>3</w:t>
      </w:r>
      <w:r w:rsidR="00215714" w:rsidRPr="00D041C0">
        <w:rPr>
          <w:rFonts w:ascii="Times New Roman" w:hAnsi="Times New Roman" w:cs="Times New Roman"/>
          <w:szCs w:val="28"/>
        </w:rPr>
        <w:t>Gillberg Neuropsychiatry Centre, Institute of Neuroscience and Physiology, University of Gothenburg, Gothenburg, Sweden.</w:t>
      </w:r>
    </w:p>
    <w:p w14:paraId="1F0FE821" w14:textId="6710A24F" w:rsidR="002F4A2D" w:rsidRPr="00D041C0" w:rsidRDefault="002F4A2D" w:rsidP="00040EE2">
      <w:pPr>
        <w:spacing w:after="0" w:line="276" w:lineRule="auto"/>
        <w:ind w:firstLine="0"/>
        <w:rPr>
          <w:rFonts w:ascii="Times New Roman" w:hAnsi="Times New Roman" w:cs="Times New Roman"/>
          <w:szCs w:val="28"/>
        </w:rPr>
      </w:pPr>
      <w:r>
        <w:rPr>
          <w:rFonts w:ascii="Times New Roman" w:hAnsi="Times New Roman" w:cs="Times New Roman"/>
          <w:szCs w:val="28"/>
          <w:vertAlign w:val="superscript"/>
        </w:rPr>
        <w:t>4</w:t>
      </w:r>
      <w:r w:rsidRPr="002F4A2D">
        <w:rPr>
          <w:rFonts w:ascii="Times New Roman" w:hAnsi="Times New Roman" w:cs="Times New Roman"/>
          <w:szCs w:val="28"/>
        </w:rPr>
        <w:t xml:space="preserve">Region </w:t>
      </w:r>
      <w:proofErr w:type="spellStart"/>
      <w:r w:rsidRPr="002F4A2D">
        <w:rPr>
          <w:rFonts w:ascii="Times New Roman" w:hAnsi="Times New Roman" w:cs="Times New Roman"/>
          <w:szCs w:val="28"/>
        </w:rPr>
        <w:t>Skåne</w:t>
      </w:r>
      <w:proofErr w:type="spellEnd"/>
      <w:r w:rsidRPr="002F4A2D">
        <w:rPr>
          <w:rFonts w:ascii="Times New Roman" w:hAnsi="Times New Roman" w:cs="Times New Roman"/>
          <w:szCs w:val="28"/>
        </w:rPr>
        <w:t>, Psychiatry, Habilitation &amp; Aid, Child and Adolescent Psychiatry, Regional Inpatient Care, Emergency Unit, Malmö, Sweden</w:t>
      </w:r>
    </w:p>
    <w:p w14:paraId="294A4E37" w14:textId="77777777" w:rsidR="0047243A" w:rsidRDefault="002F4A2D" w:rsidP="00040EE2">
      <w:pPr>
        <w:spacing w:after="0" w:line="276" w:lineRule="auto"/>
        <w:ind w:firstLine="0"/>
        <w:rPr>
          <w:rFonts w:ascii="Times New Roman" w:hAnsi="Times New Roman" w:cs="Times New Roman"/>
          <w:szCs w:val="28"/>
        </w:rPr>
      </w:pPr>
      <w:r>
        <w:rPr>
          <w:rFonts w:ascii="Times New Roman" w:hAnsi="Times New Roman" w:cs="Times New Roman"/>
          <w:szCs w:val="28"/>
          <w:vertAlign w:val="superscript"/>
        </w:rPr>
        <w:t>5</w:t>
      </w:r>
      <w:r w:rsidR="0047243A" w:rsidRPr="0047243A">
        <w:rPr>
          <w:rFonts w:ascii="Times New Roman" w:hAnsi="Times New Roman" w:cs="Times New Roman"/>
          <w:szCs w:val="28"/>
        </w:rPr>
        <w:t>Centre for Innovation in Mental Health, School of Psychology, Faculty of Environmental and Life Sciences, University of Southampton, Southampton, UK</w:t>
      </w:r>
    </w:p>
    <w:p w14:paraId="3E00882C" w14:textId="6B2C9B2F" w:rsidR="00040EE2" w:rsidRPr="00D041C0" w:rsidRDefault="002F4A2D" w:rsidP="00040EE2">
      <w:pPr>
        <w:spacing w:after="0" w:line="276" w:lineRule="auto"/>
        <w:ind w:firstLine="0"/>
        <w:rPr>
          <w:rFonts w:ascii="Times New Roman" w:hAnsi="Times New Roman" w:cs="Times New Roman"/>
          <w:szCs w:val="28"/>
        </w:rPr>
      </w:pPr>
      <w:r>
        <w:rPr>
          <w:rFonts w:ascii="Times New Roman" w:hAnsi="Times New Roman" w:cs="Times New Roman"/>
          <w:szCs w:val="28"/>
          <w:vertAlign w:val="superscript"/>
        </w:rPr>
        <w:t>6</w:t>
      </w:r>
      <w:r w:rsidR="00040EE2" w:rsidRPr="00D041C0">
        <w:rPr>
          <w:rFonts w:ascii="Times New Roman" w:hAnsi="Times New Roman" w:cs="Times New Roman"/>
          <w:szCs w:val="28"/>
        </w:rPr>
        <w:t>Clinical and Experimental Sciences (CNS and Psychiatry), Faculty of Medicine,</w:t>
      </w:r>
    </w:p>
    <w:p w14:paraId="3574E36A" w14:textId="77777777" w:rsidR="00040EE2" w:rsidRPr="00D041C0" w:rsidRDefault="00040EE2" w:rsidP="00040EE2">
      <w:pPr>
        <w:spacing w:after="0" w:line="276" w:lineRule="auto"/>
        <w:ind w:firstLine="0"/>
        <w:rPr>
          <w:rFonts w:ascii="Times New Roman" w:hAnsi="Times New Roman" w:cs="Times New Roman"/>
          <w:szCs w:val="28"/>
        </w:rPr>
      </w:pPr>
      <w:r w:rsidRPr="00D041C0">
        <w:rPr>
          <w:rFonts w:ascii="Times New Roman" w:hAnsi="Times New Roman" w:cs="Times New Roman"/>
          <w:szCs w:val="28"/>
        </w:rPr>
        <w:t>University of Southampton, Southampton, UK</w:t>
      </w:r>
    </w:p>
    <w:p w14:paraId="604534C5" w14:textId="134D7379" w:rsidR="00040EE2" w:rsidRPr="00D041C0" w:rsidRDefault="002F4A2D" w:rsidP="00040EE2">
      <w:pPr>
        <w:spacing w:after="0" w:line="276" w:lineRule="auto"/>
        <w:ind w:firstLine="0"/>
        <w:rPr>
          <w:rFonts w:ascii="Times New Roman" w:hAnsi="Times New Roman" w:cs="Times New Roman"/>
          <w:szCs w:val="28"/>
        </w:rPr>
      </w:pPr>
      <w:r>
        <w:rPr>
          <w:rFonts w:ascii="Times New Roman" w:hAnsi="Times New Roman" w:cs="Times New Roman"/>
          <w:szCs w:val="28"/>
          <w:vertAlign w:val="superscript"/>
        </w:rPr>
        <w:t>7</w:t>
      </w:r>
      <w:r w:rsidR="00040EE2" w:rsidRPr="00D041C0">
        <w:rPr>
          <w:rFonts w:ascii="Times New Roman" w:hAnsi="Times New Roman" w:cs="Times New Roman"/>
          <w:szCs w:val="28"/>
        </w:rPr>
        <w:t>Solent NHS Trust, Southampton, UK</w:t>
      </w:r>
    </w:p>
    <w:p w14:paraId="5A064C8C" w14:textId="2FAFF171" w:rsidR="00040EE2" w:rsidRDefault="002F4A2D" w:rsidP="00040EE2">
      <w:pPr>
        <w:spacing w:after="0" w:line="276" w:lineRule="auto"/>
        <w:ind w:firstLine="0"/>
        <w:rPr>
          <w:rFonts w:ascii="Times New Roman" w:hAnsi="Times New Roman" w:cs="Times New Roman"/>
          <w:szCs w:val="28"/>
        </w:rPr>
      </w:pPr>
      <w:r>
        <w:rPr>
          <w:rFonts w:ascii="Times New Roman" w:hAnsi="Times New Roman" w:cs="Times New Roman"/>
          <w:szCs w:val="28"/>
          <w:vertAlign w:val="superscript"/>
        </w:rPr>
        <w:t>8</w:t>
      </w:r>
      <w:r w:rsidR="00040EE2" w:rsidRPr="00D041C0">
        <w:rPr>
          <w:rFonts w:ascii="Times New Roman" w:hAnsi="Times New Roman" w:cs="Times New Roman"/>
          <w:szCs w:val="28"/>
        </w:rPr>
        <w:t>Hassenfeld Children’s Hospital at NYU Langone, New York University Child Study Center, New York City, New York, USA</w:t>
      </w:r>
    </w:p>
    <w:p w14:paraId="36642D39" w14:textId="01D3CAC5" w:rsidR="00EB6E61" w:rsidRDefault="002F4A2D" w:rsidP="00040EE2">
      <w:pPr>
        <w:spacing w:after="0" w:line="276" w:lineRule="auto"/>
        <w:ind w:firstLine="0"/>
        <w:rPr>
          <w:rFonts w:ascii="Times New Roman" w:hAnsi="Times New Roman" w:cs="Times New Roman"/>
          <w:szCs w:val="28"/>
        </w:rPr>
      </w:pPr>
      <w:r>
        <w:rPr>
          <w:rFonts w:ascii="Times New Roman" w:hAnsi="Times New Roman" w:cs="Times New Roman"/>
          <w:szCs w:val="28"/>
          <w:vertAlign w:val="superscript"/>
        </w:rPr>
        <w:t>9</w:t>
      </w:r>
      <w:r w:rsidR="00EB6E61" w:rsidRPr="00EB6E61">
        <w:rPr>
          <w:rFonts w:ascii="Times New Roman" w:hAnsi="Times New Roman" w:cs="Times New Roman"/>
          <w:szCs w:val="28"/>
        </w:rPr>
        <w:t>DiMePRe-J-Department of Precision and Regenerative Medicine-Jonic Area, University of Bari "Aldo Moro", Bari, Italy.</w:t>
      </w:r>
    </w:p>
    <w:p w14:paraId="6F6F3D3F" w14:textId="77777777" w:rsidR="002D41EE" w:rsidRDefault="002D41EE" w:rsidP="002D41EE">
      <w:pPr>
        <w:spacing w:after="0" w:line="276" w:lineRule="auto"/>
        <w:ind w:firstLine="1304"/>
        <w:rPr>
          <w:rFonts w:ascii="Times New Roman" w:hAnsi="Times New Roman" w:cs="Times New Roman"/>
          <w:szCs w:val="28"/>
        </w:rPr>
      </w:pPr>
    </w:p>
    <w:p w14:paraId="64EABDBA" w14:textId="77777777" w:rsidR="002D41EE" w:rsidRPr="00EB6E61" w:rsidRDefault="002D41EE" w:rsidP="00040EE2">
      <w:pPr>
        <w:spacing w:after="0" w:line="276" w:lineRule="auto"/>
        <w:ind w:firstLine="0"/>
        <w:rPr>
          <w:rFonts w:ascii="Times New Roman" w:hAnsi="Times New Roman" w:cs="Times New Roman"/>
          <w:szCs w:val="28"/>
          <w:vertAlign w:val="superscript"/>
        </w:rPr>
      </w:pPr>
    </w:p>
    <w:p w14:paraId="27F9CF12" w14:textId="1AE664EB" w:rsidR="002D41EE" w:rsidRPr="00D041C0" w:rsidRDefault="002D41EE" w:rsidP="002D41EE">
      <w:pPr>
        <w:spacing w:line="240" w:lineRule="auto"/>
        <w:ind w:firstLine="0"/>
        <w:rPr>
          <w:rFonts w:ascii="Times New Roman" w:hAnsi="Times New Roman" w:cs="Times New Roman"/>
        </w:rPr>
      </w:pPr>
      <w:r w:rsidRPr="00D041C0">
        <w:rPr>
          <w:rFonts w:ascii="Times New Roman" w:hAnsi="Times New Roman" w:cs="Times New Roman"/>
          <w:b/>
          <w:bCs/>
        </w:rPr>
        <w:t xml:space="preserve">Word count: </w:t>
      </w:r>
      <w:r w:rsidR="00C72C23">
        <w:rPr>
          <w:rFonts w:ascii="Times New Roman" w:hAnsi="Times New Roman" w:cs="Times New Roman"/>
        </w:rPr>
        <w:t>3061</w:t>
      </w:r>
    </w:p>
    <w:p w14:paraId="02BBEE24" w14:textId="77777777" w:rsidR="00B1679E" w:rsidRPr="00D041C0" w:rsidRDefault="00B1679E" w:rsidP="007C1C22">
      <w:pPr>
        <w:spacing w:line="240" w:lineRule="auto"/>
        <w:jc w:val="center"/>
        <w:rPr>
          <w:rFonts w:ascii="Times New Roman" w:hAnsi="Times New Roman" w:cs="Times New Roman"/>
          <w:b/>
          <w:sz w:val="22"/>
        </w:rPr>
      </w:pPr>
    </w:p>
    <w:p w14:paraId="6C09BFAC" w14:textId="77777777" w:rsidR="00B1679E" w:rsidRPr="00D041C0" w:rsidRDefault="00B1679E" w:rsidP="007C1C22">
      <w:pPr>
        <w:spacing w:line="240" w:lineRule="auto"/>
        <w:jc w:val="center"/>
        <w:rPr>
          <w:rFonts w:ascii="Times New Roman" w:hAnsi="Times New Roman" w:cs="Times New Roman"/>
          <w:b/>
          <w:sz w:val="22"/>
        </w:rPr>
      </w:pPr>
    </w:p>
    <w:p w14:paraId="7D3994D5" w14:textId="77777777" w:rsidR="00B1679E" w:rsidRPr="00D041C0" w:rsidRDefault="00B1679E" w:rsidP="007C1C22">
      <w:pPr>
        <w:spacing w:line="240" w:lineRule="auto"/>
        <w:jc w:val="center"/>
        <w:rPr>
          <w:rFonts w:ascii="Times New Roman" w:hAnsi="Times New Roman" w:cs="Times New Roman"/>
          <w:b/>
          <w:sz w:val="22"/>
        </w:rPr>
      </w:pPr>
    </w:p>
    <w:p w14:paraId="223050ED" w14:textId="6800AEAA" w:rsidR="007C1C22" w:rsidRPr="00D041C0" w:rsidRDefault="007C1C22" w:rsidP="007C1C22">
      <w:pPr>
        <w:spacing w:line="240" w:lineRule="auto"/>
        <w:jc w:val="center"/>
        <w:rPr>
          <w:rFonts w:ascii="Times New Roman" w:hAnsi="Times New Roman" w:cs="Times New Roman"/>
          <w:b/>
          <w:sz w:val="22"/>
          <w:vertAlign w:val="superscript"/>
        </w:rPr>
      </w:pPr>
      <w:r w:rsidRPr="00D041C0">
        <w:rPr>
          <w:rFonts w:ascii="Times New Roman" w:hAnsi="Times New Roman" w:cs="Times New Roman"/>
          <w:b/>
          <w:sz w:val="22"/>
        </w:rPr>
        <w:t>Author notes</w:t>
      </w:r>
    </w:p>
    <w:p w14:paraId="329D6B3E" w14:textId="77777777" w:rsidR="007C1C22" w:rsidRPr="00D041C0" w:rsidRDefault="007C1C22" w:rsidP="001A1B0F">
      <w:pPr>
        <w:spacing w:line="240" w:lineRule="auto"/>
        <w:ind w:firstLine="0"/>
        <w:rPr>
          <w:rFonts w:ascii="Times New Roman" w:hAnsi="Times New Roman" w:cs="Times New Roman"/>
          <w:iCs/>
          <w:sz w:val="22"/>
        </w:rPr>
      </w:pPr>
      <w:r w:rsidRPr="00D041C0">
        <w:rPr>
          <w:rFonts w:ascii="Times New Roman" w:hAnsi="Times New Roman" w:cs="Times New Roman"/>
          <w:sz w:val="22"/>
        </w:rPr>
        <w:t xml:space="preserve">*Correspondence concerning this article should be addressed to Miguel Garcia-Argibay, School of Medical Sciences, </w:t>
      </w:r>
      <w:proofErr w:type="spellStart"/>
      <w:r w:rsidRPr="00D041C0">
        <w:rPr>
          <w:rFonts w:ascii="Times New Roman" w:hAnsi="Times New Roman" w:cs="Times New Roman"/>
          <w:sz w:val="22"/>
        </w:rPr>
        <w:t>Örebro</w:t>
      </w:r>
      <w:proofErr w:type="spellEnd"/>
      <w:r w:rsidRPr="00D041C0">
        <w:rPr>
          <w:rFonts w:ascii="Times New Roman" w:hAnsi="Times New Roman" w:cs="Times New Roman"/>
          <w:sz w:val="22"/>
        </w:rPr>
        <w:t xml:space="preserve"> University, SE-70182 </w:t>
      </w:r>
      <w:proofErr w:type="spellStart"/>
      <w:r w:rsidRPr="00D041C0">
        <w:rPr>
          <w:rFonts w:ascii="Times New Roman" w:hAnsi="Times New Roman" w:cs="Times New Roman"/>
          <w:sz w:val="22"/>
        </w:rPr>
        <w:t>Örebro</w:t>
      </w:r>
      <w:proofErr w:type="spellEnd"/>
      <w:r w:rsidRPr="00D041C0">
        <w:rPr>
          <w:rFonts w:ascii="Times New Roman" w:hAnsi="Times New Roman" w:cs="Times New Roman"/>
          <w:sz w:val="22"/>
        </w:rPr>
        <w:t xml:space="preserve">, Sweden. E-mail: </w:t>
      </w:r>
      <w:hyperlink r:id="rId11" w:history="1">
        <w:r w:rsidRPr="00D041C0">
          <w:rPr>
            <w:rStyle w:val="Hyperlink"/>
            <w:rFonts w:ascii="Times New Roman" w:hAnsi="Times New Roman" w:cs="Times New Roman"/>
            <w:iCs/>
            <w:sz w:val="22"/>
          </w:rPr>
          <w:t>miguel.garcia-argibay@oru.se</w:t>
        </w:r>
      </w:hyperlink>
    </w:p>
    <w:p w14:paraId="7FB6C855" w14:textId="01F4BC57" w:rsidR="004C1D99" w:rsidRPr="00D041C0" w:rsidRDefault="004C1D99" w:rsidP="004C1D99">
      <w:pPr>
        <w:pStyle w:val="Heading1"/>
      </w:pPr>
      <w:r w:rsidRPr="00D041C0">
        <w:br w:type="page"/>
      </w:r>
      <w:r w:rsidRPr="00D041C0">
        <w:lastRenderedPageBreak/>
        <w:t>Abstract</w:t>
      </w:r>
      <w:r w:rsidR="0025337C" w:rsidRPr="00D041C0">
        <w:t xml:space="preserve"> (</w:t>
      </w:r>
      <w:r w:rsidR="00A31CB3">
        <w:t>288</w:t>
      </w:r>
      <w:r w:rsidR="0081111B" w:rsidRPr="00D041C0">
        <w:t>/350</w:t>
      </w:r>
      <w:r w:rsidR="0025337C" w:rsidRPr="00D041C0">
        <w:t>)</w:t>
      </w:r>
    </w:p>
    <w:p w14:paraId="53CCD233" w14:textId="617E145F" w:rsidR="00A26556" w:rsidRPr="00D041C0" w:rsidRDefault="00A26556" w:rsidP="00A26556">
      <w:pPr>
        <w:spacing w:line="360" w:lineRule="auto"/>
        <w:ind w:firstLine="0"/>
        <w:rPr>
          <w:rFonts w:ascii="Times New Roman" w:hAnsi="Times New Roman" w:cs="Times New Roman"/>
        </w:rPr>
      </w:pPr>
      <w:r w:rsidRPr="00D041C0">
        <w:rPr>
          <w:rFonts w:ascii="Times New Roman" w:hAnsi="Times New Roman" w:cs="Times New Roman"/>
          <w:b/>
          <w:bCs/>
        </w:rPr>
        <w:t>Importance</w:t>
      </w:r>
      <w:r w:rsidRPr="00D041C0">
        <w:rPr>
          <w:rFonts w:ascii="Times New Roman" w:hAnsi="Times New Roman" w:cs="Times New Roman"/>
        </w:rPr>
        <w:t xml:space="preserve">: </w:t>
      </w:r>
      <w:r w:rsidRPr="00A60657">
        <w:rPr>
          <w:rFonts w:ascii="Times New Roman" w:hAnsi="Times New Roman" w:cs="Times New Roman"/>
        </w:rPr>
        <w:t xml:space="preserve">Neurodevelopmental disorders (NDDs) </w:t>
      </w:r>
      <w:r>
        <w:rPr>
          <w:rFonts w:ascii="Times New Roman" w:hAnsi="Times New Roman" w:cs="Times New Roman"/>
        </w:rPr>
        <w:t>such as</w:t>
      </w:r>
      <w:r w:rsidRPr="00A60657">
        <w:rPr>
          <w:rFonts w:ascii="Times New Roman" w:hAnsi="Times New Roman" w:cs="Times New Roman"/>
        </w:rPr>
        <w:t xml:space="preserve"> autism spectrum disorder</w:t>
      </w:r>
      <w:r>
        <w:rPr>
          <w:rFonts w:ascii="Times New Roman" w:hAnsi="Times New Roman" w:cs="Times New Roman"/>
        </w:rPr>
        <w:t xml:space="preserve"> (ASD)</w:t>
      </w:r>
      <w:r w:rsidRPr="00A60657">
        <w:rPr>
          <w:rFonts w:ascii="Times New Roman" w:hAnsi="Times New Roman" w:cs="Times New Roman"/>
        </w:rPr>
        <w:t xml:space="preserve"> and attention</w:t>
      </w:r>
      <w:r>
        <w:rPr>
          <w:rFonts w:ascii="Times New Roman" w:hAnsi="Times New Roman" w:cs="Times New Roman"/>
        </w:rPr>
        <w:t>-</w:t>
      </w:r>
      <w:r w:rsidRPr="00A60657">
        <w:rPr>
          <w:rFonts w:ascii="Times New Roman" w:hAnsi="Times New Roman" w:cs="Times New Roman"/>
        </w:rPr>
        <w:t>deficit</w:t>
      </w:r>
      <w:r>
        <w:rPr>
          <w:rFonts w:ascii="Times New Roman" w:hAnsi="Times New Roman" w:cs="Times New Roman"/>
        </w:rPr>
        <w:t>/</w:t>
      </w:r>
      <w:r w:rsidRPr="00A60657">
        <w:rPr>
          <w:rFonts w:ascii="Times New Roman" w:hAnsi="Times New Roman" w:cs="Times New Roman"/>
        </w:rPr>
        <w:t>hyperactivity</w:t>
      </w:r>
      <w:r>
        <w:rPr>
          <w:rFonts w:ascii="Times New Roman" w:hAnsi="Times New Roman" w:cs="Times New Roman"/>
        </w:rPr>
        <w:t xml:space="preserve"> </w:t>
      </w:r>
      <w:r w:rsidRPr="00A60657">
        <w:rPr>
          <w:rFonts w:ascii="Times New Roman" w:hAnsi="Times New Roman" w:cs="Times New Roman"/>
        </w:rPr>
        <w:t xml:space="preserve">disorder </w:t>
      </w:r>
      <w:r>
        <w:rPr>
          <w:rFonts w:ascii="Times New Roman" w:hAnsi="Times New Roman" w:cs="Times New Roman"/>
        </w:rPr>
        <w:t>(ADHD)</w:t>
      </w:r>
      <w:r w:rsidRPr="00A60657">
        <w:rPr>
          <w:rFonts w:ascii="Times New Roman" w:hAnsi="Times New Roman" w:cs="Times New Roman"/>
        </w:rPr>
        <w:t xml:space="preserve"> are increasingly common. Individuals with NDDs face heightened obesity risks, but long-term data on body mass index (BMI) trends </w:t>
      </w:r>
      <w:r w:rsidR="006106AA">
        <w:rPr>
          <w:rFonts w:ascii="Times New Roman" w:hAnsi="Times New Roman" w:cs="Times New Roman"/>
        </w:rPr>
        <w:t xml:space="preserve">over time </w:t>
      </w:r>
      <w:r>
        <w:rPr>
          <w:rFonts w:ascii="Times New Roman" w:hAnsi="Times New Roman" w:cs="Times New Roman"/>
        </w:rPr>
        <w:t xml:space="preserve">in this population </w:t>
      </w:r>
      <w:r w:rsidRPr="00A60657">
        <w:rPr>
          <w:rFonts w:ascii="Times New Roman" w:hAnsi="Times New Roman" w:cs="Times New Roman"/>
        </w:rPr>
        <w:t>are lacking.</w:t>
      </w:r>
    </w:p>
    <w:p w14:paraId="73A8C657" w14:textId="2740BA84" w:rsidR="00A26556" w:rsidRPr="00D041C0" w:rsidRDefault="00A26556" w:rsidP="00A26556">
      <w:pPr>
        <w:spacing w:line="360" w:lineRule="auto"/>
        <w:ind w:firstLine="0"/>
        <w:rPr>
          <w:rFonts w:ascii="Times New Roman" w:hAnsi="Times New Roman" w:cs="Times New Roman"/>
        </w:rPr>
      </w:pPr>
      <w:r w:rsidRPr="00D041C0">
        <w:rPr>
          <w:rFonts w:ascii="Times New Roman" w:hAnsi="Times New Roman" w:cs="Times New Roman"/>
          <w:b/>
          <w:bCs/>
        </w:rPr>
        <w:t>Objective:</w:t>
      </w:r>
      <w:r w:rsidRPr="00D041C0">
        <w:rPr>
          <w:rFonts w:ascii="Times New Roman" w:hAnsi="Times New Roman" w:cs="Times New Roman"/>
        </w:rPr>
        <w:t xml:space="preserve"> </w:t>
      </w:r>
      <w:r w:rsidRPr="00A60657">
        <w:rPr>
          <w:rFonts w:ascii="Times New Roman" w:hAnsi="Times New Roman" w:cs="Times New Roman"/>
        </w:rPr>
        <w:t xml:space="preserve">To </w:t>
      </w:r>
      <w:r>
        <w:rPr>
          <w:rFonts w:ascii="Times New Roman" w:hAnsi="Times New Roman" w:cs="Times New Roman"/>
        </w:rPr>
        <w:t>assess</w:t>
      </w:r>
      <w:r w:rsidRPr="00A60657">
        <w:rPr>
          <w:rFonts w:ascii="Times New Roman" w:hAnsi="Times New Roman" w:cs="Times New Roman"/>
        </w:rPr>
        <w:t xml:space="preserve"> </w:t>
      </w:r>
      <w:r w:rsidR="00946E43">
        <w:rPr>
          <w:rFonts w:ascii="Times New Roman" w:hAnsi="Times New Roman" w:cs="Times New Roman"/>
        </w:rPr>
        <w:t xml:space="preserve">secular </w:t>
      </w:r>
      <w:r w:rsidRPr="00A60657">
        <w:rPr>
          <w:rFonts w:ascii="Times New Roman" w:hAnsi="Times New Roman" w:cs="Times New Roman"/>
        </w:rPr>
        <w:t xml:space="preserve">BMI </w:t>
      </w:r>
      <w:r w:rsidR="00946E43">
        <w:rPr>
          <w:rFonts w:ascii="Times New Roman" w:hAnsi="Times New Roman" w:cs="Times New Roman"/>
        </w:rPr>
        <w:t xml:space="preserve">changes </w:t>
      </w:r>
      <w:r w:rsidRPr="00A60657">
        <w:rPr>
          <w:rFonts w:ascii="Times New Roman" w:hAnsi="Times New Roman" w:cs="Times New Roman"/>
        </w:rPr>
        <w:t xml:space="preserve">from </w:t>
      </w:r>
      <w:r>
        <w:rPr>
          <w:rFonts w:ascii="Times New Roman" w:hAnsi="Times New Roman" w:cs="Times New Roman"/>
        </w:rPr>
        <w:t>2004</w:t>
      </w:r>
      <w:r w:rsidRPr="00A60657">
        <w:rPr>
          <w:rFonts w:ascii="Times New Roman" w:hAnsi="Times New Roman" w:cs="Times New Roman"/>
        </w:rPr>
        <w:t>-20</w:t>
      </w:r>
      <w:r>
        <w:rPr>
          <w:rFonts w:ascii="Times New Roman" w:hAnsi="Times New Roman" w:cs="Times New Roman"/>
        </w:rPr>
        <w:t>20</w:t>
      </w:r>
      <w:r w:rsidRPr="00A60657">
        <w:rPr>
          <w:rFonts w:ascii="Times New Roman" w:hAnsi="Times New Roman" w:cs="Times New Roman"/>
        </w:rPr>
        <w:t xml:space="preserve"> among children with NDDs versus </w:t>
      </w:r>
      <w:r>
        <w:rPr>
          <w:rFonts w:ascii="Times New Roman" w:hAnsi="Times New Roman" w:cs="Times New Roman"/>
        </w:rPr>
        <w:t>those without NDDs</w:t>
      </w:r>
      <w:r w:rsidRPr="00A60657">
        <w:rPr>
          <w:rFonts w:ascii="Times New Roman" w:hAnsi="Times New Roman" w:cs="Times New Roman"/>
        </w:rPr>
        <w:t>.</w:t>
      </w:r>
    </w:p>
    <w:p w14:paraId="2CCDF350" w14:textId="68CA23D3" w:rsidR="00A26556" w:rsidRPr="00D041C0" w:rsidRDefault="00A26556" w:rsidP="00A26556">
      <w:pPr>
        <w:spacing w:line="360" w:lineRule="auto"/>
        <w:ind w:firstLine="0"/>
        <w:rPr>
          <w:rFonts w:ascii="Times New Roman" w:hAnsi="Times New Roman" w:cs="Times New Roman"/>
        </w:rPr>
      </w:pPr>
      <w:r w:rsidRPr="00D041C0">
        <w:rPr>
          <w:rFonts w:ascii="Times New Roman" w:hAnsi="Times New Roman" w:cs="Times New Roman"/>
          <w:b/>
          <w:bCs/>
        </w:rPr>
        <w:t>Design, Setting, and Participants</w:t>
      </w:r>
      <w:r w:rsidRPr="00D041C0">
        <w:rPr>
          <w:rFonts w:ascii="Times New Roman" w:hAnsi="Times New Roman" w:cs="Times New Roman"/>
        </w:rPr>
        <w:t xml:space="preserve">: </w:t>
      </w:r>
      <w:r w:rsidRPr="00727D46">
        <w:rPr>
          <w:rFonts w:ascii="Times New Roman" w:hAnsi="Times New Roman" w:cs="Times New Roman"/>
        </w:rPr>
        <w:t xml:space="preserve">This population-based </w:t>
      </w:r>
      <w:r>
        <w:rPr>
          <w:rFonts w:ascii="Times New Roman" w:hAnsi="Times New Roman" w:cs="Times New Roman"/>
        </w:rPr>
        <w:t>cross-</w:t>
      </w:r>
      <w:r w:rsidRPr="00727D46">
        <w:rPr>
          <w:rFonts w:ascii="Times New Roman" w:hAnsi="Times New Roman" w:cs="Times New Roman"/>
        </w:rPr>
        <w:t xml:space="preserve">cohort study used data from the Child and Adolescent Twin Study in Sweden (CATSS). </w:t>
      </w:r>
      <w:r w:rsidR="002A031B">
        <w:rPr>
          <w:rFonts w:ascii="Times New Roman" w:hAnsi="Times New Roman" w:cs="Times New Roman"/>
        </w:rPr>
        <w:t>Children</w:t>
      </w:r>
      <w:r w:rsidRPr="00727D46">
        <w:rPr>
          <w:rFonts w:ascii="Times New Roman" w:hAnsi="Times New Roman" w:cs="Times New Roman"/>
        </w:rPr>
        <w:t xml:space="preserve"> were screened for neurodevelopmental symptoms using the Autism-Tics, ADHD</w:t>
      </w:r>
      <w:r>
        <w:rPr>
          <w:rFonts w:ascii="Times New Roman" w:hAnsi="Times New Roman" w:cs="Times New Roman"/>
        </w:rPr>
        <w:t>,</w:t>
      </w:r>
      <w:r w:rsidRPr="00727D46">
        <w:rPr>
          <w:rFonts w:ascii="Times New Roman" w:hAnsi="Times New Roman" w:cs="Times New Roman"/>
        </w:rPr>
        <w:t xml:space="preserve"> and other Comorbidities inventory when they were 9</w:t>
      </w:r>
      <w:r>
        <w:rPr>
          <w:rFonts w:ascii="Times New Roman" w:hAnsi="Times New Roman" w:cs="Times New Roman"/>
        </w:rPr>
        <w:t>/</w:t>
      </w:r>
      <w:r w:rsidRPr="00727D46">
        <w:rPr>
          <w:rFonts w:ascii="Times New Roman" w:hAnsi="Times New Roman" w:cs="Times New Roman"/>
        </w:rPr>
        <w:t>12 years old</w:t>
      </w:r>
      <w:r w:rsidR="002A031B">
        <w:rPr>
          <w:rFonts w:ascii="Times New Roman" w:hAnsi="Times New Roman" w:cs="Times New Roman"/>
        </w:rPr>
        <w:t xml:space="preserve">, assessed </w:t>
      </w:r>
      <w:r w:rsidR="002A031B" w:rsidRPr="00727D46">
        <w:rPr>
          <w:rFonts w:ascii="Times New Roman" w:hAnsi="Times New Roman" w:cs="Times New Roman"/>
        </w:rPr>
        <w:t xml:space="preserve">between </w:t>
      </w:r>
      <w:r w:rsidR="002A031B">
        <w:rPr>
          <w:rFonts w:ascii="Times New Roman" w:hAnsi="Times New Roman" w:cs="Times New Roman"/>
        </w:rPr>
        <w:t>2004</w:t>
      </w:r>
      <w:r w:rsidR="002A031B" w:rsidRPr="00727D46">
        <w:rPr>
          <w:rFonts w:ascii="Times New Roman" w:hAnsi="Times New Roman" w:cs="Times New Roman"/>
        </w:rPr>
        <w:t xml:space="preserve"> and 20</w:t>
      </w:r>
      <w:r w:rsidR="002A031B">
        <w:rPr>
          <w:rFonts w:ascii="Times New Roman" w:hAnsi="Times New Roman" w:cs="Times New Roman"/>
        </w:rPr>
        <w:t>20</w:t>
      </w:r>
      <w:r w:rsidRPr="00727D46">
        <w:rPr>
          <w:rFonts w:ascii="Times New Roman" w:hAnsi="Times New Roman" w:cs="Times New Roman"/>
        </w:rPr>
        <w:t>.</w:t>
      </w:r>
    </w:p>
    <w:p w14:paraId="73FC19B4" w14:textId="2508C1DF" w:rsidR="00A26556" w:rsidRPr="00D041C0" w:rsidRDefault="00A26556" w:rsidP="00A26556">
      <w:pPr>
        <w:spacing w:line="360" w:lineRule="auto"/>
        <w:ind w:firstLine="0"/>
        <w:rPr>
          <w:rFonts w:ascii="Times New Roman" w:hAnsi="Times New Roman" w:cs="Times New Roman"/>
        </w:rPr>
      </w:pPr>
      <w:r w:rsidRPr="00D041C0">
        <w:rPr>
          <w:rFonts w:ascii="Times New Roman" w:hAnsi="Times New Roman" w:cs="Times New Roman"/>
          <w:b/>
          <w:bCs/>
        </w:rPr>
        <w:t xml:space="preserve">Main outcomes and Measures: </w:t>
      </w:r>
      <w:r w:rsidRPr="00A60657">
        <w:rPr>
          <w:rFonts w:ascii="Times New Roman" w:hAnsi="Times New Roman" w:cs="Times New Roman"/>
        </w:rPr>
        <w:t xml:space="preserve">BMI percentiles were modeled using quantile regression and compared between youth with and without NDDs. </w:t>
      </w:r>
      <w:r w:rsidR="00946E43">
        <w:rPr>
          <w:rFonts w:ascii="Times New Roman" w:hAnsi="Times New Roman" w:cs="Times New Roman"/>
        </w:rPr>
        <w:t>Secular changes</w:t>
      </w:r>
      <w:r w:rsidRPr="0016759A">
        <w:rPr>
          <w:rFonts w:ascii="Times New Roman" w:hAnsi="Times New Roman" w:cs="Times New Roman"/>
        </w:rPr>
        <w:t xml:space="preserve"> in BMI percentiles over time between </w:t>
      </w:r>
      <w:r>
        <w:rPr>
          <w:rFonts w:ascii="Times New Roman" w:hAnsi="Times New Roman" w:cs="Times New Roman"/>
        </w:rPr>
        <w:t>2004</w:t>
      </w:r>
      <w:r w:rsidRPr="00A60657">
        <w:rPr>
          <w:rFonts w:ascii="Times New Roman" w:hAnsi="Times New Roman" w:cs="Times New Roman"/>
        </w:rPr>
        <w:t>-20</w:t>
      </w:r>
      <w:r>
        <w:rPr>
          <w:rFonts w:ascii="Times New Roman" w:hAnsi="Times New Roman" w:cs="Times New Roman"/>
        </w:rPr>
        <w:t>20</w:t>
      </w:r>
      <w:r w:rsidRPr="00A60657">
        <w:rPr>
          <w:rFonts w:ascii="Times New Roman" w:hAnsi="Times New Roman" w:cs="Times New Roman"/>
        </w:rPr>
        <w:t xml:space="preserve"> </w:t>
      </w:r>
      <w:r w:rsidRPr="0016759A">
        <w:rPr>
          <w:rFonts w:ascii="Times New Roman" w:hAnsi="Times New Roman" w:cs="Times New Roman"/>
        </w:rPr>
        <w:t>birth cohorts were evaluated</w:t>
      </w:r>
      <w:r>
        <w:rPr>
          <w:rFonts w:ascii="Times New Roman" w:hAnsi="Times New Roman" w:cs="Times New Roman"/>
        </w:rPr>
        <w:t xml:space="preserve"> and stratified by NDD subtype.</w:t>
      </w:r>
    </w:p>
    <w:p w14:paraId="2972FFD5" w14:textId="76EAE003" w:rsidR="00A26556" w:rsidRPr="00D041C0" w:rsidRDefault="00A26556" w:rsidP="00A26556">
      <w:pPr>
        <w:spacing w:line="360" w:lineRule="auto"/>
        <w:ind w:firstLine="0"/>
        <w:rPr>
          <w:rFonts w:ascii="Times New Roman" w:hAnsi="Times New Roman" w:cs="Times New Roman"/>
        </w:rPr>
      </w:pPr>
      <w:r w:rsidRPr="00D041C0">
        <w:rPr>
          <w:rFonts w:ascii="Times New Roman" w:hAnsi="Times New Roman" w:cs="Times New Roman"/>
          <w:b/>
          <w:bCs/>
        </w:rPr>
        <w:t>Results</w:t>
      </w:r>
      <w:r w:rsidRPr="00D041C0">
        <w:rPr>
          <w:rFonts w:ascii="Times New Roman" w:hAnsi="Times New Roman" w:cs="Times New Roman"/>
        </w:rPr>
        <w:t>:</w:t>
      </w:r>
      <w:r>
        <w:rPr>
          <w:rFonts w:ascii="Times New Roman" w:hAnsi="Times New Roman" w:cs="Times New Roman"/>
        </w:rPr>
        <w:t xml:space="preserve"> </w:t>
      </w:r>
      <w:r w:rsidR="002A031B" w:rsidRPr="00727D46">
        <w:rPr>
          <w:rFonts w:ascii="Times New Roman" w:hAnsi="Times New Roman" w:cs="Times New Roman"/>
        </w:rPr>
        <w:t xml:space="preserve">The </w:t>
      </w:r>
      <w:r w:rsidR="002A031B">
        <w:rPr>
          <w:rFonts w:ascii="Times New Roman" w:hAnsi="Times New Roman" w:cs="Times New Roman"/>
        </w:rPr>
        <w:t>cohort</w:t>
      </w:r>
      <w:r w:rsidR="002A031B" w:rsidRPr="00727D46">
        <w:rPr>
          <w:rFonts w:ascii="Times New Roman" w:hAnsi="Times New Roman" w:cs="Times New Roman"/>
        </w:rPr>
        <w:t xml:space="preserve"> included 24,9</w:t>
      </w:r>
      <w:r w:rsidR="002A031B">
        <w:rPr>
          <w:rFonts w:ascii="Times New Roman" w:hAnsi="Times New Roman" w:cs="Times New Roman"/>
        </w:rPr>
        <w:t>69</w:t>
      </w:r>
      <w:r w:rsidR="002A031B" w:rsidRPr="00727D46">
        <w:rPr>
          <w:rFonts w:ascii="Times New Roman" w:hAnsi="Times New Roman" w:cs="Times New Roman"/>
        </w:rPr>
        <w:t xml:space="preserve"> Swed</w:t>
      </w:r>
      <w:r w:rsidR="002A031B">
        <w:rPr>
          <w:rFonts w:ascii="Times New Roman" w:hAnsi="Times New Roman" w:cs="Times New Roman"/>
        </w:rPr>
        <w:t>ish</w:t>
      </w:r>
      <w:r w:rsidR="002A031B" w:rsidRPr="00727D46">
        <w:rPr>
          <w:rFonts w:ascii="Times New Roman" w:hAnsi="Times New Roman" w:cs="Times New Roman"/>
        </w:rPr>
        <w:t xml:space="preserve"> twins</w:t>
      </w:r>
      <w:r w:rsidR="002A031B">
        <w:rPr>
          <w:rFonts w:ascii="Times New Roman" w:hAnsi="Times New Roman" w:cs="Times New Roman"/>
        </w:rPr>
        <w:t xml:space="preserve"> (</w:t>
      </w:r>
      <w:r w:rsidR="002A031B" w:rsidRPr="00D11990">
        <w:rPr>
          <w:rFonts w:ascii="Times New Roman" w:hAnsi="Times New Roman" w:cs="Times New Roman"/>
        </w:rPr>
        <w:t xml:space="preserve">12,681 </w:t>
      </w:r>
      <w:r w:rsidR="002A031B">
        <w:rPr>
          <w:rFonts w:ascii="Times New Roman" w:hAnsi="Times New Roman" w:cs="Times New Roman"/>
        </w:rPr>
        <w:t>[</w:t>
      </w:r>
      <w:r w:rsidR="002A031B" w:rsidRPr="00D11990">
        <w:rPr>
          <w:rFonts w:ascii="Times New Roman" w:hAnsi="Times New Roman" w:cs="Times New Roman"/>
        </w:rPr>
        <w:t>51%</w:t>
      </w:r>
      <w:r w:rsidR="002A031B">
        <w:rPr>
          <w:rFonts w:ascii="Times New Roman" w:hAnsi="Times New Roman" w:cs="Times New Roman"/>
        </w:rPr>
        <w:t>]</w:t>
      </w:r>
      <w:r w:rsidR="002A031B" w:rsidRPr="00D11990">
        <w:rPr>
          <w:rFonts w:ascii="Times New Roman" w:hAnsi="Times New Roman" w:cs="Times New Roman"/>
        </w:rPr>
        <w:t xml:space="preserve"> boys</w:t>
      </w:r>
      <w:r w:rsidR="002A031B">
        <w:rPr>
          <w:rFonts w:ascii="Times New Roman" w:hAnsi="Times New Roman" w:cs="Times New Roman"/>
        </w:rPr>
        <w:t>)</w:t>
      </w:r>
      <w:r w:rsidR="002A031B" w:rsidRPr="00727D46">
        <w:rPr>
          <w:rFonts w:ascii="Times New Roman" w:hAnsi="Times New Roman" w:cs="Times New Roman"/>
        </w:rPr>
        <w:t xml:space="preserve"> born </w:t>
      </w:r>
      <w:r w:rsidR="002A031B">
        <w:rPr>
          <w:rFonts w:ascii="Times New Roman" w:hAnsi="Times New Roman" w:cs="Times New Roman"/>
        </w:rPr>
        <w:t>between 1992 and</w:t>
      </w:r>
      <w:r w:rsidR="002A031B" w:rsidRPr="00727D46">
        <w:rPr>
          <w:rFonts w:ascii="Times New Roman" w:hAnsi="Times New Roman" w:cs="Times New Roman"/>
        </w:rPr>
        <w:t xml:space="preserve"> </w:t>
      </w:r>
      <w:r w:rsidR="002A031B">
        <w:rPr>
          <w:rFonts w:ascii="Times New Roman" w:hAnsi="Times New Roman" w:cs="Times New Roman"/>
        </w:rPr>
        <w:t xml:space="preserve">2010. </w:t>
      </w:r>
      <w:r w:rsidR="00902F16" w:rsidRPr="00727D46">
        <w:rPr>
          <w:rFonts w:ascii="Times New Roman" w:hAnsi="Times New Roman" w:cs="Times New Roman"/>
        </w:rPr>
        <w:t xml:space="preserve">Of these, 1,103 (4.4%) screened positive for one or more NDDs, including </w:t>
      </w:r>
      <w:r w:rsidR="00902F16">
        <w:rPr>
          <w:rFonts w:ascii="Times New Roman" w:hAnsi="Times New Roman" w:cs="Times New Roman"/>
        </w:rPr>
        <w:t>ADHD, ASD or learning disability (LD).</w:t>
      </w:r>
      <w:r w:rsidR="00902F16" w:rsidRPr="00D041C0">
        <w:rPr>
          <w:rFonts w:ascii="Times New Roman" w:hAnsi="Times New Roman" w:cs="Times New Roman"/>
        </w:rPr>
        <w:t xml:space="preserve"> </w:t>
      </w:r>
      <w:r>
        <w:rPr>
          <w:rFonts w:ascii="Times New Roman" w:hAnsi="Times New Roman" w:cs="Times New Roman"/>
        </w:rPr>
        <w:t>Results indicated a greater increase in BMI at the 85</w:t>
      </w:r>
      <w:r w:rsidRPr="00630446">
        <w:rPr>
          <w:rFonts w:ascii="Times New Roman" w:hAnsi="Times New Roman" w:cs="Times New Roman"/>
          <w:vertAlign w:val="superscript"/>
        </w:rPr>
        <w:t>th</w:t>
      </w:r>
      <w:r>
        <w:rPr>
          <w:rFonts w:ascii="Times New Roman" w:hAnsi="Times New Roman" w:cs="Times New Roman"/>
        </w:rPr>
        <w:t xml:space="preserve"> percentile from 2004 to 2020 </w:t>
      </w:r>
      <w:r w:rsidR="00C530E5">
        <w:rPr>
          <w:rFonts w:ascii="Times New Roman" w:hAnsi="Times New Roman" w:cs="Times New Roman"/>
        </w:rPr>
        <w:t>among</w:t>
      </w:r>
      <w:r>
        <w:rPr>
          <w:rFonts w:ascii="Times New Roman" w:hAnsi="Times New Roman" w:cs="Times New Roman"/>
        </w:rPr>
        <w:t xml:space="preserve"> youth with NDDs compared with those without NDDs (b=1.67</w:t>
      </w:r>
      <w:r w:rsidR="00D5025D">
        <w:rPr>
          <w:rFonts w:ascii="Times New Roman" w:hAnsi="Times New Roman" w:cs="Times New Roman"/>
        </w:rPr>
        <w:t>,</w:t>
      </w:r>
      <w:r>
        <w:rPr>
          <w:rFonts w:ascii="Times New Roman" w:hAnsi="Times New Roman" w:cs="Times New Roman"/>
        </w:rPr>
        <w:t xml:space="preserve"> </w:t>
      </w:r>
      <w:r w:rsidR="00D5025D" w:rsidRPr="00630446">
        <w:rPr>
          <w:rFonts w:ascii="Times New Roman" w:hAnsi="Times New Roman" w:cs="Times New Roman"/>
        </w:rPr>
        <w:t xml:space="preserve">95% CI </w:t>
      </w:r>
      <w:r>
        <w:rPr>
          <w:rFonts w:ascii="Times New Roman" w:hAnsi="Times New Roman" w:cs="Times New Roman"/>
        </w:rPr>
        <w:t xml:space="preserve">[0.39, 2.90]). </w:t>
      </w:r>
      <w:r w:rsidRPr="00630446">
        <w:rPr>
          <w:rFonts w:ascii="Times New Roman" w:hAnsi="Times New Roman" w:cs="Times New Roman"/>
        </w:rPr>
        <w:t xml:space="preserve">The greatest divergence was seen for </w:t>
      </w:r>
      <w:r>
        <w:rPr>
          <w:rFonts w:ascii="Times New Roman" w:hAnsi="Times New Roman" w:cs="Times New Roman"/>
        </w:rPr>
        <w:t>ASD</w:t>
      </w:r>
      <w:r w:rsidRPr="00630446">
        <w:rPr>
          <w:rFonts w:ascii="Times New Roman" w:hAnsi="Times New Roman" w:cs="Times New Roman"/>
        </w:rPr>
        <w:t xml:space="preserve"> and </w:t>
      </w:r>
      <w:r w:rsidR="00F54BE1">
        <w:rPr>
          <w:rFonts w:ascii="Times New Roman" w:hAnsi="Times New Roman" w:cs="Times New Roman"/>
        </w:rPr>
        <w:t>LD</w:t>
      </w:r>
      <w:r w:rsidRPr="00630446">
        <w:rPr>
          <w:rFonts w:ascii="Times New Roman" w:hAnsi="Times New Roman" w:cs="Times New Roman"/>
        </w:rPr>
        <w:t>.</w:t>
      </w:r>
      <w:r w:rsidRPr="00630446">
        <w:t xml:space="preserve"> </w:t>
      </w:r>
      <w:r>
        <w:rPr>
          <w:rFonts w:ascii="Times New Roman" w:hAnsi="Times New Roman" w:cs="Times New Roman"/>
        </w:rPr>
        <w:t>Within the latest cohort</w:t>
      </w:r>
      <w:r w:rsidRPr="00630446">
        <w:rPr>
          <w:rFonts w:ascii="Times New Roman" w:hAnsi="Times New Roman" w:cs="Times New Roman"/>
        </w:rPr>
        <w:t xml:space="preserve"> </w:t>
      </w:r>
      <w:r>
        <w:rPr>
          <w:rFonts w:ascii="Times New Roman" w:hAnsi="Times New Roman" w:cs="Times New Roman"/>
        </w:rPr>
        <w:t>(</w:t>
      </w:r>
      <w:r w:rsidRPr="00630446">
        <w:rPr>
          <w:rFonts w:ascii="Times New Roman" w:hAnsi="Times New Roman" w:cs="Times New Roman"/>
        </w:rPr>
        <w:t>2016-2020</w:t>
      </w:r>
      <w:r>
        <w:rPr>
          <w:rFonts w:ascii="Times New Roman" w:hAnsi="Times New Roman" w:cs="Times New Roman"/>
        </w:rPr>
        <w:t>)</w:t>
      </w:r>
      <w:r w:rsidRPr="00630446">
        <w:rPr>
          <w:rFonts w:ascii="Times New Roman" w:hAnsi="Times New Roman" w:cs="Times New Roman"/>
        </w:rPr>
        <w:t>, the 85</w:t>
      </w:r>
      <w:r w:rsidRPr="00630446">
        <w:rPr>
          <w:rFonts w:ascii="Times New Roman" w:hAnsi="Times New Roman" w:cs="Times New Roman"/>
          <w:vertAlign w:val="superscript"/>
        </w:rPr>
        <w:t>th</w:t>
      </w:r>
      <w:r w:rsidRPr="00630446">
        <w:rPr>
          <w:rFonts w:ascii="Times New Roman" w:hAnsi="Times New Roman" w:cs="Times New Roman"/>
        </w:rPr>
        <w:t xml:space="preserve"> BMI percentile was </w:t>
      </w:r>
      <w:r>
        <w:rPr>
          <w:rFonts w:ascii="Times New Roman" w:hAnsi="Times New Roman" w:cs="Times New Roman"/>
        </w:rPr>
        <w:t>1.99</w:t>
      </w:r>
      <w:r w:rsidRPr="00630446">
        <w:rPr>
          <w:rFonts w:ascii="Times New Roman" w:hAnsi="Times New Roman" w:cs="Times New Roman"/>
        </w:rPr>
        <w:t xml:space="preserve"> points higher (95% CI </w:t>
      </w:r>
      <w:r>
        <w:rPr>
          <w:rFonts w:ascii="Times New Roman" w:hAnsi="Times New Roman" w:cs="Times New Roman"/>
        </w:rPr>
        <w:t>1</w:t>
      </w:r>
      <w:r w:rsidRPr="00630446">
        <w:rPr>
          <w:rFonts w:ascii="Times New Roman" w:hAnsi="Times New Roman" w:cs="Times New Roman"/>
        </w:rPr>
        <w:t>.</w:t>
      </w:r>
      <w:r>
        <w:rPr>
          <w:rFonts w:ascii="Times New Roman" w:hAnsi="Times New Roman" w:cs="Times New Roman"/>
        </w:rPr>
        <w:t>08</w:t>
      </w:r>
      <w:r w:rsidRPr="00630446">
        <w:rPr>
          <w:rFonts w:ascii="Times New Roman" w:hAnsi="Times New Roman" w:cs="Times New Roman"/>
        </w:rPr>
        <w:t>-</w:t>
      </w:r>
      <w:r>
        <w:rPr>
          <w:rFonts w:ascii="Times New Roman" w:hAnsi="Times New Roman" w:cs="Times New Roman"/>
        </w:rPr>
        <w:t>2</w:t>
      </w:r>
      <w:r w:rsidRPr="00630446">
        <w:rPr>
          <w:rFonts w:ascii="Times New Roman" w:hAnsi="Times New Roman" w:cs="Times New Roman"/>
        </w:rPr>
        <w:t>.</w:t>
      </w:r>
      <w:r>
        <w:rPr>
          <w:rFonts w:ascii="Times New Roman" w:hAnsi="Times New Roman" w:cs="Times New Roman"/>
        </w:rPr>
        <w:t>89)</w:t>
      </w:r>
      <w:r w:rsidRPr="00630446">
        <w:rPr>
          <w:rFonts w:ascii="Times New Roman" w:hAnsi="Times New Roman" w:cs="Times New Roman"/>
        </w:rPr>
        <w:t xml:space="preserve"> among children with NDDs versus non-NDD controls</w:t>
      </w:r>
      <w:r>
        <w:rPr>
          <w:rFonts w:ascii="Times New Roman" w:hAnsi="Times New Roman" w:cs="Times New Roman"/>
        </w:rPr>
        <w:t>.</w:t>
      </w:r>
    </w:p>
    <w:p w14:paraId="3BCD6885" w14:textId="7059FB7B" w:rsidR="00A26556" w:rsidRPr="00D041C0" w:rsidRDefault="00A26556" w:rsidP="00A26556">
      <w:pPr>
        <w:spacing w:line="360" w:lineRule="auto"/>
        <w:ind w:firstLine="0"/>
        <w:rPr>
          <w:rFonts w:ascii="Times New Roman" w:hAnsi="Times New Roman" w:cs="Times New Roman"/>
        </w:rPr>
      </w:pPr>
      <w:r w:rsidRPr="00D041C0">
        <w:rPr>
          <w:rFonts w:ascii="Times New Roman" w:hAnsi="Times New Roman" w:cs="Times New Roman"/>
          <w:b/>
          <w:bCs/>
        </w:rPr>
        <w:t>Conclusions and Relevance</w:t>
      </w:r>
      <w:r w:rsidRPr="00D041C0">
        <w:rPr>
          <w:rFonts w:ascii="Times New Roman" w:hAnsi="Times New Roman" w:cs="Times New Roman"/>
        </w:rPr>
        <w:t xml:space="preserve">: </w:t>
      </w:r>
      <w:r w:rsidR="00606566" w:rsidRPr="00606566">
        <w:rPr>
          <w:rFonts w:ascii="Times New Roman" w:hAnsi="Times New Roman" w:cs="Times New Roman"/>
        </w:rPr>
        <w:t xml:space="preserve">In this </w:t>
      </w:r>
      <w:r w:rsidR="000B357C">
        <w:rPr>
          <w:rFonts w:ascii="Times New Roman" w:hAnsi="Times New Roman" w:cs="Times New Roman"/>
        </w:rPr>
        <w:t>repeated cross-sectional</w:t>
      </w:r>
      <w:r w:rsidR="00606566" w:rsidRPr="00606566">
        <w:rPr>
          <w:rFonts w:ascii="Times New Roman" w:hAnsi="Times New Roman" w:cs="Times New Roman"/>
        </w:rPr>
        <w:t xml:space="preserve"> study</w:t>
      </w:r>
      <w:r w:rsidR="00606566">
        <w:rPr>
          <w:rFonts w:ascii="Times New Roman" w:hAnsi="Times New Roman" w:cs="Times New Roman"/>
        </w:rPr>
        <w:t>, c</w:t>
      </w:r>
      <w:r w:rsidRPr="00A60657">
        <w:rPr>
          <w:rFonts w:ascii="Times New Roman" w:hAnsi="Times New Roman" w:cs="Times New Roman"/>
        </w:rPr>
        <w:t xml:space="preserve">hildren with NDDs </w:t>
      </w:r>
      <w:r>
        <w:rPr>
          <w:rFonts w:ascii="Times New Roman" w:hAnsi="Times New Roman" w:cs="Times New Roman"/>
        </w:rPr>
        <w:t>had</w:t>
      </w:r>
      <w:r w:rsidRPr="00A60657">
        <w:rPr>
          <w:rFonts w:ascii="Times New Roman" w:hAnsi="Times New Roman" w:cs="Times New Roman"/>
        </w:rPr>
        <w:t xml:space="preserve"> significantly greater rises in BMI </w:t>
      </w:r>
      <w:r w:rsidR="00326FAE" w:rsidRPr="00BD4A3E">
        <w:rPr>
          <w:rFonts w:ascii="Times New Roman" w:hAnsi="Times New Roman" w:cs="Times New Roman"/>
        </w:rPr>
        <w:t xml:space="preserve">at the </w:t>
      </w:r>
      <w:r w:rsidR="00DB77B6" w:rsidRPr="00BD4A3E">
        <w:rPr>
          <w:rFonts w:ascii="Times New Roman" w:hAnsi="Times New Roman" w:cs="Times New Roman"/>
        </w:rPr>
        <w:t>higher</w:t>
      </w:r>
      <w:r w:rsidR="00326FAE" w:rsidRPr="00BD4A3E">
        <w:rPr>
          <w:rFonts w:ascii="Times New Roman" w:hAnsi="Times New Roman" w:cs="Times New Roman"/>
        </w:rPr>
        <w:t xml:space="preserve"> end of the </w:t>
      </w:r>
      <w:r w:rsidR="00DB77B6" w:rsidRPr="00BD4A3E">
        <w:rPr>
          <w:rFonts w:ascii="Times New Roman" w:hAnsi="Times New Roman" w:cs="Times New Roman"/>
        </w:rPr>
        <w:t xml:space="preserve">BMI </w:t>
      </w:r>
      <w:r w:rsidR="00326FAE" w:rsidRPr="00BD4A3E">
        <w:rPr>
          <w:rFonts w:ascii="Times New Roman" w:hAnsi="Times New Roman" w:cs="Times New Roman"/>
        </w:rPr>
        <w:t>distribution</w:t>
      </w:r>
      <w:r w:rsidR="00326FAE">
        <w:rPr>
          <w:rFonts w:ascii="Times New Roman" w:hAnsi="Times New Roman" w:cs="Times New Roman"/>
        </w:rPr>
        <w:t xml:space="preserve"> </w:t>
      </w:r>
      <w:r w:rsidRPr="00A60657">
        <w:rPr>
          <w:rFonts w:ascii="Times New Roman" w:hAnsi="Times New Roman" w:cs="Times New Roman"/>
        </w:rPr>
        <w:t>versus peers</w:t>
      </w:r>
      <w:r>
        <w:rPr>
          <w:rFonts w:ascii="Times New Roman" w:hAnsi="Times New Roman" w:cs="Times New Roman"/>
        </w:rPr>
        <w:t xml:space="preserve"> without NDDs</w:t>
      </w:r>
      <w:r w:rsidR="00DB77B6" w:rsidRPr="00DB77B6">
        <w:t xml:space="preserve"> </w:t>
      </w:r>
      <w:r w:rsidR="00DB77B6" w:rsidRPr="00BD4A3E">
        <w:rPr>
          <w:rFonts w:ascii="Times New Roman" w:hAnsi="Times New Roman" w:cs="Times New Roman"/>
        </w:rPr>
        <w:t>over a 16-year period</w:t>
      </w:r>
      <w:r w:rsidRPr="00A60657">
        <w:rPr>
          <w:rFonts w:ascii="Times New Roman" w:hAnsi="Times New Roman" w:cs="Times New Roman"/>
        </w:rPr>
        <w:t xml:space="preserve">, highlighting </w:t>
      </w:r>
      <w:r w:rsidR="00DB77B6" w:rsidRPr="00BD4A3E">
        <w:rPr>
          <w:rFonts w:ascii="Times New Roman" w:hAnsi="Times New Roman" w:cs="Times New Roman"/>
        </w:rPr>
        <w:t>a</w:t>
      </w:r>
      <w:r w:rsidR="00F24FD6" w:rsidRPr="00BD4A3E">
        <w:rPr>
          <w:rFonts w:ascii="Times New Roman" w:hAnsi="Times New Roman" w:cs="Times New Roman"/>
        </w:rPr>
        <w:t>n increasing</w:t>
      </w:r>
      <w:r w:rsidR="00DB77B6" w:rsidRPr="00BD4A3E">
        <w:rPr>
          <w:rFonts w:ascii="Times New Roman" w:hAnsi="Times New Roman" w:cs="Times New Roman"/>
        </w:rPr>
        <w:t xml:space="preserve"> risk </w:t>
      </w:r>
      <w:r w:rsidR="00F24FD6" w:rsidRPr="00BD4A3E">
        <w:rPr>
          <w:rFonts w:ascii="Times New Roman" w:hAnsi="Times New Roman" w:cs="Times New Roman"/>
        </w:rPr>
        <w:t>of overweight over time</w:t>
      </w:r>
      <w:r w:rsidR="00DB77B6" w:rsidRPr="00BD4A3E">
        <w:rPr>
          <w:rFonts w:ascii="Times New Roman" w:hAnsi="Times New Roman" w:cs="Times New Roman"/>
        </w:rPr>
        <w:t xml:space="preserve"> </w:t>
      </w:r>
      <w:r w:rsidR="00F24FD6" w:rsidRPr="00BD4A3E">
        <w:rPr>
          <w:rFonts w:ascii="Times New Roman" w:hAnsi="Times New Roman" w:cs="Times New Roman"/>
        </w:rPr>
        <w:t>in</w:t>
      </w:r>
      <w:r w:rsidR="00DB77B6" w:rsidRPr="00BD4A3E">
        <w:rPr>
          <w:rFonts w:ascii="Times New Roman" w:hAnsi="Times New Roman" w:cs="Times New Roman"/>
        </w:rPr>
        <w:t xml:space="preserve"> youth with NDDs</w:t>
      </w:r>
      <w:r w:rsidR="00F24FD6">
        <w:rPr>
          <w:rFonts w:ascii="Times New Roman" w:hAnsi="Times New Roman" w:cs="Times New Roman"/>
        </w:rPr>
        <w:t xml:space="preserve"> compared to those without NDDs</w:t>
      </w:r>
      <w:r w:rsidRPr="00A60657">
        <w:rPr>
          <w:rFonts w:ascii="Times New Roman" w:hAnsi="Times New Roman" w:cs="Times New Roman"/>
        </w:rPr>
        <w:t>. Targeted obesity prevention efforts for this high-risk population are needed.</w:t>
      </w:r>
    </w:p>
    <w:p w14:paraId="7AB7F43F" w14:textId="17CD30E3" w:rsidR="00C63FE7" w:rsidRPr="00D041C0" w:rsidRDefault="002D3BD1" w:rsidP="002D41EE">
      <w:pPr>
        <w:spacing w:line="240" w:lineRule="auto"/>
        <w:ind w:firstLine="0"/>
        <w:rPr>
          <w:rFonts w:ascii="Times New Roman" w:hAnsi="Times New Roman" w:cs="Times New Roman"/>
          <w:i/>
          <w:iCs/>
        </w:rPr>
      </w:pPr>
      <w:r w:rsidRPr="00D041C0">
        <w:rPr>
          <w:rFonts w:ascii="Times New Roman" w:hAnsi="Times New Roman" w:cs="Times New Roman"/>
          <w:b/>
          <w:bCs/>
          <w:i/>
          <w:iCs/>
        </w:rPr>
        <w:t>Keywords</w:t>
      </w:r>
      <w:r w:rsidRPr="00D041C0">
        <w:rPr>
          <w:rFonts w:ascii="Times New Roman" w:hAnsi="Times New Roman" w:cs="Times New Roman"/>
          <w:i/>
          <w:iCs/>
        </w:rPr>
        <w:t xml:space="preserve">: </w:t>
      </w:r>
      <w:r w:rsidR="00F6279F" w:rsidRPr="00D041C0">
        <w:rPr>
          <w:rFonts w:ascii="Times New Roman" w:hAnsi="Times New Roman" w:cs="Times New Roman"/>
          <w:i/>
          <w:iCs/>
        </w:rPr>
        <w:t>Neurodevelopmental disorders; body mass index;</w:t>
      </w:r>
      <w:r w:rsidR="0051670A" w:rsidRPr="00D041C0">
        <w:rPr>
          <w:rFonts w:ascii="Times New Roman" w:hAnsi="Times New Roman" w:cs="Times New Roman"/>
          <w:i/>
          <w:iCs/>
        </w:rPr>
        <w:t xml:space="preserve"> </w:t>
      </w:r>
      <w:r w:rsidR="00F6279F" w:rsidRPr="00D041C0">
        <w:rPr>
          <w:rFonts w:ascii="Times New Roman" w:hAnsi="Times New Roman" w:cs="Times New Roman"/>
          <w:i/>
          <w:iCs/>
        </w:rPr>
        <w:t>autism; ADHD;</w:t>
      </w:r>
      <w:r w:rsidRPr="00D041C0">
        <w:rPr>
          <w:rFonts w:ascii="Times New Roman" w:hAnsi="Times New Roman" w:cs="Times New Roman"/>
          <w:i/>
          <w:iCs/>
        </w:rPr>
        <w:t xml:space="preserve"> </w:t>
      </w:r>
      <w:r w:rsidR="0011667F" w:rsidRPr="00D041C0">
        <w:rPr>
          <w:rFonts w:ascii="Times New Roman" w:hAnsi="Times New Roman" w:cs="Times New Roman"/>
          <w:i/>
          <w:iCs/>
        </w:rPr>
        <w:t>epidemiology</w:t>
      </w:r>
      <w:r w:rsidR="00F6279F" w:rsidRPr="00D041C0">
        <w:rPr>
          <w:rFonts w:ascii="Times New Roman" w:hAnsi="Times New Roman" w:cs="Times New Roman"/>
          <w:i/>
          <w:iCs/>
        </w:rPr>
        <w:t>.</w:t>
      </w:r>
      <w:r w:rsidR="00C63FE7" w:rsidRPr="00D041C0">
        <w:rPr>
          <w:rFonts w:ascii="Times New Roman" w:hAnsi="Times New Roman" w:cs="Times New Roman"/>
          <w:i/>
          <w:iCs/>
        </w:rPr>
        <w:br w:type="page"/>
      </w:r>
    </w:p>
    <w:p w14:paraId="4CC08F87" w14:textId="547C1EA5" w:rsidR="002D3BD1" w:rsidRPr="00D041C0" w:rsidRDefault="00C63FE7" w:rsidP="00C63FE7">
      <w:pPr>
        <w:pStyle w:val="Heading1"/>
      </w:pPr>
      <w:r w:rsidRPr="00D041C0">
        <w:lastRenderedPageBreak/>
        <w:t>Key Points</w:t>
      </w:r>
    </w:p>
    <w:p w14:paraId="28DC0935" w14:textId="77777777" w:rsidR="00A07E0F" w:rsidRPr="00D041C0" w:rsidRDefault="00C63FE7" w:rsidP="00A07E0F">
      <w:pPr>
        <w:pStyle w:val="NoSpacing"/>
        <w:ind w:firstLine="0"/>
      </w:pPr>
      <w:r w:rsidRPr="00D041C0">
        <w:rPr>
          <w:b/>
          <w:bCs/>
        </w:rPr>
        <w:t>Question</w:t>
      </w:r>
    </w:p>
    <w:p w14:paraId="421DE2BD" w14:textId="33BB0F2C" w:rsidR="00C63FE7" w:rsidRPr="00D041C0" w:rsidRDefault="00C63FE7" w:rsidP="00A07E0F">
      <w:pPr>
        <w:pStyle w:val="NoSpacing"/>
        <w:ind w:firstLine="0"/>
      </w:pPr>
      <w:r w:rsidRPr="00D041C0">
        <w:t>Has there been</w:t>
      </w:r>
      <w:r w:rsidR="00A60657">
        <w:t xml:space="preserve"> a </w:t>
      </w:r>
      <w:r w:rsidR="00946E43">
        <w:t xml:space="preserve">secular </w:t>
      </w:r>
      <w:r w:rsidR="00A60657">
        <w:t>change</w:t>
      </w:r>
      <w:r w:rsidR="005F40A4">
        <w:t xml:space="preserve"> </w:t>
      </w:r>
      <w:r w:rsidR="00A60657">
        <w:t xml:space="preserve">in </w:t>
      </w:r>
      <w:r w:rsidR="00A60657" w:rsidRPr="00A60657">
        <w:t>body mass index (BMI) among those with neurodevelopmental disorders (NDDs) compared to youth without NDDs?</w:t>
      </w:r>
    </w:p>
    <w:p w14:paraId="31068DA3" w14:textId="77777777" w:rsidR="00A07E0F" w:rsidRPr="00D041C0" w:rsidRDefault="00C63FE7" w:rsidP="00A07E0F">
      <w:pPr>
        <w:pStyle w:val="NoSpacing"/>
        <w:ind w:firstLine="0"/>
      </w:pPr>
      <w:r w:rsidRPr="00D041C0">
        <w:rPr>
          <w:b/>
          <w:bCs/>
        </w:rPr>
        <w:t>Findings</w:t>
      </w:r>
    </w:p>
    <w:p w14:paraId="18EABC81" w14:textId="6EF8A7F0" w:rsidR="00A60657" w:rsidRDefault="00A60657" w:rsidP="00A07E0F">
      <w:pPr>
        <w:pStyle w:val="NoSpacing"/>
        <w:ind w:firstLine="0"/>
      </w:pPr>
      <w:r w:rsidRPr="00A60657">
        <w:t xml:space="preserve">This </w:t>
      </w:r>
      <w:r w:rsidR="000B357C">
        <w:t>repeated cross-sectional</w:t>
      </w:r>
      <w:r w:rsidR="00606566" w:rsidRPr="00A60657">
        <w:t xml:space="preserve"> </w:t>
      </w:r>
      <w:r w:rsidRPr="00A60657">
        <w:t xml:space="preserve">study found significantly steeper rises in BMI over time </w:t>
      </w:r>
      <w:r w:rsidR="00555D35">
        <w:t xml:space="preserve">between 2004 and 2020 </w:t>
      </w:r>
      <w:bookmarkStart w:id="3" w:name="_Hlk158018635"/>
      <w:r w:rsidR="005A50A8" w:rsidRPr="00BD4A3E">
        <w:t>at the upper end of</w:t>
      </w:r>
      <w:r w:rsidRPr="00A60657">
        <w:t xml:space="preserve"> the </w:t>
      </w:r>
      <w:r w:rsidR="002615CF">
        <w:t xml:space="preserve">BMI </w:t>
      </w:r>
      <w:r w:rsidRPr="00A60657">
        <w:t xml:space="preserve">distribution </w:t>
      </w:r>
      <w:bookmarkEnd w:id="3"/>
      <w:r w:rsidRPr="00A60657">
        <w:t>among 24,9</w:t>
      </w:r>
      <w:r w:rsidR="00ED7DBD">
        <w:t>69</w:t>
      </w:r>
      <w:r w:rsidRPr="00A60657">
        <w:t xml:space="preserve"> Swedish children with NDDs versus non-NDD controls.</w:t>
      </w:r>
    </w:p>
    <w:p w14:paraId="3A918830" w14:textId="2EF21A61" w:rsidR="00A07E0F" w:rsidRPr="00D041C0" w:rsidRDefault="00C63FE7" w:rsidP="00A07E0F">
      <w:pPr>
        <w:pStyle w:val="NoSpacing"/>
        <w:ind w:firstLine="0"/>
      </w:pPr>
      <w:r w:rsidRPr="00D041C0">
        <w:rPr>
          <w:b/>
          <w:bCs/>
        </w:rPr>
        <w:t>Meaning</w:t>
      </w:r>
    </w:p>
    <w:p w14:paraId="63588609" w14:textId="39D2BA18" w:rsidR="00C63FE7" w:rsidRPr="00D041C0" w:rsidRDefault="00606566" w:rsidP="00A07E0F">
      <w:pPr>
        <w:pStyle w:val="NoSpacing"/>
        <w:ind w:firstLine="0"/>
      </w:pPr>
      <w:r>
        <w:t xml:space="preserve">Results from this study </w:t>
      </w:r>
      <w:r w:rsidR="00A60657" w:rsidRPr="00A60657">
        <w:t xml:space="preserve">highlight a need to address </w:t>
      </w:r>
      <w:r w:rsidR="008609D9">
        <w:t>an increasing</w:t>
      </w:r>
      <w:r w:rsidR="00A60657" w:rsidRPr="00A60657">
        <w:t xml:space="preserve"> weight-related </w:t>
      </w:r>
      <w:r w:rsidR="008609D9">
        <w:t>risk</w:t>
      </w:r>
      <w:r w:rsidR="00A60657" w:rsidRPr="00A60657">
        <w:t xml:space="preserve"> in this vulnerable population through targeted prevention and treatment.</w:t>
      </w:r>
    </w:p>
    <w:p w14:paraId="53614CAB" w14:textId="77777777" w:rsidR="004C1D99" w:rsidRPr="00D041C0" w:rsidRDefault="004C1D99">
      <w:pPr>
        <w:spacing w:line="259" w:lineRule="auto"/>
        <w:ind w:firstLine="0"/>
        <w:rPr>
          <w:rFonts w:ascii="Times New Roman" w:hAnsi="Times New Roman" w:cs="Times New Roman"/>
        </w:rPr>
      </w:pPr>
      <w:r w:rsidRPr="00D041C0">
        <w:rPr>
          <w:rFonts w:ascii="Times New Roman" w:hAnsi="Times New Roman" w:cs="Times New Roman"/>
        </w:rPr>
        <w:br w:type="page"/>
      </w:r>
    </w:p>
    <w:p w14:paraId="2C65BBEE" w14:textId="503B7F62" w:rsidR="005D1B10" w:rsidRPr="00D041C0" w:rsidRDefault="005D1B10" w:rsidP="005D1B10">
      <w:pPr>
        <w:pStyle w:val="Heading1"/>
      </w:pPr>
      <w:r w:rsidRPr="00D041C0">
        <w:lastRenderedPageBreak/>
        <w:t>Introduction</w:t>
      </w:r>
    </w:p>
    <w:p w14:paraId="191ED23B" w14:textId="7D197156" w:rsidR="00833A73" w:rsidRPr="00D041C0" w:rsidRDefault="0020437F" w:rsidP="0020437F">
      <w:pPr>
        <w:pStyle w:val="NoSpacing"/>
      </w:pPr>
      <w:r w:rsidRPr="00D041C0">
        <w:t>Neurodevelopmental disorders (NDDs)</w:t>
      </w:r>
      <w:r w:rsidR="008609D9">
        <w:t>,</w:t>
      </w:r>
      <w:r w:rsidRPr="00D041C0">
        <w:t xml:space="preserve"> such as autism spectrum disorder</w:t>
      </w:r>
      <w:r w:rsidR="00BE03CB" w:rsidRPr="00D041C0">
        <w:t xml:space="preserve"> (ASD)</w:t>
      </w:r>
      <w:r w:rsidRPr="00D041C0">
        <w:t>, attention</w:t>
      </w:r>
      <w:r w:rsidR="003B7FAA" w:rsidRPr="00D041C0">
        <w:t>-</w:t>
      </w:r>
      <w:r w:rsidRPr="00D041C0">
        <w:t>deficit</w:t>
      </w:r>
      <w:r w:rsidR="003B7FAA" w:rsidRPr="00D041C0">
        <w:t>/</w:t>
      </w:r>
      <w:r w:rsidRPr="00D041C0">
        <w:t>hyperactivity disorder (ADHD), and learning disabilities</w:t>
      </w:r>
      <w:r w:rsidR="009C2AA2">
        <w:t xml:space="preserve"> (LD)</w:t>
      </w:r>
      <w:r w:rsidR="008609D9">
        <w:t>,</w:t>
      </w:r>
      <w:r w:rsidRPr="00D041C0">
        <w:t xml:space="preserve"> are characterized by early-onset developmental impairments in cognitive, communicative, motor, and social development. These </w:t>
      </w:r>
      <w:r w:rsidR="00F92FE5" w:rsidRPr="00D041C0">
        <w:t>conditions</w:t>
      </w:r>
      <w:r w:rsidRPr="00D041C0">
        <w:t xml:space="preserve"> are highly prevalent, affecting </w:t>
      </w:r>
      <w:r w:rsidR="00A020DC">
        <w:t xml:space="preserve">at least </w:t>
      </w:r>
      <w:r w:rsidRPr="00D041C0">
        <w:t>5</w:t>
      </w:r>
      <w:r w:rsidR="004A62B6">
        <w:t>-</w:t>
      </w:r>
      <w:r w:rsidRPr="00D041C0">
        <w:t>10% of children,</w:t>
      </w:r>
      <w:r w:rsidR="00A9386B" w:rsidRPr="00D041C0">
        <w:fldChar w:fldCharType="begin"/>
      </w:r>
      <w:r w:rsidR="00A9386B" w:rsidRPr="00D041C0">
        <w:instrText xml:space="preserve"> ADDIN ZOTERO_ITEM CSL_CITATION {"citationID":"8ra8bSBt","properties":{"formattedCitation":"\\super 1\\nosupersub{}","plainCitation":"1","noteIndex":0},"citationItems":[{"id":5158,"uris":["http://zotero.org/users/9282839/items/CKS8NT6T"],"itemData":{"id":5158,"type":"article-journal","container-title":"Journal of Child Psychology and Psychiatry","DOI":"10.1111/j.1469-7610.2011.02514.x","ISSN":"00219630","issue":"6","language":"en","page":"695-705","source":"DOI.org (Crossref)","title":"Prevalence of psychiatric disorders in preschoolers: Psychiatric disorders in preschoolers","title-short":"Prevalence of psychiatric disorders in preschoolers","volume":"53","author":[{"family":"Wichstrøm","given":"Lars"},{"family":"Berg-Nielsen","given":"Turid Suzanne"},{"family":"Angold","given":"Adrian"},{"family":"Egger","given":"Helen Link"},{"family":"Solheim","given":"Elisabet"},{"family":"Sveen","given":"Trude Hamre"}],"issued":{"date-parts":[["2012",6]]}}}],"schema":"https://github.com/citation-style-language/schema/raw/master/csl-citation.json"} </w:instrText>
      </w:r>
      <w:r w:rsidR="00A9386B" w:rsidRPr="00D041C0">
        <w:fldChar w:fldCharType="separate"/>
      </w:r>
      <w:r w:rsidR="00A9386B" w:rsidRPr="00D041C0">
        <w:rPr>
          <w:vertAlign w:val="superscript"/>
        </w:rPr>
        <w:t>1</w:t>
      </w:r>
      <w:r w:rsidR="00A9386B" w:rsidRPr="00D041C0">
        <w:fldChar w:fldCharType="end"/>
      </w:r>
      <w:r w:rsidRPr="00D041C0">
        <w:t xml:space="preserve"> and they frequently persist into adulthood.</w:t>
      </w:r>
      <w:r w:rsidR="00BE3BE9" w:rsidRPr="00D041C0">
        <w:fldChar w:fldCharType="begin"/>
      </w:r>
      <w:r w:rsidR="00BE3BE9" w:rsidRPr="00D041C0">
        <w:instrText xml:space="preserve"> ADDIN ZOTERO_ITEM CSL_CITATION {"citationID":"pLpmudOu","properties":{"formattedCitation":"\\super 2\\nosupersub{}","plainCitation":"2","noteIndex":0},"citationItems":[{"id":4505,"uris":["http://zotero.org/users/9282839/items/UV34F4ML"],"itemData":{"id":4505,"type":"article-journal","container-title":"Neuroscience &amp; Biobehavioral Reviews","DOI":"10.1016/j.neubiorev.2021.01.022","ISSN":"01497634","journalAbbreviation":"Neuroscience &amp; Biobehavioral Reviews","language":"en","page":"789-818","source":"DOI.org (Crossref)","title":"The World Federation of ADHD International Consensus Statement: 208 Evidence-based conclusions about the disorder","title-short":"The World Federation of ADHD International Consensus Statement","volume":"128","author":[{"family":"Faraone","given":"Stephen V."},{"family":"Banaschewski","given":"Tobias"},{"family":"Coghill","given":"David"},{"family":"Zheng","given":"Yi"},{"family":"Biederman","given":"Joseph"},{"family":"Bellgrove","given":"Mark A."},{"family":"Newcorn","given":"Jeffrey H."},{"family":"Gignac","given":"Martin"},{"family":"Al Saud","given":"Nouf M."},{"family":"Manor","given":"Iris"},{"family":"Rohde","given":"Luis Augusto"},{"family":"Yang","given":"Li"},{"family":"Cortese","given":"Samuele"},{"family":"Almagor","given":"Doron"},{"family":"Stein","given":"Mark A."},{"family":"Albatti","given":"Turki H."},{"family":"Aljoudi","given":"Haya F."},{"family":"Alqahtani","given":"Mohammed M.J."},{"family":"Asherson","given":"Philip"},{"family":"Atwoli","given":"Lukoye"},{"family":"Bölte","given":"Sven"},{"family":"Buitelaar","given":"Jan K."},{"family":"Crunelle","given":"Cleo L."},{"family":"Daley","given":"David"},{"family":"Dalsgaard","given":"Søren"},{"family":"Döpfner","given":"Manfred"},{"family":"Espinet (on behalf of CADDRA)","given":"Stacey"},{"family":"Fitzgerald","given":"Michael"},{"family":"Franke","given":"Barbara"},{"family":"Gerlach","given":"Manfred"},{"family":"Haavik","given":"Jan"},{"family":"Hartman","given":"Catharina A."},{"family":"Hartung","given":"Cynthia M."},{"family":"Hinshaw","given":"Stephen P."},{"family":"Hoekstra","given":"Pieter J."},{"family":"Hollis","given":"Chris"},{"family":"Kollins","given":"Scott H."},{"family":"Sandra Kooij","given":"J.J."},{"family":"Kuntsi","given":"Jonna"},{"family":"Larsson","given":"Henrik"},{"family":"Li","given":"Tingyu"},{"family":"Liu","given":"Jing"},{"family":"Merzon","given":"Eugene"},{"family":"Mattingly","given":"Gregory"},{"family":"Mattos","given":"Paulo"},{"family":"McCarthy","given":"Suzanne"},{"family":"Mikami","given":"Amori Yee"},{"family":"Molina","given":"Brooke S.G."},{"family":"Nigg","given":"Joel T."},{"family":"Purper-Ouakil","given":"Diane"},{"family":"Omigbodun","given":"Olayinka O."},{"family":"Polanczyk","given":"Guilherme V."},{"family":"Pollak","given":"Yehuda"},{"family":"Poulton","given":"Alison S."},{"family":"Rajkumar","given":"Ravi Philip"},{"family":"Reding","given":"Andrew"},{"family":"Reif","given":"Andreas"},{"family":"Rubia","given":"Katya"},{"family":"Rucklidge","given":"Julia"},{"family":"Romanos","given":"Marcel"},{"family":"Ramos-Quiroga","given":"J. Antoni"},{"family":"Schellekens","given":"Arnt"},{"family":"Scheres","given":"Anouk"},{"family":"Schoeman","given":"Renata"},{"family":"Schweitzer","given":"Julie B."},{"family":"Shah","given":"Henal"},{"family":"Solanto","given":"Mary V."},{"family":"Sonuga-Barke","given":"Edmund"},{"family":"Soutullo","given":"César"},{"family":"Steinhausen","given":"Hans-Christoph"},{"family":"Swanson","given":"James M."},{"family":"Thapar","given":"Anita"},{"family":"Tripp","given":"Gail"},{"family":"Glind","given":"Geurt","non-dropping-particle":"van de"},{"family":"Brink","given":"Wim","non-dropping-particle":"van den"},{"family":"Van der Oord","given":"Saskia"},{"family":"Venter","given":"Andre"},{"family":"Vitiello","given":"Benedetto"},{"family":"Walitza","given":"Susanne"},{"family":"Wang","given":"Yufeng"}],"issued":{"date-parts":[["2021",9]]}}}],"schema":"https://github.com/citation-style-language/schema/raw/master/csl-citation.json"} </w:instrText>
      </w:r>
      <w:r w:rsidR="00BE3BE9" w:rsidRPr="00D041C0">
        <w:fldChar w:fldCharType="separate"/>
      </w:r>
      <w:r w:rsidR="00BE3BE9" w:rsidRPr="00D041C0">
        <w:rPr>
          <w:vertAlign w:val="superscript"/>
        </w:rPr>
        <w:t>2</w:t>
      </w:r>
      <w:r w:rsidR="00BE3BE9" w:rsidRPr="00D041C0">
        <w:fldChar w:fldCharType="end"/>
      </w:r>
    </w:p>
    <w:p w14:paraId="2A558186" w14:textId="73E23C02" w:rsidR="003B7889" w:rsidRPr="00D041C0" w:rsidRDefault="003B7889" w:rsidP="003B7889">
      <w:pPr>
        <w:pStyle w:val="NoSpacing"/>
      </w:pPr>
      <w:r w:rsidRPr="00D041C0">
        <w:t xml:space="preserve">Historically, the focus of research and clinical attention within the realm of </w:t>
      </w:r>
      <w:r w:rsidR="00B237F6" w:rsidRPr="00D041C0">
        <w:t xml:space="preserve">NDDs </w:t>
      </w:r>
      <w:r w:rsidRPr="00D041C0">
        <w:t xml:space="preserve">has primarily revolved around the cognitive and behavioral aspects. However, it has become increasingly evident that there </w:t>
      </w:r>
      <w:r w:rsidR="008609D9">
        <w:t>are</w:t>
      </w:r>
      <w:r w:rsidRPr="00D041C0">
        <w:t xml:space="preserve"> complex interactions between the neurodevelopmental challenges individuals face and their physical health.</w:t>
      </w:r>
      <w:r w:rsidR="00A020DC">
        <w:fldChar w:fldCharType="begin"/>
      </w:r>
      <w:r w:rsidR="00A020DC">
        <w:instrText xml:space="preserve"> ADDIN ZOTERO_ITEM CSL_CITATION {"citationID":"lA18Jx24","properties":{"formattedCitation":"\\super 3\\nosupersub{}","plainCitation":"3","noteIndex":0},"citationItems":[{"id":4447,"uris":["http://zotero.org/users/9282839/items/BGWVPEQ3"],"itemData":{"id":4447,"type":"article-journal","container-title":"Neuroscience &amp; Biobehavioral Reviews","DOI":"10.1016/j.neubiorev.2022.104662","ISSN":"01497634","journalAbbreviation":"Neuroscience &amp; Biobehavioral Reviews","language":"en","page":"104662","source":"DOI.org (Crossref)","title":"Associations between mental and physical conditions in children and adolescents: An umbrella review","title-short":"Associations between mental and physical conditions in children and adolescents","volume":"137","author":[{"family":"Arrondo","given":"Gonzalo"},{"family":"Solmi","given":"Marco"},{"family":"Dragioti","given":"Elena"},{"family":"Eudave","given":"Luis"},{"family":"Ruiz-Goikoetxea","given":"Maite"},{"family":"Ciaurriz-Larraz","given":"Amaia M."},{"family":"Magallon","given":"Sara"},{"family":"Carvalho","given":"Andre F."},{"family":"Cipriani","given":"Andrea"},{"family":"Fusar-Poli","given":"Paolo"},{"family":"Larsson","given":"Henrik"},{"family":"Correll","given":"Christoph U."},{"family":"Cortese","given":"Samuele"}],"issued":{"date-parts":[["2022",6]]}}}],"schema":"https://github.com/citation-style-language/schema/raw/master/csl-citation.json"} </w:instrText>
      </w:r>
      <w:r w:rsidR="00A020DC">
        <w:fldChar w:fldCharType="separate"/>
      </w:r>
      <w:r w:rsidR="00A020DC" w:rsidRPr="00A020DC">
        <w:rPr>
          <w:vertAlign w:val="superscript"/>
        </w:rPr>
        <w:t>3</w:t>
      </w:r>
      <w:r w:rsidR="00A020DC">
        <w:fldChar w:fldCharType="end"/>
      </w:r>
      <w:r w:rsidRPr="00D041C0">
        <w:t xml:space="preserve"> One area of emerging interest is the relationship between </w:t>
      </w:r>
      <w:r w:rsidR="00B237F6" w:rsidRPr="00D041C0">
        <w:t xml:space="preserve">NDDs </w:t>
      </w:r>
      <w:r w:rsidRPr="00D041C0">
        <w:t xml:space="preserve">and </w:t>
      </w:r>
      <w:r w:rsidR="00885172">
        <w:t xml:space="preserve">increased </w:t>
      </w:r>
      <w:r w:rsidR="00833A73" w:rsidRPr="00D041C0">
        <w:t xml:space="preserve">Body Mass Index (BMI). </w:t>
      </w:r>
      <w:r w:rsidRPr="00D041C0">
        <w:t xml:space="preserve">Previous research </w:t>
      </w:r>
      <w:r w:rsidR="00833A73" w:rsidRPr="00D041C0">
        <w:t>ha</w:t>
      </w:r>
      <w:r w:rsidR="009906B8">
        <w:t>s</w:t>
      </w:r>
      <w:r w:rsidR="00833A73" w:rsidRPr="00D041C0">
        <w:t xml:space="preserve"> consistently found an increased risk of </w:t>
      </w:r>
      <w:r w:rsidR="009906B8">
        <w:t>overweight/</w:t>
      </w:r>
      <w:r w:rsidR="00833A73" w:rsidRPr="00D041C0">
        <w:t>obesity among children and adults with NDD</w:t>
      </w:r>
      <w:r w:rsidR="00D13203" w:rsidRPr="00D041C0">
        <w:t>s</w:t>
      </w:r>
      <w:r w:rsidR="00833A73" w:rsidRPr="00D041C0">
        <w:t xml:space="preserve"> (e.g., ASD and ADHD) compared to the general population</w:t>
      </w:r>
      <w:r w:rsidRPr="00D041C0">
        <w:t>.</w:t>
      </w:r>
      <w:r w:rsidR="00564D4D" w:rsidRPr="00D041C0">
        <w:fldChar w:fldCharType="begin"/>
      </w:r>
      <w:r w:rsidR="00A020DC">
        <w:instrText xml:space="preserve"> ADDIN ZOTERO_ITEM CSL_CITATION {"citationID":"dvpjQ7EI","properties":{"formattedCitation":"\\super 4\\uc0\\u8211{}6\\nosupersub{}","plainCitation":"4–6","noteIndex":0},"citationItems":[{"id":5049,"uris":["http://zotero.org/users/9282839/items/J7BLMD23"],"itemData":{"id":5049,"type":"article-journal","abstract":"OBJECTIVE: (1) investigate the associations of attention-deficit/hyperactivity disorder (ADHD) with systolic and diastolic blood pressure, resting heart rate, pulse pressure (PP), physical fitness, and BMI; (2) explore whether cardiovascular risk factors and ADHD share genetic and environmental influences; (3) assess if pharmacological treatment for ADHD influences these associations.\nMETHODS: We identified 395,978 individuals born between 1973 and 1991 who had military conscription examinations at a mean age of 18.3 years (SD = 0.57) and their full-siblings within the same cohort (N = 208,060) by linking population-based registers in Sweden.\nRESULTS: Significantly increased risk of ADHD was observed in individuals with low systolic blood pressure (SBP) and PP, low physical fitness, and in those who had overweight or obesity after adjustments (adjusted Odds Ratio [OR] ranging from 1.10 to 1.45). Full siblings of individuals with low SBP, low physical fitness, and obesity were more likely to receive an ADHD diagnosis compared to full siblings without those risk factors (OR ranging from 1.17 to 1.31). Additionally, analyses showed robust associations between ADHD and low SBP, low physical fitness, and obesity, even in ADHD medication-naïve individuals.\nCONCLUSIONS: Individuals with several cardiovascular risk factors are more often diagnosed with ADHD, regardless of psychiatric comorbidity. These association are not explained by ADHD pharmacotherapy, rather, they are in part due to shared familial risk factors.","container-title":"International Journal of Methods in Psychiatric Research","DOI":"10.1002/mpr.1930","ISSN":"1557-0657","issue":"4","journalAbbreviation":"Int J Methods Psychiatr Res","language":"eng","note":"PMID: 35765813\nPMCID: PMC9720218","page":"e1930","source":"PubMed","title":"Cardiovascular risk factors in attention-deficit/hyperactivity disorder: A family design study of Swedish conscripts","title-short":"Cardiovascular risk factors in attention-deficit/hyperactivity disorder","volume":"31","author":[{"family":"Garcia-Argibay","given":"Miguel"},{"family":"Du Rietz","given":"Ebba"},{"family":"Hartman","given":"Catharina A."},{"family":"Lichtenstein","given":"Paul"},{"family":"Chang","given":"Zheng"},{"family":"Fava","given":"Cristiano"},{"family":"Cortese","given":"Samuele"},{"family":"Larsson","given":"Henrik"}],"issued":{"date-parts":[["2022",12]]}}},{"id":5156,"uris":["http://zotero.org/users/9282839/items/GDESPFBV"],"itemData":{"id":5156,"type":"article-journal","abstract":"Summary\n            \n              Multiple studies have suggested that autism spectrum disorders seem to increase the risk of overweight and obesity. We examined the pooled prevalence and relative risk of developing overweight or obesity among children with autism spectrum disorders in a systematic review and meta‐analysis. We searched PubMed, Scopus, ProQuest, and Web of Science databases and subsequently screened the records to identify studies that reported prevalence of overweight and/or obesity in children with ASD and matched groups of neurotypical children. DerSimonian‐Laird random‐effects meta‐analyses were performed to examine pooled prevalence and relative risk of obesity in children with autism spectrum disorders using the “meta” package in R software. Among children with autism spectrum disorders, the prevalence of obesity was 22.2%. Children with ASD had a 41.1% greater risk (\n              P\n              = .018) of development of obesity. Non‐Caucasian race, increasing age, female sex, and living in the United States emerged as positive moderators of the association between autism spectrum disorders and prevalence of overweight or obesity. Autism spectrum disorders seem to increase the risk of childhood obesity. Increased awareness of this association may allow the implementation of early interventions to reduce obesity and prevent potential deterioration of quality‐of‐life in this population.","container-title":"Obesity Reviews","DOI":"10.1111/obr.12933","ISSN":"1467-7881, 1467-789X","issue":"12","journalAbbreviation":"Obesity Reviews","language":"en","page":"1667-1679","source":"DOI.org (Crossref)","title":"The risk of overweight and obesity in children with autism spectrum disorders: A systematic review and meta‐analysis","title-short":"The risk of overweight and obesity in children with autism spectrum disorders","volume":"20","author":[{"family":"Kahathuduwa","given":"Chanaka N."},{"family":"West","given":"Blake D."},{"family":"Blume","given":"Jessica"},{"family":"Dharavath","given":"Nagaraju"},{"family":"Moustaid‐Moussa","given":"Naima"},{"family":"Mastergeorge","given":"Ann"}],"issued":{"date-parts":[["2019",12]]}}},{"id":4631,"uris":["http://zotero.org/users/9282839/items/PRWXRZ4G"],"itemData":{"id":4631,"type":"article-journal","abstract":"Abstract\n            Growing evidence suggests that ADHD, an early onset neurodevelopmental disorder, is associated with poor somatic health in adulthood. However, the mechanisms underlying these associations are poorly understood. Here, we tested whether ADHD polygenic risk scores (PRS) are associated with mid-to-late life somatic health in a general population sample. Furthermore, we explored whether potential associations were moderated and mediated by life-course risk factors. We derived ADHD-PRS in 10,645 Swedish twins born between 1911 and 1958. Sixteen cardiometabolic, autoimmune/inflammatory, and neurological health conditions were evaluated using self-report (age range at measure 42–88 years) and clinical diagnoses defined by International Classification of Diseases codes in national registers. We estimated associations of ADHD-PRS with somatic outcomes using generalized estimating equations, and tested moderation and mediation of these associations by four life-course risk factors (education level, body mass index [BMI], tobacco use, alcohol misuse). Results showed that higher ADHD-PRS were associated with increased risk of seven somatic outcomes (heart failure, cerebro- and peripheral vascular disease, obesity, type 1 diabetes, rheumatoid arthritis, and migraine) with odds ratios ranging 1.07 to 1.20. We observed significant mediation effects by education, BMI, tobacco use, and alcohol misuse, primarily for associations of ADHD-PRS with cardiometabolic outcomes. No moderation effects survived multiple testing correction. Our findings suggests that higher ADHD genetic liability confers a modest risk increase for several somatic health problems in mid-to-late life, particularly in the cardiometabolic domain. These associations were observable in the general population, even in the absence of medical treatment for ADHD, and appear to be in part mediated by life-course risk factors.","container-title":"Translational Psychiatry","DOI":"10.1038/s41398-022-01919-9","ISSN":"2158-3188","issue":"1","journalAbbreviation":"Transl Psychiatry","language":"en","page":"152","source":"DOI.org (Crossref)","title":"The role of ADHD genetic risk in mid-to-late life somatic health conditions","volume":"12","author":[{"family":"Garcia-Argibay","given":"Miguel"},{"family":"Rietz","given":"Ebba","non-dropping-particle":"du"},{"family":"Lu","given":"Yi"},{"family":"Martin","given":"Joanna"},{"family":"Haan","given":"Elis"},{"family":"Letho","given":"Kelli"},{"family":"Bergen","given":"Sarah E."},{"family":"Lichtenstein","given":"Paul"},{"family":"Larsson","given":"Henrik"},{"family":"Brikell","given":"Isabell"}],"issued":{"date-parts":[["2022",12]]}}}],"schema":"https://github.com/citation-style-language/schema/raw/master/csl-citation.json"} </w:instrText>
      </w:r>
      <w:r w:rsidR="00564D4D" w:rsidRPr="00D041C0">
        <w:fldChar w:fldCharType="separate"/>
      </w:r>
      <w:r w:rsidR="00A020DC" w:rsidRPr="00A020DC">
        <w:rPr>
          <w:vertAlign w:val="superscript"/>
        </w:rPr>
        <w:t>4–6</w:t>
      </w:r>
      <w:r w:rsidR="00564D4D" w:rsidRPr="00D041C0">
        <w:fldChar w:fldCharType="end"/>
      </w:r>
      <w:r w:rsidRPr="00D041C0">
        <w:t xml:space="preserve"> This association has raised important questions about potential contributing factors, such as genetic</w:t>
      </w:r>
      <w:r w:rsidR="00B237F6" w:rsidRPr="00D041C0">
        <w:t xml:space="preserve"> </w:t>
      </w:r>
      <w:r w:rsidRPr="00D041C0">
        <w:t>predispositions, medication effects, dietary patterns, and physical activity levels.</w:t>
      </w:r>
      <w:r w:rsidR="009906B8">
        <w:fldChar w:fldCharType="begin"/>
      </w:r>
      <w:r w:rsidR="009906B8">
        <w:instrText xml:space="preserve"> ADDIN ZOTERO_ITEM CSL_CITATION {"citationID":"Gf2Q0KN6","properties":{"formattedCitation":"\\super 7\\nosupersub{}","plainCitation":"7","noteIndex":0},"citationItems":[{"id":5195,"uris":["http://zotero.org/users/9282839/items/DJ3KRWEA"],"itemData":{"id":5195,"type":"article-journal","container-title":"Neuroscience &amp; Biobehavioral Reviews","DOI":"10.1016/j.neubiorev.2018.05.017","ISSN":"01497634","journalAbbreviation":"Neuroscience &amp; Biobehavioral Reviews","language":"en","page":"16-28","source":"DOI.org (Crossref)","title":"Attention deficit/hyperactivity-disorder and obesity: A review and model of current hypotheses explaining their comorbidity","title-short":"Attention deficit/hyperactivity-disorder and obesity","volume":"92","author":[{"family":"Hanć","given":"Tomasz"},{"family":"Cortese","given":"Samuele"}],"issued":{"date-parts":[["2018",9]]}}}],"schema":"https://github.com/citation-style-language/schema/raw/master/csl-citation.json"} </w:instrText>
      </w:r>
      <w:r w:rsidR="009906B8">
        <w:fldChar w:fldCharType="separate"/>
      </w:r>
      <w:r w:rsidR="009906B8" w:rsidRPr="009906B8">
        <w:rPr>
          <w:vertAlign w:val="superscript"/>
        </w:rPr>
        <w:t>7</w:t>
      </w:r>
      <w:r w:rsidR="009906B8">
        <w:fldChar w:fldCharType="end"/>
      </w:r>
      <w:r w:rsidRPr="00D041C0">
        <w:t xml:space="preserve"> Nevertheless, the existing body of literature primarily comprises cross-sectional studies, limiting our understanding of </w:t>
      </w:r>
      <w:r w:rsidR="006575F8">
        <w:t>longitudinal changes</w:t>
      </w:r>
      <w:r w:rsidRPr="00D041C0">
        <w:t xml:space="preserve"> of BMI </w:t>
      </w:r>
      <w:r w:rsidR="006575F8">
        <w:t>in individuals with</w:t>
      </w:r>
      <w:r w:rsidRPr="00D041C0">
        <w:t xml:space="preserve"> </w:t>
      </w:r>
      <w:r w:rsidR="00833A73" w:rsidRPr="00D041C0">
        <w:t>NDDs</w:t>
      </w:r>
      <w:r w:rsidRPr="00D041C0">
        <w:t>.</w:t>
      </w:r>
    </w:p>
    <w:p w14:paraId="3A06D665" w14:textId="0DA34062" w:rsidR="006575F8" w:rsidRDefault="003B7889" w:rsidP="0025743B">
      <w:pPr>
        <w:pStyle w:val="NoSpacing"/>
      </w:pPr>
      <w:r w:rsidRPr="00D041C0">
        <w:t xml:space="preserve">Despite </w:t>
      </w:r>
      <w:r w:rsidR="00F92FE5" w:rsidRPr="00D041C0">
        <w:t>well-established</w:t>
      </w:r>
      <w:r w:rsidRPr="00D041C0">
        <w:t xml:space="preserve"> </w:t>
      </w:r>
      <w:r w:rsidR="00F92FE5" w:rsidRPr="00D041C0">
        <w:t>associations</w:t>
      </w:r>
      <w:r w:rsidRPr="00D041C0">
        <w:t xml:space="preserve"> between </w:t>
      </w:r>
      <w:r w:rsidR="00833A73" w:rsidRPr="00D041C0">
        <w:t>NDDs</w:t>
      </w:r>
      <w:r w:rsidRPr="00D041C0">
        <w:t xml:space="preserve"> and </w:t>
      </w:r>
      <w:r w:rsidR="00833A73" w:rsidRPr="00D041C0">
        <w:t>increased</w:t>
      </w:r>
      <w:r w:rsidRPr="00D041C0">
        <w:t xml:space="preserve"> BMI,</w:t>
      </w:r>
      <w:r w:rsidR="00072E79" w:rsidRPr="00D041C0">
        <w:fldChar w:fldCharType="begin"/>
      </w:r>
      <w:r w:rsidR="009906B8">
        <w:instrText xml:space="preserve"> ADDIN ZOTERO_ITEM CSL_CITATION {"citationID":"FdGKgn9p","properties":{"formattedCitation":"\\super 8\\nosupersub{}","plainCitation":"8","noteIndex":0},"citationItems":[{"id":5157,"uris":["http://zotero.org/users/9282839/items/R3YFKHR5"],"itemData":{"id":5157,"type":"article-journal","container-title":"JAMA Psychiatry","DOI":"10.1001/jamapsychiatry.2021.4080","ISSN":"2168-622X","issue":"3","journalAbbreviation":"JAMA Psychiatry","language":"en","page":"250","source":"DOI.org (Crossref)","title":"Clinical Characterization of Copy Number Variants Associated With Neurodevelopmental Disorders in a Large-scale Multiancestry Biobank","volume":"79","author":[{"family":"Birnbaum","given":"Rebecca"},{"family":"Mahjani","given":"Behrang"},{"family":"Loos","given":"Ruth J. F."},{"family":"Sharp","given":"Andrew J."}],"issued":{"date-parts":[["2022",3,1]]}}}],"schema":"https://github.com/citation-style-language/schema/raw/master/csl-citation.json"} </w:instrText>
      </w:r>
      <w:r w:rsidR="00072E79" w:rsidRPr="00D041C0">
        <w:fldChar w:fldCharType="separate"/>
      </w:r>
      <w:r w:rsidR="009906B8" w:rsidRPr="009906B8">
        <w:rPr>
          <w:vertAlign w:val="superscript"/>
        </w:rPr>
        <w:t>8</w:t>
      </w:r>
      <w:r w:rsidR="00072E79" w:rsidRPr="00D041C0">
        <w:fldChar w:fldCharType="end"/>
      </w:r>
      <w:r w:rsidRPr="00D041C0">
        <w:t xml:space="preserve"> </w:t>
      </w:r>
      <w:r w:rsidR="00B237F6" w:rsidRPr="00D041C0">
        <w:t xml:space="preserve">it is unknown whether the </w:t>
      </w:r>
      <w:r w:rsidR="00946E43">
        <w:t>secular trend</w:t>
      </w:r>
      <w:r w:rsidR="00B237F6" w:rsidRPr="00D041C0">
        <w:t xml:space="preserve"> of increasing BMI observed in the general population over </w:t>
      </w:r>
      <w:r w:rsidR="009906B8">
        <w:t>the past</w:t>
      </w:r>
      <w:r w:rsidR="00B237F6" w:rsidRPr="00D041C0">
        <w:t xml:space="preserve"> decades</w:t>
      </w:r>
      <w:r w:rsidR="00471E9C" w:rsidRPr="00D041C0">
        <w:fldChar w:fldCharType="begin"/>
      </w:r>
      <w:r w:rsidR="009906B8">
        <w:instrText xml:space="preserve"> ADDIN ZOTERO_ITEM CSL_CITATION {"citationID":"1JtyDoq7","properties":{"formattedCitation":"\\super 9\\nosupersub{}","plainCitation":"9","noteIndex":0},"citationItems":[{"id":5159,"uris":["http://zotero.org/users/9282839/items/NZ5S548Q"],"itemData":{"id":5159,"type":"chapter","container-title":"Obesity and Obstetrics","ISBN":"978-0-12-817921-5","language":"en","note":"DOI: 10.1016/B978-0-12-817921-5.00001-1","page":"3-8","publisher":"Elsevier","source":"DOI.org (Crossref)","title":"Worldwide epidemic of obesity","URL":"https://linkinghub.elsevier.com/retrieve/pii/B9780128179215000011","author":[{"family":"Haththotuwa","given":"Rohana N."},{"family":"Wijeyaratne","given":"Chandrika N."},{"family":"Senarath","given":"Upul"}],"accessed":{"date-parts":[["2023",9,29]]},"issued":{"date-parts":[["2020"]]}}}],"schema":"https://github.com/citation-style-language/schema/raw/master/csl-citation.json"} </w:instrText>
      </w:r>
      <w:r w:rsidR="00471E9C" w:rsidRPr="00D041C0">
        <w:fldChar w:fldCharType="separate"/>
      </w:r>
      <w:r w:rsidR="009906B8" w:rsidRPr="009906B8">
        <w:rPr>
          <w:vertAlign w:val="superscript"/>
        </w:rPr>
        <w:t>9</w:t>
      </w:r>
      <w:r w:rsidR="00471E9C" w:rsidRPr="00D041C0">
        <w:fldChar w:fldCharType="end"/>
      </w:r>
      <w:r w:rsidR="00B237F6" w:rsidRPr="00D041C0">
        <w:t xml:space="preserve"> has been </w:t>
      </w:r>
      <w:r w:rsidR="009906B8">
        <w:t>more pronounced</w:t>
      </w:r>
      <w:r w:rsidR="00B237F6" w:rsidRPr="00D041C0">
        <w:t xml:space="preserve"> in individuals with NDDs. Given their vulnerability to weight gain and obesity-related health problems, it is critical to understand whether the obesity epidemic has disproportionately impacted </w:t>
      </w:r>
      <w:r w:rsidR="009906B8">
        <w:t>individuals</w:t>
      </w:r>
      <w:r w:rsidR="00B237F6" w:rsidRPr="00D041C0">
        <w:t xml:space="preserve"> with NDD</w:t>
      </w:r>
      <w:r w:rsidR="009906B8">
        <w:t>s</w:t>
      </w:r>
      <w:r w:rsidR="00B237F6" w:rsidRPr="00D041C0">
        <w:t xml:space="preserve"> compared </w:t>
      </w:r>
      <w:r w:rsidR="00D82DA7" w:rsidRPr="00D041C0">
        <w:t>with</w:t>
      </w:r>
      <w:r w:rsidR="00B237F6" w:rsidRPr="00D041C0">
        <w:t xml:space="preserve"> the general population.</w:t>
      </w:r>
      <w:r w:rsidR="0099209A" w:rsidRPr="00D041C0">
        <w:t xml:space="preserve"> </w:t>
      </w:r>
      <w:r w:rsidR="006575F8">
        <w:t>G</w:t>
      </w:r>
      <w:r w:rsidR="006575F8" w:rsidRPr="006575F8">
        <w:t xml:space="preserve">aining insight into these trends may inform public health policies and initiatives to increase efforts aimed at preventing and treating obesity </w:t>
      </w:r>
      <w:r w:rsidR="009906B8">
        <w:lastRenderedPageBreak/>
        <w:t xml:space="preserve">specifically </w:t>
      </w:r>
      <w:r w:rsidR="006575F8" w:rsidRPr="006575F8">
        <w:t>in individuals with NDDs, helping to improve their quality of life and health outcomes.</w:t>
      </w:r>
    </w:p>
    <w:p w14:paraId="4FFFBE4A" w14:textId="1D55E34D" w:rsidR="0025743B" w:rsidRPr="00D041C0" w:rsidRDefault="003B7889" w:rsidP="0025743B">
      <w:pPr>
        <w:pStyle w:val="NoSpacing"/>
      </w:pPr>
      <w:r w:rsidRPr="00D041C0">
        <w:t xml:space="preserve">The primary objective of this study </w:t>
      </w:r>
      <w:r w:rsidR="00833A73" w:rsidRPr="00D041C0">
        <w:t>was</w:t>
      </w:r>
      <w:r w:rsidRPr="00D041C0">
        <w:t xml:space="preserve"> to assess whether there have been </w:t>
      </w:r>
      <w:r w:rsidR="00C901C8">
        <w:t xml:space="preserve">differences </w:t>
      </w:r>
      <w:r w:rsidRPr="00D041C0">
        <w:t xml:space="preserve">in </w:t>
      </w:r>
      <w:r w:rsidR="00946E43">
        <w:t xml:space="preserve">secular changes in </w:t>
      </w:r>
      <w:r w:rsidRPr="00D041C0">
        <w:t xml:space="preserve">BMI </w:t>
      </w:r>
      <w:r w:rsidR="00C901C8">
        <w:t>in</w:t>
      </w:r>
      <w:r w:rsidRPr="00D041C0">
        <w:t xml:space="preserve"> individuals with </w:t>
      </w:r>
      <w:r w:rsidR="0099209A" w:rsidRPr="00D041C0">
        <w:t>NDDs</w:t>
      </w:r>
      <w:r w:rsidRPr="00D041C0">
        <w:t xml:space="preserve">, including ASD, ADHD, and </w:t>
      </w:r>
      <w:r w:rsidR="009C2AA2">
        <w:t>LD</w:t>
      </w:r>
      <w:r w:rsidR="0099209A" w:rsidRPr="00D041C0">
        <w:t xml:space="preserve"> compared </w:t>
      </w:r>
      <w:r w:rsidR="00146FB4" w:rsidRPr="00D041C0">
        <w:t>with</w:t>
      </w:r>
      <w:r w:rsidR="0099209A" w:rsidRPr="00D041C0">
        <w:t xml:space="preserve"> the general population over a 1</w:t>
      </w:r>
      <w:r w:rsidR="008B1A5C">
        <w:t>6</w:t>
      </w:r>
      <w:r w:rsidR="0099209A" w:rsidRPr="00D041C0">
        <w:t>-year period</w:t>
      </w:r>
      <w:r w:rsidRPr="00D041C0">
        <w:t xml:space="preserve">. By </w:t>
      </w:r>
      <w:r w:rsidR="008321EB" w:rsidRPr="00D041C0">
        <w:t xml:space="preserve">using cross-cohort comparisons of </w:t>
      </w:r>
      <w:r w:rsidRPr="00D041C0">
        <w:t>BMI within this population, we aim</w:t>
      </w:r>
      <w:r w:rsidR="00833A73" w:rsidRPr="00D041C0">
        <w:t>ed</w:t>
      </w:r>
      <w:r w:rsidRPr="00D041C0">
        <w:t xml:space="preserve"> to elucidate whether any significant shifts </w:t>
      </w:r>
      <w:r w:rsidR="009906B8">
        <w:t xml:space="preserve">over time </w:t>
      </w:r>
      <w:r w:rsidRPr="00D041C0">
        <w:t>have occurred.</w:t>
      </w:r>
      <w:r w:rsidR="00435276" w:rsidRPr="00435276">
        <w:t xml:space="preserve"> Quantile regression was used to model different percentiles (15</w:t>
      </w:r>
      <w:r w:rsidR="00435276" w:rsidRPr="00435276">
        <w:rPr>
          <w:vertAlign w:val="superscript"/>
        </w:rPr>
        <w:t>th</w:t>
      </w:r>
      <w:r w:rsidR="00435276" w:rsidRPr="00435276">
        <w:t>, 50</w:t>
      </w:r>
      <w:r w:rsidR="00435276" w:rsidRPr="00435276">
        <w:rPr>
          <w:vertAlign w:val="superscript"/>
        </w:rPr>
        <w:t>th</w:t>
      </w:r>
      <w:r w:rsidR="00435276" w:rsidRPr="00435276">
        <w:t xml:space="preserve">, </w:t>
      </w:r>
      <w:r w:rsidR="00435276">
        <w:t xml:space="preserve">and </w:t>
      </w:r>
      <w:r w:rsidR="00435276" w:rsidRPr="00435276">
        <w:t>85</w:t>
      </w:r>
      <w:r w:rsidR="00435276" w:rsidRPr="00435276">
        <w:rPr>
          <w:vertAlign w:val="superscript"/>
        </w:rPr>
        <w:t>th</w:t>
      </w:r>
      <w:r w:rsidR="00435276" w:rsidRPr="00435276">
        <w:t xml:space="preserve">) of the BMI distribution </w:t>
      </w:r>
      <w:r w:rsidR="004A62B6" w:rsidRPr="00435276">
        <w:t>to</w:t>
      </w:r>
      <w:r w:rsidR="00435276" w:rsidRPr="00435276">
        <w:t xml:space="preserve"> examine whether trends differed across the distribution and not just for the mean BMI.</w:t>
      </w:r>
    </w:p>
    <w:p w14:paraId="430057A6" w14:textId="77777777" w:rsidR="0025743B" w:rsidRPr="00D041C0" w:rsidRDefault="0025743B">
      <w:pPr>
        <w:spacing w:line="259" w:lineRule="auto"/>
        <w:ind w:firstLine="0"/>
        <w:rPr>
          <w:rFonts w:ascii="Times New Roman" w:eastAsiaTheme="majorEastAsia" w:hAnsi="Times New Roman" w:cs="Times New Roman"/>
          <w:b/>
        </w:rPr>
      </w:pPr>
      <w:r w:rsidRPr="00D041C0">
        <w:br w:type="page"/>
      </w:r>
    </w:p>
    <w:p w14:paraId="185C63F0" w14:textId="211BCFD1" w:rsidR="002E3405" w:rsidRPr="00D041C0" w:rsidRDefault="002E3405" w:rsidP="0051670A">
      <w:pPr>
        <w:pStyle w:val="Heading1"/>
      </w:pPr>
      <w:r w:rsidRPr="00D041C0">
        <w:lastRenderedPageBreak/>
        <w:t>Methods</w:t>
      </w:r>
    </w:p>
    <w:p w14:paraId="6D8A44BD" w14:textId="68C1392F" w:rsidR="00230750" w:rsidRPr="00D041C0" w:rsidRDefault="00230750" w:rsidP="00230750">
      <w:pPr>
        <w:pStyle w:val="NoSpacing"/>
      </w:pPr>
      <w:r w:rsidRPr="00D041C0">
        <w:t xml:space="preserve">This study was approved by the Karolinska Institute Ethical Review Board (2018/960-31-2). </w:t>
      </w:r>
      <w:r w:rsidR="00411604">
        <w:t>We followed t</w:t>
      </w:r>
      <w:r w:rsidRPr="00D041C0">
        <w:t>he Strengthening the Reporting of Observational studies in Epidemiology (STROBE) guidelines.</w:t>
      </w:r>
      <w:r w:rsidRPr="00D041C0">
        <w:fldChar w:fldCharType="begin"/>
      </w:r>
      <w:r w:rsidR="009906B8">
        <w:instrText xml:space="preserve"> ADDIN ZOTERO_ITEM CSL_CITATION {"citationID":"n0nygxpQ","properties":{"formattedCitation":"\\super 10\\nosupersub{}","plainCitation":"10","noteIndex":0},"citationItems":[{"id":4957,"uris":["http://zotero.org/users/9282839/items/XG6USJPN"],"itemData":{"id":4957,"type":"article-journal","container-title":"Annals of Internal Medicine","DOI":"10.7326/0003-4819-147-8-200710160-00010","ISSN":"0003-4819","issue":"8","journalAbbreviation":"Ann Intern Med","language":"en","page":"573","source":"DOI.org (Crossref)","title":"The Strengthening the Reporting of Observational Studies in Epidemiology (STROBE) Statement: Guidelines for Reporting Observational Studies","title-short":"The Strengthening the Reporting of Observational Studies in Epidemiology (STROBE) Statement","volume":"147","author":[{"family":"Elm","given":"Erik","non-dropping-particle":"von"},{"family":"Altman","given":"Douglas G."},{"family":"Egger","given":"Matthias"},{"family":"Pocock","given":"Stuart J."},{"family":"Gøtzsche","given":"Peter C."},{"family":"Vandenbroucke","given":"Jan P."},{"literal":"for the STROBE Initiative"}],"issued":{"date-parts":[["2007",10,16]]}}}],"schema":"https://github.com/citation-style-language/schema/raw/master/csl-citation.json"} </w:instrText>
      </w:r>
      <w:r w:rsidRPr="00D041C0">
        <w:fldChar w:fldCharType="separate"/>
      </w:r>
      <w:r w:rsidR="009906B8" w:rsidRPr="009906B8">
        <w:rPr>
          <w:vertAlign w:val="superscript"/>
        </w:rPr>
        <w:t>10</w:t>
      </w:r>
      <w:r w:rsidRPr="00D041C0">
        <w:fldChar w:fldCharType="end"/>
      </w:r>
    </w:p>
    <w:p w14:paraId="5E6DB2DA" w14:textId="014F8695" w:rsidR="002E3405" w:rsidRPr="00D041C0" w:rsidRDefault="00840F31" w:rsidP="00B54F1C">
      <w:pPr>
        <w:pStyle w:val="Heading2"/>
      </w:pPr>
      <w:r w:rsidRPr="00D041C0">
        <w:t>S</w:t>
      </w:r>
      <w:r w:rsidR="002E3405" w:rsidRPr="00D041C0">
        <w:t>tudy population</w:t>
      </w:r>
    </w:p>
    <w:p w14:paraId="6D5C5430" w14:textId="2D95B09E" w:rsidR="00D12AB2" w:rsidRPr="00D041C0" w:rsidRDefault="00411604" w:rsidP="00ED29FE">
      <w:pPr>
        <w:pStyle w:val="NoSpacing"/>
      </w:pPr>
      <w:r>
        <w:t>Data</w:t>
      </w:r>
      <w:r w:rsidR="00D12AB2" w:rsidRPr="00D041C0">
        <w:t xml:space="preserve"> for this study were obtained from The Child and Adolescent Twin Study in Sweden (CATSS), an ongoing longitudinal cohort study of all twins in Sweden. </w:t>
      </w:r>
      <w:bookmarkStart w:id="4" w:name="_Hlk169775120"/>
      <w:r w:rsidR="00D12AB2" w:rsidRPr="00D041C0">
        <w:t>CATSS was initiated in 2004 by recruiting families of twins who were turning 9</w:t>
      </w:r>
      <w:r>
        <w:t xml:space="preserve"> or </w:t>
      </w:r>
      <w:r w:rsidR="00D12AB2" w:rsidRPr="00D041C0">
        <w:t>12 years old that year, with an initial participation rate of 80% (</w:t>
      </w:r>
      <w:r w:rsidR="008D5B03">
        <w:t xml:space="preserve">see </w:t>
      </w:r>
      <w:proofErr w:type="spellStart"/>
      <w:r w:rsidR="00D12AB2" w:rsidRPr="00D041C0">
        <w:t>Anckarsäter</w:t>
      </w:r>
      <w:proofErr w:type="spellEnd"/>
      <w:r w:rsidR="00D12AB2" w:rsidRPr="00D041C0">
        <w:t xml:space="preserve"> et al.</w:t>
      </w:r>
      <w:r w:rsidR="00D12AB2" w:rsidRPr="00D041C0">
        <w:fldChar w:fldCharType="begin"/>
      </w:r>
      <w:r w:rsidR="009906B8">
        <w:instrText xml:space="preserve"> ADDIN ZOTERO_ITEM CSL_CITATION {"citationID":"ah4HFvqA","properties":{"formattedCitation":"\\super 11\\nosupersub{}","plainCitation":"11","noteIndex":0},"citationItems":[{"id":3146,"uris":["http://zotero.org/users/9282839/items/9E8L8DWE"],"itemData":{"id":3146,"type":"article-journal","abstract":"The Child and Adolescent Twin Study in Sweden (CATSS) is an ongoing longitudinal twin study targeting all twins born in Sweden since July 1, 1992. Since 2004, parents of twins are interviewed regarding the children's somatic and mental health and social environment in connection with their 9th or 12th birthdays (CATSS-9/12). By January 2010, 8,610 parental interviews concerning 17,220 twins had been completed, with an overall response rate of 80%. At age 15 (CATSS-15) and 18 (CATSS-18), twins and parents complete questionnaires that, in addition to assessments of somatic and mental health, include measures of personality development and psychosocial adaptation. Twin pairs in CATSS-9/12 with one or both twins screening positive for autism spectrum disorders, attention deficit/hyperactivity disorder, tic disorders, developmental coordination disorder, learning disorders, oppositional defiant disorder, conduct disorder, obsessive–compulsive disorder, and/or eating problems have been followed with in-depth questionnaires on family, social environment and personality, and subsequently by clinical assessments at age 15 together with randomly selected population controls, including 195 clinically assessed twin pairs from the first 2 year cohorts (CATSS-15/DOGSS). This article describes the cohorts and study groups, data collection, and measures used. Prevalences, distributions, heritability estimates, ages at onset, and sex differences of mental health problems in the CATSS-9/12, that were analyzed and found to be overall comparable to those of other clinical and epidemiological studies. The CATSS study has the potential of answering important questions on the etiology of childhood mental health problems and their role in the development of later adjustment problems.","container-title":"Twin Research and Human Genetics","DOI":"10.1375/twin.14.6.495","ISSN":"1832-4274, 1839-2628","issue":"6","journalAbbreviation":"Twin Res Hum Genet","language":"en","page":"495-508","source":"DOI.org (Crossref)","title":"The Child and Adolescent Twin Study in Sweden (CATSS)","volume":"14","author":[{"family":"Anckarsäter","given":"Henrik"},{"family":"Lundström","given":"Sebastian"},{"family":"Kollberg","given":"Linnea"},{"family":"Kerekes","given":"Nora"},{"family":"Palm","given":"Camilla"},{"family":"Carlström","given":"Eva"},{"family":"Långström","given":"Niklas"},{"family":"Magnusson","given":"Patrik K. E."},{"family":"Halldner","given":"Linda"},{"family":"Bölte","given":"Sven"},{"family":"Gillberg","given":"Christopher"},{"family":"Gumpert","given":"Clara"},{"family":"Råstam","given":"Maria"},{"family":"Lichtenstein","given":"Paul"}],"issued":{"date-parts":[["2011",12]]}}}],"schema":"https://github.com/citation-style-language/schema/raw/master/csl-citation.json"} </w:instrText>
      </w:r>
      <w:r w:rsidR="00D12AB2" w:rsidRPr="00D041C0">
        <w:fldChar w:fldCharType="separate"/>
      </w:r>
      <w:r w:rsidR="009906B8" w:rsidRPr="009906B8">
        <w:rPr>
          <w:vertAlign w:val="superscript"/>
        </w:rPr>
        <w:t>11</w:t>
      </w:r>
      <w:r w:rsidR="00D12AB2" w:rsidRPr="00D041C0">
        <w:fldChar w:fldCharType="end"/>
      </w:r>
      <w:r w:rsidR="008D5B03">
        <w:t xml:space="preserve"> for an in-depth description</w:t>
      </w:r>
      <w:r w:rsidR="00D12AB2" w:rsidRPr="00D041C0">
        <w:t xml:space="preserve">). </w:t>
      </w:r>
      <w:bookmarkEnd w:id="4"/>
      <w:r w:rsidR="00D12AB2" w:rsidRPr="00D041C0">
        <w:t xml:space="preserve">The study included all individuals from the CATSS cohort born between January 1, </w:t>
      </w:r>
      <w:proofErr w:type="gramStart"/>
      <w:r w:rsidR="00D12AB2" w:rsidRPr="00D041C0">
        <w:t>199</w:t>
      </w:r>
      <w:r w:rsidR="003242DF" w:rsidRPr="00D041C0">
        <w:t>2</w:t>
      </w:r>
      <w:proofErr w:type="gramEnd"/>
      <w:r w:rsidR="00D12AB2" w:rsidRPr="00D041C0">
        <w:t xml:space="preserve"> and December 31, 20</w:t>
      </w:r>
      <w:r w:rsidR="003242DF" w:rsidRPr="00D041C0">
        <w:t>10</w:t>
      </w:r>
      <w:r w:rsidR="006D25C3">
        <w:t xml:space="preserve"> and assessed </w:t>
      </w:r>
      <w:r w:rsidR="006D25C3" w:rsidRPr="006D25C3">
        <w:t>between 2004 and 2020</w:t>
      </w:r>
      <w:r w:rsidR="00FD3CE2" w:rsidRPr="00D041C0">
        <w:t>.</w:t>
      </w:r>
    </w:p>
    <w:p w14:paraId="0CCDC1FE" w14:textId="50904C5B" w:rsidR="004D4F31" w:rsidRPr="00D041C0" w:rsidRDefault="00E400BB" w:rsidP="004D4F31">
      <w:pPr>
        <w:pStyle w:val="Heading2"/>
      </w:pPr>
      <w:r w:rsidRPr="00D041C0">
        <w:t>Measurements</w:t>
      </w:r>
    </w:p>
    <w:p w14:paraId="487E0245" w14:textId="6132CBF3" w:rsidR="009A7F68" w:rsidRDefault="00615E94" w:rsidP="005E2C03">
      <w:pPr>
        <w:pStyle w:val="NoSpacing"/>
      </w:pPr>
      <w:r w:rsidRPr="00615E94">
        <w:t>Neurodevelopmental disorder symptoms were assessed using the Autism-Tics, ADHD and other Comorbidities (A-TAC) inventory</w:t>
      </w:r>
      <w:r w:rsidR="005445F1" w:rsidRPr="00D041C0">
        <w:t>,</w:t>
      </w:r>
      <w:r w:rsidR="00CC082C" w:rsidRPr="00D041C0">
        <w:fldChar w:fldCharType="begin"/>
      </w:r>
      <w:r w:rsidR="009906B8">
        <w:instrText xml:space="preserve"> ADDIN ZOTERO_ITEM CSL_CITATION {"citationID":"cTjri26N","properties":{"formattedCitation":"\\super 12\\nosupersub{}","plainCitation":"12","noteIndex":0},"citationItems":[{"id":3181,"uris":["http://zotero.org/users/9282839/items/J2LTSJM6"],"itemData":{"id":3181,"type":"article-journal","abstract":"Background\n              Reliable, valid and easily administered screening instruments would greatly facilitate large-scale neuropsychiatric research.\n            \n            \n              Aims\n              To test a parent telephone interview focused on autism-tics, attention-deficit hyperactivity disorder (ADHD) and other comorbidities (A-TAC).\n            \n            \n              Method\n              Parents of 84 children in contact with a child neuropsychiatric clinic and 27 control children were interviewed. Validity and interrater and test–retest reliability were assessed.\n            \n            \n              Results\n              Interrater and test–retest reliability were very good. Areas under receiver operating characteristics curves between interview scores and clinical diagnoses were around 0. 90 for ADHD and autistic spectrum disorders, and above 0. 70 for tics, learning disorders and developmental coordination disorder. Using optimal cut-off scores for autistic spectrum disorder and ADHD, good to excellent kappa levels for interviews and clinical diagnoses were noted.\n            \n            \n              Conclusions\n              The A–TAC appears to be a reliable and valid instrument for identifying autistic spectrum disorder, ADHD, tics, learning disorders and developmental coordination disorder.","container-title":"British Journal of Psychiatry","DOI":"10.1192/bjp.187.3.262","ISSN":"0007-1250, 1472-1465","issue":"3","journalAbbreviation":"Br J Psychiatry","language":"en","page":"262-267","source":"DOI.org (Crossref)","title":"Psychiatric telephone interview with parents for screening of childhood autism – tics, attention-deficit hyperactivity disorder and other comorbidities (A-TAC): Preliminary reliability and validity","title-short":"Psychiatric telephone interview with parents for screening of childhood autism – tics, attention-deficit hyperactivity disorder and other comorbidities (A-TAC)","volume":"187","author":[{"family":"Hansson","given":"Sara Lina"},{"family":"Svanströmröjvall","given":"Annika"},{"family":"Rastam","given":"Maria"},{"family":"Gillberg","given":"Carina"},{"family":"Gillberg","given":"Christopher"},{"family":"Anckarsäter","given":"Henrik"}],"issued":{"date-parts":[["2005",9]]}}}],"schema":"https://github.com/citation-style-language/schema/raw/master/csl-citation.json"} </w:instrText>
      </w:r>
      <w:r w:rsidR="00CC082C" w:rsidRPr="00D041C0">
        <w:fldChar w:fldCharType="separate"/>
      </w:r>
      <w:r w:rsidR="009906B8" w:rsidRPr="009906B8">
        <w:rPr>
          <w:vertAlign w:val="superscript"/>
        </w:rPr>
        <w:t>12</w:t>
      </w:r>
      <w:r w:rsidR="00CC082C" w:rsidRPr="00D041C0">
        <w:fldChar w:fldCharType="end"/>
      </w:r>
      <w:r w:rsidR="00E400BB" w:rsidRPr="00D041C0">
        <w:t xml:space="preserve"> </w:t>
      </w:r>
      <w:r w:rsidRPr="00615E94">
        <w:t xml:space="preserve">a comprehensive screening questionnaire validated in child and adolescent populations </w:t>
      </w:r>
      <w:r w:rsidR="00E400BB" w:rsidRPr="00D041C0">
        <w:t xml:space="preserve">covering </w:t>
      </w:r>
      <w:r w:rsidR="00A931EC">
        <w:t xml:space="preserve">the </w:t>
      </w:r>
      <w:r w:rsidR="00566DE3" w:rsidRPr="00D041C0">
        <w:t>most common</w:t>
      </w:r>
      <w:r w:rsidR="00E400BB" w:rsidRPr="00D041C0">
        <w:t xml:space="preserve"> child and adolescent psychiatric disorders. </w:t>
      </w:r>
      <w:r>
        <w:t xml:space="preserve">The </w:t>
      </w:r>
      <w:r w:rsidR="00E400BB" w:rsidRPr="00D041C0">
        <w:t xml:space="preserve">A-TAC includes 96 </w:t>
      </w:r>
      <w:r>
        <w:t>items,</w:t>
      </w:r>
      <w:r w:rsidR="00E400BB" w:rsidRPr="00D041C0">
        <w:t xml:space="preserve"> </w:t>
      </w:r>
      <w:r>
        <w:t xml:space="preserve">with </w:t>
      </w:r>
      <w:r w:rsidR="00620549" w:rsidRPr="00D041C0">
        <w:t>19</w:t>
      </w:r>
      <w:r w:rsidR="00E400BB" w:rsidRPr="00D041C0">
        <w:t xml:space="preserve"> correspond</w:t>
      </w:r>
      <w:r>
        <w:t>ing</w:t>
      </w:r>
      <w:r w:rsidR="00E400BB" w:rsidRPr="00D041C0">
        <w:t xml:space="preserve"> to ADHD symptoms</w:t>
      </w:r>
      <w:r w:rsidR="0025743B" w:rsidRPr="00D041C0">
        <w:t>, 17 to ASD</w:t>
      </w:r>
      <w:r w:rsidR="0083622E">
        <w:t xml:space="preserve"> (six</w:t>
      </w:r>
      <w:r w:rsidR="0083622E" w:rsidRPr="0083622E">
        <w:t xml:space="preserve"> for </w:t>
      </w:r>
      <w:r w:rsidR="0083622E">
        <w:t>l</w:t>
      </w:r>
      <w:r w:rsidR="0083622E" w:rsidRPr="0083622E">
        <w:t xml:space="preserve">anguage, </w:t>
      </w:r>
      <w:r w:rsidR="0083622E">
        <w:t>six</w:t>
      </w:r>
      <w:r w:rsidR="0083622E" w:rsidRPr="0083622E">
        <w:t xml:space="preserve"> for </w:t>
      </w:r>
      <w:r w:rsidR="0083622E">
        <w:t>s</w:t>
      </w:r>
      <w:r w:rsidR="0083622E" w:rsidRPr="0083622E">
        <w:t xml:space="preserve">ocial </w:t>
      </w:r>
      <w:r w:rsidR="0083622E">
        <w:t>i</w:t>
      </w:r>
      <w:r w:rsidR="0083622E" w:rsidRPr="0083622E">
        <w:t xml:space="preserve">nteraction, and </w:t>
      </w:r>
      <w:r w:rsidR="0083622E">
        <w:t>five</w:t>
      </w:r>
      <w:r w:rsidR="0083622E" w:rsidRPr="0083622E">
        <w:t xml:space="preserve"> for </w:t>
      </w:r>
      <w:r w:rsidR="0083622E">
        <w:t>f</w:t>
      </w:r>
      <w:r w:rsidR="0083622E" w:rsidRPr="0083622E">
        <w:t>lexibility</w:t>
      </w:r>
      <w:r w:rsidR="0083622E">
        <w:t>)</w:t>
      </w:r>
      <w:r w:rsidR="0025743B" w:rsidRPr="00D041C0">
        <w:t xml:space="preserve">, </w:t>
      </w:r>
      <w:r w:rsidR="007436A3" w:rsidRPr="00D041C0">
        <w:t xml:space="preserve">and </w:t>
      </w:r>
      <w:r w:rsidR="00411604">
        <w:t>three</w:t>
      </w:r>
      <w:r>
        <w:t xml:space="preserve"> items related</w:t>
      </w:r>
      <w:r w:rsidR="0025743B" w:rsidRPr="00D041C0">
        <w:t xml:space="preserve"> to </w:t>
      </w:r>
      <w:r w:rsidR="009C2AA2">
        <w:t>LD</w:t>
      </w:r>
      <w:r w:rsidR="007436A3" w:rsidRPr="00D041C0">
        <w:t xml:space="preserve">. </w:t>
      </w:r>
      <w:r w:rsidR="00620549" w:rsidRPr="00D041C0">
        <w:t xml:space="preserve">Each </w:t>
      </w:r>
      <w:r>
        <w:t>item</w:t>
      </w:r>
      <w:r w:rsidR="00620549" w:rsidRPr="00D041C0">
        <w:t xml:space="preserve"> is scored </w:t>
      </w:r>
      <w:r w:rsidRPr="00D041C0">
        <w:t>0 for ‘</w:t>
      </w:r>
      <w:r w:rsidRPr="00A931EC">
        <w:rPr>
          <w:i/>
          <w:iCs/>
        </w:rPr>
        <w:t>no’</w:t>
      </w:r>
      <w:r>
        <w:t xml:space="preserve">, </w:t>
      </w:r>
      <w:r w:rsidRPr="00D041C0">
        <w:t>0.5 for ‘</w:t>
      </w:r>
      <w:r w:rsidRPr="00D041C0">
        <w:rPr>
          <w:i/>
          <w:iCs/>
        </w:rPr>
        <w:t>yes, to some extent</w:t>
      </w:r>
      <w:r w:rsidRPr="00D041C0">
        <w:t>’</w:t>
      </w:r>
      <w:r>
        <w:t xml:space="preserve">, and </w:t>
      </w:r>
      <w:r w:rsidR="00620549" w:rsidRPr="00615E94">
        <w:t>1</w:t>
      </w:r>
      <w:r w:rsidR="00620549" w:rsidRPr="00D041C0">
        <w:t xml:space="preserve"> for ‘</w:t>
      </w:r>
      <w:r w:rsidR="00620549" w:rsidRPr="00D041C0">
        <w:rPr>
          <w:i/>
          <w:iCs/>
        </w:rPr>
        <w:t>yes’</w:t>
      </w:r>
      <w:r w:rsidR="00566DE3" w:rsidRPr="00D041C0">
        <w:t>,</w:t>
      </w:r>
      <w:r w:rsidR="00620549" w:rsidRPr="00D041C0">
        <w:t xml:space="preserve"> </w:t>
      </w:r>
      <w:r>
        <w:t>yielding</w:t>
      </w:r>
      <w:r w:rsidR="00620549" w:rsidRPr="00D041C0">
        <w:t xml:space="preserve"> a </w:t>
      </w:r>
      <w:r>
        <w:t>total symptom</w:t>
      </w:r>
      <w:r w:rsidR="00620549" w:rsidRPr="00D041C0">
        <w:t xml:space="preserve"> score </w:t>
      </w:r>
      <w:r>
        <w:t>ranging from 0 to</w:t>
      </w:r>
      <w:r w:rsidR="00620549" w:rsidRPr="00D041C0">
        <w:t xml:space="preserve"> 19</w:t>
      </w:r>
      <w:r>
        <w:t xml:space="preserve"> for ADHD, </w:t>
      </w:r>
      <w:r w:rsidRPr="00615E94">
        <w:t xml:space="preserve">0 to 17 for ASD, and 0 to 3 for </w:t>
      </w:r>
      <w:r w:rsidR="009C2AA2">
        <w:t>LD</w:t>
      </w:r>
      <w:r w:rsidRPr="00615E94">
        <w:t>.</w:t>
      </w:r>
    </w:p>
    <w:p w14:paraId="712F19C4" w14:textId="49C4525A" w:rsidR="004D4F31" w:rsidRPr="00D041C0" w:rsidRDefault="009A7F68" w:rsidP="00F432C8">
      <w:pPr>
        <w:pStyle w:val="NoSpacing"/>
      </w:pPr>
      <w:r w:rsidRPr="009A7F68">
        <w:t>Validated clinical cutoffs have been established for ADHD, including a score of ≥12.5 suggesting a high likelihood of an ADHD diagnosis</w:t>
      </w:r>
      <w:r w:rsidR="00A931EC">
        <w:t>,</w:t>
      </w:r>
      <w:r>
        <w:t xml:space="preserve"> </w:t>
      </w:r>
      <w:r w:rsidRPr="00D041C0">
        <w:t xml:space="preserve">used as a validated proxy for </w:t>
      </w:r>
      <w:r w:rsidRPr="00D041C0">
        <w:lastRenderedPageBreak/>
        <w:t>clinical diagnoses of ADHD</w:t>
      </w:r>
      <w:bookmarkStart w:id="5" w:name="_Hlk135819675"/>
      <w:r w:rsidR="000149DC">
        <w:t xml:space="preserve"> (sensitivity=0.28, specificity=0.99)</w:t>
      </w:r>
      <w:r w:rsidRPr="00D041C0">
        <w:t>.</w:t>
      </w:r>
      <w:r w:rsidRPr="00D041C0">
        <w:fldChar w:fldCharType="begin"/>
      </w:r>
      <w:r w:rsidR="009906B8">
        <w:instrText xml:space="preserve"> ADDIN ZOTERO_ITEM CSL_CITATION {"citationID":"qFd6w13t","properties":{"formattedCitation":"\\super 13\\nosupersub{}","plainCitation":"13","noteIndex":0},"citationItems":[{"id":5033,"uris":["http://zotero.org/users/9282839/items/X4ALBBL3"],"itemData":{"id":5033,"type":"article-journal","container-title":"BMC Psychiatry","DOI":"10.1186/s12888-017-1563-0","ISSN":"1471-244X","issue":"1","journalAbbreviation":"BMC Psychiatry","language":"en","page":"403","source":"DOI.org (Crossref)","title":"The Autism–Tics, ADHD and other Comorbidities inventory (A-TAC): previous and predictive validity","title-short":"The Autism–Tics, ADHD and other Comorbidities inventory (A-TAC)","volume":"17","author":[{"family":"Mårland","given":"Caroline"},{"family":"Lichtenstein","given":"Paul"},{"family":"Degl’Innocenti","given":"Alessio"},{"family":"Larson","given":"Tomas"},{"family":"Råstam","given":"Maria"},{"family":"Anckarsäter","given":"Henrik"},{"family":"Gillberg","given":"Christopher"},{"family":"Nilsson","given":"Thomas"},{"family":"Lundström","given":"Sebastian"}],"issued":{"date-parts":[["2017",12]]}}}],"schema":"https://github.com/citation-style-language/schema/raw/master/csl-citation.json"} </w:instrText>
      </w:r>
      <w:r w:rsidRPr="00D041C0">
        <w:fldChar w:fldCharType="separate"/>
      </w:r>
      <w:r w:rsidR="009906B8" w:rsidRPr="009906B8">
        <w:rPr>
          <w:vertAlign w:val="superscript"/>
        </w:rPr>
        <w:t>13</w:t>
      </w:r>
      <w:r w:rsidRPr="00D041C0">
        <w:fldChar w:fldCharType="end"/>
      </w:r>
      <w:bookmarkEnd w:id="5"/>
      <w:r>
        <w:t xml:space="preserve"> </w:t>
      </w:r>
      <w:r w:rsidRPr="009A7F68">
        <w:t>The A-TAC ADHD scale has excellent psychometric properties including high inter-rater reliability (ICC 0.89), test-retest reliability (ICC 0.84), and internal consistency (Cronbach's α 0.92).</w:t>
      </w:r>
      <w:r w:rsidRPr="00D041C0">
        <w:fldChar w:fldCharType="begin"/>
      </w:r>
      <w:r w:rsidR="009906B8">
        <w:instrText xml:space="preserve"> ADDIN ZOTERO_ITEM CSL_CITATION {"citationID":"FnUrDDwz","properties":{"formattedCitation":"\\super 14\\nosupersub{}","plainCitation":"14","noteIndex":0},"citationItems":[{"id":5035,"uris":["http://zotero.org/users/9282839/items/SM7D48U3"],"itemData":{"id":5035,"type":"article-journal","abstract":"The Autism-Tics, AD/HD, and other Comorbidities (A–TAC) inventory is used in epidemiological research to assess neurodevelopmental problems and coexisting conditions. Although the A–TAC has been applied in various populations, data on retest reliability are limited. The objective of the present study was to present additional reliability data. The A–TAC was administered by lay assessors and was completed on two occasions by parents of 400 individual twins, with an average interval of 70 days between test sessions. Intra- and inter-rater reliability were analysed with intraclass correlations and Cohen's κ. A–TAC showed excellent test-retest intraclass correlations for both autism spectrum disorder and attention deficit hyperactivity disorder (each at .84). Most modules in the A–TAC had intra- and inter-rater reliability intraclass correlation coefficients of ≥ .60. Cohen's κ indicated acceptable reliability. The current study provides statistical evidence that the A–TAC yields good test-retest reliability in a population-based cohort of children.","container-title":"Psychological Reports","DOI":"10.2466/03.15.PR0.114k10w1","ISSN":"0033-2941, 1558-691X","issue":"1","journalAbbreviation":"Psychol Rep","language":"en","page":"93-103","source":"DOI.org (Crossref)","title":"Reliability of Autism-Tics, AD/HD, and other Comorbidities (A–TAC) Inventory in a Test-Retest Design","volume":"114","author":[{"family":"Larson","given":"Tomas"},{"family":"Selinus","given":"Eva Norén"},{"family":"Gumpert","given":"Clara Hellner"},{"family":"Nilsson","given":"Thomas"},{"family":"Kerekes","given":"Nóra"},{"family":"Lichtenstein","given":"Paul"},{"family":"Anckarsäter","given":"Henrik"},{"family":"Lundström","given":"Sebastian"}],"issued":{"date-parts":[["2014",2]]}}}],"schema":"https://github.com/citation-style-language/schema/raw/master/csl-citation.json"} </w:instrText>
      </w:r>
      <w:r w:rsidRPr="00D041C0">
        <w:fldChar w:fldCharType="separate"/>
      </w:r>
      <w:r w:rsidR="009906B8" w:rsidRPr="009906B8">
        <w:rPr>
          <w:vertAlign w:val="superscript"/>
        </w:rPr>
        <w:t>14</w:t>
      </w:r>
      <w:r w:rsidRPr="00D041C0">
        <w:fldChar w:fldCharType="end"/>
      </w:r>
      <w:r w:rsidRPr="009A7F68">
        <w:t xml:space="preserve"> </w:t>
      </w:r>
      <w:r w:rsidR="007F188F" w:rsidRPr="00BD4A3E">
        <w:t xml:space="preserve">The ASD module </w:t>
      </w:r>
      <w:r w:rsidR="009C01D4" w:rsidRPr="00BD4A3E">
        <w:t>with</w:t>
      </w:r>
      <w:r w:rsidR="007F188F" w:rsidRPr="00BD4A3E">
        <w:t xml:space="preserve"> a cutoff &gt;=8.5 </w:t>
      </w:r>
      <w:r w:rsidR="009C01D4" w:rsidRPr="00BD4A3E">
        <w:t>has</w:t>
      </w:r>
      <w:r w:rsidR="007F188F" w:rsidRPr="00BD4A3E">
        <w:t xml:space="preserve"> a sensitivity of 0.30 and a specificity of 0.99. The </w:t>
      </w:r>
      <w:r w:rsidR="009C2AA2" w:rsidRPr="00BD4A3E">
        <w:t xml:space="preserve">LD </w:t>
      </w:r>
      <w:r w:rsidR="007F188F" w:rsidRPr="00BD4A3E">
        <w:t>subscale was validated against ICD-10 definitions of Intellectual disability (F70-F79) and reports a sensitivity of 0.39 and a specificity of 0.99</w:t>
      </w:r>
      <w:r w:rsidRPr="00BD4A3E">
        <w:t>.</w:t>
      </w:r>
      <w:r w:rsidR="002119F1" w:rsidRPr="00BD4A3E">
        <w:fldChar w:fldCharType="begin"/>
      </w:r>
      <w:r w:rsidR="009906B8" w:rsidRPr="00BD4A3E">
        <w:instrText xml:space="preserve"> ADDIN ZOTERO_ITEM CSL_CITATION {"citationID":"5mGZd9Hh","properties":{"formattedCitation":"\\super 13,15\\nosupersub{}","plainCitation":"13,15","noteIndex":0},"citationItems":[{"id":5180,"uris":["http://zotero.org/users/9282839/items/W2QNUJ8C"],"itemData":{"id":5180,"type":"article-journal","container-title":"BMC Psychiatry","DOI":"10.1186/1471-244X-10-1","ISSN":"1471-244X","issue":"1","journalAbbreviation":"BMC Psychiatry","language":"en","page":"1","source":"DOI.org (Crossref)","title":"The Autism - Tics, AD/HD and other Comorbidities inventory (A-TAC): further validation of a telephone interview for epidemiological research","title-short":"The Autism - Tics, AD/HD and other Comorbidities inventory (A-TAC)","volume":"10","author":[{"family":"Larson","given":"Tomas"},{"family":"Anckarsäter","given":"Henrik"},{"family":"Gillberg","given":"Carina"},{"family":"Ståhlberg","given":"Ola"},{"family":"Carlström","given":"Eva"},{"family":"Kadesjö","given":"Björn"},{"family":"Råstam","given":"Maria"},{"family":"Lichtenstein","given":"Paul"},{"family":"Gillberg","given":"Christopher"}],"issued":{"date-parts":[["2010",12]]}}},{"id":5033,"uris":["http://zotero.org/users/9282839/items/X4ALBBL3"],"itemData":{"id":5033,"type":"article-journal","container-title":"BMC Psychiatry","DOI":"10.1186/s12888-017-1563-0","ISSN":"1471-244X","issue":"1","journalAbbreviation":"BMC Psychiatry","language":"en","page":"403","source":"DOI.org (Crossref)","title":"The Autism–Tics, ADHD and other Comorbidities inventory (A-TAC): previous and predictive validity","title-short":"The Autism–Tics, ADHD and other Comorbidities inventory (A-TAC)","volume":"17","author":[{"family":"Mårland","given":"Caroline"},{"family":"Lichtenstein","given":"Paul"},{"family":"Degl’Innocenti","given":"Alessio"},{"family":"Larson","given":"Tomas"},{"family":"Råstam","given":"Maria"},{"family":"Anckarsäter","given":"Henrik"},{"family":"Gillberg","given":"Christopher"},{"family":"Nilsson","given":"Thomas"},{"family":"Lundström","given":"Sebastian"}],"issued":{"date-parts":[["2017",12]]}}}],"schema":"https://github.com/citation-style-language/schema/raw/master/csl-citation.json"} </w:instrText>
      </w:r>
      <w:r w:rsidR="002119F1" w:rsidRPr="00BD4A3E">
        <w:fldChar w:fldCharType="separate"/>
      </w:r>
      <w:r w:rsidR="009906B8" w:rsidRPr="00BD4A3E">
        <w:rPr>
          <w:vertAlign w:val="superscript"/>
        </w:rPr>
        <w:t>13,15</w:t>
      </w:r>
      <w:r w:rsidR="002119F1" w:rsidRPr="00BD4A3E">
        <w:fldChar w:fldCharType="end"/>
      </w:r>
      <w:r w:rsidR="00F432C8" w:rsidRPr="00BD4A3E">
        <w:t xml:space="preserve"> </w:t>
      </w:r>
      <w:r w:rsidR="007437D4" w:rsidRPr="00BD4A3E">
        <w:t>ASD, ADHD and LDs subscales have all been validated cross-sectionally and longitudinally in both clinical and large-scale epidemiological samples</w:t>
      </w:r>
      <w:r w:rsidR="0083622E" w:rsidRPr="0083622E">
        <w:t>.</w:t>
      </w:r>
      <w:r w:rsidR="007437D4">
        <w:fldChar w:fldCharType="begin"/>
      </w:r>
      <w:r w:rsidR="009906B8">
        <w:instrText xml:space="preserve"> ADDIN ZOTERO_ITEM CSL_CITATION {"citationID":"88DOKu0v","properties":{"formattedCitation":"\\super 13,15\\nosupersub{}","plainCitation":"13,15","noteIndex":0},"citationItems":[{"id":5180,"uris":["http://zotero.org/users/9282839/items/W2QNUJ8C"],"itemData":{"id":5180,"type":"article-journal","container-title":"BMC Psychiatry","DOI":"10.1186/1471-244X-10-1","ISSN":"1471-244X","issue":"1","journalAbbreviation":"BMC Psychiatry","language":"en","page":"1","source":"DOI.org (Crossref)","title":"The Autism - Tics, AD/HD and other Comorbidities inventory (A-TAC): further validation of a telephone interview for epidemiological research","title-short":"The Autism - Tics, AD/HD and other Comorbidities inventory (A-TAC)","volume":"10","author":[{"family":"Larson","given":"Tomas"},{"family":"Anckarsäter","given":"Henrik"},{"family":"Gillberg","given":"Carina"},{"family":"Ståhlberg","given":"Ola"},{"family":"Carlström","given":"Eva"},{"family":"Kadesjö","given":"Björn"},{"family":"Råstam","given":"Maria"},{"family":"Lichtenstein","given":"Paul"},{"family":"Gillberg","given":"Christopher"}],"issued":{"date-parts":[["2010",12]]}}},{"id":5033,"uris":["http://zotero.org/users/9282839/items/X4ALBBL3"],"itemData":{"id":5033,"type":"article-journal","container-title":"BMC Psychiatry","DOI":"10.1186/s12888-017-1563-0","ISSN":"1471-244X","issue":"1","journalAbbreviation":"BMC Psychiatry","language":"en","page":"403","source":"DOI.org (Crossref)","title":"The Autism–Tics, ADHD and other Comorbidities inventory (A-TAC): previous and predictive validity","title-short":"The Autism–Tics, ADHD and other Comorbidities inventory (A-TAC)","volume":"17","author":[{"family":"Mårland","given":"Caroline"},{"family":"Lichtenstein","given":"Paul"},{"family":"Degl’Innocenti","given":"Alessio"},{"family":"Larson","given":"Tomas"},{"family":"Råstam","given":"Maria"},{"family":"Anckarsäter","given":"Henrik"},{"family":"Gillberg","given":"Christopher"},{"family":"Nilsson","given":"Thomas"},{"family":"Lundström","given":"Sebastian"}],"issued":{"date-parts":[["2017",12]]}}}],"schema":"https://github.com/citation-style-language/schema/raw/master/csl-citation.json"} </w:instrText>
      </w:r>
      <w:r w:rsidR="007437D4">
        <w:fldChar w:fldCharType="separate"/>
      </w:r>
      <w:r w:rsidR="009906B8" w:rsidRPr="009906B8">
        <w:rPr>
          <w:vertAlign w:val="superscript"/>
        </w:rPr>
        <w:t>13,15</w:t>
      </w:r>
      <w:r w:rsidR="007437D4">
        <w:fldChar w:fldCharType="end"/>
      </w:r>
    </w:p>
    <w:p w14:paraId="66099601" w14:textId="37D96396" w:rsidR="00FD3CE2" w:rsidRPr="00D041C0" w:rsidRDefault="00FD3CE2" w:rsidP="005E2C03">
      <w:pPr>
        <w:pStyle w:val="NoSpacing"/>
      </w:pPr>
      <w:r w:rsidRPr="00D041C0">
        <w:t xml:space="preserve">BMI was calculated using parent-reported height and weight for </w:t>
      </w:r>
      <w:proofErr w:type="gramStart"/>
      <w:r w:rsidRPr="00D041C0">
        <w:t>each individual</w:t>
      </w:r>
      <w:proofErr w:type="gramEnd"/>
      <w:r w:rsidRPr="00D041C0">
        <w:t xml:space="preserve"> at the time of the CATSS-9/12 telephone interview. Parents provided the current height in centimeters and weight in kilograms. BMI was then computed as weight in kilograms divided by height in meters squared (kg/m</w:t>
      </w:r>
      <w:r w:rsidRPr="00D041C0">
        <w:rPr>
          <w:vertAlign w:val="superscript"/>
        </w:rPr>
        <w:t>2</w:t>
      </w:r>
      <w:r w:rsidRPr="00D041C0">
        <w:t xml:space="preserve">). </w:t>
      </w:r>
      <w:r w:rsidR="004E3FF2" w:rsidRPr="00D041C0">
        <w:t>Individuals with missing data on height or weight</w:t>
      </w:r>
      <w:r w:rsidR="00A931EC">
        <w:t xml:space="preserve"> (n=</w:t>
      </w:r>
      <w:r w:rsidR="00A931EC" w:rsidRPr="00555D35">
        <w:t>3</w:t>
      </w:r>
      <w:r w:rsidR="00A931EC">
        <w:t>,</w:t>
      </w:r>
      <w:r w:rsidR="00A931EC" w:rsidRPr="00555D35">
        <w:t>018</w:t>
      </w:r>
      <w:r w:rsidR="00A931EC">
        <w:t>)</w:t>
      </w:r>
      <w:r w:rsidR="004E3FF2" w:rsidRPr="00D041C0">
        <w:t xml:space="preserve"> were excluded from the analysis</w:t>
      </w:r>
      <w:r w:rsidR="00A931EC">
        <w:t>.</w:t>
      </w:r>
    </w:p>
    <w:p w14:paraId="06D5FB76" w14:textId="79A759C3" w:rsidR="002E3405" w:rsidRPr="00D041C0" w:rsidRDefault="002E3405" w:rsidP="00DB449B">
      <w:pPr>
        <w:pStyle w:val="Heading2"/>
      </w:pPr>
      <w:r w:rsidRPr="00D041C0">
        <w:t>Statistical analysis</w:t>
      </w:r>
    </w:p>
    <w:p w14:paraId="20784C86" w14:textId="35A77FF9" w:rsidR="00AC1221" w:rsidRPr="00D041C0" w:rsidRDefault="00AC1221" w:rsidP="00AC1221">
      <w:pPr>
        <w:rPr>
          <w:rFonts w:ascii="Times New Roman" w:hAnsi="Times New Roman" w:cs="Times New Roman"/>
        </w:rPr>
      </w:pPr>
      <w:r w:rsidRPr="00D041C0">
        <w:rPr>
          <w:rFonts w:ascii="Times New Roman" w:hAnsi="Times New Roman" w:cs="Times New Roman"/>
        </w:rPr>
        <w:t xml:space="preserve">Baseline characteristics were summarized using </w:t>
      </w:r>
      <w:r w:rsidR="00373F71">
        <w:rPr>
          <w:rFonts w:ascii="Times New Roman" w:hAnsi="Times New Roman" w:cs="Times New Roman"/>
        </w:rPr>
        <w:t>means</w:t>
      </w:r>
      <w:r w:rsidRPr="00D041C0">
        <w:rPr>
          <w:rFonts w:ascii="Times New Roman" w:hAnsi="Times New Roman" w:cs="Times New Roman"/>
        </w:rPr>
        <w:t xml:space="preserve"> and proportions for individuals without NDDs and those </w:t>
      </w:r>
      <w:r w:rsidR="00373F71" w:rsidRPr="00373F71">
        <w:rPr>
          <w:rFonts w:ascii="Times New Roman" w:hAnsi="Times New Roman" w:cs="Times New Roman"/>
        </w:rPr>
        <w:t>screening positive for NDDs</w:t>
      </w:r>
      <w:r w:rsidRPr="00D041C0">
        <w:rPr>
          <w:rFonts w:ascii="Times New Roman" w:hAnsi="Times New Roman" w:cs="Times New Roman"/>
        </w:rPr>
        <w:t>, including ADHD, ASD,</w:t>
      </w:r>
      <w:r w:rsidR="00931B86">
        <w:rPr>
          <w:rFonts w:ascii="Times New Roman" w:hAnsi="Times New Roman" w:cs="Times New Roman"/>
        </w:rPr>
        <w:t xml:space="preserve"> an</w:t>
      </w:r>
      <w:r w:rsidR="0044327C">
        <w:rPr>
          <w:rFonts w:ascii="Times New Roman" w:hAnsi="Times New Roman" w:cs="Times New Roman"/>
        </w:rPr>
        <w:t>d LD</w:t>
      </w:r>
      <w:r w:rsidRPr="00D041C0">
        <w:rPr>
          <w:rFonts w:ascii="Times New Roman" w:hAnsi="Times New Roman" w:cs="Times New Roman"/>
        </w:rPr>
        <w:t>.</w:t>
      </w:r>
      <w:r w:rsidR="005E2C03" w:rsidRPr="00D041C0">
        <w:rPr>
          <w:rFonts w:ascii="Times New Roman" w:hAnsi="Times New Roman" w:cs="Times New Roman"/>
        </w:rPr>
        <w:t xml:space="preserve"> For descriptive purposes, individuals were classified into five cohorts</w:t>
      </w:r>
      <w:r w:rsidR="00373F71" w:rsidRPr="00373F71">
        <w:t xml:space="preserve"> </w:t>
      </w:r>
      <w:r w:rsidR="00373F71" w:rsidRPr="00373F71">
        <w:rPr>
          <w:rFonts w:ascii="Times New Roman" w:hAnsi="Times New Roman" w:cs="Times New Roman"/>
        </w:rPr>
        <w:t>spanning</w:t>
      </w:r>
      <w:r w:rsidR="00373F71" w:rsidRPr="00373F71">
        <w:t xml:space="preserve"> </w:t>
      </w:r>
      <w:r w:rsidR="00373F71" w:rsidRPr="00373F71">
        <w:rPr>
          <w:rFonts w:ascii="Times New Roman" w:hAnsi="Times New Roman" w:cs="Times New Roman"/>
        </w:rPr>
        <w:t>2004</w:t>
      </w:r>
      <w:r w:rsidR="001729A8">
        <w:rPr>
          <w:rFonts w:ascii="Times New Roman" w:hAnsi="Times New Roman" w:cs="Times New Roman"/>
        </w:rPr>
        <w:t>-</w:t>
      </w:r>
      <w:r w:rsidR="00373F71" w:rsidRPr="00373F71">
        <w:rPr>
          <w:rFonts w:ascii="Times New Roman" w:hAnsi="Times New Roman" w:cs="Times New Roman"/>
        </w:rPr>
        <w:t>2020:</w:t>
      </w:r>
      <w:r w:rsidR="005E2C03" w:rsidRPr="00D041C0">
        <w:rPr>
          <w:rFonts w:ascii="Times New Roman" w:hAnsi="Times New Roman" w:cs="Times New Roman"/>
        </w:rPr>
        <w:t xml:space="preserve"> </w:t>
      </w:r>
      <w:r w:rsidR="006440B0">
        <w:rPr>
          <w:rFonts w:ascii="Times New Roman" w:hAnsi="Times New Roman" w:cs="Times New Roman"/>
        </w:rPr>
        <w:t>2004</w:t>
      </w:r>
      <w:r w:rsidR="001729A8">
        <w:rPr>
          <w:rFonts w:ascii="Times New Roman" w:hAnsi="Times New Roman" w:cs="Times New Roman"/>
        </w:rPr>
        <w:t>-</w:t>
      </w:r>
      <w:r w:rsidR="006440B0">
        <w:rPr>
          <w:rFonts w:ascii="Times New Roman" w:hAnsi="Times New Roman" w:cs="Times New Roman"/>
        </w:rPr>
        <w:t>2006</w:t>
      </w:r>
      <w:r w:rsidR="005E2C03" w:rsidRPr="00D041C0">
        <w:rPr>
          <w:rFonts w:ascii="Times New Roman" w:hAnsi="Times New Roman" w:cs="Times New Roman"/>
        </w:rPr>
        <w:t xml:space="preserve">, </w:t>
      </w:r>
      <w:r w:rsidR="006440B0">
        <w:rPr>
          <w:rFonts w:ascii="Times New Roman" w:hAnsi="Times New Roman" w:cs="Times New Roman"/>
        </w:rPr>
        <w:t>2007</w:t>
      </w:r>
      <w:r w:rsidR="001729A8">
        <w:rPr>
          <w:rFonts w:ascii="Times New Roman" w:hAnsi="Times New Roman" w:cs="Times New Roman"/>
        </w:rPr>
        <w:t>-</w:t>
      </w:r>
      <w:r w:rsidR="006440B0">
        <w:rPr>
          <w:rFonts w:ascii="Times New Roman" w:hAnsi="Times New Roman" w:cs="Times New Roman"/>
        </w:rPr>
        <w:t>2009</w:t>
      </w:r>
      <w:r w:rsidR="005E2C03" w:rsidRPr="00D041C0">
        <w:rPr>
          <w:rFonts w:ascii="Times New Roman" w:hAnsi="Times New Roman" w:cs="Times New Roman"/>
        </w:rPr>
        <w:t xml:space="preserve">, </w:t>
      </w:r>
      <w:r w:rsidR="006440B0">
        <w:rPr>
          <w:rFonts w:ascii="Times New Roman" w:hAnsi="Times New Roman" w:cs="Times New Roman"/>
        </w:rPr>
        <w:t>2010</w:t>
      </w:r>
      <w:r w:rsidR="001729A8">
        <w:rPr>
          <w:rFonts w:ascii="Times New Roman" w:hAnsi="Times New Roman" w:cs="Times New Roman"/>
        </w:rPr>
        <w:t>-</w:t>
      </w:r>
      <w:r w:rsidR="005E2C03" w:rsidRPr="00D041C0">
        <w:rPr>
          <w:rFonts w:ascii="Times New Roman" w:hAnsi="Times New Roman" w:cs="Times New Roman"/>
        </w:rPr>
        <w:t>20</w:t>
      </w:r>
      <w:r w:rsidR="006440B0">
        <w:rPr>
          <w:rFonts w:ascii="Times New Roman" w:hAnsi="Times New Roman" w:cs="Times New Roman"/>
        </w:rPr>
        <w:t>12</w:t>
      </w:r>
      <w:r w:rsidR="005E2C03" w:rsidRPr="00D041C0">
        <w:rPr>
          <w:rFonts w:ascii="Times New Roman" w:hAnsi="Times New Roman" w:cs="Times New Roman"/>
        </w:rPr>
        <w:t>, 2</w:t>
      </w:r>
      <w:r w:rsidR="006440B0">
        <w:rPr>
          <w:rFonts w:ascii="Times New Roman" w:hAnsi="Times New Roman" w:cs="Times New Roman"/>
        </w:rPr>
        <w:t>013</w:t>
      </w:r>
      <w:r w:rsidR="001729A8">
        <w:rPr>
          <w:rFonts w:ascii="Times New Roman" w:hAnsi="Times New Roman" w:cs="Times New Roman"/>
        </w:rPr>
        <w:t>-</w:t>
      </w:r>
      <w:r w:rsidR="005E2C03" w:rsidRPr="00D041C0">
        <w:rPr>
          <w:rFonts w:ascii="Times New Roman" w:hAnsi="Times New Roman" w:cs="Times New Roman"/>
        </w:rPr>
        <w:t>20</w:t>
      </w:r>
      <w:r w:rsidR="006440B0">
        <w:rPr>
          <w:rFonts w:ascii="Times New Roman" w:hAnsi="Times New Roman" w:cs="Times New Roman"/>
        </w:rPr>
        <w:t>15</w:t>
      </w:r>
      <w:r w:rsidR="005E2C03" w:rsidRPr="00D041C0">
        <w:rPr>
          <w:rFonts w:ascii="Times New Roman" w:hAnsi="Times New Roman" w:cs="Times New Roman"/>
        </w:rPr>
        <w:t>, and 20</w:t>
      </w:r>
      <w:r w:rsidR="006440B0">
        <w:rPr>
          <w:rFonts w:ascii="Times New Roman" w:hAnsi="Times New Roman" w:cs="Times New Roman"/>
        </w:rPr>
        <w:t>16</w:t>
      </w:r>
      <w:r w:rsidR="001729A8">
        <w:rPr>
          <w:rFonts w:ascii="Times New Roman" w:hAnsi="Times New Roman" w:cs="Times New Roman"/>
        </w:rPr>
        <w:t>-</w:t>
      </w:r>
      <w:r w:rsidR="005E2C03" w:rsidRPr="00D041C0">
        <w:rPr>
          <w:rFonts w:ascii="Times New Roman" w:hAnsi="Times New Roman" w:cs="Times New Roman"/>
        </w:rPr>
        <w:t>20</w:t>
      </w:r>
      <w:r w:rsidR="006440B0">
        <w:rPr>
          <w:rFonts w:ascii="Times New Roman" w:hAnsi="Times New Roman" w:cs="Times New Roman"/>
        </w:rPr>
        <w:t>2</w:t>
      </w:r>
      <w:r w:rsidR="003242DF" w:rsidRPr="00D041C0">
        <w:rPr>
          <w:rFonts w:ascii="Times New Roman" w:hAnsi="Times New Roman" w:cs="Times New Roman"/>
        </w:rPr>
        <w:t>0</w:t>
      </w:r>
      <w:r w:rsidR="005E2C03" w:rsidRPr="00D041C0">
        <w:rPr>
          <w:rFonts w:ascii="Times New Roman" w:hAnsi="Times New Roman" w:cs="Times New Roman"/>
        </w:rPr>
        <w:t>.</w:t>
      </w:r>
      <w:r w:rsidR="00373F71" w:rsidRPr="00373F71">
        <w:t xml:space="preserve"> </w:t>
      </w:r>
      <w:r w:rsidR="004A0087">
        <w:rPr>
          <w:rFonts w:ascii="Times New Roman" w:hAnsi="Times New Roman" w:cs="Times New Roman"/>
        </w:rPr>
        <w:t>Mean B</w:t>
      </w:r>
      <w:r w:rsidR="00373F71" w:rsidRPr="00373F71">
        <w:rPr>
          <w:rFonts w:ascii="Times New Roman" w:hAnsi="Times New Roman" w:cs="Times New Roman"/>
        </w:rPr>
        <w:t xml:space="preserve">MI was </w:t>
      </w:r>
      <w:r w:rsidR="004A0087">
        <w:rPr>
          <w:rFonts w:ascii="Times New Roman" w:hAnsi="Times New Roman" w:cs="Times New Roman"/>
        </w:rPr>
        <w:t>presented</w:t>
      </w:r>
      <w:r w:rsidR="00373F71" w:rsidRPr="00373F71">
        <w:rPr>
          <w:rFonts w:ascii="Times New Roman" w:hAnsi="Times New Roman" w:cs="Times New Roman"/>
        </w:rPr>
        <w:t xml:space="preserve"> </w:t>
      </w:r>
      <w:r w:rsidR="00373F71">
        <w:rPr>
          <w:rFonts w:ascii="Times New Roman" w:hAnsi="Times New Roman" w:cs="Times New Roman"/>
        </w:rPr>
        <w:t>for N</w:t>
      </w:r>
      <w:r w:rsidR="00373F71" w:rsidRPr="00373F71">
        <w:rPr>
          <w:rFonts w:ascii="Times New Roman" w:hAnsi="Times New Roman" w:cs="Times New Roman"/>
        </w:rPr>
        <w:t xml:space="preserve">DD cases and non-NDD controls within each birth </w:t>
      </w:r>
      <w:r w:rsidR="00105D35" w:rsidRPr="00373F71">
        <w:rPr>
          <w:rFonts w:ascii="Times New Roman" w:hAnsi="Times New Roman" w:cs="Times New Roman"/>
        </w:rPr>
        <w:t>cohort</w:t>
      </w:r>
      <w:r w:rsidR="00105D35">
        <w:rPr>
          <w:rFonts w:ascii="Times New Roman" w:hAnsi="Times New Roman" w:cs="Times New Roman"/>
        </w:rPr>
        <w:t xml:space="preserve"> and</w:t>
      </w:r>
      <w:r w:rsidR="00373F71">
        <w:rPr>
          <w:rFonts w:ascii="Times New Roman" w:hAnsi="Times New Roman" w:cs="Times New Roman"/>
        </w:rPr>
        <w:t xml:space="preserve"> </w:t>
      </w:r>
      <w:r w:rsidR="00373F71" w:rsidRPr="00373F71">
        <w:rPr>
          <w:rFonts w:ascii="Times New Roman" w:hAnsi="Times New Roman" w:cs="Times New Roman"/>
        </w:rPr>
        <w:t xml:space="preserve">was also </w:t>
      </w:r>
      <w:r w:rsidR="00373F71">
        <w:rPr>
          <w:rFonts w:ascii="Times New Roman" w:hAnsi="Times New Roman" w:cs="Times New Roman"/>
        </w:rPr>
        <w:t>presented</w:t>
      </w:r>
      <w:r w:rsidR="00373F71" w:rsidRPr="00373F71">
        <w:rPr>
          <w:rFonts w:ascii="Times New Roman" w:hAnsi="Times New Roman" w:cs="Times New Roman"/>
        </w:rPr>
        <w:t xml:space="preserve"> at the </w:t>
      </w:r>
      <w:r w:rsidR="008813A0">
        <w:rPr>
          <w:rFonts w:ascii="Times New Roman" w:hAnsi="Times New Roman" w:cs="Times New Roman"/>
        </w:rPr>
        <w:t>1</w:t>
      </w:r>
      <w:r w:rsidR="00373F71" w:rsidRPr="00373F71">
        <w:rPr>
          <w:rFonts w:ascii="Times New Roman" w:hAnsi="Times New Roman" w:cs="Times New Roman"/>
        </w:rPr>
        <w:t>5</w:t>
      </w:r>
      <w:r w:rsidR="00373F71" w:rsidRPr="00105D35">
        <w:rPr>
          <w:rFonts w:ascii="Times New Roman" w:hAnsi="Times New Roman" w:cs="Times New Roman"/>
          <w:vertAlign w:val="superscript"/>
        </w:rPr>
        <w:t>th</w:t>
      </w:r>
      <w:r w:rsidR="00373F71" w:rsidRPr="00373F71">
        <w:rPr>
          <w:rFonts w:ascii="Times New Roman" w:hAnsi="Times New Roman" w:cs="Times New Roman"/>
        </w:rPr>
        <w:t xml:space="preserve"> and 85</w:t>
      </w:r>
      <w:r w:rsidR="00373F71" w:rsidRPr="00105D35">
        <w:rPr>
          <w:rFonts w:ascii="Times New Roman" w:hAnsi="Times New Roman" w:cs="Times New Roman"/>
          <w:vertAlign w:val="superscript"/>
        </w:rPr>
        <w:t>th</w:t>
      </w:r>
      <w:r w:rsidR="00373F71" w:rsidRPr="00373F71">
        <w:rPr>
          <w:rFonts w:ascii="Times New Roman" w:hAnsi="Times New Roman" w:cs="Times New Roman"/>
        </w:rPr>
        <w:t xml:space="preserve"> percentiles to characterize the full</w:t>
      </w:r>
      <w:r w:rsidR="00931B86">
        <w:rPr>
          <w:rFonts w:ascii="Times New Roman" w:hAnsi="Times New Roman" w:cs="Times New Roman"/>
        </w:rPr>
        <w:t xml:space="preserve"> BMI</w:t>
      </w:r>
      <w:r w:rsidR="00373F71" w:rsidRPr="00373F71">
        <w:rPr>
          <w:rFonts w:ascii="Times New Roman" w:hAnsi="Times New Roman" w:cs="Times New Roman"/>
        </w:rPr>
        <w:t xml:space="preserve"> distribution.</w:t>
      </w:r>
    </w:p>
    <w:p w14:paraId="48E5A6BD" w14:textId="2F98915E" w:rsidR="008E2DA7" w:rsidRPr="00D041C0" w:rsidRDefault="00AC1221" w:rsidP="00AC1221">
      <w:pPr>
        <w:pStyle w:val="NoSpacing"/>
      </w:pPr>
      <w:r w:rsidRPr="00D041C0">
        <w:t xml:space="preserve">To </w:t>
      </w:r>
      <w:r w:rsidR="00393C22">
        <w:t>visualize</w:t>
      </w:r>
      <w:r w:rsidRPr="00D041C0">
        <w:t xml:space="preserve"> </w:t>
      </w:r>
      <w:r w:rsidR="00946E43">
        <w:t xml:space="preserve">secular </w:t>
      </w:r>
      <w:r w:rsidRPr="00D041C0">
        <w:t>changes in BMI, a quantile regression model was fitted regressing BMI on year of assessment</w:t>
      </w:r>
      <w:r w:rsidR="007E2DD3" w:rsidRPr="00D041C0">
        <w:t xml:space="preserve"> </w:t>
      </w:r>
      <w:r w:rsidRPr="00D041C0">
        <w:t xml:space="preserve">using a cubic </w:t>
      </w:r>
      <w:r w:rsidR="003B62FD" w:rsidRPr="00D041C0">
        <w:t>basis spline</w:t>
      </w:r>
      <w:r w:rsidRPr="00D041C0">
        <w:t xml:space="preserve"> with </w:t>
      </w:r>
      <w:r w:rsidR="0084720D">
        <w:t>four</w:t>
      </w:r>
      <w:r w:rsidRPr="00D041C0">
        <w:t xml:space="preserve"> degrees of freedom</w:t>
      </w:r>
      <w:r w:rsidR="00404D7A">
        <w:t xml:space="preserve"> for those with and without NDDs</w:t>
      </w:r>
      <w:r w:rsidR="004A23E3">
        <w:t xml:space="preserve"> separately</w:t>
      </w:r>
      <w:r w:rsidRPr="00D041C0">
        <w:t xml:space="preserve">. This was done separately for the </w:t>
      </w:r>
      <w:r w:rsidR="008F24D6" w:rsidRPr="00D041C0">
        <w:t>15</w:t>
      </w:r>
      <w:r w:rsidR="00446EE6" w:rsidRPr="00D041C0">
        <w:rPr>
          <w:vertAlign w:val="superscript"/>
        </w:rPr>
        <w:t>th</w:t>
      </w:r>
      <w:r w:rsidRPr="00D041C0">
        <w:t>, 50</w:t>
      </w:r>
      <w:r w:rsidR="00446EE6" w:rsidRPr="00D041C0">
        <w:rPr>
          <w:vertAlign w:val="superscript"/>
        </w:rPr>
        <w:t>th</w:t>
      </w:r>
      <w:r w:rsidRPr="00D041C0">
        <w:t xml:space="preserve">, and </w:t>
      </w:r>
      <w:r w:rsidR="008F24D6" w:rsidRPr="00D041C0">
        <w:lastRenderedPageBreak/>
        <w:t>85</w:t>
      </w:r>
      <w:r w:rsidR="00446EE6" w:rsidRPr="00D041C0">
        <w:rPr>
          <w:vertAlign w:val="superscript"/>
        </w:rPr>
        <w:t>th</w:t>
      </w:r>
      <w:r w:rsidRPr="00D041C0">
        <w:t xml:space="preserve"> percentiles of BMI. The fitted curves from these models were plotted to visualize changes in BMI over time across the distribution.</w:t>
      </w:r>
      <w:r w:rsidR="009D4A3C" w:rsidRPr="00D041C0">
        <w:t xml:space="preserve"> A quantile regression analysis </w:t>
      </w:r>
      <w:r w:rsidR="003214C4" w:rsidRPr="00D041C0">
        <w:t>at each BMI percentile (15</w:t>
      </w:r>
      <w:r w:rsidR="003214C4" w:rsidRPr="00D041C0">
        <w:rPr>
          <w:vertAlign w:val="superscript"/>
        </w:rPr>
        <w:t>th</w:t>
      </w:r>
      <w:r w:rsidR="003214C4" w:rsidRPr="00D041C0">
        <w:t>, 50</w:t>
      </w:r>
      <w:r w:rsidR="003214C4" w:rsidRPr="00D041C0">
        <w:rPr>
          <w:vertAlign w:val="superscript"/>
        </w:rPr>
        <w:t>th</w:t>
      </w:r>
      <w:r w:rsidR="003214C4" w:rsidRPr="00D041C0">
        <w:t>, and 85</w:t>
      </w:r>
      <w:r w:rsidR="003214C4" w:rsidRPr="00D041C0">
        <w:rPr>
          <w:vertAlign w:val="superscript"/>
        </w:rPr>
        <w:t>th</w:t>
      </w:r>
      <w:r w:rsidR="003214C4" w:rsidRPr="00D041C0">
        <w:t xml:space="preserve">) </w:t>
      </w:r>
      <w:r w:rsidR="009D4A3C" w:rsidRPr="00D041C0">
        <w:t>was performed because it allows for understanding the relationship between variables across the distribution of the outcome, not just at the mean</w:t>
      </w:r>
      <w:r w:rsidR="00A931EC">
        <w:t>. Furthermore, quantile regression</w:t>
      </w:r>
      <w:r w:rsidR="00B07B94">
        <w:t xml:space="preserve"> analysis</w:t>
      </w:r>
      <w:r w:rsidR="00555D35">
        <w:t xml:space="preserve"> is </w:t>
      </w:r>
      <w:r w:rsidR="009D4A3C" w:rsidRPr="00D041C0">
        <w:t>beneficial for outcomes like BMI that may have a skewed or non-normal distribution.</w:t>
      </w:r>
      <w:r w:rsidR="00BC3C65" w:rsidRPr="00D041C0">
        <w:fldChar w:fldCharType="begin"/>
      </w:r>
      <w:r w:rsidR="009906B8">
        <w:instrText xml:space="preserve"> ADDIN ZOTERO_ITEM CSL_CITATION {"citationID":"S2FRGKN1","properties":{"formattedCitation":"\\super 16\\nosupersub{}","plainCitation":"16","noteIndex":0},"citationItems":[{"id":5164,"uris":["http://zotero.org/users/9282839/items/ZSQF92IF"],"itemData":{"id":5164,"type":"article-journal","container-title":"Journal of the Royal Statistical Society: Series D (The Statistician)","DOI":"10.1111/1467-9884.00363","ISSN":"0039-0526, 1467-9884","issue":"3","journalAbbreviation":"J Royal Statistical Soc D","language":"en","page":"331-350","source":"DOI.org (Crossref)","title":"Quantile regression: applications and current research areas","title-short":"Quantile regression","volume":"52","author":[{"family":"Yu","given":"Keming"},{"family":"Lu","given":"Zudi"},{"family":"Stander","given":"Julian"}],"issued":{"date-parts":[["2003",10]]}}}],"schema":"https://github.com/citation-style-language/schema/raw/master/csl-citation.json"} </w:instrText>
      </w:r>
      <w:r w:rsidR="00BC3C65" w:rsidRPr="00D041C0">
        <w:fldChar w:fldCharType="separate"/>
      </w:r>
      <w:r w:rsidR="009906B8" w:rsidRPr="009906B8">
        <w:rPr>
          <w:vertAlign w:val="superscript"/>
        </w:rPr>
        <w:t>16</w:t>
      </w:r>
      <w:r w:rsidR="00BC3C65" w:rsidRPr="00D041C0">
        <w:fldChar w:fldCharType="end"/>
      </w:r>
      <w:r w:rsidR="009D4A3C" w:rsidRPr="00D041C0">
        <w:t xml:space="preserve"> </w:t>
      </w:r>
      <w:r w:rsidR="00234AC1">
        <w:t>Importantly, i</w:t>
      </w:r>
      <w:r w:rsidR="009D4A3C" w:rsidRPr="00D041C0">
        <w:t>t can characterize associations at the tails of the distribution, for example at higher BMI levels where individuals are at greatest health risk.</w:t>
      </w:r>
      <w:r w:rsidR="003214C4">
        <w:t xml:space="preserve"> </w:t>
      </w:r>
      <w:r w:rsidR="008E2DA7">
        <w:t xml:space="preserve">Thereafter, to </w:t>
      </w:r>
      <w:r w:rsidR="003214C4">
        <w:t>assess</w:t>
      </w:r>
      <w:r w:rsidR="008E2DA7" w:rsidRPr="008E2DA7">
        <w:t xml:space="preserve"> </w:t>
      </w:r>
      <w:r w:rsidR="003214C4">
        <w:t xml:space="preserve">and quantify </w:t>
      </w:r>
      <w:r w:rsidR="008E2DA7" w:rsidRPr="008E2DA7">
        <w:t xml:space="preserve">differences in the change in BMI over </w:t>
      </w:r>
      <w:r w:rsidR="003214C4">
        <w:t>the study period</w:t>
      </w:r>
      <w:r w:rsidR="008E2DA7" w:rsidRPr="008E2DA7">
        <w:t xml:space="preserve"> between NDD and non-NDD groups, an interaction term between NDD status (yes/no) and time was included in quantile regression models. Time was scaled to reflect the change from the first study year (2004) to the last (20</w:t>
      </w:r>
      <w:r w:rsidR="00E34D5B">
        <w:t>20</w:t>
      </w:r>
      <w:r w:rsidR="008E2DA7" w:rsidRPr="008E2DA7">
        <w:t>).</w:t>
      </w:r>
      <w:r w:rsidR="00931B86">
        <w:t xml:space="preserve"> Analyses were stratified by NDD subtype</w:t>
      </w:r>
      <w:r w:rsidR="009D445A">
        <w:t xml:space="preserve"> </w:t>
      </w:r>
      <w:r w:rsidR="009D445A" w:rsidRPr="00997031">
        <w:t>and sex</w:t>
      </w:r>
      <w:r w:rsidR="00931B86">
        <w:t>.</w:t>
      </w:r>
    </w:p>
    <w:p w14:paraId="5264C753" w14:textId="73D3A7B7" w:rsidR="00E6373B" w:rsidRPr="00D041C0" w:rsidRDefault="003214C4" w:rsidP="00AC1221">
      <w:pPr>
        <w:pStyle w:val="NoSpacing"/>
      </w:pPr>
      <w:r>
        <w:t>Lastly, t</w:t>
      </w:r>
      <w:r w:rsidR="00891527" w:rsidRPr="00D041C0">
        <w:t xml:space="preserve">o </w:t>
      </w:r>
      <w:r w:rsidR="00931B86">
        <w:t>quantify</w:t>
      </w:r>
      <w:r w:rsidR="00891527" w:rsidRPr="00D041C0">
        <w:t xml:space="preserve"> differences in BMI between those with and without a NDD</w:t>
      </w:r>
      <w:r w:rsidR="00C43BB9">
        <w:t xml:space="preserve"> </w:t>
      </w:r>
      <w:r w:rsidR="00884DDB">
        <w:t>more recently</w:t>
      </w:r>
      <w:r w:rsidR="00891527" w:rsidRPr="00D041C0">
        <w:t xml:space="preserve">, a quantile regression model was fitted using </w:t>
      </w:r>
      <w:r w:rsidR="00931B86">
        <w:t>within</w:t>
      </w:r>
      <w:r w:rsidR="00891527" w:rsidRPr="00D041C0">
        <w:t xml:space="preserve"> last cohort </w:t>
      </w:r>
      <w:r w:rsidR="00931B86">
        <w:t>(</w:t>
      </w:r>
      <w:r w:rsidR="00891527" w:rsidRPr="00D041C0">
        <w:t>20</w:t>
      </w:r>
      <w:r w:rsidR="00931B86">
        <w:t>16</w:t>
      </w:r>
      <w:r w:rsidR="001729A8">
        <w:t>-</w:t>
      </w:r>
      <w:r w:rsidR="00891527" w:rsidRPr="00D041C0">
        <w:t>20</w:t>
      </w:r>
      <w:r w:rsidR="00931B86">
        <w:t>2</w:t>
      </w:r>
      <w:r w:rsidR="00891527" w:rsidRPr="00D041C0">
        <w:t>0</w:t>
      </w:r>
      <w:r w:rsidR="00931B86">
        <w:t>)</w:t>
      </w:r>
      <w:r w:rsidR="00891527" w:rsidRPr="00D041C0">
        <w:t xml:space="preserve">. The model included a binary indicator variable for NDD status as a predictor </w:t>
      </w:r>
      <w:r w:rsidR="00AC1221" w:rsidRPr="00D041C0">
        <w:t>provid</w:t>
      </w:r>
      <w:r w:rsidR="00891527" w:rsidRPr="00D041C0">
        <w:t>ing</w:t>
      </w:r>
      <w:r w:rsidR="00AC1221" w:rsidRPr="00D041C0">
        <w:t xml:space="preserve"> an estimate of the difference in BMI between NDD and non-NDD groups at different levels of BMI. This process was repeated separately for individuals with any NDD and for each NDD subgroup (ADHD, ASD, </w:t>
      </w:r>
      <w:r w:rsidR="007436A3" w:rsidRPr="00D041C0">
        <w:t xml:space="preserve">and </w:t>
      </w:r>
      <w:r w:rsidR="009C2AA2">
        <w:t>LD</w:t>
      </w:r>
      <w:r w:rsidR="00AC1221" w:rsidRPr="00D041C0">
        <w:t>)</w:t>
      </w:r>
      <w:r w:rsidR="00E94E2A">
        <w:t xml:space="preserve"> </w:t>
      </w:r>
      <w:r w:rsidR="00E94E2A" w:rsidRPr="00997031">
        <w:t>and sex</w:t>
      </w:r>
      <w:r w:rsidR="00AC1221" w:rsidRPr="00997031">
        <w:t>.</w:t>
      </w:r>
      <w:r w:rsidR="00AC1221" w:rsidRPr="00D041C0">
        <w:t xml:space="preserve"> </w:t>
      </w:r>
      <w:r w:rsidR="00557CFB" w:rsidRPr="00D041C0">
        <w:t>Q</w:t>
      </w:r>
      <w:r w:rsidR="004F4C95" w:rsidRPr="00D041C0">
        <w:t>uantile regression models used a sparse implementation of the Frisch</w:t>
      </w:r>
      <w:r w:rsidR="00D9743C" w:rsidRPr="00D041C0">
        <w:t>–</w:t>
      </w:r>
      <w:r w:rsidR="004F4C95" w:rsidRPr="00D041C0">
        <w:t>Newton algorithm.</w:t>
      </w:r>
      <w:r w:rsidR="004F4C95" w:rsidRPr="00D041C0">
        <w:fldChar w:fldCharType="begin"/>
      </w:r>
      <w:r w:rsidR="009906B8">
        <w:instrText xml:space="preserve"> ADDIN ZOTERO_ITEM CSL_CITATION {"citationID":"EzfPGmLb","properties":{"formattedCitation":"\\super 17\\nosupersub{}","plainCitation":"17","noteIndex":0},"citationItems":[{"id":5162,"uris":["http://zotero.org/users/9282839/items/7HNTP9BC"],"itemData":{"id":5162,"type":"article-journal","container-title":"Statistical Science","DOI":"10.1214/ss/1030037960","ISSN":"0883-4237","issue":"4","journalAbbreviation":"Statist. Sci.","source":"DOI.org (Crossref)","title":"The Gaussian hare and the Laplacian tortoise: computability of squared-error versus absolute-error estimators","title-short":"The Gaussian hare and the Laplacian tortoise","URL":"https://projecteuclid.org/journals/statistical-science/volume-12/issue-4/The-Gaussian-hare-and-the-Laplacian-tortoise--computability-of/10.1214/ss/1030037960.full","volume":"12","author":[{"family":"Portnoy","given":"Stephen"},{"family":"Koenker","given":"Roger"}],"accessed":{"date-parts":[["2023",10,2]]},"issued":{"date-parts":[["1997",11,1]]}}}],"schema":"https://github.com/citation-style-language/schema/raw/master/csl-citation.json"} </w:instrText>
      </w:r>
      <w:r w:rsidR="004F4C95" w:rsidRPr="00D041C0">
        <w:fldChar w:fldCharType="separate"/>
      </w:r>
      <w:r w:rsidR="009906B8" w:rsidRPr="009906B8">
        <w:rPr>
          <w:vertAlign w:val="superscript"/>
        </w:rPr>
        <w:t>17</w:t>
      </w:r>
      <w:r w:rsidR="004F4C95" w:rsidRPr="00D041C0">
        <w:fldChar w:fldCharType="end"/>
      </w:r>
      <w:r w:rsidR="004F4C95" w:rsidRPr="00D041C0">
        <w:t xml:space="preserve"> </w:t>
      </w:r>
      <w:bookmarkStart w:id="6" w:name="_Hlk169546388"/>
      <w:r w:rsidR="00CC1499">
        <w:t xml:space="preserve">Standard errors were estimated </w:t>
      </w:r>
      <w:r w:rsidR="00CC1499" w:rsidRPr="00CC1499">
        <w:t>using the Huber sandwich estimate</w:t>
      </w:r>
      <w:r w:rsidR="00CC1499">
        <w:t xml:space="preserve"> assuming </w:t>
      </w:r>
      <w:r w:rsidR="00CC1499" w:rsidRPr="00CC1499">
        <w:t>no</w:t>
      </w:r>
      <w:r w:rsidR="002E6611">
        <w:t>n-identically distributed</w:t>
      </w:r>
      <w:r w:rsidR="00CC1499">
        <w:t xml:space="preserve"> errors</w:t>
      </w:r>
      <w:bookmarkEnd w:id="6"/>
      <w:r w:rsidR="00CC1499">
        <w:t>.</w:t>
      </w:r>
      <w:r w:rsidR="00CC1499">
        <w:fldChar w:fldCharType="begin"/>
      </w:r>
      <w:r w:rsidR="009906B8">
        <w:instrText xml:space="preserve"> ADDIN ZOTERO_ITEM CSL_CITATION {"citationID":"L3rV52Q0","properties":{"formattedCitation":"\\super 18\\nosupersub{}","plainCitation":"18","noteIndex":0},"citationItems":[{"id":5173,"uris":["http://zotero.org/users/9282839/items/AQ2VMDCD"],"itemData":{"id":5173,"type":"article-journal","container-title":"Journal of the American Statistical Association","DOI":"10.1080/01621459.1999.10473882","ISSN":"0162-1459, 1537-274X","issue":"448","journalAbbreviation":"Journal of the American Statistical Association","language":"en","page":"1296-1310","source":"DOI.org (Crossref)","title":"Goodness of Fit and Related Inference Processes for Quantile Regression","volume":"94","author":[{"family":"Koenker","given":"Roger"},{"family":"Machado","given":"José A. F."}],"issued":{"date-parts":[["1999",12]]}}}],"schema":"https://github.com/citation-style-language/schema/raw/master/csl-citation.json"} </w:instrText>
      </w:r>
      <w:r w:rsidR="00CC1499">
        <w:fldChar w:fldCharType="separate"/>
      </w:r>
      <w:r w:rsidR="009906B8" w:rsidRPr="009906B8">
        <w:rPr>
          <w:vertAlign w:val="superscript"/>
        </w:rPr>
        <w:t>18</w:t>
      </w:r>
      <w:r w:rsidR="00CC1499">
        <w:fldChar w:fldCharType="end"/>
      </w:r>
      <w:r w:rsidR="00CC1499">
        <w:t xml:space="preserve"> </w:t>
      </w:r>
      <w:r w:rsidR="00463753" w:rsidRPr="00D041C0">
        <w:t>All analyses were performed using R version 4.2.</w:t>
      </w:r>
      <w:r w:rsidR="00844E41" w:rsidRPr="00D041C0">
        <w:t>3</w:t>
      </w:r>
      <w:r w:rsidR="00463753" w:rsidRPr="00D041C0">
        <w:fldChar w:fldCharType="begin"/>
      </w:r>
      <w:r w:rsidR="009906B8">
        <w:instrText xml:space="preserve"> ADDIN ZOTERO_ITEM CSL_CITATION {"citationID":"VxyFDJRa","properties":{"formattedCitation":"\\super 19\\nosupersub{}","plainCitation":"19","noteIndex":0},"citationItems":[{"id":4120,"uris":["http://zotero.org/users/9282839/items/32NXNX6Y"],"itemData":{"id":4120,"type":"software","note":"Programmers: _:n6910","publisher":"R Foundation for Statistical Computing","title":"R: A Language and Environment for Statistical Computing","author":[{"literal":"R Core Team"}],"issued":{"date-parts":[["2020"]]}}}],"schema":"https://github.com/citation-style-language/schema/raw/master/csl-citation.json"} </w:instrText>
      </w:r>
      <w:r w:rsidR="00463753" w:rsidRPr="00D041C0">
        <w:fldChar w:fldCharType="separate"/>
      </w:r>
      <w:r w:rsidR="009906B8" w:rsidRPr="009906B8">
        <w:rPr>
          <w:vertAlign w:val="superscript"/>
        </w:rPr>
        <w:t>19</w:t>
      </w:r>
      <w:r w:rsidR="00463753" w:rsidRPr="00D041C0">
        <w:fldChar w:fldCharType="end"/>
      </w:r>
      <w:r w:rsidR="0082759C" w:rsidRPr="00D041C0">
        <w:t xml:space="preserve"> </w:t>
      </w:r>
      <w:r w:rsidR="00AC1221" w:rsidRPr="00D041C0">
        <w:t>and</w:t>
      </w:r>
      <w:r w:rsidR="0082759C" w:rsidRPr="00D041C0">
        <w:t xml:space="preserve"> were conducted between </w:t>
      </w:r>
      <w:r w:rsidR="0020437F" w:rsidRPr="00D041C0">
        <w:t>September</w:t>
      </w:r>
      <w:r w:rsidR="0082759C" w:rsidRPr="00D041C0">
        <w:t xml:space="preserve"> </w:t>
      </w:r>
      <w:r w:rsidR="0020437F" w:rsidRPr="00D041C0">
        <w:t>27</w:t>
      </w:r>
      <w:r w:rsidR="0082759C" w:rsidRPr="00D041C0">
        <w:t xml:space="preserve">, 2023, and </w:t>
      </w:r>
      <w:r w:rsidR="004A23E3">
        <w:t>January</w:t>
      </w:r>
      <w:r w:rsidR="0082759C" w:rsidRPr="00D041C0">
        <w:t xml:space="preserve"> </w:t>
      </w:r>
      <w:r w:rsidR="004A23E3">
        <w:t>30</w:t>
      </w:r>
      <w:r w:rsidR="0082759C" w:rsidRPr="00D041C0">
        <w:t>, 202</w:t>
      </w:r>
      <w:r w:rsidR="004A23E3">
        <w:t>4</w:t>
      </w:r>
      <w:r w:rsidR="0082759C" w:rsidRPr="00D041C0">
        <w:t>.</w:t>
      </w:r>
    </w:p>
    <w:p w14:paraId="172FBC20" w14:textId="7193E929" w:rsidR="00BB4426" w:rsidRPr="00D041C0" w:rsidRDefault="00BB4426" w:rsidP="001D0EC9">
      <w:pPr>
        <w:pStyle w:val="Heading1"/>
      </w:pPr>
      <w:r w:rsidRPr="00D041C0">
        <w:lastRenderedPageBreak/>
        <w:t>Results</w:t>
      </w:r>
    </w:p>
    <w:p w14:paraId="213F066B" w14:textId="4BA90B98" w:rsidR="00F27982" w:rsidRDefault="00B1679E" w:rsidP="000932FD">
      <w:pPr>
        <w:pStyle w:val="NoSpacing"/>
      </w:pPr>
      <w:r w:rsidRPr="00D041C0">
        <w:t xml:space="preserve">The </w:t>
      </w:r>
      <w:r w:rsidR="00526529" w:rsidRPr="00D041C0">
        <w:t xml:space="preserve">study </w:t>
      </w:r>
      <w:r w:rsidR="00BE28F2" w:rsidRPr="00D041C0">
        <w:t xml:space="preserve">cohort </w:t>
      </w:r>
      <w:r w:rsidR="00A95CC8" w:rsidRPr="00D041C0">
        <w:t>comprised 2</w:t>
      </w:r>
      <w:r w:rsidR="0007051F" w:rsidRPr="00D041C0">
        <w:t>4</w:t>
      </w:r>
      <w:r w:rsidR="00A95CC8" w:rsidRPr="00D041C0">
        <w:t>,</w:t>
      </w:r>
      <w:r w:rsidR="0007051F" w:rsidRPr="00D041C0">
        <w:t>9</w:t>
      </w:r>
      <w:r w:rsidR="00ED7DBD">
        <w:t>69</w:t>
      </w:r>
      <w:r w:rsidR="00A95CC8" w:rsidRPr="00D041C0">
        <w:t xml:space="preserve"> </w:t>
      </w:r>
      <w:r w:rsidR="00A01EA3" w:rsidRPr="00D041C0">
        <w:t>individuals</w:t>
      </w:r>
      <w:r w:rsidR="00526529" w:rsidRPr="00D041C0">
        <w:t xml:space="preserve"> </w:t>
      </w:r>
      <w:r w:rsidR="004A23E3" w:rsidRPr="004A23E3">
        <w:t>born between 1992 and 2010</w:t>
      </w:r>
      <w:r w:rsidR="004A23E3">
        <w:t xml:space="preserve"> and </w:t>
      </w:r>
      <w:r w:rsidR="00041059">
        <w:t>assessed</w:t>
      </w:r>
      <w:r w:rsidR="00526529" w:rsidRPr="00D041C0">
        <w:t xml:space="preserve"> between </w:t>
      </w:r>
      <w:r w:rsidR="00041059">
        <w:t>200</w:t>
      </w:r>
      <w:r w:rsidR="006440B0">
        <w:t>4</w:t>
      </w:r>
      <w:r w:rsidR="00526529" w:rsidRPr="00D041C0">
        <w:t xml:space="preserve"> and 20</w:t>
      </w:r>
      <w:r w:rsidR="00041059">
        <w:t>2</w:t>
      </w:r>
      <w:r w:rsidR="00E27D12" w:rsidRPr="00D041C0">
        <w:t>0</w:t>
      </w:r>
      <w:r w:rsidR="00A95CC8" w:rsidRPr="00D041C0">
        <w:t xml:space="preserve">, of which </w:t>
      </w:r>
      <w:r w:rsidR="00AF1DDB" w:rsidRPr="00AF1DDB">
        <w:t>12</w:t>
      </w:r>
      <w:r w:rsidR="00AF1DDB">
        <w:t>,</w:t>
      </w:r>
      <w:r w:rsidR="00AF1DDB" w:rsidRPr="00AF1DDB">
        <w:t xml:space="preserve">681 </w:t>
      </w:r>
      <w:r w:rsidR="00A95CC8" w:rsidRPr="00D041C0">
        <w:t xml:space="preserve">(51%) were </w:t>
      </w:r>
      <w:r w:rsidR="00372CA0" w:rsidRPr="00D041C0">
        <w:t>boys</w:t>
      </w:r>
      <w:r w:rsidR="005C6347" w:rsidRPr="00D041C0">
        <w:t xml:space="preserve"> </w:t>
      </w:r>
      <w:r w:rsidR="0083203E" w:rsidRPr="00D041C0">
        <w:t xml:space="preserve">and </w:t>
      </w:r>
      <w:r w:rsidR="008665D7" w:rsidRPr="00D041C0">
        <w:t xml:space="preserve">1,103 </w:t>
      </w:r>
      <w:r w:rsidR="00AE4C97" w:rsidRPr="00D041C0">
        <w:t>(</w:t>
      </w:r>
      <w:r w:rsidR="008665D7" w:rsidRPr="00D041C0">
        <w:t>4</w:t>
      </w:r>
      <w:r w:rsidR="00AE4C97" w:rsidRPr="00D041C0">
        <w:t>.</w:t>
      </w:r>
      <w:r w:rsidR="008665D7" w:rsidRPr="00D041C0">
        <w:t>41</w:t>
      </w:r>
      <w:r w:rsidR="00AE4C97" w:rsidRPr="00D041C0">
        <w:t xml:space="preserve">%) had symptoms </w:t>
      </w:r>
      <w:r w:rsidR="00E77175" w:rsidRPr="00D041C0">
        <w:t xml:space="preserve">exceeding the </w:t>
      </w:r>
      <w:r w:rsidR="00E27D12" w:rsidRPr="00D041C0">
        <w:t xml:space="preserve">clinical </w:t>
      </w:r>
      <w:r w:rsidR="00E77175" w:rsidRPr="00D041C0">
        <w:t>threshold for one or more NDDs</w:t>
      </w:r>
      <w:r w:rsidR="0083203E" w:rsidRPr="00D041C0">
        <w:t xml:space="preserve"> (Table 1)</w:t>
      </w:r>
      <w:r w:rsidR="00E77175" w:rsidRPr="00D041C0">
        <w:t xml:space="preserve">. </w:t>
      </w:r>
      <w:r w:rsidR="0012625A" w:rsidRPr="00D041C0">
        <w:t>Among individuals with NDDs</w:t>
      </w:r>
      <w:r w:rsidR="00901378">
        <w:t xml:space="preserve"> (</w:t>
      </w:r>
      <w:r w:rsidR="00901378" w:rsidRPr="00901378">
        <w:t>N=1,103</w:t>
      </w:r>
      <w:r w:rsidR="00901378">
        <w:t>)</w:t>
      </w:r>
      <w:r w:rsidR="0012625A" w:rsidRPr="00D041C0">
        <w:t>, t</w:t>
      </w:r>
      <w:r w:rsidR="00E77175" w:rsidRPr="00D041C0">
        <w:t>he most prevalent NDD was ADHD</w:t>
      </w:r>
      <w:r w:rsidR="008665D7" w:rsidRPr="00D041C0">
        <w:t xml:space="preserve">, </w:t>
      </w:r>
      <w:r w:rsidR="00E77175" w:rsidRPr="00D041C0">
        <w:t>present in 621 individuals (25%).</w:t>
      </w:r>
      <w:r w:rsidR="000932FD" w:rsidRPr="00D041C0">
        <w:t xml:space="preserve"> </w:t>
      </w:r>
      <w:r w:rsidR="005A588E" w:rsidRPr="005A588E">
        <w:t>Across all cohorts,</w:t>
      </w:r>
      <w:r w:rsidR="005A588E">
        <w:t xml:space="preserve"> </w:t>
      </w:r>
      <w:r w:rsidR="005A588E" w:rsidRPr="005A588E">
        <w:t xml:space="preserve">individuals with NDDs </w:t>
      </w:r>
      <w:r w:rsidR="00F648D1">
        <w:t>showed similar</w:t>
      </w:r>
      <w:r w:rsidR="005A588E" w:rsidRPr="005A588E">
        <w:t xml:space="preserve"> mean BMIs </w:t>
      </w:r>
      <w:r w:rsidR="0070179F">
        <w:t>compared with</w:t>
      </w:r>
      <w:r w:rsidR="005A588E" w:rsidRPr="005A588E">
        <w:t xml:space="preserve"> non-NDD controls (e.g.</w:t>
      </w:r>
      <w:r w:rsidR="005A588E">
        <w:t>,</w:t>
      </w:r>
      <w:r w:rsidR="005A588E" w:rsidRPr="005A588E">
        <w:t xml:space="preserve"> </w:t>
      </w:r>
      <w:r w:rsidR="007C0A71" w:rsidRPr="007C0A71">
        <w:t xml:space="preserve">16.67 </w:t>
      </w:r>
      <w:r w:rsidR="007C0A71">
        <w:t xml:space="preserve">vs. </w:t>
      </w:r>
      <w:r w:rsidR="007C0A71" w:rsidRPr="007C0A71">
        <w:t xml:space="preserve">16.79 </w:t>
      </w:r>
      <w:r w:rsidR="007C0A71" w:rsidRPr="005A588E">
        <w:t>kg/m</w:t>
      </w:r>
      <w:r w:rsidR="007C0A71" w:rsidRPr="0070179F">
        <w:rPr>
          <w:vertAlign w:val="superscript"/>
        </w:rPr>
        <w:t>2</w:t>
      </w:r>
      <w:r w:rsidR="007C0A71" w:rsidRPr="005A588E">
        <w:t xml:space="preserve"> </w:t>
      </w:r>
      <w:r w:rsidR="007C0A71">
        <w:t>in the 2004</w:t>
      </w:r>
      <w:r w:rsidR="001729A8">
        <w:t>-</w:t>
      </w:r>
      <w:r w:rsidR="007C0A71">
        <w:t xml:space="preserve">2006 cohort and </w:t>
      </w:r>
      <w:r w:rsidR="005A588E" w:rsidRPr="005A588E">
        <w:t>17.</w:t>
      </w:r>
      <w:r w:rsidR="0070179F">
        <w:t>48</w:t>
      </w:r>
      <w:r w:rsidR="005A588E" w:rsidRPr="005A588E">
        <w:t xml:space="preserve"> vs 16.</w:t>
      </w:r>
      <w:r w:rsidR="0070179F">
        <w:t>70</w:t>
      </w:r>
      <w:r w:rsidR="005A588E" w:rsidRPr="005A588E">
        <w:t xml:space="preserve"> kg/m</w:t>
      </w:r>
      <w:r w:rsidR="005A588E" w:rsidRPr="0070179F">
        <w:rPr>
          <w:vertAlign w:val="superscript"/>
        </w:rPr>
        <w:t>2</w:t>
      </w:r>
      <w:r w:rsidR="005A588E" w:rsidRPr="005A588E">
        <w:t xml:space="preserve"> in the 20</w:t>
      </w:r>
      <w:r w:rsidR="007C0A71">
        <w:t>16</w:t>
      </w:r>
      <w:r w:rsidR="005A588E" w:rsidRPr="005A588E">
        <w:t>-20</w:t>
      </w:r>
      <w:r w:rsidR="007C0A71">
        <w:t>20</w:t>
      </w:r>
      <w:r w:rsidR="005A588E" w:rsidRPr="005A588E">
        <w:t xml:space="preserve"> cohort</w:t>
      </w:r>
      <w:r w:rsidR="00F648D1">
        <w:t>; Table 1</w:t>
      </w:r>
      <w:r w:rsidR="005A588E" w:rsidRPr="005A588E">
        <w:t>).</w:t>
      </w:r>
      <w:r w:rsidR="0070179F" w:rsidRPr="0070179F">
        <w:t xml:space="preserve"> However, examinations by BMI percentile revealed diverging trajectories between groups over time, particularly at the upper end of the distribution. For instance, in the </w:t>
      </w:r>
      <w:r w:rsidR="0070179F" w:rsidRPr="00D041C0">
        <w:t>20</w:t>
      </w:r>
      <w:r w:rsidR="0070179F">
        <w:t>16</w:t>
      </w:r>
      <w:r w:rsidR="001729A8">
        <w:t>-</w:t>
      </w:r>
      <w:r w:rsidR="0070179F" w:rsidRPr="00D041C0">
        <w:t>20</w:t>
      </w:r>
      <w:r w:rsidR="0070179F">
        <w:t>20</w:t>
      </w:r>
      <w:r w:rsidR="0070179F" w:rsidRPr="00D041C0">
        <w:t xml:space="preserve"> </w:t>
      </w:r>
      <w:r w:rsidR="0070179F" w:rsidRPr="0070179F">
        <w:t>cohort, the 85</w:t>
      </w:r>
      <w:r w:rsidR="0070179F" w:rsidRPr="0070179F">
        <w:rPr>
          <w:vertAlign w:val="superscript"/>
        </w:rPr>
        <w:t>th</w:t>
      </w:r>
      <w:r w:rsidR="0070179F" w:rsidRPr="0070179F">
        <w:t xml:space="preserve"> percentile of BMI was 2</w:t>
      </w:r>
      <w:r w:rsidR="0070179F">
        <w:t>0</w:t>
      </w:r>
      <w:r w:rsidR="0070179F" w:rsidRPr="0070179F">
        <w:t>.</w:t>
      </w:r>
      <w:r w:rsidR="0070179F">
        <w:t>90</w:t>
      </w:r>
      <w:r w:rsidR="0070179F" w:rsidRPr="0070179F">
        <w:t xml:space="preserve"> kg/m</w:t>
      </w:r>
      <w:r w:rsidR="0070179F" w:rsidRPr="0070179F">
        <w:rPr>
          <w:vertAlign w:val="superscript"/>
        </w:rPr>
        <w:t>2</w:t>
      </w:r>
      <w:r w:rsidR="0070179F" w:rsidRPr="0070179F">
        <w:t xml:space="preserve"> (</w:t>
      </w:r>
      <w:r w:rsidR="0070179F" w:rsidRPr="00D041C0">
        <w:t>95% CI 20.30, 21.88</w:t>
      </w:r>
      <w:r w:rsidR="0070179F" w:rsidRPr="0070179F">
        <w:t xml:space="preserve">) among NDD cases compared </w:t>
      </w:r>
      <w:r w:rsidR="00854A80">
        <w:t>with</w:t>
      </w:r>
      <w:r w:rsidR="0070179F" w:rsidRPr="0070179F">
        <w:t xml:space="preserve"> </w:t>
      </w:r>
      <w:r w:rsidR="0070179F">
        <w:t>18</w:t>
      </w:r>
      <w:r w:rsidR="0070179F" w:rsidRPr="0070179F">
        <w:t>.</w:t>
      </w:r>
      <w:r w:rsidR="0070179F">
        <w:t>94</w:t>
      </w:r>
      <w:r w:rsidR="0070179F" w:rsidRPr="0070179F">
        <w:t xml:space="preserve"> kg/m</w:t>
      </w:r>
      <w:r w:rsidR="0070179F" w:rsidRPr="0041051C">
        <w:rPr>
          <w:vertAlign w:val="superscript"/>
        </w:rPr>
        <w:t>2</w:t>
      </w:r>
      <w:r w:rsidR="0070179F" w:rsidRPr="0070179F">
        <w:t xml:space="preserve"> (</w:t>
      </w:r>
      <w:r w:rsidR="0070179F" w:rsidRPr="00D041C0">
        <w:t>95% CI 18.8</w:t>
      </w:r>
      <w:r w:rsidR="0070179F">
        <w:t>8</w:t>
      </w:r>
      <w:r w:rsidR="0070179F" w:rsidRPr="00D041C0">
        <w:t>, 19.17</w:t>
      </w:r>
      <w:r w:rsidR="0070179F" w:rsidRPr="0070179F">
        <w:t xml:space="preserve">) in </w:t>
      </w:r>
      <w:r w:rsidR="00AB0822">
        <w:t>individuals</w:t>
      </w:r>
      <w:r w:rsidR="0070179F" w:rsidRPr="0070179F">
        <w:t xml:space="preserve"> without NDDs</w:t>
      </w:r>
      <w:r w:rsidR="0070179F">
        <w:t xml:space="preserve">, with an estimated BMI difference of </w:t>
      </w:r>
      <w:r w:rsidR="0070179F" w:rsidRPr="00895849">
        <w:t xml:space="preserve">1.99 </w:t>
      </w:r>
      <w:r w:rsidR="006D25C3">
        <w:t>k</w:t>
      </w:r>
      <w:r w:rsidR="006D25C3" w:rsidRPr="0070179F">
        <w:t>g/m</w:t>
      </w:r>
      <w:r w:rsidR="006D25C3" w:rsidRPr="00025FD6">
        <w:rPr>
          <w:vertAlign w:val="superscript"/>
        </w:rPr>
        <w:t>2</w:t>
      </w:r>
      <w:r w:rsidR="006D25C3" w:rsidRPr="00895849">
        <w:t xml:space="preserve"> </w:t>
      </w:r>
      <w:r w:rsidR="0070179F" w:rsidRPr="00895849">
        <w:t>(</w:t>
      </w:r>
      <w:r w:rsidR="006D25C3" w:rsidRPr="00D041C0">
        <w:t xml:space="preserve">95% CI </w:t>
      </w:r>
      <w:r w:rsidR="0070179F" w:rsidRPr="00895849">
        <w:t>1.05, 2.93)</w:t>
      </w:r>
      <w:r w:rsidR="0070179F">
        <w:t>.</w:t>
      </w:r>
      <w:r w:rsidR="0041051C">
        <w:t xml:space="preserve"> </w:t>
      </w:r>
      <w:proofErr w:type="spellStart"/>
      <w:r w:rsidR="00884DDB">
        <w:t>e</w:t>
      </w:r>
      <w:r w:rsidR="0041051C">
        <w:t>Table</w:t>
      </w:r>
      <w:proofErr w:type="spellEnd"/>
      <w:r w:rsidR="0041051C">
        <w:t xml:space="preserve"> 1 </w:t>
      </w:r>
      <w:r w:rsidR="00F27982">
        <w:t xml:space="preserve">summarizes </w:t>
      </w:r>
      <w:r w:rsidR="0041051C">
        <w:t>the 15</w:t>
      </w:r>
      <w:r w:rsidR="0041051C" w:rsidRPr="0041051C">
        <w:rPr>
          <w:vertAlign w:val="superscript"/>
        </w:rPr>
        <w:t>th</w:t>
      </w:r>
      <w:r w:rsidR="0041051C">
        <w:t>, 50</w:t>
      </w:r>
      <w:r w:rsidR="0041051C" w:rsidRPr="0041051C">
        <w:rPr>
          <w:vertAlign w:val="superscript"/>
        </w:rPr>
        <w:t>th</w:t>
      </w:r>
      <w:r w:rsidR="0041051C">
        <w:t>, and 85</w:t>
      </w:r>
      <w:r w:rsidR="0041051C" w:rsidRPr="0041051C">
        <w:rPr>
          <w:vertAlign w:val="superscript"/>
        </w:rPr>
        <w:t>th</w:t>
      </w:r>
      <w:r w:rsidR="0041051C">
        <w:t xml:space="preserve"> BMI percentiles for those with and without NDDs over time.</w:t>
      </w:r>
    </w:p>
    <w:p w14:paraId="030FF416" w14:textId="7C9244A7" w:rsidR="00D86C92" w:rsidRDefault="00F27982" w:rsidP="0079544B">
      <w:pPr>
        <w:pStyle w:val="NoSpacing"/>
      </w:pPr>
      <w:r w:rsidRPr="00D041C0">
        <w:t>Figure 1 displays the predicted 15</w:t>
      </w:r>
      <w:r w:rsidRPr="00D041C0">
        <w:rPr>
          <w:vertAlign w:val="superscript"/>
        </w:rPr>
        <w:t>th</w:t>
      </w:r>
      <w:r w:rsidRPr="00D041C0">
        <w:t>, 50</w:t>
      </w:r>
      <w:r w:rsidRPr="00D041C0">
        <w:rPr>
          <w:vertAlign w:val="superscript"/>
        </w:rPr>
        <w:t>th</w:t>
      </w:r>
      <w:r w:rsidRPr="00D041C0">
        <w:t>, and 85</w:t>
      </w:r>
      <w:r w:rsidRPr="00D041C0">
        <w:rPr>
          <w:vertAlign w:val="superscript"/>
        </w:rPr>
        <w:t>th</w:t>
      </w:r>
      <w:r w:rsidRPr="00D041C0">
        <w:t xml:space="preserve"> percentiles for BMI over time among individuals with and without NDDs. The figure illustrated that BMI has increased across percentiles in both the NDD and non-NDD groups over the study period. However, the rise in BMI percentiles </w:t>
      </w:r>
      <w:r w:rsidR="00A26556">
        <w:t>was</w:t>
      </w:r>
      <w:r w:rsidRPr="00D041C0">
        <w:t xml:space="preserve"> more pronounced among those with NDDs, particularly after 2016.</w:t>
      </w:r>
      <w:r>
        <w:t xml:space="preserve"> </w:t>
      </w:r>
      <w:r w:rsidR="002F0FD7">
        <w:t xml:space="preserve">When quantifying the difference in the change of BMI </w:t>
      </w:r>
      <w:r w:rsidR="002567F3">
        <w:t>from 2004 to 2020</w:t>
      </w:r>
      <w:r w:rsidR="002F0FD7">
        <w:t xml:space="preserve"> between those with and without NDDs, quantile regression showed that</w:t>
      </w:r>
      <w:r w:rsidR="008E2DA7">
        <w:t>,</w:t>
      </w:r>
      <w:r w:rsidR="002F0FD7">
        <w:t xml:space="preserve"> </w:t>
      </w:r>
      <w:r w:rsidR="00B118A8">
        <w:t xml:space="preserve">at the </w:t>
      </w:r>
      <w:r w:rsidR="008E2DA7">
        <w:t>85</w:t>
      </w:r>
      <w:r w:rsidR="008E2DA7" w:rsidRPr="008E2DA7">
        <w:rPr>
          <w:vertAlign w:val="superscript"/>
        </w:rPr>
        <w:t>th</w:t>
      </w:r>
      <w:r w:rsidR="008E2DA7">
        <w:t xml:space="preserve"> </w:t>
      </w:r>
      <w:r w:rsidR="00B118A8">
        <w:t xml:space="preserve">BMI </w:t>
      </w:r>
      <w:r w:rsidR="008E2DA7">
        <w:t>percentile</w:t>
      </w:r>
      <w:r w:rsidR="00B118A8">
        <w:t xml:space="preserve">, </w:t>
      </w:r>
      <w:r w:rsidR="001647DC">
        <w:t>the interaction term between NDD status and time</w:t>
      </w:r>
      <w:r>
        <w:t xml:space="preserve"> (β</w:t>
      </w:r>
      <w:r w:rsidRPr="00596B8F">
        <w:rPr>
          <w:vertAlign w:val="subscript"/>
        </w:rPr>
        <w:t>int</w:t>
      </w:r>
      <w:r>
        <w:t>)</w:t>
      </w:r>
      <w:r w:rsidR="001647DC">
        <w:t xml:space="preserve"> was significant, indicating the BMI increase over the study period was greater among youth with NDDs compared with non-NDD controls (β</w:t>
      </w:r>
      <w:r w:rsidR="00596B8F" w:rsidRPr="00596B8F">
        <w:rPr>
          <w:vertAlign w:val="subscript"/>
        </w:rPr>
        <w:t>int</w:t>
      </w:r>
      <w:r w:rsidR="001647DC">
        <w:t>=1.67, 95% CI 0.39, 2.80). When examining specific NDD subtypes, the interaction terms were largest for ASD (β</w:t>
      </w:r>
      <w:r w:rsidR="00596B8F" w:rsidRPr="00596B8F">
        <w:rPr>
          <w:vertAlign w:val="subscript"/>
        </w:rPr>
        <w:t>int</w:t>
      </w:r>
      <w:r w:rsidR="001647DC">
        <w:t xml:space="preserve">=2.12, 95% CI 1.26, 3.70) and </w:t>
      </w:r>
      <w:r w:rsidR="009C2AA2">
        <w:t>LD</w:t>
      </w:r>
      <w:r w:rsidR="001647DC">
        <w:t xml:space="preserve"> (β</w:t>
      </w:r>
      <w:r w:rsidR="00596B8F" w:rsidRPr="00596B8F">
        <w:rPr>
          <w:vertAlign w:val="subscript"/>
        </w:rPr>
        <w:t>int</w:t>
      </w:r>
      <w:r w:rsidR="001647DC">
        <w:t xml:space="preserve">=1.92, 95% CI 0.65, 3.82) compared </w:t>
      </w:r>
      <w:r w:rsidR="002372A9">
        <w:t>with</w:t>
      </w:r>
      <w:r w:rsidR="001647DC">
        <w:t xml:space="preserve"> </w:t>
      </w:r>
      <w:r w:rsidR="002372A9">
        <w:t>individuals without those conditions</w:t>
      </w:r>
      <w:r w:rsidR="001647DC">
        <w:t xml:space="preserve">. The interaction between </w:t>
      </w:r>
      <w:r w:rsidR="001647DC">
        <w:lastRenderedPageBreak/>
        <w:t>ADHD status and time did not reach statistical significance (β</w:t>
      </w:r>
      <w:r w:rsidR="00596B8F" w:rsidRPr="00596B8F">
        <w:rPr>
          <w:vertAlign w:val="subscript"/>
        </w:rPr>
        <w:t>int</w:t>
      </w:r>
      <w:r w:rsidR="001647DC">
        <w:t>=1.37, 95% CI -0.59, 2.53), suggesting less divergence in BMI change over time at the 85</w:t>
      </w:r>
      <w:r w:rsidR="001647DC" w:rsidRPr="00981921">
        <w:rPr>
          <w:vertAlign w:val="superscript"/>
        </w:rPr>
        <w:t>th</w:t>
      </w:r>
      <w:r w:rsidR="001647DC">
        <w:t xml:space="preserve"> percentile for ADHD versus non-</w:t>
      </w:r>
      <w:r w:rsidR="002372A9">
        <w:t>ADHD</w:t>
      </w:r>
      <w:r w:rsidR="001647DC">
        <w:t xml:space="preserve"> peers</w:t>
      </w:r>
      <w:r w:rsidR="008E217C">
        <w:t xml:space="preserve"> (Table </w:t>
      </w:r>
      <w:r w:rsidR="0012093C">
        <w:t>2</w:t>
      </w:r>
      <w:r w:rsidR="008E217C">
        <w:t>)</w:t>
      </w:r>
      <w:r w:rsidR="001647DC">
        <w:t>.</w:t>
      </w:r>
    </w:p>
    <w:p w14:paraId="78C85448" w14:textId="643A047B" w:rsidR="00D86C92" w:rsidRDefault="00D86C92" w:rsidP="00D86C92">
      <w:pPr>
        <w:pStyle w:val="NoSpacing"/>
      </w:pPr>
      <w:r w:rsidRPr="00997031">
        <w:t>When stratified by sex, boys with NDDs showed a similar pattern of disproportionate BMI increases over time compared to non-NDD boys, but with a greater magnitude of difference than in the overall sample (</w:t>
      </w:r>
      <w:proofErr w:type="spellStart"/>
      <w:r w:rsidR="00997031">
        <w:t>e</w:t>
      </w:r>
      <w:r w:rsidRPr="00997031">
        <w:t>Table</w:t>
      </w:r>
      <w:proofErr w:type="spellEnd"/>
      <w:r w:rsidRPr="00997031">
        <w:t xml:space="preserve"> 2). For example, the 85</w:t>
      </w:r>
      <w:r w:rsidRPr="00997031">
        <w:rPr>
          <w:vertAlign w:val="superscript"/>
        </w:rPr>
        <w:t>th</w:t>
      </w:r>
      <w:r w:rsidRPr="00997031">
        <w:t xml:space="preserve"> BMI percentile increased by 2.30 more points (95% CI 0.19, 3.27) among boys with NDDs </w:t>
      </w:r>
      <w:r w:rsidR="005817F7" w:rsidRPr="00997031">
        <w:t>compared with</w:t>
      </w:r>
      <w:r w:rsidRPr="00997031">
        <w:t xml:space="preserve"> non-NDD boys from 2004 to 20</w:t>
      </w:r>
      <w:r w:rsidR="00E34D5B">
        <w:t>20</w:t>
      </w:r>
      <w:r w:rsidRPr="00997031">
        <w:t xml:space="preserve">. In contrast, among girls there were no </w:t>
      </w:r>
      <w:r w:rsidR="0041026E">
        <w:t xml:space="preserve">statistically </w:t>
      </w:r>
      <w:r w:rsidRPr="00997031">
        <w:t xml:space="preserve">significant differences in </w:t>
      </w:r>
      <w:r w:rsidR="00C80687">
        <w:t xml:space="preserve">secular trends in </w:t>
      </w:r>
      <w:r w:rsidRPr="00997031">
        <w:t xml:space="preserve">BMI over time between NDD and non-NDD groups, </w:t>
      </w:r>
      <w:r w:rsidR="0055624F" w:rsidRPr="00997031">
        <w:t>except for</w:t>
      </w:r>
      <w:r w:rsidRPr="00997031">
        <w:t xml:space="preserve"> </w:t>
      </w:r>
      <w:r w:rsidR="005817F7" w:rsidRPr="00997031">
        <w:t>ASD</w:t>
      </w:r>
      <w:r w:rsidRPr="00997031">
        <w:t>. Girls with ASD showed steeper BMI increases compared to non-NDD girls</w:t>
      </w:r>
      <w:r w:rsidR="005817F7" w:rsidRPr="00997031">
        <w:t xml:space="preserve"> (β</w:t>
      </w:r>
      <w:r w:rsidR="005817F7" w:rsidRPr="00997031">
        <w:rPr>
          <w:vertAlign w:val="subscript"/>
        </w:rPr>
        <w:t>int</w:t>
      </w:r>
      <w:r w:rsidR="005817F7" w:rsidRPr="00997031">
        <w:t>=1.39 95% CI 0.11, 4.83)</w:t>
      </w:r>
      <w:r w:rsidRPr="00997031">
        <w:t>, but differences were less pronounced than in boys.</w:t>
      </w:r>
    </w:p>
    <w:p w14:paraId="0FB394CC" w14:textId="20CAD3C1" w:rsidR="001729A8" w:rsidRDefault="005D07AF" w:rsidP="005730FD">
      <w:pPr>
        <w:pStyle w:val="NoSpacing"/>
      </w:pPr>
      <w:r>
        <w:t xml:space="preserve">In the </w:t>
      </w:r>
      <w:r w:rsidR="007C733E">
        <w:t>latest cohort (</w:t>
      </w:r>
      <w:r w:rsidRPr="005D07AF">
        <w:t>2016</w:t>
      </w:r>
      <w:r w:rsidR="001729A8">
        <w:t>-</w:t>
      </w:r>
      <w:r w:rsidRPr="005D07AF">
        <w:t>2020</w:t>
      </w:r>
      <w:r w:rsidR="007C733E">
        <w:t>)</w:t>
      </w:r>
      <w:r w:rsidR="007E2DD3" w:rsidRPr="00D041C0">
        <w:t xml:space="preserve">, there </w:t>
      </w:r>
      <w:r w:rsidR="002567F3">
        <w:t>were</w:t>
      </w:r>
      <w:r w:rsidR="007E2DD3" w:rsidRPr="00D041C0">
        <w:t xml:space="preserve"> sizable gaps in the upper BMI percentiles between the NDD and non-NDD groups</w:t>
      </w:r>
      <w:r w:rsidR="009302ED">
        <w:t xml:space="preserve">. </w:t>
      </w:r>
      <w:r w:rsidR="005C6347" w:rsidRPr="00D041C0">
        <w:t xml:space="preserve">The quantile regression analysis demonstrated significantly higher BMIs across the distribution for individuals with </w:t>
      </w:r>
      <w:r w:rsidR="0079544B" w:rsidRPr="00D041C0">
        <w:t>NDDs</w:t>
      </w:r>
      <w:r w:rsidR="005C6347" w:rsidRPr="00D041C0">
        <w:t xml:space="preserve"> compared </w:t>
      </w:r>
      <w:r w:rsidR="0079544B" w:rsidRPr="00D041C0">
        <w:t>with</w:t>
      </w:r>
      <w:r w:rsidR="005C6347" w:rsidRPr="00D041C0">
        <w:t xml:space="preserve"> </w:t>
      </w:r>
      <w:r w:rsidR="00E27D12" w:rsidRPr="00D041C0">
        <w:t>those</w:t>
      </w:r>
      <w:r w:rsidR="005C6347" w:rsidRPr="00D041C0">
        <w:t xml:space="preserve"> without NDDs</w:t>
      </w:r>
      <w:r w:rsidR="000A4C0E" w:rsidRPr="00D041C0">
        <w:t xml:space="preserve"> </w:t>
      </w:r>
      <w:r w:rsidR="008E2A68" w:rsidRPr="00D041C0">
        <w:t xml:space="preserve">assessed </w:t>
      </w:r>
      <w:r w:rsidR="007F1EC0" w:rsidRPr="00D041C0">
        <w:t>in</w:t>
      </w:r>
      <w:r w:rsidR="008E2A68" w:rsidRPr="00D041C0">
        <w:t xml:space="preserve"> 2016</w:t>
      </w:r>
      <w:r w:rsidR="007F1EC0" w:rsidRPr="00D041C0">
        <w:t xml:space="preserve"> or later</w:t>
      </w:r>
      <w:r w:rsidR="005C6347" w:rsidRPr="00D041C0">
        <w:t xml:space="preserve">. The most pronounced differences were evident at the </w:t>
      </w:r>
      <w:r w:rsidR="008F24D6" w:rsidRPr="00D041C0">
        <w:t>85</w:t>
      </w:r>
      <w:r w:rsidR="0037710A" w:rsidRPr="00D041C0">
        <w:rPr>
          <w:vertAlign w:val="superscript"/>
        </w:rPr>
        <w:t>th</w:t>
      </w:r>
      <w:r w:rsidR="005C6347" w:rsidRPr="00D041C0">
        <w:t xml:space="preserve"> percentile of BMI.</w:t>
      </w:r>
      <w:r w:rsidR="0079544B" w:rsidRPr="00D041C0">
        <w:t xml:space="preserve"> For example, individuals with ASD had </w:t>
      </w:r>
      <w:r w:rsidR="008F24D6" w:rsidRPr="00D041C0">
        <w:t>an</w:t>
      </w:r>
      <w:r w:rsidR="0079544B" w:rsidRPr="00D041C0">
        <w:t xml:space="preserve"> </w:t>
      </w:r>
      <w:r w:rsidR="008F24D6" w:rsidRPr="00D041C0">
        <w:t>85</w:t>
      </w:r>
      <w:r w:rsidR="000E1EA1" w:rsidRPr="00D041C0">
        <w:rPr>
          <w:vertAlign w:val="superscript"/>
        </w:rPr>
        <w:t>th</w:t>
      </w:r>
      <w:r w:rsidR="0079544B" w:rsidRPr="00D041C0">
        <w:t xml:space="preserve"> percentile BMI that was 2.8</w:t>
      </w:r>
      <w:r w:rsidR="00B47726">
        <w:t>9</w:t>
      </w:r>
      <w:r w:rsidR="0079544B" w:rsidRPr="00D041C0">
        <w:t xml:space="preserve"> (95% CI 2.</w:t>
      </w:r>
      <w:r w:rsidR="00B47726">
        <w:t>14</w:t>
      </w:r>
      <w:r w:rsidR="0079544B" w:rsidRPr="00D041C0">
        <w:t>, 3.</w:t>
      </w:r>
      <w:r w:rsidR="00B47726">
        <w:t>64</w:t>
      </w:r>
      <w:r w:rsidR="0079544B" w:rsidRPr="00D041C0">
        <w:t>) points higher than individuals without ASD. Th</w:t>
      </w:r>
      <w:r w:rsidR="003344D2">
        <w:t>is</w:t>
      </w:r>
      <w:r w:rsidR="0079544B" w:rsidRPr="00D041C0">
        <w:t xml:space="preserve"> difference was also large for those with </w:t>
      </w:r>
      <w:r w:rsidR="009C2AA2">
        <w:t xml:space="preserve">LD </w:t>
      </w:r>
      <w:r w:rsidR="0079544B" w:rsidRPr="00D041C0">
        <w:t>at 2.4</w:t>
      </w:r>
      <w:r w:rsidR="00B47726">
        <w:t>2</w:t>
      </w:r>
      <w:r w:rsidR="0079544B" w:rsidRPr="00D041C0">
        <w:t xml:space="preserve"> (95% CI 1.8</w:t>
      </w:r>
      <w:r w:rsidR="00B47726">
        <w:t>4</w:t>
      </w:r>
      <w:r w:rsidR="0079544B" w:rsidRPr="00D041C0">
        <w:t>, 3.0</w:t>
      </w:r>
      <w:r w:rsidR="00B47726">
        <w:t>1</w:t>
      </w:r>
      <w:r w:rsidR="0079544B" w:rsidRPr="00D041C0">
        <w:t xml:space="preserve">) points above those without </w:t>
      </w:r>
      <w:r w:rsidR="009C2AA2">
        <w:t>LD</w:t>
      </w:r>
      <w:r w:rsidR="0079544B" w:rsidRPr="00D041C0">
        <w:t xml:space="preserve">. When examining all NDDs together </w:t>
      </w:r>
      <w:r w:rsidR="006C0B1C">
        <w:t xml:space="preserve">(i.e., </w:t>
      </w:r>
      <w:r w:rsidR="0079544B" w:rsidRPr="00D041C0">
        <w:t>without diagnostic subgroup stratification</w:t>
      </w:r>
      <w:r w:rsidR="006C0B1C">
        <w:t>)</w:t>
      </w:r>
      <w:r w:rsidR="0079544B" w:rsidRPr="00D041C0">
        <w:t xml:space="preserve">, the </w:t>
      </w:r>
      <w:r w:rsidR="008F24D6" w:rsidRPr="00D041C0">
        <w:t>85</w:t>
      </w:r>
      <w:r w:rsidR="0079544B" w:rsidRPr="00D041C0">
        <w:rPr>
          <w:vertAlign w:val="superscript"/>
        </w:rPr>
        <w:t>th</w:t>
      </w:r>
      <w:r w:rsidR="0079544B" w:rsidRPr="00D041C0">
        <w:t xml:space="preserve"> percentile BMI was 1.</w:t>
      </w:r>
      <w:r w:rsidR="003545AB" w:rsidRPr="00D041C0">
        <w:t>99</w:t>
      </w:r>
      <w:r w:rsidR="0079544B" w:rsidRPr="00D041C0">
        <w:t xml:space="preserve"> (95% CI </w:t>
      </w:r>
      <w:r w:rsidR="003545AB" w:rsidRPr="00D041C0">
        <w:t>1.</w:t>
      </w:r>
      <w:r w:rsidR="00B47726">
        <w:t>08</w:t>
      </w:r>
      <w:r w:rsidR="0079544B" w:rsidRPr="00D041C0">
        <w:t xml:space="preserve">, </w:t>
      </w:r>
      <w:r w:rsidR="003545AB" w:rsidRPr="00D041C0">
        <w:t>2</w:t>
      </w:r>
      <w:r w:rsidR="0079544B" w:rsidRPr="00D041C0">
        <w:t>.8</w:t>
      </w:r>
      <w:r w:rsidR="00B47726">
        <w:t>9</w:t>
      </w:r>
      <w:r w:rsidR="0079544B" w:rsidRPr="00D041C0">
        <w:t>) points higher compared to non-NDD individuals</w:t>
      </w:r>
      <w:r w:rsidR="007F1EC0" w:rsidRPr="00D041C0">
        <w:t xml:space="preserve"> (Table </w:t>
      </w:r>
      <w:r w:rsidR="00F27982">
        <w:t>3</w:t>
      </w:r>
      <w:r w:rsidR="007F1EC0" w:rsidRPr="00D041C0">
        <w:t>)</w:t>
      </w:r>
      <w:r w:rsidR="0079544B" w:rsidRPr="00D041C0">
        <w:t>.</w:t>
      </w:r>
      <w:r w:rsidR="00D129F9">
        <w:t xml:space="preserve"> </w:t>
      </w:r>
      <w:r w:rsidR="0079544B" w:rsidRPr="00D041C0">
        <w:t>Significant, albeit smaller, BMI differences were also identified at the 50</w:t>
      </w:r>
      <w:r w:rsidR="0079544B" w:rsidRPr="00D041C0">
        <w:rPr>
          <w:vertAlign w:val="superscript"/>
        </w:rPr>
        <w:t>th</w:t>
      </w:r>
      <w:r w:rsidR="0079544B" w:rsidRPr="00D041C0">
        <w:t xml:space="preserve"> percentile across</w:t>
      </w:r>
      <w:r w:rsidR="009243D0">
        <w:t xml:space="preserve"> individuals with NDD and</w:t>
      </w:r>
      <w:r w:rsidR="0079544B" w:rsidRPr="00D041C0">
        <w:t xml:space="preserve"> NDD subgroups in the quantile regression. </w:t>
      </w:r>
      <w:r w:rsidR="00DF69AE">
        <w:t>Individuals with NDDs had a 50</w:t>
      </w:r>
      <w:r w:rsidR="00DF69AE" w:rsidRPr="00DF69AE">
        <w:rPr>
          <w:vertAlign w:val="superscript"/>
        </w:rPr>
        <w:t>th</w:t>
      </w:r>
      <w:r w:rsidR="00DF69AE">
        <w:t xml:space="preserve"> percentile BMI that was </w:t>
      </w:r>
      <w:r w:rsidR="00DF69AE" w:rsidRPr="00DF69AE">
        <w:t>0.65 (0.19, 1.117)</w:t>
      </w:r>
      <w:r w:rsidR="00DF69AE">
        <w:t xml:space="preserve"> points higher than those without NDDs. Similarly, </w:t>
      </w:r>
      <w:r w:rsidR="00F91E8D">
        <w:t xml:space="preserve">the difference was </w:t>
      </w:r>
      <w:r w:rsidR="0079544B" w:rsidRPr="00D041C0">
        <w:t xml:space="preserve">1.13 (95% CI </w:t>
      </w:r>
      <w:r w:rsidR="0079544B" w:rsidRPr="00D041C0">
        <w:lastRenderedPageBreak/>
        <w:t>0.</w:t>
      </w:r>
      <w:r w:rsidR="00AD029A">
        <w:t>34</w:t>
      </w:r>
      <w:r w:rsidR="0079544B" w:rsidRPr="00D041C0">
        <w:t xml:space="preserve">, </w:t>
      </w:r>
      <w:r w:rsidR="00B47726">
        <w:t>1</w:t>
      </w:r>
      <w:r w:rsidR="0079544B" w:rsidRPr="00D041C0">
        <w:t>.</w:t>
      </w:r>
      <w:r w:rsidR="00B47726">
        <w:t>91</w:t>
      </w:r>
      <w:r w:rsidR="0079544B" w:rsidRPr="00D041C0">
        <w:t xml:space="preserve">) points higher </w:t>
      </w:r>
      <w:r w:rsidR="00F91E8D">
        <w:t>for those</w:t>
      </w:r>
      <w:r w:rsidR="00F91E8D" w:rsidRPr="00D041C0">
        <w:t xml:space="preserve"> with ASD</w:t>
      </w:r>
      <w:r w:rsidR="00F91E8D">
        <w:t xml:space="preserve">, </w:t>
      </w:r>
      <w:r w:rsidR="0079544B" w:rsidRPr="00D041C0">
        <w:t>1.13 (95% CI 0.6</w:t>
      </w:r>
      <w:r w:rsidR="00B47726">
        <w:t>4</w:t>
      </w:r>
      <w:r w:rsidR="0079544B" w:rsidRPr="00D041C0">
        <w:t xml:space="preserve">, 1.61) for </w:t>
      </w:r>
      <w:r w:rsidR="009C2AA2">
        <w:t>LD</w:t>
      </w:r>
      <w:r w:rsidR="003344D2">
        <w:t>,</w:t>
      </w:r>
      <w:r w:rsidR="009C2AA2">
        <w:t xml:space="preserve"> </w:t>
      </w:r>
      <w:r w:rsidR="0079544B" w:rsidRPr="00D041C0">
        <w:t>and 0.</w:t>
      </w:r>
      <w:r w:rsidR="00B47726">
        <w:t>43</w:t>
      </w:r>
      <w:r w:rsidR="0079544B" w:rsidRPr="00D041C0">
        <w:t xml:space="preserve"> (95% CI </w:t>
      </w:r>
      <w:r w:rsidR="00B47726">
        <w:t>-</w:t>
      </w:r>
      <w:r w:rsidR="0079544B" w:rsidRPr="00D041C0">
        <w:t>0.0</w:t>
      </w:r>
      <w:r w:rsidR="00B47726">
        <w:t>7</w:t>
      </w:r>
      <w:r w:rsidR="0079544B" w:rsidRPr="00D041C0">
        <w:t xml:space="preserve">, </w:t>
      </w:r>
      <w:r w:rsidR="00B47726">
        <w:t>0</w:t>
      </w:r>
      <w:r w:rsidR="0079544B" w:rsidRPr="00D041C0">
        <w:t>.</w:t>
      </w:r>
      <w:r w:rsidR="00B47726">
        <w:t>94</w:t>
      </w:r>
      <w:r w:rsidR="0079544B" w:rsidRPr="00D041C0">
        <w:t xml:space="preserve">) for ADHD compared with </w:t>
      </w:r>
      <w:r w:rsidR="00F91E8D">
        <w:t>individuals without those disorders</w:t>
      </w:r>
      <w:r w:rsidR="0079544B" w:rsidRPr="00997031">
        <w:t>.</w:t>
      </w:r>
    </w:p>
    <w:p w14:paraId="12BE5ED8" w14:textId="38878D36" w:rsidR="005730FD" w:rsidRDefault="00816950" w:rsidP="005730FD">
      <w:pPr>
        <w:pStyle w:val="NoSpacing"/>
      </w:pPr>
      <w:r w:rsidRPr="00997031">
        <w:t xml:space="preserve">Sex-stratified analyses showed similar estimates among boys </w:t>
      </w:r>
      <w:r w:rsidR="003A4324" w:rsidRPr="00997031">
        <w:t>at the 50</w:t>
      </w:r>
      <w:r w:rsidR="003A4324" w:rsidRPr="00997031">
        <w:rPr>
          <w:vertAlign w:val="superscript"/>
        </w:rPr>
        <w:t>th</w:t>
      </w:r>
      <w:r w:rsidR="003A4324" w:rsidRPr="00997031">
        <w:t xml:space="preserve"> and 85</w:t>
      </w:r>
      <w:r w:rsidR="003A4324" w:rsidRPr="00997031">
        <w:rPr>
          <w:vertAlign w:val="superscript"/>
        </w:rPr>
        <w:t>th</w:t>
      </w:r>
      <w:r w:rsidR="003A4324" w:rsidRPr="00997031">
        <w:t xml:space="preserve"> percentiles</w:t>
      </w:r>
      <w:r w:rsidR="005730FD" w:rsidRPr="00997031">
        <w:t xml:space="preserve"> (</w:t>
      </w:r>
      <w:proofErr w:type="spellStart"/>
      <w:r w:rsidR="00997031">
        <w:t>e</w:t>
      </w:r>
      <w:r w:rsidR="005730FD" w:rsidRPr="00997031">
        <w:t>Table</w:t>
      </w:r>
      <w:proofErr w:type="spellEnd"/>
      <w:r w:rsidR="005730FD" w:rsidRPr="00997031">
        <w:t xml:space="preserve"> 3). However, the pattern differed in girls. At the 50</w:t>
      </w:r>
      <w:r w:rsidR="005730FD" w:rsidRPr="00997031">
        <w:rPr>
          <w:vertAlign w:val="superscript"/>
        </w:rPr>
        <w:t>th</w:t>
      </w:r>
      <w:r w:rsidR="005730FD" w:rsidRPr="00997031">
        <w:t xml:space="preserve"> BMI percentile, there were no significant differences between girls with and without NDDs in the 2016-2020 cohort. </w:t>
      </w:r>
      <w:r w:rsidR="005730FD" w:rsidRPr="001729A8">
        <w:t>Only at the 85</w:t>
      </w:r>
      <w:r w:rsidR="005730FD" w:rsidRPr="001729A8">
        <w:rPr>
          <w:vertAlign w:val="superscript"/>
        </w:rPr>
        <w:t>th</w:t>
      </w:r>
      <w:r w:rsidR="005730FD" w:rsidRPr="001729A8">
        <w:t xml:space="preserve"> percentile was BMI significantly higher for girls with any NDD (β=2.40, 95% CI 0.19, 3.59) and specifically </w:t>
      </w:r>
      <w:r w:rsidR="009C2AA2">
        <w:t xml:space="preserve">LD </w:t>
      </w:r>
      <w:r w:rsidR="005730FD" w:rsidRPr="001729A8">
        <w:t xml:space="preserve">(β=2.76, 95% CI 1.19, 7.53) compared with girls without </w:t>
      </w:r>
      <w:r w:rsidR="003344D2">
        <w:t>NDDs</w:t>
      </w:r>
      <w:r w:rsidR="005730FD" w:rsidRPr="001729A8">
        <w:t>.</w:t>
      </w:r>
    </w:p>
    <w:p w14:paraId="0279BAE4" w14:textId="1D8BAED2" w:rsidR="007020D8" w:rsidRPr="00D041C0" w:rsidRDefault="007020D8" w:rsidP="005730FD">
      <w:pPr>
        <w:pStyle w:val="Heading1"/>
      </w:pPr>
      <w:r w:rsidRPr="00D041C0">
        <w:t>Discussion</w:t>
      </w:r>
    </w:p>
    <w:p w14:paraId="14A95EC9" w14:textId="7E9D1D31" w:rsidR="00E53D14" w:rsidRDefault="00E53D14" w:rsidP="00F6279F">
      <w:pPr>
        <w:pStyle w:val="NoSpacing"/>
      </w:pPr>
      <w:r w:rsidRPr="00E53D14">
        <w:t xml:space="preserve">This study characterized, for the first time, </w:t>
      </w:r>
      <w:r w:rsidR="00946E43">
        <w:t xml:space="preserve">secular </w:t>
      </w:r>
      <w:r w:rsidRPr="00E53D14">
        <w:t xml:space="preserve">trends in BMI among children and adolescents with NDDs compared with peers without NDDs over a 16-year period. Our results demonstrated significantly steeper increases in BMI over time at the upper end of </w:t>
      </w:r>
      <w:r>
        <w:t xml:space="preserve">the </w:t>
      </w:r>
      <w:r w:rsidRPr="00E53D14">
        <w:t xml:space="preserve">BMI distribution for those with NDDs versus non-NDD controls. A significantly higher rise in BMI over time among youth with NDDs was consistently observed across the distribution for boys compared with girls. Boys with NDDs showed BMI increases around 2.3 points greater than non-NDD boys, whereas girls had similar trajectories regardless of diagnostic status, except for those with ASD who showed slightly steeper increases. The </w:t>
      </w:r>
      <w:r w:rsidR="000101CD">
        <w:t>disproportionate</w:t>
      </w:r>
      <w:r w:rsidRPr="00E53D14">
        <w:t xml:space="preserve"> BMI </w:t>
      </w:r>
      <w:r w:rsidR="000101CD">
        <w:t>increase</w:t>
      </w:r>
      <w:r w:rsidRPr="00E53D14">
        <w:t xml:space="preserve"> observed across </w:t>
      </w:r>
      <w:r w:rsidR="000101CD">
        <w:t>NDDs</w:t>
      </w:r>
      <w:r w:rsidRPr="00E53D14">
        <w:t xml:space="preserve"> warrant coordinated efforts to elucidate common mechanisms and develop tailored interventions to mitigate excessive weight gain in these populations.</w:t>
      </w:r>
    </w:p>
    <w:p w14:paraId="13EABC9A" w14:textId="38BA64A3" w:rsidR="00F92FE5" w:rsidRDefault="000101CD" w:rsidP="00F6279F">
      <w:pPr>
        <w:pStyle w:val="NoSpacing"/>
      </w:pPr>
      <w:r>
        <w:t>Notably, t</w:t>
      </w:r>
      <w:r w:rsidR="006901FF" w:rsidRPr="00D041C0">
        <w:t xml:space="preserve">his divergence in </w:t>
      </w:r>
      <w:r w:rsidR="00C80687">
        <w:t xml:space="preserve">secular trends in </w:t>
      </w:r>
      <w:r w:rsidR="006901FF" w:rsidRPr="00D041C0">
        <w:t>BMI was most pronounced after 2016</w:t>
      </w:r>
      <w:r w:rsidR="00FC7D52" w:rsidRPr="00D041C0">
        <w:t xml:space="preserve">. The gap was even larger when looking at specific NDD subgroups. </w:t>
      </w:r>
      <w:r w:rsidR="00EC2834" w:rsidRPr="00EC2834">
        <w:t>When looking at the most recent 2016-2020 cohort</w:t>
      </w:r>
      <w:r w:rsidR="00FC7D52" w:rsidRPr="00D041C0">
        <w:t>, the 85</w:t>
      </w:r>
      <w:r w:rsidR="00FC7D52" w:rsidRPr="00D041C0">
        <w:rPr>
          <w:vertAlign w:val="superscript"/>
        </w:rPr>
        <w:t>th</w:t>
      </w:r>
      <w:r w:rsidR="00FC7D52" w:rsidRPr="00D041C0">
        <w:t xml:space="preserve"> BMI percentile was 2.85 points higher among children with </w:t>
      </w:r>
      <w:r w:rsidR="003E041E" w:rsidRPr="00D041C0">
        <w:lastRenderedPageBreak/>
        <w:t>ASD</w:t>
      </w:r>
      <w:r w:rsidR="00FC7D52" w:rsidRPr="00D041C0">
        <w:t xml:space="preserve"> and 2.43 points higher among those with </w:t>
      </w:r>
      <w:r w:rsidR="009C2AA2">
        <w:t xml:space="preserve">LD </w:t>
      </w:r>
      <w:r w:rsidR="00FC7D52" w:rsidRPr="00D041C0">
        <w:t>compared with non-NDD controls.</w:t>
      </w:r>
      <w:r w:rsidR="009D6490" w:rsidRPr="009D6490">
        <w:t xml:space="preserve"> </w:t>
      </w:r>
      <w:r w:rsidR="009D6490" w:rsidRPr="001729A8">
        <w:t>When stratified by sex, boys with NDDs showed consistently higher BMIs across the 50</w:t>
      </w:r>
      <w:r w:rsidR="009D6490" w:rsidRPr="001729A8">
        <w:rPr>
          <w:vertAlign w:val="superscript"/>
        </w:rPr>
        <w:t>th</w:t>
      </w:r>
      <w:r w:rsidR="009D6490" w:rsidRPr="001729A8">
        <w:t xml:space="preserve"> and 85</w:t>
      </w:r>
      <w:r w:rsidR="009D6490" w:rsidRPr="001729A8">
        <w:rPr>
          <w:vertAlign w:val="superscript"/>
        </w:rPr>
        <w:t>th</w:t>
      </w:r>
      <w:r w:rsidR="009D6490" w:rsidRPr="001729A8">
        <w:t xml:space="preserve"> percentiles compared to non-NDD boys. However, among girls, significant differences were only observed at the 85</w:t>
      </w:r>
      <w:r w:rsidR="009D6490" w:rsidRPr="001729A8">
        <w:rPr>
          <w:vertAlign w:val="superscript"/>
        </w:rPr>
        <w:t>th</w:t>
      </w:r>
      <w:r w:rsidR="009D6490" w:rsidRPr="001729A8">
        <w:t xml:space="preserve"> BMI percentile for those with any NDD and specifically </w:t>
      </w:r>
      <w:r w:rsidR="009C2AA2">
        <w:t xml:space="preserve">LD </w:t>
      </w:r>
      <w:r w:rsidR="009D6490" w:rsidRPr="001729A8">
        <w:t>in the most recent cohort. Although coefficient estimates were larger for girls, confidence intervals were also wider, reflecting greater uncertainty. Nevertheless, these preliminary sex-specific findings suggest disproportionate BMI increases may predominantly impact boys across the distribution, whereas girls show divergence mostly at the upper percentiles</w:t>
      </w:r>
      <w:r w:rsidR="009302ED" w:rsidRPr="001729A8">
        <w:t xml:space="preserve"> of BMI</w:t>
      </w:r>
      <w:r w:rsidR="009D6490" w:rsidRPr="001729A8">
        <w:t>. More research is needed to confirm sex patterns as cohorts age.</w:t>
      </w:r>
    </w:p>
    <w:p w14:paraId="5A847890" w14:textId="7D426F49" w:rsidR="00E53D14" w:rsidRPr="00D041C0" w:rsidRDefault="00E53D14" w:rsidP="00E53D14">
      <w:pPr>
        <w:pStyle w:val="NoSpacing"/>
      </w:pPr>
      <w:r w:rsidRPr="00D041C0">
        <w:t xml:space="preserve">Several factors may </w:t>
      </w:r>
      <w:r>
        <w:t xml:space="preserve">potentially </w:t>
      </w:r>
      <w:r w:rsidRPr="00D041C0">
        <w:t xml:space="preserve">explain the steeper BMI increases among children with NDDs. </w:t>
      </w:r>
      <w:r>
        <w:t>The i</w:t>
      </w:r>
      <w:r w:rsidRPr="005F74E2">
        <w:t>ncreased availability of processed, high-calorie foods in recent decades may especially influence those with NDDs.</w:t>
      </w:r>
      <w:r>
        <w:t xml:space="preserve"> </w:t>
      </w:r>
      <w:r w:rsidR="000101CD">
        <w:t>Moreover, s</w:t>
      </w:r>
      <w:r w:rsidRPr="005F74E2">
        <w:t xml:space="preserve">edentary activities like screen time have increased substantially from </w:t>
      </w:r>
      <w:r>
        <w:t>2002</w:t>
      </w:r>
      <w:r w:rsidRPr="005F74E2">
        <w:t>.</w:t>
      </w:r>
      <w:r>
        <w:fldChar w:fldCharType="begin"/>
      </w:r>
      <w:r w:rsidR="00C80C01">
        <w:instrText xml:space="preserve"> ADDIN ZOTERO_ITEM CSL_CITATION {"citationID":"mzNAoAgx","properties":{"formattedCitation":"\\super 20,21\\nosupersub{}","plainCitation":"20,21","noteIndex":0},"citationItems":[{"id":5182,"uris":["http://zotero.org/users/9282839/items/G9STLRLV"],"itemData":{"id":5182,"type":"article-journal","container-title":"Journal of Adolescent Health","DOI":"10.1016/j.jadohealth.2015.11.014","ISSN":"1054139X","issue":"4","journalAbbreviation":"Journal of Adolescent Health","language":"en","page":"417-425","source":"DOI.org (Crossref)","title":"International Trends in Adolescent Screen-Time Behaviors From 2002 to 2010","volume":"58","author":[{"family":"Bucksch","given":"Jens"},{"family":"Sigmundova","given":"Dagmar"},{"family":"Hamrik","given":"Zdenek"},{"family":"Troped","given":"Philip Jay"},{"family":"Melkevik","given":"Ole"},{"family":"Ahluwalia","given":"Namam"},{"family":"Borraccino","given":"Alberto"},{"family":"Tynjälä","given":"Jorma"},{"family":"Kalman","given":"Michal"},{"family":"Inchley","given":"Joanna"}],"issued":{"date-parts":[["2016",4]]}}},{"id":5185,"uris":["http://zotero.org/users/9282839/items/9NNP33F6"],"itemData":{"id":5185,"type":"article-journal","container-title":"JAMA Pediatrics","DOI":"10.1001/jamapediatrics.2018.5546","ISSN":"2168-6203","issue":"4","journalAbbreviation":"JAMA Pediatr","language":"en","page":"391","source":"DOI.org (Crossref)","title":"Assessment of Screen Exposure in Young Children, 1997 to 2014","volume":"173","author":[{"family":"Chen","given":"Weiwei"},{"family":"Adler","given":"Jessica L."}],"issued":{"date-parts":[["2019",4,1]]}}}],"schema":"https://github.com/citation-style-language/schema/raw/master/csl-citation.json"} </w:instrText>
      </w:r>
      <w:r>
        <w:fldChar w:fldCharType="separate"/>
      </w:r>
      <w:r w:rsidR="00C80C01" w:rsidRPr="00C80C01">
        <w:rPr>
          <w:vertAlign w:val="superscript"/>
        </w:rPr>
        <w:t>20,21</w:t>
      </w:r>
      <w:r>
        <w:fldChar w:fldCharType="end"/>
      </w:r>
      <w:r w:rsidRPr="005F74E2">
        <w:t xml:space="preserve"> Symptoms like inattention and hyperactivity in ADHD may make it especially challenging for children with NDDs to limit screen time and sedentary activities compared to peers.</w:t>
      </w:r>
      <w:r>
        <w:fldChar w:fldCharType="begin"/>
      </w:r>
      <w:r w:rsidR="00C80C01">
        <w:instrText xml:space="preserve"> ADDIN ZOTERO_ITEM CSL_CITATION {"citationID":"Ktb383q3","properties":{"formattedCitation":"\\super 7,22\\nosupersub{}","plainCitation":"7,22","noteIndex":0},"citationItems":[{"id":5183,"uris":["http://zotero.org/users/9282839/items/R6WXJZ3H"],"itemData":{"id":5183,"type":"article-journal","container-title":"Infant Behavior and Development","DOI":"10.1016/j.infbeh.2020.101484","ISSN":"01636383","journalAbbreviation":"Infant Behavior and Development","language":"en","page":"101484","source":"DOI.org (Crossref)","title":"Screen time in 36-month-olds at increased likelihood for ASD and ADHD","volume":"61","author":[{"family":"Hill","given":"Monique Moore"},{"family":"Gangi","given":"Devon"},{"family":"Miller","given":"Meghan"},{"family":"Rafi","given":"Sabrina Mohamed"},{"family":"Ozonoff","given":"Sally"}],"issued":{"date-parts":[["2020",11]]}}},{"id":5195,"uris":["http://zotero.org/users/9282839/items/DJ3KRWEA"],"itemData":{"id":5195,"type":"article-journal","container-title":"Neuroscience &amp; Biobehavioral Reviews","DOI":"10.1016/j.neubiorev.2018.05.017","ISSN":"01497634","journalAbbreviation":"Neuroscience &amp; Biobehavioral Reviews","language":"en","page":"16-28","source":"DOI.org (Crossref)","title":"Attention deficit/hyperactivity-disorder and obesity: A review and model of current hypotheses explaining their comorbidity","title-short":"Attention deficit/hyperactivity-disorder and obesity","volume":"92","author":[{"family":"Hanć","given":"Tomasz"},{"family":"Cortese","given":"Samuele"}],"issued":{"date-parts":[["2018",9]]}}}],"schema":"https://github.com/citation-style-language/schema/raw/master/csl-citation.json"} </w:instrText>
      </w:r>
      <w:r>
        <w:fldChar w:fldCharType="separate"/>
      </w:r>
      <w:r w:rsidR="00C80C01" w:rsidRPr="00C80C01">
        <w:rPr>
          <w:vertAlign w:val="superscript"/>
        </w:rPr>
        <w:t>7,22</w:t>
      </w:r>
      <w:r>
        <w:fldChar w:fldCharType="end"/>
      </w:r>
      <w:r w:rsidR="000101CD">
        <w:t xml:space="preserve"> R</w:t>
      </w:r>
      <w:r w:rsidR="000101CD" w:rsidRPr="000101CD">
        <w:t>epetitive behaviors and restricted interests in ASD</w:t>
      </w:r>
      <w:r w:rsidR="000101CD" w:rsidRPr="000101CD">
        <w:rPr>
          <w:rFonts w:ascii="Arial" w:hAnsi="Arial" w:cs="Arial"/>
        </w:rPr>
        <w:t xml:space="preserve"> </w:t>
      </w:r>
      <w:r w:rsidR="000101CD" w:rsidRPr="000101CD">
        <w:t>may also contribute to increased screen time and sedentary behavior.</w:t>
      </w:r>
      <w:r w:rsidR="000101CD">
        <w:t xml:space="preserve"> Furthermore, s</w:t>
      </w:r>
      <w:r w:rsidR="000101CD" w:rsidRPr="000101CD">
        <w:t>ocietal shifts like increased working hours for parents may especially impact family routines, diet quality, activity habits, and weight management</w:t>
      </w:r>
      <w:r w:rsidR="000101CD" w:rsidRPr="000101CD">
        <w:fldChar w:fldCharType="begin"/>
      </w:r>
      <w:r w:rsidR="00C80C01">
        <w:instrText xml:space="preserve"> ADDIN ZOTERO_ITEM CSL_CITATION {"citationID":"tDQHiJBh","properties":{"formattedCitation":"\\super 23\\nosupersub{}","plainCitation":"23","noteIndex":0},"citationItems":[{"id":5176,"uris":["http://zotero.org/users/9282839/items/VEENE8B4"],"itemData":{"id":5176,"type":"article-journal","abstract":"Background\n              Most existing studies on maternal employment and childhood overweight/obesity are from the USA. They are predominantly cross-sectional and show a consistent linear association between the two. Less is known about the joint impact of fathers’ and mothers’ work hours on childhood overweight and obesity.\n            \n            \n              Objectives\n              To examine the impact of maternal and paternal work hours on overweight/obesity among children aged 1–6 years in Germany using longitudinal data.\n            \n            \n              Methods\n              Child body weight and height and their parents’ work hours were collected for 2413 children at ages 0–1, ages 2–3 and ages 5–6. Overweight and obesity was defined using the body mass index percentiles based on the Cole LMS-Method. Random effects model was conducted, adjusting for demographic, socioeconomic and health characteristics of parents and children.\n            \n            \n              Results\n              Compared with non-employment, when mothers worked 35 or more hours per week, the risk for child overweight and obesity increased among preschool children. When fathers worked 55 or more hours per week, this effect was strengthened and maternal part-time hours (24–34 per week) also became a risk for child overweight and obesity. The effect was mainly found in high-income families.\n            \n            \n              Conclusions\n              Both mothers’ and fathers’ long work hours matter to young children’s overweight status. Employment protection and work time regulation for both working parents during the first 6 years of the child’s life should be considered in future policy.","container-title":"Journal of Epidemiology and Community Health","DOI":"10.1136/jech-2018-211132","ISSN":"0143-005X, 1470-2738","issue":"8","journalAbbreviation":"J Epidemiol Community Health","language":"en","page":"723-729","source":"DOI.org (Crossref)","title":"Long work hours of mothers and fathers are linked to increased risk for overweight and obesity among preschool children: longitudinal evidence from Germany","title-short":"Long work hours of mothers and fathers are linked to increased risk for overweight and obesity among preschool children","volume":"73","author":[{"family":"Li","given":"Jianghong"},{"family":"Kaiser","given":"Till"},{"family":"Pollmann-Schult","given":"Matthias"},{"family":"Strazdins","given":"Lyndall"}],"issued":{"date-parts":[["2019",8]]}}}],"schema":"https://github.com/citation-style-language/schema/raw/master/csl-citation.json"} </w:instrText>
      </w:r>
      <w:r w:rsidR="000101CD" w:rsidRPr="000101CD">
        <w:fldChar w:fldCharType="separate"/>
      </w:r>
      <w:r w:rsidR="00C80C01" w:rsidRPr="00C80C01">
        <w:rPr>
          <w:vertAlign w:val="superscript"/>
        </w:rPr>
        <w:t>23</w:t>
      </w:r>
      <w:r w:rsidR="000101CD" w:rsidRPr="000101CD">
        <w:fldChar w:fldCharType="end"/>
      </w:r>
      <w:r w:rsidR="000101CD" w:rsidRPr="000101CD">
        <w:t xml:space="preserve"> among children with NDDs who require greater structure and supervision around lifestyles.</w:t>
      </w:r>
    </w:p>
    <w:p w14:paraId="25FF596F" w14:textId="1CBC3F3B" w:rsidR="00FC7D52" w:rsidRPr="00D041C0" w:rsidRDefault="000101CD" w:rsidP="000535E3">
      <w:pPr>
        <w:pStyle w:val="NoSpacing"/>
      </w:pPr>
      <w:r>
        <w:t>Our</w:t>
      </w:r>
      <w:r w:rsidR="000535E3" w:rsidRPr="00D041C0">
        <w:t xml:space="preserve"> findings have important clinical and public health implications. They suggest that the </w:t>
      </w:r>
      <w:r w:rsidR="004D2400" w:rsidRPr="00D041C0">
        <w:t xml:space="preserve">pediatric </w:t>
      </w:r>
      <w:r w:rsidR="000535E3" w:rsidRPr="00D041C0">
        <w:t xml:space="preserve">obesity epidemic </w:t>
      </w:r>
      <w:r w:rsidR="003545AB" w:rsidRPr="00D041C0">
        <w:t>may have</w:t>
      </w:r>
      <w:r w:rsidR="000535E3" w:rsidRPr="00D041C0">
        <w:t xml:space="preserve"> disproportionately impacted </w:t>
      </w:r>
      <w:r w:rsidR="004D2400" w:rsidRPr="00D041C0">
        <w:t>children with</w:t>
      </w:r>
      <w:r w:rsidR="000535E3" w:rsidRPr="00D041C0">
        <w:t xml:space="preserve"> NDD</w:t>
      </w:r>
      <w:r w:rsidR="004D2400" w:rsidRPr="00D041C0">
        <w:t>s</w:t>
      </w:r>
      <w:r w:rsidR="000535E3" w:rsidRPr="00D041C0">
        <w:t xml:space="preserve">, further exacerbating health disparities faced by this </w:t>
      </w:r>
      <w:r w:rsidR="004D2400" w:rsidRPr="00D041C0">
        <w:t xml:space="preserve">vulnerable </w:t>
      </w:r>
      <w:r w:rsidR="000535E3" w:rsidRPr="00D041C0">
        <w:t xml:space="preserve">group. The rapid rise in BMI percentiles, especially at the upper end of the distribution, </w:t>
      </w:r>
      <w:r w:rsidR="00FC7D52" w:rsidRPr="00D041C0">
        <w:t>suggests</w:t>
      </w:r>
      <w:r w:rsidR="000535E3" w:rsidRPr="00D041C0">
        <w:t xml:space="preserve"> </w:t>
      </w:r>
      <w:r w:rsidR="00FC7D52" w:rsidRPr="00D041C0">
        <w:t xml:space="preserve">that individuals with NDDs </w:t>
      </w:r>
      <w:r w:rsidR="003545AB" w:rsidRPr="00D041C0">
        <w:t>might be</w:t>
      </w:r>
      <w:r w:rsidR="00FC7D52" w:rsidRPr="00D041C0">
        <w:t xml:space="preserve"> at an elevated risk of developing obesity and related cardiovascular health issues. Elevated BMI is a well-established risk factor for various cardiovascular conditions, </w:t>
      </w:r>
      <w:r w:rsidR="00FC7D52" w:rsidRPr="00D041C0">
        <w:lastRenderedPageBreak/>
        <w:t>including hypertension, type 2 diabetes, dyslipidemia, and coronary artery disease.</w:t>
      </w:r>
      <w:r w:rsidR="00F55052" w:rsidRPr="00D041C0">
        <w:fldChar w:fldCharType="begin"/>
      </w:r>
      <w:r w:rsidR="00C96C54">
        <w:instrText xml:space="preserve"> ADDIN ZOTERO_ITEM CSL_CITATION {"citationID":"GcuaP8Nl","properties":{"formattedCitation":"\\super 24\\nosupersub{}","plainCitation":"24","noteIndex":0},"citationItems":[{"id":5165,"uris":["http://zotero.org/users/9282839/items/CSYLHK2C"],"itemData":{"id":5165,"type":"article-journal","container-title":"The Lancet","DOI":"10.1016/S0140-6736(09)60318-4","ISSN":"01406736","issue":"9669","journalAbbreviation":"The Lancet","language":"en","page":"1083-1096","source":"DOI.org (Crossref)","title":"Body-mass index and cause-specific mortality in 900 000 adults: collaborative analyses of 57 prospective studies","title-short":"Body-mass index and cause-specific mortality in 900 000 adults","volume":"373","author":[{"literal":"Prospective Studies Collaboration"}],"issued":{"date-parts":[["2009",3]]}}}],"schema":"https://github.com/citation-style-language/schema/raw/master/csl-citation.json"} </w:instrText>
      </w:r>
      <w:r w:rsidR="00F55052" w:rsidRPr="00D041C0">
        <w:fldChar w:fldCharType="separate"/>
      </w:r>
      <w:r w:rsidR="00C96C54" w:rsidRPr="00C96C54">
        <w:rPr>
          <w:vertAlign w:val="superscript"/>
        </w:rPr>
        <w:t>24</w:t>
      </w:r>
      <w:r w:rsidR="00F55052" w:rsidRPr="00D041C0">
        <w:fldChar w:fldCharType="end"/>
      </w:r>
      <w:r w:rsidR="00FC7D52" w:rsidRPr="00D041C0">
        <w:t xml:space="preserve"> The steeper BMI trajectory observed in individuals with NDDs implies a heightened susceptibility to these cardiovascular risk factors, which, over time, can significantly increase the likelihood of developing cardiovascular diseases</w:t>
      </w:r>
      <w:r w:rsidR="00DF5F82" w:rsidRPr="00D041C0">
        <w:t>.</w:t>
      </w:r>
      <w:r w:rsidR="00D52509">
        <w:fldChar w:fldCharType="begin"/>
      </w:r>
      <w:r w:rsidR="00C96C54">
        <w:instrText xml:space="preserve"> ADDIN ZOTERO_ITEM CSL_CITATION {"citationID":"mShpF6yR","properties":{"formattedCitation":"\\super 25\\nosupersub{}","plainCitation":"25","noteIndex":0},"citationItems":[{"id":5178,"uris":["http://zotero.org/users/9282839/items/32L97SK3"],"itemData":{"id":5178,"type":"article-journal","abstract":"Abstract\n            \n              Attention‐deficit/hyperactivity disorder (ADHD) often co‐occurs with other psychiatric and physical diseases. However, available evidence on associations between ADHD and cardiovascular diseases (CVDs) is mixed. To systematically review, quantitatively synthesize, and appraise available evidence on the link between ADHD with CVDs, we searched relevant articles in PubMed, Embase, PsycINFO, and Web of Science from inception to May 1, 2022. Study quality was assessed by using the Newcastle‐Ottawa Scale, and random‐effects model meta‐analyses were performed. A total of 18,391,169 (ADHD:\n              n\n               = 421,224) individuals from 11 studies were included in our systematic review and 8,196,648 (ADHD = 332,619) individuals from five studies were included in the main meta‐analysis of adjusted estimates. Pooled estimates showed that ADHD was significantly associated with an increased risk of CVDs in analyses based on adjusted effect size (odds ratio (OR) = 1.96; 95% confidence interval (CI) = 1.19–2.23,\n              Q\n               = 140.74,\n              P\n              Q\n               &lt; 0.001,\n              I\n              2\n               = 97.2%). When restricted among adults, the heterogeneity declined to null (OR = 1.73; 95% CI = 1.14–2.62,\n              Q\n               = 6.28,\n              P\n              Q\n               = 0.10,\n              I\n              2\n               = 6.28%), suggesting age might be the main source of heterogeneity. In subgroup analyses, we found increased risk of CVDs associated with ADHD across age groups, type of CVDs, and data sources. This systematic review and meta‐analyses indicate that ADHD is associated with increased risk for CVDs, but further studies with various study designs are warranted to advance the understanding of the underlying mechanisms for the observed association between ADHD and CVDs. Additional research is also needed to resolve the role of ADHD medications which remains unclear due to the limited number of primary studies exploring this issue.","container-title":"JCPP Advances","DOI":"10.1002/jcv2.12158","ISSN":"2692-9384, 2692-9384","issue":"3","journalAbbreviation":"JCPP Advances","language":"en","page":"e12158","source":"DOI.org (Crossref)","title":"Attention‐deficit/hyperactivity disorder is associated with increased risk of cardiovascular diseases: A systematic review and meta‐analysis","title-short":"Attention‐deficit/hyperactivity disorder is associated with increased risk of cardiovascular diseases","volume":"3","author":[{"family":"Li","given":"Lin"},{"family":"Yao","given":"Honghui"},{"family":"Zhang","given":"Le"},{"family":"Garcia‐Argibay","given":"Miguel"},{"family":"Du Rietz","given":"Ebba"},{"family":"Brikell","given":"Isabell"},{"family":"Solmi","given":"Marco"},{"family":"Cortese","given":"Samuele"},{"family":"Ramos‐Quiroga","given":"J. Antoni"},{"family":"Ribasés","given":"Marta"},{"family":"Chang","given":"Zheng"},{"family":"Larsson","given":"Henrik"}],"issued":{"date-parts":[["2023",9]]}}}],"schema":"https://github.com/citation-style-language/schema/raw/master/csl-citation.json"} </w:instrText>
      </w:r>
      <w:r w:rsidR="00D52509">
        <w:fldChar w:fldCharType="separate"/>
      </w:r>
      <w:r w:rsidR="00C96C54" w:rsidRPr="00C96C54">
        <w:rPr>
          <w:vertAlign w:val="superscript"/>
        </w:rPr>
        <w:t>25</w:t>
      </w:r>
      <w:r w:rsidR="00D52509">
        <w:fldChar w:fldCharType="end"/>
      </w:r>
      <w:r w:rsidR="00DF5F82" w:rsidRPr="00D041C0">
        <w:t xml:space="preserve"> The continued rise in BMI among individuals with NDDs may lead to a higher risk of </w:t>
      </w:r>
      <w:r w:rsidR="00EF0081">
        <w:t xml:space="preserve">premature </w:t>
      </w:r>
      <w:r w:rsidR="00DF5F82" w:rsidRPr="00D041C0">
        <w:t>mortality, particularly in adulthood. This emphasizes the urgency of addressing the factors contributing to this trend to improve the long-term health outcomes of individuals with NDDs.</w:t>
      </w:r>
    </w:p>
    <w:p w14:paraId="6F346F95" w14:textId="61B389E5" w:rsidR="00A33E62" w:rsidRPr="00D041C0" w:rsidRDefault="00544DA4" w:rsidP="000535E3">
      <w:pPr>
        <w:pStyle w:val="NoSpacing"/>
      </w:pPr>
      <w:r w:rsidRPr="00D041C0">
        <w:t>A</w:t>
      </w:r>
      <w:r w:rsidR="00A33E62" w:rsidRPr="00D041C0">
        <w:t xml:space="preserve"> recent Swedish </w:t>
      </w:r>
      <w:r w:rsidRPr="00D041C0">
        <w:t xml:space="preserve">population-based </w:t>
      </w:r>
      <w:r w:rsidR="00A33E62" w:rsidRPr="00D041C0">
        <w:t xml:space="preserve">study have also reported </w:t>
      </w:r>
      <w:r w:rsidR="00946E43">
        <w:t>secular changes in</w:t>
      </w:r>
      <w:r w:rsidR="00A33E62" w:rsidRPr="00D041C0">
        <w:t xml:space="preserve"> BMI </w:t>
      </w:r>
      <w:r w:rsidR="00AC3FED">
        <w:t xml:space="preserve">over time </w:t>
      </w:r>
      <w:r w:rsidR="00A33E62" w:rsidRPr="00D041C0">
        <w:t xml:space="preserve">among adults with bipolar disorder compared </w:t>
      </w:r>
      <w:r w:rsidR="00EF0081">
        <w:t>with</w:t>
      </w:r>
      <w:r w:rsidR="00A33E62" w:rsidRPr="00D041C0">
        <w:t xml:space="preserve"> the general population.</w:t>
      </w:r>
      <w:r w:rsidR="00A33E62" w:rsidRPr="00D041C0">
        <w:fldChar w:fldCharType="begin"/>
      </w:r>
      <w:r w:rsidR="00C96C54">
        <w:instrText xml:space="preserve"> ADDIN ZOTERO_ITEM CSL_CITATION {"citationID":"GNOHyUzw","properties":{"formattedCitation":"\\super 26\\nosupersub{}","plainCitation":"26","noteIndex":0},"citationItems":[{"id":5167,"uris":["http://zotero.org/users/9282839/items/J9LXMPZF"],"itemData":{"id":5167,"type":"article-journal","container-title":"American Journal of Psychiatry","DOI":"10.1176/appi.ajp.20230012","ISSN":"0002-953X, 1535-7228","journalAbbreviation":"AJP","language":"en","page":"appi.ajp.20230012","source":"DOI.org (Crossref)","title":"Recent Secular Trends of Body Mass Index in Individuals With Bipolar Disorders and in the General Population","author":[{"family":"Najar","given":"Hemen"},{"family":"Joas","given":"Erik"},{"family":"Jonsson","given":"Viktor"},{"family":"Pålsson","given":"Erik"},{"family":"Landén","given":"Mikael"}],"issued":{"date-parts":[["2023",9,20]]}}}],"schema":"https://github.com/citation-style-language/schema/raw/master/csl-citation.json"} </w:instrText>
      </w:r>
      <w:r w:rsidR="00A33E62" w:rsidRPr="00D041C0">
        <w:fldChar w:fldCharType="separate"/>
      </w:r>
      <w:r w:rsidR="00C96C54" w:rsidRPr="00C96C54">
        <w:rPr>
          <w:vertAlign w:val="superscript"/>
        </w:rPr>
        <w:t>26</w:t>
      </w:r>
      <w:r w:rsidR="00A33E62" w:rsidRPr="00D041C0">
        <w:fldChar w:fldCharType="end"/>
      </w:r>
      <w:r w:rsidR="00A33E62" w:rsidRPr="00D041C0">
        <w:t xml:space="preserve"> The parallels in adverse </w:t>
      </w:r>
      <w:r w:rsidR="00592B5F">
        <w:t xml:space="preserve">secular trends in </w:t>
      </w:r>
      <w:r w:rsidR="00A33E62" w:rsidRPr="00D041C0">
        <w:t>BMI between bipolar disorder and NDDs are noteworthy given some evidence that these disorder groups may share common neurodevelopmental origins.</w:t>
      </w:r>
      <w:r w:rsidR="005A164C" w:rsidRPr="00D041C0">
        <w:fldChar w:fldCharType="begin"/>
      </w:r>
      <w:r w:rsidR="00C96C54">
        <w:instrText xml:space="preserve"> ADDIN ZOTERO_ITEM CSL_CITATION {"citationID":"S6p3bhiu","properties":{"formattedCitation":"\\super 27\\uc0\\u8211{}31\\nosupersub{}","plainCitation":"27–31","noteIndex":0},"citationItems":[{"id":5168,"uris":["http://zotero.org/users/9282839/items/W4LWKUMJ"],"itemData":{"id":5168,"type":"article-journal","container-title":"Genome Medicine","DOI":"10.1186/gm102","ISSN":"1756-994X","issue":"10","journalAbbreviation":"Genome Med","language":"en","page":"102","source":"DOI.org (Crossref)","title":"Genetic overlap between autism, schizophrenia and bipolar disorder","volume":"1","author":[{"family":"Carroll","given":"Liam S"},{"family":"Owen","given":"Michael J"}],"issued":{"date-parts":[["2009"]]}}},{"id":5170,"uris":["http://zotero.org/users/9282839/items/6P6R7D8P"],"itemData":{"id":5170,"type":"article-journal","container-title":"Molecular and Cellular Neuroscience","DOI":"10.1016/j.mcn.2018.02.010","ISSN":"10447431","journalAbbreviation":"Molecular and Cellular Neuroscience","language":"en","page":"300-307","source":"DOI.org (Crossref)","title":"The genetic architecture of schizophrenia, bipolar disorder, obsessive-compulsive disorder and autism spectrum disorder","volume":"88","author":[{"family":"O'Connell","given":"Kevin S."},{"family":"McGregor","given":"Nathaniel W."},{"family":"Lochner","given":"Christine"},{"family":"Emsley","given":"Robin"},{"family":"Warnich","given":"Louise"}],"issued":{"date-parts":[["2018",4]]}}},{"id":5171,"uris":["http://zotero.org/users/9282839/items/CL53H2TC"],"itemData":{"id":5171,"type":"article-journal","container-title":"Progress in Neuro-Psychopharmacology and Biological Psychiatry","DOI":"10.1016/j.pnpbp.2008.04.017","ISSN":"02785846","issue":"7","journalAbbreviation":"Progress in Neuro-Psychopharmacology and Biological Psychiatry","language":"en","page":"1617-1627","source":"DOI.org (Crossref)","title":"Neurodevelopmental basis of bipolar disorder: A critical appraisal","title-short":"Neurodevelopmental basis of bipolar disorder","volume":"32","author":[{"family":"Sanches","given":"Marsal"},{"family":"Keshavan","given":"Matcheri S."},{"family":"Brambilla","given":"Paolo"},{"family":"Soares","given":"Jair C."}],"issued":{"date-parts":[["2008",10]]}}},{"id":5172,"uris":["http://zotero.org/users/9282839/items/R8WQYP7N"],"itemData":{"id":5172,"type":"article-journal","container-title":"Molecular and Cellular Neuroscience","DOI":"10.1016/j.mcn.2015.11.006","ISSN":"10447431","journalAbbreviation":"Molecular and Cellular Neuroscience","language":"en","page":"63-83","source":"DOI.org (Crossref)","title":"Neurodevelopmental origins of bipolar disorder: iPSC models","title-short":"Neurodevelopmental origins of bipolar disorder","volume":"73","author":[{"family":"O'Shea","given":"K. Sue"},{"family":"McInnis","given":"Melvin G."}],"issued":{"date-parts":[["2016",6]]}}},{"id":5174,"uris":["http://zotero.org/users/9282839/items/T7G8I9PU"],"itemData":{"id":5174,"type":"article-journal","container-title":"Nature Genetics","DOI":"10.1038/s41588-022-01285-8","ISSN":"1061-4036, 1546-1718","issue":"2","journalAbbreviation":"Nat Genet","language":"en","page":"198-208","source":"DOI.org (Crossref)","title":"Genome-wide analyses of ADHD identify 27 risk loci, refine the genetic architecture and implicate several cognitive domains","volume":"55","author":[{"family":"Demontis","given":"Ditte"},{"family":"Walters","given":"G. Bragi"},{"family":"Athanasiadis","given":"Georgios"},{"family":"Walters","given":"Raymond"},{"family":"Therrien","given":"Karen"},{"family":"Nielsen","given":"Trine Tollerup"},{"family":"Farajzadeh","given":"Leila"},{"family":"Voloudakis","given":"Georgios"},{"family":"Bendl","given":"Jaroslav"},{"family":"Zeng","given":"Biau"},{"family":"Zhang","given":"Wen"},{"family":"Grove","given":"Jakob"},{"family":"Als","given":"Thomas D."},{"family":"Duan","given":"Jinjie"},{"family":"Satterstrom","given":"F. Kyle"},{"family":"Bybjerg-Grauholm","given":"Jonas"},{"family":"Bækved-Hansen","given":"Marie"},{"family":"Gudmundsson","given":"Olafur O."},{"family":"Magnusson","given":"Sigurdur H."},{"family":"Baldursson","given":"Gisli"},{"family":"Davidsdottir","given":"Katrin"},{"family":"Haraldsdottir","given":"Gyda S."},{"family":"Agerbo","given":"Esben"},{"family":"Hoffman","given":"Gabriel E."},{"family":"Dalsgaard","given":"Søren"},{"family":"Martin","given":"Joanna"},{"family":"Ribasés","given":"Marta"},{"family":"Boomsma","given":"Dorret I."},{"family":"Soler Artigas","given":"Maria"},{"family":"Roth Mota","given":"Nina"},{"family":"Howrigan","given":"Daniel"},{"family":"Medland","given":"Sarah E."},{"family":"Zayats","given":"Tetyana"},{"family":"Rajagopal","given":"Veera M."},{"literal":"ADHD Working Group of the Psychiatric Genomics Consortium"},{"family":"Havdahl","given":"Alexandra"},{"family":"Doyle","given":"Alysa"},{"family":"Reif","given":"Andreas"},{"family":"Thapar","given":"Anita"},{"family":"Cormand","given":"Bru"},{"family":"Liao","given":"Calwing"},{"family":"Burton","given":"Christie"},{"family":"Bau","given":"Claiton H. D."},{"family":"Rovaris","given":"Diego Luiz"},{"family":"Sonuga-Barke","given":"Edmund"},{"family":"Corfield","given":"Elizabeth"},{"family":"Grevet","given":"Eugenio Horacio"},{"family":"Larsson","given":"Henrik"},{"family":"Gizer","given":"Ian R."},{"family":"Waldman","given":"Irwin"},{"family":"Brikell","given":"Isabell"},{"family":"Haavik","given":"Jan"},{"family":"Crosbie","given":"Jennifer"},{"family":"McGough","given":"James"},{"family":"Kuntsi","given":"Jonna"},{"family":"Glessner","given":"Joseph"},{"family":"Langley","given":"Kate"},{"family":"Lesch","given":"Klaus-Peter"},{"family":"Rohde","given":"Luis Augusto"},{"family":"Hutz","given":"Mara H."},{"family":"Klein","given":"Marieke"},{"family":"Bellgrove","given":"Mark"},{"family":"Tesli","given":"Martin"},{"family":"O’Donovan","given":"Michael C."},{"family":"Andreassen","given":"Ole Andreas"},{"family":"Leung","given":"Patrick W. L."},{"family":"Pan","given":"Pedro M."},{"family":"Joober","given":"Ridha"},{"family":"Schachar","given":"Russel"},{"family":"Loo","given":"Sandra"},{"family":"Witt","given":"Stephanie H."},{"family":"Reichborn-Kjennerud","given":"Ted"},{"family":"Banaschewski","given":"Tobias"},{"family":"Hawi","given":"Ziarih"},{"literal":"iPSYCH-Broad Consortium"},{"family":"Daly","given":"Mark J."},{"family":"Mors","given":"Ole"},{"family":"Nordentoft","given":"Merete"},{"family":"Mors","given":"Ole"},{"family":"Hougaard","given":"David M."},{"family":"Mortensen","given":"Preben Bo"},{"family":"Daly","given":"Mark J."},{"family":"Faraone","given":"Stephen V."},{"family":"Stefansson","given":"Hreinn"},{"family":"Roussos","given":"Panos"},{"family":"Franke","given":"Barbara"},{"family":"Werge","given":"Thomas"},{"family":"Neale","given":"Benjamin M."},{"family":"Stefansson","given":"Kari"},{"family":"Børglum","given":"Anders D."}],"issued":{"date-parts":[["2023",2]]}}}],"schema":"https://github.com/citation-style-language/schema/raw/master/csl-citation.json"} </w:instrText>
      </w:r>
      <w:r w:rsidR="005A164C" w:rsidRPr="00D041C0">
        <w:fldChar w:fldCharType="separate"/>
      </w:r>
      <w:r w:rsidR="00C96C54" w:rsidRPr="00C96C54">
        <w:rPr>
          <w:vertAlign w:val="superscript"/>
        </w:rPr>
        <w:t>27–31</w:t>
      </w:r>
      <w:r w:rsidR="005A164C" w:rsidRPr="00D041C0">
        <w:fldChar w:fldCharType="end"/>
      </w:r>
      <w:r w:rsidR="00A33E62" w:rsidRPr="00D041C0">
        <w:t xml:space="preserve"> The </w:t>
      </w:r>
      <w:r w:rsidR="00EA2560">
        <w:t>increasing risk of overweight/</w:t>
      </w:r>
      <w:r w:rsidR="00A33E62" w:rsidRPr="00D041C0">
        <w:t>obesity in these related diagnostic categories highlight that individuals with early neurodevelopmental vulnerabilities may be most susceptible to obesogenic societal changes.</w:t>
      </w:r>
    </w:p>
    <w:p w14:paraId="17495E75" w14:textId="4FF04DB6" w:rsidR="004D2400" w:rsidRDefault="00096EAC" w:rsidP="00F6279F">
      <w:pPr>
        <w:pStyle w:val="NoSpacing"/>
      </w:pPr>
      <w:r>
        <w:t>Increased</w:t>
      </w:r>
      <w:r w:rsidRPr="00D041C0">
        <w:t xml:space="preserve"> </w:t>
      </w:r>
      <w:r w:rsidR="004D2400" w:rsidRPr="00D041C0">
        <w:t xml:space="preserve">efforts are warranted to curb excessive weight gain in this high-risk subpopulation. Healthcare providers should prioritize regular BMI screening and counseling on healthy lifestyles. Evidence-based weight management strategies tailored to the needs of children with NDDs are urgently needed. </w:t>
      </w:r>
      <w:r w:rsidR="00EA2560" w:rsidRPr="00EA2560">
        <w:t>Notably, current guidelines for the management of individuals with NDDs do not provide specific guidance on the management of individuals with or at risk of overweight/obesity or related health conditions</w:t>
      </w:r>
      <w:r w:rsidR="00EA2560">
        <w:t>,</w:t>
      </w:r>
      <w:r w:rsidR="00EA2560" w:rsidRPr="00EA2560">
        <w:t xml:space="preserve"> for instance, the management of youth with ADHD and obesity/hypertension is a clinical challenge that requires additional guidance.</w:t>
      </w:r>
      <w:r w:rsidR="00C80C01">
        <w:fldChar w:fldCharType="begin"/>
      </w:r>
      <w:r w:rsidR="00C80C01">
        <w:instrText xml:space="preserve"> ADDIN ZOTERO_ITEM CSL_CITATION {"citationID":"aDFIvco2","properties":{"formattedCitation":"\\super 32,33\\nosupersub{}","plainCitation":"32,33","noteIndex":0},"citationItems":[{"id":5204,"uris":["http://zotero.org/users/9282839/items/M34J9W52"],"itemData":{"id":5204,"type":"article-journal","abstract":"Attention-deficit/hyperactivity disorder (ADHD) is one of the most common neurobehavioral disorders of childhood and can profoundly affect children’s academic achievement, well-being, and social interactions. The American Academy of Pediatrics first published clinical recommendations for evaluation and diagnosis of pediatric ADHD in 2000; recommendations for treatment followed in 2001. The guidelines were revised in 2011 and published with an accompanying process of care algorithm (PoCA) providing discrete and manageable steps by which clinicians could fulfill the clinical guideline’s recommendations. Since the release of the 2011 guideline, the Diagnostic and Statistical Manual of Mental Disorders has been revised to the fifth edition, and new ADHD-related research has been published. These publications do not support dramatic changes to the previous recommendations. Therefore, only incremental updates have been made in this guideline revision, including the addition of a key action statement related to diagnosis and treatment of comorbid conditions in children and adolescents with ADHD. The accompanying process of care algorithm has also been updated to assist in implementing the guideline recommendations. Throughout the process of revising the guideline and algorithm, numerous systemic barriers were identified that restrict and/or hamper pediatric clinicians’ ability to adopt their recommendations. Therefore, the subcommittee created a companion article (available in the Supplemental Information) on systemic barriers to the care of children and adolescents with ADHD, which identifies the major systemic-level barriers and presents recommendations to address those barriers; in this article, we support the recommendations of the clinical practice guideline and accompanying process of care algorithm.","container-title":"Pediatrics","DOI":"10.1542/peds.2019-2528","ISSN":"0031-4005, 1098-4275","issue":"4","language":"en","page":"e20192528","source":"DOI.org (Crossref)","title":"Clinical Practice Guideline for the Diagnosis, Evaluation, and Treatment of Attention-Deficit/Hyperactivity Disorder in Children and Adolescents","volume":"144","author":[{"family":"Wolraich","given":"Mark L."},{"family":"Hagan","given":"Joseph F."},{"family":"Allan","given":"Carla"},{"family":"Chan","given":"Eugenia"},{"family":"Davison","given":"Dale"},{"family":"Earls","given":"Marian"},{"family":"Evans","given":"Steven W."},{"family":"Flinn","given":"Susan K."},{"family":"Froehlich","given":"Tanya"},{"family":"Frost","given":"Jennifer"},{"family":"Holbrook","given":"Joseph R."},{"family":"Lehmann","given":"Christoph Ulrich"},{"family":"Lessin","given":"Herschel Robert"},{"family":"Okechukwu","given":"Kymika"},{"family":"Pierce","given":"Karen L."},{"family":"Winner","given":"Jonathan D."},{"family":"Zurhellen","given":"William"},{"literal":"SUBCOMMITTEE ON CHILDREN AND ADOLESCENTS WITH ATTENTION-DEFICIT/HYPERACTIVE DISORDER"}],"issued":{"date-parts":[["2019",10,1]]}}},{"id":5206,"uris":["http://zotero.org/users/9282839/items/SSIWKL6L"],"itemData":{"id":5206,"type":"article-journal","abstract":"Autism spectrum disorder (ASD) is a common neurodevelopmental disorder with reported prevalence in the United States of 1 in 59 children (approximately 1.7%). Core deficits are identified in 2 domains: social communication/interaction and restrictive, repetitive patterns of behavior. Children and youth with ASD have service needs in behavioral, educational, health, leisure, family support, and other areas. Standardized screening for ASD at 18 and 24 months of age with ongoing developmental surveillance continues to be recommended in primary care (although it may be performed in other settings), because ASD is common, can be diagnosed as young as 18 months of age, and has evidenced-based interventions that may improve function. More accurate and culturally sensitive screening approaches are needed. Primary care providers should be familiar with the diagnosticcriteria for ASD, appropriate etiologic evaluation, and co-occurring medical and behavioral conditions (such as disorders of sleep and feeding, gastrointestinal tract symptoms, obesity, seizures, attention-deficit/hyperactivity disorder, anxiety, and wandering) that affect the child’s function and quality of life. There is an increasing evidence base to support behavioral and other interventions to address specific skills and symptoms. Shared decision making calls for collaboration with families in evaluation and choice of interventions.  This single clinical report updates the 2007 American Academy of Pediatrics clinical reports on the evaluation and treatment of ASD in one publication with an online table of contents and section view available through the American Academy of Pediatrics Gateway to help the reader identify topic areas within the report.","container-title":"Pediatrics","DOI":"10.1542/peds.2019-3447","ISSN":"0031-4005, 1098-4275","issue":"1","language":"en","page":"e20193447","source":"DOI.org (Crossref)","title":"Identification, Evaluation, and Management of Children With Autism Spectrum Disorder","volume":"145","author":[{"family":"Hyman","given":"Susan L."},{"family":"Levy","given":"Susan E."},{"family":"Myers","given":"Scott M."},{"literal":"COUNCIL ON CHILDREN WITH DISABILITIES, SECTION ON DEVELOPMENTAL AND BEHAVIORAL PEDIATRICS"},{"family":"Kuo","given":"Dennis Z."},{"family":"Apkon","given":"Susan"},{"family":"Davidson","given":"Lynn F."},{"family":"Ellerbeck","given":"Kathryn A."},{"family":"Foster","given":"Jessica E.A."},{"family":"Noritz","given":"Garey H."},{"family":"Leppert","given":"Mary O’Connor"},{"family":"Saunders","given":"Barbara S."},{"family":"Stille","given":"Christopher"},{"family":"Yin","given":"Larry"},{"family":"Weitzman","given":"Carol C."},{"family":"Childers","given":"David Omer"},{"family":"Levine","given":"Jack M."},{"family":"Peralta-Carcelen","given":"Ada Myriam"},{"family":"Poon","given":"Jennifer K."},{"family":"Smith","given":"Peter J."},{"family":"Blum","given":"Nathan Jon"},{"family":"Takayama","given":"John Ichiro"},{"family":"Baum","given":"Rebecca"},{"family":"Voigt","given":"Robert G."},{"family":"Bridgemohan","given":"Carolyn"}],"issued":{"date-parts":[["2020",1,1]]}}}],"schema":"https://github.com/citation-style-language/schema/raw/master/csl-citation.json"} </w:instrText>
      </w:r>
      <w:r w:rsidR="00C80C01">
        <w:fldChar w:fldCharType="separate"/>
      </w:r>
      <w:r w:rsidR="00C80C01" w:rsidRPr="00C80C01">
        <w:rPr>
          <w:vertAlign w:val="superscript"/>
        </w:rPr>
        <w:t>32,33</w:t>
      </w:r>
      <w:r w:rsidR="00C80C01">
        <w:fldChar w:fldCharType="end"/>
      </w:r>
      <w:r w:rsidR="00EA2560" w:rsidRPr="00EA2560">
        <w:t xml:space="preserve"> </w:t>
      </w:r>
      <w:r w:rsidR="004D2400" w:rsidRPr="00D041C0">
        <w:t xml:space="preserve">Schools must also prioritize resources towards physical activity, nutrition, and obesity prevention in special education programs. Policy-level interventions including taxation of unhealthy foods and improved walkability/public spaces could also </w:t>
      </w:r>
      <w:r w:rsidR="00EA2560">
        <w:t>be beneficial</w:t>
      </w:r>
      <w:r w:rsidR="004D2400" w:rsidRPr="00D041C0">
        <w:t xml:space="preserve"> </w:t>
      </w:r>
      <w:r w:rsidR="00EA2560">
        <w:t xml:space="preserve">especially for </w:t>
      </w:r>
      <w:r w:rsidR="00E721E1">
        <w:t>individuals</w:t>
      </w:r>
      <w:r w:rsidR="004D2400" w:rsidRPr="00D041C0">
        <w:t xml:space="preserve"> with NDDs.</w:t>
      </w:r>
    </w:p>
    <w:p w14:paraId="211A86D4" w14:textId="1078EA7D" w:rsidR="00656E26" w:rsidRPr="00D041C0" w:rsidRDefault="00656E26" w:rsidP="00997031">
      <w:pPr>
        <w:pStyle w:val="Heading2"/>
      </w:pPr>
      <w:r>
        <w:lastRenderedPageBreak/>
        <w:t xml:space="preserve">Limitations </w:t>
      </w:r>
    </w:p>
    <w:p w14:paraId="03A2575D" w14:textId="158C0550" w:rsidR="00AE245C" w:rsidRDefault="00AE245C" w:rsidP="00F6279F">
      <w:pPr>
        <w:pStyle w:val="NoSpacing"/>
      </w:pPr>
      <w:r w:rsidRPr="00AE245C">
        <w:t xml:space="preserve">This study has </w:t>
      </w:r>
      <w:r>
        <w:t>some</w:t>
      </w:r>
      <w:r w:rsidRPr="00AE245C">
        <w:t xml:space="preserve"> limitations that should be considered when interpreting the results. First, BMI was calculated from parent-reported heights and weights, which</w:t>
      </w:r>
      <w:r w:rsidR="007F7251">
        <w:t xml:space="preserve"> </w:t>
      </w:r>
      <w:r w:rsidRPr="00AE245C">
        <w:t xml:space="preserve">could introduce reporting bias. </w:t>
      </w:r>
      <w:r w:rsidR="00E721E1">
        <w:t xml:space="preserve">However, </w:t>
      </w:r>
      <w:r w:rsidR="00E721E1" w:rsidRPr="00E721E1">
        <w:t>previous studies have found high agreement between parent-reported and measured BMI values</w:t>
      </w:r>
      <w:r w:rsidR="00E721E1">
        <w:fldChar w:fldCharType="begin"/>
      </w:r>
      <w:r w:rsidR="00E721E1">
        <w:instrText xml:space="preserve"> ADDIN ZOTERO_ITEM CSL_CITATION {"citationID":"IfLNMveR","properties":{"formattedCitation":"\\super 34\\nosupersub{}","plainCitation":"34","noteIndex":0},"citationItems":[{"id":5196,"uris":["http://zotero.org/users/9282839/items/LEES9GL3"],"itemData":{"id":5196,"type":"article-journal","abstract":"Background\n              Electronic health (eHealth) interventions for children often rely on parent-reported child anthropometric measures. However, limited studies have assessed parental accuracy in reporting child height and weight via Web-based approaches.\n            \n            \n              Objective\n              The objective of this study was to determine the accuracy of parent-reported child height and weight, as well as body mass index and weight category that we calculated from these data. We also aimed to explore whether parent report was influenced by age, sex, weight status, or exposure to participation in a 12-week brief Web-based family lifestyle intervention.\n            \n            \n              Methods\n              This study was a secondary analysis of data from a 12-week childhood obesity pilot randomized controlled trial in families with children aged 4 to 11 years in Australia. We asked parents to report demographic information, including child height and weight, using an online survey before their child’s height and weight were objectively measured by a trained research assistant at baseline and week 12. We analyzed data using the Lin concordance correlation coefficient (ρc, ranging from 0 [poor] to ±1 [perfect] concordance), Cohen kappa coefficient, and multivariable linear regression models.\n            \n            \n              Results\n              There were 42 families at baseline and 35 families (83%) at week 12. Overall, the accuracy of parent-reported child height was moderate (ρc=.94), accuracy of weight was substantial (ρc=.96), and accuracy of calculated body mass index was poor (ρc=.63). Parents underreported child height and weight, respectively, by 0.9 cm and 0.5 kg at baseline and by 0.2 cm and 1.6 kg after participating in a 12-week brief Web-based family lifestyle intervention. The overall interrater agreement of child body mass index category was moderate at baseline (κ=.59) and week 12 (κ=.54). The weight category calculated from 74% (n=31) and 70% (n=23) of parent-reported child height and weight was accurate at baseline and week 12, respectively. Parental age was significantly (95% CI –0.52 to –0.06; P=.01) associated with accuracy of reporting child height. Child age was significantly (95% CI –2.34 to –0.06; P=.04) associated with reporting of child weight.\n            \n            \n              Conclusions\n              Most Australian parents were reasonably accurate in reporting child height and weight among a group of children aged 4 to 11 years. The weight category of most of the children when calculated from parent-reported data was in agreement with the objectively measured data despite the body mass index calculated from parent-reported data having poor concordance at both time points. Online parent-reported child height and weight may be a valid method of collecting child anthropometric data ahead of participation in a Web-based program. Future studies with larger sample sizes and repeated measures over time in the context of eHealth research are warranted. Future studies should consider modeling the impact of calibration equations applied to parent-reported anthropometric data on study outcomes.","container-title":"Journal of Medical Internet Research","DOI":"10.2196/12532","ISSN":"1438-8871","issue":"9","journalAbbreviation":"J Med Internet Res","language":"en","page":"e12532","source":"DOI.org (Crossref)","title":"Accuracy of Parent-Reported Child Height and Weight and Calculated Body Mass Index Compared With Objectively Measured Anthropometrics: Secondary Analysis of a Randomized Controlled Trial","title-short":"Accuracy of Parent-Reported Child Height and Weight and Calculated Body Mass Index Compared With Objectively Measured Anthropometrics","volume":"21","author":[{"family":"Chai","given":"Li Kheng"},{"family":"Collins","given":"Clare E"},{"family":"May","given":"Chris"},{"family":"Holder","given":"Carl"},{"family":"Burrows","given":"Tracy L"}],"issued":{"date-parts":[["2019",9,16]]}}}],"schema":"https://github.com/citation-style-language/schema/raw/master/csl-citation.json"} </w:instrText>
      </w:r>
      <w:r w:rsidR="00E721E1">
        <w:fldChar w:fldCharType="separate"/>
      </w:r>
      <w:r w:rsidR="00E721E1" w:rsidRPr="00C80C01">
        <w:rPr>
          <w:vertAlign w:val="superscript"/>
        </w:rPr>
        <w:t>34</w:t>
      </w:r>
      <w:r w:rsidR="00E721E1">
        <w:fldChar w:fldCharType="end"/>
      </w:r>
      <w:r w:rsidR="00E721E1">
        <w:t xml:space="preserve">, </w:t>
      </w:r>
      <w:r w:rsidR="00E721E1" w:rsidRPr="00E721E1">
        <w:t xml:space="preserve">suggesting parent reports are generally accurate representations of true BMI. </w:t>
      </w:r>
      <w:r w:rsidRPr="00AE245C">
        <w:t xml:space="preserve">Future studies should incorporate measured BMI to confirm the trends. Second, our cohort had a limited age range during childhood. Analyses with wider age ranges are needed to characterize BMI </w:t>
      </w:r>
      <w:r w:rsidR="007F7251" w:rsidRPr="00BD4A3E">
        <w:t>changes over time among those with and without NDDs</w:t>
      </w:r>
      <w:r w:rsidRPr="00AE245C">
        <w:t xml:space="preserve"> across developmental stages. </w:t>
      </w:r>
      <w:bookmarkStart w:id="7" w:name="_Hlk169717751"/>
      <w:r w:rsidR="0077326D">
        <w:t xml:space="preserve">Third, </w:t>
      </w:r>
      <w:r w:rsidR="0077326D" w:rsidRPr="0077326D">
        <w:t xml:space="preserve">our study </w:t>
      </w:r>
      <w:r w:rsidR="0055624F">
        <w:t>used</w:t>
      </w:r>
      <w:r w:rsidR="0077326D" w:rsidRPr="0077326D">
        <w:t xml:space="preserve"> a sample of twins, which may limit the generalizability of our findings to the broader population of singletons.</w:t>
      </w:r>
      <w:r w:rsidR="001942C2">
        <w:t xml:space="preserve"> </w:t>
      </w:r>
      <w:bookmarkStart w:id="8" w:name="_Hlk169717044"/>
      <w:bookmarkEnd w:id="7"/>
      <w:r w:rsidR="001942C2">
        <w:t>Fourth, w</w:t>
      </w:r>
      <w:r w:rsidR="001942C2" w:rsidRPr="001942C2">
        <w:t xml:space="preserve">hile the sensitivities of the </w:t>
      </w:r>
      <w:r w:rsidR="001942C2">
        <w:t>sub</w:t>
      </w:r>
      <w:r w:rsidR="001942C2" w:rsidRPr="001942C2">
        <w:t xml:space="preserve">scales are relatively low, potentially resulting in some individuals with these conditions being misclassified as not having them, the high specificity of 0.99 for both scales </w:t>
      </w:r>
      <w:proofErr w:type="gramStart"/>
      <w:r w:rsidR="001942C2" w:rsidRPr="001942C2">
        <w:t>ensures</w:t>
      </w:r>
      <w:proofErr w:type="gramEnd"/>
      <w:r w:rsidR="001942C2" w:rsidRPr="001942C2">
        <w:t xml:space="preserve"> accurate identification of true positives. Consequently, any misclassification would likely attenuate the observed associations between </w:t>
      </w:r>
      <w:r w:rsidR="001942C2">
        <w:t>NDDs</w:t>
      </w:r>
      <w:r w:rsidR="001942C2" w:rsidRPr="001942C2">
        <w:t xml:space="preserve"> and BMI towards the null hypothesis, suggesting that our findings may underestimate the true strength of the association between these </w:t>
      </w:r>
      <w:r w:rsidR="001942C2">
        <w:t>NDDs</w:t>
      </w:r>
      <w:r w:rsidR="001942C2" w:rsidRPr="001942C2">
        <w:t xml:space="preserve"> and BMI. </w:t>
      </w:r>
      <w:bookmarkEnd w:id="8"/>
      <w:r w:rsidRPr="00AE245C">
        <w:t>Finally, this Swedish cohort may not fully reflect trends in other nations if rates of obesity risk factors like poor diet and physical inactivity differ across countries. Additional international studies are warranted to determine if similar patterns are observed globally for individuals with NDDs.</w:t>
      </w:r>
    </w:p>
    <w:p w14:paraId="06893084" w14:textId="66FF0545" w:rsidR="004D2400" w:rsidRDefault="00DD1E78" w:rsidP="00F6279F">
      <w:pPr>
        <w:pStyle w:val="NoSpacing"/>
      </w:pPr>
      <w:r>
        <w:t>Despite these limitations, our study results</w:t>
      </w:r>
      <w:r w:rsidR="00F92FE5" w:rsidRPr="00D041C0">
        <w:t xml:space="preserve"> represen</w:t>
      </w:r>
      <w:r>
        <w:t>t</w:t>
      </w:r>
      <w:r w:rsidR="00F92FE5" w:rsidRPr="00D041C0">
        <w:t xml:space="preserve"> a crucial step toward a more comprehensive understanding of the intersection between </w:t>
      </w:r>
      <w:r w:rsidR="000535E3" w:rsidRPr="00D041C0">
        <w:t>NDDs</w:t>
      </w:r>
      <w:r w:rsidR="00F92FE5" w:rsidRPr="00D041C0">
        <w:t xml:space="preserve"> and physical health</w:t>
      </w:r>
      <w:r w:rsidR="00BD1146">
        <w:t>.</w:t>
      </w:r>
      <w:r w:rsidR="00BD1146" w:rsidRPr="00BD1146">
        <w:t xml:space="preserve"> The findings highlight the need for multifaceted clinical and public health strategies to address disproportionate obesity risks in this vulnerable population. At the clinical level, providers should prioritize nutrition, activity counseling, and weight management for children with NDDs. Schools and communities must improve accessibility and inclusivity of wellness </w:t>
      </w:r>
      <w:r w:rsidR="00BD1146" w:rsidRPr="00BD1146">
        <w:lastRenderedPageBreak/>
        <w:t>initiatives. Policy-level interventions including taxation of unhealthy foods and subsidies for nutritious options could also benefit those with NDDs.</w:t>
      </w:r>
    </w:p>
    <w:p w14:paraId="3EBF717B" w14:textId="5F94156E" w:rsidR="00656E26" w:rsidRPr="00D041C0" w:rsidRDefault="00656E26" w:rsidP="00997031">
      <w:pPr>
        <w:pStyle w:val="Heading2"/>
      </w:pPr>
      <w:r>
        <w:t>Conclusions</w:t>
      </w:r>
    </w:p>
    <w:p w14:paraId="10D1410F" w14:textId="41B41852" w:rsidR="00426A10" w:rsidRPr="00D041C0" w:rsidRDefault="00BD1146" w:rsidP="00F6279F">
      <w:pPr>
        <w:pStyle w:val="NoSpacing"/>
      </w:pPr>
      <w:r w:rsidRPr="00BD1146">
        <w:t xml:space="preserve">In conclusion, this study found significantly steeper rises in BMI among children with NDDs versus </w:t>
      </w:r>
      <w:r>
        <w:t>those without NDDs</w:t>
      </w:r>
      <w:r w:rsidRPr="00BD1146">
        <w:t xml:space="preserve"> </w:t>
      </w:r>
      <w:r w:rsidR="009604A6" w:rsidRPr="00BD4A3E">
        <w:t>at the upper end of the BMI distribution</w:t>
      </w:r>
      <w:r w:rsidR="009604A6">
        <w:t xml:space="preserve"> </w:t>
      </w:r>
      <w:r w:rsidRPr="00BD1146">
        <w:t xml:space="preserve">over the past two decades, reflecting worsening weight-related disparities. Concerted efforts across medical, community and policy sectors are urgently needed to prevent and treat obesity in this high-risk group. Early intervention will be key to avoid a lifetime of obesity-related health complications for those with </w:t>
      </w:r>
      <w:r w:rsidR="00DD1E78">
        <w:t>NDDs</w:t>
      </w:r>
      <w:r w:rsidRPr="00BD1146">
        <w:t>.</w:t>
      </w:r>
      <w:r w:rsidR="00426A10" w:rsidRPr="00D041C0">
        <w:br w:type="page"/>
      </w:r>
    </w:p>
    <w:p w14:paraId="6D17EFEF" w14:textId="77777777" w:rsidR="004A1317" w:rsidRPr="00D041C0" w:rsidRDefault="004A1317" w:rsidP="004A1317">
      <w:pPr>
        <w:pStyle w:val="Heading1"/>
      </w:pPr>
      <w:r w:rsidRPr="00D041C0">
        <w:lastRenderedPageBreak/>
        <w:t>Acknowledgments</w:t>
      </w:r>
    </w:p>
    <w:p w14:paraId="4A5C9B8F" w14:textId="77777777" w:rsidR="004A1317" w:rsidRDefault="004A1317" w:rsidP="004A1317">
      <w:pPr>
        <w:pStyle w:val="References"/>
        <w:tabs>
          <w:tab w:val="clear" w:pos="384"/>
        </w:tabs>
        <w:spacing w:line="480" w:lineRule="auto"/>
        <w:ind w:left="0" w:firstLine="0"/>
      </w:pPr>
      <w:r w:rsidRPr="00D041C0">
        <w:t xml:space="preserve">We acknowledge The Swedish Twin Registry for access to data. The Swedish Twin Registry is managed by Karolinska </w:t>
      </w:r>
      <w:proofErr w:type="spellStart"/>
      <w:r w:rsidRPr="00D041C0">
        <w:t>Institutet</w:t>
      </w:r>
      <w:proofErr w:type="spellEnd"/>
      <w:r w:rsidRPr="00D041C0">
        <w:t xml:space="preserve"> and receives funding through the Swedish Research Council under the grant no 2017-00641.</w:t>
      </w:r>
    </w:p>
    <w:p w14:paraId="60EED30B" w14:textId="701686CD" w:rsidR="00606566" w:rsidRPr="00D041C0" w:rsidRDefault="00606566" w:rsidP="004A1317">
      <w:pPr>
        <w:pStyle w:val="References"/>
        <w:tabs>
          <w:tab w:val="clear" w:pos="384"/>
        </w:tabs>
        <w:spacing w:line="480" w:lineRule="auto"/>
        <w:ind w:left="0" w:firstLine="0"/>
      </w:pPr>
      <w:r>
        <w:t xml:space="preserve">Miguel Garcia-Argibay </w:t>
      </w:r>
      <w:r w:rsidRPr="00606566">
        <w:t>had full access to all the data in the study and takes responsibility for the integrity of the data and the accuracy of the data analysis</w:t>
      </w:r>
      <w:r>
        <w:t>.</w:t>
      </w:r>
    </w:p>
    <w:p w14:paraId="2448EB70" w14:textId="77777777" w:rsidR="00E7782B" w:rsidRPr="00D041C0" w:rsidRDefault="00E7782B" w:rsidP="00E7782B">
      <w:pPr>
        <w:pStyle w:val="Heading1"/>
      </w:pPr>
      <w:r w:rsidRPr="00D041C0">
        <w:t>Funding</w:t>
      </w:r>
    </w:p>
    <w:p w14:paraId="1C7CDE76" w14:textId="1FEC23BE" w:rsidR="00E7782B" w:rsidRPr="00D041C0" w:rsidRDefault="00E7782B" w:rsidP="00E7782B">
      <w:pPr>
        <w:ind w:firstLine="0"/>
        <w:rPr>
          <w:rFonts w:ascii="Times New Roman" w:hAnsi="Times New Roman" w:cs="Times New Roman"/>
        </w:rPr>
      </w:pPr>
      <w:r w:rsidRPr="00D041C0">
        <w:rPr>
          <w:rFonts w:ascii="Times New Roman" w:hAnsi="Times New Roman" w:cs="Times New Roman"/>
        </w:rPr>
        <w:t xml:space="preserve">The project has received funding from </w:t>
      </w:r>
      <w:bookmarkStart w:id="9" w:name="_Hlk105089257"/>
      <w:r w:rsidRPr="00D041C0">
        <w:rPr>
          <w:rFonts w:ascii="Times New Roman" w:hAnsi="Times New Roman" w:cs="Times New Roman"/>
        </w:rPr>
        <w:t>the European Union’s Horizon 2020 research and innovation programme</w:t>
      </w:r>
      <w:bookmarkEnd w:id="9"/>
      <w:r w:rsidRPr="00D041C0">
        <w:rPr>
          <w:rFonts w:ascii="Times New Roman" w:hAnsi="Times New Roman" w:cs="Times New Roman"/>
        </w:rPr>
        <w:t xml:space="preserve"> under grant agreement No 965381. This report reflects only the author’s view, and the European Union is not responsible for any use that may be made of the information it contains. </w:t>
      </w:r>
      <w:r w:rsidR="00DC1B85" w:rsidRPr="00DC1B85">
        <w:rPr>
          <w:rFonts w:ascii="Times New Roman" w:hAnsi="Times New Roman" w:cs="Times New Roman"/>
          <w:color w:val="000000" w:themeColor="text1"/>
        </w:rPr>
        <w:t>T</w:t>
      </w:r>
      <w:r w:rsidR="00DC1B85" w:rsidRPr="00D52509">
        <w:rPr>
          <w:rFonts w:ascii="Times New Roman" w:hAnsi="Times New Roman" w:cs="Times New Roman"/>
          <w:color w:val="000000" w:themeColor="text1"/>
        </w:rPr>
        <w:t xml:space="preserve">he Swedish Research Council (2018-02599; </w:t>
      </w:r>
      <w:r w:rsidR="00DC1B85" w:rsidRPr="00D52509">
        <w:rPr>
          <w:rStyle w:val="Strong"/>
          <w:rFonts w:ascii="Times New Roman" w:hAnsi="Times New Roman" w:cs="Times New Roman"/>
          <w:b w:val="0"/>
          <w:bCs w:val="0"/>
          <w:color w:val="000000"/>
        </w:rPr>
        <w:t>2022-01119</w:t>
      </w:r>
      <w:r w:rsidR="00DC1B85" w:rsidRPr="00D52509">
        <w:rPr>
          <w:rFonts w:ascii="Times New Roman" w:hAnsi="Times New Roman" w:cs="Times New Roman"/>
          <w:color w:val="000000" w:themeColor="text1"/>
        </w:rPr>
        <w:t>) and the Swedish Brain Foundation (FO2021-0115; FO2022-0327).</w:t>
      </w:r>
    </w:p>
    <w:p w14:paraId="7D6F263C" w14:textId="77777777" w:rsidR="00E7782B" w:rsidRPr="00D041C0" w:rsidRDefault="00E7782B" w:rsidP="00E7782B">
      <w:pPr>
        <w:pStyle w:val="Heading1"/>
      </w:pPr>
      <w:r w:rsidRPr="00D041C0">
        <w:t>Role of the Funding source</w:t>
      </w:r>
    </w:p>
    <w:p w14:paraId="2C1AD60B" w14:textId="77777777" w:rsidR="00E7782B" w:rsidRPr="00D041C0" w:rsidRDefault="00E7782B" w:rsidP="00E7782B">
      <w:pPr>
        <w:ind w:firstLine="0"/>
        <w:rPr>
          <w:rFonts w:ascii="Times New Roman" w:hAnsi="Times New Roman" w:cs="Times New Roman"/>
        </w:rPr>
      </w:pPr>
      <w:r w:rsidRPr="00D041C0">
        <w:rPr>
          <w:rFonts w:ascii="Times New Roman" w:hAnsi="Times New Roman" w:cs="Times New Roman"/>
        </w:rPr>
        <w:t>The funders had no role in the design and conduct of the study; collection, management, analysis, and interpretation of the data; preparation, review, or approval of the manuscript; and decision to submit the manuscript for publication.</w:t>
      </w:r>
    </w:p>
    <w:p w14:paraId="1C921C6B" w14:textId="77777777" w:rsidR="00E7782B" w:rsidRPr="00D041C0" w:rsidRDefault="00E7782B" w:rsidP="00E7782B">
      <w:pPr>
        <w:pStyle w:val="Heading1"/>
      </w:pPr>
      <w:r w:rsidRPr="00D041C0">
        <w:t>Competing interests</w:t>
      </w:r>
    </w:p>
    <w:p w14:paraId="2C590618" w14:textId="77777777" w:rsidR="00E7782B" w:rsidRPr="00D041C0" w:rsidRDefault="00E7782B" w:rsidP="00E7782B">
      <w:pPr>
        <w:ind w:firstLine="0"/>
        <w:rPr>
          <w:rFonts w:ascii="Times New Roman" w:hAnsi="Times New Roman" w:cs="Times New Roman"/>
        </w:rPr>
      </w:pPr>
      <w:r w:rsidRPr="00D041C0">
        <w:rPr>
          <w:rFonts w:ascii="Times New Roman" w:hAnsi="Times New Roman" w:cs="Times New Roman"/>
        </w:rPr>
        <w:t xml:space="preserve">Henrik Larsson reported receiving grants from Shire/Takeda Pharmaceuticals during the conduct of the study; personal fees from and serving as a speaker for Shire/Takeda Pharmaceuticals and </w:t>
      </w:r>
      <w:proofErr w:type="spellStart"/>
      <w:r w:rsidRPr="00D041C0">
        <w:rPr>
          <w:rFonts w:ascii="Times New Roman" w:hAnsi="Times New Roman" w:cs="Times New Roman"/>
        </w:rPr>
        <w:t>Evolan</w:t>
      </w:r>
      <w:proofErr w:type="spellEnd"/>
      <w:r w:rsidRPr="00D041C0">
        <w:rPr>
          <w:rFonts w:ascii="Times New Roman" w:hAnsi="Times New Roman" w:cs="Times New Roman"/>
        </w:rPr>
        <w:t xml:space="preserve"> Pharma AB outside the submitted work; and sponsorship for a </w:t>
      </w:r>
      <w:r w:rsidRPr="00D041C0">
        <w:rPr>
          <w:rFonts w:ascii="Times New Roman" w:hAnsi="Times New Roman" w:cs="Times New Roman"/>
        </w:rPr>
        <w:lastRenderedPageBreak/>
        <w:t>conference on attention-deficit/hyperactivity disorder from Shire Pharmaceuticals outside the submitted work. The remaining authors declare having no conflict of interest.</w:t>
      </w:r>
    </w:p>
    <w:p w14:paraId="6E4B9CA9" w14:textId="77777777" w:rsidR="00E7782B" w:rsidRPr="00D041C0" w:rsidRDefault="00E7782B" w:rsidP="00E7782B">
      <w:pPr>
        <w:pStyle w:val="Heading1"/>
      </w:pPr>
      <w:r w:rsidRPr="00D041C0">
        <w:t>Ethical approval</w:t>
      </w:r>
    </w:p>
    <w:p w14:paraId="5FFA9F54" w14:textId="2117B314" w:rsidR="00E7782B" w:rsidRPr="00D041C0" w:rsidRDefault="00E7782B" w:rsidP="0001788F">
      <w:pPr>
        <w:ind w:firstLine="0"/>
        <w:rPr>
          <w:rFonts w:ascii="Times New Roman" w:hAnsi="Times New Roman" w:cs="Times New Roman"/>
        </w:rPr>
      </w:pPr>
      <w:bookmarkStart w:id="10" w:name="_Hlk142308772"/>
      <w:r w:rsidRPr="00D041C0">
        <w:rPr>
          <w:rFonts w:ascii="Times New Roman" w:hAnsi="Times New Roman" w:cs="Times New Roman"/>
        </w:rPr>
        <w:t>Th</w:t>
      </w:r>
      <w:r w:rsidR="0001788F" w:rsidRPr="00D041C0">
        <w:rPr>
          <w:rFonts w:ascii="Times New Roman" w:hAnsi="Times New Roman" w:cs="Times New Roman"/>
        </w:rPr>
        <w:t>is study was approved by the Karolinska Institute Ethical Review Board (2018/960-31-2).</w:t>
      </w:r>
    </w:p>
    <w:bookmarkEnd w:id="10"/>
    <w:p w14:paraId="352F500D" w14:textId="77777777" w:rsidR="00927E84" w:rsidRPr="002648E2" w:rsidRDefault="00927E84" w:rsidP="00927E84">
      <w:pPr>
        <w:pStyle w:val="Heading1"/>
        <w:rPr>
          <w:lang w:val="en-GB"/>
        </w:rPr>
      </w:pPr>
      <w:r w:rsidRPr="002648E2">
        <w:rPr>
          <w:lang w:val="en-GB"/>
        </w:rPr>
        <w:t>Transparency declaration</w:t>
      </w:r>
    </w:p>
    <w:p w14:paraId="731EE45A" w14:textId="77777777" w:rsidR="00927E84" w:rsidRPr="002648E2" w:rsidRDefault="00927E84" w:rsidP="00927E84">
      <w:pPr>
        <w:ind w:firstLine="0"/>
        <w:rPr>
          <w:rFonts w:ascii="Times New Roman" w:hAnsi="Times New Roman" w:cs="Times New Roman"/>
          <w:lang w:val="en-GB"/>
        </w:rPr>
      </w:pPr>
      <w:r w:rsidRPr="002648E2">
        <w:rPr>
          <w:rFonts w:ascii="Times New Roman" w:hAnsi="Times New Roman" w:cs="Times New Roman"/>
          <w:lang w:val="en-GB"/>
        </w:rPr>
        <w:t>The lead author affirms that this manuscript is an honest, accurate, and transparent account of the study being reported; that no important aspects of the study have been omitted; and that any discrepancies from the study as planned (and, if relevant, registered) have been explained.</w:t>
      </w:r>
    </w:p>
    <w:p w14:paraId="550189DC" w14:textId="381DDAE4" w:rsidR="00E7782B" w:rsidRPr="00D041C0" w:rsidRDefault="00E7782B" w:rsidP="005F40EA">
      <w:pPr>
        <w:pStyle w:val="Heading1"/>
      </w:pPr>
      <w:r w:rsidRPr="00D041C0">
        <w:t>Author contributions</w:t>
      </w:r>
    </w:p>
    <w:p w14:paraId="34B50977" w14:textId="5566EA91" w:rsidR="00E7782B" w:rsidRPr="009604A6" w:rsidRDefault="00E7782B" w:rsidP="00E7782B">
      <w:pPr>
        <w:spacing w:line="240" w:lineRule="auto"/>
        <w:ind w:firstLine="0"/>
        <w:rPr>
          <w:rFonts w:ascii="Times New Roman" w:hAnsi="Times New Roman" w:cs="Times New Roman"/>
        </w:rPr>
      </w:pPr>
      <w:r w:rsidRPr="009604A6">
        <w:rPr>
          <w:rFonts w:ascii="Times New Roman" w:hAnsi="Times New Roman" w:cs="Times New Roman"/>
        </w:rPr>
        <w:t>Conceptualization: Miguel Garcia-Argibay</w:t>
      </w:r>
      <w:r w:rsidR="009E03A9" w:rsidRPr="009604A6">
        <w:rPr>
          <w:rFonts w:ascii="Times New Roman" w:hAnsi="Times New Roman" w:cs="Times New Roman"/>
        </w:rPr>
        <w:t>, Henrik Larsson</w:t>
      </w:r>
      <w:r w:rsidRPr="009604A6">
        <w:rPr>
          <w:rFonts w:ascii="Times New Roman" w:hAnsi="Times New Roman" w:cs="Times New Roman"/>
        </w:rPr>
        <w:t>.</w:t>
      </w:r>
    </w:p>
    <w:p w14:paraId="2038EB61" w14:textId="74296DC2" w:rsidR="00E7782B" w:rsidRPr="009604A6" w:rsidRDefault="00E7782B" w:rsidP="00E7782B">
      <w:pPr>
        <w:spacing w:line="240" w:lineRule="auto"/>
        <w:ind w:firstLine="0"/>
        <w:rPr>
          <w:rFonts w:ascii="Times New Roman" w:hAnsi="Times New Roman" w:cs="Times New Roman"/>
        </w:rPr>
      </w:pPr>
      <w:r w:rsidRPr="009604A6">
        <w:rPr>
          <w:rFonts w:ascii="Times New Roman" w:hAnsi="Times New Roman" w:cs="Times New Roman"/>
        </w:rPr>
        <w:t>Formal analysis: Miguel Garcia-Argibay.</w:t>
      </w:r>
    </w:p>
    <w:p w14:paraId="42AAB736" w14:textId="41939914" w:rsidR="00E7782B" w:rsidRPr="009604A6" w:rsidRDefault="00E7782B" w:rsidP="00E7782B">
      <w:pPr>
        <w:spacing w:line="240" w:lineRule="auto"/>
        <w:ind w:firstLine="0"/>
        <w:rPr>
          <w:rFonts w:ascii="Times New Roman" w:hAnsi="Times New Roman" w:cs="Times New Roman"/>
        </w:rPr>
      </w:pPr>
      <w:r w:rsidRPr="009604A6">
        <w:rPr>
          <w:rFonts w:ascii="Times New Roman" w:hAnsi="Times New Roman" w:cs="Times New Roman"/>
        </w:rPr>
        <w:t>Funding acquisition: Henrik Larsson.</w:t>
      </w:r>
    </w:p>
    <w:p w14:paraId="2A437DB1" w14:textId="54109482" w:rsidR="00E7782B" w:rsidRPr="009604A6" w:rsidRDefault="00E7782B" w:rsidP="00E7782B">
      <w:pPr>
        <w:spacing w:line="240" w:lineRule="auto"/>
        <w:ind w:firstLine="0"/>
        <w:rPr>
          <w:rFonts w:ascii="Times New Roman" w:hAnsi="Times New Roman" w:cs="Times New Roman"/>
        </w:rPr>
      </w:pPr>
      <w:r w:rsidRPr="009604A6">
        <w:rPr>
          <w:rFonts w:ascii="Times New Roman" w:hAnsi="Times New Roman" w:cs="Times New Roman"/>
        </w:rPr>
        <w:t xml:space="preserve">Investigation: </w:t>
      </w:r>
      <w:r w:rsidR="00414CDE" w:rsidRPr="009604A6">
        <w:rPr>
          <w:rFonts w:ascii="Times New Roman" w:hAnsi="Times New Roman" w:cs="Times New Roman"/>
        </w:rPr>
        <w:t>Miguel Garcia-Argibay</w:t>
      </w:r>
      <w:r w:rsidRPr="009604A6">
        <w:rPr>
          <w:rFonts w:ascii="Times New Roman" w:hAnsi="Times New Roman" w:cs="Times New Roman"/>
        </w:rPr>
        <w:t>.</w:t>
      </w:r>
    </w:p>
    <w:p w14:paraId="7A39B86D" w14:textId="293C2534" w:rsidR="00E7782B" w:rsidRPr="009604A6" w:rsidRDefault="00E7782B" w:rsidP="00E7782B">
      <w:pPr>
        <w:spacing w:line="240" w:lineRule="auto"/>
        <w:ind w:firstLine="0"/>
        <w:rPr>
          <w:rFonts w:ascii="Times New Roman" w:hAnsi="Times New Roman" w:cs="Times New Roman"/>
        </w:rPr>
      </w:pPr>
      <w:r w:rsidRPr="009604A6">
        <w:rPr>
          <w:rFonts w:ascii="Times New Roman" w:hAnsi="Times New Roman" w:cs="Times New Roman"/>
        </w:rPr>
        <w:t xml:space="preserve">Methodology: </w:t>
      </w:r>
      <w:r w:rsidR="00414CDE" w:rsidRPr="009604A6">
        <w:rPr>
          <w:rFonts w:ascii="Times New Roman" w:hAnsi="Times New Roman" w:cs="Times New Roman"/>
        </w:rPr>
        <w:t>Miguel Garcia-Argibay</w:t>
      </w:r>
    </w:p>
    <w:p w14:paraId="13653898" w14:textId="5AF67A99" w:rsidR="00E7782B" w:rsidRPr="009604A6" w:rsidRDefault="00E7782B" w:rsidP="00E7782B">
      <w:pPr>
        <w:spacing w:line="240" w:lineRule="auto"/>
        <w:ind w:firstLine="0"/>
        <w:rPr>
          <w:rFonts w:ascii="Times New Roman" w:hAnsi="Times New Roman" w:cs="Times New Roman"/>
        </w:rPr>
      </w:pPr>
      <w:r w:rsidRPr="009604A6">
        <w:rPr>
          <w:rFonts w:ascii="Times New Roman" w:hAnsi="Times New Roman" w:cs="Times New Roman"/>
        </w:rPr>
        <w:t xml:space="preserve">Project administration: </w:t>
      </w:r>
      <w:r w:rsidR="00414CDE" w:rsidRPr="009604A6">
        <w:rPr>
          <w:rFonts w:ascii="Times New Roman" w:hAnsi="Times New Roman" w:cs="Times New Roman"/>
        </w:rPr>
        <w:t>Miguel Garcia-Argibay</w:t>
      </w:r>
      <w:r w:rsidR="009E03A9" w:rsidRPr="009604A6">
        <w:rPr>
          <w:rFonts w:ascii="Times New Roman" w:hAnsi="Times New Roman" w:cs="Times New Roman"/>
        </w:rPr>
        <w:t>, Henrik Larsson</w:t>
      </w:r>
      <w:r w:rsidRPr="009604A6">
        <w:rPr>
          <w:rFonts w:ascii="Times New Roman" w:hAnsi="Times New Roman" w:cs="Times New Roman"/>
        </w:rPr>
        <w:t>.</w:t>
      </w:r>
    </w:p>
    <w:p w14:paraId="2D38D099" w14:textId="77777777" w:rsidR="00E7782B" w:rsidRPr="009604A6" w:rsidRDefault="00E7782B" w:rsidP="00E7782B">
      <w:pPr>
        <w:spacing w:line="240" w:lineRule="auto"/>
        <w:ind w:firstLine="0"/>
        <w:rPr>
          <w:rFonts w:ascii="Times New Roman" w:hAnsi="Times New Roman" w:cs="Times New Roman"/>
        </w:rPr>
      </w:pPr>
      <w:r w:rsidRPr="009604A6">
        <w:rPr>
          <w:rFonts w:ascii="Times New Roman" w:hAnsi="Times New Roman" w:cs="Times New Roman"/>
        </w:rPr>
        <w:t>Resources: Henrik Larsson.</w:t>
      </w:r>
    </w:p>
    <w:p w14:paraId="77A74BF4" w14:textId="234826FA" w:rsidR="00E7782B" w:rsidRPr="009604A6" w:rsidRDefault="00E7782B" w:rsidP="00E7782B">
      <w:pPr>
        <w:spacing w:line="240" w:lineRule="auto"/>
        <w:ind w:firstLine="0"/>
        <w:rPr>
          <w:rFonts w:ascii="Times New Roman" w:hAnsi="Times New Roman" w:cs="Times New Roman"/>
        </w:rPr>
      </w:pPr>
      <w:r w:rsidRPr="009604A6">
        <w:rPr>
          <w:rFonts w:ascii="Times New Roman" w:hAnsi="Times New Roman" w:cs="Times New Roman"/>
        </w:rPr>
        <w:t>Supervision: Henrik Larsson</w:t>
      </w:r>
      <w:r w:rsidR="00414CDE" w:rsidRPr="009604A6">
        <w:rPr>
          <w:rFonts w:ascii="Times New Roman" w:hAnsi="Times New Roman" w:cs="Times New Roman"/>
        </w:rPr>
        <w:t>.</w:t>
      </w:r>
    </w:p>
    <w:p w14:paraId="6819CFB1" w14:textId="12E893D4" w:rsidR="00E7782B" w:rsidRPr="009604A6" w:rsidRDefault="00E7782B" w:rsidP="00E7782B">
      <w:pPr>
        <w:spacing w:line="240" w:lineRule="auto"/>
        <w:ind w:firstLine="0"/>
        <w:rPr>
          <w:rFonts w:ascii="Times New Roman" w:hAnsi="Times New Roman" w:cs="Times New Roman"/>
        </w:rPr>
      </w:pPr>
      <w:r w:rsidRPr="009604A6">
        <w:rPr>
          <w:rFonts w:ascii="Times New Roman" w:hAnsi="Times New Roman" w:cs="Times New Roman"/>
        </w:rPr>
        <w:t xml:space="preserve">Visualization: </w:t>
      </w:r>
      <w:r w:rsidR="00414CDE" w:rsidRPr="009604A6">
        <w:rPr>
          <w:rFonts w:ascii="Times New Roman" w:hAnsi="Times New Roman" w:cs="Times New Roman"/>
        </w:rPr>
        <w:t>Miguel Garcia-Argibay.</w:t>
      </w:r>
    </w:p>
    <w:p w14:paraId="4141A379" w14:textId="4B914CFD" w:rsidR="00E7782B" w:rsidRPr="009604A6" w:rsidRDefault="00E7782B" w:rsidP="00E7782B">
      <w:pPr>
        <w:spacing w:line="240" w:lineRule="auto"/>
        <w:ind w:firstLine="0"/>
        <w:rPr>
          <w:rFonts w:ascii="Times New Roman" w:hAnsi="Times New Roman" w:cs="Times New Roman"/>
        </w:rPr>
      </w:pPr>
      <w:r w:rsidRPr="009604A6">
        <w:rPr>
          <w:rFonts w:ascii="Times New Roman" w:hAnsi="Times New Roman" w:cs="Times New Roman"/>
        </w:rPr>
        <w:t xml:space="preserve">Writing – original draft: </w:t>
      </w:r>
      <w:r w:rsidR="00414CDE" w:rsidRPr="009604A6">
        <w:rPr>
          <w:rFonts w:ascii="Times New Roman" w:hAnsi="Times New Roman" w:cs="Times New Roman"/>
        </w:rPr>
        <w:t>Miguel Garcia-Argibay.</w:t>
      </w:r>
    </w:p>
    <w:p w14:paraId="4975F402" w14:textId="211A0069" w:rsidR="00E7782B" w:rsidRDefault="00E7782B" w:rsidP="00414CDE">
      <w:pPr>
        <w:spacing w:line="240" w:lineRule="auto"/>
        <w:ind w:firstLine="0"/>
        <w:rPr>
          <w:rFonts w:ascii="Times New Roman" w:hAnsi="Times New Roman" w:cs="Times New Roman"/>
        </w:rPr>
      </w:pPr>
      <w:r w:rsidRPr="009604A6">
        <w:rPr>
          <w:rFonts w:ascii="Times New Roman" w:hAnsi="Times New Roman" w:cs="Times New Roman"/>
        </w:rPr>
        <w:t xml:space="preserve">Writing – review &amp; editing: </w:t>
      </w:r>
      <w:r w:rsidR="00414CDE" w:rsidRPr="009604A6">
        <w:rPr>
          <w:rFonts w:ascii="Times New Roman" w:hAnsi="Times New Roman" w:cs="Times New Roman"/>
        </w:rPr>
        <w:t>All authors</w:t>
      </w:r>
    </w:p>
    <w:p w14:paraId="62C5C790" w14:textId="77777777" w:rsidR="00927E84" w:rsidRPr="002648E2" w:rsidRDefault="00927E84" w:rsidP="00927E84">
      <w:pPr>
        <w:pStyle w:val="Heading1"/>
      </w:pPr>
      <w:r w:rsidRPr="002648E2">
        <w:rPr>
          <w:rStyle w:val="Heading1Char"/>
          <w:b/>
        </w:rPr>
        <w:t>Data sharing</w:t>
      </w:r>
    </w:p>
    <w:p w14:paraId="5885D254" w14:textId="77777777" w:rsidR="00927E84" w:rsidRPr="002648E2" w:rsidRDefault="00927E84" w:rsidP="00927E84">
      <w:pPr>
        <w:ind w:firstLine="0"/>
        <w:rPr>
          <w:rFonts w:ascii="Times New Roman" w:hAnsi="Times New Roman" w:cs="Times New Roman"/>
        </w:rPr>
      </w:pPr>
      <w:r w:rsidRPr="002648E2">
        <w:rPr>
          <w:rFonts w:ascii="Times New Roman" w:hAnsi="Times New Roman" w:cs="Times New Roman"/>
        </w:rPr>
        <w:t xml:space="preserve">The Public Access to Information and Secrecy Act in Sweden prohibits us from making individual level data publicly available. Researchers who are interested in replicating our </w:t>
      </w:r>
      <w:r w:rsidRPr="002648E2">
        <w:rPr>
          <w:rFonts w:ascii="Times New Roman" w:hAnsi="Times New Roman" w:cs="Times New Roman"/>
        </w:rPr>
        <w:lastRenderedPageBreak/>
        <w:t>work can apply for individual level data at Statistics Sweden: www.scb.se/en/services/guidance-for-researchers-and-universities/.</w:t>
      </w:r>
    </w:p>
    <w:p w14:paraId="26E6B38D" w14:textId="67BE99AC" w:rsidR="000B12CD" w:rsidRPr="00D041C0" w:rsidRDefault="009502F7" w:rsidP="000B12CD">
      <w:pPr>
        <w:pStyle w:val="Heading1"/>
        <w:rPr>
          <w:rFonts w:ascii="Arial" w:eastAsiaTheme="minorHAnsi" w:hAnsi="Arial" w:cs="Arial"/>
          <w:b w:val="0"/>
        </w:rPr>
      </w:pPr>
      <w:r w:rsidRPr="00D041C0">
        <w:t>References</w:t>
      </w:r>
    </w:p>
    <w:p w14:paraId="1562EE66" w14:textId="77777777" w:rsidR="00C80C01" w:rsidRPr="00C80C01" w:rsidRDefault="000B12CD" w:rsidP="00C80C01">
      <w:pPr>
        <w:pStyle w:val="Bibliography"/>
        <w:rPr>
          <w:rFonts w:ascii="Times New Roman" w:hAnsi="Times New Roman" w:cs="Times New Roman"/>
        </w:rPr>
      </w:pPr>
      <w:r w:rsidRPr="00D041C0">
        <w:fldChar w:fldCharType="begin"/>
      </w:r>
      <w:r w:rsidR="0020437F" w:rsidRPr="00D041C0">
        <w:instrText xml:space="preserve"> ADDIN ZOTERO_BIBL {"uncited":[],"omitted":[],"custom":[]} CSL_BIBLIOGRAPHY </w:instrText>
      </w:r>
      <w:r w:rsidRPr="00D041C0">
        <w:fldChar w:fldCharType="separate"/>
      </w:r>
      <w:r w:rsidR="00C80C01" w:rsidRPr="00C80C01">
        <w:rPr>
          <w:rFonts w:ascii="Times New Roman" w:hAnsi="Times New Roman" w:cs="Times New Roman"/>
        </w:rPr>
        <w:t>1.</w:t>
      </w:r>
      <w:r w:rsidR="00C80C01" w:rsidRPr="00C80C01">
        <w:rPr>
          <w:rFonts w:ascii="Times New Roman" w:hAnsi="Times New Roman" w:cs="Times New Roman"/>
        </w:rPr>
        <w:tab/>
        <w:t xml:space="preserve">Wichstrøm L, Berg-Nielsen TS, Angold A, Egger HL, Solheim E, Sveen TH. Prevalence of psychiatric disorders in preschoolers: Psychiatric disorders in preschoolers. </w:t>
      </w:r>
      <w:r w:rsidR="00C80C01" w:rsidRPr="00C80C01">
        <w:rPr>
          <w:rFonts w:ascii="Times New Roman" w:hAnsi="Times New Roman" w:cs="Times New Roman"/>
          <w:i/>
          <w:iCs/>
        </w:rPr>
        <w:t>J Child Psychol Psychiatry</w:t>
      </w:r>
      <w:r w:rsidR="00C80C01" w:rsidRPr="00C80C01">
        <w:rPr>
          <w:rFonts w:ascii="Times New Roman" w:hAnsi="Times New Roman" w:cs="Times New Roman"/>
        </w:rPr>
        <w:t>. 2012;53(6):695-705. doi:10.1111/j.1469-7610.2011.02514.x</w:t>
      </w:r>
    </w:p>
    <w:p w14:paraId="0F6072D5"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2.</w:t>
      </w:r>
      <w:r w:rsidRPr="00C80C01">
        <w:rPr>
          <w:rFonts w:ascii="Times New Roman" w:hAnsi="Times New Roman" w:cs="Times New Roman"/>
        </w:rPr>
        <w:tab/>
        <w:t xml:space="preserve">Faraone SV, Banaschewski T, Coghill D, et al. The World Federation of ADHD International Consensus Statement: 208 Evidence-based conclusions about the disorder. </w:t>
      </w:r>
      <w:r w:rsidRPr="00C80C01">
        <w:rPr>
          <w:rFonts w:ascii="Times New Roman" w:hAnsi="Times New Roman" w:cs="Times New Roman"/>
          <w:i/>
          <w:iCs/>
        </w:rPr>
        <w:t>Neurosci Biobehav Rev</w:t>
      </w:r>
      <w:r w:rsidRPr="00C80C01">
        <w:rPr>
          <w:rFonts w:ascii="Times New Roman" w:hAnsi="Times New Roman" w:cs="Times New Roman"/>
        </w:rPr>
        <w:t>. 2021;128:789-818. doi:10.1016/j.neubiorev.2021.01.022</w:t>
      </w:r>
    </w:p>
    <w:p w14:paraId="02221C91"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3.</w:t>
      </w:r>
      <w:r w:rsidRPr="00C80C01">
        <w:rPr>
          <w:rFonts w:ascii="Times New Roman" w:hAnsi="Times New Roman" w:cs="Times New Roman"/>
        </w:rPr>
        <w:tab/>
        <w:t xml:space="preserve">Arrondo G, Solmi M, Dragioti E, et al. Associations between mental and physical conditions in children and adolescents: An umbrella review. </w:t>
      </w:r>
      <w:r w:rsidRPr="00C80C01">
        <w:rPr>
          <w:rFonts w:ascii="Times New Roman" w:hAnsi="Times New Roman" w:cs="Times New Roman"/>
          <w:i/>
          <w:iCs/>
        </w:rPr>
        <w:t>Neurosci Biobehav Rev</w:t>
      </w:r>
      <w:r w:rsidRPr="00C80C01">
        <w:rPr>
          <w:rFonts w:ascii="Times New Roman" w:hAnsi="Times New Roman" w:cs="Times New Roman"/>
        </w:rPr>
        <w:t>. 2022;137:104662. doi:10.1016/j.neubiorev.2022.104662</w:t>
      </w:r>
    </w:p>
    <w:p w14:paraId="71AE8937"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4.</w:t>
      </w:r>
      <w:r w:rsidRPr="00C80C01">
        <w:rPr>
          <w:rFonts w:ascii="Times New Roman" w:hAnsi="Times New Roman" w:cs="Times New Roman"/>
        </w:rPr>
        <w:tab/>
        <w:t xml:space="preserve">Garcia-Argibay M, Du Rietz E, Hartman CA, et al. Cardiovascular risk factors in attention-deficit/hyperactivity disorder: A family design study of Swedish conscripts. </w:t>
      </w:r>
      <w:r w:rsidRPr="00C80C01">
        <w:rPr>
          <w:rFonts w:ascii="Times New Roman" w:hAnsi="Times New Roman" w:cs="Times New Roman"/>
          <w:i/>
          <w:iCs/>
        </w:rPr>
        <w:t>Int J Methods Psychiatr Res</w:t>
      </w:r>
      <w:r w:rsidRPr="00C80C01">
        <w:rPr>
          <w:rFonts w:ascii="Times New Roman" w:hAnsi="Times New Roman" w:cs="Times New Roman"/>
        </w:rPr>
        <w:t>. 2022;31(4):e1930. doi:10.1002/mpr.1930</w:t>
      </w:r>
    </w:p>
    <w:p w14:paraId="4FD2F912"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5.</w:t>
      </w:r>
      <w:r w:rsidRPr="00C80C01">
        <w:rPr>
          <w:rFonts w:ascii="Times New Roman" w:hAnsi="Times New Roman" w:cs="Times New Roman"/>
        </w:rPr>
        <w:tab/>
        <w:t xml:space="preserve">Kahathuduwa CN, West BD, Blume J, Dharavath N, Moustaid‐Moussa N, Mastergeorge A. The risk of overweight and obesity in children with autism spectrum disorders: A systematic review and meta‐analysis. </w:t>
      </w:r>
      <w:r w:rsidRPr="00C80C01">
        <w:rPr>
          <w:rFonts w:ascii="Times New Roman" w:hAnsi="Times New Roman" w:cs="Times New Roman"/>
          <w:i/>
          <w:iCs/>
        </w:rPr>
        <w:t>Obes Rev</w:t>
      </w:r>
      <w:r w:rsidRPr="00C80C01">
        <w:rPr>
          <w:rFonts w:ascii="Times New Roman" w:hAnsi="Times New Roman" w:cs="Times New Roman"/>
        </w:rPr>
        <w:t>. 2019;20(12):1667-1679. doi:10.1111/obr.12933</w:t>
      </w:r>
    </w:p>
    <w:p w14:paraId="6BA9FC48"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6.</w:t>
      </w:r>
      <w:r w:rsidRPr="00C80C01">
        <w:rPr>
          <w:rFonts w:ascii="Times New Roman" w:hAnsi="Times New Roman" w:cs="Times New Roman"/>
        </w:rPr>
        <w:tab/>
        <w:t xml:space="preserve">Garcia-Argibay M, du Rietz E, Lu Y, et al. The role of ADHD genetic risk in mid-to-late life somatic health conditions. </w:t>
      </w:r>
      <w:r w:rsidRPr="00C80C01">
        <w:rPr>
          <w:rFonts w:ascii="Times New Roman" w:hAnsi="Times New Roman" w:cs="Times New Roman"/>
          <w:i/>
          <w:iCs/>
        </w:rPr>
        <w:t>Transl Psychiatry</w:t>
      </w:r>
      <w:r w:rsidRPr="00C80C01">
        <w:rPr>
          <w:rFonts w:ascii="Times New Roman" w:hAnsi="Times New Roman" w:cs="Times New Roman"/>
        </w:rPr>
        <w:t>. 2022;12(1):152. doi:10.1038/s41398-022-01919-9</w:t>
      </w:r>
    </w:p>
    <w:p w14:paraId="734040B4"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7.</w:t>
      </w:r>
      <w:r w:rsidRPr="00C80C01">
        <w:rPr>
          <w:rFonts w:ascii="Times New Roman" w:hAnsi="Times New Roman" w:cs="Times New Roman"/>
        </w:rPr>
        <w:tab/>
        <w:t xml:space="preserve">Hanć T, Cortese S. Attention deficit/hyperactivity-disorder and obesity: A review and model of current hypotheses explaining their comorbidity. </w:t>
      </w:r>
      <w:r w:rsidRPr="00C80C01">
        <w:rPr>
          <w:rFonts w:ascii="Times New Roman" w:hAnsi="Times New Roman" w:cs="Times New Roman"/>
          <w:i/>
          <w:iCs/>
        </w:rPr>
        <w:t>Neurosci Biobehav Rev</w:t>
      </w:r>
      <w:r w:rsidRPr="00C80C01">
        <w:rPr>
          <w:rFonts w:ascii="Times New Roman" w:hAnsi="Times New Roman" w:cs="Times New Roman"/>
        </w:rPr>
        <w:t>. 2018;92:16-28. doi:10.1016/j.neubiorev.2018.05.017</w:t>
      </w:r>
    </w:p>
    <w:p w14:paraId="02FF1E9F"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8.</w:t>
      </w:r>
      <w:r w:rsidRPr="00C80C01">
        <w:rPr>
          <w:rFonts w:ascii="Times New Roman" w:hAnsi="Times New Roman" w:cs="Times New Roman"/>
        </w:rPr>
        <w:tab/>
        <w:t xml:space="preserve">Birnbaum R, Mahjani B, Loos RJF, Sharp AJ. Clinical Characterization of Copy Number Variants Associated With Neurodevelopmental Disorders in a Large-scale Multiancestry Biobank. </w:t>
      </w:r>
      <w:r w:rsidRPr="00C80C01">
        <w:rPr>
          <w:rFonts w:ascii="Times New Roman" w:hAnsi="Times New Roman" w:cs="Times New Roman"/>
          <w:i/>
          <w:iCs/>
        </w:rPr>
        <w:t>JAMA Psychiatry</w:t>
      </w:r>
      <w:r w:rsidRPr="00C80C01">
        <w:rPr>
          <w:rFonts w:ascii="Times New Roman" w:hAnsi="Times New Roman" w:cs="Times New Roman"/>
        </w:rPr>
        <w:t>. 2022;79(3):250. doi:10.1001/jamapsychiatry.2021.4080</w:t>
      </w:r>
    </w:p>
    <w:p w14:paraId="10467C87"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9.</w:t>
      </w:r>
      <w:r w:rsidRPr="00C80C01">
        <w:rPr>
          <w:rFonts w:ascii="Times New Roman" w:hAnsi="Times New Roman" w:cs="Times New Roman"/>
        </w:rPr>
        <w:tab/>
        <w:t xml:space="preserve">Haththotuwa RN, Wijeyaratne CN, Senarath U. Worldwide epidemic of obesity. In: </w:t>
      </w:r>
      <w:r w:rsidRPr="00C80C01">
        <w:rPr>
          <w:rFonts w:ascii="Times New Roman" w:hAnsi="Times New Roman" w:cs="Times New Roman"/>
          <w:i/>
          <w:iCs/>
        </w:rPr>
        <w:t>Obesity and Obstetrics</w:t>
      </w:r>
      <w:r w:rsidRPr="00C80C01">
        <w:rPr>
          <w:rFonts w:ascii="Times New Roman" w:hAnsi="Times New Roman" w:cs="Times New Roman"/>
        </w:rPr>
        <w:t>. Elsevier; 2020:3-8. doi:10.1016/B978-0-12-817921-5.00001-1</w:t>
      </w:r>
    </w:p>
    <w:p w14:paraId="7B23F473"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10.</w:t>
      </w:r>
      <w:r w:rsidRPr="00C80C01">
        <w:rPr>
          <w:rFonts w:ascii="Times New Roman" w:hAnsi="Times New Roman" w:cs="Times New Roman"/>
        </w:rPr>
        <w:tab/>
        <w:t xml:space="preserve">von Elm E, Altman DG, Egger M, et al. The Strengthening the Reporting of Observational Studies in Epidemiology (STROBE) Statement: Guidelines for Reporting Observational Studies. </w:t>
      </w:r>
      <w:r w:rsidRPr="00C80C01">
        <w:rPr>
          <w:rFonts w:ascii="Times New Roman" w:hAnsi="Times New Roman" w:cs="Times New Roman"/>
          <w:i/>
          <w:iCs/>
        </w:rPr>
        <w:t>Ann Intern Med</w:t>
      </w:r>
      <w:r w:rsidRPr="00C80C01">
        <w:rPr>
          <w:rFonts w:ascii="Times New Roman" w:hAnsi="Times New Roman" w:cs="Times New Roman"/>
        </w:rPr>
        <w:t>. 2007;147(8):573. doi:10.7326/0003-4819-147-8-200710160-00010</w:t>
      </w:r>
    </w:p>
    <w:p w14:paraId="2D65D378"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11.</w:t>
      </w:r>
      <w:r w:rsidRPr="00C80C01">
        <w:rPr>
          <w:rFonts w:ascii="Times New Roman" w:hAnsi="Times New Roman" w:cs="Times New Roman"/>
        </w:rPr>
        <w:tab/>
        <w:t xml:space="preserve">Anckarsäter H, Lundström S, Kollberg L, et al. The Child and Adolescent Twin Study in Sweden (CATSS). </w:t>
      </w:r>
      <w:r w:rsidRPr="00C80C01">
        <w:rPr>
          <w:rFonts w:ascii="Times New Roman" w:hAnsi="Times New Roman" w:cs="Times New Roman"/>
          <w:i/>
          <w:iCs/>
        </w:rPr>
        <w:t>Twin Res Hum Genet</w:t>
      </w:r>
      <w:r w:rsidRPr="00C80C01">
        <w:rPr>
          <w:rFonts w:ascii="Times New Roman" w:hAnsi="Times New Roman" w:cs="Times New Roman"/>
        </w:rPr>
        <w:t>. 2011;14(6):495-508. doi:10.1375/twin.14.6.495</w:t>
      </w:r>
    </w:p>
    <w:p w14:paraId="366E6774"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lastRenderedPageBreak/>
        <w:t>12.</w:t>
      </w:r>
      <w:r w:rsidRPr="00C80C01">
        <w:rPr>
          <w:rFonts w:ascii="Times New Roman" w:hAnsi="Times New Roman" w:cs="Times New Roman"/>
        </w:rPr>
        <w:tab/>
        <w:t xml:space="preserve">Hansson SL, Svanströmröjvall A, Rastam M, Gillberg C, Gillberg C, Anckarsäter H. Psychiatric telephone interview with parents for screening of childhood autism – tics, attention-deficit hyperactivity disorder and other comorbidities (A-TAC): Preliminary reliability and validity. </w:t>
      </w:r>
      <w:r w:rsidRPr="00C80C01">
        <w:rPr>
          <w:rFonts w:ascii="Times New Roman" w:hAnsi="Times New Roman" w:cs="Times New Roman"/>
          <w:i/>
          <w:iCs/>
        </w:rPr>
        <w:t>Br J Psychiatry</w:t>
      </w:r>
      <w:r w:rsidRPr="00C80C01">
        <w:rPr>
          <w:rFonts w:ascii="Times New Roman" w:hAnsi="Times New Roman" w:cs="Times New Roman"/>
        </w:rPr>
        <w:t>. 2005;187(3):262-267. doi:10.1192/bjp.187.3.262</w:t>
      </w:r>
    </w:p>
    <w:p w14:paraId="4483A435"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13.</w:t>
      </w:r>
      <w:r w:rsidRPr="00C80C01">
        <w:rPr>
          <w:rFonts w:ascii="Times New Roman" w:hAnsi="Times New Roman" w:cs="Times New Roman"/>
        </w:rPr>
        <w:tab/>
        <w:t xml:space="preserve">Mårland C, Lichtenstein P, Degl’Innocenti A, et al. The Autism–Tics, ADHD and other Comorbidities inventory (A-TAC): previous and predictive validity. </w:t>
      </w:r>
      <w:r w:rsidRPr="00C80C01">
        <w:rPr>
          <w:rFonts w:ascii="Times New Roman" w:hAnsi="Times New Roman" w:cs="Times New Roman"/>
          <w:i/>
          <w:iCs/>
        </w:rPr>
        <w:t>BMC Psychiatry</w:t>
      </w:r>
      <w:r w:rsidRPr="00C80C01">
        <w:rPr>
          <w:rFonts w:ascii="Times New Roman" w:hAnsi="Times New Roman" w:cs="Times New Roman"/>
        </w:rPr>
        <w:t>. 2017;17(1):403. doi:10.1186/s12888-017-1563-0</w:t>
      </w:r>
    </w:p>
    <w:p w14:paraId="093F61A5"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14.</w:t>
      </w:r>
      <w:r w:rsidRPr="00C80C01">
        <w:rPr>
          <w:rFonts w:ascii="Times New Roman" w:hAnsi="Times New Roman" w:cs="Times New Roman"/>
        </w:rPr>
        <w:tab/>
        <w:t xml:space="preserve">Larson T, Selinus EN, Gumpert CH, et al. Reliability of Autism-Tics, AD/HD, and other Comorbidities (A–TAC) Inventory in a Test-Retest Design. </w:t>
      </w:r>
      <w:r w:rsidRPr="00C80C01">
        <w:rPr>
          <w:rFonts w:ascii="Times New Roman" w:hAnsi="Times New Roman" w:cs="Times New Roman"/>
          <w:i/>
          <w:iCs/>
        </w:rPr>
        <w:t>Psychol Rep</w:t>
      </w:r>
      <w:r w:rsidRPr="00C80C01">
        <w:rPr>
          <w:rFonts w:ascii="Times New Roman" w:hAnsi="Times New Roman" w:cs="Times New Roman"/>
        </w:rPr>
        <w:t>. 2014;114(1):93-103. doi:10.2466/03.15.PR0.114k10w1</w:t>
      </w:r>
    </w:p>
    <w:p w14:paraId="5F91A8FE"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15.</w:t>
      </w:r>
      <w:r w:rsidRPr="00C80C01">
        <w:rPr>
          <w:rFonts w:ascii="Times New Roman" w:hAnsi="Times New Roman" w:cs="Times New Roman"/>
        </w:rPr>
        <w:tab/>
        <w:t xml:space="preserve">Larson T, Anckarsäter H, Gillberg C, et al. The Autism - Tics, AD/HD and other Comorbidities inventory (A-TAC): further validation of a telephone interview for epidemiological research. </w:t>
      </w:r>
      <w:r w:rsidRPr="00C80C01">
        <w:rPr>
          <w:rFonts w:ascii="Times New Roman" w:hAnsi="Times New Roman" w:cs="Times New Roman"/>
          <w:i/>
          <w:iCs/>
        </w:rPr>
        <w:t>BMC Psychiatry</w:t>
      </w:r>
      <w:r w:rsidRPr="00C80C01">
        <w:rPr>
          <w:rFonts w:ascii="Times New Roman" w:hAnsi="Times New Roman" w:cs="Times New Roman"/>
        </w:rPr>
        <w:t>. 2010;10(1):1. doi:10.1186/1471-244X-10-1</w:t>
      </w:r>
    </w:p>
    <w:p w14:paraId="720CFEFF"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16.</w:t>
      </w:r>
      <w:r w:rsidRPr="00C80C01">
        <w:rPr>
          <w:rFonts w:ascii="Times New Roman" w:hAnsi="Times New Roman" w:cs="Times New Roman"/>
        </w:rPr>
        <w:tab/>
        <w:t xml:space="preserve">Yu K, Lu Z, Stander J. Quantile regression: applications and current research areas. </w:t>
      </w:r>
      <w:r w:rsidRPr="00C80C01">
        <w:rPr>
          <w:rFonts w:ascii="Times New Roman" w:hAnsi="Times New Roman" w:cs="Times New Roman"/>
          <w:i/>
          <w:iCs/>
        </w:rPr>
        <w:t>J R Stat Soc Ser Stat</w:t>
      </w:r>
      <w:r w:rsidRPr="00C80C01">
        <w:rPr>
          <w:rFonts w:ascii="Times New Roman" w:hAnsi="Times New Roman" w:cs="Times New Roman"/>
        </w:rPr>
        <w:t>. 2003;52(3):331-350. doi:10.1111/1467-9884.00363</w:t>
      </w:r>
    </w:p>
    <w:p w14:paraId="779F7DF6"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17.</w:t>
      </w:r>
      <w:r w:rsidRPr="00C80C01">
        <w:rPr>
          <w:rFonts w:ascii="Times New Roman" w:hAnsi="Times New Roman" w:cs="Times New Roman"/>
        </w:rPr>
        <w:tab/>
        <w:t xml:space="preserve">Portnoy S, Koenker R. The Gaussian hare and the Laplacian tortoise: computability of squared-error versus absolute-error estimators. </w:t>
      </w:r>
      <w:r w:rsidRPr="00C80C01">
        <w:rPr>
          <w:rFonts w:ascii="Times New Roman" w:hAnsi="Times New Roman" w:cs="Times New Roman"/>
          <w:i/>
          <w:iCs/>
        </w:rPr>
        <w:t>Stat Sci</w:t>
      </w:r>
      <w:r w:rsidRPr="00C80C01">
        <w:rPr>
          <w:rFonts w:ascii="Times New Roman" w:hAnsi="Times New Roman" w:cs="Times New Roman"/>
        </w:rPr>
        <w:t>. 1997;12(4). doi:10.1214/ss/1030037960</w:t>
      </w:r>
    </w:p>
    <w:p w14:paraId="3CB033FD"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18.</w:t>
      </w:r>
      <w:r w:rsidRPr="00C80C01">
        <w:rPr>
          <w:rFonts w:ascii="Times New Roman" w:hAnsi="Times New Roman" w:cs="Times New Roman"/>
        </w:rPr>
        <w:tab/>
        <w:t xml:space="preserve">Koenker R, Machado JAF. Goodness of Fit and Related Inference Processes for Quantile Regression. </w:t>
      </w:r>
      <w:r w:rsidRPr="00C80C01">
        <w:rPr>
          <w:rFonts w:ascii="Times New Roman" w:hAnsi="Times New Roman" w:cs="Times New Roman"/>
          <w:i/>
          <w:iCs/>
        </w:rPr>
        <w:t>J Am Stat Assoc</w:t>
      </w:r>
      <w:r w:rsidRPr="00C80C01">
        <w:rPr>
          <w:rFonts w:ascii="Times New Roman" w:hAnsi="Times New Roman" w:cs="Times New Roman"/>
        </w:rPr>
        <w:t>. 1999;94(448):1296-1310. doi:10.1080/01621459.1999.10473882</w:t>
      </w:r>
    </w:p>
    <w:p w14:paraId="4EC740DC"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19.</w:t>
      </w:r>
      <w:r w:rsidRPr="00C80C01">
        <w:rPr>
          <w:rFonts w:ascii="Times New Roman" w:hAnsi="Times New Roman" w:cs="Times New Roman"/>
        </w:rPr>
        <w:tab/>
        <w:t>R Core Team. R: A Language and Environment for Statistical Computing. Published online 2020.</w:t>
      </w:r>
    </w:p>
    <w:p w14:paraId="4D100A7E"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20.</w:t>
      </w:r>
      <w:r w:rsidRPr="00C80C01">
        <w:rPr>
          <w:rFonts w:ascii="Times New Roman" w:hAnsi="Times New Roman" w:cs="Times New Roman"/>
        </w:rPr>
        <w:tab/>
        <w:t xml:space="preserve">Bucksch J, Sigmundova D, Hamrik Z, et al. International Trends in Adolescent Screen-Time Behaviors From 2002 to 2010. </w:t>
      </w:r>
      <w:r w:rsidRPr="00C80C01">
        <w:rPr>
          <w:rFonts w:ascii="Times New Roman" w:hAnsi="Times New Roman" w:cs="Times New Roman"/>
          <w:i/>
          <w:iCs/>
        </w:rPr>
        <w:t>J Adolesc Health</w:t>
      </w:r>
      <w:r w:rsidRPr="00C80C01">
        <w:rPr>
          <w:rFonts w:ascii="Times New Roman" w:hAnsi="Times New Roman" w:cs="Times New Roman"/>
        </w:rPr>
        <w:t>. 2016;58(4):417-425. doi:10.1016/j.jadohealth.2015.11.014</w:t>
      </w:r>
    </w:p>
    <w:p w14:paraId="7B6F640E"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21.</w:t>
      </w:r>
      <w:r w:rsidRPr="00C80C01">
        <w:rPr>
          <w:rFonts w:ascii="Times New Roman" w:hAnsi="Times New Roman" w:cs="Times New Roman"/>
        </w:rPr>
        <w:tab/>
        <w:t xml:space="preserve">Chen W, Adler JL. Assessment of Screen Exposure in Young Children, 1997 to 2014. </w:t>
      </w:r>
      <w:r w:rsidRPr="00C80C01">
        <w:rPr>
          <w:rFonts w:ascii="Times New Roman" w:hAnsi="Times New Roman" w:cs="Times New Roman"/>
          <w:i/>
          <w:iCs/>
        </w:rPr>
        <w:t>JAMA Pediatr</w:t>
      </w:r>
      <w:r w:rsidRPr="00C80C01">
        <w:rPr>
          <w:rFonts w:ascii="Times New Roman" w:hAnsi="Times New Roman" w:cs="Times New Roman"/>
        </w:rPr>
        <w:t>. 2019;173(4):391. doi:10.1001/jamapediatrics.2018.5546</w:t>
      </w:r>
    </w:p>
    <w:p w14:paraId="7B5E5695"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22.</w:t>
      </w:r>
      <w:r w:rsidRPr="00C80C01">
        <w:rPr>
          <w:rFonts w:ascii="Times New Roman" w:hAnsi="Times New Roman" w:cs="Times New Roman"/>
        </w:rPr>
        <w:tab/>
        <w:t xml:space="preserve">Hill MM, Gangi D, Miller M, Rafi SM, Ozonoff S. Screen time in 36-month-olds at increased likelihood for ASD and ADHD. </w:t>
      </w:r>
      <w:r w:rsidRPr="00C80C01">
        <w:rPr>
          <w:rFonts w:ascii="Times New Roman" w:hAnsi="Times New Roman" w:cs="Times New Roman"/>
          <w:i/>
          <w:iCs/>
        </w:rPr>
        <w:t>Infant Behav Dev</w:t>
      </w:r>
      <w:r w:rsidRPr="00C80C01">
        <w:rPr>
          <w:rFonts w:ascii="Times New Roman" w:hAnsi="Times New Roman" w:cs="Times New Roman"/>
        </w:rPr>
        <w:t>. 2020;61:101484. doi:10.1016/j.infbeh.2020.101484</w:t>
      </w:r>
    </w:p>
    <w:p w14:paraId="6D2C88BD"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23.</w:t>
      </w:r>
      <w:r w:rsidRPr="00C80C01">
        <w:rPr>
          <w:rFonts w:ascii="Times New Roman" w:hAnsi="Times New Roman" w:cs="Times New Roman"/>
        </w:rPr>
        <w:tab/>
        <w:t xml:space="preserve">Li J, Kaiser T, Pollmann-Schult M, Strazdins L. Long work hours of mothers and fathers are linked to increased risk for overweight and obesity among preschool children: longitudinal evidence from Germany. </w:t>
      </w:r>
      <w:r w:rsidRPr="00C80C01">
        <w:rPr>
          <w:rFonts w:ascii="Times New Roman" w:hAnsi="Times New Roman" w:cs="Times New Roman"/>
          <w:i/>
          <w:iCs/>
        </w:rPr>
        <w:t>J Epidemiol Community Health</w:t>
      </w:r>
      <w:r w:rsidRPr="00C80C01">
        <w:rPr>
          <w:rFonts w:ascii="Times New Roman" w:hAnsi="Times New Roman" w:cs="Times New Roman"/>
        </w:rPr>
        <w:t>. 2019;73(8):723-729. doi:10.1136/jech-2018-211132</w:t>
      </w:r>
    </w:p>
    <w:p w14:paraId="6086A92D"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24.</w:t>
      </w:r>
      <w:r w:rsidRPr="00C80C01">
        <w:rPr>
          <w:rFonts w:ascii="Times New Roman" w:hAnsi="Times New Roman" w:cs="Times New Roman"/>
        </w:rPr>
        <w:tab/>
        <w:t xml:space="preserve">Prospective Studies Collaboration. Body-mass index and cause-specific mortality in 900 000 adults: collaborative analyses of 57 prospective studies. </w:t>
      </w:r>
      <w:r w:rsidRPr="00C80C01">
        <w:rPr>
          <w:rFonts w:ascii="Times New Roman" w:hAnsi="Times New Roman" w:cs="Times New Roman"/>
          <w:i/>
          <w:iCs/>
        </w:rPr>
        <w:t>The Lancet</w:t>
      </w:r>
      <w:r w:rsidRPr="00C80C01">
        <w:rPr>
          <w:rFonts w:ascii="Times New Roman" w:hAnsi="Times New Roman" w:cs="Times New Roman"/>
        </w:rPr>
        <w:t>. 2009;373(9669):1083-1096. doi:10.1016/S0140-6736(09)60318-4</w:t>
      </w:r>
    </w:p>
    <w:p w14:paraId="2915208E"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lastRenderedPageBreak/>
        <w:t>25.</w:t>
      </w:r>
      <w:r w:rsidRPr="00C80C01">
        <w:rPr>
          <w:rFonts w:ascii="Times New Roman" w:hAnsi="Times New Roman" w:cs="Times New Roman"/>
        </w:rPr>
        <w:tab/>
        <w:t xml:space="preserve">Li L, Yao H, Zhang L, et al. Attention‐deficit/hyperactivity disorder is associated with increased risk of cardiovascular diseases: A systematic review and meta‐analysis. </w:t>
      </w:r>
      <w:r w:rsidRPr="00C80C01">
        <w:rPr>
          <w:rFonts w:ascii="Times New Roman" w:hAnsi="Times New Roman" w:cs="Times New Roman"/>
          <w:i/>
          <w:iCs/>
        </w:rPr>
        <w:t>JCPP Adv</w:t>
      </w:r>
      <w:r w:rsidRPr="00C80C01">
        <w:rPr>
          <w:rFonts w:ascii="Times New Roman" w:hAnsi="Times New Roman" w:cs="Times New Roman"/>
        </w:rPr>
        <w:t>. 2023;3(3):e12158. doi:10.1002/jcv2.12158</w:t>
      </w:r>
    </w:p>
    <w:p w14:paraId="2A8EAF12"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26.</w:t>
      </w:r>
      <w:r w:rsidRPr="00C80C01">
        <w:rPr>
          <w:rFonts w:ascii="Times New Roman" w:hAnsi="Times New Roman" w:cs="Times New Roman"/>
        </w:rPr>
        <w:tab/>
        <w:t xml:space="preserve">Najar H, Joas E, Jonsson V, Pålsson E, Landén M. Recent Secular Trends of Body Mass Index in Individuals With Bipolar Disorders and in the General Population. </w:t>
      </w:r>
      <w:r w:rsidRPr="00C80C01">
        <w:rPr>
          <w:rFonts w:ascii="Times New Roman" w:hAnsi="Times New Roman" w:cs="Times New Roman"/>
          <w:i/>
          <w:iCs/>
        </w:rPr>
        <w:t>Am J Psychiatry</w:t>
      </w:r>
      <w:r w:rsidRPr="00C80C01">
        <w:rPr>
          <w:rFonts w:ascii="Times New Roman" w:hAnsi="Times New Roman" w:cs="Times New Roman"/>
        </w:rPr>
        <w:t>. Published online September 20, 2023:appi.ajp.20230012. doi:10.1176/appi.ajp.20230012</w:t>
      </w:r>
    </w:p>
    <w:p w14:paraId="3EDF03F4"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27.</w:t>
      </w:r>
      <w:r w:rsidRPr="00C80C01">
        <w:rPr>
          <w:rFonts w:ascii="Times New Roman" w:hAnsi="Times New Roman" w:cs="Times New Roman"/>
        </w:rPr>
        <w:tab/>
        <w:t xml:space="preserve">Carroll LS, Owen MJ. Genetic overlap between autism, schizophrenia and bipolar disorder. </w:t>
      </w:r>
      <w:r w:rsidRPr="00C80C01">
        <w:rPr>
          <w:rFonts w:ascii="Times New Roman" w:hAnsi="Times New Roman" w:cs="Times New Roman"/>
          <w:i/>
          <w:iCs/>
        </w:rPr>
        <w:t>Genome Med</w:t>
      </w:r>
      <w:r w:rsidRPr="00C80C01">
        <w:rPr>
          <w:rFonts w:ascii="Times New Roman" w:hAnsi="Times New Roman" w:cs="Times New Roman"/>
        </w:rPr>
        <w:t>. 2009;1(10):102. doi:10.1186/gm102</w:t>
      </w:r>
    </w:p>
    <w:p w14:paraId="0CA78D3F"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28.</w:t>
      </w:r>
      <w:r w:rsidRPr="00C80C01">
        <w:rPr>
          <w:rFonts w:ascii="Times New Roman" w:hAnsi="Times New Roman" w:cs="Times New Roman"/>
        </w:rPr>
        <w:tab/>
        <w:t xml:space="preserve">O’Connell KS, McGregor NW, Lochner C, Emsley R, Warnich L. The genetic architecture of schizophrenia, bipolar disorder, obsessive-compulsive disorder and autism spectrum disorder. </w:t>
      </w:r>
      <w:r w:rsidRPr="00C80C01">
        <w:rPr>
          <w:rFonts w:ascii="Times New Roman" w:hAnsi="Times New Roman" w:cs="Times New Roman"/>
          <w:i/>
          <w:iCs/>
        </w:rPr>
        <w:t>Mol Cell Neurosci</w:t>
      </w:r>
      <w:r w:rsidRPr="00C80C01">
        <w:rPr>
          <w:rFonts w:ascii="Times New Roman" w:hAnsi="Times New Roman" w:cs="Times New Roman"/>
        </w:rPr>
        <w:t>. 2018;88:300-307. doi:10.1016/j.mcn.2018.02.010</w:t>
      </w:r>
    </w:p>
    <w:p w14:paraId="12E2690E"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29.</w:t>
      </w:r>
      <w:r w:rsidRPr="00C80C01">
        <w:rPr>
          <w:rFonts w:ascii="Times New Roman" w:hAnsi="Times New Roman" w:cs="Times New Roman"/>
        </w:rPr>
        <w:tab/>
        <w:t xml:space="preserve">Sanches M, Keshavan MS, Brambilla P, Soares JC. Neurodevelopmental basis of bipolar disorder: A critical appraisal. </w:t>
      </w:r>
      <w:r w:rsidRPr="00C80C01">
        <w:rPr>
          <w:rFonts w:ascii="Times New Roman" w:hAnsi="Times New Roman" w:cs="Times New Roman"/>
          <w:i/>
          <w:iCs/>
        </w:rPr>
        <w:t>Prog Neuropsychopharmacol Biol Psychiatry</w:t>
      </w:r>
      <w:r w:rsidRPr="00C80C01">
        <w:rPr>
          <w:rFonts w:ascii="Times New Roman" w:hAnsi="Times New Roman" w:cs="Times New Roman"/>
        </w:rPr>
        <w:t>. 2008;32(7):1617-1627. doi:10.1016/j.pnpbp.2008.04.017</w:t>
      </w:r>
    </w:p>
    <w:p w14:paraId="12E4F649"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30.</w:t>
      </w:r>
      <w:r w:rsidRPr="00C80C01">
        <w:rPr>
          <w:rFonts w:ascii="Times New Roman" w:hAnsi="Times New Roman" w:cs="Times New Roman"/>
        </w:rPr>
        <w:tab/>
        <w:t xml:space="preserve">O’Shea KS, McInnis MG. Neurodevelopmental origins of bipolar disorder: iPSC models. </w:t>
      </w:r>
      <w:r w:rsidRPr="00C80C01">
        <w:rPr>
          <w:rFonts w:ascii="Times New Roman" w:hAnsi="Times New Roman" w:cs="Times New Roman"/>
          <w:i/>
          <w:iCs/>
        </w:rPr>
        <w:t>Mol Cell Neurosci</w:t>
      </w:r>
      <w:r w:rsidRPr="00C80C01">
        <w:rPr>
          <w:rFonts w:ascii="Times New Roman" w:hAnsi="Times New Roman" w:cs="Times New Roman"/>
        </w:rPr>
        <w:t>. 2016;73:63-83. doi:10.1016/j.mcn.2015.11.006</w:t>
      </w:r>
    </w:p>
    <w:p w14:paraId="74C90AD5"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31.</w:t>
      </w:r>
      <w:r w:rsidRPr="00C80C01">
        <w:rPr>
          <w:rFonts w:ascii="Times New Roman" w:hAnsi="Times New Roman" w:cs="Times New Roman"/>
        </w:rPr>
        <w:tab/>
        <w:t xml:space="preserve">Demontis D, Walters GB, Athanasiadis G, et al. Genome-wide analyses of ADHD identify 27 risk loci, refine the genetic architecture and implicate several cognitive domains. </w:t>
      </w:r>
      <w:r w:rsidRPr="00C80C01">
        <w:rPr>
          <w:rFonts w:ascii="Times New Roman" w:hAnsi="Times New Roman" w:cs="Times New Roman"/>
          <w:i/>
          <w:iCs/>
        </w:rPr>
        <w:t>Nat Genet</w:t>
      </w:r>
      <w:r w:rsidRPr="00C80C01">
        <w:rPr>
          <w:rFonts w:ascii="Times New Roman" w:hAnsi="Times New Roman" w:cs="Times New Roman"/>
        </w:rPr>
        <w:t>. 2023;55(2):198-208. doi:10.1038/s41588-022-01285-8</w:t>
      </w:r>
    </w:p>
    <w:p w14:paraId="5FB1960C"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32.</w:t>
      </w:r>
      <w:r w:rsidRPr="00C80C01">
        <w:rPr>
          <w:rFonts w:ascii="Times New Roman" w:hAnsi="Times New Roman" w:cs="Times New Roman"/>
        </w:rPr>
        <w:tab/>
        <w:t xml:space="preserve">Wolraich ML, Hagan JF, Allan C, et al. Clinical Practice Guideline for the Diagnosis, Evaluation, and Treatment of Attention-Deficit/Hyperactivity Disorder in Children and Adolescents. </w:t>
      </w:r>
      <w:r w:rsidRPr="00C80C01">
        <w:rPr>
          <w:rFonts w:ascii="Times New Roman" w:hAnsi="Times New Roman" w:cs="Times New Roman"/>
          <w:i/>
          <w:iCs/>
        </w:rPr>
        <w:t>Pediatrics</w:t>
      </w:r>
      <w:r w:rsidRPr="00C80C01">
        <w:rPr>
          <w:rFonts w:ascii="Times New Roman" w:hAnsi="Times New Roman" w:cs="Times New Roman"/>
        </w:rPr>
        <w:t>. 2019;144(4):e20192528. doi:10.1542/peds.2019-2528</w:t>
      </w:r>
    </w:p>
    <w:p w14:paraId="3AD63030"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33.</w:t>
      </w:r>
      <w:r w:rsidRPr="00C80C01">
        <w:rPr>
          <w:rFonts w:ascii="Times New Roman" w:hAnsi="Times New Roman" w:cs="Times New Roman"/>
        </w:rPr>
        <w:tab/>
        <w:t xml:space="preserve">Hyman SL, Levy SE, Myers SM, et al. Identification, Evaluation, and Management of Children With Autism Spectrum Disorder. </w:t>
      </w:r>
      <w:r w:rsidRPr="00C80C01">
        <w:rPr>
          <w:rFonts w:ascii="Times New Roman" w:hAnsi="Times New Roman" w:cs="Times New Roman"/>
          <w:i/>
          <w:iCs/>
        </w:rPr>
        <w:t>Pediatrics</w:t>
      </w:r>
      <w:r w:rsidRPr="00C80C01">
        <w:rPr>
          <w:rFonts w:ascii="Times New Roman" w:hAnsi="Times New Roman" w:cs="Times New Roman"/>
        </w:rPr>
        <w:t>. 2020;145(1):e20193447. doi:10.1542/peds.2019-3447</w:t>
      </w:r>
    </w:p>
    <w:p w14:paraId="46037582" w14:textId="77777777" w:rsidR="00C80C01" w:rsidRPr="00C80C01" w:rsidRDefault="00C80C01" w:rsidP="00C80C01">
      <w:pPr>
        <w:pStyle w:val="Bibliography"/>
        <w:rPr>
          <w:rFonts w:ascii="Times New Roman" w:hAnsi="Times New Roman" w:cs="Times New Roman"/>
        </w:rPr>
      </w:pPr>
      <w:r w:rsidRPr="00C80C01">
        <w:rPr>
          <w:rFonts w:ascii="Times New Roman" w:hAnsi="Times New Roman" w:cs="Times New Roman"/>
        </w:rPr>
        <w:t>34.</w:t>
      </w:r>
      <w:r w:rsidRPr="00C80C01">
        <w:rPr>
          <w:rFonts w:ascii="Times New Roman" w:hAnsi="Times New Roman" w:cs="Times New Roman"/>
        </w:rPr>
        <w:tab/>
        <w:t xml:space="preserve">Chai LK, Collins CE, May C, Holder C, Burrows TL. Accuracy of Parent-Reported Child Height and Weight and Calculated Body Mass Index Compared With Objectively Measured Anthropometrics: Secondary Analysis of a Randomized Controlled Trial. </w:t>
      </w:r>
      <w:r w:rsidRPr="00C80C01">
        <w:rPr>
          <w:rFonts w:ascii="Times New Roman" w:hAnsi="Times New Roman" w:cs="Times New Roman"/>
          <w:i/>
          <w:iCs/>
        </w:rPr>
        <w:t>J Med Internet Res</w:t>
      </w:r>
      <w:r w:rsidRPr="00C80C01">
        <w:rPr>
          <w:rFonts w:ascii="Times New Roman" w:hAnsi="Times New Roman" w:cs="Times New Roman"/>
        </w:rPr>
        <w:t>. 2019;21(9):e12532. doi:10.2196/12532</w:t>
      </w:r>
    </w:p>
    <w:p w14:paraId="0ACF310A" w14:textId="125EE90B" w:rsidR="000B12CD" w:rsidRPr="00D041C0" w:rsidRDefault="000B12CD" w:rsidP="000B12CD">
      <w:pPr>
        <w:pStyle w:val="NoSpacing"/>
      </w:pPr>
      <w:r w:rsidRPr="00D041C0">
        <w:fldChar w:fldCharType="end"/>
      </w:r>
    </w:p>
    <w:p w14:paraId="03BAB087" w14:textId="0E2281D4" w:rsidR="000B12CD" w:rsidRPr="00D041C0" w:rsidRDefault="000B12CD" w:rsidP="000B12CD"/>
    <w:p w14:paraId="05DEA7FF" w14:textId="4A76346E" w:rsidR="00E67F4D" w:rsidRPr="00D041C0" w:rsidRDefault="00E67F4D">
      <w:pPr>
        <w:spacing w:line="259" w:lineRule="auto"/>
        <w:ind w:firstLine="0"/>
        <w:rPr>
          <w:rFonts w:ascii="Times New Roman" w:hAnsi="Times New Roman" w:cs="Times New Roman"/>
        </w:rPr>
      </w:pPr>
      <w:r w:rsidRPr="00D041C0">
        <w:rPr>
          <w:rFonts w:ascii="Times New Roman" w:hAnsi="Times New Roman" w:cs="Times New Roman"/>
        </w:rPr>
        <w:br w:type="page"/>
      </w:r>
    </w:p>
    <w:p w14:paraId="6A1B2359" w14:textId="77777777" w:rsidR="00FB4294" w:rsidRPr="00D041C0" w:rsidRDefault="00FB4294" w:rsidP="001D0EC9">
      <w:pPr>
        <w:pStyle w:val="Heading1"/>
        <w:sectPr w:rsidR="00FB4294" w:rsidRPr="00D041C0" w:rsidSect="00430644">
          <w:footerReference w:type="default" r:id="rId12"/>
          <w:pgSz w:w="11906" w:h="16838"/>
          <w:pgMar w:top="1417" w:right="1417" w:bottom="1417" w:left="1417" w:header="708" w:footer="708" w:gutter="0"/>
          <w:cols w:space="708"/>
          <w:docGrid w:linePitch="360"/>
        </w:sectPr>
      </w:pPr>
    </w:p>
    <w:p w14:paraId="2A2AA616" w14:textId="081B9B49" w:rsidR="00FE4FDD" w:rsidRPr="00D041C0" w:rsidRDefault="00FE4FDD" w:rsidP="001D0EC9">
      <w:pPr>
        <w:pStyle w:val="Heading1"/>
      </w:pPr>
      <w:r w:rsidRPr="00D041C0">
        <w:lastRenderedPageBreak/>
        <w:t>Tables</w:t>
      </w:r>
    </w:p>
    <w:p w14:paraId="246FB998" w14:textId="6557C356" w:rsidR="00F468DB" w:rsidRPr="00D041C0" w:rsidRDefault="00A801C2" w:rsidP="002655CE">
      <w:pPr>
        <w:spacing w:line="360" w:lineRule="auto"/>
        <w:ind w:firstLine="0"/>
        <w:rPr>
          <w:rFonts w:ascii="Times New Roman" w:hAnsi="Times New Roman" w:cs="Times New Roman"/>
        </w:rPr>
      </w:pPr>
      <w:r w:rsidRPr="00D041C0">
        <w:rPr>
          <w:rFonts w:ascii="Times New Roman" w:hAnsi="Times New Roman" w:cs="Times New Roman"/>
          <w:b/>
          <w:bCs/>
        </w:rPr>
        <w:t>Table 1</w:t>
      </w:r>
      <w:r w:rsidRPr="00D041C0">
        <w:rPr>
          <w:rFonts w:ascii="Times New Roman" w:hAnsi="Times New Roman" w:cs="Times New Roman"/>
        </w:rPr>
        <w:t>.</w:t>
      </w:r>
      <w:r w:rsidR="00FE4FDD" w:rsidRPr="00D041C0">
        <w:rPr>
          <w:rFonts w:ascii="Times New Roman" w:hAnsi="Times New Roman" w:cs="Times New Roman"/>
        </w:rPr>
        <w:t xml:space="preserve"> </w:t>
      </w:r>
      <w:r w:rsidR="003C55D1" w:rsidRPr="00D041C0">
        <w:rPr>
          <w:rFonts w:ascii="Times New Roman" w:hAnsi="Times New Roman" w:cs="Times New Roman"/>
        </w:rPr>
        <w:t>Descriptive</w:t>
      </w:r>
      <w:r w:rsidR="00681074" w:rsidRPr="00D041C0">
        <w:rPr>
          <w:rFonts w:ascii="Times New Roman" w:hAnsi="Times New Roman" w:cs="Times New Roman"/>
        </w:rPr>
        <w:t xml:space="preserve"> statistics of the study cohort stratified by NDD status.</w:t>
      </w:r>
    </w:p>
    <w:tbl>
      <w:tblPr>
        <w:tblW w:w="9328" w:type="dxa"/>
        <w:tblInd w:w="-142" w:type="dxa"/>
        <w:tblLook w:val="04A0" w:firstRow="1" w:lastRow="0" w:firstColumn="1" w:lastColumn="0" w:noHBand="0" w:noVBand="1"/>
      </w:tblPr>
      <w:tblGrid>
        <w:gridCol w:w="3544"/>
        <w:gridCol w:w="3098"/>
        <w:gridCol w:w="2686"/>
      </w:tblGrid>
      <w:tr w:rsidR="00146674" w:rsidRPr="00D041C0" w14:paraId="382A0458" w14:textId="77777777" w:rsidTr="00BD7BB5">
        <w:trPr>
          <w:trHeight w:val="310"/>
        </w:trPr>
        <w:tc>
          <w:tcPr>
            <w:tcW w:w="3544" w:type="dxa"/>
            <w:tcBorders>
              <w:top w:val="single" w:sz="8" w:space="0" w:color="auto"/>
              <w:left w:val="nil"/>
              <w:bottom w:val="nil"/>
              <w:right w:val="nil"/>
            </w:tcBorders>
            <w:shd w:val="clear" w:color="auto" w:fill="auto"/>
            <w:noWrap/>
            <w:vAlign w:val="bottom"/>
            <w:hideMark/>
          </w:tcPr>
          <w:p w14:paraId="4BAA7194" w14:textId="77777777" w:rsidR="00146674" w:rsidRPr="00D041C0" w:rsidRDefault="00146674" w:rsidP="002655CE">
            <w:pPr>
              <w:spacing w:after="0" w:line="360" w:lineRule="auto"/>
              <w:ind w:firstLine="0"/>
              <w:rPr>
                <w:rFonts w:ascii="Times New Roman" w:eastAsia="Times New Roman" w:hAnsi="Times New Roman" w:cs="Times New Roman"/>
              </w:rPr>
            </w:pPr>
          </w:p>
        </w:tc>
        <w:tc>
          <w:tcPr>
            <w:tcW w:w="5784" w:type="dxa"/>
            <w:gridSpan w:val="2"/>
            <w:tcBorders>
              <w:top w:val="single" w:sz="8" w:space="0" w:color="auto"/>
              <w:left w:val="nil"/>
              <w:bottom w:val="single" w:sz="4" w:space="0" w:color="auto"/>
              <w:right w:val="nil"/>
            </w:tcBorders>
            <w:shd w:val="clear" w:color="auto" w:fill="auto"/>
            <w:noWrap/>
            <w:vAlign w:val="center"/>
            <w:hideMark/>
          </w:tcPr>
          <w:p w14:paraId="64D41B59" w14:textId="3003B2B6" w:rsidR="00146674" w:rsidRPr="00D041C0" w:rsidRDefault="00146674" w:rsidP="002655CE">
            <w:pPr>
              <w:spacing w:after="0" w:line="360" w:lineRule="auto"/>
              <w:ind w:firstLine="0"/>
              <w:jc w:val="center"/>
              <w:rPr>
                <w:rFonts w:ascii="Times New Roman" w:eastAsia="Times New Roman" w:hAnsi="Times New Roman" w:cs="Times New Roman"/>
                <w:b/>
                <w:bCs/>
                <w:color w:val="000000"/>
              </w:rPr>
            </w:pPr>
            <w:r w:rsidRPr="00D041C0">
              <w:rPr>
                <w:rFonts w:ascii="Times New Roman" w:eastAsia="Times New Roman" w:hAnsi="Times New Roman" w:cs="Times New Roman"/>
                <w:b/>
                <w:bCs/>
                <w:color w:val="000000"/>
              </w:rPr>
              <w:t>Group</w:t>
            </w:r>
            <w:r w:rsidR="00652F36">
              <w:rPr>
                <w:rFonts w:ascii="Times New Roman" w:eastAsia="Times New Roman" w:hAnsi="Times New Roman" w:cs="Times New Roman"/>
                <w:b/>
                <w:bCs/>
                <w:color w:val="000000"/>
              </w:rPr>
              <w:t>, n (%)</w:t>
            </w:r>
          </w:p>
        </w:tc>
      </w:tr>
      <w:tr w:rsidR="00146674" w:rsidRPr="00D041C0" w14:paraId="45226215" w14:textId="77777777" w:rsidTr="00BD7BB5">
        <w:trPr>
          <w:trHeight w:val="310"/>
        </w:trPr>
        <w:tc>
          <w:tcPr>
            <w:tcW w:w="3544" w:type="dxa"/>
            <w:tcBorders>
              <w:top w:val="nil"/>
              <w:left w:val="nil"/>
              <w:bottom w:val="single" w:sz="4" w:space="0" w:color="auto"/>
              <w:right w:val="nil"/>
            </w:tcBorders>
            <w:shd w:val="clear" w:color="auto" w:fill="auto"/>
            <w:noWrap/>
            <w:vAlign w:val="center"/>
            <w:hideMark/>
          </w:tcPr>
          <w:p w14:paraId="3EF563BC" w14:textId="77777777" w:rsidR="00146674" w:rsidRPr="00D041C0" w:rsidRDefault="00146674" w:rsidP="002655CE">
            <w:pPr>
              <w:spacing w:after="0" w:line="360" w:lineRule="auto"/>
              <w:ind w:firstLine="0"/>
              <w:rPr>
                <w:rFonts w:ascii="Times New Roman" w:eastAsia="Times New Roman" w:hAnsi="Times New Roman" w:cs="Times New Roman"/>
                <w:b/>
                <w:bCs/>
                <w:color w:val="000000"/>
              </w:rPr>
            </w:pPr>
            <w:r w:rsidRPr="00D041C0">
              <w:rPr>
                <w:rFonts w:ascii="Times New Roman" w:eastAsia="Times New Roman" w:hAnsi="Times New Roman" w:cs="Times New Roman"/>
                <w:b/>
                <w:bCs/>
                <w:color w:val="000000"/>
              </w:rPr>
              <w:t>Characteristic</w:t>
            </w:r>
          </w:p>
        </w:tc>
        <w:tc>
          <w:tcPr>
            <w:tcW w:w="3098" w:type="dxa"/>
            <w:tcBorders>
              <w:top w:val="nil"/>
              <w:left w:val="nil"/>
              <w:bottom w:val="single" w:sz="4" w:space="0" w:color="auto"/>
              <w:right w:val="nil"/>
            </w:tcBorders>
            <w:shd w:val="clear" w:color="auto" w:fill="auto"/>
            <w:noWrap/>
            <w:vAlign w:val="center"/>
            <w:hideMark/>
          </w:tcPr>
          <w:p w14:paraId="66FFECE0" w14:textId="36752B43" w:rsidR="00146674" w:rsidRPr="00D041C0" w:rsidRDefault="00E4246C" w:rsidP="002655CE">
            <w:pPr>
              <w:spacing w:after="0" w:line="360" w:lineRule="auto"/>
              <w:ind w:firstLine="0"/>
              <w:jc w:val="right"/>
              <w:rPr>
                <w:rFonts w:ascii="Times New Roman" w:eastAsia="Times New Roman" w:hAnsi="Times New Roman" w:cs="Times New Roman"/>
                <w:b/>
                <w:bCs/>
                <w:color w:val="000000"/>
              </w:rPr>
            </w:pPr>
            <w:r w:rsidRPr="00D041C0">
              <w:rPr>
                <w:rFonts w:ascii="Times New Roman" w:eastAsia="Times New Roman" w:hAnsi="Times New Roman" w:cs="Times New Roman"/>
                <w:b/>
                <w:bCs/>
                <w:color w:val="000000"/>
              </w:rPr>
              <w:t>Without</w:t>
            </w:r>
            <w:r w:rsidR="00146674" w:rsidRPr="00D041C0">
              <w:rPr>
                <w:rFonts w:ascii="Times New Roman" w:eastAsia="Times New Roman" w:hAnsi="Times New Roman" w:cs="Times New Roman"/>
                <w:b/>
                <w:bCs/>
                <w:color w:val="000000"/>
              </w:rPr>
              <w:t xml:space="preserve"> NDD </w:t>
            </w:r>
            <w:r w:rsidR="00A01EA3" w:rsidRPr="00D041C0">
              <w:rPr>
                <w:rFonts w:ascii="Times New Roman" w:eastAsia="Times New Roman" w:hAnsi="Times New Roman" w:cs="Times New Roman"/>
                <w:b/>
                <w:bCs/>
                <w:color w:val="000000"/>
              </w:rPr>
              <w:t>(</w:t>
            </w:r>
            <w:r w:rsidR="00146674" w:rsidRPr="00D041C0">
              <w:rPr>
                <w:rFonts w:ascii="Times New Roman" w:eastAsia="Times New Roman" w:hAnsi="Times New Roman" w:cs="Times New Roman"/>
                <w:b/>
                <w:bCs/>
                <w:color w:val="000000"/>
              </w:rPr>
              <w:t xml:space="preserve">N = </w:t>
            </w:r>
            <w:r w:rsidR="00B82490" w:rsidRPr="00D041C0">
              <w:rPr>
                <w:rFonts w:ascii="Times New Roman" w:eastAsia="Times New Roman" w:hAnsi="Times New Roman" w:cs="Times New Roman"/>
                <w:b/>
                <w:bCs/>
                <w:color w:val="000000"/>
              </w:rPr>
              <w:t>23,866</w:t>
            </w:r>
            <w:r w:rsidR="00A01EA3" w:rsidRPr="00D041C0">
              <w:rPr>
                <w:rFonts w:ascii="Times New Roman" w:eastAsia="Times New Roman" w:hAnsi="Times New Roman" w:cs="Times New Roman"/>
                <w:b/>
                <w:bCs/>
                <w:color w:val="000000"/>
              </w:rPr>
              <w:t>)</w:t>
            </w:r>
          </w:p>
        </w:tc>
        <w:tc>
          <w:tcPr>
            <w:tcW w:w="2686" w:type="dxa"/>
            <w:tcBorders>
              <w:top w:val="nil"/>
              <w:left w:val="nil"/>
              <w:bottom w:val="single" w:sz="4" w:space="0" w:color="auto"/>
              <w:right w:val="nil"/>
            </w:tcBorders>
            <w:shd w:val="clear" w:color="auto" w:fill="auto"/>
            <w:noWrap/>
            <w:vAlign w:val="center"/>
            <w:hideMark/>
          </w:tcPr>
          <w:p w14:paraId="032F3574" w14:textId="6CD4AFB6" w:rsidR="00146674" w:rsidRPr="00D041C0" w:rsidRDefault="00146674" w:rsidP="002655CE">
            <w:pPr>
              <w:spacing w:after="0" w:line="360" w:lineRule="auto"/>
              <w:ind w:firstLine="0"/>
              <w:jc w:val="right"/>
              <w:rPr>
                <w:rFonts w:ascii="Times New Roman" w:eastAsia="Times New Roman" w:hAnsi="Times New Roman" w:cs="Times New Roman"/>
                <w:b/>
                <w:bCs/>
                <w:color w:val="000000"/>
              </w:rPr>
            </w:pPr>
            <w:r w:rsidRPr="00D041C0">
              <w:rPr>
                <w:rFonts w:ascii="Times New Roman" w:eastAsia="Times New Roman" w:hAnsi="Times New Roman" w:cs="Times New Roman"/>
                <w:b/>
                <w:bCs/>
                <w:color w:val="000000"/>
              </w:rPr>
              <w:t xml:space="preserve">NDD </w:t>
            </w:r>
            <w:r w:rsidR="00A01EA3" w:rsidRPr="00D041C0">
              <w:rPr>
                <w:rFonts w:ascii="Times New Roman" w:eastAsia="Times New Roman" w:hAnsi="Times New Roman" w:cs="Times New Roman"/>
                <w:b/>
                <w:bCs/>
                <w:color w:val="000000"/>
              </w:rPr>
              <w:t>(</w:t>
            </w:r>
            <w:r w:rsidRPr="00D041C0">
              <w:rPr>
                <w:rFonts w:ascii="Times New Roman" w:eastAsia="Times New Roman" w:hAnsi="Times New Roman" w:cs="Times New Roman"/>
                <w:b/>
                <w:bCs/>
                <w:color w:val="000000"/>
              </w:rPr>
              <w:t xml:space="preserve">N = </w:t>
            </w:r>
            <w:r w:rsidR="00B82490" w:rsidRPr="00D041C0">
              <w:rPr>
                <w:rFonts w:ascii="Times New Roman" w:eastAsia="Times New Roman" w:hAnsi="Times New Roman" w:cs="Times New Roman"/>
                <w:b/>
                <w:bCs/>
                <w:color w:val="000000"/>
              </w:rPr>
              <w:t>1</w:t>
            </w:r>
            <w:r w:rsidRPr="00D041C0">
              <w:rPr>
                <w:rFonts w:ascii="Times New Roman" w:eastAsia="Times New Roman" w:hAnsi="Times New Roman" w:cs="Times New Roman"/>
                <w:b/>
                <w:bCs/>
                <w:color w:val="000000"/>
              </w:rPr>
              <w:t>,</w:t>
            </w:r>
            <w:r w:rsidR="00B82490" w:rsidRPr="00D041C0">
              <w:rPr>
                <w:rFonts w:ascii="Times New Roman" w:eastAsia="Times New Roman" w:hAnsi="Times New Roman" w:cs="Times New Roman"/>
                <w:b/>
                <w:bCs/>
                <w:color w:val="000000"/>
              </w:rPr>
              <w:t>103</w:t>
            </w:r>
            <w:r w:rsidR="00A01EA3" w:rsidRPr="00D041C0">
              <w:rPr>
                <w:rFonts w:ascii="Times New Roman" w:eastAsia="Times New Roman" w:hAnsi="Times New Roman" w:cs="Times New Roman"/>
                <w:b/>
                <w:bCs/>
                <w:color w:val="000000"/>
              </w:rPr>
              <w:t>)</w:t>
            </w:r>
          </w:p>
        </w:tc>
      </w:tr>
      <w:tr w:rsidR="00146674" w:rsidRPr="00D041C0" w14:paraId="09884B95" w14:textId="77777777" w:rsidTr="00BD7BB5">
        <w:trPr>
          <w:trHeight w:val="310"/>
        </w:trPr>
        <w:tc>
          <w:tcPr>
            <w:tcW w:w="3544" w:type="dxa"/>
            <w:tcBorders>
              <w:top w:val="nil"/>
              <w:left w:val="nil"/>
              <w:bottom w:val="nil"/>
              <w:right w:val="nil"/>
            </w:tcBorders>
            <w:shd w:val="clear" w:color="auto" w:fill="auto"/>
            <w:noWrap/>
            <w:vAlign w:val="center"/>
            <w:hideMark/>
          </w:tcPr>
          <w:p w14:paraId="53198949" w14:textId="0DF0D56B" w:rsidR="00146674" w:rsidRPr="00D041C0" w:rsidRDefault="00146674" w:rsidP="002655CE">
            <w:pPr>
              <w:spacing w:after="0" w:line="360" w:lineRule="auto"/>
              <w:ind w:firstLine="0"/>
              <w:rPr>
                <w:rFonts w:ascii="Times New Roman" w:eastAsia="Times New Roman" w:hAnsi="Times New Roman" w:cs="Times New Roman"/>
                <w:i/>
                <w:iCs/>
                <w:color w:val="000000"/>
              </w:rPr>
            </w:pPr>
            <w:r w:rsidRPr="00D041C0">
              <w:rPr>
                <w:rFonts w:ascii="Times New Roman" w:eastAsia="Times New Roman" w:hAnsi="Times New Roman" w:cs="Times New Roman"/>
                <w:i/>
                <w:iCs/>
                <w:color w:val="000000"/>
              </w:rPr>
              <w:t>Sex</w:t>
            </w:r>
          </w:p>
        </w:tc>
        <w:tc>
          <w:tcPr>
            <w:tcW w:w="3098" w:type="dxa"/>
            <w:tcBorders>
              <w:top w:val="nil"/>
              <w:left w:val="nil"/>
              <w:bottom w:val="nil"/>
              <w:right w:val="nil"/>
            </w:tcBorders>
            <w:shd w:val="clear" w:color="auto" w:fill="auto"/>
            <w:noWrap/>
            <w:vAlign w:val="bottom"/>
            <w:hideMark/>
          </w:tcPr>
          <w:p w14:paraId="15B49535" w14:textId="77777777" w:rsidR="00146674" w:rsidRPr="00D041C0" w:rsidRDefault="00146674" w:rsidP="002655CE">
            <w:pPr>
              <w:spacing w:after="0" w:line="360" w:lineRule="auto"/>
              <w:ind w:firstLine="0"/>
              <w:rPr>
                <w:rFonts w:ascii="Times New Roman" w:eastAsia="Times New Roman" w:hAnsi="Times New Roman" w:cs="Times New Roman"/>
                <w:color w:val="000000"/>
              </w:rPr>
            </w:pPr>
          </w:p>
        </w:tc>
        <w:tc>
          <w:tcPr>
            <w:tcW w:w="2686" w:type="dxa"/>
            <w:tcBorders>
              <w:top w:val="nil"/>
              <w:left w:val="nil"/>
              <w:bottom w:val="nil"/>
              <w:right w:val="nil"/>
            </w:tcBorders>
            <w:shd w:val="clear" w:color="auto" w:fill="auto"/>
            <w:noWrap/>
            <w:vAlign w:val="bottom"/>
            <w:hideMark/>
          </w:tcPr>
          <w:p w14:paraId="4BCCC402" w14:textId="77777777" w:rsidR="00146674" w:rsidRPr="00D041C0" w:rsidRDefault="00146674" w:rsidP="002655CE">
            <w:pPr>
              <w:spacing w:after="0" w:line="360" w:lineRule="auto"/>
              <w:ind w:firstLine="0"/>
              <w:jc w:val="right"/>
              <w:rPr>
                <w:rFonts w:ascii="Times New Roman" w:eastAsia="Times New Roman" w:hAnsi="Times New Roman" w:cs="Times New Roman"/>
              </w:rPr>
            </w:pPr>
          </w:p>
        </w:tc>
      </w:tr>
      <w:tr w:rsidR="00B82490" w:rsidRPr="00D041C0" w14:paraId="4A0E5447" w14:textId="77777777" w:rsidTr="00BD7BB5">
        <w:trPr>
          <w:trHeight w:val="310"/>
        </w:trPr>
        <w:tc>
          <w:tcPr>
            <w:tcW w:w="3544" w:type="dxa"/>
            <w:tcBorders>
              <w:top w:val="nil"/>
              <w:left w:val="nil"/>
              <w:bottom w:val="nil"/>
              <w:right w:val="nil"/>
            </w:tcBorders>
            <w:shd w:val="clear" w:color="auto" w:fill="auto"/>
            <w:noWrap/>
            <w:vAlign w:val="center"/>
            <w:hideMark/>
          </w:tcPr>
          <w:p w14:paraId="4CC85836" w14:textId="77777777" w:rsidR="00B82490" w:rsidRPr="00D041C0" w:rsidRDefault="00B82490" w:rsidP="002655CE">
            <w:pPr>
              <w:spacing w:after="0" w:line="360" w:lineRule="auto"/>
              <w:ind w:firstLine="0"/>
              <w:rPr>
                <w:rFonts w:ascii="Times New Roman" w:eastAsia="Times New Roman" w:hAnsi="Times New Roman" w:cs="Times New Roman"/>
                <w:color w:val="000000"/>
              </w:rPr>
            </w:pPr>
            <w:r w:rsidRPr="00D041C0">
              <w:rPr>
                <w:rFonts w:ascii="Times New Roman" w:eastAsia="Times New Roman" w:hAnsi="Times New Roman" w:cs="Times New Roman"/>
                <w:color w:val="000000"/>
              </w:rPr>
              <w:t>    Male</w:t>
            </w:r>
          </w:p>
        </w:tc>
        <w:tc>
          <w:tcPr>
            <w:tcW w:w="3098" w:type="dxa"/>
            <w:tcBorders>
              <w:top w:val="nil"/>
              <w:left w:val="nil"/>
              <w:bottom w:val="nil"/>
              <w:right w:val="nil"/>
            </w:tcBorders>
            <w:shd w:val="clear" w:color="auto" w:fill="auto"/>
            <w:noWrap/>
            <w:hideMark/>
          </w:tcPr>
          <w:p w14:paraId="3CECFB97" w14:textId="24DD866A" w:rsidR="00B82490" w:rsidRPr="00D041C0" w:rsidRDefault="00B82490" w:rsidP="002655CE">
            <w:pPr>
              <w:spacing w:after="0" w:line="360" w:lineRule="auto"/>
              <w:ind w:firstLine="0"/>
              <w:jc w:val="right"/>
              <w:rPr>
                <w:rFonts w:ascii="Times New Roman" w:eastAsia="Times New Roman" w:hAnsi="Times New Roman" w:cs="Times New Roman"/>
                <w:color w:val="000000"/>
              </w:rPr>
            </w:pPr>
            <w:r w:rsidRPr="00D041C0">
              <w:rPr>
                <w:rFonts w:ascii="Times New Roman" w:hAnsi="Times New Roman" w:cs="Times New Roman"/>
              </w:rPr>
              <w:t>11,941 (50)</w:t>
            </w:r>
          </w:p>
        </w:tc>
        <w:tc>
          <w:tcPr>
            <w:tcW w:w="2686" w:type="dxa"/>
            <w:tcBorders>
              <w:top w:val="nil"/>
              <w:left w:val="nil"/>
              <w:bottom w:val="nil"/>
              <w:right w:val="nil"/>
            </w:tcBorders>
            <w:shd w:val="clear" w:color="auto" w:fill="auto"/>
            <w:noWrap/>
            <w:hideMark/>
          </w:tcPr>
          <w:p w14:paraId="6A7C9FE0" w14:textId="2D0D2683" w:rsidR="00B82490" w:rsidRPr="00D041C0" w:rsidRDefault="00B82490" w:rsidP="002655CE">
            <w:pPr>
              <w:spacing w:after="0" w:line="360" w:lineRule="auto"/>
              <w:ind w:firstLine="0"/>
              <w:jc w:val="right"/>
              <w:rPr>
                <w:rFonts w:ascii="Times New Roman" w:eastAsia="Times New Roman" w:hAnsi="Times New Roman" w:cs="Times New Roman"/>
                <w:color w:val="000000"/>
              </w:rPr>
            </w:pPr>
            <w:r w:rsidRPr="00D041C0">
              <w:rPr>
                <w:rFonts w:ascii="Times New Roman" w:hAnsi="Times New Roman" w:cs="Times New Roman"/>
              </w:rPr>
              <w:t>740 (67)</w:t>
            </w:r>
          </w:p>
        </w:tc>
      </w:tr>
      <w:tr w:rsidR="00B82490" w:rsidRPr="00D041C0" w14:paraId="7C0B8A0C" w14:textId="77777777" w:rsidTr="00BD7BB5">
        <w:trPr>
          <w:trHeight w:val="310"/>
        </w:trPr>
        <w:tc>
          <w:tcPr>
            <w:tcW w:w="3544" w:type="dxa"/>
            <w:tcBorders>
              <w:top w:val="nil"/>
              <w:left w:val="nil"/>
              <w:bottom w:val="nil"/>
              <w:right w:val="nil"/>
            </w:tcBorders>
            <w:shd w:val="clear" w:color="auto" w:fill="auto"/>
            <w:noWrap/>
            <w:vAlign w:val="center"/>
            <w:hideMark/>
          </w:tcPr>
          <w:p w14:paraId="22C403F5" w14:textId="77777777" w:rsidR="00B82490" w:rsidRPr="00D041C0" w:rsidRDefault="00B82490" w:rsidP="002655CE">
            <w:pPr>
              <w:spacing w:after="0" w:line="360" w:lineRule="auto"/>
              <w:ind w:firstLine="0"/>
              <w:rPr>
                <w:rFonts w:ascii="Times New Roman" w:eastAsia="Times New Roman" w:hAnsi="Times New Roman" w:cs="Times New Roman"/>
                <w:color w:val="000000"/>
              </w:rPr>
            </w:pPr>
            <w:r w:rsidRPr="00D041C0">
              <w:rPr>
                <w:rFonts w:ascii="Times New Roman" w:eastAsia="Times New Roman" w:hAnsi="Times New Roman" w:cs="Times New Roman"/>
                <w:color w:val="000000"/>
              </w:rPr>
              <w:t>    Female</w:t>
            </w:r>
          </w:p>
        </w:tc>
        <w:tc>
          <w:tcPr>
            <w:tcW w:w="3098" w:type="dxa"/>
            <w:tcBorders>
              <w:top w:val="nil"/>
              <w:left w:val="nil"/>
              <w:bottom w:val="nil"/>
              <w:right w:val="nil"/>
            </w:tcBorders>
            <w:shd w:val="clear" w:color="auto" w:fill="auto"/>
            <w:noWrap/>
            <w:hideMark/>
          </w:tcPr>
          <w:p w14:paraId="54D89183" w14:textId="617A549E" w:rsidR="00B82490" w:rsidRPr="00D041C0" w:rsidRDefault="00B82490" w:rsidP="002655CE">
            <w:pPr>
              <w:spacing w:after="0" w:line="360" w:lineRule="auto"/>
              <w:ind w:firstLine="0"/>
              <w:jc w:val="right"/>
              <w:rPr>
                <w:rFonts w:ascii="Times New Roman" w:eastAsia="Times New Roman" w:hAnsi="Times New Roman" w:cs="Times New Roman"/>
                <w:color w:val="000000"/>
              </w:rPr>
            </w:pPr>
            <w:r w:rsidRPr="00D041C0">
              <w:rPr>
                <w:rFonts w:ascii="Times New Roman" w:hAnsi="Times New Roman" w:cs="Times New Roman"/>
              </w:rPr>
              <w:t>11,925 (50)</w:t>
            </w:r>
          </w:p>
        </w:tc>
        <w:tc>
          <w:tcPr>
            <w:tcW w:w="2686" w:type="dxa"/>
            <w:tcBorders>
              <w:top w:val="nil"/>
              <w:left w:val="nil"/>
              <w:bottom w:val="nil"/>
              <w:right w:val="nil"/>
            </w:tcBorders>
            <w:shd w:val="clear" w:color="auto" w:fill="auto"/>
            <w:noWrap/>
            <w:hideMark/>
          </w:tcPr>
          <w:p w14:paraId="135341AF" w14:textId="6C8B45C1" w:rsidR="00B82490" w:rsidRPr="00D041C0" w:rsidRDefault="00B82490" w:rsidP="002655CE">
            <w:pPr>
              <w:spacing w:after="0" w:line="360" w:lineRule="auto"/>
              <w:ind w:firstLine="0"/>
              <w:jc w:val="right"/>
              <w:rPr>
                <w:rFonts w:ascii="Times New Roman" w:eastAsia="Times New Roman" w:hAnsi="Times New Roman" w:cs="Times New Roman"/>
                <w:color w:val="000000"/>
              </w:rPr>
            </w:pPr>
            <w:r w:rsidRPr="00D041C0">
              <w:rPr>
                <w:rFonts w:ascii="Times New Roman" w:hAnsi="Times New Roman" w:cs="Times New Roman"/>
              </w:rPr>
              <w:t>363 (33)</w:t>
            </w:r>
          </w:p>
        </w:tc>
      </w:tr>
      <w:tr w:rsidR="00B82490" w:rsidRPr="00D041C0" w14:paraId="66F81217" w14:textId="77777777" w:rsidTr="00BD7BB5">
        <w:trPr>
          <w:trHeight w:val="310"/>
        </w:trPr>
        <w:tc>
          <w:tcPr>
            <w:tcW w:w="3544" w:type="dxa"/>
            <w:tcBorders>
              <w:top w:val="nil"/>
              <w:left w:val="nil"/>
              <w:bottom w:val="nil"/>
              <w:right w:val="nil"/>
            </w:tcBorders>
            <w:shd w:val="clear" w:color="auto" w:fill="auto"/>
            <w:noWrap/>
            <w:vAlign w:val="center"/>
            <w:hideMark/>
          </w:tcPr>
          <w:p w14:paraId="61BBE665" w14:textId="2FE9A262" w:rsidR="00B82490" w:rsidRPr="00D041C0" w:rsidRDefault="00B82490" w:rsidP="002655CE">
            <w:pPr>
              <w:spacing w:after="0" w:line="360" w:lineRule="auto"/>
              <w:ind w:firstLine="0"/>
              <w:rPr>
                <w:rFonts w:ascii="Times New Roman" w:eastAsia="Times New Roman" w:hAnsi="Times New Roman" w:cs="Times New Roman"/>
                <w:i/>
                <w:iCs/>
                <w:color w:val="000000"/>
              </w:rPr>
            </w:pPr>
            <w:r w:rsidRPr="00D041C0">
              <w:rPr>
                <w:rFonts w:ascii="Times New Roman" w:eastAsia="Times New Roman" w:hAnsi="Times New Roman" w:cs="Times New Roman"/>
                <w:i/>
                <w:iCs/>
                <w:color w:val="000000"/>
              </w:rPr>
              <w:t>Age at assessment, years</w:t>
            </w:r>
            <w:r w:rsidR="00672E68">
              <w:rPr>
                <w:rFonts w:ascii="Times New Roman" w:eastAsia="Times New Roman" w:hAnsi="Times New Roman" w:cs="Times New Roman"/>
                <w:i/>
                <w:iCs/>
                <w:color w:val="000000"/>
              </w:rPr>
              <w:t xml:space="preserve"> (IQR)</w:t>
            </w:r>
          </w:p>
        </w:tc>
        <w:tc>
          <w:tcPr>
            <w:tcW w:w="3098" w:type="dxa"/>
            <w:tcBorders>
              <w:top w:val="nil"/>
              <w:left w:val="nil"/>
              <w:bottom w:val="nil"/>
              <w:right w:val="nil"/>
            </w:tcBorders>
            <w:shd w:val="clear" w:color="auto" w:fill="auto"/>
            <w:noWrap/>
            <w:hideMark/>
          </w:tcPr>
          <w:p w14:paraId="00828A3C" w14:textId="6D61B513" w:rsidR="00B82490" w:rsidRPr="00D041C0" w:rsidRDefault="00B82490" w:rsidP="002655CE">
            <w:pPr>
              <w:spacing w:after="0" w:line="360" w:lineRule="auto"/>
              <w:ind w:firstLine="0"/>
              <w:jc w:val="right"/>
              <w:rPr>
                <w:rFonts w:ascii="Times New Roman" w:eastAsia="Times New Roman" w:hAnsi="Times New Roman" w:cs="Times New Roman"/>
                <w:color w:val="000000"/>
              </w:rPr>
            </w:pPr>
            <w:r w:rsidRPr="00D041C0">
              <w:rPr>
                <w:rFonts w:ascii="Times New Roman" w:hAnsi="Times New Roman" w:cs="Times New Roman"/>
              </w:rPr>
              <w:t>9.06 (8.98, 9.19)</w:t>
            </w:r>
          </w:p>
        </w:tc>
        <w:tc>
          <w:tcPr>
            <w:tcW w:w="2686" w:type="dxa"/>
            <w:tcBorders>
              <w:top w:val="nil"/>
              <w:left w:val="nil"/>
              <w:bottom w:val="nil"/>
              <w:right w:val="nil"/>
            </w:tcBorders>
            <w:shd w:val="clear" w:color="auto" w:fill="auto"/>
            <w:noWrap/>
            <w:hideMark/>
          </w:tcPr>
          <w:p w14:paraId="2AFDD599" w14:textId="54CEE41D" w:rsidR="00B82490" w:rsidRPr="00D041C0" w:rsidRDefault="00B82490" w:rsidP="002655CE">
            <w:pPr>
              <w:spacing w:after="0" w:line="360" w:lineRule="auto"/>
              <w:ind w:firstLine="0"/>
              <w:jc w:val="right"/>
              <w:rPr>
                <w:rFonts w:ascii="Times New Roman" w:eastAsia="Times New Roman" w:hAnsi="Times New Roman" w:cs="Times New Roman"/>
                <w:color w:val="000000"/>
              </w:rPr>
            </w:pPr>
            <w:r w:rsidRPr="00D041C0">
              <w:rPr>
                <w:rFonts w:ascii="Times New Roman" w:hAnsi="Times New Roman" w:cs="Times New Roman"/>
              </w:rPr>
              <w:t>9.10 (9.00, 9.28)</w:t>
            </w:r>
          </w:p>
        </w:tc>
      </w:tr>
      <w:tr w:rsidR="00B82490" w:rsidRPr="00D041C0" w14:paraId="3894F117" w14:textId="77777777" w:rsidTr="00BD7BB5">
        <w:trPr>
          <w:trHeight w:val="310"/>
        </w:trPr>
        <w:tc>
          <w:tcPr>
            <w:tcW w:w="3544" w:type="dxa"/>
            <w:tcBorders>
              <w:top w:val="nil"/>
              <w:left w:val="nil"/>
              <w:bottom w:val="nil"/>
              <w:right w:val="nil"/>
            </w:tcBorders>
            <w:shd w:val="clear" w:color="auto" w:fill="auto"/>
            <w:noWrap/>
            <w:vAlign w:val="center"/>
            <w:hideMark/>
          </w:tcPr>
          <w:p w14:paraId="55DAFAF2" w14:textId="2D97B053" w:rsidR="00B82490" w:rsidRPr="00672E68" w:rsidRDefault="00B82490" w:rsidP="002655CE">
            <w:pPr>
              <w:spacing w:after="0" w:line="360" w:lineRule="auto"/>
              <w:ind w:firstLine="0"/>
              <w:rPr>
                <w:rFonts w:ascii="Times New Roman" w:eastAsia="Times New Roman" w:hAnsi="Times New Roman" w:cs="Times New Roman"/>
                <w:i/>
                <w:iCs/>
                <w:color w:val="000000"/>
              </w:rPr>
            </w:pPr>
            <w:r w:rsidRPr="00D041C0">
              <w:rPr>
                <w:rFonts w:ascii="Times New Roman" w:eastAsia="Times New Roman" w:hAnsi="Times New Roman" w:cs="Times New Roman"/>
                <w:i/>
                <w:iCs/>
                <w:color w:val="000000"/>
              </w:rPr>
              <w:t>BMI, kg/m</w:t>
            </w:r>
            <w:r w:rsidRPr="00D041C0">
              <w:rPr>
                <w:rFonts w:ascii="Times New Roman" w:eastAsia="Times New Roman" w:hAnsi="Times New Roman" w:cs="Times New Roman"/>
                <w:i/>
                <w:iCs/>
                <w:color w:val="000000"/>
                <w:vertAlign w:val="superscript"/>
              </w:rPr>
              <w:t>2</w:t>
            </w:r>
            <w:r w:rsidR="00672E68">
              <w:rPr>
                <w:rFonts w:ascii="Times New Roman" w:eastAsia="Times New Roman" w:hAnsi="Times New Roman" w:cs="Times New Roman"/>
                <w:i/>
                <w:iCs/>
                <w:color w:val="000000"/>
              </w:rPr>
              <w:t xml:space="preserve"> (IQR)</w:t>
            </w:r>
          </w:p>
        </w:tc>
        <w:tc>
          <w:tcPr>
            <w:tcW w:w="3098" w:type="dxa"/>
            <w:tcBorders>
              <w:top w:val="nil"/>
              <w:left w:val="nil"/>
              <w:bottom w:val="nil"/>
              <w:right w:val="nil"/>
            </w:tcBorders>
            <w:shd w:val="clear" w:color="auto" w:fill="auto"/>
            <w:noWrap/>
            <w:hideMark/>
          </w:tcPr>
          <w:p w14:paraId="4CD9FE5D" w14:textId="729ED399" w:rsidR="00B82490" w:rsidRPr="00D041C0" w:rsidRDefault="00B82490" w:rsidP="002655CE">
            <w:pPr>
              <w:spacing w:after="0" w:line="360" w:lineRule="auto"/>
              <w:ind w:firstLine="0"/>
              <w:jc w:val="right"/>
              <w:rPr>
                <w:rFonts w:ascii="Times New Roman" w:eastAsia="Times New Roman" w:hAnsi="Times New Roman" w:cs="Times New Roman"/>
                <w:color w:val="000000"/>
              </w:rPr>
            </w:pPr>
            <w:r w:rsidRPr="00D041C0">
              <w:rPr>
                <w:rFonts w:ascii="Times New Roman" w:hAnsi="Times New Roman" w:cs="Times New Roman"/>
              </w:rPr>
              <w:t>16.32 (15.09, 17.85)</w:t>
            </w:r>
          </w:p>
        </w:tc>
        <w:tc>
          <w:tcPr>
            <w:tcW w:w="2686" w:type="dxa"/>
            <w:tcBorders>
              <w:top w:val="nil"/>
              <w:left w:val="nil"/>
              <w:bottom w:val="nil"/>
              <w:right w:val="nil"/>
            </w:tcBorders>
            <w:shd w:val="clear" w:color="auto" w:fill="auto"/>
            <w:noWrap/>
            <w:hideMark/>
          </w:tcPr>
          <w:p w14:paraId="62001791" w14:textId="79D81513" w:rsidR="00B82490" w:rsidRPr="00D041C0" w:rsidRDefault="00B82490" w:rsidP="002655CE">
            <w:pPr>
              <w:spacing w:after="0" w:line="360" w:lineRule="auto"/>
              <w:ind w:firstLine="0"/>
              <w:jc w:val="right"/>
              <w:rPr>
                <w:rFonts w:ascii="Times New Roman" w:eastAsia="Times New Roman" w:hAnsi="Times New Roman" w:cs="Times New Roman"/>
                <w:color w:val="000000"/>
              </w:rPr>
            </w:pPr>
            <w:r w:rsidRPr="00D041C0">
              <w:rPr>
                <w:rFonts w:ascii="Times New Roman" w:hAnsi="Times New Roman" w:cs="Times New Roman"/>
              </w:rPr>
              <w:t>16.71 (15.06, 18.66)</w:t>
            </w:r>
          </w:p>
        </w:tc>
      </w:tr>
      <w:tr w:rsidR="00146674" w:rsidRPr="00D041C0" w14:paraId="01990175" w14:textId="77777777" w:rsidTr="00BD7BB5">
        <w:trPr>
          <w:trHeight w:val="310"/>
        </w:trPr>
        <w:tc>
          <w:tcPr>
            <w:tcW w:w="3544" w:type="dxa"/>
            <w:tcBorders>
              <w:top w:val="nil"/>
              <w:left w:val="nil"/>
              <w:bottom w:val="nil"/>
              <w:right w:val="nil"/>
            </w:tcBorders>
            <w:shd w:val="clear" w:color="auto" w:fill="auto"/>
            <w:noWrap/>
            <w:vAlign w:val="center"/>
          </w:tcPr>
          <w:p w14:paraId="02D04D6C" w14:textId="033BB6B9" w:rsidR="00146674" w:rsidRPr="00D041C0" w:rsidRDefault="00146674" w:rsidP="002655CE">
            <w:pPr>
              <w:spacing w:after="0" w:line="360" w:lineRule="auto"/>
              <w:ind w:firstLine="0"/>
              <w:rPr>
                <w:rFonts w:ascii="Times New Roman" w:eastAsia="Times New Roman" w:hAnsi="Times New Roman" w:cs="Times New Roman"/>
                <w:i/>
                <w:iCs/>
                <w:color w:val="000000"/>
              </w:rPr>
            </w:pPr>
            <w:r w:rsidRPr="00D041C0">
              <w:rPr>
                <w:rFonts w:ascii="Times New Roman" w:eastAsia="Times New Roman" w:hAnsi="Times New Roman" w:cs="Times New Roman"/>
                <w:i/>
                <w:iCs/>
                <w:color w:val="000000"/>
              </w:rPr>
              <w:t>Condition</w:t>
            </w:r>
          </w:p>
        </w:tc>
        <w:tc>
          <w:tcPr>
            <w:tcW w:w="3098" w:type="dxa"/>
            <w:tcBorders>
              <w:top w:val="nil"/>
              <w:left w:val="nil"/>
              <w:bottom w:val="nil"/>
              <w:right w:val="nil"/>
            </w:tcBorders>
            <w:shd w:val="clear" w:color="auto" w:fill="auto"/>
            <w:noWrap/>
            <w:vAlign w:val="center"/>
          </w:tcPr>
          <w:p w14:paraId="0C36D7D1" w14:textId="77777777" w:rsidR="00146674" w:rsidRPr="00D041C0" w:rsidRDefault="00146674" w:rsidP="002655CE">
            <w:pPr>
              <w:spacing w:after="0" w:line="360" w:lineRule="auto"/>
              <w:ind w:firstLine="0"/>
              <w:jc w:val="right"/>
              <w:rPr>
                <w:rFonts w:ascii="Times New Roman" w:eastAsia="Times New Roman" w:hAnsi="Times New Roman" w:cs="Times New Roman"/>
                <w:color w:val="000000"/>
              </w:rPr>
            </w:pPr>
          </w:p>
        </w:tc>
        <w:tc>
          <w:tcPr>
            <w:tcW w:w="2686" w:type="dxa"/>
            <w:tcBorders>
              <w:top w:val="nil"/>
              <w:left w:val="nil"/>
              <w:bottom w:val="nil"/>
              <w:right w:val="nil"/>
            </w:tcBorders>
            <w:shd w:val="clear" w:color="auto" w:fill="auto"/>
            <w:noWrap/>
            <w:vAlign w:val="center"/>
          </w:tcPr>
          <w:p w14:paraId="2F022D85" w14:textId="77777777" w:rsidR="00146674" w:rsidRPr="00D041C0" w:rsidRDefault="00146674" w:rsidP="002655CE">
            <w:pPr>
              <w:spacing w:after="0" w:line="360" w:lineRule="auto"/>
              <w:ind w:firstLine="0"/>
              <w:jc w:val="right"/>
              <w:rPr>
                <w:rFonts w:ascii="Times New Roman" w:eastAsia="Times New Roman" w:hAnsi="Times New Roman" w:cs="Times New Roman"/>
                <w:color w:val="000000"/>
              </w:rPr>
            </w:pPr>
          </w:p>
        </w:tc>
      </w:tr>
      <w:tr w:rsidR="00146674" w:rsidRPr="00D041C0" w14:paraId="5BFBA036" w14:textId="77777777" w:rsidTr="00BD7BB5">
        <w:trPr>
          <w:trHeight w:val="310"/>
        </w:trPr>
        <w:tc>
          <w:tcPr>
            <w:tcW w:w="3544" w:type="dxa"/>
            <w:tcBorders>
              <w:top w:val="nil"/>
              <w:left w:val="nil"/>
              <w:bottom w:val="nil"/>
              <w:right w:val="nil"/>
            </w:tcBorders>
            <w:shd w:val="clear" w:color="auto" w:fill="auto"/>
            <w:noWrap/>
            <w:vAlign w:val="center"/>
            <w:hideMark/>
          </w:tcPr>
          <w:p w14:paraId="44F1C9E9" w14:textId="7591AD40" w:rsidR="00146674" w:rsidRPr="00D041C0" w:rsidRDefault="00146674" w:rsidP="002655CE">
            <w:pPr>
              <w:spacing w:after="0" w:line="360" w:lineRule="auto"/>
              <w:ind w:firstLine="0"/>
              <w:rPr>
                <w:rFonts w:ascii="Times New Roman" w:eastAsia="Times New Roman" w:hAnsi="Times New Roman" w:cs="Times New Roman"/>
                <w:color w:val="000000"/>
              </w:rPr>
            </w:pPr>
            <w:r w:rsidRPr="00D041C0">
              <w:rPr>
                <w:rFonts w:ascii="Times New Roman" w:eastAsia="Times New Roman" w:hAnsi="Times New Roman" w:cs="Times New Roman"/>
                <w:color w:val="000000"/>
              </w:rPr>
              <w:t>    ADHD</w:t>
            </w:r>
          </w:p>
        </w:tc>
        <w:tc>
          <w:tcPr>
            <w:tcW w:w="3098" w:type="dxa"/>
            <w:tcBorders>
              <w:top w:val="nil"/>
              <w:left w:val="nil"/>
              <w:bottom w:val="nil"/>
              <w:right w:val="nil"/>
            </w:tcBorders>
            <w:shd w:val="clear" w:color="auto" w:fill="auto"/>
            <w:noWrap/>
            <w:vAlign w:val="center"/>
            <w:hideMark/>
          </w:tcPr>
          <w:p w14:paraId="0ADBBF39" w14:textId="4196D05E" w:rsidR="00146674" w:rsidRPr="00D041C0" w:rsidRDefault="00146674" w:rsidP="002655CE">
            <w:pPr>
              <w:spacing w:after="0" w:line="360" w:lineRule="auto"/>
              <w:ind w:firstLine="0"/>
              <w:jc w:val="right"/>
              <w:rPr>
                <w:rFonts w:ascii="Times New Roman" w:eastAsia="Times New Roman" w:hAnsi="Times New Roman" w:cs="Times New Roman"/>
                <w:color w:val="000000"/>
              </w:rPr>
            </w:pPr>
            <w:r w:rsidRPr="00D041C0">
              <w:rPr>
                <w:rFonts w:ascii="Times New Roman" w:eastAsia="Times New Roman" w:hAnsi="Times New Roman" w:cs="Times New Roman"/>
                <w:color w:val="000000"/>
              </w:rPr>
              <w:t>0 (0)</w:t>
            </w:r>
          </w:p>
        </w:tc>
        <w:tc>
          <w:tcPr>
            <w:tcW w:w="2686" w:type="dxa"/>
            <w:tcBorders>
              <w:top w:val="nil"/>
              <w:left w:val="nil"/>
              <w:bottom w:val="nil"/>
              <w:right w:val="nil"/>
            </w:tcBorders>
            <w:shd w:val="clear" w:color="auto" w:fill="auto"/>
            <w:noWrap/>
            <w:vAlign w:val="center"/>
            <w:hideMark/>
          </w:tcPr>
          <w:p w14:paraId="2B439D70" w14:textId="779C62D4" w:rsidR="00146674" w:rsidRPr="00D041C0" w:rsidRDefault="00146674" w:rsidP="002655CE">
            <w:pPr>
              <w:spacing w:after="0" w:line="360" w:lineRule="auto"/>
              <w:ind w:firstLine="0"/>
              <w:jc w:val="right"/>
              <w:rPr>
                <w:rFonts w:ascii="Times New Roman" w:eastAsia="Times New Roman" w:hAnsi="Times New Roman" w:cs="Times New Roman"/>
                <w:color w:val="000000"/>
              </w:rPr>
            </w:pPr>
            <w:r w:rsidRPr="00D041C0">
              <w:rPr>
                <w:rFonts w:ascii="Times New Roman" w:eastAsia="Times New Roman" w:hAnsi="Times New Roman" w:cs="Times New Roman"/>
                <w:color w:val="000000"/>
              </w:rPr>
              <w:t>621 (25)</w:t>
            </w:r>
          </w:p>
        </w:tc>
      </w:tr>
      <w:tr w:rsidR="00E4246C" w:rsidRPr="00D041C0" w14:paraId="36DB49D2" w14:textId="77777777" w:rsidTr="00BD7BB5">
        <w:trPr>
          <w:trHeight w:val="310"/>
        </w:trPr>
        <w:tc>
          <w:tcPr>
            <w:tcW w:w="3544" w:type="dxa"/>
            <w:tcBorders>
              <w:top w:val="nil"/>
              <w:left w:val="nil"/>
              <w:bottom w:val="nil"/>
              <w:right w:val="nil"/>
            </w:tcBorders>
            <w:shd w:val="clear" w:color="auto" w:fill="auto"/>
            <w:noWrap/>
            <w:vAlign w:val="center"/>
          </w:tcPr>
          <w:p w14:paraId="5363A367" w14:textId="6D745BAA" w:rsidR="00E4246C" w:rsidRPr="00D041C0" w:rsidRDefault="00E4246C" w:rsidP="002655CE">
            <w:pPr>
              <w:spacing w:after="0" w:line="360" w:lineRule="auto"/>
              <w:ind w:firstLine="0"/>
              <w:rPr>
                <w:rFonts w:ascii="Times New Roman" w:eastAsia="Times New Roman" w:hAnsi="Times New Roman" w:cs="Times New Roman"/>
                <w:color w:val="000000"/>
              </w:rPr>
            </w:pPr>
            <w:r w:rsidRPr="00D041C0">
              <w:rPr>
                <w:rFonts w:ascii="Times New Roman" w:eastAsia="Times New Roman" w:hAnsi="Times New Roman" w:cs="Times New Roman"/>
                <w:color w:val="000000"/>
              </w:rPr>
              <w:t>    </w:t>
            </w:r>
            <w:r w:rsidR="00E82761">
              <w:rPr>
                <w:rFonts w:ascii="Times New Roman" w:eastAsia="Times New Roman" w:hAnsi="Times New Roman" w:cs="Times New Roman"/>
                <w:color w:val="000000"/>
              </w:rPr>
              <w:t>ASD</w:t>
            </w:r>
          </w:p>
        </w:tc>
        <w:tc>
          <w:tcPr>
            <w:tcW w:w="3098" w:type="dxa"/>
            <w:tcBorders>
              <w:top w:val="nil"/>
              <w:left w:val="nil"/>
              <w:bottom w:val="nil"/>
              <w:right w:val="nil"/>
            </w:tcBorders>
            <w:shd w:val="clear" w:color="auto" w:fill="auto"/>
            <w:noWrap/>
            <w:vAlign w:val="center"/>
          </w:tcPr>
          <w:p w14:paraId="308080DC" w14:textId="64DE10FA" w:rsidR="00E4246C" w:rsidRPr="00D041C0" w:rsidRDefault="00E4246C" w:rsidP="002655CE">
            <w:pPr>
              <w:spacing w:after="0" w:line="360" w:lineRule="auto"/>
              <w:ind w:firstLine="0"/>
              <w:jc w:val="right"/>
              <w:rPr>
                <w:rFonts w:ascii="Times New Roman" w:eastAsia="Times New Roman" w:hAnsi="Times New Roman" w:cs="Times New Roman"/>
                <w:color w:val="000000"/>
              </w:rPr>
            </w:pPr>
            <w:r w:rsidRPr="00D041C0">
              <w:rPr>
                <w:rFonts w:ascii="Times New Roman" w:eastAsia="Times New Roman" w:hAnsi="Times New Roman" w:cs="Times New Roman"/>
                <w:color w:val="000000"/>
              </w:rPr>
              <w:t>0 (0)</w:t>
            </w:r>
          </w:p>
        </w:tc>
        <w:tc>
          <w:tcPr>
            <w:tcW w:w="2686" w:type="dxa"/>
            <w:tcBorders>
              <w:top w:val="nil"/>
              <w:left w:val="nil"/>
              <w:bottom w:val="nil"/>
              <w:right w:val="nil"/>
            </w:tcBorders>
            <w:shd w:val="clear" w:color="auto" w:fill="auto"/>
            <w:noWrap/>
            <w:vAlign w:val="center"/>
          </w:tcPr>
          <w:p w14:paraId="4CDC349D" w14:textId="7E349244" w:rsidR="00E4246C" w:rsidRPr="00D041C0" w:rsidRDefault="00E4246C" w:rsidP="002655CE">
            <w:pPr>
              <w:spacing w:after="0" w:line="360" w:lineRule="auto"/>
              <w:ind w:firstLine="0"/>
              <w:jc w:val="right"/>
              <w:rPr>
                <w:rFonts w:ascii="Times New Roman" w:eastAsia="Times New Roman" w:hAnsi="Times New Roman" w:cs="Times New Roman"/>
                <w:color w:val="000000"/>
              </w:rPr>
            </w:pPr>
            <w:r w:rsidRPr="00D041C0">
              <w:rPr>
                <w:rFonts w:ascii="Times New Roman" w:eastAsia="Times New Roman" w:hAnsi="Times New Roman" w:cs="Times New Roman"/>
                <w:color w:val="000000"/>
              </w:rPr>
              <w:t>471 (19)</w:t>
            </w:r>
          </w:p>
        </w:tc>
      </w:tr>
      <w:tr w:rsidR="00146674" w:rsidRPr="00D041C0" w14:paraId="6E4FA044" w14:textId="77777777" w:rsidTr="00BD7BB5">
        <w:trPr>
          <w:trHeight w:val="310"/>
        </w:trPr>
        <w:tc>
          <w:tcPr>
            <w:tcW w:w="3544" w:type="dxa"/>
            <w:tcBorders>
              <w:top w:val="nil"/>
              <w:left w:val="nil"/>
              <w:bottom w:val="nil"/>
              <w:right w:val="nil"/>
            </w:tcBorders>
            <w:shd w:val="clear" w:color="auto" w:fill="auto"/>
            <w:noWrap/>
            <w:vAlign w:val="center"/>
            <w:hideMark/>
          </w:tcPr>
          <w:p w14:paraId="5F3E1F3E" w14:textId="7F1D88D3" w:rsidR="00146674" w:rsidRPr="00D041C0" w:rsidRDefault="00146674" w:rsidP="002655CE">
            <w:pPr>
              <w:spacing w:after="0" w:line="360" w:lineRule="auto"/>
              <w:ind w:firstLine="0"/>
              <w:rPr>
                <w:rFonts w:ascii="Times New Roman" w:eastAsia="Times New Roman" w:hAnsi="Times New Roman" w:cs="Times New Roman"/>
                <w:color w:val="000000"/>
              </w:rPr>
            </w:pPr>
            <w:r w:rsidRPr="00D041C0">
              <w:rPr>
                <w:rFonts w:ascii="Times New Roman" w:eastAsia="Times New Roman" w:hAnsi="Times New Roman" w:cs="Times New Roman"/>
                <w:color w:val="000000"/>
              </w:rPr>
              <w:t>    </w:t>
            </w:r>
            <w:r w:rsidR="009C2AA2">
              <w:rPr>
                <w:rFonts w:ascii="Times New Roman" w:eastAsia="Times New Roman" w:hAnsi="Times New Roman" w:cs="Times New Roman"/>
                <w:color w:val="000000"/>
              </w:rPr>
              <w:t>LD</w:t>
            </w:r>
          </w:p>
        </w:tc>
        <w:tc>
          <w:tcPr>
            <w:tcW w:w="3098" w:type="dxa"/>
            <w:tcBorders>
              <w:top w:val="nil"/>
              <w:left w:val="nil"/>
              <w:bottom w:val="nil"/>
              <w:right w:val="nil"/>
            </w:tcBorders>
            <w:shd w:val="clear" w:color="auto" w:fill="auto"/>
            <w:noWrap/>
            <w:vAlign w:val="center"/>
            <w:hideMark/>
          </w:tcPr>
          <w:p w14:paraId="6D416F61" w14:textId="51C47100" w:rsidR="00146674" w:rsidRPr="00D041C0" w:rsidRDefault="00146674" w:rsidP="002655CE">
            <w:pPr>
              <w:spacing w:after="0" w:line="360" w:lineRule="auto"/>
              <w:ind w:firstLine="0"/>
              <w:jc w:val="right"/>
              <w:rPr>
                <w:rFonts w:ascii="Times New Roman" w:eastAsia="Times New Roman" w:hAnsi="Times New Roman" w:cs="Times New Roman"/>
                <w:color w:val="000000"/>
              </w:rPr>
            </w:pPr>
            <w:r w:rsidRPr="00D041C0">
              <w:rPr>
                <w:rFonts w:ascii="Times New Roman" w:eastAsia="Times New Roman" w:hAnsi="Times New Roman" w:cs="Times New Roman"/>
                <w:color w:val="000000"/>
              </w:rPr>
              <w:t>0 (0)</w:t>
            </w:r>
          </w:p>
        </w:tc>
        <w:tc>
          <w:tcPr>
            <w:tcW w:w="2686" w:type="dxa"/>
            <w:tcBorders>
              <w:top w:val="nil"/>
              <w:left w:val="nil"/>
              <w:bottom w:val="nil"/>
              <w:right w:val="nil"/>
            </w:tcBorders>
            <w:shd w:val="clear" w:color="auto" w:fill="auto"/>
            <w:noWrap/>
            <w:vAlign w:val="center"/>
            <w:hideMark/>
          </w:tcPr>
          <w:p w14:paraId="025ABEA0" w14:textId="45884957" w:rsidR="00146674" w:rsidRPr="00D041C0" w:rsidRDefault="00146674" w:rsidP="002655CE">
            <w:pPr>
              <w:spacing w:after="0" w:line="360" w:lineRule="auto"/>
              <w:ind w:firstLine="0"/>
              <w:jc w:val="right"/>
              <w:rPr>
                <w:rFonts w:ascii="Times New Roman" w:eastAsia="Times New Roman" w:hAnsi="Times New Roman" w:cs="Times New Roman"/>
                <w:color w:val="000000"/>
              </w:rPr>
            </w:pPr>
            <w:r w:rsidRPr="00D041C0">
              <w:rPr>
                <w:rFonts w:ascii="Times New Roman" w:eastAsia="Times New Roman" w:hAnsi="Times New Roman" w:cs="Times New Roman"/>
                <w:color w:val="000000"/>
              </w:rPr>
              <w:t>392 (16)</w:t>
            </w:r>
          </w:p>
        </w:tc>
      </w:tr>
      <w:tr w:rsidR="00F648D1" w:rsidRPr="00D041C0" w14:paraId="74248B66" w14:textId="77777777" w:rsidTr="00BD7BB5">
        <w:trPr>
          <w:trHeight w:val="310"/>
        </w:trPr>
        <w:tc>
          <w:tcPr>
            <w:tcW w:w="3544" w:type="dxa"/>
            <w:tcBorders>
              <w:top w:val="nil"/>
              <w:left w:val="nil"/>
              <w:bottom w:val="nil"/>
              <w:right w:val="nil"/>
            </w:tcBorders>
            <w:shd w:val="clear" w:color="auto" w:fill="auto"/>
            <w:noWrap/>
            <w:vAlign w:val="center"/>
          </w:tcPr>
          <w:p w14:paraId="0A828279" w14:textId="5215942A" w:rsidR="00F648D1" w:rsidRPr="00F648D1" w:rsidRDefault="00F648D1" w:rsidP="002655CE">
            <w:pPr>
              <w:spacing w:after="0" w:line="360" w:lineRule="auto"/>
              <w:ind w:firstLine="0"/>
              <w:rPr>
                <w:rFonts w:ascii="Times New Roman" w:eastAsia="Times New Roman" w:hAnsi="Times New Roman" w:cs="Times New Roman"/>
                <w:i/>
                <w:iCs/>
                <w:color w:val="000000"/>
              </w:rPr>
            </w:pPr>
            <w:r w:rsidRPr="00F648D1">
              <w:rPr>
                <w:rFonts w:ascii="Times New Roman" w:eastAsia="Times New Roman" w:hAnsi="Times New Roman" w:cs="Times New Roman"/>
                <w:i/>
                <w:iCs/>
                <w:color w:val="000000"/>
              </w:rPr>
              <w:t>N individuals per cohort</w:t>
            </w:r>
          </w:p>
        </w:tc>
        <w:tc>
          <w:tcPr>
            <w:tcW w:w="3098" w:type="dxa"/>
            <w:tcBorders>
              <w:top w:val="nil"/>
              <w:left w:val="nil"/>
              <w:bottom w:val="nil"/>
              <w:right w:val="nil"/>
            </w:tcBorders>
            <w:shd w:val="clear" w:color="auto" w:fill="auto"/>
            <w:noWrap/>
            <w:vAlign w:val="center"/>
          </w:tcPr>
          <w:p w14:paraId="4BD4113B" w14:textId="77777777" w:rsidR="00F648D1" w:rsidRPr="00D041C0" w:rsidRDefault="00F648D1" w:rsidP="002655CE">
            <w:pPr>
              <w:spacing w:after="0" w:line="360" w:lineRule="auto"/>
              <w:ind w:firstLine="0"/>
              <w:jc w:val="right"/>
              <w:rPr>
                <w:rFonts w:ascii="Times New Roman" w:eastAsia="Times New Roman" w:hAnsi="Times New Roman" w:cs="Times New Roman"/>
                <w:color w:val="000000"/>
              </w:rPr>
            </w:pPr>
          </w:p>
        </w:tc>
        <w:tc>
          <w:tcPr>
            <w:tcW w:w="2686" w:type="dxa"/>
            <w:tcBorders>
              <w:top w:val="nil"/>
              <w:left w:val="nil"/>
              <w:bottom w:val="nil"/>
              <w:right w:val="nil"/>
            </w:tcBorders>
            <w:shd w:val="clear" w:color="auto" w:fill="auto"/>
            <w:noWrap/>
            <w:vAlign w:val="center"/>
          </w:tcPr>
          <w:p w14:paraId="21A5E3E5" w14:textId="77777777" w:rsidR="00F648D1" w:rsidRPr="00D041C0" w:rsidRDefault="00F648D1" w:rsidP="002655CE">
            <w:pPr>
              <w:spacing w:after="0" w:line="360" w:lineRule="auto"/>
              <w:ind w:firstLine="0"/>
              <w:jc w:val="right"/>
              <w:rPr>
                <w:rFonts w:ascii="Times New Roman" w:eastAsia="Times New Roman" w:hAnsi="Times New Roman" w:cs="Times New Roman"/>
                <w:color w:val="000000"/>
              </w:rPr>
            </w:pPr>
          </w:p>
        </w:tc>
      </w:tr>
      <w:tr w:rsidR="00F648D1" w:rsidRPr="00D041C0" w14:paraId="61E0A8D8" w14:textId="77777777" w:rsidTr="00BD7BB5">
        <w:trPr>
          <w:trHeight w:val="310"/>
        </w:trPr>
        <w:tc>
          <w:tcPr>
            <w:tcW w:w="3544" w:type="dxa"/>
            <w:tcBorders>
              <w:top w:val="nil"/>
              <w:left w:val="nil"/>
              <w:bottom w:val="nil"/>
              <w:right w:val="nil"/>
            </w:tcBorders>
            <w:shd w:val="clear" w:color="auto" w:fill="auto"/>
            <w:noWrap/>
          </w:tcPr>
          <w:p w14:paraId="36BE600F" w14:textId="6BE83358" w:rsidR="00F648D1" w:rsidRPr="00F648D1" w:rsidRDefault="00F648D1" w:rsidP="00F648D1">
            <w:pPr>
              <w:spacing w:after="0" w:line="360" w:lineRule="auto"/>
              <w:ind w:left="318" w:firstLine="0"/>
              <w:rPr>
                <w:rFonts w:ascii="Times New Roman" w:eastAsia="Times New Roman" w:hAnsi="Times New Roman" w:cs="Times New Roman"/>
                <w:color w:val="000000"/>
              </w:rPr>
            </w:pPr>
            <w:r w:rsidRPr="00F648D1">
              <w:rPr>
                <w:rFonts w:ascii="Times New Roman" w:hAnsi="Times New Roman" w:cs="Times New Roman"/>
              </w:rPr>
              <w:t>200</w:t>
            </w:r>
            <w:r w:rsidR="00C66634">
              <w:rPr>
                <w:rFonts w:ascii="Times New Roman" w:hAnsi="Times New Roman" w:cs="Times New Roman"/>
              </w:rPr>
              <w:t>4</w:t>
            </w:r>
            <w:r w:rsidRPr="00F648D1">
              <w:rPr>
                <w:rFonts w:ascii="Times New Roman" w:hAnsi="Times New Roman" w:cs="Times New Roman"/>
              </w:rPr>
              <w:t>–2006</w:t>
            </w:r>
          </w:p>
        </w:tc>
        <w:tc>
          <w:tcPr>
            <w:tcW w:w="3098" w:type="dxa"/>
            <w:tcBorders>
              <w:top w:val="nil"/>
              <w:left w:val="nil"/>
              <w:bottom w:val="nil"/>
              <w:right w:val="nil"/>
            </w:tcBorders>
            <w:shd w:val="clear" w:color="auto" w:fill="auto"/>
            <w:noWrap/>
          </w:tcPr>
          <w:p w14:paraId="4077EF19" w14:textId="2B1AD5C2" w:rsidR="00F648D1" w:rsidRPr="00F648D1" w:rsidRDefault="00F648D1" w:rsidP="00F648D1">
            <w:pPr>
              <w:spacing w:after="0" w:line="360" w:lineRule="auto"/>
              <w:ind w:firstLine="0"/>
              <w:jc w:val="right"/>
              <w:rPr>
                <w:rFonts w:ascii="Times New Roman" w:eastAsia="Times New Roman" w:hAnsi="Times New Roman" w:cs="Times New Roman"/>
                <w:color w:val="000000"/>
              </w:rPr>
            </w:pPr>
            <w:r w:rsidRPr="00F648D1">
              <w:rPr>
                <w:rFonts w:ascii="Times New Roman" w:hAnsi="Times New Roman" w:cs="Times New Roman"/>
              </w:rPr>
              <w:t>4</w:t>
            </w:r>
            <w:r w:rsidR="000C5B3A">
              <w:rPr>
                <w:rFonts w:ascii="Times New Roman" w:hAnsi="Times New Roman" w:cs="Times New Roman"/>
              </w:rPr>
              <w:t>,</w:t>
            </w:r>
            <w:r w:rsidRPr="00F648D1">
              <w:rPr>
                <w:rFonts w:ascii="Times New Roman" w:hAnsi="Times New Roman" w:cs="Times New Roman"/>
              </w:rPr>
              <w:t>531</w:t>
            </w:r>
          </w:p>
        </w:tc>
        <w:tc>
          <w:tcPr>
            <w:tcW w:w="2686" w:type="dxa"/>
            <w:tcBorders>
              <w:top w:val="nil"/>
              <w:left w:val="nil"/>
              <w:bottom w:val="nil"/>
              <w:right w:val="nil"/>
            </w:tcBorders>
            <w:shd w:val="clear" w:color="auto" w:fill="auto"/>
            <w:noWrap/>
          </w:tcPr>
          <w:p w14:paraId="541C6F24" w14:textId="447E600F" w:rsidR="00F648D1" w:rsidRPr="00F648D1" w:rsidRDefault="00F648D1" w:rsidP="00F648D1">
            <w:pPr>
              <w:spacing w:after="0" w:line="360" w:lineRule="auto"/>
              <w:ind w:firstLine="0"/>
              <w:jc w:val="right"/>
              <w:rPr>
                <w:rFonts w:ascii="Times New Roman" w:eastAsia="Times New Roman" w:hAnsi="Times New Roman" w:cs="Times New Roman"/>
                <w:color w:val="000000"/>
              </w:rPr>
            </w:pPr>
            <w:r w:rsidRPr="00F648D1">
              <w:rPr>
                <w:rFonts w:ascii="Times New Roman" w:hAnsi="Times New Roman" w:cs="Times New Roman"/>
              </w:rPr>
              <w:t>155</w:t>
            </w:r>
          </w:p>
        </w:tc>
      </w:tr>
      <w:tr w:rsidR="00F648D1" w:rsidRPr="00D041C0" w14:paraId="2E783FE1" w14:textId="77777777" w:rsidTr="00BD7BB5">
        <w:trPr>
          <w:trHeight w:val="310"/>
        </w:trPr>
        <w:tc>
          <w:tcPr>
            <w:tcW w:w="3544" w:type="dxa"/>
            <w:tcBorders>
              <w:top w:val="nil"/>
              <w:left w:val="nil"/>
              <w:bottom w:val="nil"/>
              <w:right w:val="nil"/>
            </w:tcBorders>
            <w:shd w:val="clear" w:color="auto" w:fill="auto"/>
            <w:noWrap/>
          </w:tcPr>
          <w:p w14:paraId="51166481" w14:textId="3F380547" w:rsidR="00F648D1" w:rsidRPr="00F648D1" w:rsidRDefault="00F648D1" w:rsidP="00F648D1">
            <w:pPr>
              <w:spacing w:after="0" w:line="360" w:lineRule="auto"/>
              <w:ind w:left="318" w:firstLine="0"/>
              <w:rPr>
                <w:rFonts w:ascii="Times New Roman" w:eastAsia="Times New Roman" w:hAnsi="Times New Roman" w:cs="Times New Roman"/>
                <w:color w:val="000000"/>
              </w:rPr>
            </w:pPr>
            <w:r w:rsidRPr="00F648D1">
              <w:rPr>
                <w:rFonts w:ascii="Times New Roman" w:hAnsi="Times New Roman" w:cs="Times New Roman"/>
              </w:rPr>
              <w:t>2007–2009</w:t>
            </w:r>
          </w:p>
        </w:tc>
        <w:tc>
          <w:tcPr>
            <w:tcW w:w="3098" w:type="dxa"/>
            <w:tcBorders>
              <w:top w:val="nil"/>
              <w:left w:val="nil"/>
              <w:bottom w:val="nil"/>
              <w:right w:val="nil"/>
            </w:tcBorders>
            <w:shd w:val="clear" w:color="auto" w:fill="auto"/>
            <w:noWrap/>
          </w:tcPr>
          <w:p w14:paraId="631A8C84" w14:textId="3F872B4C" w:rsidR="00F648D1" w:rsidRPr="00F648D1" w:rsidRDefault="00F648D1" w:rsidP="00F648D1">
            <w:pPr>
              <w:spacing w:after="0" w:line="360" w:lineRule="auto"/>
              <w:ind w:firstLine="0"/>
              <w:jc w:val="right"/>
              <w:rPr>
                <w:rFonts w:ascii="Times New Roman" w:eastAsia="Times New Roman" w:hAnsi="Times New Roman" w:cs="Times New Roman"/>
                <w:color w:val="000000"/>
              </w:rPr>
            </w:pPr>
            <w:r w:rsidRPr="00F648D1">
              <w:rPr>
                <w:rFonts w:ascii="Times New Roman" w:hAnsi="Times New Roman" w:cs="Times New Roman"/>
              </w:rPr>
              <w:t>6</w:t>
            </w:r>
            <w:r w:rsidR="000C5B3A">
              <w:rPr>
                <w:rFonts w:ascii="Times New Roman" w:hAnsi="Times New Roman" w:cs="Times New Roman"/>
              </w:rPr>
              <w:t>,</w:t>
            </w:r>
            <w:r w:rsidRPr="00F648D1">
              <w:rPr>
                <w:rFonts w:ascii="Times New Roman" w:hAnsi="Times New Roman" w:cs="Times New Roman"/>
              </w:rPr>
              <w:t>034</w:t>
            </w:r>
          </w:p>
        </w:tc>
        <w:tc>
          <w:tcPr>
            <w:tcW w:w="2686" w:type="dxa"/>
            <w:tcBorders>
              <w:top w:val="nil"/>
              <w:left w:val="nil"/>
              <w:bottom w:val="nil"/>
              <w:right w:val="nil"/>
            </w:tcBorders>
            <w:shd w:val="clear" w:color="auto" w:fill="auto"/>
            <w:noWrap/>
          </w:tcPr>
          <w:p w14:paraId="0C8D9420" w14:textId="280B187C" w:rsidR="00F648D1" w:rsidRPr="00F648D1" w:rsidRDefault="00F648D1" w:rsidP="00F648D1">
            <w:pPr>
              <w:spacing w:after="0" w:line="360" w:lineRule="auto"/>
              <w:ind w:firstLine="0"/>
              <w:jc w:val="right"/>
              <w:rPr>
                <w:rFonts w:ascii="Times New Roman" w:eastAsia="Times New Roman" w:hAnsi="Times New Roman" w:cs="Times New Roman"/>
                <w:color w:val="000000"/>
              </w:rPr>
            </w:pPr>
            <w:r w:rsidRPr="00F648D1">
              <w:rPr>
                <w:rFonts w:ascii="Times New Roman" w:hAnsi="Times New Roman" w:cs="Times New Roman"/>
              </w:rPr>
              <w:t>256</w:t>
            </w:r>
          </w:p>
        </w:tc>
      </w:tr>
      <w:tr w:rsidR="00F648D1" w:rsidRPr="00D041C0" w14:paraId="3784F709" w14:textId="77777777" w:rsidTr="00BD7BB5">
        <w:trPr>
          <w:trHeight w:val="310"/>
        </w:trPr>
        <w:tc>
          <w:tcPr>
            <w:tcW w:w="3544" w:type="dxa"/>
            <w:tcBorders>
              <w:top w:val="nil"/>
              <w:left w:val="nil"/>
              <w:bottom w:val="nil"/>
              <w:right w:val="nil"/>
            </w:tcBorders>
            <w:shd w:val="clear" w:color="auto" w:fill="auto"/>
            <w:noWrap/>
          </w:tcPr>
          <w:p w14:paraId="20E86BAD" w14:textId="4CB70A7D" w:rsidR="00F648D1" w:rsidRPr="00F648D1" w:rsidRDefault="00F648D1" w:rsidP="00F648D1">
            <w:pPr>
              <w:spacing w:after="0" w:line="360" w:lineRule="auto"/>
              <w:ind w:left="318" w:firstLine="0"/>
              <w:rPr>
                <w:rFonts w:ascii="Times New Roman" w:eastAsia="Times New Roman" w:hAnsi="Times New Roman" w:cs="Times New Roman"/>
                <w:color w:val="000000"/>
              </w:rPr>
            </w:pPr>
            <w:r w:rsidRPr="00F648D1">
              <w:rPr>
                <w:rFonts w:ascii="Times New Roman" w:hAnsi="Times New Roman" w:cs="Times New Roman"/>
              </w:rPr>
              <w:t>2010–2012</w:t>
            </w:r>
          </w:p>
        </w:tc>
        <w:tc>
          <w:tcPr>
            <w:tcW w:w="3098" w:type="dxa"/>
            <w:tcBorders>
              <w:top w:val="nil"/>
              <w:left w:val="nil"/>
              <w:bottom w:val="nil"/>
              <w:right w:val="nil"/>
            </w:tcBorders>
            <w:shd w:val="clear" w:color="auto" w:fill="auto"/>
            <w:noWrap/>
          </w:tcPr>
          <w:p w14:paraId="0F7791D5" w14:textId="3F94E8D0" w:rsidR="00F648D1" w:rsidRPr="00F648D1" w:rsidRDefault="00F648D1" w:rsidP="00F648D1">
            <w:pPr>
              <w:spacing w:after="0" w:line="360" w:lineRule="auto"/>
              <w:ind w:firstLine="0"/>
              <w:jc w:val="right"/>
              <w:rPr>
                <w:rFonts w:ascii="Times New Roman" w:eastAsia="Times New Roman" w:hAnsi="Times New Roman" w:cs="Times New Roman"/>
                <w:color w:val="000000"/>
              </w:rPr>
            </w:pPr>
            <w:r w:rsidRPr="00F648D1">
              <w:rPr>
                <w:rFonts w:ascii="Times New Roman" w:hAnsi="Times New Roman" w:cs="Times New Roman"/>
              </w:rPr>
              <w:t>4</w:t>
            </w:r>
            <w:r w:rsidR="000C5B3A">
              <w:rPr>
                <w:rFonts w:ascii="Times New Roman" w:hAnsi="Times New Roman" w:cs="Times New Roman"/>
              </w:rPr>
              <w:t>,</w:t>
            </w:r>
            <w:r w:rsidRPr="00F648D1">
              <w:rPr>
                <w:rFonts w:ascii="Times New Roman" w:hAnsi="Times New Roman" w:cs="Times New Roman"/>
              </w:rPr>
              <w:t>999</w:t>
            </w:r>
          </w:p>
        </w:tc>
        <w:tc>
          <w:tcPr>
            <w:tcW w:w="2686" w:type="dxa"/>
            <w:tcBorders>
              <w:top w:val="nil"/>
              <w:left w:val="nil"/>
              <w:bottom w:val="nil"/>
              <w:right w:val="nil"/>
            </w:tcBorders>
            <w:shd w:val="clear" w:color="auto" w:fill="auto"/>
            <w:noWrap/>
          </w:tcPr>
          <w:p w14:paraId="792264E1" w14:textId="7975E78A" w:rsidR="00F648D1" w:rsidRPr="00F648D1" w:rsidRDefault="00F648D1" w:rsidP="00F648D1">
            <w:pPr>
              <w:spacing w:after="0" w:line="360" w:lineRule="auto"/>
              <w:ind w:firstLine="0"/>
              <w:jc w:val="right"/>
              <w:rPr>
                <w:rFonts w:ascii="Times New Roman" w:eastAsia="Times New Roman" w:hAnsi="Times New Roman" w:cs="Times New Roman"/>
                <w:color w:val="000000"/>
              </w:rPr>
            </w:pPr>
            <w:r w:rsidRPr="00F648D1">
              <w:rPr>
                <w:rFonts w:ascii="Times New Roman" w:hAnsi="Times New Roman" w:cs="Times New Roman"/>
              </w:rPr>
              <w:t>201</w:t>
            </w:r>
          </w:p>
        </w:tc>
      </w:tr>
      <w:tr w:rsidR="00F648D1" w:rsidRPr="00D041C0" w14:paraId="624A212A" w14:textId="77777777" w:rsidTr="00BD7BB5">
        <w:trPr>
          <w:trHeight w:val="310"/>
        </w:trPr>
        <w:tc>
          <w:tcPr>
            <w:tcW w:w="3544" w:type="dxa"/>
            <w:tcBorders>
              <w:top w:val="nil"/>
              <w:left w:val="nil"/>
              <w:bottom w:val="nil"/>
              <w:right w:val="nil"/>
            </w:tcBorders>
            <w:shd w:val="clear" w:color="auto" w:fill="auto"/>
            <w:noWrap/>
          </w:tcPr>
          <w:p w14:paraId="4CA8D5D4" w14:textId="3B409930" w:rsidR="00F648D1" w:rsidRPr="00F648D1" w:rsidRDefault="00F648D1" w:rsidP="00F648D1">
            <w:pPr>
              <w:spacing w:after="0" w:line="360" w:lineRule="auto"/>
              <w:ind w:left="318" w:firstLine="0"/>
              <w:rPr>
                <w:rFonts w:ascii="Times New Roman" w:eastAsia="Times New Roman" w:hAnsi="Times New Roman" w:cs="Times New Roman"/>
                <w:color w:val="000000"/>
              </w:rPr>
            </w:pPr>
            <w:r w:rsidRPr="00F648D1">
              <w:rPr>
                <w:rFonts w:ascii="Times New Roman" w:hAnsi="Times New Roman" w:cs="Times New Roman"/>
              </w:rPr>
              <w:t>2013–2015</w:t>
            </w:r>
          </w:p>
        </w:tc>
        <w:tc>
          <w:tcPr>
            <w:tcW w:w="3098" w:type="dxa"/>
            <w:tcBorders>
              <w:top w:val="nil"/>
              <w:left w:val="nil"/>
              <w:bottom w:val="nil"/>
              <w:right w:val="nil"/>
            </w:tcBorders>
            <w:shd w:val="clear" w:color="auto" w:fill="auto"/>
            <w:noWrap/>
          </w:tcPr>
          <w:p w14:paraId="041FFB83" w14:textId="4EB4441C" w:rsidR="00F648D1" w:rsidRPr="00F648D1" w:rsidRDefault="00F648D1" w:rsidP="00F648D1">
            <w:pPr>
              <w:spacing w:after="0" w:line="360" w:lineRule="auto"/>
              <w:ind w:firstLine="0"/>
              <w:jc w:val="right"/>
              <w:rPr>
                <w:rFonts w:ascii="Times New Roman" w:eastAsia="Times New Roman" w:hAnsi="Times New Roman" w:cs="Times New Roman"/>
                <w:color w:val="000000"/>
              </w:rPr>
            </w:pPr>
            <w:r w:rsidRPr="00F648D1">
              <w:rPr>
                <w:rFonts w:ascii="Times New Roman" w:hAnsi="Times New Roman" w:cs="Times New Roman"/>
              </w:rPr>
              <w:t>4</w:t>
            </w:r>
            <w:r w:rsidR="000C5B3A">
              <w:rPr>
                <w:rFonts w:ascii="Times New Roman" w:hAnsi="Times New Roman" w:cs="Times New Roman"/>
              </w:rPr>
              <w:t>,</w:t>
            </w:r>
            <w:r w:rsidRPr="00F648D1">
              <w:rPr>
                <w:rFonts w:ascii="Times New Roman" w:hAnsi="Times New Roman" w:cs="Times New Roman"/>
              </w:rPr>
              <w:t>168</w:t>
            </w:r>
          </w:p>
        </w:tc>
        <w:tc>
          <w:tcPr>
            <w:tcW w:w="2686" w:type="dxa"/>
            <w:tcBorders>
              <w:top w:val="nil"/>
              <w:left w:val="nil"/>
              <w:bottom w:val="nil"/>
              <w:right w:val="nil"/>
            </w:tcBorders>
            <w:shd w:val="clear" w:color="auto" w:fill="auto"/>
            <w:noWrap/>
          </w:tcPr>
          <w:p w14:paraId="5A008DBB" w14:textId="45617B7D" w:rsidR="00F648D1" w:rsidRPr="00F648D1" w:rsidRDefault="00F648D1" w:rsidP="00F648D1">
            <w:pPr>
              <w:spacing w:after="0" w:line="360" w:lineRule="auto"/>
              <w:ind w:firstLine="0"/>
              <w:jc w:val="right"/>
              <w:rPr>
                <w:rFonts w:ascii="Times New Roman" w:eastAsia="Times New Roman" w:hAnsi="Times New Roman" w:cs="Times New Roman"/>
                <w:color w:val="000000"/>
              </w:rPr>
            </w:pPr>
            <w:r w:rsidRPr="00F648D1">
              <w:rPr>
                <w:rFonts w:ascii="Times New Roman" w:hAnsi="Times New Roman" w:cs="Times New Roman"/>
              </w:rPr>
              <w:t>215</w:t>
            </w:r>
          </w:p>
        </w:tc>
      </w:tr>
      <w:tr w:rsidR="00F648D1" w:rsidRPr="00D041C0" w14:paraId="4512A0F4" w14:textId="77777777" w:rsidTr="00BD7BB5">
        <w:trPr>
          <w:trHeight w:val="310"/>
        </w:trPr>
        <w:tc>
          <w:tcPr>
            <w:tcW w:w="3544" w:type="dxa"/>
            <w:tcBorders>
              <w:top w:val="nil"/>
              <w:left w:val="nil"/>
              <w:bottom w:val="nil"/>
              <w:right w:val="nil"/>
            </w:tcBorders>
            <w:shd w:val="clear" w:color="auto" w:fill="auto"/>
            <w:noWrap/>
          </w:tcPr>
          <w:p w14:paraId="13EC90DC" w14:textId="47CB33C4" w:rsidR="00F648D1" w:rsidRPr="00F648D1" w:rsidRDefault="00F648D1" w:rsidP="00F648D1">
            <w:pPr>
              <w:spacing w:after="0" w:line="360" w:lineRule="auto"/>
              <w:ind w:left="318" w:firstLine="0"/>
              <w:rPr>
                <w:rFonts w:ascii="Times New Roman" w:eastAsia="Times New Roman" w:hAnsi="Times New Roman" w:cs="Times New Roman"/>
                <w:color w:val="000000"/>
              </w:rPr>
            </w:pPr>
            <w:r w:rsidRPr="00F648D1">
              <w:rPr>
                <w:rFonts w:ascii="Times New Roman" w:hAnsi="Times New Roman" w:cs="Times New Roman"/>
              </w:rPr>
              <w:t>2016–2020</w:t>
            </w:r>
          </w:p>
        </w:tc>
        <w:tc>
          <w:tcPr>
            <w:tcW w:w="3098" w:type="dxa"/>
            <w:tcBorders>
              <w:top w:val="nil"/>
              <w:left w:val="nil"/>
              <w:bottom w:val="nil"/>
              <w:right w:val="nil"/>
            </w:tcBorders>
            <w:shd w:val="clear" w:color="auto" w:fill="auto"/>
            <w:noWrap/>
          </w:tcPr>
          <w:p w14:paraId="757DF806" w14:textId="74A5CA20" w:rsidR="00F648D1" w:rsidRPr="00F648D1" w:rsidRDefault="00F648D1" w:rsidP="00F648D1">
            <w:pPr>
              <w:spacing w:after="0" w:line="360" w:lineRule="auto"/>
              <w:ind w:firstLine="0"/>
              <w:jc w:val="right"/>
              <w:rPr>
                <w:rFonts w:ascii="Times New Roman" w:eastAsia="Times New Roman" w:hAnsi="Times New Roman" w:cs="Times New Roman"/>
                <w:color w:val="000000"/>
              </w:rPr>
            </w:pPr>
            <w:r w:rsidRPr="00F648D1">
              <w:rPr>
                <w:rFonts w:ascii="Times New Roman" w:hAnsi="Times New Roman" w:cs="Times New Roman"/>
              </w:rPr>
              <w:t>4</w:t>
            </w:r>
            <w:r w:rsidR="000C5B3A">
              <w:rPr>
                <w:rFonts w:ascii="Times New Roman" w:hAnsi="Times New Roman" w:cs="Times New Roman"/>
              </w:rPr>
              <w:t>,</w:t>
            </w:r>
            <w:r w:rsidRPr="00F648D1">
              <w:rPr>
                <w:rFonts w:ascii="Times New Roman" w:hAnsi="Times New Roman" w:cs="Times New Roman"/>
              </w:rPr>
              <w:t>134</w:t>
            </w:r>
          </w:p>
        </w:tc>
        <w:tc>
          <w:tcPr>
            <w:tcW w:w="2686" w:type="dxa"/>
            <w:tcBorders>
              <w:top w:val="nil"/>
              <w:left w:val="nil"/>
              <w:bottom w:val="nil"/>
              <w:right w:val="nil"/>
            </w:tcBorders>
            <w:shd w:val="clear" w:color="auto" w:fill="auto"/>
            <w:noWrap/>
          </w:tcPr>
          <w:p w14:paraId="7CA0EF8B" w14:textId="2D0D632E" w:rsidR="00F648D1" w:rsidRPr="00F648D1" w:rsidRDefault="00F648D1" w:rsidP="00F648D1">
            <w:pPr>
              <w:spacing w:after="0" w:line="360" w:lineRule="auto"/>
              <w:ind w:firstLine="0"/>
              <w:jc w:val="right"/>
              <w:rPr>
                <w:rFonts w:ascii="Times New Roman" w:eastAsia="Times New Roman" w:hAnsi="Times New Roman" w:cs="Times New Roman"/>
                <w:color w:val="000000"/>
              </w:rPr>
            </w:pPr>
            <w:r w:rsidRPr="00F648D1">
              <w:rPr>
                <w:rFonts w:ascii="Times New Roman" w:hAnsi="Times New Roman" w:cs="Times New Roman"/>
              </w:rPr>
              <w:t>276</w:t>
            </w:r>
          </w:p>
        </w:tc>
      </w:tr>
      <w:tr w:rsidR="00146674" w:rsidRPr="00D041C0" w14:paraId="795DB7C5" w14:textId="77777777" w:rsidTr="00672E68">
        <w:trPr>
          <w:trHeight w:val="310"/>
        </w:trPr>
        <w:tc>
          <w:tcPr>
            <w:tcW w:w="6642" w:type="dxa"/>
            <w:gridSpan w:val="2"/>
            <w:tcBorders>
              <w:top w:val="nil"/>
              <w:left w:val="nil"/>
              <w:bottom w:val="nil"/>
              <w:right w:val="nil"/>
            </w:tcBorders>
            <w:shd w:val="clear" w:color="auto" w:fill="auto"/>
            <w:noWrap/>
            <w:vAlign w:val="center"/>
            <w:hideMark/>
          </w:tcPr>
          <w:p w14:paraId="3C8380F7" w14:textId="57519EA2" w:rsidR="00146674" w:rsidRPr="00D041C0" w:rsidRDefault="00146674" w:rsidP="002655CE">
            <w:pPr>
              <w:spacing w:after="0" w:line="360" w:lineRule="auto"/>
              <w:ind w:firstLine="0"/>
              <w:rPr>
                <w:rFonts w:ascii="Times New Roman" w:eastAsia="Times New Roman" w:hAnsi="Times New Roman" w:cs="Times New Roman"/>
                <w:i/>
                <w:iCs/>
                <w:color w:val="000000"/>
              </w:rPr>
            </w:pPr>
            <w:r w:rsidRPr="00D041C0">
              <w:rPr>
                <w:rFonts w:ascii="Times New Roman" w:eastAsia="Times New Roman" w:hAnsi="Times New Roman" w:cs="Times New Roman"/>
                <w:i/>
                <w:iCs/>
                <w:color w:val="000000"/>
              </w:rPr>
              <w:t xml:space="preserve">Mean BMI by </w:t>
            </w:r>
            <w:r w:rsidR="00681074" w:rsidRPr="00D041C0">
              <w:rPr>
                <w:rFonts w:ascii="Times New Roman" w:eastAsia="Times New Roman" w:hAnsi="Times New Roman" w:cs="Times New Roman"/>
                <w:i/>
                <w:iCs/>
                <w:color w:val="000000"/>
              </w:rPr>
              <w:t>p</w:t>
            </w:r>
            <w:r w:rsidRPr="00D041C0">
              <w:rPr>
                <w:rFonts w:ascii="Times New Roman" w:eastAsia="Times New Roman" w:hAnsi="Times New Roman" w:cs="Times New Roman"/>
                <w:i/>
                <w:iCs/>
                <w:color w:val="000000"/>
              </w:rPr>
              <w:t>eriod (</w:t>
            </w:r>
            <w:r w:rsidR="00041059" w:rsidRPr="00041059">
              <w:rPr>
                <w:rFonts w:ascii="Times New Roman" w:eastAsia="Times New Roman" w:hAnsi="Times New Roman" w:cs="Times New Roman"/>
                <w:i/>
                <w:iCs/>
                <w:color w:val="000000"/>
              </w:rPr>
              <w:t>15</w:t>
            </w:r>
            <w:r w:rsidR="00041059">
              <w:rPr>
                <w:rFonts w:ascii="Times New Roman" w:eastAsia="Times New Roman" w:hAnsi="Times New Roman" w:cs="Times New Roman"/>
                <w:i/>
                <w:iCs/>
                <w:color w:val="000000"/>
              </w:rPr>
              <w:t>-</w:t>
            </w:r>
            <w:r w:rsidR="00041059" w:rsidRPr="00041059">
              <w:rPr>
                <w:rFonts w:ascii="Times New Roman" w:eastAsia="Times New Roman" w:hAnsi="Times New Roman" w:cs="Times New Roman"/>
                <w:i/>
                <w:iCs/>
                <w:color w:val="000000"/>
              </w:rPr>
              <w:t>85</w:t>
            </w:r>
            <w:r w:rsidR="00041059" w:rsidRPr="00041059">
              <w:rPr>
                <w:rFonts w:ascii="Times New Roman" w:eastAsia="Times New Roman" w:hAnsi="Times New Roman" w:cs="Times New Roman"/>
                <w:i/>
                <w:iCs/>
                <w:color w:val="000000"/>
                <w:vertAlign w:val="superscript"/>
              </w:rPr>
              <w:t>th</w:t>
            </w:r>
            <w:r w:rsidR="00041059" w:rsidRPr="00041059">
              <w:rPr>
                <w:rFonts w:ascii="Times New Roman" w:eastAsia="Times New Roman" w:hAnsi="Times New Roman" w:cs="Times New Roman"/>
                <w:i/>
                <w:iCs/>
                <w:color w:val="000000"/>
              </w:rPr>
              <w:t xml:space="preserve"> percentiles</w:t>
            </w:r>
            <w:r w:rsidR="000822B5" w:rsidRPr="00D041C0">
              <w:rPr>
                <w:rFonts w:ascii="Times New Roman" w:eastAsia="Times New Roman" w:hAnsi="Times New Roman" w:cs="Times New Roman"/>
                <w:i/>
                <w:iCs/>
                <w:color w:val="000000"/>
              </w:rPr>
              <w:t>)</w:t>
            </w:r>
          </w:p>
        </w:tc>
        <w:tc>
          <w:tcPr>
            <w:tcW w:w="2686" w:type="dxa"/>
            <w:tcBorders>
              <w:top w:val="nil"/>
              <w:left w:val="nil"/>
              <w:bottom w:val="nil"/>
              <w:right w:val="nil"/>
            </w:tcBorders>
            <w:shd w:val="clear" w:color="auto" w:fill="auto"/>
            <w:noWrap/>
            <w:vAlign w:val="bottom"/>
            <w:hideMark/>
          </w:tcPr>
          <w:p w14:paraId="1BF74D50" w14:textId="77777777" w:rsidR="00146674" w:rsidRPr="00D041C0" w:rsidRDefault="00146674" w:rsidP="002655CE">
            <w:pPr>
              <w:spacing w:after="0" w:line="360" w:lineRule="auto"/>
              <w:ind w:firstLine="0"/>
              <w:rPr>
                <w:rFonts w:ascii="Times New Roman" w:eastAsia="Times New Roman" w:hAnsi="Times New Roman" w:cs="Times New Roman"/>
                <w:color w:val="000000"/>
              </w:rPr>
            </w:pPr>
          </w:p>
        </w:tc>
      </w:tr>
      <w:tr w:rsidR="00F80A56" w:rsidRPr="00D041C0" w14:paraId="36A21679" w14:textId="77777777" w:rsidTr="00BD7BB5">
        <w:trPr>
          <w:trHeight w:val="310"/>
        </w:trPr>
        <w:tc>
          <w:tcPr>
            <w:tcW w:w="3544" w:type="dxa"/>
            <w:tcBorders>
              <w:top w:val="nil"/>
              <w:left w:val="nil"/>
              <w:bottom w:val="nil"/>
              <w:right w:val="nil"/>
            </w:tcBorders>
            <w:shd w:val="clear" w:color="auto" w:fill="auto"/>
            <w:noWrap/>
            <w:hideMark/>
          </w:tcPr>
          <w:p w14:paraId="1B600C3C" w14:textId="2E027A69" w:rsidR="00F80A56" w:rsidRPr="00F80A56" w:rsidRDefault="00F80A56" w:rsidP="00722E8F">
            <w:pPr>
              <w:spacing w:after="0" w:line="360" w:lineRule="auto"/>
              <w:ind w:left="317" w:firstLine="0"/>
              <w:rPr>
                <w:rFonts w:ascii="Times New Roman" w:eastAsia="Times New Roman" w:hAnsi="Times New Roman" w:cs="Times New Roman"/>
                <w:color w:val="000000"/>
              </w:rPr>
            </w:pPr>
            <w:bookmarkStart w:id="11" w:name="_Hlk148969166"/>
            <w:r w:rsidRPr="00F80A56">
              <w:rPr>
                <w:rFonts w:ascii="Times New Roman" w:hAnsi="Times New Roman" w:cs="Times New Roman"/>
              </w:rPr>
              <w:t>200</w:t>
            </w:r>
            <w:r w:rsidR="006440B0">
              <w:rPr>
                <w:rFonts w:ascii="Times New Roman" w:hAnsi="Times New Roman" w:cs="Times New Roman"/>
              </w:rPr>
              <w:t>4</w:t>
            </w:r>
            <w:r w:rsidRPr="00F80A56">
              <w:rPr>
                <w:rFonts w:ascii="Times New Roman" w:hAnsi="Times New Roman" w:cs="Times New Roman"/>
              </w:rPr>
              <w:t>–2006</w:t>
            </w:r>
          </w:p>
        </w:tc>
        <w:tc>
          <w:tcPr>
            <w:tcW w:w="3098" w:type="dxa"/>
            <w:tcBorders>
              <w:top w:val="nil"/>
              <w:left w:val="nil"/>
              <w:bottom w:val="nil"/>
              <w:right w:val="nil"/>
            </w:tcBorders>
            <w:shd w:val="clear" w:color="auto" w:fill="auto"/>
            <w:noWrap/>
            <w:hideMark/>
          </w:tcPr>
          <w:p w14:paraId="4EC22373" w14:textId="0B7ACD70" w:rsidR="00F80A56" w:rsidRPr="00F80A56" w:rsidRDefault="00F80A56" w:rsidP="00F80A56">
            <w:pPr>
              <w:spacing w:after="0" w:line="360" w:lineRule="auto"/>
              <w:ind w:firstLine="0"/>
              <w:jc w:val="right"/>
              <w:rPr>
                <w:rFonts w:ascii="Times New Roman" w:eastAsia="Times New Roman" w:hAnsi="Times New Roman" w:cs="Times New Roman"/>
                <w:color w:val="000000"/>
              </w:rPr>
            </w:pPr>
            <w:r w:rsidRPr="00F80A56">
              <w:rPr>
                <w:rFonts w:ascii="Times New Roman" w:hAnsi="Times New Roman" w:cs="Times New Roman"/>
              </w:rPr>
              <w:t>16.67 (14.54, 18.92)</w:t>
            </w:r>
          </w:p>
        </w:tc>
        <w:tc>
          <w:tcPr>
            <w:tcW w:w="2686" w:type="dxa"/>
            <w:tcBorders>
              <w:top w:val="nil"/>
              <w:left w:val="nil"/>
              <w:bottom w:val="nil"/>
              <w:right w:val="nil"/>
            </w:tcBorders>
            <w:shd w:val="clear" w:color="auto" w:fill="auto"/>
            <w:noWrap/>
            <w:hideMark/>
          </w:tcPr>
          <w:p w14:paraId="08D6E1D3" w14:textId="77312431" w:rsidR="00F80A56" w:rsidRPr="00F80A56" w:rsidRDefault="00F80A56" w:rsidP="00F80A56">
            <w:pPr>
              <w:spacing w:after="0" w:line="360" w:lineRule="auto"/>
              <w:ind w:firstLine="0"/>
              <w:jc w:val="right"/>
              <w:rPr>
                <w:rFonts w:ascii="Times New Roman" w:eastAsia="Times New Roman" w:hAnsi="Times New Roman" w:cs="Times New Roman"/>
                <w:color w:val="000000"/>
              </w:rPr>
            </w:pPr>
            <w:r w:rsidRPr="00F80A56">
              <w:rPr>
                <w:rFonts w:ascii="Times New Roman" w:hAnsi="Times New Roman" w:cs="Times New Roman"/>
              </w:rPr>
              <w:t>16.79 (14.73, 19.45)</w:t>
            </w:r>
          </w:p>
        </w:tc>
      </w:tr>
      <w:bookmarkEnd w:id="11"/>
      <w:tr w:rsidR="00F80A56" w:rsidRPr="00D041C0" w14:paraId="04EB78CC" w14:textId="77777777" w:rsidTr="00BD7BB5">
        <w:trPr>
          <w:trHeight w:val="310"/>
        </w:trPr>
        <w:tc>
          <w:tcPr>
            <w:tcW w:w="3544" w:type="dxa"/>
            <w:tcBorders>
              <w:top w:val="nil"/>
              <w:left w:val="nil"/>
              <w:bottom w:val="nil"/>
              <w:right w:val="nil"/>
            </w:tcBorders>
            <w:shd w:val="clear" w:color="auto" w:fill="auto"/>
            <w:noWrap/>
            <w:hideMark/>
          </w:tcPr>
          <w:p w14:paraId="0344E9FD" w14:textId="3A08C5FC" w:rsidR="00F80A56" w:rsidRPr="00F80A56" w:rsidRDefault="00F80A56" w:rsidP="00722E8F">
            <w:pPr>
              <w:spacing w:after="0" w:line="360" w:lineRule="auto"/>
              <w:ind w:left="317" w:firstLine="0"/>
              <w:rPr>
                <w:rFonts w:ascii="Times New Roman" w:eastAsia="Times New Roman" w:hAnsi="Times New Roman" w:cs="Times New Roman"/>
                <w:color w:val="000000"/>
              </w:rPr>
            </w:pPr>
            <w:r w:rsidRPr="00F80A56">
              <w:rPr>
                <w:rFonts w:ascii="Times New Roman" w:hAnsi="Times New Roman" w:cs="Times New Roman"/>
              </w:rPr>
              <w:t>2007–2009</w:t>
            </w:r>
          </w:p>
        </w:tc>
        <w:tc>
          <w:tcPr>
            <w:tcW w:w="3098" w:type="dxa"/>
            <w:tcBorders>
              <w:top w:val="nil"/>
              <w:left w:val="nil"/>
              <w:bottom w:val="nil"/>
              <w:right w:val="nil"/>
            </w:tcBorders>
            <w:shd w:val="clear" w:color="auto" w:fill="auto"/>
            <w:noWrap/>
            <w:hideMark/>
          </w:tcPr>
          <w:p w14:paraId="05D15413" w14:textId="31CA7A6F" w:rsidR="00F80A56" w:rsidRPr="00F80A56" w:rsidRDefault="00F80A56" w:rsidP="00F80A56">
            <w:pPr>
              <w:spacing w:after="0" w:line="360" w:lineRule="auto"/>
              <w:ind w:firstLine="0"/>
              <w:jc w:val="right"/>
              <w:rPr>
                <w:rFonts w:ascii="Times New Roman" w:eastAsia="Times New Roman" w:hAnsi="Times New Roman" w:cs="Times New Roman"/>
                <w:color w:val="000000"/>
              </w:rPr>
            </w:pPr>
            <w:r w:rsidRPr="00F80A56">
              <w:rPr>
                <w:rFonts w:ascii="Times New Roman" w:hAnsi="Times New Roman" w:cs="Times New Roman"/>
              </w:rPr>
              <w:t>16.74 (14.54, 19.02)</w:t>
            </w:r>
          </w:p>
        </w:tc>
        <w:tc>
          <w:tcPr>
            <w:tcW w:w="2686" w:type="dxa"/>
            <w:tcBorders>
              <w:top w:val="nil"/>
              <w:left w:val="nil"/>
              <w:bottom w:val="nil"/>
              <w:right w:val="nil"/>
            </w:tcBorders>
            <w:shd w:val="clear" w:color="auto" w:fill="auto"/>
            <w:noWrap/>
            <w:hideMark/>
          </w:tcPr>
          <w:p w14:paraId="4A93031E" w14:textId="6BD31A3E" w:rsidR="00F80A56" w:rsidRPr="00F80A56" w:rsidRDefault="00F80A56" w:rsidP="00F80A56">
            <w:pPr>
              <w:spacing w:after="0" w:line="360" w:lineRule="auto"/>
              <w:ind w:firstLine="0"/>
              <w:jc w:val="right"/>
              <w:rPr>
                <w:rFonts w:ascii="Times New Roman" w:eastAsia="Times New Roman" w:hAnsi="Times New Roman" w:cs="Times New Roman"/>
                <w:color w:val="000000"/>
              </w:rPr>
            </w:pPr>
            <w:r w:rsidRPr="00F80A56">
              <w:rPr>
                <w:rFonts w:ascii="Times New Roman" w:hAnsi="Times New Roman" w:cs="Times New Roman"/>
              </w:rPr>
              <w:t>17.45 (14.78, 20.44)</w:t>
            </w:r>
          </w:p>
        </w:tc>
      </w:tr>
      <w:tr w:rsidR="00F80A56" w:rsidRPr="00D041C0" w14:paraId="3C94A5A7" w14:textId="77777777" w:rsidTr="00BD7BB5">
        <w:trPr>
          <w:trHeight w:val="310"/>
        </w:trPr>
        <w:tc>
          <w:tcPr>
            <w:tcW w:w="3544" w:type="dxa"/>
            <w:tcBorders>
              <w:top w:val="nil"/>
              <w:left w:val="nil"/>
              <w:bottom w:val="nil"/>
              <w:right w:val="nil"/>
            </w:tcBorders>
            <w:shd w:val="clear" w:color="auto" w:fill="auto"/>
            <w:noWrap/>
            <w:hideMark/>
          </w:tcPr>
          <w:p w14:paraId="5885EBAC" w14:textId="24A53BE1" w:rsidR="00F80A56" w:rsidRPr="00F80A56" w:rsidRDefault="00F80A56" w:rsidP="00722E8F">
            <w:pPr>
              <w:spacing w:after="0" w:line="360" w:lineRule="auto"/>
              <w:ind w:left="317" w:firstLine="0"/>
              <w:rPr>
                <w:rFonts w:ascii="Times New Roman" w:eastAsia="Times New Roman" w:hAnsi="Times New Roman" w:cs="Times New Roman"/>
                <w:color w:val="000000"/>
              </w:rPr>
            </w:pPr>
            <w:r w:rsidRPr="00F80A56">
              <w:rPr>
                <w:rFonts w:ascii="Times New Roman" w:hAnsi="Times New Roman" w:cs="Times New Roman"/>
              </w:rPr>
              <w:t>2010–2012</w:t>
            </w:r>
          </w:p>
        </w:tc>
        <w:tc>
          <w:tcPr>
            <w:tcW w:w="3098" w:type="dxa"/>
            <w:tcBorders>
              <w:top w:val="nil"/>
              <w:left w:val="nil"/>
              <w:bottom w:val="nil"/>
              <w:right w:val="nil"/>
            </w:tcBorders>
            <w:shd w:val="clear" w:color="auto" w:fill="auto"/>
            <w:noWrap/>
            <w:hideMark/>
          </w:tcPr>
          <w:p w14:paraId="24AEFCDA" w14:textId="641FA038" w:rsidR="00F80A56" w:rsidRPr="00F80A56" w:rsidRDefault="00F80A56" w:rsidP="00F80A56">
            <w:pPr>
              <w:spacing w:after="0" w:line="360" w:lineRule="auto"/>
              <w:ind w:firstLine="0"/>
              <w:jc w:val="right"/>
              <w:rPr>
                <w:rFonts w:ascii="Times New Roman" w:eastAsia="Times New Roman" w:hAnsi="Times New Roman" w:cs="Times New Roman"/>
                <w:color w:val="000000"/>
              </w:rPr>
            </w:pPr>
            <w:r w:rsidRPr="00F80A56">
              <w:rPr>
                <w:rFonts w:ascii="Times New Roman" w:hAnsi="Times New Roman" w:cs="Times New Roman"/>
              </w:rPr>
              <w:t>16.62 (14.48, 18.88)</w:t>
            </w:r>
          </w:p>
        </w:tc>
        <w:tc>
          <w:tcPr>
            <w:tcW w:w="2686" w:type="dxa"/>
            <w:tcBorders>
              <w:top w:val="nil"/>
              <w:left w:val="nil"/>
              <w:bottom w:val="nil"/>
              <w:right w:val="nil"/>
            </w:tcBorders>
            <w:shd w:val="clear" w:color="auto" w:fill="auto"/>
            <w:noWrap/>
            <w:hideMark/>
          </w:tcPr>
          <w:p w14:paraId="68270917" w14:textId="70F6970F" w:rsidR="00F80A56" w:rsidRPr="00F80A56" w:rsidRDefault="00F80A56" w:rsidP="00F80A56">
            <w:pPr>
              <w:spacing w:after="0" w:line="360" w:lineRule="auto"/>
              <w:ind w:firstLine="0"/>
              <w:jc w:val="right"/>
              <w:rPr>
                <w:rFonts w:ascii="Times New Roman" w:eastAsia="Times New Roman" w:hAnsi="Times New Roman" w:cs="Times New Roman"/>
                <w:color w:val="000000"/>
              </w:rPr>
            </w:pPr>
            <w:r w:rsidRPr="00F80A56">
              <w:rPr>
                <w:rFonts w:ascii="Times New Roman" w:hAnsi="Times New Roman" w:cs="Times New Roman"/>
              </w:rPr>
              <w:t>17.18 (14.18, 19.90)</w:t>
            </w:r>
          </w:p>
        </w:tc>
      </w:tr>
      <w:tr w:rsidR="00F80A56" w:rsidRPr="00D041C0" w14:paraId="5CCFA254" w14:textId="77777777" w:rsidTr="00BD7BB5">
        <w:trPr>
          <w:trHeight w:val="310"/>
        </w:trPr>
        <w:tc>
          <w:tcPr>
            <w:tcW w:w="3544" w:type="dxa"/>
            <w:tcBorders>
              <w:top w:val="nil"/>
              <w:left w:val="nil"/>
              <w:right w:val="nil"/>
            </w:tcBorders>
            <w:shd w:val="clear" w:color="auto" w:fill="auto"/>
            <w:noWrap/>
            <w:hideMark/>
          </w:tcPr>
          <w:p w14:paraId="2DA3B988" w14:textId="31C60DBA" w:rsidR="00F80A56" w:rsidRPr="00F80A56" w:rsidRDefault="00F80A56" w:rsidP="00722E8F">
            <w:pPr>
              <w:spacing w:after="0" w:line="360" w:lineRule="auto"/>
              <w:ind w:left="317" w:firstLine="0"/>
              <w:rPr>
                <w:rFonts w:ascii="Times New Roman" w:eastAsia="Times New Roman" w:hAnsi="Times New Roman" w:cs="Times New Roman"/>
                <w:color w:val="000000"/>
              </w:rPr>
            </w:pPr>
            <w:r w:rsidRPr="00F80A56">
              <w:rPr>
                <w:rFonts w:ascii="Times New Roman" w:hAnsi="Times New Roman" w:cs="Times New Roman"/>
              </w:rPr>
              <w:t>2013–2015</w:t>
            </w:r>
          </w:p>
        </w:tc>
        <w:tc>
          <w:tcPr>
            <w:tcW w:w="3098" w:type="dxa"/>
            <w:tcBorders>
              <w:top w:val="nil"/>
              <w:left w:val="nil"/>
              <w:right w:val="nil"/>
            </w:tcBorders>
            <w:shd w:val="clear" w:color="auto" w:fill="auto"/>
            <w:noWrap/>
            <w:hideMark/>
          </w:tcPr>
          <w:p w14:paraId="7D116347" w14:textId="59A1941D" w:rsidR="00F80A56" w:rsidRPr="00F80A56" w:rsidRDefault="00F80A56" w:rsidP="00F80A56">
            <w:pPr>
              <w:spacing w:after="0" w:line="360" w:lineRule="auto"/>
              <w:ind w:firstLine="0"/>
              <w:jc w:val="right"/>
              <w:rPr>
                <w:rFonts w:ascii="Times New Roman" w:eastAsia="Times New Roman" w:hAnsi="Times New Roman" w:cs="Times New Roman"/>
                <w:color w:val="000000"/>
              </w:rPr>
            </w:pPr>
            <w:r w:rsidRPr="00F80A56">
              <w:rPr>
                <w:rFonts w:ascii="Times New Roman" w:hAnsi="Times New Roman" w:cs="Times New Roman"/>
              </w:rPr>
              <w:t>16.68 (14.57, 18.93)</w:t>
            </w:r>
          </w:p>
        </w:tc>
        <w:tc>
          <w:tcPr>
            <w:tcW w:w="2686" w:type="dxa"/>
            <w:tcBorders>
              <w:top w:val="nil"/>
              <w:left w:val="nil"/>
              <w:right w:val="nil"/>
            </w:tcBorders>
            <w:shd w:val="clear" w:color="auto" w:fill="auto"/>
            <w:noWrap/>
            <w:hideMark/>
          </w:tcPr>
          <w:p w14:paraId="1F1AA8EF" w14:textId="18400080" w:rsidR="00F80A56" w:rsidRPr="00F80A56" w:rsidRDefault="00F80A56" w:rsidP="00F80A56">
            <w:pPr>
              <w:spacing w:after="0" w:line="360" w:lineRule="auto"/>
              <w:ind w:firstLine="0"/>
              <w:jc w:val="right"/>
              <w:rPr>
                <w:rFonts w:ascii="Times New Roman" w:eastAsia="Times New Roman" w:hAnsi="Times New Roman" w:cs="Times New Roman"/>
                <w:color w:val="000000"/>
              </w:rPr>
            </w:pPr>
            <w:r w:rsidRPr="00F80A56">
              <w:rPr>
                <w:rFonts w:ascii="Times New Roman" w:hAnsi="Times New Roman" w:cs="Times New Roman"/>
              </w:rPr>
              <w:t>16.76 (14.13, 19.68)</w:t>
            </w:r>
          </w:p>
        </w:tc>
      </w:tr>
      <w:tr w:rsidR="00F80A56" w:rsidRPr="00D041C0" w14:paraId="6C102B0B" w14:textId="77777777" w:rsidTr="00BD7BB5">
        <w:trPr>
          <w:trHeight w:val="310"/>
        </w:trPr>
        <w:tc>
          <w:tcPr>
            <w:tcW w:w="3544" w:type="dxa"/>
            <w:tcBorders>
              <w:top w:val="nil"/>
              <w:left w:val="nil"/>
              <w:bottom w:val="single" w:sz="8" w:space="0" w:color="auto"/>
              <w:right w:val="nil"/>
            </w:tcBorders>
            <w:shd w:val="clear" w:color="auto" w:fill="auto"/>
            <w:noWrap/>
            <w:hideMark/>
          </w:tcPr>
          <w:p w14:paraId="249351A0" w14:textId="06A977DB" w:rsidR="00F80A56" w:rsidRPr="00F80A56" w:rsidRDefault="00F80A56" w:rsidP="00722E8F">
            <w:pPr>
              <w:spacing w:after="0" w:line="360" w:lineRule="auto"/>
              <w:ind w:left="317" w:firstLine="0"/>
              <w:rPr>
                <w:rFonts w:ascii="Times New Roman" w:eastAsia="Times New Roman" w:hAnsi="Times New Roman" w:cs="Times New Roman"/>
                <w:color w:val="000000"/>
              </w:rPr>
            </w:pPr>
            <w:r w:rsidRPr="00F80A56">
              <w:rPr>
                <w:rFonts w:ascii="Times New Roman" w:hAnsi="Times New Roman" w:cs="Times New Roman"/>
              </w:rPr>
              <w:t>2016–2020</w:t>
            </w:r>
          </w:p>
        </w:tc>
        <w:tc>
          <w:tcPr>
            <w:tcW w:w="3098" w:type="dxa"/>
            <w:tcBorders>
              <w:top w:val="nil"/>
              <w:left w:val="nil"/>
              <w:bottom w:val="single" w:sz="8" w:space="0" w:color="auto"/>
              <w:right w:val="nil"/>
            </w:tcBorders>
            <w:shd w:val="clear" w:color="auto" w:fill="auto"/>
            <w:noWrap/>
            <w:hideMark/>
          </w:tcPr>
          <w:p w14:paraId="42AF2A30" w14:textId="0A24B0D3" w:rsidR="00F80A56" w:rsidRPr="00F80A56" w:rsidRDefault="00F80A56" w:rsidP="00F80A56">
            <w:pPr>
              <w:spacing w:after="0" w:line="360" w:lineRule="auto"/>
              <w:ind w:firstLine="0"/>
              <w:jc w:val="right"/>
              <w:rPr>
                <w:rFonts w:ascii="Times New Roman" w:eastAsia="Times New Roman" w:hAnsi="Times New Roman" w:cs="Times New Roman"/>
                <w:color w:val="000000"/>
              </w:rPr>
            </w:pPr>
            <w:r w:rsidRPr="00F80A56">
              <w:rPr>
                <w:rFonts w:ascii="Times New Roman" w:hAnsi="Times New Roman" w:cs="Times New Roman"/>
              </w:rPr>
              <w:t>16.70 (14.59, 18.94)</w:t>
            </w:r>
          </w:p>
        </w:tc>
        <w:tc>
          <w:tcPr>
            <w:tcW w:w="2686" w:type="dxa"/>
            <w:tcBorders>
              <w:top w:val="nil"/>
              <w:left w:val="nil"/>
              <w:bottom w:val="single" w:sz="8" w:space="0" w:color="auto"/>
              <w:right w:val="nil"/>
            </w:tcBorders>
            <w:shd w:val="clear" w:color="auto" w:fill="auto"/>
            <w:noWrap/>
            <w:hideMark/>
          </w:tcPr>
          <w:p w14:paraId="54F23CB7" w14:textId="6DA2404D" w:rsidR="00F80A56" w:rsidRPr="00F80A56" w:rsidRDefault="00F80A56" w:rsidP="00F80A56">
            <w:pPr>
              <w:spacing w:after="0" w:line="360" w:lineRule="auto"/>
              <w:ind w:firstLine="0"/>
              <w:jc w:val="right"/>
              <w:rPr>
                <w:rFonts w:ascii="Times New Roman" w:eastAsia="Times New Roman" w:hAnsi="Times New Roman" w:cs="Times New Roman"/>
                <w:color w:val="000000"/>
              </w:rPr>
            </w:pPr>
            <w:r w:rsidRPr="00F80A56">
              <w:rPr>
                <w:rFonts w:ascii="Times New Roman" w:hAnsi="Times New Roman" w:cs="Times New Roman"/>
              </w:rPr>
              <w:t>17.48 (14.35, 20.90)</w:t>
            </w:r>
          </w:p>
        </w:tc>
      </w:tr>
    </w:tbl>
    <w:p w14:paraId="7B3A8BA0" w14:textId="4AB811A7" w:rsidR="003C55D1" w:rsidRPr="009A6B84" w:rsidRDefault="003C55D1" w:rsidP="00DE693A">
      <w:pPr>
        <w:spacing w:line="240" w:lineRule="auto"/>
        <w:ind w:firstLine="0"/>
        <w:rPr>
          <w:rFonts w:ascii="Times New Roman" w:hAnsi="Times New Roman" w:cs="Times New Roman"/>
          <w:vertAlign w:val="subscript"/>
        </w:rPr>
      </w:pPr>
    </w:p>
    <w:p w14:paraId="2E2CD552" w14:textId="69229235" w:rsidR="00F468DB" w:rsidRPr="00D041C0" w:rsidRDefault="00F468DB">
      <w:pPr>
        <w:spacing w:line="259" w:lineRule="auto"/>
        <w:ind w:firstLine="0"/>
        <w:rPr>
          <w:rFonts w:ascii="Times New Roman" w:hAnsi="Times New Roman" w:cs="Times New Roman"/>
        </w:rPr>
      </w:pPr>
      <w:r w:rsidRPr="00D041C0">
        <w:rPr>
          <w:rFonts w:ascii="Times New Roman" w:hAnsi="Times New Roman" w:cs="Times New Roman"/>
        </w:rPr>
        <w:br w:type="page"/>
      </w:r>
    </w:p>
    <w:p w14:paraId="6F3F8CF5" w14:textId="77777777" w:rsidR="00FB4294" w:rsidRPr="00D041C0" w:rsidRDefault="00FB4294" w:rsidP="009E03A9">
      <w:pPr>
        <w:pStyle w:val="NoSpacing"/>
        <w:ind w:firstLine="0"/>
        <w:rPr>
          <w:b/>
          <w:bCs/>
        </w:rPr>
        <w:sectPr w:rsidR="00FB4294" w:rsidRPr="00D041C0" w:rsidSect="00430644">
          <w:pgSz w:w="11906" w:h="16838"/>
          <w:pgMar w:top="1418" w:right="1418" w:bottom="1418" w:left="1418" w:header="709" w:footer="709" w:gutter="0"/>
          <w:cols w:space="708"/>
          <w:docGrid w:linePitch="360"/>
        </w:sectPr>
      </w:pPr>
    </w:p>
    <w:p w14:paraId="3677CAAA" w14:textId="5424EACA" w:rsidR="004E2C43" w:rsidRPr="00E9549B" w:rsidRDefault="004E2C43" w:rsidP="004E2C43">
      <w:pPr>
        <w:spacing w:line="259" w:lineRule="auto"/>
        <w:ind w:firstLine="0"/>
        <w:rPr>
          <w:rFonts w:ascii="Times New Roman" w:eastAsia="Times New Roman" w:hAnsi="Times New Roman" w:cs="Times New Roman"/>
          <w:bCs/>
          <w:kern w:val="2"/>
          <w14:ligatures w14:val="standardContextual"/>
        </w:rPr>
      </w:pPr>
      <w:r w:rsidRPr="00E9549B">
        <w:rPr>
          <w:rFonts w:ascii="Times New Roman" w:eastAsia="Times New Roman" w:hAnsi="Times New Roman" w:cs="Times New Roman"/>
          <w:b/>
          <w:kern w:val="2"/>
          <w14:ligatures w14:val="standardContextual"/>
        </w:rPr>
        <w:lastRenderedPageBreak/>
        <w:t xml:space="preserve">Table </w:t>
      </w:r>
      <w:r w:rsidR="0012093C" w:rsidRPr="00E9549B">
        <w:rPr>
          <w:rFonts w:ascii="Times New Roman" w:eastAsia="Times New Roman" w:hAnsi="Times New Roman" w:cs="Times New Roman"/>
          <w:b/>
          <w:kern w:val="2"/>
          <w14:ligatures w14:val="standardContextual"/>
        </w:rPr>
        <w:t>2</w:t>
      </w:r>
      <w:r w:rsidRPr="00E9549B">
        <w:rPr>
          <w:rFonts w:ascii="Times New Roman" w:eastAsia="Times New Roman" w:hAnsi="Times New Roman" w:cs="Times New Roman"/>
          <w:b/>
          <w:kern w:val="2"/>
          <w14:ligatures w14:val="standardContextual"/>
        </w:rPr>
        <w:t xml:space="preserve">. </w:t>
      </w:r>
      <w:r w:rsidRPr="00E9549B">
        <w:rPr>
          <w:rFonts w:ascii="Times New Roman" w:eastAsia="Times New Roman" w:hAnsi="Times New Roman" w:cs="Times New Roman"/>
          <w:bCs/>
          <w:kern w:val="2"/>
          <w14:ligatures w14:val="standardContextual"/>
        </w:rPr>
        <w:t xml:space="preserve">Estimated BMI differences </w:t>
      </w:r>
      <w:bookmarkStart w:id="12" w:name="_Hlk158622108"/>
      <w:r w:rsidRPr="00E9549B">
        <w:rPr>
          <w:rFonts w:ascii="Times New Roman" w:eastAsia="Times New Roman" w:hAnsi="Times New Roman" w:cs="Times New Roman"/>
          <w:bCs/>
          <w:kern w:val="2"/>
          <w14:ligatures w14:val="standardContextual"/>
        </w:rPr>
        <w:t>from 2004</w:t>
      </w:r>
      <w:r w:rsidR="00065FCB" w:rsidRPr="00E9549B">
        <w:rPr>
          <w:rFonts w:ascii="Times New Roman" w:eastAsia="Times New Roman" w:hAnsi="Times New Roman" w:cs="Times New Roman"/>
          <w:bCs/>
          <w:kern w:val="2"/>
          <w14:ligatures w14:val="standardContextual"/>
        </w:rPr>
        <w:t xml:space="preserve"> to </w:t>
      </w:r>
      <w:r w:rsidRPr="00E9549B">
        <w:rPr>
          <w:rFonts w:ascii="Times New Roman" w:eastAsia="Times New Roman" w:hAnsi="Times New Roman" w:cs="Times New Roman"/>
          <w:bCs/>
          <w:kern w:val="2"/>
          <w14:ligatures w14:val="standardContextual"/>
        </w:rPr>
        <w:t>20</w:t>
      </w:r>
      <w:r w:rsidR="00065FCB" w:rsidRPr="00E9549B">
        <w:rPr>
          <w:rFonts w:ascii="Times New Roman" w:eastAsia="Times New Roman" w:hAnsi="Times New Roman" w:cs="Times New Roman"/>
          <w:bCs/>
          <w:kern w:val="2"/>
          <w14:ligatures w14:val="standardContextual"/>
        </w:rPr>
        <w:t>20</w:t>
      </w:r>
      <w:r w:rsidRPr="00E9549B">
        <w:rPr>
          <w:rFonts w:ascii="Times New Roman" w:eastAsia="Times New Roman" w:hAnsi="Times New Roman" w:cs="Times New Roman"/>
          <w:bCs/>
          <w:kern w:val="2"/>
          <w14:ligatures w14:val="standardContextual"/>
        </w:rPr>
        <w:t xml:space="preserve"> </w:t>
      </w:r>
      <w:bookmarkEnd w:id="12"/>
      <w:r w:rsidRPr="00E9549B">
        <w:rPr>
          <w:rFonts w:ascii="Times New Roman" w:eastAsia="Times New Roman" w:hAnsi="Times New Roman" w:cs="Times New Roman"/>
          <w:bCs/>
          <w:kern w:val="2"/>
          <w14:ligatures w14:val="standardContextual"/>
        </w:rPr>
        <w:t>for each NDD compared with individuals without each condition.</w:t>
      </w:r>
    </w:p>
    <w:tbl>
      <w:tblPr>
        <w:tblW w:w="8789" w:type="dxa"/>
        <w:tblLook w:val="04A0" w:firstRow="1" w:lastRow="0" w:firstColumn="1" w:lastColumn="0" w:noHBand="0" w:noVBand="1"/>
      </w:tblPr>
      <w:tblGrid>
        <w:gridCol w:w="2268"/>
        <w:gridCol w:w="2552"/>
        <w:gridCol w:w="1984"/>
        <w:gridCol w:w="1985"/>
      </w:tblGrid>
      <w:tr w:rsidR="004E2C43" w:rsidRPr="00E9549B" w14:paraId="75556F7E" w14:textId="77777777" w:rsidTr="00E9549B">
        <w:trPr>
          <w:trHeight w:val="310"/>
        </w:trPr>
        <w:tc>
          <w:tcPr>
            <w:tcW w:w="2268" w:type="dxa"/>
            <w:tcBorders>
              <w:top w:val="single" w:sz="8" w:space="0" w:color="auto"/>
              <w:left w:val="nil"/>
              <w:bottom w:val="nil"/>
              <w:right w:val="nil"/>
            </w:tcBorders>
            <w:shd w:val="clear" w:color="auto" w:fill="auto"/>
            <w:noWrap/>
            <w:vAlign w:val="bottom"/>
            <w:hideMark/>
          </w:tcPr>
          <w:p w14:paraId="2CA6A4D0" w14:textId="77777777" w:rsidR="004E2C43" w:rsidRPr="00E9549B" w:rsidRDefault="004E2C43" w:rsidP="004E2C43">
            <w:pPr>
              <w:spacing w:line="259" w:lineRule="auto"/>
              <w:ind w:firstLine="0"/>
              <w:jc w:val="both"/>
              <w:rPr>
                <w:rFonts w:ascii="Times New Roman" w:eastAsia="Times New Roman" w:hAnsi="Times New Roman" w:cs="Times New Roman"/>
                <w:bCs/>
                <w:kern w:val="2"/>
                <w14:ligatures w14:val="standardContextual"/>
              </w:rPr>
            </w:pPr>
          </w:p>
        </w:tc>
        <w:tc>
          <w:tcPr>
            <w:tcW w:w="6521" w:type="dxa"/>
            <w:gridSpan w:val="3"/>
            <w:tcBorders>
              <w:top w:val="single" w:sz="8" w:space="0" w:color="auto"/>
              <w:left w:val="nil"/>
              <w:bottom w:val="single" w:sz="4" w:space="0" w:color="auto"/>
              <w:right w:val="nil"/>
            </w:tcBorders>
            <w:shd w:val="clear" w:color="auto" w:fill="auto"/>
            <w:noWrap/>
            <w:vAlign w:val="bottom"/>
            <w:hideMark/>
          </w:tcPr>
          <w:p w14:paraId="100D9D3A" w14:textId="77777777" w:rsidR="004E2C43" w:rsidRPr="00E9549B" w:rsidRDefault="004E2C43" w:rsidP="004E2C43">
            <w:pPr>
              <w:spacing w:line="259" w:lineRule="auto"/>
              <w:ind w:firstLine="0"/>
              <w:jc w:val="center"/>
              <w:rPr>
                <w:rFonts w:ascii="Times New Roman" w:eastAsia="Times New Roman" w:hAnsi="Times New Roman" w:cs="Times New Roman"/>
                <w:b/>
                <w:bCs/>
                <w:kern w:val="2"/>
                <w14:ligatures w14:val="standardContextual"/>
              </w:rPr>
            </w:pPr>
            <w:r w:rsidRPr="00E9549B">
              <w:rPr>
                <w:rFonts w:ascii="Times New Roman" w:eastAsia="Times New Roman" w:hAnsi="Times New Roman" w:cs="Times New Roman"/>
                <w:b/>
                <w:bCs/>
                <w:kern w:val="2"/>
                <w14:ligatures w14:val="standardContextual"/>
              </w:rPr>
              <w:t>BMI Percentile</w:t>
            </w:r>
          </w:p>
        </w:tc>
      </w:tr>
      <w:tr w:rsidR="004E2C43" w:rsidRPr="00E9549B" w14:paraId="156FFB2F" w14:textId="77777777" w:rsidTr="00E9549B">
        <w:trPr>
          <w:trHeight w:val="310"/>
        </w:trPr>
        <w:tc>
          <w:tcPr>
            <w:tcW w:w="2268" w:type="dxa"/>
            <w:tcBorders>
              <w:top w:val="nil"/>
              <w:left w:val="nil"/>
              <w:bottom w:val="single" w:sz="4" w:space="0" w:color="auto"/>
              <w:right w:val="nil"/>
            </w:tcBorders>
            <w:shd w:val="clear" w:color="auto" w:fill="auto"/>
            <w:noWrap/>
            <w:vAlign w:val="bottom"/>
            <w:hideMark/>
          </w:tcPr>
          <w:p w14:paraId="69A3222B" w14:textId="77777777" w:rsidR="004E2C43" w:rsidRPr="00E9549B" w:rsidRDefault="004E2C43" w:rsidP="004E2C43">
            <w:pPr>
              <w:spacing w:line="259" w:lineRule="auto"/>
              <w:ind w:firstLine="0"/>
              <w:jc w:val="both"/>
              <w:rPr>
                <w:rFonts w:ascii="Times New Roman" w:eastAsia="Times New Roman" w:hAnsi="Times New Roman" w:cs="Times New Roman"/>
                <w:b/>
                <w:bCs/>
                <w:kern w:val="2"/>
                <w14:ligatures w14:val="standardContextual"/>
              </w:rPr>
            </w:pPr>
            <w:r w:rsidRPr="00E9549B">
              <w:rPr>
                <w:rFonts w:ascii="Times New Roman" w:eastAsia="Times New Roman" w:hAnsi="Times New Roman" w:cs="Times New Roman"/>
                <w:b/>
                <w:bCs/>
                <w:kern w:val="2"/>
                <w14:ligatures w14:val="standardContextual"/>
              </w:rPr>
              <w:t>Condition</w:t>
            </w:r>
          </w:p>
        </w:tc>
        <w:tc>
          <w:tcPr>
            <w:tcW w:w="2552" w:type="dxa"/>
            <w:tcBorders>
              <w:top w:val="nil"/>
              <w:left w:val="nil"/>
              <w:bottom w:val="single" w:sz="4" w:space="0" w:color="auto"/>
              <w:right w:val="nil"/>
            </w:tcBorders>
            <w:shd w:val="clear" w:color="auto" w:fill="auto"/>
            <w:noWrap/>
            <w:vAlign w:val="bottom"/>
            <w:hideMark/>
          </w:tcPr>
          <w:p w14:paraId="3262ACF4" w14:textId="24FBD755" w:rsidR="004E2C43" w:rsidRPr="00E9549B" w:rsidRDefault="004E2C43" w:rsidP="004E2C43">
            <w:pPr>
              <w:spacing w:line="259" w:lineRule="auto"/>
              <w:ind w:firstLine="0"/>
              <w:jc w:val="center"/>
              <w:rPr>
                <w:rFonts w:ascii="Times New Roman" w:eastAsia="Times New Roman" w:hAnsi="Times New Roman" w:cs="Times New Roman"/>
                <w:b/>
                <w:bCs/>
                <w:kern w:val="2"/>
                <w14:ligatures w14:val="standardContextual"/>
              </w:rPr>
            </w:pPr>
            <w:r w:rsidRPr="00E9549B">
              <w:rPr>
                <w:rFonts w:ascii="Times New Roman" w:eastAsia="Times New Roman" w:hAnsi="Times New Roman" w:cs="Times New Roman"/>
                <w:b/>
                <w:bCs/>
                <w:kern w:val="2"/>
                <w14:ligatures w14:val="standardContextual"/>
              </w:rPr>
              <w:t>15</w:t>
            </w:r>
            <w:r w:rsidR="00053E94" w:rsidRPr="00053E94">
              <w:rPr>
                <w:rFonts w:ascii="Times New Roman" w:eastAsia="Times New Roman" w:hAnsi="Times New Roman" w:cs="Times New Roman"/>
                <w:b/>
                <w:bCs/>
                <w:kern w:val="2"/>
                <w:vertAlign w:val="superscript"/>
                <w14:ligatures w14:val="standardContextual"/>
              </w:rPr>
              <w:t>th</w:t>
            </w:r>
            <w:r w:rsidR="00053E94">
              <w:rPr>
                <w:rFonts w:ascii="Times New Roman" w:eastAsia="Times New Roman" w:hAnsi="Times New Roman" w:cs="Times New Roman"/>
                <w:b/>
                <w:bCs/>
                <w:kern w:val="2"/>
                <w14:ligatures w14:val="standardContextual"/>
              </w:rPr>
              <w:t xml:space="preserve"> </w:t>
            </w:r>
          </w:p>
        </w:tc>
        <w:tc>
          <w:tcPr>
            <w:tcW w:w="1984" w:type="dxa"/>
            <w:tcBorders>
              <w:top w:val="nil"/>
              <w:left w:val="nil"/>
              <w:bottom w:val="single" w:sz="4" w:space="0" w:color="auto"/>
              <w:right w:val="nil"/>
            </w:tcBorders>
            <w:shd w:val="clear" w:color="auto" w:fill="auto"/>
            <w:noWrap/>
            <w:vAlign w:val="bottom"/>
            <w:hideMark/>
          </w:tcPr>
          <w:p w14:paraId="0E91E49C" w14:textId="0586D5C9" w:rsidR="004E2C43" w:rsidRPr="00E9549B" w:rsidRDefault="004E2C43" w:rsidP="004E2C43">
            <w:pPr>
              <w:spacing w:line="259" w:lineRule="auto"/>
              <w:ind w:firstLine="0"/>
              <w:jc w:val="center"/>
              <w:rPr>
                <w:rFonts w:ascii="Times New Roman" w:eastAsia="Times New Roman" w:hAnsi="Times New Roman" w:cs="Times New Roman"/>
                <w:b/>
                <w:bCs/>
                <w:kern w:val="2"/>
                <w14:ligatures w14:val="standardContextual"/>
              </w:rPr>
            </w:pPr>
            <w:r w:rsidRPr="00E9549B">
              <w:rPr>
                <w:rFonts w:ascii="Times New Roman" w:eastAsia="Times New Roman" w:hAnsi="Times New Roman" w:cs="Times New Roman"/>
                <w:b/>
                <w:bCs/>
                <w:kern w:val="2"/>
                <w14:ligatures w14:val="standardContextual"/>
              </w:rPr>
              <w:t>50</w:t>
            </w:r>
            <w:r w:rsidR="00053E94" w:rsidRPr="00053E94">
              <w:rPr>
                <w:rFonts w:ascii="Times New Roman" w:eastAsia="Times New Roman" w:hAnsi="Times New Roman" w:cs="Times New Roman"/>
                <w:b/>
                <w:bCs/>
                <w:kern w:val="2"/>
                <w:vertAlign w:val="superscript"/>
                <w14:ligatures w14:val="standardContextual"/>
              </w:rPr>
              <w:t>th</w:t>
            </w:r>
          </w:p>
        </w:tc>
        <w:tc>
          <w:tcPr>
            <w:tcW w:w="1985" w:type="dxa"/>
            <w:tcBorders>
              <w:top w:val="nil"/>
              <w:left w:val="nil"/>
              <w:bottom w:val="single" w:sz="4" w:space="0" w:color="auto"/>
              <w:right w:val="nil"/>
            </w:tcBorders>
            <w:shd w:val="clear" w:color="auto" w:fill="auto"/>
            <w:noWrap/>
            <w:vAlign w:val="bottom"/>
            <w:hideMark/>
          </w:tcPr>
          <w:p w14:paraId="0DFBF198" w14:textId="560A4E8E" w:rsidR="004E2C43" w:rsidRPr="00E9549B" w:rsidRDefault="004E2C43" w:rsidP="004E2C43">
            <w:pPr>
              <w:spacing w:line="259" w:lineRule="auto"/>
              <w:ind w:firstLine="0"/>
              <w:jc w:val="center"/>
              <w:rPr>
                <w:rFonts w:ascii="Times New Roman" w:eastAsia="Times New Roman" w:hAnsi="Times New Roman" w:cs="Times New Roman"/>
                <w:b/>
                <w:bCs/>
                <w:kern w:val="2"/>
                <w14:ligatures w14:val="standardContextual"/>
              </w:rPr>
            </w:pPr>
            <w:r w:rsidRPr="00E9549B">
              <w:rPr>
                <w:rFonts w:ascii="Times New Roman" w:eastAsia="Times New Roman" w:hAnsi="Times New Roman" w:cs="Times New Roman"/>
                <w:b/>
                <w:bCs/>
                <w:kern w:val="2"/>
                <w14:ligatures w14:val="standardContextual"/>
              </w:rPr>
              <w:t>85</w:t>
            </w:r>
            <w:r w:rsidR="00053E94" w:rsidRPr="00053E94">
              <w:rPr>
                <w:rFonts w:ascii="Times New Roman" w:eastAsia="Times New Roman" w:hAnsi="Times New Roman" w:cs="Times New Roman"/>
                <w:b/>
                <w:bCs/>
                <w:kern w:val="2"/>
                <w:vertAlign w:val="superscript"/>
                <w14:ligatures w14:val="standardContextual"/>
              </w:rPr>
              <w:t>th</w:t>
            </w:r>
          </w:p>
        </w:tc>
      </w:tr>
      <w:tr w:rsidR="004E2C43" w:rsidRPr="00E9549B" w14:paraId="2E00276B" w14:textId="77777777" w:rsidTr="00E9549B">
        <w:trPr>
          <w:trHeight w:val="310"/>
        </w:trPr>
        <w:tc>
          <w:tcPr>
            <w:tcW w:w="2268" w:type="dxa"/>
            <w:tcBorders>
              <w:top w:val="nil"/>
              <w:left w:val="nil"/>
              <w:bottom w:val="nil"/>
              <w:right w:val="nil"/>
            </w:tcBorders>
            <w:shd w:val="clear" w:color="auto" w:fill="auto"/>
            <w:noWrap/>
            <w:vAlign w:val="bottom"/>
            <w:hideMark/>
          </w:tcPr>
          <w:p w14:paraId="0403FEF0" w14:textId="77777777" w:rsidR="004E2C43" w:rsidRPr="00E9549B" w:rsidRDefault="004E2C43" w:rsidP="004E2C43">
            <w:pPr>
              <w:spacing w:line="259" w:lineRule="auto"/>
              <w:ind w:firstLine="0"/>
              <w:jc w:val="both"/>
              <w:rPr>
                <w:rFonts w:ascii="Times New Roman" w:eastAsia="Times New Roman" w:hAnsi="Times New Roman" w:cs="Times New Roman"/>
                <w:bCs/>
                <w:kern w:val="2"/>
                <w14:ligatures w14:val="standardContextual"/>
              </w:rPr>
            </w:pPr>
            <w:r w:rsidRPr="00E9549B">
              <w:rPr>
                <w:rFonts w:ascii="Times New Roman" w:eastAsia="Times New Roman" w:hAnsi="Times New Roman" w:cs="Times New Roman"/>
                <w:bCs/>
                <w:kern w:val="2"/>
                <w14:ligatures w14:val="standardContextual"/>
              </w:rPr>
              <w:t>NDD</w:t>
            </w:r>
          </w:p>
        </w:tc>
        <w:tc>
          <w:tcPr>
            <w:tcW w:w="2552" w:type="dxa"/>
            <w:tcBorders>
              <w:top w:val="nil"/>
              <w:left w:val="nil"/>
              <w:bottom w:val="nil"/>
              <w:right w:val="nil"/>
            </w:tcBorders>
            <w:shd w:val="clear" w:color="auto" w:fill="auto"/>
            <w:noWrap/>
            <w:hideMark/>
          </w:tcPr>
          <w:p w14:paraId="2857EDE5" w14:textId="77777777" w:rsidR="004E2C43" w:rsidRPr="00E9549B" w:rsidRDefault="004E2C43" w:rsidP="004E2C43">
            <w:pPr>
              <w:spacing w:line="259" w:lineRule="auto"/>
              <w:ind w:firstLine="0"/>
              <w:jc w:val="center"/>
              <w:rPr>
                <w:rFonts w:ascii="Times New Roman" w:eastAsia="Times New Roman" w:hAnsi="Times New Roman" w:cs="Times New Roman"/>
                <w:bCs/>
                <w:kern w:val="2"/>
                <w14:ligatures w14:val="standardContextual"/>
              </w:rPr>
            </w:pPr>
            <w:r w:rsidRPr="00E9549B">
              <w:rPr>
                <w:rFonts w:ascii="Times New Roman" w:eastAsia="Calibri" w:hAnsi="Times New Roman" w:cs="Times New Roman"/>
                <w:kern w:val="2"/>
                <w14:ligatures w14:val="standardContextual"/>
              </w:rPr>
              <w:t>-0.65 (-1.15, -0.22)</w:t>
            </w:r>
          </w:p>
        </w:tc>
        <w:tc>
          <w:tcPr>
            <w:tcW w:w="1984" w:type="dxa"/>
            <w:tcBorders>
              <w:top w:val="nil"/>
              <w:left w:val="nil"/>
              <w:bottom w:val="nil"/>
              <w:right w:val="nil"/>
            </w:tcBorders>
            <w:shd w:val="clear" w:color="auto" w:fill="auto"/>
            <w:noWrap/>
            <w:hideMark/>
          </w:tcPr>
          <w:p w14:paraId="504E2037" w14:textId="77777777" w:rsidR="004E2C43" w:rsidRPr="00E9549B" w:rsidRDefault="004E2C43" w:rsidP="004E2C43">
            <w:pPr>
              <w:spacing w:line="259" w:lineRule="auto"/>
              <w:ind w:firstLine="0"/>
              <w:jc w:val="center"/>
              <w:rPr>
                <w:rFonts w:ascii="Times New Roman" w:eastAsia="Times New Roman" w:hAnsi="Times New Roman" w:cs="Times New Roman"/>
                <w:bCs/>
                <w:kern w:val="2"/>
                <w14:ligatures w14:val="standardContextual"/>
              </w:rPr>
            </w:pPr>
            <w:r w:rsidRPr="00E9549B">
              <w:rPr>
                <w:rFonts w:ascii="Times New Roman" w:eastAsia="Calibri" w:hAnsi="Times New Roman" w:cs="Times New Roman"/>
                <w:kern w:val="2"/>
                <w14:ligatures w14:val="standardContextual"/>
              </w:rPr>
              <w:t>0.24 (-0.44, 0.96)</w:t>
            </w:r>
          </w:p>
        </w:tc>
        <w:tc>
          <w:tcPr>
            <w:tcW w:w="1985" w:type="dxa"/>
            <w:tcBorders>
              <w:top w:val="nil"/>
              <w:left w:val="nil"/>
              <w:bottom w:val="nil"/>
              <w:right w:val="nil"/>
            </w:tcBorders>
            <w:shd w:val="clear" w:color="auto" w:fill="auto"/>
            <w:noWrap/>
            <w:hideMark/>
          </w:tcPr>
          <w:p w14:paraId="6036B665" w14:textId="77777777" w:rsidR="004E2C43" w:rsidRPr="00E9549B" w:rsidRDefault="004E2C43" w:rsidP="004E2C43">
            <w:pPr>
              <w:spacing w:line="259" w:lineRule="auto"/>
              <w:ind w:firstLine="0"/>
              <w:jc w:val="center"/>
              <w:rPr>
                <w:rFonts w:ascii="Times New Roman" w:eastAsia="Times New Roman" w:hAnsi="Times New Roman" w:cs="Times New Roman"/>
                <w:bCs/>
                <w:kern w:val="2"/>
                <w14:ligatures w14:val="standardContextual"/>
              </w:rPr>
            </w:pPr>
            <w:r w:rsidRPr="00E9549B">
              <w:rPr>
                <w:rFonts w:ascii="Times New Roman" w:eastAsia="Calibri" w:hAnsi="Times New Roman" w:cs="Times New Roman"/>
                <w:kern w:val="2"/>
                <w14:ligatures w14:val="standardContextual"/>
              </w:rPr>
              <w:t>1.67 (0.39, 2.80)</w:t>
            </w:r>
          </w:p>
        </w:tc>
      </w:tr>
      <w:tr w:rsidR="004E2C43" w:rsidRPr="00E9549B" w14:paraId="3C1558D2" w14:textId="77777777" w:rsidTr="00E9549B">
        <w:trPr>
          <w:trHeight w:val="310"/>
        </w:trPr>
        <w:tc>
          <w:tcPr>
            <w:tcW w:w="2268" w:type="dxa"/>
            <w:tcBorders>
              <w:top w:val="nil"/>
              <w:left w:val="nil"/>
              <w:bottom w:val="nil"/>
              <w:right w:val="nil"/>
            </w:tcBorders>
            <w:shd w:val="clear" w:color="auto" w:fill="auto"/>
            <w:noWrap/>
            <w:vAlign w:val="bottom"/>
            <w:hideMark/>
          </w:tcPr>
          <w:p w14:paraId="56F50ED5" w14:textId="77777777" w:rsidR="004E2C43" w:rsidRPr="00E9549B" w:rsidRDefault="004E2C43" w:rsidP="004E2C43">
            <w:pPr>
              <w:spacing w:line="259" w:lineRule="auto"/>
              <w:ind w:firstLine="0"/>
              <w:jc w:val="both"/>
              <w:rPr>
                <w:rFonts w:ascii="Times New Roman" w:eastAsia="Times New Roman" w:hAnsi="Times New Roman" w:cs="Times New Roman"/>
                <w:bCs/>
                <w:kern w:val="2"/>
                <w14:ligatures w14:val="standardContextual"/>
              </w:rPr>
            </w:pPr>
            <w:r w:rsidRPr="00E9549B">
              <w:rPr>
                <w:rFonts w:ascii="Times New Roman" w:eastAsia="Times New Roman" w:hAnsi="Times New Roman" w:cs="Times New Roman"/>
                <w:bCs/>
                <w:kern w:val="2"/>
                <w14:ligatures w14:val="standardContextual"/>
              </w:rPr>
              <w:t>ADHD</w:t>
            </w:r>
          </w:p>
        </w:tc>
        <w:tc>
          <w:tcPr>
            <w:tcW w:w="2552" w:type="dxa"/>
            <w:tcBorders>
              <w:top w:val="nil"/>
              <w:left w:val="nil"/>
              <w:bottom w:val="nil"/>
              <w:right w:val="nil"/>
            </w:tcBorders>
            <w:shd w:val="clear" w:color="auto" w:fill="auto"/>
            <w:noWrap/>
            <w:hideMark/>
          </w:tcPr>
          <w:p w14:paraId="1246EEDA" w14:textId="77777777" w:rsidR="004E2C43" w:rsidRPr="00E9549B" w:rsidRDefault="004E2C43" w:rsidP="004E2C43">
            <w:pPr>
              <w:spacing w:line="259" w:lineRule="auto"/>
              <w:ind w:firstLine="0"/>
              <w:jc w:val="center"/>
              <w:rPr>
                <w:rFonts w:ascii="Times New Roman" w:eastAsia="Times New Roman" w:hAnsi="Times New Roman" w:cs="Times New Roman"/>
                <w:bCs/>
                <w:kern w:val="2"/>
                <w14:ligatures w14:val="standardContextual"/>
              </w:rPr>
            </w:pPr>
            <w:r w:rsidRPr="00E9549B">
              <w:rPr>
                <w:rFonts w:ascii="Times New Roman" w:eastAsia="Calibri" w:hAnsi="Times New Roman" w:cs="Times New Roman"/>
                <w:kern w:val="2"/>
                <w14:ligatures w14:val="standardContextual"/>
              </w:rPr>
              <w:t>-0.51 (-1.21, 0.07)</w:t>
            </w:r>
          </w:p>
        </w:tc>
        <w:tc>
          <w:tcPr>
            <w:tcW w:w="1984" w:type="dxa"/>
            <w:tcBorders>
              <w:top w:val="nil"/>
              <w:left w:val="nil"/>
              <w:bottom w:val="nil"/>
              <w:right w:val="nil"/>
            </w:tcBorders>
            <w:shd w:val="clear" w:color="auto" w:fill="auto"/>
            <w:noWrap/>
            <w:hideMark/>
          </w:tcPr>
          <w:p w14:paraId="4645E322" w14:textId="77777777" w:rsidR="004E2C43" w:rsidRPr="00E9549B" w:rsidRDefault="004E2C43" w:rsidP="004E2C43">
            <w:pPr>
              <w:spacing w:line="259" w:lineRule="auto"/>
              <w:ind w:firstLine="0"/>
              <w:jc w:val="center"/>
              <w:rPr>
                <w:rFonts w:ascii="Times New Roman" w:eastAsia="Times New Roman" w:hAnsi="Times New Roman" w:cs="Times New Roman"/>
                <w:bCs/>
                <w:kern w:val="2"/>
                <w14:ligatures w14:val="standardContextual"/>
              </w:rPr>
            </w:pPr>
            <w:r w:rsidRPr="00E9549B">
              <w:rPr>
                <w:rFonts w:ascii="Times New Roman" w:eastAsia="Calibri" w:hAnsi="Times New Roman" w:cs="Times New Roman"/>
                <w:kern w:val="2"/>
                <w14:ligatures w14:val="standardContextual"/>
              </w:rPr>
              <w:t>-0.13 (-0.90, 0.93)</w:t>
            </w:r>
          </w:p>
        </w:tc>
        <w:tc>
          <w:tcPr>
            <w:tcW w:w="1985" w:type="dxa"/>
            <w:tcBorders>
              <w:top w:val="nil"/>
              <w:left w:val="nil"/>
              <w:bottom w:val="nil"/>
              <w:right w:val="nil"/>
            </w:tcBorders>
            <w:shd w:val="clear" w:color="auto" w:fill="auto"/>
            <w:noWrap/>
            <w:hideMark/>
          </w:tcPr>
          <w:p w14:paraId="02276333" w14:textId="77777777" w:rsidR="004E2C43" w:rsidRPr="00E9549B" w:rsidRDefault="004E2C43" w:rsidP="004E2C43">
            <w:pPr>
              <w:spacing w:line="259" w:lineRule="auto"/>
              <w:ind w:firstLine="0"/>
              <w:jc w:val="center"/>
              <w:rPr>
                <w:rFonts w:ascii="Times New Roman" w:eastAsia="Times New Roman" w:hAnsi="Times New Roman" w:cs="Times New Roman"/>
                <w:bCs/>
                <w:kern w:val="2"/>
                <w14:ligatures w14:val="standardContextual"/>
              </w:rPr>
            </w:pPr>
            <w:r w:rsidRPr="00E9549B">
              <w:rPr>
                <w:rFonts w:ascii="Times New Roman" w:eastAsia="Calibri" w:hAnsi="Times New Roman" w:cs="Times New Roman"/>
                <w:kern w:val="2"/>
                <w14:ligatures w14:val="standardContextual"/>
              </w:rPr>
              <w:t>1.37 (-0.59, 2.53)</w:t>
            </w:r>
          </w:p>
        </w:tc>
      </w:tr>
      <w:tr w:rsidR="004E2C43" w:rsidRPr="00E9549B" w14:paraId="17A13FED" w14:textId="77777777" w:rsidTr="000C5B3A">
        <w:trPr>
          <w:trHeight w:val="310"/>
        </w:trPr>
        <w:tc>
          <w:tcPr>
            <w:tcW w:w="2268" w:type="dxa"/>
            <w:tcBorders>
              <w:top w:val="nil"/>
              <w:left w:val="nil"/>
              <w:right w:val="nil"/>
            </w:tcBorders>
            <w:shd w:val="clear" w:color="auto" w:fill="auto"/>
            <w:noWrap/>
            <w:vAlign w:val="bottom"/>
            <w:hideMark/>
          </w:tcPr>
          <w:p w14:paraId="19FD3A19" w14:textId="77777777" w:rsidR="004E2C43" w:rsidRPr="00E9549B" w:rsidRDefault="004E2C43" w:rsidP="004E2C43">
            <w:pPr>
              <w:spacing w:line="259" w:lineRule="auto"/>
              <w:ind w:firstLine="0"/>
              <w:jc w:val="both"/>
              <w:rPr>
                <w:rFonts w:ascii="Times New Roman" w:eastAsia="Times New Roman" w:hAnsi="Times New Roman" w:cs="Times New Roman"/>
                <w:bCs/>
                <w:kern w:val="2"/>
                <w14:ligatures w14:val="standardContextual"/>
              </w:rPr>
            </w:pPr>
            <w:r w:rsidRPr="00E9549B">
              <w:rPr>
                <w:rFonts w:ascii="Times New Roman" w:eastAsia="Times New Roman" w:hAnsi="Times New Roman" w:cs="Times New Roman"/>
                <w:bCs/>
                <w:kern w:val="2"/>
                <w14:ligatures w14:val="standardContextual"/>
              </w:rPr>
              <w:t>ASD</w:t>
            </w:r>
          </w:p>
        </w:tc>
        <w:tc>
          <w:tcPr>
            <w:tcW w:w="2552" w:type="dxa"/>
            <w:tcBorders>
              <w:top w:val="nil"/>
              <w:left w:val="nil"/>
              <w:right w:val="nil"/>
            </w:tcBorders>
            <w:shd w:val="clear" w:color="auto" w:fill="auto"/>
            <w:noWrap/>
            <w:hideMark/>
          </w:tcPr>
          <w:p w14:paraId="22AA9857" w14:textId="77777777" w:rsidR="004E2C43" w:rsidRPr="00E9549B" w:rsidRDefault="004E2C43" w:rsidP="004E2C43">
            <w:pPr>
              <w:spacing w:line="259" w:lineRule="auto"/>
              <w:ind w:firstLine="0"/>
              <w:jc w:val="center"/>
              <w:rPr>
                <w:rFonts w:ascii="Times New Roman" w:eastAsia="Times New Roman" w:hAnsi="Times New Roman" w:cs="Times New Roman"/>
                <w:bCs/>
                <w:kern w:val="2"/>
                <w14:ligatures w14:val="standardContextual"/>
              </w:rPr>
            </w:pPr>
            <w:r w:rsidRPr="00E9549B">
              <w:rPr>
                <w:rFonts w:ascii="Times New Roman" w:eastAsia="Calibri" w:hAnsi="Times New Roman" w:cs="Times New Roman"/>
                <w:kern w:val="2"/>
                <w14:ligatures w14:val="standardContextual"/>
              </w:rPr>
              <w:t>-0.59 (-1.33, 0.32)</w:t>
            </w:r>
          </w:p>
        </w:tc>
        <w:tc>
          <w:tcPr>
            <w:tcW w:w="1984" w:type="dxa"/>
            <w:tcBorders>
              <w:top w:val="nil"/>
              <w:left w:val="nil"/>
              <w:right w:val="nil"/>
            </w:tcBorders>
            <w:shd w:val="clear" w:color="auto" w:fill="auto"/>
            <w:noWrap/>
            <w:hideMark/>
          </w:tcPr>
          <w:p w14:paraId="05A3117C" w14:textId="77777777" w:rsidR="004E2C43" w:rsidRPr="00E9549B" w:rsidRDefault="004E2C43" w:rsidP="004E2C43">
            <w:pPr>
              <w:spacing w:line="259" w:lineRule="auto"/>
              <w:ind w:firstLine="0"/>
              <w:jc w:val="center"/>
              <w:rPr>
                <w:rFonts w:ascii="Times New Roman" w:eastAsia="Times New Roman" w:hAnsi="Times New Roman" w:cs="Times New Roman"/>
                <w:bCs/>
                <w:kern w:val="2"/>
                <w14:ligatures w14:val="standardContextual"/>
              </w:rPr>
            </w:pPr>
            <w:r w:rsidRPr="00E9549B">
              <w:rPr>
                <w:rFonts w:ascii="Times New Roman" w:eastAsia="Calibri" w:hAnsi="Times New Roman" w:cs="Times New Roman"/>
                <w:kern w:val="2"/>
                <w14:ligatures w14:val="standardContextual"/>
              </w:rPr>
              <w:t>0.78 (-0.44, 1.87)</w:t>
            </w:r>
          </w:p>
        </w:tc>
        <w:tc>
          <w:tcPr>
            <w:tcW w:w="1985" w:type="dxa"/>
            <w:tcBorders>
              <w:top w:val="nil"/>
              <w:left w:val="nil"/>
              <w:right w:val="nil"/>
            </w:tcBorders>
            <w:shd w:val="clear" w:color="auto" w:fill="auto"/>
            <w:noWrap/>
            <w:hideMark/>
          </w:tcPr>
          <w:p w14:paraId="5BE26749" w14:textId="77777777" w:rsidR="004E2C43" w:rsidRPr="00E9549B" w:rsidRDefault="004E2C43" w:rsidP="004E2C43">
            <w:pPr>
              <w:spacing w:line="259" w:lineRule="auto"/>
              <w:ind w:firstLine="0"/>
              <w:jc w:val="center"/>
              <w:rPr>
                <w:rFonts w:ascii="Times New Roman" w:eastAsia="Times New Roman" w:hAnsi="Times New Roman" w:cs="Times New Roman"/>
                <w:bCs/>
                <w:kern w:val="2"/>
                <w14:ligatures w14:val="standardContextual"/>
              </w:rPr>
            </w:pPr>
            <w:r w:rsidRPr="00E9549B">
              <w:rPr>
                <w:rFonts w:ascii="Times New Roman" w:eastAsia="Calibri" w:hAnsi="Times New Roman" w:cs="Times New Roman"/>
                <w:kern w:val="2"/>
                <w14:ligatures w14:val="standardContextual"/>
              </w:rPr>
              <w:t>2.12 (1.26, 3.70)</w:t>
            </w:r>
          </w:p>
        </w:tc>
      </w:tr>
      <w:tr w:rsidR="004E2C43" w:rsidRPr="00E9549B" w14:paraId="21A4C4FD" w14:textId="77777777" w:rsidTr="000C5B3A">
        <w:trPr>
          <w:trHeight w:val="310"/>
        </w:trPr>
        <w:tc>
          <w:tcPr>
            <w:tcW w:w="2268" w:type="dxa"/>
            <w:tcBorders>
              <w:top w:val="nil"/>
              <w:left w:val="nil"/>
              <w:bottom w:val="single" w:sz="8" w:space="0" w:color="auto"/>
              <w:right w:val="nil"/>
            </w:tcBorders>
            <w:shd w:val="clear" w:color="auto" w:fill="auto"/>
            <w:noWrap/>
            <w:vAlign w:val="bottom"/>
            <w:hideMark/>
          </w:tcPr>
          <w:p w14:paraId="201E29DC" w14:textId="7B62AC32" w:rsidR="004E2C43" w:rsidRPr="00E9549B" w:rsidRDefault="009C2AA2" w:rsidP="004E2C43">
            <w:pPr>
              <w:spacing w:line="259" w:lineRule="auto"/>
              <w:ind w:firstLine="0"/>
              <w:jc w:val="both"/>
              <w:rPr>
                <w:rFonts w:ascii="Times New Roman" w:eastAsia="Times New Roman" w:hAnsi="Times New Roman" w:cs="Times New Roman"/>
                <w:bCs/>
                <w:kern w:val="2"/>
                <w14:ligatures w14:val="standardContextual"/>
              </w:rPr>
            </w:pPr>
            <w:r>
              <w:rPr>
                <w:rFonts w:ascii="Times New Roman" w:eastAsia="Times New Roman" w:hAnsi="Times New Roman" w:cs="Times New Roman"/>
                <w:bCs/>
                <w:kern w:val="2"/>
                <w14:ligatures w14:val="standardContextual"/>
              </w:rPr>
              <w:t>LD</w:t>
            </w:r>
          </w:p>
        </w:tc>
        <w:tc>
          <w:tcPr>
            <w:tcW w:w="2552" w:type="dxa"/>
            <w:tcBorders>
              <w:top w:val="nil"/>
              <w:left w:val="nil"/>
              <w:bottom w:val="single" w:sz="8" w:space="0" w:color="auto"/>
              <w:right w:val="nil"/>
            </w:tcBorders>
            <w:shd w:val="clear" w:color="auto" w:fill="auto"/>
            <w:noWrap/>
            <w:hideMark/>
          </w:tcPr>
          <w:p w14:paraId="4038B0B1" w14:textId="77777777" w:rsidR="004E2C43" w:rsidRPr="00E9549B" w:rsidRDefault="004E2C43" w:rsidP="004E2C43">
            <w:pPr>
              <w:spacing w:line="259" w:lineRule="auto"/>
              <w:ind w:firstLine="0"/>
              <w:jc w:val="center"/>
              <w:rPr>
                <w:rFonts w:ascii="Times New Roman" w:eastAsia="Times New Roman" w:hAnsi="Times New Roman" w:cs="Times New Roman"/>
                <w:bCs/>
                <w:kern w:val="2"/>
                <w14:ligatures w14:val="standardContextual"/>
              </w:rPr>
            </w:pPr>
            <w:r w:rsidRPr="00E9549B">
              <w:rPr>
                <w:rFonts w:ascii="Times New Roman" w:eastAsia="Calibri" w:hAnsi="Times New Roman" w:cs="Times New Roman"/>
                <w:kern w:val="2"/>
                <w14:ligatures w14:val="standardContextual"/>
              </w:rPr>
              <w:t>-0.58 (-1.45, 0.52)</w:t>
            </w:r>
          </w:p>
        </w:tc>
        <w:tc>
          <w:tcPr>
            <w:tcW w:w="1984" w:type="dxa"/>
            <w:tcBorders>
              <w:top w:val="nil"/>
              <w:left w:val="nil"/>
              <w:bottom w:val="single" w:sz="8" w:space="0" w:color="auto"/>
              <w:right w:val="nil"/>
            </w:tcBorders>
            <w:shd w:val="clear" w:color="auto" w:fill="auto"/>
            <w:noWrap/>
            <w:hideMark/>
          </w:tcPr>
          <w:p w14:paraId="59DF52FC" w14:textId="77777777" w:rsidR="004E2C43" w:rsidRPr="00E9549B" w:rsidRDefault="004E2C43" w:rsidP="004E2C43">
            <w:pPr>
              <w:spacing w:line="259" w:lineRule="auto"/>
              <w:ind w:firstLine="0"/>
              <w:jc w:val="center"/>
              <w:rPr>
                <w:rFonts w:ascii="Times New Roman" w:eastAsia="Times New Roman" w:hAnsi="Times New Roman" w:cs="Times New Roman"/>
                <w:bCs/>
                <w:kern w:val="2"/>
                <w14:ligatures w14:val="standardContextual"/>
              </w:rPr>
            </w:pPr>
            <w:r w:rsidRPr="00E9549B">
              <w:rPr>
                <w:rFonts w:ascii="Times New Roman" w:eastAsia="Calibri" w:hAnsi="Times New Roman" w:cs="Times New Roman"/>
                <w:kern w:val="2"/>
                <w14:ligatures w14:val="standardContextual"/>
              </w:rPr>
              <w:t>0.71 (-0.21, 1.99)</w:t>
            </w:r>
          </w:p>
        </w:tc>
        <w:tc>
          <w:tcPr>
            <w:tcW w:w="1985" w:type="dxa"/>
            <w:tcBorders>
              <w:top w:val="nil"/>
              <w:left w:val="nil"/>
              <w:bottom w:val="single" w:sz="8" w:space="0" w:color="auto"/>
              <w:right w:val="nil"/>
            </w:tcBorders>
            <w:shd w:val="clear" w:color="auto" w:fill="auto"/>
            <w:noWrap/>
            <w:hideMark/>
          </w:tcPr>
          <w:p w14:paraId="677F81D5" w14:textId="77777777" w:rsidR="004E2C43" w:rsidRPr="00E9549B" w:rsidRDefault="004E2C43" w:rsidP="004E2C43">
            <w:pPr>
              <w:spacing w:line="259" w:lineRule="auto"/>
              <w:ind w:firstLine="0"/>
              <w:jc w:val="center"/>
              <w:rPr>
                <w:rFonts w:ascii="Times New Roman" w:eastAsia="Times New Roman" w:hAnsi="Times New Roman" w:cs="Times New Roman"/>
                <w:bCs/>
                <w:kern w:val="2"/>
                <w14:ligatures w14:val="standardContextual"/>
              </w:rPr>
            </w:pPr>
            <w:r w:rsidRPr="00E9549B">
              <w:rPr>
                <w:rFonts w:ascii="Times New Roman" w:eastAsia="Calibri" w:hAnsi="Times New Roman" w:cs="Times New Roman"/>
                <w:kern w:val="2"/>
                <w14:ligatures w14:val="standardContextual"/>
              </w:rPr>
              <w:t>1.92 (0.65, 3.82)</w:t>
            </w:r>
          </w:p>
        </w:tc>
      </w:tr>
    </w:tbl>
    <w:p w14:paraId="4E014E6C" w14:textId="76ED1E4C" w:rsidR="008F24D6" w:rsidRDefault="004E2C43" w:rsidP="003D0B5F">
      <w:pPr>
        <w:spacing w:line="259" w:lineRule="auto"/>
        <w:ind w:firstLine="0"/>
        <w:rPr>
          <w:rFonts w:ascii="Times New Roman" w:eastAsia="Calibri" w:hAnsi="Times New Roman" w:cs="Times New Roman"/>
          <w:kern w:val="2"/>
          <w14:ligatures w14:val="standardContextual"/>
        </w:rPr>
      </w:pPr>
      <w:bookmarkStart w:id="13" w:name="_Hlk149043500"/>
      <w:r w:rsidRPr="00E9549B">
        <w:rPr>
          <w:rFonts w:ascii="Times New Roman" w:eastAsia="Calibri" w:hAnsi="Times New Roman" w:cs="Times New Roman"/>
          <w:i/>
          <w:iCs/>
          <w:kern w:val="2"/>
          <w14:ligatures w14:val="standardContextual"/>
        </w:rPr>
        <w:t xml:space="preserve">Note. </w:t>
      </w:r>
      <w:r w:rsidRPr="00E9549B">
        <w:rPr>
          <w:rFonts w:ascii="Times New Roman" w:eastAsia="Calibri" w:hAnsi="Times New Roman" w:cs="Times New Roman"/>
          <w:kern w:val="2"/>
          <w14:ligatures w14:val="standardContextual"/>
        </w:rPr>
        <w:t xml:space="preserve">Coefficients represent β coefficients for </w:t>
      </w:r>
      <w:bookmarkEnd w:id="13"/>
      <w:r w:rsidRPr="00E9549B">
        <w:rPr>
          <w:rFonts w:ascii="Times New Roman" w:eastAsia="Calibri" w:hAnsi="Times New Roman" w:cs="Times New Roman"/>
          <w:kern w:val="2"/>
          <w14:ligatures w14:val="standardContextual"/>
        </w:rPr>
        <w:t>the interaction between NDD status and time.</w:t>
      </w:r>
    </w:p>
    <w:p w14:paraId="719DD67A" w14:textId="77777777" w:rsidR="00F27982" w:rsidRDefault="00F27982" w:rsidP="003D0B5F">
      <w:pPr>
        <w:spacing w:line="259" w:lineRule="auto"/>
        <w:ind w:firstLine="0"/>
        <w:rPr>
          <w:rFonts w:ascii="Times New Roman" w:eastAsia="Calibri" w:hAnsi="Times New Roman" w:cs="Times New Roman"/>
          <w:kern w:val="2"/>
          <w14:ligatures w14:val="standardContextual"/>
        </w:rPr>
      </w:pPr>
    </w:p>
    <w:p w14:paraId="297B2FC0" w14:textId="17855CE7" w:rsidR="00F27982" w:rsidRPr="00F27982" w:rsidRDefault="00F27982" w:rsidP="00F27982">
      <w:pPr>
        <w:spacing w:line="259" w:lineRule="auto"/>
        <w:ind w:firstLine="0"/>
        <w:rPr>
          <w:rFonts w:ascii="Times New Roman" w:eastAsia="Times New Roman" w:hAnsi="Times New Roman" w:cs="Times New Roman"/>
          <w:bCs/>
        </w:rPr>
      </w:pPr>
      <w:r w:rsidRPr="00F27982">
        <w:rPr>
          <w:rFonts w:ascii="Times New Roman" w:eastAsia="Times New Roman" w:hAnsi="Times New Roman" w:cs="Times New Roman"/>
          <w:b/>
        </w:rPr>
        <w:t xml:space="preserve">Table </w:t>
      </w:r>
      <w:r>
        <w:rPr>
          <w:rFonts w:ascii="Times New Roman" w:eastAsia="Times New Roman" w:hAnsi="Times New Roman" w:cs="Times New Roman"/>
          <w:b/>
        </w:rPr>
        <w:t>3</w:t>
      </w:r>
      <w:r w:rsidRPr="00F27982">
        <w:rPr>
          <w:rFonts w:ascii="Times New Roman" w:eastAsia="Times New Roman" w:hAnsi="Times New Roman" w:cs="Times New Roman"/>
          <w:b/>
        </w:rPr>
        <w:t xml:space="preserve">. </w:t>
      </w:r>
      <w:r w:rsidRPr="00F27982">
        <w:rPr>
          <w:rFonts w:ascii="Times New Roman" w:eastAsia="Times New Roman" w:hAnsi="Times New Roman" w:cs="Times New Roman"/>
          <w:bCs/>
        </w:rPr>
        <w:t>Estimated</w:t>
      </w:r>
      <w:r w:rsidRPr="00F27982">
        <w:rPr>
          <w:rFonts w:ascii="Times New Roman" w:eastAsia="Times New Roman" w:hAnsi="Times New Roman" w:cs="Times New Roman"/>
          <w:b/>
        </w:rPr>
        <w:t xml:space="preserve"> </w:t>
      </w:r>
      <w:r w:rsidRPr="00F27982">
        <w:rPr>
          <w:rFonts w:ascii="Times New Roman" w:eastAsia="Times New Roman" w:hAnsi="Times New Roman" w:cs="Times New Roman"/>
          <w:bCs/>
        </w:rPr>
        <w:t>BMI differences with 95% confidence intervals for each NDD compared with individuals without each condition in the 2016–2020 cohort.</w:t>
      </w:r>
    </w:p>
    <w:tbl>
      <w:tblPr>
        <w:tblW w:w="8657" w:type="dxa"/>
        <w:tblLook w:val="04A0" w:firstRow="1" w:lastRow="0" w:firstColumn="1" w:lastColumn="0" w:noHBand="0" w:noVBand="1"/>
      </w:tblPr>
      <w:tblGrid>
        <w:gridCol w:w="2268"/>
        <w:gridCol w:w="2230"/>
        <w:gridCol w:w="2165"/>
        <w:gridCol w:w="1994"/>
      </w:tblGrid>
      <w:tr w:rsidR="00F27982" w:rsidRPr="00F27982" w14:paraId="734FECD3" w14:textId="77777777" w:rsidTr="00EB6DF4">
        <w:trPr>
          <w:trHeight w:val="320"/>
        </w:trPr>
        <w:tc>
          <w:tcPr>
            <w:tcW w:w="2268" w:type="dxa"/>
            <w:tcBorders>
              <w:top w:val="single" w:sz="8" w:space="0" w:color="auto"/>
              <w:left w:val="nil"/>
              <w:right w:val="nil"/>
            </w:tcBorders>
            <w:shd w:val="clear" w:color="auto" w:fill="auto"/>
            <w:noWrap/>
            <w:vAlign w:val="bottom"/>
            <w:hideMark/>
          </w:tcPr>
          <w:p w14:paraId="75E3AA32" w14:textId="77777777" w:rsidR="00F27982" w:rsidRPr="00F27982" w:rsidRDefault="00F27982" w:rsidP="00C66634">
            <w:pPr>
              <w:spacing w:after="0" w:line="360" w:lineRule="auto"/>
              <w:ind w:firstLine="0"/>
              <w:rPr>
                <w:rFonts w:ascii="Times New Roman" w:eastAsia="Times New Roman" w:hAnsi="Times New Roman" w:cs="Times New Roman"/>
                <w:color w:val="000000"/>
              </w:rPr>
            </w:pPr>
            <w:r w:rsidRPr="00F27982">
              <w:rPr>
                <w:rFonts w:ascii="Times New Roman" w:eastAsia="Times New Roman" w:hAnsi="Times New Roman" w:cs="Times New Roman"/>
                <w:color w:val="000000"/>
              </w:rPr>
              <w:t> </w:t>
            </w:r>
          </w:p>
        </w:tc>
        <w:tc>
          <w:tcPr>
            <w:tcW w:w="6389" w:type="dxa"/>
            <w:gridSpan w:val="3"/>
            <w:tcBorders>
              <w:top w:val="single" w:sz="8" w:space="0" w:color="auto"/>
              <w:left w:val="nil"/>
              <w:bottom w:val="single" w:sz="4" w:space="0" w:color="auto"/>
              <w:right w:val="nil"/>
            </w:tcBorders>
            <w:shd w:val="clear" w:color="auto" w:fill="auto"/>
            <w:noWrap/>
            <w:vAlign w:val="center"/>
            <w:hideMark/>
          </w:tcPr>
          <w:p w14:paraId="3A052B03" w14:textId="77777777" w:rsidR="00F27982" w:rsidRPr="00F27982" w:rsidRDefault="00F27982" w:rsidP="00C66634">
            <w:pPr>
              <w:spacing w:after="0" w:line="360" w:lineRule="auto"/>
              <w:ind w:firstLine="0"/>
              <w:jc w:val="center"/>
              <w:rPr>
                <w:rFonts w:ascii="Times New Roman" w:eastAsia="Times New Roman" w:hAnsi="Times New Roman" w:cs="Times New Roman"/>
                <w:b/>
                <w:bCs/>
                <w:color w:val="000000"/>
              </w:rPr>
            </w:pPr>
            <w:r w:rsidRPr="00F27982">
              <w:rPr>
                <w:rFonts w:ascii="Times New Roman" w:eastAsia="Times New Roman" w:hAnsi="Times New Roman" w:cs="Times New Roman"/>
                <w:b/>
                <w:bCs/>
                <w:color w:val="000000"/>
              </w:rPr>
              <w:t>BMI percentile</w:t>
            </w:r>
          </w:p>
        </w:tc>
      </w:tr>
      <w:tr w:rsidR="00F27982" w:rsidRPr="00F27982" w14:paraId="04C3EBA1" w14:textId="77777777" w:rsidTr="00EB6DF4">
        <w:trPr>
          <w:trHeight w:val="310"/>
        </w:trPr>
        <w:tc>
          <w:tcPr>
            <w:tcW w:w="2268" w:type="dxa"/>
            <w:tcBorders>
              <w:top w:val="nil"/>
              <w:left w:val="nil"/>
              <w:bottom w:val="single" w:sz="4" w:space="0" w:color="auto"/>
              <w:right w:val="nil"/>
            </w:tcBorders>
            <w:shd w:val="clear" w:color="auto" w:fill="auto"/>
            <w:noWrap/>
            <w:vAlign w:val="center"/>
            <w:hideMark/>
          </w:tcPr>
          <w:p w14:paraId="5C3D5994" w14:textId="77777777" w:rsidR="00F27982" w:rsidRPr="00F27982" w:rsidRDefault="00F27982" w:rsidP="00C66634">
            <w:pPr>
              <w:spacing w:after="0" w:line="360" w:lineRule="auto"/>
              <w:ind w:firstLine="0"/>
              <w:rPr>
                <w:rFonts w:ascii="Times New Roman" w:eastAsia="Times New Roman" w:hAnsi="Times New Roman" w:cs="Times New Roman"/>
                <w:b/>
                <w:bCs/>
                <w:color w:val="000000"/>
              </w:rPr>
            </w:pPr>
            <w:r w:rsidRPr="00F27982">
              <w:rPr>
                <w:rFonts w:ascii="Times New Roman" w:eastAsia="Times New Roman" w:hAnsi="Times New Roman" w:cs="Times New Roman"/>
                <w:b/>
                <w:bCs/>
                <w:color w:val="000000"/>
              </w:rPr>
              <w:t>Condition</w:t>
            </w:r>
          </w:p>
        </w:tc>
        <w:tc>
          <w:tcPr>
            <w:tcW w:w="2230" w:type="dxa"/>
            <w:tcBorders>
              <w:top w:val="single" w:sz="4" w:space="0" w:color="auto"/>
              <w:left w:val="nil"/>
              <w:bottom w:val="single" w:sz="4" w:space="0" w:color="auto"/>
              <w:right w:val="nil"/>
            </w:tcBorders>
            <w:shd w:val="clear" w:color="auto" w:fill="auto"/>
            <w:noWrap/>
            <w:vAlign w:val="center"/>
            <w:hideMark/>
          </w:tcPr>
          <w:p w14:paraId="38A27794" w14:textId="77777777" w:rsidR="00F27982" w:rsidRPr="00F27982" w:rsidRDefault="00F27982" w:rsidP="00C66634">
            <w:pPr>
              <w:spacing w:after="0" w:line="360" w:lineRule="auto"/>
              <w:ind w:firstLine="0"/>
              <w:jc w:val="center"/>
              <w:rPr>
                <w:rFonts w:ascii="Times New Roman" w:eastAsia="Times New Roman" w:hAnsi="Times New Roman" w:cs="Times New Roman"/>
                <w:b/>
                <w:bCs/>
                <w:color w:val="000000"/>
              </w:rPr>
            </w:pPr>
            <w:r w:rsidRPr="00F27982">
              <w:rPr>
                <w:rFonts w:ascii="Times New Roman" w:eastAsia="Times New Roman" w:hAnsi="Times New Roman" w:cs="Times New Roman"/>
                <w:b/>
                <w:bCs/>
                <w:color w:val="000000"/>
              </w:rPr>
              <w:t>15</w:t>
            </w:r>
            <w:r w:rsidRPr="00F27982">
              <w:rPr>
                <w:rFonts w:ascii="Times New Roman" w:eastAsia="Times New Roman" w:hAnsi="Times New Roman" w:cs="Times New Roman"/>
                <w:b/>
                <w:bCs/>
                <w:color w:val="000000"/>
                <w:vertAlign w:val="superscript"/>
              </w:rPr>
              <w:t>th</w:t>
            </w:r>
          </w:p>
        </w:tc>
        <w:tc>
          <w:tcPr>
            <w:tcW w:w="2165" w:type="dxa"/>
            <w:tcBorders>
              <w:top w:val="single" w:sz="4" w:space="0" w:color="auto"/>
              <w:left w:val="nil"/>
              <w:bottom w:val="single" w:sz="4" w:space="0" w:color="auto"/>
              <w:right w:val="nil"/>
            </w:tcBorders>
            <w:shd w:val="clear" w:color="auto" w:fill="auto"/>
            <w:noWrap/>
            <w:vAlign w:val="center"/>
            <w:hideMark/>
          </w:tcPr>
          <w:p w14:paraId="4BD2496C" w14:textId="77777777" w:rsidR="00F27982" w:rsidRPr="00F27982" w:rsidRDefault="00F27982" w:rsidP="00C66634">
            <w:pPr>
              <w:spacing w:after="0" w:line="360" w:lineRule="auto"/>
              <w:ind w:firstLine="0"/>
              <w:jc w:val="center"/>
              <w:rPr>
                <w:rFonts w:ascii="Times New Roman" w:eastAsia="Times New Roman" w:hAnsi="Times New Roman" w:cs="Times New Roman"/>
                <w:b/>
                <w:bCs/>
                <w:color w:val="000000"/>
              </w:rPr>
            </w:pPr>
            <w:r w:rsidRPr="00F27982">
              <w:rPr>
                <w:rFonts w:ascii="Times New Roman" w:eastAsia="Times New Roman" w:hAnsi="Times New Roman" w:cs="Times New Roman"/>
                <w:b/>
                <w:bCs/>
                <w:color w:val="000000"/>
              </w:rPr>
              <w:t>50</w:t>
            </w:r>
            <w:r w:rsidRPr="00F27982">
              <w:rPr>
                <w:rFonts w:ascii="Times New Roman" w:eastAsia="Times New Roman" w:hAnsi="Times New Roman" w:cs="Times New Roman"/>
                <w:b/>
                <w:bCs/>
                <w:color w:val="000000"/>
                <w:vertAlign w:val="superscript"/>
              </w:rPr>
              <w:t>th</w:t>
            </w:r>
          </w:p>
        </w:tc>
        <w:tc>
          <w:tcPr>
            <w:tcW w:w="1990" w:type="dxa"/>
            <w:tcBorders>
              <w:top w:val="single" w:sz="4" w:space="0" w:color="auto"/>
              <w:left w:val="nil"/>
              <w:bottom w:val="single" w:sz="4" w:space="0" w:color="auto"/>
              <w:right w:val="nil"/>
            </w:tcBorders>
            <w:shd w:val="clear" w:color="auto" w:fill="auto"/>
            <w:noWrap/>
            <w:vAlign w:val="center"/>
            <w:hideMark/>
          </w:tcPr>
          <w:p w14:paraId="5D579A36" w14:textId="77777777" w:rsidR="00F27982" w:rsidRPr="00F27982" w:rsidRDefault="00F27982" w:rsidP="00C66634">
            <w:pPr>
              <w:spacing w:after="0" w:line="360" w:lineRule="auto"/>
              <w:ind w:firstLine="0"/>
              <w:jc w:val="center"/>
              <w:rPr>
                <w:rFonts w:ascii="Times New Roman" w:eastAsia="Times New Roman" w:hAnsi="Times New Roman" w:cs="Times New Roman"/>
                <w:b/>
                <w:bCs/>
                <w:color w:val="000000"/>
              </w:rPr>
            </w:pPr>
            <w:r w:rsidRPr="00F27982">
              <w:rPr>
                <w:rFonts w:ascii="Times New Roman" w:eastAsia="Times New Roman" w:hAnsi="Times New Roman" w:cs="Times New Roman"/>
                <w:b/>
                <w:bCs/>
                <w:color w:val="000000"/>
              </w:rPr>
              <w:t>85</w:t>
            </w:r>
            <w:r w:rsidRPr="00F27982">
              <w:rPr>
                <w:rFonts w:ascii="Times New Roman" w:eastAsia="Times New Roman" w:hAnsi="Times New Roman" w:cs="Times New Roman"/>
                <w:b/>
                <w:bCs/>
                <w:color w:val="000000"/>
                <w:vertAlign w:val="superscript"/>
              </w:rPr>
              <w:t>th</w:t>
            </w:r>
          </w:p>
        </w:tc>
      </w:tr>
      <w:tr w:rsidR="00F27982" w:rsidRPr="00F27982" w14:paraId="205CC4E8" w14:textId="77777777" w:rsidTr="00EB6DF4">
        <w:trPr>
          <w:trHeight w:val="310"/>
        </w:trPr>
        <w:tc>
          <w:tcPr>
            <w:tcW w:w="2268" w:type="dxa"/>
            <w:tcBorders>
              <w:top w:val="single" w:sz="4" w:space="0" w:color="auto"/>
              <w:left w:val="nil"/>
              <w:bottom w:val="nil"/>
              <w:right w:val="nil"/>
            </w:tcBorders>
            <w:shd w:val="clear" w:color="auto" w:fill="auto"/>
            <w:noWrap/>
            <w:vAlign w:val="center"/>
            <w:hideMark/>
          </w:tcPr>
          <w:p w14:paraId="6B332314" w14:textId="77777777" w:rsidR="00F27982" w:rsidRPr="00F27982" w:rsidRDefault="00F27982" w:rsidP="00C66634">
            <w:pPr>
              <w:spacing w:after="0" w:line="360" w:lineRule="auto"/>
              <w:ind w:firstLine="0"/>
              <w:rPr>
                <w:rFonts w:ascii="Times New Roman" w:eastAsia="Times New Roman" w:hAnsi="Times New Roman" w:cs="Times New Roman"/>
                <w:color w:val="000000"/>
              </w:rPr>
            </w:pPr>
            <w:r w:rsidRPr="00F27982">
              <w:rPr>
                <w:rFonts w:ascii="Times New Roman" w:eastAsia="Times New Roman" w:hAnsi="Times New Roman" w:cs="Times New Roman"/>
                <w:color w:val="000000"/>
              </w:rPr>
              <w:t>NDD</w:t>
            </w:r>
          </w:p>
        </w:tc>
        <w:tc>
          <w:tcPr>
            <w:tcW w:w="2230" w:type="dxa"/>
            <w:tcBorders>
              <w:top w:val="single" w:sz="4" w:space="0" w:color="auto"/>
              <w:left w:val="nil"/>
              <w:bottom w:val="nil"/>
              <w:right w:val="nil"/>
            </w:tcBorders>
            <w:shd w:val="clear" w:color="auto" w:fill="auto"/>
            <w:noWrap/>
            <w:hideMark/>
          </w:tcPr>
          <w:p w14:paraId="23D59AD2" w14:textId="77777777" w:rsidR="00F27982" w:rsidRPr="00F27982" w:rsidRDefault="00F27982" w:rsidP="00C66634">
            <w:pPr>
              <w:spacing w:after="0" w:line="360" w:lineRule="auto"/>
              <w:ind w:firstLine="0"/>
              <w:jc w:val="center"/>
              <w:rPr>
                <w:rFonts w:ascii="Times New Roman" w:eastAsia="Times New Roman" w:hAnsi="Times New Roman" w:cs="Times New Roman"/>
                <w:color w:val="000000"/>
              </w:rPr>
            </w:pPr>
            <w:r w:rsidRPr="00F27982">
              <w:rPr>
                <w:rFonts w:ascii="Times New Roman" w:eastAsia="Calibri" w:hAnsi="Times New Roman" w:cs="Times New Roman"/>
                <w:kern w:val="2"/>
                <w14:ligatures w14:val="standardContextual"/>
              </w:rPr>
              <w:t>-0.24 (-0.44, -0.03)</w:t>
            </w:r>
          </w:p>
        </w:tc>
        <w:tc>
          <w:tcPr>
            <w:tcW w:w="2165" w:type="dxa"/>
            <w:tcBorders>
              <w:top w:val="single" w:sz="4" w:space="0" w:color="auto"/>
              <w:left w:val="nil"/>
              <w:bottom w:val="nil"/>
              <w:right w:val="nil"/>
            </w:tcBorders>
            <w:shd w:val="clear" w:color="auto" w:fill="auto"/>
            <w:noWrap/>
            <w:hideMark/>
          </w:tcPr>
          <w:p w14:paraId="54A13B23" w14:textId="77777777" w:rsidR="00F27982" w:rsidRPr="00F27982" w:rsidRDefault="00F27982" w:rsidP="00C66634">
            <w:pPr>
              <w:spacing w:after="0" w:line="360" w:lineRule="auto"/>
              <w:ind w:firstLine="0"/>
              <w:jc w:val="center"/>
              <w:rPr>
                <w:rFonts w:ascii="Times New Roman" w:eastAsia="Times New Roman" w:hAnsi="Times New Roman" w:cs="Times New Roman"/>
                <w:color w:val="000000"/>
              </w:rPr>
            </w:pPr>
            <w:r w:rsidRPr="00F27982">
              <w:rPr>
                <w:rFonts w:ascii="Times New Roman" w:eastAsia="Calibri" w:hAnsi="Times New Roman" w:cs="Times New Roman"/>
                <w:kern w:val="2"/>
                <w14:ligatures w14:val="standardContextual"/>
              </w:rPr>
              <w:t>0.65 (0.19, 1.117)</w:t>
            </w:r>
          </w:p>
        </w:tc>
        <w:tc>
          <w:tcPr>
            <w:tcW w:w="1990" w:type="dxa"/>
            <w:tcBorders>
              <w:top w:val="single" w:sz="4" w:space="0" w:color="auto"/>
              <w:left w:val="nil"/>
              <w:bottom w:val="nil"/>
              <w:right w:val="nil"/>
            </w:tcBorders>
            <w:shd w:val="clear" w:color="auto" w:fill="auto"/>
            <w:noWrap/>
            <w:hideMark/>
          </w:tcPr>
          <w:p w14:paraId="4866872E" w14:textId="77777777" w:rsidR="00F27982" w:rsidRPr="00F27982" w:rsidRDefault="00F27982" w:rsidP="00C66634">
            <w:pPr>
              <w:spacing w:after="0" w:line="360" w:lineRule="auto"/>
              <w:ind w:firstLine="0"/>
              <w:jc w:val="center"/>
              <w:rPr>
                <w:rFonts w:ascii="Times New Roman" w:eastAsia="Times New Roman" w:hAnsi="Times New Roman" w:cs="Times New Roman"/>
                <w:color w:val="000000"/>
              </w:rPr>
            </w:pPr>
            <w:r w:rsidRPr="00F27982">
              <w:rPr>
                <w:rFonts w:ascii="Times New Roman" w:eastAsia="Calibri" w:hAnsi="Times New Roman" w:cs="Times New Roman"/>
                <w:kern w:val="2"/>
                <w14:ligatures w14:val="standardContextual"/>
              </w:rPr>
              <w:t>1.99 (1.08, 2.89)</w:t>
            </w:r>
          </w:p>
        </w:tc>
      </w:tr>
      <w:tr w:rsidR="00F27982" w:rsidRPr="00F27982" w14:paraId="3957E457" w14:textId="77777777" w:rsidTr="00EB6DF4">
        <w:trPr>
          <w:trHeight w:val="310"/>
        </w:trPr>
        <w:tc>
          <w:tcPr>
            <w:tcW w:w="2268" w:type="dxa"/>
            <w:tcBorders>
              <w:top w:val="nil"/>
              <w:left w:val="nil"/>
              <w:bottom w:val="nil"/>
              <w:right w:val="nil"/>
            </w:tcBorders>
            <w:shd w:val="clear" w:color="auto" w:fill="auto"/>
            <w:noWrap/>
            <w:vAlign w:val="center"/>
            <w:hideMark/>
          </w:tcPr>
          <w:p w14:paraId="21FABFEA" w14:textId="77777777" w:rsidR="00F27982" w:rsidRPr="00F27982" w:rsidRDefault="00F27982" w:rsidP="00C66634">
            <w:pPr>
              <w:spacing w:after="0" w:line="360" w:lineRule="auto"/>
              <w:ind w:firstLine="0"/>
              <w:rPr>
                <w:rFonts w:ascii="Times New Roman" w:eastAsia="Times New Roman" w:hAnsi="Times New Roman" w:cs="Times New Roman"/>
                <w:color w:val="000000"/>
              </w:rPr>
            </w:pPr>
            <w:r w:rsidRPr="00F27982">
              <w:rPr>
                <w:rFonts w:ascii="Times New Roman" w:eastAsia="Times New Roman" w:hAnsi="Times New Roman" w:cs="Times New Roman"/>
                <w:color w:val="000000"/>
              </w:rPr>
              <w:t>ADHD</w:t>
            </w:r>
          </w:p>
        </w:tc>
        <w:tc>
          <w:tcPr>
            <w:tcW w:w="2230" w:type="dxa"/>
            <w:tcBorders>
              <w:top w:val="nil"/>
              <w:left w:val="nil"/>
              <w:bottom w:val="nil"/>
              <w:right w:val="nil"/>
            </w:tcBorders>
            <w:shd w:val="clear" w:color="auto" w:fill="auto"/>
            <w:noWrap/>
            <w:hideMark/>
          </w:tcPr>
          <w:p w14:paraId="2BA1405C" w14:textId="77777777" w:rsidR="00F27982" w:rsidRPr="00F27982" w:rsidRDefault="00F27982" w:rsidP="00C66634">
            <w:pPr>
              <w:spacing w:after="0" w:line="360" w:lineRule="auto"/>
              <w:ind w:firstLine="0"/>
              <w:jc w:val="center"/>
              <w:rPr>
                <w:rFonts w:ascii="Times New Roman" w:eastAsia="Times New Roman" w:hAnsi="Times New Roman" w:cs="Times New Roman"/>
                <w:color w:val="000000"/>
              </w:rPr>
            </w:pPr>
            <w:r w:rsidRPr="00F27982">
              <w:rPr>
                <w:rFonts w:ascii="Times New Roman" w:eastAsia="Calibri" w:hAnsi="Times New Roman" w:cs="Times New Roman"/>
                <w:kern w:val="2"/>
                <w14:ligatures w14:val="standardContextual"/>
              </w:rPr>
              <w:t>-0.20 (-0.44, 0.04)</w:t>
            </w:r>
          </w:p>
        </w:tc>
        <w:tc>
          <w:tcPr>
            <w:tcW w:w="2165" w:type="dxa"/>
            <w:tcBorders>
              <w:top w:val="nil"/>
              <w:left w:val="nil"/>
              <w:bottom w:val="nil"/>
              <w:right w:val="nil"/>
            </w:tcBorders>
            <w:shd w:val="clear" w:color="auto" w:fill="auto"/>
            <w:noWrap/>
            <w:hideMark/>
          </w:tcPr>
          <w:p w14:paraId="642EE6C8" w14:textId="77777777" w:rsidR="00F27982" w:rsidRPr="00F27982" w:rsidRDefault="00F27982" w:rsidP="00C66634">
            <w:pPr>
              <w:spacing w:after="0" w:line="360" w:lineRule="auto"/>
              <w:ind w:firstLine="0"/>
              <w:jc w:val="center"/>
              <w:rPr>
                <w:rFonts w:ascii="Times New Roman" w:eastAsia="Times New Roman" w:hAnsi="Times New Roman" w:cs="Times New Roman"/>
                <w:color w:val="000000"/>
              </w:rPr>
            </w:pPr>
            <w:r w:rsidRPr="00F27982">
              <w:rPr>
                <w:rFonts w:ascii="Times New Roman" w:eastAsia="Calibri" w:hAnsi="Times New Roman" w:cs="Times New Roman"/>
                <w:kern w:val="2"/>
                <w14:ligatures w14:val="standardContextual"/>
              </w:rPr>
              <w:t>0.43 (-0.07, 0.94)</w:t>
            </w:r>
          </w:p>
        </w:tc>
        <w:tc>
          <w:tcPr>
            <w:tcW w:w="1990" w:type="dxa"/>
            <w:tcBorders>
              <w:top w:val="nil"/>
              <w:left w:val="nil"/>
              <w:bottom w:val="nil"/>
              <w:right w:val="nil"/>
            </w:tcBorders>
            <w:shd w:val="clear" w:color="auto" w:fill="auto"/>
            <w:noWrap/>
            <w:hideMark/>
          </w:tcPr>
          <w:p w14:paraId="76586CEE" w14:textId="77777777" w:rsidR="00F27982" w:rsidRPr="00F27982" w:rsidRDefault="00F27982" w:rsidP="00C66634">
            <w:pPr>
              <w:spacing w:after="0" w:line="360" w:lineRule="auto"/>
              <w:ind w:firstLine="0"/>
              <w:jc w:val="center"/>
              <w:rPr>
                <w:rFonts w:ascii="Times New Roman" w:eastAsia="Times New Roman" w:hAnsi="Times New Roman" w:cs="Times New Roman"/>
                <w:color w:val="000000"/>
              </w:rPr>
            </w:pPr>
            <w:r w:rsidRPr="00F27982">
              <w:rPr>
                <w:rFonts w:ascii="Times New Roman" w:eastAsia="Calibri" w:hAnsi="Times New Roman" w:cs="Times New Roman"/>
                <w:kern w:val="2"/>
                <w14:ligatures w14:val="standardContextual"/>
              </w:rPr>
              <w:t>0.76 (-0.42, 1.93)</w:t>
            </w:r>
          </w:p>
        </w:tc>
      </w:tr>
      <w:tr w:rsidR="00F27982" w:rsidRPr="00F27982" w14:paraId="0AD81213" w14:textId="77777777" w:rsidTr="00EB6DF4">
        <w:trPr>
          <w:trHeight w:val="310"/>
        </w:trPr>
        <w:tc>
          <w:tcPr>
            <w:tcW w:w="2268" w:type="dxa"/>
            <w:tcBorders>
              <w:top w:val="nil"/>
              <w:left w:val="nil"/>
              <w:right w:val="nil"/>
            </w:tcBorders>
            <w:shd w:val="clear" w:color="auto" w:fill="auto"/>
            <w:noWrap/>
            <w:vAlign w:val="center"/>
            <w:hideMark/>
          </w:tcPr>
          <w:p w14:paraId="7BDFBD6F" w14:textId="77777777" w:rsidR="00F27982" w:rsidRPr="00F27982" w:rsidRDefault="00F27982" w:rsidP="00C66634">
            <w:pPr>
              <w:spacing w:after="0" w:line="360" w:lineRule="auto"/>
              <w:ind w:firstLine="0"/>
              <w:rPr>
                <w:rFonts w:ascii="Times New Roman" w:eastAsia="Times New Roman" w:hAnsi="Times New Roman" w:cs="Times New Roman"/>
                <w:color w:val="000000"/>
              </w:rPr>
            </w:pPr>
            <w:r w:rsidRPr="00F27982">
              <w:rPr>
                <w:rFonts w:ascii="Times New Roman" w:eastAsia="Times New Roman" w:hAnsi="Times New Roman" w:cs="Times New Roman"/>
                <w:color w:val="000000"/>
              </w:rPr>
              <w:t>ASD</w:t>
            </w:r>
          </w:p>
        </w:tc>
        <w:tc>
          <w:tcPr>
            <w:tcW w:w="2230" w:type="dxa"/>
            <w:tcBorders>
              <w:top w:val="nil"/>
              <w:left w:val="nil"/>
              <w:right w:val="nil"/>
            </w:tcBorders>
            <w:shd w:val="clear" w:color="auto" w:fill="auto"/>
            <w:noWrap/>
            <w:hideMark/>
          </w:tcPr>
          <w:p w14:paraId="517357BD" w14:textId="77777777" w:rsidR="00F27982" w:rsidRPr="00F27982" w:rsidRDefault="00F27982" w:rsidP="00C66634">
            <w:pPr>
              <w:spacing w:after="0" w:line="360" w:lineRule="auto"/>
              <w:ind w:firstLine="0"/>
              <w:jc w:val="center"/>
              <w:rPr>
                <w:rFonts w:ascii="Times New Roman" w:eastAsia="Times New Roman" w:hAnsi="Times New Roman" w:cs="Times New Roman"/>
                <w:color w:val="000000"/>
              </w:rPr>
            </w:pPr>
            <w:r w:rsidRPr="00F27982">
              <w:rPr>
                <w:rFonts w:ascii="Times New Roman" w:eastAsia="Calibri" w:hAnsi="Times New Roman" w:cs="Times New Roman"/>
                <w:kern w:val="2"/>
                <w14:ligatures w14:val="standardContextual"/>
              </w:rPr>
              <w:t>-0.30 (-0.67, 0.06)</w:t>
            </w:r>
          </w:p>
        </w:tc>
        <w:tc>
          <w:tcPr>
            <w:tcW w:w="2165" w:type="dxa"/>
            <w:tcBorders>
              <w:top w:val="nil"/>
              <w:left w:val="nil"/>
              <w:right w:val="nil"/>
            </w:tcBorders>
            <w:shd w:val="clear" w:color="auto" w:fill="auto"/>
            <w:noWrap/>
            <w:hideMark/>
          </w:tcPr>
          <w:p w14:paraId="50F9D6C9" w14:textId="77777777" w:rsidR="00F27982" w:rsidRPr="00F27982" w:rsidRDefault="00F27982" w:rsidP="00C66634">
            <w:pPr>
              <w:spacing w:after="0" w:line="360" w:lineRule="auto"/>
              <w:ind w:firstLine="0"/>
              <w:jc w:val="center"/>
              <w:rPr>
                <w:rFonts w:ascii="Times New Roman" w:eastAsia="Times New Roman" w:hAnsi="Times New Roman" w:cs="Times New Roman"/>
                <w:color w:val="000000"/>
              </w:rPr>
            </w:pPr>
            <w:r w:rsidRPr="00F27982">
              <w:rPr>
                <w:rFonts w:ascii="Times New Roman" w:eastAsia="Calibri" w:hAnsi="Times New Roman" w:cs="Times New Roman"/>
                <w:kern w:val="2"/>
                <w14:ligatures w14:val="standardContextual"/>
              </w:rPr>
              <w:t>1.12 (0.34, 1.91)</w:t>
            </w:r>
          </w:p>
        </w:tc>
        <w:tc>
          <w:tcPr>
            <w:tcW w:w="1990" w:type="dxa"/>
            <w:tcBorders>
              <w:top w:val="nil"/>
              <w:left w:val="nil"/>
              <w:right w:val="nil"/>
            </w:tcBorders>
            <w:shd w:val="clear" w:color="auto" w:fill="auto"/>
            <w:noWrap/>
            <w:hideMark/>
          </w:tcPr>
          <w:p w14:paraId="1BB1B0CB" w14:textId="77777777" w:rsidR="00F27982" w:rsidRPr="00F27982" w:rsidRDefault="00F27982" w:rsidP="00C66634">
            <w:pPr>
              <w:spacing w:after="0" w:line="360" w:lineRule="auto"/>
              <w:ind w:firstLine="0"/>
              <w:jc w:val="center"/>
              <w:rPr>
                <w:rFonts w:ascii="Times New Roman" w:eastAsia="Times New Roman" w:hAnsi="Times New Roman" w:cs="Times New Roman"/>
                <w:color w:val="000000"/>
              </w:rPr>
            </w:pPr>
            <w:r w:rsidRPr="00F27982">
              <w:rPr>
                <w:rFonts w:ascii="Times New Roman" w:eastAsia="Calibri" w:hAnsi="Times New Roman" w:cs="Times New Roman"/>
                <w:kern w:val="2"/>
                <w14:ligatures w14:val="standardContextual"/>
              </w:rPr>
              <w:t>2.89 (2.14, 3.64)</w:t>
            </w:r>
          </w:p>
        </w:tc>
      </w:tr>
      <w:tr w:rsidR="00F27982" w:rsidRPr="00F27982" w14:paraId="237BD739" w14:textId="77777777" w:rsidTr="00EB6DF4">
        <w:trPr>
          <w:trHeight w:val="310"/>
        </w:trPr>
        <w:tc>
          <w:tcPr>
            <w:tcW w:w="2268" w:type="dxa"/>
            <w:tcBorders>
              <w:top w:val="nil"/>
              <w:left w:val="nil"/>
              <w:bottom w:val="single" w:sz="8" w:space="0" w:color="auto"/>
              <w:right w:val="nil"/>
            </w:tcBorders>
            <w:shd w:val="clear" w:color="auto" w:fill="auto"/>
            <w:noWrap/>
            <w:vAlign w:val="center"/>
            <w:hideMark/>
          </w:tcPr>
          <w:p w14:paraId="1E3A0A78" w14:textId="351DAA06" w:rsidR="00F27982" w:rsidRPr="00F27982" w:rsidRDefault="009C2AA2" w:rsidP="00C66634">
            <w:pPr>
              <w:spacing w:after="0" w:line="36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LD</w:t>
            </w:r>
          </w:p>
        </w:tc>
        <w:tc>
          <w:tcPr>
            <w:tcW w:w="2230" w:type="dxa"/>
            <w:tcBorders>
              <w:top w:val="nil"/>
              <w:left w:val="nil"/>
              <w:bottom w:val="single" w:sz="8" w:space="0" w:color="auto"/>
              <w:right w:val="nil"/>
            </w:tcBorders>
            <w:shd w:val="clear" w:color="auto" w:fill="auto"/>
            <w:noWrap/>
            <w:hideMark/>
          </w:tcPr>
          <w:p w14:paraId="33B04D79" w14:textId="77777777" w:rsidR="00F27982" w:rsidRPr="00F27982" w:rsidRDefault="00F27982" w:rsidP="00C66634">
            <w:pPr>
              <w:spacing w:after="0" w:line="360" w:lineRule="auto"/>
              <w:ind w:firstLine="0"/>
              <w:jc w:val="center"/>
              <w:rPr>
                <w:rFonts w:ascii="Times New Roman" w:eastAsia="Times New Roman" w:hAnsi="Times New Roman" w:cs="Times New Roman"/>
                <w:color w:val="000000"/>
              </w:rPr>
            </w:pPr>
            <w:r w:rsidRPr="00F27982">
              <w:rPr>
                <w:rFonts w:ascii="Times New Roman" w:eastAsia="Calibri" w:hAnsi="Times New Roman" w:cs="Times New Roman"/>
                <w:kern w:val="2"/>
                <w14:ligatures w14:val="standardContextual"/>
              </w:rPr>
              <w:t>0.18 (-0.39, 0.74)</w:t>
            </w:r>
          </w:p>
        </w:tc>
        <w:tc>
          <w:tcPr>
            <w:tcW w:w="2165" w:type="dxa"/>
            <w:tcBorders>
              <w:top w:val="nil"/>
              <w:left w:val="nil"/>
              <w:bottom w:val="single" w:sz="8" w:space="0" w:color="auto"/>
              <w:right w:val="nil"/>
            </w:tcBorders>
            <w:shd w:val="clear" w:color="auto" w:fill="auto"/>
            <w:noWrap/>
            <w:hideMark/>
          </w:tcPr>
          <w:p w14:paraId="0D98F76C" w14:textId="77777777" w:rsidR="00F27982" w:rsidRPr="00F27982" w:rsidRDefault="00F27982" w:rsidP="00C66634">
            <w:pPr>
              <w:spacing w:after="0" w:line="360" w:lineRule="auto"/>
              <w:ind w:firstLine="0"/>
              <w:jc w:val="center"/>
              <w:rPr>
                <w:rFonts w:ascii="Times New Roman" w:eastAsia="Times New Roman" w:hAnsi="Times New Roman" w:cs="Times New Roman"/>
                <w:color w:val="000000"/>
              </w:rPr>
            </w:pPr>
            <w:r w:rsidRPr="00F27982">
              <w:rPr>
                <w:rFonts w:ascii="Times New Roman" w:eastAsia="Calibri" w:hAnsi="Times New Roman" w:cs="Times New Roman"/>
                <w:kern w:val="2"/>
                <w14:ligatures w14:val="standardContextual"/>
              </w:rPr>
              <w:t>1.13 (0.64, 1.61)</w:t>
            </w:r>
          </w:p>
        </w:tc>
        <w:tc>
          <w:tcPr>
            <w:tcW w:w="1990" w:type="dxa"/>
            <w:tcBorders>
              <w:top w:val="nil"/>
              <w:left w:val="nil"/>
              <w:bottom w:val="single" w:sz="8" w:space="0" w:color="auto"/>
              <w:right w:val="nil"/>
            </w:tcBorders>
            <w:shd w:val="clear" w:color="auto" w:fill="auto"/>
            <w:noWrap/>
            <w:hideMark/>
          </w:tcPr>
          <w:p w14:paraId="4058A341" w14:textId="77777777" w:rsidR="00F27982" w:rsidRPr="00F27982" w:rsidRDefault="00F27982" w:rsidP="00C66634">
            <w:pPr>
              <w:spacing w:after="0" w:line="360" w:lineRule="auto"/>
              <w:ind w:firstLine="0"/>
              <w:jc w:val="center"/>
              <w:rPr>
                <w:rFonts w:ascii="Times New Roman" w:eastAsia="Times New Roman" w:hAnsi="Times New Roman" w:cs="Times New Roman"/>
                <w:color w:val="000000"/>
              </w:rPr>
            </w:pPr>
            <w:r w:rsidRPr="00F27982">
              <w:rPr>
                <w:rFonts w:ascii="Times New Roman" w:eastAsia="Calibri" w:hAnsi="Times New Roman" w:cs="Times New Roman"/>
                <w:kern w:val="2"/>
                <w14:ligatures w14:val="standardContextual"/>
              </w:rPr>
              <w:t>2.42 (1.84, 3.01)</w:t>
            </w:r>
          </w:p>
        </w:tc>
      </w:tr>
    </w:tbl>
    <w:p w14:paraId="60FC5AAE" w14:textId="77777777" w:rsidR="00F27982" w:rsidRPr="00F27982" w:rsidRDefault="00F27982" w:rsidP="00F27982">
      <w:pPr>
        <w:spacing w:line="259" w:lineRule="auto"/>
        <w:ind w:firstLine="0"/>
        <w:rPr>
          <w:rFonts w:ascii="Times New Roman" w:eastAsia="Calibri" w:hAnsi="Times New Roman" w:cs="Times New Roman"/>
          <w:iCs/>
          <w:kern w:val="2"/>
          <w:sz w:val="22"/>
          <w:szCs w:val="28"/>
          <w:vertAlign w:val="superscript"/>
          <w14:ligatures w14:val="standardContextual"/>
        </w:rPr>
      </w:pPr>
    </w:p>
    <w:p w14:paraId="70ACA4A2" w14:textId="77777777" w:rsidR="00B661C0" w:rsidRPr="00B661C0" w:rsidRDefault="00B661C0" w:rsidP="00A11EBD">
      <w:pPr>
        <w:spacing w:line="259" w:lineRule="auto"/>
        <w:ind w:firstLine="0"/>
        <w:jc w:val="both"/>
        <w:rPr>
          <w:rFonts w:ascii="Times New Roman" w:eastAsiaTheme="majorEastAsia" w:hAnsi="Times New Roman" w:cs="Times New Roman"/>
          <w:bCs/>
        </w:rPr>
      </w:pPr>
    </w:p>
    <w:p w14:paraId="29EE438A" w14:textId="77777777" w:rsidR="00A11EBD" w:rsidRPr="00D041C0" w:rsidRDefault="00A11EBD" w:rsidP="00A11EBD">
      <w:pPr>
        <w:spacing w:line="259" w:lineRule="auto"/>
        <w:ind w:firstLine="0"/>
        <w:jc w:val="both"/>
        <w:rPr>
          <w:rFonts w:ascii="Times New Roman" w:eastAsiaTheme="majorEastAsia" w:hAnsi="Times New Roman" w:cs="Times New Roman"/>
          <w:b/>
        </w:rPr>
      </w:pPr>
    </w:p>
    <w:p w14:paraId="3BE92232" w14:textId="77777777" w:rsidR="00A11EBD" w:rsidRPr="00D041C0" w:rsidRDefault="00A11EBD" w:rsidP="00A11EBD">
      <w:pPr>
        <w:spacing w:line="259" w:lineRule="auto"/>
        <w:ind w:firstLine="0"/>
        <w:jc w:val="both"/>
        <w:rPr>
          <w:rFonts w:ascii="Times New Roman" w:eastAsiaTheme="majorEastAsia" w:hAnsi="Times New Roman" w:cs="Times New Roman"/>
          <w:b/>
        </w:rPr>
      </w:pPr>
    </w:p>
    <w:p w14:paraId="19D12AB6" w14:textId="34A1BD54" w:rsidR="0099146B" w:rsidRPr="00D041C0" w:rsidRDefault="0099146B" w:rsidP="00A11EBD">
      <w:pPr>
        <w:spacing w:line="259" w:lineRule="auto"/>
        <w:ind w:firstLine="0"/>
        <w:jc w:val="both"/>
        <w:rPr>
          <w:rFonts w:ascii="Times New Roman" w:eastAsiaTheme="majorEastAsia" w:hAnsi="Times New Roman" w:cs="Times New Roman"/>
          <w:b/>
        </w:rPr>
      </w:pPr>
      <w:r w:rsidRPr="00D041C0">
        <w:rPr>
          <w:rFonts w:ascii="Times New Roman" w:eastAsiaTheme="majorEastAsia" w:hAnsi="Times New Roman" w:cs="Times New Roman"/>
          <w:b/>
        </w:rPr>
        <w:br w:type="page"/>
      </w:r>
    </w:p>
    <w:p w14:paraId="2DB058B1" w14:textId="62A3E823" w:rsidR="00DE693A" w:rsidRPr="00D041C0" w:rsidRDefault="00DE693A" w:rsidP="009E03A9">
      <w:pPr>
        <w:pStyle w:val="Heading1"/>
      </w:pPr>
      <w:r w:rsidRPr="00D041C0">
        <w:lastRenderedPageBreak/>
        <w:t>Figures</w:t>
      </w:r>
    </w:p>
    <w:p w14:paraId="073D146E" w14:textId="4BCA5B34" w:rsidR="00DE693A" w:rsidRPr="00D041C0" w:rsidRDefault="00DE693A" w:rsidP="00CB66B5">
      <w:pPr>
        <w:spacing w:line="240" w:lineRule="auto"/>
        <w:ind w:firstLine="0"/>
        <w:rPr>
          <w:rFonts w:ascii="Times New Roman" w:hAnsi="Times New Roman" w:cs="Times New Roman"/>
        </w:rPr>
      </w:pPr>
      <w:r w:rsidRPr="00D041C0">
        <w:rPr>
          <w:rFonts w:ascii="Times New Roman" w:hAnsi="Times New Roman" w:cs="Times New Roman"/>
          <w:b/>
          <w:bCs/>
        </w:rPr>
        <w:t xml:space="preserve">Figure 1. </w:t>
      </w:r>
      <w:r w:rsidR="00FE1153" w:rsidRPr="00D041C0">
        <w:rPr>
          <w:rFonts w:ascii="Times New Roman" w:hAnsi="Times New Roman" w:cs="Times New Roman"/>
        </w:rPr>
        <w:t xml:space="preserve">Modeled </w:t>
      </w:r>
      <w:r w:rsidR="00C80687">
        <w:rPr>
          <w:rFonts w:ascii="Times New Roman" w:hAnsi="Times New Roman" w:cs="Times New Roman"/>
        </w:rPr>
        <w:t xml:space="preserve">secular trends in </w:t>
      </w:r>
      <w:r w:rsidR="00FE1153" w:rsidRPr="00D041C0">
        <w:rPr>
          <w:rFonts w:ascii="Times New Roman" w:hAnsi="Times New Roman" w:cs="Times New Roman"/>
        </w:rPr>
        <w:t xml:space="preserve">BMI </w:t>
      </w:r>
      <w:r w:rsidR="00553B61">
        <w:rPr>
          <w:rFonts w:ascii="Times New Roman" w:hAnsi="Times New Roman" w:cs="Times New Roman"/>
        </w:rPr>
        <w:t xml:space="preserve">for individuals with and without neurodevelopmental disorders at the </w:t>
      </w:r>
      <w:r w:rsidR="008F24D6" w:rsidRPr="00D041C0">
        <w:rPr>
          <w:rFonts w:ascii="Times New Roman" w:hAnsi="Times New Roman" w:cs="Times New Roman"/>
        </w:rPr>
        <w:t>15</w:t>
      </w:r>
      <w:r w:rsidR="00FE1153" w:rsidRPr="00D041C0">
        <w:rPr>
          <w:rFonts w:ascii="Times New Roman" w:hAnsi="Times New Roman" w:cs="Times New Roman"/>
          <w:vertAlign w:val="superscript"/>
        </w:rPr>
        <w:t>th</w:t>
      </w:r>
      <w:r w:rsidR="00FE1153" w:rsidRPr="00D041C0">
        <w:rPr>
          <w:rFonts w:ascii="Times New Roman" w:hAnsi="Times New Roman" w:cs="Times New Roman"/>
        </w:rPr>
        <w:t>, 50</w:t>
      </w:r>
      <w:r w:rsidR="00FE1153" w:rsidRPr="00D041C0">
        <w:rPr>
          <w:rFonts w:ascii="Times New Roman" w:hAnsi="Times New Roman" w:cs="Times New Roman"/>
          <w:vertAlign w:val="superscript"/>
        </w:rPr>
        <w:t>th</w:t>
      </w:r>
      <w:r w:rsidR="00FE1153" w:rsidRPr="00D041C0">
        <w:rPr>
          <w:rFonts w:ascii="Times New Roman" w:hAnsi="Times New Roman" w:cs="Times New Roman"/>
        </w:rPr>
        <w:t xml:space="preserve">, and </w:t>
      </w:r>
      <w:r w:rsidR="008F24D6" w:rsidRPr="00D041C0">
        <w:rPr>
          <w:rFonts w:ascii="Times New Roman" w:hAnsi="Times New Roman" w:cs="Times New Roman"/>
        </w:rPr>
        <w:t>85</w:t>
      </w:r>
      <w:r w:rsidR="00FE1153" w:rsidRPr="00D041C0">
        <w:rPr>
          <w:rFonts w:ascii="Times New Roman" w:hAnsi="Times New Roman" w:cs="Times New Roman"/>
          <w:vertAlign w:val="superscript"/>
        </w:rPr>
        <w:t>th</w:t>
      </w:r>
      <w:r w:rsidR="00553B61">
        <w:rPr>
          <w:rFonts w:ascii="Times New Roman" w:hAnsi="Times New Roman" w:cs="Times New Roman"/>
        </w:rPr>
        <w:t xml:space="preserve"> </w:t>
      </w:r>
      <w:r w:rsidR="00553B61" w:rsidRPr="00D041C0">
        <w:rPr>
          <w:rFonts w:ascii="Times New Roman" w:hAnsi="Times New Roman" w:cs="Times New Roman"/>
        </w:rPr>
        <w:t>percentiles</w:t>
      </w:r>
      <w:r w:rsidR="00FE1153" w:rsidRPr="00D041C0">
        <w:rPr>
          <w:rFonts w:ascii="Times New Roman" w:hAnsi="Times New Roman" w:cs="Times New Roman"/>
        </w:rPr>
        <w:t>.</w:t>
      </w:r>
    </w:p>
    <w:p w14:paraId="39C7DA56" w14:textId="242DAA02" w:rsidR="002C520C" w:rsidRPr="00D041C0" w:rsidRDefault="002C520C" w:rsidP="00681074">
      <w:pPr>
        <w:ind w:firstLine="0"/>
        <w:jc w:val="center"/>
        <w:rPr>
          <w:rFonts w:ascii="Times New Roman" w:hAnsi="Times New Roman" w:cs="Times New Roman"/>
        </w:rPr>
      </w:pPr>
    </w:p>
    <w:p w14:paraId="13F1A27A" w14:textId="2087D032" w:rsidR="00C8179D" w:rsidRPr="00D041C0" w:rsidRDefault="00C8179D" w:rsidP="00C8179D">
      <w:pPr>
        <w:ind w:left="-1418" w:firstLine="0"/>
        <w:rPr>
          <w:rFonts w:ascii="Times New Roman" w:hAnsi="Times New Roman" w:cs="Times New Roman"/>
        </w:rPr>
      </w:pPr>
    </w:p>
    <w:p w14:paraId="077BFC0E" w14:textId="43C6DD97" w:rsidR="00782F6C" w:rsidRPr="00782F6C" w:rsidRDefault="00782F6C" w:rsidP="00782F6C">
      <w:pPr>
        <w:ind w:firstLine="0"/>
        <w:rPr>
          <w:rFonts w:ascii="Times New Roman" w:hAnsi="Times New Roman" w:cs="Times New Roman"/>
        </w:rPr>
      </w:pPr>
    </w:p>
    <w:sectPr w:rsidR="00782F6C" w:rsidRPr="00782F6C" w:rsidSect="0043064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48222" w14:textId="77777777" w:rsidR="00D2490C" w:rsidRDefault="00D2490C" w:rsidP="00F14AF4">
      <w:pPr>
        <w:spacing w:after="0" w:line="240" w:lineRule="auto"/>
      </w:pPr>
      <w:r>
        <w:separator/>
      </w:r>
    </w:p>
  </w:endnote>
  <w:endnote w:type="continuationSeparator" w:id="0">
    <w:p w14:paraId="3E082690" w14:textId="77777777" w:rsidR="00D2490C" w:rsidRDefault="00D2490C" w:rsidP="00F14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3384644"/>
      <w:docPartObj>
        <w:docPartGallery w:val="Page Numbers (Bottom of Page)"/>
        <w:docPartUnique/>
      </w:docPartObj>
    </w:sdtPr>
    <w:sdtEndPr>
      <w:rPr>
        <w:rFonts w:ascii="Times New Roman" w:hAnsi="Times New Roman" w:cs="Times New Roman"/>
        <w:noProof/>
        <w:sz w:val="22"/>
        <w:szCs w:val="22"/>
      </w:rPr>
    </w:sdtEndPr>
    <w:sdtContent>
      <w:p w14:paraId="280D1E4E" w14:textId="7744B046" w:rsidR="002D41EE" w:rsidRPr="002D41EE" w:rsidRDefault="002D41EE">
        <w:pPr>
          <w:pStyle w:val="Footer"/>
          <w:jc w:val="center"/>
          <w:rPr>
            <w:rFonts w:ascii="Times New Roman" w:hAnsi="Times New Roman" w:cs="Times New Roman"/>
            <w:sz w:val="22"/>
            <w:szCs w:val="22"/>
          </w:rPr>
        </w:pPr>
        <w:r w:rsidRPr="002D41EE">
          <w:rPr>
            <w:rFonts w:ascii="Times New Roman" w:hAnsi="Times New Roman" w:cs="Times New Roman"/>
            <w:sz w:val="22"/>
            <w:szCs w:val="22"/>
          </w:rPr>
          <w:fldChar w:fldCharType="begin"/>
        </w:r>
        <w:r w:rsidRPr="002D41EE">
          <w:rPr>
            <w:rFonts w:ascii="Times New Roman" w:hAnsi="Times New Roman" w:cs="Times New Roman"/>
            <w:sz w:val="22"/>
            <w:szCs w:val="22"/>
          </w:rPr>
          <w:instrText xml:space="preserve"> PAGE   \* MERGEFORMAT </w:instrText>
        </w:r>
        <w:r w:rsidRPr="002D41EE">
          <w:rPr>
            <w:rFonts w:ascii="Times New Roman" w:hAnsi="Times New Roman" w:cs="Times New Roman"/>
            <w:sz w:val="22"/>
            <w:szCs w:val="22"/>
          </w:rPr>
          <w:fldChar w:fldCharType="separate"/>
        </w:r>
        <w:r w:rsidRPr="002D41EE">
          <w:rPr>
            <w:rFonts w:ascii="Times New Roman" w:hAnsi="Times New Roman" w:cs="Times New Roman"/>
            <w:noProof/>
            <w:sz w:val="22"/>
            <w:szCs w:val="22"/>
          </w:rPr>
          <w:t>2</w:t>
        </w:r>
        <w:r w:rsidRPr="002D41EE">
          <w:rPr>
            <w:rFonts w:ascii="Times New Roman" w:hAnsi="Times New Roman" w:cs="Times New Roman"/>
            <w:noProof/>
            <w:sz w:val="22"/>
            <w:szCs w:val="22"/>
          </w:rPr>
          <w:fldChar w:fldCharType="end"/>
        </w:r>
      </w:p>
    </w:sdtContent>
  </w:sdt>
  <w:p w14:paraId="44E893C8" w14:textId="77777777" w:rsidR="002D41EE" w:rsidRDefault="002D4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3B67C" w14:textId="77777777" w:rsidR="00D2490C" w:rsidRDefault="00D2490C" w:rsidP="00F14AF4">
      <w:pPr>
        <w:spacing w:after="0" w:line="240" w:lineRule="auto"/>
      </w:pPr>
      <w:r>
        <w:separator/>
      </w:r>
    </w:p>
  </w:footnote>
  <w:footnote w:type="continuationSeparator" w:id="0">
    <w:p w14:paraId="20FF7C2B" w14:textId="77777777" w:rsidR="00D2490C" w:rsidRDefault="00D2490C" w:rsidP="00F14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F57898"/>
    <w:multiLevelType w:val="hybridMultilevel"/>
    <w:tmpl w:val="DF80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AD42AA"/>
    <w:multiLevelType w:val="hybridMultilevel"/>
    <w:tmpl w:val="7752292C"/>
    <w:lvl w:ilvl="0" w:tplc="17080A18">
      <w:numFmt w:val="bullet"/>
      <w:lvlText w:val="-"/>
      <w:lvlJc w:val="left"/>
      <w:pPr>
        <w:ind w:left="1211" w:hanging="360"/>
      </w:pPr>
      <w:rPr>
        <w:rFonts w:ascii="Arial" w:eastAsiaTheme="minorHAnsi"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num w:numId="1" w16cid:durableId="1990478926">
    <w:abstractNumId w:val="1"/>
  </w:num>
  <w:num w:numId="2" w16cid:durableId="662976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713"/>
    <w:rsid w:val="00004706"/>
    <w:rsid w:val="000072AF"/>
    <w:rsid w:val="00007D3C"/>
    <w:rsid w:val="000101CD"/>
    <w:rsid w:val="00012CC3"/>
    <w:rsid w:val="00013DA8"/>
    <w:rsid w:val="000149DC"/>
    <w:rsid w:val="0001532D"/>
    <w:rsid w:val="00016114"/>
    <w:rsid w:val="0001788F"/>
    <w:rsid w:val="00023253"/>
    <w:rsid w:val="00023314"/>
    <w:rsid w:val="00023396"/>
    <w:rsid w:val="00023634"/>
    <w:rsid w:val="000248CE"/>
    <w:rsid w:val="00025713"/>
    <w:rsid w:val="00025FD6"/>
    <w:rsid w:val="00030EC6"/>
    <w:rsid w:val="00031A1B"/>
    <w:rsid w:val="00031FC9"/>
    <w:rsid w:val="000326D4"/>
    <w:rsid w:val="00032D17"/>
    <w:rsid w:val="000360D0"/>
    <w:rsid w:val="00040EE2"/>
    <w:rsid w:val="00041059"/>
    <w:rsid w:val="00045E98"/>
    <w:rsid w:val="00046ED8"/>
    <w:rsid w:val="00052179"/>
    <w:rsid w:val="000535E3"/>
    <w:rsid w:val="00053E94"/>
    <w:rsid w:val="00056CA2"/>
    <w:rsid w:val="0005739E"/>
    <w:rsid w:val="0006075C"/>
    <w:rsid w:val="00060FFD"/>
    <w:rsid w:val="00062D76"/>
    <w:rsid w:val="00064903"/>
    <w:rsid w:val="00065FCB"/>
    <w:rsid w:val="00067D97"/>
    <w:rsid w:val="0007051F"/>
    <w:rsid w:val="00072E79"/>
    <w:rsid w:val="00076608"/>
    <w:rsid w:val="0007680B"/>
    <w:rsid w:val="00076D88"/>
    <w:rsid w:val="00076DD7"/>
    <w:rsid w:val="0008138F"/>
    <w:rsid w:val="000822B5"/>
    <w:rsid w:val="00083BB5"/>
    <w:rsid w:val="00087E4C"/>
    <w:rsid w:val="00091B21"/>
    <w:rsid w:val="00092B50"/>
    <w:rsid w:val="000932FD"/>
    <w:rsid w:val="00094170"/>
    <w:rsid w:val="0009430C"/>
    <w:rsid w:val="00096EAC"/>
    <w:rsid w:val="000A2E38"/>
    <w:rsid w:val="000A474C"/>
    <w:rsid w:val="000A4C0E"/>
    <w:rsid w:val="000A6307"/>
    <w:rsid w:val="000B12CD"/>
    <w:rsid w:val="000B2DD7"/>
    <w:rsid w:val="000B357C"/>
    <w:rsid w:val="000B3FD2"/>
    <w:rsid w:val="000B4B8F"/>
    <w:rsid w:val="000B53BE"/>
    <w:rsid w:val="000B57A9"/>
    <w:rsid w:val="000C19D1"/>
    <w:rsid w:val="000C2492"/>
    <w:rsid w:val="000C4A9C"/>
    <w:rsid w:val="000C5B3A"/>
    <w:rsid w:val="000C5F05"/>
    <w:rsid w:val="000C751C"/>
    <w:rsid w:val="000C7D6B"/>
    <w:rsid w:val="000D0306"/>
    <w:rsid w:val="000D039C"/>
    <w:rsid w:val="000D18FC"/>
    <w:rsid w:val="000D19D0"/>
    <w:rsid w:val="000D41C5"/>
    <w:rsid w:val="000E1EA1"/>
    <w:rsid w:val="000E20E9"/>
    <w:rsid w:val="000E2794"/>
    <w:rsid w:val="000E4F5F"/>
    <w:rsid w:val="000E67D7"/>
    <w:rsid w:val="000E71BA"/>
    <w:rsid w:val="000E74B9"/>
    <w:rsid w:val="000F0583"/>
    <w:rsid w:val="000F7F95"/>
    <w:rsid w:val="00101006"/>
    <w:rsid w:val="00101C19"/>
    <w:rsid w:val="00101FF2"/>
    <w:rsid w:val="0010265D"/>
    <w:rsid w:val="00103207"/>
    <w:rsid w:val="00105D35"/>
    <w:rsid w:val="00107878"/>
    <w:rsid w:val="00107AA1"/>
    <w:rsid w:val="00107D1C"/>
    <w:rsid w:val="001100F9"/>
    <w:rsid w:val="00110C5B"/>
    <w:rsid w:val="00113005"/>
    <w:rsid w:val="00114189"/>
    <w:rsid w:val="0011655D"/>
    <w:rsid w:val="0011667F"/>
    <w:rsid w:val="00116B48"/>
    <w:rsid w:val="00116CD6"/>
    <w:rsid w:val="00116D26"/>
    <w:rsid w:val="00117EB4"/>
    <w:rsid w:val="0012093C"/>
    <w:rsid w:val="00122D5A"/>
    <w:rsid w:val="00125340"/>
    <w:rsid w:val="0012625A"/>
    <w:rsid w:val="001262B8"/>
    <w:rsid w:val="00126C66"/>
    <w:rsid w:val="00127BDC"/>
    <w:rsid w:val="0013141F"/>
    <w:rsid w:val="0013209F"/>
    <w:rsid w:val="0013498A"/>
    <w:rsid w:val="001363F7"/>
    <w:rsid w:val="00137849"/>
    <w:rsid w:val="001448F9"/>
    <w:rsid w:val="00145918"/>
    <w:rsid w:val="00145ACE"/>
    <w:rsid w:val="00146674"/>
    <w:rsid w:val="00146D90"/>
    <w:rsid w:val="00146FB4"/>
    <w:rsid w:val="001473A0"/>
    <w:rsid w:val="0014764F"/>
    <w:rsid w:val="00151565"/>
    <w:rsid w:val="00151DF4"/>
    <w:rsid w:val="00153246"/>
    <w:rsid w:val="00157672"/>
    <w:rsid w:val="00160CBA"/>
    <w:rsid w:val="0016388A"/>
    <w:rsid w:val="001643C8"/>
    <w:rsid w:val="001647DC"/>
    <w:rsid w:val="0016759A"/>
    <w:rsid w:val="00171178"/>
    <w:rsid w:val="001729A8"/>
    <w:rsid w:val="00175E89"/>
    <w:rsid w:val="00180D7E"/>
    <w:rsid w:val="00183C36"/>
    <w:rsid w:val="00184242"/>
    <w:rsid w:val="00184A47"/>
    <w:rsid w:val="00185A70"/>
    <w:rsid w:val="001878A5"/>
    <w:rsid w:val="001938C5"/>
    <w:rsid w:val="001938D8"/>
    <w:rsid w:val="001942C2"/>
    <w:rsid w:val="00194A0A"/>
    <w:rsid w:val="001950DA"/>
    <w:rsid w:val="0019680F"/>
    <w:rsid w:val="001A1B0F"/>
    <w:rsid w:val="001A6B82"/>
    <w:rsid w:val="001B0947"/>
    <w:rsid w:val="001B0BF3"/>
    <w:rsid w:val="001B0D2F"/>
    <w:rsid w:val="001B11D0"/>
    <w:rsid w:val="001B2C0A"/>
    <w:rsid w:val="001B2FB2"/>
    <w:rsid w:val="001B3658"/>
    <w:rsid w:val="001B4283"/>
    <w:rsid w:val="001C2CC5"/>
    <w:rsid w:val="001C504A"/>
    <w:rsid w:val="001D0D43"/>
    <w:rsid w:val="001D0EC9"/>
    <w:rsid w:val="001D31A5"/>
    <w:rsid w:val="001D3829"/>
    <w:rsid w:val="001D45DF"/>
    <w:rsid w:val="001D7A36"/>
    <w:rsid w:val="001E0B94"/>
    <w:rsid w:val="001E1766"/>
    <w:rsid w:val="001E36D9"/>
    <w:rsid w:val="001E7B9D"/>
    <w:rsid w:val="001E7F09"/>
    <w:rsid w:val="001F00F3"/>
    <w:rsid w:val="001F0B8B"/>
    <w:rsid w:val="001F1B86"/>
    <w:rsid w:val="002003D2"/>
    <w:rsid w:val="002007DB"/>
    <w:rsid w:val="002019D4"/>
    <w:rsid w:val="00202DF0"/>
    <w:rsid w:val="0020437F"/>
    <w:rsid w:val="00204745"/>
    <w:rsid w:val="0020570D"/>
    <w:rsid w:val="00207A3D"/>
    <w:rsid w:val="002111B1"/>
    <w:rsid w:val="002119F1"/>
    <w:rsid w:val="00212D8B"/>
    <w:rsid w:val="00215714"/>
    <w:rsid w:val="00216764"/>
    <w:rsid w:val="00220412"/>
    <w:rsid w:val="00220F50"/>
    <w:rsid w:val="002212E4"/>
    <w:rsid w:val="002218FA"/>
    <w:rsid w:val="002247A7"/>
    <w:rsid w:val="00226212"/>
    <w:rsid w:val="00226B98"/>
    <w:rsid w:val="00227355"/>
    <w:rsid w:val="00230750"/>
    <w:rsid w:val="00232D7A"/>
    <w:rsid w:val="00232EC4"/>
    <w:rsid w:val="0023394B"/>
    <w:rsid w:val="002344A9"/>
    <w:rsid w:val="00234AC1"/>
    <w:rsid w:val="002372A9"/>
    <w:rsid w:val="00240E85"/>
    <w:rsid w:val="00241DC1"/>
    <w:rsid w:val="0024361D"/>
    <w:rsid w:val="00245BD3"/>
    <w:rsid w:val="00245C66"/>
    <w:rsid w:val="002460CF"/>
    <w:rsid w:val="00246602"/>
    <w:rsid w:val="002474C4"/>
    <w:rsid w:val="00247B1A"/>
    <w:rsid w:val="00247D7F"/>
    <w:rsid w:val="0025009C"/>
    <w:rsid w:val="00250D3C"/>
    <w:rsid w:val="002510B6"/>
    <w:rsid w:val="00252A81"/>
    <w:rsid w:val="0025337C"/>
    <w:rsid w:val="00253A64"/>
    <w:rsid w:val="00255F41"/>
    <w:rsid w:val="00256764"/>
    <w:rsid w:val="002567F3"/>
    <w:rsid w:val="00256B7C"/>
    <w:rsid w:val="0025743B"/>
    <w:rsid w:val="002575F1"/>
    <w:rsid w:val="0026142B"/>
    <w:rsid w:val="002615CF"/>
    <w:rsid w:val="002620B8"/>
    <w:rsid w:val="0026378B"/>
    <w:rsid w:val="00263A9D"/>
    <w:rsid w:val="002655CE"/>
    <w:rsid w:val="002703C1"/>
    <w:rsid w:val="00272525"/>
    <w:rsid w:val="0027381E"/>
    <w:rsid w:val="00273A61"/>
    <w:rsid w:val="002743B5"/>
    <w:rsid w:val="002745A5"/>
    <w:rsid w:val="00276B3B"/>
    <w:rsid w:val="00281517"/>
    <w:rsid w:val="00281F60"/>
    <w:rsid w:val="002909C1"/>
    <w:rsid w:val="00292CE3"/>
    <w:rsid w:val="0029646F"/>
    <w:rsid w:val="002A031B"/>
    <w:rsid w:val="002A073E"/>
    <w:rsid w:val="002A1B8E"/>
    <w:rsid w:val="002A3553"/>
    <w:rsid w:val="002A642C"/>
    <w:rsid w:val="002A76F1"/>
    <w:rsid w:val="002B08A4"/>
    <w:rsid w:val="002B3B09"/>
    <w:rsid w:val="002B5046"/>
    <w:rsid w:val="002B50E1"/>
    <w:rsid w:val="002B6DFB"/>
    <w:rsid w:val="002C0B17"/>
    <w:rsid w:val="002C520C"/>
    <w:rsid w:val="002D2204"/>
    <w:rsid w:val="002D2D8D"/>
    <w:rsid w:val="002D39EF"/>
    <w:rsid w:val="002D3BD1"/>
    <w:rsid w:val="002D41EE"/>
    <w:rsid w:val="002D4B48"/>
    <w:rsid w:val="002D5B24"/>
    <w:rsid w:val="002E04C9"/>
    <w:rsid w:val="002E0682"/>
    <w:rsid w:val="002E17B3"/>
    <w:rsid w:val="002E19F6"/>
    <w:rsid w:val="002E3405"/>
    <w:rsid w:val="002E5E6B"/>
    <w:rsid w:val="002E6611"/>
    <w:rsid w:val="002F0C3E"/>
    <w:rsid w:val="002F0EEC"/>
    <w:rsid w:val="002F0FD7"/>
    <w:rsid w:val="002F19AD"/>
    <w:rsid w:val="002F3653"/>
    <w:rsid w:val="002F4454"/>
    <w:rsid w:val="002F4A2D"/>
    <w:rsid w:val="002F5664"/>
    <w:rsid w:val="002F571A"/>
    <w:rsid w:val="002F625C"/>
    <w:rsid w:val="002F6BF5"/>
    <w:rsid w:val="002F6E45"/>
    <w:rsid w:val="002F74F9"/>
    <w:rsid w:val="002F753D"/>
    <w:rsid w:val="003005C9"/>
    <w:rsid w:val="003029AF"/>
    <w:rsid w:val="00303874"/>
    <w:rsid w:val="00303AD9"/>
    <w:rsid w:val="00306366"/>
    <w:rsid w:val="003067B2"/>
    <w:rsid w:val="00306FE3"/>
    <w:rsid w:val="0031074D"/>
    <w:rsid w:val="003115C1"/>
    <w:rsid w:val="0031531A"/>
    <w:rsid w:val="00315B72"/>
    <w:rsid w:val="00316603"/>
    <w:rsid w:val="00316AF4"/>
    <w:rsid w:val="003214A0"/>
    <w:rsid w:val="003214C4"/>
    <w:rsid w:val="003242DF"/>
    <w:rsid w:val="003252DE"/>
    <w:rsid w:val="00325A08"/>
    <w:rsid w:val="003268E9"/>
    <w:rsid w:val="00326FAE"/>
    <w:rsid w:val="003308B9"/>
    <w:rsid w:val="0033104A"/>
    <w:rsid w:val="0033271A"/>
    <w:rsid w:val="00332E33"/>
    <w:rsid w:val="003344D2"/>
    <w:rsid w:val="00337A2D"/>
    <w:rsid w:val="00342A80"/>
    <w:rsid w:val="00343517"/>
    <w:rsid w:val="00344288"/>
    <w:rsid w:val="00345042"/>
    <w:rsid w:val="003545AB"/>
    <w:rsid w:val="00355FC1"/>
    <w:rsid w:val="00356AA3"/>
    <w:rsid w:val="003632C1"/>
    <w:rsid w:val="003641E0"/>
    <w:rsid w:val="0036477E"/>
    <w:rsid w:val="00366442"/>
    <w:rsid w:val="00366E51"/>
    <w:rsid w:val="003719B6"/>
    <w:rsid w:val="00372CA0"/>
    <w:rsid w:val="003731F5"/>
    <w:rsid w:val="00373F71"/>
    <w:rsid w:val="0037710A"/>
    <w:rsid w:val="003771AA"/>
    <w:rsid w:val="003808D2"/>
    <w:rsid w:val="003811E3"/>
    <w:rsid w:val="00381E46"/>
    <w:rsid w:val="003842E5"/>
    <w:rsid w:val="003857F2"/>
    <w:rsid w:val="003929E5"/>
    <w:rsid w:val="003938D1"/>
    <w:rsid w:val="00393C22"/>
    <w:rsid w:val="0039477F"/>
    <w:rsid w:val="00397109"/>
    <w:rsid w:val="00397238"/>
    <w:rsid w:val="00397AF3"/>
    <w:rsid w:val="003A086A"/>
    <w:rsid w:val="003A357C"/>
    <w:rsid w:val="003A3909"/>
    <w:rsid w:val="003A4324"/>
    <w:rsid w:val="003A61E5"/>
    <w:rsid w:val="003A6D44"/>
    <w:rsid w:val="003B1D26"/>
    <w:rsid w:val="003B4498"/>
    <w:rsid w:val="003B57DE"/>
    <w:rsid w:val="003B62FD"/>
    <w:rsid w:val="003B7889"/>
    <w:rsid w:val="003B7FAA"/>
    <w:rsid w:val="003C058E"/>
    <w:rsid w:val="003C095B"/>
    <w:rsid w:val="003C3B4A"/>
    <w:rsid w:val="003C55D1"/>
    <w:rsid w:val="003C71F6"/>
    <w:rsid w:val="003D0B5F"/>
    <w:rsid w:val="003D2D93"/>
    <w:rsid w:val="003D35BB"/>
    <w:rsid w:val="003D3662"/>
    <w:rsid w:val="003D42BB"/>
    <w:rsid w:val="003D58E5"/>
    <w:rsid w:val="003D616A"/>
    <w:rsid w:val="003D7C83"/>
    <w:rsid w:val="003E041E"/>
    <w:rsid w:val="003E1361"/>
    <w:rsid w:val="003E5294"/>
    <w:rsid w:val="003E69FB"/>
    <w:rsid w:val="003E75CD"/>
    <w:rsid w:val="003F0D68"/>
    <w:rsid w:val="003F28B3"/>
    <w:rsid w:val="003F3631"/>
    <w:rsid w:val="003F428C"/>
    <w:rsid w:val="003F542E"/>
    <w:rsid w:val="003F5E84"/>
    <w:rsid w:val="00401B4C"/>
    <w:rsid w:val="00402AD7"/>
    <w:rsid w:val="00402D35"/>
    <w:rsid w:val="00403552"/>
    <w:rsid w:val="00404D7A"/>
    <w:rsid w:val="0041026E"/>
    <w:rsid w:val="0041051C"/>
    <w:rsid w:val="00411604"/>
    <w:rsid w:val="004122B7"/>
    <w:rsid w:val="00414CDE"/>
    <w:rsid w:val="00414F04"/>
    <w:rsid w:val="004235AE"/>
    <w:rsid w:val="0042381F"/>
    <w:rsid w:val="00423C76"/>
    <w:rsid w:val="00423F9E"/>
    <w:rsid w:val="00426A10"/>
    <w:rsid w:val="004274D0"/>
    <w:rsid w:val="00430644"/>
    <w:rsid w:val="00432CC9"/>
    <w:rsid w:val="00435276"/>
    <w:rsid w:val="00440586"/>
    <w:rsid w:val="00442037"/>
    <w:rsid w:val="00442E51"/>
    <w:rsid w:val="00442E86"/>
    <w:rsid w:val="004430A4"/>
    <w:rsid w:val="0044327C"/>
    <w:rsid w:val="004441FB"/>
    <w:rsid w:val="00445CBA"/>
    <w:rsid w:val="00446A9A"/>
    <w:rsid w:val="00446D34"/>
    <w:rsid w:val="00446EE6"/>
    <w:rsid w:val="0044776D"/>
    <w:rsid w:val="00451C67"/>
    <w:rsid w:val="004521BD"/>
    <w:rsid w:val="0045426B"/>
    <w:rsid w:val="004567DF"/>
    <w:rsid w:val="00456A14"/>
    <w:rsid w:val="00457A5A"/>
    <w:rsid w:val="00460193"/>
    <w:rsid w:val="00460CE3"/>
    <w:rsid w:val="0046280A"/>
    <w:rsid w:val="00463753"/>
    <w:rsid w:val="00463D15"/>
    <w:rsid w:val="00464EE6"/>
    <w:rsid w:val="00465D78"/>
    <w:rsid w:val="0046788E"/>
    <w:rsid w:val="00471E9C"/>
    <w:rsid w:val="0047243A"/>
    <w:rsid w:val="0047314B"/>
    <w:rsid w:val="004738F5"/>
    <w:rsid w:val="00474482"/>
    <w:rsid w:val="0047479E"/>
    <w:rsid w:val="00475B63"/>
    <w:rsid w:val="00477B1D"/>
    <w:rsid w:val="00477BB6"/>
    <w:rsid w:val="00480832"/>
    <w:rsid w:val="004817E9"/>
    <w:rsid w:val="00483113"/>
    <w:rsid w:val="004844BD"/>
    <w:rsid w:val="004849BC"/>
    <w:rsid w:val="00484A2E"/>
    <w:rsid w:val="00484E65"/>
    <w:rsid w:val="00487E9E"/>
    <w:rsid w:val="0049037D"/>
    <w:rsid w:val="00490E60"/>
    <w:rsid w:val="004923F3"/>
    <w:rsid w:val="0049745B"/>
    <w:rsid w:val="004978FF"/>
    <w:rsid w:val="004A0087"/>
    <w:rsid w:val="004A1317"/>
    <w:rsid w:val="004A23E3"/>
    <w:rsid w:val="004A376E"/>
    <w:rsid w:val="004A5330"/>
    <w:rsid w:val="004A539D"/>
    <w:rsid w:val="004A62B6"/>
    <w:rsid w:val="004B57D9"/>
    <w:rsid w:val="004B6D10"/>
    <w:rsid w:val="004C0709"/>
    <w:rsid w:val="004C1CD4"/>
    <w:rsid w:val="004C1D99"/>
    <w:rsid w:val="004C1F24"/>
    <w:rsid w:val="004C396F"/>
    <w:rsid w:val="004D0528"/>
    <w:rsid w:val="004D125F"/>
    <w:rsid w:val="004D20DB"/>
    <w:rsid w:val="004D215C"/>
    <w:rsid w:val="004D2400"/>
    <w:rsid w:val="004D269E"/>
    <w:rsid w:val="004D2BB8"/>
    <w:rsid w:val="004D4F31"/>
    <w:rsid w:val="004D5D60"/>
    <w:rsid w:val="004E0743"/>
    <w:rsid w:val="004E08A8"/>
    <w:rsid w:val="004E2B8F"/>
    <w:rsid w:val="004E2C43"/>
    <w:rsid w:val="004E32FF"/>
    <w:rsid w:val="004E3FF2"/>
    <w:rsid w:val="004E7C80"/>
    <w:rsid w:val="004F4A76"/>
    <w:rsid w:val="004F4C95"/>
    <w:rsid w:val="004F77C9"/>
    <w:rsid w:val="0050011C"/>
    <w:rsid w:val="005065AC"/>
    <w:rsid w:val="00506D01"/>
    <w:rsid w:val="005104D7"/>
    <w:rsid w:val="00511321"/>
    <w:rsid w:val="00511AE5"/>
    <w:rsid w:val="00512330"/>
    <w:rsid w:val="0051255F"/>
    <w:rsid w:val="0051296B"/>
    <w:rsid w:val="0051431B"/>
    <w:rsid w:val="0051561C"/>
    <w:rsid w:val="0051670A"/>
    <w:rsid w:val="00516C72"/>
    <w:rsid w:val="005206B4"/>
    <w:rsid w:val="0052154C"/>
    <w:rsid w:val="0052165B"/>
    <w:rsid w:val="005228D0"/>
    <w:rsid w:val="0052310E"/>
    <w:rsid w:val="00526529"/>
    <w:rsid w:val="005309BA"/>
    <w:rsid w:val="00531125"/>
    <w:rsid w:val="0053116C"/>
    <w:rsid w:val="00533165"/>
    <w:rsid w:val="005402B4"/>
    <w:rsid w:val="005445F1"/>
    <w:rsid w:val="00544DA4"/>
    <w:rsid w:val="005452C8"/>
    <w:rsid w:val="00545AF2"/>
    <w:rsid w:val="005469C2"/>
    <w:rsid w:val="00547B0F"/>
    <w:rsid w:val="005501DC"/>
    <w:rsid w:val="005508C7"/>
    <w:rsid w:val="005534EC"/>
    <w:rsid w:val="00553B61"/>
    <w:rsid w:val="00554D65"/>
    <w:rsid w:val="005552E0"/>
    <w:rsid w:val="0055572E"/>
    <w:rsid w:val="005559C1"/>
    <w:rsid w:val="00555D35"/>
    <w:rsid w:val="0055624F"/>
    <w:rsid w:val="00557CFB"/>
    <w:rsid w:val="005619B4"/>
    <w:rsid w:val="0056418E"/>
    <w:rsid w:val="005648CC"/>
    <w:rsid w:val="00564D4D"/>
    <w:rsid w:val="00566DE3"/>
    <w:rsid w:val="00567AED"/>
    <w:rsid w:val="00567BC2"/>
    <w:rsid w:val="00570B01"/>
    <w:rsid w:val="00572ADC"/>
    <w:rsid w:val="00572E3E"/>
    <w:rsid w:val="005730FD"/>
    <w:rsid w:val="00574554"/>
    <w:rsid w:val="005746C1"/>
    <w:rsid w:val="005754F5"/>
    <w:rsid w:val="005817F7"/>
    <w:rsid w:val="00590C0A"/>
    <w:rsid w:val="00592B5F"/>
    <w:rsid w:val="005943EF"/>
    <w:rsid w:val="00596B8F"/>
    <w:rsid w:val="005A164C"/>
    <w:rsid w:val="005A50A8"/>
    <w:rsid w:val="005A5258"/>
    <w:rsid w:val="005A588E"/>
    <w:rsid w:val="005A5E15"/>
    <w:rsid w:val="005A6C86"/>
    <w:rsid w:val="005B0231"/>
    <w:rsid w:val="005C16DA"/>
    <w:rsid w:val="005C3522"/>
    <w:rsid w:val="005C3C43"/>
    <w:rsid w:val="005C5F01"/>
    <w:rsid w:val="005C6347"/>
    <w:rsid w:val="005C6DFE"/>
    <w:rsid w:val="005D07AF"/>
    <w:rsid w:val="005D10B1"/>
    <w:rsid w:val="005D183D"/>
    <w:rsid w:val="005D1B10"/>
    <w:rsid w:val="005D48D4"/>
    <w:rsid w:val="005D506D"/>
    <w:rsid w:val="005D6C30"/>
    <w:rsid w:val="005D7B74"/>
    <w:rsid w:val="005D7F43"/>
    <w:rsid w:val="005E2504"/>
    <w:rsid w:val="005E2C03"/>
    <w:rsid w:val="005E5887"/>
    <w:rsid w:val="005E7118"/>
    <w:rsid w:val="005E7C03"/>
    <w:rsid w:val="005F1CB4"/>
    <w:rsid w:val="005F3A1B"/>
    <w:rsid w:val="005F40A4"/>
    <w:rsid w:val="005F40EA"/>
    <w:rsid w:val="005F46A1"/>
    <w:rsid w:val="005F74E2"/>
    <w:rsid w:val="005F7FB4"/>
    <w:rsid w:val="00600288"/>
    <w:rsid w:val="00603568"/>
    <w:rsid w:val="006053DB"/>
    <w:rsid w:val="00606566"/>
    <w:rsid w:val="006106AA"/>
    <w:rsid w:val="006106FC"/>
    <w:rsid w:val="00611D9F"/>
    <w:rsid w:val="0061543C"/>
    <w:rsid w:val="00615E94"/>
    <w:rsid w:val="00617B0C"/>
    <w:rsid w:val="00620549"/>
    <w:rsid w:val="00622DB8"/>
    <w:rsid w:val="0062304B"/>
    <w:rsid w:val="00626852"/>
    <w:rsid w:val="00627A73"/>
    <w:rsid w:val="00627BA1"/>
    <w:rsid w:val="00630446"/>
    <w:rsid w:val="006327A6"/>
    <w:rsid w:val="00633FD8"/>
    <w:rsid w:val="006354D8"/>
    <w:rsid w:val="00640811"/>
    <w:rsid w:val="006440B0"/>
    <w:rsid w:val="006441F8"/>
    <w:rsid w:val="00644D3A"/>
    <w:rsid w:val="00644DE2"/>
    <w:rsid w:val="006455A0"/>
    <w:rsid w:val="00645C5E"/>
    <w:rsid w:val="00652350"/>
    <w:rsid w:val="00652F36"/>
    <w:rsid w:val="006536B1"/>
    <w:rsid w:val="006536EB"/>
    <w:rsid w:val="00654429"/>
    <w:rsid w:val="00654BC2"/>
    <w:rsid w:val="006567BC"/>
    <w:rsid w:val="00656E26"/>
    <w:rsid w:val="006575F8"/>
    <w:rsid w:val="00657E15"/>
    <w:rsid w:val="0066012D"/>
    <w:rsid w:val="0066296C"/>
    <w:rsid w:val="00662BC6"/>
    <w:rsid w:val="00662C3B"/>
    <w:rsid w:val="006637FE"/>
    <w:rsid w:val="006641D4"/>
    <w:rsid w:val="00664D80"/>
    <w:rsid w:val="00664FFD"/>
    <w:rsid w:val="0066577B"/>
    <w:rsid w:val="00665869"/>
    <w:rsid w:val="00667705"/>
    <w:rsid w:val="00667912"/>
    <w:rsid w:val="00667D0D"/>
    <w:rsid w:val="006710F0"/>
    <w:rsid w:val="00672CD2"/>
    <w:rsid w:val="00672E68"/>
    <w:rsid w:val="00673AF5"/>
    <w:rsid w:val="006741C0"/>
    <w:rsid w:val="00675477"/>
    <w:rsid w:val="00680672"/>
    <w:rsid w:val="00681030"/>
    <w:rsid w:val="00681074"/>
    <w:rsid w:val="0068412C"/>
    <w:rsid w:val="00684324"/>
    <w:rsid w:val="006847B3"/>
    <w:rsid w:val="00685C45"/>
    <w:rsid w:val="006901FF"/>
    <w:rsid w:val="006945FB"/>
    <w:rsid w:val="00694E64"/>
    <w:rsid w:val="006A3D24"/>
    <w:rsid w:val="006A5F55"/>
    <w:rsid w:val="006A7868"/>
    <w:rsid w:val="006B08B7"/>
    <w:rsid w:val="006B11CE"/>
    <w:rsid w:val="006B19AE"/>
    <w:rsid w:val="006B2EEF"/>
    <w:rsid w:val="006C0B1C"/>
    <w:rsid w:val="006C4B1F"/>
    <w:rsid w:val="006C4D0F"/>
    <w:rsid w:val="006C6ABF"/>
    <w:rsid w:val="006D0EB6"/>
    <w:rsid w:val="006D1B71"/>
    <w:rsid w:val="006D25C3"/>
    <w:rsid w:val="006D2C0A"/>
    <w:rsid w:val="006D7095"/>
    <w:rsid w:val="006E1486"/>
    <w:rsid w:val="006F2616"/>
    <w:rsid w:val="006F4024"/>
    <w:rsid w:val="006F5512"/>
    <w:rsid w:val="006F64C1"/>
    <w:rsid w:val="006F6937"/>
    <w:rsid w:val="006F6F9E"/>
    <w:rsid w:val="006F7CD7"/>
    <w:rsid w:val="007004C4"/>
    <w:rsid w:val="0070072A"/>
    <w:rsid w:val="0070179F"/>
    <w:rsid w:val="007020D8"/>
    <w:rsid w:val="00707B0C"/>
    <w:rsid w:val="00710465"/>
    <w:rsid w:val="007107BB"/>
    <w:rsid w:val="00710E5B"/>
    <w:rsid w:val="00711B95"/>
    <w:rsid w:val="0071346C"/>
    <w:rsid w:val="00714B2E"/>
    <w:rsid w:val="007209CB"/>
    <w:rsid w:val="00722E8F"/>
    <w:rsid w:val="00723FE0"/>
    <w:rsid w:val="0072413C"/>
    <w:rsid w:val="007259BF"/>
    <w:rsid w:val="007269F1"/>
    <w:rsid w:val="00726F34"/>
    <w:rsid w:val="00727D46"/>
    <w:rsid w:val="007344E0"/>
    <w:rsid w:val="00736BF5"/>
    <w:rsid w:val="00737CC1"/>
    <w:rsid w:val="00740097"/>
    <w:rsid w:val="007436A3"/>
    <w:rsid w:val="007437D4"/>
    <w:rsid w:val="007476FE"/>
    <w:rsid w:val="00750AAE"/>
    <w:rsid w:val="0075206C"/>
    <w:rsid w:val="00754028"/>
    <w:rsid w:val="0076357D"/>
    <w:rsid w:val="00764FA2"/>
    <w:rsid w:val="0077326D"/>
    <w:rsid w:val="00773EA8"/>
    <w:rsid w:val="0078003D"/>
    <w:rsid w:val="00780D72"/>
    <w:rsid w:val="00782F6C"/>
    <w:rsid w:val="00784E90"/>
    <w:rsid w:val="00784FB9"/>
    <w:rsid w:val="0079039A"/>
    <w:rsid w:val="00791412"/>
    <w:rsid w:val="00791F79"/>
    <w:rsid w:val="00792539"/>
    <w:rsid w:val="007931DE"/>
    <w:rsid w:val="0079332A"/>
    <w:rsid w:val="00793A28"/>
    <w:rsid w:val="00793B0F"/>
    <w:rsid w:val="00793D6F"/>
    <w:rsid w:val="0079439C"/>
    <w:rsid w:val="0079544B"/>
    <w:rsid w:val="007954E9"/>
    <w:rsid w:val="007956C6"/>
    <w:rsid w:val="007A136C"/>
    <w:rsid w:val="007A1427"/>
    <w:rsid w:val="007A1548"/>
    <w:rsid w:val="007A1AE8"/>
    <w:rsid w:val="007A3740"/>
    <w:rsid w:val="007A3EC7"/>
    <w:rsid w:val="007A4887"/>
    <w:rsid w:val="007A4949"/>
    <w:rsid w:val="007A74B3"/>
    <w:rsid w:val="007B1852"/>
    <w:rsid w:val="007B2CF7"/>
    <w:rsid w:val="007B3930"/>
    <w:rsid w:val="007B6188"/>
    <w:rsid w:val="007C0A71"/>
    <w:rsid w:val="007C1C22"/>
    <w:rsid w:val="007C4898"/>
    <w:rsid w:val="007C4928"/>
    <w:rsid w:val="007C733E"/>
    <w:rsid w:val="007D21CA"/>
    <w:rsid w:val="007D2568"/>
    <w:rsid w:val="007D25BB"/>
    <w:rsid w:val="007D27F3"/>
    <w:rsid w:val="007D45C4"/>
    <w:rsid w:val="007D4817"/>
    <w:rsid w:val="007D516B"/>
    <w:rsid w:val="007D6640"/>
    <w:rsid w:val="007D73F1"/>
    <w:rsid w:val="007E15EB"/>
    <w:rsid w:val="007E1C6E"/>
    <w:rsid w:val="007E2DD3"/>
    <w:rsid w:val="007E30A0"/>
    <w:rsid w:val="007E4A4C"/>
    <w:rsid w:val="007E4C77"/>
    <w:rsid w:val="007F1413"/>
    <w:rsid w:val="007F188F"/>
    <w:rsid w:val="007F1EC0"/>
    <w:rsid w:val="007F4407"/>
    <w:rsid w:val="007F4E10"/>
    <w:rsid w:val="007F514B"/>
    <w:rsid w:val="007F5794"/>
    <w:rsid w:val="007F7251"/>
    <w:rsid w:val="007F773D"/>
    <w:rsid w:val="007F7AB8"/>
    <w:rsid w:val="00802757"/>
    <w:rsid w:val="00804AE1"/>
    <w:rsid w:val="0081111B"/>
    <w:rsid w:val="00811C03"/>
    <w:rsid w:val="00812AFF"/>
    <w:rsid w:val="008139C8"/>
    <w:rsid w:val="008142FA"/>
    <w:rsid w:val="00815495"/>
    <w:rsid w:val="0081652C"/>
    <w:rsid w:val="00816950"/>
    <w:rsid w:val="008170B6"/>
    <w:rsid w:val="008170C5"/>
    <w:rsid w:val="008175CD"/>
    <w:rsid w:val="00817AD2"/>
    <w:rsid w:val="00821653"/>
    <w:rsid w:val="008236FC"/>
    <w:rsid w:val="00824029"/>
    <w:rsid w:val="0082497C"/>
    <w:rsid w:val="0082535D"/>
    <w:rsid w:val="0082602B"/>
    <w:rsid w:val="0082759C"/>
    <w:rsid w:val="0083118F"/>
    <w:rsid w:val="00831929"/>
    <w:rsid w:val="0083203E"/>
    <w:rsid w:val="008321EB"/>
    <w:rsid w:val="00832241"/>
    <w:rsid w:val="00832C12"/>
    <w:rsid w:val="00833A73"/>
    <w:rsid w:val="00833EC7"/>
    <w:rsid w:val="008341C2"/>
    <w:rsid w:val="0083445B"/>
    <w:rsid w:val="00834676"/>
    <w:rsid w:val="0083580E"/>
    <w:rsid w:val="00836141"/>
    <w:rsid w:val="0083622E"/>
    <w:rsid w:val="00836776"/>
    <w:rsid w:val="00837DD2"/>
    <w:rsid w:val="00840F31"/>
    <w:rsid w:val="008434C2"/>
    <w:rsid w:val="00844E41"/>
    <w:rsid w:val="0084540F"/>
    <w:rsid w:val="0084720D"/>
    <w:rsid w:val="00847272"/>
    <w:rsid w:val="0085008C"/>
    <w:rsid w:val="00850F48"/>
    <w:rsid w:val="008516E1"/>
    <w:rsid w:val="00851F0F"/>
    <w:rsid w:val="00852179"/>
    <w:rsid w:val="00853476"/>
    <w:rsid w:val="00854A80"/>
    <w:rsid w:val="00854BC5"/>
    <w:rsid w:val="008550EF"/>
    <w:rsid w:val="00857A32"/>
    <w:rsid w:val="008609D9"/>
    <w:rsid w:val="008622D5"/>
    <w:rsid w:val="0086573E"/>
    <w:rsid w:val="008665D7"/>
    <w:rsid w:val="00867A90"/>
    <w:rsid w:val="00870360"/>
    <w:rsid w:val="00870CB1"/>
    <w:rsid w:val="0087119C"/>
    <w:rsid w:val="00873C2C"/>
    <w:rsid w:val="00873C4C"/>
    <w:rsid w:val="00876F0D"/>
    <w:rsid w:val="008808CD"/>
    <w:rsid w:val="008812F7"/>
    <w:rsid w:val="008813A0"/>
    <w:rsid w:val="00884DDB"/>
    <w:rsid w:val="00885172"/>
    <w:rsid w:val="00885C4D"/>
    <w:rsid w:val="008861B8"/>
    <w:rsid w:val="008904C4"/>
    <w:rsid w:val="008914C8"/>
    <w:rsid w:val="00891527"/>
    <w:rsid w:val="00894110"/>
    <w:rsid w:val="008941AA"/>
    <w:rsid w:val="00895849"/>
    <w:rsid w:val="00896D14"/>
    <w:rsid w:val="008A026A"/>
    <w:rsid w:val="008A07EE"/>
    <w:rsid w:val="008A34E2"/>
    <w:rsid w:val="008A3B8C"/>
    <w:rsid w:val="008A5837"/>
    <w:rsid w:val="008A691F"/>
    <w:rsid w:val="008A751E"/>
    <w:rsid w:val="008A76C7"/>
    <w:rsid w:val="008B1A5C"/>
    <w:rsid w:val="008B1B14"/>
    <w:rsid w:val="008B1B1A"/>
    <w:rsid w:val="008B23F1"/>
    <w:rsid w:val="008B2EF0"/>
    <w:rsid w:val="008B515D"/>
    <w:rsid w:val="008B785F"/>
    <w:rsid w:val="008C1E2A"/>
    <w:rsid w:val="008C363A"/>
    <w:rsid w:val="008D036E"/>
    <w:rsid w:val="008D0624"/>
    <w:rsid w:val="008D15DE"/>
    <w:rsid w:val="008D2799"/>
    <w:rsid w:val="008D5B03"/>
    <w:rsid w:val="008E217C"/>
    <w:rsid w:val="008E26B4"/>
    <w:rsid w:val="008E2A68"/>
    <w:rsid w:val="008E2DA7"/>
    <w:rsid w:val="008E2EA1"/>
    <w:rsid w:val="008E4331"/>
    <w:rsid w:val="008E4770"/>
    <w:rsid w:val="008E4A5D"/>
    <w:rsid w:val="008F12DC"/>
    <w:rsid w:val="008F1AE4"/>
    <w:rsid w:val="008F24D6"/>
    <w:rsid w:val="008F3926"/>
    <w:rsid w:val="008F479D"/>
    <w:rsid w:val="008F62A9"/>
    <w:rsid w:val="008F6306"/>
    <w:rsid w:val="008F7F4B"/>
    <w:rsid w:val="0090000C"/>
    <w:rsid w:val="00901378"/>
    <w:rsid w:val="00902F16"/>
    <w:rsid w:val="00903400"/>
    <w:rsid w:val="009035A3"/>
    <w:rsid w:val="00903E83"/>
    <w:rsid w:val="0090413F"/>
    <w:rsid w:val="00904218"/>
    <w:rsid w:val="0090490D"/>
    <w:rsid w:val="00906EFD"/>
    <w:rsid w:val="009071DF"/>
    <w:rsid w:val="00907943"/>
    <w:rsid w:val="00913E5C"/>
    <w:rsid w:val="0091751F"/>
    <w:rsid w:val="00920072"/>
    <w:rsid w:val="00921066"/>
    <w:rsid w:val="00921C31"/>
    <w:rsid w:val="009243D0"/>
    <w:rsid w:val="00924DA5"/>
    <w:rsid w:val="00927E84"/>
    <w:rsid w:val="009300AA"/>
    <w:rsid w:val="009302ED"/>
    <w:rsid w:val="00930C4B"/>
    <w:rsid w:val="00931B86"/>
    <w:rsid w:val="00932098"/>
    <w:rsid w:val="009333BE"/>
    <w:rsid w:val="009351DC"/>
    <w:rsid w:val="00936277"/>
    <w:rsid w:val="00936A1C"/>
    <w:rsid w:val="00937ED2"/>
    <w:rsid w:val="00937FB1"/>
    <w:rsid w:val="00946E43"/>
    <w:rsid w:val="009502F7"/>
    <w:rsid w:val="00950C87"/>
    <w:rsid w:val="00951705"/>
    <w:rsid w:val="009542A1"/>
    <w:rsid w:val="009562E2"/>
    <w:rsid w:val="00960249"/>
    <w:rsid w:val="0096030B"/>
    <w:rsid w:val="009603AE"/>
    <w:rsid w:val="009604A6"/>
    <w:rsid w:val="00962B48"/>
    <w:rsid w:val="0096493E"/>
    <w:rsid w:val="009676F0"/>
    <w:rsid w:val="00972AA9"/>
    <w:rsid w:val="00973383"/>
    <w:rsid w:val="0097664A"/>
    <w:rsid w:val="009814BC"/>
    <w:rsid w:val="00981921"/>
    <w:rsid w:val="00987524"/>
    <w:rsid w:val="009906B8"/>
    <w:rsid w:val="0099146B"/>
    <w:rsid w:val="0099209A"/>
    <w:rsid w:val="00995689"/>
    <w:rsid w:val="00995BF1"/>
    <w:rsid w:val="00997031"/>
    <w:rsid w:val="0099743A"/>
    <w:rsid w:val="009A0225"/>
    <w:rsid w:val="009A05F1"/>
    <w:rsid w:val="009A2760"/>
    <w:rsid w:val="009A3363"/>
    <w:rsid w:val="009A623E"/>
    <w:rsid w:val="009A6B84"/>
    <w:rsid w:val="009A6D06"/>
    <w:rsid w:val="009A6D76"/>
    <w:rsid w:val="009A6E06"/>
    <w:rsid w:val="009A7F68"/>
    <w:rsid w:val="009B02DE"/>
    <w:rsid w:val="009B0DF6"/>
    <w:rsid w:val="009B3264"/>
    <w:rsid w:val="009B464C"/>
    <w:rsid w:val="009B56A2"/>
    <w:rsid w:val="009B59C6"/>
    <w:rsid w:val="009B6B96"/>
    <w:rsid w:val="009B6CAA"/>
    <w:rsid w:val="009C01D4"/>
    <w:rsid w:val="009C0D13"/>
    <w:rsid w:val="009C2AA2"/>
    <w:rsid w:val="009C3060"/>
    <w:rsid w:val="009C761C"/>
    <w:rsid w:val="009D445A"/>
    <w:rsid w:val="009D4A3C"/>
    <w:rsid w:val="009D50AF"/>
    <w:rsid w:val="009D59DA"/>
    <w:rsid w:val="009D5D4B"/>
    <w:rsid w:val="009D62B8"/>
    <w:rsid w:val="009D6490"/>
    <w:rsid w:val="009E03A9"/>
    <w:rsid w:val="009E0D57"/>
    <w:rsid w:val="009E1D64"/>
    <w:rsid w:val="009E2593"/>
    <w:rsid w:val="009E3E82"/>
    <w:rsid w:val="009E5FD3"/>
    <w:rsid w:val="009E763B"/>
    <w:rsid w:val="009F17D6"/>
    <w:rsid w:val="009F279B"/>
    <w:rsid w:val="009F6601"/>
    <w:rsid w:val="009F7F7B"/>
    <w:rsid w:val="00A01EA3"/>
    <w:rsid w:val="00A020DC"/>
    <w:rsid w:val="00A02532"/>
    <w:rsid w:val="00A07E0F"/>
    <w:rsid w:val="00A101D9"/>
    <w:rsid w:val="00A11EBD"/>
    <w:rsid w:val="00A121A4"/>
    <w:rsid w:val="00A12BB6"/>
    <w:rsid w:val="00A137D3"/>
    <w:rsid w:val="00A1421B"/>
    <w:rsid w:val="00A151EE"/>
    <w:rsid w:val="00A15FEB"/>
    <w:rsid w:val="00A24333"/>
    <w:rsid w:val="00A26556"/>
    <w:rsid w:val="00A31CB3"/>
    <w:rsid w:val="00A33E62"/>
    <w:rsid w:val="00A3480D"/>
    <w:rsid w:val="00A35FEA"/>
    <w:rsid w:val="00A36BFF"/>
    <w:rsid w:val="00A41134"/>
    <w:rsid w:val="00A417C5"/>
    <w:rsid w:val="00A43554"/>
    <w:rsid w:val="00A455AA"/>
    <w:rsid w:val="00A46704"/>
    <w:rsid w:val="00A574EA"/>
    <w:rsid w:val="00A60657"/>
    <w:rsid w:val="00A62894"/>
    <w:rsid w:val="00A70243"/>
    <w:rsid w:val="00A703D7"/>
    <w:rsid w:val="00A720DC"/>
    <w:rsid w:val="00A72760"/>
    <w:rsid w:val="00A74C9B"/>
    <w:rsid w:val="00A760E9"/>
    <w:rsid w:val="00A801C2"/>
    <w:rsid w:val="00A808EA"/>
    <w:rsid w:val="00A81B24"/>
    <w:rsid w:val="00A837CF"/>
    <w:rsid w:val="00A83E9C"/>
    <w:rsid w:val="00A83EA5"/>
    <w:rsid w:val="00A87DA8"/>
    <w:rsid w:val="00A91597"/>
    <w:rsid w:val="00A91794"/>
    <w:rsid w:val="00A91899"/>
    <w:rsid w:val="00A931EC"/>
    <w:rsid w:val="00A9386B"/>
    <w:rsid w:val="00A95CC8"/>
    <w:rsid w:val="00A96693"/>
    <w:rsid w:val="00A9760D"/>
    <w:rsid w:val="00AA1730"/>
    <w:rsid w:val="00AA1E0C"/>
    <w:rsid w:val="00AA2244"/>
    <w:rsid w:val="00AA3717"/>
    <w:rsid w:val="00AA37A1"/>
    <w:rsid w:val="00AA4990"/>
    <w:rsid w:val="00AA5272"/>
    <w:rsid w:val="00AA61C8"/>
    <w:rsid w:val="00AA6683"/>
    <w:rsid w:val="00AB0822"/>
    <w:rsid w:val="00AB2CF7"/>
    <w:rsid w:val="00AB3EB4"/>
    <w:rsid w:val="00AB5214"/>
    <w:rsid w:val="00AB56F4"/>
    <w:rsid w:val="00AB7A30"/>
    <w:rsid w:val="00AC103A"/>
    <w:rsid w:val="00AC1221"/>
    <w:rsid w:val="00AC3061"/>
    <w:rsid w:val="00AC3FED"/>
    <w:rsid w:val="00AC6F1C"/>
    <w:rsid w:val="00AC7334"/>
    <w:rsid w:val="00AD029A"/>
    <w:rsid w:val="00AD2385"/>
    <w:rsid w:val="00AD2432"/>
    <w:rsid w:val="00AD2A6A"/>
    <w:rsid w:val="00AD37A1"/>
    <w:rsid w:val="00AD4B7E"/>
    <w:rsid w:val="00AE0453"/>
    <w:rsid w:val="00AE1017"/>
    <w:rsid w:val="00AE245C"/>
    <w:rsid w:val="00AE2EBA"/>
    <w:rsid w:val="00AE34DC"/>
    <w:rsid w:val="00AE4627"/>
    <w:rsid w:val="00AE4C97"/>
    <w:rsid w:val="00AE513F"/>
    <w:rsid w:val="00AE58CB"/>
    <w:rsid w:val="00AE6463"/>
    <w:rsid w:val="00AF0250"/>
    <w:rsid w:val="00AF1DDB"/>
    <w:rsid w:val="00AF4619"/>
    <w:rsid w:val="00AF532B"/>
    <w:rsid w:val="00AF569B"/>
    <w:rsid w:val="00AF6195"/>
    <w:rsid w:val="00AF6D86"/>
    <w:rsid w:val="00B0042B"/>
    <w:rsid w:val="00B01210"/>
    <w:rsid w:val="00B01955"/>
    <w:rsid w:val="00B05F33"/>
    <w:rsid w:val="00B07B94"/>
    <w:rsid w:val="00B110A5"/>
    <w:rsid w:val="00B118A8"/>
    <w:rsid w:val="00B12C5C"/>
    <w:rsid w:val="00B12ED4"/>
    <w:rsid w:val="00B14BF6"/>
    <w:rsid w:val="00B15132"/>
    <w:rsid w:val="00B1679E"/>
    <w:rsid w:val="00B17076"/>
    <w:rsid w:val="00B2143E"/>
    <w:rsid w:val="00B22974"/>
    <w:rsid w:val="00B237F6"/>
    <w:rsid w:val="00B253B4"/>
    <w:rsid w:val="00B255F9"/>
    <w:rsid w:val="00B2643A"/>
    <w:rsid w:val="00B33EB5"/>
    <w:rsid w:val="00B3425C"/>
    <w:rsid w:val="00B342F3"/>
    <w:rsid w:val="00B3627A"/>
    <w:rsid w:val="00B418A9"/>
    <w:rsid w:val="00B42099"/>
    <w:rsid w:val="00B46776"/>
    <w:rsid w:val="00B468E3"/>
    <w:rsid w:val="00B47726"/>
    <w:rsid w:val="00B54F1C"/>
    <w:rsid w:val="00B55962"/>
    <w:rsid w:val="00B574E8"/>
    <w:rsid w:val="00B577D5"/>
    <w:rsid w:val="00B57B42"/>
    <w:rsid w:val="00B612C8"/>
    <w:rsid w:val="00B61D94"/>
    <w:rsid w:val="00B6397D"/>
    <w:rsid w:val="00B6406E"/>
    <w:rsid w:val="00B653FB"/>
    <w:rsid w:val="00B6619B"/>
    <w:rsid w:val="00B661C0"/>
    <w:rsid w:val="00B67FCB"/>
    <w:rsid w:val="00B72D34"/>
    <w:rsid w:val="00B72E53"/>
    <w:rsid w:val="00B745D1"/>
    <w:rsid w:val="00B74D89"/>
    <w:rsid w:val="00B80B9B"/>
    <w:rsid w:val="00B82490"/>
    <w:rsid w:val="00B825A8"/>
    <w:rsid w:val="00B831AE"/>
    <w:rsid w:val="00B84644"/>
    <w:rsid w:val="00B849D2"/>
    <w:rsid w:val="00B8588F"/>
    <w:rsid w:val="00B86B7B"/>
    <w:rsid w:val="00B87CBD"/>
    <w:rsid w:val="00B91EEE"/>
    <w:rsid w:val="00B9538B"/>
    <w:rsid w:val="00BA0A1B"/>
    <w:rsid w:val="00BA2D26"/>
    <w:rsid w:val="00BA4376"/>
    <w:rsid w:val="00BA4803"/>
    <w:rsid w:val="00BA6A24"/>
    <w:rsid w:val="00BA7870"/>
    <w:rsid w:val="00BB17A2"/>
    <w:rsid w:val="00BB3FA4"/>
    <w:rsid w:val="00BB4426"/>
    <w:rsid w:val="00BB74C6"/>
    <w:rsid w:val="00BC07A4"/>
    <w:rsid w:val="00BC1334"/>
    <w:rsid w:val="00BC3C65"/>
    <w:rsid w:val="00BC4578"/>
    <w:rsid w:val="00BD06BD"/>
    <w:rsid w:val="00BD1146"/>
    <w:rsid w:val="00BD4401"/>
    <w:rsid w:val="00BD4A3E"/>
    <w:rsid w:val="00BD619F"/>
    <w:rsid w:val="00BD6A85"/>
    <w:rsid w:val="00BD7058"/>
    <w:rsid w:val="00BD7BB5"/>
    <w:rsid w:val="00BE03CB"/>
    <w:rsid w:val="00BE0E8A"/>
    <w:rsid w:val="00BE28F2"/>
    <w:rsid w:val="00BE2D86"/>
    <w:rsid w:val="00BE3BE9"/>
    <w:rsid w:val="00BF0DD3"/>
    <w:rsid w:val="00BF1548"/>
    <w:rsid w:val="00BF19E4"/>
    <w:rsid w:val="00BF248E"/>
    <w:rsid w:val="00BF2D27"/>
    <w:rsid w:val="00BF4A34"/>
    <w:rsid w:val="00BF4E7A"/>
    <w:rsid w:val="00BF508A"/>
    <w:rsid w:val="00C007D3"/>
    <w:rsid w:val="00C0153C"/>
    <w:rsid w:val="00C01F9A"/>
    <w:rsid w:val="00C04129"/>
    <w:rsid w:val="00C108A8"/>
    <w:rsid w:val="00C11E08"/>
    <w:rsid w:val="00C22B6F"/>
    <w:rsid w:val="00C275DC"/>
    <w:rsid w:val="00C27929"/>
    <w:rsid w:val="00C27C72"/>
    <w:rsid w:val="00C302B6"/>
    <w:rsid w:val="00C3112E"/>
    <w:rsid w:val="00C32BE4"/>
    <w:rsid w:val="00C35219"/>
    <w:rsid w:val="00C37B88"/>
    <w:rsid w:val="00C41B3B"/>
    <w:rsid w:val="00C43BB9"/>
    <w:rsid w:val="00C4626D"/>
    <w:rsid w:val="00C511D9"/>
    <w:rsid w:val="00C530E5"/>
    <w:rsid w:val="00C534E8"/>
    <w:rsid w:val="00C53D1D"/>
    <w:rsid w:val="00C56DFE"/>
    <w:rsid w:val="00C5701F"/>
    <w:rsid w:val="00C57932"/>
    <w:rsid w:val="00C63FE7"/>
    <w:rsid w:val="00C65056"/>
    <w:rsid w:val="00C66634"/>
    <w:rsid w:val="00C676D7"/>
    <w:rsid w:val="00C67A6B"/>
    <w:rsid w:val="00C706DE"/>
    <w:rsid w:val="00C7190E"/>
    <w:rsid w:val="00C72C23"/>
    <w:rsid w:val="00C731BA"/>
    <w:rsid w:val="00C767B7"/>
    <w:rsid w:val="00C76CCD"/>
    <w:rsid w:val="00C80687"/>
    <w:rsid w:val="00C80C01"/>
    <w:rsid w:val="00C81773"/>
    <w:rsid w:val="00C8179D"/>
    <w:rsid w:val="00C83008"/>
    <w:rsid w:val="00C83263"/>
    <w:rsid w:val="00C83F48"/>
    <w:rsid w:val="00C844FC"/>
    <w:rsid w:val="00C85614"/>
    <w:rsid w:val="00C901C8"/>
    <w:rsid w:val="00C91C21"/>
    <w:rsid w:val="00C91CF8"/>
    <w:rsid w:val="00C93D7A"/>
    <w:rsid w:val="00C94499"/>
    <w:rsid w:val="00C9586A"/>
    <w:rsid w:val="00C95C59"/>
    <w:rsid w:val="00C96C54"/>
    <w:rsid w:val="00CA3095"/>
    <w:rsid w:val="00CA4A3D"/>
    <w:rsid w:val="00CA509B"/>
    <w:rsid w:val="00CA5183"/>
    <w:rsid w:val="00CA5B51"/>
    <w:rsid w:val="00CA640C"/>
    <w:rsid w:val="00CA765E"/>
    <w:rsid w:val="00CA7DBC"/>
    <w:rsid w:val="00CB390A"/>
    <w:rsid w:val="00CB3D0A"/>
    <w:rsid w:val="00CB53C8"/>
    <w:rsid w:val="00CB560C"/>
    <w:rsid w:val="00CB66B5"/>
    <w:rsid w:val="00CB6A2D"/>
    <w:rsid w:val="00CB739B"/>
    <w:rsid w:val="00CB7AEE"/>
    <w:rsid w:val="00CB7F08"/>
    <w:rsid w:val="00CC028A"/>
    <w:rsid w:val="00CC082C"/>
    <w:rsid w:val="00CC1499"/>
    <w:rsid w:val="00CC2A4A"/>
    <w:rsid w:val="00CC314B"/>
    <w:rsid w:val="00CC5194"/>
    <w:rsid w:val="00CC5C2D"/>
    <w:rsid w:val="00CC5DC4"/>
    <w:rsid w:val="00CC7263"/>
    <w:rsid w:val="00CD11FE"/>
    <w:rsid w:val="00CD30E2"/>
    <w:rsid w:val="00CE2E9D"/>
    <w:rsid w:val="00CE598A"/>
    <w:rsid w:val="00CE686F"/>
    <w:rsid w:val="00CF1585"/>
    <w:rsid w:val="00CF290C"/>
    <w:rsid w:val="00CF520C"/>
    <w:rsid w:val="00CF5263"/>
    <w:rsid w:val="00CF71F7"/>
    <w:rsid w:val="00D01160"/>
    <w:rsid w:val="00D01875"/>
    <w:rsid w:val="00D03AC0"/>
    <w:rsid w:val="00D041C0"/>
    <w:rsid w:val="00D10D23"/>
    <w:rsid w:val="00D10FC0"/>
    <w:rsid w:val="00D11990"/>
    <w:rsid w:val="00D129F9"/>
    <w:rsid w:val="00D12AB2"/>
    <w:rsid w:val="00D130AA"/>
    <w:rsid w:val="00D13203"/>
    <w:rsid w:val="00D14226"/>
    <w:rsid w:val="00D17FD9"/>
    <w:rsid w:val="00D23A18"/>
    <w:rsid w:val="00D24299"/>
    <w:rsid w:val="00D2490C"/>
    <w:rsid w:val="00D25A78"/>
    <w:rsid w:val="00D266A8"/>
    <w:rsid w:val="00D26CE4"/>
    <w:rsid w:val="00D30115"/>
    <w:rsid w:val="00D30ADD"/>
    <w:rsid w:val="00D320A6"/>
    <w:rsid w:val="00D33614"/>
    <w:rsid w:val="00D338BC"/>
    <w:rsid w:val="00D33A7E"/>
    <w:rsid w:val="00D33C13"/>
    <w:rsid w:val="00D33C3C"/>
    <w:rsid w:val="00D36115"/>
    <w:rsid w:val="00D36AEA"/>
    <w:rsid w:val="00D4305D"/>
    <w:rsid w:val="00D44FF5"/>
    <w:rsid w:val="00D45EED"/>
    <w:rsid w:val="00D46006"/>
    <w:rsid w:val="00D46A3C"/>
    <w:rsid w:val="00D5025D"/>
    <w:rsid w:val="00D52509"/>
    <w:rsid w:val="00D57929"/>
    <w:rsid w:val="00D602AE"/>
    <w:rsid w:val="00D60E2C"/>
    <w:rsid w:val="00D61B06"/>
    <w:rsid w:val="00D62753"/>
    <w:rsid w:val="00D62B86"/>
    <w:rsid w:val="00D62DAB"/>
    <w:rsid w:val="00D63085"/>
    <w:rsid w:val="00D64E6A"/>
    <w:rsid w:val="00D70C6C"/>
    <w:rsid w:val="00D70E0F"/>
    <w:rsid w:val="00D721D0"/>
    <w:rsid w:val="00D7276B"/>
    <w:rsid w:val="00D727C3"/>
    <w:rsid w:val="00D763E4"/>
    <w:rsid w:val="00D765F5"/>
    <w:rsid w:val="00D77133"/>
    <w:rsid w:val="00D779C5"/>
    <w:rsid w:val="00D82DA7"/>
    <w:rsid w:val="00D85675"/>
    <w:rsid w:val="00D86C92"/>
    <w:rsid w:val="00D8787F"/>
    <w:rsid w:val="00D87883"/>
    <w:rsid w:val="00D90411"/>
    <w:rsid w:val="00D923AA"/>
    <w:rsid w:val="00D929E9"/>
    <w:rsid w:val="00D92C68"/>
    <w:rsid w:val="00D94603"/>
    <w:rsid w:val="00D9692A"/>
    <w:rsid w:val="00D96C39"/>
    <w:rsid w:val="00D9743C"/>
    <w:rsid w:val="00D976EB"/>
    <w:rsid w:val="00D979BA"/>
    <w:rsid w:val="00DA08E1"/>
    <w:rsid w:val="00DA15AB"/>
    <w:rsid w:val="00DB291E"/>
    <w:rsid w:val="00DB449B"/>
    <w:rsid w:val="00DB735C"/>
    <w:rsid w:val="00DB77B6"/>
    <w:rsid w:val="00DB7B14"/>
    <w:rsid w:val="00DC0A9F"/>
    <w:rsid w:val="00DC119A"/>
    <w:rsid w:val="00DC1B85"/>
    <w:rsid w:val="00DC2CBD"/>
    <w:rsid w:val="00DC3BB0"/>
    <w:rsid w:val="00DC4203"/>
    <w:rsid w:val="00DC5182"/>
    <w:rsid w:val="00DC5907"/>
    <w:rsid w:val="00DD1440"/>
    <w:rsid w:val="00DD1E78"/>
    <w:rsid w:val="00DD3FA0"/>
    <w:rsid w:val="00DD47DA"/>
    <w:rsid w:val="00DD76E1"/>
    <w:rsid w:val="00DE0A80"/>
    <w:rsid w:val="00DE2618"/>
    <w:rsid w:val="00DE2A23"/>
    <w:rsid w:val="00DE2A45"/>
    <w:rsid w:val="00DE5975"/>
    <w:rsid w:val="00DE693A"/>
    <w:rsid w:val="00DE74C4"/>
    <w:rsid w:val="00DF003D"/>
    <w:rsid w:val="00DF066B"/>
    <w:rsid w:val="00DF3B41"/>
    <w:rsid w:val="00DF5F82"/>
    <w:rsid w:val="00DF69AE"/>
    <w:rsid w:val="00DF6D9A"/>
    <w:rsid w:val="00E01837"/>
    <w:rsid w:val="00E02B48"/>
    <w:rsid w:val="00E0335A"/>
    <w:rsid w:val="00E03D7D"/>
    <w:rsid w:val="00E05EFB"/>
    <w:rsid w:val="00E12485"/>
    <w:rsid w:val="00E134DD"/>
    <w:rsid w:val="00E155B2"/>
    <w:rsid w:val="00E15F01"/>
    <w:rsid w:val="00E22E6E"/>
    <w:rsid w:val="00E24C8D"/>
    <w:rsid w:val="00E257B7"/>
    <w:rsid w:val="00E25EC9"/>
    <w:rsid w:val="00E26EE2"/>
    <w:rsid w:val="00E27D12"/>
    <w:rsid w:val="00E3078D"/>
    <w:rsid w:val="00E31F0D"/>
    <w:rsid w:val="00E3344A"/>
    <w:rsid w:val="00E34300"/>
    <w:rsid w:val="00E349F3"/>
    <w:rsid w:val="00E34D5B"/>
    <w:rsid w:val="00E35E87"/>
    <w:rsid w:val="00E362E2"/>
    <w:rsid w:val="00E37E3C"/>
    <w:rsid w:val="00E400BB"/>
    <w:rsid w:val="00E407E9"/>
    <w:rsid w:val="00E4246C"/>
    <w:rsid w:val="00E42CEB"/>
    <w:rsid w:val="00E4513F"/>
    <w:rsid w:val="00E471A3"/>
    <w:rsid w:val="00E47B77"/>
    <w:rsid w:val="00E51A99"/>
    <w:rsid w:val="00E535BE"/>
    <w:rsid w:val="00E53D14"/>
    <w:rsid w:val="00E54144"/>
    <w:rsid w:val="00E61B95"/>
    <w:rsid w:val="00E61F66"/>
    <w:rsid w:val="00E622DD"/>
    <w:rsid w:val="00E6373B"/>
    <w:rsid w:val="00E63E6C"/>
    <w:rsid w:val="00E64276"/>
    <w:rsid w:val="00E6481A"/>
    <w:rsid w:val="00E64D4E"/>
    <w:rsid w:val="00E66829"/>
    <w:rsid w:val="00E67F4D"/>
    <w:rsid w:val="00E70113"/>
    <w:rsid w:val="00E70EE5"/>
    <w:rsid w:val="00E721E1"/>
    <w:rsid w:val="00E72F3A"/>
    <w:rsid w:val="00E73A2C"/>
    <w:rsid w:val="00E749C6"/>
    <w:rsid w:val="00E77175"/>
    <w:rsid w:val="00E7782B"/>
    <w:rsid w:val="00E81AE8"/>
    <w:rsid w:val="00E82761"/>
    <w:rsid w:val="00E82D76"/>
    <w:rsid w:val="00E84188"/>
    <w:rsid w:val="00E84D48"/>
    <w:rsid w:val="00E86C88"/>
    <w:rsid w:val="00E925C3"/>
    <w:rsid w:val="00E94595"/>
    <w:rsid w:val="00E94E2A"/>
    <w:rsid w:val="00E9549B"/>
    <w:rsid w:val="00EA2560"/>
    <w:rsid w:val="00EA4707"/>
    <w:rsid w:val="00EB0E4B"/>
    <w:rsid w:val="00EB17E9"/>
    <w:rsid w:val="00EB63D3"/>
    <w:rsid w:val="00EB6E61"/>
    <w:rsid w:val="00EC03A0"/>
    <w:rsid w:val="00EC2834"/>
    <w:rsid w:val="00EC3C21"/>
    <w:rsid w:val="00EC5E04"/>
    <w:rsid w:val="00ED20C3"/>
    <w:rsid w:val="00ED29FE"/>
    <w:rsid w:val="00ED2E54"/>
    <w:rsid w:val="00ED4560"/>
    <w:rsid w:val="00ED6D69"/>
    <w:rsid w:val="00ED7653"/>
    <w:rsid w:val="00ED7DBD"/>
    <w:rsid w:val="00EE0899"/>
    <w:rsid w:val="00EE1D7F"/>
    <w:rsid w:val="00EE28AA"/>
    <w:rsid w:val="00EE2DCC"/>
    <w:rsid w:val="00EE2FA3"/>
    <w:rsid w:val="00EE3B77"/>
    <w:rsid w:val="00EE66A0"/>
    <w:rsid w:val="00EE7CC9"/>
    <w:rsid w:val="00EE7F27"/>
    <w:rsid w:val="00EE7FE6"/>
    <w:rsid w:val="00EF0081"/>
    <w:rsid w:val="00EF1CDB"/>
    <w:rsid w:val="00EF2C11"/>
    <w:rsid w:val="00EF3042"/>
    <w:rsid w:val="00EF3B26"/>
    <w:rsid w:val="00EF7E08"/>
    <w:rsid w:val="00F035D1"/>
    <w:rsid w:val="00F0692D"/>
    <w:rsid w:val="00F11372"/>
    <w:rsid w:val="00F14AF4"/>
    <w:rsid w:val="00F1617D"/>
    <w:rsid w:val="00F20F1A"/>
    <w:rsid w:val="00F2487B"/>
    <w:rsid w:val="00F24FD6"/>
    <w:rsid w:val="00F27982"/>
    <w:rsid w:val="00F342B4"/>
    <w:rsid w:val="00F352DA"/>
    <w:rsid w:val="00F36A16"/>
    <w:rsid w:val="00F40BFD"/>
    <w:rsid w:val="00F40D27"/>
    <w:rsid w:val="00F432C8"/>
    <w:rsid w:val="00F468DB"/>
    <w:rsid w:val="00F5029C"/>
    <w:rsid w:val="00F5248B"/>
    <w:rsid w:val="00F5271A"/>
    <w:rsid w:val="00F52C2B"/>
    <w:rsid w:val="00F530B5"/>
    <w:rsid w:val="00F54BE1"/>
    <w:rsid w:val="00F55052"/>
    <w:rsid w:val="00F5555E"/>
    <w:rsid w:val="00F561A9"/>
    <w:rsid w:val="00F56584"/>
    <w:rsid w:val="00F6279F"/>
    <w:rsid w:val="00F629CA"/>
    <w:rsid w:val="00F62BFE"/>
    <w:rsid w:val="00F62D5F"/>
    <w:rsid w:val="00F648D1"/>
    <w:rsid w:val="00F70FEA"/>
    <w:rsid w:val="00F72ECD"/>
    <w:rsid w:val="00F73518"/>
    <w:rsid w:val="00F744EC"/>
    <w:rsid w:val="00F74B2F"/>
    <w:rsid w:val="00F75677"/>
    <w:rsid w:val="00F767A5"/>
    <w:rsid w:val="00F769A6"/>
    <w:rsid w:val="00F80A56"/>
    <w:rsid w:val="00F86C4B"/>
    <w:rsid w:val="00F91E8D"/>
    <w:rsid w:val="00F92FE5"/>
    <w:rsid w:val="00F94566"/>
    <w:rsid w:val="00F9617A"/>
    <w:rsid w:val="00F963FC"/>
    <w:rsid w:val="00F96D8E"/>
    <w:rsid w:val="00F974B6"/>
    <w:rsid w:val="00F975E9"/>
    <w:rsid w:val="00FA003E"/>
    <w:rsid w:val="00FA1843"/>
    <w:rsid w:val="00FA191D"/>
    <w:rsid w:val="00FA4B38"/>
    <w:rsid w:val="00FA51CE"/>
    <w:rsid w:val="00FA5329"/>
    <w:rsid w:val="00FA6475"/>
    <w:rsid w:val="00FA791D"/>
    <w:rsid w:val="00FB4294"/>
    <w:rsid w:val="00FB510A"/>
    <w:rsid w:val="00FB699B"/>
    <w:rsid w:val="00FC121E"/>
    <w:rsid w:val="00FC4F8D"/>
    <w:rsid w:val="00FC7D52"/>
    <w:rsid w:val="00FD237A"/>
    <w:rsid w:val="00FD2C92"/>
    <w:rsid w:val="00FD31B1"/>
    <w:rsid w:val="00FD3CE2"/>
    <w:rsid w:val="00FD6169"/>
    <w:rsid w:val="00FD6996"/>
    <w:rsid w:val="00FE0578"/>
    <w:rsid w:val="00FE1153"/>
    <w:rsid w:val="00FE4143"/>
    <w:rsid w:val="00FE4FDD"/>
    <w:rsid w:val="00FE50DD"/>
    <w:rsid w:val="00FE60E4"/>
    <w:rsid w:val="00FE6204"/>
    <w:rsid w:val="00FE6ED8"/>
    <w:rsid w:val="00FF7EA4"/>
    <w:rsid w:val="00FF7F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8509"/>
  <w15:chartTrackingRefBased/>
  <w15:docId w15:val="{2422DCDA-34AC-44F7-BD89-858140A9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C22"/>
    <w:pPr>
      <w:spacing w:line="480" w:lineRule="auto"/>
      <w:ind w:firstLine="851"/>
    </w:pPr>
    <w:rPr>
      <w:rFonts w:ascii="Arial" w:hAnsi="Arial" w:cs="Arial"/>
      <w:sz w:val="24"/>
      <w:szCs w:val="24"/>
      <w:lang w:val="en-US"/>
    </w:rPr>
  </w:style>
  <w:style w:type="paragraph" w:styleId="Heading1">
    <w:name w:val="heading 1"/>
    <w:basedOn w:val="Normal"/>
    <w:next w:val="Normal"/>
    <w:link w:val="Heading1Char"/>
    <w:uiPriority w:val="9"/>
    <w:qFormat/>
    <w:rsid w:val="001D0EC9"/>
    <w:pPr>
      <w:keepNext/>
      <w:keepLines/>
      <w:spacing w:before="480" w:after="240"/>
      <w:ind w:left="-11" w:firstLine="0"/>
      <w:outlineLvl w:val="0"/>
    </w:pPr>
    <w:rPr>
      <w:rFonts w:ascii="Times New Roman" w:eastAsiaTheme="majorEastAsia" w:hAnsi="Times New Roman" w:cs="Times New Roman"/>
      <w:b/>
    </w:rPr>
  </w:style>
  <w:style w:type="paragraph" w:styleId="Heading2">
    <w:name w:val="heading 2"/>
    <w:basedOn w:val="Heading1"/>
    <w:next w:val="Normal"/>
    <w:link w:val="Heading2Char"/>
    <w:uiPriority w:val="9"/>
    <w:unhideWhenUsed/>
    <w:qFormat/>
    <w:rsid w:val="00B54F1C"/>
    <w:pPr>
      <w:outlineLvl w:val="1"/>
    </w:pPr>
    <w:rPr>
      <w:i/>
      <w:iCs/>
    </w:rPr>
  </w:style>
  <w:style w:type="paragraph" w:styleId="Heading3">
    <w:name w:val="heading 3"/>
    <w:basedOn w:val="Heading2"/>
    <w:next w:val="Normal"/>
    <w:link w:val="Heading3Char"/>
    <w:uiPriority w:val="9"/>
    <w:unhideWhenUsed/>
    <w:qFormat/>
    <w:rsid w:val="0013209F"/>
    <w:pPr>
      <w:outlineLvl w:val="2"/>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C22"/>
    <w:rPr>
      <w:color w:val="0563C1" w:themeColor="hyperlink"/>
      <w:u w:val="single"/>
    </w:rPr>
  </w:style>
  <w:style w:type="character" w:customStyle="1" w:styleId="Heading1Char">
    <w:name w:val="Heading 1 Char"/>
    <w:basedOn w:val="DefaultParagraphFont"/>
    <w:link w:val="Heading1"/>
    <w:uiPriority w:val="9"/>
    <w:rsid w:val="001D0EC9"/>
    <w:rPr>
      <w:rFonts w:ascii="Times New Roman" w:eastAsiaTheme="majorEastAsia" w:hAnsi="Times New Roman" w:cs="Times New Roman"/>
      <w:b/>
      <w:sz w:val="24"/>
      <w:szCs w:val="24"/>
      <w:lang w:val="en-US"/>
    </w:rPr>
  </w:style>
  <w:style w:type="character" w:customStyle="1" w:styleId="Heading2Char">
    <w:name w:val="Heading 2 Char"/>
    <w:basedOn w:val="DefaultParagraphFont"/>
    <w:link w:val="Heading2"/>
    <w:uiPriority w:val="9"/>
    <w:rsid w:val="00B54F1C"/>
    <w:rPr>
      <w:rFonts w:ascii="Times New Roman" w:eastAsiaTheme="majorEastAsia" w:hAnsi="Times New Roman" w:cs="Times New Roman"/>
      <w:b/>
      <w:i/>
      <w:iCs/>
      <w:sz w:val="24"/>
      <w:szCs w:val="24"/>
      <w:lang w:val="en-US"/>
    </w:rPr>
  </w:style>
  <w:style w:type="character" w:styleId="CommentReference">
    <w:name w:val="annotation reference"/>
    <w:basedOn w:val="DefaultParagraphFont"/>
    <w:uiPriority w:val="99"/>
    <w:semiHidden/>
    <w:unhideWhenUsed/>
    <w:rsid w:val="00DD76E1"/>
    <w:rPr>
      <w:sz w:val="16"/>
      <w:szCs w:val="16"/>
    </w:rPr>
  </w:style>
  <w:style w:type="paragraph" w:styleId="CommentText">
    <w:name w:val="annotation text"/>
    <w:basedOn w:val="Normal"/>
    <w:link w:val="CommentTextChar"/>
    <w:uiPriority w:val="99"/>
    <w:unhideWhenUsed/>
    <w:rsid w:val="00DD76E1"/>
    <w:pPr>
      <w:spacing w:line="240" w:lineRule="auto"/>
    </w:pPr>
    <w:rPr>
      <w:sz w:val="20"/>
      <w:szCs w:val="20"/>
    </w:rPr>
  </w:style>
  <w:style w:type="character" w:customStyle="1" w:styleId="CommentTextChar">
    <w:name w:val="Comment Text Char"/>
    <w:basedOn w:val="DefaultParagraphFont"/>
    <w:link w:val="CommentText"/>
    <w:uiPriority w:val="99"/>
    <w:rsid w:val="00DD76E1"/>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DD76E1"/>
    <w:rPr>
      <w:b/>
      <w:bCs/>
    </w:rPr>
  </w:style>
  <w:style w:type="character" w:customStyle="1" w:styleId="CommentSubjectChar">
    <w:name w:val="Comment Subject Char"/>
    <w:basedOn w:val="CommentTextChar"/>
    <w:link w:val="CommentSubject"/>
    <w:uiPriority w:val="99"/>
    <w:semiHidden/>
    <w:rsid w:val="00DD76E1"/>
    <w:rPr>
      <w:rFonts w:ascii="Arial" w:hAnsi="Arial" w:cs="Arial"/>
      <w:b/>
      <w:bCs/>
      <w:sz w:val="20"/>
      <w:szCs w:val="20"/>
      <w:lang w:val="en-US"/>
    </w:rPr>
  </w:style>
  <w:style w:type="paragraph" w:styleId="Bibliography">
    <w:name w:val="Bibliography"/>
    <w:basedOn w:val="Normal"/>
    <w:next w:val="Normal"/>
    <w:link w:val="BibliographyChar"/>
    <w:uiPriority w:val="37"/>
    <w:unhideWhenUsed/>
    <w:rsid w:val="002C0B17"/>
    <w:pPr>
      <w:tabs>
        <w:tab w:val="left" w:pos="384"/>
      </w:tabs>
      <w:spacing w:after="240" w:line="240" w:lineRule="auto"/>
      <w:ind w:left="384" w:hanging="384"/>
    </w:pPr>
  </w:style>
  <w:style w:type="paragraph" w:customStyle="1" w:styleId="References">
    <w:name w:val="References"/>
    <w:basedOn w:val="Bibliography"/>
    <w:link w:val="ReferencesChar"/>
    <w:qFormat/>
    <w:rsid w:val="00B2643A"/>
    <w:rPr>
      <w:rFonts w:ascii="Times New Roman" w:hAnsi="Times New Roman" w:cs="Times New Roman"/>
    </w:rPr>
  </w:style>
  <w:style w:type="character" w:customStyle="1" w:styleId="BibliographyChar">
    <w:name w:val="Bibliography Char"/>
    <w:basedOn w:val="DefaultParagraphFont"/>
    <w:link w:val="Bibliography"/>
    <w:uiPriority w:val="37"/>
    <w:rsid w:val="00B2643A"/>
    <w:rPr>
      <w:rFonts w:ascii="Arial" w:hAnsi="Arial" w:cs="Arial"/>
      <w:sz w:val="24"/>
      <w:szCs w:val="24"/>
      <w:lang w:val="en-US"/>
    </w:rPr>
  </w:style>
  <w:style w:type="character" w:customStyle="1" w:styleId="ReferencesChar">
    <w:name w:val="References Char"/>
    <w:basedOn w:val="BibliographyChar"/>
    <w:link w:val="References"/>
    <w:rsid w:val="00B2643A"/>
    <w:rPr>
      <w:rFonts w:ascii="Times New Roman" w:hAnsi="Times New Roman" w:cs="Times New Roman"/>
      <w:sz w:val="24"/>
      <w:szCs w:val="24"/>
      <w:lang w:val="en-US"/>
    </w:rPr>
  </w:style>
  <w:style w:type="character" w:customStyle="1" w:styleId="Olstomnmnande1">
    <w:name w:val="Olöst omnämnande1"/>
    <w:basedOn w:val="DefaultParagraphFont"/>
    <w:uiPriority w:val="99"/>
    <w:semiHidden/>
    <w:unhideWhenUsed/>
    <w:rsid w:val="008A691F"/>
    <w:rPr>
      <w:color w:val="605E5C"/>
      <w:shd w:val="clear" w:color="auto" w:fill="E1DFDD"/>
    </w:rPr>
  </w:style>
  <w:style w:type="paragraph" w:styleId="Revision">
    <w:name w:val="Revision"/>
    <w:hidden/>
    <w:uiPriority w:val="99"/>
    <w:semiHidden/>
    <w:rsid w:val="00627BA1"/>
    <w:pPr>
      <w:spacing w:after="0" w:line="240" w:lineRule="auto"/>
    </w:pPr>
    <w:rPr>
      <w:rFonts w:ascii="Arial" w:hAnsi="Arial" w:cs="Arial"/>
      <w:sz w:val="24"/>
      <w:szCs w:val="24"/>
      <w:lang w:val="en-US"/>
    </w:rPr>
  </w:style>
  <w:style w:type="character" w:styleId="FollowedHyperlink">
    <w:name w:val="FollowedHyperlink"/>
    <w:basedOn w:val="DefaultParagraphFont"/>
    <w:uiPriority w:val="99"/>
    <w:semiHidden/>
    <w:unhideWhenUsed/>
    <w:rsid w:val="00627BA1"/>
    <w:rPr>
      <w:color w:val="954F72" w:themeColor="followedHyperlink"/>
      <w:u w:val="single"/>
    </w:rPr>
  </w:style>
  <w:style w:type="paragraph" w:styleId="NoSpacing">
    <w:name w:val="No Spacing"/>
    <w:basedOn w:val="Normal"/>
    <w:uiPriority w:val="1"/>
    <w:qFormat/>
    <w:rsid w:val="000B12CD"/>
    <w:rPr>
      <w:rFonts w:ascii="Times New Roman" w:hAnsi="Times New Roman" w:cs="Times New Roman"/>
    </w:rPr>
  </w:style>
  <w:style w:type="character" w:customStyle="1" w:styleId="gtfootnotemarks">
    <w:name w:val="gt_footnote_marks"/>
    <w:basedOn w:val="DefaultParagraphFont"/>
    <w:rsid w:val="006354D8"/>
  </w:style>
  <w:style w:type="character" w:customStyle="1" w:styleId="Heading3Char">
    <w:name w:val="Heading 3 Char"/>
    <w:basedOn w:val="DefaultParagraphFont"/>
    <w:link w:val="Heading3"/>
    <w:uiPriority w:val="9"/>
    <w:rsid w:val="0013209F"/>
    <w:rPr>
      <w:rFonts w:ascii="Times New Roman" w:eastAsiaTheme="majorEastAsia" w:hAnsi="Times New Roman" w:cs="Times New Roman"/>
      <w:bCs/>
      <w:i/>
      <w:iCs/>
      <w:sz w:val="24"/>
      <w:szCs w:val="24"/>
      <w:lang w:val="en-US"/>
    </w:rPr>
  </w:style>
  <w:style w:type="character" w:styleId="PlaceholderText">
    <w:name w:val="Placeholder Text"/>
    <w:basedOn w:val="DefaultParagraphFont"/>
    <w:uiPriority w:val="99"/>
    <w:semiHidden/>
    <w:rsid w:val="00456A14"/>
    <w:rPr>
      <w:color w:val="808080"/>
    </w:rPr>
  </w:style>
  <w:style w:type="paragraph" w:styleId="BalloonText">
    <w:name w:val="Balloon Text"/>
    <w:basedOn w:val="Normal"/>
    <w:link w:val="BalloonTextChar"/>
    <w:uiPriority w:val="99"/>
    <w:semiHidden/>
    <w:unhideWhenUsed/>
    <w:rsid w:val="00F72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ECD"/>
    <w:rPr>
      <w:rFonts w:ascii="Segoe UI" w:hAnsi="Segoe UI" w:cs="Segoe UI"/>
      <w:sz w:val="18"/>
      <w:szCs w:val="18"/>
      <w:lang w:val="en-US"/>
    </w:rPr>
  </w:style>
  <w:style w:type="character" w:styleId="UnresolvedMention">
    <w:name w:val="Unresolved Mention"/>
    <w:basedOn w:val="DefaultParagraphFont"/>
    <w:uiPriority w:val="99"/>
    <w:semiHidden/>
    <w:unhideWhenUsed/>
    <w:rsid w:val="00574554"/>
    <w:rPr>
      <w:color w:val="605E5C"/>
      <w:shd w:val="clear" w:color="auto" w:fill="E1DFDD"/>
    </w:rPr>
  </w:style>
  <w:style w:type="character" w:styleId="Strong">
    <w:name w:val="Strong"/>
    <w:basedOn w:val="DefaultParagraphFont"/>
    <w:uiPriority w:val="22"/>
    <w:qFormat/>
    <w:rsid w:val="00DC1B85"/>
    <w:rPr>
      <w:b/>
      <w:bCs/>
    </w:rPr>
  </w:style>
  <w:style w:type="paragraph" w:styleId="Header">
    <w:name w:val="header"/>
    <w:basedOn w:val="Normal"/>
    <w:link w:val="HeaderChar"/>
    <w:uiPriority w:val="99"/>
    <w:unhideWhenUsed/>
    <w:rsid w:val="00F14AF4"/>
    <w:pPr>
      <w:tabs>
        <w:tab w:val="center" w:pos="4419"/>
        <w:tab w:val="right" w:pos="8838"/>
      </w:tabs>
      <w:spacing w:after="0" w:line="240" w:lineRule="auto"/>
    </w:pPr>
  </w:style>
  <w:style w:type="character" w:customStyle="1" w:styleId="HeaderChar">
    <w:name w:val="Header Char"/>
    <w:basedOn w:val="DefaultParagraphFont"/>
    <w:link w:val="Header"/>
    <w:uiPriority w:val="99"/>
    <w:rsid w:val="00F14AF4"/>
    <w:rPr>
      <w:rFonts w:ascii="Arial" w:hAnsi="Arial" w:cs="Arial"/>
      <w:sz w:val="24"/>
      <w:szCs w:val="24"/>
      <w:lang w:val="en-US"/>
    </w:rPr>
  </w:style>
  <w:style w:type="paragraph" w:styleId="Footer">
    <w:name w:val="footer"/>
    <w:basedOn w:val="Normal"/>
    <w:link w:val="FooterChar"/>
    <w:uiPriority w:val="99"/>
    <w:unhideWhenUsed/>
    <w:rsid w:val="00F14AF4"/>
    <w:pPr>
      <w:tabs>
        <w:tab w:val="center" w:pos="4419"/>
        <w:tab w:val="right" w:pos="8838"/>
      </w:tabs>
      <w:spacing w:after="0" w:line="240" w:lineRule="auto"/>
    </w:pPr>
  </w:style>
  <w:style w:type="character" w:customStyle="1" w:styleId="FooterChar">
    <w:name w:val="Footer Char"/>
    <w:basedOn w:val="DefaultParagraphFont"/>
    <w:link w:val="Footer"/>
    <w:uiPriority w:val="99"/>
    <w:rsid w:val="00F14AF4"/>
    <w:rPr>
      <w:rFonts w:ascii="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7438">
      <w:bodyDiv w:val="1"/>
      <w:marLeft w:val="0"/>
      <w:marRight w:val="0"/>
      <w:marTop w:val="0"/>
      <w:marBottom w:val="0"/>
      <w:divBdr>
        <w:top w:val="none" w:sz="0" w:space="0" w:color="auto"/>
        <w:left w:val="none" w:sz="0" w:space="0" w:color="auto"/>
        <w:bottom w:val="none" w:sz="0" w:space="0" w:color="auto"/>
        <w:right w:val="none" w:sz="0" w:space="0" w:color="auto"/>
      </w:divBdr>
      <w:divsChild>
        <w:div w:id="122966701">
          <w:marLeft w:val="0"/>
          <w:marRight w:val="0"/>
          <w:marTop w:val="0"/>
          <w:marBottom w:val="0"/>
          <w:divBdr>
            <w:top w:val="none" w:sz="0" w:space="0" w:color="auto"/>
            <w:left w:val="none" w:sz="0" w:space="0" w:color="auto"/>
            <w:bottom w:val="none" w:sz="0" w:space="0" w:color="auto"/>
            <w:right w:val="none" w:sz="0" w:space="0" w:color="auto"/>
          </w:divBdr>
        </w:div>
      </w:divsChild>
    </w:div>
    <w:div w:id="6175121">
      <w:bodyDiv w:val="1"/>
      <w:marLeft w:val="0"/>
      <w:marRight w:val="0"/>
      <w:marTop w:val="0"/>
      <w:marBottom w:val="0"/>
      <w:divBdr>
        <w:top w:val="none" w:sz="0" w:space="0" w:color="auto"/>
        <w:left w:val="none" w:sz="0" w:space="0" w:color="auto"/>
        <w:bottom w:val="none" w:sz="0" w:space="0" w:color="auto"/>
        <w:right w:val="none" w:sz="0" w:space="0" w:color="auto"/>
      </w:divBdr>
    </w:div>
    <w:div w:id="73404073">
      <w:bodyDiv w:val="1"/>
      <w:marLeft w:val="0"/>
      <w:marRight w:val="0"/>
      <w:marTop w:val="0"/>
      <w:marBottom w:val="0"/>
      <w:divBdr>
        <w:top w:val="none" w:sz="0" w:space="0" w:color="auto"/>
        <w:left w:val="none" w:sz="0" w:space="0" w:color="auto"/>
        <w:bottom w:val="none" w:sz="0" w:space="0" w:color="auto"/>
        <w:right w:val="none" w:sz="0" w:space="0" w:color="auto"/>
      </w:divBdr>
    </w:div>
    <w:div w:id="261380759">
      <w:bodyDiv w:val="1"/>
      <w:marLeft w:val="0"/>
      <w:marRight w:val="0"/>
      <w:marTop w:val="0"/>
      <w:marBottom w:val="0"/>
      <w:divBdr>
        <w:top w:val="none" w:sz="0" w:space="0" w:color="auto"/>
        <w:left w:val="none" w:sz="0" w:space="0" w:color="auto"/>
        <w:bottom w:val="none" w:sz="0" w:space="0" w:color="auto"/>
        <w:right w:val="none" w:sz="0" w:space="0" w:color="auto"/>
      </w:divBdr>
    </w:div>
    <w:div w:id="350030221">
      <w:bodyDiv w:val="1"/>
      <w:marLeft w:val="0"/>
      <w:marRight w:val="0"/>
      <w:marTop w:val="0"/>
      <w:marBottom w:val="0"/>
      <w:divBdr>
        <w:top w:val="none" w:sz="0" w:space="0" w:color="auto"/>
        <w:left w:val="none" w:sz="0" w:space="0" w:color="auto"/>
        <w:bottom w:val="none" w:sz="0" w:space="0" w:color="auto"/>
        <w:right w:val="none" w:sz="0" w:space="0" w:color="auto"/>
      </w:divBdr>
    </w:div>
    <w:div w:id="420763396">
      <w:bodyDiv w:val="1"/>
      <w:marLeft w:val="0"/>
      <w:marRight w:val="0"/>
      <w:marTop w:val="0"/>
      <w:marBottom w:val="0"/>
      <w:divBdr>
        <w:top w:val="none" w:sz="0" w:space="0" w:color="auto"/>
        <w:left w:val="none" w:sz="0" w:space="0" w:color="auto"/>
        <w:bottom w:val="none" w:sz="0" w:space="0" w:color="auto"/>
        <w:right w:val="none" w:sz="0" w:space="0" w:color="auto"/>
      </w:divBdr>
    </w:div>
    <w:div w:id="523327041">
      <w:bodyDiv w:val="1"/>
      <w:marLeft w:val="0"/>
      <w:marRight w:val="0"/>
      <w:marTop w:val="0"/>
      <w:marBottom w:val="0"/>
      <w:divBdr>
        <w:top w:val="none" w:sz="0" w:space="0" w:color="auto"/>
        <w:left w:val="none" w:sz="0" w:space="0" w:color="auto"/>
        <w:bottom w:val="none" w:sz="0" w:space="0" w:color="auto"/>
        <w:right w:val="none" w:sz="0" w:space="0" w:color="auto"/>
      </w:divBdr>
    </w:div>
    <w:div w:id="587155897">
      <w:bodyDiv w:val="1"/>
      <w:marLeft w:val="0"/>
      <w:marRight w:val="0"/>
      <w:marTop w:val="0"/>
      <w:marBottom w:val="0"/>
      <w:divBdr>
        <w:top w:val="none" w:sz="0" w:space="0" w:color="auto"/>
        <w:left w:val="none" w:sz="0" w:space="0" w:color="auto"/>
        <w:bottom w:val="none" w:sz="0" w:space="0" w:color="auto"/>
        <w:right w:val="none" w:sz="0" w:space="0" w:color="auto"/>
      </w:divBdr>
    </w:div>
    <w:div w:id="730687791">
      <w:bodyDiv w:val="1"/>
      <w:marLeft w:val="0"/>
      <w:marRight w:val="0"/>
      <w:marTop w:val="0"/>
      <w:marBottom w:val="0"/>
      <w:divBdr>
        <w:top w:val="none" w:sz="0" w:space="0" w:color="auto"/>
        <w:left w:val="none" w:sz="0" w:space="0" w:color="auto"/>
        <w:bottom w:val="none" w:sz="0" w:space="0" w:color="auto"/>
        <w:right w:val="none" w:sz="0" w:space="0" w:color="auto"/>
      </w:divBdr>
    </w:div>
    <w:div w:id="782506211">
      <w:bodyDiv w:val="1"/>
      <w:marLeft w:val="0"/>
      <w:marRight w:val="0"/>
      <w:marTop w:val="0"/>
      <w:marBottom w:val="0"/>
      <w:divBdr>
        <w:top w:val="none" w:sz="0" w:space="0" w:color="auto"/>
        <w:left w:val="none" w:sz="0" w:space="0" w:color="auto"/>
        <w:bottom w:val="none" w:sz="0" w:space="0" w:color="auto"/>
        <w:right w:val="none" w:sz="0" w:space="0" w:color="auto"/>
      </w:divBdr>
    </w:div>
    <w:div w:id="865480721">
      <w:bodyDiv w:val="1"/>
      <w:marLeft w:val="0"/>
      <w:marRight w:val="0"/>
      <w:marTop w:val="0"/>
      <w:marBottom w:val="0"/>
      <w:divBdr>
        <w:top w:val="none" w:sz="0" w:space="0" w:color="auto"/>
        <w:left w:val="none" w:sz="0" w:space="0" w:color="auto"/>
        <w:bottom w:val="none" w:sz="0" w:space="0" w:color="auto"/>
        <w:right w:val="none" w:sz="0" w:space="0" w:color="auto"/>
      </w:divBdr>
    </w:div>
    <w:div w:id="895046644">
      <w:bodyDiv w:val="1"/>
      <w:marLeft w:val="0"/>
      <w:marRight w:val="0"/>
      <w:marTop w:val="0"/>
      <w:marBottom w:val="0"/>
      <w:divBdr>
        <w:top w:val="none" w:sz="0" w:space="0" w:color="auto"/>
        <w:left w:val="none" w:sz="0" w:space="0" w:color="auto"/>
        <w:bottom w:val="none" w:sz="0" w:space="0" w:color="auto"/>
        <w:right w:val="none" w:sz="0" w:space="0" w:color="auto"/>
      </w:divBdr>
    </w:div>
    <w:div w:id="899513104">
      <w:bodyDiv w:val="1"/>
      <w:marLeft w:val="0"/>
      <w:marRight w:val="0"/>
      <w:marTop w:val="0"/>
      <w:marBottom w:val="0"/>
      <w:divBdr>
        <w:top w:val="none" w:sz="0" w:space="0" w:color="auto"/>
        <w:left w:val="none" w:sz="0" w:space="0" w:color="auto"/>
        <w:bottom w:val="none" w:sz="0" w:space="0" w:color="auto"/>
        <w:right w:val="none" w:sz="0" w:space="0" w:color="auto"/>
      </w:divBdr>
    </w:div>
    <w:div w:id="998731603">
      <w:bodyDiv w:val="1"/>
      <w:marLeft w:val="0"/>
      <w:marRight w:val="0"/>
      <w:marTop w:val="0"/>
      <w:marBottom w:val="0"/>
      <w:divBdr>
        <w:top w:val="none" w:sz="0" w:space="0" w:color="auto"/>
        <w:left w:val="none" w:sz="0" w:space="0" w:color="auto"/>
        <w:bottom w:val="none" w:sz="0" w:space="0" w:color="auto"/>
        <w:right w:val="none" w:sz="0" w:space="0" w:color="auto"/>
      </w:divBdr>
    </w:div>
    <w:div w:id="1068260519">
      <w:bodyDiv w:val="1"/>
      <w:marLeft w:val="0"/>
      <w:marRight w:val="0"/>
      <w:marTop w:val="0"/>
      <w:marBottom w:val="0"/>
      <w:divBdr>
        <w:top w:val="none" w:sz="0" w:space="0" w:color="auto"/>
        <w:left w:val="none" w:sz="0" w:space="0" w:color="auto"/>
        <w:bottom w:val="none" w:sz="0" w:space="0" w:color="auto"/>
        <w:right w:val="none" w:sz="0" w:space="0" w:color="auto"/>
      </w:divBdr>
    </w:div>
    <w:div w:id="1094402078">
      <w:bodyDiv w:val="1"/>
      <w:marLeft w:val="0"/>
      <w:marRight w:val="0"/>
      <w:marTop w:val="0"/>
      <w:marBottom w:val="0"/>
      <w:divBdr>
        <w:top w:val="none" w:sz="0" w:space="0" w:color="auto"/>
        <w:left w:val="none" w:sz="0" w:space="0" w:color="auto"/>
        <w:bottom w:val="none" w:sz="0" w:space="0" w:color="auto"/>
        <w:right w:val="none" w:sz="0" w:space="0" w:color="auto"/>
      </w:divBdr>
    </w:div>
    <w:div w:id="1146701158">
      <w:bodyDiv w:val="1"/>
      <w:marLeft w:val="0"/>
      <w:marRight w:val="0"/>
      <w:marTop w:val="0"/>
      <w:marBottom w:val="0"/>
      <w:divBdr>
        <w:top w:val="none" w:sz="0" w:space="0" w:color="auto"/>
        <w:left w:val="none" w:sz="0" w:space="0" w:color="auto"/>
        <w:bottom w:val="none" w:sz="0" w:space="0" w:color="auto"/>
        <w:right w:val="none" w:sz="0" w:space="0" w:color="auto"/>
      </w:divBdr>
    </w:div>
    <w:div w:id="1218857803">
      <w:bodyDiv w:val="1"/>
      <w:marLeft w:val="0"/>
      <w:marRight w:val="0"/>
      <w:marTop w:val="0"/>
      <w:marBottom w:val="0"/>
      <w:divBdr>
        <w:top w:val="none" w:sz="0" w:space="0" w:color="auto"/>
        <w:left w:val="none" w:sz="0" w:space="0" w:color="auto"/>
        <w:bottom w:val="none" w:sz="0" w:space="0" w:color="auto"/>
        <w:right w:val="none" w:sz="0" w:space="0" w:color="auto"/>
      </w:divBdr>
    </w:div>
    <w:div w:id="1231959564">
      <w:bodyDiv w:val="1"/>
      <w:marLeft w:val="0"/>
      <w:marRight w:val="0"/>
      <w:marTop w:val="0"/>
      <w:marBottom w:val="0"/>
      <w:divBdr>
        <w:top w:val="none" w:sz="0" w:space="0" w:color="auto"/>
        <w:left w:val="none" w:sz="0" w:space="0" w:color="auto"/>
        <w:bottom w:val="none" w:sz="0" w:space="0" w:color="auto"/>
        <w:right w:val="none" w:sz="0" w:space="0" w:color="auto"/>
      </w:divBdr>
    </w:div>
    <w:div w:id="1237284209">
      <w:bodyDiv w:val="1"/>
      <w:marLeft w:val="0"/>
      <w:marRight w:val="0"/>
      <w:marTop w:val="0"/>
      <w:marBottom w:val="0"/>
      <w:divBdr>
        <w:top w:val="none" w:sz="0" w:space="0" w:color="auto"/>
        <w:left w:val="none" w:sz="0" w:space="0" w:color="auto"/>
        <w:bottom w:val="none" w:sz="0" w:space="0" w:color="auto"/>
        <w:right w:val="none" w:sz="0" w:space="0" w:color="auto"/>
      </w:divBdr>
    </w:div>
    <w:div w:id="1262226647">
      <w:bodyDiv w:val="1"/>
      <w:marLeft w:val="0"/>
      <w:marRight w:val="0"/>
      <w:marTop w:val="0"/>
      <w:marBottom w:val="0"/>
      <w:divBdr>
        <w:top w:val="none" w:sz="0" w:space="0" w:color="auto"/>
        <w:left w:val="none" w:sz="0" w:space="0" w:color="auto"/>
        <w:bottom w:val="none" w:sz="0" w:space="0" w:color="auto"/>
        <w:right w:val="none" w:sz="0" w:space="0" w:color="auto"/>
      </w:divBdr>
    </w:div>
    <w:div w:id="1276325340">
      <w:bodyDiv w:val="1"/>
      <w:marLeft w:val="0"/>
      <w:marRight w:val="0"/>
      <w:marTop w:val="0"/>
      <w:marBottom w:val="0"/>
      <w:divBdr>
        <w:top w:val="none" w:sz="0" w:space="0" w:color="auto"/>
        <w:left w:val="none" w:sz="0" w:space="0" w:color="auto"/>
        <w:bottom w:val="none" w:sz="0" w:space="0" w:color="auto"/>
        <w:right w:val="none" w:sz="0" w:space="0" w:color="auto"/>
      </w:divBdr>
    </w:div>
    <w:div w:id="1444417580">
      <w:bodyDiv w:val="1"/>
      <w:marLeft w:val="0"/>
      <w:marRight w:val="0"/>
      <w:marTop w:val="0"/>
      <w:marBottom w:val="0"/>
      <w:divBdr>
        <w:top w:val="none" w:sz="0" w:space="0" w:color="auto"/>
        <w:left w:val="none" w:sz="0" w:space="0" w:color="auto"/>
        <w:bottom w:val="none" w:sz="0" w:space="0" w:color="auto"/>
        <w:right w:val="none" w:sz="0" w:space="0" w:color="auto"/>
      </w:divBdr>
    </w:div>
    <w:div w:id="1464494882">
      <w:bodyDiv w:val="1"/>
      <w:marLeft w:val="0"/>
      <w:marRight w:val="0"/>
      <w:marTop w:val="0"/>
      <w:marBottom w:val="0"/>
      <w:divBdr>
        <w:top w:val="none" w:sz="0" w:space="0" w:color="auto"/>
        <w:left w:val="none" w:sz="0" w:space="0" w:color="auto"/>
        <w:bottom w:val="none" w:sz="0" w:space="0" w:color="auto"/>
        <w:right w:val="none" w:sz="0" w:space="0" w:color="auto"/>
      </w:divBdr>
      <w:divsChild>
        <w:div w:id="909080792">
          <w:marLeft w:val="0"/>
          <w:marRight w:val="0"/>
          <w:marTop w:val="0"/>
          <w:marBottom w:val="0"/>
          <w:divBdr>
            <w:top w:val="none" w:sz="0" w:space="0" w:color="auto"/>
            <w:left w:val="none" w:sz="0" w:space="0" w:color="auto"/>
            <w:bottom w:val="none" w:sz="0" w:space="0" w:color="auto"/>
            <w:right w:val="none" w:sz="0" w:space="0" w:color="auto"/>
          </w:divBdr>
        </w:div>
      </w:divsChild>
    </w:div>
    <w:div w:id="1494056766">
      <w:bodyDiv w:val="1"/>
      <w:marLeft w:val="0"/>
      <w:marRight w:val="0"/>
      <w:marTop w:val="0"/>
      <w:marBottom w:val="0"/>
      <w:divBdr>
        <w:top w:val="none" w:sz="0" w:space="0" w:color="auto"/>
        <w:left w:val="none" w:sz="0" w:space="0" w:color="auto"/>
        <w:bottom w:val="none" w:sz="0" w:space="0" w:color="auto"/>
        <w:right w:val="none" w:sz="0" w:space="0" w:color="auto"/>
      </w:divBdr>
    </w:div>
    <w:div w:id="1585648496">
      <w:bodyDiv w:val="1"/>
      <w:marLeft w:val="0"/>
      <w:marRight w:val="0"/>
      <w:marTop w:val="0"/>
      <w:marBottom w:val="0"/>
      <w:divBdr>
        <w:top w:val="none" w:sz="0" w:space="0" w:color="auto"/>
        <w:left w:val="none" w:sz="0" w:space="0" w:color="auto"/>
        <w:bottom w:val="none" w:sz="0" w:space="0" w:color="auto"/>
        <w:right w:val="none" w:sz="0" w:space="0" w:color="auto"/>
      </w:divBdr>
    </w:div>
    <w:div w:id="1692805164">
      <w:bodyDiv w:val="1"/>
      <w:marLeft w:val="0"/>
      <w:marRight w:val="0"/>
      <w:marTop w:val="0"/>
      <w:marBottom w:val="0"/>
      <w:divBdr>
        <w:top w:val="none" w:sz="0" w:space="0" w:color="auto"/>
        <w:left w:val="none" w:sz="0" w:space="0" w:color="auto"/>
        <w:bottom w:val="none" w:sz="0" w:space="0" w:color="auto"/>
        <w:right w:val="none" w:sz="0" w:space="0" w:color="auto"/>
      </w:divBdr>
    </w:div>
    <w:div w:id="1730836945">
      <w:bodyDiv w:val="1"/>
      <w:marLeft w:val="0"/>
      <w:marRight w:val="0"/>
      <w:marTop w:val="0"/>
      <w:marBottom w:val="0"/>
      <w:divBdr>
        <w:top w:val="none" w:sz="0" w:space="0" w:color="auto"/>
        <w:left w:val="none" w:sz="0" w:space="0" w:color="auto"/>
        <w:bottom w:val="none" w:sz="0" w:space="0" w:color="auto"/>
        <w:right w:val="none" w:sz="0" w:space="0" w:color="auto"/>
      </w:divBdr>
    </w:div>
    <w:div w:id="1739474880">
      <w:bodyDiv w:val="1"/>
      <w:marLeft w:val="0"/>
      <w:marRight w:val="0"/>
      <w:marTop w:val="0"/>
      <w:marBottom w:val="0"/>
      <w:divBdr>
        <w:top w:val="none" w:sz="0" w:space="0" w:color="auto"/>
        <w:left w:val="none" w:sz="0" w:space="0" w:color="auto"/>
        <w:bottom w:val="none" w:sz="0" w:space="0" w:color="auto"/>
        <w:right w:val="none" w:sz="0" w:space="0" w:color="auto"/>
      </w:divBdr>
    </w:div>
    <w:div w:id="1819031501">
      <w:bodyDiv w:val="1"/>
      <w:marLeft w:val="0"/>
      <w:marRight w:val="0"/>
      <w:marTop w:val="0"/>
      <w:marBottom w:val="0"/>
      <w:divBdr>
        <w:top w:val="none" w:sz="0" w:space="0" w:color="auto"/>
        <w:left w:val="none" w:sz="0" w:space="0" w:color="auto"/>
        <w:bottom w:val="none" w:sz="0" w:space="0" w:color="auto"/>
        <w:right w:val="none" w:sz="0" w:space="0" w:color="auto"/>
      </w:divBdr>
    </w:div>
    <w:div w:id="1836677789">
      <w:bodyDiv w:val="1"/>
      <w:marLeft w:val="0"/>
      <w:marRight w:val="0"/>
      <w:marTop w:val="0"/>
      <w:marBottom w:val="0"/>
      <w:divBdr>
        <w:top w:val="none" w:sz="0" w:space="0" w:color="auto"/>
        <w:left w:val="none" w:sz="0" w:space="0" w:color="auto"/>
        <w:bottom w:val="none" w:sz="0" w:space="0" w:color="auto"/>
        <w:right w:val="none" w:sz="0" w:space="0" w:color="auto"/>
      </w:divBdr>
    </w:div>
    <w:div w:id="1938177829">
      <w:bodyDiv w:val="1"/>
      <w:marLeft w:val="0"/>
      <w:marRight w:val="0"/>
      <w:marTop w:val="0"/>
      <w:marBottom w:val="0"/>
      <w:divBdr>
        <w:top w:val="none" w:sz="0" w:space="0" w:color="auto"/>
        <w:left w:val="none" w:sz="0" w:space="0" w:color="auto"/>
        <w:bottom w:val="none" w:sz="0" w:space="0" w:color="auto"/>
        <w:right w:val="none" w:sz="0" w:space="0" w:color="auto"/>
      </w:divBdr>
    </w:div>
    <w:div w:id="2023360109">
      <w:bodyDiv w:val="1"/>
      <w:marLeft w:val="0"/>
      <w:marRight w:val="0"/>
      <w:marTop w:val="0"/>
      <w:marBottom w:val="0"/>
      <w:divBdr>
        <w:top w:val="none" w:sz="0" w:space="0" w:color="auto"/>
        <w:left w:val="none" w:sz="0" w:space="0" w:color="auto"/>
        <w:bottom w:val="none" w:sz="0" w:space="0" w:color="auto"/>
        <w:right w:val="none" w:sz="0" w:space="0" w:color="auto"/>
      </w:divBdr>
    </w:div>
    <w:div w:id="2097943962">
      <w:bodyDiv w:val="1"/>
      <w:marLeft w:val="0"/>
      <w:marRight w:val="0"/>
      <w:marTop w:val="0"/>
      <w:marBottom w:val="0"/>
      <w:divBdr>
        <w:top w:val="none" w:sz="0" w:space="0" w:color="auto"/>
        <w:left w:val="none" w:sz="0" w:space="0" w:color="auto"/>
        <w:bottom w:val="none" w:sz="0" w:space="0" w:color="auto"/>
        <w:right w:val="none" w:sz="0" w:space="0" w:color="auto"/>
      </w:divBdr>
    </w:div>
    <w:div w:id="21354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guel.garcia-argibay@oru.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5A796ECE7D0B8429F8E66AC492FBE9B" ma:contentTypeVersion="8" ma:contentTypeDescription="Skapa ett nytt dokument." ma:contentTypeScope="" ma:versionID="4afbd5f8dcc524d198b861b294135706">
  <xsd:schema xmlns:xsd="http://www.w3.org/2001/XMLSchema" xmlns:xs="http://www.w3.org/2001/XMLSchema" xmlns:p="http://schemas.microsoft.com/office/2006/metadata/properties" xmlns:ns3="6b3377be-0158-4e11-9322-4f65bcb95927" xmlns:ns4="a279a474-5c89-416f-9205-b6f52841f40e" targetNamespace="http://schemas.microsoft.com/office/2006/metadata/properties" ma:root="true" ma:fieldsID="1865ee2de60a37c49f30bce5116a0967" ns3:_="" ns4:_="">
    <xsd:import namespace="6b3377be-0158-4e11-9322-4f65bcb95927"/>
    <xsd:import namespace="a279a474-5c89-416f-9205-b6f52841f4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377be-0158-4e11-9322-4f65bcb95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9a474-5c89-416f-9205-b6f52841f40e"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element name="SharingHintHash" ma:index="15"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b3377be-0158-4e11-9322-4f65bcb95927" xsi:nil="true"/>
  </documentManagement>
</p:properties>
</file>

<file path=customXml/itemProps1.xml><?xml version="1.0" encoding="utf-8"?>
<ds:datastoreItem xmlns:ds="http://schemas.openxmlformats.org/officeDocument/2006/customXml" ds:itemID="{2C93F8C0-33C5-4B49-97FE-1745B6FB5F7A}">
  <ds:schemaRefs>
    <ds:schemaRef ds:uri="http://schemas.microsoft.com/sharepoint/v3/contenttype/forms"/>
  </ds:schemaRefs>
</ds:datastoreItem>
</file>

<file path=customXml/itemProps2.xml><?xml version="1.0" encoding="utf-8"?>
<ds:datastoreItem xmlns:ds="http://schemas.openxmlformats.org/officeDocument/2006/customXml" ds:itemID="{1F75A63F-C5BE-4AAD-BA8E-4DE1087BD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377be-0158-4e11-9322-4f65bcb95927"/>
    <ds:schemaRef ds:uri="a279a474-5c89-416f-9205-b6f52841f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0F13F-6027-4A45-B144-95214A26E43D}">
  <ds:schemaRefs>
    <ds:schemaRef ds:uri="http://schemas.openxmlformats.org/officeDocument/2006/bibliography"/>
  </ds:schemaRefs>
</ds:datastoreItem>
</file>

<file path=customXml/itemProps4.xml><?xml version="1.0" encoding="utf-8"?>
<ds:datastoreItem xmlns:ds="http://schemas.openxmlformats.org/officeDocument/2006/customXml" ds:itemID="{853BDC9A-7D93-4CF3-8A0C-B4A8A4B4BBF7}">
  <ds:schemaRefs>
    <ds:schemaRef ds:uri="http://schemas.microsoft.com/office/2006/metadata/properties"/>
    <ds:schemaRef ds:uri="http://schemas.microsoft.com/office/infopath/2007/PartnerControls"/>
    <ds:schemaRef ds:uri="6b3377be-0158-4e11-9322-4f65bcb9592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15284</Words>
  <Characters>87122</Characters>
  <Application>Microsoft Office Word</Application>
  <DocSecurity>0</DocSecurity>
  <Lines>726</Lines>
  <Paragraphs>204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102202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Garcia-Argibay</dc:creator>
  <cp:keywords/>
  <dc:description/>
  <cp:lastModifiedBy>Tanya Palmer</cp:lastModifiedBy>
  <cp:revision>2</cp:revision>
  <dcterms:created xsi:type="dcterms:W3CDTF">2024-09-05T11:14:00Z</dcterms:created>
  <dcterms:modified xsi:type="dcterms:W3CDTF">2024-09-05T11:14:00Z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id="Ly31XYIr"/&gt;&lt;style id="http://www.zotero.org/styles/jama" hasBibliography="1" bibliographyStyleHasBeenSet="1"/&gt;&lt;prefs&gt;&lt;pref name="fieldType" value="Field"/&gt;&lt;pref name="automaticJournalAbbreviation</vt:lpwstr>
  </property>
  <property fmtid="{D5CDD505-2E9C-101B-9397-08002B2CF9AE}" pid="3" name="ZOTERO_PREF_2">
    <vt:lpwstr>s" value="true"/&gt;&lt;/prefs&gt;&lt;/data&gt;</vt:lpwstr>
  </property>
  <property fmtid="{D5CDD505-2E9C-101B-9397-08002B2CF9AE}" pid="4" name="ContentTypeId">
    <vt:lpwstr>0x01010075A796ECE7D0B8429F8E66AC492FBE9B</vt:lpwstr>
  </property>
  <property fmtid="{D5CDD505-2E9C-101B-9397-08002B2CF9AE}" pid="5" name="MSIP_Label_cb4100ce-f04e-4b80-a326-08c9f28b8c4d_Enabled">
    <vt:lpwstr>true</vt:lpwstr>
  </property>
  <property fmtid="{D5CDD505-2E9C-101B-9397-08002B2CF9AE}" pid="6" name="MSIP_Label_cb4100ce-f04e-4b80-a326-08c9f28b8c4d_SetDate">
    <vt:lpwstr>2023-07-30T22:17:15Z</vt:lpwstr>
  </property>
  <property fmtid="{D5CDD505-2E9C-101B-9397-08002B2CF9AE}" pid="7" name="MSIP_Label_cb4100ce-f04e-4b80-a326-08c9f28b8c4d_Method">
    <vt:lpwstr>Standard</vt:lpwstr>
  </property>
  <property fmtid="{D5CDD505-2E9C-101B-9397-08002B2CF9AE}" pid="8" name="MSIP_Label_cb4100ce-f04e-4b80-a326-08c9f28b8c4d_Name">
    <vt:lpwstr>Trustwide - default label</vt:lpwstr>
  </property>
  <property fmtid="{D5CDD505-2E9C-101B-9397-08002B2CF9AE}" pid="9" name="MSIP_Label_cb4100ce-f04e-4b80-a326-08c9f28b8c4d_SiteId">
    <vt:lpwstr>41321cc1-ecb9-467c-b0d5-854644d94e3b</vt:lpwstr>
  </property>
  <property fmtid="{D5CDD505-2E9C-101B-9397-08002B2CF9AE}" pid="10" name="MSIP_Label_cb4100ce-f04e-4b80-a326-08c9f28b8c4d_ActionId">
    <vt:lpwstr>491dcf84-0c97-4a9d-bd7e-20d0fb3c3fe4</vt:lpwstr>
  </property>
  <property fmtid="{D5CDD505-2E9C-101B-9397-08002B2CF9AE}" pid="11" name="MSIP_Label_cb4100ce-f04e-4b80-a326-08c9f28b8c4d_ContentBits">
    <vt:lpwstr>0</vt:lpwstr>
  </property>
</Properties>
</file>