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C8D0" w14:textId="77777777" w:rsidR="00661CCC" w:rsidRDefault="00661CCC" w:rsidP="00186B46">
      <w:pPr>
        <w:pStyle w:val="Heading1"/>
        <w:spacing w:line="480" w:lineRule="auto"/>
      </w:pPr>
      <w:r>
        <w:t>What do surgeons want to know about clinical law?</w:t>
      </w:r>
    </w:p>
    <w:p w14:paraId="1FA5CE26" w14:textId="77777777" w:rsidR="00661CCC" w:rsidRDefault="00661CCC" w:rsidP="00186B46">
      <w:pPr>
        <w:spacing w:line="480" w:lineRule="auto"/>
        <w:rPr>
          <w:b/>
          <w:bCs/>
          <w:i/>
          <w:iCs/>
        </w:rPr>
      </w:pPr>
    </w:p>
    <w:p w14:paraId="570818BA" w14:textId="0571858B" w:rsidR="000D030A" w:rsidRDefault="000D030A" w:rsidP="00186B46">
      <w:pPr>
        <w:spacing w:line="480" w:lineRule="auto"/>
        <w:rPr>
          <w:b/>
          <w:bCs/>
          <w:i/>
          <w:iCs/>
        </w:rPr>
      </w:pPr>
      <w:r>
        <w:rPr>
          <w:b/>
          <w:bCs/>
          <w:i/>
          <w:iCs/>
        </w:rPr>
        <w:t>3000 words plus 250</w:t>
      </w:r>
      <w:r w:rsidR="00BA4762">
        <w:rPr>
          <w:b/>
          <w:bCs/>
          <w:i/>
          <w:iCs/>
        </w:rPr>
        <w:t xml:space="preserve"> Structured Abstract</w:t>
      </w:r>
    </w:p>
    <w:p w14:paraId="3591F1B9" w14:textId="77777777" w:rsidR="000D030A" w:rsidRDefault="000D030A" w:rsidP="00186B46">
      <w:pPr>
        <w:spacing w:line="480" w:lineRule="auto"/>
        <w:rPr>
          <w:b/>
          <w:bCs/>
          <w:i/>
          <w:iCs/>
        </w:rPr>
      </w:pPr>
    </w:p>
    <w:p w14:paraId="1F4A5A0B" w14:textId="2E03CEAE" w:rsidR="001C73BA" w:rsidRDefault="001F23FA" w:rsidP="00186B46">
      <w:pPr>
        <w:spacing w:line="480" w:lineRule="auto"/>
        <w:rPr>
          <w:vertAlign w:val="superscript"/>
        </w:rPr>
      </w:pPr>
      <w:r>
        <w:t xml:space="preserve">Robert </w:t>
      </w:r>
      <w:r w:rsidR="001C73BA" w:rsidRPr="000B7274">
        <w:t>Wheeler</w:t>
      </w:r>
      <w:r w:rsidR="00BA4762">
        <w:t xml:space="preserve"> RA</w:t>
      </w:r>
      <w:r>
        <w:t>W</w:t>
      </w:r>
      <w:r w:rsidR="000B7274">
        <w:rPr>
          <w:vertAlign w:val="superscript"/>
        </w:rPr>
        <w:t>1</w:t>
      </w:r>
      <w:r w:rsidR="001C73BA" w:rsidRPr="000B7274">
        <w:t xml:space="preserve">, </w:t>
      </w:r>
      <w:r>
        <w:t xml:space="preserve">Nigel </w:t>
      </w:r>
      <w:r w:rsidR="001C73BA" w:rsidRPr="000B7274">
        <w:t>Hall</w:t>
      </w:r>
      <w:r w:rsidR="00BA4762">
        <w:t xml:space="preserve"> NJ</w:t>
      </w:r>
      <w:r>
        <w:t>H</w:t>
      </w:r>
      <w:r w:rsidR="000B7274" w:rsidRPr="000B7274">
        <w:rPr>
          <w:vertAlign w:val="superscript"/>
        </w:rPr>
        <w:t>2</w:t>
      </w:r>
    </w:p>
    <w:p w14:paraId="11656189" w14:textId="77777777" w:rsidR="00BA4762" w:rsidRPr="000B7274" w:rsidRDefault="00BA4762" w:rsidP="00186B46">
      <w:pPr>
        <w:spacing w:line="480" w:lineRule="auto"/>
      </w:pPr>
    </w:p>
    <w:p w14:paraId="1C5F413A" w14:textId="187526E6" w:rsidR="001C73BA" w:rsidRDefault="001C73BA" w:rsidP="00186B46">
      <w:pPr>
        <w:spacing w:line="480" w:lineRule="auto"/>
        <w:rPr>
          <w:u w:val="single"/>
        </w:rPr>
      </w:pPr>
    </w:p>
    <w:p w14:paraId="6161FBBA" w14:textId="0E6F6033" w:rsidR="000B7274" w:rsidRPr="00127F2F" w:rsidRDefault="000B7274" w:rsidP="00186B46">
      <w:pPr>
        <w:spacing w:line="480" w:lineRule="auto"/>
      </w:pPr>
      <w:r>
        <w:rPr>
          <w:u w:val="single"/>
        </w:rPr>
        <w:t xml:space="preserve">1. </w:t>
      </w:r>
      <w:r w:rsidR="00BA4762">
        <w:rPr>
          <w:u w:val="single"/>
        </w:rPr>
        <w:t xml:space="preserve">Paediatric &amp; Neonatal Surgery, </w:t>
      </w:r>
      <w:r>
        <w:rPr>
          <w:u w:val="single"/>
        </w:rPr>
        <w:t>Department of Clinical Law</w:t>
      </w:r>
      <w:r w:rsidR="00BA4762">
        <w:rPr>
          <w:u w:val="single"/>
        </w:rPr>
        <w:t>, University Hospital Southampton, T</w:t>
      </w:r>
      <w:r w:rsidR="001F23FA">
        <w:rPr>
          <w:u w:val="single"/>
        </w:rPr>
        <w:t>r</w:t>
      </w:r>
      <w:r w:rsidR="00BA4762">
        <w:rPr>
          <w:u w:val="single"/>
        </w:rPr>
        <w:t>emona Road, Southampton SO16 6YD</w:t>
      </w:r>
      <w:r w:rsidR="00127F2F">
        <w:rPr>
          <w:u w:val="single"/>
        </w:rPr>
        <w:t xml:space="preserve">  </w:t>
      </w:r>
      <w:r w:rsidR="00127F2F" w:rsidRPr="00127F2F">
        <w:t>robert.wheeler@uhs.nhs.uk</w:t>
      </w:r>
    </w:p>
    <w:p w14:paraId="2DEA9B4C" w14:textId="0868498C" w:rsidR="000B7274" w:rsidRDefault="000B7274" w:rsidP="00186B46">
      <w:pPr>
        <w:spacing w:line="480" w:lineRule="auto"/>
        <w:rPr>
          <w:u w:val="single"/>
        </w:rPr>
      </w:pPr>
      <w:r>
        <w:rPr>
          <w:u w:val="single"/>
        </w:rPr>
        <w:t>2. University Surgery Unit, Faculty of Medicine, University of Southampton, Tremona Road, Southampton</w:t>
      </w:r>
      <w:r w:rsidR="00BA4762">
        <w:rPr>
          <w:u w:val="single"/>
        </w:rPr>
        <w:t xml:space="preserve"> SO16 6YD</w:t>
      </w:r>
      <w:r w:rsidR="00127F2F">
        <w:rPr>
          <w:u w:val="single"/>
        </w:rPr>
        <w:t xml:space="preserve"> </w:t>
      </w:r>
      <w:r w:rsidR="00127F2F" w:rsidRPr="00127F2F">
        <w:t>n.j.hall@soton.ac.uk</w:t>
      </w:r>
    </w:p>
    <w:p w14:paraId="437AB057" w14:textId="54CBCBA7" w:rsidR="00BA4762" w:rsidRDefault="00BA4762" w:rsidP="00186B46">
      <w:pPr>
        <w:spacing w:line="480" w:lineRule="auto"/>
        <w:rPr>
          <w:u w:val="single"/>
        </w:rPr>
      </w:pPr>
    </w:p>
    <w:p w14:paraId="29509B8A" w14:textId="5C7A65DC" w:rsidR="00BA4762" w:rsidRDefault="00BA4762" w:rsidP="00186B46">
      <w:pPr>
        <w:spacing w:line="480" w:lineRule="auto"/>
        <w:rPr>
          <w:u w:val="single"/>
        </w:rPr>
      </w:pPr>
      <w:r>
        <w:rPr>
          <w:u w:val="single"/>
        </w:rPr>
        <w:t xml:space="preserve">Corresponding Author Robert Wheeler: </w:t>
      </w:r>
      <w:hyperlink r:id="rId5" w:history="1">
        <w:r w:rsidRPr="004A2E98">
          <w:rPr>
            <w:rStyle w:val="Hyperlink"/>
          </w:rPr>
          <w:t>robert.wheeler@uhs.nhs.uk</w:t>
        </w:r>
      </w:hyperlink>
    </w:p>
    <w:p w14:paraId="322818C7" w14:textId="5EA29FD5" w:rsidR="00BA4762" w:rsidRDefault="00BA4762" w:rsidP="00186B46">
      <w:pPr>
        <w:spacing w:line="480" w:lineRule="auto"/>
        <w:rPr>
          <w:u w:val="single"/>
        </w:rPr>
      </w:pPr>
    </w:p>
    <w:p w14:paraId="1FDA9256" w14:textId="309FEF3C" w:rsidR="00BA4762" w:rsidRDefault="00BA4762" w:rsidP="00186B46">
      <w:pPr>
        <w:spacing w:line="480" w:lineRule="auto"/>
        <w:rPr>
          <w:u w:val="single"/>
        </w:rPr>
      </w:pPr>
      <w:r>
        <w:rPr>
          <w:u w:val="single"/>
        </w:rPr>
        <w:t>No funding sources for research and/or publication</w:t>
      </w:r>
      <w:r w:rsidR="001F23FA">
        <w:rPr>
          <w:u w:val="single"/>
        </w:rPr>
        <w:t xml:space="preserve"> for either author</w:t>
      </w:r>
    </w:p>
    <w:p w14:paraId="10E38764" w14:textId="03CDCF0A" w:rsidR="00BA4762" w:rsidRDefault="00BA4762" w:rsidP="00186B46">
      <w:pPr>
        <w:spacing w:line="480" w:lineRule="auto"/>
        <w:rPr>
          <w:u w:val="single"/>
        </w:rPr>
      </w:pPr>
    </w:p>
    <w:p w14:paraId="098C5F98" w14:textId="0648C9E9" w:rsidR="00BA4762" w:rsidRDefault="00BA4762" w:rsidP="00186B46">
      <w:pPr>
        <w:spacing w:line="480" w:lineRule="auto"/>
        <w:rPr>
          <w:u w:val="single"/>
        </w:rPr>
      </w:pPr>
      <w:r>
        <w:rPr>
          <w:u w:val="single"/>
        </w:rPr>
        <w:t>Original Article</w:t>
      </w:r>
    </w:p>
    <w:p w14:paraId="3176AC0A" w14:textId="30B2BE8C" w:rsidR="00BA4762" w:rsidRDefault="00BA4762" w:rsidP="00186B46">
      <w:pPr>
        <w:spacing w:line="480" w:lineRule="auto"/>
        <w:rPr>
          <w:u w:val="single"/>
        </w:rPr>
      </w:pPr>
    </w:p>
    <w:p w14:paraId="5444BC34" w14:textId="652DF8DD" w:rsidR="00BA4762" w:rsidRDefault="00BA4762" w:rsidP="00186B46">
      <w:pPr>
        <w:spacing w:line="480" w:lineRule="auto"/>
        <w:rPr>
          <w:u w:val="single"/>
        </w:rPr>
      </w:pPr>
      <w:r>
        <w:rPr>
          <w:u w:val="single"/>
        </w:rPr>
        <w:t>Not based on</w:t>
      </w:r>
      <w:r w:rsidR="00CF2E15">
        <w:rPr>
          <w:u w:val="single"/>
        </w:rPr>
        <w:t xml:space="preserve"> </w:t>
      </w:r>
      <w:r>
        <w:rPr>
          <w:u w:val="single"/>
        </w:rPr>
        <w:t>previous communications to a s</w:t>
      </w:r>
      <w:r w:rsidR="00CF2E15">
        <w:rPr>
          <w:u w:val="single"/>
        </w:rPr>
        <w:t>ociety or meeting</w:t>
      </w:r>
    </w:p>
    <w:p w14:paraId="2FB12C26" w14:textId="3AF77CEE" w:rsidR="00CF2E15" w:rsidRDefault="00CF2E15" w:rsidP="00186B46">
      <w:pPr>
        <w:spacing w:line="480" w:lineRule="auto"/>
        <w:rPr>
          <w:u w:val="single"/>
        </w:rPr>
      </w:pPr>
    </w:p>
    <w:p w14:paraId="7B11F713" w14:textId="41D32316" w:rsidR="00CF2E15" w:rsidRPr="00CF2E15" w:rsidRDefault="00CF2E15" w:rsidP="00186B46">
      <w:pPr>
        <w:shd w:val="clear" w:color="auto" w:fill="FFFFFF"/>
        <w:spacing w:before="100" w:beforeAutospacing="1" w:after="100" w:afterAutospacing="1" w:line="480" w:lineRule="auto"/>
        <w:textAlignment w:val="baseline"/>
        <w:rPr>
          <w:rFonts w:ascii="Times New Roman" w:eastAsia="Times New Roman" w:hAnsi="Times New Roman" w:cs="Times New Roman"/>
          <w:b/>
          <w:bCs/>
          <w:color w:val="2A2A2A"/>
          <w:sz w:val="23"/>
          <w:szCs w:val="23"/>
          <w:lang w:eastAsia="en-GB"/>
        </w:rPr>
      </w:pPr>
      <w:r w:rsidRPr="00E41D5C">
        <w:rPr>
          <w:rFonts w:ascii="Times New Roman" w:eastAsia="Times New Roman" w:hAnsi="Times New Roman" w:cs="Times New Roman"/>
          <w:b/>
          <w:bCs/>
          <w:color w:val="2A2A2A"/>
          <w:sz w:val="23"/>
          <w:szCs w:val="23"/>
          <w:lang w:eastAsia="en-GB"/>
        </w:rPr>
        <w:t>Neither RW nor NH h</w:t>
      </w:r>
      <w:r w:rsidRPr="00CF2E15">
        <w:rPr>
          <w:rFonts w:ascii="Times New Roman" w:eastAsia="Times New Roman" w:hAnsi="Times New Roman" w:cs="Times New Roman"/>
          <w:b/>
          <w:bCs/>
          <w:color w:val="2A2A2A"/>
          <w:sz w:val="23"/>
          <w:szCs w:val="23"/>
          <w:lang w:eastAsia="en-GB"/>
        </w:rPr>
        <w:t>old any conflict of interest</w:t>
      </w:r>
      <w:r w:rsidR="001F23FA">
        <w:rPr>
          <w:rFonts w:ascii="Times New Roman" w:eastAsia="Times New Roman" w:hAnsi="Times New Roman" w:cs="Times New Roman"/>
          <w:b/>
          <w:bCs/>
          <w:color w:val="2A2A2A"/>
          <w:sz w:val="23"/>
          <w:szCs w:val="23"/>
          <w:lang w:eastAsia="en-GB"/>
        </w:rPr>
        <w:t>:</w:t>
      </w:r>
      <w:r w:rsidRPr="00CF2E15">
        <w:rPr>
          <w:rFonts w:ascii="Times New Roman" w:eastAsia="Times New Roman" w:hAnsi="Times New Roman" w:cs="Times New Roman"/>
          <w:b/>
          <w:bCs/>
          <w:color w:val="2A2A2A"/>
          <w:sz w:val="23"/>
          <w:szCs w:val="23"/>
          <w:lang w:eastAsia="en-GB"/>
        </w:rPr>
        <w:t xml:space="preserve">  </w:t>
      </w:r>
    </w:p>
    <w:p w14:paraId="7B408B2F" w14:textId="007F52D2" w:rsidR="00CF2E15" w:rsidRPr="00CF2E15" w:rsidRDefault="00CF2E15" w:rsidP="00186B46">
      <w:pPr>
        <w:numPr>
          <w:ilvl w:val="0"/>
          <w:numId w:val="1"/>
        </w:numPr>
        <w:shd w:val="clear" w:color="auto" w:fill="FFFFFF"/>
        <w:spacing w:after="120" w:line="480" w:lineRule="auto"/>
        <w:textAlignment w:val="baseline"/>
        <w:rPr>
          <w:rFonts w:ascii="Times New Roman" w:eastAsia="Times New Roman" w:hAnsi="Times New Roman" w:cs="Times New Roman"/>
          <w:color w:val="2A2A2A"/>
          <w:sz w:val="23"/>
          <w:szCs w:val="23"/>
          <w:lang w:eastAsia="en-GB"/>
        </w:rPr>
      </w:pPr>
      <w:r>
        <w:rPr>
          <w:rFonts w:ascii="Times New Roman" w:eastAsia="Times New Roman" w:hAnsi="Times New Roman" w:cs="Times New Roman"/>
          <w:color w:val="2A2A2A"/>
          <w:sz w:val="23"/>
          <w:szCs w:val="23"/>
          <w:lang w:eastAsia="en-GB"/>
        </w:rPr>
        <w:lastRenderedPageBreak/>
        <w:t>There are no</w:t>
      </w:r>
      <w:r w:rsidRPr="00CF2E15">
        <w:rPr>
          <w:rFonts w:ascii="Times New Roman" w:eastAsia="Times New Roman" w:hAnsi="Times New Roman" w:cs="Times New Roman"/>
          <w:color w:val="2A2A2A"/>
          <w:sz w:val="23"/>
          <w:szCs w:val="23"/>
          <w:lang w:eastAsia="en-GB"/>
        </w:rPr>
        <w:t xml:space="preserve"> sources of research funding, including direct and indirect financial support, supply of equipment, or materials (including specialist statistical or writing assistance).</w:t>
      </w:r>
    </w:p>
    <w:p w14:paraId="762890DE" w14:textId="378EC3FC" w:rsidR="00CF2E15" w:rsidRPr="00CF2E15" w:rsidRDefault="00CF2E15" w:rsidP="00186B46">
      <w:pPr>
        <w:numPr>
          <w:ilvl w:val="0"/>
          <w:numId w:val="1"/>
        </w:numPr>
        <w:shd w:val="clear" w:color="auto" w:fill="FFFFFF"/>
        <w:spacing w:before="120" w:after="120" w:line="480" w:lineRule="auto"/>
        <w:textAlignment w:val="baseline"/>
        <w:rPr>
          <w:rFonts w:ascii="Times New Roman" w:eastAsia="Times New Roman" w:hAnsi="Times New Roman" w:cs="Times New Roman"/>
          <w:color w:val="2A2A2A"/>
          <w:sz w:val="23"/>
          <w:szCs w:val="23"/>
          <w:lang w:eastAsia="en-GB"/>
        </w:rPr>
      </w:pPr>
      <w:r w:rsidRPr="00CF2E15">
        <w:rPr>
          <w:rFonts w:ascii="Times New Roman" w:eastAsia="Times New Roman" w:hAnsi="Times New Roman" w:cs="Times New Roman"/>
          <w:color w:val="2A2A2A"/>
          <w:sz w:val="23"/>
          <w:szCs w:val="23"/>
          <w:lang w:eastAsia="en-GB"/>
        </w:rPr>
        <w:t xml:space="preserve">The </w:t>
      </w:r>
      <w:r>
        <w:rPr>
          <w:rFonts w:ascii="Times New Roman" w:eastAsia="Times New Roman" w:hAnsi="Times New Roman" w:cs="Times New Roman"/>
          <w:color w:val="2A2A2A"/>
          <w:sz w:val="23"/>
          <w:szCs w:val="23"/>
          <w:lang w:eastAsia="en-GB"/>
        </w:rPr>
        <w:t>is no</w:t>
      </w:r>
      <w:r w:rsidRPr="00CF2E15">
        <w:rPr>
          <w:rFonts w:ascii="Times New Roman" w:eastAsia="Times New Roman" w:hAnsi="Times New Roman" w:cs="Times New Roman"/>
          <w:color w:val="2A2A2A"/>
          <w:sz w:val="23"/>
          <w:szCs w:val="23"/>
          <w:lang w:eastAsia="en-GB"/>
        </w:rPr>
        <w:t xml:space="preserve"> research funder(s) or sponsor(s)</w:t>
      </w:r>
      <w:r>
        <w:rPr>
          <w:rFonts w:ascii="Times New Roman" w:eastAsia="Times New Roman" w:hAnsi="Times New Roman" w:cs="Times New Roman"/>
          <w:color w:val="2A2A2A"/>
          <w:sz w:val="23"/>
          <w:szCs w:val="23"/>
          <w:lang w:eastAsia="en-GB"/>
        </w:rPr>
        <w:t xml:space="preserve"> to have a role </w:t>
      </w:r>
      <w:r w:rsidRPr="00CF2E15">
        <w:rPr>
          <w:rFonts w:ascii="Times New Roman" w:eastAsia="Times New Roman" w:hAnsi="Times New Roman" w:cs="Times New Roman"/>
          <w:color w:val="2A2A2A"/>
          <w:sz w:val="23"/>
          <w:szCs w:val="23"/>
          <w:lang w:eastAsia="en-GB"/>
        </w:rPr>
        <w:t>in the research design, execution, analysis, interpretation, and reporting.</w:t>
      </w:r>
    </w:p>
    <w:p w14:paraId="300E88EF" w14:textId="77777777" w:rsidR="00E41D5C" w:rsidRDefault="00CF2E15" w:rsidP="00186B46">
      <w:pPr>
        <w:numPr>
          <w:ilvl w:val="0"/>
          <w:numId w:val="1"/>
        </w:numPr>
        <w:shd w:val="clear" w:color="auto" w:fill="FFFFFF"/>
        <w:spacing w:before="120" w:beforeAutospacing="1" w:afterAutospacing="1" w:line="480" w:lineRule="auto"/>
        <w:textAlignment w:val="baseline"/>
        <w:rPr>
          <w:rFonts w:ascii="Times New Roman" w:eastAsia="Times New Roman" w:hAnsi="Times New Roman" w:cs="Times New Roman"/>
          <w:color w:val="2A2A2A"/>
          <w:sz w:val="23"/>
          <w:szCs w:val="23"/>
          <w:lang w:eastAsia="en-GB"/>
        </w:rPr>
      </w:pPr>
      <w:r w:rsidRPr="00E41D5C">
        <w:rPr>
          <w:rFonts w:ascii="Times New Roman" w:eastAsia="Times New Roman" w:hAnsi="Times New Roman" w:cs="Times New Roman"/>
          <w:color w:val="2A2A2A"/>
          <w:sz w:val="23"/>
          <w:szCs w:val="23"/>
          <w:lang w:eastAsia="en-GB"/>
        </w:rPr>
        <w:t>There are no</w:t>
      </w:r>
      <w:r w:rsidRPr="00CF2E15">
        <w:rPr>
          <w:rFonts w:ascii="Times New Roman" w:eastAsia="Times New Roman" w:hAnsi="Times New Roman" w:cs="Times New Roman"/>
          <w:color w:val="2A2A2A"/>
          <w:sz w:val="23"/>
          <w:szCs w:val="23"/>
          <w:lang w:eastAsia="en-GB"/>
        </w:rPr>
        <w:t xml:space="preserve"> relevant financial and non-financial interests and relationships that might be considered likely to affect the interpretation of </w:t>
      </w:r>
      <w:r w:rsidR="00E41D5C" w:rsidRPr="00E41D5C">
        <w:rPr>
          <w:rFonts w:ascii="Times New Roman" w:eastAsia="Times New Roman" w:hAnsi="Times New Roman" w:cs="Times New Roman"/>
          <w:color w:val="2A2A2A"/>
          <w:sz w:val="23"/>
          <w:szCs w:val="23"/>
          <w:lang w:eastAsia="en-GB"/>
        </w:rPr>
        <w:t>our</w:t>
      </w:r>
      <w:r w:rsidRPr="00CF2E15">
        <w:rPr>
          <w:rFonts w:ascii="Times New Roman" w:eastAsia="Times New Roman" w:hAnsi="Times New Roman" w:cs="Times New Roman"/>
          <w:color w:val="2A2A2A"/>
          <w:sz w:val="23"/>
          <w:szCs w:val="23"/>
          <w:lang w:eastAsia="en-GB"/>
        </w:rPr>
        <w:t xml:space="preserve"> findings or that editors, reviewers, or readers might reasonably wish to know. </w:t>
      </w:r>
    </w:p>
    <w:p w14:paraId="7FEFCFF1" w14:textId="56CA3215" w:rsidR="00CF2E15" w:rsidRPr="00E41D5C" w:rsidRDefault="00CF2E15" w:rsidP="00186B46">
      <w:pPr>
        <w:numPr>
          <w:ilvl w:val="0"/>
          <w:numId w:val="1"/>
        </w:numPr>
        <w:shd w:val="clear" w:color="auto" w:fill="FFFFFF"/>
        <w:spacing w:before="120" w:beforeAutospacing="1" w:afterAutospacing="1" w:line="480" w:lineRule="auto"/>
        <w:textAlignment w:val="baseline"/>
        <w:rPr>
          <w:rFonts w:ascii="Times New Roman" w:eastAsia="Times New Roman" w:hAnsi="Times New Roman" w:cs="Times New Roman"/>
          <w:color w:val="2A2A2A"/>
          <w:sz w:val="23"/>
          <w:szCs w:val="23"/>
          <w:lang w:eastAsia="en-GB"/>
        </w:rPr>
      </w:pPr>
      <w:r w:rsidRPr="00CF2E15">
        <w:rPr>
          <w:rFonts w:ascii="Times New Roman" w:eastAsia="Times New Roman" w:hAnsi="Times New Roman" w:cs="Times New Roman"/>
          <w:color w:val="2A2A2A"/>
          <w:sz w:val="23"/>
          <w:szCs w:val="23"/>
          <w:lang w:eastAsia="en-GB"/>
        </w:rPr>
        <w:t>When considering whether to declare a conflicting interest or connection we encourage authors to consider how they would answer the following question: </w:t>
      </w:r>
      <w:r w:rsidRPr="00CF2E15">
        <w:rPr>
          <w:rFonts w:ascii="inherit" w:eastAsia="Times New Roman" w:hAnsi="inherit" w:cs="Times New Roman"/>
          <w:i/>
          <w:iCs/>
          <w:color w:val="2A2A2A"/>
          <w:sz w:val="23"/>
          <w:szCs w:val="23"/>
          <w:bdr w:val="none" w:sz="0" w:space="0" w:color="auto" w:frame="1"/>
          <w:lang w:eastAsia="en-GB"/>
        </w:rPr>
        <w:t>Is there any arrangement that would embarrass you or any of your co-authors if it was to emerge after publication and you had not declared it?</w:t>
      </w:r>
      <w:r w:rsidR="00E41D5C">
        <w:rPr>
          <w:rFonts w:ascii="inherit" w:eastAsia="Times New Roman" w:hAnsi="inherit" w:cs="Times New Roman"/>
          <w:i/>
          <w:iCs/>
          <w:color w:val="2A2A2A"/>
          <w:sz w:val="23"/>
          <w:szCs w:val="23"/>
          <w:bdr w:val="none" w:sz="0" w:space="0" w:color="auto" w:frame="1"/>
          <w:lang w:eastAsia="en-GB"/>
        </w:rPr>
        <w:t xml:space="preserve"> The Answer is No.</w:t>
      </w:r>
    </w:p>
    <w:p w14:paraId="25F02CB1" w14:textId="51333E78" w:rsidR="00E41D5C" w:rsidRPr="00CF2E15" w:rsidRDefault="00E41D5C" w:rsidP="00186B46">
      <w:pPr>
        <w:shd w:val="clear" w:color="auto" w:fill="FFFFFF"/>
        <w:spacing w:before="120" w:beforeAutospacing="1" w:afterAutospacing="1" w:line="480" w:lineRule="auto"/>
        <w:textAlignment w:val="baseline"/>
        <w:rPr>
          <w:rFonts w:ascii="Times New Roman" w:eastAsia="Times New Roman" w:hAnsi="Times New Roman" w:cs="Times New Roman"/>
          <w:color w:val="2A2A2A"/>
          <w:sz w:val="23"/>
          <w:szCs w:val="23"/>
          <w:lang w:eastAsia="en-GB"/>
        </w:rPr>
      </w:pPr>
      <w:r w:rsidRPr="00E41D5C">
        <w:rPr>
          <w:rFonts w:ascii="Times New Roman" w:eastAsia="Times New Roman" w:hAnsi="Times New Roman" w:cs="Times New Roman"/>
          <w:b/>
          <w:bCs/>
          <w:color w:val="2A2A2A"/>
          <w:sz w:val="23"/>
          <w:szCs w:val="23"/>
          <w:lang w:eastAsia="en-GB"/>
        </w:rPr>
        <w:t>Data Availability Statement</w:t>
      </w:r>
      <w:r>
        <w:rPr>
          <w:rFonts w:ascii="Times New Roman" w:eastAsia="Times New Roman" w:hAnsi="Times New Roman" w:cs="Times New Roman"/>
          <w:color w:val="2A2A2A"/>
          <w:sz w:val="23"/>
          <w:szCs w:val="23"/>
          <w:lang w:eastAsia="en-GB"/>
        </w:rPr>
        <w:t xml:space="preserve">. The </w:t>
      </w:r>
      <w:r w:rsidR="007D13F8">
        <w:rPr>
          <w:rFonts w:ascii="Times New Roman" w:eastAsia="Times New Roman" w:hAnsi="Times New Roman" w:cs="Times New Roman"/>
          <w:color w:val="2A2A2A"/>
          <w:sz w:val="23"/>
          <w:szCs w:val="23"/>
          <w:lang w:eastAsia="en-GB"/>
        </w:rPr>
        <w:t xml:space="preserve">data is available, </w:t>
      </w:r>
      <w:r w:rsidR="001F23FA">
        <w:rPr>
          <w:rFonts w:ascii="Times New Roman" w:eastAsia="Times New Roman" w:hAnsi="Times New Roman" w:cs="Times New Roman"/>
          <w:color w:val="2A2A2A"/>
          <w:sz w:val="23"/>
          <w:szCs w:val="23"/>
          <w:lang w:eastAsia="en-GB"/>
        </w:rPr>
        <w:t>but by its nature is not straightforward to anonymise. For this reason, it is not appropriate for a public repository. However,</w:t>
      </w:r>
      <w:r w:rsidR="007D13F8">
        <w:rPr>
          <w:rFonts w:ascii="Times New Roman" w:eastAsia="Times New Roman" w:hAnsi="Times New Roman" w:cs="Times New Roman"/>
          <w:color w:val="2A2A2A"/>
          <w:sz w:val="23"/>
          <w:szCs w:val="23"/>
          <w:lang w:eastAsia="en-GB"/>
        </w:rPr>
        <w:t xml:space="preserve"> the </w:t>
      </w:r>
      <w:r>
        <w:rPr>
          <w:rFonts w:ascii="Times New Roman" w:eastAsia="Times New Roman" w:hAnsi="Times New Roman" w:cs="Times New Roman"/>
          <w:color w:val="2A2A2A"/>
          <w:sz w:val="23"/>
          <w:szCs w:val="23"/>
          <w:lang w:eastAsia="en-GB"/>
        </w:rPr>
        <w:t xml:space="preserve">corresponding author will </w:t>
      </w:r>
      <w:r w:rsidR="001F23FA">
        <w:rPr>
          <w:rFonts w:ascii="Times New Roman" w:eastAsia="Times New Roman" w:hAnsi="Times New Roman" w:cs="Times New Roman"/>
          <w:color w:val="2A2A2A"/>
          <w:sz w:val="23"/>
          <w:szCs w:val="23"/>
          <w:lang w:eastAsia="en-GB"/>
        </w:rPr>
        <w:t xml:space="preserve">willingly </w:t>
      </w:r>
      <w:r>
        <w:rPr>
          <w:rFonts w:ascii="Times New Roman" w:eastAsia="Times New Roman" w:hAnsi="Times New Roman" w:cs="Times New Roman"/>
          <w:color w:val="2A2A2A"/>
          <w:sz w:val="23"/>
          <w:szCs w:val="23"/>
          <w:lang w:eastAsia="en-GB"/>
        </w:rPr>
        <w:t xml:space="preserve">provide </w:t>
      </w:r>
      <w:r w:rsidR="001F23FA">
        <w:rPr>
          <w:rFonts w:ascii="Times New Roman" w:eastAsia="Times New Roman" w:hAnsi="Times New Roman" w:cs="Times New Roman"/>
          <w:color w:val="2A2A2A"/>
          <w:sz w:val="23"/>
          <w:szCs w:val="23"/>
          <w:lang w:eastAsia="en-GB"/>
        </w:rPr>
        <w:t xml:space="preserve">useful </w:t>
      </w:r>
      <w:r>
        <w:rPr>
          <w:rFonts w:ascii="Times New Roman" w:eastAsia="Times New Roman" w:hAnsi="Times New Roman" w:cs="Times New Roman"/>
          <w:color w:val="2A2A2A"/>
          <w:sz w:val="23"/>
          <w:szCs w:val="23"/>
          <w:lang w:eastAsia="en-GB"/>
        </w:rPr>
        <w:t>data on request</w:t>
      </w:r>
      <w:r w:rsidR="001F23FA">
        <w:rPr>
          <w:rFonts w:ascii="Times New Roman" w:eastAsia="Times New Roman" w:hAnsi="Times New Roman" w:cs="Times New Roman"/>
          <w:color w:val="2A2A2A"/>
          <w:sz w:val="23"/>
          <w:szCs w:val="23"/>
          <w:lang w:eastAsia="en-GB"/>
        </w:rPr>
        <w:t>, tailored to the enquirers requirements.</w:t>
      </w:r>
    </w:p>
    <w:p w14:paraId="541C9B89" w14:textId="77777777" w:rsidR="001C73BA" w:rsidRDefault="001C73BA" w:rsidP="00186B46">
      <w:pPr>
        <w:spacing w:line="480" w:lineRule="auto"/>
        <w:rPr>
          <w:b/>
          <w:bCs/>
          <w:i/>
          <w:iCs/>
        </w:rPr>
      </w:pPr>
    </w:p>
    <w:p w14:paraId="3F80293D" w14:textId="77777777" w:rsidR="001C73BA" w:rsidRDefault="001C73BA" w:rsidP="00186B46">
      <w:pPr>
        <w:spacing w:after="160" w:line="480" w:lineRule="auto"/>
        <w:rPr>
          <w:rFonts w:asciiTheme="majorHAnsi" w:eastAsiaTheme="majorEastAsia" w:hAnsiTheme="majorHAnsi" w:cstheme="majorBidi"/>
          <w:color w:val="2F5496" w:themeColor="accent1" w:themeShade="BF"/>
          <w:sz w:val="26"/>
          <w:szCs w:val="26"/>
        </w:rPr>
      </w:pPr>
      <w:r>
        <w:br w:type="page"/>
      </w:r>
    </w:p>
    <w:p w14:paraId="36E24193" w14:textId="50AE0845" w:rsidR="00661CCC" w:rsidRPr="00D15458" w:rsidRDefault="00661CCC" w:rsidP="00186B46">
      <w:pPr>
        <w:pStyle w:val="Heading2"/>
        <w:spacing w:line="480" w:lineRule="auto"/>
      </w:pPr>
      <w:r w:rsidRPr="00D15458">
        <w:lastRenderedPageBreak/>
        <w:t>Abstract.</w:t>
      </w:r>
    </w:p>
    <w:p w14:paraId="20FA7FF8" w14:textId="77777777" w:rsidR="00661CCC" w:rsidRDefault="00661CCC" w:rsidP="00186B46">
      <w:pPr>
        <w:spacing w:line="480" w:lineRule="auto"/>
        <w:rPr>
          <w:b/>
          <w:bCs/>
          <w:i/>
          <w:iCs/>
        </w:rPr>
      </w:pPr>
    </w:p>
    <w:p w14:paraId="450BFF39" w14:textId="77777777" w:rsidR="00661CCC" w:rsidRDefault="00661CCC" w:rsidP="00186B46">
      <w:pPr>
        <w:spacing w:line="480" w:lineRule="auto"/>
      </w:pPr>
      <w:r>
        <w:rPr>
          <w:b/>
          <w:bCs/>
          <w:i/>
          <w:iCs/>
        </w:rPr>
        <w:t>Background</w:t>
      </w:r>
      <w:r>
        <w:t>.</w:t>
      </w:r>
    </w:p>
    <w:p w14:paraId="784AF509" w14:textId="6415CC52" w:rsidR="00661CCC" w:rsidRDefault="00661CCC" w:rsidP="00186B46">
      <w:pPr>
        <w:spacing w:line="480" w:lineRule="auto"/>
      </w:pPr>
      <w:r>
        <w:t xml:space="preserve">What do surgeons want to know about law pertaining to their practice? </w:t>
      </w:r>
      <w:r w:rsidR="0011089E">
        <w:t>W</w:t>
      </w:r>
      <w:r>
        <w:t xml:space="preserve">e have found nothing in the literature </w:t>
      </w:r>
      <w:r w:rsidR="00440F15">
        <w:t xml:space="preserve">to </w:t>
      </w:r>
      <w:r w:rsidR="00BF0FEA">
        <w:t>address</w:t>
      </w:r>
      <w:r w:rsidR="00BF3078">
        <w:t xml:space="preserve"> this </w:t>
      </w:r>
      <w:r w:rsidR="00C0559E">
        <w:t>subject</w:t>
      </w:r>
      <w:r>
        <w:t>. We present evidence to answer our question.</w:t>
      </w:r>
    </w:p>
    <w:p w14:paraId="774ABA81" w14:textId="77777777" w:rsidR="000D030A" w:rsidRDefault="000D030A" w:rsidP="00186B46">
      <w:pPr>
        <w:spacing w:line="480" w:lineRule="auto"/>
      </w:pPr>
    </w:p>
    <w:p w14:paraId="6EA75779" w14:textId="5F8CDCAB" w:rsidR="00661CCC" w:rsidRDefault="00127F2F" w:rsidP="00186B46">
      <w:pPr>
        <w:spacing w:line="480" w:lineRule="auto"/>
        <w:rPr>
          <w:b/>
          <w:bCs/>
          <w:i/>
          <w:iCs/>
        </w:rPr>
      </w:pPr>
      <w:r>
        <w:rPr>
          <w:b/>
          <w:bCs/>
          <w:i/>
          <w:iCs/>
        </w:rPr>
        <w:t xml:space="preserve">Materials and </w:t>
      </w:r>
      <w:r w:rsidR="00661CCC">
        <w:rPr>
          <w:b/>
          <w:bCs/>
          <w:i/>
          <w:iCs/>
        </w:rPr>
        <w:t>Method</w:t>
      </w:r>
      <w:r>
        <w:rPr>
          <w:b/>
          <w:bCs/>
          <w:i/>
          <w:iCs/>
        </w:rPr>
        <w:t>s</w:t>
      </w:r>
    </w:p>
    <w:p w14:paraId="24D3AAE1" w14:textId="77D89684" w:rsidR="00661CCC" w:rsidRDefault="00CE7795" w:rsidP="00186B46">
      <w:pPr>
        <w:spacing w:line="480" w:lineRule="auto"/>
      </w:pPr>
      <w:r>
        <w:t>Retrospective review of all enquires to a</w:t>
      </w:r>
      <w:r w:rsidR="00661CCC">
        <w:t xml:space="preserve"> clinical law service in a university hospital </w:t>
      </w:r>
      <w:r w:rsidR="007C0403">
        <w:t>between 2009 and 202</w:t>
      </w:r>
      <w:r w:rsidR="00CB70C7">
        <w:t>3</w:t>
      </w:r>
      <w:r w:rsidR="007C0403">
        <w:t xml:space="preserve">. </w:t>
      </w:r>
      <w:r w:rsidR="00F76483">
        <w:t>Each ‘case’</w:t>
      </w:r>
      <w:r w:rsidR="00B91731">
        <w:t xml:space="preserve"> </w:t>
      </w:r>
      <w:r w:rsidR="00F76483">
        <w:t>originating from a surgeon</w:t>
      </w:r>
      <w:r w:rsidR="007C0403">
        <w:t xml:space="preserve"> was categorised according to </w:t>
      </w:r>
      <w:r w:rsidR="006B0BC5">
        <w:t>its fundamental legal phenotype</w:t>
      </w:r>
      <w:r w:rsidR="00661CCC">
        <w:t>.</w:t>
      </w:r>
    </w:p>
    <w:p w14:paraId="674F3F32" w14:textId="77777777" w:rsidR="00661CCC" w:rsidRDefault="00661CCC" w:rsidP="00186B46">
      <w:pPr>
        <w:spacing w:line="480" w:lineRule="auto"/>
      </w:pPr>
    </w:p>
    <w:p w14:paraId="6638499D" w14:textId="136E28DB" w:rsidR="00661CCC" w:rsidRDefault="00661CCC" w:rsidP="00186B46">
      <w:pPr>
        <w:spacing w:line="480" w:lineRule="auto"/>
      </w:pPr>
      <w:r>
        <w:rPr>
          <w:b/>
          <w:bCs/>
          <w:i/>
          <w:iCs/>
        </w:rPr>
        <w:t>Results</w:t>
      </w:r>
      <w:r>
        <w:t xml:space="preserve">. </w:t>
      </w:r>
      <w:r w:rsidR="00F10A3C">
        <w:t>A</w:t>
      </w:r>
      <w:r w:rsidR="009E18E6">
        <w:t xml:space="preserve"> total of </w:t>
      </w:r>
      <w:r>
        <w:t>1</w:t>
      </w:r>
      <w:r w:rsidR="009E7208">
        <w:t>476</w:t>
      </w:r>
      <w:r w:rsidR="00722C13">
        <w:t xml:space="preserve"> </w:t>
      </w:r>
      <w:r>
        <w:t>enquiries relating to ‘clinical law’ were received from the clinical workforce</w:t>
      </w:r>
      <w:r w:rsidR="006A73EE">
        <w:t xml:space="preserve"> within the hospital and the region</w:t>
      </w:r>
      <w:r>
        <w:t xml:space="preserve">. Of these, </w:t>
      </w:r>
      <w:r w:rsidR="00356A05">
        <w:t>154</w:t>
      </w:r>
      <w:r>
        <w:t xml:space="preserve"> enquiries </w:t>
      </w:r>
      <w:r w:rsidR="003E5914">
        <w:t xml:space="preserve">(13%) </w:t>
      </w:r>
      <w:r>
        <w:t xml:space="preserve">were made by surgeons representing </w:t>
      </w:r>
      <w:r w:rsidR="003E5914">
        <w:t>all</w:t>
      </w:r>
      <w:r>
        <w:t xml:space="preserve"> </w:t>
      </w:r>
      <w:r w:rsidR="00802FF8">
        <w:t>ten</w:t>
      </w:r>
      <w:r>
        <w:t xml:space="preserve"> speciality groups, and dentistry. </w:t>
      </w:r>
      <w:r w:rsidR="00441141">
        <w:t>The largest groups of enquiries related to professional conduct (49), competence/capacity (33), consent (23)</w:t>
      </w:r>
      <w:r w:rsidR="00995697">
        <w:t xml:space="preserve"> and </w:t>
      </w:r>
      <w:r w:rsidR="00441141">
        <w:t>refusal of treatment (23)</w:t>
      </w:r>
      <w:r w:rsidR="00995697">
        <w:t>.</w:t>
      </w:r>
      <w:r w:rsidR="004E2670">
        <w:t xml:space="preserve"> </w:t>
      </w:r>
      <w:r w:rsidR="002179E3">
        <w:t xml:space="preserve">The incidence of the surgical enquiries relating to refusal of care, consent, standards of care and capacity mirrored those made by non-surgical specialities. The surgical enquiries concerning confidentiality, candour, and withdrawal of treatment were notably infrequent. </w:t>
      </w:r>
      <w:r w:rsidR="00E91A6D">
        <w:t>We discuss the detail of some of t</w:t>
      </w:r>
      <w:r>
        <w:t xml:space="preserve">he clinical scenarios </w:t>
      </w:r>
      <w:r w:rsidR="002C1AE1">
        <w:t xml:space="preserve">arising from these </w:t>
      </w:r>
      <w:r>
        <w:t xml:space="preserve">enquiries </w:t>
      </w:r>
      <w:r w:rsidR="002C1AE1">
        <w:t>that</w:t>
      </w:r>
      <w:r>
        <w:t xml:space="preserve"> reveal the breadth and depth of legal complexities faced by surgeons of all specialities.</w:t>
      </w:r>
    </w:p>
    <w:p w14:paraId="186CEDD2" w14:textId="77777777" w:rsidR="00661CCC" w:rsidRDefault="00661CCC" w:rsidP="00186B46">
      <w:pPr>
        <w:spacing w:line="480" w:lineRule="auto"/>
      </w:pPr>
    </w:p>
    <w:p w14:paraId="25EC4657" w14:textId="38751AD5" w:rsidR="00661CCC" w:rsidRDefault="00127F2F" w:rsidP="00186B46">
      <w:pPr>
        <w:spacing w:line="480" w:lineRule="auto"/>
        <w:rPr>
          <w:b/>
          <w:bCs/>
          <w:i/>
          <w:iCs/>
        </w:rPr>
      </w:pPr>
      <w:r>
        <w:rPr>
          <w:b/>
          <w:bCs/>
          <w:i/>
          <w:iCs/>
        </w:rPr>
        <w:t xml:space="preserve">Discussion and </w:t>
      </w:r>
      <w:r w:rsidR="00661CCC">
        <w:rPr>
          <w:b/>
          <w:bCs/>
          <w:i/>
          <w:iCs/>
        </w:rPr>
        <w:t>Conclusion</w:t>
      </w:r>
    </w:p>
    <w:p w14:paraId="74534228" w14:textId="07B25726" w:rsidR="00661CCC" w:rsidRDefault="007A6766" w:rsidP="00186B46">
      <w:pPr>
        <w:spacing w:line="480" w:lineRule="auto"/>
      </w:pPr>
      <w:r>
        <w:lastRenderedPageBreak/>
        <w:t xml:space="preserve">Patterns or phenotypes of </w:t>
      </w:r>
      <w:r w:rsidR="00493222">
        <w:t xml:space="preserve">surgical legal dilemmas have emerged which could provide a framework for preparing surgeons better to deal with the patient in front of them. </w:t>
      </w:r>
      <w:r w:rsidR="00E910F4">
        <w:t>E</w:t>
      </w:r>
      <w:r w:rsidR="00661CCC">
        <w:t xml:space="preserve">nquiries indicative of what surgeons </w:t>
      </w:r>
      <w:r w:rsidR="00661CCC" w:rsidRPr="00362A1A">
        <w:rPr>
          <w:u w:val="single"/>
        </w:rPr>
        <w:t>want</w:t>
      </w:r>
      <w:r w:rsidR="00661CCC">
        <w:t xml:space="preserve"> to know </w:t>
      </w:r>
      <w:r w:rsidR="00CB2C66">
        <w:t xml:space="preserve">suggest </w:t>
      </w:r>
      <w:r w:rsidR="00661CCC">
        <w:t xml:space="preserve">gaps in surgical </w:t>
      </w:r>
      <w:r w:rsidR="00655533">
        <w:t xml:space="preserve">legal </w:t>
      </w:r>
      <w:r w:rsidR="00BE5620">
        <w:t xml:space="preserve">knowledge </w:t>
      </w:r>
      <w:r w:rsidR="00884BFF">
        <w:t xml:space="preserve">which may be a </w:t>
      </w:r>
      <w:r w:rsidR="00BE5620">
        <w:t>focus of future education. N</w:t>
      </w:r>
      <w:r w:rsidR="000A50AF">
        <w:t xml:space="preserve">ear-absence </w:t>
      </w:r>
      <w:r w:rsidR="00197002">
        <w:t xml:space="preserve">of enquiries in </w:t>
      </w:r>
      <w:r w:rsidR="0064545D">
        <w:t xml:space="preserve">candour and </w:t>
      </w:r>
      <w:r w:rsidR="006F01F5">
        <w:t>confidentiality are</w:t>
      </w:r>
      <w:r>
        <w:t xml:space="preserve"> notable</w:t>
      </w:r>
      <w:r w:rsidR="00493222">
        <w:t>, with</w:t>
      </w:r>
      <w:r w:rsidR="002179E3">
        <w:t>out</w:t>
      </w:r>
      <w:r w:rsidR="00493222">
        <w:t xml:space="preserve"> immediate explanation</w:t>
      </w:r>
      <w:r w:rsidR="00197002">
        <w:t>.</w:t>
      </w:r>
    </w:p>
    <w:p w14:paraId="391DEE78" w14:textId="7F931D4A" w:rsidR="00661CCC" w:rsidRDefault="00661CCC" w:rsidP="00186B46">
      <w:pPr>
        <w:spacing w:line="480" w:lineRule="auto"/>
      </w:pPr>
    </w:p>
    <w:p w14:paraId="49D79DC3" w14:textId="00CB4B45" w:rsidR="00127F2F" w:rsidRDefault="00127F2F" w:rsidP="00186B46">
      <w:pPr>
        <w:spacing w:line="480" w:lineRule="auto"/>
      </w:pPr>
      <w:r>
        <w:t>Key Words: Surgery Ethics Education</w:t>
      </w:r>
    </w:p>
    <w:p w14:paraId="4C5247D6" w14:textId="77777777" w:rsidR="00661CCC" w:rsidRDefault="00661CCC" w:rsidP="00186B46">
      <w:pPr>
        <w:spacing w:line="480" w:lineRule="auto"/>
      </w:pPr>
    </w:p>
    <w:p w14:paraId="298B6BFE" w14:textId="77777777" w:rsidR="001C73BA" w:rsidRDefault="001C73BA" w:rsidP="00186B46">
      <w:pPr>
        <w:spacing w:after="160" w:line="480" w:lineRule="auto"/>
        <w:rPr>
          <w:b/>
          <w:bCs/>
        </w:rPr>
      </w:pPr>
      <w:r>
        <w:rPr>
          <w:b/>
          <w:bCs/>
        </w:rPr>
        <w:br w:type="page"/>
      </w:r>
    </w:p>
    <w:p w14:paraId="7738C473" w14:textId="1DD4D067" w:rsidR="001C73BA" w:rsidRPr="00936E94" w:rsidRDefault="001C73BA" w:rsidP="00186B46">
      <w:pPr>
        <w:pStyle w:val="Heading2"/>
        <w:spacing w:line="480" w:lineRule="auto"/>
        <w:rPr>
          <w:i/>
          <w:iCs/>
        </w:rPr>
      </w:pPr>
      <w:r w:rsidRPr="00936E94">
        <w:rPr>
          <w:i/>
          <w:iCs/>
        </w:rPr>
        <w:lastRenderedPageBreak/>
        <w:t>Introduction</w:t>
      </w:r>
    </w:p>
    <w:p w14:paraId="6D0D30E9" w14:textId="77777777" w:rsidR="001C73BA" w:rsidRDefault="001C73BA" w:rsidP="00186B46">
      <w:pPr>
        <w:spacing w:line="480" w:lineRule="auto"/>
        <w:rPr>
          <w:b/>
          <w:bCs/>
        </w:rPr>
      </w:pPr>
    </w:p>
    <w:p w14:paraId="69158969" w14:textId="23187BDC" w:rsidR="00474151" w:rsidRDefault="00474151" w:rsidP="00186B46">
      <w:pPr>
        <w:spacing w:line="480" w:lineRule="auto"/>
      </w:pPr>
      <w:r>
        <w:t xml:space="preserve">What do surgeons want to know about law pertaining to their practice? </w:t>
      </w:r>
      <w:r w:rsidR="00D872F5">
        <w:t>W</w:t>
      </w:r>
      <w:r>
        <w:t xml:space="preserve">e have found nothing in the literature relating to what the surgical community wish better to understand. We present evidence to answer </w:t>
      </w:r>
      <w:r w:rsidR="00D872F5">
        <w:t>this</w:t>
      </w:r>
      <w:r>
        <w:t xml:space="preserve"> question.</w:t>
      </w:r>
    </w:p>
    <w:p w14:paraId="13C6A3E0" w14:textId="2F65A271" w:rsidR="001C73BA" w:rsidRPr="002161D3" w:rsidRDefault="001C73BA" w:rsidP="00186B46">
      <w:pPr>
        <w:spacing w:line="480" w:lineRule="auto"/>
        <w:rPr>
          <w:color w:val="FF0000"/>
        </w:rPr>
      </w:pPr>
    </w:p>
    <w:p w14:paraId="4D5F1FB0" w14:textId="77777777" w:rsidR="001C73BA" w:rsidRDefault="001C73BA" w:rsidP="00186B46">
      <w:pPr>
        <w:spacing w:line="480" w:lineRule="auto"/>
        <w:rPr>
          <w:b/>
          <w:bCs/>
        </w:rPr>
      </w:pPr>
    </w:p>
    <w:p w14:paraId="1DC748D7" w14:textId="1433F67F" w:rsidR="00FD4A98" w:rsidRPr="00936E94" w:rsidRDefault="00127F2F" w:rsidP="00186B46">
      <w:pPr>
        <w:pStyle w:val="Heading2"/>
        <w:spacing w:line="480" w:lineRule="auto"/>
        <w:rPr>
          <w:i/>
          <w:iCs/>
        </w:rPr>
      </w:pPr>
      <w:r w:rsidRPr="00936E94">
        <w:rPr>
          <w:i/>
          <w:iCs/>
        </w:rPr>
        <w:t xml:space="preserve">Materials &amp; </w:t>
      </w:r>
      <w:r w:rsidR="0035049F" w:rsidRPr="00936E94">
        <w:rPr>
          <w:i/>
          <w:iCs/>
        </w:rPr>
        <w:t>M</w:t>
      </w:r>
      <w:r w:rsidR="00FD4A98" w:rsidRPr="00936E94">
        <w:rPr>
          <w:i/>
          <w:iCs/>
        </w:rPr>
        <w:t>ethod</w:t>
      </w:r>
      <w:r w:rsidRPr="00936E94">
        <w:rPr>
          <w:i/>
          <w:iCs/>
        </w:rPr>
        <w:t>s</w:t>
      </w:r>
    </w:p>
    <w:p w14:paraId="58F397A3" w14:textId="77777777" w:rsidR="007549D8" w:rsidRDefault="003C5995" w:rsidP="007549D8">
      <w:r>
        <w:t xml:space="preserve">Data on </w:t>
      </w:r>
      <w:r w:rsidR="007B4042">
        <w:t>all of the referrals made in relation to surgical patients</w:t>
      </w:r>
      <w:r w:rsidR="00B43369">
        <w:t xml:space="preserve"> were collected</w:t>
      </w:r>
    </w:p>
    <w:p w14:paraId="580297B2" w14:textId="77777777" w:rsidR="007549D8" w:rsidRDefault="007549D8" w:rsidP="007549D8"/>
    <w:p w14:paraId="03AF7A5B" w14:textId="77777777" w:rsidR="007549D8" w:rsidRPr="005F57F7" w:rsidRDefault="00B43369" w:rsidP="007549D8">
      <w:pPr>
        <w:rPr>
          <w:rFonts w:eastAsia="Times New Roman"/>
          <w:color w:val="FF0000"/>
        </w:rPr>
      </w:pPr>
      <w:r>
        <w:t xml:space="preserve"> prospectively </w:t>
      </w:r>
      <w:r w:rsidR="00D403F0">
        <w:t>from the ince</w:t>
      </w:r>
      <w:r w:rsidR="00982A9A">
        <w:t xml:space="preserve">ption of the department in 2009 until August </w:t>
      </w:r>
      <w:r w:rsidR="003B7D08">
        <w:t>2023.</w:t>
      </w:r>
      <w:r w:rsidR="007B4042">
        <w:t xml:space="preserve"> </w:t>
      </w:r>
      <w:r w:rsidR="007549D8" w:rsidRPr="005F57F7">
        <w:rPr>
          <w:rFonts w:eastAsia="Times New Roman"/>
          <w:color w:val="FF0000"/>
        </w:rPr>
        <w:t xml:space="preserve">Having </w:t>
      </w:r>
    </w:p>
    <w:p w14:paraId="56660963" w14:textId="77777777" w:rsidR="007549D8" w:rsidRPr="005F57F7" w:rsidRDefault="007549D8" w:rsidP="007549D8">
      <w:pPr>
        <w:rPr>
          <w:rFonts w:eastAsia="Times New Roman"/>
          <w:color w:val="FF0000"/>
        </w:rPr>
      </w:pPr>
    </w:p>
    <w:p w14:paraId="7201D3FD" w14:textId="6711958F" w:rsidR="007549D8" w:rsidRPr="005F57F7" w:rsidRDefault="007549D8" w:rsidP="007549D8">
      <w:pPr>
        <w:rPr>
          <w:rFonts w:eastAsia="Times New Roman"/>
          <w:color w:val="FF0000"/>
        </w:rPr>
      </w:pPr>
      <w:r w:rsidRPr="005F57F7">
        <w:rPr>
          <w:rFonts w:eastAsia="Times New Roman"/>
          <w:color w:val="FF0000"/>
        </w:rPr>
        <w:t>been given approval by the Trust Board in 2009</w:t>
      </w:r>
      <w:r w:rsidRPr="005F57F7">
        <w:rPr>
          <w:rFonts w:eastAsia="Times New Roman"/>
          <w:color w:val="FF0000"/>
        </w:rPr>
        <w:t xml:space="preserve"> [1] </w:t>
      </w:r>
      <w:r w:rsidRPr="005F57F7">
        <w:rPr>
          <w:rFonts w:eastAsia="Times New Roman"/>
          <w:color w:val="FF0000"/>
        </w:rPr>
        <w:t xml:space="preserve">, this paper reports </w:t>
      </w:r>
      <w:r w:rsidR="0001111C">
        <w:rPr>
          <w:rFonts w:eastAsia="Times New Roman"/>
          <w:color w:val="FF0000"/>
        </w:rPr>
        <w:t>a</w:t>
      </w:r>
      <w:r w:rsidRPr="005F57F7">
        <w:rPr>
          <w:rFonts w:eastAsia="Times New Roman"/>
          <w:color w:val="FF0000"/>
        </w:rPr>
        <w:t xml:space="preserve"> service </w:t>
      </w:r>
    </w:p>
    <w:p w14:paraId="51F83482" w14:textId="77777777" w:rsidR="007549D8" w:rsidRPr="005F57F7" w:rsidRDefault="007549D8" w:rsidP="007549D8">
      <w:pPr>
        <w:rPr>
          <w:rFonts w:eastAsia="Times New Roman"/>
          <w:color w:val="FF0000"/>
        </w:rPr>
      </w:pPr>
    </w:p>
    <w:p w14:paraId="6E842033" w14:textId="685B448F" w:rsidR="007549D8" w:rsidRPr="005F57F7" w:rsidRDefault="007549D8" w:rsidP="007549D8">
      <w:pPr>
        <w:rPr>
          <w:color w:val="FF0000"/>
        </w:rPr>
      </w:pPr>
      <w:r w:rsidRPr="005F57F7">
        <w:rPr>
          <w:rFonts w:eastAsia="Times New Roman"/>
          <w:color w:val="FF0000"/>
        </w:rPr>
        <w:t>evaluation of the Department of Clinical Law, using data collected over 14 years.</w:t>
      </w:r>
    </w:p>
    <w:p w14:paraId="30BFC9E4" w14:textId="77777777" w:rsidR="007549D8" w:rsidRDefault="007549D8" w:rsidP="00186B46">
      <w:pPr>
        <w:spacing w:line="480" w:lineRule="auto"/>
      </w:pPr>
    </w:p>
    <w:p w14:paraId="3111F500" w14:textId="5DD43345" w:rsidR="00E10338" w:rsidRDefault="009F66D5" w:rsidP="00186B46">
      <w:pPr>
        <w:spacing w:line="480" w:lineRule="auto"/>
      </w:pPr>
      <w:r>
        <w:t xml:space="preserve">The hospital provides secondary and tertiary services other than solid organ </w:t>
      </w:r>
      <w:r w:rsidR="00DB488C">
        <w:t>transplantation and</w:t>
      </w:r>
      <w:r>
        <w:t xml:space="preserve"> has 7500 clinical staff. </w:t>
      </w:r>
      <w:r w:rsidR="00DB488C">
        <w:t>Of 960,000</w:t>
      </w:r>
      <w:r>
        <w:t xml:space="preserve"> outpatient attendances each year, 20% are surgical patients.</w:t>
      </w:r>
      <w:r w:rsidR="00791E2C">
        <w:t xml:space="preserve"> Referrals were </w:t>
      </w:r>
      <w:r w:rsidR="005B2DE1">
        <w:t>rece</w:t>
      </w:r>
      <w:r w:rsidR="00D66186">
        <w:t>i</w:t>
      </w:r>
      <w:r w:rsidR="005B2DE1">
        <w:t>ved</w:t>
      </w:r>
      <w:r w:rsidR="00791E2C">
        <w:t xml:space="preserve"> from within the hospital</w:t>
      </w:r>
      <w:r w:rsidR="005B2DE1">
        <w:t>, and from other</w:t>
      </w:r>
      <w:r w:rsidR="00956E36">
        <w:t xml:space="preserve"> clinician</w:t>
      </w:r>
      <w:r w:rsidR="005B2DE1">
        <w:t xml:space="preserve">s </w:t>
      </w:r>
      <w:r w:rsidR="00956E36">
        <w:t xml:space="preserve">caring for patients with a surgical pathology </w:t>
      </w:r>
      <w:r w:rsidR="005B2DE1">
        <w:t>in the region.</w:t>
      </w:r>
      <w:r w:rsidR="008E61B3">
        <w:t xml:space="preserve"> Details of all the referrals </w:t>
      </w:r>
      <w:r w:rsidR="00F27C37">
        <w:t>to the department were recorded, along with a note of the opinion provided</w:t>
      </w:r>
      <w:r w:rsidR="00D12E88">
        <w:t>.</w:t>
      </w:r>
      <w:r w:rsidR="0053739A">
        <w:t xml:space="preserve"> All data recorded</w:t>
      </w:r>
      <w:r w:rsidR="00DB6810">
        <w:t xml:space="preserve"> and advice given resides exclusively within the hospital’s patien</w:t>
      </w:r>
      <w:r w:rsidR="00484658">
        <w:t>t records syste</w:t>
      </w:r>
      <w:r w:rsidR="00C610EC">
        <w:t>m</w:t>
      </w:r>
      <w:r w:rsidR="00AD2CD2">
        <w:t xml:space="preserve"> </w:t>
      </w:r>
      <w:r w:rsidR="0086517A">
        <w:t xml:space="preserve">(or that of the external referring organisation) ensuring compliance </w:t>
      </w:r>
      <w:r w:rsidR="00CA5EA5">
        <w:t>with information governance. Advice thus remains private</w:t>
      </w:r>
      <w:r w:rsidR="00A12ADD">
        <w:t>.</w:t>
      </w:r>
    </w:p>
    <w:p w14:paraId="43C14E78" w14:textId="77777777" w:rsidR="00E10338" w:rsidRDefault="00E10338" w:rsidP="00186B46">
      <w:pPr>
        <w:spacing w:line="480" w:lineRule="auto"/>
      </w:pPr>
    </w:p>
    <w:p w14:paraId="00C64F92" w14:textId="0C168E3B" w:rsidR="00EE74D8" w:rsidRDefault="00D623BC" w:rsidP="00186B46">
      <w:pPr>
        <w:spacing w:line="480" w:lineRule="auto"/>
      </w:pPr>
      <w:r>
        <w:t>De</w:t>
      </w:r>
      <w:r w:rsidR="00054A0D">
        <w:t>tails of the department’s</w:t>
      </w:r>
      <w:r w:rsidR="009C7FF2">
        <w:t xml:space="preserve"> organisation</w:t>
      </w:r>
      <w:r w:rsidR="00297606">
        <w:t>, the formulation of th</w:t>
      </w:r>
      <w:r w:rsidR="00985706">
        <w:t>e</w:t>
      </w:r>
      <w:r w:rsidR="00297606">
        <w:t xml:space="preserve"> demography</w:t>
      </w:r>
      <w:r w:rsidR="009C7FF2">
        <w:t xml:space="preserve"> </w:t>
      </w:r>
      <w:r w:rsidR="00985706">
        <w:t xml:space="preserve">of clinical law </w:t>
      </w:r>
      <w:r w:rsidR="009C7FF2">
        <w:t xml:space="preserve">and </w:t>
      </w:r>
      <w:r w:rsidR="00CF7B8B">
        <w:t xml:space="preserve">basis for authority </w:t>
      </w:r>
      <w:r w:rsidR="00956E36">
        <w:t xml:space="preserve">have been previously reported </w:t>
      </w:r>
      <w:r w:rsidR="00E10338">
        <w:fldChar w:fldCharType="begin"/>
      </w:r>
      <w:r w:rsidR="002E31AF">
        <w:instrText xml:space="preserve"> ADDIN EN.CITE &lt;EndNote&gt;&lt;Cite&gt;&lt;Author&gt;Wheeler&lt;/Author&gt;&lt;Year&gt;2023&lt;/Year&gt;&lt;RecNum&gt;2684&lt;/RecNum&gt;&lt;DisplayText&gt;[1]&lt;/DisplayText&gt;&lt;record&gt;&lt;rec-number&gt;2684&lt;/rec-number&gt;&lt;foreign-keys&gt;&lt;key app="EN" db-id="0ttf5p9pnzwed8eatx5xvrxvxwfwa990x02z" timestamp="1697452722" guid="c02df8c8-5b66-46cd-a38a-363005ec666d"&gt;2684&lt;/key&gt;&lt;/foreign-keys&gt;&lt;ref-type name="Journal Article"&gt;17&lt;/ref-type&gt;&lt;contributors&gt;&lt;authors&gt;&lt;author&gt;Wheeler, R.&lt;/author&gt;&lt;author&gt;Hall, N.&lt;/author&gt;&lt;/authors&gt;&lt;/contributors&gt;&lt;auth-address&gt;Paediatric Surgery, University Hospital Southampton NHS Foundation Trust, Southampton, UK robert.wheeler@uhs.nhs.uk.&amp;#xD;University Hospital Southampton NHS Foundation Trust, Southampton, UK.&lt;/auth-address&gt;&lt;titles&gt;&lt;title&gt;Clinical law: what do clinicians want to know? The demography of clinical law&lt;/title&gt;&lt;secondary-title&gt;J Med Ethics&lt;/secondary-title&gt;&lt;/titles&gt;&lt;periodical&gt;&lt;full-title&gt;J Med Ethics&lt;/full-title&gt;&lt;/periodical&gt;&lt;pages&gt;229-234&lt;/pages&gt;&lt;volume&gt;49&lt;/volume&gt;&lt;number&gt;4&lt;/number&gt;&lt;edition&gt;20220427&lt;/edition&gt;&lt;keywords&gt;&lt;keyword&gt;Humans&lt;/keyword&gt;&lt;keyword&gt;*Informed Consent&lt;/keyword&gt;&lt;keyword&gt;Prospective Studies&lt;/keyword&gt;&lt;keyword&gt;Disclosure&lt;/keyword&gt;&lt;keyword&gt;*Mental Disorders&lt;/keyword&gt;&lt;keyword&gt;Demography&lt;/keyword&gt;&lt;keyword&gt;Confidentiality&lt;/keyword&gt;&lt;keyword&gt;Clinical Competence&lt;/keyword&gt;&lt;keyword&gt;Ethics- Medical&lt;/keyword&gt;&lt;keyword&gt;Family&lt;/keyword&gt;&lt;keyword&gt;Informed Consent&lt;/keyword&gt;&lt;/keywords&gt;&lt;dates&gt;&lt;year&gt;2023&lt;/year&gt;&lt;pub-dates&gt;&lt;date&gt;Apr&lt;/date&gt;&lt;/pub-dates&gt;&lt;/dates&gt;&lt;isbn&gt;1473-4257 (Electronic)&amp;#xD;0306-6800 (Linking)&lt;/isbn&gt;&lt;accession-num&gt;35477553&lt;/accession-num&gt;&lt;urls&gt;&lt;related-urls&gt;&lt;url&gt;https://www.ncbi.nlm.nih.gov/pubmed/35477553&lt;/url&gt;&lt;/related-urls&gt;&lt;/urls&gt;&lt;custom1&gt;Competing interests: None declared.&lt;/custom1&gt;&lt;electronic-resource-num&gt;10.1136/medethics-2022-108131&lt;/electronic-resource-num&gt;&lt;remote-database-name&gt;Medline&lt;/remote-database-name&gt;&lt;remote-database-provider&gt;NLM&lt;/remote-database-provider&gt;&lt;/record&gt;&lt;/Cite&gt;&lt;/EndNote&gt;</w:instrText>
      </w:r>
      <w:r w:rsidR="00E10338">
        <w:fldChar w:fldCharType="separate"/>
      </w:r>
      <w:r w:rsidR="00E10338">
        <w:rPr>
          <w:noProof/>
        </w:rPr>
        <w:t>[</w:t>
      </w:r>
      <w:r w:rsidR="007549D8">
        <w:rPr>
          <w:noProof/>
        </w:rPr>
        <w:t>2</w:t>
      </w:r>
      <w:r w:rsidR="00E10338">
        <w:rPr>
          <w:noProof/>
        </w:rPr>
        <w:t>]</w:t>
      </w:r>
      <w:r w:rsidR="00E10338">
        <w:fldChar w:fldCharType="end"/>
      </w:r>
      <w:r w:rsidR="00CF7B8B">
        <w:t>.</w:t>
      </w:r>
      <w:r w:rsidR="00E10338">
        <w:t xml:space="preserve"> </w:t>
      </w:r>
      <w:r w:rsidR="0035049F">
        <w:t>In ou</w:t>
      </w:r>
      <w:r w:rsidR="009558CE">
        <w:t>r</w:t>
      </w:r>
      <w:r w:rsidR="0035049F">
        <w:t xml:space="preserve"> original </w:t>
      </w:r>
      <w:r w:rsidR="00811926">
        <w:lastRenderedPageBreak/>
        <w:t>‘demography</w:t>
      </w:r>
      <w:r w:rsidR="00802FF8">
        <w:t>,’</w:t>
      </w:r>
      <w:r w:rsidR="009558CE">
        <w:t xml:space="preserve"> 1251 records </w:t>
      </w:r>
      <w:r w:rsidR="00FA144A">
        <w:t xml:space="preserve">collected 2009-2021 </w:t>
      </w:r>
      <w:r w:rsidR="002A3F01">
        <w:t xml:space="preserve">were </w:t>
      </w:r>
      <w:r w:rsidR="00D12E88">
        <w:t>reported,</w:t>
      </w:r>
      <w:r w:rsidR="002A3F01">
        <w:t xml:space="preserve"> </w:t>
      </w:r>
      <w:r w:rsidR="00AD49D0">
        <w:t>and classif</w:t>
      </w:r>
      <w:r w:rsidR="0099284C">
        <w:t>i</w:t>
      </w:r>
      <w:r w:rsidR="00AD49D0">
        <w:t xml:space="preserve">ed </w:t>
      </w:r>
      <w:r w:rsidR="009D17EF">
        <w:t>into 9 broad clinical legal domains</w:t>
      </w:r>
      <w:r w:rsidR="00594DDE">
        <w:t xml:space="preserve">. </w:t>
      </w:r>
      <w:r w:rsidR="00025570">
        <w:t xml:space="preserve">We initially intended to use these domains to report these ‘surgical’ enquiries, yet during our analysis we found that </w:t>
      </w:r>
      <w:r w:rsidR="00E42CA6">
        <w:t xml:space="preserve">a simplified taxonomy </w:t>
      </w:r>
      <w:r w:rsidR="00CB4A8C">
        <w:t xml:space="preserve">was achievable. </w:t>
      </w:r>
      <w:r w:rsidR="006A52E3">
        <w:t>We therefore revised t</w:t>
      </w:r>
      <w:r w:rsidR="00594DDE">
        <w:t xml:space="preserve">hese domains </w:t>
      </w:r>
      <w:r w:rsidR="00C07553">
        <w:t xml:space="preserve">for the purposes of the </w:t>
      </w:r>
      <w:r w:rsidR="0099284C">
        <w:t xml:space="preserve">describing the </w:t>
      </w:r>
      <w:r w:rsidR="00C07553">
        <w:t>surgical enquiries</w:t>
      </w:r>
      <w:r w:rsidR="00FA144A">
        <w:t xml:space="preserve"> </w:t>
      </w:r>
      <w:r w:rsidR="00953714">
        <w:t>(whose collection lasted 2 years longer)</w:t>
      </w:r>
      <w:r w:rsidR="00472744">
        <w:t xml:space="preserve">, since with the </w:t>
      </w:r>
      <w:r w:rsidR="007161FE">
        <w:t>e</w:t>
      </w:r>
      <w:r w:rsidR="00472744">
        <w:t>xception of the professiona</w:t>
      </w:r>
      <w:r w:rsidR="006B112A">
        <w:t xml:space="preserve">l </w:t>
      </w:r>
      <w:r w:rsidR="009706AB">
        <w:t xml:space="preserve">practice </w:t>
      </w:r>
      <w:r w:rsidR="006B112A">
        <w:t xml:space="preserve">domain the enquiries were </w:t>
      </w:r>
      <w:r w:rsidR="00370F05">
        <w:t xml:space="preserve">far less </w:t>
      </w:r>
      <w:r w:rsidR="007A6766">
        <w:t>diverse and</w:t>
      </w:r>
      <w:r w:rsidR="000B48E3">
        <w:t xml:space="preserve"> fitted much more easily into</w:t>
      </w:r>
      <w:r w:rsidR="00276254">
        <w:t xml:space="preserve"> simplified </w:t>
      </w:r>
      <w:r w:rsidR="000B48E3">
        <w:t>reco</w:t>
      </w:r>
      <w:r w:rsidR="00EB3475">
        <w:t>gnisable groupings</w:t>
      </w:r>
      <w:r w:rsidR="00EE74D8">
        <w:t>.</w:t>
      </w:r>
    </w:p>
    <w:p w14:paraId="134E3F58" w14:textId="77777777" w:rsidR="002D432E" w:rsidRDefault="002D432E" w:rsidP="00186B46">
      <w:pPr>
        <w:spacing w:line="480" w:lineRule="auto"/>
      </w:pPr>
    </w:p>
    <w:p w14:paraId="4C5EBA24" w14:textId="77777777" w:rsidR="0035049F" w:rsidRDefault="0035049F" w:rsidP="00186B46">
      <w:pPr>
        <w:spacing w:line="480" w:lineRule="auto"/>
      </w:pPr>
    </w:p>
    <w:p w14:paraId="5D8FDE05" w14:textId="77777777" w:rsidR="00D66186" w:rsidRDefault="00D66186" w:rsidP="00186B46">
      <w:pPr>
        <w:spacing w:line="480" w:lineRule="auto"/>
      </w:pPr>
    </w:p>
    <w:p w14:paraId="0B9AB935" w14:textId="2854F035" w:rsidR="00661CCC" w:rsidRPr="00D66186" w:rsidRDefault="00722C13" w:rsidP="00186B46">
      <w:pPr>
        <w:pStyle w:val="Heading2"/>
        <w:spacing w:line="480" w:lineRule="auto"/>
      </w:pPr>
      <w:r w:rsidRPr="00936E94">
        <w:rPr>
          <w:i/>
          <w:iCs/>
        </w:rPr>
        <w:t>Results</w:t>
      </w:r>
      <w:r w:rsidRPr="00D66186">
        <w:t>.</w:t>
      </w:r>
    </w:p>
    <w:p w14:paraId="1CA6E47D" w14:textId="2DBA5312" w:rsidR="005E32B0" w:rsidRDefault="00724913" w:rsidP="00186B46">
      <w:pPr>
        <w:spacing w:line="480" w:lineRule="auto"/>
      </w:pPr>
      <w:r>
        <w:t xml:space="preserve">Between 2009 and 2023, </w:t>
      </w:r>
      <w:r w:rsidR="003057E0">
        <w:t>14</w:t>
      </w:r>
      <w:r w:rsidR="001713CF">
        <w:t>76</w:t>
      </w:r>
      <w:r w:rsidR="001C73BA">
        <w:t xml:space="preserve"> clinical legal enquiries were handled by the department. Of these, </w:t>
      </w:r>
      <w:r w:rsidR="00831D10">
        <w:t>1</w:t>
      </w:r>
      <w:r w:rsidR="00113C4A">
        <w:t>54</w:t>
      </w:r>
      <w:r w:rsidR="001713CF">
        <w:t xml:space="preserve"> (10</w:t>
      </w:r>
      <w:r w:rsidR="001C73BA">
        <w:t>%)</w:t>
      </w:r>
      <w:r w:rsidR="00831D10">
        <w:t xml:space="preserve"> </w:t>
      </w:r>
      <w:r w:rsidR="005908ED">
        <w:t xml:space="preserve"> </w:t>
      </w:r>
      <w:r w:rsidR="00EE33E5">
        <w:t>relat</w:t>
      </w:r>
      <w:r w:rsidR="001C73BA">
        <w:t>ed</w:t>
      </w:r>
      <w:r w:rsidR="00EE33E5">
        <w:t xml:space="preserve"> to </w:t>
      </w:r>
      <w:r w:rsidR="00831D10">
        <w:t>patients</w:t>
      </w:r>
      <w:r w:rsidR="00EE33E5">
        <w:t xml:space="preserve"> under the care </w:t>
      </w:r>
      <w:r w:rsidR="00BB3672">
        <w:t>of the</w:t>
      </w:r>
      <w:r w:rsidR="00831D10">
        <w:t xml:space="preserve"> </w:t>
      </w:r>
      <w:r w:rsidR="00802FF8">
        <w:t>ten</w:t>
      </w:r>
      <w:r w:rsidR="00831D10">
        <w:t xml:space="preserve"> surgical </w:t>
      </w:r>
      <w:r w:rsidR="006F75C7">
        <w:t xml:space="preserve">specialities </w:t>
      </w:r>
      <w:r w:rsidR="001C73BA">
        <w:t>or</w:t>
      </w:r>
      <w:r w:rsidR="006F75C7">
        <w:t xml:space="preserve"> </w:t>
      </w:r>
      <w:r w:rsidR="009E47A6">
        <w:t>dentistry.</w:t>
      </w:r>
      <w:r w:rsidR="008357E0">
        <w:t xml:space="preserve"> </w:t>
      </w:r>
      <w:r w:rsidR="001C73BA">
        <w:t>When applied to our previously reported taxonomy</w:t>
      </w:r>
      <w:r w:rsidR="002E31AF">
        <w:t xml:space="preserve"> </w:t>
      </w:r>
      <w:r w:rsidR="002E31AF">
        <w:fldChar w:fldCharType="begin"/>
      </w:r>
      <w:r w:rsidR="002E31AF">
        <w:instrText xml:space="preserve"> ADDIN EN.CITE &lt;EndNote&gt;&lt;Cite&gt;&lt;Author&gt;Wheeler&lt;/Author&gt;&lt;Year&gt;2023&lt;/Year&gt;&lt;RecNum&gt;2684&lt;/RecNum&gt;&lt;DisplayText&gt;[1]&lt;/DisplayText&gt;&lt;record&gt;&lt;rec-number&gt;2684&lt;/rec-number&gt;&lt;foreign-keys&gt;&lt;key app="EN" db-id="0ttf5p9pnzwed8eatx5xvrxvxwfwa990x02z" timestamp="1697452722" guid="c02df8c8-5b66-46cd-a38a-363005ec666d"&gt;2684&lt;/key&gt;&lt;/foreign-keys&gt;&lt;ref-type name="Journal Article"&gt;17&lt;/ref-type&gt;&lt;contributors&gt;&lt;authors&gt;&lt;author&gt;Wheeler, R.&lt;/author&gt;&lt;author&gt;Hall, N.&lt;/author&gt;&lt;/authors&gt;&lt;/contributors&gt;&lt;auth-address&gt;Paediatric Surgery, University Hospital Southampton NHS Foundation Trust, Southampton, UK robert.wheeler@uhs.nhs.uk.&amp;#xD;University Hospital Southampton NHS Foundation Trust, Southampton, UK.&lt;/auth-address&gt;&lt;titles&gt;&lt;title&gt;Clinical law: what do clinicians want to know? The demography of clinical law&lt;/title&gt;&lt;secondary-title&gt;J Med Ethics&lt;/secondary-title&gt;&lt;/titles&gt;&lt;periodical&gt;&lt;full-title&gt;J Med Ethics&lt;/full-title&gt;&lt;/periodical&gt;&lt;pages&gt;229-234&lt;/pages&gt;&lt;volume&gt;49&lt;/volume&gt;&lt;number&gt;4&lt;/number&gt;&lt;edition&gt;20220427&lt;/edition&gt;&lt;keywords&gt;&lt;keyword&gt;Humans&lt;/keyword&gt;&lt;keyword&gt;*Informed Consent&lt;/keyword&gt;&lt;keyword&gt;Prospective Studies&lt;/keyword&gt;&lt;keyword&gt;Disclosure&lt;/keyword&gt;&lt;keyword&gt;*Mental Disorders&lt;/keyword&gt;&lt;keyword&gt;Demography&lt;/keyword&gt;&lt;keyword&gt;Confidentiality&lt;/keyword&gt;&lt;keyword&gt;Clinical Competence&lt;/keyword&gt;&lt;keyword&gt;Ethics- Medical&lt;/keyword&gt;&lt;keyword&gt;Family&lt;/keyword&gt;&lt;keyword&gt;Informed Consent&lt;/keyword&gt;&lt;/keywords&gt;&lt;dates&gt;&lt;year&gt;2023&lt;/year&gt;&lt;pub-dates&gt;&lt;date&gt;Apr&lt;/date&gt;&lt;/pub-dates&gt;&lt;/dates&gt;&lt;isbn&gt;1473-4257 (Electronic)&amp;#xD;0306-6800 (Linking)&lt;/isbn&gt;&lt;accession-num&gt;35477553&lt;/accession-num&gt;&lt;urls&gt;&lt;related-urls&gt;&lt;url&gt;https://www.ncbi.nlm.nih.gov/pubmed/35477553&lt;/url&gt;&lt;/related-urls&gt;&lt;/urls&gt;&lt;custom1&gt;Competing interests: None declared.&lt;/custom1&gt;&lt;electronic-resource-num&gt;10.1136/medethics-2022-108131&lt;/electronic-resource-num&gt;&lt;remote-database-name&gt;Medline&lt;/remote-database-name&gt;&lt;remote-database-provider&gt;NLM&lt;/remote-database-provider&gt;&lt;/record&gt;&lt;/Cite&gt;&lt;/EndNote&gt;</w:instrText>
      </w:r>
      <w:r w:rsidR="002E31AF">
        <w:fldChar w:fldCharType="separate"/>
      </w:r>
      <w:r w:rsidR="002E31AF">
        <w:rPr>
          <w:noProof/>
        </w:rPr>
        <w:t>[1]</w:t>
      </w:r>
      <w:r w:rsidR="002E31AF">
        <w:fldChar w:fldCharType="end"/>
      </w:r>
      <w:r w:rsidR="001C73BA">
        <w:t xml:space="preserve">, we discovered that the majority of these </w:t>
      </w:r>
      <w:r w:rsidR="00D769ED">
        <w:t xml:space="preserve">(n=128) </w:t>
      </w:r>
      <w:r w:rsidR="005A4016">
        <w:t xml:space="preserve">could be categorised more simply </w:t>
      </w:r>
      <w:r w:rsidR="001C73BA">
        <w:t xml:space="preserve">into </w:t>
      </w:r>
      <w:r w:rsidR="00D769ED">
        <w:t xml:space="preserve">4 categories: </w:t>
      </w:r>
      <w:r w:rsidR="0028478C">
        <w:t>professiona</w:t>
      </w:r>
      <w:r w:rsidR="009E1CEC">
        <w:t>l conduct (</w:t>
      </w:r>
      <w:r w:rsidR="00F837A5">
        <w:t>n=</w:t>
      </w:r>
      <w:r w:rsidR="009E1CEC">
        <w:t xml:space="preserve">49), competence/capacity (33), </w:t>
      </w:r>
      <w:r w:rsidR="00C45E34">
        <w:t>c</w:t>
      </w:r>
      <w:r w:rsidR="002545FE">
        <w:t>onsent (</w:t>
      </w:r>
      <w:r w:rsidR="00B34115">
        <w:t>n=</w:t>
      </w:r>
      <w:r w:rsidR="002545FE">
        <w:t>23)</w:t>
      </w:r>
      <w:r w:rsidR="005A4016">
        <w:t xml:space="preserve"> and</w:t>
      </w:r>
      <w:r w:rsidR="007155A6">
        <w:t xml:space="preserve"> </w:t>
      </w:r>
      <w:r w:rsidR="007E205E">
        <w:t>refusal of treatment (23</w:t>
      </w:r>
      <w:r w:rsidR="00113C4A">
        <w:t>)</w:t>
      </w:r>
      <w:r w:rsidR="002504AD">
        <w:t xml:space="preserve">. </w:t>
      </w:r>
      <w:r w:rsidR="00015810">
        <w:t>The remaining 26 enquiri</w:t>
      </w:r>
      <w:r w:rsidR="00851867">
        <w:t>e</w:t>
      </w:r>
      <w:r w:rsidR="00015810">
        <w:t xml:space="preserve">s </w:t>
      </w:r>
      <w:r w:rsidR="00851867">
        <w:t xml:space="preserve">related </w:t>
      </w:r>
      <w:r w:rsidR="00B81A8A">
        <w:t xml:space="preserve">to </w:t>
      </w:r>
      <w:r w:rsidR="001A66FE">
        <w:t>standard of care</w:t>
      </w:r>
      <w:r w:rsidR="00851867">
        <w:t xml:space="preserve"> (n=11), </w:t>
      </w:r>
      <w:r w:rsidR="00511EFE">
        <w:t>confidentiality</w:t>
      </w:r>
      <w:r w:rsidR="00851867">
        <w:t xml:space="preserve"> (n=5), </w:t>
      </w:r>
      <w:r w:rsidR="00511EFE">
        <w:t>duty of candour</w:t>
      </w:r>
      <w:r w:rsidR="00851867">
        <w:t xml:space="preserve"> (n=5)</w:t>
      </w:r>
      <w:r w:rsidR="006671A8">
        <w:t xml:space="preserve"> and one enquiry each for </w:t>
      </w:r>
      <w:r w:rsidR="00E93305">
        <w:t xml:space="preserve"> </w:t>
      </w:r>
      <w:r w:rsidR="001F3014">
        <w:t>withdrawal of care,</w:t>
      </w:r>
      <w:r w:rsidR="00E93305">
        <w:t xml:space="preserve"> </w:t>
      </w:r>
      <w:r w:rsidR="001F3014">
        <w:t>restraint</w:t>
      </w:r>
      <w:r w:rsidR="00E93305">
        <w:t xml:space="preserve">, </w:t>
      </w:r>
      <w:r w:rsidR="00601D0C">
        <w:t xml:space="preserve">conception, coronial </w:t>
      </w:r>
      <w:r w:rsidR="007A6766">
        <w:t>matters,</w:t>
      </w:r>
      <w:r w:rsidR="00601D0C">
        <w:t xml:space="preserve"> and tissue</w:t>
      </w:r>
      <w:r w:rsidR="006671A8">
        <w:t>.</w:t>
      </w:r>
    </w:p>
    <w:p w14:paraId="4390F785" w14:textId="77777777" w:rsidR="009A672D" w:rsidRDefault="009A672D" w:rsidP="00186B46">
      <w:pPr>
        <w:spacing w:line="480" w:lineRule="auto"/>
      </w:pPr>
    </w:p>
    <w:p w14:paraId="311498FA" w14:textId="0FD764A0" w:rsidR="009A672D" w:rsidRDefault="009A672D" w:rsidP="00186B46">
      <w:pPr>
        <w:spacing w:line="480" w:lineRule="auto"/>
      </w:pPr>
      <w:r>
        <w:t xml:space="preserve">The enquirer groups </w:t>
      </w:r>
      <w:r w:rsidR="00554EB1">
        <w:t xml:space="preserve">were </w:t>
      </w:r>
      <w:r w:rsidR="00550930">
        <w:t xml:space="preserve">likely </w:t>
      </w:r>
      <w:r w:rsidR="00554EB1">
        <w:t xml:space="preserve">skewed, </w:t>
      </w:r>
      <w:r w:rsidR="00550930">
        <w:t xml:space="preserve">since </w:t>
      </w:r>
      <w:r w:rsidR="00554EB1">
        <w:t xml:space="preserve">the department of clinical law is hosted with </w:t>
      </w:r>
      <w:r w:rsidR="0041035E">
        <w:t>Southampton</w:t>
      </w:r>
      <w:r w:rsidR="00554EB1">
        <w:t xml:space="preserve"> Children</w:t>
      </w:r>
      <w:r w:rsidR="0041035E">
        <w:t>’</w:t>
      </w:r>
      <w:r w:rsidR="00837074">
        <w:t>s Hospital, itself</w:t>
      </w:r>
      <w:r w:rsidR="0056791A">
        <w:t xml:space="preserve"> incorporated and full</w:t>
      </w:r>
      <w:r w:rsidR="00866BC4">
        <w:t>y</w:t>
      </w:r>
      <w:r w:rsidR="0056791A">
        <w:t xml:space="preserve"> integrated </w:t>
      </w:r>
      <w:r w:rsidR="00C078AB">
        <w:t>within University Hospital</w:t>
      </w:r>
      <w:r w:rsidR="0041035E">
        <w:t xml:space="preserve"> Southampton</w:t>
      </w:r>
      <w:r w:rsidR="00C078AB">
        <w:t>.</w:t>
      </w:r>
      <w:r w:rsidR="007862BD">
        <w:t xml:space="preserve"> </w:t>
      </w:r>
      <w:r w:rsidR="00346961">
        <w:t>F</w:t>
      </w:r>
      <w:r w:rsidR="00C62466">
        <w:t>orty-five</w:t>
      </w:r>
      <w:r w:rsidR="00CE6C76">
        <w:t xml:space="preserve"> </w:t>
      </w:r>
      <w:r w:rsidR="005F1B6D">
        <w:t xml:space="preserve">enquiries </w:t>
      </w:r>
      <w:r w:rsidR="00560473">
        <w:t>were received</w:t>
      </w:r>
      <w:r w:rsidR="00550930">
        <w:t xml:space="preserve"> from the </w:t>
      </w:r>
      <w:r w:rsidR="00553E82">
        <w:t>‘children’s surgeons’</w:t>
      </w:r>
      <w:r w:rsidR="0041035E">
        <w:t xml:space="preserve"> - </w:t>
      </w:r>
      <w:r w:rsidR="00553E82">
        <w:t xml:space="preserve">those dealing with </w:t>
      </w:r>
      <w:r w:rsidR="003013EE">
        <w:t xml:space="preserve">the six </w:t>
      </w:r>
      <w:r w:rsidR="00553E82">
        <w:t xml:space="preserve">surgical disciplines </w:t>
      </w:r>
      <w:r w:rsidR="001A4C80">
        <w:t xml:space="preserve">for </w:t>
      </w:r>
      <w:r w:rsidR="004349D3">
        <w:t>patients</w:t>
      </w:r>
      <w:r w:rsidR="001A4C80">
        <w:t xml:space="preserve"> under </w:t>
      </w:r>
      <w:r w:rsidR="00C62466">
        <w:lastRenderedPageBreak/>
        <w:t>sixteen</w:t>
      </w:r>
      <w:r w:rsidR="004349D3">
        <w:t xml:space="preserve">. </w:t>
      </w:r>
      <w:r w:rsidR="00FC011F">
        <w:t xml:space="preserve">Of the </w:t>
      </w:r>
      <w:r w:rsidR="005D58E3">
        <w:t>‘</w:t>
      </w:r>
      <w:r w:rsidR="00FC011F">
        <w:t>adult</w:t>
      </w:r>
      <w:r w:rsidR="005D58E3">
        <w:t>’</w:t>
      </w:r>
      <w:r w:rsidR="00FC011F">
        <w:t xml:space="preserve"> surgical disciplines, </w:t>
      </w:r>
      <w:r w:rsidR="005D58E3">
        <w:t>109 enquiries were made</w:t>
      </w:r>
      <w:r w:rsidR="002F5015">
        <w:t xml:space="preserve">. </w:t>
      </w:r>
      <w:r w:rsidR="005A1C88">
        <w:t xml:space="preserve">Of these the most frequent </w:t>
      </w:r>
      <w:r w:rsidR="008C7854">
        <w:t>enquirers came from General Surgery</w:t>
      </w:r>
      <w:r w:rsidR="00623044">
        <w:t xml:space="preserve"> [including Breast, Endocrine</w:t>
      </w:r>
      <w:r w:rsidR="00D32BC0">
        <w:t xml:space="preserve"> and Hep</w:t>
      </w:r>
      <w:r w:rsidR="00E12C61">
        <w:t>a</w:t>
      </w:r>
      <w:r w:rsidR="00D32BC0">
        <w:t>tobiliary]</w:t>
      </w:r>
      <w:r w:rsidR="00A71332">
        <w:t xml:space="preserve"> (</w:t>
      </w:r>
      <w:r w:rsidR="00811926">
        <w:t>34</w:t>
      </w:r>
      <w:r w:rsidR="00A71332">
        <w:t>)</w:t>
      </w:r>
      <w:r w:rsidR="008C7854">
        <w:t>,</w:t>
      </w:r>
      <w:r w:rsidR="00A71332">
        <w:t xml:space="preserve"> Trauma &amp; Orthopaedics (</w:t>
      </w:r>
      <w:r w:rsidR="00811926">
        <w:t>18</w:t>
      </w:r>
      <w:r w:rsidR="00A71332">
        <w:t xml:space="preserve"> ), </w:t>
      </w:r>
      <w:r w:rsidR="00A21779">
        <w:t>Urology (</w:t>
      </w:r>
      <w:r w:rsidR="00811926">
        <w:t>15</w:t>
      </w:r>
      <w:r w:rsidR="00A21779">
        <w:t xml:space="preserve"> ), </w:t>
      </w:r>
      <w:r w:rsidR="00674C46">
        <w:t>Neurosurgery (</w:t>
      </w:r>
      <w:r w:rsidR="00811926">
        <w:t>10</w:t>
      </w:r>
      <w:r w:rsidR="00674C46">
        <w:t xml:space="preserve"> )</w:t>
      </w:r>
      <w:r w:rsidR="00C73225">
        <w:t xml:space="preserve"> and ENT ( </w:t>
      </w:r>
      <w:r w:rsidR="00811926">
        <w:t>7</w:t>
      </w:r>
      <w:r w:rsidR="00C73225">
        <w:t xml:space="preserve">). Thoracic, </w:t>
      </w:r>
      <w:r w:rsidR="00604363">
        <w:t>Vascular, Cardiac</w:t>
      </w:r>
      <w:r w:rsidR="00706C0A">
        <w:t>,</w:t>
      </w:r>
      <w:r w:rsidR="00C33313">
        <w:t xml:space="preserve"> Plastic</w:t>
      </w:r>
      <w:r w:rsidR="004D69BB">
        <w:t xml:space="preserve"> </w:t>
      </w:r>
      <w:r w:rsidR="00E50D95">
        <w:t xml:space="preserve">and Dental </w:t>
      </w:r>
      <w:r w:rsidR="004D69BB">
        <w:t>surgery</w:t>
      </w:r>
      <w:r w:rsidR="00C33313">
        <w:t xml:space="preserve"> all </w:t>
      </w:r>
      <w:r w:rsidR="00F864DA">
        <w:t xml:space="preserve">generated </w:t>
      </w:r>
      <w:r w:rsidR="00C62466">
        <w:t>five</w:t>
      </w:r>
      <w:r w:rsidR="00C33313">
        <w:t xml:space="preserve"> or fewer</w:t>
      </w:r>
      <w:r w:rsidR="008C7854">
        <w:t xml:space="preserve"> </w:t>
      </w:r>
      <w:r w:rsidR="004D69BB">
        <w:t>enquiries.</w:t>
      </w:r>
      <w:r w:rsidR="00CB5335">
        <w:t xml:space="preserve"> </w:t>
      </w:r>
      <w:r w:rsidR="00710559">
        <w:t>(</w:t>
      </w:r>
      <w:r w:rsidR="00CB5335">
        <w:t xml:space="preserve">There were no enquiries </w:t>
      </w:r>
      <w:r w:rsidR="00F864DA">
        <w:t xml:space="preserve">from </w:t>
      </w:r>
      <w:r w:rsidR="003649B3">
        <w:t>Ophthalmology</w:t>
      </w:r>
      <w:r w:rsidR="00620EEB">
        <w:t xml:space="preserve"> or </w:t>
      </w:r>
      <w:r w:rsidR="003649B3">
        <w:t>G</w:t>
      </w:r>
      <w:r w:rsidR="00620EEB">
        <w:t>ynaecology</w:t>
      </w:r>
      <w:r w:rsidR="00710559">
        <w:t>)</w:t>
      </w:r>
      <w:r w:rsidR="00620EEB">
        <w:t>.</w:t>
      </w:r>
      <w:r w:rsidR="00B64338">
        <w:t xml:space="preserve"> </w:t>
      </w:r>
    </w:p>
    <w:p w14:paraId="07B58D98" w14:textId="5B05BCD6" w:rsidR="00811926" w:rsidRDefault="00811926" w:rsidP="00186B46">
      <w:pPr>
        <w:spacing w:line="480" w:lineRule="auto"/>
      </w:pPr>
    </w:p>
    <w:p w14:paraId="0C30FFD7" w14:textId="421B96C8" w:rsidR="002D1E29" w:rsidRDefault="002D1E29" w:rsidP="00186B46">
      <w:pPr>
        <w:pStyle w:val="Heading3"/>
        <w:spacing w:line="480" w:lineRule="auto"/>
      </w:pPr>
      <w:r>
        <w:t>Professional conduct</w:t>
      </w:r>
    </w:p>
    <w:p w14:paraId="5F538FCC" w14:textId="299B7F28" w:rsidR="002D1E29" w:rsidRPr="00811926" w:rsidRDefault="002D1E29" w:rsidP="00186B46">
      <w:pPr>
        <w:spacing w:line="480" w:lineRule="auto"/>
      </w:pPr>
      <w:r>
        <w:t xml:space="preserve">The enquiries relating to professional conduct were by definition generic, not centrally focussed on an individual patient. “Is there a duty to be a Good Samaritan?”; unsubstantiated ‘Professors;’ and unwise media postings were characteristic examples. In retrospect, we conclude that these represent </w:t>
      </w:r>
      <w:r w:rsidRPr="00811926">
        <w:rPr>
          <w:i/>
          <w:iCs/>
        </w:rPr>
        <w:t>professional</w:t>
      </w:r>
      <w:r>
        <w:t xml:space="preserve"> rather than </w:t>
      </w:r>
      <w:r w:rsidRPr="00811926">
        <w:rPr>
          <w:i/>
          <w:iCs/>
        </w:rPr>
        <w:t>clinical</w:t>
      </w:r>
      <w:r>
        <w:t xml:space="preserve"> practice and do not deal with them further in this report.</w:t>
      </w:r>
    </w:p>
    <w:p w14:paraId="062A3590" w14:textId="77777777" w:rsidR="00811926" w:rsidRDefault="00811926" w:rsidP="00186B46">
      <w:pPr>
        <w:spacing w:line="480" w:lineRule="auto"/>
      </w:pPr>
    </w:p>
    <w:p w14:paraId="60E56309" w14:textId="77777777" w:rsidR="00661CCC" w:rsidRDefault="00661CCC" w:rsidP="00186B46">
      <w:pPr>
        <w:spacing w:line="480" w:lineRule="auto"/>
      </w:pPr>
    </w:p>
    <w:p w14:paraId="0157E001" w14:textId="77777777" w:rsidR="00666B3D" w:rsidRDefault="00666B3D" w:rsidP="00186B46">
      <w:pPr>
        <w:spacing w:line="480" w:lineRule="auto"/>
      </w:pPr>
    </w:p>
    <w:p w14:paraId="419FECD7" w14:textId="79DE80C3" w:rsidR="009A01F6" w:rsidRPr="00990BDE" w:rsidRDefault="006D2198" w:rsidP="00186B46">
      <w:pPr>
        <w:pStyle w:val="Heading3"/>
        <w:spacing w:line="480" w:lineRule="auto"/>
      </w:pPr>
      <w:r w:rsidRPr="00990BDE">
        <w:t>The effect of incapacity</w:t>
      </w:r>
    </w:p>
    <w:p w14:paraId="70F5C1ED" w14:textId="34E8E266" w:rsidR="007D5FE9" w:rsidRDefault="00C62466" w:rsidP="00186B46">
      <w:pPr>
        <w:spacing w:line="480" w:lineRule="auto"/>
      </w:pPr>
      <w:r>
        <w:t>Patients</w:t>
      </w:r>
      <w:r w:rsidR="004E09FC">
        <w:t xml:space="preserve"> who lack capacity must have their interests protected</w:t>
      </w:r>
      <w:r w:rsidR="00FD37FB">
        <w:t xml:space="preserve">. Some make provision for incapacity, </w:t>
      </w:r>
      <w:r w:rsidR="005F1669">
        <w:t xml:space="preserve">by donating a Lasting </w:t>
      </w:r>
      <w:r w:rsidR="007D5FE9">
        <w:t>P</w:t>
      </w:r>
      <w:r w:rsidR="008437C1">
        <w:t xml:space="preserve">ower of </w:t>
      </w:r>
      <w:r w:rsidR="007D5FE9">
        <w:t>A</w:t>
      </w:r>
      <w:r w:rsidR="008437C1">
        <w:t>ttorney</w:t>
      </w:r>
      <w:r w:rsidR="00F17908">
        <w:t xml:space="preserve"> (LPA)</w:t>
      </w:r>
      <w:r w:rsidR="008437C1">
        <w:t xml:space="preserve"> to make health and welfare </w:t>
      </w:r>
      <w:r w:rsidR="00C63204">
        <w:t xml:space="preserve">decisions once incapacity emerges. </w:t>
      </w:r>
      <w:r w:rsidR="00116E37">
        <w:t xml:space="preserve">One enquiry related to whether </w:t>
      </w:r>
      <w:r w:rsidR="00F17908">
        <w:t>the donee of the LPA</w:t>
      </w:r>
      <w:r w:rsidR="00116E37">
        <w:t xml:space="preserve"> </w:t>
      </w:r>
      <w:r w:rsidR="00F17908">
        <w:t>could consent</w:t>
      </w:r>
      <w:r w:rsidR="007D5FE9">
        <w:t xml:space="preserve"> for </w:t>
      </w:r>
      <w:r w:rsidR="004476A8">
        <w:t xml:space="preserve">the donor’s </w:t>
      </w:r>
      <w:r w:rsidR="007D5FE9">
        <w:t>mastectomy</w:t>
      </w:r>
      <w:r w:rsidR="002B78FB">
        <w:t>, required due to cancer.</w:t>
      </w:r>
      <w:r w:rsidR="002F3D7A">
        <w:t xml:space="preserve"> The LPA instrument was entir</w:t>
      </w:r>
      <w:r w:rsidR="004B360E">
        <w:t>e</w:t>
      </w:r>
      <w:r w:rsidR="002F3D7A">
        <w:t xml:space="preserve">ly aligned with this use, and </w:t>
      </w:r>
      <w:r w:rsidR="00F71812">
        <w:t>surgery proceeded uneventfully. More difficult to deal with is fluctuating capacity</w:t>
      </w:r>
      <w:r w:rsidR="00746B23">
        <w:t>, in particular incapacity precipitated by fear. A  man needed p</w:t>
      </w:r>
      <w:r w:rsidR="00E04B03">
        <w:t>leurectomy/pleurodesis, and desperately wanted the proce</w:t>
      </w:r>
      <w:r w:rsidR="006B6171">
        <w:t xml:space="preserve">dure, since his life was dogged by recurrent pneumothorax. But he could not face </w:t>
      </w:r>
      <w:r w:rsidR="00DA445A">
        <w:lastRenderedPageBreak/>
        <w:t>entering the anaesthetic room</w:t>
      </w:r>
      <w:r w:rsidR="001816D5">
        <w:t>, and had failed twice, despite premedication, to do so</w:t>
      </w:r>
      <w:r w:rsidR="00607C8F">
        <w:t>. During these episodes he was rendered incapacitous</w:t>
      </w:r>
      <w:r w:rsidR="004B1154">
        <w:t xml:space="preserve">, </w:t>
      </w:r>
      <w:r w:rsidR="005F57F7" w:rsidRPr="005F57F7">
        <w:rPr>
          <w:color w:val="FF0000"/>
        </w:rPr>
        <w:t>combative</w:t>
      </w:r>
      <w:r w:rsidR="008F645A">
        <w:t>. Unusually, it was possible to obtain an anticipatory dec</w:t>
      </w:r>
      <w:r w:rsidR="00260271">
        <w:t>l</w:t>
      </w:r>
      <w:r w:rsidR="008F645A">
        <w:t>aration</w:t>
      </w:r>
      <w:r w:rsidR="00260271">
        <w:t xml:space="preserve"> from the High Court to facilitate reasonable, </w:t>
      </w:r>
      <w:r>
        <w:t>necessary,</w:t>
      </w:r>
      <w:r w:rsidR="00260271">
        <w:t xml:space="preserve"> and proportionate restraint</w:t>
      </w:r>
      <w:r w:rsidR="00A112BE">
        <w:t xml:space="preserve"> to </w:t>
      </w:r>
      <w:r>
        <w:t>administer</w:t>
      </w:r>
      <w:r w:rsidR="00A112BE">
        <w:t xml:space="preserve"> the anaesthetic. Paradoxi</w:t>
      </w:r>
      <w:r w:rsidR="0069181D">
        <w:t>cally, on the day, none of this was required. His fear, seemingly, evaporated.</w:t>
      </w:r>
    </w:p>
    <w:p w14:paraId="49204F0C" w14:textId="3E5F473F" w:rsidR="00822EB1" w:rsidRDefault="00455C6B" w:rsidP="00186B46">
      <w:pPr>
        <w:spacing w:line="480" w:lineRule="auto"/>
      </w:pPr>
      <w:r>
        <w:t>Assumption</w:t>
      </w:r>
      <w:r w:rsidR="00F502E8">
        <w:t xml:space="preserve">s of incapacity are unhelpful. </w:t>
      </w:r>
      <w:r w:rsidR="005F57F7">
        <w:t>A</w:t>
      </w:r>
      <w:r w:rsidR="005F57F7" w:rsidRPr="005F57F7">
        <w:rPr>
          <w:color w:val="FF0000"/>
        </w:rPr>
        <w:t xml:space="preserve"> </w:t>
      </w:r>
      <w:r w:rsidR="005F57F7">
        <w:rPr>
          <w:color w:val="FF0000"/>
        </w:rPr>
        <w:t>man</w:t>
      </w:r>
      <w:r w:rsidR="00F502E8" w:rsidRPr="005F57F7">
        <w:rPr>
          <w:color w:val="FF0000"/>
        </w:rPr>
        <w:t xml:space="preserve"> </w:t>
      </w:r>
      <w:r w:rsidR="00F502E8">
        <w:t>presented</w:t>
      </w:r>
      <w:r w:rsidR="0036200E">
        <w:t xml:space="preserve"> for </w:t>
      </w:r>
      <w:r w:rsidR="00C62466">
        <w:t>herniorrhaphy</w:t>
      </w:r>
      <w:r w:rsidR="005F57F7">
        <w:t>,</w:t>
      </w:r>
      <w:r w:rsidR="00A26574">
        <w:t xml:space="preserve"> </w:t>
      </w:r>
      <w:r w:rsidR="00822EB1">
        <w:t>smelling of cannabis</w:t>
      </w:r>
      <w:r w:rsidR="00A26574">
        <w:t xml:space="preserve">. </w:t>
      </w:r>
      <w:r w:rsidR="00F0503B">
        <w:t>On this basis h</w:t>
      </w:r>
      <w:r w:rsidR="00A26574">
        <w:t xml:space="preserve">is </w:t>
      </w:r>
      <w:r w:rsidR="009F2905">
        <w:t>discombobulated</w:t>
      </w:r>
      <w:r w:rsidR="00A26574">
        <w:t xml:space="preserve"> surgeon</w:t>
      </w:r>
      <w:r w:rsidR="00F0503B">
        <w:t xml:space="preserve"> concluded </w:t>
      </w:r>
      <w:r w:rsidR="00822EB1">
        <w:t>incapa</w:t>
      </w:r>
      <w:r w:rsidR="004F616C">
        <w:t xml:space="preserve">city, </w:t>
      </w:r>
      <w:r w:rsidR="0011326B">
        <w:t>seeking clinical legal assistance. B</w:t>
      </w:r>
      <w:r w:rsidR="004F616C">
        <w:t>ut the pati</w:t>
      </w:r>
      <w:r w:rsidR="00C84647">
        <w:t>e</w:t>
      </w:r>
      <w:r w:rsidR="004F616C">
        <w:t xml:space="preserve">nt </w:t>
      </w:r>
      <w:r w:rsidR="00247233">
        <w:t>could understand, retai</w:t>
      </w:r>
      <w:r w:rsidR="00757F94">
        <w:t xml:space="preserve">n, </w:t>
      </w:r>
      <w:r w:rsidR="001C7E30">
        <w:t xml:space="preserve">weigh </w:t>
      </w:r>
      <w:r w:rsidR="00F27C1C">
        <w:t xml:space="preserve">information; </w:t>
      </w:r>
      <w:r w:rsidR="001C7E30">
        <w:t>and communicate his decision to undergo</w:t>
      </w:r>
      <w:r w:rsidR="00C84647">
        <w:t xml:space="preserve"> surgery. Capacity established.</w:t>
      </w:r>
      <w:r w:rsidR="0036200E">
        <w:t xml:space="preserve"> Whether or not he was fit for anaesthe</w:t>
      </w:r>
      <w:r w:rsidR="00075B80">
        <w:t>sia</w:t>
      </w:r>
      <w:r w:rsidR="00F20A4E">
        <w:t>, irrespective of</w:t>
      </w:r>
      <w:r w:rsidR="00075B80">
        <w:t xml:space="preserve"> his capa</w:t>
      </w:r>
      <w:r w:rsidR="00A65DB1">
        <w:t>bility</w:t>
      </w:r>
      <w:r w:rsidR="008E2259">
        <w:t>,</w:t>
      </w:r>
      <w:r w:rsidR="00075B80">
        <w:t xml:space="preserve"> rem</w:t>
      </w:r>
      <w:r w:rsidR="00F20A4E">
        <w:t>a</w:t>
      </w:r>
      <w:r w:rsidR="00075B80">
        <w:t>ined a matter for the an</w:t>
      </w:r>
      <w:r w:rsidR="008E2259">
        <w:t>a</w:t>
      </w:r>
      <w:r w:rsidR="00075B80">
        <w:t>esthetist.</w:t>
      </w:r>
    </w:p>
    <w:p w14:paraId="7EA7D4BF" w14:textId="77777777" w:rsidR="00A40CF8" w:rsidRDefault="00A40CF8" w:rsidP="00186B46">
      <w:pPr>
        <w:spacing w:line="480" w:lineRule="auto"/>
        <w:rPr>
          <w:rFonts w:eastAsia="Times New Roman"/>
        </w:rPr>
      </w:pPr>
    </w:p>
    <w:p w14:paraId="0799961B" w14:textId="7E4F92F2" w:rsidR="00A40CF8" w:rsidRDefault="00A40CF8" w:rsidP="00186B46">
      <w:pPr>
        <w:spacing w:line="480" w:lineRule="auto"/>
        <w:rPr>
          <w:rFonts w:eastAsia="Times New Roman"/>
        </w:rPr>
      </w:pPr>
      <w:r>
        <w:rPr>
          <w:rFonts w:eastAsia="Times New Roman"/>
        </w:rPr>
        <w:t xml:space="preserve">Enquiries relating to incapacity were frequent, including questions about the capacity of the </w:t>
      </w:r>
      <w:r w:rsidR="00C62466">
        <w:rPr>
          <w:rFonts w:eastAsia="Times New Roman"/>
        </w:rPr>
        <w:t>patient</w:t>
      </w:r>
      <w:r>
        <w:rPr>
          <w:rFonts w:eastAsia="Times New Roman"/>
        </w:rPr>
        <w:t xml:space="preserve"> (8), where the incapacitated patient's best interests lay (5), and the effect of learning disabilities or difficulties(3). The latter group was illustrated by a question as to whether a young man with normal intellectual ability combined with severe specific problems with information processing could be anaesthetised for a haircut; he suffered louse infestation in unmanageably long hair, causing him misery. Finding that he lacked capacity in terms of the Mental Capacity Act 2005</w:t>
      </w:r>
      <w:r w:rsidR="005F57F7">
        <w:rPr>
          <w:rFonts w:eastAsia="Times New Roman"/>
        </w:rPr>
        <w:t xml:space="preserve"> (</w:t>
      </w:r>
      <w:r w:rsidR="005F57F7" w:rsidRPr="005F57F7">
        <w:rPr>
          <w:rFonts w:eastAsia="Times New Roman"/>
          <w:color w:val="FF0000"/>
        </w:rPr>
        <w:t>MCA 2005</w:t>
      </w:r>
      <w:r w:rsidR="005F57F7">
        <w:rPr>
          <w:rFonts w:eastAsia="Times New Roman"/>
        </w:rPr>
        <w:t>)</w:t>
      </w:r>
      <w:r>
        <w:rPr>
          <w:rFonts w:eastAsia="Times New Roman"/>
        </w:rPr>
        <w:t xml:space="preserve">, it was then decided that this procedure was in his best interests. The diagnosis of incapacity in some cases caused difficulty; one </w:t>
      </w:r>
      <w:r w:rsidR="00C62466">
        <w:rPr>
          <w:rFonts w:eastAsia="Times New Roman"/>
        </w:rPr>
        <w:t>patient</w:t>
      </w:r>
      <w:r>
        <w:rPr>
          <w:rFonts w:eastAsia="Times New Roman"/>
        </w:rPr>
        <w:t xml:space="preserve"> had been found to be incapacitated by one team, and then provided ostensibly capacitous consent for surgery to another team, </w:t>
      </w:r>
      <w:r w:rsidR="00050326">
        <w:rPr>
          <w:rFonts w:eastAsia="Times New Roman"/>
        </w:rPr>
        <w:t xml:space="preserve">ten </w:t>
      </w:r>
      <w:r w:rsidR="00C62466">
        <w:rPr>
          <w:rFonts w:eastAsia="Times New Roman"/>
        </w:rPr>
        <w:t>minute</w:t>
      </w:r>
      <w:r w:rsidR="00050326">
        <w:rPr>
          <w:rFonts w:eastAsia="Times New Roman"/>
        </w:rPr>
        <w:t>s later</w:t>
      </w:r>
      <w:r>
        <w:rPr>
          <w:rFonts w:eastAsia="Times New Roman"/>
        </w:rPr>
        <w:t xml:space="preserve">. The enquiry focussed on how to unravel this knot. Another apparently capacitous patient was restrained under the </w:t>
      </w:r>
      <w:r w:rsidRPr="005F57F7">
        <w:rPr>
          <w:rFonts w:eastAsia="Times New Roman"/>
          <w:color w:val="FF0000"/>
        </w:rPr>
        <w:t>D</w:t>
      </w:r>
      <w:r w:rsidR="005F57F7" w:rsidRPr="005F57F7">
        <w:rPr>
          <w:rFonts w:eastAsia="Times New Roman"/>
          <w:color w:val="FF0000"/>
        </w:rPr>
        <w:t xml:space="preserve">eprivation </w:t>
      </w:r>
      <w:r w:rsidR="005F57F7" w:rsidRPr="005F57F7">
        <w:rPr>
          <w:rFonts w:eastAsia="Times New Roman"/>
          <w:color w:val="FF0000"/>
        </w:rPr>
        <w:lastRenderedPageBreak/>
        <w:t>of Liberty Safeguards (D</w:t>
      </w:r>
      <w:r w:rsidRPr="005F57F7">
        <w:rPr>
          <w:rFonts w:eastAsia="Times New Roman"/>
          <w:color w:val="FF0000"/>
        </w:rPr>
        <w:t>OLS</w:t>
      </w:r>
      <w:r w:rsidR="005F57F7" w:rsidRPr="005F57F7">
        <w:rPr>
          <w:rFonts w:eastAsia="Times New Roman"/>
          <w:color w:val="FF0000"/>
        </w:rPr>
        <w:t>, MCA 2005)</w:t>
      </w:r>
      <w:r>
        <w:rPr>
          <w:rFonts w:eastAsia="Times New Roman"/>
        </w:rPr>
        <w:t xml:space="preserve"> regime; a clear contradiction, since the latter authorises liberty deprivation only in those who lack capacity. </w:t>
      </w:r>
      <w:r w:rsidR="006303F4">
        <w:rPr>
          <w:rFonts w:eastAsia="Times New Roman"/>
        </w:rPr>
        <w:t>Further enquiry</w:t>
      </w:r>
      <w:r>
        <w:rPr>
          <w:rFonts w:eastAsia="Times New Roman"/>
        </w:rPr>
        <w:t xml:space="preserve"> was founded on the notion that a blind man's capacitous consent for surgery must be recorded on a Form 4 (a </w:t>
      </w:r>
      <w:r w:rsidR="00C62466">
        <w:rPr>
          <w:rFonts w:eastAsia="Times New Roman"/>
        </w:rPr>
        <w:t>consent</w:t>
      </w:r>
      <w:r>
        <w:rPr>
          <w:rFonts w:eastAsia="Times New Roman"/>
        </w:rPr>
        <w:t xml:space="preserve"> form for incapacitated </w:t>
      </w:r>
      <w:r w:rsidR="00C62466">
        <w:rPr>
          <w:rFonts w:eastAsia="Times New Roman"/>
        </w:rPr>
        <w:t>patients</w:t>
      </w:r>
      <w:r>
        <w:rPr>
          <w:rFonts w:eastAsia="Times New Roman"/>
        </w:rPr>
        <w:t>). We have little doubt that these anomalies are repeated nationwide, on a daily basis. On a more positive note, patients with reduced intellectual ability can be greatly assisted by Learning Disability specialists. A</w:t>
      </w:r>
      <w:r w:rsidR="005F57F7">
        <w:rPr>
          <w:rFonts w:eastAsia="Times New Roman"/>
        </w:rPr>
        <w:t xml:space="preserve"> </w:t>
      </w:r>
      <w:r>
        <w:rPr>
          <w:rFonts w:eastAsia="Times New Roman"/>
        </w:rPr>
        <w:t>man who had severely impaired intellectual ability  had a keratinised mass of cholesteatoma growing into his mastoid, eroding the bone, resulting in urgent hospitalisation with para</w:t>
      </w:r>
      <w:r w:rsidR="00C62466">
        <w:rPr>
          <w:rFonts w:eastAsia="Times New Roman"/>
        </w:rPr>
        <w:t>-</w:t>
      </w:r>
      <w:r>
        <w:rPr>
          <w:rFonts w:eastAsia="Times New Roman"/>
        </w:rPr>
        <w:t xml:space="preserve">meningeal infection. </w:t>
      </w:r>
      <w:r w:rsidR="00D11EBC">
        <w:rPr>
          <w:rFonts w:eastAsia="Times New Roman"/>
        </w:rPr>
        <w:t>Surgery was</w:t>
      </w:r>
      <w:r>
        <w:rPr>
          <w:rFonts w:eastAsia="Times New Roman"/>
        </w:rPr>
        <w:t xml:space="preserve"> required. His wife</w:t>
      </w:r>
      <w:r w:rsidR="00C62466">
        <w:rPr>
          <w:rFonts w:eastAsia="Times New Roman"/>
        </w:rPr>
        <w:t>,</w:t>
      </w:r>
      <w:r>
        <w:rPr>
          <w:rFonts w:eastAsia="Times New Roman"/>
        </w:rPr>
        <w:t xml:space="preserve"> </w:t>
      </w:r>
      <w:r w:rsidR="00C62466">
        <w:rPr>
          <w:rFonts w:eastAsia="Times New Roman"/>
        </w:rPr>
        <w:t>similarly</w:t>
      </w:r>
      <w:r>
        <w:rPr>
          <w:rFonts w:eastAsia="Times New Roman"/>
        </w:rPr>
        <w:t xml:space="preserve"> impaired</w:t>
      </w:r>
      <w:r w:rsidR="007A6766">
        <w:rPr>
          <w:rFonts w:eastAsia="Times New Roman"/>
        </w:rPr>
        <w:t>,</w:t>
      </w:r>
      <w:r>
        <w:rPr>
          <w:rFonts w:eastAsia="Times New Roman"/>
        </w:rPr>
        <w:t xml:space="preserve"> had told him that people die in hospital, without providing further context to this warning, and he reasonably refused surgery. The LD team showed him a large model of the ear canal, mastoid and facial nerve...including the keratin mass, and explained the plan, and the unlikelihood of death. Ultimately, despite his disability, he was able to demonstrate capacity (albeit with the considerable assistance provided under the Code of the MCA 2005) and underwent successful surgery.</w:t>
      </w:r>
    </w:p>
    <w:p w14:paraId="5636C342" w14:textId="77777777" w:rsidR="00661CCC" w:rsidRDefault="00661CCC" w:rsidP="00186B46">
      <w:pPr>
        <w:spacing w:line="480" w:lineRule="auto"/>
      </w:pPr>
    </w:p>
    <w:p w14:paraId="71703382" w14:textId="77777777" w:rsidR="002754FF" w:rsidRDefault="002754FF" w:rsidP="00186B46">
      <w:pPr>
        <w:spacing w:line="480" w:lineRule="auto"/>
      </w:pPr>
    </w:p>
    <w:p w14:paraId="4241B42D" w14:textId="77777777" w:rsidR="005C1A65" w:rsidRPr="002754FF" w:rsidRDefault="005C1A65" w:rsidP="00186B46">
      <w:pPr>
        <w:pStyle w:val="Heading3"/>
        <w:spacing w:line="480" w:lineRule="auto"/>
      </w:pPr>
      <w:r w:rsidRPr="002754FF">
        <w:t>Consent</w:t>
      </w:r>
    </w:p>
    <w:p w14:paraId="6DAA0806" w14:textId="5410AF23" w:rsidR="005C1A65" w:rsidRDefault="005C1A65" w:rsidP="00186B46">
      <w:pPr>
        <w:spacing w:line="480" w:lineRule="auto"/>
      </w:pPr>
      <w:r>
        <w:t xml:space="preserve">There were twenty-three enquiries related to consent: the total number of consent enquiries for the whole hospital cohort was 152, thus the surgical rate was disproportionately low. Most surgical questions referred to generic matters of who can provide consent, the substance of disclosure prior to consent, and the manner of the recording of the transaction. Of the remainder, a 14-year mother sought to provide </w:t>
      </w:r>
      <w:r>
        <w:lastRenderedPageBreak/>
        <w:t xml:space="preserve">consent for her </w:t>
      </w:r>
      <w:r w:rsidR="00AB35AA">
        <w:t>newborn’s</w:t>
      </w:r>
      <w:r>
        <w:t xml:space="preserve"> </w:t>
      </w:r>
      <w:r w:rsidR="004B1154" w:rsidRPr="004B1154">
        <w:rPr>
          <w:color w:val="FF0000"/>
        </w:rPr>
        <w:t>surgery</w:t>
      </w:r>
      <w:r>
        <w:t xml:space="preserve">. Having delivered the baby, she by definition had parental responsibility for her child. It remained </w:t>
      </w:r>
      <w:r w:rsidR="005316FB">
        <w:t>to be d</w:t>
      </w:r>
      <w:r w:rsidR="008B61AE">
        <w:t>etermined</w:t>
      </w:r>
      <w:r>
        <w:t xml:space="preserve"> whether she had sufficient maturity and intelligence to understand the relevant disclosure and come to a decision. Two enquiries concerned the status of ‘retrospective’ consent for surgery, which is not an entity in medical practice. Both related to adult patients who had presented in extremis, incapacitated, who required emergency surgery. In both cases surgery proceeded with no consent whatsoever, purely on the basis of the necessity to save life or limb, in the best interests of the patient. This is a usual and lawful arrangement. There is no mechanism for consent by proxy (or in retrospect) in adult practice. A different misconception was demonstrated by a question about implied consent for the rectal examination of a capacitous woman, which would not usually accord with reasonable practice</w:t>
      </w:r>
      <w:r w:rsidR="008B61AE">
        <w:t>.</w:t>
      </w:r>
      <w:r>
        <w:t xml:space="preserve"> Ask first, prior to examination.</w:t>
      </w:r>
    </w:p>
    <w:p w14:paraId="2F02BAAD" w14:textId="77777777" w:rsidR="005C1A65" w:rsidRDefault="005C1A65" w:rsidP="00186B46">
      <w:pPr>
        <w:spacing w:line="480" w:lineRule="auto"/>
      </w:pPr>
    </w:p>
    <w:p w14:paraId="16C0594A" w14:textId="77777777" w:rsidR="005C1A65" w:rsidRDefault="005C1A65" w:rsidP="00186B46">
      <w:pPr>
        <w:spacing w:line="480" w:lineRule="auto"/>
      </w:pPr>
      <w:r>
        <w:t xml:space="preserve">Of the questions relating to disclosure preceding consent, one concerned the proposed provision of information prior to oncoplastic surgery solely by clinical nurse specialists. The opportunity for discussion with a surgeon to the occasion on which the form was signed was limited. This was not in accordance with the General Medical Council’s advice. </w:t>
      </w:r>
    </w:p>
    <w:p w14:paraId="6C2E2893" w14:textId="77777777" w:rsidR="005C1A65" w:rsidRDefault="005C1A65" w:rsidP="00186B46">
      <w:pPr>
        <w:spacing w:line="480" w:lineRule="auto"/>
      </w:pPr>
    </w:p>
    <w:p w14:paraId="41D76E30" w14:textId="77777777" w:rsidR="005C1A65" w:rsidRDefault="005C1A65" w:rsidP="00186B46">
      <w:pPr>
        <w:spacing w:line="480" w:lineRule="auto"/>
      </w:pPr>
      <w:r>
        <w:t xml:space="preserve">Obtaining prenatal consent for postnatal procedures on newborn babies is often a matter of convenience. Particularly when families may live hundreds of miles from the tertiary centre, and urgent helicopter/ambulance transfer of the newborn may take place before a mother recovering from caesarean section is fit to travel. The problem is that the unborn child has no legal personality; and that mother will not have parental </w:t>
      </w:r>
      <w:r>
        <w:lastRenderedPageBreak/>
        <w:t>responsibility (and hence the right to consent) until the baby is born. For these reasons, in theory, prenatal consent for postnatal treatment has no legal basis. We can find no decided judgement, so this remains an enigma, untested.</w:t>
      </w:r>
    </w:p>
    <w:p w14:paraId="16ECA65D" w14:textId="77777777" w:rsidR="00674DCE" w:rsidRDefault="00674DCE" w:rsidP="00186B46">
      <w:pPr>
        <w:spacing w:line="480" w:lineRule="auto"/>
      </w:pPr>
    </w:p>
    <w:p w14:paraId="4C6BC9ED" w14:textId="77777777" w:rsidR="00140A00" w:rsidRPr="009A01F6" w:rsidRDefault="00140A00" w:rsidP="00186B46">
      <w:pPr>
        <w:pStyle w:val="Heading3"/>
        <w:spacing w:line="480" w:lineRule="auto"/>
      </w:pPr>
      <w:r>
        <w:t>R</w:t>
      </w:r>
      <w:r w:rsidRPr="009A01F6">
        <w:t>efusals</w:t>
      </w:r>
      <w:r>
        <w:t xml:space="preserve"> of treatment</w:t>
      </w:r>
    </w:p>
    <w:p w14:paraId="5E2E6F99" w14:textId="77777777" w:rsidR="00140A00" w:rsidRDefault="00140A00" w:rsidP="00186B46">
      <w:pPr>
        <w:spacing w:line="480" w:lineRule="auto"/>
      </w:pPr>
      <w:r>
        <w:t>Eleven enquiries were made about patients who needed amputations for distal leg ischaemia. In all cases the patient was opposing surgery and lacked capacity to decide whether amputation provided overall benefit, since they could weigh neither the risks (nor the benefits) of operative versus conservative management. The surgeons sought advice as to how this should be resolved; applications to the Court of Protection were required. An adult with autism</w:t>
      </w:r>
      <w:r w:rsidRPr="00FC361E">
        <w:t xml:space="preserve"> </w:t>
      </w:r>
      <w:r>
        <w:t>presented with an open fracture of the elbow which required surgery. He was able to understand and weigh the benefits against the risks both of surgery and conservative treatment but was not able to believe that infection posed a risk, since he could see no soil or other contamination involving the wound. Whilst his lack of belief could be construed as negating his capacity, an interview with the Learning Disability service clarified the matter, and he provided valid consent.</w:t>
      </w:r>
    </w:p>
    <w:p w14:paraId="367C2D01" w14:textId="77777777" w:rsidR="00140A00" w:rsidRDefault="00140A00" w:rsidP="00186B46">
      <w:pPr>
        <w:spacing w:line="480" w:lineRule="auto"/>
      </w:pPr>
    </w:p>
    <w:p w14:paraId="54D752D5" w14:textId="03BBD7BD" w:rsidR="00140A00" w:rsidRDefault="00140A00" w:rsidP="00186B46">
      <w:pPr>
        <w:spacing w:line="480" w:lineRule="auto"/>
      </w:pPr>
      <w:r>
        <w:t>Capacitous refusals of treatment were usually on the basis of patients wishing to avoid blood transfusion, usually on the basis of their religious beliefs. Adults in this situation are free to run the risk of catastrophic bleeding unsupported by blood transfusion. However, surgeons, anaesthetists and intensivists must not pursue a course of conduct which they believe is contrary to their patient’s welfare. Having discussed the benefits and limitations of all adjunctive techniques to avoid blood product transfusion, two patients requir</w:t>
      </w:r>
      <w:r w:rsidR="002934B9">
        <w:t>ed</w:t>
      </w:r>
      <w:r>
        <w:t xml:space="preserve"> guarantees that in no circumstances would blood be administered </w:t>
      </w:r>
      <w:r>
        <w:lastRenderedPageBreak/>
        <w:t xml:space="preserve">during the course of elective treatment. They were provided with a referral for a second opinion, to units who might be prepared to conform with their </w:t>
      </w:r>
      <w:r w:rsidR="005B107F">
        <w:t>requests</w:t>
      </w:r>
      <w:r>
        <w:t>.</w:t>
      </w:r>
    </w:p>
    <w:p w14:paraId="63919C8E" w14:textId="77777777" w:rsidR="00140A00" w:rsidRDefault="00140A00" w:rsidP="00186B46">
      <w:pPr>
        <w:spacing w:line="480" w:lineRule="auto"/>
      </w:pPr>
    </w:p>
    <w:p w14:paraId="642FD1FE" w14:textId="6ADD2F29" w:rsidR="00140A00" w:rsidRDefault="00140A00" w:rsidP="00186B46">
      <w:pPr>
        <w:spacing w:line="480" w:lineRule="auto"/>
      </w:pPr>
      <w:r>
        <w:t xml:space="preserve">Incapacitated adult Jehovah’s witnesses in urgent need of blood transfusion were also encountered. An unconscious man exsanguinating after a road traffic accident was accompanied by family members including a sister who held a Lasting Power of Attorney, providing her with the authority to refuse blood on her brother’s behalf. After ensuring that this was correctly set out and registered with the Office of the Public Guardian, his wishes were followed, and he died of his blood loss. By contrast, an older patient in similar clinical circumstances was accompanied by an acquaintance who brought with them a document; an Advance Decision to Refuse Treatment (ADRT), in relation to blood transfusion. However, the ADRT was not applicable to </w:t>
      </w:r>
      <w:r w:rsidRPr="00FE014B">
        <w:rPr>
          <w:u w:val="single"/>
        </w:rPr>
        <w:t>life</w:t>
      </w:r>
      <w:r>
        <w:rPr>
          <w:u w:val="single"/>
        </w:rPr>
        <w:t>-</w:t>
      </w:r>
      <w:r w:rsidRPr="00FE014B">
        <w:rPr>
          <w:u w:val="single"/>
        </w:rPr>
        <w:t>saving</w:t>
      </w:r>
      <w:r>
        <w:t xml:space="preserve"> treatment, since the patient had not included in it a statement to the effect that his refusal applied even if his life was at risk; an essential requirement. The acquaintance was unable to provide cogent further evidence indicating any resolve that the patient might have had to die in these circumstances</w:t>
      </w:r>
      <w:r w:rsidR="005B107F">
        <w:t>;</w:t>
      </w:r>
      <w:r w:rsidR="000B5C41">
        <w:t xml:space="preserve"> </w:t>
      </w:r>
      <w:r>
        <w:t>transfused</w:t>
      </w:r>
      <w:r w:rsidR="000B5C41">
        <w:t xml:space="preserve">, he survived. </w:t>
      </w:r>
    </w:p>
    <w:p w14:paraId="1997F862" w14:textId="77777777" w:rsidR="00140A00" w:rsidRDefault="00140A00" w:rsidP="00186B46">
      <w:pPr>
        <w:spacing w:line="480" w:lineRule="auto"/>
      </w:pPr>
    </w:p>
    <w:p w14:paraId="76208BC9" w14:textId="77777777" w:rsidR="00140A00" w:rsidRDefault="00140A00" w:rsidP="00186B46">
      <w:pPr>
        <w:spacing w:line="480" w:lineRule="auto"/>
      </w:pPr>
      <w:r>
        <w:t xml:space="preserve">There were five enquiries relating to refusal of essential blood transfusion in children, including the blood required for pump priming in cardiac surgery. These were sharply divided into refusals by parents (all Jehovah’s Witnesses) on behalf of their incompetent infants, and those made by competent mature minor Witnesses. Parental refusal is characteristically dealt with by a court application which if successful denies the parents of </w:t>
      </w:r>
      <w:r w:rsidRPr="00992628">
        <w:rPr>
          <w:i/>
          <w:iCs/>
        </w:rPr>
        <w:t>only</w:t>
      </w:r>
      <w:r>
        <w:t xml:space="preserve"> the responsibility to decide to use blood. No other element of parental rights or responsibility is interfered with in this process, and the brethren </w:t>
      </w:r>
      <w:r>
        <w:lastRenderedPageBreak/>
        <w:t>largely accept this process as absolving them of the responsibility for what is an excruciating decision.</w:t>
      </w:r>
    </w:p>
    <w:p w14:paraId="599F8319" w14:textId="77777777" w:rsidR="00140A00" w:rsidRDefault="00140A00" w:rsidP="00186B46">
      <w:pPr>
        <w:spacing w:line="480" w:lineRule="auto"/>
      </w:pPr>
    </w:p>
    <w:p w14:paraId="57753145" w14:textId="0216E37D" w:rsidR="00140A00" w:rsidRDefault="00140A00" w:rsidP="00186B46">
      <w:pPr>
        <w:spacing w:line="480" w:lineRule="auto"/>
      </w:pPr>
      <w:r>
        <w:t xml:space="preserve">Stoma surgery for imperforate anus also refused; based on parental certainty of imminent miraculous spontaneous cure. We contemplated a court application, given the increasing abdominal distention of this obstructed neonate. But fate (in the form of concerned religious elders) </w:t>
      </w:r>
      <w:r w:rsidR="00AB35AA">
        <w:t>intervened and</w:t>
      </w:r>
      <w:r>
        <w:t xml:space="preserve"> allowed treatment to be provided  with maternal consent. Epilepsy surgery in a </w:t>
      </w:r>
      <w:r w:rsidR="004B1154" w:rsidRPr="004B1154">
        <w:rPr>
          <w:color w:val="FF0000"/>
        </w:rPr>
        <w:t>child</w:t>
      </w:r>
      <w:r>
        <w:t xml:space="preserve"> was initially refused by parents, leading to an enquiry about whether and how management should proceed. Ultimately, after some days consultation with grandparents, consent was provided; no explanation emerged.</w:t>
      </w:r>
    </w:p>
    <w:p w14:paraId="45F00014" w14:textId="77777777" w:rsidR="00140A00" w:rsidRDefault="00140A00" w:rsidP="00186B46">
      <w:pPr>
        <w:spacing w:line="480" w:lineRule="auto"/>
      </w:pPr>
    </w:p>
    <w:p w14:paraId="233FDB34" w14:textId="67F9B5CF" w:rsidR="00140A00" w:rsidRPr="004B1154" w:rsidRDefault="00140A00" w:rsidP="00186B46">
      <w:pPr>
        <w:spacing w:line="480" w:lineRule="auto"/>
        <w:rPr>
          <w:color w:val="FF0000"/>
        </w:rPr>
      </w:pPr>
      <w:r>
        <w:t>One enquiry related to a patient refusing  C</w:t>
      </w:r>
      <w:r w:rsidR="004B1154">
        <w:t>O</w:t>
      </w:r>
      <w:r>
        <w:t>V</w:t>
      </w:r>
      <w:r w:rsidR="004B1154">
        <w:t>ID</w:t>
      </w:r>
      <w:r>
        <w:t xml:space="preserve">-19 vaccination prior to Whipple’s resection. The patient </w:t>
      </w:r>
      <w:r w:rsidR="007B6285">
        <w:t xml:space="preserve">initially </w:t>
      </w:r>
      <w:r>
        <w:t>objected on the grounds of his human rights</w:t>
      </w:r>
      <w:r w:rsidR="004331E9">
        <w:t>. H</w:t>
      </w:r>
      <w:r>
        <w:t xml:space="preserve">e considered the notion of a pandemic fallacious, thus exercising his freedom of thought, protected under Art.9 of the Convention of Human Rights. </w:t>
      </w:r>
      <w:r w:rsidR="00CB3ADD" w:rsidRPr="004B1154">
        <w:rPr>
          <w:color w:val="FF0000"/>
        </w:rPr>
        <w:t>Ultimately</w:t>
      </w:r>
      <w:r w:rsidR="007B6285" w:rsidRPr="004B1154">
        <w:rPr>
          <w:color w:val="FF0000"/>
        </w:rPr>
        <w:t>,</w:t>
      </w:r>
      <w:r w:rsidR="004B1154" w:rsidRPr="004B1154">
        <w:rPr>
          <w:color w:val="FF0000"/>
        </w:rPr>
        <w:t xml:space="preserve"> consent was forthcoming</w:t>
      </w:r>
      <w:r w:rsidRPr="004B1154">
        <w:rPr>
          <w:color w:val="FF0000"/>
        </w:rPr>
        <w:t>.</w:t>
      </w:r>
    </w:p>
    <w:p w14:paraId="5AB5A23D" w14:textId="4E67A2F4" w:rsidR="00207FCF" w:rsidRDefault="00207FCF" w:rsidP="00186B46">
      <w:pPr>
        <w:spacing w:line="480" w:lineRule="auto"/>
      </w:pPr>
    </w:p>
    <w:p w14:paraId="25FC3585" w14:textId="77777777" w:rsidR="00E04807" w:rsidRDefault="00E04807" w:rsidP="00186B46">
      <w:pPr>
        <w:spacing w:line="480" w:lineRule="auto"/>
        <w:rPr>
          <w:b/>
          <w:bCs/>
        </w:rPr>
      </w:pPr>
    </w:p>
    <w:p w14:paraId="411D5BFC" w14:textId="6A67AA46" w:rsidR="00BE053C" w:rsidRPr="00860D81" w:rsidRDefault="00804861" w:rsidP="00186B46">
      <w:pPr>
        <w:pStyle w:val="Heading3"/>
        <w:spacing w:line="480" w:lineRule="auto"/>
      </w:pPr>
      <w:r w:rsidRPr="00860D81">
        <w:t>Confidentiality</w:t>
      </w:r>
    </w:p>
    <w:p w14:paraId="58B7C6FB" w14:textId="382A8E6B" w:rsidR="00CB2BA2" w:rsidRDefault="000F4857" w:rsidP="00186B46">
      <w:pPr>
        <w:spacing w:line="480" w:lineRule="auto"/>
      </w:pPr>
      <w:r>
        <w:t>The notion of consent is as applic</w:t>
      </w:r>
      <w:r w:rsidR="00767B8E">
        <w:t>a</w:t>
      </w:r>
      <w:r>
        <w:t xml:space="preserve">ble to </w:t>
      </w:r>
      <w:r w:rsidR="00F463A3">
        <w:t>sharing secrets</w:t>
      </w:r>
      <w:r w:rsidR="00767B8E">
        <w:t xml:space="preserve"> (thus </w:t>
      </w:r>
      <w:r w:rsidR="009869BA">
        <w:t xml:space="preserve">providing permission </w:t>
      </w:r>
      <w:r w:rsidR="00F13697">
        <w:t xml:space="preserve">to the </w:t>
      </w:r>
      <w:r w:rsidR="009869BA">
        <w:t>disclos</w:t>
      </w:r>
      <w:r w:rsidR="00F13697">
        <w:t>ure of</w:t>
      </w:r>
      <w:r w:rsidR="009869BA">
        <w:t xml:space="preserve"> private information)</w:t>
      </w:r>
      <w:r w:rsidR="00F463A3">
        <w:t xml:space="preserve"> as it is to </w:t>
      </w:r>
      <w:r w:rsidR="00137EAF">
        <w:t>legitimise</w:t>
      </w:r>
      <w:r w:rsidR="00F463A3">
        <w:t xml:space="preserve"> the otherwise unwanted touch.</w:t>
      </w:r>
      <w:r w:rsidR="006B3925">
        <w:t xml:space="preserve"> </w:t>
      </w:r>
      <w:r w:rsidR="00D5737C">
        <w:t xml:space="preserve">In </w:t>
      </w:r>
      <w:r w:rsidR="00466694">
        <w:t xml:space="preserve">our </w:t>
      </w:r>
      <w:r w:rsidR="0017174C">
        <w:t xml:space="preserve"> original </w:t>
      </w:r>
      <w:r w:rsidR="00466694">
        <w:t>report</w:t>
      </w:r>
      <w:r w:rsidR="00D5737C">
        <w:t xml:space="preserve">, </w:t>
      </w:r>
      <w:r w:rsidR="00F12C86">
        <w:t xml:space="preserve">127/1157 </w:t>
      </w:r>
      <w:r w:rsidR="00BD4ADB">
        <w:t xml:space="preserve"> enquiries </w:t>
      </w:r>
      <w:r w:rsidR="00137EAF">
        <w:t>related</w:t>
      </w:r>
      <w:r w:rsidR="00BD4ADB">
        <w:t xml:space="preserve"> to confidentiality</w:t>
      </w:r>
      <w:r w:rsidR="00F11611">
        <w:t xml:space="preserve"> </w:t>
      </w:r>
      <w:r w:rsidR="00D50F1B">
        <w:fldChar w:fldCharType="begin"/>
      </w:r>
      <w:r w:rsidR="00D50F1B">
        <w:instrText xml:space="preserve"> ADDIN EN.CITE &lt;EndNote&gt;&lt;Cite&gt;&lt;Author&gt;Wheeler&lt;/Author&gt;&lt;Year&gt;2023&lt;/Year&gt;&lt;RecNum&gt;2684&lt;/RecNum&gt;&lt;DisplayText&gt;[1]&lt;/DisplayText&gt;&lt;record&gt;&lt;rec-number&gt;2684&lt;/rec-number&gt;&lt;foreign-keys&gt;&lt;key app="EN" db-id="0ttf5p9pnzwed8eatx5xvrxvxwfwa990x02z" timestamp="1697452722" guid="c02df8c8-5b66-46cd-a38a-363005ec666d"&gt;2684&lt;/key&gt;&lt;/foreign-keys&gt;&lt;ref-type name="Journal Article"&gt;17&lt;/ref-type&gt;&lt;contributors&gt;&lt;authors&gt;&lt;author&gt;Wheeler, R.&lt;/author&gt;&lt;author&gt;Hall, N.&lt;/author&gt;&lt;/authors&gt;&lt;/contributors&gt;&lt;auth-address&gt;Paediatric Surgery, University Hospital Southampton NHS Foundation Trust, Southampton, UK robert.wheeler@uhs.nhs.uk.&amp;#xD;University Hospital Southampton NHS Foundation Trust, Southampton, UK.&lt;/auth-address&gt;&lt;titles&gt;&lt;title&gt;Clinical law: what do clinicians want to know? The demography of clinical law&lt;/title&gt;&lt;secondary-title&gt;J Med Ethics&lt;/secondary-title&gt;&lt;/titles&gt;&lt;periodical&gt;&lt;full-title&gt;J Med Ethics&lt;/full-title&gt;&lt;/periodical&gt;&lt;pages&gt;229-234&lt;/pages&gt;&lt;volume&gt;49&lt;/volume&gt;&lt;number&gt;4&lt;/number&gt;&lt;edition&gt;20220427&lt;/edition&gt;&lt;keywords&gt;&lt;keyword&gt;Humans&lt;/keyword&gt;&lt;keyword&gt;*Informed Consent&lt;/keyword&gt;&lt;keyword&gt;Prospective Studies&lt;/keyword&gt;&lt;keyword&gt;Disclosure&lt;/keyword&gt;&lt;keyword&gt;*Mental Disorders&lt;/keyword&gt;&lt;keyword&gt;Demography&lt;/keyword&gt;&lt;keyword&gt;Confidentiality&lt;/keyword&gt;&lt;keyword&gt;Clinical Competence&lt;/keyword&gt;&lt;keyword&gt;Ethics- Medical&lt;/keyword&gt;&lt;keyword&gt;Family&lt;/keyword&gt;&lt;keyword&gt;Informed Consent&lt;/keyword&gt;&lt;/keywords&gt;&lt;dates&gt;&lt;year&gt;2023&lt;/year&gt;&lt;pub-dates&gt;&lt;date&gt;Apr&lt;/date&gt;&lt;/pub-dates&gt;&lt;/dates&gt;&lt;isbn&gt;1473-4257 (Electronic)&amp;#xD;0306-6800 (Linking)&lt;/isbn&gt;&lt;accession-num&gt;35477553&lt;/accession-num&gt;&lt;urls&gt;&lt;related-urls&gt;&lt;url&gt;https://www.ncbi.nlm.nih.gov/pubmed/35477553&lt;/url&gt;&lt;/related-urls&gt;&lt;/urls&gt;&lt;custom1&gt;Competing interests: None declared.&lt;/custom1&gt;&lt;electronic-resource-num&gt;10.1136/medethics-2022-108131&lt;/electronic-resource-num&gt;&lt;remote-database-name&gt;Medline&lt;/remote-database-name&gt;&lt;remote-database-provider&gt;NLM&lt;/remote-database-provider&gt;&lt;/record&gt;&lt;/Cite&gt;&lt;/EndNote&gt;</w:instrText>
      </w:r>
      <w:r w:rsidR="00D50F1B">
        <w:fldChar w:fldCharType="separate"/>
      </w:r>
      <w:r w:rsidR="00D50F1B">
        <w:rPr>
          <w:noProof/>
        </w:rPr>
        <w:t>[1]</w:t>
      </w:r>
      <w:r w:rsidR="00D50F1B">
        <w:fldChar w:fldCharType="end"/>
      </w:r>
      <w:r w:rsidR="00BD4ADB">
        <w:t xml:space="preserve">, but </w:t>
      </w:r>
      <w:r w:rsidR="00273FC8">
        <w:t xml:space="preserve">only </w:t>
      </w:r>
      <w:r w:rsidR="0071689B">
        <w:t xml:space="preserve">5 </w:t>
      </w:r>
      <w:r w:rsidR="00A14C78">
        <w:t>/1</w:t>
      </w:r>
      <w:r w:rsidR="00882F61">
        <w:t>54</w:t>
      </w:r>
      <w:r w:rsidR="00A14C78">
        <w:t xml:space="preserve"> enquiries </w:t>
      </w:r>
      <w:r w:rsidR="0071689B">
        <w:t xml:space="preserve">were made </w:t>
      </w:r>
      <w:r w:rsidR="00D50F1B">
        <w:t>in this</w:t>
      </w:r>
      <w:r w:rsidR="00BD4ADB">
        <w:t xml:space="preserve"> surgical cohort</w:t>
      </w:r>
      <w:r w:rsidR="0071689B">
        <w:t>. One rel</w:t>
      </w:r>
      <w:r w:rsidR="00767B8E">
        <w:t>a</w:t>
      </w:r>
      <w:r w:rsidR="0071689B">
        <w:t xml:space="preserve">ted to </w:t>
      </w:r>
      <w:r w:rsidR="00247410">
        <w:t>a</w:t>
      </w:r>
      <w:r w:rsidR="00804861">
        <w:t xml:space="preserve"> wound </w:t>
      </w:r>
      <w:r w:rsidR="00804861">
        <w:lastRenderedPageBreak/>
        <w:t>photograph</w:t>
      </w:r>
      <w:r w:rsidR="00247410">
        <w:t xml:space="preserve"> taken without consent for no</w:t>
      </w:r>
      <w:r w:rsidR="00830967">
        <w:t xml:space="preserve"> reason</w:t>
      </w:r>
      <w:r w:rsidR="00A14C78">
        <w:t>a</w:t>
      </w:r>
      <w:r w:rsidR="00830967">
        <w:t>ble purpose</w:t>
      </w:r>
      <w:r w:rsidR="00C95DCE">
        <w:t>; another to the entir</w:t>
      </w:r>
      <w:r w:rsidR="00DF1735">
        <w:t>e</w:t>
      </w:r>
      <w:r w:rsidR="00C95DCE">
        <w:t>ly i</w:t>
      </w:r>
      <w:r w:rsidR="00804861">
        <w:t xml:space="preserve">nappropriate </w:t>
      </w:r>
      <w:r w:rsidR="00CB2BA2">
        <w:t>discl</w:t>
      </w:r>
      <w:r w:rsidR="00C95DCE">
        <w:t>os</w:t>
      </w:r>
      <w:r w:rsidR="00CB2BA2">
        <w:t xml:space="preserve">ure of </w:t>
      </w:r>
      <w:r w:rsidR="00956934">
        <w:t>a</w:t>
      </w:r>
      <w:r w:rsidR="00CB2BA2">
        <w:t>dopter</w:t>
      </w:r>
      <w:r w:rsidR="00956934">
        <w:t>s’</w:t>
      </w:r>
      <w:r w:rsidR="00CB2BA2">
        <w:t xml:space="preserve"> identit</w:t>
      </w:r>
      <w:r w:rsidR="00956934">
        <w:t>ies</w:t>
      </w:r>
      <w:r w:rsidR="00C95DCE">
        <w:t xml:space="preserve"> </w:t>
      </w:r>
      <w:r w:rsidR="00956934">
        <w:t>to the natural parent</w:t>
      </w:r>
      <w:r w:rsidR="00DF1735">
        <w:t>.</w:t>
      </w:r>
      <w:r w:rsidR="00D91D24">
        <w:t xml:space="preserve"> Meaningful </w:t>
      </w:r>
      <w:r w:rsidR="009526C4">
        <w:t xml:space="preserve">and sincere </w:t>
      </w:r>
      <w:r w:rsidR="00D91D24">
        <w:t xml:space="preserve">apologies </w:t>
      </w:r>
      <w:r w:rsidR="009526C4">
        <w:t xml:space="preserve">were recommended, pending any action </w:t>
      </w:r>
      <w:r w:rsidR="00F21EA6">
        <w:t xml:space="preserve">from </w:t>
      </w:r>
      <w:r w:rsidR="009526C4">
        <w:t>these citizens</w:t>
      </w:r>
      <w:r w:rsidR="00F21EA6">
        <w:t xml:space="preserve">. </w:t>
      </w:r>
      <w:r w:rsidR="00E21FEF">
        <w:t>S</w:t>
      </w:r>
      <w:r w:rsidR="00621330">
        <w:t xml:space="preserve">urgeons contemplating asking a </w:t>
      </w:r>
      <w:r w:rsidR="00137EAF">
        <w:t>Persian</w:t>
      </w:r>
      <w:r w:rsidR="00885014">
        <w:t>-speaki</w:t>
      </w:r>
      <w:r w:rsidR="008A7900">
        <w:t>ng</w:t>
      </w:r>
      <w:r w:rsidR="00CB2BA2">
        <w:t xml:space="preserve"> daughter </w:t>
      </w:r>
      <w:r w:rsidR="00621330">
        <w:t>to</w:t>
      </w:r>
      <w:r w:rsidR="00014072">
        <w:t xml:space="preserve"> interpret for discl</w:t>
      </w:r>
      <w:r w:rsidR="00885014">
        <w:t>o</w:t>
      </w:r>
      <w:r w:rsidR="00014072">
        <w:t>sure prior to seeking her</w:t>
      </w:r>
      <w:r w:rsidR="00CB2BA2">
        <w:t xml:space="preserve"> father’s consent</w:t>
      </w:r>
      <w:r w:rsidR="00E21FEF">
        <w:t xml:space="preserve"> for surgery sought advice; </w:t>
      </w:r>
      <w:r w:rsidR="008A7900">
        <w:t xml:space="preserve">the </w:t>
      </w:r>
      <w:r w:rsidR="00137EAF">
        <w:t>commercial</w:t>
      </w:r>
      <w:r w:rsidR="008A7900">
        <w:t xml:space="preserve"> language line was engaged, until it became clear that father was </w:t>
      </w:r>
      <w:r w:rsidR="008E4957">
        <w:t>fluent</w:t>
      </w:r>
      <w:r w:rsidR="00A24BA9">
        <w:t>, educated</w:t>
      </w:r>
      <w:r w:rsidR="008E4957">
        <w:t xml:space="preserve"> at </w:t>
      </w:r>
      <w:r w:rsidR="00F132DB">
        <w:t>an English U</w:t>
      </w:r>
      <w:r w:rsidR="008E4957">
        <w:t>niversity</w:t>
      </w:r>
      <w:r w:rsidR="00F132DB">
        <w:t>.</w:t>
      </w:r>
      <w:r w:rsidR="00DE6F13">
        <w:t xml:space="preserve"> An enquiry </w:t>
      </w:r>
      <w:r w:rsidR="00582038">
        <w:t>one evening</w:t>
      </w:r>
      <w:r w:rsidR="00032AAC">
        <w:t xml:space="preserve"> </w:t>
      </w:r>
      <w:r w:rsidR="00DE6F13">
        <w:t xml:space="preserve">was </w:t>
      </w:r>
      <w:r w:rsidR="00032AAC">
        <w:t>made</w:t>
      </w:r>
      <w:r w:rsidR="00DE6F13">
        <w:t xml:space="preserve"> with respect to a man </w:t>
      </w:r>
      <w:r w:rsidR="004423F2">
        <w:t>convalesc</w:t>
      </w:r>
      <w:r w:rsidR="00032AAC">
        <w:t>ing</w:t>
      </w:r>
      <w:r w:rsidR="004423F2">
        <w:t xml:space="preserve"> on a surgical ward. The p</w:t>
      </w:r>
      <w:r w:rsidR="003D3915">
        <w:t xml:space="preserve">olice </w:t>
      </w:r>
      <w:r w:rsidR="004423F2">
        <w:t xml:space="preserve">were </w:t>
      </w:r>
      <w:r w:rsidR="003D3915">
        <w:t xml:space="preserve">seeking notice of </w:t>
      </w:r>
      <w:r w:rsidR="004423F2">
        <w:t xml:space="preserve">the hour of his </w:t>
      </w:r>
      <w:r w:rsidR="003D3915">
        <w:t>discharge</w:t>
      </w:r>
      <w:r w:rsidR="004423F2">
        <w:t xml:space="preserve">. </w:t>
      </w:r>
      <w:r w:rsidR="0076481F">
        <w:t>The enquiry led to the man being asked whether his info</w:t>
      </w:r>
      <w:r w:rsidR="00300BE7">
        <w:t>rmation could be shared with the police, and he declined</w:t>
      </w:r>
      <w:r w:rsidR="00697989">
        <w:t>, preferring the ho</w:t>
      </w:r>
      <w:r w:rsidR="00C31186">
        <w:t>s</w:t>
      </w:r>
      <w:r w:rsidR="00697989">
        <w:t>pital not to become</w:t>
      </w:r>
      <w:r w:rsidR="00C31186">
        <w:t xml:space="preserve"> an arm of</w:t>
      </w:r>
      <w:r w:rsidR="00697989">
        <w:t xml:space="preserve"> criminal justice</w:t>
      </w:r>
      <w:r w:rsidR="00C31186">
        <w:t>.</w:t>
      </w:r>
    </w:p>
    <w:p w14:paraId="7521319C" w14:textId="77777777" w:rsidR="00602CC2" w:rsidRDefault="00602CC2" w:rsidP="00186B46">
      <w:pPr>
        <w:spacing w:line="480" w:lineRule="auto"/>
        <w:rPr>
          <w:b/>
          <w:bCs/>
        </w:rPr>
      </w:pPr>
    </w:p>
    <w:p w14:paraId="3629E12E" w14:textId="77777777" w:rsidR="005222DB" w:rsidRDefault="005222DB" w:rsidP="00186B46">
      <w:pPr>
        <w:spacing w:line="480" w:lineRule="auto"/>
      </w:pPr>
    </w:p>
    <w:p w14:paraId="31807663" w14:textId="67BF6D00" w:rsidR="005222DB" w:rsidRPr="00702429" w:rsidRDefault="00702429" w:rsidP="00186B46">
      <w:pPr>
        <w:pStyle w:val="Heading3"/>
        <w:spacing w:line="480" w:lineRule="auto"/>
      </w:pPr>
      <w:r w:rsidRPr="00702429">
        <w:t xml:space="preserve">Interaction of </w:t>
      </w:r>
      <w:r w:rsidR="00D73623">
        <w:t xml:space="preserve"> Mental Health Act 1983 (</w:t>
      </w:r>
      <w:r w:rsidRPr="00702429">
        <w:t>MHA</w:t>
      </w:r>
      <w:r w:rsidR="00D73623">
        <w:t xml:space="preserve"> 1983) </w:t>
      </w:r>
      <w:r w:rsidRPr="00702429">
        <w:t>and surgery</w:t>
      </w:r>
    </w:p>
    <w:p w14:paraId="6A2C1C4D" w14:textId="3ECBCE58" w:rsidR="00FD633B" w:rsidRDefault="004361A6" w:rsidP="00186B46">
      <w:pPr>
        <w:spacing w:line="480" w:lineRule="auto"/>
      </w:pPr>
      <w:r>
        <w:t>Four</w:t>
      </w:r>
      <w:r w:rsidR="000674BF">
        <w:t xml:space="preserve"> inp</w:t>
      </w:r>
      <w:r w:rsidR="00490064">
        <w:t>atients requir</w:t>
      </w:r>
      <w:r>
        <w:t>ed</w:t>
      </w:r>
      <w:r w:rsidR="00490064">
        <w:t xml:space="preserve"> </w:t>
      </w:r>
      <w:r>
        <w:t xml:space="preserve">urgent </w:t>
      </w:r>
      <w:r w:rsidR="00490064">
        <w:t xml:space="preserve">surgery </w:t>
      </w:r>
      <w:r w:rsidR="000674BF">
        <w:t>w</w:t>
      </w:r>
      <w:r>
        <w:t xml:space="preserve">hilst </w:t>
      </w:r>
      <w:r w:rsidR="000674BF">
        <w:t>compelled by the MHA 1983 to be admitted and treated for men</w:t>
      </w:r>
      <w:r w:rsidR="00D73623">
        <w:t>t</w:t>
      </w:r>
      <w:r w:rsidR="000674BF">
        <w:t xml:space="preserve">al disorder. Despite this co-morbidity, </w:t>
      </w:r>
      <w:r>
        <w:t>3</w:t>
      </w:r>
      <w:r w:rsidR="000674BF">
        <w:t xml:space="preserve"> had capacity</w:t>
      </w:r>
      <w:r w:rsidR="00D73623">
        <w:t xml:space="preserve">, </w:t>
      </w:r>
      <w:r w:rsidR="00490064">
        <w:t xml:space="preserve">but </w:t>
      </w:r>
      <w:r w:rsidR="00D73623">
        <w:t xml:space="preserve">were </w:t>
      </w:r>
      <w:r w:rsidR="00490064">
        <w:t>refusing consent to aneurysm</w:t>
      </w:r>
      <w:r w:rsidR="00137EAF">
        <w:t xml:space="preserve"> resection</w:t>
      </w:r>
      <w:r w:rsidR="00490064">
        <w:t>,</w:t>
      </w:r>
      <w:r>
        <w:t xml:space="preserve"> amputation</w:t>
      </w:r>
      <w:r w:rsidR="00490064">
        <w:t>,</w:t>
      </w:r>
      <w:r>
        <w:t xml:space="preserve"> and the fixation of a cranial plate. The latter patient had induced a compound fracture of the skull through which they were attem</w:t>
      </w:r>
      <w:r w:rsidR="00802FF8">
        <w:t>p</w:t>
      </w:r>
      <w:r>
        <w:t>ting to pass objects into their</w:t>
      </w:r>
      <w:r w:rsidR="00490064">
        <w:t xml:space="preserve"> brain</w:t>
      </w:r>
      <w:r>
        <w:t>.</w:t>
      </w:r>
      <w:r w:rsidR="00802FF8">
        <w:t xml:space="preserve"> </w:t>
      </w:r>
      <w:r>
        <w:t xml:space="preserve">In none of these cases </w:t>
      </w:r>
      <w:r w:rsidR="00802FF8">
        <w:t>c</w:t>
      </w:r>
      <w:r>
        <w:t xml:space="preserve">ould the MHA provide authority for surgery, </w:t>
      </w:r>
      <w:r w:rsidR="00802FF8">
        <w:t>since that statute provides primarily for the treatment of mental disorder. I</w:t>
      </w:r>
      <w:r>
        <w:t>n each case a High Court judgement was obtained.</w:t>
      </w:r>
      <w:r w:rsidR="00FD633B">
        <w:t xml:space="preserve"> </w:t>
      </w:r>
      <w:r w:rsidR="0084485A">
        <w:t>The</w:t>
      </w:r>
      <w:r w:rsidR="00802FF8">
        <w:t xml:space="preserve"> fourth case concerned a child needing fracture fixation, who eventually consented to treatment. </w:t>
      </w:r>
    </w:p>
    <w:p w14:paraId="24D8AAF8" w14:textId="77777777" w:rsidR="00FD633B" w:rsidRDefault="00FD633B" w:rsidP="00186B46">
      <w:pPr>
        <w:spacing w:line="480" w:lineRule="auto"/>
      </w:pPr>
    </w:p>
    <w:p w14:paraId="2B6E5C00" w14:textId="7BAA1D07" w:rsidR="00B555E3" w:rsidRDefault="00097174" w:rsidP="00186B46">
      <w:pPr>
        <w:spacing w:line="480" w:lineRule="auto"/>
      </w:pPr>
      <w:r>
        <w:lastRenderedPageBreak/>
        <w:t xml:space="preserve">Thirteen enquires </w:t>
      </w:r>
      <w:r w:rsidR="00727149">
        <w:t xml:space="preserve">related to young people, </w:t>
      </w:r>
      <w:r w:rsidR="00137EAF">
        <w:t>often</w:t>
      </w:r>
      <w:r w:rsidR="00727149">
        <w:t xml:space="preserve"> in secure mental </w:t>
      </w:r>
      <w:r w:rsidR="00137EAF">
        <w:t>facilities</w:t>
      </w:r>
      <w:r w:rsidR="00F721F0">
        <w:t>,</w:t>
      </w:r>
      <w:r w:rsidR="00D73623">
        <w:t xml:space="preserve"> although sometimes not compulsorily admitted</w:t>
      </w:r>
      <w:r w:rsidR="00F721F0">
        <w:t xml:space="preserve"> swallowing sharp objects</w:t>
      </w:r>
      <w:r w:rsidR="005962D0">
        <w:t xml:space="preserve"> unsuitable for </w:t>
      </w:r>
      <w:r w:rsidR="00137EAF">
        <w:t>endoscopic</w:t>
      </w:r>
      <w:r w:rsidR="00F20809">
        <w:t xml:space="preserve"> extraction</w:t>
      </w:r>
      <w:r w:rsidR="008527A9">
        <w:t>;</w:t>
      </w:r>
      <w:r w:rsidR="00F721F0">
        <w:t xml:space="preserve"> oft</w:t>
      </w:r>
      <w:r w:rsidR="00511366">
        <w:t>e</w:t>
      </w:r>
      <w:r w:rsidR="00F721F0">
        <w:t xml:space="preserve">n </w:t>
      </w:r>
      <w:r w:rsidR="00A23799">
        <w:t>cutlery but</w:t>
      </w:r>
      <w:r w:rsidR="00511366">
        <w:t xml:space="preserve"> including other paraphernalia</w:t>
      </w:r>
      <w:r w:rsidR="003274BF">
        <w:t xml:space="preserve">. </w:t>
      </w:r>
      <w:r w:rsidR="0079114C">
        <w:t xml:space="preserve">There was an accumulating risk of serious injury </w:t>
      </w:r>
      <w:r w:rsidR="00B90245">
        <w:t>associated with repeated laparotomies (10 in one case)</w:t>
      </w:r>
      <w:r w:rsidR="00F756AB">
        <w:t xml:space="preserve">. The </w:t>
      </w:r>
      <w:r w:rsidR="00EF36CB">
        <w:t>common enquiry was whether conservative management was reasonable.</w:t>
      </w:r>
      <w:r w:rsidR="00852A1E">
        <w:t xml:space="preserve"> The </w:t>
      </w:r>
      <w:r w:rsidR="009920CC">
        <w:t xml:space="preserve">risks and benefits of </w:t>
      </w:r>
      <w:r w:rsidR="003924B2">
        <w:t xml:space="preserve">retrieval </w:t>
      </w:r>
      <w:r w:rsidR="008C0DA3">
        <w:t xml:space="preserve">were balanced </w:t>
      </w:r>
      <w:r w:rsidR="003924B2">
        <w:t xml:space="preserve">against those of </w:t>
      </w:r>
      <w:r w:rsidR="00542F02">
        <w:t>no operation</w:t>
      </w:r>
      <w:r w:rsidR="006A3C01">
        <w:t>. This approach to a balance sheet</w:t>
      </w:r>
      <w:r w:rsidR="008C0DA3">
        <w:t xml:space="preserve"> </w:t>
      </w:r>
      <w:r w:rsidR="00C56CB4">
        <w:t xml:space="preserve">often </w:t>
      </w:r>
      <w:r w:rsidR="008C0DA3">
        <w:t xml:space="preserve">enabled a clinical decision </w:t>
      </w:r>
      <w:r w:rsidR="00C56CB4">
        <w:t>to be made to leave</w:t>
      </w:r>
      <w:r w:rsidR="0098036C">
        <w:t xml:space="preserve"> (particularly cutlery)</w:t>
      </w:r>
      <w:r w:rsidR="00BE6B7E">
        <w:t xml:space="preserve"> within the stomach. </w:t>
      </w:r>
    </w:p>
    <w:p w14:paraId="52DE56F5" w14:textId="77777777" w:rsidR="00490064" w:rsidRDefault="00490064" w:rsidP="00186B46">
      <w:pPr>
        <w:spacing w:line="480" w:lineRule="auto"/>
      </w:pPr>
    </w:p>
    <w:p w14:paraId="3848B1CE" w14:textId="77777777" w:rsidR="00881860" w:rsidRDefault="00881860" w:rsidP="00186B46">
      <w:pPr>
        <w:spacing w:line="480" w:lineRule="auto"/>
      </w:pPr>
    </w:p>
    <w:p w14:paraId="6B54185B" w14:textId="77777777" w:rsidR="009123F8" w:rsidRDefault="009123F8" w:rsidP="00186B46">
      <w:pPr>
        <w:spacing w:line="480" w:lineRule="auto"/>
        <w:rPr>
          <w:b/>
          <w:bCs/>
        </w:rPr>
      </w:pPr>
    </w:p>
    <w:p w14:paraId="3C9BB89D" w14:textId="0C861891" w:rsidR="00EB7D24" w:rsidRPr="00936E94" w:rsidRDefault="00CE7291" w:rsidP="00186B46">
      <w:pPr>
        <w:pStyle w:val="Heading2"/>
        <w:spacing w:line="480" w:lineRule="auto"/>
        <w:rPr>
          <w:i/>
          <w:iCs/>
        </w:rPr>
      </w:pPr>
      <w:r w:rsidRPr="00936E94">
        <w:rPr>
          <w:i/>
          <w:iCs/>
        </w:rPr>
        <w:t>Discussion</w:t>
      </w:r>
    </w:p>
    <w:p w14:paraId="44A21A20" w14:textId="0E3B3169" w:rsidR="00771300" w:rsidRDefault="00771300" w:rsidP="00186B46">
      <w:pPr>
        <w:spacing w:line="480" w:lineRule="auto"/>
        <w:rPr>
          <w:rFonts w:eastAsia="Times New Roman"/>
        </w:rPr>
      </w:pPr>
      <w:r>
        <w:rPr>
          <w:rFonts w:eastAsia="Times New Roman"/>
        </w:rPr>
        <w:t>Ask a surgeon what 'medicolegal' entails and she'll reply in a heartbeat: 'clinical negligence'. </w:t>
      </w:r>
      <w:r w:rsidR="00CE7291">
        <w:rPr>
          <w:rFonts w:eastAsia="Times New Roman"/>
        </w:rPr>
        <w:t xml:space="preserve"> </w:t>
      </w:r>
      <w:r>
        <w:rPr>
          <w:rFonts w:eastAsia="Times New Roman"/>
        </w:rPr>
        <w:t xml:space="preserve">Reflect on the content of medicolegal courses widely promulgated and momentarily it seems she's </w:t>
      </w:r>
      <w:r w:rsidR="00CE7291">
        <w:rPr>
          <w:rFonts w:eastAsia="Times New Roman"/>
        </w:rPr>
        <w:t>correct</w:t>
      </w:r>
      <w:r>
        <w:rPr>
          <w:rFonts w:eastAsia="Times New Roman"/>
        </w:rPr>
        <w:t>. But viewed through the prism of 1</w:t>
      </w:r>
      <w:r w:rsidR="004106F0">
        <w:rPr>
          <w:rFonts w:eastAsia="Times New Roman"/>
        </w:rPr>
        <w:t>54</w:t>
      </w:r>
      <w:r>
        <w:rPr>
          <w:rFonts w:eastAsia="Times New Roman"/>
        </w:rPr>
        <w:t xml:space="preserve"> surgeons' enquiries and you will see a tapestry of clinical dilemmas far removed from adversarial law. We present the clinical legal aspect of surgery, infinitely richer than litigation for fees and quantum. Patterns of dilemmas and routes to remedy, often avoiding courts altogether, are revealed. This is the rich lode of clinical surgery that preoccupation with litigation obscures, to the detriment of our patients.</w:t>
      </w:r>
    </w:p>
    <w:p w14:paraId="78B84C94" w14:textId="77777777" w:rsidR="00771300" w:rsidRDefault="00771300" w:rsidP="00186B46">
      <w:pPr>
        <w:spacing w:line="480" w:lineRule="auto"/>
      </w:pPr>
    </w:p>
    <w:p w14:paraId="7CE8E492" w14:textId="021C6D1A" w:rsidR="00E6484D" w:rsidRDefault="00A47BE4" w:rsidP="00186B46">
      <w:pPr>
        <w:spacing w:line="480" w:lineRule="auto"/>
      </w:pPr>
      <w:r>
        <w:t xml:space="preserve">We demonstrate the protean presentations of </w:t>
      </w:r>
      <w:r w:rsidR="00753CF9">
        <w:t xml:space="preserve">‘surgical’ law. </w:t>
      </w:r>
      <w:r w:rsidR="007B026A">
        <w:t xml:space="preserve">The diversity is no more surprising than the </w:t>
      </w:r>
      <w:r w:rsidR="00747FFC">
        <w:t>other stuff of surgery</w:t>
      </w:r>
      <w:r w:rsidR="005550E6">
        <w:t>:</w:t>
      </w:r>
      <w:r w:rsidR="00747FFC">
        <w:t xml:space="preserve"> anomalous anatomy</w:t>
      </w:r>
      <w:r w:rsidR="005550E6">
        <w:t>,</w:t>
      </w:r>
      <w:r w:rsidR="006C583C">
        <w:t xml:space="preserve"> obscure pathology, </w:t>
      </w:r>
      <w:r w:rsidR="0045767B">
        <w:t xml:space="preserve">or the </w:t>
      </w:r>
      <w:r w:rsidR="006C583C">
        <w:t>bizarre presentation of otherw</w:t>
      </w:r>
      <w:r w:rsidR="00361A4A">
        <w:t>i</w:t>
      </w:r>
      <w:r w:rsidR="006C583C">
        <w:t xml:space="preserve">se </w:t>
      </w:r>
      <w:r w:rsidR="00137EAF">
        <w:t>humdrum</w:t>
      </w:r>
      <w:r w:rsidR="006C583C">
        <w:t xml:space="preserve"> disease</w:t>
      </w:r>
      <w:r w:rsidR="00B02E57">
        <w:t>, such as distal ileal obstruc</w:t>
      </w:r>
      <w:r w:rsidR="0014175C">
        <w:t>t</w:t>
      </w:r>
      <w:r w:rsidR="00B02E57">
        <w:t>ion</w:t>
      </w:r>
      <w:r w:rsidR="006E560B">
        <w:t xml:space="preserve"> </w:t>
      </w:r>
      <w:r w:rsidR="006E560B">
        <w:lastRenderedPageBreak/>
        <w:t xml:space="preserve">from </w:t>
      </w:r>
      <w:r w:rsidR="0014175C">
        <w:t xml:space="preserve">an </w:t>
      </w:r>
      <w:r w:rsidR="006E560B">
        <w:t>unanticipated</w:t>
      </w:r>
      <w:r w:rsidR="0014175C">
        <w:t xml:space="preserve"> bolus of adult roundworms</w:t>
      </w:r>
      <w:r w:rsidR="006C583C">
        <w:t>.</w:t>
      </w:r>
      <w:r w:rsidR="00090143">
        <w:t xml:space="preserve"> </w:t>
      </w:r>
      <w:r w:rsidR="006501D8">
        <w:t>Equally, w</w:t>
      </w:r>
      <w:r w:rsidR="00090143">
        <w:t xml:space="preserve">e have demonstrated </w:t>
      </w:r>
      <w:r w:rsidR="002F4D46">
        <w:t xml:space="preserve">recognisable </w:t>
      </w:r>
      <w:r w:rsidR="00090143">
        <w:t xml:space="preserve">patterns of </w:t>
      </w:r>
      <w:r w:rsidR="000F7BEF">
        <w:t>surgical law, wh</w:t>
      </w:r>
      <w:r w:rsidR="00071631">
        <w:t>e</w:t>
      </w:r>
      <w:r w:rsidR="000F7BEF">
        <w:t>ther in refusal of treatment, aspects of consent</w:t>
      </w:r>
      <w:r w:rsidR="00071631">
        <w:t>, the eff</w:t>
      </w:r>
      <w:r w:rsidR="00802FF8">
        <w:t>e</w:t>
      </w:r>
      <w:r w:rsidR="00071631">
        <w:t>cts of incapacity</w:t>
      </w:r>
      <w:r w:rsidR="00802FF8">
        <w:t>, or learning disability.</w:t>
      </w:r>
      <w:r w:rsidR="00137EAF">
        <w:t xml:space="preserve"> Patterns of law</w:t>
      </w:r>
      <w:r w:rsidR="00791BD9">
        <w:t>,</w:t>
      </w:r>
      <w:r w:rsidR="00791BD9" w:rsidRPr="00791BD9">
        <w:t xml:space="preserve"> </w:t>
      </w:r>
      <w:r w:rsidR="00791BD9">
        <w:t>once identified,</w:t>
      </w:r>
      <w:r w:rsidR="00137EAF">
        <w:t xml:space="preserve"> are as recognisable as patterns of surgical pathology. </w:t>
      </w:r>
      <w:r w:rsidR="007A6766">
        <w:t>Recognising a pathological pattern promotes a rational approach to a surgical remedy. Do not treat the primary before you have ascertained metastatic status.</w:t>
      </w:r>
      <w:r w:rsidR="00E6484D">
        <w:t xml:space="preserve"> </w:t>
      </w:r>
      <w:r w:rsidR="007A6766">
        <w:t xml:space="preserve">Similarly with the law. </w:t>
      </w:r>
      <w:r w:rsidR="00137EAF">
        <w:t xml:space="preserve">The notion that mature minors refuse blood on their own behalf, whilst the parents’ objection to blood is manifest through refusal to exercise their parental responsibility to consent makes </w:t>
      </w:r>
      <w:r w:rsidR="007A6766">
        <w:t>the Jehovah’s Witness dilemma in childhood easier, less confusing, to manage.</w:t>
      </w:r>
    </w:p>
    <w:p w14:paraId="4FCA0102" w14:textId="553CB235" w:rsidR="00DB38EF" w:rsidRDefault="00911401" w:rsidP="00186B46">
      <w:pPr>
        <w:spacing w:line="480" w:lineRule="auto"/>
      </w:pPr>
      <w:r>
        <w:t xml:space="preserve">The lack of </w:t>
      </w:r>
      <w:r w:rsidR="004E6E15">
        <w:t xml:space="preserve">surgical </w:t>
      </w:r>
      <w:r w:rsidR="00A20CDE">
        <w:t xml:space="preserve">enquiries relating to candour and confidentiality </w:t>
      </w:r>
      <w:r w:rsidR="00A17B82">
        <w:t xml:space="preserve">leave us clueless as to pattern, but nonetheless </w:t>
      </w:r>
      <w:r w:rsidR="00A23799">
        <w:t>concerned.</w:t>
      </w:r>
      <w:r w:rsidR="00053B09">
        <w:t xml:space="preserve"> </w:t>
      </w:r>
      <w:r w:rsidR="00622426">
        <w:t xml:space="preserve">The </w:t>
      </w:r>
      <w:r w:rsidR="008F499D">
        <w:t>paucity</w:t>
      </w:r>
      <w:r w:rsidR="00622426">
        <w:t xml:space="preserve"> of enquiries may be taken as a sign that surgeons are entirely in tune with this doctrine, making enquiry unnecessary. </w:t>
      </w:r>
      <w:r w:rsidR="007466AB">
        <w:t xml:space="preserve">The number of enquiries in these fields from non-surgeons is greater by orders of magnitude – perhaps non-surgeon clinicians </w:t>
      </w:r>
      <w:r w:rsidR="00622426">
        <w:t>have not achieved this state of grace</w:t>
      </w:r>
      <w:r w:rsidR="0067173A">
        <w:t xml:space="preserve">. </w:t>
      </w:r>
    </w:p>
    <w:p w14:paraId="5EA59555" w14:textId="77777777" w:rsidR="00DB38EF" w:rsidRDefault="00DB38EF" w:rsidP="00186B46">
      <w:pPr>
        <w:spacing w:line="480" w:lineRule="auto"/>
      </w:pPr>
    </w:p>
    <w:p w14:paraId="4192DBA4" w14:textId="77777777" w:rsidR="00936E94" w:rsidRPr="00936E94" w:rsidRDefault="00936E94" w:rsidP="00186B46">
      <w:pPr>
        <w:spacing w:line="480" w:lineRule="auto"/>
        <w:rPr>
          <w:rFonts w:asciiTheme="majorHAnsi" w:hAnsiTheme="majorHAnsi" w:cstheme="majorHAnsi"/>
          <w:i/>
          <w:iCs/>
          <w:sz w:val="28"/>
          <w:szCs w:val="28"/>
        </w:rPr>
      </w:pPr>
      <w:r w:rsidRPr="00936E94">
        <w:rPr>
          <w:rFonts w:asciiTheme="majorHAnsi" w:hAnsiTheme="majorHAnsi" w:cstheme="majorHAnsi"/>
          <w:i/>
          <w:iCs/>
          <w:sz w:val="28"/>
          <w:szCs w:val="28"/>
        </w:rPr>
        <w:t>Conclusion</w:t>
      </w:r>
    </w:p>
    <w:p w14:paraId="0FAF642C" w14:textId="2C3D2A77" w:rsidR="00911401" w:rsidRDefault="00FD5630" w:rsidP="00186B46">
      <w:pPr>
        <w:spacing w:line="480" w:lineRule="auto"/>
      </w:pPr>
      <w:r>
        <w:t xml:space="preserve">One benefit of </w:t>
      </w:r>
      <w:r w:rsidR="00ED03BA">
        <w:t xml:space="preserve">documenting the surgical </w:t>
      </w:r>
      <w:r w:rsidR="00A23799">
        <w:t>case mix</w:t>
      </w:r>
      <w:r w:rsidR="00ED03BA">
        <w:t xml:space="preserve"> seen within the department </w:t>
      </w:r>
      <w:r>
        <w:t xml:space="preserve">is that it provides a starting point </w:t>
      </w:r>
      <w:r w:rsidR="009C10A6">
        <w:t>for the development of</w:t>
      </w:r>
      <w:r>
        <w:t xml:space="preserve"> a </w:t>
      </w:r>
      <w:r w:rsidR="00935D37">
        <w:t>‘</w:t>
      </w:r>
      <w:r>
        <w:t>syllabus</w:t>
      </w:r>
      <w:r w:rsidR="00935D37">
        <w:t>’</w:t>
      </w:r>
      <w:r>
        <w:t xml:space="preserve"> of </w:t>
      </w:r>
      <w:r w:rsidR="009C10A6">
        <w:t xml:space="preserve">surgical legal enquiries. </w:t>
      </w:r>
      <w:r w:rsidR="00053B09">
        <w:t xml:space="preserve">We hope that by reading </w:t>
      </w:r>
      <w:r w:rsidR="00AA56AB">
        <w:t>about th</w:t>
      </w:r>
      <w:r w:rsidR="00B15008">
        <w:t>e</w:t>
      </w:r>
      <w:r w:rsidR="00AA56AB">
        <w:t>s</w:t>
      </w:r>
      <w:r w:rsidR="00B15008">
        <w:t>e</w:t>
      </w:r>
      <w:r w:rsidR="00AA56AB">
        <w:t xml:space="preserve"> lacuna</w:t>
      </w:r>
      <w:r w:rsidR="00B15008">
        <w:t>e</w:t>
      </w:r>
      <w:r w:rsidR="00AA56AB">
        <w:t>, surg</w:t>
      </w:r>
      <w:r w:rsidR="007261FF">
        <w:t xml:space="preserve">ical </w:t>
      </w:r>
      <w:r w:rsidR="00AA56AB">
        <w:t>educat</w:t>
      </w:r>
      <w:r w:rsidR="007261FF">
        <w:t>ors</w:t>
      </w:r>
      <w:r w:rsidR="00AA56AB">
        <w:t xml:space="preserve"> </w:t>
      </w:r>
      <w:r w:rsidR="004D796A">
        <w:t xml:space="preserve">may </w:t>
      </w:r>
      <w:r w:rsidR="00AF779D">
        <w:t xml:space="preserve">set themselves the task of alerting </w:t>
      </w:r>
      <w:r w:rsidR="00510D2A">
        <w:t xml:space="preserve">trainees </w:t>
      </w:r>
      <w:r w:rsidR="00730F77">
        <w:t>about the</w:t>
      </w:r>
      <w:r w:rsidR="00510D2A">
        <w:t xml:space="preserve"> </w:t>
      </w:r>
      <w:r w:rsidR="004D796A">
        <w:t xml:space="preserve">legal considerations </w:t>
      </w:r>
      <w:r w:rsidR="00730F77">
        <w:t xml:space="preserve">that arise alongside contemporary surgical practice. </w:t>
      </w:r>
      <w:r w:rsidR="00972CAD">
        <w:t>Just as surgical trainees must learn the</w:t>
      </w:r>
      <w:r w:rsidR="007E7255">
        <w:t xml:space="preserve"> basic</w:t>
      </w:r>
      <w:r w:rsidR="00972CAD">
        <w:t xml:space="preserve"> science</w:t>
      </w:r>
      <w:r w:rsidR="007E7255">
        <w:t>s</w:t>
      </w:r>
      <w:r w:rsidR="00972CAD">
        <w:t xml:space="preserve"> underpinning </w:t>
      </w:r>
      <w:r w:rsidR="00A23799">
        <w:t>surgery,</w:t>
      </w:r>
      <w:r w:rsidR="00BE6EC8">
        <w:t xml:space="preserve"> </w:t>
      </w:r>
      <w:r w:rsidR="00E43BA5">
        <w:t xml:space="preserve">we propose that a working understanding of the legal frameworks </w:t>
      </w:r>
      <w:r w:rsidR="00CE03D3">
        <w:t>which</w:t>
      </w:r>
      <w:r w:rsidR="00E43BA5">
        <w:t xml:space="preserve"> support them and their patients </w:t>
      </w:r>
      <w:r w:rsidR="0076259B">
        <w:t>is beneficial</w:t>
      </w:r>
      <w:r w:rsidR="00B71D2F">
        <w:t xml:space="preserve">. </w:t>
      </w:r>
    </w:p>
    <w:p w14:paraId="13DD753E" w14:textId="77777777" w:rsidR="00355B6F" w:rsidRDefault="00355B6F" w:rsidP="00186B46">
      <w:pPr>
        <w:spacing w:line="480" w:lineRule="auto"/>
      </w:pPr>
    </w:p>
    <w:p w14:paraId="1E876D49" w14:textId="77777777" w:rsidR="00602CC2" w:rsidRDefault="00602CC2" w:rsidP="00186B46">
      <w:pPr>
        <w:spacing w:line="480" w:lineRule="auto"/>
        <w:rPr>
          <w:b/>
          <w:bCs/>
        </w:rPr>
      </w:pPr>
    </w:p>
    <w:p w14:paraId="3FB1274E" w14:textId="77777777" w:rsidR="00602CC2" w:rsidRDefault="00602CC2" w:rsidP="00186B46">
      <w:pPr>
        <w:spacing w:line="480" w:lineRule="auto"/>
        <w:rPr>
          <w:b/>
          <w:bCs/>
        </w:rPr>
      </w:pPr>
    </w:p>
    <w:p w14:paraId="79499221" w14:textId="7F69035C" w:rsidR="00E10338" w:rsidRDefault="00B72C43" w:rsidP="00186B46">
      <w:pPr>
        <w:pStyle w:val="Heading2"/>
        <w:spacing w:line="480" w:lineRule="auto"/>
      </w:pPr>
      <w:r>
        <w:t>References</w:t>
      </w:r>
    </w:p>
    <w:p w14:paraId="1A0C1D4F" w14:textId="5B6F2373" w:rsidR="004B1154" w:rsidRDefault="004B1154" w:rsidP="004B1154">
      <w:pPr>
        <w:pStyle w:val="EndNoteBibliography"/>
        <w:spacing w:line="480" w:lineRule="auto"/>
      </w:pPr>
      <w:r>
        <w:rPr>
          <w:rFonts w:ascii="Times New Roman" w:hAnsi="Times New Roman" w:cs="Times New Roman"/>
        </w:rPr>
        <w:t>1.</w:t>
      </w:r>
      <w:r>
        <w:rPr>
          <w:rFonts w:ascii="Times New Roman" w:hAnsi="Times New Roman" w:cs="Times New Roman"/>
        </w:rPr>
        <w:tab/>
      </w:r>
      <w:r w:rsidRPr="004B1154">
        <w:rPr>
          <w:color w:val="FF0000"/>
        </w:rPr>
        <w:t xml:space="preserve">Wheeler R, Marsh M. </w:t>
      </w:r>
      <w:r w:rsidRPr="004B1154">
        <w:rPr>
          <w:i/>
          <w:color w:val="FF0000"/>
        </w:rPr>
        <w:t>Making legal advice a clinical department</w:t>
      </w:r>
      <w:r w:rsidRPr="004B1154">
        <w:rPr>
          <w:color w:val="FF0000"/>
        </w:rPr>
        <w:t xml:space="preserve"> Health Service Journal  20-21 13</w:t>
      </w:r>
      <w:r w:rsidRPr="004B1154">
        <w:rPr>
          <w:color w:val="FF0000"/>
          <w:vertAlign w:val="superscript"/>
        </w:rPr>
        <w:t>th</w:t>
      </w:r>
      <w:r w:rsidRPr="004B1154">
        <w:rPr>
          <w:color w:val="FF0000"/>
        </w:rPr>
        <w:t xml:space="preserve"> April 2016</w:t>
      </w:r>
    </w:p>
    <w:p w14:paraId="1371BCCB" w14:textId="77777777" w:rsidR="00E10338" w:rsidRDefault="00E10338" w:rsidP="00186B46">
      <w:pPr>
        <w:spacing w:line="480" w:lineRule="auto"/>
      </w:pPr>
    </w:p>
    <w:p w14:paraId="197E6EFC" w14:textId="17203169" w:rsidR="00355B6F" w:rsidRDefault="00E10338" w:rsidP="00186B46">
      <w:pPr>
        <w:pStyle w:val="EndNoteBibliography"/>
        <w:spacing w:line="480" w:lineRule="auto"/>
        <w:rPr>
          <w:rFonts w:ascii="Times New Roman" w:hAnsi="Times New Roman" w:cs="Times New Roman"/>
        </w:rPr>
      </w:pPr>
      <w:r>
        <w:fldChar w:fldCharType="begin"/>
      </w:r>
      <w:r>
        <w:instrText xml:space="preserve"> ADDIN EN.REFLIST </w:instrText>
      </w:r>
      <w:r>
        <w:fldChar w:fldCharType="separate"/>
      </w:r>
      <w:r w:rsidR="004B1154">
        <w:t>2</w:t>
      </w:r>
      <w:r w:rsidR="00D50F1B" w:rsidRPr="00D50F1B">
        <w:t>.</w:t>
      </w:r>
      <w:r w:rsidR="00D50F1B" w:rsidRPr="00D50F1B">
        <w:tab/>
        <w:t xml:space="preserve">Wheeler R, Hall N. </w:t>
      </w:r>
      <w:r w:rsidR="00D50F1B" w:rsidRPr="007549D8">
        <w:rPr>
          <w:i/>
          <w:iCs/>
        </w:rPr>
        <w:t>Clinical law: what do clinicians want to know? The demography of clinical law</w:t>
      </w:r>
      <w:r w:rsidR="00D50F1B" w:rsidRPr="00D50F1B">
        <w:t>. J Med Ethics. 2023;49(4):229-34.</w:t>
      </w:r>
      <w:r w:rsidR="00127F2F">
        <w:t xml:space="preserve"> </w:t>
      </w:r>
      <w:r>
        <w:fldChar w:fldCharType="end"/>
      </w:r>
      <w:r w:rsidR="00127F2F">
        <w:t xml:space="preserve"> </w:t>
      </w:r>
      <w:hyperlink r:id="rId6" w:history="1">
        <w:r w:rsidR="007549D8" w:rsidRPr="00CE1E2E">
          <w:rPr>
            <w:rStyle w:val="Hyperlink"/>
            <w:rFonts w:ascii="Times New Roman" w:hAnsi="Times New Roman" w:cs="Times New Roman"/>
          </w:rPr>
          <w:t>http://dx.doi.org/10.1136/medethics-2022-108131</w:t>
        </w:r>
      </w:hyperlink>
    </w:p>
    <w:p w14:paraId="55748999" w14:textId="1108EC6C" w:rsidR="007549D8" w:rsidRDefault="007549D8" w:rsidP="00186B46">
      <w:pPr>
        <w:pStyle w:val="EndNoteBibliography"/>
        <w:spacing w:line="480" w:lineRule="auto"/>
        <w:rPr>
          <w:rFonts w:ascii="Times New Roman" w:hAnsi="Times New Roman" w:cs="Times New Roman"/>
        </w:rPr>
      </w:pPr>
    </w:p>
    <w:sectPr w:rsidR="007549D8" w:rsidSect="00186B46">
      <w:pgSz w:w="11906" w:h="16838" w:code="9"/>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2BCE"/>
    <w:multiLevelType w:val="multilevel"/>
    <w:tmpl w:val="62E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228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tf5p9pnzwed8eatx5xvrxvxwfwa990x02z&quot;&gt;NH refs-Saved-Converted&lt;record-ids&gt;&lt;item&gt;2684&lt;/item&gt;&lt;/record-ids&gt;&lt;/item&gt;&lt;/Libraries&gt;"/>
  </w:docVars>
  <w:rsids>
    <w:rsidRoot w:val="008C7BA5"/>
    <w:rsid w:val="00000E16"/>
    <w:rsid w:val="000049FF"/>
    <w:rsid w:val="0001111C"/>
    <w:rsid w:val="00014072"/>
    <w:rsid w:val="00015810"/>
    <w:rsid w:val="00015E45"/>
    <w:rsid w:val="000231A2"/>
    <w:rsid w:val="00025570"/>
    <w:rsid w:val="00025B11"/>
    <w:rsid w:val="00026666"/>
    <w:rsid w:val="0003291D"/>
    <w:rsid w:val="00032AAC"/>
    <w:rsid w:val="0003306D"/>
    <w:rsid w:val="00035D07"/>
    <w:rsid w:val="00036119"/>
    <w:rsid w:val="00044E6D"/>
    <w:rsid w:val="000458D7"/>
    <w:rsid w:val="00046B7E"/>
    <w:rsid w:val="00050326"/>
    <w:rsid w:val="00053B09"/>
    <w:rsid w:val="00054A0D"/>
    <w:rsid w:val="00054A9F"/>
    <w:rsid w:val="0006440F"/>
    <w:rsid w:val="000674BF"/>
    <w:rsid w:val="00067921"/>
    <w:rsid w:val="00070882"/>
    <w:rsid w:val="00070936"/>
    <w:rsid w:val="00071631"/>
    <w:rsid w:val="00075B80"/>
    <w:rsid w:val="00083A70"/>
    <w:rsid w:val="00084CC4"/>
    <w:rsid w:val="00084EEC"/>
    <w:rsid w:val="00090143"/>
    <w:rsid w:val="00091A68"/>
    <w:rsid w:val="000951B8"/>
    <w:rsid w:val="00097174"/>
    <w:rsid w:val="000A4D7F"/>
    <w:rsid w:val="000A50AF"/>
    <w:rsid w:val="000A6724"/>
    <w:rsid w:val="000B48E3"/>
    <w:rsid w:val="000B5C41"/>
    <w:rsid w:val="000B7274"/>
    <w:rsid w:val="000C0B59"/>
    <w:rsid w:val="000C5057"/>
    <w:rsid w:val="000D030A"/>
    <w:rsid w:val="000D26C2"/>
    <w:rsid w:val="000F0497"/>
    <w:rsid w:val="000F102F"/>
    <w:rsid w:val="000F4857"/>
    <w:rsid w:val="000F7BEF"/>
    <w:rsid w:val="00102DFF"/>
    <w:rsid w:val="00104792"/>
    <w:rsid w:val="00106768"/>
    <w:rsid w:val="0011089E"/>
    <w:rsid w:val="001128C4"/>
    <w:rsid w:val="0011326B"/>
    <w:rsid w:val="00113C4A"/>
    <w:rsid w:val="0011401F"/>
    <w:rsid w:val="00116E37"/>
    <w:rsid w:val="00124D05"/>
    <w:rsid w:val="00127F2F"/>
    <w:rsid w:val="00137EAF"/>
    <w:rsid w:val="00140377"/>
    <w:rsid w:val="00140A00"/>
    <w:rsid w:val="0014175C"/>
    <w:rsid w:val="00151369"/>
    <w:rsid w:val="00152D8A"/>
    <w:rsid w:val="0016719E"/>
    <w:rsid w:val="00167B93"/>
    <w:rsid w:val="001713CF"/>
    <w:rsid w:val="0017174C"/>
    <w:rsid w:val="0017258A"/>
    <w:rsid w:val="001732B2"/>
    <w:rsid w:val="001765B2"/>
    <w:rsid w:val="00176FEC"/>
    <w:rsid w:val="00181152"/>
    <w:rsid w:val="001816D5"/>
    <w:rsid w:val="00186B46"/>
    <w:rsid w:val="00186D84"/>
    <w:rsid w:val="001907E1"/>
    <w:rsid w:val="00193C5F"/>
    <w:rsid w:val="00195185"/>
    <w:rsid w:val="00197002"/>
    <w:rsid w:val="001A0CE5"/>
    <w:rsid w:val="001A4C80"/>
    <w:rsid w:val="001A66FE"/>
    <w:rsid w:val="001B72E1"/>
    <w:rsid w:val="001C73BA"/>
    <w:rsid w:val="001C7E30"/>
    <w:rsid w:val="001D0577"/>
    <w:rsid w:val="001D1508"/>
    <w:rsid w:val="001D1734"/>
    <w:rsid w:val="001D1A04"/>
    <w:rsid w:val="001D2187"/>
    <w:rsid w:val="001D24B7"/>
    <w:rsid w:val="001D38E6"/>
    <w:rsid w:val="001D597A"/>
    <w:rsid w:val="001D7FB7"/>
    <w:rsid w:val="001E2688"/>
    <w:rsid w:val="001E5483"/>
    <w:rsid w:val="001F23FA"/>
    <w:rsid w:val="001F3014"/>
    <w:rsid w:val="00205C72"/>
    <w:rsid w:val="00207FCF"/>
    <w:rsid w:val="002161D3"/>
    <w:rsid w:val="002179E3"/>
    <w:rsid w:val="00220325"/>
    <w:rsid w:val="0022565C"/>
    <w:rsid w:val="002302D1"/>
    <w:rsid w:val="002339D9"/>
    <w:rsid w:val="00235B85"/>
    <w:rsid w:val="00236E9B"/>
    <w:rsid w:val="00240519"/>
    <w:rsid w:val="002407A3"/>
    <w:rsid w:val="00243B6F"/>
    <w:rsid w:val="00246ABD"/>
    <w:rsid w:val="00246E57"/>
    <w:rsid w:val="00247233"/>
    <w:rsid w:val="00247410"/>
    <w:rsid w:val="002504AD"/>
    <w:rsid w:val="002545FE"/>
    <w:rsid w:val="00260271"/>
    <w:rsid w:val="00260897"/>
    <w:rsid w:val="00261E82"/>
    <w:rsid w:val="002716D8"/>
    <w:rsid w:val="00271BFB"/>
    <w:rsid w:val="002723B6"/>
    <w:rsid w:val="002725ED"/>
    <w:rsid w:val="00273FC8"/>
    <w:rsid w:val="0027487B"/>
    <w:rsid w:val="002754FF"/>
    <w:rsid w:val="00276254"/>
    <w:rsid w:val="0028478C"/>
    <w:rsid w:val="002934B9"/>
    <w:rsid w:val="00295CD5"/>
    <w:rsid w:val="00297606"/>
    <w:rsid w:val="00297E56"/>
    <w:rsid w:val="002A0D3C"/>
    <w:rsid w:val="002A3F01"/>
    <w:rsid w:val="002A5AFD"/>
    <w:rsid w:val="002B4CE4"/>
    <w:rsid w:val="002B4F92"/>
    <w:rsid w:val="002B78FB"/>
    <w:rsid w:val="002C1AE1"/>
    <w:rsid w:val="002C2081"/>
    <w:rsid w:val="002C630A"/>
    <w:rsid w:val="002C7B2D"/>
    <w:rsid w:val="002D1E29"/>
    <w:rsid w:val="002D2D10"/>
    <w:rsid w:val="002D3095"/>
    <w:rsid w:val="002D432E"/>
    <w:rsid w:val="002D48C2"/>
    <w:rsid w:val="002E0D98"/>
    <w:rsid w:val="002E1208"/>
    <w:rsid w:val="002E15D4"/>
    <w:rsid w:val="002E1678"/>
    <w:rsid w:val="002E31AF"/>
    <w:rsid w:val="002F0A79"/>
    <w:rsid w:val="002F3D7A"/>
    <w:rsid w:val="002F4D0B"/>
    <w:rsid w:val="002F4D46"/>
    <w:rsid w:val="002F5015"/>
    <w:rsid w:val="002F542D"/>
    <w:rsid w:val="00300BE7"/>
    <w:rsid w:val="00301205"/>
    <w:rsid w:val="003013EE"/>
    <w:rsid w:val="0030256E"/>
    <w:rsid w:val="00303358"/>
    <w:rsid w:val="00303C23"/>
    <w:rsid w:val="003057E0"/>
    <w:rsid w:val="0031061A"/>
    <w:rsid w:val="003274BF"/>
    <w:rsid w:val="003303D8"/>
    <w:rsid w:val="00335A4F"/>
    <w:rsid w:val="00343CD6"/>
    <w:rsid w:val="00344D12"/>
    <w:rsid w:val="00346961"/>
    <w:rsid w:val="0035049F"/>
    <w:rsid w:val="00355B6F"/>
    <w:rsid w:val="003565FD"/>
    <w:rsid w:val="00356A05"/>
    <w:rsid w:val="00361A4A"/>
    <w:rsid w:val="0036200E"/>
    <w:rsid w:val="0036240D"/>
    <w:rsid w:val="00362A1A"/>
    <w:rsid w:val="003649B3"/>
    <w:rsid w:val="00365611"/>
    <w:rsid w:val="00367086"/>
    <w:rsid w:val="003708B9"/>
    <w:rsid w:val="00370F05"/>
    <w:rsid w:val="0037571D"/>
    <w:rsid w:val="00384AE4"/>
    <w:rsid w:val="003877D1"/>
    <w:rsid w:val="0039163B"/>
    <w:rsid w:val="003924B2"/>
    <w:rsid w:val="00392E21"/>
    <w:rsid w:val="0039408A"/>
    <w:rsid w:val="0039742F"/>
    <w:rsid w:val="003A5463"/>
    <w:rsid w:val="003B01BF"/>
    <w:rsid w:val="003B5F84"/>
    <w:rsid w:val="003B7D08"/>
    <w:rsid w:val="003C5995"/>
    <w:rsid w:val="003D2C12"/>
    <w:rsid w:val="003D3915"/>
    <w:rsid w:val="003D476F"/>
    <w:rsid w:val="003D511C"/>
    <w:rsid w:val="003D527B"/>
    <w:rsid w:val="003E12BB"/>
    <w:rsid w:val="003E2E2A"/>
    <w:rsid w:val="003E5914"/>
    <w:rsid w:val="003F0593"/>
    <w:rsid w:val="003F178D"/>
    <w:rsid w:val="003F31AB"/>
    <w:rsid w:val="003F5FF9"/>
    <w:rsid w:val="0041035E"/>
    <w:rsid w:val="004106F0"/>
    <w:rsid w:val="0042167F"/>
    <w:rsid w:val="00423548"/>
    <w:rsid w:val="0042646E"/>
    <w:rsid w:val="004277E7"/>
    <w:rsid w:val="004331E9"/>
    <w:rsid w:val="004349D3"/>
    <w:rsid w:val="00434B9A"/>
    <w:rsid w:val="004361A6"/>
    <w:rsid w:val="004379EB"/>
    <w:rsid w:val="00440234"/>
    <w:rsid w:val="00440F15"/>
    <w:rsid w:val="00441141"/>
    <w:rsid w:val="004423F2"/>
    <w:rsid w:val="00445396"/>
    <w:rsid w:val="004476A8"/>
    <w:rsid w:val="00455C6B"/>
    <w:rsid w:val="0045767B"/>
    <w:rsid w:val="00465DE6"/>
    <w:rsid w:val="00466694"/>
    <w:rsid w:val="00472744"/>
    <w:rsid w:val="00474151"/>
    <w:rsid w:val="00474A4B"/>
    <w:rsid w:val="00476BD7"/>
    <w:rsid w:val="00484658"/>
    <w:rsid w:val="004874A3"/>
    <w:rsid w:val="00490064"/>
    <w:rsid w:val="00493222"/>
    <w:rsid w:val="00493705"/>
    <w:rsid w:val="00493A01"/>
    <w:rsid w:val="00493D96"/>
    <w:rsid w:val="004B1154"/>
    <w:rsid w:val="004B360E"/>
    <w:rsid w:val="004B671E"/>
    <w:rsid w:val="004C0A88"/>
    <w:rsid w:val="004C21C9"/>
    <w:rsid w:val="004C498F"/>
    <w:rsid w:val="004D13FB"/>
    <w:rsid w:val="004D43FF"/>
    <w:rsid w:val="004D4621"/>
    <w:rsid w:val="004D69BB"/>
    <w:rsid w:val="004D796A"/>
    <w:rsid w:val="004E09FC"/>
    <w:rsid w:val="004E2670"/>
    <w:rsid w:val="004E597A"/>
    <w:rsid w:val="004E6E15"/>
    <w:rsid w:val="004F0EF6"/>
    <w:rsid w:val="004F126C"/>
    <w:rsid w:val="004F5570"/>
    <w:rsid w:val="004F616C"/>
    <w:rsid w:val="004F634B"/>
    <w:rsid w:val="00510755"/>
    <w:rsid w:val="00510D2A"/>
    <w:rsid w:val="00511366"/>
    <w:rsid w:val="00511EFE"/>
    <w:rsid w:val="005222DB"/>
    <w:rsid w:val="005254CB"/>
    <w:rsid w:val="00525629"/>
    <w:rsid w:val="0052637E"/>
    <w:rsid w:val="005316FB"/>
    <w:rsid w:val="0053739A"/>
    <w:rsid w:val="00537B99"/>
    <w:rsid w:val="00542F02"/>
    <w:rsid w:val="0054433C"/>
    <w:rsid w:val="00550930"/>
    <w:rsid w:val="00552B85"/>
    <w:rsid w:val="00553E82"/>
    <w:rsid w:val="00554EB1"/>
    <w:rsid w:val="005550E6"/>
    <w:rsid w:val="00560473"/>
    <w:rsid w:val="005620CE"/>
    <w:rsid w:val="00563C73"/>
    <w:rsid w:val="0056791A"/>
    <w:rsid w:val="005733B4"/>
    <w:rsid w:val="00573CB5"/>
    <w:rsid w:val="00582038"/>
    <w:rsid w:val="005908ED"/>
    <w:rsid w:val="00593F39"/>
    <w:rsid w:val="00594DDE"/>
    <w:rsid w:val="005962D0"/>
    <w:rsid w:val="005966D1"/>
    <w:rsid w:val="00597BD2"/>
    <w:rsid w:val="005A146C"/>
    <w:rsid w:val="005A1C88"/>
    <w:rsid w:val="005A2A66"/>
    <w:rsid w:val="005A4016"/>
    <w:rsid w:val="005A78B7"/>
    <w:rsid w:val="005B107F"/>
    <w:rsid w:val="005B1B41"/>
    <w:rsid w:val="005B2378"/>
    <w:rsid w:val="005B2DE1"/>
    <w:rsid w:val="005B724E"/>
    <w:rsid w:val="005B7A18"/>
    <w:rsid w:val="005C1A65"/>
    <w:rsid w:val="005C623C"/>
    <w:rsid w:val="005D58E3"/>
    <w:rsid w:val="005E004A"/>
    <w:rsid w:val="005E32B0"/>
    <w:rsid w:val="005F1669"/>
    <w:rsid w:val="005F1B6D"/>
    <w:rsid w:val="005F4935"/>
    <w:rsid w:val="005F4B7B"/>
    <w:rsid w:val="005F4EAC"/>
    <w:rsid w:val="005F57F7"/>
    <w:rsid w:val="00601D0C"/>
    <w:rsid w:val="00602CC2"/>
    <w:rsid w:val="00604363"/>
    <w:rsid w:val="00607C8F"/>
    <w:rsid w:val="00613B80"/>
    <w:rsid w:val="00620EEB"/>
    <w:rsid w:val="00621330"/>
    <w:rsid w:val="00622426"/>
    <w:rsid w:val="00623044"/>
    <w:rsid w:val="006231CE"/>
    <w:rsid w:val="006303F4"/>
    <w:rsid w:val="00630533"/>
    <w:rsid w:val="006326F9"/>
    <w:rsid w:val="0064545D"/>
    <w:rsid w:val="006501D8"/>
    <w:rsid w:val="00651050"/>
    <w:rsid w:val="00651F9E"/>
    <w:rsid w:val="006522A0"/>
    <w:rsid w:val="00652C98"/>
    <w:rsid w:val="00655533"/>
    <w:rsid w:val="00660143"/>
    <w:rsid w:val="00661CCC"/>
    <w:rsid w:val="00662B28"/>
    <w:rsid w:val="00666B3D"/>
    <w:rsid w:val="00666F45"/>
    <w:rsid w:val="006671A8"/>
    <w:rsid w:val="0067173A"/>
    <w:rsid w:val="00674C46"/>
    <w:rsid w:val="00674DCE"/>
    <w:rsid w:val="0069181D"/>
    <w:rsid w:val="0069230A"/>
    <w:rsid w:val="00697989"/>
    <w:rsid w:val="006A3C01"/>
    <w:rsid w:val="006A42B4"/>
    <w:rsid w:val="006A52E3"/>
    <w:rsid w:val="006A5C2B"/>
    <w:rsid w:val="006A73EE"/>
    <w:rsid w:val="006A7C30"/>
    <w:rsid w:val="006B0BC5"/>
    <w:rsid w:val="006B112A"/>
    <w:rsid w:val="006B3925"/>
    <w:rsid w:val="006B6171"/>
    <w:rsid w:val="006C22E6"/>
    <w:rsid w:val="006C583C"/>
    <w:rsid w:val="006D06F5"/>
    <w:rsid w:val="006D1550"/>
    <w:rsid w:val="006D19BB"/>
    <w:rsid w:val="006D2198"/>
    <w:rsid w:val="006E560B"/>
    <w:rsid w:val="006F01F5"/>
    <w:rsid w:val="006F75C7"/>
    <w:rsid w:val="00702429"/>
    <w:rsid w:val="00705D3E"/>
    <w:rsid w:val="00706C0A"/>
    <w:rsid w:val="00710559"/>
    <w:rsid w:val="00710999"/>
    <w:rsid w:val="007155A6"/>
    <w:rsid w:val="007161FE"/>
    <w:rsid w:val="0071689B"/>
    <w:rsid w:val="00720D2D"/>
    <w:rsid w:val="00722C13"/>
    <w:rsid w:val="00723AAA"/>
    <w:rsid w:val="00724913"/>
    <w:rsid w:val="00725CB8"/>
    <w:rsid w:val="007261FF"/>
    <w:rsid w:val="00727149"/>
    <w:rsid w:val="00730F77"/>
    <w:rsid w:val="00731020"/>
    <w:rsid w:val="00745BBF"/>
    <w:rsid w:val="007464B0"/>
    <w:rsid w:val="007466AB"/>
    <w:rsid w:val="00746B23"/>
    <w:rsid w:val="00747459"/>
    <w:rsid w:val="00747FFC"/>
    <w:rsid w:val="00753CF9"/>
    <w:rsid w:val="007549D8"/>
    <w:rsid w:val="00757F94"/>
    <w:rsid w:val="00760C50"/>
    <w:rsid w:val="0076259B"/>
    <w:rsid w:val="0076481F"/>
    <w:rsid w:val="00766200"/>
    <w:rsid w:val="00767B8E"/>
    <w:rsid w:val="00771300"/>
    <w:rsid w:val="00772D5F"/>
    <w:rsid w:val="00774398"/>
    <w:rsid w:val="0078397C"/>
    <w:rsid w:val="007862BD"/>
    <w:rsid w:val="0079114C"/>
    <w:rsid w:val="00791BD9"/>
    <w:rsid w:val="00791E2C"/>
    <w:rsid w:val="0079453D"/>
    <w:rsid w:val="007971C9"/>
    <w:rsid w:val="00797480"/>
    <w:rsid w:val="007A0AAA"/>
    <w:rsid w:val="007A6766"/>
    <w:rsid w:val="007A6D75"/>
    <w:rsid w:val="007B026A"/>
    <w:rsid w:val="007B39F3"/>
    <w:rsid w:val="007B4042"/>
    <w:rsid w:val="007B6285"/>
    <w:rsid w:val="007B795C"/>
    <w:rsid w:val="007C0403"/>
    <w:rsid w:val="007C19E8"/>
    <w:rsid w:val="007D13F8"/>
    <w:rsid w:val="007D5FE9"/>
    <w:rsid w:val="007D7AFE"/>
    <w:rsid w:val="007E205E"/>
    <w:rsid w:val="007E656E"/>
    <w:rsid w:val="007E65D0"/>
    <w:rsid w:val="007E7255"/>
    <w:rsid w:val="007E73E6"/>
    <w:rsid w:val="007E7A5F"/>
    <w:rsid w:val="007F3BCE"/>
    <w:rsid w:val="007F4343"/>
    <w:rsid w:val="007F55D9"/>
    <w:rsid w:val="007F6062"/>
    <w:rsid w:val="00802FF8"/>
    <w:rsid w:val="00804861"/>
    <w:rsid w:val="0080654D"/>
    <w:rsid w:val="0080734C"/>
    <w:rsid w:val="008115BF"/>
    <w:rsid w:val="00811926"/>
    <w:rsid w:val="00814BEF"/>
    <w:rsid w:val="00815545"/>
    <w:rsid w:val="00816394"/>
    <w:rsid w:val="008177EE"/>
    <w:rsid w:val="00822EB1"/>
    <w:rsid w:val="0082313E"/>
    <w:rsid w:val="00823FAC"/>
    <w:rsid w:val="00824D07"/>
    <w:rsid w:val="008253A8"/>
    <w:rsid w:val="00830967"/>
    <w:rsid w:val="00831D10"/>
    <w:rsid w:val="008357E0"/>
    <w:rsid w:val="00837074"/>
    <w:rsid w:val="00841862"/>
    <w:rsid w:val="008437C1"/>
    <w:rsid w:val="008440B4"/>
    <w:rsid w:val="0084485A"/>
    <w:rsid w:val="008471D8"/>
    <w:rsid w:val="00850796"/>
    <w:rsid w:val="00851867"/>
    <w:rsid w:val="008527A9"/>
    <w:rsid w:val="00852A1E"/>
    <w:rsid w:val="008540A1"/>
    <w:rsid w:val="00860D81"/>
    <w:rsid w:val="008639E4"/>
    <w:rsid w:val="0086517A"/>
    <w:rsid w:val="0086576B"/>
    <w:rsid w:val="00866BC4"/>
    <w:rsid w:val="00881860"/>
    <w:rsid w:val="00882F61"/>
    <w:rsid w:val="00884896"/>
    <w:rsid w:val="00884BFF"/>
    <w:rsid w:val="00885014"/>
    <w:rsid w:val="00885C7D"/>
    <w:rsid w:val="008911B6"/>
    <w:rsid w:val="00892572"/>
    <w:rsid w:val="008A10FC"/>
    <w:rsid w:val="008A7900"/>
    <w:rsid w:val="008B3589"/>
    <w:rsid w:val="008B36D0"/>
    <w:rsid w:val="008B4B97"/>
    <w:rsid w:val="008B61AE"/>
    <w:rsid w:val="008C0442"/>
    <w:rsid w:val="008C0DA3"/>
    <w:rsid w:val="008C72E4"/>
    <w:rsid w:val="008C7854"/>
    <w:rsid w:val="008C7BA5"/>
    <w:rsid w:val="008D3A9C"/>
    <w:rsid w:val="008E2259"/>
    <w:rsid w:val="008E4957"/>
    <w:rsid w:val="008E57BB"/>
    <w:rsid w:val="008E61B3"/>
    <w:rsid w:val="008F41F5"/>
    <w:rsid w:val="008F434C"/>
    <w:rsid w:val="008F499D"/>
    <w:rsid w:val="008F645A"/>
    <w:rsid w:val="00904ED4"/>
    <w:rsid w:val="00906265"/>
    <w:rsid w:val="0091072D"/>
    <w:rsid w:val="00911401"/>
    <w:rsid w:val="00911CD8"/>
    <w:rsid w:val="009123F8"/>
    <w:rsid w:val="00912A97"/>
    <w:rsid w:val="009130F0"/>
    <w:rsid w:val="00916843"/>
    <w:rsid w:val="00920666"/>
    <w:rsid w:val="00920F05"/>
    <w:rsid w:val="00921A5F"/>
    <w:rsid w:val="00924484"/>
    <w:rsid w:val="00935D37"/>
    <w:rsid w:val="00936E94"/>
    <w:rsid w:val="00937BA5"/>
    <w:rsid w:val="009416BA"/>
    <w:rsid w:val="009526C4"/>
    <w:rsid w:val="00953714"/>
    <w:rsid w:val="009558CE"/>
    <w:rsid w:val="00956934"/>
    <w:rsid w:val="00956E36"/>
    <w:rsid w:val="0096535D"/>
    <w:rsid w:val="00966F95"/>
    <w:rsid w:val="009706AB"/>
    <w:rsid w:val="0097119B"/>
    <w:rsid w:val="00972526"/>
    <w:rsid w:val="00972CAD"/>
    <w:rsid w:val="0098036C"/>
    <w:rsid w:val="00982A9A"/>
    <w:rsid w:val="00983C03"/>
    <w:rsid w:val="00985706"/>
    <w:rsid w:val="00986980"/>
    <w:rsid w:val="009869BA"/>
    <w:rsid w:val="00990BDE"/>
    <w:rsid w:val="009920CC"/>
    <w:rsid w:val="00992628"/>
    <w:rsid w:val="0099284C"/>
    <w:rsid w:val="00994B85"/>
    <w:rsid w:val="00994D5E"/>
    <w:rsid w:val="00995697"/>
    <w:rsid w:val="00997CF3"/>
    <w:rsid w:val="009A01F6"/>
    <w:rsid w:val="009A33DD"/>
    <w:rsid w:val="009A5842"/>
    <w:rsid w:val="009A63C8"/>
    <w:rsid w:val="009A672D"/>
    <w:rsid w:val="009B7AC0"/>
    <w:rsid w:val="009B7FDA"/>
    <w:rsid w:val="009C10A6"/>
    <w:rsid w:val="009C4443"/>
    <w:rsid w:val="009C7FF2"/>
    <w:rsid w:val="009D17EF"/>
    <w:rsid w:val="009D578F"/>
    <w:rsid w:val="009E1498"/>
    <w:rsid w:val="009E18E6"/>
    <w:rsid w:val="009E1CEC"/>
    <w:rsid w:val="009E47A6"/>
    <w:rsid w:val="009E7208"/>
    <w:rsid w:val="009E780F"/>
    <w:rsid w:val="009F0640"/>
    <w:rsid w:val="009F2905"/>
    <w:rsid w:val="009F66D5"/>
    <w:rsid w:val="00A00D0E"/>
    <w:rsid w:val="00A02C50"/>
    <w:rsid w:val="00A0338D"/>
    <w:rsid w:val="00A03D61"/>
    <w:rsid w:val="00A110E7"/>
    <w:rsid w:val="00A112BE"/>
    <w:rsid w:val="00A12ADD"/>
    <w:rsid w:val="00A14C78"/>
    <w:rsid w:val="00A14F25"/>
    <w:rsid w:val="00A17B82"/>
    <w:rsid w:val="00A20CDE"/>
    <w:rsid w:val="00A21779"/>
    <w:rsid w:val="00A23799"/>
    <w:rsid w:val="00A24BA9"/>
    <w:rsid w:val="00A2515D"/>
    <w:rsid w:val="00A26574"/>
    <w:rsid w:val="00A40CF8"/>
    <w:rsid w:val="00A45B1F"/>
    <w:rsid w:val="00A47BE4"/>
    <w:rsid w:val="00A65DB1"/>
    <w:rsid w:val="00A678B9"/>
    <w:rsid w:val="00A71332"/>
    <w:rsid w:val="00A71DCA"/>
    <w:rsid w:val="00A90D6E"/>
    <w:rsid w:val="00A96B5D"/>
    <w:rsid w:val="00AA0B8B"/>
    <w:rsid w:val="00AA1FC8"/>
    <w:rsid w:val="00AA3EE0"/>
    <w:rsid w:val="00AA4812"/>
    <w:rsid w:val="00AA56AB"/>
    <w:rsid w:val="00AB35AA"/>
    <w:rsid w:val="00AC09E3"/>
    <w:rsid w:val="00AD2BE9"/>
    <w:rsid w:val="00AD2CD2"/>
    <w:rsid w:val="00AD4749"/>
    <w:rsid w:val="00AD49D0"/>
    <w:rsid w:val="00AD527C"/>
    <w:rsid w:val="00AD676D"/>
    <w:rsid w:val="00AE1526"/>
    <w:rsid w:val="00AE4484"/>
    <w:rsid w:val="00AE47A8"/>
    <w:rsid w:val="00AF1167"/>
    <w:rsid w:val="00AF779D"/>
    <w:rsid w:val="00B02222"/>
    <w:rsid w:val="00B02E57"/>
    <w:rsid w:val="00B03C0A"/>
    <w:rsid w:val="00B1105B"/>
    <w:rsid w:val="00B114A9"/>
    <w:rsid w:val="00B11E15"/>
    <w:rsid w:val="00B15008"/>
    <w:rsid w:val="00B25EFF"/>
    <w:rsid w:val="00B26E96"/>
    <w:rsid w:val="00B330FF"/>
    <w:rsid w:val="00B34115"/>
    <w:rsid w:val="00B40710"/>
    <w:rsid w:val="00B43369"/>
    <w:rsid w:val="00B5449F"/>
    <w:rsid w:val="00B555E3"/>
    <w:rsid w:val="00B640C9"/>
    <w:rsid w:val="00B64338"/>
    <w:rsid w:val="00B677FC"/>
    <w:rsid w:val="00B71D2F"/>
    <w:rsid w:val="00B72763"/>
    <w:rsid w:val="00B72C43"/>
    <w:rsid w:val="00B747EA"/>
    <w:rsid w:val="00B75E58"/>
    <w:rsid w:val="00B778B1"/>
    <w:rsid w:val="00B81A8A"/>
    <w:rsid w:val="00B81DB4"/>
    <w:rsid w:val="00B90245"/>
    <w:rsid w:val="00B91731"/>
    <w:rsid w:val="00B947FC"/>
    <w:rsid w:val="00B95B2C"/>
    <w:rsid w:val="00BA0D1F"/>
    <w:rsid w:val="00BA4133"/>
    <w:rsid w:val="00BA4762"/>
    <w:rsid w:val="00BA4B29"/>
    <w:rsid w:val="00BA4F86"/>
    <w:rsid w:val="00BB1725"/>
    <w:rsid w:val="00BB1C53"/>
    <w:rsid w:val="00BB2392"/>
    <w:rsid w:val="00BB3672"/>
    <w:rsid w:val="00BB7359"/>
    <w:rsid w:val="00BC075C"/>
    <w:rsid w:val="00BC14E0"/>
    <w:rsid w:val="00BC32B5"/>
    <w:rsid w:val="00BD269E"/>
    <w:rsid w:val="00BD4001"/>
    <w:rsid w:val="00BD4ADB"/>
    <w:rsid w:val="00BE053C"/>
    <w:rsid w:val="00BE17C2"/>
    <w:rsid w:val="00BE5620"/>
    <w:rsid w:val="00BE6B7E"/>
    <w:rsid w:val="00BE6EC8"/>
    <w:rsid w:val="00BF00A8"/>
    <w:rsid w:val="00BF0FEA"/>
    <w:rsid w:val="00BF3078"/>
    <w:rsid w:val="00BF3DE9"/>
    <w:rsid w:val="00BF6A5F"/>
    <w:rsid w:val="00C0559E"/>
    <w:rsid w:val="00C07553"/>
    <w:rsid w:val="00C078AB"/>
    <w:rsid w:val="00C13361"/>
    <w:rsid w:val="00C13DB4"/>
    <w:rsid w:val="00C16C86"/>
    <w:rsid w:val="00C31186"/>
    <w:rsid w:val="00C33313"/>
    <w:rsid w:val="00C33BD7"/>
    <w:rsid w:val="00C34FCF"/>
    <w:rsid w:val="00C37AB4"/>
    <w:rsid w:val="00C37E9B"/>
    <w:rsid w:val="00C45E34"/>
    <w:rsid w:val="00C50ECE"/>
    <w:rsid w:val="00C56CB4"/>
    <w:rsid w:val="00C610EC"/>
    <w:rsid w:val="00C62466"/>
    <w:rsid w:val="00C63204"/>
    <w:rsid w:val="00C7257B"/>
    <w:rsid w:val="00C73225"/>
    <w:rsid w:val="00C75C55"/>
    <w:rsid w:val="00C82496"/>
    <w:rsid w:val="00C833D2"/>
    <w:rsid w:val="00C84647"/>
    <w:rsid w:val="00C9482A"/>
    <w:rsid w:val="00C95DCE"/>
    <w:rsid w:val="00CA3F26"/>
    <w:rsid w:val="00CA4EB4"/>
    <w:rsid w:val="00CA54BC"/>
    <w:rsid w:val="00CA5EA5"/>
    <w:rsid w:val="00CA6650"/>
    <w:rsid w:val="00CB01A3"/>
    <w:rsid w:val="00CB2BA2"/>
    <w:rsid w:val="00CB2C66"/>
    <w:rsid w:val="00CB3ADD"/>
    <w:rsid w:val="00CB4A8C"/>
    <w:rsid w:val="00CB5335"/>
    <w:rsid w:val="00CB70C7"/>
    <w:rsid w:val="00CD2173"/>
    <w:rsid w:val="00CD65B1"/>
    <w:rsid w:val="00CE03D3"/>
    <w:rsid w:val="00CE0E1B"/>
    <w:rsid w:val="00CE2CAC"/>
    <w:rsid w:val="00CE48E5"/>
    <w:rsid w:val="00CE6C76"/>
    <w:rsid w:val="00CE7291"/>
    <w:rsid w:val="00CE76B3"/>
    <w:rsid w:val="00CE7795"/>
    <w:rsid w:val="00CF2E15"/>
    <w:rsid w:val="00CF7B8B"/>
    <w:rsid w:val="00D04EB3"/>
    <w:rsid w:val="00D07B75"/>
    <w:rsid w:val="00D11C40"/>
    <w:rsid w:val="00D11EBC"/>
    <w:rsid w:val="00D12E30"/>
    <w:rsid w:val="00D12E88"/>
    <w:rsid w:val="00D12F2A"/>
    <w:rsid w:val="00D15458"/>
    <w:rsid w:val="00D15AF5"/>
    <w:rsid w:val="00D16800"/>
    <w:rsid w:val="00D210DA"/>
    <w:rsid w:val="00D31BB7"/>
    <w:rsid w:val="00D32BC0"/>
    <w:rsid w:val="00D3729E"/>
    <w:rsid w:val="00D403F0"/>
    <w:rsid w:val="00D45AC2"/>
    <w:rsid w:val="00D47AD9"/>
    <w:rsid w:val="00D50DE9"/>
    <w:rsid w:val="00D50F1B"/>
    <w:rsid w:val="00D52778"/>
    <w:rsid w:val="00D52E5A"/>
    <w:rsid w:val="00D56603"/>
    <w:rsid w:val="00D5737C"/>
    <w:rsid w:val="00D60815"/>
    <w:rsid w:val="00D623BC"/>
    <w:rsid w:val="00D66186"/>
    <w:rsid w:val="00D73623"/>
    <w:rsid w:val="00D75E9B"/>
    <w:rsid w:val="00D769ED"/>
    <w:rsid w:val="00D857FA"/>
    <w:rsid w:val="00D872F5"/>
    <w:rsid w:val="00D877FB"/>
    <w:rsid w:val="00D91D24"/>
    <w:rsid w:val="00D9591B"/>
    <w:rsid w:val="00DA445A"/>
    <w:rsid w:val="00DA5090"/>
    <w:rsid w:val="00DA7C09"/>
    <w:rsid w:val="00DB38EF"/>
    <w:rsid w:val="00DB488C"/>
    <w:rsid w:val="00DB56D3"/>
    <w:rsid w:val="00DB6810"/>
    <w:rsid w:val="00DB7480"/>
    <w:rsid w:val="00DC0860"/>
    <w:rsid w:val="00DC2ACB"/>
    <w:rsid w:val="00DC5BFE"/>
    <w:rsid w:val="00DD0406"/>
    <w:rsid w:val="00DE0BEA"/>
    <w:rsid w:val="00DE6988"/>
    <w:rsid w:val="00DE6F13"/>
    <w:rsid w:val="00DF06E2"/>
    <w:rsid w:val="00DF0BEF"/>
    <w:rsid w:val="00DF1735"/>
    <w:rsid w:val="00E0087C"/>
    <w:rsid w:val="00E00E9B"/>
    <w:rsid w:val="00E0223D"/>
    <w:rsid w:val="00E04807"/>
    <w:rsid w:val="00E04B03"/>
    <w:rsid w:val="00E06F8F"/>
    <w:rsid w:val="00E10338"/>
    <w:rsid w:val="00E12C61"/>
    <w:rsid w:val="00E13540"/>
    <w:rsid w:val="00E15FA2"/>
    <w:rsid w:val="00E20728"/>
    <w:rsid w:val="00E20F39"/>
    <w:rsid w:val="00E21FEF"/>
    <w:rsid w:val="00E225CB"/>
    <w:rsid w:val="00E278BD"/>
    <w:rsid w:val="00E310AB"/>
    <w:rsid w:val="00E31E6D"/>
    <w:rsid w:val="00E3473E"/>
    <w:rsid w:val="00E40D39"/>
    <w:rsid w:val="00E41D5C"/>
    <w:rsid w:val="00E42CA6"/>
    <w:rsid w:val="00E43BA5"/>
    <w:rsid w:val="00E45A01"/>
    <w:rsid w:val="00E466A4"/>
    <w:rsid w:val="00E47B0C"/>
    <w:rsid w:val="00E50D16"/>
    <w:rsid w:val="00E50D95"/>
    <w:rsid w:val="00E50F4A"/>
    <w:rsid w:val="00E55A3F"/>
    <w:rsid w:val="00E56D2E"/>
    <w:rsid w:val="00E56D64"/>
    <w:rsid w:val="00E61E9A"/>
    <w:rsid w:val="00E62447"/>
    <w:rsid w:val="00E6398C"/>
    <w:rsid w:val="00E6484D"/>
    <w:rsid w:val="00E66161"/>
    <w:rsid w:val="00E70797"/>
    <w:rsid w:val="00E8013E"/>
    <w:rsid w:val="00E83ED3"/>
    <w:rsid w:val="00E90A6B"/>
    <w:rsid w:val="00E910F4"/>
    <w:rsid w:val="00E91A6D"/>
    <w:rsid w:val="00E93305"/>
    <w:rsid w:val="00EA7883"/>
    <w:rsid w:val="00EB2909"/>
    <w:rsid w:val="00EB3475"/>
    <w:rsid w:val="00EB66FC"/>
    <w:rsid w:val="00EB7D24"/>
    <w:rsid w:val="00ED03BA"/>
    <w:rsid w:val="00ED113B"/>
    <w:rsid w:val="00EE00A2"/>
    <w:rsid w:val="00EE33E5"/>
    <w:rsid w:val="00EE6032"/>
    <w:rsid w:val="00EE74D8"/>
    <w:rsid w:val="00EF2192"/>
    <w:rsid w:val="00EF22CF"/>
    <w:rsid w:val="00EF2A6C"/>
    <w:rsid w:val="00EF36CB"/>
    <w:rsid w:val="00EF4E16"/>
    <w:rsid w:val="00F02FF4"/>
    <w:rsid w:val="00F04C57"/>
    <w:rsid w:val="00F0503B"/>
    <w:rsid w:val="00F05100"/>
    <w:rsid w:val="00F10A3C"/>
    <w:rsid w:val="00F10DD9"/>
    <w:rsid w:val="00F11611"/>
    <w:rsid w:val="00F12C86"/>
    <w:rsid w:val="00F132DB"/>
    <w:rsid w:val="00F13697"/>
    <w:rsid w:val="00F13834"/>
    <w:rsid w:val="00F14013"/>
    <w:rsid w:val="00F14060"/>
    <w:rsid w:val="00F17908"/>
    <w:rsid w:val="00F20809"/>
    <w:rsid w:val="00F20A4E"/>
    <w:rsid w:val="00F20BDD"/>
    <w:rsid w:val="00F21EA6"/>
    <w:rsid w:val="00F21EBC"/>
    <w:rsid w:val="00F27C1C"/>
    <w:rsid w:val="00F27C37"/>
    <w:rsid w:val="00F463A3"/>
    <w:rsid w:val="00F46992"/>
    <w:rsid w:val="00F47D13"/>
    <w:rsid w:val="00F502E8"/>
    <w:rsid w:val="00F566A6"/>
    <w:rsid w:val="00F60D42"/>
    <w:rsid w:val="00F6521E"/>
    <w:rsid w:val="00F66101"/>
    <w:rsid w:val="00F71812"/>
    <w:rsid w:val="00F721F0"/>
    <w:rsid w:val="00F723ED"/>
    <w:rsid w:val="00F72519"/>
    <w:rsid w:val="00F742EB"/>
    <w:rsid w:val="00F756AB"/>
    <w:rsid w:val="00F76483"/>
    <w:rsid w:val="00F77547"/>
    <w:rsid w:val="00F837A5"/>
    <w:rsid w:val="00F85535"/>
    <w:rsid w:val="00F864DA"/>
    <w:rsid w:val="00F95E15"/>
    <w:rsid w:val="00F97E8D"/>
    <w:rsid w:val="00FA144A"/>
    <w:rsid w:val="00FA1F86"/>
    <w:rsid w:val="00FA21FA"/>
    <w:rsid w:val="00FA48A0"/>
    <w:rsid w:val="00FA5C70"/>
    <w:rsid w:val="00FA6C60"/>
    <w:rsid w:val="00FA7890"/>
    <w:rsid w:val="00FC011F"/>
    <w:rsid w:val="00FC244D"/>
    <w:rsid w:val="00FC361E"/>
    <w:rsid w:val="00FC76C1"/>
    <w:rsid w:val="00FD37FB"/>
    <w:rsid w:val="00FD3B28"/>
    <w:rsid w:val="00FD4A98"/>
    <w:rsid w:val="00FD5630"/>
    <w:rsid w:val="00FD62C9"/>
    <w:rsid w:val="00FD633B"/>
    <w:rsid w:val="00FE014B"/>
    <w:rsid w:val="00FE1AB2"/>
    <w:rsid w:val="00FF30C0"/>
    <w:rsid w:val="00FF5ABD"/>
    <w:rsid w:val="00FF5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FE91"/>
  <w15:chartTrackingRefBased/>
  <w15:docId w15:val="{88E55F9A-E331-4779-9E19-F0EAA26E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E94"/>
    <w:pPr>
      <w:spacing w:after="0" w:line="240" w:lineRule="auto"/>
    </w:pPr>
  </w:style>
  <w:style w:type="paragraph" w:styleId="Heading1">
    <w:name w:val="heading 1"/>
    <w:basedOn w:val="Normal"/>
    <w:next w:val="Normal"/>
    <w:link w:val="Heading1Char"/>
    <w:uiPriority w:val="9"/>
    <w:qFormat/>
    <w:rsid w:val="00921A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73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167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35D"/>
    <w:rPr>
      <w:color w:val="0000FF"/>
      <w:u w:val="single"/>
    </w:rPr>
  </w:style>
  <w:style w:type="paragraph" w:styleId="Revision">
    <w:name w:val="Revision"/>
    <w:hidden/>
    <w:uiPriority w:val="99"/>
    <w:semiHidden/>
    <w:rsid w:val="00A110E7"/>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BA4133"/>
    <w:rPr>
      <w:sz w:val="16"/>
      <w:szCs w:val="16"/>
    </w:rPr>
  </w:style>
  <w:style w:type="paragraph" w:styleId="CommentText">
    <w:name w:val="annotation text"/>
    <w:basedOn w:val="Normal"/>
    <w:link w:val="CommentTextChar"/>
    <w:uiPriority w:val="99"/>
    <w:unhideWhenUsed/>
    <w:rsid w:val="00BA4133"/>
    <w:rPr>
      <w:sz w:val="20"/>
      <w:szCs w:val="20"/>
    </w:rPr>
  </w:style>
  <w:style w:type="character" w:customStyle="1" w:styleId="CommentTextChar">
    <w:name w:val="Comment Text Char"/>
    <w:basedOn w:val="DefaultParagraphFont"/>
    <w:link w:val="CommentText"/>
    <w:uiPriority w:val="99"/>
    <w:rsid w:val="00BA413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A4133"/>
    <w:rPr>
      <w:b/>
      <w:bCs/>
    </w:rPr>
  </w:style>
  <w:style w:type="character" w:customStyle="1" w:styleId="CommentSubjectChar">
    <w:name w:val="Comment Subject Char"/>
    <w:basedOn w:val="CommentTextChar"/>
    <w:link w:val="CommentSubject"/>
    <w:uiPriority w:val="99"/>
    <w:semiHidden/>
    <w:rsid w:val="00BA4133"/>
    <w:rPr>
      <w:rFonts w:ascii="Calibri" w:hAnsi="Calibri" w:cs="Calibri"/>
      <w:b/>
      <w:bCs/>
      <w:sz w:val="20"/>
      <w:szCs w:val="20"/>
    </w:rPr>
  </w:style>
  <w:style w:type="paragraph" w:customStyle="1" w:styleId="EndNoteBibliographyTitle">
    <w:name w:val="EndNote Bibliography Title"/>
    <w:basedOn w:val="Normal"/>
    <w:link w:val="EndNoteBibliographyTitleChar"/>
    <w:rsid w:val="00E10338"/>
    <w:pPr>
      <w:jc w:val="center"/>
    </w:pPr>
    <w:rPr>
      <w:noProof/>
      <w:lang w:val="en-US"/>
    </w:rPr>
  </w:style>
  <w:style w:type="character" w:customStyle="1" w:styleId="EndNoteBibliographyTitleChar">
    <w:name w:val="EndNote Bibliography Title Char"/>
    <w:basedOn w:val="DefaultParagraphFont"/>
    <w:link w:val="EndNoteBibliographyTitle"/>
    <w:rsid w:val="00E10338"/>
    <w:rPr>
      <w:rFonts w:ascii="Calibri" w:hAnsi="Calibri" w:cs="Calibri"/>
      <w:noProof/>
      <w:lang w:val="en-US"/>
    </w:rPr>
  </w:style>
  <w:style w:type="paragraph" w:customStyle="1" w:styleId="EndNoteBibliography">
    <w:name w:val="EndNote Bibliography"/>
    <w:basedOn w:val="Normal"/>
    <w:link w:val="EndNoteBibliographyChar"/>
    <w:rsid w:val="00E10338"/>
    <w:rPr>
      <w:noProof/>
      <w:lang w:val="en-US"/>
    </w:rPr>
  </w:style>
  <w:style w:type="character" w:customStyle="1" w:styleId="EndNoteBibliographyChar">
    <w:name w:val="EndNote Bibliography Char"/>
    <w:basedOn w:val="DefaultParagraphFont"/>
    <w:link w:val="EndNoteBibliography"/>
    <w:rsid w:val="00E10338"/>
    <w:rPr>
      <w:rFonts w:ascii="Calibri" w:hAnsi="Calibri" w:cs="Calibri"/>
      <w:noProof/>
      <w:lang w:val="en-US"/>
    </w:rPr>
  </w:style>
  <w:style w:type="character" w:customStyle="1" w:styleId="Heading2Char">
    <w:name w:val="Heading 2 Char"/>
    <w:basedOn w:val="DefaultParagraphFont"/>
    <w:link w:val="Heading2"/>
    <w:uiPriority w:val="9"/>
    <w:rsid w:val="001C73B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21A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E1678"/>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BA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5287">
      <w:bodyDiv w:val="1"/>
      <w:marLeft w:val="0"/>
      <w:marRight w:val="0"/>
      <w:marTop w:val="0"/>
      <w:marBottom w:val="0"/>
      <w:divBdr>
        <w:top w:val="none" w:sz="0" w:space="0" w:color="auto"/>
        <w:left w:val="none" w:sz="0" w:space="0" w:color="auto"/>
        <w:bottom w:val="none" w:sz="0" w:space="0" w:color="auto"/>
        <w:right w:val="none" w:sz="0" w:space="0" w:color="auto"/>
      </w:divBdr>
    </w:div>
    <w:div w:id="492599201">
      <w:bodyDiv w:val="1"/>
      <w:marLeft w:val="0"/>
      <w:marRight w:val="0"/>
      <w:marTop w:val="0"/>
      <w:marBottom w:val="0"/>
      <w:divBdr>
        <w:top w:val="none" w:sz="0" w:space="0" w:color="auto"/>
        <w:left w:val="none" w:sz="0" w:space="0" w:color="auto"/>
        <w:bottom w:val="none" w:sz="0" w:space="0" w:color="auto"/>
        <w:right w:val="none" w:sz="0" w:space="0" w:color="auto"/>
      </w:divBdr>
    </w:div>
    <w:div w:id="665599644">
      <w:bodyDiv w:val="1"/>
      <w:marLeft w:val="0"/>
      <w:marRight w:val="0"/>
      <w:marTop w:val="0"/>
      <w:marBottom w:val="0"/>
      <w:divBdr>
        <w:top w:val="none" w:sz="0" w:space="0" w:color="auto"/>
        <w:left w:val="none" w:sz="0" w:space="0" w:color="auto"/>
        <w:bottom w:val="none" w:sz="0" w:space="0" w:color="auto"/>
        <w:right w:val="none" w:sz="0" w:space="0" w:color="auto"/>
      </w:divBdr>
    </w:div>
    <w:div w:id="957301125">
      <w:bodyDiv w:val="1"/>
      <w:marLeft w:val="0"/>
      <w:marRight w:val="0"/>
      <w:marTop w:val="0"/>
      <w:marBottom w:val="0"/>
      <w:divBdr>
        <w:top w:val="none" w:sz="0" w:space="0" w:color="auto"/>
        <w:left w:val="none" w:sz="0" w:space="0" w:color="auto"/>
        <w:bottom w:val="none" w:sz="0" w:space="0" w:color="auto"/>
        <w:right w:val="none" w:sz="0" w:space="0" w:color="auto"/>
      </w:divBdr>
    </w:div>
    <w:div w:id="1150747835">
      <w:bodyDiv w:val="1"/>
      <w:marLeft w:val="0"/>
      <w:marRight w:val="0"/>
      <w:marTop w:val="0"/>
      <w:marBottom w:val="0"/>
      <w:divBdr>
        <w:top w:val="none" w:sz="0" w:space="0" w:color="auto"/>
        <w:left w:val="none" w:sz="0" w:space="0" w:color="auto"/>
        <w:bottom w:val="none" w:sz="0" w:space="0" w:color="auto"/>
        <w:right w:val="none" w:sz="0" w:space="0" w:color="auto"/>
      </w:divBdr>
    </w:div>
    <w:div w:id="1174733051">
      <w:bodyDiv w:val="1"/>
      <w:marLeft w:val="0"/>
      <w:marRight w:val="0"/>
      <w:marTop w:val="0"/>
      <w:marBottom w:val="0"/>
      <w:divBdr>
        <w:top w:val="none" w:sz="0" w:space="0" w:color="auto"/>
        <w:left w:val="none" w:sz="0" w:space="0" w:color="auto"/>
        <w:bottom w:val="none" w:sz="0" w:space="0" w:color="auto"/>
        <w:right w:val="none" w:sz="0" w:space="0" w:color="auto"/>
      </w:divBdr>
    </w:div>
    <w:div w:id="1471559864">
      <w:bodyDiv w:val="1"/>
      <w:marLeft w:val="0"/>
      <w:marRight w:val="0"/>
      <w:marTop w:val="0"/>
      <w:marBottom w:val="0"/>
      <w:divBdr>
        <w:top w:val="none" w:sz="0" w:space="0" w:color="auto"/>
        <w:left w:val="none" w:sz="0" w:space="0" w:color="auto"/>
        <w:bottom w:val="none" w:sz="0" w:space="0" w:color="auto"/>
        <w:right w:val="none" w:sz="0" w:space="0" w:color="auto"/>
      </w:divBdr>
    </w:div>
    <w:div w:id="14778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136/medethics-2022-108131" TargetMode="External"/><Relationship Id="rId5" Type="http://schemas.openxmlformats.org/officeDocument/2006/relationships/hyperlink" Target="mailto:robert.wheeler@uhs.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17</Pages>
  <Words>3541</Words>
  <Characters>26071</Characters>
  <Application>Microsoft Office Word</Application>
  <DocSecurity>0</DocSecurity>
  <Lines>217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Robert</dc:creator>
  <cp:keywords/>
  <dc:description/>
  <cp:lastModifiedBy>Wheeler, Robert</cp:lastModifiedBy>
  <cp:revision>52</cp:revision>
  <cp:lastPrinted>2023-10-30T14:48:00Z</cp:lastPrinted>
  <dcterms:created xsi:type="dcterms:W3CDTF">2023-10-19T14:49:00Z</dcterms:created>
  <dcterms:modified xsi:type="dcterms:W3CDTF">2023-11-30T06:31:00Z</dcterms:modified>
</cp:coreProperties>
</file>