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1E615" w14:textId="73F57007" w:rsidR="003503AC" w:rsidRPr="00412073" w:rsidRDefault="00981B8F" w:rsidP="008348CA">
      <w:pPr>
        <w:pStyle w:val="Heading1"/>
        <w:ind w:firstLine="708"/>
      </w:pPr>
      <w:r w:rsidRPr="00412073">
        <w:t>Efficacy of pharmacological intervention</w:t>
      </w:r>
      <w:r w:rsidR="00E00314" w:rsidRPr="00412073">
        <w:t>s</w:t>
      </w:r>
      <w:r w:rsidRPr="00412073">
        <w:t xml:space="preserve"> for ADHD: protocol for a</w:t>
      </w:r>
      <w:r w:rsidR="007F324B" w:rsidRPr="00412073">
        <w:t>n updated</w:t>
      </w:r>
      <w:r w:rsidRPr="00412073">
        <w:t xml:space="preserve"> systematic review and dose-response network meta-analysis</w:t>
      </w:r>
    </w:p>
    <w:p w14:paraId="0F9B2B40" w14:textId="4ED6F38A" w:rsidR="00DE3710" w:rsidRPr="00412073" w:rsidRDefault="00DE3710" w:rsidP="003A2BD6">
      <w:pPr>
        <w:spacing w:line="276" w:lineRule="auto"/>
        <w:jc w:val="center"/>
        <w:rPr>
          <w:b/>
          <w:bCs/>
          <w:sz w:val="32"/>
          <w:szCs w:val="32"/>
          <w:lang w:val="en-US"/>
        </w:rPr>
      </w:pPr>
    </w:p>
    <w:p w14:paraId="2749E54D" w14:textId="7634487D" w:rsidR="00DE3710" w:rsidRPr="00412073" w:rsidRDefault="00204D1A" w:rsidP="003A2BD6">
      <w:pPr>
        <w:spacing w:line="276" w:lineRule="auto"/>
        <w:rPr>
          <w:vertAlign w:val="superscript"/>
          <w:lang w:val="en-US"/>
        </w:rPr>
      </w:pPr>
      <w:r w:rsidRPr="00412073">
        <w:rPr>
          <w:lang w:val="en-US"/>
        </w:rPr>
        <w:t>Mikail NOURREDINE</w:t>
      </w:r>
      <w:r w:rsidR="00D6408E" w:rsidRPr="00412073">
        <w:rPr>
          <w:lang w:val="en-US"/>
        </w:rPr>
        <w:t>*</w:t>
      </w:r>
      <w:r w:rsidRPr="00412073">
        <w:rPr>
          <w:lang w:val="en-US"/>
        </w:rPr>
        <w:t xml:space="preserve"> </w:t>
      </w:r>
      <w:r w:rsidRPr="00412073">
        <w:rPr>
          <w:vertAlign w:val="superscript"/>
          <w:lang w:val="en-US"/>
        </w:rPr>
        <w:t>1,2,</w:t>
      </w:r>
      <w:r w:rsidR="00A840DB" w:rsidRPr="00412073">
        <w:rPr>
          <w:vertAlign w:val="superscript"/>
          <w:lang w:val="en-US"/>
        </w:rPr>
        <w:t>3</w:t>
      </w:r>
      <w:r w:rsidR="00EF49FC" w:rsidRPr="00412073">
        <w:rPr>
          <w:lang w:val="en-US"/>
        </w:rPr>
        <w:t>,</w:t>
      </w:r>
      <w:r w:rsidRPr="00412073">
        <w:rPr>
          <w:lang w:val="en-US"/>
        </w:rPr>
        <w:t xml:space="preserve"> </w:t>
      </w:r>
      <w:r w:rsidR="00DE3710" w:rsidRPr="00412073">
        <w:rPr>
          <w:lang w:val="en-US"/>
        </w:rPr>
        <w:t xml:space="preserve">Lucie JUREK </w:t>
      </w:r>
      <w:r w:rsidR="00DE3710" w:rsidRPr="00412073">
        <w:rPr>
          <w:vertAlign w:val="superscript"/>
          <w:lang w:val="en-US"/>
        </w:rPr>
        <w:t>1,</w:t>
      </w:r>
      <w:r w:rsidRPr="00412073">
        <w:rPr>
          <w:vertAlign w:val="superscript"/>
          <w:lang w:val="en-US"/>
        </w:rPr>
        <w:t>4</w:t>
      </w:r>
      <w:r w:rsidR="00DE3710" w:rsidRPr="00412073">
        <w:rPr>
          <w:vertAlign w:val="superscript"/>
          <w:lang w:val="en-US"/>
        </w:rPr>
        <w:t>,</w:t>
      </w:r>
      <w:r w:rsidR="00EF49FC" w:rsidRPr="00412073">
        <w:rPr>
          <w:vertAlign w:val="superscript"/>
          <w:lang w:val="en-US"/>
        </w:rPr>
        <w:t>5</w:t>
      </w:r>
      <w:r w:rsidR="00EF49FC" w:rsidRPr="00412073">
        <w:rPr>
          <w:lang w:val="en-US"/>
        </w:rPr>
        <w:t>,</w:t>
      </w:r>
      <w:r w:rsidR="00DE3710" w:rsidRPr="00412073">
        <w:rPr>
          <w:lang w:val="en-US"/>
        </w:rPr>
        <w:t xml:space="preserve"> Georgia </w:t>
      </w:r>
      <w:r w:rsidR="00E31808" w:rsidRPr="00412073">
        <w:rPr>
          <w:lang w:val="en-US"/>
        </w:rPr>
        <w:t>SALANTI</w:t>
      </w:r>
      <w:r w:rsidR="009D0578" w:rsidRPr="00412073">
        <w:rPr>
          <w:vertAlign w:val="superscript"/>
          <w:lang w:val="en-US"/>
        </w:rPr>
        <w:t>6</w:t>
      </w:r>
      <w:r w:rsidR="00EF49FC" w:rsidRPr="00412073">
        <w:rPr>
          <w:lang w:val="en-US"/>
        </w:rPr>
        <w:t>,</w:t>
      </w:r>
      <w:r w:rsidR="00DE3710" w:rsidRPr="00412073">
        <w:rPr>
          <w:lang w:val="en-US"/>
        </w:rPr>
        <w:t xml:space="preserve"> Andrea CIPRIANI</w:t>
      </w:r>
      <w:r w:rsidR="007726C0" w:rsidRPr="00412073">
        <w:rPr>
          <w:vertAlign w:val="superscript"/>
          <w:lang w:val="en-US"/>
        </w:rPr>
        <w:t>7</w:t>
      </w:r>
      <w:r w:rsidR="00B75ECD" w:rsidRPr="00412073">
        <w:rPr>
          <w:vertAlign w:val="superscript"/>
          <w:lang w:val="en-US"/>
        </w:rPr>
        <w:t>,8</w:t>
      </w:r>
      <w:r w:rsidR="009C764E" w:rsidRPr="00412073">
        <w:rPr>
          <w:vertAlign w:val="superscript"/>
          <w:lang w:val="en-US"/>
        </w:rPr>
        <w:t>,9</w:t>
      </w:r>
      <w:r w:rsidR="00EF49FC" w:rsidRPr="00412073">
        <w:rPr>
          <w:lang w:val="en-US"/>
        </w:rPr>
        <w:t xml:space="preserve">, </w:t>
      </w:r>
      <w:r w:rsidR="004307B3" w:rsidRPr="00412073">
        <w:rPr>
          <w:lang w:val="en-US"/>
        </w:rPr>
        <w:t xml:space="preserve">Fabien </w:t>
      </w:r>
      <w:r w:rsidR="00B57875" w:rsidRPr="00412073">
        <w:rPr>
          <w:lang w:val="en-US"/>
        </w:rPr>
        <w:t>SUBTIL</w:t>
      </w:r>
      <w:r w:rsidRPr="00412073">
        <w:rPr>
          <w:vertAlign w:val="superscript"/>
          <w:lang w:val="en-US"/>
        </w:rPr>
        <w:t>2</w:t>
      </w:r>
      <w:r w:rsidR="00D95F26" w:rsidRPr="00412073">
        <w:rPr>
          <w:vertAlign w:val="superscript"/>
          <w:lang w:val="en-US"/>
        </w:rPr>
        <w:t>,</w:t>
      </w:r>
      <w:r w:rsidRPr="00412073">
        <w:rPr>
          <w:vertAlign w:val="superscript"/>
          <w:lang w:val="en-US"/>
        </w:rPr>
        <w:t>3</w:t>
      </w:r>
      <w:r w:rsidR="00272B76" w:rsidRPr="00412073">
        <w:rPr>
          <w:lang w:val="en-US"/>
        </w:rPr>
        <w:t xml:space="preserve">, </w:t>
      </w:r>
      <w:r w:rsidR="007726C0" w:rsidRPr="00412073">
        <w:rPr>
          <w:lang w:val="en-US"/>
        </w:rPr>
        <w:t>Orestis EFTHIMIOU</w:t>
      </w:r>
      <w:r w:rsidR="007726C0" w:rsidRPr="00412073">
        <w:rPr>
          <w:vertAlign w:val="superscript"/>
          <w:lang w:val="en-US"/>
        </w:rPr>
        <w:t>6,</w:t>
      </w:r>
      <w:r w:rsidR="009C764E" w:rsidRPr="00412073">
        <w:rPr>
          <w:vertAlign w:val="superscript"/>
          <w:lang w:val="en-US"/>
        </w:rPr>
        <w:t>10</w:t>
      </w:r>
      <w:r w:rsidR="00272B76" w:rsidRPr="00412073">
        <w:rPr>
          <w:lang w:val="en-US"/>
        </w:rPr>
        <w:t>,</w:t>
      </w:r>
      <w:r w:rsidR="007726C0" w:rsidRPr="00412073">
        <w:rPr>
          <w:lang w:val="en-US"/>
        </w:rPr>
        <w:t xml:space="preserve"> </w:t>
      </w:r>
      <w:r w:rsidR="00BE0034" w:rsidRPr="00412073">
        <w:rPr>
          <w:lang w:val="en-US"/>
        </w:rPr>
        <w:t xml:space="preserve">Tasnim </w:t>
      </w:r>
      <w:r w:rsidR="00B57875" w:rsidRPr="00412073">
        <w:rPr>
          <w:lang w:val="en-US"/>
        </w:rPr>
        <w:t>HAMZA</w:t>
      </w:r>
      <w:r w:rsidR="000925C8" w:rsidRPr="00412073">
        <w:rPr>
          <w:vertAlign w:val="superscript"/>
          <w:lang w:val="en-US"/>
        </w:rPr>
        <w:t>6</w:t>
      </w:r>
      <w:r w:rsidR="00272B76" w:rsidRPr="00412073">
        <w:rPr>
          <w:lang w:val="en-US"/>
        </w:rPr>
        <w:t xml:space="preserve">, </w:t>
      </w:r>
      <w:r w:rsidR="00DE3710" w:rsidRPr="00412073">
        <w:rPr>
          <w:lang w:val="en-US"/>
        </w:rPr>
        <w:t>Samuele CORTESE</w:t>
      </w:r>
      <w:r w:rsidR="00B75ECD" w:rsidRPr="00412073">
        <w:rPr>
          <w:vertAlign w:val="superscript"/>
          <w:lang w:val="en-US"/>
        </w:rPr>
        <w:t>1</w:t>
      </w:r>
      <w:r w:rsidR="00F52BE9" w:rsidRPr="00412073">
        <w:rPr>
          <w:vertAlign w:val="superscript"/>
          <w:lang w:val="en-US"/>
        </w:rPr>
        <w:t>,</w:t>
      </w:r>
      <w:r w:rsidR="00B75ECD" w:rsidRPr="00412073">
        <w:rPr>
          <w:vertAlign w:val="superscript"/>
          <w:lang w:val="en-US"/>
        </w:rPr>
        <w:t>9,</w:t>
      </w:r>
      <w:r w:rsidR="00ED2BC5" w:rsidRPr="00412073">
        <w:rPr>
          <w:vertAlign w:val="superscript"/>
          <w:lang w:val="en-US"/>
        </w:rPr>
        <w:t>10</w:t>
      </w:r>
      <w:r w:rsidR="00F52BE9" w:rsidRPr="00412073">
        <w:rPr>
          <w:vertAlign w:val="superscript"/>
          <w:lang w:val="en-US"/>
        </w:rPr>
        <w:t>,1</w:t>
      </w:r>
      <w:r w:rsidR="00ED2BC5" w:rsidRPr="00412073">
        <w:rPr>
          <w:vertAlign w:val="superscript"/>
          <w:lang w:val="en-US"/>
        </w:rPr>
        <w:t>1</w:t>
      </w:r>
    </w:p>
    <w:p w14:paraId="0B33BBF3" w14:textId="68A885A5" w:rsidR="001C4B4E" w:rsidRPr="00412073" w:rsidRDefault="001C4B4E" w:rsidP="003A2BD6">
      <w:pPr>
        <w:spacing w:line="276" w:lineRule="auto"/>
        <w:rPr>
          <w:lang w:val="en-US"/>
        </w:rPr>
      </w:pPr>
    </w:p>
    <w:p w14:paraId="2E479AFE" w14:textId="621E6B8A" w:rsidR="00981B8F" w:rsidRPr="00412073" w:rsidRDefault="00DE3710" w:rsidP="003A2BD6">
      <w:pPr>
        <w:spacing w:line="276" w:lineRule="auto"/>
        <w:rPr>
          <w:lang w:val="en-US"/>
        </w:rPr>
      </w:pPr>
      <w:r w:rsidRPr="00412073">
        <w:rPr>
          <w:lang w:val="en-US"/>
        </w:rPr>
        <w:t>Affiliations:</w:t>
      </w:r>
    </w:p>
    <w:p w14:paraId="7A65995D" w14:textId="514AE2EF" w:rsidR="00DE3710" w:rsidRPr="00412073" w:rsidRDefault="00DE3710" w:rsidP="003A2BD6">
      <w:pPr>
        <w:pStyle w:val="ListParagraph"/>
        <w:numPr>
          <w:ilvl w:val="0"/>
          <w:numId w:val="2"/>
        </w:numPr>
        <w:spacing w:line="276" w:lineRule="auto"/>
        <w:rPr>
          <w:lang w:val="en-US"/>
        </w:rPr>
      </w:pPr>
      <w:r w:rsidRPr="00412073">
        <w:rPr>
          <w:lang w:val="en-US"/>
        </w:rPr>
        <w:t>University of Southampton</w:t>
      </w:r>
    </w:p>
    <w:p w14:paraId="732190DC" w14:textId="77777777" w:rsidR="00204D1A" w:rsidRPr="00412073" w:rsidRDefault="00204D1A" w:rsidP="00204D1A">
      <w:pPr>
        <w:pStyle w:val="ListParagraph"/>
        <w:numPr>
          <w:ilvl w:val="0"/>
          <w:numId w:val="2"/>
        </w:numPr>
        <w:spacing w:line="276" w:lineRule="auto"/>
        <w:rPr>
          <w:lang w:val="en-US"/>
        </w:rPr>
      </w:pPr>
      <w:r w:rsidRPr="00412073">
        <w:rPr>
          <w:lang w:val="en-US"/>
        </w:rPr>
        <w:t>Department of biostatistics, Hospices civils de Lyon, Lyon, FRANCE</w:t>
      </w:r>
    </w:p>
    <w:p w14:paraId="4C26F41A" w14:textId="7151213B" w:rsidR="00204D1A" w:rsidRPr="00412073" w:rsidRDefault="00204D1A" w:rsidP="00204D1A">
      <w:pPr>
        <w:pStyle w:val="ListParagraph"/>
        <w:numPr>
          <w:ilvl w:val="0"/>
          <w:numId w:val="2"/>
        </w:numPr>
        <w:tabs>
          <w:tab w:val="left" w:pos="4550"/>
        </w:tabs>
      </w:pPr>
      <w:r w:rsidRPr="00412073">
        <w:t>Laboratoire de biométrie et biologie évolutive UMR CNRS 5558, Lyon France</w:t>
      </w:r>
    </w:p>
    <w:p w14:paraId="40F0CD94" w14:textId="39C4D305" w:rsidR="00DE3710" w:rsidRPr="00412073" w:rsidRDefault="00DE3710" w:rsidP="003A2BD6">
      <w:pPr>
        <w:pStyle w:val="ListParagraph"/>
        <w:numPr>
          <w:ilvl w:val="0"/>
          <w:numId w:val="2"/>
        </w:numPr>
        <w:spacing w:line="276" w:lineRule="auto"/>
        <w:rPr>
          <w:lang w:val="en-US"/>
        </w:rPr>
      </w:pPr>
      <w:r w:rsidRPr="00412073">
        <w:rPr>
          <w:lang w:val="en-US"/>
        </w:rPr>
        <w:t>Department of child and adolescent psychiatry, CH Le Vinatier, Bron, F</w:t>
      </w:r>
      <w:r w:rsidR="00026C0D" w:rsidRPr="00412073">
        <w:rPr>
          <w:lang w:val="en-US"/>
        </w:rPr>
        <w:t>rance</w:t>
      </w:r>
    </w:p>
    <w:p w14:paraId="3EB5ECDE" w14:textId="0F98ED20" w:rsidR="00DE3710" w:rsidRPr="00412073" w:rsidRDefault="00DE3710" w:rsidP="003A2BD6">
      <w:pPr>
        <w:pStyle w:val="ListParagraph"/>
        <w:numPr>
          <w:ilvl w:val="0"/>
          <w:numId w:val="2"/>
        </w:numPr>
        <w:spacing w:line="276" w:lineRule="auto"/>
        <w:rPr>
          <w:lang w:val="en-US"/>
        </w:rPr>
      </w:pPr>
      <w:r w:rsidRPr="00412073">
        <w:rPr>
          <w:lang w:val="en-US"/>
        </w:rPr>
        <w:t>RESHAPE U1290, University of Lyon, Lyon, F</w:t>
      </w:r>
      <w:r w:rsidR="00026C0D" w:rsidRPr="00412073">
        <w:rPr>
          <w:lang w:val="en-US"/>
        </w:rPr>
        <w:t>rance</w:t>
      </w:r>
    </w:p>
    <w:p w14:paraId="5655D17D" w14:textId="6B6B27BF" w:rsidR="009D0578" w:rsidRPr="00412073" w:rsidRDefault="009D0578" w:rsidP="009D0578">
      <w:pPr>
        <w:pStyle w:val="pf0"/>
        <w:numPr>
          <w:ilvl w:val="0"/>
          <w:numId w:val="2"/>
        </w:numPr>
        <w:rPr>
          <w:rStyle w:val="cf21"/>
          <w:rFonts w:asciiTheme="minorHAnsi" w:hAnsiTheme="minorHAnsi" w:cstheme="minorHAnsi"/>
          <w:b w:val="0"/>
          <w:bCs w:val="0"/>
          <w:sz w:val="24"/>
          <w:szCs w:val="24"/>
          <w:lang w:val="en-US"/>
        </w:rPr>
      </w:pPr>
      <w:r w:rsidRPr="00412073">
        <w:rPr>
          <w:rStyle w:val="cf01"/>
          <w:rFonts w:asciiTheme="minorHAnsi" w:hAnsiTheme="minorHAnsi" w:cstheme="minorHAnsi"/>
          <w:sz w:val="24"/>
          <w:szCs w:val="24"/>
          <w:lang w:val="en-US"/>
        </w:rPr>
        <w:t>Institute of Social and Preventive Medicine (ISPM),</w:t>
      </w:r>
      <w:r w:rsidRPr="00412073">
        <w:rPr>
          <w:rStyle w:val="cf21"/>
          <w:rFonts w:asciiTheme="minorHAnsi" w:hAnsiTheme="minorHAnsi" w:cstheme="minorHAnsi"/>
          <w:b w:val="0"/>
          <w:bCs w:val="0"/>
          <w:sz w:val="24"/>
          <w:szCs w:val="24"/>
          <w:lang w:val="en-US"/>
        </w:rPr>
        <w:t xml:space="preserve"> University of Bern</w:t>
      </w:r>
      <w:r w:rsidR="00C36B73" w:rsidRPr="00412073">
        <w:rPr>
          <w:rStyle w:val="cf21"/>
          <w:rFonts w:asciiTheme="minorHAnsi" w:hAnsiTheme="minorHAnsi" w:cstheme="minorHAnsi"/>
          <w:b w:val="0"/>
          <w:bCs w:val="0"/>
          <w:sz w:val="24"/>
          <w:szCs w:val="24"/>
          <w:lang w:val="en-US"/>
        </w:rPr>
        <w:t>, Switzerland</w:t>
      </w:r>
    </w:p>
    <w:p w14:paraId="489B9C31" w14:textId="77777777" w:rsidR="00B75ECD" w:rsidRPr="00412073" w:rsidRDefault="00B75ECD" w:rsidP="00B75ECD">
      <w:pPr>
        <w:pStyle w:val="ListParagraph"/>
        <w:numPr>
          <w:ilvl w:val="0"/>
          <w:numId w:val="2"/>
        </w:numPr>
        <w:spacing w:line="276" w:lineRule="auto"/>
        <w:rPr>
          <w:lang w:val="en-US"/>
        </w:rPr>
      </w:pPr>
      <w:r w:rsidRPr="00412073">
        <w:rPr>
          <w:lang w:val="en-US"/>
        </w:rPr>
        <w:t>Department of Psychiatry, University of Oxford, Oxford, UK</w:t>
      </w:r>
    </w:p>
    <w:p w14:paraId="08EF77E8" w14:textId="7368D3DA" w:rsidR="00B75ECD" w:rsidRPr="00412073" w:rsidRDefault="00B75ECD" w:rsidP="00B75ECD">
      <w:pPr>
        <w:pStyle w:val="ListParagraph"/>
        <w:numPr>
          <w:ilvl w:val="0"/>
          <w:numId w:val="2"/>
        </w:numPr>
        <w:spacing w:line="276" w:lineRule="auto"/>
        <w:rPr>
          <w:rFonts w:cstheme="minorHAnsi"/>
          <w:lang w:val="en-US"/>
        </w:rPr>
      </w:pPr>
      <w:r w:rsidRPr="00412073">
        <w:rPr>
          <w:rFonts w:eastAsiaTheme="majorEastAsia" w:cstheme="minorHAnsi"/>
          <w:lang w:val="en-GB"/>
        </w:rPr>
        <w:t>Oxford Precision Psychiatry Lab, NIHR Oxford Health Biomedical Research Centre, Oxford, UK</w:t>
      </w:r>
    </w:p>
    <w:p w14:paraId="7E703B32" w14:textId="3382ADAE" w:rsidR="004A5021" w:rsidRPr="00412073" w:rsidRDefault="004A5021" w:rsidP="004A5021">
      <w:pPr>
        <w:pStyle w:val="ListParagraph"/>
        <w:numPr>
          <w:ilvl w:val="0"/>
          <w:numId w:val="2"/>
        </w:numPr>
        <w:spacing w:line="276" w:lineRule="auto"/>
        <w:rPr>
          <w:rFonts w:cstheme="minorHAnsi"/>
          <w:lang w:val="en-US"/>
        </w:rPr>
      </w:pPr>
      <w:r w:rsidRPr="00412073">
        <w:rPr>
          <w:rFonts w:eastAsiaTheme="majorEastAsia" w:cstheme="minorHAnsi"/>
          <w:lang w:val="en-US"/>
        </w:rPr>
        <w:t>Oxford Health NHS Foundation Trust, Warneford Hospital, Oxford, UK</w:t>
      </w:r>
    </w:p>
    <w:p w14:paraId="11BFD97E" w14:textId="78D47861" w:rsidR="00A31458" w:rsidRPr="00412073" w:rsidRDefault="000925C8" w:rsidP="00A31458">
      <w:pPr>
        <w:pStyle w:val="ListParagraph"/>
        <w:numPr>
          <w:ilvl w:val="0"/>
          <w:numId w:val="2"/>
        </w:numPr>
        <w:spacing w:line="276" w:lineRule="auto"/>
        <w:rPr>
          <w:lang w:val="en-US"/>
        </w:rPr>
      </w:pPr>
      <w:r w:rsidRPr="00412073">
        <w:rPr>
          <w:lang w:val="en-US"/>
        </w:rPr>
        <w:t xml:space="preserve">Institute of </w:t>
      </w:r>
      <w:r w:rsidR="00EB2422" w:rsidRPr="00412073">
        <w:rPr>
          <w:lang w:val="en-US"/>
        </w:rPr>
        <w:t>Primary Health Care (BIHAM)</w:t>
      </w:r>
      <w:r w:rsidRPr="00412073">
        <w:rPr>
          <w:lang w:val="en-US"/>
        </w:rPr>
        <w:t xml:space="preserve"> University of Bern, Bern, Switzerland</w:t>
      </w:r>
    </w:p>
    <w:p w14:paraId="37A98664" w14:textId="171544D2" w:rsidR="00F52BE9" w:rsidRPr="00412073" w:rsidRDefault="008F6051" w:rsidP="00A31458">
      <w:pPr>
        <w:pStyle w:val="ListParagraph"/>
        <w:numPr>
          <w:ilvl w:val="0"/>
          <w:numId w:val="2"/>
        </w:numPr>
        <w:spacing w:line="276" w:lineRule="auto"/>
        <w:rPr>
          <w:lang w:val="en-US"/>
        </w:rPr>
      </w:pPr>
      <w:r w:rsidRPr="00412073">
        <w:rPr>
          <w:lang w:val="en-US"/>
        </w:rPr>
        <w:t>Department of Psychology, Developmental Brain-Behaviour Laboratory, Academic Unit of Psychology, University of Southampton</w:t>
      </w:r>
      <w:r w:rsidR="00446910" w:rsidRPr="00412073">
        <w:rPr>
          <w:lang w:val="en-US"/>
        </w:rPr>
        <w:t>, Southampton, UK</w:t>
      </w:r>
    </w:p>
    <w:p w14:paraId="67E57267" w14:textId="61B7D885" w:rsidR="008F6051" w:rsidRPr="00412073" w:rsidRDefault="008035E4" w:rsidP="00A31458">
      <w:pPr>
        <w:pStyle w:val="ListParagraph"/>
        <w:numPr>
          <w:ilvl w:val="0"/>
          <w:numId w:val="2"/>
        </w:numPr>
        <w:spacing w:line="276" w:lineRule="auto"/>
        <w:rPr>
          <w:lang w:val="en-US"/>
        </w:rPr>
      </w:pPr>
      <w:r w:rsidRPr="00412073">
        <w:rPr>
          <w:lang w:val="en-US"/>
        </w:rPr>
        <w:t>Hassenfeld Children’s Hospital at NYU Langone, New York University Child Study Center, New York, USA</w:t>
      </w:r>
    </w:p>
    <w:p w14:paraId="335BF74B" w14:textId="77777777" w:rsidR="008035E4" w:rsidRPr="00412073" w:rsidRDefault="008035E4" w:rsidP="008035E4">
      <w:pPr>
        <w:pStyle w:val="ListParagraph"/>
        <w:numPr>
          <w:ilvl w:val="0"/>
          <w:numId w:val="2"/>
        </w:numPr>
        <w:spacing w:line="276" w:lineRule="auto"/>
        <w:rPr>
          <w:lang w:val="en-US"/>
        </w:rPr>
      </w:pPr>
      <w:r w:rsidRPr="00412073">
        <w:rPr>
          <w:lang w:val="en-US"/>
        </w:rPr>
        <w:t>DiMePRe-J-Department of Precision and Regenerative Medicine-Jonic Area, University "Aldo Moro", Bari, Italy</w:t>
      </w:r>
    </w:p>
    <w:p w14:paraId="025DC74B" w14:textId="77777777" w:rsidR="008035E4" w:rsidRPr="00412073" w:rsidRDefault="008035E4" w:rsidP="008035E4">
      <w:pPr>
        <w:spacing w:line="276" w:lineRule="auto"/>
        <w:rPr>
          <w:lang w:val="en-US"/>
        </w:rPr>
      </w:pPr>
    </w:p>
    <w:p w14:paraId="133F511F" w14:textId="6931ABFD" w:rsidR="00070D24" w:rsidRPr="00412073" w:rsidRDefault="00D6408E" w:rsidP="003A2BD6">
      <w:pPr>
        <w:spacing w:line="276" w:lineRule="auto"/>
        <w:rPr>
          <w:lang w:val="en-US"/>
        </w:rPr>
      </w:pPr>
      <w:r w:rsidRPr="00412073">
        <w:rPr>
          <w:lang w:val="en-US"/>
        </w:rPr>
        <w:t>*</w:t>
      </w:r>
      <w:r w:rsidR="00070D24" w:rsidRPr="00412073">
        <w:rPr>
          <w:lang w:val="en-US"/>
        </w:rPr>
        <w:t>Corresponding author: mikail.nourredine@chu-lyon.fr</w:t>
      </w:r>
    </w:p>
    <w:p w14:paraId="25D304B3" w14:textId="77777777" w:rsidR="00070D24" w:rsidRPr="00412073" w:rsidRDefault="00070D24" w:rsidP="003A2BD6">
      <w:pPr>
        <w:spacing w:line="276" w:lineRule="auto"/>
        <w:rPr>
          <w:lang w:val="en-US"/>
        </w:rPr>
      </w:pPr>
    </w:p>
    <w:p w14:paraId="0FD3DA27" w14:textId="4D64C429" w:rsidR="00981B8F" w:rsidRPr="00412073" w:rsidRDefault="00981B8F" w:rsidP="003A2BD6">
      <w:pPr>
        <w:spacing w:line="276" w:lineRule="auto"/>
        <w:rPr>
          <w:lang w:val="en-US"/>
        </w:rPr>
      </w:pPr>
      <w:r w:rsidRPr="00412073">
        <w:rPr>
          <w:lang w:val="en-US"/>
        </w:rPr>
        <w:br w:type="page"/>
      </w:r>
    </w:p>
    <w:p w14:paraId="5ACE262E" w14:textId="46B24F19" w:rsidR="00681CEE" w:rsidRPr="00412073" w:rsidRDefault="00981B8F" w:rsidP="003A2BD6">
      <w:pPr>
        <w:spacing w:line="276" w:lineRule="auto"/>
        <w:rPr>
          <w:b/>
          <w:lang w:val="en-US"/>
        </w:rPr>
      </w:pPr>
      <w:r w:rsidRPr="00412073">
        <w:rPr>
          <w:b/>
          <w:lang w:val="en-US"/>
        </w:rPr>
        <w:lastRenderedPageBreak/>
        <w:t>Abstract</w:t>
      </w:r>
    </w:p>
    <w:p w14:paraId="3BF6183E" w14:textId="094E8E04" w:rsidR="00F21758" w:rsidRPr="00412073" w:rsidRDefault="00581FF6" w:rsidP="00067759">
      <w:pPr>
        <w:spacing w:line="276" w:lineRule="auto"/>
        <w:rPr>
          <w:lang w:val="en-US"/>
        </w:rPr>
      </w:pPr>
      <w:r w:rsidRPr="00412073">
        <w:rPr>
          <w:lang w:val="en-US"/>
        </w:rPr>
        <w:t>Background</w:t>
      </w:r>
      <w:r w:rsidR="00067759" w:rsidRPr="00412073">
        <w:rPr>
          <w:lang w:val="en-US"/>
        </w:rPr>
        <w:t xml:space="preserve">: Attention-Deficit/Hyperactivity Disorder (ADHD) </w:t>
      </w:r>
      <w:r w:rsidR="00681CEE" w:rsidRPr="00412073">
        <w:rPr>
          <w:bCs/>
          <w:lang w:val="en-US"/>
        </w:rPr>
        <w:t xml:space="preserve">affects approximately 5% of children globally, with symptoms often persisting into adulthood. </w:t>
      </w:r>
      <w:r w:rsidR="00067759" w:rsidRPr="00412073">
        <w:rPr>
          <w:lang w:val="en-US"/>
        </w:rPr>
        <w:t xml:space="preserve">While pharmacological interventions are commonly employed for management, understanding the optimal dosing for efficacy and tolerability remains crucial. This study aims to conduct a dose-response network meta-analysis to </w:t>
      </w:r>
      <w:r w:rsidR="002F1581" w:rsidRPr="00412073">
        <w:rPr>
          <w:lang w:val="en-US"/>
        </w:rPr>
        <w:t xml:space="preserve">estimate </w:t>
      </w:r>
      <w:r w:rsidR="00067759" w:rsidRPr="00412073">
        <w:rPr>
          <w:lang w:val="en-US"/>
        </w:rPr>
        <w:t>the efficacy of pharmacological treatments across different doses, aiming to inform clinical decision-making and improve treatment outcomes.</w:t>
      </w:r>
    </w:p>
    <w:p w14:paraId="42AB1056" w14:textId="3CBCE46A" w:rsidR="00067759" w:rsidRPr="00412073" w:rsidRDefault="00067759" w:rsidP="00067759">
      <w:pPr>
        <w:spacing w:line="276" w:lineRule="auto"/>
        <w:rPr>
          <w:lang w:val="en-US"/>
        </w:rPr>
      </w:pPr>
      <w:r w:rsidRPr="00412073">
        <w:rPr>
          <w:lang w:val="en-US"/>
        </w:rPr>
        <w:t xml:space="preserve">Methods: This </w:t>
      </w:r>
      <w:r w:rsidR="00827184" w:rsidRPr="00412073">
        <w:rPr>
          <w:lang w:val="en-US"/>
        </w:rPr>
        <w:t xml:space="preserve">updated </w:t>
      </w:r>
      <w:r w:rsidRPr="00412073">
        <w:rPr>
          <w:lang w:val="en-US"/>
        </w:rPr>
        <w:t xml:space="preserve">systematic review </w:t>
      </w:r>
      <w:r w:rsidR="00827184" w:rsidRPr="00412073">
        <w:rPr>
          <w:lang w:val="en-US"/>
        </w:rPr>
        <w:t xml:space="preserve">will include </w:t>
      </w:r>
      <w:r w:rsidRPr="00412073">
        <w:rPr>
          <w:lang w:val="en-US"/>
        </w:rPr>
        <w:t xml:space="preserve">randomized controlled trials </w:t>
      </w:r>
      <w:r w:rsidR="002B6CE1" w:rsidRPr="00412073">
        <w:rPr>
          <w:lang w:val="en-US"/>
        </w:rPr>
        <w:t>evaluating ADHD medication efficacy in children, adolescents, and adults</w:t>
      </w:r>
      <w:r w:rsidRPr="00412073">
        <w:rPr>
          <w:lang w:val="en-US"/>
        </w:rPr>
        <w:t xml:space="preserve">. An updated search from a 2018 NMA will be conducted across multiple electronic databases with no language restrictions, using specific eligibility criteria focused </w:t>
      </w:r>
      <w:r w:rsidR="00C65496" w:rsidRPr="00412073">
        <w:rPr>
          <w:lang w:val="en-US"/>
        </w:rPr>
        <w:t>on</w:t>
      </w:r>
      <w:r w:rsidR="00381A72" w:rsidRPr="00412073">
        <w:rPr>
          <w:lang w:val="en-US"/>
        </w:rPr>
        <w:t xml:space="preserve"> randomized controlled trials</w:t>
      </w:r>
      <w:r w:rsidRPr="00412073">
        <w:rPr>
          <w:lang w:val="en-US"/>
        </w:rPr>
        <w:t xml:space="preserve">. The primary outcome will assess the severity of ADHD core symptoms, while secondary outcomes will consider treatment tolerability. A </w:t>
      </w:r>
      <w:r w:rsidR="00DA59C3" w:rsidRPr="00412073">
        <w:rPr>
          <w:lang w:val="en-US"/>
        </w:rPr>
        <w:t xml:space="preserve">dose-response Bayesian </w:t>
      </w:r>
      <w:r w:rsidRPr="00412073">
        <w:rPr>
          <w:lang w:val="en-US"/>
        </w:rPr>
        <w:t>hierarchical model will be used to estimate dose-response curves for each medication, identifying optimal dosing strategies.</w:t>
      </w:r>
    </w:p>
    <w:p w14:paraId="379E80DE" w14:textId="3F5E8685" w:rsidR="00067759" w:rsidRPr="00412073" w:rsidRDefault="00067759" w:rsidP="00067759">
      <w:pPr>
        <w:spacing w:line="276" w:lineRule="auto"/>
        <w:rPr>
          <w:lang w:val="en-US"/>
        </w:rPr>
      </w:pPr>
      <w:r w:rsidRPr="00412073">
        <w:rPr>
          <w:lang w:val="en-US"/>
        </w:rPr>
        <w:t>D</w:t>
      </w:r>
      <w:r w:rsidR="00581FF6" w:rsidRPr="00412073">
        <w:rPr>
          <w:lang w:val="en-US"/>
        </w:rPr>
        <w:t>iscussion</w:t>
      </w:r>
      <w:r w:rsidRPr="00412073">
        <w:rPr>
          <w:lang w:val="en-US"/>
        </w:rPr>
        <w:t xml:space="preserve">: </w:t>
      </w:r>
      <w:r w:rsidR="00381A72" w:rsidRPr="00412073">
        <w:rPr>
          <w:lang w:val="en-US"/>
        </w:rPr>
        <w:t>With this dose response network metanalysis we aim to better understand the dose-response relationship of pharmacological treatment in ADHD</w:t>
      </w:r>
      <w:r w:rsidR="00E34DDB" w:rsidRPr="00412073">
        <w:rPr>
          <w:lang w:val="en-US"/>
        </w:rPr>
        <w:t>,</w:t>
      </w:r>
      <w:r w:rsidR="00381A72" w:rsidRPr="00412073">
        <w:rPr>
          <w:lang w:val="en-US"/>
        </w:rPr>
        <w:t xml:space="preserve"> which could help clinician to the identification of optimal doses</w:t>
      </w:r>
      <w:r w:rsidR="00E34DDB" w:rsidRPr="00412073">
        <w:rPr>
          <w:lang w:val="en-US"/>
        </w:rPr>
        <w:t>.</w:t>
      </w:r>
    </w:p>
    <w:p w14:paraId="6D490FB5" w14:textId="3A22361D" w:rsidR="0042750C" w:rsidRPr="00412073" w:rsidRDefault="00581FF6" w:rsidP="00067759">
      <w:pPr>
        <w:spacing w:line="276" w:lineRule="auto"/>
        <w:rPr>
          <w:lang w:val="en-US"/>
        </w:rPr>
      </w:pPr>
      <w:r w:rsidRPr="00412073">
        <w:rPr>
          <w:lang w:val="en-US"/>
        </w:rPr>
        <w:t>Systematic review r</w:t>
      </w:r>
      <w:r w:rsidR="00067759" w:rsidRPr="00412073">
        <w:rPr>
          <w:lang w:val="en-US"/>
        </w:rPr>
        <w:t>egistration: OSF</w:t>
      </w:r>
      <w:r w:rsidR="004829C7" w:rsidRPr="00412073">
        <w:rPr>
          <w:lang w:val="en-US"/>
        </w:rPr>
        <w:t xml:space="preserve"> </w:t>
      </w:r>
      <w:r w:rsidRPr="00412073">
        <w:fldChar w:fldCharType="begin"/>
      </w:r>
      <w:r w:rsidRPr="00412073">
        <w:rPr>
          <w:lang w:val="en-US"/>
        </w:rPr>
        <w:instrText>HYPERLINK "https://doi.org/10.17605/OSF.IO/3MY4A" \t "_self"</w:instrText>
      </w:r>
      <w:r w:rsidRPr="00412073">
        <w:fldChar w:fldCharType="separate"/>
      </w:r>
      <w:r w:rsidR="004829C7" w:rsidRPr="00412073">
        <w:rPr>
          <w:rStyle w:val="Hyperlink"/>
          <w:color w:val="auto"/>
          <w:lang w:val="en-US"/>
          <w:rPrChange w:id="0" w:author="Mikail NOURREDINE" w:date="2024-10-04T14:11:00Z" w16du:dateUtc="2024-10-04T12:11:00Z">
            <w:rPr>
              <w:rStyle w:val="Hyperlink"/>
              <w:lang w:val="en-US"/>
            </w:rPr>
          </w:rPrChange>
        </w:rPr>
        <w:t>https://doi.org/10.17605/OSF.IO/3MY4A</w:t>
      </w:r>
      <w:r w:rsidRPr="00412073">
        <w:rPr>
          <w:rStyle w:val="Hyperlink"/>
          <w:color w:val="auto"/>
          <w:lang w:val="en-US"/>
          <w:rPrChange w:id="1" w:author="Mikail NOURREDINE" w:date="2024-10-04T14:11:00Z" w16du:dateUtc="2024-10-04T12:11:00Z">
            <w:rPr>
              <w:rStyle w:val="Hyperlink"/>
              <w:lang w:val="en-US"/>
            </w:rPr>
          </w:rPrChange>
        </w:rPr>
        <w:fldChar w:fldCharType="end"/>
      </w:r>
    </w:p>
    <w:p w14:paraId="7A87F354" w14:textId="77777777" w:rsidR="00805957" w:rsidRPr="00412073" w:rsidRDefault="00805957" w:rsidP="00067759">
      <w:pPr>
        <w:spacing w:line="276" w:lineRule="auto"/>
        <w:rPr>
          <w:lang w:val="en-US"/>
        </w:rPr>
      </w:pPr>
    </w:p>
    <w:p w14:paraId="5C9C6202" w14:textId="3E1A9BFD" w:rsidR="00981B8F" w:rsidRPr="00412073" w:rsidRDefault="00581FF6" w:rsidP="003A2BD6">
      <w:pPr>
        <w:spacing w:line="276" w:lineRule="auto"/>
        <w:rPr>
          <w:lang w:val="en-US"/>
        </w:rPr>
      </w:pPr>
      <w:r w:rsidRPr="00412073">
        <w:rPr>
          <w:b/>
          <w:bCs/>
          <w:lang w:val="en-US"/>
        </w:rPr>
        <w:t>Keywords:</w:t>
      </w:r>
      <w:r w:rsidR="00530E7E" w:rsidRPr="00412073">
        <w:rPr>
          <w:b/>
          <w:bCs/>
          <w:lang w:val="en-US"/>
        </w:rPr>
        <w:t xml:space="preserve"> </w:t>
      </w:r>
      <w:r w:rsidR="00825693" w:rsidRPr="00412073">
        <w:rPr>
          <w:lang w:val="en-US"/>
        </w:rPr>
        <w:t>dose-response</w:t>
      </w:r>
      <w:r w:rsidR="00825693" w:rsidRPr="00412073">
        <w:rPr>
          <w:b/>
          <w:bCs/>
          <w:lang w:val="en-US"/>
        </w:rPr>
        <w:t xml:space="preserve"> </w:t>
      </w:r>
      <w:r w:rsidR="00530E7E" w:rsidRPr="00412073">
        <w:rPr>
          <w:lang w:val="en-US"/>
        </w:rPr>
        <w:t>network meta-analysis;</w:t>
      </w:r>
      <w:r w:rsidR="00825693" w:rsidRPr="00412073">
        <w:rPr>
          <w:lang w:val="en-US"/>
        </w:rPr>
        <w:t xml:space="preserve"> Attention deficit/hyperactivity disord</w:t>
      </w:r>
      <w:r w:rsidR="00D6408E" w:rsidRPr="00412073">
        <w:rPr>
          <w:lang w:val="en-US"/>
        </w:rPr>
        <w:t>er; pharmacotherapy</w:t>
      </w:r>
      <w:r w:rsidR="00981B8F" w:rsidRPr="00412073">
        <w:rPr>
          <w:lang w:val="en-US"/>
        </w:rPr>
        <w:br w:type="page"/>
      </w:r>
    </w:p>
    <w:p w14:paraId="50325168" w14:textId="59A9294A" w:rsidR="00981B8F" w:rsidRPr="00412073" w:rsidRDefault="00D6408E" w:rsidP="00E402D9">
      <w:pPr>
        <w:pStyle w:val="Heading2"/>
        <w:spacing w:line="276" w:lineRule="auto"/>
      </w:pPr>
      <w:r w:rsidRPr="00412073">
        <w:lastRenderedPageBreak/>
        <w:t>BACKGROUND</w:t>
      </w:r>
    </w:p>
    <w:p w14:paraId="31FE1695" w14:textId="1FB3B1FC" w:rsidR="002C30F3" w:rsidRPr="00412073" w:rsidRDefault="002C30F3" w:rsidP="003A2BD6">
      <w:pPr>
        <w:spacing w:line="276" w:lineRule="auto"/>
        <w:rPr>
          <w:lang w:val="en-US"/>
        </w:rPr>
      </w:pPr>
      <w:r w:rsidRPr="00412073">
        <w:rPr>
          <w:lang w:val="en-US"/>
        </w:rPr>
        <w:t>Attention</w:t>
      </w:r>
      <w:r w:rsidR="00E00314" w:rsidRPr="00412073">
        <w:rPr>
          <w:lang w:val="en-US"/>
        </w:rPr>
        <w:t>-</w:t>
      </w:r>
      <w:r w:rsidRPr="00412073">
        <w:rPr>
          <w:lang w:val="en-US"/>
        </w:rPr>
        <w:t>Deficit</w:t>
      </w:r>
      <w:r w:rsidR="00E00314" w:rsidRPr="00412073">
        <w:rPr>
          <w:lang w:val="en-US"/>
        </w:rPr>
        <w:t>/</w:t>
      </w:r>
      <w:r w:rsidRPr="00412073">
        <w:rPr>
          <w:lang w:val="en-US"/>
        </w:rPr>
        <w:t xml:space="preserve">Hyperactivity Disorder (ADHD) is a neurodevelopmental condition characterized by a persistent and </w:t>
      </w:r>
      <w:r w:rsidR="00E00314" w:rsidRPr="00412073">
        <w:rPr>
          <w:lang w:val="en-US"/>
        </w:rPr>
        <w:t xml:space="preserve">impairing </w:t>
      </w:r>
      <w:r w:rsidRPr="00412073">
        <w:rPr>
          <w:lang w:val="en-US"/>
        </w:rPr>
        <w:t>pattern of inattention and/or hyperactivity/impulsivity, as defined by the Diagnostic and Statistical Manual of Mental Disorders, Fifth Edition</w:t>
      </w:r>
      <w:r w:rsidR="00A31458" w:rsidRPr="00412073">
        <w:rPr>
          <w:lang w:val="en-US"/>
        </w:rPr>
        <w:t xml:space="preserve"> </w:t>
      </w:r>
      <w:r w:rsidRPr="00412073">
        <w:rPr>
          <w:lang w:val="en-US"/>
        </w:rPr>
        <w:t>(DSM-5</w:t>
      </w:r>
      <w:r w:rsidR="00A31458" w:rsidRPr="00412073">
        <w:rPr>
          <w:lang w:val="en-US"/>
        </w:rPr>
        <w:t>-TR</w:t>
      </w:r>
      <w:r w:rsidRPr="00412073">
        <w:rPr>
          <w:lang w:val="en-US"/>
        </w:rPr>
        <w:t>)</w:t>
      </w:r>
      <w:r w:rsidR="00234AE9" w:rsidRPr="00412073">
        <w:rPr>
          <w:lang w:val="en-US"/>
        </w:rPr>
        <w:fldChar w:fldCharType="begin"/>
      </w:r>
      <w:r w:rsidR="00234AE9" w:rsidRPr="00412073">
        <w:rPr>
          <w:lang w:val="en-US"/>
        </w:rPr>
        <w:instrText xml:space="preserve"> ADDIN ZOTERO_ITEM CSL_CITATION {"citationID":"PjjKSeJA","properties":{"formattedCitation":"(1)","plainCitation":"(1)","noteIndex":0},"citationItems":[{"id":1731,"uris":["http://zotero.org/groups/4981848/items/DIRQBW7C"],"itemData":{"id":1731,"type":"book","call-number":"RC455.2.C4 D54 2013","edition":"5th ed","event-place":"Washington, D.C","ISBN":"978-0-89042-554-1","number-of-pages":"947","publisher":"American Psychiatric Association","publisher-place":"Washington, D.C","source":"Library of Congress ISBN","title":"Diagnostic and statistical manual of mental disorders: DSM-5","title-short":"Diagnostic and statistical manual of mental disorders","editor":[{"literal":"American Psychiatric Association"},{"literal":"American Psychiatric Association"}],"issued":{"date-parts":[["2013"]]}}}],"schema":"https://github.com/citation-style-language/schema/raw/master/csl-citation.json"} </w:instrText>
      </w:r>
      <w:r w:rsidR="00234AE9" w:rsidRPr="00412073">
        <w:rPr>
          <w:lang w:val="en-US"/>
        </w:rPr>
        <w:fldChar w:fldCharType="separate"/>
      </w:r>
      <w:r w:rsidR="00234AE9" w:rsidRPr="00412073">
        <w:rPr>
          <w:rFonts w:ascii="Calibri" w:hAnsi="Calibri" w:cs="Calibri"/>
          <w:lang w:val="en-US"/>
        </w:rPr>
        <w:t>(1)</w:t>
      </w:r>
      <w:r w:rsidR="00234AE9" w:rsidRPr="00412073">
        <w:rPr>
          <w:lang w:val="en-US"/>
        </w:rPr>
        <w:fldChar w:fldCharType="end"/>
      </w:r>
      <w:r w:rsidR="00234AE9" w:rsidRPr="00412073">
        <w:rPr>
          <w:noProof/>
          <w:lang w:val="en-US"/>
        </w:rPr>
        <w:t>.</w:t>
      </w:r>
      <w:r w:rsidR="00DD460D" w:rsidRPr="00412073">
        <w:rPr>
          <w:lang w:val="en-US"/>
        </w:rPr>
        <w:t xml:space="preserve"> </w:t>
      </w:r>
      <w:r w:rsidRPr="00412073">
        <w:rPr>
          <w:lang w:val="en-US"/>
        </w:rPr>
        <w:t>It is a common condition, affecting around 5% of children global</w:t>
      </w:r>
      <w:r w:rsidR="0051458D" w:rsidRPr="00412073">
        <w:rPr>
          <w:lang w:val="en-US"/>
        </w:rPr>
        <w:t>ly</w:t>
      </w:r>
      <w:r w:rsidR="001D0A22" w:rsidRPr="00412073">
        <w:rPr>
          <w:lang w:val="en-US"/>
        </w:rPr>
        <w:fldChar w:fldCharType="begin"/>
      </w:r>
      <w:r w:rsidR="001D0A22" w:rsidRPr="00412073">
        <w:rPr>
          <w:lang w:val="en-US"/>
        </w:rPr>
        <w:instrText xml:space="preserve"> ADDIN ZOTERO_ITEM CSL_CITATION {"citationID":"2I1IMRf6","properties":{"formattedCitation":"(2)","plainCitation":"(2)","noteIndex":0},"citationItems":[{"id":1733,"uris":["http://zotero.org/groups/4981848/items/8RS229AV"],"itemData":{"id":1733,"type":"article-journal","container-title":"Nature Reviews Disease Primers","DOI":"10.1038/s41572-024-00495-0","ISSN":"2056-676X","issue":"1","journalAbbreviation":"Nat Rev Dis Primers","language":"en","page":"11","source":"DOI.org (Crossref)","title":"Attention-deficit/hyperactivity disorder","volume":"10","author":[{"family":"Faraone","given":"Stephen V."},{"family":"Bellgrove","given":"Mark A."},{"family":"Brikell","given":"Isabell"},{"family":"Cortese","given":"Samuele"},{"family":"Hartman","given":"Catharina A."},{"family":"Hollis","given":"Chris"},{"family":"Newcorn","given":"Jeffrey H."},{"family":"Philipsen","given":"Alexandra"},{"family":"Polanczyk","given":"Guilherme V."},{"family":"Rubia","given":"Katya"},{"family":"Sibley","given":"Margaret H."},{"family":"Buitelaar","given":"Jan K."}],"issued":{"date-parts":[["2024",2,22]]}}}],"schema":"https://github.com/citation-style-language/schema/raw/master/csl-citation.json"} </w:instrText>
      </w:r>
      <w:r w:rsidR="001D0A22" w:rsidRPr="00412073">
        <w:rPr>
          <w:lang w:val="en-US"/>
        </w:rPr>
        <w:fldChar w:fldCharType="separate"/>
      </w:r>
      <w:r w:rsidR="001D0A22" w:rsidRPr="00412073">
        <w:rPr>
          <w:rFonts w:ascii="Calibri" w:hAnsi="Calibri" w:cs="Calibri"/>
          <w:lang w:val="en-US"/>
        </w:rPr>
        <w:t>(2)</w:t>
      </w:r>
      <w:r w:rsidR="001D0A22" w:rsidRPr="00412073">
        <w:rPr>
          <w:lang w:val="en-US"/>
        </w:rPr>
        <w:fldChar w:fldCharType="end"/>
      </w:r>
      <w:r w:rsidR="00E00314" w:rsidRPr="00412073">
        <w:rPr>
          <w:lang w:val="en-US"/>
        </w:rPr>
        <w:t xml:space="preserve">. Impairing </w:t>
      </w:r>
      <w:r w:rsidRPr="00412073">
        <w:rPr>
          <w:lang w:val="en-US"/>
        </w:rPr>
        <w:t xml:space="preserve">symptoms </w:t>
      </w:r>
      <w:r w:rsidR="00E00314" w:rsidRPr="00412073">
        <w:rPr>
          <w:lang w:val="en-US"/>
        </w:rPr>
        <w:t xml:space="preserve">of ADHD persist </w:t>
      </w:r>
      <w:r w:rsidRPr="00412073">
        <w:rPr>
          <w:lang w:val="en-US"/>
        </w:rPr>
        <w:t xml:space="preserve">into adulthood in </w:t>
      </w:r>
      <w:r w:rsidR="00FB30FB" w:rsidRPr="00412073">
        <w:rPr>
          <w:lang w:val="en-US"/>
        </w:rPr>
        <w:t>40 to 60</w:t>
      </w:r>
      <w:r w:rsidRPr="00412073">
        <w:rPr>
          <w:lang w:val="en-US"/>
        </w:rPr>
        <w:t>% of cases</w:t>
      </w:r>
      <w:r w:rsidR="00FB30FB" w:rsidRPr="00412073">
        <w:rPr>
          <w:lang w:val="en-US"/>
        </w:rPr>
        <w:t xml:space="preserve"> </w:t>
      </w:r>
      <w:r w:rsidR="00B179C5" w:rsidRPr="00412073">
        <w:rPr>
          <w:lang w:val="en-US"/>
        </w:rPr>
        <w:fldChar w:fldCharType="begin"/>
      </w:r>
      <w:r w:rsidR="001D0A22" w:rsidRPr="00412073">
        <w:rPr>
          <w:lang w:val="en-US"/>
        </w:rPr>
        <w:instrText xml:space="preserve"> ADDIN ZOTERO_ITEM CSL_CITATION {"citationID":"yJP1L3fR","properties":{"formattedCitation":"(3)","plainCitation":"(3)","noteIndex":0},"citationItems":[{"id":1419,"uris":["http://zotero.org/groups/4418685/items/V5HNUZMU"],"itemData":{"id":1419,"type":"article-journal","abstract":"Background.\n              This study examined the persistence of attention deficit hyperactivity disorder (ADHD) into adulthood.\n            \n            \n              Method.\n              We analyzed data from published follow-up studies of ADHD. To be included in the analysis, these additional studies had to meet the following criteria: the study included a control group and it was clear from the methods if the diagnosis of ADHD included subjects who did not meet full criteria but showed residual and impairing signs of the disorder. We used a meta-analysis regression model to separately assess the syndromatic and symptomatic persistence of ADHD.\n            \n            \n              Results.\n              When we define only those meeting full criteria for ADHD as having ‘persistent ADHD’, the rate of persistence is low, ~15% at age 25 years. But when we include cases consistent with DSM-IV's definition of ADHD in partial remission, the rate of persistence is much higher, ~65%.\n            \n            \n              Conclusions.\n              Our results show that estimates of ADHD's persistence rely heavily on how one defines persistence. Yet, regardless of definition, our analyses show that evidence for ADHD lessens with age. More work is needed to determine if this reflects true remission of ADHD symptoms or is due to the developmental insensitivity of diagnostic criteria for the disorder.","container-title":"Psychological Medicine","DOI":"10.1017/S003329170500471X","ISSN":"0033-2917, 1469-8978","issue":"2","journalAbbreviation":"Psychol. Med.","language":"en","page":"159-165","source":"DOI.org (Crossref)","title":"The age-dependent decline of attention deficit hyperactivity disorder: a meta-analysis of follow-up studies","title-short":"The age-dependent decline of attention deficit hyperactivity disorder","volume":"36","author":[{"family":"Faraone","given":"Stephen V."},{"family":"Biederman","given":"Joseph"},{"family":"Mick","given":"Eric"}],"issued":{"date-parts":[["2006",2]]}}}],"schema":"https://github.com/citation-style-language/schema/raw/master/csl-citation.json"} </w:instrText>
      </w:r>
      <w:r w:rsidR="00B179C5" w:rsidRPr="00412073">
        <w:rPr>
          <w:lang w:val="en-US"/>
        </w:rPr>
        <w:fldChar w:fldCharType="separate"/>
      </w:r>
      <w:r w:rsidR="001D0A22" w:rsidRPr="00412073">
        <w:rPr>
          <w:rFonts w:ascii="Calibri" w:hAnsi="Calibri" w:cs="Calibri"/>
          <w:lang w:val="en-US"/>
        </w:rPr>
        <w:t>(3)</w:t>
      </w:r>
      <w:r w:rsidR="00B179C5" w:rsidRPr="00412073">
        <w:rPr>
          <w:lang w:val="en-US"/>
        </w:rPr>
        <w:fldChar w:fldCharType="end"/>
      </w:r>
      <w:r w:rsidR="00203E6B" w:rsidRPr="00412073">
        <w:rPr>
          <w:noProof/>
          <w:lang w:val="en-US"/>
        </w:rPr>
        <w:t>,</w:t>
      </w:r>
      <w:r w:rsidRPr="00412073">
        <w:rPr>
          <w:lang w:val="en-US"/>
        </w:rPr>
        <w:t xml:space="preserve"> resulting in an overall adult ADHD prevalence of approximately </w:t>
      </w:r>
      <w:r w:rsidR="0051458D" w:rsidRPr="00412073">
        <w:rPr>
          <w:lang w:val="en-US"/>
        </w:rPr>
        <w:t>3</w:t>
      </w:r>
      <w:r w:rsidRPr="00412073">
        <w:rPr>
          <w:lang w:val="en-US"/>
        </w:rPr>
        <w:t>%</w:t>
      </w:r>
      <w:r w:rsidR="001D0A22" w:rsidRPr="00412073">
        <w:rPr>
          <w:lang w:val="en-US"/>
        </w:rPr>
        <w:fldChar w:fldCharType="begin"/>
      </w:r>
      <w:r w:rsidR="001D0A22" w:rsidRPr="00412073">
        <w:rPr>
          <w:lang w:val="en-US"/>
        </w:rPr>
        <w:instrText xml:space="preserve"> ADDIN ZOTERO_ITEM CSL_CITATION {"citationID":"i38ZFTPf","properties":{"formattedCitation":"(2)","plainCitation":"(2)","noteIndex":0},"citationItems":[{"id":1733,"uris":["http://zotero.org/groups/4981848/items/8RS229AV"],"itemData":{"id":1733,"type":"article-journal","container-title":"Nature Reviews Disease Primers","DOI":"10.1038/s41572-024-00495-0","ISSN":"2056-676X","issue":"1","journalAbbreviation":"Nat Rev Dis Primers","language":"en","page":"11","source":"DOI.org (Crossref)","title":"Attention-deficit/hyperactivity disorder","volume":"10","author":[{"family":"Faraone","given":"Stephen V."},{"family":"Bellgrove","given":"Mark A."},{"family":"Brikell","given":"Isabell"},{"family":"Cortese","given":"Samuele"},{"family":"Hartman","given":"Catharina A."},{"family":"Hollis","given":"Chris"},{"family":"Newcorn","given":"Jeffrey H."},{"family":"Philipsen","given":"Alexandra"},{"family":"Polanczyk","given":"Guilherme V."},{"family":"Rubia","given":"Katya"},{"family":"Sibley","given":"Margaret H."},{"family":"Buitelaar","given":"Jan K."}],"issued":{"date-parts":[["2024",2,22]]}}}],"schema":"https://github.com/citation-style-language/schema/raw/master/csl-citation.json"} </w:instrText>
      </w:r>
      <w:r w:rsidR="001D0A22" w:rsidRPr="00412073">
        <w:rPr>
          <w:lang w:val="en-US"/>
        </w:rPr>
        <w:fldChar w:fldCharType="separate"/>
      </w:r>
      <w:r w:rsidR="001D0A22" w:rsidRPr="00412073">
        <w:rPr>
          <w:rFonts w:ascii="Calibri" w:hAnsi="Calibri" w:cs="Calibri"/>
          <w:lang w:val="en-US"/>
        </w:rPr>
        <w:t>(2)</w:t>
      </w:r>
      <w:r w:rsidR="001D0A22" w:rsidRPr="00412073">
        <w:rPr>
          <w:lang w:val="en-US"/>
        </w:rPr>
        <w:fldChar w:fldCharType="end"/>
      </w:r>
      <w:r w:rsidRPr="00412073">
        <w:rPr>
          <w:lang w:val="en-US"/>
        </w:rPr>
        <w:t>.</w:t>
      </w:r>
      <w:r w:rsidR="00DD460D" w:rsidRPr="00412073">
        <w:rPr>
          <w:lang w:val="en-US"/>
        </w:rPr>
        <w:t xml:space="preserve"> </w:t>
      </w:r>
      <w:r w:rsidRPr="00412073">
        <w:rPr>
          <w:lang w:val="en-US"/>
        </w:rPr>
        <w:t>When left untreated, ADHD can lead to significant challenges in academic, familial, and social domains</w:t>
      </w:r>
      <w:r w:rsidR="00E402D9" w:rsidRPr="00412073">
        <w:rPr>
          <w:lang w:val="en-US"/>
        </w:rPr>
        <w:fldChar w:fldCharType="begin"/>
      </w:r>
      <w:r w:rsidR="00E402D9" w:rsidRPr="00412073">
        <w:rPr>
          <w:lang w:val="en-US"/>
        </w:rPr>
        <w:instrText xml:space="preserve"> ADDIN ZOTERO_ITEM CSL_CITATION {"citationID":"NRQNfZTF","properties":{"formattedCitation":"(4)","plainCitation":"(4)","noteIndex":0},"citationItems":[{"id":1734,"uris":["http://zotero.org/groups/4981848/items/JWLGNIY7"],"itemData":{"id":1734,"type":"article-journal","container-title":"Neuroscience &amp; Biobehavioral Reviews","DOI":"10.1016/j.neubiorev.2021.01.022","ISSN":"01497634","journalAbbreviation":"Neuroscience &amp; Biobehavioral Reviews","language":"en","page":"789-818","source":"DOI.org (Crossref)","title":"The World Federation of ADHD International Consensus Statement: 208 Evidence-based conclusions about the disorder","title-short":"The World Federation of ADHD International Consensus Statement","volume":"128","author":[{"family":"Faraone","given":"Stephen V."},{"family":"Banaschewski","given":"Tobias"},{"family":"Coghill","given":"David"},{"family":"Zheng","given":"Yi"},{"family":"Biederman","given":"Joseph"},{"family":"Bellgrove","given":"Mark A."},{"family":"Newcorn","given":"Jeffrey H."},{"family":"Gignac","given":"Martin"},{"family":"Al Saud","given":"Nouf M."},{"family":"Manor","given":"Iris"},{"family":"Rohde","given":"Luis Augusto"},{"family":"Yang","given":"Li"},{"family":"Cortese","given":"Samuele"},{"family":"Almagor","given":"Doron"},{"family":"Stein","given":"Mark A."},{"family":"Albatti","given":"Turki H."},{"family":"Aljoudi","given":"Haya F."},{"family":"Alqahtani","given":"Mohammed M.J."},{"family":"Asherson","given":"Philip"},{"family":"Atwoli","given":"Lukoye"},{"family":"Bölte","given":"Sven"},{"family":"Buitelaar","given":"Jan K."},{"family":"Crunelle","given":"Cleo L."},{"family":"Daley","given":"David"},{"family":"Dalsgaard","given":"Søren"},{"family":"Döpfner","given":"Manfred"},{"family":"Espinet (On Behalf Of Caddra)","given":"Stacey"},{"family":"Fitzgerald","given":"Michael"},{"family":"Franke","given":"Barbara"},{"family":"Gerlach","given":"Manfred"},{"family":"Haavik","given":"Jan"},{"family":"Hartman","given":"Catharina A."},{"family":"Hartung","given":"Cynthia M."},{"family":"Hinshaw","given":"Stephen P."},{"family":"Hoekstra","given":"Pieter J."},{"family":"Hollis","given":"Chris"},{"family":"Kollins","given":"Scott H."},{"family":"Sandra Kooij","given":"J.J."},{"family":"Kuntsi","given":"Jonna"},{"family":"Larsson","given":"Henrik"},{"family":"Li","given":"Tingyu"},{"family":"Liu","given":"Jing"},{"family":"Merzon","given":"Eugene"},{"family":"Mattingly","given":"Gregory"},{"family":"Mattos","given":"Paulo"},{"family":"McCarthy","given":"Suzanne"},{"family":"Mikami","given":"Amori Yee"},{"family":"Molina","given":"Brooke S.G."},{"family":"Nigg","given":"Joel T."},{"family":"Purper-Ouakil","given":"Diane"},{"family":"Omigbodun","given":"Olayinka O."},{"family":"Polanczyk","given":"Guilherme V."},{"family":"Pollak","given":"Yehuda"},{"family":"Poulton","given":"Alison S."},{"family":"Rajkumar","given":"Ravi Philip"},{"family":"Reding","given":"Andrew"},{"family":"Reif","given":"Andreas"},{"family":"Rubia","given":"Katya"},{"family":"Rucklidge","given":"Julia"},{"family":"Romanos","given":"Marcel"},{"family":"Ramos-Quiroga","given":"J. Antoni"},{"family":"Schellekens","given":"Arnt"},{"family":"Scheres","given":"Anouk"},{"family":"Schoeman","given":"Renata"},{"family":"Schweitzer","given":"Julie B."},{"family":"Shah","given":"Henal"},{"family":"Solanto","given":"Mary V."},{"family":"Sonuga-Barke","given":"Edmund"},{"family":"Soutullo","given":"César"},{"family":"Steinhausen","given":"Hans-Christoph"},{"family":"Swanson","given":"James M."},{"family":"Thapar","given":"Anita"},{"family":"Tripp","given":"Gail"},{"family":"Van De Glind","given":"Geurt"},{"family":"Van Den Brink","given":"Wim"},{"family":"Van Der Oord","given":"Saskia"},{"family":"Venter","given":"Andre"},{"family":"Vitiello","given":"Benedetto"},{"family":"Walitza","given":"Susanne"},{"family":"Wang","given":"Yufeng"}],"issued":{"date-parts":[["2021",9]]}}}],"schema":"https://github.com/citation-style-language/schema/raw/master/csl-citation.json"} </w:instrText>
      </w:r>
      <w:r w:rsidR="00E402D9" w:rsidRPr="00412073">
        <w:rPr>
          <w:lang w:val="en-US"/>
        </w:rPr>
        <w:fldChar w:fldCharType="separate"/>
      </w:r>
      <w:r w:rsidR="00E402D9" w:rsidRPr="00412073">
        <w:rPr>
          <w:rFonts w:ascii="Calibri" w:hAnsi="Calibri" w:cs="Calibri"/>
          <w:lang w:val="en-US"/>
        </w:rPr>
        <w:t>(4)</w:t>
      </w:r>
      <w:r w:rsidR="00E402D9" w:rsidRPr="00412073">
        <w:rPr>
          <w:lang w:val="en-US"/>
        </w:rPr>
        <w:fldChar w:fldCharType="end"/>
      </w:r>
      <w:r w:rsidRPr="00412073">
        <w:rPr>
          <w:lang w:val="en-US"/>
        </w:rPr>
        <w:t>.</w:t>
      </w:r>
    </w:p>
    <w:p w14:paraId="01793302" w14:textId="77777777" w:rsidR="00DD460D" w:rsidRPr="00412073" w:rsidRDefault="00DD460D" w:rsidP="003A2BD6">
      <w:pPr>
        <w:spacing w:line="276" w:lineRule="auto"/>
        <w:rPr>
          <w:lang w:val="en-US"/>
        </w:rPr>
      </w:pPr>
    </w:p>
    <w:p w14:paraId="218CCEC7" w14:textId="1223C77E" w:rsidR="002C30F3" w:rsidRPr="00412073" w:rsidRDefault="00443676" w:rsidP="003A2BD6">
      <w:pPr>
        <w:spacing w:line="276" w:lineRule="auto"/>
        <w:rPr>
          <w:lang w:val="en-US"/>
        </w:rPr>
      </w:pPr>
      <w:r w:rsidRPr="00412073">
        <w:rPr>
          <w:lang w:val="en-US"/>
        </w:rPr>
        <w:t xml:space="preserve">The management of ADHD involves psychological and/or pharmacological interventions. </w:t>
      </w:r>
      <w:r w:rsidR="00E00314" w:rsidRPr="00412073">
        <w:rPr>
          <w:lang w:val="en-US"/>
        </w:rPr>
        <w:t>P</w:t>
      </w:r>
      <w:r w:rsidRPr="00412073">
        <w:rPr>
          <w:lang w:val="en-US"/>
        </w:rPr>
        <w:t xml:space="preserve">harmacological options </w:t>
      </w:r>
      <w:r w:rsidR="00E00314" w:rsidRPr="00412073">
        <w:rPr>
          <w:lang w:val="en-US"/>
        </w:rPr>
        <w:t>include</w:t>
      </w:r>
      <w:r w:rsidRPr="00412073">
        <w:rPr>
          <w:lang w:val="en-US"/>
        </w:rPr>
        <w:t xml:space="preserve"> psychostimulants such as methylphenidate and amphetamine</w:t>
      </w:r>
      <w:r w:rsidR="00E67BA8" w:rsidRPr="00412073">
        <w:rPr>
          <w:lang w:val="en-US"/>
        </w:rPr>
        <w:t xml:space="preserve"> </w:t>
      </w:r>
      <w:r w:rsidRPr="00412073">
        <w:rPr>
          <w:lang w:val="en-US"/>
        </w:rPr>
        <w:t>derivatives, as well as non-stimulant medications like atomoxetine, clonidine,</w:t>
      </w:r>
      <w:r w:rsidR="00E00314" w:rsidRPr="00412073">
        <w:rPr>
          <w:lang w:val="en-US"/>
        </w:rPr>
        <w:t xml:space="preserve"> </w:t>
      </w:r>
      <w:r w:rsidRPr="00412073">
        <w:rPr>
          <w:lang w:val="en-US"/>
        </w:rPr>
        <w:t>guanfacine</w:t>
      </w:r>
      <w:r w:rsidR="00E00314" w:rsidRPr="00412073">
        <w:rPr>
          <w:lang w:val="en-US"/>
        </w:rPr>
        <w:t>, and viloxazine</w:t>
      </w:r>
      <w:r w:rsidRPr="00412073">
        <w:rPr>
          <w:lang w:val="en-US"/>
        </w:rPr>
        <w:t xml:space="preserve">. </w:t>
      </w:r>
      <w:r w:rsidR="00E00314" w:rsidRPr="00412073">
        <w:rPr>
          <w:lang w:val="en-US"/>
        </w:rPr>
        <w:t>Evidence in the comparative efficacy and tolerability of these medications is crucial to inform clinical decision-making.</w:t>
      </w:r>
    </w:p>
    <w:p w14:paraId="75A5764C" w14:textId="02460905" w:rsidR="002C30F3" w:rsidRPr="00412073" w:rsidRDefault="002C30F3" w:rsidP="003A2BD6">
      <w:pPr>
        <w:spacing w:line="276" w:lineRule="auto"/>
        <w:rPr>
          <w:lang w:val="en-US"/>
        </w:rPr>
      </w:pPr>
    </w:p>
    <w:p w14:paraId="0259833C" w14:textId="24A13D41" w:rsidR="00DD460D" w:rsidRPr="00412073" w:rsidRDefault="006A7B58" w:rsidP="003A2BD6">
      <w:pPr>
        <w:spacing w:line="276" w:lineRule="auto"/>
        <w:rPr>
          <w:lang w:val="en-US"/>
        </w:rPr>
      </w:pPr>
      <w:r w:rsidRPr="00412073">
        <w:rPr>
          <w:lang w:val="en-US"/>
        </w:rPr>
        <w:t xml:space="preserve">Network meta-analysis (NMA) </w:t>
      </w:r>
      <w:r w:rsidR="00EB2422" w:rsidRPr="00412073">
        <w:rPr>
          <w:lang w:val="en-US"/>
        </w:rPr>
        <w:t>is a statistical</w:t>
      </w:r>
      <w:r w:rsidRPr="00412073">
        <w:rPr>
          <w:lang w:val="en-US"/>
        </w:rPr>
        <w:t xml:space="preserve"> method for comparing treatments, utilizing all available evidence </w:t>
      </w:r>
      <w:r w:rsidR="00E51274" w:rsidRPr="00412073">
        <w:rPr>
          <w:lang w:val="en-US"/>
        </w:rPr>
        <w:fldChar w:fldCharType="begin"/>
      </w:r>
      <w:r w:rsidR="00E402D9" w:rsidRPr="00412073">
        <w:rPr>
          <w:lang w:val="en-US"/>
        </w:rPr>
        <w:instrText xml:space="preserve"> ADDIN ZOTERO_ITEM CSL_CITATION {"citationID":"ozcnPDsQ","properties":{"formattedCitation":"(5,6)","plainCitation":"(5,6)","noteIndex":0},"citationItems":[{"id":1547,"uris":["http://zotero.org/groups/4981848/items/VQZZJGAF"],"itemData":{"id":1547,"type":"article-journal","container-title":"Annals of Internal Medicine","DOI":"10.7326/0003-4819-159-2-201307160-00008","ISSN":"0003-4819","issue":"2","journalAbbreviation":"Ann Intern Med","language":"en","page":"130","source":"DOI.org (Crossref)","title":"Conceptual and Technical Challenges in Network Meta-analysis","volume":"159","author":[{"family":"Cipriani","given":"Andrea"},{"family":"Higgins","given":"Julian P.T."},{"family":"Geddes","given":"John R."},{"family":"Salanti","given":"Georgia"}],"issued":{"date-parts":[["2013",7,16]]}}},{"id":1545,"uris":["http://zotero.org/groups/4981848/items/KYX58QYN"],"itemData":{"id":1545,"type":"article-journal","abstract":"Objective A quantitative synthesis of evidence via standard pair-wise meta-analysis lies on the top of the hierarchy for evaluating the relative effectiveness or safety between two interventions. In most healthcare problems, however, there is a plethora of competing interventions. Network meta-analysis allows to rank competing interventions and evaluate their relative effectiveness even if they have not been compared in an individual trial. The aim of this paper is to explain and discuss the main features of this statistical technique.\nMethods We present the key assumptions underlying network meta-analysis and the graphical methods to visualise results and information in the network. We used one illustrative example that compared the relative effectiveness of 15 antimanic drugs and placebo in acute mania.\nResults A network plot allows to visualise how information ﬂows in the network and reveals important information about network geometry. Discrepancies between direct and indirect evidence can be detected using inconsistency plots. Relative effectiveness or safety of competing interventions can be presented in a league table. A contribution plot reveals the contribution of each direct comparison to each network estimate. A comparison-adjusted funnel plot is an extension of simple funnel plot to network meta-analysis. A rank probability matrix can be estimated to present the probabilities of all interventions assuming each rank and can be represented using rankograms and cumulative probability plots.\nConclusions Network meta-analysis is very helpful in comparing the relative effectiveness and acceptability of competing treatments. Several issues, however, still need to be addressed when conducting a network meta-analysis for the results to be valid and correctly interpreted.","container-title":"Evidence Based Mental Health","DOI":"10.1136/eb-2015-102088","ISSN":"1362-0347, 1468-960X","issue":"2","journalAbbreviation":"Evid Based Mental Health","language":"en","page":"40-46","source":"DOI.org (Crossref)","title":"A primer on network meta-analysis with emphasis on mental health","volume":"18","author":[{"family":"Mavridis","given":"Dimitris"},{"family":"Giannatsi","given":"Myrsini"},{"family":"Cipriani","given":"Andrea"},{"family":"Salanti","given":"Georgia"}],"issued":{"date-parts":[["2015",5]]}}}],"schema":"https://github.com/citation-style-language/schema/raw/master/csl-citation.json"} </w:instrText>
      </w:r>
      <w:r w:rsidR="00E51274" w:rsidRPr="00412073">
        <w:rPr>
          <w:lang w:val="en-US"/>
        </w:rPr>
        <w:fldChar w:fldCharType="separate"/>
      </w:r>
      <w:r w:rsidR="00E402D9" w:rsidRPr="00412073">
        <w:rPr>
          <w:rFonts w:ascii="Calibri" w:hAnsi="Calibri" w:cs="Calibri"/>
          <w:lang w:val="en-US"/>
        </w:rPr>
        <w:t>(5,6)</w:t>
      </w:r>
      <w:r w:rsidR="00E51274" w:rsidRPr="00412073">
        <w:rPr>
          <w:lang w:val="en-US"/>
        </w:rPr>
        <w:fldChar w:fldCharType="end"/>
      </w:r>
      <w:r w:rsidR="00570046" w:rsidRPr="00412073">
        <w:rPr>
          <w:lang w:val="en-US"/>
        </w:rPr>
        <w:t>.</w:t>
      </w:r>
      <w:r w:rsidRPr="00412073">
        <w:rPr>
          <w:lang w:val="en-US"/>
        </w:rPr>
        <w:t xml:space="preserve"> This approach enables indirect estimates for treatment comparisons </w:t>
      </w:r>
      <w:r w:rsidR="00EB2422" w:rsidRPr="00412073">
        <w:rPr>
          <w:lang w:val="en-US"/>
        </w:rPr>
        <w:t xml:space="preserve">that were not tested in </w:t>
      </w:r>
      <w:r w:rsidRPr="00412073">
        <w:rPr>
          <w:lang w:val="en-US"/>
        </w:rPr>
        <w:t xml:space="preserve">randomized controlled trials (RCTs), thus helping to fill in gaps in our knowledge of </w:t>
      </w:r>
      <w:r w:rsidR="00EB2422" w:rsidRPr="00412073">
        <w:rPr>
          <w:lang w:val="en-US"/>
        </w:rPr>
        <w:t xml:space="preserve">relative </w:t>
      </w:r>
      <w:r w:rsidRPr="00412073">
        <w:rPr>
          <w:lang w:val="en-US"/>
        </w:rPr>
        <w:t>treatment efficacy.</w:t>
      </w:r>
    </w:p>
    <w:p w14:paraId="45DC5022" w14:textId="11CA3031" w:rsidR="00603C50" w:rsidRPr="00412073" w:rsidRDefault="00443676" w:rsidP="003A2BD6">
      <w:pPr>
        <w:spacing w:line="276" w:lineRule="auto"/>
        <w:rPr>
          <w:lang w:val="en-US"/>
        </w:rPr>
      </w:pPr>
      <w:r w:rsidRPr="00412073">
        <w:rPr>
          <w:lang w:val="en-US"/>
        </w:rPr>
        <w:t xml:space="preserve">In 2018, Cortese and colleagues </w:t>
      </w:r>
      <w:r w:rsidR="00E00314" w:rsidRPr="00412073">
        <w:rPr>
          <w:lang w:val="en-US"/>
        </w:rPr>
        <w:t xml:space="preserve">published </w:t>
      </w:r>
      <w:r w:rsidRPr="00412073">
        <w:rPr>
          <w:lang w:val="en-US"/>
        </w:rPr>
        <w:t>a</w:t>
      </w:r>
      <w:r w:rsidR="00E00314" w:rsidRPr="00412073">
        <w:rPr>
          <w:lang w:val="en-US"/>
        </w:rPr>
        <w:t xml:space="preserve"> NMA</w:t>
      </w:r>
      <w:r w:rsidRPr="00412073">
        <w:rPr>
          <w:lang w:val="en-US"/>
        </w:rPr>
        <w:t xml:space="preserve"> of 133 double-blind </w:t>
      </w:r>
      <w:r w:rsidR="00A31458" w:rsidRPr="00412073">
        <w:rPr>
          <w:lang w:val="en-US"/>
        </w:rPr>
        <w:t>RCT</w:t>
      </w:r>
      <w:r w:rsidR="00AD735D" w:rsidRPr="00412073">
        <w:rPr>
          <w:lang w:val="en-US"/>
        </w:rPr>
        <w:t xml:space="preserve"> </w:t>
      </w:r>
      <w:r w:rsidR="00AD735D" w:rsidRPr="00412073">
        <w:rPr>
          <w:lang w:val="en-US"/>
        </w:rPr>
        <w:fldChar w:fldCharType="begin"/>
      </w:r>
      <w:r w:rsidR="00E402D9" w:rsidRPr="00412073">
        <w:rPr>
          <w:lang w:val="en-US"/>
        </w:rPr>
        <w:instrText xml:space="preserve"> ADDIN ZOTERO_ITEM CSL_CITATION {"citationID":"U97Lex4j","properties":{"formattedCitation":"(7)","plainCitation":"(7)","noteIndex":0},"citationItems":[{"id":1550,"uris":["http://zotero.org/groups/4981848/items/Q8EYDPYQ"],"itemData":{"id":1550,"type":"article-journal","container-title":"The Lancet Psychiatry","DOI":"10.1016/S2215-0366(18)30269-4","ISSN":"22150366","issue":"9","journalAbbreviation":"The Lancet Psychiatry","language":"en","page":"727-738","source":"DOI.org (Crossref)","title":"Comparative efficacy and tolerability of medications for attention-deficit hyperactivity disorder in children, adolescents, and adults: a systematic review and network meta-analysis","title-short":"Comparative efficacy and tolerability of medications for attention-deficit hyperactivity disorder in children, adolescents, and adults","volume":"5","author":[{"family":"Cortese","given":"Samuele"},{"family":"Adamo","given":"Nicoletta"},{"family":"Del Giovane","given":"Cinzia"},{"family":"Mohr-Jensen","given":"Christina"},{"family":"Hayes","given":"Adrian J"},{"family":"Carucci","given":"Sara"},{"family":"Atkinson","given":"Lauren Z"},{"family":"Tessari","given":"Luca"},{"family":"Banaschewski","given":"Tobias"},{"family":"Coghill","given":"David"},{"family":"Hollis","given":"Chris"},{"family":"Simonoff","given":"Emily"},{"family":"Zuddas","given":"Alessandro"},{"family":"Barbui","given":"Corrado"},{"family":"Purgato","given":"Marianna"},{"family":"Steinhausen","given":"Hans-Christoph"},{"family":"Shokraneh","given":"Farhad"},{"family":"Xia","given":"Jun"},{"family":"Cipriani","given":"Andrea"}],"issued":{"date-parts":[["2018",9]]}}}],"schema":"https://github.com/citation-style-language/schema/raw/master/csl-citation.json"} </w:instrText>
      </w:r>
      <w:r w:rsidR="00AD735D" w:rsidRPr="00412073">
        <w:rPr>
          <w:lang w:val="en-US"/>
        </w:rPr>
        <w:fldChar w:fldCharType="separate"/>
      </w:r>
      <w:r w:rsidR="00E402D9" w:rsidRPr="00412073">
        <w:rPr>
          <w:rFonts w:ascii="Calibri" w:hAnsi="Calibri" w:cs="Calibri"/>
          <w:lang w:val="en-US"/>
        </w:rPr>
        <w:t>(7)</w:t>
      </w:r>
      <w:r w:rsidR="00AD735D" w:rsidRPr="00412073">
        <w:rPr>
          <w:lang w:val="en-US"/>
        </w:rPr>
        <w:fldChar w:fldCharType="end"/>
      </w:r>
      <w:r w:rsidR="00E51274" w:rsidRPr="00412073">
        <w:rPr>
          <w:lang w:val="en-US"/>
        </w:rPr>
        <w:t xml:space="preserve">. </w:t>
      </w:r>
      <w:r w:rsidRPr="00412073">
        <w:rPr>
          <w:lang w:val="en-US"/>
        </w:rPr>
        <w:t>For ADHD core</w:t>
      </w:r>
      <w:r w:rsidR="00783FC7" w:rsidRPr="00412073">
        <w:rPr>
          <w:lang w:val="en-US"/>
        </w:rPr>
        <w:t>-</w:t>
      </w:r>
      <w:r w:rsidRPr="00412073">
        <w:rPr>
          <w:lang w:val="en-US"/>
        </w:rPr>
        <w:t>symptoms rated by clinicians</w:t>
      </w:r>
      <w:r w:rsidR="00783FC7" w:rsidRPr="00412073">
        <w:rPr>
          <w:lang w:val="en-US"/>
        </w:rPr>
        <w:t>,</w:t>
      </w:r>
      <w:r w:rsidRPr="00412073">
        <w:rPr>
          <w:lang w:val="en-US"/>
        </w:rPr>
        <w:t xml:space="preserve"> in children and adolescents </w:t>
      </w:r>
      <w:r w:rsidR="00783FC7" w:rsidRPr="00412073">
        <w:rPr>
          <w:lang w:val="en-US"/>
        </w:rPr>
        <w:t xml:space="preserve">with a time frame around </w:t>
      </w:r>
      <w:r w:rsidRPr="00412073">
        <w:rPr>
          <w:lang w:val="en-US"/>
        </w:rPr>
        <w:t xml:space="preserve">12 weeks, all included drugs were </w:t>
      </w:r>
      <w:r w:rsidR="00783FC7" w:rsidRPr="00412073">
        <w:rPr>
          <w:lang w:val="en-US"/>
        </w:rPr>
        <w:t xml:space="preserve">found to be </w:t>
      </w:r>
      <w:r w:rsidRPr="00412073">
        <w:rPr>
          <w:lang w:val="en-US"/>
        </w:rPr>
        <w:t>superior to placebo. In adults,</w:t>
      </w:r>
      <w:r w:rsidR="00EB2422" w:rsidRPr="00412073">
        <w:rPr>
          <w:lang w:val="en-US"/>
        </w:rPr>
        <w:t xml:space="preserve"> there was evidence that</w:t>
      </w:r>
      <w:r w:rsidRPr="00412073">
        <w:rPr>
          <w:lang w:val="en-US"/>
        </w:rPr>
        <w:t xml:space="preserve"> amphetamines, methylphenidate, bupropion, and atomoxetine were better than placebo, but not modafinil. With respect to tolerability, amphetamines were inferior to placebo in both children and adolescents and adults. In head-to-head comparisons, only differences in efficacy (clinicians' ratings) were found, favoring amphetamines over modafinil, atomoxetine, and methylphenidate in both children and adolescents and adults. </w:t>
      </w:r>
      <w:r w:rsidR="00A31458" w:rsidRPr="00412073">
        <w:rPr>
          <w:lang w:val="en-US"/>
        </w:rPr>
        <w:t>W</w:t>
      </w:r>
      <w:r w:rsidR="00E21D3B" w:rsidRPr="00412073">
        <w:rPr>
          <w:lang w:val="en-US"/>
        </w:rPr>
        <w:t xml:space="preserve">hile results from this NMA </w:t>
      </w:r>
      <w:r w:rsidRPr="00412073">
        <w:rPr>
          <w:lang w:val="en-US"/>
        </w:rPr>
        <w:t xml:space="preserve">can </w:t>
      </w:r>
      <w:r w:rsidR="00E21D3B" w:rsidRPr="00412073">
        <w:rPr>
          <w:lang w:val="en-US"/>
        </w:rPr>
        <w:t>inform clinical guidelines</w:t>
      </w:r>
      <w:r w:rsidRPr="00412073">
        <w:rPr>
          <w:lang w:val="en-US"/>
        </w:rPr>
        <w:t xml:space="preserve">, it is important to note that this </w:t>
      </w:r>
      <w:r w:rsidR="00783FC7" w:rsidRPr="00412073">
        <w:rPr>
          <w:lang w:val="en-US"/>
        </w:rPr>
        <w:t>analysis did</w:t>
      </w:r>
      <w:r w:rsidRPr="00412073">
        <w:rPr>
          <w:lang w:val="en-US"/>
        </w:rPr>
        <w:t xml:space="preserve"> not account for the dosage</w:t>
      </w:r>
      <w:r w:rsidR="00783FC7" w:rsidRPr="00412073">
        <w:rPr>
          <w:lang w:val="en-US"/>
        </w:rPr>
        <w:t xml:space="preserve">. Information on dosage, however, </w:t>
      </w:r>
      <w:r w:rsidRPr="00412073">
        <w:rPr>
          <w:lang w:val="en-US"/>
        </w:rPr>
        <w:t xml:space="preserve">is crucial </w:t>
      </w:r>
      <w:r w:rsidR="00783FC7" w:rsidRPr="00412073">
        <w:rPr>
          <w:lang w:val="en-US"/>
        </w:rPr>
        <w:t xml:space="preserve">when </w:t>
      </w:r>
      <w:r w:rsidRPr="00412073">
        <w:rPr>
          <w:lang w:val="en-US"/>
        </w:rPr>
        <w:t>consider</w:t>
      </w:r>
      <w:r w:rsidR="00783FC7" w:rsidRPr="00412073">
        <w:rPr>
          <w:lang w:val="en-US"/>
        </w:rPr>
        <w:t>ing</w:t>
      </w:r>
      <w:r w:rsidRPr="00412073">
        <w:rPr>
          <w:lang w:val="en-US"/>
        </w:rPr>
        <w:t xml:space="preserve"> </w:t>
      </w:r>
      <w:r w:rsidR="00E21D3B" w:rsidRPr="00412073">
        <w:rPr>
          <w:lang w:val="en-US"/>
        </w:rPr>
        <w:t>the efficacy of a medication</w:t>
      </w:r>
      <w:r w:rsidRPr="00412073">
        <w:rPr>
          <w:lang w:val="en-US"/>
        </w:rPr>
        <w:t xml:space="preserve">. </w:t>
      </w:r>
      <w:r w:rsidR="00E21D3B" w:rsidRPr="00412073">
        <w:rPr>
          <w:lang w:val="en-US"/>
        </w:rPr>
        <w:t xml:space="preserve">Evidence on the efficacy of different doses of medication is particularly relevant in the light of </w:t>
      </w:r>
      <w:r w:rsidR="00603C50" w:rsidRPr="00412073">
        <w:rPr>
          <w:lang w:val="en-US"/>
        </w:rPr>
        <w:t>research indica</w:t>
      </w:r>
      <w:r w:rsidR="00E21D3B" w:rsidRPr="00412073">
        <w:rPr>
          <w:lang w:val="en-US"/>
        </w:rPr>
        <w:t>ting</w:t>
      </w:r>
      <w:r w:rsidR="00603C50" w:rsidRPr="00412073">
        <w:rPr>
          <w:lang w:val="en-US"/>
        </w:rPr>
        <w:t xml:space="preserve"> that children and adolescents in the community often receive small doses of stimulants on a daily basis</w:t>
      </w:r>
      <w:r w:rsidR="00B23406" w:rsidRPr="00412073">
        <w:rPr>
          <w:lang w:val="en-US"/>
        </w:rPr>
        <w:fldChar w:fldCharType="begin"/>
      </w:r>
      <w:r w:rsidR="00E402D9" w:rsidRPr="00412073">
        <w:rPr>
          <w:lang w:val="en-US"/>
        </w:rPr>
        <w:instrText xml:space="preserve"> ADDIN ZOTERO_ITEM CSL_CITATION {"citationID":"fBcjJZ1D","properties":{"formattedCitation":"(8\\uc0\\u8211{}11)","plainCitation":"(8–11)","noteIndex":0},"citationItems":[{"id":1535,"uris":["http://zotero.org/groups/4981848/items/Z8DTRTPW"],"itemData":{"id":1535,"type":"article-journal","container-title":"Journal of the American Academy of Child &amp; Adolescent Psychiatry","DOI":"10.1016/j.jaac.2016.02.001","ISSN":"08908567","issue":"4","journalAbbreviation":"Journal of the American Academy of Child &amp; Adolescent Psychiatry","language":"en","page":"289-294","source":"DOI.org (Crossref)","title":"Relationship Between Attention-Deficit/Hyperactivity Disorder Care and Medication Continuity","volume":"55","author":[{"family":"Brinkman","given":"William B."},{"family":"Baum","given":"Rebecca"},{"family":"Kelleher","given":"Kelly J."},{"family":"Peugh","given":"James"},{"family":"Gardner","given":"William"},{"family":"Lichtenstein","given":"Phil"},{"family":"Langberg","given":"Joshua"},{"family":"Epstein","given":"Jeffery N."}],"issued":{"date-parts":[["2016",4]]}}},{"id":1534,"uris":["http://zotero.org/groups/4981848/items/ALCHZSJP"],"itemData":{"id":1534,"type":"article-journal","abstract":"OBJECTIVES:\n              To identify predictors of attention-deficit/hyperactivity disorder (ADHD) medication continuity, hypothesizing greater continuity among children with (1) greater child acceptance of treatment, (2) parent belief in longer time course for ADHD, (3) positive differential between parent-perceived need for and concerns about medication, and (4) greater parent-perceived alliance with their child’s doctor.\n            \n            \n              METHODS:\n              We conducted a prospective longitudinal cohort of 89 children aged 6 to 10 years old newly treated for ADHD by 1 of 44 pediatricians in 11 practices. Parents completed validated surveys on their beliefs about ADHD and medicine. We audited charts and obtained pharmacy dispensing records. In our analyses, we examined the relationship between predictor variables (eg, sociodemographic and clinical characteristics, quality of care, and belief measures) and short-term (first 90 days after starting medication) and long-term (91–450 days) medication continuity as defined by the number of days covered with medication.\n            \n            \n              RESULTS:\n              Children had a median of 81% of days covered over 0 to 90 days and 54% of days covered over 91 to 450 days after starting medicine. In the first 90 days, medication coverage related to child age, satisfaction with information about medicine, medication titration, symptom reduction, parent beliefs about control over symptoms, uncertainty about treating with medicine, and working alliance. Long-term medication continuity related to child acceptance of treatment and differential between parent-perceived need for and concerns about medication at 3 months, not baseline factors.\n            \n            \n              CONCLUSIONS:\n              Adherence is a process that can change over time in response to experiences with treatment. Interventions are needed to promote productive interactions between pediatricians and families in support of continuity.","container-title":"Pediatrics","DOI":"10.1542/peds.2017-2580","ISSN":"0031-4005, 1098-4275","issue":"6","language":"en","page":"e20172580","source":"DOI.org (Crossref)","title":"Predictors of Medication Continuity in Children With ADHD","volume":"141","author":[{"family":"Brinkman","given":"William B."},{"family":"Sucharew","given":"Heidi"},{"family":"Majcher","given":"Jessica Hartl"},{"family":"Epstein","given":"Jeffery N."}],"issued":{"date-parts":[["2018",6,1]]}}},{"id":1542,"uris":["http://zotero.org/groups/4981848/items/JH28VSIA"],"itemData":{"id":1542,"type":"article-journal","container-title":"Journal of the American Academy of Child &amp; Adolescent Psychiatry","DOI":"10.1097/CHI.0b013e31818b1c8f","ISSN":"08908567","issue":"1","journalAbbreviation":"Journal of the American Academy of Child &amp; Adolescent Psychiatry","language":"en","page":"51-59","source":"DOI.org (Crossref)","title":"Stimulant Dosing for Children With ADHD: A Medical Claims Analysis","title-short":"Stimulant Dosing for Children With ADHD","volume":"48","author":[{"family":"Olfson","given":"Mark"},{"family":"Marcus","given":"Steven"},{"family":"Wan","given":"George"}],"issued":{"date-parts":[["2009",1]]}}},{"id":1537,"uris":["http://zotero.org/groups/4981848/items/W3NHDFTG"],"itemData":{"id":1537,"type":"article-journal","container-title":"Journal of the American Academy of Child &amp; Adolescent Psychiatry","DOI":"10.1097/00004583-200303000-00007","ISSN":"08908567","issue":"3","journalAbbreviation":"Journal of the American Academy of Child &amp; Adolescent Psychiatry","language":"en","page":"279-287","source":"DOI.org (Crossref)","title":"A Feasibility Study of the Children's Medication Algorithm Project (CMAP) Algorithm for the Treatment of ADHD","volume":"42","author":[{"family":"Pliszka","given":"Steven R."},{"family":"Lopez","given":"Molly"},{"family":"Crismon","given":"M. Lynn"},{"family":"Toprac","given":"Marcia G."},{"family":"Hughes","given":"Carroll W."},{"family":"Emslie","given":"Graham J."},{"family":"Boemer","given":"Christine"}],"issued":{"date-parts":[["2003",3]]}}}],"schema":"https://github.com/citation-style-language/schema/raw/master/csl-citation.json"} </w:instrText>
      </w:r>
      <w:r w:rsidR="00B23406" w:rsidRPr="00412073">
        <w:rPr>
          <w:lang w:val="en-US"/>
        </w:rPr>
        <w:fldChar w:fldCharType="separate"/>
      </w:r>
      <w:r w:rsidR="00E402D9" w:rsidRPr="00412073">
        <w:rPr>
          <w:rFonts w:ascii="Calibri" w:hAnsi="Calibri" w:cs="Calibri"/>
          <w:lang w:val="en-US"/>
        </w:rPr>
        <w:t>(8–11)</w:t>
      </w:r>
      <w:r w:rsidR="00B23406" w:rsidRPr="00412073">
        <w:rPr>
          <w:lang w:val="en-US"/>
        </w:rPr>
        <w:fldChar w:fldCharType="end"/>
      </w:r>
      <w:r w:rsidR="00783FC7" w:rsidRPr="00412073">
        <w:rPr>
          <w:lang w:val="en-US"/>
        </w:rPr>
        <w:t xml:space="preserve">. This </w:t>
      </w:r>
      <w:r w:rsidR="00603C50" w:rsidRPr="00412073">
        <w:rPr>
          <w:lang w:val="en-US"/>
        </w:rPr>
        <w:t xml:space="preserve">can decrease both the efficacy </w:t>
      </w:r>
      <w:r w:rsidR="00783FC7" w:rsidRPr="00412073">
        <w:rPr>
          <w:lang w:val="en-US"/>
        </w:rPr>
        <w:t xml:space="preserve">of </w:t>
      </w:r>
      <w:r w:rsidR="00603C50" w:rsidRPr="00412073">
        <w:rPr>
          <w:lang w:val="en-US"/>
        </w:rPr>
        <w:t>and adherence to treatment</w:t>
      </w:r>
      <w:r w:rsidR="00981464" w:rsidRPr="00412073">
        <w:rPr>
          <w:lang w:val="en-US"/>
        </w:rPr>
        <w:fldChar w:fldCharType="begin"/>
      </w:r>
      <w:r w:rsidR="00E402D9" w:rsidRPr="00412073">
        <w:rPr>
          <w:lang w:val="en-US"/>
        </w:rPr>
        <w:instrText xml:space="preserve"> ADDIN ZOTERO_ITEM CSL_CITATION {"citationID":"ELoO9gVI","properties":{"formattedCitation":"(10,12)","plainCitation":"(10,12)","noteIndex":0},"citationItems":[{"id":1542,"uris":["http://zotero.org/groups/4981848/items/JH28VSIA"],"itemData":{"id":1542,"type":"article-journal","container-title":"Journal of the American Academy of Child &amp; Adolescent Psychiatry","DOI":"10.1097/CHI.0b013e31818b1c8f","ISSN":"08908567","issue":"1","journalAbbreviation":"Journal of the American Academy of Child &amp; Adolescent Psychiatry","language":"en","page":"51-59","source":"DOI.org (Crossref)","title":"Stimulant Dosing for Children With ADHD: A Medical Claims Analysis","title-short":"Stimulant Dosing for Children With ADHD","volume":"48","author":[{"family":"Olfson","given":"Mark"},{"family":"Marcus","given":"Steven"},{"family":"Wan","given":"George"}],"issued":{"date-parts":[["2009",1]]}}},{"id":1541,"uris":["http://zotero.org/groups/4981848/items/8AXD6JXC"],"itemData":{"id":1541,"type":"article-journal","abstract":"Abstract\n            \n              Background\n              Osmotic release oral system methylphenidate (OROS-MPH) is one of the most commonly used medication for attention-deficit hyperactivity disorder (ADHD), however, real-world knowledge on OROS-MPH dose titration has been limited. This study aims to summarize and visualise the OROS-MPH titration patterns in children and adolescents with ADHD in the United States (US) and Japan.\n            \n            \n              Methods\n              This retrospective cohort study used the US IBM® MarketScan® Commercial Claims and Encounters database from 2000 to 2019 and the Japan Medical Data Centre database from 2008 to 2019. New OROS-MPH users with ADHD were identified and split into child (6 to &lt; 13 years) and adolescent (13 to &lt; 18 years) groups according to age at OROS-MPH initiation/reinitiation. Patient characteristics and OROS-MPH treatment patterns were described. OROS-MPH dose titration pathways were visualised by Sankey diagrams.\n            \n            \n              Results\n              We included 98,973 children and 62,002 adolescents in the US cohort, and 4595 children and 1508 adolescents in the Japanese cohort. In Japanese cohort, 91.9% of children and 77.9% of adolescents initiated OROS-MPH at the lowest dose (18 mg/day), whereas US patients had a broader distribution of initial doses (e.g., 18–54 mg/day). The US patients had higher daily dose of OROS-MPH than Japanese patients. Overall, a minority (&lt; 40%) of the OROS-MPH users underwent dose titration, and different titration patterns were observed between the US and Japanese patients.\n            \n            \n              Conclusions\n              Different treatment and titration patterns of OROS-MPH were observed in the two countries. Additional real-world studies about clinical reasoning underlying dose selection are needed to support clinical decision-making.","container-title":"BMC Pediatrics","DOI":"10.1186/s12887-023-03850-4","ISSN":"1471-2431","issue":"1","journalAbbreviation":"BMC Pediatr","language":"en","page":"38","source":"DOI.org (Crossref)","title":"Dose titration of osmotic release oral system methylphenidate in children and adolescents with attention-deficit hyperactivity disorder: a retrospective cohort study","title-short":"Dose titration of osmotic release oral system methylphenidate in children and adolescents with attention-deficit hyperactivity disorder","volume":"23","author":[{"family":"Xu","given":"Youran"},{"family":"Chung","given":"Hsingwen"},{"family":"Shu","given":"Meng"},{"family":"Liu","given":"Yanfang"},{"family":"Zhang","given":"Yongjing"},{"family":"Qiu","given":"Hong"}],"issued":{"date-parts":[["2023",1,23]]}}}],"schema":"https://github.com/citation-style-language/schema/raw/master/csl-citation.json"} </w:instrText>
      </w:r>
      <w:r w:rsidR="00981464" w:rsidRPr="00412073">
        <w:rPr>
          <w:lang w:val="en-US"/>
        </w:rPr>
        <w:fldChar w:fldCharType="separate"/>
      </w:r>
      <w:r w:rsidR="00E402D9" w:rsidRPr="00412073">
        <w:rPr>
          <w:rFonts w:ascii="Calibri" w:hAnsi="Calibri" w:cs="Calibri"/>
          <w:lang w:val="en-US"/>
        </w:rPr>
        <w:t>(10,12)</w:t>
      </w:r>
      <w:r w:rsidR="00981464" w:rsidRPr="00412073">
        <w:rPr>
          <w:lang w:val="en-US"/>
        </w:rPr>
        <w:fldChar w:fldCharType="end"/>
      </w:r>
      <w:r w:rsidR="00603C50" w:rsidRPr="00412073">
        <w:rPr>
          <w:lang w:val="en-US"/>
        </w:rPr>
        <w:t>.</w:t>
      </w:r>
    </w:p>
    <w:p w14:paraId="34DE6E3E" w14:textId="5438102C" w:rsidR="003A2BD6" w:rsidRPr="00412073" w:rsidRDefault="003A2BD6" w:rsidP="003A2BD6">
      <w:pPr>
        <w:spacing w:line="276" w:lineRule="auto"/>
        <w:rPr>
          <w:lang w:val="en-US"/>
        </w:rPr>
      </w:pPr>
    </w:p>
    <w:p w14:paraId="189015D4" w14:textId="49695D87" w:rsidR="001D4753" w:rsidRPr="00412073" w:rsidRDefault="001D4753" w:rsidP="00F46147">
      <w:pPr>
        <w:spacing w:line="276" w:lineRule="auto"/>
        <w:rPr>
          <w:lang w:val="en-US"/>
        </w:rPr>
      </w:pPr>
      <w:r w:rsidRPr="00412073">
        <w:rPr>
          <w:lang w:val="en-US"/>
        </w:rPr>
        <w:t xml:space="preserve">Dose-Effect Network Meta-Analysis (DE-NMA) is an </w:t>
      </w:r>
      <w:r w:rsidR="00C2653E" w:rsidRPr="00412073">
        <w:rPr>
          <w:lang w:val="en-US"/>
        </w:rPr>
        <w:t>extension</w:t>
      </w:r>
      <w:r w:rsidRPr="00412073">
        <w:rPr>
          <w:lang w:val="en-US"/>
        </w:rPr>
        <w:t xml:space="preserve"> </w:t>
      </w:r>
      <w:r w:rsidR="00F46147" w:rsidRPr="00412073">
        <w:rPr>
          <w:lang w:val="en-US"/>
        </w:rPr>
        <w:t xml:space="preserve">of the </w:t>
      </w:r>
      <w:r w:rsidR="00EB2422" w:rsidRPr="00412073">
        <w:rPr>
          <w:lang w:val="en-US"/>
        </w:rPr>
        <w:t xml:space="preserve">basic </w:t>
      </w:r>
      <w:r w:rsidR="00F46147" w:rsidRPr="00412073">
        <w:rPr>
          <w:lang w:val="en-US"/>
        </w:rPr>
        <w:t xml:space="preserve">NMA </w:t>
      </w:r>
      <w:r w:rsidR="00EB2422" w:rsidRPr="00412073">
        <w:rPr>
          <w:lang w:val="en-US"/>
        </w:rPr>
        <w:t>model, which explicitly models</w:t>
      </w:r>
      <w:r w:rsidR="00F46147" w:rsidRPr="00412073">
        <w:rPr>
          <w:lang w:val="en-US"/>
        </w:rPr>
        <w:t xml:space="preserve"> the dose-response relationship when comparing different treatments </w:t>
      </w:r>
      <w:r w:rsidR="00ED3CA3" w:rsidRPr="00412073">
        <w:rPr>
          <w:lang w:val="en-US"/>
        </w:rPr>
        <w:fldChar w:fldCharType="begin"/>
      </w:r>
      <w:r w:rsidR="00E402D9" w:rsidRPr="00412073">
        <w:rPr>
          <w:lang w:val="en-US"/>
        </w:rPr>
        <w:instrText xml:space="preserve"> ADDIN ZOTERO_ITEM CSL_CITATION {"citationID":"A3LUm0Nx","properties":{"formattedCitation":"(13,14)","plainCitation":"(13,14)","noteIndex":0},"citationItems":[{"id":1557,"uris":["http://zotero.org/groups/4981848/items/TUZBUPAI"],"itemData":{"id":1557,"type":"article-journal","abstract":"Objective  The current practice in meta-a­ nalysis of the effects of psychopharmacological interventions ignors the administered dose or restricts the analysis in a dose range. This may introduce unnecessary uncertainty and heterogeneity. Methods have been developed to integrate the dose–effect models in meta-­analysis.\nMethods  We describe the two-s­ tage and the one-­stage models to conduct a dose–effect meta-­analysis using common or random effects methods. We illustrate the methods on a dataset of selective serotonin reuptake inhibitor antidepressants. The dataset comprises 60 randomised controlled trials. The dose–effect is measured on an odds ratio scale and is modelled using restricted cubic splines to detect departure from linearity.\nResults  The estimated summary curve indicates that the probability of response increases up to 30 mg/day of fluoxetine-e­ quivalent which results in reaching 50% probability to respond. Beyond 40 mg/day, no further increase in the response is observed. The one-­stage model includes all studies, resulting in slightly less uncertainty than the two-­stage model where only part of the data is analysed.\nConclusions  The dose–effect meta-a­ nalysis enables clinicians to understand how the effect of a drug changes as a function of its dose. Such analysis should be conducted in practice using the one-s­ tage model that incorporates evidence from all available studies.","container-title":"Evidence Based Mental Health","DOI":"10.1136/ebmental-2021-300278","ISSN":"1362-0347, 1468-960X","issue":"1","journalAbbreviation":"Evid Based Mental Health","language":"en","page":"1-6","source":"DOI.org (Crossref)","title":"Dose–effect meta-analysis for psychopharmacological interventions using randomised data","volume":"25","author":[{"family":"Hamza","given":"Tasnim"},{"family":"Furukawa","given":"Toshi A"},{"family":"Orsini","given":"Nicola"},{"family":"Cipriani","given":"Andrea"},{"family":"Salanti","given":"Georgia"}],"issued":{"date-parts":[["2022",2]]}}},{"id":1570,"uris":["http://zotero.org/groups/4981848/items/JKZA7SR7"],"itemData":{"id":1570,"type":"article-journal","container-title":"CPT: Pharmacometrics &amp; Systems Pharmacology","DOI":"10.1002/psp4.12091","ISSN":"21638306","issue":"8","journalAbbreviation":"CPT Pharmacometrics Syst. Pharmacol.","language":"en","page":"393-401","source":"DOI.org (Crossref)","title":"Model-Based Network Meta-Analysis: A Framework for Evidence Synthesis of Clinical Trial Data: Model-Based Network Meta-Analysis","title-short":"Model-Based Network Meta-Analysis","volume":"5","author":[{"family":"Mawdsley","given":"D"},{"family":"Bennetts","given":"M"},{"family":"Dias","given":"S"},{"family":"Boucher","given":"M"},{"family":"Welton","given":"Nj"}],"issued":{"date-parts":[["2016",8]]}}}],"schema":"https://github.com/citation-style-language/schema/raw/master/csl-citation.json"} </w:instrText>
      </w:r>
      <w:r w:rsidR="00ED3CA3" w:rsidRPr="00412073">
        <w:rPr>
          <w:lang w:val="en-US"/>
        </w:rPr>
        <w:fldChar w:fldCharType="separate"/>
      </w:r>
      <w:r w:rsidR="00E402D9" w:rsidRPr="00412073">
        <w:rPr>
          <w:rFonts w:ascii="Calibri" w:hAnsi="Calibri" w:cs="Calibri"/>
          <w:lang w:val="en-US"/>
        </w:rPr>
        <w:t>(13,14)</w:t>
      </w:r>
      <w:r w:rsidR="00ED3CA3" w:rsidRPr="00412073">
        <w:rPr>
          <w:lang w:val="en-US"/>
        </w:rPr>
        <w:fldChar w:fldCharType="end"/>
      </w:r>
      <w:r w:rsidR="00F46147" w:rsidRPr="00412073">
        <w:rPr>
          <w:lang w:val="en-US"/>
        </w:rPr>
        <w:t>.</w:t>
      </w:r>
      <w:r w:rsidR="00C2653E" w:rsidRPr="00412073">
        <w:rPr>
          <w:lang w:val="en-US"/>
        </w:rPr>
        <w:t xml:space="preserve"> </w:t>
      </w:r>
      <w:r w:rsidR="00F46147" w:rsidRPr="00412073">
        <w:rPr>
          <w:lang w:val="en-US"/>
        </w:rPr>
        <w:t xml:space="preserve">Including dosage information in NMA allows for the exploration of dose-response relationships in </w:t>
      </w:r>
      <w:r w:rsidR="00EB2422" w:rsidRPr="00412073">
        <w:rPr>
          <w:lang w:val="en-US"/>
        </w:rPr>
        <w:t xml:space="preserve">a </w:t>
      </w:r>
      <w:r w:rsidR="00F46147" w:rsidRPr="00412073">
        <w:rPr>
          <w:lang w:val="en-US"/>
        </w:rPr>
        <w:t>consistent way</w:t>
      </w:r>
      <w:r w:rsidR="00C2653E" w:rsidRPr="00412073">
        <w:rPr>
          <w:lang w:val="en-US"/>
        </w:rPr>
        <w:t xml:space="preserve">. </w:t>
      </w:r>
      <w:r w:rsidR="00F46147" w:rsidRPr="00412073">
        <w:rPr>
          <w:lang w:val="en-US"/>
        </w:rPr>
        <w:t>Understanding the dose-response relationship not only contributes to a more comprehensive understanding of treatment effects but also facilitates the identification of optimal doses</w:t>
      </w:r>
      <w:r w:rsidR="00EB2422" w:rsidRPr="00412073">
        <w:rPr>
          <w:lang w:val="en-US"/>
        </w:rPr>
        <w:t xml:space="preserve">, i.e. doses that strike a balance between </w:t>
      </w:r>
      <w:r w:rsidR="00F46147" w:rsidRPr="00412073">
        <w:rPr>
          <w:lang w:val="en-US"/>
        </w:rPr>
        <w:lastRenderedPageBreak/>
        <w:t>maximiz</w:t>
      </w:r>
      <w:r w:rsidR="00EB2422" w:rsidRPr="00412073">
        <w:rPr>
          <w:lang w:val="en-US"/>
        </w:rPr>
        <w:t>ing</w:t>
      </w:r>
      <w:r w:rsidR="00F46147" w:rsidRPr="00412073">
        <w:rPr>
          <w:lang w:val="en-US"/>
        </w:rPr>
        <w:t xml:space="preserve"> treatment benefits</w:t>
      </w:r>
      <w:r w:rsidR="00EB2422" w:rsidRPr="00412073">
        <w:rPr>
          <w:lang w:val="en-US"/>
        </w:rPr>
        <w:t xml:space="preserve"> and minimizing harms</w:t>
      </w:r>
      <w:r w:rsidR="00C2653E" w:rsidRPr="00412073">
        <w:rPr>
          <w:lang w:val="en-US"/>
        </w:rPr>
        <w:t xml:space="preserve">. </w:t>
      </w:r>
      <w:r w:rsidR="004E7573" w:rsidRPr="00412073">
        <w:rPr>
          <w:lang w:val="en-US"/>
        </w:rPr>
        <w:t>This information is crucial for guiding clinicians in identifying and recommending optimal doses for improved therapeutic outcomes.</w:t>
      </w:r>
    </w:p>
    <w:p w14:paraId="31751FE9" w14:textId="77777777" w:rsidR="001732D0" w:rsidRPr="00412073" w:rsidRDefault="001732D0" w:rsidP="003A2BD6">
      <w:pPr>
        <w:spacing w:line="276" w:lineRule="auto"/>
        <w:rPr>
          <w:lang w:val="en-US"/>
        </w:rPr>
      </w:pPr>
    </w:p>
    <w:p w14:paraId="0F5D8244" w14:textId="42EB58C2" w:rsidR="00F1669D" w:rsidRPr="00412073" w:rsidRDefault="00F1669D" w:rsidP="003A2BD6">
      <w:pPr>
        <w:spacing w:line="276" w:lineRule="auto"/>
        <w:rPr>
          <w:lang w:val="en-US"/>
        </w:rPr>
      </w:pPr>
      <w:r w:rsidRPr="00412073">
        <w:rPr>
          <w:lang w:val="en-US"/>
        </w:rPr>
        <w:t xml:space="preserve">This study outlines </w:t>
      </w:r>
      <w:r w:rsidR="00EB2422" w:rsidRPr="00412073">
        <w:rPr>
          <w:lang w:val="en-US"/>
        </w:rPr>
        <w:t>a</w:t>
      </w:r>
      <w:r w:rsidRPr="00412073">
        <w:rPr>
          <w:lang w:val="en-US"/>
        </w:rPr>
        <w:t xml:space="preserve"> DE-NMA protocol for ADHD medications</w:t>
      </w:r>
      <w:r w:rsidR="00EB2422" w:rsidRPr="00412073">
        <w:rPr>
          <w:lang w:val="en-US"/>
        </w:rPr>
        <w:t>; to the best of our knowledge, this is the first such study in the field</w:t>
      </w:r>
      <w:r w:rsidRPr="00412073">
        <w:rPr>
          <w:lang w:val="en-US"/>
        </w:rPr>
        <w:t>.</w:t>
      </w:r>
    </w:p>
    <w:p w14:paraId="2526F217" w14:textId="246B6E44" w:rsidR="00C40D06" w:rsidRPr="00412073" w:rsidRDefault="00C40D06" w:rsidP="00C40D06">
      <w:pPr>
        <w:spacing w:line="276" w:lineRule="auto"/>
        <w:rPr>
          <w:lang w:val="en-US"/>
        </w:rPr>
      </w:pPr>
      <w:r w:rsidRPr="00412073">
        <w:rPr>
          <w:lang w:val="en-US"/>
        </w:rPr>
        <w:t xml:space="preserve">The primary objectives include estimating dose-response curves for efficacy and acceptability in children/adolescents and adults separately. The study </w:t>
      </w:r>
      <w:r w:rsidR="00EB2422" w:rsidRPr="00412073">
        <w:rPr>
          <w:lang w:val="en-US"/>
        </w:rPr>
        <w:t xml:space="preserve">also </w:t>
      </w:r>
      <w:r w:rsidRPr="00412073">
        <w:rPr>
          <w:lang w:val="en-US"/>
        </w:rPr>
        <w:t>aims to identify clinically significant efficacy doses, categorized by pharmacological class, and present the dose-response relationship in comparison to placebo.</w:t>
      </w:r>
    </w:p>
    <w:p w14:paraId="32143EA1" w14:textId="77777777" w:rsidR="00EE2F9C" w:rsidRPr="00412073" w:rsidRDefault="00EE2F9C" w:rsidP="003A2BD6">
      <w:pPr>
        <w:spacing w:line="276" w:lineRule="auto"/>
        <w:rPr>
          <w:lang w:val="en-US"/>
        </w:rPr>
      </w:pPr>
    </w:p>
    <w:p w14:paraId="58F92755" w14:textId="6E9C37C0" w:rsidR="0068448A" w:rsidRPr="00412073" w:rsidRDefault="00981B8F" w:rsidP="0068448A">
      <w:pPr>
        <w:pStyle w:val="Heading2"/>
        <w:spacing w:line="276" w:lineRule="auto"/>
      </w:pPr>
      <w:r w:rsidRPr="00412073">
        <w:t>METHODS</w:t>
      </w:r>
    </w:p>
    <w:p w14:paraId="445D894C" w14:textId="080ABA31" w:rsidR="0091445F" w:rsidRPr="00412073" w:rsidRDefault="0091445F" w:rsidP="003A2BD6">
      <w:pPr>
        <w:spacing w:line="276" w:lineRule="auto"/>
        <w:rPr>
          <w:lang w:val="en-US"/>
        </w:rPr>
      </w:pPr>
      <w:r w:rsidRPr="00412073">
        <w:rPr>
          <w:lang w:val="en-US"/>
        </w:rPr>
        <w:t xml:space="preserve">This protocol </w:t>
      </w:r>
      <w:r w:rsidR="00FC0975" w:rsidRPr="00412073">
        <w:rPr>
          <w:lang w:val="en-US"/>
        </w:rPr>
        <w:t>has been</w:t>
      </w:r>
      <w:r w:rsidRPr="00412073">
        <w:rPr>
          <w:lang w:val="en-US"/>
        </w:rPr>
        <w:t xml:space="preserve"> pre-registered </w:t>
      </w:r>
      <w:r w:rsidR="00FC0975" w:rsidRPr="00412073">
        <w:rPr>
          <w:lang w:val="en-US"/>
        </w:rPr>
        <w:t xml:space="preserve">on </w:t>
      </w:r>
      <w:r w:rsidRPr="00412073">
        <w:rPr>
          <w:lang w:val="en-US"/>
        </w:rPr>
        <w:t>OSF</w:t>
      </w:r>
      <w:r w:rsidR="00FC0975" w:rsidRPr="00412073">
        <w:rPr>
          <w:lang w:val="en-US"/>
        </w:rPr>
        <w:t xml:space="preserve"> at</w:t>
      </w:r>
      <w:r w:rsidRPr="00412073">
        <w:rPr>
          <w:lang w:val="en-US"/>
        </w:rPr>
        <w:t xml:space="preserve"> </w:t>
      </w:r>
      <w:r w:rsidRPr="00412073">
        <w:fldChar w:fldCharType="begin"/>
      </w:r>
      <w:r w:rsidRPr="00412073">
        <w:rPr>
          <w:lang w:val="en-US"/>
        </w:rPr>
        <w:instrText>HYPERLINK "https://doi.org/10.17605/OSF.IO/3MY4A" \t "_self"</w:instrText>
      </w:r>
      <w:r w:rsidRPr="00412073">
        <w:fldChar w:fldCharType="separate"/>
      </w:r>
      <w:r w:rsidRPr="00412073">
        <w:rPr>
          <w:rStyle w:val="Hyperlink"/>
          <w:color w:val="auto"/>
          <w:lang w:val="en-US"/>
          <w:rPrChange w:id="2" w:author="Mikail NOURREDINE" w:date="2024-10-04T14:11:00Z" w16du:dateUtc="2024-10-04T12:11:00Z">
            <w:rPr>
              <w:rStyle w:val="Hyperlink"/>
              <w:lang w:val="en-US"/>
            </w:rPr>
          </w:rPrChange>
        </w:rPr>
        <w:t>https://doi.org/10.17605/OSF.IO/3MY4A</w:t>
      </w:r>
      <w:r w:rsidRPr="00412073">
        <w:rPr>
          <w:rStyle w:val="Hyperlink"/>
          <w:color w:val="auto"/>
          <w:lang w:val="en-US"/>
          <w:rPrChange w:id="3" w:author="Mikail NOURREDINE" w:date="2024-10-04T14:11:00Z" w16du:dateUtc="2024-10-04T12:11:00Z">
            <w:rPr>
              <w:rStyle w:val="Hyperlink"/>
              <w:lang w:val="en-US"/>
            </w:rPr>
          </w:rPrChange>
        </w:rPr>
        <w:fldChar w:fldCharType="end"/>
      </w:r>
      <w:r w:rsidR="00FC0975" w:rsidRPr="00412073">
        <w:rPr>
          <w:lang w:val="en-US"/>
        </w:rPr>
        <w:t>.</w:t>
      </w:r>
    </w:p>
    <w:p w14:paraId="70DB9ADC" w14:textId="5AAD45D9" w:rsidR="000143DE" w:rsidRPr="00412073" w:rsidRDefault="00915118" w:rsidP="003A2BD6">
      <w:pPr>
        <w:spacing w:line="276" w:lineRule="auto"/>
        <w:rPr>
          <w:lang w:val="en-US"/>
        </w:rPr>
      </w:pPr>
      <w:r w:rsidRPr="00412073">
        <w:rPr>
          <w:lang w:val="en-US"/>
        </w:rPr>
        <w:t>This protocol</w:t>
      </w:r>
      <w:r w:rsidR="00774300" w:rsidRPr="00412073">
        <w:rPr>
          <w:lang w:val="en-US"/>
        </w:rPr>
        <w:t xml:space="preserve"> </w:t>
      </w:r>
      <w:r w:rsidRPr="00412073">
        <w:rPr>
          <w:lang w:val="en-US"/>
        </w:rPr>
        <w:t>follow</w:t>
      </w:r>
      <w:r w:rsidR="00185408" w:rsidRPr="00412073">
        <w:rPr>
          <w:lang w:val="en-US"/>
        </w:rPr>
        <w:t>s</w:t>
      </w:r>
      <w:r w:rsidRPr="00412073">
        <w:rPr>
          <w:lang w:val="en-US"/>
        </w:rPr>
        <w:t xml:space="preserve"> the PRISMA</w:t>
      </w:r>
      <w:r w:rsidR="00055BB6" w:rsidRPr="00412073">
        <w:rPr>
          <w:lang w:val="en-US"/>
        </w:rPr>
        <w:t>-P</w:t>
      </w:r>
      <w:r w:rsidRPr="00412073">
        <w:rPr>
          <w:lang w:val="en-US"/>
        </w:rPr>
        <w:t xml:space="preserve"> guidelines. The PRISMA-P Checklist can be found in</w:t>
      </w:r>
      <w:r w:rsidR="00026C0D" w:rsidRPr="00412073">
        <w:rPr>
          <w:lang w:val="en-US"/>
        </w:rPr>
        <w:t xml:space="preserve"> Appendix Table S1.</w:t>
      </w:r>
    </w:p>
    <w:p w14:paraId="1C626BDE" w14:textId="06D0D5B4" w:rsidR="00981B8F" w:rsidRPr="00412073" w:rsidRDefault="00981B8F" w:rsidP="003A2BD6">
      <w:pPr>
        <w:spacing w:line="276" w:lineRule="auto"/>
        <w:rPr>
          <w:lang w:val="en-US"/>
        </w:rPr>
      </w:pPr>
    </w:p>
    <w:p w14:paraId="14A31AC2" w14:textId="7F264082" w:rsidR="00981B8F" w:rsidRPr="00412073" w:rsidRDefault="00981B8F" w:rsidP="000C6452">
      <w:pPr>
        <w:pStyle w:val="Heading2"/>
      </w:pPr>
      <w:r w:rsidRPr="00412073">
        <w:t>Search strategy</w:t>
      </w:r>
    </w:p>
    <w:p w14:paraId="12B0A17C" w14:textId="59656EB4" w:rsidR="00656467" w:rsidRPr="00412073" w:rsidRDefault="00981B8F" w:rsidP="003A2BD6">
      <w:pPr>
        <w:spacing w:line="276" w:lineRule="auto"/>
        <w:rPr>
          <w:lang w:val="en-US"/>
        </w:rPr>
      </w:pPr>
      <w:r w:rsidRPr="00412073">
        <w:rPr>
          <w:lang w:val="en-US"/>
        </w:rPr>
        <w:t xml:space="preserve">We will update the search for RCTs of medications for ADHD from </w:t>
      </w:r>
      <w:r w:rsidR="00185408" w:rsidRPr="00412073">
        <w:rPr>
          <w:lang w:val="en-US"/>
        </w:rPr>
        <w:t>the</w:t>
      </w:r>
      <w:r w:rsidRPr="00412073">
        <w:rPr>
          <w:lang w:val="en-US"/>
        </w:rPr>
        <w:t xml:space="preserve"> NMA</w:t>
      </w:r>
      <w:r w:rsidR="00185408" w:rsidRPr="00412073">
        <w:rPr>
          <w:lang w:val="en-US"/>
        </w:rPr>
        <w:t xml:space="preserve"> </w:t>
      </w:r>
      <w:r w:rsidR="00C30611" w:rsidRPr="00412073">
        <w:rPr>
          <w:lang w:val="en-US"/>
        </w:rPr>
        <w:fldChar w:fldCharType="begin"/>
      </w:r>
      <w:r w:rsidR="00E402D9" w:rsidRPr="00412073">
        <w:rPr>
          <w:lang w:val="en-US"/>
        </w:rPr>
        <w:instrText xml:space="preserve"> ADDIN ZOTERO_ITEM CSL_CITATION {"citationID":"KEbS9rNx","properties":{"formattedCitation":"(7)","plainCitation":"(7)","noteIndex":0},"citationItems":[{"id":1550,"uris":["http://zotero.org/groups/4981848/items/Q8EYDPYQ"],"itemData":{"id":1550,"type":"article-journal","container-title":"The Lancet Psychiatry","DOI":"10.1016/S2215-0366(18)30269-4","ISSN":"22150366","issue":"9","journalAbbreviation":"The Lancet Psychiatry","language":"en","page":"727-738","source":"DOI.org (Crossref)","title":"Comparative efficacy and tolerability of medications for attention-deficit hyperactivity disorder in children, adolescents, and adults: a systematic review and network meta-analysis","title-short":"Comparative efficacy and tolerability of medications for attention-deficit hyperactivity disorder in children, adolescents, and adults","volume":"5","author":[{"family":"Cortese","given":"Samuele"},{"family":"Adamo","given":"Nicoletta"},{"family":"Del Giovane","given":"Cinzia"},{"family":"Mohr-Jensen","given":"Christina"},{"family":"Hayes","given":"Adrian J"},{"family":"Carucci","given":"Sara"},{"family":"Atkinson","given":"Lauren Z"},{"family":"Tessari","given":"Luca"},{"family":"Banaschewski","given":"Tobias"},{"family":"Coghill","given":"David"},{"family":"Hollis","given":"Chris"},{"family":"Simonoff","given":"Emily"},{"family":"Zuddas","given":"Alessandro"},{"family":"Barbui","given":"Corrado"},{"family":"Purgato","given":"Marianna"},{"family":"Steinhausen","given":"Hans-Christoph"},{"family":"Shokraneh","given":"Farhad"},{"family":"Xia","given":"Jun"},{"family":"Cipriani","given":"Andrea"}],"issued":{"date-parts":[["2018",9]]}}}],"schema":"https://github.com/citation-style-language/schema/raw/master/csl-citation.json"} </w:instrText>
      </w:r>
      <w:r w:rsidR="00C30611" w:rsidRPr="00412073">
        <w:rPr>
          <w:lang w:val="en-US"/>
        </w:rPr>
        <w:fldChar w:fldCharType="separate"/>
      </w:r>
      <w:r w:rsidR="00E402D9" w:rsidRPr="00412073">
        <w:rPr>
          <w:rFonts w:ascii="Calibri" w:hAnsi="Calibri" w:cs="Calibri"/>
          <w:lang w:val="en-US"/>
        </w:rPr>
        <w:t>(7)</w:t>
      </w:r>
      <w:r w:rsidR="00C30611" w:rsidRPr="00412073">
        <w:rPr>
          <w:lang w:val="en-US"/>
        </w:rPr>
        <w:fldChar w:fldCharType="end"/>
      </w:r>
      <w:r w:rsidR="00C30611" w:rsidRPr="00412073">
        <w:rPr>
          <w:lang w:val="en-US"/>
        </w:rPr>
        <w:t xml:space="preserve"> </w:t>
      </w:r>
      <w:r w:rsidRPr="00412073">
        <w:rPr>
          <w:lang w:val="en-US"/>
        </w:rPr>
        <w:t>published in 2018 (last search April 7</w:t>
      </w:r>
      <w:r w:rsidRPr="00412073">
        <w:rPr>
          <w:vertAlign w:val="superscript"/>
          <w:lang w:val="en-US"/>
        </w:rPr>
        <w:t>th</w:t>
      </w:r>
      <w:r w:rsidRPr="00412073">
        <w:rPr>
          <w:lang w:val="en-US"/>
        </w:rPr>
        <w:t>, 2017)</w:t>
      </w:r>
      <w:r w:rsidR="00185408" w:rsidRPr="00412073">
        <w:rPr>
          <w:lang w:val="en-US"/>
        </w:rPr>
        <w:t>, using the same search strategy and syntax</w:t>
      </w:r>
      <w:r w:rsidR="008E4CD8" w:rsidRPr="00412073">
        <w:rPr>
          <w:lang w:val="en-US"/>
        </w:rPr>
        <w:t>, w</w:t>
      </w:r>
      <w:r w:rsidR="00185408" w:rsidRPr="00412073">
        <w:rPr>
          <w:lang w:val="en-US"/>
        </w:rPr>
        <w:t xml:space="preserve">ith the addition of a medication, viloxazine, approved by the </w:t>
      </w:r>
      <w:r w:rsidR="008E4CD8" w:rsidRPr="00412073">
        <w:rPr>
          <w:lang w:val="en-US"/>
        </w:rPr>
        <w:t xml:space="preserve">US Food and Drug Administration (FDA) </w:t>
      </w:r>
      <w:r w:rsidR="00185408" w:rsidRPr="00412073">
        <w:rPr>
          <w:lang w:val="en-US"/>
        </w:rPr>
        <w:t>for ADHD in 2021</w:t>
      </w:r>
      <w:r w:rsidRPr="00412073">
        <w:rPr>
          <w:lang w:val="en-US"/>
        </w:rPr>
        <w:t xml:space="preserve">. </w:t>
      </w:r>
      <w:r w:rsidR="00656467" w:rsidRPr="00412073">
        <w:rPr>
          <w:lang w:val="en-US"/>
        </w:rPr>
        <w:t>W</w:t>
      </w:r>
      <w:r w:rsidRPr="00412073">
        <w:rPr>
          <w:lang w:val="en-US"/>
        </w:rPr>
        <w:t>e will search the following electronic databases: PubMed, BIOSIS Previews, CINAHL, the Cochrane Central Register of Controlled Trials (CENTRAL), EMBASE, ERIC, MEDLINE, PsycINFO, OpenGrey, Web of Science Core Collection, ProQuest Dissertations and Theses (UK and Ireland), ProQuest Dissertations and Theses (abstracts and international), and the WHO International Trials Registry Platform, including ClinicalTrials.gov. We will also search the FDA, European Medicines Agency, and relevant drug manufacturers’ websites,</w:t>
      </w:r>
      <w:r w:rsidR="00185408" w:rsidRPr="00412073">
        <w:rPr>
          <w:lang w:val="en-US"/>
        </w:rPr>
        <w:t xml:space="preserve"> we will check relevant</w:t>
      </w:r>
      <w:r w:rsidRPr="00412073">
        <w:rPr>
          <w:lang w:val="en-US"/>
        </w:rPr>
        <w:t xml:space="preserve"> references of previous systematic reviews and guidelines, to retrieve any additional pertinent RCT. We will also systematically contact study authors and drug manufacturers to gather relevant unpublished information and data.</w:t>
      </w:r>
      <w:r w:rsidR="00656467" w:rsidRPr="00412073">
        <w:rPr>
          <w:lang w:val="en-US"/>
        </w:rPr>
        <w:t xml:space="preserve"> </w:t>
      </w:r>
      <w:r w:rsidRPr="00412073">
        <w:rPr>
          <w:lang w:val="en-US"/>
        </w:rPr>
        <w:t>No language restrictions will be applied.</w:t>
      </w:r>
    </w:p>
    <w:p w14:paraId="7985C5C4" w14:textId="533D4360" w:rsidR="00981B8F" w:rsidRPr="00412073" w:rsidRDefault="00981B8F" w:rsidP="003A2BD6">
      <w:pPr>
        <w:spacing w:line="276" w:lineRule="auto"/>
        <w:rPr>
          <w:lang w:val="en-US"/>
        </w:rPr>
      </w:pPr>
      <w:r w:rsidRPr="00412073">
        <w:rPr>
          <w:lang w:val="en-US"/>
        </w:rPr>
        <w:t>We will use search terms related to ADHD combined with a list of terms for ADHD medications. The search strategy will be adapted for each database</w:t>
      </w:r>
      <w:r w:rsidR="005424EE" w:rsidRPr="00412073">
        <w:rPr>
          <w:lang w:val="en-US"/>
        </w:rPr>
        <w:t xml:space="preserve"> (see Appendix</w:t>
      </w:r>
      <w:r w:rsidR="00183D65" w:rsidRPr="00412073">
        <w:rPr>
          <w:lang w:val="en-US"/>
        </w:rPr>
        <w:t>)</w:t>
      </w:r>
      <w:r w:rsidR="001F6C37" w:rsidRPr="00412073">
        <w:rPr>
          <w:lang w:val="en-US"/>
        </w:rPr>
        <w:t>.</w:t>
      </w:r>
    </w:p>
    <w:p w14:paraId="3DBD6E6D" w14:textId="27420E10" w:rsidR="00981B8F" w:rsidRPr="00412073" w:rsidRDefault="00981B8F" w:rsidP="003A2BD6">
      <w:pPr>
        <w:spacing w:line="276" w:lineRule="auto"/>
        <w:rPr>
          <w:lang w:val="en-US"/>
        </w:rPr>
      </w:pPr>
    </w:p>
    <w:p w14:paraId="2C2233B6" w14:textId="66B84D52" w:rsidR="00981B8F" w:rsidRPr="00412073" w:rsidRDefault="00981B8F" w:rsidP="000C6452">
      <w:pPr>
        <w:pStyle w:val="Heading2"/>
      </w:pPr>
      <w:r w:rsidRPr="00412073">
        <w:t>Selection criteria</w:t>
      </w:r>
    </w:p>
    <w:p w14:paraId="53DA9D5C" w14:textId="026D9771" w:rsidR="0024560A" w:rsidRPr="00412073" w:rsidRDefault="0024560A" w:rsidP="003A2BD6">
      <w:pPr>
        <w:spacing w:line="276" w:lineRule="auto"/>
        <w:rPr>
          <w:i/>
          <w:iCs/>
          <w:lang w:val="en-US"/>
        </w:rPr>
      </w:pPr>
      <w:r w:rsidRPr="00412073">
        <w:rPr>
          <w:i/>
          <w:iCs/>
          <w:lang w:val="en-US"/>
        </w:rPr>
        <w:t>Study design</w:t>
      </w:r>
    </w:p>
    <w:p w14:paraId="16F6E012" w14:textId="27C7395D" w:rsidR="00AB0763" w:rsidRPr="00412073" w:rsidRDefault="00AB0763" w:rsidP="00AB0763">
      <w:pPr>
        <w:spacing w:line="276" w:lineRule="auto"/>
        <w:rPr>
          <w:lang w:val="en-US"/>
        </w:rPr>
      </w:pPr>
      <w:r w:rsidRPr="00412073">
        <w:rPr>
          <w:lang w:val="en-US"/>
        </w:rPr>
        <w:t>We will include d</w:t>
      </w:r>
      <w:r w:rsidR="0024560A" w:rsidRPr="00412073">
        <w:rPr>
          <w:lang w:val="en-US"/>
        </w:rPr>
        <w:t>ouble-blinded RCTs</w:t>
      </w:r>
      <w:r w:rsidR="00185408" w:rsidRPr="00412073">
        <w:rPr>
          <w:lang w:val="en-US"/>
        </w:rPr>
        <w:t xml:space="preserve"> (</w:t>
      </w:r>
      <w:r w:rsidR="0024560A" w:rsidRPr="00412073">
        <w:rPr>
          <w:lang w:val="en-US"/>
        </w:rPr>
        <w:t>parallel-group</w:t>
      </w:r>
      <w:r w:rsidR="00185408" w:rsidRPr="00412073">
        <w:rPr>
          <w:lang w:val="en-US"/>
        </w:rPr>
        <w:t xml:space="preserve"> or</w:t>
      </w:r>
      <w:r w:rsidR="0024560A" w:rsidRPr="00412073">
        <w:rPr>
          <w:lang w:val="en-US"/>
        </w:rPr>
        <w:t xml:space="preserve"> crossover trials</w:t>
      </w:r>
      <w:r w:rsidR="00185408" w:rsidRPr="00412073">
        <w:rPr>
          <w:lang w:val="en-US"/>
        </w:rPr>
        <w:t>)</w:t>
      </w:r>
      <w:r w:rsidR="0024560A" w:rsidRPr="00412073">
        <w:rPr>
          <w:lang w:val="en-US"/>
        </w:rPr>
        <w:t xml:space="preserve">. </w:t>
      </w:r>
      <w:r w:rsidR="003F2664" w:rsidRPr="00412073">
        <w:rPr>
          <w:lang w:val="en-US"/>
        </w:rPr>
        <w:t>In cross-over studies, we will only use the first intervention phase to avoid carry-over effects. When data for the pre-crossover phase are not reported, we will contact study authors to gather them. If these data are not available, we will use data at the endpoint (after crossing over), derived from appropriate statistical methods (i</w:t>
      </w:r>
      <w:r w:rsidR="00E34DDB" w:rsidRPr="00412073">
        <w:rPr>
          <w:lang w:val="en-US"/>
        </w:rPr>
        <w:t>.</w:t>
      </w:r>
      <w:r w:rsidR="003F2664" w:rsidRPr="00412073">
        <w:rPr>
          <w:lang w:val="en-US"/>
        </w:rPr>
        <w:t>e</w:t>
      </w:r>
      <w:r w:rsidR="00E34DDB" w:rsidRPr="00412073">
        <w:rPr>
          <w:lang w:val="en-US"/>
        </w:rPr>
        <w:t>.</w:t>
      </w:r>
      <w:r w:rsidR="003F2664" w:rsidRPr="00412073">
        <w:rPr>
          <w:lang w:val="en-US"/>
        </w:rPr>
        <w:t>, paired t-test)</w:t>
      </w:r>
      <w:r w:rsidR="00D27BE1" w:rsidRPr="00412073">
        <w:rPr>
          <w:lang w:val="en-US"/>
        </w:rPr>
        <w:fldChar w:fldCharType="begin"/>
      </w:r>
      <w:r w:rsidR="00D27BE1" w:rsidRPr="00412073">
        <w:rPr>
          <w:lang w:val="en-US"/>
        </w:rPr>
        <w:instrText xml:space="preserve"> ADDIN ZOTERO_ITEM CSL_CITATION {"citationID":"DN7F3ldo","properties":{"formattedCitation":"(15)","plainCitation":"(15)","noteIndex":0},"citationItems":[{"id":1549,"uris":["http://zotero.org/groups/4981848/items/DCVQCEID"],"itemData":{"id":1549,"type":"book","event-place":"Chichester","ISBN":"978-0-470-69951-5","language":"eng","note":"OCLC: 990736862","publisher":"Wiley","publisher-place":"Chichester","source":"Open WorldCat","title":"Cochrane handbook of systematic reviews of interventions","author":[{"family":"Higgins","given":"Julian P. T."},{"family":"Green","given":"Sally"}],"issued":{"date-parts":[["2008"]]}}}],"schema":"https://github.com/citation-style-language/schema/raw/master/csl-citation.json"} </w:instrText>
      </w:r>
      <w:r w:rsidR="00D27BE1" w:rsidRPr="00412073">
        <w:rPr>
          <w:lang w:val="en-US"/>
        </w:rPr>
        <w:fldChar w:fldCharType="separate"/>
      </w:r>
      <w:r w:rsidR="00D27BE1" w:rsidRPr="00412073">
        <w:rPr>
          <w:rFonts w:ascii="Calibri" w:hAnsi="Calibri" w:cs="Calibri"/>
          <w:lang w:val="en-US"/>
        </w:rPr>
        <w:t>(15)</w:t>
      </w:r>
      <w:r w:rsidR="00D27BE1" w:rsidRPr="00412073">
        <w:rPr>
          <w:lang w:val="en-US"/>
        </w:rPr>
        <w:fldChar w:fldCharType="end"/>
      </w:r>
      <w:r w:rsidR="003F2664" w:rsidRPr="00412073">
        <w:rPr>
          <w:lang w:val="en-US"/>
        </w:rPr>
        <w:t xml:space="preserve">, only if there was a washout </w:t>
      </w:r>
      <w:r w:rsidR="003F2664" w:rsidRPr="00412073">
        <w:rPr>
          <w:lang w:val="en-US"/>
        </w:rPr>
        <w:lastRenderedPageBreak/>
        <w:t xml:space="preserve">period (see </w:t>
      </w:r>
      <w:r w:rsidR="000077A3" w:rsidRPr="00412073">
        <w:rPr>
          <w:lang w:val="en-US"/>
        </w:rPr>
        <w:t xml:space="preserve">Appendix Table </w:t>
      </w:r>
      <w:r w:rsidR="00287626" w:rsidRPr="00412073">
        <w:rPr>
          <w:lang w:val="en-US"/>
        </w:rPr>
        <w:t>S2</w:t>
      </w:r>
      <w:r w:rsidR="000077A3" w:rsidRPr="00412073">
        <w:rPr>
          <w:lang w:val="en-US"/>
        </w:rPr>
        <w:t>)</w:t>
      </w:r>
      <w:r w:rsidR="003F2664" w:rsidRPr="00412073">
        <w:rPr>
          <w:lang w:val="en-US"/>
        </w:rPr>
        <w:t xml:space="preserve"> between the two phases (pre</w:t>
      </w:r>
      <w:r w:rsidR="002D336F" w:rsidRPr="00412073">
        <w:rPr>
          <w:lang w:val="en-US"/>
        </w:rPr>
        <w:t>-</w:t>
      </w:r>
      <w:r w:rsidR="003F2664" w:rsidRPr="00412073">
        <w:rPr>
          <w:lang w:val="en-US"/>
        </w:rPr>
        <w:t>crossover and post</w:t>
      </w:r>
      <w:r w:rsidR="002D336F" w:rsidRPr="00412073">
        <w:rPr>
          <w:lang w:val="en-US"/>
        </w:rPr>
        <w:t>-</w:t>
      </w:r>
      <w:r w:rsidR="003F2664" w:rsidRPr="00412073">
        <w:rPr>
          <w:lang w:val="en-US"/>
        </w:rPr>
        <w:t xml:space="preserve">crossover) of the trial. </w:t>
      </w:r>
      <w:r w:rsidRPr="00412073">
        <w:rPr>
          <w:lang w:val="en-US"/>
        </w:rPr>
        <w:t>Quasi-RCTs, open-label or single-blind RCTs</w:t>
      </w:r>
      <w:r w:rsidR="00A23683" w:rsidRPr="00412073">
        <w:rPr>
          <w:lang w:val="en-US"/>
        </w:rPr>
        <w:t xml:space="preserve"> </w:t>
      </w:r>
      <w:r w:rsidRPr="00412073">
        <w:rPr>
          <w:lang w:val="en-US"/>
        </w:rPr>
        <w:t>and N-of-1 trials will be excluded.</w:t>
      </w:r>
    </w:p>
    <w:p w14:paraId="382CA8DC" w14:textId="77777777" w:rsidR="00AB0763" w:rsidRPr="00412073" w:rsidRDefault="00AB0763" w:rsidP="00AB0763">
      <w:pPr>
        <w:spacing w:line="276" w:lineRule="auto"/>
        <w:rPr>
          <w:lang w:val="en-US"/>
        </w:rPr>
      </w:pPr>
    </w:p>
    <w:p w14:paraId="3074F261" w14:textId="6207BEEF" w:rsidR="00BA40B9" w:rsidRPr="00412073" w:rsidRDefault="00BA40B9" w:rsidP="003A2BD6">
      <w:pPr>
        <w:spacing w:line="276" w:lineRule="auto"/>
        <w:rPr>
          <w:i/>
          <w:iCs/>
          <w:lang w:val="en-US"/>
        </w:rPr>
      </w:pPr>
      <w:r w:rsidRPr="00412073">
        <w:rPr>
          <w:i/>
          <w:iCs/>
          <w:lang w:val="en-US"/>
        </w:rPr>
        <w:t>Population</w:t>
      </w:r>
    </w:p>
    <w:p w14:paraId="254524D7" w14:textId="5310EBFB" w:rsidR="00DD6752" w:rsidRPr="00412073" w:rsidRDefault="00DD6752" w:rsidP="003A2BD6">
      <w:pPr>
        <w:spacing w:line="276" w:lineRule="auto"/>
        <w:rPr>
          <w:lang w:val="en-US"/>
        </w:rPr>
      </w:pPr>
      <w:r w:rsidRPr="00412073">
        <w:rPr>
          <w:lang w:val="en-US"/>
        </w:rPr>
        <w:t>We will include stud</w:t>
      </w:r>
      <w:r w:rsidR="00966876" w:rsidRPr="00412073">
        <w:rPr>
          <w:lang w:val="en-US"/>
        </w:rPr>
        <w:t>ies recruiting pa</w:t>
      </w:r>
      <w:r w:rsidR="007E690F" w:rsidRPr="00412073">
        <w:rPr>
          <w:lang w:val="en-US"/>
        </w:rPr>
        <w:t>rticipants</w:t>
      </w:r>
      <w:r w:rsidR="00966876" w:rsidRPr="00412073">
        <w:rPr>
          <w:lang w:val="en-US"/>
        </w:rPr>
        <w:t xml:space="preserve"> with </w:t>
      </w:r>
      <w:r w:rsidR="007E690F" w:rsidRPr="00412073">
        <w:rPr>
          <w:lang w:val="en-US"/>
        </w:rPr>
        <w:t xml:space="preserve">the </w:t>
      </w:r>
      <w:r w:rsidR="00966876" w:rsidRPr="00412073">
        <w:rPr>
          <w:lang w:val="en-US"/>
        </w:rPr>
        <w:t>following characteristics</w:t>
      </w:r>
      <w:r w:rsidRPr="00412073">
        <w:rPr>
          <w:lang w:val="en-US"/>
        </w:rPr>
        <w:t>:</w:t>
      </w:r>
    </w:p>
    <w:p w14:paraId="48105139" w14:textId="3D25F920" w:rsidR="00384911" w:rsidRPr="00412073" w:rsidRDefault="00574F96" w:rsidP="00384911">
      <w:pPr>
        <w:pStyle w:val="ListParagraph"/>
        <w:numPr>
          <w:ilvl w:val="0"/>
          <w:numId w:val="5"/>
        </w:numPr>
        <w:spacing w:line="276" w:lineRule="auto"/>
        <w:rPr>
          <w:lang w:val="en-US"/>
        </w:rPr>
      </w:pPr>
      <w:r w:rsidRPr="00412073">
        <w:rPr>
          <w:lang w:val="en-US"/>
        </w:rPr>
        <w:t>age ≥5</w:t>
      </w:r>
      <w:r w:rsidR="00343AFD" w:rsidRPr="00412073">
        <w:rPr>
          <w:lang w:val="en-US"/>
        </w:rPr>
        <w:t xml:space="preserve"> years</w:t>
      </w:r>
      <w:r w:rsidR="00384911" w:rsidRPr="00412073">
        <w:rPr>
          <w:lang w:val="en-US"/>
        </w:rPr>
        <w:t xml:space="preserve"> (children, adolescents and adults)</w:t>
      </w:r>
      <w:r w:rsidR="00E34DDB" w:rsidRPr="00412073">
        <w:rPr>
          <w:lang w:val="en-US"/>
        </w:rPr>
        <w:t>.</w:t>
      </w:r>
      <w:r w:rsidR="00915118" w:rsidRPr="00412073">
        <w:rPr>
          <w:lang w:val="en-US"/>
        </w:rPr>
        <w:t xml:space="preserve"> </w:t>
      </w:r>
    </w:p>
    <w:p w14:paraId="1946CF22" w14:textId="7E7347BA" w:rsidR="00384911" w:rsidRPr="00412073" w:rsidRDefault="00915118" w:rsidP="00384911">
      <w:pPr>
        <w:pStyle w:val="ListParagraph"/>
        <w:numPr>
          <w:ilvl w:val="0"/>
          <w:numId w:val="5"/>
        </w:numPr>
        <w:spacing w:line="276" w:lineRule="auto"/>
        <w:rPr>
          <w:lang w:val="en-US"/>
        </w:rPr>
      </w:pPr>
      <w:r w:rsidRPr="00412073">
        <w:rPr>
          <w:lang w:val="en-US"/>
        </w:rPr>
        <w:t>inpatients or outpatients</w:t>
      </w:r>
      <w:r w:rsidR="00E34DDB" w:rsidRPr="00412073">
        <w:rPr>
          <w:lang w:val="en-US"/>
        </w:rPr>
        <w:t>.</w:t>
      </w:r>
      <w:r w:rsidRPr="00412073">
        <w:rPr>
          <w:lang w:val="en-US"/>
        </w:rPr>
        <w:t xml:space="preserve"> </w:t>
      </w:r>
    </w:p>
    <w:p w14:paraId="15AE3EC4" w14:textId="4D0E492D" w:rsidR="00384911" w:rsidRPr="00412073" w:rsidRDefault="00915118" w:rsidP="00384911">
      <w:pPr>
        <w:pStyle w:val="ListParagraph"/>
        <w:numPr>
          <w:ilvl w:val="0"/>
          <w:numId w:val="5"/>
        </w:numPr>
        <w:spacing w:line="276" w:lineRule="auto"/>
        <w:rPr>
          <w:lang w:val="en-US"/>
        </w:rPr>
      </w:pPr>
      <w:r w:rsidRPr="00412073">
        <w:rPr>
          <w:lang w:val="en-US"/>
        </w:rPr>
        <w:t>meet</w:t>
      </w:r>
      <w:r w:rsidR="00E34DDB" w:rsidRPr="00412073">
        <w:rPr>
          <w:lang w:val="en-US"/>
        </w:rPr>
        <w:t>ing the</w:t>
      </w:r>
      <w:r w:rsidRPr="00412073">
        <w:rPr>
          <w:lang w:val="en-US"/>
        </w:rPr>
        <w:t xml:space="preserve"> DSM-III, III-R, IV, IV-TR or 5 criteria for a primary diagnosis of ADHD</w:t>
      </w:r>
      <w:r w:rsidR="007E690F" w:rsidRPr="00412073">
        <w:rPr>
          <w:lang w:val="en-US"/>
        </w:rPr>
        <w:t>,</w:t>
      </w:r>
      <w:r w:rsidRPr="00412073">
        <w:rPr>
          <w:lang w:val="en-US"/>
        </w:rPr>
        <w:t xml:space="preserve"> ICD-10 criteria for a primary diagnosis of </w:t>
      </w:r>
      <w:r w:rsidR="0090164C" w:rsidRPr="00412073">
        <w:rPr>
          <w:lang w:val="en-US"/>
        </w:rPr>
        <w:t>hyperkinetic disorder</w:t>
      </w:r>
      <w:r w:rsidR="000379FB" w:rsidRPr="00412073">
        <w:rPr>
          <w:lang w:val="en-US"/>
        </w:rPr>
        <w:t xml:space="preserve"> (HKD)</w:t>
      </w:r>
      <w:r w:rsidR="007E690F" w:rsidRPr="00412073">
        <w:rPr>
          <w:lang w:val="en-US"/>
        </w:rPr>
        <w:t xml:space="preserve">, or ICD-11 criteria for </w:t>
      </w:r>
      <w:r w:rsidR="00E27944" w:rsidRPr="00412073">
        <w:rPr>
          <w:lang w:val="en-US"/>
        </w:rPr>
        <w:t>ADHD.</w:t>
      </w:r>
    </w:p>
    <w:p w14:paraId="34B41609" w14:textId="6D1EEE1A" w:rsidR="00915118" w:rsidRPr="00412073" w:rsidRDefault="007E690F" w:rsidP="00A31458">
      <w:pPr>
        <w:spacing w:line="276" w:lineRule="auto"/>
        <w:ind w:left="360"/>
        <w:rPr>
          <w:lang w:val="en-US"/>
        </w:rPr>
      </w:pPr>
      <w:r w:rsidRPr="00412073">
        <w:rPr>
          <w:lang w:val="en-US"/>
        </w:rPr>
        <w:t>We wil</w:t>
      </w:r>
      <w:r w:rsidR="00B92EEF" w:rsidRPr="00412073">
        <w:rPr>
          <w:lang w:val="en-US"/>
        </w:rPr>
        <w:t>l</w:t>
      </w:r>
      <w:r w:rsidRPr="00412073">
        <w:rPr>
          <w:lang w:val="en-US"/>
        </w:rPr>
        <w:t xml:space="preserve"> not impose any</w:t>
      </w:r>
      <w:r w:rsidR="00915118" w:rsidRPr="00412073">
        <w:rPr>
          <w:lang w:val="en-US"/>
        </w:rPr>
        <w:t xml:space="preserve"> restriction on ADHD subtype/presentation, gender, IQ</w:t>
      </w:r>
      <w:r w:rsidR="00EB2422" w:rsidRPr="00412073">
        <w:rPr>
          <w:lang w:val="en-US"/>
        </w:rPr>
        <w:t>,</w:t>
      </w:r>
      <w:r w:rsidR="00915118" w:rsidRPr="00412073">
        <w:rPr>
          <w:lang w:val="en-US"/>
        </w:rPr>
        <w:t xml:space="preserve"> or socioeconomic status of participants</w:t>
      </w:r>
      <w:r w:rsidRPr="00412073">
        <w:rPr>
          <w:lang w:val="en-US"/>
        </w:rPr>
        <w:t>. C</w:t>
      </w:r>
      <w:r w:rsidR="000379FB" w:rsidRPr="00412073">
        <w:rPr>
          <w:lang w:val="en-US"/>
        </w:rPr>
        <w:t>oncerning</w:t>
      </w:r>
      <w:r w:rsidRPr="00412073">
        <w:rPr>
          <w:lang w:val="en-US"/>
        </w:rPr>
        <w:t xml:space="preserve"> neuropsychiatric</w:t>
      </w:r>
      <w:r w:rsidR="00915118" w:rsidRPr="00412073">
        <w:rPr>
          <w:lang w:val="en-US"/>
        </w:rPr>
        <w:t xml:space="preserve"> comorbidities, we will include studies in which some or all participants have one or more psychiatric or neurological comorbidities (except genetic syndromes), unless participants were pharmacologically treated during the study for these </w:t>
      </w:r>
      <w:r w:rsidR="00E27944" w:rsidRPr="00412073">
        <w:rPr>
          <w:lang w:val="en-US"/>
        </w:rPr>
        <w:t>comorbidities.</w:t>
      </w:r>
    </w:p>
    <w:p w14:paraId="6F287B17" w14:textId="77777777" w:rsidR="00DD6752" w:rsidRPr="00412073" w:rsidRDefault="00DD6752" w:rsidP="00906805">
      <w:pPr>
        <w:pStyle w:val="ListParagraph"/>
        <w:spacing w:line="276" w:lineRule="auto"/>
        <w:rPr>
          <w:lang w:val="en-US"/>
        </w:rPr>
      </w:pPr>
    </w:p>
    <w:p w14:paraId="40AC7951" w14:textId="26132C3B" w:rsidR="00DD6752" w:rsidRPr="00412073" w:rsidRDefault="00DD6752" w:rsidP="00DD6752">
      <w:pPr>
        <w:rPr>
          <w:lang w:val="en-US"/>
        </w:rPr>
      </w:pPr>
      <w:r w:rsidRPr="00412073">
        <w:rPr>
          <w:lang w:val="en-US"/>
        </w:rPr>
        <w:t xml:space="preserve">We will exclude studies </w:t>
      </w:r>
      <w:r w:rsidR="00966876" w:rsidRPr="00412073">
        <w:rPr>
          <w:lang w:val="en-US"/>
        </w:rPr>
        <w:t>with following characteristics</w:t>
      </w:r>
      <w:r w:rsidRPr="00412073">
        <w:rPr>
          <w:lang w:val="en-US"/>
        </w:rPr>
        <w:t>:</w:t>
      </w:r>
    </w:p>
    <w:p w14:paraId="33B6FD81" w14:textId="4B8B5A93" w:rsidR="00DD6752" w:rsidRPr="00412073" w:rsidRDefault="00DD6752" w:rsidP="00DD6752">
      <w:pPr>
        <w:pStyle w:val="ListParagraph"/>
        <w:numPr>
          <w:ilvl w:val="0"/>
          <w:numId w:val="7"/>
        </w:numPr>
        <w:spacing w:line="276" w:lineRule="auto"/>
        <w:rPr>
          <w:lang w:val="en-US"/>
        </w:rPr>
      </w:pPr>
      <w:r w:rsidRPr="00412073">
        <w:rPr>
          <w:lang w:val="en-US"/>
        </w:rPr>
        <w:t>recruiting pa</w:t>
      </w:r>
      <w:r w:rsidR="007E690F" w:rsidRPr="00412073">
        <w:rPr>
          <w:lang w:val="en-US"/>
        </w:rPr>
        <w:t>rticipants</w:t>
      </w:r>
      <w:r w:rsidRPr="00412073">
        <w:rPr>
          <w:lang w:val="en-US"/>
        </w:rPr>
        <w:t xml:space="preserve"> with a diagnosis of minimal brain dysfunction, which would not be comparable with DSM definitions of ADHD or ICD definitions of HKD</w:t>
      </w:r>
      <w:r w:rsidR="006131F4" w:rsidRPr="00412073">
        <w:rPr>
          <w:lang w:val="en-US"/>
        </w:rPr>
        <w:t>,</w:t>
      </w:r>
    </w:p>
    <w:p w14:paraId="0E2818FB" w14:textId="470CC568" w:rsidR="00DD6752" w:rsidRPr="00412073" w:rsidRDefault="00DD6752" w:rsidP="00DD6752">
      <w:pPr>
        <w:pStyle w:val="ListParagraph"/>
        <w:numPr>
          <w:ilvl w:val="0"/>
          <w:numId w:val="7"/>
        </w:numPr>
        <w:spacing w:line="276" w:lineRule="auto"/>
        <w:rPr>
          <w:lang w:val="en-US"/>
        </w:rPr>
      </w:pPr>
      <w:r w:rsidRPr="00412073">
        <w:rPr>
          <w:lang w:val="en-US"/>
        </w:rPr>
        <w:t xml:space="preserve"> in which ADHD is a comorbid disorder secondary to a genetic syndrome</w:t>
      </w:r>
      <w:r w:rsidR="006131F4" w:rsidRPr="00412073">
        <w:rPr>
          <w:lang w:val="en-US"/>
        </w:rPr>
        <w:t>,</w:t>
      </w:r>
    </w:p>
    <w:p w14:paraId="335303DD" w14:textId="491622D3" w:rsidR="00DD6752" w:rsidRPr="00412073" w:rsidRDefault="00DD6752" w:rsidP="00DD6752">
      <w:pPr>
        <w:pStyle w:val="ListParagraph"/>
        <w:numPr>
          <w:ilvl w:val="0"/>
          <w:numId w:val="7"/>
        </w:numPr>
        <w:spacing w:line="276" w:lineRule="auto"/>
        <w:rPr>
          <w:lang w:val="en-US"/>
        </w:rPr>
      </w:pPr>
      <w:r w:rsidRPr="00412073">
        <w:rPr>
          <w:lang w:val="en-US"/>
        </w:rPr>
        <w:t>enrolling participants defined as ‘hyperkinetic’ or ‘hyperactive’ without application of standardised diagnostic criteria, or using DSM-II criteria as they did not use standardised criteria for ADHD diagnosis</w:t>
      </w:r>
      <w:r w:rsidR="006131F4" w:rsidRPr="00412073">
        <w:rPr>
          <w:lang w:val="en-US"/>
        </w:rPr>
        <w:t>,</w:t>
      </w:r>
    </w:p>
    <w:p w14:paraId="12C81559" w14:textId="1F2163C9" w:rsidR="00DD6752" w:rsidRPr="00412073" w:rsidRDefault="00DD6752" w:rsidP="00DD6752">
      <w:pPr>
        <w:pStyle w:val="ListParagraph"/>
        <w:numPr>
          <w:ilvl w:val="0"/>
          <w:numId w:val="7"/>
        </w:numPr>
        <w:spacing w:line="276" w:lineRule="auto"/>
        <w:rPr>
          <w:lang w:val="en-US"/>
        </w:rPr>
      </w:pPr>
      <w:r w:rsidRPr="00412073">
        <w:rPr>
          <w:lang w:val="en-US"/>
        </w:rPr>
        <w:t>recruiting patients who were taking ADHD medication prior to entering the study, unless participants completed an appropriate washout period before starting the study trial (</w:t>
      </w:r>
      <w:r w:rsidR="00A23683" w:rsidRPr="00412073">
        <w:rPr>
          <w:lang w:val="en-US"/>
        </w:rPr>
        <w:t xml:space="preserve">see Appendix Table </w:t>
      </w:r>
      <w:r w:rsidR="001513AE" w:rsidRPr="00412073">
        <w:rPr>
          <w:lang w:val="en-US"/>
        </w:rPr>
        <w:t>S2</w:t>
      </w:r>
      <w:r w:rsidRPr="00412073">
        <w:rPr>
          <w:lang w:val="en-US"/>
        </w:rPr>
        <w:t>)</w:t>
      </w:r>
      <w:r w:rsidR="006131F4" w:rsidRPr="00412073">
        <w:rPr>
          <w:lang w:val="en-US"/>
        </w:rPr>
        <w:t>,</w:t>
      </w:r>
    </w:p>
    <w:p w14:paraId="20E7A591" w14:textId="0408D561" w:rsidR="00DD6752" w:rsidRPr="00412073" w:rsidRDefault="00DD6752" w:rsidP="00DD6752">
      <w:pPr>
        <w:pStyle w:val="ListParagraph"/>
        <w:numPr>
          <w:ilvl w:val="0"/>
          <w:numId w:val="7"/>
        </w:numPr>
        <w:spacing w:line="276" w:lineRule="auto"/>
        <w:rPr>
          <w:lang w:val="en-US"/>
        </w:rPr>
      </w:pPr>
      <w:r w:rsidRPr="00412073">
        <w:rPr>
          <w:lang w:val="en-US"/>
        </w:rPr>
        <w:t>including (a) participants who previously responded (according to the definition provided in the study) to the same medication tested in the randomised phase (irrespective of washout period) or (b) participants who were responders or stabilised/ optimised to an ADHD medication during a run-in phase before of randomisation (irrespective of wash out period)</w:t>
      </w:r>
      <w:r w:rsidR="006131F4" w:rsidRPr="00412073">
        <w:rPr>
          <w:lang w:val="en-US"/>
        </w:rPr>
        <w:t>,</w:t>
      </w:r>
    </w:p>
    <w:p w14:paraId="71C761EC" w14:textId="4A9D238F" w:rsidR="00DD6752" w:rsidRPr="00412073" w:rsidRDefault="00DD6752" w:rsidP="00DD6752">
      <w:pPr>
        <w:pStyle w:val="ListParagraph"/>
        <w:numPr>
          <w:ilvl w:val="0"/>
          <w:numId w:val="7"/>
        </w:numPr>
        <w:spacing w:line="276" w:lineRule="auto"/>
        <w:rPr>
          <w:lang w:val="en-US"/>
        </w:rPr>
      </w:pPr>
      <w:r w:rsidRPr="00412073">
        <w:rPr>
          <w:lang w:val="en-US"/>
        </w:rPr>
        <w:t>in which all included participants were deemed to be ‘resistant’ to a previous ADHD drug</w:t>
      </w:r>
      <w:r w:rsidR="006131F4" w:rsidRPr="00412073">
        <w:rPr>
          <w:lang w:val="en-US"/>
        </w:rPr>
        <w:t>,</w:t>
      </w:r>
    </w:p>
    <w:p w14:paraId="0904880F" w14:textId="77777777" w:rsidR="00DD6752" w:rsidRPr="00412073" w:rsidRDefault="00DD6752" w:rsidP="00DD6752">
      <w:pPr>
        <w:pStyle w:val="ListParagraph"/>
        <w:numPr>
          <w:ilvl w:val="0"/>
          <w:numId w:val="7"/>
        </w:numPr>
        <w:spacing w:line="276" w:lineRule="auto"/>
        <w:rPr>
          <w:lang w:val="en-US"/>
        </w:rPr>
      </w:pPr>
      <w:r w:rsidRPr="00412073">
        <w:rPr>
          <w:lang w:val="en-US"/>
        </w:rPr>
        <w:t>Data from the withdrawal phase of a trial, in which already treated participants are randomised to either continue medication or switch to placebo, following an open-label phase.</w:t>
      </w:r>
    </w:p>
    <w:p w14:paraId="053F0C51" w14:textId="77777777" w:rsidR="00DD6752" w:rsidRPr="00412073" w:rsidRDefault="00DD6752" w:rsidP="00906805">
      <w:pPr>
        <w:spacing w:line="276" w:lineRule="auto"/>
        <w:ind w:left="360"/>
        <w:rPr>
          <w:lang w:val="en-US"/>
        </w:rPr>
      </w:pPr>
    </w:p>
    <w:p w14:paraId="3B7C6D3A" w14:textId="1DCFAF46" w:rsidR="00A014B7" w:rsidRPr="00412073" w:rsidRDefault="00BA40B9" w:rsidP="00BA40B9">
      <w:pPr>
        <w:spacing w:line="276" w:lineRule="auto"/>
        <w:rPr>
          <w:i/>
          <w:iCs/>
          <w:lang w:val="en-US"/>
        </w:rPr>
      </w:pPr>
      <w:r w:rsidRPr="00412073">
        <w:rPr>
          <w:i/>
          <w:iCs/>
          <w:lang w:val="en-US"/>
        </w:rPr>
        <w:t>Treatment</w:t>
      </w:r>
    </w:p>
    <w:p w14:paraId="1D133994" w14:textId="10153EE3" w:rsidR="00906805" w:rsidRPr="00412073" w:rsidRDefault="00906805" w:rsidP="00BA40B9">
      <w:pPr>
        <w:spacing w:line="276" w:lineRule="auto"/>
        <w:rPr>
          <w:i/>
          <w:iCs/>
          <w:lang w:val="en-US"/>
        </w:rPr>
      </w:pPr>
      <w:r w:rsidRPr="00412073">
        <w:rPr>
          <w:lang w:val="en-US"/>
        </w:rPr>
        <w:t>We will include studies assessing any of the following drugs, as oral monotherapy:</w:t>
      </w:r>
    </w:p>
    <w:p w14:paraId="2B046FBA" w14:textId="1E63D03F" w:rsidR="00BA40B9" w:rsidRPr="00412073" w:rsidRDefault="00E55D4B" w:rsidP="00A014B7">
      <w:pPr>
        <w:pStyle w:val="ListParagraph"/>
        <w:numPr>
          <w:ilvl w:val="0"/>
          <w:numId w:val="9"/>
        </w:numPr>
        <w:spacing w:line="276" w:lineRule="auto"/>
        <w:rPr>
          <w:lang w:val="en-US"/>
        </w:rPr>
      </w:pPr>
      <w:r w:rsidRPr="00412073">
        <w:rPr>
          <w:lang w:val="en-US"/>
        </w:rPr>
        <w:t xml:space="preserve"> </w:t>
      </w:r>
      <w:r w:rsidR="00BA40B9" w:rsidRPr="00412073">
        <w:rPr>
          <w:lang w:val="en-US"/>
        </w:rPr>
        <w:t xml:space="preserve">methylphenidate, dexmethylphenidate, atomoxetine, </w:t>
      </w:r>
      <w:r w:rsidR="00E67BA8" w:rsidRPr="00412073">
        <w:rPr>
          <w:lang w:val="en-US"/>
        </w:rPr>
        <w:t>AMP</w:t>
      </w:r>
      <w:r w:rsidR="00BA40B9" w:rsidRPr="00412073">
        <w:rPr>
          <w:lang w:val="en-US"/>
        </w:rPr>
        <w:t xml:space="preserve"> derivatives (including lisdexamfetamine), clonidine, guanfacine, bupropion, modafinil</w:t>
      </w:r>
      <w:r w:rsidR="007E690F" w:rsidRPr="00412073">
        <w:rPr>
          <w:lang w:val="en-US"/>
        </w:rPr>
        <w:t>, and viloxazine</w:t>
      </w:r>
      <w:r w:rsidR="006131F4" w:rsidRPr="00412073">
        <w:rPr>
          <w:lang w:val="en-US"/>
        </w:rPr>
        <w:t>,</w:t>
      </w:r>
    </w:p>
    <w:p w14:paraId="39F3C966" w14:textId="2E20E5D8" w:rsidR="00FB34E4" w:rsidRPr="00412073" w:rsidRDefault="00906805" w:rsidP="00A014B7">
      <w:pPr>
        <w:pStyle w:val="ListParagraph"/>
        <w:numPr>
          <w:ilvl w:val="0"/>
          <w:numId w:val="9"/>
        </w:numPr>
        <w:spacing w:line="276" w:lineRule="auto"/>
        <w:rPr>
          <w:lang w:val="en-US"/>
        </w:rPr>
      </w:pPr>
      <w:r w:rsidRPr="00412073">
        <w:rPr>
          <w:lang w:val="en-US"/>
        </w:rPr>
        <w:lastRenderedPageBreak/>
        <w:t>f</w:t>
      </w:r>
      <w:r w:rsidR="00FB34E4" w:rsidRPr="00412073">
        <w:rPr>
          <w:lang w:val="en-US"/>
        </w:rPr>
        <w:t xml:space="preserve">or </w:t>
      </w:r>
      <w:r w:rsidR="00D06AD2" w:rsidRPr="00412073">
        <w:rPr>
          <w:lang w:val="en-US"/>
        </w:rPr>
        <w:t xml:space="preserve">at </w:t>
      </w:r>
      <w:r w:rsidR="00FB34E4" w:rsidRPr="00412073">
        <w:rPr>
          <w:lang w:val="en-US"/>
        </w:rPr>
        <w:t xml:space="preserve">least 7 consecutive </w:t>
      </w:r>
      <w:r w:rsidR="006131F4" w:rsidRPr="00412073">
        <w:rPr>
          <w:lang w:val="en-US"/>
        </w:rPr>
        <w:t>days since</w:t>
      </w:r>
      <w:r w:rsidR="00FB34E4" w:rsidRPr="00412073">
        <w:rPr>
          <w:lang w:val="en-US"/>
        </w:rPr>
        <w:t xml:space="preserve"> response to adequate doses of psychostimulants can be appreciated already after approximately 1 week of treatment</w:t>
      </w:r>
      <w:r w:rsidR="006131F4" w:rsidRPr="00412073">
        <w:rPr>
          <w:lang w:val="en-US"/>
        </w:rPr>
        <w:t>,</w:t>
      </w:r>
    </w:p>
    <w:p w14:paraId="3B246A59" w14:textId="405FE7ED" w:rsidR="00A014B7" w:rsidRPr="00412073" w:rsidRDefault="00906805" w:rsidP="00A014B7">
      <w:pPr>
        <w:pStyle w:val="ListParagraph"/>
        <w:numPr>
          <w:ilvl w:val="0"/>
          <w:numId w:val="9"/>
        </w:numPr>
        <w:spacing w:line="276" w:lineRule="auto"/>
        <w:rPr>
          <w:lang w:val="en-US"/>
        </w:rPr>
      </w:pPr>
      <w:r w:rsidRPr="00412073">
        <w:rPr>
          <w:lang w:val="en-US"/>
        </w:rPr>
        <w:t>a</w:t>
      </w:r>
      <w:r w:rsidR="00A014B7" w:rsidRPr="00412073">
        <w:rPr>
          <w:lang w:val="en-US"/>
        </w:rPr>
        <w:t xml:space="preserve">ll dose levels, including unlicensed doses will be </w:t>
      </w:r>
      <w:r w:rsidR="006131F4" w:rsidRPr="00412073">
        <w:rPr>
          <w:lang w:val="en-US"/>
        </w:rPr>
        <w:t>included.</w:t>
      </w:r>
    </w:p>
    <w:p w14:paraId="18C3C065" w14:textId="77777777" w:rsidR="00906805" w:rsidRPr="00412073" w:rsidRDefault="00906805" w:rsidP="00906805">
      <w:pPr>
        <w:pStyle w:val="ListParagraph"/>
        <w:spacing w:line="276" w:lineRule="auto"/>
        <w:rPr>
          <w:lang w:val="en-US"/>
        </w:rPr>
      </w:pPr>
    </w:p>
    <w:p w14:paraId="36ED65EC" w14:textId="6FD9E42A" w:rsidR="00906805" w:rsidRPr="00412073" w:rsidRDefault="00906805" w:rsidP="00E34DDB">
      <w:pPr>
        <w:rPr>
          <w:lang w:val="en-US"/>
        </w:rPr>
      </w:pPr>
      <w:r w:rsidRPr="00412073">
        <w:rPr>
          <w:lang w:val="en-US"/>
        </w:rPr>
        <w:t>We will exclude</w:t>
      </w:r>
      <w:r w:rsidR="00E34DDB" w:rsidRPr="00412073">
        <w:rPr>
          <w:lang w:val="en-US"/>
        </w:rPr>
        <w:t xml:space="preserve"> </w:t>
      </w:r>
      <w:r w:rsidRPr="00412073">
        <w:rPr>
          <w:lang w:val="en-US"/>
        </w:rPr>
        <w:t>pharmacological treatment combined with psychotherapy (other than psychoeducation)</w:t>
      </w:r>
      <w:r w:rsidR="006131F4" w:rsidRPr="00412073">
        <w:rPr>
          <w:lang w:val="en-US"/>
        </w:rPr>
        <w:t>.</w:t>
      </w:r>
    </w:p>
    <w:p w14:paraId="75588E4D" w14:textId="77777777" w:rsidR="00E34DDB" w:rsidRPr="00412073" w:rsidRDefault="00E34DDB" w:rsidP="00B13BC2">
      <w:pPr>
        <w:rPr>
          <w:lang w:val="en-US"/>
        </w:rPr>
      </w:pPr>
    </w:p>
    <w:p w14:paraId="1F142D54" w14:textId="3201954D" w:rsidR="009A66DE" w:rsidRPr="00412073" w:rsidRDefault="009A66DE" w:rsidP="009A66DE">
      <w:pPr>
        <w:pStyle w:val="Heading3"/>
        <w:spacing w:line="276" w:lineRule="auto"/>
      </w:pPr>
      <w:r w:rsidRPr="00412073">
        <w:t>Comparators (control)</w:t>
      </w:r>
    </w:p>
    <w:p w14:paraId="641BBB44" w14:textId="3776CEEB" w:rsidR="009A66DE" w:rsidRPr="00412073" w:rsidRDefault="00FB34E4" w:rsidP="009A66DE">
      <w:pPr>
        <w:spacing w:line="276" w:lineRule="auto"/>
        <w:rPr>
          <w:lang w:val="en-US"/>
        </w:rPr>
      </w:pPr>
      <w:r w:rsidRPr="00412073">
        <w:rPr>
          <w:lang w:val="en-US"/>
        </w:rPr>
        <w:t>Comparator included will be (1) p</w:t>
      </w:r>
      <w:r w:rsidR="009A66DE" w:rsidRPr="00412073">
        <w:rPr>
          <w:lang w:val="en-US"/>
        </w:rPr>
        <w:t xml:space="preserve">lacebo or </w:t>
      </w:r>
      <w:r w:rsidR="008D096C" w:rsidRPr="00412073">
        <w:rPr>
          <w:lang w:val="en-US"/>
        </w:rPr>
        <w:t xml:space="preserve">(2) </w:t>
      </w:r>
      <w:r w:rsidR="00E34DDB" w:rsidRPr="00412073">
        <w:rPr>
          <w:lang w:val="en-US"/>
        </w:rPr>
        <w:t xml:space="preserve">any </w:t>
      </w:r>
      <w:r w:rsidR="009A66DE" w:rsidRPr="00412073">
        <w:rPr>
          <w:lang w:val="en-US"/>
        </w:rPr>
        <w:t>medication</w:t>
      </w:r>
      <w:r w:rsidRPr="00412073">
        <w:rPr>
          <w:lang w:val="en-US"/>
        </w:rPr>
        <w:t xml:space="preserve"> among the list</w:t>
      </w:r>
      <w:r w:rsidR="008D096C" w:rsidRPr="00412073">
        <w:rPr>
          <w:lang w:val="en-US"/>
        </w:rPr>
        <w:t xml:space="preserve"> above</w:t>
      </w:r>
      <w:r w:rsidRPr="00412073">
        <w:rPr>
          <w:lang w:val="en-US"/>
        </w:rPr>
        <w:t>.</w:t>
      </w:r>
    </w:p>
    <w:p w14:paraId="066473B8" w14:textId="77777777" w:rsidR="00821E7E" w:rsidRPr="00412073" w:rsidRDefault="00821E7E" w:rsidP="009A66DE">
      <w:pPr>
        <w:spacing w:line="276" w:lineRule="auto"/>
        <w:rPr>
          <w:lang w:val="en-US"/>
        </w:rPr>
      </w:pPr>
    </w:p>
    <w:p w14:paraId="003EF62C" w14:textId="1CCFDDED" w:rsidR="00990C36" w:rsidRPr="00412073" w:rsidRDefault="00821E7E" w:rsidP="00E402D9">
      <w:pPr>
        <w:pStyle w:val="Heading3"/>
      </w:pPr>
      <w:r w:rsidRPr="00412073">
        <w:t>Outcomes</w:t>
      </w:r>
    </w:p>
    <w:p w14:paraId="37C86202" w14:textId="724551DF" w:rsidR="00821E7E" w:rsidRPr="00412073" w:rsidRDefault="00095BA0" w:rsidP="00821E7E">
      <w:pPr>
        <w:spacing w:line="276" w:lineRule="auto"/>
        <w:rPr>
          <w:lang w:val="en-US"/>
        </w:rPr>
      </w:pPr>
      <w:r w:rsidRPr="00412073">
        <w:rPr>
          <w:lang w:val="en-US"/>
        </w:rPr>
        <w:t>Primary outcome</w:t>
      </w:r>
      <w:r w:rsidR="002D336F" w:rsidRPr="00412073">
        <w:rPr>
          <w:lang w:val="en-US"/>
        </w:rPr>
        <w:t xml:space="preserve"> (efficacy)</w:t>
      </w:r>
      <w:r w:rsidRPr="00412073">
        <w:rPr>
          <w:lang w:val="en-US"/>
        </w:rPr>
        <w:t xml:space="preserve">: </w:t>
      </w:r>
      <w:r w:rsidR="002D336F" w:rsidRPr="00412073">
        <w:rPr>
          <w:lang w:val="en-US"/>
        </w:rPr>
        <w:t xml:space="preserve">continuous severity </w:t>
      </w:r>
      <w:r w:rsidR="00821E7E" w:rsidRPr="00412073">
        <w:rPr>
          <w:lang w:val="en-US"/>
        </w:rPr>
        <w:t xml:space="preserve">of ADHD core symptoms (total combined, i.e. inattentive plus hyperactive/impulsive symptoms), measured as endpoint score on a standardised scale filled out by parents, teachers, patients or clinician(s). </w:t>
      </w:r>
      <w:r w:rsidR="004E3A04" w:rsidRPr="00412073">
        <w:rPr>
          <w:lang w:val="en-US"/>
        </w:rPr>
        <w:t xml:space="preserve">We will run separate analyses for each type of raters (i.e., parents, teacher, patients, clinician). </w:t>
      </w:r>
      <w:r w:rsidR="00821E7E" w:rsidRPr="00412073">
        <w:rPr>
          <w:lang w:val="en-US"/>
        </w:rPr>
        <w:t xml:space="preserve">Where there are ratings based on two or more scales, only one scale will be </w:t>
      </w:r>
      <w:r w:rsidR="002D336F" w:rsidRPr="00412073">
        <w:rPr>
          <w:lang w:val="en-US"/>
        </w:rPr>
        <w:t xml:space="preserve">included data from in the analysis. The choice of scale to include will be made </w:t>
      </w:r>
      <w:r w:rsidR="00821E7E" w:rsidRPr="00412073">
        <w:rPr>
          <w:lang w:val="en-US"/>
        </w:rPr>
        <w:t>in the following order: ADHD Rating Scale (total score), SNAP ADHD (total score), Conners rating scale (any version, ADHD total score), or other ADHD scales.</w:t>
      </w:r>
    </w:p>
    <w:p w14:paraId="3DC08666" w14:textId="4E18252F" w:rsidR="00821E7E" w:rsidRPr="00412073" w:rsidRDefault="00095BA0" w:rsidP="00095BA0">
      <w:pPr>
        <w:spacing w:line="276" w:lineRule="auto"/>
        <w:rPr>
          <w:lang w:val="en-US"/>
        </w:rPr>
      </w:pPr>
      <w:r w:rsidRPr="00412073">
        <w:rPr>
          <w:lang w:val="en-US"/>
        </w:rPr>
        <w:t>Secondary outcome</w:t>
      </w:r>
      <w:r w:rsidR="00FA709F" w:rsidRPr="00412073">
        <w:rPr>
          <w:lang w:val="en-US"/>
        </w:rPr>
        <w:t>s</w:t>
      </w:r>
      <w:r w:rsidRPr="00412073">
        <w:rPr>
          <w:lang w:val="en-US"/>
        </w:rPr>
        <w:t>: t</w:t>
      </w:r>
      <w:r w:rsidR="00821E7E" w:rsidRPr="00412073">
        <w:rPr>
          <w:lang w:val="en-US"/>
        </w:rPr>
        <w:t>olerability of treatment, defined as the proportion of patients who left the study due to any side effects</w:t>
      </w:r>
      <w:r w:rsidR="007E690F" w:rsidRPr="00412073">
        <w:rPr>
          <w:lang w:val="en-US"/>
        </w:rPr>
        <w:t>.</w:t>
      </w:r>
      <w:r w:rsidR="00821E7E" w:rsidRPr="00412073">
        <w:rPr>
          <w:lang w:val="en-US"/>
        </w:rPr>
        <w:t xml:space="preserve"> </w:t>
      </w:r>
    </w:p>
    <w:p w14:paraId="1F3248B0" w14:textId="77777777" w:rsidR="00BA40B9" w:rsidRPr="00412073" w:rsidRDefault="00BA40B9" w:rsidP="003A2BD6">
      <w:pPr>
        <w:spacing w:line="276" w:lineRule="auto"/>
        <w:rPr>
          <w:lang w:val="en-US"/>
        </w:rPr>
      </w:pPr>
    </w:p>
    <w:p w14:paraId="477C2166" w14:textId="40EFFB74" w:rsidR="00981B8F" w:rsidRPr="00412073" w:rsidRDefault="00981B8F" w:rsidP="003A2BD6">
      <w:pPr>
        <w:pStyle w:val="Heading2"/>
        <w:spacing w:line="276" w:lineRule="auto"/>
      </w:pPr>
      <w:r w:rsidRPr="00412073">
        <w:t xml:space="preserve">Data collection </w:t>
      </w:r>
    </w:p>
    <w:p w14:paraId="10F725DF" w14:textId="48DC5A9D" w:rsidR="00A83246" w:rsidRPr="00412073" w:rsidRDefault="00A83246" w:rsidP="003A2BD6">
      <w:pPr>
        <w:spacing w:line="276" w:lineRule="auto"/>
        <w:rPr>
          <w:lang w:val="en-US"/>
        </w:rPr>
      </w:pPr>
      <w:r w:rsidRPr="00412073">
        <w:rPr>
          <w:lang w:val="en-US"/>
        </w:rPr>
        <w:t xml:space="preserve">Studies identified through electronic and manual searches will be listed with citation, </w:t>
      </w:r>
      <w:r w:rsidR="00E27944" w:rsidRPr="00412073">
        <w:rPr>
          <w:lang w:val="en-US"/>
        </w:rPr>
        <w:t>titles,</w:t>
      </w:r>
      <w:r w:rsidRPr="00412073">
        <w:rPr>
          <w:lang w:val="en-US"/>
        </w:rPr>
        <w:t xml:space="preserve"> and abstracts, in EndNote; duplicates will be excluded using the EndNote function “remove duplicates”.</w:t>
      </w:r>
    </w:p>
    <w:p w14:paraId="74749C13" w14:textId="60560C39" w:rsidR="00A83246" w:rsidRPr="00412073" w:rsidRDefault="00485A16" w:rsidP="003A2BD6">
      <w:pPr>
        <w:spacing w:line="276" w:lineRule="auto"/>
        <w:rPr>
          <w:lang w:val="en-US"/>
        </w:rPr>
      </w:pPr>
      <w:r w:rsidRPr="00412073">
        <w:rPr>
          <w:lang w:val="en-US"/>
        </w:rPr>
        <w:t xml:space="preserve">As a first step, two authors will screen the titles and abstracts of all non-duplicated </w:t>
      </w:r>
      <w:r w:rsidR="00E27944" w:rsidRPr="00412073">
        <w:rPr>
          <w:lang w:val="en-US"/>
        </w:rPr>
        <w:t>papers and</w:t>
      </w:r>
      <w:r w:rsidRPr="00412073">
        <w:rPr>
          <w:lang w:val="en-US"/>
        </w:rPr>
        <w:t xml:space="preserve"> determine the relevance of each paper. They will agree on a final list, with any discrepancies resolved by consensus. If consensus cannot be reached, a third senior author will act as an arbitrator. If there is any uncertainty about the inclusion of a paper, it will proceed to the next stage of the screening process.</w:t>
      </w:r>
    </w:p>
    <w:p w14:paraId="30C0FCCD" w14:textId="69F8CD0A" w:rsidR="00A83246" w:rsidRPr="00412073" w:rsidRDefault="00485A16" w:rsidP="003A2BD6">
      <w:pPr>
        <w:spacing w:line="276" w:lineRule="auto"/>
        <w:rPr>
          <w:lang w:val="en-US"/>
        </w:rPr>
      </w:pPr>
      <w:r w:rsidRPr="00412073">
        <w:rPr>
          <w:lang w:val="en-US"/>
        </w:rPr>
        <w:t xml:space="preserve">Then, </w:t>
      </w:r>
      <w:r w:rsidR="00A047E5" w:rsidRPr="00412073">
        <w:rPr>
          <w:lang w:val="en-US"/>
        </w:rPr>
        <w:t>the</w:t>
      </w:r>
      <w:r w:rsidRPr="00412073">
        <w:rPr>
          <w:lang w:val="en-US"/>
        </w:rPr>
        <w:t xml:space="preserve"> articles that pass stage 1 screening will be downloaded and evaluated for eligibility by two authors, separately. Any differences in opinion will be resolved through mutual agreement between the two authors, and if necessary, a third senior author will act as an arbitrator. Data from multiple reports of the same study will be combined. In case of need, we will contact the corresponding author to clarify the eligibility of the study.</w:t>
      </w:r>
    </w:p>
    <w:p w14:paraId="5ABAA9C8" w14:textId="77777777" w:rsidR="00485A16" w:rsidRPr="00412073" w:rsidRDefault="00485A16" w:rsidP="003A2BD6">
      <w:pPr>
        <w:spacing w:line="276" w:lineRule="auto"/>
        <w:rPr>
          <w:lang w:val="en-US"/>
        </w:rPr>
      </w:pPr>
    </w:p>
    <w:p w14:paraId="76AF12D8" w14:textId="77777777" w:rsidR="00A83246" w:rsidRPr="00412073" w:rsidRDefault="00A83246" w:rsidP="003A2BD6">
      <w:pPr>
        <w:spacing w:line="276" w:lineRule="auto"/>
        <w:rPr>
          <w:lang w:val="en-US"/>
        </w:rPr>
      </w:pPr>
      <w:r w:rsidRPr="00412073">
        <w:rPr>
          <w:lang w:val="en-US"/>
        </w:rPr>
        <w:t>The following data will be collected from each included study:</w:t>
      </w:r>
    </w:p>
    <w:p w14:paraId="3572E886" w14:textId="6E63D1C3" w:rsidR="00A83246" w:rsidRPr="00412073" w:rsidRDefault="00A83246" w:rsidP="00A047E5">
      <w:pPr>
        <w:pStyle w:val="ListParagraph"/>
        <w:numPr>
          <w:ilvl w:val="0"/>
          <w:numId w:val="4"/>
        </w:numPr>
        <w:spacing w:line="276" w:lineRule="auto"/>
        <w:rPr>
          <w:lang w:val="en-US"/>
        </w:rPr>
      </w:pPr>
      <w:r w:rsidRPr="00412073">
        <w:rPr>
          <w:lang w:val="en-US"/>
        </w:rPr>
        <w:t xml:space="preserve">Study citation, year(s) of study, year of publication, location, setting, number of </w:t>
      </w:r>
      <w:r w:rsidR="00B2721A" w:rsidRPr="00412073">
        <w:rPr>
          <w:lang w:val="en-US"/>
        </w:rPr>
        <w:t>centers</w:t>
      </w:r>
      <w:r w:rsidRPr="00412073">
        <w:rPr>
          <w:lang w:val="en-US"/>
        </w:rPr>
        <w:t>, design (type of RCT), sample size, diagnostic criteria, funding/sponsor (industry or academic);</w:t>
      </w:r>
    </w:p>
    <w:p w14:paraId="144F207E" w14:textId="7BF3C41D" w:rsidR="00A83246" w:rsidRPr="00412073" w:rsidRDefault="00A83246" w:rsidP="00A047E5">
      <w:pPr>
        <w:pStyle w:val="ListParagraph"/>
        <w:numPr>
          <w:ilvl w:val="0"/>
          <w:numId w:val="4"/>
        </w:numPr>
        <w:spacing w:line="276" w:lineRule="auto"/>
        <w:rPr>
          <w:lang w:val="en-US"/>
        </w:rPr>
      </w:pPr>
      <w:r w:rsidRPr="00412073">
        <w:rPr>
          <w:lang w:val="en-US"/>
        </w:rPr>
        <w:lastRenderedPageBreak/>
        <w:t>Characteristics of study participants</w:t>
      </w:r>
      <w:r w:rsidR="00C10087" w:rsidRPr="00412073">
        <w:rPr>
          <w:lang w:val="en-US"/>
        </w:rPr>
        <w:t xml:space="preserve"> (with position and dispersion parameters)</w:t>
      </w:r>
      <w:r w:rsidRPr="00412073">
        <w:rPr>
          <w:lang w:val="en-US"/>
        </w:rPr>
        <w:t xml:space="preserve">, </w:t>
      </w:r>
      <w:r w:rsidR="002D336F" w:rsidRPr="00412073">
        <w:rPr>
          <w:lang w:val="en-US"/>
        </w:rPr>
        <w:t>including</w:t>
      </w:r>
      <w:r w:rsidRPr="00412073">
        <w:rPr>
          <w:lang w:val="en-US"/>
        </w:rPr>
        <w:t xml:space="preserve"> gender, age, presence and type of co-morbid (neuro)psychiatric conditions, IQ</w:t>
      </w:r>
      <w:r w:rsidR="00C10087" w:rsidRPr="00412073">
        <w:rPr>
          <w:lang w:val="en-US"/>
        </w:rPr>
        <w:t xml:space="preserve"> scores</w:t>
      </w:r>
      <w:r w:rsidRPr="00412073">
        <w:rPr>
          <w:lang w:val="en-US"/>
        </w:rPr>
        <w:t xml:space="preserve">, </w:t>
      </w:r>
      <w:r w:rsidR="008A38CE" w:rsidRPr="00412073">
        <w:rPr>
          <w:lang w:val="en-US"/>
        </w:rPr>
        <w:t xml:space="preserve">number of patients with </w:t>
      </w:r>
      <w:r w:rsidRPr="00412073">
        <w:rPr>
          <w:lang w:val="en-US"/>
        </w:rPr>
        <w:t>ADHD medications naive at baseline or previously exposed to other ADHD medications;</w:t>
      </w:r>
    </w:p>
    <w:p w14:paraId="3A9E4403" w14:textId="60629D64" w:rsidR="00A83246" w:rsidRPr="00412073" w:rsidRDefault="00A83246" w:rsidP="00A047E5">
      <w:pPr>
        <w:pStyle w:val="ListParagraph"/>
        <w:numPr>
          <w:ilvl w:val="0"/>
          <w:numId w:val="4"/>
        </w:numPr>
        <w:spacing w:line="276" w:lineRule="auto"/>
        <w:rPr>
          <w:lang w:val="en-US"/>
        </w:rPr>
      </w:pPr>
      <w:r w:rsidRPr="00412073">
        <w:rPr>
          <w:lang w:val="en-US"/>
        </w:rPr>
        <w:t>Characteristics of interventions</w:t>
      </w:r>
      <w:r w:rsidR="003B17DA" w:rsidRPr="00412073">
        <w:rPr>
          <w:lang w:val="en-US"/>
        </w:rPr>
        <w:t xml:space="preserve">: </w:t>
      </w:r>
      <w:r w:rsidRPr="00412073">
        <w:rPr>
          <w:lang w:val="en-US"/>
        </w:rPr>
        <w:t>doses, formulation, add-on interventions</w:t>
      </w:r>
    </w:p>
    <w:p w14:paraId="388F0A57" w14:textId="706C0CD6" w:rsidR="00CE54C5" w:rsidRPr="00412073" w:rsidRDefault="00A83246" w:rsidP="003B17DA">
      <w:pPr>
        <w:pStyle w:val="ListParagraph"/>
        <w:numPr>
          <w:ilvl w:val="0"/>
          <w:numId w:val="4"/>
        </w:numPr>
        <w:spacing w:line="276" w:lineRule="auto"/>
        <w:rPr>
          <w:lang w:val="en-US"/>
        </w:rPr>
      </w:pPr>
      <w:r w:rsidRPr="00412073">
        <w:rPr>
          <w:lang w:val="en-US"/>
        </w:rPr>
        <w:t>Outcome</w:t>
      </w:r>
      <w:r w:rsidR="00056462" w:rsidRPr="00412073">
        <w:rPr>
          <w:lang w:val="en-US"/>
        </w:rPr>
        <w:t>s:</w:t>
      </w:r>
      <w:r w:rsidR="000B51AE" w:rsidRPr="00412073">
        <w:rPr>
          <w:lang w:val="en-US"/>
        </w:rPr>
        <w:t xml:space="preserve"> mean, standard deviation, number of event</w:t>
      </w:r>
      <w:r w:rsidR="002D336F" w:rsidRPr="00412073">
        <w:rPr>
          <w:lang w:val="en-US"/>
        </w:rPr>
        <w:t>s</w:t>
      </w:r>
      <w:r w:rsidR="007E740D" w:rsidRPr="00412073">
        <w:rPr>
          <w:lang w:val="en-US"/>
        </w:rPr>
        <w:t xml:space="preserve"> </w:t>
      </w:r>
      <w:r w:rsidR="00CE54C5" w:rsidRPr="00412073">
        <w:rPr>
          <w:lang w:val="en-US"/>
        </w:rPr>
        <w:t>and times of measurement</w:t>
      </w:r>
    </w:p>
    <w:p w14:paraId="14DCB7E8" w14:textId="6AD99B57" w:rsidR="0086528E" w:rsidRPr="00412073" w:rsidRDefault="0086528E" w:rsidP="00906805">
      <w:pPr>
        <w:pStyle w:val="ListParagraph"/>
        <w:spacing w:line="276" w:lineRule="auto"/>
        <w:rPr>
          <w:lang w:val="en-US"/>
        </w:rPr>
      </w:pPr>
    </w:p>
    <w:p w14:paraId="7635A2DF" w14:textId="40C4F998" w:rsidR="00981B8F" w:rsidRPr="00412073" w:rsidRDefault="00981B8F" w:rsidP="003A2BD6">
      <w:pPr>
        <w:pStyle w:val="Heading2"/>
        <w:spacing w:line="276" w:lineRule="auto"/>
      </w:pPr>
      <w:r w:rsidRPr="00412073">
        <w:t xml:space="preserve">Risk of bias assessment </w:t>
      </w:r>
    </w:p>
    <w:p w14:paraId="74476A4F" w14:textId="5197FBB4" w:rsidR="00915118" w:rsidRPr="00412073" w:rsidRDefault="000143DE" w:rsidP="003A2BD6">
      <w:pPr>
        <w:spacing w:line="276" w:lineRule="auto"/>
        <w:rPr>
          <w:lang w:val="en-US"/>
        </w:rPr>
      </w:pPr>
      <w:r w:rsidRPr="00412073">
        <w:rPr>
          <w:lang w:val="en-US"/>
        </w:rPr>
        <w:t xml:space="preserve">Two reviewers will independently assess the risk of bias </w:t>
      </w:r>
      <w:r w:rsidR="00F64293" w:rsidRPr="00412073">
        <w:rPr>
          <w:lang w:val="en-US"/>
        </w:rPr>
        <w:t xml:space="preserve">of retained RCTs </w:t>
      </w:r>
      <w:r w:rsidRPr="00412073">
        <w:rPr>
          <w:lang w:val="en-US"/>
        </w:rPr>
        <w:t>using the Cochrane Risk of Bias tool version 2 (RoB 2.0)</w:t>
      </w:r>
      <w:r w:rsidR="00C666FB" w:rsidRPr="00412073">
        <w:rPr>
          <w:lang w:val="en-US"/>
        </w:rPr>
        <w:fldChar w:fldCharType="begin"/>
      </w:r>
      <w:r w:rsidR="00D27BE1" w:rsidRPr="00412073">
        <w:rPr>
          <w:lang w:val="en-US"/>
        </w:rPr>
        <w:instrText xml:space="preserve"> ADDIN ZOTERO_ITEM CSL_CITATION {"citationID":"MSzRwb0N","properties":{"formattedCitation":"(16)","plainCitation":"(16)","noteIndex":0},"citationItems":[{"id":1539,"uris":["http://zotero.org/groups/4981848/items/URCTM2NK"],"itemData":{"id":1539,"type":"article-journal","container-title":"BMJ","DOI":"10.1136/bmj.l4898","ISSN":"0959-8138, 1756-1833","journalAbbreviation":"BMJ","language":"en","page":"l4898","source":"DOI.org (Crossref)","title":"RoB 2: a revised tool for assessing risk of bias in randomised trials","title-short":"RoB 2","author":[{"family":"Sterne","given":"Jonathan A C"},{"family":"Savović","given":"Jelena"},{"family":"Page","given":"Matthew J"},{"family":"Elbers","given":"Roy G"},{"family":"Blencowe","given":"Natalie S"},{"family":"Boutron","given":"Isabelle"},{"family":"Cates","given":"Christopher J"},{"family":"Cheng","given":"Hung-Yuan"},{"family":"Corbett","given":"Mark S"},{"family":"Eldridge","given":"Sandra M"},{"family":"Emberson","given":"Jonathan R"},{"family":"Hernán","given":"Miguel A"},{"family":"Hopewell","given":"Sally"},{"family":"Hróbjartsson","given":"Asbjørn"},{"family":"Junqueira","given":"Daniela R"},{"family":"Jüni","given":"Peter"},{"family":"Kirkham","given":"Jamie J"},{"family":"Lasserson","given":"Toby"},{"family":"Li","given":"Tianjing"},{"family":"McAleenan","given":"Alexandra"},{"family":"Reeves","given":"Barnaby C"},{"family":"Shepperd","given":"Sasha"},{"family":"Shrier","given":"Ian"},{"family":"Stewart","given":"Lesley A"},{"family":"Tilling","given":"Kate"},{"family":"White","given":"Ian R"},{"family":"Whiting","given":"Penny F"},{"family":"Higgins","given":"Julian P T"}],"issued":{"date-parts":[["2019",8,28]]}}}],"schema":"https://github.com/citation-style-language/schema/raw/master/csl-citation.json"} </w:instrText>
      </w:r>
      <w:r w:rsidR="00C666FB" w:rsidRPr="00412073">
        <w:rPr>
          <w:lang w:val="en-US"/>
        </w:rPr>
        <w:fldChar w:fldCharType="separate"/>
      </w:r>
      <w:r w:rsidR="00D27BE1" w:rsidRPr="00412073">
        <w:rPr>
          <w:rFonts w:ascii="Calibri" w:hAnsi="Calibri" w:cs="Calibri"/>
          <w:lang w:val="en-US"/>
        </w:rPr>
        <w:t>(16)</w:t>
      </w:r>
      <w:r w:rsidR="00C666FB" w:rsidRPr="00412073">
        <w:rPr>
          <w:lang w:val="en-US"/>
        </w:rPr>
        <w:fldChar w:fldCharType="end"/>
      </w:r>
      <w:r w:rsidRPr="00412073">
        <w:rPr>
          <w:lang w:val="en-US"/>
        </w:rPr>
        <w:t>. We will assess the risk of bias in respect of our primary outcome. In case of disagreement between the two reviewers, we will discuss it with a third, senior reviewer.</w:t>
      </w:r>
    </w:p>
    <w:p w14:paraId="6D6BD123" w14:textId="62ECC0CD" w:rsidR="00981B8F" w:rsidRPr="00412073" w:rsidRDefault="00981B8F" w:rsidP="003A2BD6">
      <w:pPr>
        <w:spacing w:line="276" w:lineRule="auto"/>
        <w:rPr>
          <w:lang w:val="en-US"/>
        </w:rPr>
      </w:pPr>
    </w:p>
    <w:p w14:paraId="6417A642" w14:textId="12704181" w:rsidR="009E6AD3" w:rsidRPr="00412073" w:rsidRDefault="0086528E" w:rsidP="00726938">
      <w:pPr>
        <w:pStyle w:val="Heading2"/>
      </w:pPr>
      <w:r w:rsidRPr="00412073">
        <w:t>DATA ANALYSIS</w:t>
      </w:r>
    </w:p>
    <w:p w14:paraId="2D25D3C5" w14:textId="0C3F1373" w:rsidR="009E6AD3" w:rsidRPr="00412073" w:rsidRDefault="0085144A" w:rsidP="003A2BD6">
      <w:pPr>
        <w:spacing w:line="276" w:lineRule="auto"/>
        <w:rPr>
          <w:lang w:val="en-US"/>
        </w:rPr>
      </w:pPr>
      <w:r w:rsidRPr="00412073">
        <w:rPr>
          <w:lang w:val="en-US"/>
        </w:rPr>
        <w:t>We will perform a DE-NMA independently for</w:t>
      </w:r>
      <w:r w:rsidR="00F64293" w:rsidRPr="00412073">
        <w:rPr>
          <w:lang w:val="en-US"/>
        </w:rPr>
        <w:t xml:space="preserve"> children/adolescents (&lt;18 years) and </w:t>
      </w:r>
      <w:r w:rsidRPr="00412073">
        <w:rPr>
          <w:lang w:val="en-US"/>
        </w:rPr>
        <w:t>adult</w:t>
      </w:r>
      <w:r w:rsidR="00E10E02" w:rsidRPr="00412073">
        <w:rPr>
          <w:lang w:val="en-US"/>
        </w:rPr>
        <w:t xml:space="preserve"> (</w:t>
      </w:r>
      <w:r w:rsidR="004441EA" w:rsidRPr="00412073">
        <w:rPr>
          <w:rFonts w:eastAsiaTheme="minorEastAsia" w:cstheme="minorHAnsi"/>
          <w:lang w:val="en-US"/>
        </w:rPr>
        <w:t>≥</w:t>
      </w:r>
      <w:r w:rsidR="00E10E02" w:rsidRPr="00412073">
        <w:rPr>
          <w:rFonts w:eastAsiaTheme="minorEastAsia"/>
          <w:lang w:val="en-US"/>
        </w:rPr>
        <w:t>18years</w:t>
      </w:r>
      <w:r w:rsidR="00E10E02" w:rsidRPr="00412073">
        <w:rPr>
          <w:lang w:val="en-US"/>
        </w:rPr>
        <w:t xml:space="preserve">), </w:t>
      </w:r>
      <w:r w:rsidR="00E27944" w:rsidRPr="00412073">
        <w:rPr>
          <w:lang w:val="en-US"/>
        </w:rPr>
        <w:t>adolescents (</w:t>
      </w:r>
      <w:r w:rsidR="004441EA" w:rsidRPr="00412073">
        <w:rPr>
          <w:rFonts w:eastAsiaTheme="minorEastAsia" w:cstheme="minorHAnsi"/>
          <w:lang w:val="en-US"/>
        </w:rPr>
        <w:t>≥</w:t>
      </w:r>
      <w:r w:rsidR="0091445F" w:rsidRPr="00412073">
        <w:rPr>
          <w:rFonts w:eastAsiaTheme="minorEastAsia"/>
          <w:lang w:val="en-US"/>
        </w:rPr>
        <w:t>12;</w:t>
      </w:r>
      <w:r w:rsidR="004441EA" w:rsidRPr="00412073">
        <w:rPr>
          <w:rFonts w:eastAsiaTheme="minorEastAsia"/>
          <w:lang w:val="en-US"/>
        </w:rPr>
        <w:t xml:space="preserve"> &lt;18</w:t>
      </w:r>
      <w:r w:rsidR="00E10E02" w:rsidRPr="00412073">
        <w:rPr>
          <w:lang w:val="en-US"/>
        </w:rPr>
        <w:t>) and for children</w:t>
      </w:r>
      <w:r w:rsidR="004441EA" w:rsidRPr="00412073">
        <w:rPr>
          <w:lang w:val="en-US"/>
        </w:rPr>
        <w:t xml:space="preserve"> (</w:t>
      </w:r>
      <w:r w:rsidR="004441EA" w:rsidRPr="00412073">
        <w:rPr>
          <w:rFonts w:eastAsiaTheme="minorEastAsia" w:cstheme="minorHAnsi"/>
          <w:lang w:val="en-US"/>
        </w:rPr>
        <w:t>≥</w:t>
      </w:r>
      <w:r w:rsidR="004441EA" w:rsidRPr="00412073">
        <w:rPr>
          <w:lang w:val="en-US"/>
        </w:rPr>
        <w:t xml:space="preserve"> </w:t>
      </w:r>
      <w:r w:rsidR="0091445F" w:rsidRPr="00412073">
        <w:rPr>
          <w:lang w:val="en-US"/>
        </w:rPr>
        <w:t>5;</w:t>
      </w:r>
      <w:r w:rsidR="004441EA" w:rsidRPr="00412073">
        <w:rPr>
          <w:lang w:val="en-US"/>
        </w:rPr>
        <w:t xml:space="preserve"> &lt;12)</w:t>
      </w:r>
      <w:r w:rsidR="009E6AD3" w:rsidRPr="00412073">
        <w:rPr>
          <w:lang w:val="en-US"/>
        </w:rPr>
        <w:t>.</w:t>
      </w:r>
    </w:p>
    <w:p w14:paraId="78EED6A1" w14:textId="77777777" w:rsidR="00954879" w:rsidRPr="00412073" w:rsidRDefault="00954879" w:rsidP="003A2BD6">
      <w:pPr>
        <w:spacing w:line="276" w:lineRule="auto"/>
        <w:rPr>
          <w:lang w:val="en-US"/>
        </w:rPr>
      </w:pPr>
    </w:p>
    <w:p w14:paraId="19E966B7" w14:textId="30249F98" w:rsidR="00F20BA0" w:rsidRPr="00412073" w:rsidRDefault="00F20BA0" w:rsidP="00D34E4B">
      <w:pPr>
        <w:pStyle w:val="Heading2"/>
        <w:ind w:left="708" w:hanging="708"/>
      </w:pPr>
      <w:r w:rsidRPr="00412073">
        <w:t>Treatment nodes</w:t>
      </w:r>
      <w:r w:rsidR="00137112" w:rsidRPr="00412073">
        <w:t xml:space="preserve"> and class agents</w:t>
      </w:r>
    </w:p>
    <w:p w14:paraId="641E3EF9" w14:textId="4C626110" w:rsidR="00F20BA0" w:rsidRPr="00412073" w:rsidRDefault="00F20BA0" w:rsidP="00D34E4B">
      <w:pPr>
        <w:ind w:left="708" w:hanging="708"/>
        <w:rPr>
          <w:lang w:val="en-US"/>
        </w:rPr>
      </w:pPr>
      <w:r w:rsidRPr="00412073">
        <w:rPr>
          <w:lang w:val="en-US"/>
        </w:rPr>
        <w:t xml:space="preserve">The </w:t>
      </w:r>
      <w:r w:rsidR="006A4A8A" w:rsidRPr="00412073">
        <w:rPr>
          <w:lang w:val="en-US"/>
        </w:rPr>
        <w:t xml:space="preserve">treatment nodes will be: </w:t>
      </w:r>
    </w:p>
    <w:p w14:paraId="59400255" w14:textId="6E1C0870" w:rsidR="006A4A8A" w:rsidRPr="00412073" w:rsidRDefault="006A4A8A" w:rsidP="00D34E4B">
      <w:pPr>
        <w:pStyle w:val="ListParagraph"/>
        <w:numPr>
          <w:ilvl w:val="0"/>
          <w:numId w:val="13"/>
        </w:numPr>
        <w:ind w:left="708" w:hanging="708"/>
        <w:rPr>
          <w:lang w:val="en-US"/>
        </w:rPr>
      </w:pPr>
      <w:r w:rsidRPr="00412073">
        <w:rPr>
          <w:lang w:val="en-US"/>
        </w:rPr>
        <w:t>Methylphenidate immediate re</w:t>
      </w:r>
      <w:r w:rsidR="002625B8" w:rsidRPr="00412073">
        <w:rPr>
          <w:lang w:val="en-US"/>
        </w:rPr>
        <w:t>lea</w:t>
      </w:r>
      <w:r w:rsidRPr="00412073">
        <w:rPr>
          <w:lang w:val="en-US"/>
        </w:rPr>
        <w:t>se (IR)</w:t>
      </w:r>
      <w:r w:rsidR="00401543" w:rsidRPr="00412073">
        <w:rPr>
          <w:lang w:val="en-US"/>
        </w:rPr>
        <w:t xml:space="preserve"> or extended release (</w:t>
      </w:r>
      <w:r w:rsidR="00E27944" w:rsidRPr="00412073">
        <w:rPr>
          <w:lang w:val="en-US"/>
        </w:rPr>
        <w:t>XR</w:t>
      </w:r>
      <w:r w:rsidR="0091445F" w:rsidRPr="00412073">
        <w:rPr>
          <w:lang w:val="en-US"/>
        </w:rPr>
        <w:t>):</w:t>
      </w:r>
      <w:r w:rsidR="00167E24" w:rsidRPr="00412073">
        <w:rPr>
          <w:lang w:val="en-US"/>
        </w:rPr>
        <w:t xml:space="preserve"> dexmethylphenidate </w:t>
      </w:r>
      <w:r w:rsidR="0091445F" w:rsidRPr="00412073">
        <w:rPr>
          <w:lang w:val="en-US"/>
        </w:rPr>
        <w:t>IR,</w:t>
      </w:r>
      <w:r w:rsidR="00167E24" w:rsidRPr="00412073">
        <w:rPr>
          <w:lang w:val="en-US"/>
        </w:rPr>
        <w:t xml:space="preserve"> methylphenidate IR</w:t>
      </w:r>
      <w:r w:rsidR="00401543" w:rsidRPr="00412073">
        <w:rPr>
          <w:lang w:val="en-US"/>
        </w:rPr>
        <w:t>, dexmethylphenidate XR, methylphenidate XR</w:t>
      </w:r>
      <w:r w:rsidR="00E42400" w:rsidRPr="00412073">
        <w:rPr>
          <w:lang w:val="en-US"/>
        </w:rPr>
        <w:t>; regardless of the galenic formulation</w:t>
      </w:r>
      <w:r w:rsidR="00A17D55" w:rsidRPr="00412073">
        <w:rPr>
          <w:lang w:val="en-US"/>
        </w:rPr>
        <w:t>.</w:t>
      </w:r>
    </w:p>
    <w:p w14:paraId="1E6F5845" w14:textId="4F7035BF" w:rsidR="008A5E7C" w:rsidRPr="00412073" w:rsidRDefault="00E67BA8" w:rsidP="00D34E4B">
      <w:pPr>
        <w:pStyle w:val="ListParagraph"/>
        <w:numPr>
          <w:ilvl w:val="0"/>
          <w:numId w:val="13"/>
        </w:numPr>
        <w:ind w:left="708" w:hanging="708"/>
        <w:rPr>
          <w:lang w:val="en-US"/>
        </w:rPr>
      </w:pPr>
      <w:r w:rsidRPr="00412073">
        <w:rPr>
          <w:lang w:val="en-US"/>
        </w:rPr>
        <w:t xml:space="preserve">Amphetamine </w:t>
      </w:r>
      <w:r w:rsidR="00E27944" w:rsidRPr="00412073">
        <w:rPr>
          <w:lang w:val="en-US"/>
        </w:rPr>
        <w:t>derivative:</w:t>
      </w:r>
      <w:r w:rsidR="00B226F3" w:rsidRPr="00412073">
        <w:rPr>
          <w:lang w:val="en-US"/>
        </w:rPr>
        <w:t xml:space="preserve"> </w:t>
      </w:r>
      <w:r w:rsidR="007B133B" w:rsidRPr="00412073">
        <w:rPr>
          <w:lang w:val="en-US"/>
        </w:rPr>
        <w:t xml:space="preserve">amphetamine, </w:t>
      </w:r>
      <w:r w:rsidR="00B226F3" w:rsidRPr="00412073">
        <w:rPr>
          <w:lang w:val="en-US"/>
        </w:rPr>
        <w:t xml:space="preserve">lisdexamfetamine, </w:t>
      </w:r>
      <w:r w:rsidR="00E27944" w:rsidRPr="00412073">
        <w:rPr>
          <w:lang w:val="en-US"/>
        </w:rPr>
        <w:t>dextroamphetamine;</w:t>
      </w:r>
      <w:r w:rsidR="004D5DC3" w:rsidRPr="00412073">
        <w:rPr>
          <w:lang w:val="en-US"/>
        </w:rPr>
        <w:t xml:space="preserve"> regardless of the galenic formulation</w:t>
      </w:r>
    </w:p>
    <w:p w14:paraId="1DAF062A" w14:textId="1E79ABD5" w:rsidR="008A5E7C" w:rsidRPr="00412073" w:rsidRDefault="008A5E7C" w:rsidP="00D34E4B">
      <w:pPr>
        <w:pStyle w:val="ListParagraph"/>
        <w:numPr>
          <w:ilvl w:val="0"/>
          <w:numId w:val="13"/>
        </w:numPr>
        <w:ind w:left="708" w:hanging="708"/>
        <w:rPr>
          <w:lang w:val="en-US"/>
        </w:rPr>
      </w:pPr>
      <w:r w:rsidRPr="00412073">
        <w:rPr>
          <w:lang w:val="en-US"/>
        </w:rPr>
        <w:t>Atomoxetine</w:t>
      </w:r>
    </w:p>
    <w:p w14:paraId="3FBBBBAB" w14:textId="2791CC36" w:rsidR="008E470B" w:rsidRPr="00412073" w:rsidRDefault="001166D5" w:rsidP="00D34E4B">
      <w:pPr>
        <w:pStyle w:val="ListParagraph"/>
        <w:numPr>
          <w:ilvl w:val="0"/>
          <w:numId w:val="13"/>
        </w:numPr>
        <w:ind w:left="708" w:hanging="708"/>
        <w:rPr>
          <w:lang w:val="it-IT"/>
        </w:rPr>
      </w:pPr>
      <w:r w:rsidRPr="00412073">
        <w:rPr>
          <w:lang w:val="it-IT"/>
        </w:rPr>
        <w:t>Clonidine</w:t>
      </w:r>
    </w:p>
    <w:p w14:paraId="5D812842" w14:textId="4E306937" w:rsidR="001166D5" w:rsidRPr="00412073" w:rsidRDefault="001166D5" w:rsidP="00D34E4B">
      <w:pPr>
        <w:pStyle w:val="ListParagraph"/>
        <w:numPr>
          <w:ilvl w:val="0"/>
          <w:numId w:val="13"/>
        </w:numPr>
        <w:ind w:left="708" w:hanging="708"/>
        <w:rPr>
          <w:lang w:val="it-IT"/>
        </w:rPr>
      </w:pPr>
      <w:r w:rsidRPr="00412073">
        <w:rPr>
          <w:lang w:val="it-IT"/>
        </w:rPr>
        <w:t>Guanfacine</w:t>
      </w:r>
    </w:p>
    <w:p w14:paraId="259221DC" w14:textId="12558E17" w:rsidR="001166D5" w:rsidRPr="00412073" w:rsidRDefault="001166D5" w:rsidP="00D34E4B">
      <w:pPr>
        <w:pStyle w:val="ListParagraph"/>
        <w:numPr>
          <w:ilvl w:val="0"/>
          <w:numId w:val="13"/>
        </w:numPr>
        <w:ind w:left="708" w:hanging="708"/>
        <w:rPr>
          <w:lang w:val="it-IT"/>
        </w:rPr>
      </w:pPr>
      <w:r w:rsidRPr="00412073">
        <w:rPr>
          <w:lang w:val="it-IT"/>
        </w:rPr>
        <w:t>Bupropion</w:t>
      </w:r>
    </w:p>
    <w:p w14:paraId="66B6B550" w14:textId="5E513D1C" w:rsidR="001166D5" w:rsidRPr="00412073" w:rsidRDefault="001166D5" w:rsidP="00D34E4B">
      <w:pPr>
        <w:pStyle w:val="ListParagraph"/>
        <w:numPr>
          <w:ilvl w:val="0"/>
          <w:numId w:val="13"/>
        </w:numPr>
        <w:ind w:left="708" w:hanging="708"/>
        <w:rPr>
          <w:lang w:val="it-IT"/>
        </w:rPr>
      </w:pPr>
      <w:r w:rsidRPr="00412073">
        <w:rPr>
          <w:lang w:val="it-IT"/>
        </w:rPr>
        <w:t>Modafinil</w:t>
      </w:r>
    </w:p>
    <w:p w14:paraId="0744889A" w14:textId="6AE551E5" w:rsidR="003F3829" w:rsidRPr="00412073" w:rsidRDefault="003F3829" w:rsidP="00D34E4B">
      <w:pPr>
        <w:pStyle w:val="ListParagraph"/>
        <w:numPr>
          <w:ilvl w:val="0"/>
          <w:numId w:val="13"/>
        </w:numPr>
        <w:ind w:left="708" w:hanging="708"/>
        <w:rPr>
          <w:lang w:val="it-IT"/>
        </w:rPr>
      </w:pPr>
      <w:r w:rsidRPr="00412073">
        <w:rPr>
          <w:lang w:val="it-IT"/>
        </w:rPr>
        <w:t>Viloxazine</w:t>
      </w:r>
    </w:p>
    <w:p w14:paraId="0F51E996" w14:textId="484B2103" w:rsidR="00954879" w:rsidRPr="00412073" w:rsidRDefault="00954879" w:rsidP="003A2BD6">
      <w:pPr>
        <w:spacing w:line="276" w:lineRule="auto"/>
        <w:rPr>
          <w:rStyle w:val="Heading2Char"/>
          <w:b w:val="0"/>
          <w:bCs w:val="0"/>
        </w:rPr>
      </w:pPr>
    </w:p>
    <w:p w14:paraId="5F8D4F30" w14:textId="75910C13" w:rsidR="00D52CA6" w:rsidRPr="00412073" w:rsidRDefault="00793CE2" w:rsidP="00701247">
      <w:pPr>
        <w:spacing w:line="276" w:lineRule="auto"/>
        <w:rPr>
          <w:rStyle w:val="Heading2Char"/>
        </w:rPr>
      </w:pPr>
      <w:r w:rsidRPr="00412073">
        <w:rPr>
          <w:rStyle w:val="Heading2Char"/>
        </w:rPr>
        <w:t>Dosing schedule</w:t>
      </w:r>
    </w:p>
    <w:p w14:paraId="53F36BEC" w14:textId="1FA21EAB" w:rsidR="00D52CA6" w:rsidRPr="00412073" w:rsidRDefault="00D52CA6" w:rsidP="00701247">
      <w:pPr>
        <w:spacing w:line="276" w:lineRule="auto"/>
        <w:rPr>
          <w:rStyle w:val="Heading2Char"/>
          <w:b w:val="0"/>
          <w:bCs w:val="0"/>
        </w:rPr>
      </w:pPr>
      <w:r w:rsidRPr="00412073">
        <w:rPr>
          <w:rStyle w:val="Heading2Char"/>
          <w:b w:val="0"/>
          <w:bCs w:val="0"/>
        </w:rPr>
        <w:t>Fixed-dose trials are characterized by the assignment of participants to pre-specified doses without considering their individual response or tolerability</w:t>
      </w:r>
      <w:r w:rsidR="00212A6C" w:rsidRPr="00412073">
        <w:rPr>
          <w:rStyle w:val="Heading2Char"/>
          <w:b w:val="0"/>
          <w:bCs w:val="0"/>
        </w:rPr>
        <w:fldChar w:fldCharType="begin"/>
      </w:r>
      <w:r w:rsidR="00212A6C" w:rsidRPr="00412073">
        <w:rPr>
          <w:rStyle w:val="Heading2Char"/>
          <w:b w:val="0"/>
          <w:bCs w:val="0"/>
        </w:rPr>
        <w:instrText xml:space="preserve"> ADDIN ZOTERO_ITEM CSL_CITATION {"citationID":"VsrZrEYP","properties":{"formattedCitation":"(17)","plainCitation":"(17)","noteIndex":0},"citationItems":[{"id":1569,"uris":["http://zotero.org/groups/4981848/items/JUPUQWIQ"],"itemData":{"id":1569,"type":"article-journal","abstract":"Network meta-analysis has been used to answer a range of clinical questions about the preferred intervention for a given condition. Although the effectiveness and safety of pharmacological agents depend on the dose administered, network meta-analysis applications typically ignore the role that drugs dosage plays in the results. This leads to more heterogeneity in the network. In this paper, we present a suite of network meta-analysis models that incorporate the dose–effect relationship using restricted cubic splines. We extend existing models into a dose–effect network meta-regression to account for study-level covariates and for groups of agents in a class-effect dose–effect network meta-analysis model. We apply our models to a network of aggregate data about the efﬁcacy of 21 antidepressants and placebo for depression. We ﬁnd that all antidepressants are more efﬁcacious than placebo after a certain dose. Also, we identify the dose level at which each antidepressant’s effect exceeds that of placebo and estimate the dose beyond which the effect of antidepressants no longer increases. When covariates were introduced to the model, we ﬁnd that studies with small sample size tend to exaggerate antidepressants efﬁcacy for several of the drugs. Our dose–effect network meta-analysis model with restricted cubic splines provides a ﬂexible approach to modelling the dose–effect relationship in multiple interventions. Decisionmakers can use our model to inform treatment choice.","container-title":"Statistical Methods in Medical Research","DOI":"10.1177/09622802211070256","ISSN":"0962-2802, 1477-0334","journalAbbreviation":"Stat Methods Med Res","language":"en","page":"096228022110702","source":"DOI.org (Crossref)","title":"A dose–effect network meta-analysis model with application in antidepressants using restricted cubic splines","author":[{"family":"Hamza","given":"Tasnim"},{"family":"Furukawa","given":"Toshi A"},{"family":"Orsini","given":"Nicola"},{"family":"Cipriani","given":"Andrea"},{"family":"Iglesias","given":"Cynthia P"},{"family":"Salanti","given":"Georgia"}],"issued":{"date-parts":[["2022",2,24]]}}}],"schema":"https://github.com/citation-style-language/schema/raw/master/csl-citation.json"} </w:instrText>
      </w:r>
      <w:r w:rsidR="00212A6C" w:rsidRPr="00412073">
        <w:rPr>
          <w:rStyle w:val="Heading2Char"/>
          <w:b w:val="0"/>
          <w:bCs w:val="0"/>
        </w:rPr>
        <w:fldChar w:fldCharType="separate"/>
      </w:r>
      <w:r w:rsidR="00212A6C" w:rsidRPr="00412073">
        <w:rPr>
          <w:rFonts w:ascii="Calibri" w:hAnsi="Calibri" w:cs="Calibri"/>
          <w:lang w:val="en-US"/>
        </w:rPr>
        <w:t>(17)</w:t>
      </w:r>
      <w:r w:rsidR="00212A6C" w:rsidRPr="00412073">
        <w:rPr>
          <w:rStyle w:val="Heading2Char"/>
          <w:b w:val="0"/>
          <w:bCs w:val="0"/>
        </w:rPr>
        <w:fldChar w:fldCharType="end"/>
      </w:r>
      <w:r w:rsidRPr="00412073">
        <w:rPr>
          <w:rStyle w:val="Heading2Char"/>
          <w:b w:val="0"/>
          <w:bCs w:val="0"/>
        </w:rPr>
        <w:t>. In such trials, the targeted maximum dose may be reached at a slower pace if tolerability symptoms arise. The treatment strategy for fixed-dose trials involves "targeting dose j for treatment k, regardless of efficacy and tolerability." For our primary analysis, only fixed dosing schedules will be employed.</w:t>
      </w:r>
    </w:p>
    <w:p w14:paraId="13A158F8" w14:textId="1741CE30" w:rsidR="00701247" w:rsidRPr="00412073" w:rsidRDefault="00D52CA6" w:rsidP="00701247">
      <w:pPr>
        <w:spacing w:line="276" w:lineRule="auto"/>
        <w:rPr>
          <w:lang w:val="en-US"/>
        </w:rPr>
      </w:pPr>
      <w:r w:rsidRPr="00412073">
        <w:rPr>
          <w:rStyle w:val="Heading2Char"/>
          <w:b w:val="0"/>
          <w:bCs w:val="0"/>
        </w:rPr>
        <w:t>On the other hand, flexible-dose trials involve the random assignment of participants to groups with doses determined individually based on efficacy or tolerability</w:t>
      </w:r>
      <w:r w:rsidR="00765CE2" w:rsidRPr="00412073">
        <w:rPr>
          <w:rStyle w:val="Heading2Char"/>
          <w:b w:val="0"/>
          <w:bCs w:val="0"/>
        </w:rPr>
        <w:fldChar w:fldCharType="begin"/>
      </w:r>
      <w:r w:rsidR="00765CE2" w:rsidRPr="00412073">
        <w:rPr>
          <w:rStyle w:val="Heading2Char"/>
          <w:b w:val="0"/>
          <w:bCs w:val="0"/>
        </w:rPr>
        <w:instrText xml:space="preserve"> ADDIN ZOTERO_ITEM CSL_CITATION {"citationID":"hlZAoG6i","properties":{"formattedCitation":"(17)","plainCitation":"(17)","noteIndex":0},"citationItems":[{"id":1569,"uris":["http://zotero.org/groups/4981848/items/JUPUQWIQ"],"itemData":{"id":1569,"type":"article-journal","abstract":"Network meta-analysis has been used to answer a range of clinical questions about the preferred intervention for a given condition. Although the effectiveness and safety of pharmacological agents depend on the dose administered, network meta-analysis applications typically ignore the role that drugs dosage plays in the results. This leads to more heterogeneity in the network. In this paper, we present a suite of network meta-analysis models that incorporate the dose–effect relationship using restricted cubic splines. We extend existing models into a dose–effect network meta-regression to account for study-level covariates and for groups of agents in a class-effect dose–effect network meta-analysis model. We apply our models to a network of aggregate data about the efﬁcacy of 21 antidepressants and placebo for depression. We ﬁnd that all antidepressants are more efﬁcacious than placebo after a certain dose. Also, we identify the dose level at which each antidepressant’s effect exceeds that of placebo and estimate the dose beyond which the effect of antidepressants no longer increases. When covariates were introduced to the model, we ﬁnd that studies with small sample size tend to exaggerate antidepressants efﬁcacy for several of the drugs. Our dose–effect network meta-analysis model with restricted cubic splines provides a ﬂexible approach to modelling the dose–effect relationship in multiple interventions. Decisionmakers can use our model to inform treatment choice.","container-title":"Statistical Methods in Medical Research","DOI":"10.1177/09622802211070256","ISSN":"0962-2802, 1477-0334","journalAbbreviation":"Stat Methods Med Res","language":"en","page":"096228022110702","source":"DOI.org (Crossref)","title":"A dose–effect network meta-analysis model with application in antidepressants using restricted cubic splines","author":[{"family":"Hamza","given":"Tasnim"},{"family":"Furukawa","given":"Toshi A"},{"family":"Orsini","given":"Nicola"},{"family":"Cipriani","given":"Andrea"},{"family":"Iglesias","given":"Cynthia P"},{"family":"Salanti","given":"Georgia"}],"issued":{"date-parts":[["2022",2,24]]}}}],"schema":"https://github.com/citation-style-language/schema/raw/master/csl-citation.json"} </w:instrText>
      </w:r>
      <w:r w:rsidR="00765CE2" w:rsidRPr="00412073">
        <w:rPr>
          <w:rStyle w:val="Heading2Char"/>
          <w:b w:val="0"/>
          <w:bCs w:val="0"/>
        </w:rPr>
        <w:fldChar w:fldCharType="separate"/>
      </w:r>
      <w:r w:rsidR="00765CE2" w:rsidRPr="00412073">
        <w:rPr>
          <w:rFonts w:ascii="Calibri" w:hAnsi="Calibri" w:cs="Calibri"/>
          <w:lang w:val="en-US"/>
        </w:rPr>
        <w:t>(17)</w:t>
      </w:r>
      <w:r w:rsidR="00765CE2" w:rsidRPr="00412073">
        <w:rPr>
          <w:rStyle w:val="Heading2Char"/>
          <w:b w:val="0"/>
          <w:bCs w:val="0"/>
        </w:rPr>
        <w:fldChar w:fldCharType="end"/>
      </w:r>
      <w:r w:rsidRPr="00412073">
        <w:rPr>
          <w:rStyle w:val="Heading2Char"/>
          <w:b w:val="0"/>
          <w:bCs w:val="0"/>
        </w:rPr>
        <w:t xml:space="preserve">. To draw a causal interpretation of individual doses, time-dependent confounding factors and individual participant data are necessary. However, we will carefully incorporate flexible doses as sensitivity analyses. </w:t>
      </w:r>
      <w:r w:rsidR="00804B87" w:rsidRPr="00412073">
        <w:rPr>
          <w:rStyle w:val="Heading2Char"/>
          <w:b w:val="0"/>
          <w:bCs w:val="0"/>
        </w:rPr>
        <w:t>To</w:t>
      </w:r>
      <w:r w:rsidRPr="00412073">
        <w:rPr>
          <w:rStyle w:val="Heading2Char"/>
          <w:b w:val="0"/>
          <w:bCs w:val="0"/>
        </w:rPr>
        <w:t xml:space="preserve"> be included in our analysis, a flexible-dose study must clearly specify </w:t>
      </w:r>
      <w:r w:rsidRPr="00412073">
        <w:rPr>
          <w:rStyle w:val="Heading2Char"/>
          <w:b w:val="0"/>
          <w:bCs w:val="0"/>
        </w:rPr>
        <w:lastRenderedPageBreak/>
        <w:t xml:space="preserve">the maximum intended dose at baseline. </w:t>
      </w:r>
      <w:r w:rsidR="008C1B7D" w:rsidRPr="00412073">
        <w:rPr>
          <w:rStyle w:val="Heading2Char"/>
          <w:b w:val="0"/>
          <w:bCs w:val="0"/>
        </w:rPr>
        <w:t>Thus, f</w:t>
      </w:r>
      <w:r w:rsidRPr="00412073">
        <w:rPr>
          <w:rStyle w:val="Heading2Char"/>
          <w:b w:val="0"/>
          <w:bCs w:val="0"/>
        </w:rPr>
        <w:t>or both fixed and flexible dosing strategies, the intention is to reach the maximum targeted dose at the time of randomization. We acknowledge that this strategy involves heterogeneity in the steps taken to achieve the maximum targeted dose, such as adapting doses based on safety or efficacy.</w:t>
      </w:r>
    </w:p>
    <w:p w14:paraId="6853D9DF" w14:textId="2B2F2AD3" w:rsidR="00E76A51" w:rsidRPr="00412073" w:rsidRDefault="00E76A51" w:rsidP="003A2BD6">
      <w:pPr>
        <w:spacing w:line="276" w:lineRule="auto"/>
        <w:rPr>
          <w:lang w:val="en-US"/>
        </w:rPr>
      </w:pPr>
      <w:r w:rsidRPr="00412073">
        <w:rPr>
          <w:lang w:val="en-US"/>
        </w:rPr>
        <w:t>We may exclude certain treatment nodes from the primary analysis due to a scarcity of data, specifically when only employing a fixed dosing schedule.</w:t>
      </w:r>
    </w:p>
    <w:p w14:paraId="14D04B8F" w14:textId="77777777" w:rsidR="003213AA" w:rsidRPr="00412073" w:rsidRDefault="003213AA" w:rsidP="003A2BD6">
      <w:pPr>
        <w:spacing w:line="276" w:lineRule="auto"/>
        <w:rPr>
          <w:rStyle w:val="Heading2Char"/>
          <w:b w:val="0"/>
          <w:bCs w:val="0"/>
        </w:rPr>
      </w:pPr>
    </w:p>
    <w:p w14:paraId="7740FC08" w14:textId="7BD0AB8B" w:rsidR="00954879" w:rsidRPr="00412073" w:rsidRDefault="00954879" w:rsidP="003A2BD6">
      <w:pPr>
        <w:spacing w:line="276" w:lineRule="auto"/>
        <w:rPr>
          <w:lang w:val="en-US"/>
        </w:rPr>
      </w:pPr>
      <w:r w:rsidRPr="00412073">
        <w:rPr>
          <w:rStyle w:val="Heading2Char"/>
        </w:rPr>
        <w:t xml:space="preserve">Conversion doses </w:t>
      </w:r>
    </w:p>
    <w:p w14:paraId="76B0B1AA" w14:textId="463695CF" w:rsidR="0009708A" w:rsidRPr="00412073" w:rsidRDefault="001677C5" w:rsidP="003A2BD6">
      <w:pPr>
        <w:spacing w:line="276" w:lineRule="auto"/>
        <w:rPr>
          <w:rStyle w:val="Heading2Char"/>
          <w:b w:val="0"/>
          <w:bCs w:val="0"/>
        </w:rPr>
      </w:pPr>
      <w:r w:rsidRPr="00412073">
        <w:rPr>
          <w:lang w:val="en-US"/>
        </w:rPr>
        <w:t xml:space="preserve">We will use the </w:t>
      </w:r>
      <w:r w:rsidR="00E67BA8" w:rsidRPr="00412073">
        <w:rPr>
          <w:lang w:val="en-US"/>
        </w:rPr>
        <w:t xml:space="preserve">same </w:t>
      </w:r>
      <w:r w:rsidRPr="00412073">
        <w:rPr>
          <w:lang w:val="en-US"/>
        </w:rPr>
        <w:t>conversion dose</w:t>
      </w:r>
      <w:r w:rsidR="00E67BA8" w:rsidRPr="00412073">
        <w:rPr>
          <w:lang w:val="en-US"/>
        </w:rPr>
        <w:t>s</w:t>
      </w:r>
      <w:r w:rsidRPr="00412073">
        <w:rPr>
          <w:lang w:val="en-US"/>
        </w:rPr>
        <w:t xml:space="preserve"> from Farhat et al</w:t>
      </w:r>
      <w:r w:rsidR="00954879" w:rsidRPr="00412073">
        <w:rPr>
          <w:lang w:val="en-US"/>
        </w:rPr>
        <w:t>.</w:t>
      </w:r>
      <w:r w:rsidR="00780A9D" w:rsidRPr="00412073">
        <w:rPr>
          <w:lang w:val="en-US"/>
        </w:rPr>
        <w:fldChar w:fldCharType="begin"/>
      </w:r>
      <w:r w:rsidR="00212A6C" w:rsidRPr="00412073">
        <w:rPr>
          <w:lang w:val="en-US"/>
        </w:rPr>
        <w:instrText xml:space="preserve"> ADDIN ZOTERO_ITEM CSL_CITATION {"citationID":"wvgFNgRY","properties":{"formattedCitation":"(18)","plainCitation":"(18)","noteIndex":0},"citationItems":[{"id":1553,"uris":["http://zotero.org/groups/4981848/items/8MG7M84H"],"itemData":{"id":1553,"type":"article-journal","container-title":"Molecular Psychiatry","DOI":"10.1038/s41380-021-01391-9","ISSN":"1359-4184, 1476-5578","issue":"3","journalAbbreviation":"Mol Psychiatry","language":"en","page":"1562-1572","source":"DOI.org (Crossref)","title":"The effects of stimulant dose and dosing strategy on treatment outcomes in attention-deficit/hyperactivity disorder in children and adolescents: a meta-analysis","title-short":"The effects of stimulant dose and dosing strategy on treatment outcomes in attention-deficit/hyperactivity disorder in children and adolescents","volume":"27","author":[{"family":"Farhat","given":"Luis C."},{"family":"Flores","given":"José M."},{"family":"Behling","given":"Emily"},{"family":"Avila-Quintero","given":"Victor J."},{"family":"Lombroso","given":"Adam"},{"family":"Cortese","given":"Samuele"},{"family":"Polanczyk","given":"Guilherme V."},{"family":"Bloch","given":"Michael H."}],"issued":{"date-parts":[["2022",3]]}}}],"schema":"https://github.com/citation-style-language/schema/raw/master/csl-citation.json"} </w:instrText>
      </w:r>
      <w:r w:rsidR="00780A9D" w:rsidRPr="00412073">
        <w:rPr>
          <w:lang w:val="en-US"/>
        </w:rPr>
        <w:fldChar w:fldCharType="separate"/>
      </w:r>
      <w:r w:rsidR="00212A6C" w:rsidRPr="00412073">
        <w:rPr>
          <w:rFonts w:ascii="Calibri" w:hAnsi="Calibri" w:cs="Calibri"/>
          <w:lang w:val="en-US"/>
        </w:rPr>
        <w:t>(18)</w:t>
      </w:r>
      <w:r w:rsidR="00780A9D" w:rsidRPr="00412073">
        <w:rPr>
          <w:lang w:val="en-US"/>
        </w:rPr>
        <w:fldChar w:fldCharType="end"/>
      </w:r>
      <w:r w:rsidR="00954879" w:rsidRPr="00412073">
        <w:rPr>
          <w:lang w:val="en-US"/>
        </w:rPr>
        <w:t xml:space="preserve"> </w:t>
      </w:r>
      <w:r w:rsidR="00780A9D" w:rsidRPr="00412073">
        <w:rPr>
          <w:lang w:val="en-US"/>
        </w:rPr>
        <w:t>(see Appendix Table S3).</w:t>
      </w:r>
      <w:r w:rsidR="000C4766" w:rsidRPr="00412073">
        <w:rPr>
          <w:lang w:val="en-US"/>
        </w:rPr>
        <w:t xml:space="preserve"> </w:t>
      </w:r>
      <w:r w:rsidR="000C4766" w:rsidRPr="00412073">
        <w:rPr>
          <w:rStyle w:val="Heading2Char"/>
          <w:b w:val="0"/>
          <w:bCs w:val="0"/>
        </w:rPr>
        <w:t>When doses in mg/kg/day will be reported, we will convert to m</w:t>
      </w:r>
      <w:r w:rsidR="00804B87" w:rsidRPr="00412073">
        <w:rPr>
          <w:rStyle w:val="Heading2Char"/>
          <w:b w:val="0"/>
          <w:bCs w:val="0"/>
        </w:rPr>
        <w:t>g</w:t>
      </w:r>
      <w:r w:rsidR="000C4766" w:rsidRPr="00412073">
        <w:rPr>
          <w:rStyle w:val="Heading2Char"/>
          <w:b w:val="0"/>
          <w:bCs w:val="0"/>
        </w:rPr>
        <w:t>/day using the mean baseline weight of the study participants.</w:t>
      </w:r>
      <w:r w:rsidR="00561829" w:rsidRPr="00412073">
        <w:rPr>
          <w:rStyle w:val="Heading2Char"/>
          <w:b w:val="0"/>
          <w:bCs w:val="0"/>
        </w:rPr>
        <w:t xml:space="preserve"> If the baseline weight</w:t>
      </w:r>
      <w:r w:rsidR="00540CB2" w:rsidRPr="00412073">
        <w:rPr>
          <w:rStyle w:val="Heading2Char"/>
          <w:b w:val="0"/>
          <w:bCs w:val="0"/>
        </w:rPr>
        <w:t>s are missing the study will be excluded.</w:t>
      </w:r>
    </w:p>
    <w:p w14:paraId="4D3E11FC" w14:textId="77777777" w:rsidR="00B423D8" w:rsidRPr="00412073" w:rsidRDefault="00B423D8" w:rsidP="003A2BD6">
      <w:pPr>
        <w:spacing w:line="276" w:lineRule="auto"/>
        <w:rPr>
          <w:lang w:val="en-US"/>
        </w:rPr>
      </w:pPr>
    </w:p>
    <w:p w14:paraId="5A00DF7E" w14:textId="11CD6334" w:rsidR="00F16852" w:rsidRPr="00412073" w:rsidRDefault="004D5A4E" w:rsidP="0086528E">
      <w:pPr>
        <w:pStyle w:val="Heading2"/>
      </w:pPr>
      <w:r w:rsidRPr="00412073">
        <w:t xml:space="preserve">Dose-effect </w:t>
      </w:r>
      <w:r w:rsidR="00FF597C" w:rsidRPr="00412073">
        <w:t xml:space="preserve">network </w:t>
      </w:r>
      <w:r w:rsidR="00EF49FC" w:rsidRPr="00412073">
        <w:t>meta-analysis</w:t>
      </w:r>
      <w:r w:rsidR="002A5DA8" w:rsidRPr="00412073">
        <w:t xml:space="preserve"> </w:t>
      </w:r>
      <w:r w:rsidRPr="00412073">
        <w:t>model</w:t>
      </w:r>
    </w:p>
    <w:p w14:paraId="68234B22" w14:textId="31335226" w:rsidR="0026136C" w:rsidRPr="00412073" w:rsidRDefault="00854554" w:rsidP="00734F99">
      <w:pPr>
        <w:spacing w:line="276" w:lineRule="auto"/>
        <w:rPr>
          <w:rFonts w:eastAsiaTheme="minorEastAsia"/>
          <w:lang w:val="en-US"/>
        </w:rPr>
      </w:pPr>
      <w:r w:rsidRPr="00412073">
        <w:rPr>
          <w:lang w:val="en-US"/>
        </w:rPr>
        <w:t xml:space="preserve">We will </w:t>
      </w:r>
      <w:r w:rsidR="00D234CE" w:rsidRPr="00412073">
        <w:rPr>
          <w:lang w:val="en-US"/>
        </w:rPr>
        <w:t>define</w:t>
      </w:r>
      <w:r w:rsidR="009F26E7" w:rsidRPr="00412073">
        <w:rPr>
          <w:lang w:val="en-US"/>
        </w:rPr>
        <w:t xml:space="preserve"> the D</w:t>
      </w:r>
      <w:r w:rsidR="00FB3DAF" w:rsidRPr="00412073">
        <w:rPr>
          <w:lang w:val="en-US"/>
        </w:rPr>
        <w:t>E</w:t>
      </w:r>
      <w:r w:rsidR="009F26E7" w:rsidRPr="00412073">
        <w:rPr>
          <w:lang w:val="en-US"/>
        </w:rPr>
        <w:t>-NMA model as</w:t>
      </w:r>
      <w:r w:rsidR="00D234CE" w:rsidRPr="00412073">
        <w:rPr>
          <w:lang w:val="en-US"/>
        </w:rPr>
        <w:t xml:space="preserve"> a three</w:t>
      </w:r>
      <w:r w:rsidR="00F52C28" w:rsidRPr="00412073">
        <w:rPr>
          <w:lang w:val="en-US"/>
        </w:rPr>
        <w:t>-</w:t>
      </w:r>
      <w:r w:rsidR="00D234CE" w:rsidRPr="00412073">
        <w:rPr>
          <w:lang w:val="en-US"/>
        </w:rPr>
        <w:t>level hierarchical model</w:t>
      </w:r>
      <w:r w:rsidR="0026136C" w:rsidRPr="00412073">
        <w:rPr>
          <w:rFonts w:eastAsiaTheme="minorEastAsia"/>
          <w:lang w:val="en-US"/>
        </w:rPr>
        <w:t xml:space="preserve"> </w:t>
      </w:r>
      <w:r w:rsidR="0026136C" w:rsidRPr="00412073">
        <w:rPr>
          <w:rFonts w:eastAsiaTheme="minorEastAsia"/>
          <w:lang w:val="en-US"/>
        </w:rPr>
        <w:fldChar w:fldCharType="begin"/>
      </w:r>
      <w:r w:rsidR="00212A6C" w:rsidRPr="00412073">
        <w:rPr>
          <w:rFonts w:eastAsiaTheme="minorEastAsia"/>
          <w:lang w:val="en-US"/>
        </w:rPr>
        <w:instrText xml:space="preserve"> ADDIN ZOTERO_ITEM CSL_CITATION {"citationID":"Y6r1gGUl","properties":{"formattedCitation":"(17)","plainCitation":"(17)","noteIndex":0},"citationItems":[{"id":1569,"uris":["http://zotero.org/groups/4981848/items/JUPUQWIQ"],"itemData":{"id":1569,"type":"article-journal","abstract":"Network meta-analysis has been used to answer a range of clinical questions about the preferred intervention for a given condition. Although the effectiveness and safety of pharmacological agents depend on the dose administered, network meta-analysis applications typically ignore the role that drugs dosage plays in the results. This leads to more heterogeneity in the network. In this paper, we present a suite of network meta-analysis models that incorporate the dose–effect relationship using restricted cubic splines. We extend existing models into a dose–effect network meta-regression to account for study-level covariates and for groups of agents in a class-effect dose–effect network meta-analysis model. We apply our models to a network of aggregate data about the efﬁcacy of 21 antidepressants and placebo for depression. We ﬁnd that all antidepressants are more efﬁcacious than placebo after a certain dose. Also, we identify the dose level at which each antidepressant’s effect exceeds that of placebo and estimate the dose beyond which the effect of antidepressants no longer increases. When covariates were introduced to the model, we ﬁnd that studies with small sample size tend to exaggerate antidepressants efﬁcacy for several of the drugs. Our dose–effect network meta-analysis model with restricted cubic splines provides a ﬂexible approach to modelling the dose–effect relationship in multiple interventions. Decisionmakers can use our model to inform treatment choice.","container-title":"Statistical Methods in Medical Research","DOI":"10.1177/09622802211070256","ISSN":"0962-2802, 1477-0334","journalAbbreviation":"Stat Methods Med Res","language":"en","page":"096228022110702","source":"DOI.org (Crossref)","title":"A dose–effect network meta-analysis model with application in antidepressants using restricted cubic splines","author":[{"family":"Hamza","given":"Tasnim"},{"family":"Furukawa","given":"Toshi A"},{"family":"Orsini","given":"Nicola"},{"family":"Cipriani","given":"Andrea"},{"family":"Iglesias","given":"Cynthia P"},{"family":"Salanti","given":"Georgia"}],"issued":{"date-parts":[["2022",2,24]]}}}],"schema":"https://github.com/citation-style-language/schema/raw/master/csl-citation.json"} </w:instrText>
      </w:r>
      <w:r w:rsidR="0026136C" w:rsidRPr="00412073">
        <w:rPr>
          <w:rFonts w:eastAsiaTheme="minorEastAsia"/>
          <w:lang w:val="en-US"/>
        </w:rPr>
        <w:fldChar w:fldCharType="separate"/>
      </w:r>
      <w:r w:rsidR="00212A6C" w:rsidRPr="00412073">
        <w:rPr>
          <w:rFonts w:ascii="Calibri" w:hAnsi="Calibri" w:cs="Calibri"/>
          <w:lang w:val="en-US"/>
        </w:rPr>
        <w:t>(17)</w:t>
      </w:r>
      <w:r w:rsidR="0026136C" w:rsidRPr="00412073">
        <w:rPr>
          <w:rFonts w:eastAsiaTheme="minorEastAsia"/>
          <w:lang w:val="en-US"/>
        </w:rPr>
        <w:fldChar w:fldCharType="end"/>
      </w:r>
      <w:r w:rsidR="0026136C" w:rsidRPr="00412073">
        <w:rPr>
          <w:rFonts w:eastAsiaTheme="minorEastAsia"/>
          <w:lang w:val="en-US"/>
        </w:rPr>
        <w:t>.</w:t>
      </w:r>
      <w:r w:rsidR="00734F99" w:rsidRPr="00412073">
        <w:rPr>
          <w:lang w:val="en-US"/>
        </w:rPr>
        <w:t xml:space="preserve"> Assum</w:t>
      </w:r>
      <w:r w:rsidR="008B1818" w:rsidRPr="00412073">
        <w:rPr>
          <w:lang w:val="en-US"/>
        </w:rPr>
        <w:t>e</w:t>
      </w:r>
      <w:r w:rsidR="00734F99" w:rsidRPr="00412073">
        <w:rPr>
          <w:lang w:val="en-US"/>
        </w:rPr>
        <w:t xml:space="preserve"> each study </w:t>
      </w:r>
      <m:oMath>
        <m:r>
          <w:rPr>
            <w:rFonts w:ascii="Cambria Math" w:eastAsiaTheme="minorEastAsia" w:hAnsi="Cambria Math"/>
            <w:lang w:val="en-US"/>
          </w:rPr>
          <m:t>i</m:t>
        </m:r>
      </m:oMath>
      <w:r w:rsidR="00FF597C" w:rsidRPr="00412073">
        <w:rPr>
          <w:rFonts w:eastAsiaTheme="minorEastAsia"/>
          <w:lang w:val="en-US"/>
        </w:rPr>
        <w:t xml:space="preserve"> with treatment </w:t>
      </w:r>
      <m:oMath>
        <m:r>
          <w:rPr>
            <w:rFonts w:ascii="Cambria Math" w:eastAsiaTheme="minorEastAsia" w:hAnsi="Cambria Math"/>
            <w:lang w:val="en-US"/>
          </w:rPr>
          <m:t>k</m:t>
        </m:r>
      </m:oMath>
      <w:r w:rsidR="00FF597C" w:rsidRPr="00412073">
        <w:rPr>
          <w:rFonts w:eastAsiaTheme="minorEastAsia"/>
          <w:lang w:val="en-US"/>
        </w:rPr>
        <w:t xml:space="preserve"> at dose </w:t>
      </w:r>
      <m:oMath>
        <m:r>
          <w:rPr>
            <w:rFonts w:ascii="Cambria Math" w:eastAsiaTheme="minorEastAsia" w:hAnsi="Cambria Math"/>
            <w:lang w:val="en-US"/>
          </w:rPr>
          <m:t>j</m:t>
        </m:r>
      </m:oMath>
      <w:r w:rsidR="00FF597C" w:rsidRPr="00412073">
        <w:rPr>
          <w:lang w:val="en-US"/>
        </w:rPr>
        <w:t xml:space="preserve"> </w:t>
      </w:r>
      <w:r w:rsidR="00734F99" w:rsidRPr="00412073">
        <w:rPr>
          <w:lang w:val="en-US"/>
        </w:rPr>
        <w:t>reports</w:t>
      </w:r>
      <w:r w:rsidR="001E5E82" w:rsidRPr="00412073">
        <w:rPr>
          <w:lang w:val="en-US"/>
        </w:rPr>
        <w:t xml:space="preserve"> the </w:t>
      </w:r>
      <w:r w:rsidR="00FF597C" w:rsidRPr="00412073">
        <w:rPr>
          <w:lang w:val="en-US"/>
        </w:rPr>
        <w:t xml:space="preserve">mean of a </w:t>
      </w:r>
      <w:r w:rsidR="001E5E82" w:rsidRPr="00412073">
        <w:rPr>
          <w:lang w:val="en-US"/>
        </w:rPr>
        <w:t>continuous outcome</w:t>
      </w:r>
      <w:r w:rsidR="00FF597C" w:rsidRPr="00412073">
        <w:rPr>
          <w:lang w:val="en-US"/>
        </w:rPr>
        <w:t>,</w:t>
      </w:r>
      <w:r w:rsidR="001E5E82" w:rsidRPr="00412073">
        <w:rPr>
          <w:lang w:val="en-US"/>
        </w:rPr>
        <w:t xml:space="preserve"> </w:t>
      </w:r>
      <m:oMath>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ijk</m:t>
            </m:r>
          </m:sub>
        </m:sSub>
      </m:oMath>
      <w:r w:rsidR="00FF597C" w:rsidRPr="00412073">
        <w:rPr>
          <w:rFonts w:eastAsiaTheme="minorEastAsia"/>
          <w:lang w:val="en-US"/>
        </w:rPr>
        <w:t xml:space="preserve">, </w:t>
      </w:r>
      <w:r w:rsidR="001E5E82" w:rsidRPr="00412073">
        <w:rPr>
          <w:rFonts w:eastAsiaTheme="minorEastAsia"/>
          <w:lang w:val="en-US"/>
        </w:rPr>
        <w:t>and standard error</w:t>
      </w:r>
      <w:r w:rsidR="00FF597C" w:rsidRPr="00412073">
        <w:rPr>
          <w:rFonts w:eastAsiaTheme="minorEastAsia"/>
          <w:lang w:val="en-US"/>
        </w:rPr>
        <w:t xml:space="preserve"> </w:t>
      </w:r>
      <m:oMath>
        <m:sSub>
          <m:sSubPr>
            <m:ctrlPr>
              <w:rPr>
                <w:rFonts w:ascii="Cambria Math" w:hAnsi="Cambria Math"/>
                <w:i/>
                <w:lang w:val="en-US"/>
              </w:rPr>
            </m:ctrlPr>
          </m:sSubPr>
          <m:e>
            <m:r>
              <w:rPr>
                <w:rFonts w:ascii="Cambria Math" w:hAnsi="Cambria Math"/>
                <w:lang w:val="en-US"/>
              </w:rPr>
              <m:t>se</m:t>
            </m:r>
          </m:e>
          <m:sub>
            <m:r>
              <w:rPr>
                <w:rFonts w:ascii="Cambria Math" w:hAnsi="Cambria Math"/>
                <w:lang w:val="en-US"/>
              </w:rPr>
              <m:t>ijk</m:t>
            </m:r>
          </m:sub>
        </m:sSub>
      </m:oMath>
      <w:r w:rsidR="00734F99" w:rsidRPr="00412073">
        <w:rPr>
          <w:lang w:val="en-US"/>
        </w:rPr>
        <w:t xml:space="preserve">. The sample means, </w:t>
      </w:r>
      <m:oMath>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ijk</m:t>
            </m:r>
          </m:sub>
        </m:sSub>
      </m:oMath>
      <w:r w:rsidR="00734F99" w:rsidRPr="00412073">
        <w:rPr>
          <w:lang w:val="en-US"/>
        </w:rPr>
        <w:t>, are assigned a normal distribution with likelihood</w:t>
      </w:r>
    </w:p>
    <w:p w14:paraId="168E98A6" w14:textId="3172E1BA" w:rsidR="00201086" w:rsidRPr="00412073" w:rsidRDefault="00000000" w:rsidP="006B3D11">
      <w:pPr>
        <w:spacing w:line="276" w:lineRule="auto"/>
        <w:jc w:val="center"/>
        <w:rPr>
          <w:rFonts w:eastAsiaTheme="minorEastAsia"/>
          <w:lang w:val="en-US"/>
        </w:rPr>
      </w:pPr>
      <m:oMathPara>
        <m:oMathParaPr>
          <m:jc m:val="center"/>
        </m:oMathParaPr>
        <m:oMath>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ijk</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φ</m:t>
              </m:r>
            </m:e>
            <m:sub>
              <m:r>
                <w:rPr>
                  <w:rFonts w:ascii="Cambria Math" w:hAnsi="Cambria Math"/>
                  <w:lang w:val="en-US"/>
                </w:rPr>
                <m:t>ijk</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se</m:t>
              </m:r>
            </m:e>
            <m:sub>
              <m:r>
                <w:rPr>
                  <w:rFonts w:ascii="Cambria Math" w:hAnsi="Cambria Math"/>
                  <w:lang w:val="en-US"/>
                </w:rPr>
                <m:t>ijk</m:t>
              </m:r>
            </m:sub>
            <m:sup>
              <m:r>
                <w:rPr>
                  <w:rFonts w:ascii="Cambria Math" w:hAnsi="Cambria Math"/>
                  <w:lang w:val="en-US"/>
                </w:rPr>
                <m:t>2</m:t>
              </m:r>
            </m:sup>
          </m:sSubSup>
          <m:r>
            <w:rPr>
              <w:rFonts w:ascii="Cambria Math" w:hAnsi="Cambria Math"/>
              <w:lang w:val="en-US"/>
            </w:rPr>
            <m:t>)</m:t>
          </m:r>
        </m:oMath>
      </m:oMathPara>
    </w:p>
    <w:p w14:paraId="0C7B1D11" w14:textId="77F04EEA" w:rsidR="00734F99" w:rsidRPr="00412073" w:rsidRDefault="00734F99" w:rsidP="006B3D11">
      <w:pPr>
        <w:spacing w:line="276" w:lineRule="auto"/>
        <w:jc w:val="center"/>
        <w:rPr>
          <w:rFonts w:eastAsiaTheme="minorEastAsia"/>
          <w:lang w:val="en-US"/>
        </w:rPr>
      </w:pPr>
      <w:r w:rsidRPr="00412073">
        <w:rPr>
          <w:rFonts w:eastAsiaTheme="minorEastAsia"/>
          <w:lang w:val="en-US"/>
        </w:rPr>
        <w:t>where</w:t>
      </w:r>
    </w:p>
    <w:p w14:paraId="139FD7F0" w14:textId="62DBB733" w:rsidR="009F26E7" w:rsidRPr="00412073" w:rsidRDefault="00000000" w:rsidP="006B3D11">
      <w:pPr>
        <w:spacing w:line="276" w:lineRule="auto"/>
        <w:jc w:val="center"/>
        <w:rPr>
          <w:rFonts w:eastAsiaTheme="minorEastAsia"/>
          <w:lang w:val="en-US"/>
        </w:rPr>
      </w:pPr>
      <m:oMath>
        <m:sSub>
          <m:sSubPr>
            <m:ctrlPr>
              <w:rPr>
                <w:rFonts w:ascii="Cambria Math" w:hAnsi="Cambria Math"/>
                <w:i/>
                <w:lang w:val="en-US"/>
              </w:rPr>
            </m:ctrlPr>
          </m:sSubPr>
          <m:e>
            <m:r>
              <w:rPr>
                <w:rFonts w:ascii="Cambria Math" w:hAnsi="Cambria Math"/>
                <w:lang w:val="en-US"/>
              </w:rPr>
              <m:t>φ</m:t>
            </m:r>
          </m:e>
          <m:sub>
            <m:r>
              <w:rPr>
                <w:rFonts w:ascii="Cambria Math" w:hAnsi="Cambria Math"/>
                <w:lang w:val="en-US"/>
              </w:rPr>
              <m:t>ijk</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ijk</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i</m:t>
            </m:r>
          </m:sub>
        </m:sSub>
      </m:oMath>
      <w:r w:rsidR="0026136C" w:rsidRPr="00412073">
        <w:rPr>
          <w:rFonts w:eastAsiaTheme="minorEastAsia"/>
          <w:lang w:val="en-US"/>
        </w:rPr>
        <w:t>;</w:t>
      </w:r>
    </w:p>
    <w:p w14:paraId="4EE5CF46" w14:textId="3674CCD6" w:rsidR="00734F99" w:rsidRPr="00412073" w:rsidRDefault="00000000" w:rsidP="00734F99">
      <w:pPr>
        <w:spacing w:line="276" w:lineRule="auto"/>
        <w:rPr>
          <w:rFonts w:eastAsiaTheme="minorEastAsia"/>
          <w:lang w:val="en-US"/>
        </w:rPr>
      </w:pPr>
      <m:oMath>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ijk</m:t>
            </m:r>
          </m:sub>
        </m:sSub>
      </m:oMath>
      <w:r w:rsidR="00734F99" w:rsidRPr="00412073">
        <w:rPr>
          <w:rFonts w:eastAsiaTheme="minorEastAsia"/>
          <w:lang w:val="en-US"/>
        </w:rPr>
        <w:t xml:space="preserve"> is the </w:t>
      </w:r>
      <w:r w:rsidR="008B1818" w:rsidRPr="00412073">
        <w:rPr>
          <w:rFonts w:eastAsiaTheme="minorEastAsia"/>
          <w:lang w:val="en-US"/>
        </w:rPr>
        <w:t>standardized</w:t>
      </w:r>
      <w:r w:rsidR="00734F99" w:rsidRPr="00412073">
        <w:rPr>
          <w:rFonts w:eastAsiaTheme="minorEastAsia"/>
          <w:lang w:val="en-US"/>
        </w:rPr>
        <w:t xml:space="preserve"> mean (SM) and </w:t>
      </w:r>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i</m:t>
            </m:r>
          </m:sub>
        </m:sSub>
      </m:oMath>
      <w:r w:rsidR="00734F99" w:rsidRPr="00412073">
        <w:rPr>
          <w:rFonts w:eastAsiaTheme="minorEastAsia"/>
          <w:lang w:val="en-US"/>
        </w:rPr>
        <w:t xml:space="preserve"> is the pooled standard deviation. </w:t>
      </w:r>
      <w:r w:rsidR="0026136C" w:rsidRPr="00412073">
        <w:rPr>
          <w:rFonts w:eastAsiaTheme="minorEastAsia"/>
          <w:lang w:val="en-US"/>
        </w:rPr>
        <w:t>Then we parametrise</w:t>
      </w:r>
    </w:p>
    <w:p w14:paraId="436907E4" w14:textId="3A16C6E6" w:rsidR="000901E4" w:rsidRPr="00412073" w:rsidRDefault="00000000" w:rsidP="003A2BD6">
      <w:pPr>
        <w:spacing w:line="276" w:lineRule="auto"/>
        <w:rPr>
          <w:rFonts w:eastAsiaTheme="minorEastAsia"/>
          <w:lang w:val="it-IT"/>
        </w:rPr>
      </w:pPr>
      <m:oMathPara>
        <m:oMath>
          <m:sSub>
            <m:sSubPr>
              <m:ctrlPr>
                <w:rPr>
                  <w:rFonts w:ascii="Cambria Math" w:eastAsiaTheme="minorEastAsia" w:hAnsi="Cambria Math"/>
                  <w:i/>
                  <w:lang w:val="en-US"/>
                </w:rPr>
              </m:ctrlPr>
            </m:sSubPr>
            <m:e>
              <m:r>
                <w:rPr>
                  <w:rFonts w:ascii="Cambria Math" w:eastAsiaTheme="minorEastAsia" w:hAnsi="Cambria Math"/>
                  <w:lang w:val="en-US"/>
                </w:rPr>
                <m:t>θ</m:t>
              </m:r>
            </m:e>
            <m:sub>
              <m:r>
                <w:rPr>
                  <w:rFonts w:ascii="Cambria Math" w:eastAsiaTheme="minorEastAsia" w:hAnsi="Cambria Math"/>
                  <w:lang w:val="en-US"/>
                </w:rPr>
                <m:t>ijk</m:t>
              </m:r>
            </m:sub>
          </m:sSub>
          <m:r>
            <w:rPr>
              <w:rFonts w:ascii="Cambria Math" w:eastAsiaTheme="minorEastAsia" w:hAnsi="Cambria Math"/>
              <w:lang w:val="it-IT"/>
            </w:rPr>
            <m:t>=</m:t>
          </m:r>
          <m:sSub>
            <m:sSubPr>
              <m:ctrlPr>
                <w:rPr>
                  <w:rFonts w:ascii="Cambria Math" w:eastAsiaTheme="minorEastAsia" w:hAnsi="Cambria Math"/>
                  <w:i/>
                  <w:lang w:val="en-US"/>
                </w:rPr>
              </m:ctrlPr>
            </m:sSubPr>
            <m:e>
              <m:r>
                <w:rPr>
                  <w:rFonts w:ascii="Cambria Math" w:eastAsiaTheme="minorEastAsia" w:hAnsi="Cambria Math"/>
                  <w:lang w:val="en-US"/>
                </w:rPr>
                <m:t>μ</m:t>
              </m:r>
            </m:e>
            <m:sub>
              <m:r>
                <w:rPr>
                  <w:rFonts w:ascii="Cambria Math" w:eastAsiaTheme="minorEastAsia" w:hAnsi="Cambria Math"/>
                  <w:lang w:val="en-US"/>
                </w:rPr>
                <m:t>i</m:t>
              </m:r>
            </m:sub>
          </m:sSub>
          <m:r>
            <w:rPr>
              <w:rFonts w:ascii="Cambria Math" w:eastAsiaTheme="minorEastAsia" w:hAnsi="Cambria Math"/>
              <w:lang w:val="it-IT"/>
            </w:rPr>
            <m:t>+</m:t>
          </m:r>
          <m:sSub>
            <m:sSubPr>
              <m:ctrlPr>
                <w:rPr>
                  <w:rFonts w:ascii="Cambria Math" w:eastAsiaTheme="minorEastAsia" w:hAnsi="Cambria Math"/>
                  <w:i/>
                  <w:lang w:val="en-US"/>
                </w:rPr>
              </m:ctrlPr>
            </m:sSubPr>
            <m:e>
              <m:r>
                <w:rPr>
                  <w:rFonts w:ascii="Cambria Math" w:eastAsiaTheme="minorEastAsia" w:hAnsi="Cambria Math"/>
                  <w:lang w:val="en-US"/>
                </w:rPr>
                <m:t>δ</m:t>
              </m:r>
            </m:e>
            <m:sub>
              <m:r>
                <w:rPr>
                  <w:rFonts w:ascii="Cambria Math" w:eastAsiaTheme="minorEastAsia" w:hAnsi="Cambria Math"/>
                  <w:lang w:val="en-US"/>
                </w:rPr>
                <m:t>ijk</m:t>
              </m:r>
            </m:sub>
          </m:sSub>
        </m:oMath>
      </m:oMathPara>
    </w:p>
    <w:p w14:paraId="2B0FC331" w14:textId="173245FF" w:rsidR="00CB0595" w:rsidRPr="00412073" w:rsidRDefault="0026136C" w:rsidP="003A2BD6">
      <w:pPr>
        <w:spacing w:line="276" w:lineRule="auto"/>
        <w:rPr>
          <w:rFonts w:eastAsiaTheme="minorEastAsia"/>
          <w:lang w:val="en-US"/>
        </w:rPr>
      </w:pPr>
      <w:r w:rsidRPr="00412073">
        <w:rPr>
          <w:rFonts w:eastAsiaTheme="minorEastAsia"/>
          <w:lang w:val="en-US"/>
        </w:rPr>
        <w:t xml:space="preserve">where </w:t>
      </w:r>
      <m:oMath>
        <m:sSub>
          <m:sSubPr>
            <m:ctrlPr>
              <w:rPr>
                <w:rFonts w:ascii="Cambria Math" w:eastAsiaTheme="minorEastAsia" w:hAnsi="Cambria Math"/>
                <w:i/>
                <w:lang w:val="en-US"/>
              </w:rPr>
            </m:ctrlPr>
          </m:sSubPr>
          <m:e>
            <m:r>
              <w:rPr>
                <w:rFonts w:ascii="Cambria Math" w:eastAsiaTheme="minorEastAsia" w:hAnsi="Cambria Math"/>
                <w:lang w:val="en-US"/>
              </w:rPr>
              <m:t>μ</m:t>
            </m:r>
          </m:e>
          <m:sub>
            <m:r>
              <w:rPr>
                <w:rFonts w:ascii="Cambria Math" w:eastAsiaTheme="minorEastAsia" w:hAnsi="Cambria Math"/>
                <w:lang w:val="en-US"/>
              </w:rPr>
              <m:t>i</m:t>
            </m:r>
          </m:sub>
        </m:sSub>
      </m:oMath>
      <w:r w:rsidR="00CB0595" w:rsidRPr="00412073">
        <w:rPr>
          <w:rFonts w:eastAsiaTheme="minorEastAsia"/>
          <w:lang w:val="en-US"/>
        </w:rPr>
        <w:t xml:space="preserve"> </w:t>
      </w:r>
      <w:r w:rsidRPr="00412073">
        <w:rPr>
          <w:rFonts w:eastAsiaTheme="minorEastAsia"/>
          <w:lang w:val="en-US"/>
        </w:rPr>
        <w:t xml:space="preserve">is </w:t>
      </w:r>
      <w:r w:rsidR="00CB0595" w:rsidRPr="00412073">
        <w:rPr>
          <w:rFonts w:eastAsiaTheme="minorEastAsia"/>
          <w:lang w:val="en-US"/>
        </w:rPr>
        <w:t>the</w:t>
      </w:r>
      <w:r w:rsidR="00551968" w:rsidRPr="00412073">
        <w:rPr>
          <w:rFonts w:eastAsiaTheme="minorEastAsia"/>
          <w:lang w:val="en-US"/>
        </w:rPr>
        <w:t xml:space="preserve"> study-specific</w:t>
      </w:r>
      <w:r w:rsidR="00CB0595" w:rsidRPr="00412073">
        <w:rPr>
          <w:rFonts w:eastAsiaTheme="minorEastAsia"/>
          <w:lang w:val="en-US"/>
        </w:rPr>
        <w:t xml:space="preserve"> </w:t>
      </w:r>
      <w:r w:rsidR="00A61023" w:rsidRPr="00412073">
        <w:rPr>
          <w:rFonts w:eastAsiaTheme="minorEastAsia"/>
          <w:lang w:val="en-US"/>
        </w:rPr>
        <w:t>mean outcome in</w:t>
      </w:r>
      <w:r w:rsidR="0077238D" w:rsidRPr="00412073">
        <w:rPr>
          <w:rFonts w:eastAsiaTheme="minorEastAsia"/>
          <w:lang w:val="en-US"/>
        </w:rPr>
        <w:t xml:space="preserve"> the placebo</w:t>
      </w:r>
      <w:r w:rsidRPr="00412073">
        <w:rPr>
          <w:rFonts w:eastAsiaTheme="minorEastAsia"/>
          <w:lang w:val="en-US"/>
        </w:rPr>
        <w:t xml:space="preserve"> (or reference)</w:t>
      </w:r>
      <w:r w:rsidR="0077238D" w:rsidRPr="00412073">
        <w:rPr>
          <w:rFonts w:eastAsiaTheme="minorEastAsia"/>
          <w:lang w:val="en-US"/>
        </w:rPr>
        <w:t xml:space="preserve"> arm in study </w:t>
      </w:r>
      <m:oMath>
        <m:r>
          <w:rPr>
            <w:rFonts w:ascii="Cambria Math" w:eastAsiaTheme="minorEastAsia" w:hAnsi="Cambria Math"/>
            <w:lang w:val="en-US"/>
          </w:rPr>
          <m:t>i</m:t>
        </m:r>
      </m:oMath>
      <w:r w:rsidR="00A61023" w:rsidRPr="00412073">
        <w:rPr>
          <w:rFonts w:eastAsiaTheme="minorEastAsia"/>
          <w:lang w:val="en-US"/>
        </w:rPr>
        <w:t>,</w:t>
      </w:r>
      <w:r w:rsidR="0077238D" w:rsidRPr="00412073">
        <w:rPr>
          <w:rFonts w:eastAsiaTheme="minorEastAsia"/>
          <w:lang w:val="en-US"/>
        </w:rPr>
        <w:t xml:space="preserve"> </w:t>
      </w:r>
      <w:r w:rsidR="00551968" w:rsidRPr="00412073">
        <w:rPr>
          <w:rFonts w:eastAsiaTheme="minorEastAsia"/>
          <w:lang w:val="en-US"/>
        </w:rPr>
        <w:t>a</w:t>
      </w:r>
      <w:r w:rsidR="0077238D" w:rsidRPr="00412073">
        <w:rPr>
          <w:rFonts w:eastAsiaTheme="minorEastAsia"/>
          <w:lang w:val="en-US"/>
        </w:rPr>
        <w:t xml:space="preserve">nd </w:t>
      </w:r>
      <m:oMath>
        <m:sSub>
          <m:sSubPr>
            <m:ctrlPr>
              <w:rPr>
                <w:rFonts w:ascii="Cambria Math" w:eastAsiaTheme="minorEastAsia" w:hAnsi="Cambria Math"/>
                <w:i/>
                <w:lang w:val="en-US"/>
              </w:rPr>
            </m:ctrlPr>
          </m:sSubPr>
          <m:e>
            <m:r>
              <w:rPr>
                <w:rFonts w:ascii="Cambria Math" w:eastAsiaTheme="minorEastAsia" w:hAnsi="Cambria Math"/>
                <w:lang w:val="en-US"/>
              </w:rPr>
              <m:t>δ</m:t>
            </m:r>
          </m:e>
          <m:sub>
            <m:r>
              <w:rPr>
                <w:rFonts w:ascii="Cambria Math" w:eastAsiaTheme="minorEastAsia" w:hAnsi="Cambria Math"/>
                <w:lang w:val="en-US"/>
              </w:rPr>
              <m:t>ijk</m:t>
            </m:r>
          </m:sub>
        </m:sSub>
      </m:oMath>
      <w:r w:rsidR="0077238D" w:rsidRPr="00412073">
        <w:rPr>
          <w:rFonts w:eastAsiaTheme="minorEastAsia"/>
          <w:lang w:val="en-US"/>
        </w:rPr>
        <w:t xml:space="preserve"> </w:t>
      </w:r>
      <w:r w:rsidRPr="00412073">
        <w:rPr>
          <w:rFonts w:eastAsiaTheme="minorEastAsia"/>
          <w:lang w:val="en-US"/>
        </w:rPr>
        <w:t xml:space="preserve">is </w:t>
      </w:r>
      <w:r w:rsidR="0077238D" w:rsidRPr="00412073">
        <w:rPr>
          <w:rFonts w:eastAsiaTheme="minorEastAsia"/>
          <w:lang w:val="en-US"/>
        </w:rPr>
        <w:t>the</w:t>
      </w:r>
      <w:r w:rsidR="00551968" w:rsidRPr="00412073">
        <w:rPr>
          <w:rFonts w:eastAsiaTheme="minorEastAsia"/>
          <w:lang w:val="en-US"/>
        </w:rPr>
        <w:t xml:space="preserve"> study-specific treatment</w:t>
      </w:r>
      <w:r w:rsidR="0077238D" w:rsidRPr="00412073">
        <w:rPr>
          <w:rFonts w:eastAsiaTheme="minorEastAsia"/>
          <w:lang w:val="en-US"/>
        </w:rPr>
        <w:t xml:space="preserve"> </w:t>
      </w:r>
      <w:r w:rsidR="00726A86" w:rsidRPr="00412073">
        <w:rPr>
          <w:rFonts w:eastAsiaTheme="minorEastAsia"/>
          <w:lang w:val="en-US"/>
        </w:rPr>
        <w:t xml:space="preserve">effect </w:t>
      </w:r>
      <w:r w:rsidR="007311CA" w:rsidRPr="00412073">
        <w:rPr>
          <w:rFonts w:eastAsiaTheme="minorEastAsia"/>
          <w:lang w:val="en-US"/>
        </w:rPr>
        <w:t xml:space="preserve">(standardized mean difference) </w:t>
      </w:r>
      <w:r w:rsidRPr="00412073">
        <w:rPr>
          <w:rFonts w:eastAsiaTheme="minorEastAsia"/>
          <w:lang w:val="en-US"/>
        </w:rPr>
        <w:t xml:space="preserve">of </w:t>
      </w:r>
      <w:r w:rsidR="00551968" w:rsidRPr="00412073">
        <w:rPr>
          <w:rFonts w:eastAsiaTheme="minorEastAsia"/>
          <w:lang w:val="en-US"/>
        </w:rPr>
        <w:t xml:space="preserve">treatment </w:t>
      </w:r>
      <m:oMath>
        <m:r>
          <w:rPr>
            <w:rFonts w:ascii="Cambria Math" w:eastAsiaTheme="minorEastAsia" w:hAnsi="Cambria Math"/>
            <w:lang w:val="en-US"/>
          </w:rPr>
          <m:t>k</m:t>
        </m:r>
      </m:oMath>
      <w:r w:rsidR="00726A86" w:rsidRPr="00412073">
        <w:rPr>
          <w:rFonts w:eastAsiaTheme="minorEastAsia"/>
          <w:lang w:val="en-US"/>
        </w:rPr>
        <w:t xml:space="preserve"> </w:t>
      </w:r>
      <w:r w:rsidR="00551968" w:rsidRPr="00412073">
        <w:rPr>
          <w:rFonts w:eastAsiaTheme="minorEastAsia"/>
          <w:lang w:val="en-US"/>
        </w:rPr>
        <w:t xml:space="preserve">at </w:t>
      </w:r>
      <w:r w:rsidR="002310CD" w:rsidRPr="00412073">
        <w:rPr>
          <w:rFonts w:eastAsiaTheme="minorEastAsia"/>
          <w:lang w:val="en-US"/>
        </w:rPr>
        <w:t xml:space="preserve">dose level </w:t>
      </w:r>
      <m:oMath>
        <m:r>
          <w:rPr>
            <w:rFonts w:ascii="Cambria Math" w:eastAsiaTheme="minorEastAsia" w:hAnsi="Cambria Math"/>
            <w:lang w:val="en-US"/>
          </w:rPr>
          <m:t>j</m:t>
        </m:r>
      </m:oMath>
      <w:r w:rsidR="00551968" w:rsidRPr="00412073">
        <w:rPr>
          <w:rFonts w:eastAsiaTheme="minorEastAsia"/>
          <w:lang w:val="en-US"/>
        </w:rPr>
        <w:t xml:space="preserve"> </w:t>
      </w:r>
      <w:r w:rsidRPr="00412073">
        <w:rPr>
          <w:rFonts w:eastAsiaTheme="minorEastAsia"/>
          <w:lang w:val="en-US"/>
        </w:rPr>
        <w:t>versus</w:t>
      </w:r>
      <w:r w:rsidR="00551968" w:rsidRPr="00412073">
        <w:rPr>
          <w:rFonts w:eastAsiaTheme="minorEastAsia"/>
          <w:lang w:val="en-US"/>
        </w:rPr>
        <w:t xml:space="preserve"> placebo</w:t>
      </w:r>
      <w:r w:rsidR="002310CD" w:rsidRPr="00412073">
        <w:rPr>
          <w:rFonts w:eastAsiaTheme="minorEastAsia"/>
          <w:lang w:val="en-US"/>
        </w:rPr>
        <w:t>.</w:t>
      </w:r>
      <w:r w:rsidR="00BA2F6F" w:rsidRPr="00412073">
        <w:rPr>
          <w:rFonts w:eastAsiaTheme="minorEastAsia"/>
          <w:lang w:val="en-US"/>
        </w:rPr>
        <w:t xml:space="preserve"> </w:t>
      </w:r>
      <w:r w:rsidRPr="00412073">
        <w:rPr>
          <w:rFonts w:eastAsiaTheme="minorEastAsia"/>
          <w:lang w:val="en-US"/>
        </w:rPr>
        <w:t>If the</w:t>
      </w:r>
      <w:r w:rsidR="00E175C8" w:rsidRPr="00412073">
        <w:rPr>
          <w:rFonts w:eastAsiaTheme="minorEastAsia"/>
          <w:lang w:val="en-US"/>
        </w:rPr>
        <w:t xml:space="preserve"> study </w:t>
      </w:r>
      <m:oMath>
        <m:r>
          <w:rPr>
            <w:rFonts w:ascii="Cambria Math" w:eastAsiaTheme="minorEastAsia" w:hAnsi="Cambria Math"/>
            <w:lang w:val="en-US"/>
          </w:rPr>
          <m:t>i</m:t>
        </m:r>
      </m:oMath>
      <w:r w:rsidR="00E175C8" w:rsidRPr="00412073">
        <w:rPr>
          <w:rFonts w:eastAsiaTheme="minorEastAsia"/>
          <w:lang w:val="en-US"/>
        </w:rPr>
        <w:t xml:space="preserve"> </w:t>
      </w:r>
      <w:r w:rsidRPr="00412073">
        <w:rPr>
          <w:rFonts w:eastAsiaTheme="minorEastAsia"/>
          <w:lang w:val="en-US"/>
        </w:rPr>
        <w:t>does</w:t>
      </w:r>
      <w:r w:rsidR="00E175C8" w:rsidRPr="00412073">
        <w:rPr>
          <w:rFonts w:eastAsiaTheme="minorEastAsia"/>
          <w:lang w:val="en-US"/>
        </w:rPr>
        <w:t xml:space="preserve"> not have a placebo arm, we will choose a</w:t>
      </w:r>
      <w:r w:rsidR="0091445F" w:rsidRPr="00412073">
        <w:rPr>
          <w:rFonts w:eastAsiaTheme="minorEastAsia"/>
          <w:lang w:val="en-US"/>
        </w:rPr>
        <w:t xml:space="preserve"> </w:t>
      </w:r>
      <w:r w:rsidRPr="00412073">
        <w:rPr>
          <w:rFonts w:eastAsiaTheme="minorEastAsia"/>
          <w:lang w:val="en-US"/>
        </w:rPr>
        <w:t>reference treatment</w:t>
      </w:r>
      <w:r w:rsidR="00E175C8" w:rsidRPr="00412073">
        <w:rPr>
          <w:rFonts w:eastAsiaTheme="minorEastAsia"/>
          <w:lang w:val="en-US"/>
        </w:rPr>
        <w:t xml:space="preserve"> </w:t>
      </w:r>
      <m:oMath>
        <m:r>
          <w:rPr>
            <w:rFonts w:ascii="Cambria Math" w:eastAsiaTheme="minorEastAsia" w:hAnsi="Cambria Math"/>
            <w:lang w:val="en-US"/>
          </w:rPr>
          <m:t>R</m:t>
        </m:r>
      </m:oMath>
      <w:r w:rsidR="00E175C8" w:rsidRPr="00412073">
        <w:rPr>
          <w:rFonts w:eastAsiaTheme="minorEastAsia"/>
          <w:lang w:val="en-US"/>
        </w:rPr>
        <w:t xml:space="preserve"> at the minimum dose level </w:t>
      </w:r>
      <m:oMath>
        <m:r>
          <w:rPr>
            <w:rFonts w:ascii="Cambria Math" w:eastAsiaTheme="minorEastAsia" w:hAnsi="Cambria Math"/>
            <w:lang w:val="en-US"/>
          </w:rPr>
          <m:t>r</m:t>
        </m:r>
      </m:oMath>
      <w:r w:rsidR="00AA5A33" w:rsidRPr="00412073">
        <w:rPr>
          <w:rFonts w:eastAsiaTheme="minorEastAsia"/>
          <w:lang w:val="en-US"/>
        </w:rPr>
        <w:t xml:space="preserve"> as the study-specific </w:t>
      </w:r>
      <w:r w:rsidRPr="00412073">
        <w:rPr>
          <w:rFonts w:eastAsiaTheme="minorEastAsia"/>
          <w:lang w:val="en-US"/>
        </w:rPr>
        <w:t>reference.</w:t>
      </w:r>
    </w:p>
    <w:p w14:paraId="2F41B5D8" w14:textId="161AF097" w:rsidR="0007580C" w:rsidRPr="00412073" w:rsidRDefault="003D61ED" w:rsidP="003A2BD6">
      <w:pPr>
        <w:spacing w:line="276" w:lineRule="auto"/>
        <w:rPr>
          <w:rFonts w:eastAsiaTheme="minorEastAsia"/>
          <w:lang w:val="en-US"/>
        </w:rPr>
      </w:pPr>
      <w:r w:rsidRPr="00412073">
        <w:rPr>
          <w:rFonts w:eastAsiaTheme="minorEastAsia"/>
          <w:lang w:val="en-US"/>
        </w:rPr>
        <w:t xml:space="preserve">The parameter </w:t>
      </w:r>
      <m:oMath>
        <m:sSub>
          <m:sSubPr>
            <m:ctrlPr>
              <w:rPr>
                <w:rFonts w:ascii="Cambria Math" w:eastAsiaTheme="minorEastAsia" w:hAnsi="Cambria Math"/>
                <w:i/>
                <w:lang w:val="en-US"/>
              </w:rPr>
            </m:ctrlPr>
          </m:sSubPr>
          <m:e>
            <m:r>
              <w:rPr>
                <w:rFonts w:ascii="Cambria Math" w:eastAsiaTheme="minorEastAsia" w:hAnsi="Cambria Math"/>
                <w:lang w:val="en-US"/>
              </w:rPr>
              <m:t>δ</m:t>
            </m:r>
          </m:e>
          <m:sub>
            <m:r>
              <w:rPr>
                <w:rFonts w:ascii="Cambria Math" w:eastAsiaTheme="minorEastAsia" w:hAnsi="Cambria Math"/>
                <w:lang w:val="en-US"/>
              </w:rPr>
              <m:t>ijk</m:t>
            </m:r>
          </m:sub>
        </m:sSub>
      </m:oMath>
      <w:r w:rsidRPr="00412073">
        <w:rPr>
          <w:rFonts w:eastAsiaTheme="minorEastAsia"/>
          <w:lang w:val="en-US"/>
        </w:rPr>
        <w:t xml:space="preserve"> will be modelled assuming </w:t>
      </w:r>
      <w:r w:rsidR="0026136C" w:rsidRPr="00412073">
        <w:rPr>
          <w:rFonts w:eastAsiaTheme="minorEastAsia"/>
          <w:lang w:val="en-US"/>
        </w:rPr>
        <w:t>exchangeable effects</w:t>
      </w:r>
      <w:r w:rsidR="0091445F" w:rsidRPr="00412073">
        <w:rPr>
          <w:rFonts w:eastAsiaTheme="minorEastAsia"/>
          <w:lang w:val="en-US"/>
        </w:rPr>
        <w:t>:</w:t>
      </w:r>
    </w:p>
    <w:p w14:paraId="5D70E539" w14:textId="7DB63533" w:rsidR="003D61ED" w:rsidRPr="00412073" w:rsidRDefault="00000000" w:rsidP="003A2BD6">
      <w:pPr>
        <w:spacing w:line="276" w:lineRule="auto"/>
        <w:rPr>
          <w:rFonts w:eastAsiaTheme="minorEastAsia"/>
          <w:lang w:val="en-US"/>
        </w:rPr>
      </w:pPr>
      <m:oMathPara>
        <m:oMath>
          <m:sSub>
            <m:sSubPr>
              <m:ctrlPr>
                <w:rPr>
                  <w:rFonts w:ascii="Cambria Math" w:eastAsiaTheme="minorEastAsia" w:hAnsi="Cambria Math"/>
                  <w:i/>
                  <w:lang w:val="en-US"/>
                </w:rPr>
              </m:ctrlPr>
            </m:sSubPr>
            <m:e>
              <m:r>
                <w:rPr>
                  <w:rFonts w:ascii="Cambria Math" w:eastAsiaTheme="minorEastAsia" w:hAnsi="Cambria Math"/>
                  <w:lang w:val="en-US"/>
                </w:rPr>
                <m:t>δ</m:t>
              </m:r>
            </m:e>
            <m:sub>
              <m:r>
                <w:rPr>
                  <w:rFonts w:ascii="Cambria Math" w:eastAsiaTheme="minorEastAsia" w:hAnsi="Cambria Math"/>
                  <w:lang w:val="en-US"/>
                </w:rPr>
                <m:t>ijk</m:t>
              </m:r>
            </m:sub>
          </m:sSub>
          <m:r>
            <w:rPr>
              <w:rFonts w:ascii="Cambria Math" w:eastAsiaTheme="minorEastAsia" w:hAnsi="Cambria Math"/>
              <w:lang w:val="en-US"/>
            </w:rPr>
            <m:t>~N</m:t>
          </m:r>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m:rPr>
                      <m:sty m:val="p"/>
                    </m:rPr>
                    <w:rPr>
                      <w:rFonts w:ascii="Cambria Math" w:eastAsiaTheme="minorEastAsia" w:hAnsi="Cambria Math"/>
                      <w:lang w:val="en-US"/>
                    </w:rPr>
                    <m:t>Δ</m:t>
                  </m:r>
                </m:e>
                <m:sub>
                  <m:r>
                    <w:rPr>
                      <w:rFonts w:ascii="Cambria Math" w:eastAsiaTheme="minorEastAsia" w:hAnsi="Cambria Math"/>
                      <w:lang w:val="en-US"/>
                    </w:rPr>
                    <m:t>ijk</m:t>
                  </m:r>
                </m:sub>
              </m:sSub>
              <m:r>
                <w:rPr>
                  <w:rFonts w:ascii="Cambria Math" w:eastAsiaTheme="minorEastAsia" w:hAnsi="Cambria Math"/>
                  <w:lang w:val="en-US"/>
                </w:rPr>
                <m:t xml:space="preserve">, </m:t>
              </m:r>
              <m:sSup>
                <m:sSupPr>
                  <m:ctrlPr>
                    <w:rPr>
                      <w:rFonts w:ascii="Cambria Math" w:eastAsiaTheme="minorEastAsia" w:hAnsi="Cambria Math"/>
                      <w:i/>
                      <w:lang w:val="en-US"/>
                    </w:rPr>
                  </m:ctrlPr>
                </m:sSupPr>
                <m:e>
                  <m:r>
                    <w:rPr>
                      <w:rFonts w:ascii="Cambria Math" w:eastAsiaTheme="minorEastAsia" w:hAnsi="Cambria Math"/>
                      <w:lang w:val="en-US"/>
                    </w:rPr>
                    <m:t>τ</m:t>
                  </m:r>
                </m:e>
                <m:sup>
                  <m:r>
                    <w:rPr>
                      <w:rFonts w:ascii="Cambria Math" w:eastAsiaTheme="minorEastAsia" w:hAnsi="Cambria Math"/>
                      <w:lang w:val="en-US"/>
                    </w:rPr>
                    <m:t>2</m:t>
                  </m:r>
                </m:sup>
              </m:sSup>
            </m:e>
          </m:d>
        </m:oMath>
      </m:oMathPara>
    </w:p>
    <w:p w14:paraId="556E3B7A" w14:textId="33851BCB" w:rsidR="00330A4A" w:rsidRPr="00412073" w:rsidRDefault="00330A4A" w:rsidP="003A2BD6">
      <w:pPr>
        <w:spacing w:line="276" w:lineRule="auto"/>
        <w:rPr>
          <w:rFonts w:eastAsiaTheme="minorEastAsia"/>
          <w:lang w:val="en-US"/>
        </w:rPr>
      </w:pPr>
      <w:r w:rsidRPr="00412073">
        <w:rPr>
          <w:rFonts w:eastAsiaTheme="minorEastAsia"/>
          <w:lang w:val="en-US"/>
        </w:rPr>
        <w:t xml:space="preserve">With </w:t>
      </w:r>
      <m:oMath>
        <m:sSup>
          <m:sSupPr>
            <m:ctrlPr>
              <w:rPr>
                <w:rFonts w:ascii="Cambria Math" w:eastAsiaTheme="minorEastAsia" w:hAnsi="Cambria Math"/>
                <w:i/>
                <w:lang w:val="en-US"/>
              </w:rPr>
            </m:ctrlPr>
          </m:sSupPr>
          <m:e>
            <m:r>
              <w:rPr>
                <w:rFonts w:ascii="Cambria Math" w:eastAsiaTheme="minorEastAsia" w:hAnsi="Cambria Math"/>
                <w:lang w:val="en-US"/>
              </w:rPr>
              <m:t>τ</m:t>
            </m:r>
          </m:e>
          <m:sup>
            <m:r>
              <w:rPr>
                <w:rFonts w:ascii="Cambria Math" w:eastAsiaTheme="minorEastAsia" w:hAnsi="Cambria Math"/>
                <w:lang w:val="en-US"/>
              </w:rPr>
              <m:t>2</m:t>
            </m:r>
          </m:sup>
        </m:sSup>
      </m:oMath>
      <w:r w:rsidRPr="00412073">
        <w:rPr>
          <w:rFonts w:eastAsiaTheme="minorEastAsia"/>
          <w:lang w:val="en-US"/>
        </w:rPr>
        <w:t xml:space="preserve"> representing between-studies variability</w:t>
      </w:r>
      <w:r w:rsidR="0026136C" w:rsidRPr="00412073">
        <w:rPr>
          <w:rFonts w:eastAsiaTheme="minorEastAsia"/>
          <w:lang w:val="en-US"/>
        </w:rPr>
        <w:t xml:space="preserve">, </w:t>
      </w:r>
      <w:r w:rsidR="00D25CD7" w:rsidRPr="00412073">
        <w:rPr>
          <w:rFonts w:eastAsiaTheme="minorEastAsia"/>
          <w:lang w:val="en-US"/>
        </w:rPr>
        <w:t xml:space="preserve">assumed equal </w:t>
      </w:r>
      <w:r w:rsidR="0026136C" w:rsidRPr="00412073">
        <w:rPr>
          <w:rFonts w:eastAsiaTheme="minorEastAsia"/>
          <w:lang w:val="en-US"/>
        </w:rPr>
        <w:t>across all treatment comparisons</w:t>
      </w:r>
      <w:r w:rsidRPr="00412073">
        <w:rPr>
          <w:rFonts w:eastAsiaTheme="minorEastAsia"/>
          <w:lang w:val="en-US"/>
        </w:rPr>
        <w:t>.</w:t>
      </w:r>
    </w:p>
    <w:p w14:paraId="690CD517" w14:textId="585F46D4" w:rsidR="008B1818" w:rsidRPr="00412073" w:rsidRDefault="00551968" w:rsidP="008B1818">
      <w:pPr>
        <w:spacing w:line="276" w:lineRule="auto"/>
        <w:rPr>
          <w:lang w:val="en-US"/>
        </w:rPr>
      </w:pPr>
      <w:r w:rsidRPr="00412073">
        <w:rPr>
          <w:lang w:val="en-US"/>
        </w:rPr>
        <w:t>The</w:t>
      </w:r>
      <w:r w:rsidR="008B1818" w:rsidRPr="00412073">
        <w:rPr>
          <w:lang w:val="en-US"/>
        </w:rPr>
        <w:t xml:space="preserve"> </w:t>
      </w:r>
      <w:r w:rsidR="008B1818" w:rsidRPr="00412073">
        <w:rPr>
          <w:rFonts w:eastAsiaTheme="minorEastAsia"/>
          <w:lang w:val="en-US"/>
        </w:rPr>
        <w:t xml:space="preserve">dose-effect shape will be </w:t>
      </w:r>
      <w:r w:rsidR="00A61023" w:rsidRPr="00412073">
        <w:rPr>
          <w:rFonts w:eastAsiaTheme="minorEastAsia"/>
          <w:lang w:val="en-US"/>
        </w:rPr>
        <w:t xml:space="preserve">modelled using a </w:t>
      </w:r>
      <w:r w:rsidR="0026136C" w:rsidRPr="00412073">
        <w:rPr>
          <w:rFonts w:eastAsiaTheme="minorEastAsia"/>
          <w:lang w:val="en-US"/>
        </w:rPr>
        <w:t>restricted cubic spline (denoted with F)</w:t>
      </w:r>
      <w:r w:rsidR="008B1818" w:rsidRPr="00412073">
        <w:rPr>
          <w:rFonts w:eastAsiaTheme="minorEastAsia"/>
          <w:lang w:val="en-US"/>
        </w:rPr>
        <w:t xml:space="preserve"> </w:t>
      </w:r>
      <w:r w:rsidR="00A61023" w:rsidRPr="00412073">
        <w:rPr>
          <w:lang w:val="en-US"/>
        </w:rPr>
        <w:t>with three knots, placed at 25%, 50 %, 75%</w:t>
      </w:r>
      <w:r w:rsidR="00C44E70" w:rsidRPr="00412073">
        <w:rPr>
          <w:lang w:val="en-US"/>
        </w:rPr>
        <w:t xml:space="preserve"> of the </w:t>
      </w:r>
      <w:r w:rsidR="007311CA" w:rsidRPr="00412073">
        <w:rPr>
          <w:lang w:val="en-US"/>
        </w:rPr>
        <w:t xml:space="preserve">observed </w:t>
      </w:r>
      <w:r w:rsidR="00C44E70" w:rsidRPr="00412073">
        <w:rPr>
          <w:lang w:val="en-US"/>
        </w:rPr>
        <w:t>dose range</w:t>
      </w:r>
      <w:r w:rsidR="007311CA" w:rsidRPr="00412073">
        <w:rPr>
          <w:lang w:val="en-US"/>
        </w:rPr>
        <w:t xml:space="preserve"> per drug</w:t>
      </w:r>
      <w:r w:rsidR="00A61023" w:rsidRPr="00412073">
        <w:rPr>
          <w:rFonts w:eastAsiaTheme="minorEastAsia"/>
          <w:lang w:val="en-US"/>
        </w:rPr>
        <w:t>:</w:t>
      </w:r>
      <w:r w:rsidRPr="00412073">
        <w:rPr>
          <w:lang w:val="en-US"/>
        </w:rPr>
        <w:t xml:space="preserve"> </w:t>
      </w:r>
    </w:p>
    <w:p w14:paraId="60976DD0" w14:textId="687F682C" w:rsidR="008B1818" w:rsidRPr="00412073" w:rsidRDefault="00000000" w:rsidP="004A7AF3">
      <w:pPr>
        <w:spacing w:line="276" w:lineRule="auto"/>
        <w:jc w:val="center"/>
        <w:rPr>
          <w:rFonts w:eastAsiaTheme="minorEastAsia"/>
          <w:lang w:val="en-US"/>
        </w:rPr>
      </w:pPr>
      <m:oMathPara>
        <m:oMath>
          <m:sSub>
            <m:sSubPr>
              <m:ctrlPr>
                <w:rPr>
                  <w:rFonts w:ascii="Cambria Math" w:hAnsi="Cambria Math"/>
                  <w:i/>
                  <w:lang w:val="en-US"/>
                </w:rPr>
              </m:ctrlPr>
            </m:sSubPr>
            <m:e>
              <m:r>
                <m:rPr>
                  <m:sty m:val="p"/>
                </m:rPr>
                <w:rPr>
                  <w:rFonts w:ascii="Cambria Math" w:hAnsi="Cambria Math"/>
                  <w:lang w:val="en-US"/>
                </w:rPr>
                <m:t>Δ</m:t>
              </m:r>
              <m:ctrlPr>
                <w:rPr>
                  <w:rFonts w:ascii="Cambria Math" w:hAnsi="Cambria Math"/>
                  <w:lang w:val="en-US"/>
                </w:rPr>
              </m:ctrlPr>
            </m:e>
            <m:sub>
              <m:r>
                <w:rPr>
                  <w:rFonts w:ascii="Cambria Math" w:hAnsi="Cambria Math"/>
                  <w:lang w:val="en-US"/>
                </w:rPr>
                <m:t>ijk</m:t>
              </m:r>
            </m:sub>
          </m:sSub>
          <m:r>
            <w:rPr>
              <w:rFonts w:ascii="Cambria Math" w:hAnsi="Cambria Math"/>
              <w:lang w:val="en-US"/>
            </w:rPr>
            <m:t>=</m:t>
          </m:r>
          <m:sSub>
            <m:sSubPr>
              <m:ctrlPr>
                <w:rPr>
                  <w:rFonts w:ascii="Cambria Math" w:hAnsi="Cambria Math"/>
                  <w:i/>
                  <w:iCs/>
                </w:rPr>
              </m:ctrlPr>
            </m:sSubPr>
            <m:e>
              <m:r>
                <w:rPr>
                  <w:rFonts w:ascii="Cambria Math" w:hAnsi="Cambria Math"/>
                  <w:rPrChange w:id="4" w:author="Mikail NOURREDINE" w:date="2024-10-04T14:11:00Z" w16du:dateUtc="2024-10-04T12:11:00Z">
                    <w:rPr>
                      <w:rFonts w:ascii="Cambria Math" w:hAnsi="Cambria Math"/>
                      <w:color w:val="000000" w:themeColor="text1"/>
                    </w:rPr>
                  </w:rPrChange>
                </w:rPr>
                <m:t>F(</m:t>
              </m:r>
              <m:sSub>
                <m:sSubPr>
                  <m:ctrlPr>
                    <w:rPr>
                      <w:rFonts w:ascii="Cambria Math" w:hAnsi="Cambria Math"/>
                      <w:i/>
                      <w:iCs/>
                    </w:rPr>
                  </m:ctrlPr>
                </m:sSubPr>
                <m:e>
                  <m:r>
                    <w:rPr>
                      <w:rFonts w:ascii="Cambria Math" w:hAnsi="Cambria Math"/>
                      <w:rPrChange w:id="5" w:author="Mikail NOURREDINE" w:date="2024-10-04T14:11:00Z" w16du:dateUtc="2024-10-04T12:11:00Z">
                        <w:rPr>
                          <w:rFonts w:ascii="Cambria Math" w:hAnsi="Cambria Math"/>
                          <w:color w:val="000000" w:themeColor="text1"/>
                        </w:rPr>
                      </w:rPrChange>
                    </w:rPr>
                    <m:t>x</m:t>
                  </m:r>
                </m:e>
                <m:sub>
                  <m:r>
                    <w:rPr>
                      <w:rFonts w:ascii="Cambria Math" w:hAnsi="Cambria Math"/>
                      <w:rPrChange w:id="6" w:author="Mikail NOURREDINE" w:date="2024-10-04T14:11:00Z" w16du:dateUtc="2024-10-04T12:11:00Z">
                        <w:rPr>
                          <w:rFonts w:ascii="Cambria Math" w:hAnsi="Cambria Math"/>
                          <w:color w:val="000000" w:themeColor="text1"/>
                        </w:rPr>
                      </w:rPrChange>
                    </w:rPr>
                    <m:t>ijk</m:t>
                  </m:r>
                </m:sub>
              </m:sSub>
              <m:r>
                <w:rPr>
                  <w:rFonts w:ascii="Cambria Math" w:hAnsi="Cambria Math"/>
                  <w:rPrChange w:id="7" w:author="Mikail NOURREDINE" w:date="2024-10-04T14:11:00Z" w16du:dateUtc="2024-10-04T12:11:00Z">
                    <w:rPr>
                      <w:rFonts w:ascii="Cambria Math" w:hAnsi="Cambria Math"/>
                      <w:color w:val="000000" w:themeColor="text1"/>
                    </w:rPr>
                  </w:rPrChange>
                </w:rPr>
                <m:t>; β</m:t>
              </m:r>
            </m:e>
            <m:sub>
              <m:r>
                <w:rPr>
                  <w:rFonts w:ascii="Cambria Math" w:hAnsi="Cambria Math"/>
                  <w:rPrChange w:id="8" w:author="Mikail NOURREDINE" w:date="2024-10-04T14:11:00Z" w16du:dateUtc="2024-10-04T12:11:00Z">
                    <w:rPr>
                      <w:rFonts w:ascii="Cambria Math" w:hAnsi="Cambria Math"/>
                      <w:color w:val="000000" w:themeColor="text1"/>
                    </w:rPr>
                  </w:rPrChange>
                </w:rPr>
                <m:t>1k</m:t>
              </m:r>
            </m:sub>
          </m:sSub>
          <m:r>
            <w:rPr>
              <w:rFonts w:ascii="Cambria Math" w:hAnsi="Cambria Math"/>
              <w:rPrChange w:id="9" w:author="Mikail NOURREDINE" w:date="2024-10-04T14:11:00Z" w16du:dateUtc="2024-10-04T12:11:00Z">
                <w:rPr>
                  <w:rFonts w:ascii="Cambria Math" w:hAnsi="Cambria Math"/>
                  <w:color w:val="000000" w:themeColor="text1"/>
                </w:rPr>
              </w:rPrChange>
            </w:rPr>
            <m:t>,</m:t>
          </m:r>
          <m:sSub>
            <m:sSubPr>
              <m:ctrlPr>
                <w:rPr>
                  <w:rFonts w:ascii="Cambria Math" w:hAnsi="Cambria Math"/>
                  <w:i/>
                  <w:iCs/>
                </w:rPr>
              </m:ctrlPr>
            </m:sSubPr>
            <m:e>
              <m:r>
                <w:rPr>
                  <w:rFonts w:ascii="Cambria Math" w:hAnsi="Cambria Math"/>
                  <w:rPrChange w:id="10" w:author="Mikail NOURREDINE" w:date="2024-10-04T14:11:00Z" w16du:dateUtc="2024-10-04T12:11:00Z">
                    <w:rPr>
                      <w:rFonts w:ascii="Cambria Math" w:hAnsi="Cambria Math"/>
                      <w:color w:val="000000" w:themeColor="text1"/>
                    </w:rPr>
                  </w:rPrChange>
                </w:rPr>
                <m:t>β</m:t>
              </m:r>
            </m:e>
            <m:sub>
              <m:r>
                <w:rPr>
                  <w:rFonts w:ascii="Cambria Math" w:hAnsi="Cambria Math"/>
                  <w:rPrChange w:id="11" w:author="Mikail NOURREDINE" w:date="2024-10-04T14:11:00Z" w16du:dateUtc="2024-10-04T12:11:00Z">
                    <w:rPr>
                      <w:rFonts w:ascii="Cambria Math" w:hAnsi="Cambria Math"/>
                      <w:color w:val="000000" w:themeColor="text1"/>
                    </w:rPr>
                  </w:rPrChange>
                </w:rPr>
                <m:t>2k</m:t>
              </m:r>
            </m:sub>
          </m:sSub>
          <m:r>
            <w:rPr>
              <w:rFonts w:ascii="Cambria Math" w:hAnsi="Cambria Math"/>
              <w:rPrChange w:id="12" w:author="Mikail NOURREDINE" w:date="2024-10-04T14:11:00Z" w16du:dateUtc="2024-10-04T12:11:00Z">
                <w:rPr>
                  <w:rFonts w:ascii="Cambria Math" w:hAnsi="Cambria Math"/>
                  <w:color w:val="000000" w:themeColor="text1"/>
                </w:rPr>
              </w:rPrChange>
            </w:rPr>
            <m:t xml:space="preserve">) </m:t>
          </m:r>
          <m:r>
            <w:rPr>
              <w:rFonts w:ascii="Cambria Math" w:hAnsi="Cambria Math"/>
              <w:lang w:val="en-US"/>
            </w:rPr>
            <m:t>.</m:t>
          </m:r>
        </m:oMath>
      </m:oMathPara>
    </w:p>
    <w:p w14:paraId="6BBD9B20" w14:textId="77777777" w:rsidR="00BE7870" w:rsidRPr="00412073" w:rsidRDefault="00BE7870" w:rsidP="00BE7870">
      <w:pPr>
        <w:rPr>
          <w:lang w:val="en-US"/>
          <w:rPrChange w:id="13" w:author="Mikail NOURREDINE" w:date="2024-10-04T14:11:00Z" w16du:dateUtc="2024-10-04T12:11:00Z">
            <w:rPr>
              <w:color w:val="FF0000"/>
              <w:lang w:val="en-US"/>
            </w:rPr>
          </w:rPrChange>
        </w:rPr>
      </w:pPr>
      <w:r w:rsidRPr="00412073">
        <w:rPr>
          <w:lang w:val="en-US"/>
          <w:rPrChange w:id="14" w:author="Mikail NOURREDINE" w:date="2024-10-04T14:11:00Z" w16du:dateUtc="2024-10-04T12:11:00Z">
            <w:rPr>
              <w:color w:val="FF0000"/>
              <w:lang w:val="en-US"/>
            </w:rPr>
          </w:rPrChange>
        </w:rPr>
        <w:t xml:space="preserve">Analyses will be conducted in a Bayesian framework. Parameters will be estimated with Markov Chain Monte Carlo (MCMC), using JAGS program which is implemented via R. We will use different numerical and graphical methods to investigate the convergence of the MCMC. We will set a minimally informative prior </w:t>
      </w:r>
      <m:oMath>
        <m:sSub>
          <m:sSubPr>
            <m:ctrlPr>
              <w:rPr>
                <w:rFonts w:ascii="Cambria Math" w:hAnsi="Cambria Math"/>
                <w:i/>
              </w:rPr>
            </m:ctrlPr>
          </m:sSubPr>
          <m:e>
            <m:r>
              <w:rPr>
                <w:rFonts w:ascii="Cambria Math" w:hAnsi="Cambria Math"/>
                <w:rPrChange w:id="15" w:author="Mikail NOURREDINE" w:date="2024-10-04T14:11:00Z" w16du:dateUtc="2024-10-04T12:11:00Z">
                  <w:rPr>
                    <w:rFonts w:ascii="Cambria Math" w:hAnsi="Cambria Math"/>
                    <w:color w:val="FF0000"/>
                  </w:rPr>
                </w:rPrChange>
              </w:rPr>
              <m:t>μ</m:t>
            </m:r>
          </m:e>
          <m:sub>
            <m:r>
              <w:rPr>
                <w:rFonts w:ascii="Cambria Math" w:hAnsi="Cambria Math"/>
                <w:rPrChange w:id="16" w:author="Mikail NOURREDINE" w:date="2024-10-04T14:11:00Z" w16du:dateUtc="2024-10-04T12:11:00Z">
                  <w:rPr>
                    <w:rFonts w:ascii="Cambria Math" w:hAnsi="Cambria Math"/>
                    <w:color w:val="FF0000"/>
                  </w:rPr>
                </w:rPrChange>
              </w:rPr>
              <m:t>i</m:t>
            </m:r>
          </m:sub>
        </m:sSub>
        <m:r>
          <w:rPr>
            <w:rFonts w:ascii="Cambria Math" w:hAnsi="Cambria Math"/>
            <w:lang w:val="en-US"/>
            <w:rPrChange w:id="17" w:author="Mikail NOURREDINE" w:date="2024-10-04T14:11:00Z" w16du:dateUtc="2024-10-04T12:11:00Z">
              <w:rPr>
                <w:rFonts w:ascii="Cambria Math" w:hAnsi="Cambria Math"/>
                <w:color w:val="FF0000"/>
                <w:lang w:val="en-US"/>
              </w:rPr>
            </w:rPrChange>
          </w:rPr>
          <m:t>~</m:t>
        </m:r>
        <m:r>
          <w:rPr>
            <w:rFonts w:ascii="Cambria Math" w:hAnsi="Cambria Math"/>
            <w:rPrChange w:id="18" w:author="Mikail NOURREDINE" w:date="2024-10-04T14:11:00Z" w16du:dateUtc="2024-10-04T12:11:00Z">
              <w:rPr>
                <w:rFonts w:ascii="Cambria Math" w:hAnsi="Cambria Math"/>
                <w:color w:val="FF0000"/>
              </w:rPr>
            </w:rPrChange>
          </w:rPr>
          <m:t>N</m:t>
        </m:r>
        <m:r>
          <w:rPr>
            <w:rFonts w:ascii="Cambria Math" w:hAnsi="Cambria Math"/>
            <w:lang w:val="en-US"/>
            <w:rPrChange w:id="19" w:author="Mikail NOURREDINE" w:date="2024-10-04T14:11:00Z" w16du:dateUtc="2024-10-04T12:11:00Z">
              <w:rPr>
                <w:rFonts w:ascii="Cambria Math" w:hAnsi="Cambria Math"/>
                <w:color w:val="FF0000"/>
                <w:lang w:val="en-US"/>
              </w:rPr>
            </w:rPrChange>
          </w:rPr>
          <m:t>(</m:t>
        </m:r>
        <m:sSup>
          <m:sSupPr>
            <m:ctrlPr>
              <w:rPr>
                <w:rFonts w:ascii="Cambria Math" w:hAnsi="Cambria Math"/>
                <w:i/>
              </w:rPr>
            </m:ctrlPr>
          </m:sSupPr>
          <m:e>
            <m:r>
              <w:rPr>
                <w:rFonts w:ascii="Cambria Math" w:hAnsi="Cambria Math"/>
                <w:lang w:val="en-US"/>
                <w:rPrChange w:id="20" w:author="Mikail NOURREDINE" w:date="2024-10-04T14:11:00Z" w16du:dateUtc="2024-10-04T12:11:00Z">
                  <w:rPr>
                    <w:rFonts w:ascii="Cambria Math" w:hAnsi="Cambria Math"/>
                    <w:color w:val="FF0000"/>
                    <w:lang w:val="en-US"/>
                  </w:rPr>
                </w:rPrChange>
              </w:rPr>
              <m:t>0,10</m:t>
            </m:r>
          </m:e>
          <m:sup>
            <m:r>
              <w:rPr>
                <w:rFonts w:ascii="Cambria Math" w:hAnsi="Cambria Math"/>
                <w:lang w:val="en-US"/>
                <w:rPrChange w:id="21" w:author="Mikail NOURREDINE" w:date="2024-10-04T14:11:00Z" w16du:dateUtc="2024-10-04T12:11:00Z">
                  <w:rPr>
                    <w:rFonts w:ascii="Cambria Math" w:hAnsi="Cambria Math"/>
                    <w:color w:val="FF0000"/>
                    <w:lang w:val="en-US"/>
                  </w:rPr>
                </w:rPrChange>
              </w:rPr>
              <m:t>2</m:t>
            </m:r>
          </m:sup>
        </m:sSup>
        <m:r>
          <w:rPr>
            <w:rFonts w:ascii="Cambria Math" w:hAnsi="Cambria Math"/>
            <w:lang w:val="en-US"/>
            <w:rPrChange w:id="22" w:author="Mikail NOURREDINE" w:date="2024-10-04T14:11:00Z" w16du:dateUtc="2024-10-04T12:11:00Z">
              <w:rPr>
                <w:rFonts w:ascii="Cambria Math" w:hAnsi="Cambria Math"/>
                <w:color w:val="FF0000"/>
                <w:lang w:val="en-US"/>
              </w:rPr>
            </w:rPrChange>
          </w:rPr>
          <m:t>)</m:t>
        </m:r>
      </m:oMath>
      <w:r w:rsidRPr="00412073">
        <w:rPr>
          <w:lang w:val="en-US"/>
          <w:rPrChange w:id="23" w:author="Mikail NOURREDINE" w:date="2024-10-04T14:11:00Z" w16du:dateUtc="2024-10-04T12:11:00Z">
            <w:rPr>
              <w:color w:val="FF0000"/>
              <w:lang w:val="en-US"/>
            </w:rPr>
          </w:rPrChange>
        </w:rPr>
        <w:t xml:space="preserve">, </w:t>
      </w:r>
      <m:oMath>
        <m:r>
          <w:rPr>
            <w:rFonts w:ascii="Cambria Math" w:hAnsi="Cambria Math"/>
            <w:rPrChange w:id="24" w:author="Mikail NOURREDINE" w:date="2024-10-04T14:11:00Z" w16du:dateUtc="2024-10-04T12:11:00Z">
              <w:rPr>
                <w:rFonts w:ascii="Cambria Math" w:hAnsi="Cambria Math"/>
                <w:color w:val="FF0000"/>
              </w:rPr>
            </w:rPrChange>
          </w:rPr>
          <m:t>τ</m:t>
        </m:r>
        <m:r>
          <w:rPr>
            <w:rFonts w:ascii="Cambria Math" w:hAnsi="Cambria Math"/>
            <w:lang w:val="en-US"/>
            <w:rPrChange w:id="25" w:author="Mikail NOURREDINE" w:date="2024-10-04T14:11:00Z" w16du:dateUtc="2024-10-04T12:11:00Z">
              <w:rPr>
                <w:rFonts w:ascii="Cambria Math" w:hAnsi="Cambria Math"/>
                <w:color w:val="FF0000"/>
                <w:lang w:val="en-US"/>
              </w:rPr>
            </w:rPrChange>
          </w:rPr>
          <m:t>~</m:t>
        </m:r>
        <m:r>
          <w:rPr>
            <w:rFonts w:ascii="Cambria Math" w:hAnsi="Cambria Math"/>
            <w:rPrChange w:id="26" w:author="Mikail NOURREDINE" w:date="2024-10-04T14:11:00Z" w16du:dateUtc="2024-10-04T12:11:00Z">
              <w:rPr>
                <w:rFonts w:ascii="Cambria Math" w:hAnsi="Cambria Math"/>
                <w:color w:val="FF0000"/>
              </w:rPr>
            </w:rPrChange>
          </w:rPr>
          <m:t>Unif</m:t>
        </m:r>
        <m:r>
          <w:rPr>
            <w:rFonts w:ascii="Cambria Math" w:hAnsi="Cambria Math"/>
            <w:lang w:val="en-US"/>
            <w:rPrChange w:id="27" w:author="Mikail NOURREDINE" w:date="2024-10-04T14:11:00Z" w16du:dateUtc="2024-10-04T12:11:00Z">
              <w:rPr>
                <w:rFonts w:ascii="Cambria Math" w:hAnsi="Cambria Math"/>
                <w:color w:val="FF0000"/>
                <w:lang w:val="en-US"/>
              </w:rPr>
            </w:rPrChange>
          </w:rPr>
          <m:t>(0,5)</m:t>
        </m:r>
      </m:oMath>
      <w:r w:rsidRPr="00412073">
        <w:rPr>
          <w:lang w:val="en-US"/>
          <w:rPrChange w:id="28" w:author="Mikail NOURREDINE" w:date="2024-10-04T14:11:00Z" w16du:dateUtc="2024-10-04T12:11:00Z">
            <w:rPr>
              <w:color w:val="FF0000"/>
              <w:lang w:val="en-US"/>
            </w:rPr>
          </w:rPrChange>
        </w:rPr>
        <w:t xml:space="preserve">, </w:t>
      </w:r>
      <m:oMath>
        <m:sSub>
          <m:sSubPr>
            <m:ctrlPr>
              <w:rPr>
                <w:rFonts w:ascii="Cambria Math" w:hAnsi="Cambria Math"/>
                <w:i/>
              </w:rPr>
            </m:ctrlPr>
          </m:sSubPr>
          <m:e>
            <m:r>
              <w:rPr>
                <w:rFonts w:ascii="Cambria Math" w:hAnsi="Cambria Math"/>
                <w:rPrChange w:id="29" w:author="Mikail NOURREDINE" w:date="2024-10-04T14:11:00Z" w16du:dateUtc="2024-10-04T12:11:00Z">
                  <w:rPr>
                    <w:rFonts w:ascii="Cambria Math" w:hAnsi="Cambria Math"/>
                    <w:color w:val="FF0000"/>
                  </w:rPr>
                </w:rPrChange>
              </w:rPr>
              <m:t>β</m:t>
            </m:r>
          </m:e>
          <m:sub>
            <m:r>
              <w:rPr>
                <w:rFonts w:ascii="Cambria Math" w:hAnsi="Cambria Math"/>
                <w:lang w:val="en-US"/>
                <w:rPrChange w:id="30" w:author="Mikail NOURREDINE" w:date="2024-10-04T14:11:00Z" w16du:dateUtc="2024-10-04T12:11:00Z">
                  <w:rPr>
                    <w:rFonts w:ascii="Cambria Math" w:hAnsi="Cambria Math"/>
                    <w:color w:val="FF0000"/>
                    <w:lang w:val="en-US"/>
                  </w:rPr>
                </w:rPrChange>
              </w:rPr>
              <m:t>1</m:t>
            </m:r>
            <m:r>
              <w:rPr>
                <w:rFonts w:ascii="Cambria Math" w:hAnsi="Cambria Math"/>
                <w:rPrChange w:id="31" w:author="Mikail NOURREDINE" w:date="2024-10-04T14:11:00Z" w16du:dateUtc="2024-10-04T12:11:00Z">
                  <w:rPr>
                    <w:rFonts w:ascii="Cambria Math" w:hAnsi="Cambria Math"/>
                    <w:color w:val="FF0000"/>
                  </w:rPr>
                </w:rPrChange>
              </w:rPr>
              <m:t>k</m:t>
            </m:r>
            <m:r>
              <w:rPr>
                <w:rFonts w:ascii="Cambria Math" w:hAnsi="Cambria Math"/>
                <w:lang w:val="en-US"/>
                <w:rPrChange w:id="32" w:author="Mikail NOURREDINE" w:date="2024-10-04T14:11:00Z" w16du:dateUtc="2024-10-04T12:11:00Z">
                  <w:rPr>
                    <w:rFonts w:ascii="Cambria Math" w:hAnsi="Cambria Math"/>
                    <w:color w:val="FF0000"/>
                    <w:lang w:val="en-US"/>
                  </w:rPr>
                </w:rPrChange>
              </w:rPr>
              <m:t>,</m:t>
            </m:r>
          </m:sub>
        </m:sSub>
        <m:sSub>
          <m:sSubPr>
            <m:ctrlPr>
              <w:rPr>
                <w:rFonts w:ascii="Cambria Math" w:hAnsi="Cambria Math"/>
                <w:i/>
              </w:rPr>
            </m:ctrlPr>
          </m:sSubPr>
          <m:e>
            <m:r>
              <w:rPr>
                <w:rFonts w:ascii="Cambria Math" w:hAnsi="Cambria Math"/>
                <w:rPrChange w:id="33" w:author="Mikail NOURREDINE" w:date="2024-10-04T14:11:00Z" w16du:dateUtc="2024-10-04T12:11:00Z">
                  <w:rPr>
                    <w:rFonts w:ascii="Cambria Math" w:hAnsi="Cambria Math"/>
                    <w:color w:val="FF0000"/>
                  </w:rPr>
                </w:rPrChange>
              </w:rPr>
              <m:t>β</m:t>
            </m:r>
          </m:e>
          <m:sub>
            <m:r>
              <w:rPr>
                <w:rFonts w:ascii="Cambria Math" w:hAnsi="Cambria Math"/>
                <w:lang w:val="en-US"/>
                <w:rPrChange w:id="34" w:author="Mikail NOURREDINE" w:date="2024-10-04T14:11:00Z" w16du:dateUtc="2024-10-04T12:11:00Z">
                  <w:rPr>
                    <w:rFonts w:ascii="Cambria Math" w:hAnsi="Cambria Math"/>
                    <w:color w:val="FF0000"/>
                    <w:lang w:val="en-US"/>
                  </w:rPr>
                </w:rPrChange>
              </w:rPr>
              <m:t>2</m:t>
            </m:r>
            <m:r>
              <w:rPr>
                <w:rFonts w:ascii="Cambria Math" w:hAnsi="Cambria Math"/>
                <w:rPrChange w:id="35" w:author="Mikail NOURREDINE" w:date="2024-10-04T14:11:00Z" w16du:dateUtc="2024-10-04T12:11:00Z">
                  <w:rPr>
                    <w:rFonts w:ascii="Cambria Math" w:hAnsi="Cambria Math"/>
                    <w:color w:val="FF0000"/>
                  </w:rPr>
                </w:rPrChange>
              </w:rPr>
              <m:t>k</m:t>
            </m:r>
          </m:sub>
        </m:sSub>
        <m:r>
          <w:rPr>
            <w:rFonts w:ascii="Cambria Math" w:hAnsi="Cambria Math"/>
            <w:lang w:val="en-US"/>
            <w:rPrChange w:id="36" w:author="Mikail NOURREDINE" w:date="2024-10-04T14:11:00Z" w16du:dateUtc="2024-10-04T12:11:00Z">
              <w:rPr>
                <w:rFonts w:ascii="Cambria Math" w:hAnsi="Cambria Math"/>
                <w:color w:val="FF0000"/>
                <w:lang w:val="en-US"/>
              </w:rPr>
            </w:rPrChange>
          </w:rPr>
          <m:t>~</m:t>
        </m:r>
        <m:r>
          <w:rPr>
            <w:rFonts w:ascii="Cambria Math" w:hAnsi="Cambria Math"/>
            <w:rPrChange w:id="37" w:author="Mikail NOURREDINE" w:date="2024-10-04T14:11:00Z" w16du:dateUtc="2024-10-04T12:11:00Z">
              <w:rPr>
                <w:rFonts w:ascii="Cambria Math" w:hAnsi="Cambria Math"/>
                <w:color w:val="FF0000"/>
              </w:rPr>
            </w:rPrChange>
          </w:rPr>
          <m:t>N</m:t>
        </m:r>
        <m:r>
          <w:rPr>
            <w:rFonts w:ascii="Cambria Math" w:hAnsi="Cambria Math"/>
            <w:lang w:val="en-US"/>
            <w:rPrChange w:id="38" w:author="Mikail NOURREDINE" w:date="2024-10-04T14:11:00Z" w16du:dateUtc="2024-10-04T12:11:00Z">
              <w:rPr>
                <w:rFonts w:ascii="Cambria Math" w:hAnsi="Cambria Math"/>
                <w:color w:val="FF0000"/>
                <w:lang w:val="en-US"/>
              </w:rPr>
            </w:rPrChange>
          </w:rPr>
          <m:t>(</m:t>
        </m:r>
        <m:sSup>
          <m:sSupPr>
            <m:ctrlPr>
              <w:rPr>
                <w:rFonts w:ascii="Cambria Math" w:hAnsi="Cambria Math"/>
                <w:i/>
              </w:rPr>
            </m:ctrlPr>
          </m:sSupPr>
          <m:e>
            <m:r>
              <w:rPr>
                <w:rFonts w:ascii="Cambria Math" w:hAnsi="Cambria Math"/>
                <w:lang w:val="en-US"/>
                <w:rPrChange w:id="39" w:author="Mikail NOURREDINE" w:date="2024-10-04T14:11:00Z" w16du:dateUtc="2024-10-04T12:11:00Z">
                  <w:rPr>
                    <w:rFonts w:ascii="Cambria Math" w:hAnsi="Cambria Math"/>
                    <w:color w:val="FF0000"/>
                    <w:lang w:val="en-US"/>
                  </w:rPr>
                </w:rPrChange>
              </w:rPr>
              <m:t>0,10</m:t>
            </m:r>
          </m:e>
          <m:sup>
            <m:r>
              <w:rPr>
                <w:rFonts w:ascii="Cambria Math" w:hAnsi="Cambria Math"/>
                <w:lang w:val="en-US"/>
                <w:rPrChange w:id="40" w:author="Mikail NOURREDINE" w:date="2024-10-04T14:11:00Z" w16du:dateUtc="2024-10-04T12:11:00Z">
                  <w:rPr>
                    <w:rFonts w:ascii="Cambria Math" w:hAnsi="Cambria Math"/>
                    <w:color w:val="FF0000"/>
                    <w:lang w:val="en-US"/>
                  </w:rPr>
                </w:rPrChange>
              </w:rPr>
              <m:t>2</m:t>
            </m:r>
          </m:sup>
        </m:sSup>
        <m:r>
          <w:rPr>
            <w:rFonts w:ascii="Cambria Math" w:hAnsi="Cambria Math"/>
            <w:lang w:val="en-US"/>
            <w:rPrChange w:id="41" w:author="Mikail NOURREDINE" w:date="2024-10-04T14:11:00Z" w16du:dateUtc="2024-10-04T12:11:00Z">
              <w:rPr>
                <w:rFonts w:ascii="Cambria Math" w:hAnsi="Cambria Math"/>
                <w:color w:val="FF0000"/>
                <w:lang w:val="en-US"/>
              </w:rPr>
            </w:rPrChange>
          </w:rPr>
          <m:t>)</m:t>
        </m:r>
      </m:oMath>
      <w:r w:rsidRPr="00412073">
        <w:rPr>
          <w:lang w:val="en-US"/>
          <w:rPrChange w:id="42" w:author="Mikail NOURREDINE" w:date="2024-10-04T14:11:00Z" w16du:dateUtc="2024-10-04T12:11:00Z">
            <w:rPr>
              <w:color w:val="FF0000"/>
              <w:lang w:val="en-US"/>
            </w:rPr>
          </w:rPrChange>
        </w:rPr>
        <w:t>.</w:t>
      </w:r>
    </w:p>
    <w:p w14:paraId="20C5037E" w14:textId="77777777" w:rsidR="006A113A" w:rsidRPr="00412073" w:rsidRDefault="006A113A" w:rsidP="00282C9A">
      <w:pPr>
        <w:rPr>
          <w:lang w:val="en-US"/>
        </w:rPr>
      </w:pPr>
    </w:p>
    <w:p w14:paraId="7160ED72" w14:textId="77777777" w:rsidR="00915118" w:rsidRPr="00412073" w:rsidRDefault="00915118" w:rsidP="0086528E">
      <w:pPr>
        <w:pStyle w:val="Heading2"/>
      </w:pPr>
      <w:r w:rsidRPr="00412073">
        <w:lastRenderedPageBreak/>
        <w:t xml:space="preserve">Sensitivity analyses </w:t>
      </w:r>
    </w:p>
    <w:p w14:paraId="1208F4AD" w14:textId="5E5DFA30" w:rsidR="00A1004F" w:rsidRPr="00412073" w:rsidRDefault="005A4349" w:rsidP="003A2BD6">
      <w:pPr>
        <w:spacing w:line="276" w:lineRule="auto"/>
        <w:rPr>
          <w:lang w:val="en-US"/>
        </w:rPr>
      </w:pPr>
      <w:r w:rsidRPr="00412073">
        <w:rPr>
          <w:lang w:val="en-US"/>
        </w:rPr>
        <w:t xml:space="preserve">The </w:t>
      </w:r>
      <w:r w:rsidR="00915118" w:rsidRPr="00412073">
        <w:rPr>
          <w:lang w:val="en-US"/>
        </w:rPr>
        <w:t xml:space="preserve">following sensitivity analyses </w:t>
      </w:r>
      <w:r w:rsidR="00855339" w:rsidRPr="00412073">
        <w:rPr>
          <w:lang w:val="en-US"/>
        </w:rPr>
        <w:t>will be performed</w:t>
      </w:r>
      <w:r w:rsidR="00915118" w:rsidRPr="00412073">
        <w:rPr>
          <w:lang w:val="en-US"/>
        </w:rPr>
        <w:t xml:space="preserve">: </w:t>
      </w:r>
    </w:p>
    <w:p w14:paraId="1F53E57A" w14:textId="548401B2" w:rsidR="0086528E" w:rsidRPr="00412073" w:rsidRDefault="00634195" w:rsidP="00906805">
      <w:pPr>
        <w:pStyle w:val="ListParagraph"/>
        <w:numPr>
          <w:ilvl w:val="0"/>
          <w:numId w:val="12"/>
        </w:numPr>
        <w:spacing w:line="276" w:lineRule="auto"/>
        <w:rPr>
          <w:lang w:val="en-US"/>
        </w:rPr>
      </w:pPr>
      <w:r w:rsidRPr="00412073">
        <w:rPr>
          <w:lang w:val="en-US"/>
        </w:rPr>
        <w:t xml:space="preserve">excluding </w:t>
      </w:r>
      <w:r w:rsidR="00915118" w:rsidRPr="00412073">
        <w:rPr>
          <w:lang w:val="en-US"/>
        </w:rPr>
        <w:t xml:space="preserve">studies where all participants have IQ&lt; 70; </w:t>
      </w:r>
    </w:p>
    <w:p w14:paraId="118208B7" w14:textId="510D92E5" w:rsidR="0086528E" w:rsidRPr="00412073" w:rsidRDefault="00634195" w:rsidP="00906805">
      <w:pPr>
        <w:pStyle w:val="ListParagraph"/>
        <w:numPr>
          <w:ilvl w:val="0"/>
          <w:numId w:val="12"/>
        </w:numPr>
        <w:spacing w:line="276" w:lineRule="auto"/>
        <w:rPr>
          <w:lang w:val="en-US"/>
        </w:rPr>
      </w:pPr>
      <w:r w:rsidRPr="00412073">
        <w:rPr>
          <w:lang w:val="en-US"/>
        </w:rPr>
        <w:t xml:space="preserve">excluding </w:t>
      </w:r>
      <w:r w:rsidR="00915118" w:rsidRPr="00412073">
        <w:rPr>
          <w:lang w:val="en-US"/>
        </w:rPr>
        <w:t xml:space="preserve">studies lasting &lt;2 weeks; </w:t>
      </w:r>
    </w:p>
    <w:p w14:paraId="6E4926DE" w14:textId="2A8A9A12" w:rsidR="000634C6" w:rsidRPr="00412073" w:rsidRDefault="00634195" w:rsidP="000634C6">
      <w:pPr>
        <w:pStyle w:val="ListParagraph"/>
        <w:numPr>
          <w:ilvl w:val="0"/>
          <w:numId w:val="12"/>
        </w:numPr>
        <w:spacing w:line="276" w:lineRule="auto"/>
        <w:rPr>
          <w:lang w:val="en-US"/>
        </w:rPr>
      </w:pPr>
      <w:r w:rsidRPr="00412073">
        <w:rPr>
          <w:lang w:val="en-US"/>
        </w:rPr>
        <w:t xml:space="preserve">excluding </w:t>
      </w:r>
      <w:r w:rsidR="00915118" w:rsidRPr="00412073">
        <w:rPr>
          <w:lang w:val="en-US"/>
        </w:rPr>
        <w:t xml:space="preserve">crossover trials; </w:t>
      </w:r>
    </w:p>
    <w:p w14:paraId="6A06F3BD" w14:textId="7EDEC41A" w:rsidR="00B50BC1" w:rsidRPr="00412073" w:rsidRDefault="001A23FB" w:rsidP="000634C6">
      <w:pPr>
        <w:pStyle w:val="ListParagraph"/>
        <w:numPr>
          <w:ilvl w:val="0"/>
          <w:numId w:val="12"/>
        </w:numPr>
        <w:spacing w:line="276" w:lineRule="auto"/>
        <w:rPr>
          <w:lang w:val="en-US"/>
        </w:rPr>
      </w:pPr>
      <w:r w:rsidRPr="00412073">
        <w:rPr>
          <w:lang w:val="en-US"/>
        </w:rPr>
        <w:t>including only low risk of bias study according to RoB</w:t>
      </w:r>
      <w:r w:rsidR="00B119CD" w:rsidRPr="00412073">
        <w:rPr>
          <w:lang w:val="en-US"/>
        </w:rPr>
        <w:t>;</w:t>
      </w:r>
    </w:p>
    <w:p w14:paraId="75549BB0" w14:textId="5673A769" w:rsidR="00E67BA8" w:rsidRPr="00412073" w:rsidRDefault="00DE6368" w:rsidP="00F17C62">
      <w:pPr>
        <w:pStyle w:val="ListParagraph"/>
        <w:numPr>
          <w:ilvl w:val="0"/>
          <w:numId w:val="12"/>
        </w:numPr>
        <w:spacing w:line="276" w:lineRule="auto"/>
        <w:rPr>
          <w:lang w:val="en-US"/>
        </w:rPr>
      </w:pPr>
      <w:r w:rsidRPr="00412073">
        <w:rPr>
          <w:lang w:val="en-US"/>
        </w:rPr>
        <w:t>s</w:t>
      </w:r>
      <w:r w:rsidR="00E67BA8" w:rsidRPr="00412073">
        <w:rPr>
          <w:lang w:val="en-US"/>
        </w:rPr>
        <w:t>plitting amphetamine and lisdexamfetamine</w:t>
      </w:r>
      <w:r w:rsidR="00B119CD" w:rsidRPr="00412073">
        <w:rPr>
          <w:lang w:val="en-US"/>
        </w:rPr>
        <w:t>;</w:t>
      </w:r>
    </w:p>
    <w:p w14:paraId="2E0F4FCD" w14:textId="3EBD3EEF" w:rsidR="00C34BB7" w:rsidRPr="00412073" w:rsidRDefault="00DE6368" w:rsidP="00F17C62">
      <w:pPr>
        <w:pStyle w:val="ListParagraph"/>
        <w:numPr>
          <w:ilvl w:val="0"/>
          <w:numId w:val="12"/>
        </w:numPr>
        <w:spacing w:line="276" w:lineRule="auto"/>
        <w:rPr>
          <w:lang w:val="en-US"/>
        </w:rPr>
      </w:pPr>
      <w:r w:rsidRPr="00412073">
        <w:rPr>
          <w:lang w:val="en-US"/>
        </w:rPr>
        <w:t xml:space="preserve">modify </w:t>
      </w:r>
      <w:r w:rsidR="00634195" w:rsidRPr="00412073">
        <w:rPr>
          <w:lang w:val="en-US"/>
        </w:rPr>
        <w:t xml:space="preserve">the the positions </w:t>
      </w:r>
      <w:r w:rsidR="004A19C1" w:rsidRPr="00412073">
        <w:rPr>
          <w:lang w:val="en-US"/>
        </w:rPr>
        <w:t xml:space="preserve">knots of the </w:t>
      </w:r>
      <w:r w:rsidR="00115EFC" w:rsidRPr="00412073">
        <w:rPr>
          <w:lang w:val="en-US"/>
        </w:rPr>
        <w:t>restricted cubic spline</w:t>
      </w:r>
      <w:r w:rsidR="00E31808" w:rsidRPr="00412073">
        <w:rPr>
          <w:lang w:val="en-US"/>
        </w:rPr>
        <w:t>s</w:t>
      </w:r>
      <w:r w:rsidR="00B119CD" w:rsidRPr="00412073">
        <w:rPr>
          <w:lang w:val="en-US"/>
        </w:rPr>
        <w:t>;</w:t>
      </w:r>
      <w:r w:rsidR="00BE7870" w:rsidRPr="00412073">
        <w:rPr>
          <w:lang w:val="en-US"/>
          <w:rPrChange w:id="43" w:author="Mikail NOURREDINE" w:date="2024-10-04T14:11:00Z" w16du:dateUtc="2024-10-04T12:11:00Z">
            <w:rPr>
              <w:color w:val="FF0000"/>
              <w:lang w:val="en-US"/>
            </w:rPr>
          </w:rPrChange>
        </w:rPr>
        <w:t xml:space="preserve"> at 10%,50%,90% quantiles and 20%,50%, 70% quantiles </w:t>
      </w:r>
      <w:r w:rsidR="00BE7870" w:rsidRPr="00412073">
        <w:rPr>
          <w:lang w:val="en-US"/>
        </w:rPr>
        <w:t>of the observed dose range per drug</w:t>
      </w:r>
    </w:p>
    <w:p w14:paraId="72592635" w14:textId="7D241A1B" w:rsidR="00BE7870" w:rsidRPr="00412073" w:rsidRDefault="00DE6368" w:rsidP="00BE7870">
      <w:pPr>
        <w:pStyle w:val="ListParagraph"/>
        <w:numPr>
          <w:ilvl w:val="0"/>
          <w:numId w:val="12"/>
        </w:numPr>
        <w:rPr>
          <w:lang w:val="de-CH"/>
          <w:rPrChange w:id="44" w:author="Mikail NOURREDINE" w:date="2024-10-04T14:11:00Z" w16du:dateUtc="2024-10-04T12:11:00Z">
            <w:rPr>
              <w:color w:val="FF0000"/>
              <w:lang w:val="de-CH"/>
            </w:rPr>
          </w:rPrChange>
        </w:rPr>
      </w:pPr>
      <w:r w:rsidRPr="00412073">
        <w:rPr>
          <w:lang w:val="en-US"/>
        </w:rPr>
        <w:t xml:space="preserve">modify prior </w:t>
      </w:r>
      <w:r w:rsidR="00B119CD" w:rsidRPr="00412073">
        <w:rPr>
          <w:lang w:val="en-US"/>
        </w:rPr>
        <w:t>distributions</w:t>
      </w:r>
      <w:r w:rsidR="00BE7870" w:rsidRPr="00412073">
        <w:rPr>
          <w:lang w:val="en-US"/>
          <w:rPrChange w:id="45" w:author="Mikail NOURREDINE" w:date="2024-10-04T14:11:00Z" w16du:dateUtc="2024-10-04T12:11:00Z">
            <w:rPr>
              <w:color w:val="FF0000"/>
              <w:lang w:val="en-US"/>
            </w:rPr>
          </w:rPrChange>
        </w:rPr>
        <w:t xml:space="preserve"> for heterogeneity; a half-normal: </w:t>
      </w:r>
      <m:oMath>
        <m:r>
          <w:rPr>
            <w:rFonts w:ascii="Cambria Math" w:hAnsi="Cambria Math"/>
            <w:rPrChange w:id="46" w:author="Mikail NOURREDINE" w:date="2024-10-04T14:11:00Z" w16du:dateUtc="2024-10-04T12:11:00Z">
              <w:rPr>
                <w:rFonts w:ascii="Cambria Math" w:hAnsi="Cambria Math"/>
                <w:color w:val="FF0000"/>
              </w:rPr>
            </w:rPrChange>
          </w:rPr>
          <m:t>τ</m:t>
        </m:r>
        <m:r>
          <w:rPr>
            <w:rFonts w:ascii="Cambria Math" w:hAnsi="Cambria Math"/>
            <w:lang w:val="en-US"/>
            <w:rPrChange w:id="47" w:author="Mikail NOURREDINE" w:date="2024-10-04T14:11:00Z" w16du:dateUtc="2024-10-04T12:11:00Z">
              <w:rPr>
                <w:rFonts w:ascii="Cambria Math" w:hAnsi="Cambria Math"/>
                <w:color w:val="FF0000"/>
                <w:lang w:val="en-US"/>
              </w:rPr>
            </w:rPrChange>
          </w:rPr>
          <m:t>~</m:t>
        </m:r>
        <m:r>
          <w:rPr>
            <w:rFonts w:ascii="Cambria Math" w:hAnsi="Cambria Math"/>
            <w:rPrChange w:id="48" w:author="Mikail NOURREDINE" w:date="2024-10-04T14:11:00Z" w16du:dateUtc="2024-10-04T12:11:00Z">
              <w:rPr>
                <w:rFonts w:ascii="Cambria Math" w:hAnsi="Cambria Math"/>
                <w:color w:val="FF0000"/>
              </w:rPr>
            </w:rPrChange>
          </w:rPr>
          <m:t>HN</m:t>
        </m:r>
        <m:r>
          <w:rPr>
            <w:rFonts w:ascii="Cambria Math" w:hAnsi="Cambria Math"/>
            <w:lang w:val="en-US"/>
            <w:rPrChange w:id="49" w:author="Mikail NOURREDINE" w:date="2024-10-04T14:11:00Z" w16du:dateUtc="2024-10-04T12:11:00Z">
              <w:rPr>
                <w:rFonts w:ascii="Cambria Math" w:hAnsi="Cambria Math"/>
                <w:color w:val="FF0000"/>
                <w:lang w:val="en-US"/>
              </w:rPr>
            </w:rPrChange>
          </w:rPr>
          <m:t>(0,1)</m:t>
        </m:r>
      </m:oMath>
      <w:r w:rsidR="00BE7870" w:rsidRPr="00412073">
        <w:rPr>
          <w:rFonts w:eastAsiaTheme="minorEastAsia"/>
          <w:lang w:val="en-US"/>
          <w:rPrChange w:id="50" w:author="Mikail NOURREDINE" w:date="2024-10-04T14:11:00Z" w16du:dateUtc="2024-10-04T12:11:00Z">
            <w:rPr>
              <w:rFonts w:eastAsiaTheme="minorEastAsia"/>
              <w:color w:val="FF0000"/>
              <w:lang w:val="en-US"/>
            </w:rPr>
          </w:rPrChange>
        </w:rPr>
        <w:t xml:space="preserve">. </w:t>
      </w:r>
    </w:p>
    <w:p w14:paraId="4F9FD05A" w14:textId="611BC1ED" w:rsidR="004A19C1" w:rsidRPr="00412073" w:rsidRDefault="004A19C1" w:rsidP="004A19C1">
      <w:pPr>
        <w:pStyle w:val="ListParagraph"/>
        <w:numPr>
          <w:ilvl w:val="0"/>
          <w:numId w:val="12"/>
        </w:numPr>
        <w:spacing w:line="276" w:lineRule="auto"/>
        <w:rPr>
          <w:lang w:val="en-US"/>
        </w:rPr>
      </w:pPr>
    </w:p>
    <w:p w14:paraId="2568226F" w14:textId="77777777" w:rsidR="003D68DA" w:rsidRPr="00412073" w:rsidRDefault="003D68DA" w:rsidP="00412073">
      <w:pPr>
        <w:spacing w:line="276" w:lineRule="auto"/>
        <w:rPr>
          <w:lang w:val="en-US"/>
        </w:rPr>
      </w:pPr>
    </w:p>
    <w:p w14:paraId="6F71DB33" w14:textId="40E8E357" w:rsidR="00D4387A" w:rsidRPr="00412073" w:rsidRDefault="00915118" w:rsidP="0086528E">
      <w:pPr>
        <w:pStyle w:val="Heading2"/>
      </w:pPr>
      <w:r w:rsidRPr="00412073">
        <w:t>DIS</w:t>
      </w:r>
      <w:r w:rsidR="006E09CD" w:rsidRPr="00412073">
        <w:t>CUSSION</w:t>
      </w:r>
      <w:r w:rsidRPr="00412073">
        <w:t xml:space="preserve"> </w:t>
      </w:r>
    </w:p>
    <w:p w14:paraId="1D8AC421" w14:textId="199AFC13" w:rsidR="00984A96" w:rsidRPr="00412073" w:rsidRDefault="00D02C4A" w:rsidP="003A2BD6">
      <w:pPr>
        <w:spacing w:line="276" w:lineRule="auto"/>
        <w:rPr>
          <w:lang w:val="en-US"/>
        </w:rPr>
      </w:pPr>
      <w:r w:rsidRPr="00412073">
        <w:rPr>
          <w:lang w:val="en-US"/>
        </w:rPr>
        <w:t>With this dose response network metanalysis we aim to better u</w:t>
      </w:r>
      <w:r w:rsidR="00984A96" w:rsidRPr="00412073">
        <w:rPr>
          <w:lang w:val="en-US"/>
        </w:rPr>
        <w:t>nderstand</w:t>
      </w:r>
      <w:r w:rsidRPr="00412073">
        <w:rPr>
          <w:lang w:val="en-US"/>
        </w:rPr>
        <w:t xml:space="preserve"> </w:t>
      </w:r>
      <w:r w:rsidR="00984A96" w:rsidRPr="00412073">
        <w:rPr>
          <w:lang w:val="en-US"/>
        </w:rPr>
        <w:t xml:space="preserve">the dose-response relationship of </w:t>
      </w:r>
      <w:r w:rsidR="00D05AA3" w:rsidRPr="00412073">
        <w:rPr>
          <w:lang w:val="en-US"/>
        </w:rPr>
        <w:t xml:space="preserve">pharmacological treatment in ADHD which could help clinician to </w:t>
      </w:r>
      <w:r w:rsidR="00984A96" w:rsidRPr="00412073">
        <w:rPr>
          <w:lang w:val="en-US"/>
        </w:rPr>
        <w:t>the identification of optimal doses</w:t>
      </w:r>
      <w:r w:rsidR="001570DC" w:rsidRPr="00412073">
        <w:rPr>
          <w:lang w:val="en-US"/>
        </w:rPr>
        <w:t>. This endeavor is pivotal for advancing personalized treatment strategies, ensuring both enhanced therapeutic outcomes and reduced side effects for individuals with ADHD.</w:t>
      </w:r>
    </w:p>
    <w:p w14:paraId="156F24C8" w14:textId="77777777" w:rsidR="0044783D" w:rsidRPr="00412073" w:rsidRDefault="0044783D" w:rsidP="003A2BD6">
      <w:pPr>
        <w:spacing w:line="276" w:lineRule="auto"/>
        <w:rPr>
          <w:lang w:val="en-US"/>
        </w:rPr>
      </w:pPr>
    </w:p>
    <w:p w14:paraId="664699C1" w14:textId="11800100" w:rsidR="00D6408E" w:rsidRPr="00412073" w:rsidRDefault="00D6408E" w:rsidP="003A2BD6">
      <w:pPr>
        <w:spacing w:line="276" w:lineRule="auto"/>
        <w:rPr>
          <w:b/>
          <w:bCs/>
          <w:lang w:val="en-US"/>
        </w:rPr>
      </w:pPr>
      <w:r w:rsidRPr="00412073">
        <w:rPr>
          <w:b/>
          <w:bCs/>
          <w:lang w:val="en-US"/>
        </w:rPr>
        <w:t>LIST OF ABBREVIATIONS</w:t>
      </w:r>
    </w:p>
    <w:p w14:paraId="14210810" w14:textId="7EDC3386" w:rsidR="00B119CD" w:rsidRPr="00412073" w:rsidRDefault="00B119CD" w:rsidP="00B119CD">
      <w:pPr>
        <w:spacing w:line="276" w:lineRule="auto"/>
        <w:rPr>
          <w:lang w:val="en-US"/>
        </w:rPr>
      </w:pPr>
      <w:r w:rsidRPr="00412073">
        <w:rPr>
          <w:lang w:val="en-US"/>
        </w:rPr>
        <w:t>ADHD: Attention-Deficit/Hyperactivity Disorder</w:t>
      </w:r>
    </w:p>
    <w:p w14:paraId="523F0A6E" w14:textId="22E5279D" w:rsidR="00B119CD" w:rsidRPr="00412073" w:rsidRDefault="00B119CD" w:rsidP="00B119CD">
      <w:pPr>
        <w:spacing w:line="276" w:lineRule="auto"/>
        <w:rPr>
          <w:lang w:val="en-US"/>
        </w:rPr>
      </w:pPr>
      <w:r w:rsidRPr="00412073">
        <w:rPr>
          <w:lang w:val="en-US"/>
        </w:rPr>
        <w:t>DE-NMA: Dose-Effect Network Meta-Analysis</w:t>
      </w:r>
    </w:p>
    <w:p w14:paraId="577FF5C7" w14:textId="750343B0" w:rsidR="00B119CD" w:rsidRPr="00412073" w:rsidRDefault="00B119CD" w:rsidP="00B119CD">
      <w:pPr>
        <w:spacing w:line="276" w:lineRule="auto"/>
        <w:rPr>
          <w:lang w:val="en-US"/>
        </w:rPr>
      </w:pPr>
      <w:r w:rsidRPr="00412073">
        <w:rPr>
          <w:lang w:val="en-US"/>
        </w:rPr>
        <w:t>DSM: Diagnostic and Statistical Manual of Mental Disorders</w:t>
      </w:r>
    </w:p>
    <w:p w14:paraId="6304A8A2" w14:textId="5402EA75" w:rsidR="00B119CD" w:rsidRPr="00412073" w:rsidRDefault="00B119CD" w:rsidP="00B119CD">
      <w:pPr>
        <w:spacing w:line="276" w:lineRule="auto"/>
        <w:rPr>
          <w:lang w:val="en-US"/>
        </w:rPr>
      </w:pPr>
      <w:r w:rsidRPr="00412073">
        <w:rPr>
          <w:lang w:val="en-US"/>
        </w:rPr>
        <w:t>FDA: Food and Drug Administration</w:t>
      </w:r>
    </w:p>
    <w:p w14:paraId="44C64AC8" w14:textId="0373F297" w:rsidR="00B119CD" w:rsidRPr="00412073" w:rsidRDefault="00B119CD" w:rsidP="00B119CD">
      <w:pPr>
        <w:spacing w:line="276" w:lineRule="auto"/>
        <w:rPr>
          <w:lang w:val="en-US"/>
        </w:rPr>
      </w:pPr>
      <w:r w:rsidRPr="00412073">
        <w:rPr>
          <w:lang w:val="en-US"/>
        </w:rPr>
        <w:t>HKD: Hyperkinetic Disorder</w:t>
      </w:r>
    </w:p>
    <w:p w14:paraId="062FC522" w14:textId="6DC9652D" w:rsidR="00B119CD" w:rsidRPr="00412073" w:rsidRDefault="00B119CD" w:rsidP="00B119CD">
      <w:pPr>
        <w:spacing w:line="276" w:lineRule="auto"/>
        <w:rPr>
          <w:lang w:val="en-US"/>
        </w:rPr>
      </w:pPr>
      <w:r w:rsidRPr="00412073">
        <w:rPr>
          <w:lang w:val="en-US"/>
        </w:rPr>
        <w:t>IR: Immediate Release</w:t>
      </w:r>
    </w:p>
    <w:p w14:paraId="71AA6118" w14:textId="6D06ED0B" w:rsidR="00B119CD" w:rsidRPr="00412073" w:rsidRDefault="00B119CD" w:rsidP="00B119CD">
      <w:pPr>
        <w:spacing w:line="276" w:lineRule="auto"/>
        <w:rPr>
          <w:lang w:val="en-US"/>
        </w:rPr>
      </w:pPr>
      <w:r w:rsidRPr="00412073">
        <w:rPr>
          <w:lang w:val="en-US"/>
        </w:rPr>
        <w:t>NMA: Network Meta-Analysis</w:t>
      </w:r>
    </w:p>
    <w:p w14:paraId="305BDB51" w14:textId="079E6AE7" w:rsidR="00B119CD" w:rsidRPr="00412073" w:rsidRDefault="00B119CD" w:rsidP="00B119CD">
      <w:pPr>
        <w:spacing w:line="276" w:lineRule="auto"/>
        <w:rPr>
          <w:lang w:val="en-US"/>
        </w:rPr>
      </w:pPr>
      <w:r w:rsidRPr="00412073">
        <w:rPr>
          <w:lang w:val="en-US"/>
        </w:rPr>
        <w:t>PRISMA-P: Preferred Reporting Items for Systematic review and Meta-Analysis Protocols</w:t>
      </w:r>
    </w:p>
    <w:p w14:paraId="4EF9872B" w14:textId="2EF31E02" w:rsidR="00B119CD" w:rsidRPr="00412073" w:rsidRDefault="00B119CD" w:rsidP="00B119CD">
      <w:pPr>
        <w:spacing w:line="276" w:lineRule="auto"/>
        <w:rPr>
          <w:lang w:val="en-US"/>
        </w:rPr>
      </w:pPr>
      <w:r w:rsidRPr="00412073">
        <w:rPr>
          <w:lang w:val="en-US"/>
        </w:rPr>
        <w:t>RCT: Randomized Controlled Trials</w:t>
      </w:r>
    </w:p>
    <w:p w14:paraId="55C3672B" w14:textId="397D00C9" w:rsidR="00B119CD" w:rsidRPr="00412073" w:rsidRDefault="00B119CD" w:rsidP="00B119CD">
      <w:pPr>
        <w:spacing w:line="276" w:lineRule="auto"/>
        <w:rPr>
          <w:lang w:val="en-US"/>
        </w:rPr>
      </w:pPr>
      <w:r w:rsidRPr="00412073">
        <w:rPr>
          <w:lang w:val="en-US"/>
        </w:rPr>
        <w:t>RoB: Risk of Bias</w:t>
      </w:r>
    </w:p>
    <w:p w14:paraId="0FEC2A9F" w14:textId="3F5C5F53" w:rsidR="00E402D9" w:rsidRPr="00412073" w:rsidRDefault="00B119CD" w:rsidP="00B119CD">
      <w:pPr>
        <w:spacing w:line="276" w:lineRule="auto"/>
        <w:rPr>
          <w:lang w:val="en-US"/>
        </w:rPr>
      </w:pPr>
      <w:r w:rsidRPr="00412073">
        <w:rPr>
          <w:lang w:val="en-US"/>
        </w:rPr>
        <w:t>XR: Extended Release</w:t>
      </w:r>
    </w:p>
    <w:p w14:paraId="40C53AD5" w14:textId="77777777" w:rsidR="00B119CD" w:rsidRPr="00412073" w:rsidRDefault="00B119CD" w:rsidP="00B119CD">
      <w:pPr>
        <w:spacing w:line="276" w:lineRule="auto"/>
        <w:rPr>
          <w:lang w:val="en-US"/>
        </w:rPr>
      </w:pPr>
    </w:p>
    <w:p w14:paraId="1A3817F6" w14:textId="0CF436EF" w:rsidR="000A3AB5" w:rsidRPr="00412073" w:rsidRDefault="000A3AB5" w:rsidP="003A2BD6">
      <w:pPr>
        <w:spacing w:line="276" w:lineRule="auto"/>
        <w:rPr>
          <w:b/>
          <w:bCs/>
          <w:lang w:val="en-US"/>
        </w:rPr>
      </w:pPr>
      <w:r w:rsidRPr="00412073">
        <w:rPr>
          <w:b/>
          <w:bCs/>
          <w:lang w:val="en-US"/>
        </w:rPr>
        <w:t>DECLARATIONS</w:t>
      </w:r>
    </w:p>
    <w:p w14:paraId="2DE35F5E" w14:textId="4DEDF42E" w:rsidR="00677F1E" w:rsidRPr="00412073" w:rsidRDefault="00677F1E" w:rsidP="00677F1E">
      <w:pPr>
        <w:rPr>
          <w:lang w:val="en-US"/>
        </w:rPr>
      </w:pPr>
      <w:r w:rsidRPr="00412073">
        <w:rPr>
          <w:lang w:val="en-US"/>
        </w:rPr>
        <w:t xml:space="preserve">Ethics approval and consent to </w:t>
      </w:r>
      <w:r w:rsidR="00E500A9" w:rsidRPr="00412073">
        <w:rPr>
          <w:lang w:val="en-US"/>
        </w:rPr>
        <w:t>participate:</w:t>
      </w:r>
      <w:r w:rsidRPr="00412073">
        <w:rPr>
          <w:lang w:val="en-US"/>
        </w:rPr>
        <w:t xml:space="preserve"> </w:t>
      </w:r>
      <w:r w:rsidR="00F5317D" w:rsidRPr="00412073">
        <w:rPr>
          <w:lang w:val="en-US"/>
        </w:rPr>
        <w:t>Not applicable.</w:t>
      </w:r>
    </w:p>
    <w:p w14:paraId="06CE77A3" w14:textId="4E7553B8" w:rsidR="00677F1E" w:rsidRPr="00412073" w:rsidRDefault="00677F1E" w:rsidP="00677F1E">
      <w:pPr>
        <w:rPr>
          <w:lang w:val="en-US"/>
        </w:rPr>
      </w:pPr>
      <w:r w:rsidRPr="00412073">
        <w:rPr>
          <w:lang w:val="en-US"/>
        </w:rPr>
        <w:t xml:space="preserve">Consent for </w:t>
      </w:r>
      <w:r w:rsidR="00E500A9" w:rsidRPr="00412073">
        <w:rPr>
          <w:lang w:val="en-US"/>
        </w:rPr>
        <w:t>publication:</w:t>
      </w:r>
      <w:r w:rsidR="00F5317D" w:rsidRPr="00412073">
        <w:rPr>
          <w:lang w:val="en-US"/>
        </w:rPr>
        <w:t xml:space="preserve"> Not applicable.</w:t>
      </w:r>
    </w:p>
    <w:p w14:paraId="39D05D91" w14:textId="217C5B5C" w:rsidR="00677F1E" w:rsidRPr="00412073" w:rsidRDefault="00677F1E" w:rsidP="00677F1E">
      <w:pPr>
        <w:rPr>
          <w:lang w:val="en-US"/>
        </w:rPr>
      </w:pPr>
      <w:r w:rsidRPr="00412073">
        <w:rPr>
          <w:lang w:val="en-US"/>
        </w:rPr>
        <w:t xml:space="preserve">Availability of data and </w:t>
      </w:r>
      <w:r w:rsidR="00E500A9" w:rsidRPr="00412073">
        <w:rPr>
          <w:lang w:val="en-US"/>
        </w:rPr>
        <w:t>materials:</w:t>
      </w:r>
      <w:r w:rsidR="008D4065" w:rsidRPr="00412073">
        <w:rPr>
          <w:lang w:val="en-US"/>
        </w:rPr>
        <w:t xml:space="preserve"> data and code will be available at OSF repository</w:t>
      </w:r>
      <w:r w:rsidR="00805957" w:rsidRPr="00412073">
        <w:rPr>
          <w:lang w:val="en-US"/>
        </w:rPr>
        <w:t>.</w:t>
      </w:r>
    </w:p>
    <w:p w14:paraId="09A243BE" w14:textId="6B092D00" w:rsidR="00677F1E" w:rsidRPr="00412073" w:rsidRDefault="00677F1E" w:rsidP="00677F1E">
      <w:pPr>
        <w:rPr>
          <w:lang w:val="en-US"/>
        </w:rPr>
      </w:pPr>
      <w:r w:rsidRPr="00412073">
        <w:rPr>
          <w:lang w:val="en-US"/>
        </w:rPr>
        <w:t xml:space="preserve">Competing </w:t>
      </w:r>
      <w:r w:rsidR="00176487" w:rsidRPr="00412073">
        <w:rPr>
          <w:lang w:val="en-US"/>
        </w:rPr>
        <w:t>interests:</w:t>
      </w:r>
      <w:r w:rsidR="00B557E2" w:rsidRPr="00412073">
        <w:rPr>
          <w:lang w:val="en-US"/>
        </w:rPr>
        <w:t xml:space="preserve"> </w:t>
      </w:r>
      <w:r w:rsidR="00176487" w:rsidRPr="00412073">
        <w:rPr>
          <w:lang w:val="en-US"/>
        </w:rPr>
        <w:t>MN, LJ, GS, AC, FS, OE, TH</w:t>
      </w:r>
      <w:r w:rsidR="001E00F2" w:rsidRPr="00412073">
        <w:rPr>
          <w:lang w:val="en-US"/>
        </w:rPr>
        <w:t xml:space="preserve"> </w:t>
      </w:r>
      <w:r w:rsidR="00176487" w:rsidRPr="00412073">
        <w:rPr>
          <w:lang w:val="en-US"/>
        </w:rPr>
        <w:t>declared no competing interests.</w:t>
      </w:r>
    </w:p>
    <w:p w14:paraId="4DCDA1D0" w14:textId="4698FBB2" w:rsidR="006B318D" w:rsidRPr="00412073" w:rsidRDefault="006B318D" w:rsidP="006B318D">
      <w:pPr>
        <w:rPr>
          <w:lang w:val="en-US"/>
        </w:rPr>
      </w:pPr>
      <w:r w:rsidRPr="00412073">
        <w:rPr>
          <w:lang w:val="en-US"/>
        </w:rPr>
        <w:t>SC has declared reimbursement for travel and accommodation expenses from the Association for Child and Adolescent Central Health (ACAMH) in relation to lectures delivered for ACAMH, the Canadian AADHD Alliance Resource, the British Association of Psychopharmacology, and from Healthcare Convention for educational activity on ADHD, and has received honoraria from Medice.</w:t>
      </w:r>
    </w:p>
    <w:p w14:paraId="588D194D" w14:textId="77777777" w:rsidR="00617CE1" w:rsidRPr="00412073" w:rsidRDefault="00617CE1" w:rsidP="00677F1E">
      <w:pPr>
        <w:rPr>
          <w:lang w:val="en-US"/>
        </w:rPr>
      </w:pPr>
    </w:p>
    <w:p w14:paraId="310D8F1D" w14:textId="60865A84" w:rsidR="00677F1E" w:rsidRPr="00412073" w:rsidRDefault="00677F1E" w:rsidP="00677F1E">
      <w:pPr>
        <w:rPr>
          <w:lang w:val="en-US"/>
        </w:rPr>
      </w:pPr>
      <w:r w:rsidRPr="00412073">
        <w:rPr>
          <w:lang w:val="en-US"/>
        </w:rPr>
        <w:lastRenderedPageBreak/>
        <w:t>Funding</w:t>
      </w:r>
      <w:r w:rsidR="00944121" w:rsidRPr="00412073">
        <w:rPr>
          <w:lang w:val="en-US"/>
        </w:rPr>
        <w:t>:</w:t>
      </w:r>
    </w:p>
    <w:p w14:paraId="2E21B94D" w14:textId="148F77B3" w:rsidR="00617CE1" w:rsidRPr="00412073" w:rsidRDefault="00944121" w:rsidP="006E09CD">
      <w:pPr>
        <w:rPr>
          <w:lang w:val="en-US"/>
        </w:rPr>
      </w:pPr>
      <w:r w:rsidRPr="00412073">
        <w:rPr>
          <w:lang w:val="en-US"/>
        </w:rPr>
        <w:t xml:space="preserve">The submission </w:t>
      </w:r>
      <w:r w:rsidR="00C70243" w:rsidRPr="00412073">
        <w:rPr>
          <w:lang w:val="en-US"/>
        </w:rPr>
        <w:t>fees are covered</w:t>
      </w:r>
      <w:r w:rsidR="00BF1EBD" w:rsidRPr="00412073">
        <w:rPr>
          <w:lang w:val="en-US"/>
        </w:rPr>
        <w:t xml:space="preserve"> by </w:t>
      </w:r>
      <w:r w:rsidR="00C70243" w:rsidRPr="00412073">
        <w:rPr>
          <w:lang w:val="en-US"/>
        </w:rPr>
        <w:t xml:space="preserve">a grant from </w:t>
      </w:r>
      <w:r w:rsidR="00EC2015" w:rsidRPr="00412073">
        <w:rPr>
          <w:lang w:val="en-US"/>
        </w:rPr>
        <w:t xml:space="preserve">Hospital Le Vinatier </w:t>
      </w:r>
      <w:r w:rsidR="00C70243" w:rsidRPr="00412073">
        <w:rPr>
          <w:lang w:val="en-US"/>
        </w:rPr>
        <w:t>(</w:t>
      </w:r>
      <w:r w:rsidR="00C85891" w:rsidRPr="00412073">
        <w:rPr>
          <w:lang w:val="en-US"/>
        </w:rPr>
        <w:t>PRVR-07</w:t>
      </w:r>
      <w:r w:rsidR="00C70243" w:rsidRPr="00412073">
        <w:rPr>
          <w:lang w:val="en-US"/>
        </w:rPr>
        <w:t>)</w:t>
      </w:r>
      <w:r w:rsidR="00EC2015" w:rsidRPr="00412073">
        <w:rPr>
          <w:lang w:val="en-US"/>
        </w:rPr>
        <w:t>.</w:t>
      </w:r>
    </w:p>
    <w:p w14:paraId="40D7FD43" w14:textId="77777777" w:rsidR="00FA15F2" w:rsidRPr="00412073" w:rsidRDefault="00944121" w:rsidP="006E09CD">
      <w:pPr>
        <w:rPr>
          <w:lang w:val="en-US"/>
        </w:rPr>
      </w:pPr>
      <w:r w:rsidRPr="00412073">
        <w:rPr>
          <w:lang w:val="en-US"/>
        </w:rPr>
        <w:t>Samuele Cortese, NIHR Research Professor (NIHR303122) is funded by the NIHR for this research project. Samuele Cortese is also supported by</w:t>
      </w:r>
      <w:r w:rsidRPr="00412073">
        <w:rPr>
          <w:b/>
          <w:bCs/>
          <w:lang w:val="en-US"/>
        </w:rPr>
        <w:t xml:space="preserve"> </w:t>
      </w:r>
      <w:r w:rsidRPr="00412073">
        <w:rPr>
          <w:lang w:val="en-US"/>
        </w:rPr>
        <w:t>NIHR grants NIHR203684, NIHR203035, NIHR130077, NIHR128472, RP-PG-0618-20003</w:t>
      </w:r>
      <w:r w:rsidRPr="00412073">
        <w:rPr>
          <w:b/>
          <w:bCs/>
          <w:lang w:val="en-US"/>
        </w:rPr>
        <w:t xml:space="preserve"> </w:t>
      </w:r>
      <w:r w:rsidRPr="00412073">
        <w:rPr>
          <w:lang w:val="en-US"/>
        </w:rPr>
        <w:t>and by grant</w:t>
      </w:r>
      <w:r w:rsidRPr="00412073">
        <w:rPr>
          <w:b/>
          <w:bCs/>
          <w:lang w:val="en-US"/>
        </w:rPr>
        <w:t xml:space="preserve"> </w:t>
      </w:r>
      <w:r w:rsidRPr="00412073">
        <w:rPr>
          <w:lang w:val="en-US"/>
        </w:rPr>
        <w:t>101095568-HORIZONHLTH- 2022-DISEASE-07-03 from the European Research Executive Agency.</w:t>
      </w:r>
    </w:p>
    <w:p w14:paraId="00AA7E39" w14:textId="6FA24FB0" w:rsidR="00DC70A1" w:rsidRPr="00412073" w:rsidRDefault="00B557E2" w:rsidP="006E09CD">
      <w:pPr>
        <w:rPr>
          <w:lang w:val="en-US"/>
        </w:rPr>
      </w:pPr>
      <w:r w:rsidRPr="00412073">
        <w:rPr>
          <w:lang w:val="en-US"/>
        </w:rPr>
        <w:t>Andrea Cipriani is supported by the National Institute for Health Research (NIHR) Oxford Cognitive Health Clinical Research Facility, by an NIHR Research Professorship (grant RP-2017-08-ST2-006), by the NIHR Oxford and Thames Valley Applied Research Collaboration, by the NIHR Oxford Health Biomedical Research Centre (grant NIHR203316) and by the Wellcome Trust (GALENOS Project). The views expressed are those of the authors and not necessarily those of the UK National Health Service, the NIHR, or the UK Department of Health and Social Care.</w:t>
      </w:r>
    </w:p>
    <w:p w14:paraId="0A5D9106" w14:textId="74AA457C" w:rsidR="006E09CD" w:rsidRPr="00412073" w:rsidRDefault="00677F1E" w:rsidP="006E09CD">
      <w:pPr>
        <w:rPr>
          <w:lang w:val="en-US"/>
        </w:rPr>
      </w:pPr>
      <w:r w:rsidRPr="00412073">
        <w:rPr>
          <w:lang w:val="en-US"/>
        </w:rPr>
        <w:t>Authors' contributions</w:t>
      </w:r>
      <w:r w:rsidR="00C85F71" w:rsidRPr="00412073">
        <w:rPr>
          <w:lang w:val="en-US"/>
        </w:rPr>
        <w:t xml:space="preserve">: </w:t>
      </w:r>
      <w:r w:rsidR="006E09CD" w:rsidRPr="00412073">
        <w:rPr>
          <w:lang w:val="en-US"/>
        </w:rPr>
        <w:t xml:space="preserve">MN and LJ wrote the first draft of this manuscript. All authors </w:t>
      </w:r>
      <w:r w:rsidR="007B70AD" w:rsidRPr="00412073">
        <w:rPr>
          <w:lang w:val="en-US"/>
        </w:rPr>
        <w:t>revised the manuscript. All authors participated in the study design.</w:t>
      </w:r>
    </w:p>
    <w:p w14:paraId="241C1915" w14:textId="333311E9" w:rsidR="00287D3D" w:rsidRPr="00412073" w:rsidRDefault="009F0814" w:rsidP="00677F1E">
      <w:pPr>
        <w:rPr>
          <w:lang w:val="en-US"/>
        </w:rPr>
      </w:pPr>
      <w:r w:rsidRPr="00412073">
        <w:rPr>
          <w:lang w:val="en-US"/>
        </w:rPr>
        <w:t xml:space="preserve">Acknowledgements: </w:t>
      </w:r>
      <w:r w:rsidR="00026DF6" w:rsidRPr="00412073">
        <w:rPr>
          <w:lang w:val="en-US"/>
        </w:rPr>
        <w:t>Not applicable</w:t>
      </w:r>
    </w:p>
    <w:p w14:paraId="3AEBED4E" w14:textId="51A5ACDA" w:rsidR="00D002FD" w:rsidRPr="00412073" w:rsidRDefault="00D002FD" w:rsidP="00677F1E">
      <w:pPr>
        <w:pStyle w:val="Heading2"/>
      </w:pPr>
      <w:r w:rsidRPr="00412073">
        <w:t>REFERECES</w:t>
      </w:r>
    </w:p>
    <w:p w14:paraId="364FEE51" w14:textId="77777777" w:rsidR="00765CE2" w:rsidRPr="00412073" w:rsidRDefault="00D002FD" w:rsidP="00765CE2">
      <w:pPr>
        <w:pStyle w:val="Bibliography"/>
        <w:rPr>
          <w:lang w:val="en-US"/>
        </w:rPr>
      </w:pPr>
      <w:r w:rsidRPr="00412073">
        <w:rPr>
          <w:lang w:val="en-US"/>
        </w:rPr>
        <w:fldChar w:fldCharType="begin"/>
      </w:r>
      <w:r w:rsidR="00E500A9" w:rsidRPr="00412073">
        <w:rPr>
          <w:lang w:val="en-US"/>
        </w:rPr>
        <w:instrText xml:space="preserve"> ADDIN ZOTERO_BIBL {"uncited":[],"omitted":[],"custom":[]} CSL_BIBLIOGRAPHY </w:instrText>
      </w:r>
      <w:r w:rsidRPr="00412073">
        <w:rPr>
          <w:lang w:val="en-US"/>
        </w:rPr>
        <w:fldChar w:fldCharType="separate"/>
      </w:r>
      <w:r w:rsidR="00765CE2" w:rsidRPr="00412073">
        <w:rPr>
          <w:lang w:val="en-US"/>
        </w:rPr>
        <w:t>1.</w:t>
      </w:r>
      <w:r w:rsidR="00765CE2" w:rsidRPr="00412073">
        <w:rPr>
          <w:lang w:val="en-US"/>
        </w:rPr>
        <w:tab/>
        <w:t xml:space="preserve">American Psychiatric Association, American Psychiatric Association, éditeurs. Diagnostic and statistical manual of mental disorders: DSM-5. 5th ed. Washington, D.C: American Psychiatric Association; 2013. 947 p. </w:t>
      </w:r>
    </w:p>
    <w:p w14:paraId="3376736A" w14:textId="77777777" w:rsidR="00765CE2" w:rsidRPr="00412073" w:rsidRDefault="00765CE2" w:rsidP="00765CE2">
      <w:pPr>
        <w:pStyle w:val="Bibliography"/>
        <w:rPr>
          <w:lang w:val="en-US"/>
        </w:rPr>
      </w:pPr>
      <w:r w:rsidRPr="00412073">
        <w:rPr>
          <w:lang w:val="en-US"/>
        </w:rPr>
        <w:t>2.</w:t>
      </w:r>
      <w:r w:rsidRPr="00412073">
        <w:rPr>
          <w:lang w:val="en-US"/>
        </w:rPr>
        <w:tab/>
        <w:t xml:space="preserve">Faraone SV, Bellgrove MA, Brikell I, Cortese S, Hartman CA, Hollis C, et al. Attention-deficit/hyperactivity disorder. Nat Rev Dis Primer. 22 févr 2024;10(1):11. </w:t>
      </w:r>
    </w:p>
    <w:p w14:paraId="6236891D" w14:textId="77777777" w:rsidR="00765CE2" w:rsidRPr="00412073" w:rsidRDefault="00765CE2" w:rsidP="00765CE2">
      <w:pPr>
        <w:pStyle w:val="Bibliography"/>
        <w:rPr>
          <w:lang w:val="en-US"/>
        </w:rPr>
      </w:pPr>
      <w:r w:rsidRPr="00412073">
        <w:rPr>
          <w:lang w:val="en-US"/>
        </w:rPr>
        <w:t>3.</w:t>
      </w:r>
      <w:r w:rsidRPr="00412073">
        <w:rPr>
          <w:lang w:val="en-US"/>
        </w:rPr>
        <w:tab/>
        <w:t>Faraone SV, Biederman J, Mick E. The age-dependent decline of attention deficit hyperactivity disorder: a meta-analysis of follow-up studies. Psychol Med. févr 2006;36(2):159</w:t>
      </w:r>
      <w:r w:rsidRPr="00412073">
        <w:rPr>
          <w:rFonts w:ascii="Cambria Math" w:hAnsi="Cambria Math" w:cs="Cambria Math"/>
          <w:lang w:val="en-US"/>
        </w:rPr>
        <w:t>‑</w:t>
      </w:r>
      <w:r w:rsidRPr="00412073">
        <w:rPr>
          <w:lang w:val="en-US"/>
        </w:rPr>
        <w:t xml:space="preserve">65. </w:t>
      </w:r>
    </w:p>
    <w:p w14:paraId="6137150B" w14:textId="77777777" w:rsidR="00765CE2" w:rsidRPr="00412073" w:rsidRDefault="00765CE2" w:rsidP="00765CE2">
      <w:pPr>
        <w:pStyle w:val="Bibliography"/>
        <w:rPr>
          <w:lang w:val="en-US"/>
        </w:rPr>
      </w:pPr>
      <w:r w:rsidRPr="00412073">
        <w:rPr>
          <w:lang w:val="en-US"/>
        </w:rPr>
        <w:t>4.</w:t>
      </w:r>
      <w:r w:rsidRPr="00412073">
        <w:rPr>
          <w:lang w:val="en-US"/>
        </w:rPr>
        <w:tab/>
        <w:t>Faraone SV, Banaschewski T, Coghill D, Zheng Y, Biederman J, Bellgrove MA, et al. The World Federation of ADHD International Consensus Statement: 208 Evidence-based conclusions about the disorder. Neurosci Biobehav Rev. sept 2021;128:789</w:t>
      </w:r>
      <w:r w:rsidRPr="00412073">
        <w:rPr>
          <w:rFonts w:ascii="Cambria Math" w:hAnsi="Cambria Math" w:cs="Cambria Math"/>
          <w:lang w:val="en-US"/>
        </w:rPr>
        <w:t>‑</w:t>
      </w:r>
      <w:r w:rsidRPr="00412073">
        <w:rPr>
          <w:lang w:val="en-US"/>
        </w:rPr>
        <w:t xml:space="preserve">818. </w:t>
      </w:r>
    </w:p>
    <w:p w14:paraId="192F3C56" w14:textId="77777777" w:rsidR="00765CE2" w:rsidRPr="00412073" w:rsidRDefault="00765CE2" w:rsidP="00765CE2">
      <w:pPr>
        <w:pStyle w:val="Bibliography"/>
        <w:rPr>
          <w:lang w:val="en-US"/>
        </w:rPr>
      </w:pPr>
      <w:r w:rsidRPr="00412073">
        <w:rPr>
          <w:lang w:val="en-US"/>
        </w:rPr>
        <w:t>5.</w:t>
      </w:r>
      <w:r w:rsidRPr="00412073">
        <w:rPr>
          <w:lang w:val="en-US"/>
        </w:rPr>
        <w:tab/>
        <w:t xml:space="preserve">Cipriani A, Higgins JPT, Geddes JR, Salanti G. Conceptual and Technical Challenges in Network Meta-analysis. Ann Intern Med. 16 juill 2013;159(2):130. </w:t>
      </w:r>
    </w:p>
    <w:p w14:paraId="442A73F4" w14:textId="77777777" w:rsidR="00765CE2" w:rsidRPr="00412073" w:rsidRDefault="00765CE2" w:rsidP="00765CE2">
      <w:pPr>
        <w:pStyle w:val="Bibliography"/>
        <w:rPr>
          <w:lang w:val="en-US"/>
        </w:rPr>
      </w:pPr>
      <w:r w:rsidRPr="00412073">
        <w:rPr>
          <w:lang w:val="en-US"/>
        </w:rPr>
        <w:t>6.</w:t>
      </w:r>
      <w:r w:rsidRPr="00412073">
        <w:rPr>
          <w:lang w:val="en-US"/>
        </w:rPr>
        <w:tab/>
        <w:t>Mavridis D, Giannatsi M, Cipriani A, Salanti G. A primer on network meta-analysis with emphasis on mental health. Evid Based Ment Health. mai 2015;18(2):40</w:t>
      </w:r>
      <w:r w:rsidRPr="00412073">
        <w:rPr>
          <w:rFonts w:ascii="Cambria Math" w:hAnsi="Cambria Math" w:cs="Cambria Math"/>
          <w:lang w:val="en-US"/>
        </w:rPr>
        <w:t>‑</w:t>
      </w:r>
      <w:r w:rsidRPr="00412073">
        <w:rPr>
          <w:lang w:val="en-US"/>
        </w:rPr>
        <w:t xml:space="preserve">6. </w:t>
      </w:r>
    </w:p>
    <w:p w14:paraId="2BAF20C6" w14:textId="77777777" w:rsidR="00765CE2" w:rsidRPr="00412073" w:rsidRDefault="00765CE2" w:rsidP="00765CE2">
      <w:pPr>
        <w:pStyle w:val="Bibliography"/>
        <w:rPr>
          <w:lang w:val="en-US"/>
        </w:rPr>
      </w:pPr>
      <w:r w:rsidRPr="00412073">
        <w:rPr>
          <w:lang w:val="en-US"/>
        </w:rPr>
        <w:t>7.</w:t>
      </w:r>
      <w:r w:rsidRPr="00412073">
        <w:rPr>
          <w:lang w:val="en-US"/>
        </w:rPr>
        <w:tab/>
        <w:t>Cortese S, Adamo N, Del Giovane C, Mohr-Jensen C, Hayes AJ, Carucci S, et al. Comparative efficacy and tolerability of medications for attention-deficit hyperactivity disorder in children, adolescents, and adults: a systematic review and network meta-analysis. Lancet Psychiatry. sept 2018;5(9):727</w:t>
      </w:r>
      <w:r w:rsidRPr="00412073">
        <w:rPr>
          <w:rFonts w:ascii="Cambria Math" w:hAnsi="Cambria Math" w:cs="Cambria Math"/>
          <w:lang w:val="en-US"/>
        </w:rPr>
        <w:t>‑</w:t>
      </w:r>
      <w:r w:rsidRPr="00412073">
        <w:rPr>
          <w:lang w:val="en-US"/>
        </w:rPr>
        <w:t xml:space="preserve">38. </w:t>
      </w:r>
    </w:p>
    <w:p w14:paraId="78890A31" w14:textId="77777777" w:rsidR="00765CE2" w:rsidRPr="00412073" w:rsidRDefault="00765CE2" w:rsidP="00765CE2">
      <w:pPr>
        <w:pStyle w:val="Bibliography"/>
        <w:rPr>
          <w:lang w:val="en-US"/>
        </w:rPr>
      </w:pPr>
      <w:r w:rsidRPr="00412073">
        <w:rPr>
          <w:lang w:val="en-US"/>
        </w:rPr>
        <w:t>8.</w:t>
      </w:r>
      <w:r w:rsidRPr="00412073">
        <w:rPr>
          <w:lang w:val="en-US"/>
        </w:rPr>
        <w:tab/>
        <w:t>Brinkman WB, Baum R, Kelleher KJ, Peugh J, Gardner W, Lichtenstein P, et al. Relationship Between Attention-Deficit/Hyperactivity Disorder Care and Medication Continuity. J Am Acad Child Adolesc Psychiatry. avr 2016;55(4):289</w:t>
      </w:r>
      <w:r w:rsidRPr="00412073">
        <w:rPr>
          <w:rFonts w:ascii="Cambria Math" w:hAnsi="Cambria Math" w:cs="Cambria Math"/>
          <w:lang w:val="en-US"/>
        </w:rPr>
        <w:t>‑</w:t>
      </w:r>
      <w:r w:rsidRPr="00412073">
        <w:rPr>
          <w:lang w:val="en-US"/>
        </w:rPr>
        <w:t xml:space="preserve">94. </w:t>
      </w:r>
    </w:p>
    <w:p w14:paraId="3C58F7D5" w14:textId="77777777" w:rsidR="00765CE2" w:rsidRPr="00412073" w:rsidRDefault="00765CE2" w:rsidP="00765CE2">
      <w:pPr>
        <w:pStyle w:val="Bibliography"/>
        <w:rPr>
          <w:lang w:val="en-US"/>
        </w:rPr>
      </w:pPr>
      <w:r w:rsidRPr="00412073">
        <w:rPr>
          <w:lang w:val="en-US"/>
        </w:rPr>
        <w:t>9.</w:t>
      </w:r>
      <w:r w:rsidRPr="00412073">
        <w:rPr>
          <w:lang w:val="en-US"/>
        </w:rPr>
        <w:tab/>
        <w:t xml:space="preserve">Brinkman WB, Sucharew H, Majcher JH, Epstein JN. Predictors of Medication Continuity in Children With ADHD. Pediatrics. 1 juin 2018;141(6):e20172580. </w:t>
      </w:r>
    </w:p>
    <w:p w14:paraId="3C286DF0" w14:textId="77777777" w:rsidR="00765CE2" w:rsidRPr="00412073" w:rsidRDefault="00765CE2" w:rsidP="00765CE2">
      <w:pPr>
        <w:pStyle w:val="Bibliography"/>
        <w:rPr>
          <w:lang w:val="en-US"/>
        </w:rPr>
      </w:pPr>
      <w:r w:rsidRPr="00412073">
        <w:rPr>
          <w:lang w:val="en-US"/>
        </w:rPr>
        <w:lastRenderedPageBreak/>
        <w:t>10.</w:t>
      </w:r>
      <w:r w:rsidRPr="00412073">
        <w:rPr>
          <w:lang w:val="en-US"/>
        </w:rPr>
        <w:tab/>
        <w:t>Olfson M, Marcus S, Wan G. Stimulant Dosing for Children With ADHD: A Medical Claims Analysis. J Am Acad Child Adolesc Psychiatry. janv 2009;48(1):51</w:t>
      </w:r>
      <w:r w:rsidRPr="00412073">
        <w:rPr>
          <w:rFonts w:ascii="Cambria Math" w:hAnsi="Cambria Math" w:cs="Cambria Math"/>
          <w:lang w:val="en-US"/>
        </w:rPr>
        <w:t>‑</w:t>
      </w:r>
      <w:r w:rsidRPr="00412073">
        <w:rPr>
          <w:lang w:val="en-US"/>
        </w:rPr>
        <w:t xml:space="preserve">9. </w:t>
      </w:r>
    </w:p>
    <w:p w14:paraId="760E5591" w14:textId="77777777" w:rsidR="00765CE2" w:rsidRPr="00412073" w:rsidRDefault="00765CE2" w:rsidP="00765CE2">
      <w:pPr>
        <w:pStyle w:val="Bibliography"/>
        <w:rPr>
          <w:lang w:val="en-US"/>
        </w:rPr>
      </w:pPr>
      <w:r w:rsidRPr="00412073">
        <w:rPr>
          <w:lang w:val="en-US"/>
        </w:rPr>
        <w:t>11.</w:t>
      </w:r>
      <w:r w:rsidRPr="00412073">
        <w:rPr>
          <w:lang w:val="en-US"/>
        </w:rPr>
        <w:tab/>
        <w:t>Pliszka SR, Lopez M, Crismon ML, Toprac MG, Hughes CW, Emslie GJ, et al. A Feasibility Study of the Children’s Medication Algorithm Project (CMAP) Algorithm for the Treatment of ADHD. J Am Acad Child Adolesc Psychiatry. mars 2003;42(3):279</w:t>
      </w:r>
      <w:r w:rsidRPr="00412073">
        <w:rPr>
          <w:rFonts w:ascii="Cambria Math" w:hAnsi="Cambria Math" w:cs="Cambria Math"/>
          <w:lang w:val="en-US"/>
        </w:rPr>
        <w:t>‑</w:t>
      </w:r>
      <w:r w:rsidRPr="00412073">
        <w:rPr>
          <w:lang w:val="en-US"/>
        </w:rPr>
        <w:t xml:space="preserve">87. </w:t>
      </w:r>
    </w:p>
    <w:p w14:paraId="1EF5A386" w14:textId="77777777" w:rsidR="00765CE2" w:rsidRPr="00412073" w:rsidRDefault="00765CE2" w:rsidP="00765CE2">
      <w:pPr>
        <w:pStyle w:val="Bibliography"/>
        <w:rPr>
          <w:lang w:val="en-US"/>
        </w:rPr>
      </w:pPr>
      <w:r w:rsidRPr="00412073">
        <w:rPr>
          <w:lang w:val="en-US"/>
        </w:rPr>
        <w:t>12.</w:t>
      </w:r>
      <w:r w:rsidRPr="00412073">
        <w:rPr>
          <w:lang w:val="en-US"/>
        </w:rPr>
        <w:tab/>
        <w:t xml:space="preserve">Xu Y, Chung H, Shu M, Liu Y, Zhang Y, Qiu H. Dose titration of osmotic release oral system methylphenidate in children and adolescents with attention-deficit hyperactivity disorder: a retrospective cohort study. BMC Pediatr. 23 janv 2023;23(1):38. </w:t>
      </w:r>
    </w:p>
    <w:p w14:paraId="508F0B4B" w14:textId="77777777" w:rsidR="00765CE2" w:rsidRPr="00412073" w:rsidRDefault="00765CE2" w:rsidP="00765CE2">
      <w:pPr>
        <w:pStyle w:val="Bibliography"/>
        <w:rPr>
          <w:lang w:val="en-US"/>
        </w:rPr>
      </w:pPr>
      <w:r w:rsidRPr="00412073">
        <w:rPr>
          <w:lang w:val="en-US"/>
        </w:rPr>
        <w:t>13.</w:t>
      </w:r>
      <w:r w:rsidRPr="00412073">
        <w:rPr>
          <w:lang w:val="en-US"/>
        </w:rPr>
        <w:tab/>
        <w:t>Hamza T, Furukawa TA, Orsini N, Cipriani A, Salanti G. Dose–effect meta-analysis for psychopharmacological interventions using randomised data. Evid Based Ment Health. févr 2022;25(1):1</w:t>
      </w:r>
      <w:r w:rsidRPr="00412073">
        <w:rPr>
          <w:rFonts w:ascii="Cambria Math" w:hAnsi="Cambria Math" w:cs="Cambria Math"/>
          <w:lang w:val="en-US"/>
        </w:rPr>
        <w:t>‑</w:t>
      </w:r>
      <w:r w:rsidRPr="00412073">
        <w:rPr>
          <w:lang w:val="en-US"/>
        </w:rPr>
        <w:t xml:space="preserve">6. </w:t>
      </w:r>
    </w:p>
    <w:p w14:paraId="1AB11E41" w14:textId="77777777" w:rsidR="00765CE2" w:rsidRPr="00412073" w:rsidRDefault="00765CE2" w:rsidP="00765CE2">
      <w:pPr>
        <w:pStyle w:val="Bibliography"/>
        <w:rPr>
          <w:lang w:val="en-US"/>
        </w:rPr>
      </w:pPr>
      <w:r w:rsidRPr="00412073">
        <w:rPr>
          <w:lang w:val="en-US"/>
        </w:rPr>
        <w:t>14.</w:t>
      </w:r>
      <w:r w:rsidRPr="00412073">
        <w:rPr>
          <w:lang w:val="en-US"/>
        </w:rPr>
        <w:tab/>
        <w:t>Mawdsley D, Bennetts M, Dias S, Boucher M, Welton N. Model-Based Network Meta-Analysis: A Framework for Evidence Synthesis of Clinical Trial Data: Model-Based Network Meta-Analysis. CPT Pharmacomet Syst Pharmacol. août 2016;5(8):393</w:t>
      </w:r>
      <w:r w:rsidRPr="00412073">
        <w:rPr>
          <w:rFonts w:ascii="Cambria Math" w:hAnsi="Cambria Math" w:cs="Cambria Math"/>
          <w:lang w:val="en-US"/>
        </w:rPr>
        <w:t>‑</w:t>
      </w:r>
      <w:r w:rsidRPr="00412073">
        <w:rPr>
          <w:lang w:val="en-US"/>
        </w:rPr>
        <w:t xml:space="preserve">401. </w:t>
      </w:r>
    </w:p>
    <w:p w14:paraId="17E26D92" w14:textId="77777777" w:rsidR="00765CE2" w:rsidRPr="00412073" w:rsidRDefault="00765CE2" w:rsidP="00765CE2">
      <w:pPr>
        <w:pStyle w:val="Bibliography"/>
        <w:rPr>
          <w:lang w:val="en-US"/>
        </w:rPr>
      </w:pPr>
      <w:r w:rsidRPr="00412073">
        <w:rPr>
          <w:lang w:val="en-US"/>
        </w:rPr>
        <w:t>15.</w:t>
      </w:r>
      <w:r w:rsidRPr="00412073">
        <w:rPr>
          <w:lang w:val="en-US"/>
        </w:rPr>
        <w:tab/>
        <w:t xml:space="preserve">Higgins JPT, Green S. Cochrane handbook of systematic reviews of interventions. Chichester: Wiley; 2008. </w:t>
      </w:r>
    </w:p>
    <w:p w14:paraId="6492383A" w14:textId="77777777" w:rsidR="00765CE2" w:rsidRPr="00412073" w:rsidRDefault="00765CE2" w:rsidP="00765CE2">
      <w:pPr>
        <w:pStyle w:val="Bibliography"/>
        <w:rPr>
          <w:lang w:val="en-US"/>
        </w:rPr>
      </w:pPr>
      <w:r w:rsidRPr="00412073">
        <w:rPr>
          <w:lang w:val="en-US"/>
        </w:rPr>
        <w:t>16.</w:t>
      </w:r>
      <w:r w:rsidRPr="00412073">
        <w:rPr>
          <w:lang w:val="en-US"/>
        </w:rPr>
        <w:tab/>
        <w:t xml:space="preserve">Sterne JAC, Savović J, Page MJ, Elbers RG, Blencowe NS, Boutron I, et al. RoB 2: a revised tool for assessing risk of bias in randomised trials. BMJ. 28 août 2019;l4898. </w:t>
      </w:r>
    </w:p>
    <w:p w14:paraId="58840021" w14:textId="77777777" w:rsidR="00765CE2" w:rsidRPr="00412073" w:rsidRDefault="00765CE2" w:rsidP="00765CE2">
      <w:pPr>
        <w:pStyle w:val="Bibliography"/>
        <w:rPr>
          <w:lang w:val="en-US"/>
        </w:rPr>
      </w:pPr>
      <w:r w:rsidRPr="00412073">
        <w:rPr>
          <w:lang w:val="en-US"/>
        </w:rPr>
        <w:t>17.</w:t>
      </w:r>
      <w:r w:rsidRPr="00412073">
        <w:rPr>
          <w:lang w:val="en-US"/>
        </w:rPr>
        <w:tab/>
        <w:t xml:space="preserve">Hamza T, Furukawa TA, Orsini N, Cipriani A, Iglesias CP, Salanti G. A dose–effect network meta-analysis model with application in antidepressants using restricted cubic splines. Stat Methods Med Res. 24 févr 2022;096228022110702. </w:t>
      </w:r>
    </w:p>
    <w:p w14:paraId="5B05E3E1" w14:textId="77777777" w:rsidR="00765CE2" w:rsidRPr="00412073" w:rsidRDefault="00765CE2" w:rsidP="00765CE2">
      <w:pPr>
        <w:pStyle w:val="Bibliography"/>
      </w:pPr>
      <w:r w:rsidRPr="00412073">
        <w:rPr>
          <w:lang w:val="en-US"/>
        </w:rPr>
        <w:t>18.</w:t>
      </w:r>
      <w:r w:rsidRPr="00412073">
        <w:rPr>
          <w:lang w:val="en-US"/>
        </w:rPr>
        <w:tab/>
        <w:t xml:space="preserve">Farhat LC, Flores JM, Behling E, Avila-Quintero VJ, Lombroso A, Cortese S, et al. The effects of stimulant dose and dosing strategy on treatment outcomes in attention-deficit/hyperactivity disorder in children and adolescents: a meta-analysis. </w:t>
      </w:r>
      <w:r w:rsidRPr="00412073">
        <w:t>Mol Psychiatry. mars 2022;27(3):1562</w:t>
      </w:r>
      <w:r w:rsidRPr="00412073">
        <w:rPr>
          <w:rFonts w:ascii="Cambria Math" w:hAnsi="Cambria Math" w:cs="Cambria Math"/>
        </w:rPr>
        <w:t>‑</w:t>
      </w:r>
      <w:r w:rsidRPr="00412073">
        <w:t xml:space="preserve">72. </w:t>
      </w:r>
    </w:p>
    <w:p w14:paraId="28B04F18" w14:textId="36F467D4" w:rsidR="000F310B" w:rsidRPr="00412073" w:rsidRDefault="00D002FD" w:rsidP="00E27944">
      <w:pPr>
        <w:pStyle w:val="Heading2"/>
        <w:rPr>
          <w:b w:val="0"/>
          <w:bCs w:val="0"/>
        </w:rPr>
      </w:pPr>
      <w:r w:rsidRPr="00412073">
        <w:fldChar w:fldCharType="end"/>
      </w:r>
    </w:p>
    <w:sectPr w:rsidR="000F310B" w:rsidRPr="00412073" w:rsidSect="00FB4436">
      <w:pgSz w:w="11900" w:h="16840" w:code="9"/>
      <w:pgMar w:top="1418" w:right="1418" w:bottom="1418" w:left="1418"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633D4"/>
    <w:multiLevelType w:val="hybridMultilevel"/>
    <w:tmpl w:val="2626DDEC"/>
    <w:lvl w:ilvl="0" w:tplc="4C1E8B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EC4DEE"/>
    <w:multiLevelType w:val="hybridMultilevel"/>
    <w:tmpl w:val="86EC97D0"/>
    <w:lvl w:ilvl="0" w:tplc="82CAF7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CB177D"/>
    <w:multiLevelType w:val="hybridMultilevel"/>
    <w:tmpl w:val="DD604A4C"/>
    <w:lvl w:ilvl="0" w:tplc="ED28BA3E">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0C73C2"/>
    <w:multiLevelType w:val="hybridMultilevel"/>
    <w:tmpl w:val="40FA2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E26DA7"/>
    <w:multiLevelType w:val="hybridMultilevel"/>
    <w:tmpl w:val="E8CEEC08"/>
    <w:lvl w:ilvl="0" w:tplc="902A1F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546007"/>
    <w:multiLevelType w:val="hybridMultilevel"/>
    <w:tmpl w:val="78CA8440"/>
    <w:lvl w:ilvl="0" w:tplc="902A1F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8B73C3E"/>
    <w:multiLevelType w:val="multilevel"/>
    <w:tmpl w:val="AD6E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65F9B"/>
    <w:multiLevelType w:val="hybridMultilevel"/>
    <w:tmpl w:val="2BC0D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C62CD1"/>
    <w:multiLevelType w:val="hybridMultilevel"/>
    <w:tmpl w:val="029C5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4578AE"/>
    <w:multiLevelType w:val="hybridMultilevel"/>
    <w:tmpl w:val="0CDE0B20"/>
    <w:lvl w:ilvl="0" w:tplc="902A1F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E6360DB"/>
    <w:multiLevelType w:val="hybridMultilevel"/>
    <w:tmpl w:val="E632BE66"/>
    <w:lvl w:ilvl="0" w:tplc="902A1F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16549DE"/>
    <w:multiLevelType w:val="hybridMultilevel"/>
    <w:tmpl w:val="64FEBACA"/>
    <w:lvl w:ilvl="0" w:tplc="902A1F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44D4DF0"/>
    <w:multiLevelType w:val="hybridMultilevel"/>
    <w:tmpl w:val="D020FCC0"/>
    <w:lvl w:ilvl="0" w:tplc="902A1F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7A17FFA"/>
    <w:multiLevelType w:val="hybridMultilevel"/>
    <w:tmpl w:val="B4EC49A4"/>
    <w:lvl w:ilvl="0" w:tplc="D5968988">
      <w:start w:val="202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D692209"/>
    <w:multiLevelType w:val="hybridMultilevel"/>
    <w:tmpl w:val="C984800C"/>
    <w:lvl w:ilvl="0" w:tplc="82CAF7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3B53D76"/>
    <w:multiLevelType w:val="hybridMultilevel"/>
    <w:tmpl w:val="0DA85EF6"/>
    <w:lvl w:ilvl="0" w:tplc="DC52AF7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6B27AF"/>
    <w:multiLevelType w:val="hybridMultilevel"/>
    <w:tmpl w:val="F00E0094"/>
    <w:lvl w:ilvl="0" w:tplc="902A1F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FD26853"/>
    <w:multiLevelType w:val="hybridMultilevel"/>
    <w:tmpl w:val="7DFCABCC"/>
    <w:lvl w:ilvl="0" w:tplc="4C1E8B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40720889">
    <w:abstractNumId w:val="13"/>
  </w:num>
  <w:num w:numId="2" w16cid:durableId="474033609">
    <w:abstractNumId w:val="0"/>
  </w:num>
  <w:num w:numId="3" w16cid:durableId="1049721912">
    <w:abstractNumId w:val="8"/>
  </w:num>
  <w:num w:numId="4" w16cid:durableId="1754742336">
    <w:abstractNumId w:val="2"/>
  </w:num>
  <w:num w:numId="5" w16cid:durableId="986518191">
    <w:abstractNumId w:val="16"/>
  </w:num>
  <w:num w:numId="6" w16cid:durableId="1369644609">
    <w:abstractNumId w:val="4"/>
  </w:num>
  <w:num w:numId="7" w16cid:durableId="725376172">
    <w:abstractNumId w:val="9"/>
  </w:num>
  <w:num w:numId="8" w16cid:durableId="1285968806">
    <w:abstractNumId w:val="5"/>
  </w:num>
  <w:num w:numId="9" w16cid:durableId="917135255">
    <w:abstractNumId w:val="11"/>
  </w:num>
  <w:num w:numId="10" w16cid:durableId="1583415392">
    <w:abstractNumId w:val="10"/>
  </w:num>
  <w:num w:numId="11" w16cid:durableId="375470234">
    <w:abstractNumId w:val="12"/>
  </w:num>
  <w:num w:numId="12" w16cid:durableId="782575901">
    <w:abstractNumId w:val="17"/>
  </w:num>
  <w:num w:numId="13" w16cid:durableId="1584141964">
    <w:abstractNumId w:val="1"/>
  </w:num>
  <w:num w:numId="14" w16cid:durableId="1752702218">
    <w:abstractNumId w:val="14"/>
  </w:num>
  <w:num w:numId="15" w16cid:durableId="87577347">
    <w:abstractNumId w:val="15"/>
  </w:num>
  <w:num w:numId="16" w16cid:durableId="1549302015">
    <w:abstractNumId w:val="3"/>
  </w:num>
  <w:num w:numId="17" w16cid:durableId="809446565">
    <w:abstractNumId w:val="6"/>
  </w:num>
  <w:num w:numId="18" w16cid:durableId="134945433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kail NOURREDINE">
    <w15:presenceInfo w15:providerId="Windows Live" w15:userId="eea3293e3d666b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8F"/>
    <w:rsid w:val="000007CC"/>
    <w:rsid w:val="00007393"/>
    <w:rsid w:val="000077A3"/>
    <w:rsid w:val="000143DE"/>
    <w:rsid w:val="00015D40"/>
    <w:rsid w:val="00016C1B"/>
    <w:rsid w:val="00026C0D"/>
    <w:rsid w:val="00026DF6"/>
    <w:rsid w:val="0003621E"/>
    <w:rsid w:val="000379FB"/>
    <w:rsid w:val="00054A75"/>
    <w:rsid w:val="00054FEE"/>
    <w:rsid w:val="0005577E"/>
    <w:rsid w:val="00055A37"/>
    <w:rsid w:val="00055BB6"/>
    <w:rsid w:val="00056462"/>
    <w:rsid w:val="000627A0"/>
    <w:rsid w:val="000634C6"/>
    <w:rsid w:val="00067759"/>
    <w:rsid w:val="00067A1E"/>
    <w:rsid w:val="00070D24"/>
    <w:rsid w:val="00072972"/>
    <w:rsid w:val="00073F88"/>
    <w:rsid w:val="0007580C"/>
    <w:rsid w:val="00075E23"/>
    <w:rsid w:val="000901E4"/>
    <w:rsid w:val="00091217"/>
    <w:rsid w:val="000925C8"/>
    <w:rsid w:val="00095BA0"/>
    <w:rsid w:val="0009708A"/>
    <w:rsid w:val="000A3AB5"/>
    <w:rsid w:val="000B006C"/>
    <w:rsid w:val="000B50E4"/>
    <w:rsid w:val="000B51AE"/>
    <w:rsid w:val="000B53C7"/>
    <w:rsid w:val="000C39CE"/>
    <w:rsid w:val="000C4053"/>
    <w:rsid w:val="000C4766"/>
    <w:rsid w:val="000C6452"/>
    <w:rsid w:val="000D1501"/>
    <w:rsid w:val="000E12C5"/>
    <w:rsid w:val="000F310B"/>
    <w:rsid w:val="000F4C64"/>
    <w:rsid w:val="000F723E"/>
    <w:rsid w:val="00100237"/>
    <w:rsid w:val="001012FC"/>
    <w:rsid w:val="00102643"/>
    <w:rsid w:val="00115EFC"/>
    <w:rsid w:val="001166D5"/>
    <w:rsid w:val="00116F6A"/>
    <w:rsid w:val="00120F57"/>
    <w:rsid w:val="00122BFC"/>
    <w:rsid w:val="00127D69"/>
    <w:rsid w:val="00130CE9"/>
    <w:rsid w:val="00133056"/>
    <w:rsid w:val="001346E9"/>
    <w:rsid w:val="00137112"/>
    <w:rsid w:val="0014751F"/>
    <w:rsid w:val="00150FB8"/>
    <w:rsid w:val="001513AE"/>
    <w:rsid w:val="00152D16"/>
    <w:rsid w:val="001570DC"/>
    <w:rsid w:val="001601F4"/>
    <w:rsid w:val="001636C3"/>
    <w:rsid w:val="00163A96"/>
    <w:rsid w:val="001677C5"/>
    <w:rsid w:val="00167E24"/>
    <w:rsid w:val="0017113C"/>
    <w:rsid w:val="00172429"/>
    <w:rsid w:val="001732D0"/>
    <w:rsid w:val="0017357B"/>
    <w:rsid w:val="00176487"/>
    <w:rsid w:val="001822DA"/>
    <w:rsid w:val="00183D65"/>
    <w:rsid w:val="00185408"/>
    <w:rsid w:val="00185F47"/>
    <w:rsid w:val="00191BF1"/>
    <w:rsid w:val="00197538"/>
    <w:rsid w:val="001A23FB"/>
    <w:rsid w:val="001A2AAD"/>
    <w:rsid w:val="001B5CE5"/>
    <w:rsid w:val="001C2679"/>
    <w:rsid w:val="001C3B76"/>
    <w:rsid w:val="001C4B4E"/>
    <w:rsid w:val="001D0A22"/>
    <w:rsid w:val="001D1E50"/>
    <w:rsid w:val="001D396C"/>
    <w:rsid w:val="001D4753"/>
    <w:rsid w:val="001E00F2"/>
    <w:rsid w:val="001E2525"/>
    <w:rsid w:val="001E5E82"/>
    <w:rsid w:val="001F6C37"/>
    <w:rsid w:val="00201086"/>
    <w:rsid w:val="00202108"/>
    <w:rsid w:val="00203E6B"/>
    <w:rsid w:val="00204D1A"/>
    <w:rsid w:val="00212A6C"/>
    <w:rsid w:val="002214FC"/>
    <w:rsid w:val="00221B3C"/>
    <w:rsid w:val="002238E3"/>
    <w:rsid w:val="00225827"/>
    <w:rsid w:val="002310CD"/>
    <w:rsid w:val="00234AE9"/>
    <w:rsid w:val="00237D8B"/>
    <w:rsid w:val="00243AE9"/>
    <w:rsid w:val="0024560A"/>
    <w:rsid w:val="00252955"/>
    <w:rsid w:val="00252E4B"/>
    <w:rsid w:val="002545FE"/>
    <w:rsid w:val="00255C08"/>
    <w:rsid w:val="0026136C"/>
    <w:rsid w:val="002625B8"/>
    <w:rsid w:val="0026628C"/>
    <w:rsid w:val="00272A9F"/>
    <w:rsid w:val="00272B76"/>
    <w:rsid w:val="00277E9E"/>
    <w:rsid w:val="00282C9A"/>
    <w:rsid w:val="0028335F"/>
    <w:rsid w:val="00287626"/>
    <w:rsid w:val="00287D3D"/>
    <w:rsid w:val="00291DD7"/>
    <w:rsid w:val="002924B1"/>
    <w:rsid w:val="002A3F5B"/>
    <w:rsid w:val="002A45DC"/>
    <w:rsid w:val="002A5DA8"/>
    <w:rsid w:val="002A6BFD"/>
    <w:rsid w:val="002B6CE1"/>
    <w:rsid w:val="002B769F"/>
    <w:rsid w:val="002C2EA1"/>
    <w:rsid w:val="002C30F3"/>
    <w:rsid w:val="002C42C9"/>
    <w:rsid w:val="002C4E13"/>
    <w:rsid w:val="002C7830"/>
    <w:rsid w:val="002D336F"/>
    <w:rsid w:val="002D441F"/>
    <w:rsid w:val="002E046D"/>
    <w:rsid w:val="002E15B9"/>
    <w:rsid w:val="002E2AEB"/>
    <w:rsid w:val="002E2DA6"/>
    <w:rsid w:val="002E46D6"/>
    <w:rsid w:val="002E4AFE"/>
    <w:rsid w:val="002F005B"/>
    <w:rsid w:val="002F0D30"/>
    <w:rsid w:val="002F1581"/>
    <w:rsid w:val="002F3DCB"/>
    <w:rsid w:val="002F5723"/>
    <w:rsid w:val="003213AA"/>
    <w:rsid w:val="0032281B"/>
    <w:rsid w:val="003265D1"/>
    <w:rsid w:val="0032705A"/>
    <w:rsid w:val="003309F8"/>
    <w:rsid w:val="00330A4A"/>
    <w:rsid w:val="00331A10"/>
    <w:rsid w:val="00341103"/>
    <w:rsid w:val="003416F9"/>
    <w:rsid w:val="00343AFD"/>
    <w:rsid w:val="003503AC"/>
    <w:rsid w:val="00354C29"/>
    <w:rsid w:val="00366A7B"/>
    <w:rsid w:val="00373E97"/>
    <w:rsid w:val="0037565D"/>
    <w:rsid w:val="0038185D"/>
    <w:rsid w:val="00381A72"/>
    <w:rsid w:val="003839DB"/>
    <w:rsid w:val="00384911"/>
    <w:rsid w:val="003859E7"/>
    <w:rsid w:val="003871E5"/>
    <w:rsid w:val="003915F5"/>
    <w:rsid w:val="00391816"/>
    <w:rsid w:val="00394C5C"/>
    <w:rsid w:val="00396B4C"/>
    <w:rsid w:val="00397FC2"/>
    <w:rsid w:val="003A2BD6"/>
    <w:rsid w:val="003A7533"/>
    <w:rsid w:val="003B154F"/>
    <w:rsid w:val="003B17DA"/>
    <w:rsid w:val="003B4279"/>
    <w:rsid w:val="003B7C68"/>
    <w:rsid w:val="003C25AB"/>
    <w:rsid w:val="003C4715"/>
    <w:rsid w:val="003C61F8"/>
    <w:rsid w:val="003C6DF5"/>
    <w:rsid w:val="003D1D44"/>
    <w:rsid w:val="003D61ED"/>
    <w:rsid w:val="003D68DA"/>
    <w:rsid w:val="003D6B28"/>
    <w:rsid w:val="003F2664"/>
    <w:rsid w:val="003F3829"/>
    <w:rsid w:val="003F639E"/>
    <w:rsid w:val="0040066C"/>
    <w:rsid w:val="00401543"/>
    <w:rsid w:val="00402F06"/>
    <w:rsid w:val="004114DA"/>
    <w:rsid w:val="00412073"/>
    <w:rsid w:val="004148B8"/>
    <w:rsid w:val="00421AFB"/>
    <w:rsid w:val="00422AAE"/>
    <w:rsid w:val="0042750C"/>
    <w:rsid w:val="004303D2"/>
    <w:rsid w:val="004307B3"/>
    <w:rsid w:val="004371FB"/>
    <w:rsid w:val="004420A9"/>
    <w:rsid w:val="00443676"/>
    <w:rsid w:val="004441EA"/>
    <w:rsid w:val="00446910"/>
    <w:rsid w:val="0044783D"/>
    <w:rsid w:val="0045003C"/>
    <w:rsid w:val="00457F47"/>
    <w:rsid w:val="004620EA"/>
    <w:rsid w:val="00466458"/>
    <w:rsid w:val="00466CF5"/>
    <w:rsid w:val="00472DE4"/>
    <w:rsid w:val="00474CD8"/>
    <w:rsid w:val="00474D80"/>
    <w:rsid w:val="004829C7"/>
    <w:rsid w:val="004833A4"/>
    <w:rsid w:val="0048385A"/>
    <w:rsid w:val="00485A16"/>
    <w:rsid w:val="00490358"/>
    <w:rsid w:val="00490D48"/>
    <w:rsid w:val="00495806"/>
    <w:rsid w:val="0049636E"/>
    <w:rsid w:val="004A0071"/>
    <w:rsid w:val="004A07BC"/>
    <w:rsid w:val="004A19C1"/>
    <w:rsid w:val="004A5021"/>
    <w:rsid w:val="004A6421"/>
    <w:rsid w:val="004A7AF3"/>
    <w:rsid w:val="004B0D63"/>
    <w:rsid w:val="004B3338"/>
    <w:rsid w:val="004C5157"/>
    <w:rsid w:val="004D5A4E"/>
    <w:rsid w:val="004D5DC3"/>
    <w:rsid w:val="004E3A04"/>
    <w:rsid w:val="004E49A4"/>
    <w:rsid w:val="004E7573"/>
    <w:rsid w:val="004F20E9"/>
    <w:rsid w:val="004F47A3"/>
    <w:rsid w:val="004F5277"/>
    <w:rsid w:val="005069A6"/>
    <w:rsid w:val="0051458D"/>
    <w:rsid w:val="005216AE"/>
    <w:rsid w:val="00523746"/>
    <w:rsid w:val="0052452A"/>
    <w:rsid w:val="005247DB"/>
    <w:rsid w:val="00530E7E"/>
    <w:rsid w:val="00535317"/>
    <w:rsid w:val="00540CB2"/>
    <w:rsid w:val="005424EE"/>
    <w:rsid w:val="005449B6"/>
    <w:rsid w:val="00551968"/>
    <w:rsid w:val="00553017"/>
    <w:rsid w:val="00553198"/>
    <w:rsid w:val="00553605"/>
    <w:rsid w:val="00557056"/>
    <w:rsid w:val="00557F18"/>
    <w:rsid w:val="00561085"/>
    <w:rsid w:val="00561829"/>
    <w:rsid w:val="00570046"/>
    <w:rsid w:val="00570EB1"/>
    <w:rsid w:val="00574F96"/>
    <w:rsid w:val="00581FF6"/>
    <w:rsid w:val="00583CB9"/>
    <w:rsid w:val="00585372"/>
    <w:rsid w:val="00597386"/>
    <w:rsid w:val="005A37AE"/>
    <w:rsid w:val="005A4349"/>
    <w:rsid w:val="005A58D7"/>
    <w:rsid w:val="005A72BA"/>
    <w:rsid w:val="005B3E61"/>
    <w:rsid w:val="005E7250"/>
    <w:rsid w:val="005E79CA"/>
    <w:rsid w:val="005F0AD6"/>
    <w:rsid w:val="005F2870"/>
    <w:rsid w:val="005F3ACD"/>
    <w:rsid w:val="005F7607"/>
    <w:rsid w:val="00603C50"/>
    <w:rsid w:val="00605729"/>
    <w:rsid w:val="00606BFE"/>
    <w:rsid w:val="00607110"/>
    <w:rsid w:val="00612FB7"/>
    <w:rsid w:val="006131F4"/>
    <w:rsid w:val="00617CE1"/>
    <w:rsid w:val="00623EB9"/>
    <w:rsid w:val="00626868"/>
    <w:rsid w:val="00626AE7"/>
    <w:rsid w:val="00627826"/>
    <w:rsid w:val="00631830"/>
    <w:rsid w:val="00634195"/>
    <w:rsid w:val="006347B6"/>
    <w:rsid w:val="0064643A"/>
    <w:rsid w:val="006515D9"/>
    <w:rsid w:val="00656467"/>
    <w:rsid w:val="0065695B"/>
    <w:rsid w:val="006629AA"/>
    <w:rsid w:val="00663467"/>
    <w:rsid w:val="0066425F"/>
    <w:rsid w:val="00670517"/>
    <w:rsid w:val="006715B7"/>
    <w:rsid w:val="00672011"/>
    <w:rsid w:val="0067448E"/>
    <w:rsid w:val="00675D03"/>
    <w:rsid w:val="00677F1E"/>
    <w:rsid w:val="00681CEE"/>
    <w:rsid w:val="00682709"/>
    <w:rsid w:val="0068448A"/>
    <w:rsid w:val="00684DAE"/>
    <w:rsid w:val="006949CF"/>
    <w:rsid w:val="006A113A"/>
    <w:rsid w:val="006A4A8A"/>
    <w:rsid w:val="006A5D6E"/>
    <w:rsid w:val="006A63FD"/>
    <w:rsid w:val="006A7B58"/>
    <w:rsid w:val="006A7BAC"/>
    <w:rsid w:val="006B1247"/>
    <w:rsid w:val="006B2854"/>
    <w:rsid w:val="006B318D"/>
    <w:rsid w:val="006B3D11"/>
    <w:rsid w:val="006C1E3F"/>
    <w:rsid w:val="006C28DB"/>
    <w:rsid w:val="006D00DA"/>
    <w:rsid w:val="006D58A3"/>
    <w:rsid w:val="006D5B40"/>
    <w:rsid w:val="006E09CD"/>
    <w:rsid w:val="006E354A"/>
    <w:rsid w:val="006E3FED"/>
    <w:rsid w:val="006F47EC"/>
    <w:rsid w:val="006F49FD"/>
    <w:rsid w:val="00701247"/>
    <w:rsid w:val="00704C57"/>
    <w:rsid w:val="00705A3D"/>
    <w:rsid w:val="007066EC"/>
    <w:rsid w:val="00710242"/>
    <w:rsid w:val="00711818"/>
    <w:rsid w:val="007206A1"/>
    <w:rsid w:val="00720B80"/>
    <w:rsid w:val="00724A06"/>
    <w:rsid w:val="00726938"/>
    <w:rsid w:val="00726A86"/>
    <w:rsid w:val="007311CA"/>
    <w:rsid w:val="00731C28"/>
    <w:rsid w:val="0073385B"/>
    <w:rsid w:val="00734F99"/>
    <w:rsid w:val="007461C1"/>
    <w:rsid w:val="0074698F"/>
    <w:rsid w:val="007511A4"/>
    <w:rsid w:val="00751EC1"/>
    <w:rsid w:val="00754226"/>
    <w:rsid w:val="00754E11"/>
    <w:rsid w:val="0076076B"/>
    <w:rsid w:val="00765CE2"/>
    <w:rsid w:val="0077238D"/>
    <w:rsid w:val="007726C0"/>
    <w:rsid w:val="00774300"/>
    <w:rsid w:val="00777183"/>
    <w:rsid w:val="00780A9D"/>
    <w:rsid w:val="00783FC7"/>
    <w:rsid w:val="007854EB"/>
    <w:rsid w:val="00790EAD"/>
    <w:rsid w:val="00793CE2"/>
    <w:rsid w:val="00795D7E"/>
    <w:rsid w:val="00796CD4"/>
    <w:rsid w:val="007A05B0"/>
    <w:rsid w:val="007A16EA"/>
    <w:rsid w:val="007A17A1"/>
    <w:rsid w:val="007A70C3"/>
    <w:rsid w:val="007A70D8"/>
    <w:rsid w:val="007B133B"/>
    <w:rsid w:val="007B19E1"/>
    <w:rsid w:val="007B5E93"/>
    <w:rsid w:val="007B6559"/>
    <w:rsid w:val="007B70AD"/>
    <w:rsid w:val="007C1619"/>
    <w:rsid w:val="007C4AAC"/>
    <w:rsid w:val="007C6D08"/>
    <w:rsid w:val="007C6D92"/>
    <w:rsid w:val="007D2D7E"/>
    <w:rsid w:val="007E690F"/>
    <w:rsid w:val="007E740D"/>
    <w:rsid w:val="007F324B"/>
    <w:rsid w:val="008035E4"/>
    <w:rsid w:val="00804B87"/>
    <w:rsid w:val="00805957"/>
    <w:rsid w:val="00811E8F"/>
    <w:rsid w:val="00814640"/>
    <w:rsid w:val="00821E7E"/>
    <w:rsid w:val="00825693"/>
    <w:rsid w:val="00827184"/>
    <w:rsid w:val="008302F7"/>
    <w:rsid w:val="008340B6"/>
    <w:rsid w:val="008348CA"/>
    <w:rsid w:val="00835418"/>
    <w:rsid w:val="00843195"/>
    <w:rsid w:val="00845C70"/>
    <w:rsid w:val="0085144A"/>
    <w:rsid w:val="00854359"/>
    <w:rsid w:val="00854554"/>
    <w:rsid w:val="00855339"/>
    <w:rsid w:val="00860B17"/>
    <w:rsid w:val="00861329"/>
    <w:rsid w:val="00861A35"/>
    <w:rsid w:val="008622B9"/>
    <w:rsid w:val="0086528E"/>
    <w:rsid w:val="00872C7A"/>
    <w:rsid w:val="00873F20"/>
    <w:rsid w:val="00884CB7"/>
    <w:rsid w:val="00884F2F"/>
    <w:rsid w:val="0089123E"/>
    <w:rsid w:val="008A012C"/>
    <w:rsid w:val="008A38CE"/>
    <w:rsid w:val="008A5197"/>
    <w:rsid w:val="008A5E7C"/>
    <w:rsid w:val="008A7A88"/>
    <w:rsid w:val="008B1818"/>
    <w:rsid w:val="008B18F6"/>
    <w:rsid w:val="008B669B"/>
    <w:rsid w:val="008C1B7D"/>
    <w:rsid w:val="008C4A48"/>
    <w:rsid w:val="008C664F"/>
    <w:rsid w:val="008D096C"/>
    <w:rsid w:val="008D2301"/>
    <w:rsid w:val="008D4065"/>
    <w:rsid w:val="008E1585"/>
    <w:rsid w:val="008E470B"/>
    <w:rsid w:val="008E4CD8"/>
    <w:rsid w:val="008F6051"/>
    <w:rsid w:val="0090164C"/>
    <w:rsid w:val="009044CC"/>
    <w:rsid w:val="00906805"/>
    <w:rsid w:val="0091132B"/>
    <w:rsid w:val="0091369B"/>
    <w:rsid w:val="0091445F"/>
    <w:rsid w:val="00915118"/>
    <w:rsid w:val="00916388"/>
    <w:rsid w:val="00921E74"/>
    <w:rsid w:val="0093023C"/>
    <w:rsid w:val="00934683"/>
    <w:rsid w:val="00937ED8"/>
    <w:rsid w:val="00944121"/>
    <w:rsid w:val="0094528D"/>
    <w:rsid w:val="009456C7"/>
    <w:rsid w:val="009516AC"/>
    <w:rsid w:val="00954750"/>
    <w:rsid w:val="00954879"/>
    <w:rsid w:val="00956E16"/>
    <w:rsid w:val="009661CC"/>
    <w:rsid w:val="00966876"/>
    <w:rsid w:val="009670AB"/>
    <w:rsid w:val="0097227C"/>
    <w:rsid w:val="0097332D"/>
    <w:rsid w:val="0097397C"/>
    <w:rsid w:val="00974D0B"/>
    <w:rsid w:val="00981464"/>
    <w:rsid w:val="00981B8F"/>
    <w:rsid w:val="00984A96"/>
    <w:rsid w:val="00985E61"/>
    <w:rsid w:val="00990C36"/>
    <w:rsid w:val="00992597"/>
    <w:rsid w:val="00992E4B"/>
    <w:rsid w:val="00997912"/>
    <w:rsid w:val="009A3D02"/>
    <w:rsid w:val="009A541A"/>
    <w:rsid w:val="009A6431"/>
    <w:rsid w:val="009A66DE"/>
    <w:rsid w:val="009A785A"/>
    <w:rsid w:val="009B28AF"/>
    <w:rsid w:val="009B5446"/>
    <w:rsid w:val="009C764E"/>
    <w:rsid w:val="009D0578"/>
    <w:rsid w:val="009D7301"/>
    <w:rsid w:val="009E6948"/>
    <w:rsid w:val="009E6AD3"/>
    <w:rsid w:val="009F0814"/>
    <w:rsid w:val="009F26E7"/>
    <w:rsid w:val="009F3C6C"/>
    <w:rsid w:val="009F5837"/>
    <w:rsid w:val="009F5B4F"/>
    <w:rsid w:val="00A014B7"/>
    <w:rsid w:val="00A01898"/>
    <w:rsid w:val="00A0233D"/>
    <w:rsid w:val="00A02797"/>
    <w:rsid w:val="00A0392F"/>
    <w:rsid w:val="00A041F3"/>
    <w:rsid w:val="00A047E5"/>
    <w:rsid w:val="00A06A12"/>
    <w:rsid w:val="00A1004F"/>
    <w:rsid w:val="00A151B6"/>
    <w:rsid w:val="00A165C3"/>
    <w:rsid w:val="00A17D55"/>
    <w:rsid w:val="00A21007"/>
    <w:rsid w:val="00A21B35"/>
    <w:rsid w:val="00A22DA9"/>
    <w:rsid w:val="00A23683"/>
    <w:rsid w:val="00A26722"/>
    <w:rsid w:val="00A31458"/>
    <w:rsid w:val="00A357FE"/>
    <w:rsid w:val="00A44A80"/>
    <w:rsid w:val="00A47D2E"/>
    <w:rsid w:val="00A527B9"/>
    <w:rsid w:val="00A61023"/>
    <w:rsid w:val="00A6523A"/>
    <w:rsid w:val="00A72E5F"/>
    <w:rsid w:val="00A76809"/>
    <w:rsid w:val="00A77143"/>
    <w:rsid w:val="00A77956"/>
    <w:rsid w:val="00A81A70"/>
    <w:rsid w:val="00A827CF"/>
    <w:rsid w:val="00A83246"/>
    <w:rsid w:val="00A840DB"/>
    <w:rsid w:val="00A87769"/>
    <w:rsid w:val="00A90A99"/>
    <w:rsid w:val="00A92327"/>
    <w:rsid w:val="00A96000"/>
    <w:rsid w:val="00AA4A60"/>
    <w:rsid w:val="00AA5A33"/>
    <w:rsid w:val="00AB0763"/>
    <w:rsid w:val="00AC1C9A"/>
    <w:rsid w:val="00AC4A80"/>
    <w:rsid w:val="00AD17E0"/>
    <w:rsid w:val="00AD67EB"/>
    <w:rsid w:val="00AD735D"/>
    <w:rsid w:val="00AE066C"/>
    <w:rsid w:val="00AE1A71"/>
    <w:rsid w:val="00AE24C5"/>
    <w:rsid w:val="00AE354B"/>
    <w:rsid w:val="00AE41B7"/>
    <w:rsid w:val="00AE71C6"/>
    <w:rsid w:val="00AF1EE4"/>
    <w:rsid w:val="00AF2D67"/>
    <w:rsid w:val="00B02E79"/>
    <w:rsid w:val="00B03707"/>
    <w:rsid w:val="00B07640"/>
    <w:rsid w:val="00B10FD3"/>
    <w:rsid w:val="00B119CD"/>
    <w:rsid w:val="00B12650"/>
    <w:rsid w:val="00B13BC2"/>
    <w:rsid w:val="00B14029"/>
    <w:rsid w:val="00B14BFC"/>
    <w:rsid w:val="00B179C5"/>
    <w:rsid w:val="00B226F3"/>
    <w:rsid w:val="00B23406"/>
    <w:rsid w:val="00B263AA"/>
    <w:rsid w:val="00B2721A"/>
    <w:rsid w:val="00B315DD"/>
    <w:rsid w:val="00B31BED"/>
    <w:rsid w:val="00B423D8"/>
    <w:rsid w:val="00B46359"/>
    <w:rsid w:val="00B47DF9"/>
    <w:rsid w:val="00B50BC1"/>
    <w:rsid w:val="00B52BBF"/>
    <w:rsid w:val="00B557E2"/>
    <w:rsid w:val="00B56011"/>
    <w:rsid w:val="00B57875"/>
    <w:rsid w:val="00B60EBD"/>
    <w:rsid w:val="00B64387"/>
    <w:rsid w:val="00B65837"/>
    <w:rsid w:val="00B75ECD"/>
    <w:rsid w:val="00B81276"/>
    <w:rsid w:val="00B83E65"/>
    <w:rsid w:val="00B85D42"/>
    <w:rsid w:val="00B92EEF"/>
    <w:rsid w:val="00B935AD"/>
    <w:rsid w:val="00B96564"/>
    <w:rsid w:val="00B96E2C"/>
    <w:rsid w:val="00BA2916"/>
    <w:rsid w:val="00BA2F6F"/>
    <w:rsid w:val="00BA34AD"/>
    <w:rsid w:val="00BA40B9"/>
    <w:rsid w:val="00BA7D94"/>
    <w:rsid w:val="00BB178D"/>
    <w:rsid w:val="00BC3933"/>
    <w:rsid w:val="00BC4614"/>
    <w:rsid w:val="00BC5D31"/>
    <w:rsid w:val="00BD49CE"/>
    <w:rsid w:val="00BE0034"/>
    <w:rsid w:val="00BE0780"/>
    <w:rsid w:val="00BE0B72"/>
    <w:rsid w:val="00BE4AA3"/>
    <w:rsid w:val="00BE54E5"/>
    <w:rsid w:val="00BE68CB"/>
    <w:rsid w:val="00BE7870"/>
    <w:rsid w:val="00BF1EBD"/>
    <w:rsid w:val="00BF32C9"/>
    <w:rsid w:val="00BF4E5A"/>
    <w:rsid w:val="00C076F6"/>
    <w:rsid w:val="00C10087"/>
    <w:rsid w:val="00C2022C"/>
    <w:rsid w:val="00C20E2C"/>
    <w:rsid w:val="00C227FE"/>
    <w:rsid w:val="00C2653E"/>
    <w:rsid w:val="00C277DD"/>
    <w:rsid w:val="00C30611"/>
    <w:rsid w:val="00C34BB7"/>
    <w:rsid w:val="00C36B73"/>
    <w:rsid w:val="00C40D06"/>
    <w:rsid w:val="00C414D5"/>
    <w:rsid w:val="00C44C8A"/>
    <w:rsid w:val="00C44E70"/>
    <w:rsid w:val="00C5076F"/>
    <w:rsid w:val="00C53F3A"/>
    <w:rsid w:val="00C616B9"/>
    <w:rsid w:val="00C63C62"/>
    <w:rsid w:val="00C65496"/>
    <w:rsid w:val="00C666FB"/>
    <w:rsid w:val="00C70243"/>
    <w:rsid w:val="00C775B0"/>
    <w:rsid w:val="00C80A42"/>
    <w:rsid w:val="00C82079"/>
    <w:rsid w:val="00C85891"/>
    <w:rsid w:val="00C85F71"/>
    <w:rsid w:val="00C91E78"/>
    <w:rsid w:val="00C94F5C"/>
    <w:rsid w:val="00C95AC9"/>
    <w:rsid w:val="00CA1772"/>
    <w:rsid w:val="00CA1799"/>
    <w:rsid w:val="00CB0595"/>
    <w:rsid w:val="00CB2590"/>
    <w:rsid w:val="00CB7F58"/>
    <w:rsid w:val="00CD0031"/>
    <w:rsid w:val="00CE54C5"/>
    <w:rsid w:val="00CE6A70"/>
    <w:rsid w:val="00CF03B5"/>
    <w:rsid w:val="00CF1B08"/>
    <w:rsid w:val="00CF2F70"/>
    <w:rsid w:val="00D002FD"/>
    <w:rsid w:val="00D011EE"/>
    <w:rsid w:val="00D02C4A"/>
    <w:rsid w:val="00D05210"/>
    <w:rsid w:val="00D05AA3"/>
    <w:rsid w:val="00D06AD2"/>
    <w:rsid w:val="00D07DBB"/>
    <w:rsid w:val="00D22432"/>
    <w:rsid w:val="00D234CE"/>
    <w:rsid w:val="00D25CD7"/>
    <w:rsid w:val="00D27BE1"/>
    <w:rsid w:val="00D32B6F"/>
    <w:rsid w:val="00D34E4B"/>
    <w:rsid w:val="00D37155"/>
    <w:rsid w:val="00D40517"/>
    <w:rsid w:val="00D4387A"/>
    <w:rsid w:val="00D44E48"/>
    <w:rsid w:val="00D47D5C"/>
    <w:rsid w:val="00D52CA6"/>
    <w:rsid w:val="00D607B8"/>
    <w:rsid w:val="00D6408E"/>
    <w:rsid w:val="00D73A1E"/>
    <w:rsid w:val="00D8351D"/>
    <w:rsid w:val="00D86C7B"/>
    <w:rsid w:val="00D91102"/>
    <w:rsid w:val="00D95F26"/>
    <w:rsid w:val="00D97073"/>
    <w:rsid w:val="00D97EFB"/>
    <w:rsid w:val="00DA3E1B"/>
    <w:rsid w:val="00DA4D35"/>
    <w:rsid w:val="00DA59C3"/>
    <w:rsid w:val="00DB1191"/>
    <w:rsid w:val="00DC167A"/>
    <w:rsid w:val="00DC70A1"/>
    <w:rsid w:val="00DD0D28"/>
    <w:rsid w:val="00DD460D"/>
    <w:rsid w:val="00DD491A"/>
    <w:rsid w:val="00DD6752"/>
    <w:rsid w:val="00DD6BA1"/>
    <w:rsid w:val="00DE0533"/>
    <w:rsid w:val="00DE3710"/>
    <w:rsid w:val="00DE6368"/>
    <w:rsid w:val="00DE7026"/>
    <w:rsid w:val="00DF3ADD"/>
    <w:rsid w:val="00E00314"/>
    <w:rsid w:val="00E00568"/>
    <w:rsid w:val="00E076C2"/>
    <w:rsid w:val="00E10E02"/>
    <w:rsid w:val="00E175C8"/>
    <w:rsid w:val="00E20244"/>
    <w:rsid w:val="00E20401"/>
    <w:rsid w:val="00E21D3B"/>
    <w:rsid w:val="00E25B69"/>
    <w:rsid w:val="00E27944"/>
    <w:rsid w:val="00E31808"/>
    <w:rsid w:val="00E320B9"/>
    <w:rsid w:val="00E33281"/>
    <w:rsid w:val="00E34DDB"/>
    <w:rsid w:val="00E402D9"/>
    <w:rsid w:val="00E42400"/>
    <w:rsid w:val="00E42B93"/>
    <w:rsid w:val="00E43400"/>
    <w:rsid w:val="00E44A4C"/>
    <w:rsid w:val="00E500A9"/>
    <w:rsid w:val="00E50F0B"/>
    <w:rsid w:val="00E51274"/>
    <w:rsid w:val="00E55243"/>
    <w:rsid w:val="00E55D4B"/>
    <w:rsid w:val="00E67BA8"/>
    <w:rsid w:val="00E71A62"/>
    <w:rsid w:val="00E76A51"/>
    <w:rsid w:val="00E82F08"/>
    <w:rsid w:val="00E83159"/>
    <w:rsid w:val="00E841D2"/>
    <w:rsid w:val="00E93086"/>
    <w:rsid w:val="00E9730F"/>
    <w:rsid w:val="00E97343"/>
    <w:rsid w:val="00EA2DDA"/>
    <w:rsid w:val="00EA510E"/>
    <w:rsid w:val="00EB1C59"/>
    <w:rsid w:val="00EB2422"/>
    <w:rsid w:val="00EB484F"/>
    <w:rsid w:val="00EB67E3"/>
    <w:rsid w:val="00EC2015"/>
    <w:rsid w:val="00EC31D0"/>
    <w:rsid w:val="00EC3A56"/>
    <w:rsid w:val="00EC662A"/>
    <w:rsid w:val="00EC760A"/>
    <w:rsid w:val="00ED2BC5"/>
    <w:rsid w:val="00ED3CA3"/>
    <w:rsid w:val="00EE2F9C"/>
    <w:rsid w:val="00EE3FED"/>
    <w:rsid w:val="00EE5DF0"/>
    <w:rsid w:val="00EF49FC"/>
    <w:rsid w:val="00EF6E92"/>
    <w:rsid w:val="00F01D14"/>
    <w:rsid w:val="00F061FF"/>
    <w:rsid w:val="00F06237"/>
    <w:rsid w:val="00F1669D"/>
    <w:rsid w:val="00F16852"/>
    <w:rsid w:val="00F17C62"/>
    <w:rsid w:val="00F20BA0"/>
    <w:rsid w:val="00F21758"/>
    <w:rsid w:val="00F23003"/>
    <w:rsid w:val="00F239E5"/>
    <w:rsid w:val="00F34AB9"/>
    <w:rsid w:val="00F407DC"/>
    <w:rsid w:val="00F46147"/>
    <w:rsid w:val="00F51DDF"/>
    <w:rsid w:val="00F52735"/>
    <w:rsid w:val="00F52BE9"/>
    <w:rsid w:val="00F52C28"/>
    <w:rsid w:val="00F5317D"/>
    <w:rsid w:val="00F55F6E"/>
    <w:rsid w:val="00F64293"/>
    <w:rsid w:val="00F668E5"/>
    <w:rsid w:val="00F71AD7"/>
    <w:rsid w:val="00F76F17"/>
    <w:rsid w:val="00F830EE"/>
    <w:rsid w:val="00F86CB2"/>
    <w:rsid w:val="00F950A1"/>
    <w:rsid w:val="00FA15F2"/>
    <w:rsid w:val="00FA709F"/>
    <w:rsid w:val="00FA7B17"/>
    <w:rsid w:val="00FB2269"/>
    <w:rsid w:val="00FB30FB"/>
    <w:rsid w:val="00FB34E4"/>
    <w:rsid w:val="00FB3DAF"/>
    <w:rsid w:val="00FB4436"/>
    <w:rsid w:val="00FB664A"/>
    <w:rsid w:val="00FC0975"/>
    <w:rsid w:val="00FC36AD"/>
    <w:rsid w:val="00FD4360"/>
    <w:rsid w:val="00FD781E"/>
    <w:rsid w:val="00FE6A22"/>
    <w:rsid w:val="00FE7276"/>
    <w:rsid w:val="00FF4355"/>
    <w:rsid w:val="00FF597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F5EB"/>
  <w15:chartTrackingRefBased/>
  <w15:docId w15:val="{3FA62512-3DB0-BA4A-A3E3-32446D11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355"/>
    <w:pPr>
      <w:spacing w:line="276" w:lineRule="auto"/>
      <w:jc w:val="center"/>
      <w:outlineLvl w:val="0"/>
    </w:pPr>
    <w:rPr>
      <w:b/>
      <w:bCs/>
      <w:sz w:val="40"/>
      <w:szCs w:val="40"/>
      <w:lang w:val="en-US"/>
    </w:rPr>
  </w:style>
  <w:style w:type="paragraph" w:styleId="Heading2">
    <w:name w:val="heading 2"/>
    <w:basedOn w:val="Normal"/>
    <w:next w:val="Normal"/>
    <w:link w:val="Heading2Char"/>
    <w:uiPriority w:val="9"/>
    <w:unhideWhenUsed/>
    <w:qFormat/>
    <w:rsid w:val="00981B8F"/>
    <w:pPr>
      <w:outlineLvl w:val="1"/>
    </w:pPr>
    <w:rPr>
      <w:b/>
      <w:bCs/>
      <w:lang w:val="en-US"/>
    </w:rPr>
  </w:style>
  <w:style w:type="paragraph" w:styleId="Heading3">
    <w:name w:val="heading 3"/>
    <w:basedOn w:val="Normal"/>
    <w:next w:val="Normal"/>
    <w:link w:val="Heading3Char"/>
    <w:uiPriority w:val="9"/>
    <w:unhideWhenUsed/>
    <w:qFormat/>
    <w:rsid w:val="00981B8F"/>
    <w:pPr>
      <w:outlineLvl w:val="2"/>
    </w:pPr>
    <w:rPr>
      <w:i/>
      <w:iCs/>
      <w:lang w:val="en-US"/>
    </w:rPr>
  </w:style>
  <w:style w:type="paragraph" w:styleId="Heading4">
    <w:name w:val="heading 4"/>
    <w:basedOn w:val="Normal"/>
    <w:next w:val="Normal"/>
    <w:link w:val="Heading4Char"/>
    <w:uiPriority w:val="9"/>
    <w:unhideWhenUsed/>
    <w:qFormat/>
    <w:rsid w:val="000143D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B8F"/>
    <w:pPr>
      <w:ind w:left="720"/>
      <w:contextualSpacing/>
    </w:pPr>
  </w:style>
  <w:style w:type="character" w:customStyle="1" w:styleId="Heading2Char">
    <w:name w:val="Heading 2 Char"/>
    <w:basedOn w:val="DefaultParagraphFont"/>
    <w:link w:val="Heading2"/>
    <w:uiPriority w:val="9"/>
    <w:rsid w:val="00981B8F"/>
    <w:rPr>
      <w:b/>
      <w:bCs/>
      <w:lang w:val="en-US"/>
    </w:rPr>
  </w:style>
  <w:style w:type="character" w:customStyle="1" w:styleId="Heading1Char">
    <w:name w:val="Heading 1 Char"/>
    <w:basedOn w:val="DefaultParagraphFont"/>
    <w:link w:val="Heading1"/>
    <w:uiPriority w:val="9"/>
    <w:rsid w:val="00FF4355"/>
    <w:rPr>
      <w:b/>
      <w:bCs/>
      <w:sz w:val="40"/>
      <w:szCs w:val="40"/>
      <w:lang w:val="en-US"/>
    </w:rPr>
  </w:style>
  <w:style w:type="character" w:customStyle="1" w:styleId="Heading3Char">
    <w:name w:val="Heading 3 Char"/>
    <w:basedOn w:val="DefaultParagraphFont"/>
    <w:link w:val="Heading3"/>
    <w:uiPriority w:val="9"/>
    <w:rsid w:val="00981B8F"/>
    <w:rPr>
      <w:i/>
      <w:iCs/>
      <w:lang w:val="en-US"/>
    </w:rPr>
  </w:style>
  <w:style w:type="character" w:styleId="Hyperlink">
    <w:name w:val="Hyperlink"/>
    <w:basedOn w:val="DefaultParagraphFont"/>
    <w:uiPriority w:val="99"/>
    <w:unhideWhenUsed/>
    <w:rsid w:val="00FD4360"/>
    <w:rPr>
      <w:color w:val="0000FF"/>
      <w:u w:val="single"/>
    </w:rPr>
  </w:style>
  <w:style w:type="character" w:styleId="CommentReference">
    <w:name w:val="annotation reference"/>
    <w:basedOn w:val="DefaultParagraphFont"/>
    <w:uiPriority w:val="99"/>
    <w:semiHidden/>
    <w:unhideWhenUsed/>
    <w:rsid w:val="001601F4"/>
    <w:rPr>
      <w:sz w:val="16"/>
      <w:szCs w:val="16"/>
    </w:rPr>
  </w:style>
  <w:style w:type="paragraph" w:styleId="CommentText">
    <w:name w:val="annotation text"/>
    <w:basedOn w:val="Normal"/>
    <w:link w:val="CommentTextChar"/>
    <w:uiPriority w:val="99"/>
    <w:unhideWhenUsed/>
    <w:rsid w:val="001601F4"/>
    <w:rPr>
      <w:sz w:val="20"/>
      <w:szCs w:val="20"/>
    </w:rPr>
  </w:style>
  <w:style w:type="character" w:customStyle="1" w:styleId="CommentTextChar">
    <w:name w:val="Comment Text Char"/>
    <w:basedOn w:val="DefaultParagraphFont"/>
    <w:link w:val="CommentText"/>
    <w:uiPriority w:val="99"/>
    <w:rsid w:val="001601F4"/>
    <w:rPr>
      <w:sz w:val="20"/>
      <w:szCs w:val="20"/>
    </w:rPr>
  </w:style>
  <w:style w:type="paragraph" w:styleId="CommentSubject">
    <w:name w:val="annotation subject"/>
    <w:basedOn w:val="CommentText"/>
    <w:next w:val="CommentText"/>
    <w:link w:val="CommentSubjectChar"/>
    <w:uiPriority w:val="99"/>
    <w:semiHidden/>
    <w:unhideWhenUsed/>
    <w:rsid w:val="001601F4"/>
    <w:rPr>
      <w:b/>
      <w:bCs/>
    </w:rPr>
  </w:style>
  <w:style w:type="character" w:customStyle="1" w:styleId="CommentSubjectChar">
    <w:name w:val="Comment Subject Char"/>
    <w:basedOn w:val="CommentTextChar"/>
    <w:link w:val="CommentSubject"/>
    <w:uiPriority w:val="99"/>
    <w:semiHidden/>
    <w:rsid w:val="001601F4"/>
    <w:rPr>
      <w:b/>
      <w:bCs/>
      <w:sz w:val="20"/>
      <w:szCs w:val="20"/>
    </w:rPr>
  </w:style>
  <w:style w:type="character" w:customStyle="1" w:styleId="Heading4Char">
    <w:name w:val="Heading 4 Char"/>
    <w:basedOn w:val="DefaultParagraphFont"/>
    <w:link w:val="Heading4"/>
    <w:uiPriority w:val="9"/>
    <w:rsid w:val="000143DE"/>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B52BBF"/>
  </w:style>
  <w:style w:type="character" w:styleId="PlaceholderText">
    <w:name w:val="Placeholder Text"/>
    <w:basedOn w:val="DefaultParagraphFont"/>
    <w:uiPriority w:val="99"/>
    <w:semiHidden/>
    <w:rsid w:val="00201086"/>
    <w:rPr>
      <w:color w:val="666666"/>
    </w:rPr>
  </w:style>
  <w:style w:type="paragraph" w:styleId="BalloonText">
    <w:name w:val="Balloon Text"/>
    <w:basedOn w:val="Normal"/>
    <w:link w:val="BalloonTextChar"/>
    <w:uiPriority w:val="99"/>
    <w:semiHidden/>
    <w:unhideWhenUsed/>
    <w:rsid w:val="00E0031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0314"/>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F64293"/>
    <w:rPr>
      <w:color w:val="605E5C"/>
      <w:shd w:val="clear" w:color="auto" w:fill="E1DFDD"/>
    </w:rPr>
  </w:style>
  <w:style w:type="paragraph" w:styleId="Bibliography">
    <w:name w:val="Bibliography"/>
    <w:basedOn w:val="Normal"/>
    <w:next w:val="Normal"/>
    <w:uiPriority w:val="37"/>
    <w:unhideWhenUsed/>
    <w:rsid w:val="00D002FD"/>
    <w:pPr>
      <w:tabs>
        <w:tab w:val="left" w:pos="384"/>
      </w:tabs>
      <w:spacing w:after="240"/>
      <w:ind w:left="384" w:hanging="384"/>
    </w:pPr>
  </w:style>
  <w:style w:type="character" w:styleId="Strong">
    <w:name w:val="Strong"/>
    <w:basedOn w:val="DefaultParagraphFont"/>
    <w:uiPriority w:val="22"/>
    <w:qFormat/>
    <w:rsid w:val="009661CC"/>
    <w:rPr>
      <w:b/>
      <w:bCs/>
    </w:rPr>
  </w:style>
  <w:style w:type="character" w:styleId="LineNumber">
    <w:name w:val="line number"/>
    <w:basedOn w:val="DefaultParagraphFont"/>
    <w:uiPriority w:val="99"/>
    <w:semiHidden/>
    <w:unhideWhenUsed/>
    <w:rsid w:val="00191BF1"/>
  </w:style>
  <w:style w:type="paragraph" w:customStyle="1" w:styleId="pf0">
    <w:name w:val="pf0"/>
    <w:basedOn w:val="Normal"/>
    <w:rsid w:val="009D0578"/>
    <w:pPr>
      <w:spacing w:before="100" w:beforeAutospacing="1" w:after="100" w:afterAutospacing="1"/>
    </w:pPr>
    <w:rPr>
      <w:rFonts w:ascii="Times New Roman" w:eastAsia="Times New Roman" w:hAnsi="Times New Roman" w:cs="Times New Roman"/>
      <w:lang w:eastAsia="fr-FR"/>
    </w:rPr>
  </w:style>
  <w:style w:type="character" w:customStyle="1" w:styleId="cf01">
    <w:name w:val="cf01"/>
    <w:basedOn w:val="DefaultParagraphFont"/>
    <w:rsid w:val="009D0578"/>
    <w:rPr>
      <w:rFonts w:ascii="Segoe UI" w:hAnsi="Segoe UI" w:cs="Segoe UI" w:hint="default"/>
      <w:sz w:val="18"/>
      <w:szCs w:val="18"/>
    </w:rPr>
  </w:style>
  <w:style w:type="character" w:customStyle="1" w:styleId="cf21">
    <w:name w:val="cf21"/>
    <w:basedOn w:val="DefaultParagraphFont"/>
    <w:rsid w:val="009D0578"/>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4829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05952">
      <w:bodyDiv w:val="1"/>
      <w:marLeft w:val="0"/>
      <w:marRight w:val="0"/>
      <w:marTop w:val="0"/>
      <w:marBottom w:val="0"/>
      <w:divBdr>
        <w:top w:val="none" w:sz="0" w:space="0" w:color="auto"/>
        <w:left w:val="none" w:sz="0" w:space="0" w:color="auto"/>
        <w:bottom w:val="none" w:sz="0" w:space="0" w:color="auto"/>
        <w:right w:val="none" w:sz="0" w:space="0" w:color="auto"/>
      </w:divBdr>
    </w:div>
    <w:div w:id="135101977">
      <w:bodyDiv w:val="1"/>
      <w:marLeft w:val="0"/>
      <w:marRight w:val="0"/>
      <w:marTop w:val="0"/>
      <w:marBottom w:val="0"/>
      <w:divBdr>
        <w:top w:val="none" w:sz="0" w:space="0" w:color="auto"/>
        <w:left w:val="none" w:sz="0" w:space="0" w:color="auto"/>
        <w:bottom w:val="none" w:sz="0" w:space="0" w:color="auto"/>
        <w:right w:val="none" w:sz="0" w:space="0" w:color="auto"/>
      </w:divBdr>
    </w:div>
    <w:div w:id="240873538">
      <w:bodyDiv w:val="1"/>
      <w:marLeft w:val="0"/>
      <w:marRight w:val="0"/>
      <w:marTop w:val="0"/>
      <w:marBottom w:val="0"/>
      <w:divBdr>
        <w:top w:val="none" w:sz="0" w:space="0" w:color="auto"/>
        <w:left w:val="none" w:sz="0" w:space="0" w:color="auto"/>
        <w:bottom w:val="none" w:sz="0" w:space="0" w:color="auto"/>
        <w:right w:val="none" w:sz="0" w:space="0" w:color="auto"/>
      </w:divBdr>
    </w:div>
    <w:div w:id="332032020">
      <w:bodyDiv w:val="1"/>
      <w:marLeft w:val="0"/>
      <w:marRight w:val="0"/>
      <w:marTop w:val="0"/>
      <w:marBottom w:val="0"/>
      <w:divBdr>
        <w:top w:val="none" w:sz="0" w:space="0" w:color="auto"/>
        <w:left w:val="none" w:sz="0" w:space="0" w:color="auto"/>
        <w:bottom w:val="none" w:sz="0" w:space="0" w:color="auto"/>
        <w:right w:val="none" w:sz="0" w:space="0" w:color="auto"/>
      </w:divBdr>
    </w:div>
    <w:div w:id="397747682">
      <w:bodyDiv w:val="1"/>
      <w:marLeft w:val="0"/>
      <w:marRight w:val="0"/>
      <w:marTop w:val="0"/>
      <w:marBottom w:val="0"/>
      <w:divBdr>
        <w:top w:val="none" w:sz="0" w:space="0" w:color="auto"/>
        <w:left w:val="none" w:sz="0" w:space="0" w:color="auto"/>
        <w:bottom w:val="none" w:sz="0" w:space="0" w:color="auto"/>
        <w:right w:val="none" w:sz="0" w:space="0" w:color="auto"/>
      </w:divBdr>
    </w:div>
    <w:div w:id="456487360">
      <w:bodyDiv w:val="1"/>
      <w:marLeft w:val="0"/>
      <w:marRight w:val="0"/>
      <w:marTop w:val="0"/>
      <w:marBottom w:val="0"/>
      <w:divBdr>
        <w:top w:val="none" w:sz="0" w:space="0" w:color="auto"/>
        <w:left w:val="none" w:sz="0" w:space="0" w:color="auto"/>
        <w:bottom w:val="none" w:sz="0" w:space="0" w:color="auto"/>
        <w:right w:val="none" w:sz="0" w:space="0" w:color="auto"/>
      </w:divBdr>
    </w:div>
    <w:div w:id="480929463">
      <w:bodyDiv w:val="1"/>
      <w:marLeft w:val="0"/>
      <w:marRight w:val="0"/>
      <w:marTop w:val="0"/>
      <w:marBottom w:val="0"/>
      <w:divBdr>
        <w:top w:val="none" w:sz="0" w:space="0" w:color="auto"/>
        <w:left w:val="none" w:sz="0" w:space="0" w:color="auto"/>
        <w:bottom w:val="none" w:sz="0" w:space="0" w:color="auto"/>
        <w:right w:val="none" w:sz="0" w:space="0" w:color="auto"/>
      </w:divBdr>
    </w:div>
    <w:div w:id="641663569">
      <w:bodyDiv w:val="1"/>
      <w:marLeft w:val="0"/>
      <w:marRight w:val="0"/>
      <w:marTop w:val="0"/>
      <w:marBottom w:val="0"/>
      <w:divBdr>
        <w:top w:val="none" w:sz="0" w:space="0" w:color="auto"/>
        <w:left w:val="none" w:sz="0" w:space="0" w:color="auto"/>
        <w:bottom w:val="none" w:sz="0" w:space="0" w:color="auto"/>
        <w:right w:val="none" w:sz="0" w:space="0" w:color="auto"/>
      </w:divBdr>
    </w:div>
    <w:div w:id="652484867">
      <w:bodyDiv w:val="1"/>
      <w:marLeft w:val="0"/>
      <w:marRight w:val="0"/>
      <w:marTop w:val="0"/>
      <w:marBottom w:val="0"/>
      <w:divBdr>
        <w:top w:val="none" w:sz="0" w:space="0" w:color="auto"/>
        <w:left w:val="none" w:sz="0" w:space="0" w:color="auto"/>
        <w:bottom w:val="none" w:sz="0" w:space="0" w:color="auto"/>
        <w:right w:val="none" w:sz="0" w:space="0" w:color="auto"/>
      </w:divBdr>
    </w:div>
    <w:div w:id="807170537">
      <w:bodyDiv w:val="1"/>
      <w:marLeft w:val="0"/>
      <w:marRight w:val="0"/>
      <w:marTop w:val="0"/>
      <w:marBottom w:val="0"/>
      <w:divBdr>
        <w:top w:val="none" w:sz="0" w:space="0" w:color="auto"/>
        <w:left w:val="none" w:sz="0" w:space="0" w:color="auto"/>
        <w:bottom w:val="none" w:sz="0" w:space="0" w:color="auto"/>
        <w:right w:val="none" w:sz="0" w:space="0" w:color="auto"/>
      </w:divBdr>
      <w:divsChild>
        <w:div w:id="632100036">
          <w:marLeft w:val="0"/>
          <w:marRight w:val="0"/>
          <w:marTop w:val="0"/>
          <w:marBottom w:val="0"/>
          <w:divBdr>
            <w:top w:val="none" w:sz="0" w:space="0" w:color="auto"/>
            <w:left w:val="none" w:sz="0" w:space="0" w:color="auto"/>
            <w:bottom w:val="none" w:sz="0" w:space="0" w:color="auto"/>
            <w:right w:val="none" w:sz="0" w:space="0" w:color="auto"/>
          </w:divBdr>
          <w:divsChild>
            <w:div w:id="2006934152">
              <w:marLeft w:val="0"/>
              <w:marRight w:val="0"/>
              <w:marTop w:val="0"/>
              <w:marBottom w:val="0"/>
              <w:divBdr>
                <w:top w:val="none" w:sz="0" w:space="0" w:color="auto"/>
                <w:left w:val="none" w:sz="0" w:space="0" w:color="auto"/>
                <w:bottom w:val="none" w:sz="0" w:space="0" w:color="auto"/>
                <w:right w:val="none" w:sz="0" w:space="0" w:color="auto"/>
              </w:divBdr>
              <w:divsChild>
                <w:div w:id="1561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482308">
      <w:bodyDiv w:val="1"/>
      <w:marLeft w:val="0"/>
      <w:marRight w:val="0"/>
      <w:marTop w:val="0"/>
      <w:marBottom w:val="0"/>
      <w:divBdr>
        <w:top w:val="none" w:sz="0" w:space="0" w:color="auto"/>
        <w:left w:val="none" w:sz="0" w:space="0" w:color="auto"/>
        <w:bottom w:val="none" w:sz="0" w:space="0" w:color="auto"/>
        <w:right w:val="none" w:sz="0" w:space="0" w:color="auto"/>
      </w:divBdr>
      <w:divsChild>
        <w:div w:id="300615832">
          <w:marLeft w:val="0"/>
          <w:marRight w:val="0"/>
          <w:marTop w:val="0"/>
          <w:marBottom w:val="0"/>
          <w:divBdr>
            <w:top w:val="none" w:sz="0" w:space="0" w:color="auto"/>
            <w:left w:val="none" w:sz="0" w:space="0" w:color="auto"/>
            <w:bottom w:val="none" w:sz="0" w:space="0" w:color="auto"/>
            <w:right w:val="none" w:sz="0" w:space="0" w:color="auto"/>
          </w:divBdr>
        </w:div>
        <w:div w:id="1197548365">
          <w:marLeft w:val="0"/>
          <w:marRight w:val="0"/>
          <w:marTop w:val="0"/>
          <w:marBottom w:val="0"/>
          <w:divBdr>
            <w:top w:val="none" w:sz="0" w:space="0" w:color="auto"/>
            <w:left w:val="none" w:sz="0" w:space="0" w:color="auto"/>
            <w:bottom w:val="none" w:sz="0" w:space="0" w:color="auto"/>
            <w:right w:val="none" w:sz="0" w:space="0" w:color="auto"/>
          </w:divBdr>
        </w:div>
        <w:div w:id="1147669766">
          <w:marLeft w:val="0"/>
          <w:marRight w:val="0"/>
          <w:marTop w:val="0"/>
          <w:marBottom w:val="0"/>
          <w:divBdr>
            <w:top w:val="none" w:sz="0" w:space="0" w:color="auto"/>
            <w:left w:val="none" w:sz="0" w:space="0" w:color="auto"/>
            <w:bottom w:val="none" w:sz="0" w:space="0" w:color="auto"/>
            <w:right w:val="none" w:sz="0" w:space="0" w:color="auto"/>
          </w:divBdr>
        </w:div>
      </w:divsChild>
    </w:div>
    <w:div w:id="859583464">
      <w:bodyDiv w:val="1"/>
      <w:marLeft w:val="0"/>
      <w:marRight w:val="0"/>
      <w:marTop w:val="0"/>
      <w:marBottom w:val="0"/>
      <w:divBdr>
        <w:top w:val="none" w:sz="0" w:space="0" w:color="auto"/>
        <w:left w:val="none" w:sz="0" w:space="0" w:color="auto"/>
        <w:bottom w:val="none" w:sz="0" w:space="0" w:color="auto"/>
        <w:right w:val="none" w:sz="0" w:space="0" w:color="auto"/>
      </w:divBdr>
    </w:div>
    <w:div w:id="884021062">
      <w:bodyDiv w:val="1"/>
      <w:marLeft w:val="0"/>
      <w:marRight w:val="0"/>
      <w:marTop w:val="0"/>
      <w:marBottom w:val="0"/>
      <w:divBdr>
        <w:top w:val="none" w:sz="0" w:space="0" w:color="auto"/>
        <w:left w:val="none" w:sz="0" w:space="0" w:color="auto"/>
        <w:bottom w:val="none" w:sz="0" w:space="0" w:color="auto"/>
        <w:right w:val="none" w:sz="0" w:space="0" w:color="auto"/>
      </w:divBdr>
    </w:div>
    <w:div w:id="1042365886">
      <w:bodyDiv w:val="1"/>
      <w:marLeft w:val="0"/>
      <w:marRight w:val="0"/>
      <w:marTop w:val="0"/>
      <w:marBottom w:val="0"/>
      <w:divBdr>
        <w:top w:val="none" w:sz="0" w:space="0" w:color="auto"/>
        <w:left w:val="none" w:sz="0" w:space="0" w:color="auto"/>
        <w:bottom w:val="none" w:sz="0" w:space="0" w:color="auto"/>
        <w:right w:val="none" w:sz="0" w:space="0" w:color="auto"/>
      </w:divBdr>
    </w:div>
    <w:div w:id="1094596324">
      <w:bodyDiv w:val="1"/>
      <w:marLeft w:val="0"/>
      <w:marRight w:val="0"/>
      <w:marTop w:val="0"/>
      <w:marBottom w:val="0"/>
      <w:divBdr>
        <w:top w:val="none" w:sz="0" w:space="0" w:color="auto"/>
        <w:left w:val="none" w:sz="0" w:space="0" w:color="auto"/>
        <w:bottom w:val="none" w:sz="0" w:space="0" w:color="auto"/>
        <w:right w:val="none" w:sz="0" w:space="0" w:color="auto"/>
      </w:divBdr>
    </w:div>
    <w:div w:id="1132942091">
      <w:bodyDiv w:val="1"/>
      <w:marLeft w:val="0"/>
      <w:marRight w:val="0"/>
      <w:marTop w:val="0"/>
      <w:marBottom w:val="0"/>
      <w:divBdr>
        <w:top w:val="none" w:sz="0" w:space="0" w:color="auto"/>
        <w:left w:val="none" w:sz="0" w:space="0" w:color="auto"/>
        <w:bottom w:val="none" w:sz="0" w:space="0" w:color="auto"/>
        <w:right w:val="none" w:sz="0" w:space="0" w:color="auto"/>
      </w:divBdr>
    </w:div>
    <w:div w:id="1340888821">
      <w:bodyDiv w:val="1"/>
      <w:marLeft w:val="0"/>
      <w:marRight w:val="0"/>
      <w:marTop w:val="0"/>
      <w:marBottom w:val="0"/>
      <w:divBdr>
        <w:top w:val="none" w:sz="0" w:space="0" w:color="auto"/>
        <w:left w:val="none" w:sz="0" w:space="0" w:color="auto"/>
        <w:bottom w:val="none" w:sz="0" w:space="0" w:color="auto"/>
        <w:right w:val="none" w:sz="0" w:space="0" w:color="auto"/>
      </w:divBdr>
    </w:div>
    <w:div w:id="1418290813">
      <w:bodyDiv w:val="1"/>
      <w:marLeft w:val="0"/>
      <w:marRight w:val="0"/>
      <w:marTop w:val="0"/>
      <w:marBottom w:val="0"/>
      <w:divBdr>
        <w:top w:val="none" w:sz="0" w:space="0" w:color="auto"/>
        <w:left w:val="none" w:sz="0" w:space="0" w:color="auto"/>
        <w:bottom w:val="none" w:sz="0" w:space="0" w:color="auto"/>
        <w:right w:val="none" w:sz="0" w:space="0" w:color="auto"/>
      </w:divBdr>
    </w:div>
    <w:div w:id="1453940366">
      <w:bodyDiv w:val="1"/>
      <w:marLeft w:val="0"/>
      <w:marRight w:val="0"/>
      <w:marTop w:val="0"/>
      <w:marBottom w:val="0"/>
      <w:divBdr>
        <w:top w:val="none" w:sz="0" w:space="0" w:color="auto"/>
        <w:left w:val="none" w:sz="0" w:space="0" w:color="auto"/>
        <w:bottom w:val="none" w:sz="0" w:space="0" w:color="auto"/>
        <w:right w:val="none" w:sz="0" w:space="0" w:color="auto"/>
      </w:divBdr>
    </w:div>
    <w:div w:id="1499496050">
      <w:bodyDiv w:val="1"/>
      <w:marLeft w:val="0"/>
      <w:marRight w:val="0"/>
      <w:marTop w:val="0"/>
      <w:marBottom w:val="0"/>
      <w:divBdr>
        <w:top w:val="none" w:sz="0" w:space="0" w:color="auto"/>
        <w:left w:val="none" w:sz="0" w:space="0" w:color="auto"/>
        <w:bottom w:val="none" w:sz="0" w:space="0" w:color="auto"/>
        <w:right w:val="none" w:sz="0" w:space="0" w:color="auto"/>
      </w:divBdr>
    </w:div>
    <w:div w:id="1650864423">
      <w:bodyDiv w:val="1"/>
      <w:marLeft w:val="0"/>
      <w:marRight w:val="0"/>
      <w:marTop w:val="0"/>
      <w:marBottom w:val="0"/>
      <w:divBdr>
        <w:top w:val="none" w:sz="0" w:space="0" w:color="auto"/>
        <w:left w:val="none" w:sz="0" w:space="0" w:color="auto"/>
        <w:bottom w:val="none" w:sz="0" w:space="0" w:color="auto"/>
        <w:right w:val="none" w:sz="0" w:space="0" w:color="auto"/>
      </w:divBdr>
    </w:div>
    <w:div w:id="1698583565">
      <w:bodyDiv w:val="1"/>
      <w:marLeft w:val="0"/>
      <w:marRight w:val="0"/>
      <w:marTop w:val="0"/>
      <w:marBottom w:val="0"/>
      <w:divBdr>
        <w:top w:val="none" w:sz="0" w:space="0" w:color="auto"/>
        <w:left w:val="none" w:sz="0" w:space="0" w:color="auto"/>
        <w:bottom w:val="none" w:sz="0" w:space="0" w:color="auto"/>
        <w:right w:val="none" w:sz="0" w:space="0" w:color="auto"/>
      </w:divBdr>
    </w:div>
    <w:div w:id="1766999821">
      <w:bodyDiv w:val="1"/>
      <w:marLeft w:val="0"/>
      <w:marRight w:val="0"/>
      <w:marTop w:val="0"/>
      <w:marBottom w:val="0"/>
      <w:divBdr>
        <w:top w:val="none" w:sz="0" w:space="0" w:color="auto"/>
        <w:left w:val="none" w:sz="0" w:space="0" w:color="auto"/>
        <w:bottom w:val="none" w:sz="0" w:space="0" w:color="auto"/>
        <w:right w:val="none" w:sz="0" w:space="0" w:color="auto"/>
      </w:divBdr>
    </w:div>
    <w:div w:id="1828596205">
      <w:bodyDiv w:val="1"/>
      <w:marLeft w:val="0"/>
      <w:marRight w:val="0"/>
      <w:marTop w:val="0"/>
      <w:marBottom w:val="0"/>
      <w:divBdr>
        <w:top w:val="none" w:sz="0" w:space="0" w:color="auto"/>
        <w:left w:val="none" w:sz="0" w:space="0" w:color="auto"/>
        <w:bottom w:val="none" w:sz="0" w:space="0" w:color="auto"/>
        <w:right w:val="none" w:sz="0" w:space="0" w:color="auto"/>
      </w:divBdr>
    </w:div>
    <w:div w:id="1828669506">
      <w:bodyDiv w:val="1"/>
      <w:marLeft w:val="0"/>
      <w:marRight w:val="0"/>
      <w:marTop w:val="0"/>
      <w:marBottom w:val="0"/>
      <w:divBdr>
        <w:top w:val="none" w:sz="0" w:space="0" w:color="auto"/>
        <w:left w:val="none" w:sz="0" w:space="0" w:color="auto"/>
        <w:bottom w:val="none" w:sz="0" w:space="0" w:color="auto"/>
        <w:right w:val="none" w:sz="0" w:space="0" w:color="auto"/>
      </w:divBdr>
    </w:div>
    <w:div w:id="1838570061">
      <w:bodyDiv w:val="1"/>
      <w:marLeft w:val="0"/>
      <w:marRight w:val="0"/>
      <w:marTop w:val="0"/>
      <w:marBottom w:val="0"/>
      <w:divBdr>
        <w:top w:val="none" w:sz="0" w:space="0" w:color="auto"/>
        <w:left w:val="none" w:sz="0" w:space="0" w:color="auto"/>
        <w:bottom w:val="none" w:sz="0" w:space="0" w:color="auto"/>
        <w:right w:val="none" w:sz="0" w:space="0" w:color="auto"/>
      </w:divBdr>
    </w:div>
    <w:div w:id="1845170473">
      <w:bodyDiv w:val="1"/>
      <w:marLeft w:val="0"/>
      <w:marRight w:val="0"/>
      <w:marTop w:val="0"/>
      <w:marBottom w:val="0"/>
      <w:divBdr>
        <w:top w:val="none" w:sz="0" w:space="0" w:color="auto"/>
        <w:left w:val="none" w:sz="0" w:space="0" w:color="auto"/>
        <w:bottom w:val="none" w:sz="0" w:space="0" w:color="auto"/>
        <w:right w:val="none" w:sz="0" w:space="0" w:color="auto"/>
      </w:divBdr>
      <w:divsChild>
        <w:div w:id="1060178937">
          <w:marLeft w:val="0"/>
          <w:marRight w:val="0"/>
          <w:marTop w:val="0"/>
          <w:marBottom w:val="0"/>
          <w:divBdr>
            <w:top w:val="none" w:sz="0" w:space="0" w:color="auto"/>
            <w:left w:val="none" w:sz="0" w:space="0" w:color="auto"/>
            <w:bottom w:val="none" w:sz="0" w:space="0" w:color="auto"/>
            <w:right w:val="none" w:sz="0" w:space="0" w:color="auto"/>
          </w:divBdr>
          <w:divsChild>
            <w:div w:id="1311709758">
              <w:marLeft w:val="0"/>
              <w:marRight w:val="0"/>
              <w:marTop w:val="0"/>
              <w:marBottom w:val="0"/>
              <w:divBdr>
                <w:top w:val="none" w:sz="0" w:space="0" w:color="auto"/>
                <w:left w:val="none" w:sz="0" w:space="0" w:color="auto"/>
                <w:bottom w:val="none" w:sz="0" w:space="0" w:color="auto"/>
                <w:right w:val="none" w:sz="0" w:space="0" w:color="auto"/>
              </w:divBdr>
              <w:divsChild>
                <w:div w:id="3573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12239">
      <w:bodyDiv w:val="1"/>
      <w:marLeft w:val="0"/>
      <w:marRight w:val="0"/>
      <w:marTop w:val="0"/>
      <w:marBottom w:val="0"/>
      <w:divBdr>
        <w:top w:val="none" w:sz="0" w:space="0" w:color="auto"/>
        <w:left w:val="none" w:sz="0" w:space="0" w:color="auto"/>
        <w:bottom w:val="none" w:sz="0" w:space="0" w:color="auto"/>
        <w:right w:val="none" w:sz="0" w:space="0" w:color="auto"/>
      </w:divBdr>
    </w:div>
    <w:div w:id="187996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F61699-52F1-CC44-B147-195BA46D8DD6}">
  <we:reference id="wa200001361" version="2.2.1.0" store="fr-FR" storeType="OMEX"/>
  <we:alternateReferences>
    <we:reference id="WA200001361" version="2.2.1.0" store="WA200001361" storeType="OMEX"/>
  </we:alternateReferences>
  <we:properties>
    <we:property name="paperpal-document-id" value="&quot;1dd6ad4b-333f-4230-a580-05ace8ed77f1&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53D15-EF7A-3D42-BF6D-801EB811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9854</Words>
  <Characters>56171</Characters>
  <Application>Microsoft Office Word</Application>
  <DocSecurity>0</DocSecurity>
  <Lines>468</Lines>
  <Paragraphs>131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Jurek</dc:creator>
  <cp:keywords/>
  <dc:description/>
  <cp:lastModifiedBy>Tanya Palmer</cp:lastModifiedBy>
  <cp:revision>2</cp:revision>
  <dcterms:created xsi:type="dcterms:W3CDTF">2024-10-07T08:19:00Z</dcterms:created>
  <dcterms:modified xsi:type="dcterms:W3CDTF">2024-10-07T08:19:00Z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id="vooujABm"/&gt;&lt;style id="http://www.zotero.org/styles/vancouver" locale="fr-FR"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