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64DC8D" w14:textId="2B3E3C68" w:rsidR="00C95A78" w:rsidRPr="00813425" w:rsidRDefault="00C95A78" w:rsidP="00C95A78">
      <w:pPr>
        <w:rPr>
          <w:rFonts w:ascii="Times New Roman" w:eastAsia="Times New Roman" w:hAnsi="Times New Roman" w:cs="Times New Roman"/>
          <w:b/>
          <w:bCs/>
          <w:color w:val="000000"/>
          <w:lang w:val="en-US"/>
        </w:rPr>
      </w:pPr>
      <w:bookmarkStart w:id="0" w:name="_Toc139513432"/>
      <w:r w:rsidRPr="00813425">
        <w:rPr>
          <w:rFonts w:ascii="Times New Roman" w:eastAsiaTheme="majorEastAsia" w:hAnsi="Times New Roman" w:cs="Times New Roman"/>
          <w:b/>
          <w:bCs/>
          <w:color w:val="000000" w:themeColor="text1"/>
          <w:szCs w:val="26"/>
          <w:lang w:val="en-GB" w:eastAsia="en-GB"/>
        </w:rPr>
        <w:t>Changes in peripheral quantitative computed tomography measured bone density, size and strength in Zimbabwean children with and without HIV over one year: a cohort study</w:t>
      </w:r>
      <w:bookmarkEnd w:id="0"/>
    </w:p>
    <w:p w14:paraId="6364DC8E" w14:textId="77777777" w:rsidR="00C95A78" w:rsidRPr="00813425" w:rsidRDefault="00C95A78" w:rsidP="0082668C">
      <w:pPr>
        <w:rPr>
          <w:rFonts w:ascii="Times New Roman" w:hAnsi="Times New Roman" w:cs="Times New Roman"/>
          <w:b/>
          <w:sz w:val="24"/>
          <w:szCs w:val="24"/>
        </w:rPr>
      </w:pPr>
      <w:bookmarkStart w:id="1" w:name="_Toc139513433"/>
      <w:r w:rsidRPr="00813425">
        <w:rPr>
          <w:rFonts w:ascii="Times New Roman" w:hAnsi="Times New Roman" w:cs="Times New Roman"/>
          <w:b/>
          <w:sz w:val="24"/>
          <w:szCs w:val="24"/>
        </w:rPr>
        <w:t>Authors</w:t>
      </w:r>
      <w:bookmarkEnd w:id="1"/>
    </w:p>
    <w:p w14:paraId="6364DC8F" w14:textId="086EF62C" w:rsidR="00C95A78" w:rsidRPr="00813425" w:rsidRDefault="00C95A78" w:rsidP="00C95A78">
      <w:pPr>
        <w:spacing w:before="100" w:beforeAutospacing="1" w:after="0" w:line="276" w:lineRule="auto"/>
        <w:rPr>
          <w:rFonts w:ascii="Times New Roman" w:eastAsia="Times New Roman" w:hAnsi="Times New Roman" w:cs="Times New Roman"/>
          <w:bCs/>
          <w:color w:val="000000"/>
          <w:lang w:val="en-US" w:eastAsia="en-GB"/>
        </w:rPr>
      </w:pPr>
      <w:r w:rsidRPr="00813425">
        <w:rPr>
          <w:rFonts w:ascii="Times New Roman" w:eastAsia="Times New Roman" w:hAnsi="Times New Roman" w:cs="Times New Roman"/>
          <w:bCs/>
          <w:color w:val="000000"/>
          <w:lang w:val="en-US" w:eastAsia="en-GB"/>
        </w:rPr>
        <w:t>Cynthia</w:t>
      </w:r>
      <w:r w:rsidR="002C1313" w:rsidRPr="00813425">
        <w:rPr>
          <w:rFonts w:ascii="Times New Roman" w:eastAsia="Times New Roman" w:hAnsi="Times New Roman" w:cs="Times New Roman"/>
          <w:bCs/>
          <w:color w:val="000000"/>
          <w:lang w:val="en-US" w:eastAsia="en-GB"/>
        </w:rPr>
        <w:t xml:space="preserve"> </w:t>
      </w:r>
      <w:r w:rsidRPr="00813425">
        <w:rPr>
          <w:rFonts w:ascii="Times New Roman" w:eastAsia="Times New Roman" w:hAnsi="Times New Roman" w:cs="Times New Roman"/>
          <w:bCs/>
          <w:color w:val="000000"/>
          <w:lang w:val="en-US" w:eastAsia="en-GB"/>
        </w:rPr>
        <w:t>Kahari</w:t>
      </w:r>
      <w:r w:rsidRPr="00813425">
        <w:rPr>
          <w:rFonts w:ascii="Times New Roman" w:eastAsia="Times New Roman" w:hAnsi="Times New Roman" w:cs="Times New Roman"/>
          <w:bCs/>
          <w:color w:val="000000"/>
          <w:vertAlign w:val="superscript"/>
          <w:lang w:val="en-US" w:eastAsia="en-GB"/>
        </w:rPr>
        <w:t>1,2</w:t>
      </w:r>
      <w:r w:rsidRPr="00813425">
        <w:rPr>
          <w:rFonts w:ascii="Times New Roman" w:eastAsia="Times New Roman" w:hAnsi="Times New Roman" w:cs="Times New Roman"/>
          <w:bCs/>
          <w:color w:val="000000"/>
          <w:lang w:val="en-US" w:eastAsia="en-GB"/>
        </w:rPr>
        <w:t>, Celia L Gregson</w:t>
      </w:r>
      <w:r w:rsidR="001562EF">
        <w:rPr>
          <w:rFonts w:ascii="Times New Roman" w:eastAsia="Times New Roman" w:hAnsi="Times New Roman" w:cs="Times New Roman"/>
          <w:bCs/>
          <w:color w:val="000000"/>
          <w:vertAlign w:val="superscript"/>
          <w:lang w:val="en-US" w:eastAsia="en-GB"/>
        </w:rPr>
        <w:t>4</w:t>
      </w:r>
      <w:r w:rsidRPr="00813425">
        <w:rPr>
          <w:rFonts w:ascii="Times New Roman" w:eastAsia="Times New Roman" w:hAnsi="Times New Roman" w:cs="Times New Roman"/>
          <w:bCs/>
          <w:color w:val="000000"/>
          <w:lang w:val="en-US" w:eastAsia="en-GB"/>
        </w:rPr>
        <w:t xml:space="preserve">, </w:t>
      </w:r>
      <w:r w:rsidRPr="00813425">
        <w:rPr>
          <w:rFonts w:ascii="Times New Roman" w:eastAsia="Times New Roman" w:hAnsi="Times New Roman" w:cs="Times New Roman"/>
          <w:bCs/>
          <w:color w:val="000000"/>
          <w:lang w:val="en-GB" w:eastAsia="en-GB"/>
        </w:rPr>
        <w:t>Mícheál Ó Breasail</w:t>
      </w:r>
      <w:r w:rsidR="001562EF">
        <w:rPr>
          <w:rFonts w:ascii="Times New Roman" w:eastAsia="Times New Roman" w:hAnsi="Times New Roman" w:cs="Times New Roman"/>
          <w:bCs/>
          <w:color w:val="000000"/>
          <w:vertAlign w:val="superscript"/>
          <w:lang w:val="en-GB" w:eastAsia="en-GB"/>
        </w:rPr>
        <w:t>5</w:t>
      </w:r>
      <w:r w:rsidRPr="00813425">
        <w:rPr>
          <w:rFonts w:ascii="Times New Roman" w:eastAsia="Times New Roman" w:hAnsi="Times New Roman" w:cs="Times New Roman"/>
          <w:bCs/>
          <w:color w:val="000000"/>
          <w:vertAlign w:val="superscript"/>
          <w:lang w:val="en-GB" w:eastAsia="en-GB"/>
        </w:rPr>
        <w:t>,</w:t>
      </w:r>
      <w:r w:rsidR="001562EF">
        <w:rPr>
          <w:rFonts w:ascii="Times New Roman" w:eastAsia="Times New Roman" w:hAnsi="Times New Roman" w:cs="Times New Roman"/>
          <w:bCs/>
          <w:color w:val="000000"/>
          <w:vertAlign w:val="superscript"/>
          <w:lang w:val="en-GB" w:eastAsia="en-GB"/>
        </w:rPr>
        <w:t>6</w:t>
      </w:r>
      <w:r w:rsidRPr="00813425">
        <w:rPr>
          <w:rFonts w:ascii="Times New Roman" w:eastAsia="Times New Roman" w:hAnsi="Times New Roman" w:cs="Times New Roman"/>
          <w:bCs/>
          <w:color w:val="000000"/>
          <w:lang w:val="en-US" w:eastAsia="en-GB"/>
        </w:rPr>
        <w:t>, Ruramayi Rukuni</w:t>
      </w:r>
      <w:r w:rsidR="0019460D" w:rsidRPr="00813425">
        <w:rPr>
          <w:rFonts w:ascii="Times New Roman" w:eastAsia="Times New Roman" w:hAnsi="Times New Roman" w:cs="Times New Roman"/>
          <w:bCs/>
          <w:color w:val="000000"/>
          <w:vertAlign w:val="superscript"/>
          <w:lang w:val="en-US" w:eastAsia="en-GB"/>
        </w:rPr>
        <w:t>2,</w:t>
      </w:r>
      <w:r w:rsidR="001562EF">
        <w:rPr>
          <w:rFonts w:ascii="Times New Roman" w:eastAsia="Times New Roman" w:hAnsi="Times New Roman" w:cs="Times New Roman"/>
          <w:bCs/>
          <w:color w:val="000000"/>
          <w:vertAlign w:val="superscript"/>
          <w:lang w:val="en-US" w:eastAsia="en-GB"/>
        </w:rPr>
        <w:t>7</w:t>
      </w:r>
      <w:r w:rsidRPr="00813425">
        <w:rPr>
          <w:rFonts w:ascii="Times New Roman" w:eastAsia="Times New Roman" w:hAnsi="Times New Roman" w:cs="Times New Roman"/>
          <w:bCs/>
          <w:color w:val="000000"/>
          <w:lang w:val="en-US" w:eastAsia="en-GB"/>
        </w:rPr>
        <w:t>, Tafadzwa Madanhire</w:t>
      </w:r>
      <w:r w:rsidRPr="00813425">
        <w:rPr>
          <w:rFonts w:ascii="Times New Roman" w:eastAsia="Times New Roman" w:hAnsi="Times New Roman" w:cs="Times New Roman"/>
          <w:bCs/>
          <w:color w:val="000000"/>
          <w:vertAlign w:val="superscript"/>
          <w:lang w:val="en-US" w:eastAsia="en-GB"/>
        </w:rPr>
        <w:t>1,2</w:t>
      </w:r>
      <w:r w:rsidRPr="00813425">
        <w:rPr>
          <w:rFonts w:ascii="Times New Roman" w:eastAsia="Times New Roman" w:hAnsi="Times New Roman" w:cs="Times New Roman"/>
          <w:bCs/>
          <w:color w:val="000000"/>
          <w:lang w:val="en-US" w:eastAsia="en-GB"/>
        </w:rPr>
        <w:t>, Victoria Simms</w:t>
      </w:r>
      <w:r w:rsidRPr="00813425">
        <w:rPr>
          <w:rFonts w:ascii="Times New Roman" w:eastAsia="Times New Roman" w:hAnsi="Times New Roman" w:cs="Times New Roman"/>
          <w:bCs/>
          <w:color w:val="000000"/>
          <w:vertAlign w:val="superscript"/>
          <w:lang w:val="en-US" w:eastAsia="en-GB"/>
        </w:rPr>
        <w:t>1,2</w:t>
      </w:r>
      <w:r w:rsidRPr="00813425">
        <w:rPr>
          <w:rFonts w:ascii="Times New Roman" w:eastAsia="Times New Roman" w:hAnsi="Times New Roman" w:cs="Times New Roman"/>
          <w:bCs/>
          <w:color w:val="000000"/>
          <w:lang w:val="en-US" w:eastAsia="en-GB"/>
        </w:rPr>
        <w:t>, Joseph Chipanga</w:t>
      </w:r>
      <w:r w:rsidRPr="00813425">
        <w:rPr>
          <w:rFonts w:ascii="Times New Roman" w:eastAsia="Times New Roman" w:hAnsi="Times New Roman" w:cs="Times New Roman"/>
          <w:bCs/>
          <w:color w:val="000000"/>
          <w:vertAlign w:val="superscript"/>
          <w:lang w:val="en-US" w:eastAsia="en-GB"/>
        </w:rPr>
        <w:t>2</w:t>
      </w:r>
      <w:r w:rsidRPr="00813425">
        <w:rPr>
          <w:rFonts w:ascii="Times New Roman" w:eastAsia="Times New Roman" w:hAnsi="Times New Roman" w:cs="Times New Roman"/>
          <w:bCs/>
          <w:color w:val="000000"/>
          <w:lang w:val="en-US" w:eastAsia="en-GB"/>
        </w:rPr>
        <w:t>, Lynda Stranix-Chibanda</w:t>
      </w:r>
      <w:r w:rsidR="001562EF">
        <w:rPr>
          <w:rFonts w:ascii="Times New Roman" w:eastAsia="Times New Roman" w:hAnsi="Times New Roman" w:cs="Times New Roman"/>
          <w:bCs/>
          <w:color w:val="000000"/>
          <w:vertAlign w:val="superscript"/>
          <w:lang w:val="en-US" w:eastAsia="en-GB"/>
        </w:rPr>
        <w:t>8</w:t>
      </w:r>
      <w:r w:rsidRPr="00813425">
        <w:rPr>
          <w:rFonts w:ascii="Times New Roman" w:eastAsia="Times New Roman" w:hAnsi="Times New Roman" w:cs="Times New Roman"/>
          <w:bCs/>
          <w:color w:val="000000"/>
          <w:lang w:val="en-US" w:eastAsia="en-GB"/>
        </w:rPr>
        <w:t>, Lisa K. Micklesfield</w:t>
      </w:r>
      <w:r w:rsidR="001562EF">
        <w:rPr>
          <w:rFonts w:ascii="Times New Roman" w:eastAsia="Times New Roman" w:hAnsi="Times New Roman" w:cs="Times New Roman"/>
          <w:bCs/>
          <w:color w:val="000000"/>
          <w:vertAlign w:val="superscript"/>
          <w:lang w:val="en-US" w:eastAsia="en-GB"/>
        </w:rPr>
        <w:t>9</w:t>
      </w:r>
      <w:r w:rsidRPr="00813425">
        <w:rPr>
          <w:rFonts w:ascii="Times New Roman" w:eastAsia="Times New Roman" w:hAnsi="Times New Roman" w:cs="Times New Roman"/>
          <w:bCs/>
          <w:color w:val="000000"/>
          <w:lang w:val="en-US" w:eastAsia="en-GB"/>
        </w:rPr>
        <w:t>, Rashida A Ferrand</w:t>
      </w:r>
      <w:r w:rsidR="0019460D" w:rsidRPr="00813425">
        <w:rPr>
          <w:rFonts w:ascii="Times New Roman" w:eastAsia="Times New Roman" w:hAnsi="Times New Roman" w:cs="Times New Roman"/>
          <w:bCs/>
          <w:color w:val="000000"/>
          <w:vertAlign w:val="superscript"/>
          <w:lang w:val="en-US" w:eastAsia="en-GB"/>
        </w:rPr>
        <w:t>2,</w:t>
      </w:r>
      <w:r w:rsidR="001562EF">
        <w:rPr>
          <w:rFonts w:ascii="Times New Roman" w:eastAsia="Times New Roman" w:hAnsi="Times New Roman" w:cs="Times New Roman"/>
          <w:bCs/>
          <w:color w:val="000000"/>
          <w:vertAlign w:val="superscript"/>
          <w:lang w:val="en-US" w:eastAsia="en-GB"/>
        </w:rPr>
        <w:t>7</w:t>
      </w:r>
      <w:r w:rsidRPr="00813425">
        <w:rPr>
          <w:rFonts w:ascii="Times New Roman" w:eastAsia="Times New Roman" w:hAnsi="Times New Roman" w:cs="Times New Roman"/>
          <w:bCs/>
          <w:color w:val="000000"/>
          <w:lang w:val="en-US" w:eastAsia="en-GB"/>
        </w:rPr>
        <w:t>, Kate A Ward</w:t>
      </w:r>
      <w:r w:rsidR="001562EF">
        <w:rPr>
          <w:rFonts w:ascii="Times New Roman" w:eastAsia="Times New Roman" w:hAnsi="Times New Roman" w:cs="Times New Roman"/>
          <w:bCs/>
          <w:color w:val="000000"/>
          <w:vertAlign w:val="superscript"/>
          <w:lang w:val="en-US" w:eastAsia="en-GB"/>
        </w:rPr>
        <w:t>10</w:t>
      </w:r>
      <w:r w:rsidR="0019460D" w:rsidRPr="00813425">
        <w:rPr>
          <w:rFonts w:ascii="Times New Roman" w:eastAsia="Times New Roman" w:hAnsi="Times New Roman" w:cs="Times New Roman"/>
          <w:bCs/>
          <w:color w:val="000000"/>
          <w:vertAlign w:val="superscript"/>
          <w:lang w:val="en-US" w:eastAsia="en-GB"/>
        </w:rPr>
        <w:t>,1</w:t>
      </w:r>
      <w:r w:rsidR="001562EF">
        <w:rPr>
          <w:rFonts w:ascii="Times New Roman" w:eastAsia="Times New Roman" w:hAnsi="Times New Roman" w:cs="Times New Roman"/>
          <w:bCs/>
          <w:color w:val="000000"/>
          <w:vertAlign w:val="superscript"/>
          <w:lang w:val="en-US" w:eastAsia="en-GB"/>
        </w:rPr>
        <w:t>1</w:t>
      </w:r>
      <w:r w:rsidRPr="00813425">
        <w:rPr>
          <w:rFonts w:ascii="Times New Roman" w:eastAsia="Times New Roman" w:hAnsi="Times New Roman" w:cs="Times New Roman"/>
          <w:bCs/>
          <w:color w:val="000000"/>
          <w:lang w:val="en-US" w:eastAsia="en-GB"/>
        </w:rPr>
        <w:t>, Andrea M. Rehman</w:t>
      </w:r>
      <w:r w:rsidR="001562EF">
        <w:rPr>
          <w:rFonts w:ascii="Times New Roman" w:eastAsia="Times New Roman" w:hAnsi="Times New Roman" w:cs="Times New Roman"/>
          <w:bCs/>
          <w:color w:val="000000"/>
          <w:vertAlign w:val="superscript"/>
          <w:lang w:val="en-US" w:eastAsia="en-GB"/>
        </w:rPr>
        <w:t>1</w:t>
      </w:r>
    </w:p>
    <w:p w14:paraId="6364DC90" w14:textId="77777777" w:rsidR="00C95A78" w:rsidRPr="00813425" w:rsidRDefault="00C95A78" w:rsidP="0082668C">
      <w:pPr>
        <w:rPr>
          <w:rFonts w:ascii="Times New Roman" w:hAnsi="Times New Roman" w:cs="Times New Roman"/>
          <w:b/>
          <w:sz w:val="24"/>
          <w:szCs w:val="24"/>
          <w:lang w:val="en-US" w:eastAsia="en-GB"/>
        </w:rPr>
      </w:pPr>
      <w:bookmarkStart w:id="2" w:name="_Toc139513434"/>
      <w:r w:rsidRPr="00813425">
        <w:rPr>
          <w:rFonts w:ascii="Times New Roman" w:hAnsi="Times New Roman" w:cs="Times New Roman"/>
          <w:b/>
          <w:sz w:val="24"/>
          <w:szCs w:val="24"/>
          <w:lang w:val="en-US" w:eastAsia="en-GB"/>
        </w:rPr>
        <w:t>Affiliation</w:t>
      </w:r>
      <w:bookmarkEnd w:id="2"/>
    </w:p>
    <w:p w14:paraId="3E3653CD" w14:textId="77777777" w:rsidR="0019460D" w:rsidRPr="00813425" w:rsidRDefault="0019460D" w:rsidP="0019460D">
      <w:pPr>
        <w:spacing w:before="100" w:beforeAutospacing="1" w:after="100" w:afterAutospacing="1" w:line="276" w:lineRule="auto"/>
        <w:rPr>
          <w:rFonts w:ascii="Times New Roman" w:eastAsia="Times New Roman" w:hAnsi="Times New Roman" w:cs="Times New Roman"/>
          <w:bCs/>
          <w:color w:val="000000"/>
          <w:lang w:val="en-US" w:eastAsia="en-GB"/>
        </w:rPr>
      </w:pPr>
      <w:r w:rsidRPr="00813425">
        <w:rPr>
          <w:rFonts w:ascii="Times New Roman" w:eastAsia="Times New Roman" w:hAnsi="Times New Roman" w:cs="Times New Roman"/>
          <w:bCs/>
          <w:color w:val="000000"/>
          <w:lang w:val="en-US" w:eastAsia="en-GB"/>
        </w:rPr>
        <w:t xml:space="preserve">1. Department of Infectious Disease Epidemiology, London School of Hygiene and Tropical Medicine, London, UK </w:t>
      </w:r>
    </w:p>
    <w:p w14:paraId="4539C753" w14:textId="1DF2D2DA" w:rsidR="0019460D" w:rsidRDefault="0019460D" w:rsidP="0019460D">
      <w:pPr>
        <w:spacing w:before="100" w:beforeAutospacing="1" w:after="100" w:afterAutospacing="1" w:line="276" w:lineRule="auto"/>
        <w:rPr>
          <w:rFonts w:ascii="Times New Roman" w:eastAsia="Times New Roman" w:hAnsi="Times New Roman" w:cs="Times New Roman"/>
          <w:bCs/>
          <w:color w:val="000000"/>
          <w:lang w:val="en-US" w:eastAsia="en-GB"/>
        </w:rPr>
      </w:pPr>
      <w:r w:rsidRPr="00813425">
        <w:rPr>
          <w:rFonts w:ascii="Times New Roman" w:eastAsia="Times New Roman" w:hAnsi="Times New Roman" w:cs="Times New Roman"/>
          <w:bCs/>
          <w:color w:val="000000"/>
          <w:lang w:val="en-US" w:eastAsia="en-GB"/>
        </w:rPr>
        <w:t>2. The Health Research Unit (THRU-ZIM), Biomedical Research and Training Institute, Harare, Zimbabwe</w:t>
      </w:r>
    </w:p>
    <w:p w14:paraId="078FB317" w14:textId="2A6AA396" w:rsidR="001562EF" w:rsidRPr="00813425" w:rsidRDefault="001562EF" w:rsidP="0019460D">
      <w:pPr>
        <w:spacing w:before="100" w:beforeAutospacing="1" w:after="100" w:afterAutospacing="1" w:line="276" w:lineRule="auto"/>
        <w:rPr>
          <w:rFonts w:ascii="Times New Roman" w:eastAsia="Times New Roman" w:hAnsi="Times New Roman" w:cs="Times New Roman"/>
          <w:bCs/>
          <w:color w:val="000000"/>
          <w:lang w:val="en-US" w:eastAsia="en-GB"/>
        </w:rPr>
      </w:pPr>
      <w:r>
        <w:rPr>
          <w:rFonts w:ascii="Times New Roman" w:eastAsia="Times New Roman" w:hAnsi="Times New Roman" w:cs="Times New Roman"/>
          <w:bCs/>
          <w:color w:val="000000"/>
          <w:lang w:val="en-US" w:eastAsia="en-GB"/>
        </w:rPr>
        <w:t>3. Faculty of Medicine and Health Sciences, University of Zimbabwe, Harare, Zimbabwe</w:t>
      </w:r>
    </w:p>
    <w:p w14:paraId="5089A130" w14:textId="6B046529" w:rsidR="0019460D" w:rsidRPr="00813425" w:rsidRDefault="001562EF" w:rsidP="00C95A78">
      <w:pPr>
        <w:spacing w:before="100" w:beforeAutospacing="1" w:after="100" w:afterAutospacing="1" w:line="276" w:lineRule="auto"/>
        <w:rPr>
          <w:rFonts w:ascii="Times New Roman" w:eastAsia="Times New Roman" w:hAnsi="Times New Roman" w:cs="Times New Roman"/>
          <w:bCs/>
          <w:color w:val="000000"/>
          <w:lang w:val="en-US" w:eastAsia="en-GB"/>
        </w:rPr>
      </w:pPr>
      <w:r>
        <w:rPr>
          <w:rFonts w:ascii="Times New Roman" w:eastAsia="Times New Roman" w:hAnsi="Times New Roman" w:cs="Times New Roman"/>
          <w:bCs/>
          <w:color w:val="000000"/>
          <w:lang w:val="en-US" w:eastAsia="en-GB"/>
        </w:rPr>
        <w:t>4</w:t>
      </w:r>
      <w:r w:rsidR="0019460D" w:rsidRPr="00813425">
        <w:rPr>
          <w:rFonts w:ascii="Times New Roman" w:eastAsia="Times New Roman" w:hAnsi="Times New Roman" w:cs="Times New Roman"/>
          <w:bCs/>
          <w:color w:val="000000"/>
          <w:lang w:val="en-US" w:eastAsia="en-GB"/>
        </w:rPr>
        <w:t>. Musculoskeletal Research Unit,</w:t>
      </w:r>
      <w:r w:rsidR="0019460D" w:rsidRPr="00813425">
        <w:rPr>
          <w:rFonts w:ascii="Times New Roman" w:eastAsia="Times New Roman" w:hAnsi="Times New Roman" w:cs="Times New Roman"/>
          <w:bCs/>
          <w:color w:val="000000"/>
          <w:vertAlign w:val="superscript"/>
          <w:lang w:val="en-US" w:eastAsia="en-GB"/>
        </w:rPr>
        <w:t xml:space="preserve"> </w:t>
      </w:r>
      <w:r w:rsidR="0019460D" w:rsidRPr="00813425">
        <w:rPr>
          <w:rFonts w:ascii="Times New Roman" w:eastAsia="Times New Roman" w:hAnsi="Times New Roman" w:cs="Times New Roman"/>
          <w:bCs/>
          <w:color w:val="000000"/>
          <w:lang w:val="en-US" w:eastAsia="en-GB"/>
        </w:rPr>
        <w:t>Bristol Medical School, University of Bristol, Bristol, UK</w:t>
      </w:r>
    </w:p>
    <w:p w14:paraId="780364CF" w14:textId="67A438F8" w:rsidR="00770A83" w:rsidRPr="00813425" w:rsidRDefault="001562EF" w:rsidP="00C95A78">
      <w:pPr>
        <w:spacing w:before="100" w:beforeAutospacing="1" w:after="100" w:afterAutospacing="1" w:line="276" w:lineRule="auto"/>
        <w:rPr>
          <w:rFonts w:ascii="Times New Roman" w:eastAsia="Times New Roman" w:hAnsi="Times New Roman" w:cs="Times New Roman"/>
          <w:bCs/>
          <w:color w:val="000000"/>
          <w:lang w:val="en-US" w:eastAsia="en-GB"/>
        </w:rPr>
      </w:pPr>
      <w:r>
        <w:rPr>
          <w:rFonts w:ascii="Times New Roman" w:eastAsia="Times New Roman" w:hAnsi="Times New Roman" w:cs="Times New Roman"/>
          <w:bCs/>
          <w:color w:val="000000"/>
          <w:lang w:val="en-US" w:eastAsia="en-GB"/>
        </w:rPr>
        <w:t>5</w:t>
      </w:r>
      <w:r w:rsidR="00C95A78" w:rsidRPr="00813425">
        <w:rPr>
          <w:rFonts w:ascii="Times New Roman" w:eastAsia="Times New Roman" w:hAnsi="Times New Roman" w:cs="Times New Roman"/>
          <w:bCs/>
          <w:color w:val="000000"/>
          <w:lang w:val="en-US" w:eastAsia="en-GB"/>
        </w:rPr>
        <w:t xml:space="preserve">. </w:t>
      </w:r>
      <w:r w:rsidR="00770A83" w:rsidRPr="00813425">
        <w:rPr>
          <w:rFonts w:ascii="Times New Roman" w:eastAsia="Times New Roman" w:hAnsi="Times New Roman" w:cs="Times New Roman"/>
          <w:bCs/>
          <w:color w:val="000000"/>
          <w:lang w:val="en-US" w:eastAsia="en-GB"/>
        </w:rPr>
        <w:t>Department of Medicine, School of Clinical Sciences, Faculty of Medicine, Monash Medical Centre, Nursing and Health Sciences, Monash University, Clayton, VIC, Australia</w:t>
      </w:r>
    </w:p>
    <w:p w14:paraId="6364DC95" w14:textId="50D03212" w:rsidR="00C95A78" w:rsidRPr="00813425" w:rsidRDefault="001562EF" w:rsidP="00C95A78">
      <w:pPr>
        <w:spacing w:before="100" w:beforeAutospacing="1" w:after="100" w:afterAutospacing="1" w:line="276" w:lineRule="auto"/>
        <w:rPr>
          <w:rFonts w:ascii="Times New Roman" w:eastAsia="Times New Roman" w:hAnsi="Times New Roman" w:cs="Times New Roman"/>
          <w:bCs/>
          <w:color w:val="000000"/>
          <w:lang w:val="en-US" w:eastAsia="en-GB"/>
        </w:rPr>
      </w:pPr>
      <w:r>
        <w:rPr>
          <w:rFonts w:ascii="Times New Roman" w:eastAsia="Times New Roman" w:hAnsi="Times New Roman" w:cs="Times New Roman"/>
          <w:bCs/>
          <w:color w:val="000000"/>
          <w:lang w:val="en-US" w:eastAsia="en-GB"/>
        </w:rPr>
        <w:t>6</w:t>
      </w:r>
      <w:r w:rsidR="00770A83" w:rsidRPr="00813425">
        <w:rPr>
          <w:rFonts w:ascii="Times New Roman" w:eastAsia="Times New Roman" w:hAnsi="Times New Roman" w:cs="Times New Roman"/>
          <w:bCs/>
          <w:color w:val="000000"/>
          <w:lang w:val="en-US" w:eastAsia="en-GB"/>
        </w:rPr>
        <w:t xml:space="preserve">. </w:t>
      </w:r>
      <w:r w:rsidR="00C95A78" w:rsidRPr="00813425">
        <w:rPr>
          <w:rFonts w:ascii="Times New Roman" w:eastAsia="Times New Roman" w:hAnsi="Times New Roman" w:cs="Times New Roman"/>
          <w:bCs/>
          <w:color w:val="000000"/>
          <w:lang w:val="en-US" w:eastAsia="en-GB"/>
        </w:rPr>
        <w:t>Population Health Sciences, Bristol Medical School, 1-5 Whiteladies Road, Bristol, BS8 1NU</w:t>
      </w:r>
    </w:p>
    <w:p w14:paraId="6364DC96" w14:textId="3440E08B" w:rsidR="00C95A78" w:rsidRPr="00813425" w:rsidRDefault="001562EF" w:rsidP="00C95A78">
      <w:pPr>
        <w:spacing w:before="100" w:beforeAutospacing="1" w:after="100" w:afterAutospacing="1" w:line="276" w:lineRule="auto"/>
        <w:rPr>
          <w:rFonts w:ascii="Times New Roman" w:eastAsia="Times New Roman" w:hAnsi="Times New Roman" w:cs="Times New Roman"/>
          <w:bCs/>
          <w:color w:val="000000"/>
          <w:lang w:val="en-US" w:eastAsia="en-GB"/>
        </w:rPr>
      </w:pPr>
      <w:r>
        <w:rPr>
          <w:rFonts w:ascii="Times New Roman" w:eastAsia="Times New Roman" w:hAnsi="Times New Roman" w:cs="Times New Roman"/>
          <w:bCs/>
          <w:color w:val="000000"/>
          <w:lang w:val="en-US" w:eastAsia="en-GB"/>
        </w:rPr>
        <w:t>7</w:t>
      </w:r>
      <w:r w:rsidR="00C95A78" w:rsidRPr="00813425">
        <w:rPr>
          <w:rFonts w:ascii="Times New Roman" w:eastAsia="Times New Roman" w:hAnsi="Times New Roman" w:cs="Times New Roman"/>
          <w:bCs/>
          <w:color w:val="000000"/>
          <w:lang w:val="en-US" w:eastAsia="en-GB"/>
        </w:rPr>
        <w:t xml:space="preserve">. Department of Clinical Research, London School of Hygiene and Tropical Medicine, London, UK  </w:t>
      </w:r>
    </w:p>
    <w:p w14:paraId="6364DC97" w14:textId="7E9A1787" w:rsidR="00C95A78" w:rsidRPr="00813425" w:rsidRDefault="001562EF" w:rsidP="00C95A78">
      <w:pPr>
        <w:spacing w:before="100" w:beforeAutospacing="1" w:after="100" w:afterAutospacing="1" w:line="276" w:lineRule="auto"/>
        <w:rPr>
          <w:rFonts w:ascii="Times New Roman" w:eastAsia="Times New Roman" w:hAnsi="Times New Roman" w:cs="Times New Roman"/>
          <w:bCs/>
          <w:color w:val="000000"/>
          <w:lang w:val="en-US" w:eastAsia="en-GB"/>
        </w:rPr>
      </w:pPr>
      <w:r>
        <w:rPr>
          <w:rFonts w:ascii="Times New Roman" w:eastAsia="Times New Roman" w:hAnsi="Times New Roman" w:cs="Times New Roman"/>
          <w:bCs/>
          <w:color w:val="000000"/>
          <w:lang w:val="en-US" w:eastAsia="en-GB"/>
        </w:rPr>
        <w:t>8</w:t>
      </w:r>
      <w:r w:rsidR="00C95A78" w:rsidRPr="00813425">
        <w:rPr>
          <w:rFonts w:ascii="Times New Roman" w:eastAsia="Times New Roman" w:hAnsi="Times New Roman" w:cs="Times New Roman"/>
          <w:bCs/>
          <w:color w:val="000000"/>
          <w:lang w:val="en-US" w:eastAsia="en-GB"/>
        </w:rPr>
        <w:t xml:space="preserve">. Child and Adolescent Health Unit, University of Zimbabwe Faculty of Medicine and Health Sciences, Harare, Zimbabwe </w:t>
      </w:r>
    </w:p>
    <w:p w14:paraId="6364DC98" w14:textId="38299D54" w:rsidR="00C95A78" w:rsidRPr="00813425" w:rsidRDefault="001562EF" w:rsidP="00C95A78">
      <w:pPr>
        <w:spacing w:before="100" w:beforeAutospacing="1" w:after="100" w:afterAutospacing="1" w:line="276" w:lineRule="auto"/>
        <w:rPr>
          <w:rFonts w:ascii="Times New Roman" w:eastAsia="Times New Roman" w:hAnsi="Times New Roman" w:cs="Times New Roman"/>
          <w:bCs/>
          <w:color w:val="000000"/>
          <w:lang w:val="en-US" w:eastAsia="en-GB"/>
        </w:rPr>
      </w:pPr>
      <w:r>
        <w:rPr>
          <w:rFonts w:ascii="Times New Roman" w:eastAsia="Times New Roman" w:hAnsi="Times New Roman" w:cs="Times New Roman"/>
          <w:bCs/>
          <w:color w:val="000000"/>
          <w:lang w:val="en-US" w:eastAsia="en-GB"/>
        </w:rPr>
        <w:t>9</w:t>
      </w:r>
      <w:r w:rsidR="00C95A78" w:rsidRPr="00813425">
        <w:rPr>
          <w:rFonts w:ascii="Times New Roman" w:eastAsia="Times New Roman" w:hAnsi="Times New Roman" w:cs="Times New Roman"/>
          <w:bCs/>
          <w:color w:val="000000"/>
          <w:lang w:val="en-US" w:eastAsia="en-GB"/>
        </w:rPr>
        <w:t>. South African Medical Research Council/Wits Developmental Pathways for Health Research Unit (DPHRU), Department of Paediatrics, Faculty of Health Sciences, University of the Witwatersrand, Johannesburg, South Africa</w:t>
      </w:r>
    </w:p>
    <w:p w14:paraId="6364DC99" w14:textId="29E19B26" w:rsidR="00C95A78" w:rsidRPr="00813425" w:rsidRDefault="001562EF" w:rsidP="00C95A78">
      <w:pPr>
        <w:spacing w:before="100" w:beforeAutospacing="1" w:after="100" w:afterAutospacing="1" w:line="276" w:lineRule="auto"/>
        <w:rPr>
          <w:rFonts w:ascii="Times New Roman" w:eastAsia="Times New Roman" w:hAnsi="Times New Roman" w:cs="Times New Roman"/>
          <w:bCs/>
          <w:color w:val="000000"/>
          <w:lang w:val="en-US" w:eastAsia="en-GB"/>
        </w:rPr>
      </w:pPr>
      <w:r>
        <w:rPr>
          <w:rFonts w:ascii="Times New Roman" w:eastAsia="Times New Roman" w:hAnsi="Times New Roman" w:cs="Times New Roman"/>
          <w:bCs/>
          <w:color w:val="000000"/>
          <w:lang w:val="en-US" w:eastAsia="en-GB"/>
        </w:rPr>
        <w:t>10</w:t>
      </w:r>
      <w:r w:rsidR="00C95A78" w:rsidRPr="00813425">
        <w:rPr>
          <w:rFonts w:ascii="Times New Roman" w:eastAsia="Times New Roman" w:hAnsi="Times New Roman" w:cs="Times New Roman"/>
          <w:bCs/>
          <w:color w:val="000000"/>
          <w:lang w:val="en-US" w:eastAsia="en-GB"/>
        </w:rPr>
        <w:t xml:space="preserve">. MRC Lifecourse Epidemiology Centre, University of Southampton, Southampton, UK </w:t>
      </w:r>
    </w:p>
    <w:p w14:paraId="6364DC9A" w14:textId="2433ABFA" w:rsidR="00C95A78" w:rsidRPr="00813425" w:rsidRDefault="0019460D" w:rsidP="00C95A78">
      <w:pPr>
        <w:spacing w:before="100" w:beforeAutospacing="1" w:after="100" w:afterAutospacing="1" w:line="276" w:lineRule="auto"/>
        <w:rPr>
          <w:rFonts w:ascii="Times New Roman" w:eastAsia="Times New Roman" w:hAnsi="Times New Roman" w:cs="Times New Roman"/>
          <w:bCs/>
          <w:color w:val="000000"/>
          <w:lang w:val="en-US" w:eastAsia="en-GB"/>
        </w:rPr>
      </w:pPr>
      <w:r w:rsidRPr="00813425">
        <w:rPr>
          <w:rFonts w:ascii="Times New Roman" w:eastAsia="Times New Roman" w:hAnsi="Times New Roman" w:cs="Times New Roman"/>
          <w:bCs/>
          <w:color w:val="000000"/>
          <w:lang w:val="en-US" w:eastAsia="en-GB"/>
        </w:rPr>
        <w:t>1</w:t>
      </w:r>
      <w:r w:rsidR="001562EF">
        <w:rPr>
          <w:rFonts w:ascii="Times New Roman" w:eastAsia="Times New Roman" w:hAnsi="Times New Roman" w:cs="Times New Roman"/>
          <w:bCs/>
          <w:color w:val="000000"/>
          <w:lang w:val="en-US" w:eastAsia="en-GB"/>
        </w:rPr>
        <w:t>1</w:t>
      </w:r>
      <w:r w:rsidR="00C95A78" w:rsidRPr="00813425">
        <w:rPr>
          <w:rFonts w:ascii="Times New Roman" w:eastAsia="Times New Roman" w:hAnsi="Times New Roman" w:cs="Times New Roman"/>
          <w:bCs/>
          <w:color w:val="000000"/>
          <w:lang w:val="en-US" w:eastAsia="en-GB"/>
        </w:rPr>
        <w:t>. MRC The Gambia Unit at LSHTM, London, UK/The Gambia</w:t>
      </w:r>
    </w:p>
    <w:p w14:paraId="6364DC9B" w14:textId="77777777" w:rsidR="00C95A78" w:rsidRPr="00813425" w:rsidRDefault="00C95A78" w:rsidP="00C95A78">
      <w:pPr>
        <w:spacing w:before="100" w:beforeAutospacing="1" w:after="100" w:afterAutospacing="1" w:line="276" w:lineRule="auto"/>
        <w:rPr>
          <w:rFonts w:ascii="Times New Roman" w:eastAsia="Times New Roman" w:hAnsi="Times New Roman" w:cs="Times New Roman"/>
          <w:bCs/>
          <w:color w:val="000000"/>
          <w:lang w:val="en-US" w:eastAsia="en-GB"/>
        </w:rPr>
      </w:pPr>
      <w:r w:rsidRPr="00813425">
        <w:rPr>
          <w:rFonts w:ascii="Times New Roman" w:eastAsia="Times New Roman" w:hAnsi="Times New Roman" w:cs="Times New Roman"/>
          <w:b/>
          <w:bCs/>
          <w:color w:val="000000"/>
          <w:lang w:val="en-US" w:eastAsia="en-GB"/>
        </w:rPr>
        <w:t>Running title:</w:t>
      </w:r>
      <w:r w:rsidRPr="00813425">
        <w:rPr>
          <w:rFonts w:ascii="Times New Roman" w:eastAsia="Times New Roman" w:hAnsi="Times New Roman" w:cs="Times New Roman"/>
          <w:bCs/>
          <w:color w:val="000000"/>
          <w:lang w:val="en-US" w:eastAsia="en-GB"/>
        </w:rPr>
        <w:t xml:space="preserve"> pQCT assessed bone </w:t>
      </w:r>
      <w:r w:rsidR="00E830A5" w:rsidRPr="00813425">
        <w:rPr>
          <w:rFonts w:ascii="Times New Roman" w:eastAsia="Times New Roman" w:hAnsi="Times New Roman" w:cs="Times New Roman"/>
          <w:bCs/>
          <w:color w:val="000000"/>
          <w:lang w:val="en-US" w:eastAsia="en-GB"/>
        </w:rPr>
        <w:t xml:space="preserve">accrual </w:t>
      </w:r>
      <w:r w:rsidRPr="00813425">
        <w:rPr>
          <w:rFonts w:ascii="Times New Roman" w:eastAsia="Times New Roman" w:hAnsi="Times New Roman" w:cs="Times New Roman"/>
          <w:bCs/>
          <w:color w:val="000000"/>
          <w:lang w:val="en-US" w:eastAsia="en-GB"/>
        </w:rPr>
        <w:t>in children with HIV</w:t>
      </w:r>
    </w:p>
    <w:p w14:paraId="6364DC9C" w14:textId="3FD7E5E8" w:rsidR="00C95A78" w:rsidRPr="00813425" w:rsidRDefault="00C95A78" w:rsidP="00C95A78">
      <w:pPr>
        <w:spacing w:after="0" w:line="276" w:lineRule="auto"/>
        <w:rPr>
          <w:rFonts w:ascii="Times New Roman" w:eastAsia="Times New Roman" w:hAnsi="Times New Roman" w:cs="Times New Roman"/>
          <w:bCs/>
          <w:color w:val="000000"/>
          <w:lang w:val="en-US" w:eastAsia="en-GB"/>
        </w:rPr>
      </w:pPr>
      <w:r w:rsidRPr="00813425">
        <w:rPr>
          <w:rFonts w:ascii="Times New Roman" w:eastAsia="Times New Roman" w:hAnsi="Times New Roman" w:cs="Times New Roman"/>
          <w:b/>
          <w:bCs/>
          <w:color w:val="000000"/>
          <w:lang w:val="en-US" w:eastAsia="en-GB"/>
        </w:rPr>
        <w:t xml:space="preserve">Corresponding Author: </w:t>
      </w:r>
      <w:r w:rsidR="00832526" w:rsidRPr="00813425">
        <w:rPr>
          <w:rFonts w:ascii="Times New Roman" w:eastAsia="Times New Roman" w:hAnsi="Times New Roman" w:cs="Times New Roman"/>
          <w:bCs/>
          <w:color w:val="000000"/>
          <w:lang w:val="en-US" w:eastAsia="en-GB"/>
        </w:rPr>
        <w:t xml:space="preserve">Cynthia </w:t>
      </w:r>
      <w:r w:rsidRPr="00813425">
        <w:rPr>
          <w:rFonts w:ascii="Times New Roman" w:eastAsia="Times New Roman" w:hAnsi="Times New Roman" w:cs="Times New Roman"/>
          <w:bCs/>
          <w:color w:val="000000"/>
          <w:lang w:val="en-US" w:eastAsia="en-GB"/>
        </w:rPr>
        <w:t xml:space="preserve">Kahari, </w:t>
      </w:r>
      <w:r w:rsidR="002C1313" w:rsidRPr="00813425">
        <w:rPr>
          <w:rFonts w:ascii="Times New Roman" w:eastAsia="Times New Roman" w:hAnsi="Times New Roman" w:cs="Times New Roman"/>
          <w:bCs/>
          <w:color w:val="000000"/>
          <w:lang w:val="en-US" w:eastAsia="en-GB"/>
        </w:rPr>
        <w:t>PhD</w:t>
      </w:r>
    </w:p>
    <w:p w14:paraId="6364DC9D" w14:textId="77777777" w:rsidR="00C95A78" w:rsidRPr="00813425" w:rsidRDefault="00C95A78" w:rsidP="00C95A78">
      <w:pPr>
        <w:tabs>
          <w:tab w:val="left" w:pos="3953"/>
        </w:tabs>
        <w:spacing w:after="0" w:line="276" w:lineRule="auto"/>
        <w:rPr>
          <w:rFonts w:ascii="Times New Roman" w:eastAsia="Times New Roman" w:hAnsi="Times New Roman" w:cs="Times New Roman"/>
          <w:lang w:val="en-GB" w:eastAsia="en-GB"/>
        </w:rPr>
      </w:pPr>
      <w:r w:rsidRPr="00813425">
        <w:rPr>
          <w:rFonts w:ascii="Times New Roman" w:eastAsia="Times New Roman" w:hAnsi="Times New Roman" w:cs="Times New Roman"/>
          <w:b/>
          <w:lang w:val="en-GB" w:eastAsia="en-GB"/>
        </w:rPr>
        <w:t>Address:</w:t>
      </w:r>
      <w:r w:rsidRPr="00813425">
        <w:rPr>
          <w:rFonts w:ascii="Times New Roman" w:eastAsia="Times New Roman" w:hAnsi="Times New Roman" w:cs="Times New Roman"/>
          <w:lang w:val="en-GB" w:eastAsia="en-GB"/>
        </w:rPr>
        <w:t xml:space="preserve"> The Health Research Unit Zimbabwe (THRU-Zim), Biomedical Research and Training Institute, 10 Seagrave Road, Avondale, Harare, Zimbabwe. </w:t>
      </w:r>
    </w:p>
    <w:p w14:paraId="6364DC9E" w14:textId="670421D1" w:rsidR="00C95A78" w:rsidRPr="00813425" w:rsidRDefault="00C95A78" w:rsidP="00C95A78">
      <w:pPr>
        <w:tabs>
          <w:tab w:val="left" w:pos="3953"/>
        </w:tabs>
        <w:spacing w:after="0" w:line="276" w:lineRule="auto"/>
        <w:rPr>
          <w:rFonts w:ascii="Times New Roman" w:eastAsia="Times New Roman" w:hAnsi="Times New Roman" w:cs="Times New Roman"/>
          <w:b/>
          <w:bCs/>
          <w:color w:val="000000"/>
          <w:lang w:val="en-US" w:eastAsia="en-GB"/>
        </w:rPr>
      </w:pPr>
      <w:r w:rsidRPr="00813425">
        <w:rPr>
          <w:rFonts w:ascii="Times New Roman" w:eastAsia="Times New Roman" w:hAnsi="Times New Roman" w:cs="Times New Roman"/>
          <w:b/>
          <w:bCs/>
          <w:color w:val="000000"/>
          <w:lang w:val="en-US" w:eastAsia="en-GB"/>
        </w:rPr>
        <w:t>Email:</w:t>
      </w:r>
      <w:r w:rsidR="001562EF">
        <w:rPr>
          <w:rFonts w:ascii="Times New Roman" w:eastAsia="Times New Roman" w:hAnsi="Times New Roman" w:cs="Times New Roman"/>
          <w:b/>
          <w:bCs/>
          <w:color w:val="000000"/>
          <w:lang w:val="en-US" w:eastAsia="en-GB"/>
        </w:rPr>
        <w:t xml:space="preserve"> </w:t>
      </w:r>
      <w:r w:rsidR="002C1313" w:rsidRPr="00813425">
        <w:rPr>
          <w:rFonts w:ascii="Times New Roman" w:eastAsia="Times New Roman" w:hAnsi="Times New Roman" w:cs="Times New Roman"/>
          <w:bCs/>
          <w:color w:val="0563C1" w:themeColor="hyperlink"/>
          <w:lang w:val="en-US" w:eastAsia="en-GB"/>
        </w:rPr>
        <w:t>c.mukwasi@gmail.com</w:t>
      </w:r>
      <w:r w:rsidRPr="00813425">
        <w:rPr>
          <w:rFonts w:ascii="Times New Roman" w:eastAsia="Times New Roman" w:hAnsi="Times New Roman" w:cs="Times New Roman"/>
          <w:b/>
          <w:bCs/>
          <w:color w:val="0563C1" w:themeColor="hyperlink"/>
          <w:lang w:val="en-US" w:eastAsia="en-GB"/>
        </w:rPr>
        <w:tab/>
      </w:r>
    </w:p>
    <w:p w14:paraId="6364DC9F" w14:textId="77777777" w:rsidR="00C95A78" w:rsidRPr="00813425" w:rsidRDefault="00C95A78" w:rsidP="0082668C">
      <w:pPr>
        <w:rPr>
          <w:rFonts w:ascii="Times New Roman" w:hAnsi="Times New Roman" w:cs="Times New Roman"/>
          <w:b/>
          <w:sz w:val="24"/>
          <w:szCs w:val="24"/>
          <w:lang w:val="en-GB" w:eastAsia="en-GB"/>
        </w:rPr>
      </w:pPr>
      <w:r w:rsidRPr="00813425">
        <w:rPr>
          <w:rFonts w:ascii="Times New Roman" w:hAnsi="Times New Roman" w:cs="Times New Roman"/>
          <w:szCs w:val="26"/>
          <w:lang w:val="en-GB" w:eastAsia="en-GB"/>
        </w:rPr>
        <w:br w:type="page"/>
      </w:r>
      <w:bookmarkStart w:id="3" w:name="_Toc139513435"/>
      <w:r w:rsidRPr="00813425">
        <w:rPr>
          <w:rFonts w:ascii="Times New Roman" w:hAnsi="Times New Roman" w:cs="Times New Roman"/>
          <w:b/>
          <w:sz w:val="24"/>
          <w:szCs w:val="24"/>
          <w:lang w:val="en-GB" w:eastAsia="en-GB"/>
        </w:rPr>
        <w:lastRenderedPageBreak/>
        <w:t>Abstract</w:t>
      </w:r>
      <w:bookmarkEnd w:id="3"/>
      <w:r w:rsidRPr="00813425">
        <w:rPr>
          <w:rFonts w:ascii="Times New Roman" w:hAnsi="Times New Roman" w:cs="Times New Roman"/>
          <w:b/>
          <w:sz w:val="24"/>
          <w:szCs w:val="24"/>
          <w:lang w:val="en-GB" w:eastAsia="en-GB"/>
        </w:rPr>
        <w:t xml:space="preserve"> </w:t>
      </w:r>
    </w:p>
    <w:p w14:paraId="6364DCA1" w14:textId="3E415D97" w:rsidR="00C95A78" w:rsidRPr="00813425" w:rsidRDefault="002E0370" w:rsidP="002E0370">
      <w:pPr>
        <w:spacing w:after="0" w:line="480" w:lineRule="auto"/>
        <w:rPr>
          <w:rFonts w:ascii="Times New Roman" w:eastAsia="Times New Roman" w:hAnsi="Times New Roman" w:cs="Times New Roman"/>
          <w:color w:val="000000"/>
          <w:lang w:val="en-US" w:eastAsia="en-GB"/>
        </w:rPr>
      </w:pPr>
      <w:bookmarkStart w:id="4" w:name="_Hlk177412086"/>
      <w:r w:rsidRPr="00813425">
        <w:rPr>
          <w:rFonts w:ascii="Times New Roman" w:eastAsia="Times New Roman" w:hAnsi="Times New Roman" w:cs="Times New Roman"/>
          <w:bCs/>
          <w:color w:val="000000"/>
          <w:lang w:eastAsia="en-GB"/>
        </w:rPr>
        <w:t xml:space="preserve">Understanding bone accrual in adolescents may inform approaches to improve skeletal health and reduce adult fracture risk. We investigated the effect of HIV on bone mineral accrual assessed by peripheral Quantitative Computed tomography (pQCT). </w:t>
      </w:r>
      <w:r w:rsidRPr="00813425">
        <w:rPr>
          <w:rFonts w:ascii="Times New Roman" w:eastAsia="Times New Roman" w:hAnsi="Times New Roman" w:cs="Times New Roman"/>
          <w:bCs/>
          <w:color w:val="000000"/>
          <w:lang w:val="en-US" w:eastAsia="en-GB"/>
        </w:rPr>
        <w:t xml:space="preserve">Children with HIV (CWH) on ART for ≥2 years, and children without HIV (CWOH), aged 8-16 years (n=609), had tibial pQCT scans at 0 and 12 months. Linear regression estimated sex stratified </w:t>
      </w:r>
      <w:r w:rsidR="0092328D" w:rsidRPr="00813425">
        <w:rPr>
          <w:rFonts w:ascii="Times New Roman" w:eastAsia="Times New Roman" w:hAnsi="Times New Roman" w:cs="Times New Roman"/>
          <w:bCs/>
          <w:color w:val="000000"/>
          <w:lang w:val="en-US" w:eastAsia="en-GB"/>
        </w:rPr>
        <w:t xml:space="preserve">differences in change </w:t>
      </w:r>
      <w:r w:rsidRPr="00813425">
        <w:rPr>
          <w:rFonts w:ascii="Times New Roman" w:eastAsia="Times New Roman" w:hAnsi="Times New Roman" w:cs="Times New Roman"/>
          <w:bCs/>
          <w:color w:val="000000"/>
          <w:lang w:val="en-US" w:eastAsia="en-GB"/>
        </w:rPr>
        <w:t xml:space="preserve">(∆) </w:t>
      </w:r>
      <w:r w:rsidR="0092328D" w:rsidRPr="00813425">
        <w:rPr>
          <w:rFonts w:ascii="Times New Roman" w:eastAsia="Times New Roman" w:hAnsi="Times New Roman" w:cs="Times New Roman"/>
          <w:bCs/>
          <w:color w:val="000000"/>
          <w:lang w:val="en-US" w:eastAsia="en-GB"/>
        </w:rPr>
        <w:t xml:space="preserve">and mean </w:t>
      </w:r>
      <w:r w:rsidRPr="00813425">
        <w:rPr>
          <w:rFonts w:ascii="Times New Roman" w:eastAsia="Times New Roman" w:hAnsi="Times New Roman" w:cs="Times New Roman"/>
          <w:bCs/>
          <w:color w:val="000000"/>
          <w:lang w:val="en-US" w:eastAsia="en-GB"/>
        </w:rPr>
        <w:t xml:space="preserve">pQCT bone density (trabecular and cortical), size (total cross-sectional area [CSA]) and strength (SSI) between CWH and CWOH, adjusting for socio-economic status (SES) and orphanhood and incorporating an interaction term for baseline pubertal status (Tanner 1-2[pre/early] vs 3-5[mid/late]). Structural equation modelling tested whether baseline height-for-age-Z-scores (HAZ) mediate the effect of HIV on ∆bone outcomes. </w:t>
      </w:r>
      <w:r w:rsidRPr="00813425">
        <w:rPr>
          <w:rFonts w:ascii="Times New Roman" w:eastAsia="Times New Roman" w:hAnsi="Times New Roman" w:cs="Times New Roman"/>
          <w:color w:val="000000"/>
          <w:lang w:val="en-US" w:eastAsia="en-GB"/>
        </w:rPr>
        <w:t>CWH were more likely than CWOH to be orphans (44% vs 7%), of lower SES (43% vs 27%) and be stunted (30% vs 8%); but similar in age. At baseline and follow up, CWH had lower trabecular density, CSA and SSI than CWOH. After adjustment, bone density and strength increased similarly in CWH and CWOH. CWH in mid/late puberty at baseline had greater 12 months increases in CSA than CWOH, particularly males (mean difference [31.3(95%</w:t>
      </w:r>
      <w:proofErr w:type="gramStart"/>
      <w:r w:rsidRPr="00813425">
        <w:rPr>
          <w:rFonts w:ascii="Times New Roman" w:eastAsia="Times New Roman" w:hAnsi="Times New Roman" w:cs="Times New Roman"/>
          <w:color w:val="000000"/>
          <w:lang w:val="en-US" w:eastAsia="en-GB"/>
        </w:rPr>
        <w:t>CI:-</w:t>
      </w:r>
      <w:proofErr w:type="gramEnd"/>
      <w:r w:rsidRPr="00813425">
        <w:rPr>
          <w:rFonts w:ascii="Times New Roman" w:eastAsia="Times New Roman" w:hAnsi="Times New Roman" w:cs="Times New Roman"/>
          <w:color w:val="000000"/>
          <w:lang w:val="en-US" w:eastAsia="en-GB"/>
        </w:rPr>
        <w:t>3.1, 65.6) mm</w:t>
      </w:r>
      <w:r w:rsidRPr="00813425">
        <w:rPr>
          <w:rFonts w:ascii="Times New Roman" w:eastAsia="Times New Roman" w:hAnsi="Times New Roman" w:cs="Times New Roman"/>
          <w:color w:val="000000"/>
          <w:vertAlign w:val="superscript"/>
          <w:lang w:val="en-US" w:eastAsia="en-GB"/>
        </w:rPr>
        <w:t>2</w:t>
      </w:r>
      <w:r w:rsidRPr="00813425">
        <w:rPr>
          <w:rFonts w:ascii="Times New Roman" w:eastAsia="Times New Roman" w:hAnsi="Times New Roman" w:cs="Times New Roman"/>
          <w:color w:val="000000"/>
          <w:lang w:val="en-US" w:eastAsia="en-GB"/>
        </w:rPr>
        <w:t xml:space="preserve"> in mid/late puberty vs. -2.04(-23.8, 19.7) mm</w:t>
      </w:r>
      <w:r w:rsidRPr="00813425">
        <w:rPr>
          <w:rFonts w:ascii="Times New Roman" w:eastAsia="Times New Roman" w:hAnsi="Times New Roman" w:cs="Times New Roman"/>
          <w:color w:val="000000"/>
          <w:vertAlign w:val="superscript"/>
          <w:lang w:val="en-US" w:eastAsia="en-GB"/>
        </w:rPr>
        <w:t>2</w:t>
      </w:r>
      <w:r w:rsidRPr="00813425">
        <w:rPr>
          <w:rFonts w:ascii="Times New Roman" w:eastAsia="Times New Roman" w:hAnsi="Times New Roman" w:cs="Times New Roman"/>
          <w:color w:val="000000"/>
          <w:lang w:val="en-US" w:eastAsia="en-GB"/>
        </w:rPr>
        <w:t xml:space="preserve"> in pre/early puberty; interaction p-value=0.013]. HAZ mediated the effect of HIV on ∆bone outcomes only in females as follows: indirect pathways from HIV to ∆trabecular density [-1.85(-3.5, -0.2) mg/cm</w:t>
      </w:r>
      <w:r w:rsidRPr="00813425">
        <w:rPr>
          <w:rFonts w:ascii="Times New Roman" w:eastAsia="Times New Roman" w:hAnsi="Times New Roman" w:cs="Times New Roman"/>
          <w:color w:val="000000"/>
          <w:vertAlign w:val="superscript"/>
          <w:lang w:val="en-US" w:eastAsia="en-GB"/>
        </w:rPr>
        <w:t>3</w:t>
      </w:r>
      <w:r w:rsidRPr="00813425">
        <w:rPr>
          <w:rFonts w:ascii="Times New Roman" w:eastAsia="Times New Roman" w:hAnsi="Times New Roman" w:cs="Times New Roman"/>
          <w:color w:val="000000"/>
          <w:lang w:val="en-US" w:eastAsia="en-GB"/>
        </w:rPr>
        <w:t>], ∆cortical density [-2.01(-3.9, -0.01) mg/cm</w:t>
      </w:r>
      <w:r w:rsidRPr="00813425">
        <w:rPr>
          <w:rFonts w:ascii="Times New Roman" w:eastAsia="Times New Roman" w:hAnsi="Times New Roman" w:cs="Times New Roman"/>
          <w:color w:val="000000"/>
          <w:vertAlign w:val="superscript"/>
          <w:lang w:val="en-US" w:eastAsia="en-GB"/>
        </w:rPr>
        <w:t>3</w:t>
      </w:r>
      <w:r w:rsidRPr="00813425">
        <w:rPr>
          <w:rFonts w:ascii="Times New Roman" w:eastAsia="Times New Roman" w:hAnsi="Times New Roman" w:cs="Times New Roman"/>
          <w:color w:val="000000"/>
          <w:lang w:val="en-US" w:eastAsia="en-GB"/>
        </w:rPr>
        <w:t>], ∆CSA [-2.59(-4.7, -0.5) mm] and ∆SSI [-18.36(-29.6, -7.2)</w:t>
      </w:r>
      <w:r w:rsidR="00C37E72" w:rsidRPr="00813425">
        <w:rPr>
          <w:rFonts w:ascii="Times New Roman" w:eastAsia="Times New Roman" w:hAnsi="Times New Roman" w:cs="Times New Roman"/>
          <w:color w:val="000000"/>
          <w:lang w:val="en-US" w:eastAsia="en-GB"/>
        </w:rPr>
        <w:t xml:space="preserve"> </w:t>
      </w:r>
      <w:r w:rsidRPr="00813425">
        <w:rPr>
          <w:rFonts w:ascii="Times New Roman" w:eastAsia="Times New Roman" w:hAnsi="Times New Roman" w:cs="Times New Roman"/>
          <w:color w:val="000000"/>
          <w:lang w:val="en-US" w:eastAsia="en-GB"/>
        </w:rPr>
        <w:t>mm</w:t>
      </w:r>
      <w:r w:rsidRPr="00813425">
        <w:rPr>
          <w:rFonts w:ascii="Times New Roman" w:eastAsia="Times New Roman" w:hAnsi="Times New Roman" w:cs="Times New Roman"/>
          <w:color w:val="000000"/>
          <w:vertAlign w:val="superscript"/>
          <w:lang w:val="en-US" w:eastAsia="en-GB"/>
        </w:rPr>
        <w:t>3</w:t>
      </w:r>
      <w:r w:rsidRPr="00813425">
        <w:rPr>
          <w:rFonts w:ascii="Times New Roman" w:eastAsia="Times New Roman" w:hAnsi="Times New Roman" w:cs="Times New Roman"/>
          <w:color w:val="000000"/>
          <w:lang w:val="en-US" w:eastAsia="en-GB"/>
        </w:rPr>
        <w:t xml:space="preserve">]. In conclusion, CWH show bone deficits at follow up. Investigations of </w:t>
      </w:r>
      <w:r w:rsidR="00475664">
        <w:rPr>
          <w:rFonts w:ascii="Times New Roman" w:eastAsia="Times New Roman" w:hAnsi="Times New Roman" w:cs="Times New Roman"/>
          <w:color w:val="000000"/>
          <w:lang w:val="en-US" w:eastAsia="en-GB"/>
        </w:rPr>
        <w:t>bone mineral accrual</w:t>
      </w:r>
      <w:r w:rsidRPr="00813425">
        <w:rPr>
          <w:rFonts w:ascii="Times New Roman" w:eastAsia="Times New Roman" w:hAnsi="Times New Roman" w:cs="Times New Roman"/>
          <w:color w:val="000000"/>
          <w:lang w:val="en-US" w:eastAsia="en-GB"/>
        </w:rPr>
        <w:t xml:space="preserve"> earlier in life and post-puberty to peak bone mass are needed.</w:t>
      </w:r>
    </w:p>
    <w:bookmarkEnd w:id="4"/>
    <w:p w14:paraId="1613A353" w14:textId="77777777" w:rsidR="002E0370" w:rsidRPr="00813425" w:rsidRDefault="002E0370" w:rsidP="00C95A78">
      <w:pPr>
        <w:spacing w:after="0" w:line="360" w:lineRule="auto"/>
        <w:rPr>
          <w:rFonts w:eastAsia="Times New Roman" w:cstheme="minorHAnsi"/>
          <w:color w:val="000000"/>
          <w:lang w:val="en-GB" w:eastAsia="en-GB"/>
        </w:rPr>
      </w:pPr>
    </w:p>
    <w:p w14:paraId="6364DCA2" w14:textId="77777777" w:rsidR="00C95A78" w:rsidRPr="00813425" w:rsidRDefault="00C95A78" w:rsidP="00C95A78">
      <w:pPr>
        <w:spacing w:after="0" w:line="480" w:lineRule="auto"/>
        <w:rPr>
          <w:rFonts w:ascii="Times New Roman" w:eastAsia="Times New Roman" w:hAnsi="Times New Roman" w:cs="Times New Roman"/>
          <w:color w:val="000000"/>
          <w:lang w:val="en-US" w:eastAsia="en-GB"/>
        </w:rPr>
      </w:pPr>
      <w:r w:rsidRPr="00813425">
        <w:rPr>
          <w:rFonts w:ascii="Times New Roman" w:eastAsia="Times New Roman" w:hAnsi="Times New Roman" w:cs="Times New Roman"/>
          <w:b/>
          <w:color w:val="000000"/>
          <w:lang w:val="en-US" w:eastAsia="en-GB"/>
        </w:rPr>
        <w:t>Keywords:</w:t>
      </w:r>
      <w:r w:rsidRPr="00813425">
        <w:rPr>
          <w:rFonts w:ascii="Times New Roman" w:eastAsia="Times New Roman" w:hAnsi="Times New Roman" w:cs="Times New Roman"/>
          <w:color w:val="000000"/>
          <w:lang w:val="en-US" w:eastAsia="en-GB"/>
        </w:rPr>
        <w:t xml:space="preserve"> </w:t>
      </w:r>
      <w:r w:rsidRPr="00813425">
        <w:rPr>
          <w:rFonts w:ascii="Times New Roman" w:eastAsia="Times New Roman" w:hAnsi="Times New Roman" w:cs="Times New Roman"/>
          <w:lang w:val="en-GB" w:eastAsia="en-GB"/>
        </w:rPr>
        <w:t xml:space="preserve">ANALYSIS/QUANTIFICATION OF BONE, DISEASES AND DISORDERS OF/RELATED TO BONE, </w:t>
      </w:r>
      <w:r w:rsidRPr="00813425">
        <w:rPr>
          <w:rFonts w:ascii="Times New Roman" w:eastAsia="Times New Roman" w:hAnsi="Times New Roman" w:cs="Times New Roman"/>
          <w:color w:val="212121"/>
          <w:shd w:val="clear" w:color="auto" w:fill="FFFFFF"/>
          <w:lang w:val="en-GB" w:eastAsia="en-GB"/>
        </w:rPr>
        <w:t>EPIDEMIOLOGY</w:t>
      </w:r>
    </w:p>
    <w:p w14:paraId="6364DCA3" w14:textId="77777777" w:rsidR="00C95A78" w:rsidRPr="00813425" w:rsidRDefault="00C95A78" w:rsidP="00C95A78">
      <w:pPr>
        <w:spacing w:line="480" w:lineRule="auto"/>
        <w:rPr>
          <w:rFonts w:cstheme="minorHAnsi"/>
          <w:b/>
          <w:bCs/>
          <w:color w:val="000000"/>
          <w:lang w:val="en-US"/>
        </w:rPr>
      </w:pPr>
    </w:p>
    <w:p w14:paraId="6364DCA4" w14:textId="77777777" w:rsidR="00C95A78" w:rsidRPr="00813425" w:rsidRDefault="00C95A78" w:rsidP="00C95A78">
      <w:pPr>
        <w:spacing w:line="480" w:lineRule="auto"/>
        <w:rPr>
          <w:rFonts w:cstheme="minorHAnsi"/>
          <w:b/>
          <w:bCs/>
          <w:color w:val="000000"/>
          <w:lang w:val="en-US"/>
        </w:rPr>
      </w:pPr>
      <w:r w:rsidRPr="00813425">
        <w:rPr>
          <w:rFonts w:cstheme="minorHAnsi"/>
          <w:b/>
          <w:bCs/>
          <w:color w:val="000000"/>
          <w:lang w:val="en-US"/>
        </w:rPr>
        <w:br w:type="page"/>
      </w:r>
    </w:p>
    <w:p w14:paraId="6364DCA5" w14:textId="77777777" w:rsidR="00C95A78" w:rsidRPr="00813425" w:rsidRDefault="00C95A78" w:rsidP="009E3E5C">
      <w:pPr>
        <w:rPr>
          <w:rFonts w:ascii="Times New Roman" w:eastAsia="Times New Roman" w:hAnsi="Times New Roman" w:cs="Times New Roman"/>
          <w:b/>
          <w:sz w:val="24"/>
          <w:szCs w:val="24"/>
          <w:lang w:val="en-GB" w:eastAsia="en-GB"/>
        </w:rPr>
      </w:pPr>
      <w:bookmarkStart w:id="5" w:name="_Toc139513436"/>
      <w:r w:rsidRPr="00813425">
        <w:rPr>
          <w:rFonts w:ascii="Times New Roman" w:hAnsi="Times New Roman" w:cs="Times New Roman"/>
          <w:b/>
          <w:sz w:val="24"/>
          <w:szCs w:val="24"/>
          <w:lang w:val="en-GB" w:eastAsia="en-GB"/>
        </w:rPr>
        <w:lastRenderedPageBreak/>
        <w:t>Introduction</w:t>
      </w:r>
      <w:bookmarkEnd w:id="5"/>
      <w:r w:rsidRPr="00813425">
        <w:rPr>
          <w:rFonts w:ascii="Times New Roman" w:hAnsi="Times New Roman" w:cs="Times New Roman"/>
          <w:b/>
          <w:sz w:val="24"/>
          <w:szCs w:val="24"/>
          <w:lang w:val="en-GB" w:eastAsia="en-GB"/>
        </w:rPr>
        <w:tab/>
      </w:r>
    </w:p>
    <w:p w14:paraId="6364DCA6" w14:textId="77777777" w:rsidR="00C95A78" w:rsidRPr="00813425" w:rsidRDefault="00C95A78" w:rsidP="00C95A78">
      <w:pPr>
        <w:spacing w:before="100" w:beforeAutospacing="1" w:after="100" w:afterAutospacing="1" w:line="480" w:lineRule="auto"/>
        <w:rPr>
          <w:rFonts w:ascii="Times New Roman" w:eastAsia="Times New Roman" w:hAnsi="Times New Roman" w:cs="Times New Roman"/>
          <w:bCs/>
          <w:color w:val="000000"/>
          <w:sz w:val="24"/>
          <w:szCs w:val="24"/>
          <w:lang w:eastAsia="en-GB"/>
        </w:rPr>
      </w:pPr>
      <w:r w:rsidRPr="00813425">
        <w:rPr>
          <w:rFonts w:ascii="Times New Roman" w:eastAsia="Times New Roman" w:hAnsi="Times New Roman" w:cs="Times New Roman"/>
          <w:bCs/>
          <w:color w:val="000000"/>
          <w:sz w:val="24"/>
          <w:szCs w:val="24"/>
          <w:lang w:eastAsia="en-GB"/>
        </w:rPr>
        <w:t xml:space="preserve">People living with HIV are at increased risk of fragility fractures, particularly hip fracture </w:t>
      </w:r>
      <w:r w:rsidRPr="00813425">
        <w:rPr>
          <w:rFonts w:ascii="Times New Roman" w:eastAsia="Times New Roman" w:hAnsi="Times New Roman" w:cs="Times New Roman"/>
          <w:bCs/>
          <w:color w:val="000000"/>
          <w:sz w:val="24"/>
          <w:szCs w:val="24"/>
          <w:lang w:eastAsia="en-GB"/>
        </w:rPr>
        <w:fldChar w:fldCharType="begin" w:fldLock="1"/>
      </w:r>
      <w:r w:rsidRPr="00813425">
        <w:rPr>
          <w:rFonts w:ascii="Times New Roman" w:eastAsia="Times New Roman" w:hAnsi="Times New Roman" w:cs="Times New Roman"/>
          <w:bCs/>
          <w:color w:val="000000"/>
          <w:sz w:val="24"/>
          <w:szCs w:val="24"/>
          <w:lang w:eastAsia="en-GB"/>
        </w:rPr>
        <w:instrText>ADDIN CSL_CITATION {"citationItems":[{"id":"ITEM-1","itemData":{"DOI":"10.1097/QAI.0000000000002207","ISSN":"10779450","PMID":"31809356","abstract":"Objective:Osteoporosis is reported as a common comorbidity in patients living with HIV (PLHIV). The aim of this systematic review and meta-analysis is to assess the evidence on fracture risk in PLHIV, bone mineral density (BMD) in PLHIV compared with controls, longitudinal changes in BMD in PLHIV, and effect of antiosteoporosis treatment in PLHIV.Methods:A systematic literature search was conducted using the databases Medline at PubMed and EMBASE using the search terms: \"HIV\" and \"fracture\" or \"bone turnover,\" or \"bone mineral density.\" Eligibility criteria followed the aim of the study and include randomized controlled trials and observational studies. Two reviewers extracted the data independently. Meta-analysis was performed using random-effects model assessing fracture risk, BMD compared with controls, and changes in BMD.Results:One hundred forty-two of 2397 papers identified were included in the systematic review, and subsequently, 84 were included in the meta-analysis. The risks of a fragility fracture [1.51, 95% confidence interval (CI): 1.41 to 1.63] and hip fracture (4.05, 95% CI: 2.99 to 5.49) were increased. PLHIV have lower BMD at the hip (z-score -0.31, 95% CI: -0.46 to -0.27) and lumbar spine (z-score -0.36, 95% CI: -0.39 to -0.15) compared with controls. The reduced BMD did not fully explain the increased fracture risk in PLHIV.Conclusions:Current management of osteoporosis in PLHIV follows general osteoporosis guidelines; however, the increased fracture risk is not fully explained by lower BMD, and thus, antiosteoporosis intervention may be beneficial at a higher BMD in PLHIV.","author":[{"dropping-particle":"","family":"Starup-Linde","given":"Jakob","non-dropping-particle":"","parse-names":false,"suffix":""},{"dropping-particle":"","family":"Rosendahl","given":"Simone Bruhn","non-dropping-particle":"","parse-names":false,"suffix":""},{"dropping-particle":"","family":"Storgaard","given":"Merete","non-dropping-particle":"","parse-names":false,"suffix":""},{"dropping-particle":"","family":"Langdahl","given":"Bente","non-dropping-particle":"","parse-names":false,"suffix":""}],"container-title":"Journal of Acquired Immune Deficiency Syndromes","id":"ITEM-1","issue":"1","issued":{"date-parts":[["2020"]]},"page":"1-8","title":"Management of Osteoporosis in Patients Living with HIV - A Systematic Review and Meta-analysis","type":"article-journal","volume":"83"},"uris":["http://www.mendeley.com/documents/?uuid=bfce63f7-2efc-4ca7-ae1c-4e470c603342","http://www.mendeley.com/documents/?uuid=2cc0d59f-7ac4-4658-99c4-51b806d56d37"]}],"mendeley":{"formattedCitation":"(1)","plainTextFormattedCitation":"(1)","previouslyFormattedCitation":"(1)"},"properties":{"noteIndex":0},"schema":"https://github.com/citation-style-language/schema/raw/master/csl-citation.json"}</w:instrText>
      </w:r>
      <w:r w:rsidRPr="00813425">
        <w:rPr>
          <w:rFonts w:ascii="Times New Roman" w:eastAsia="Times New Roman" w:hAnsi="Times New Roman" w:cs="Times New Roman"/>
          <w:bCs/>
          <w:color w:val="000000"/>
          <w:sz w:val="24"/>
          <w:szCs w:val="24"/>
          <w:lang w:eastAsia="en-GB"/>
        </w:rPr>
        <w:fldChar w:fldCharType="separate"/>
      </w:r>
      <w:r w:rsidRPr="00813425">
        <w:rPr>
          <w:rFonts w:ascii="Times New Roman" w:eastAsia="Times New Roman" w:hAnsi="Times New Roman" w:cs="Times New Roman"/>
          <w:bCs/>
          <w:noProof/>
          <w:color w:val="000000"/>
          <w:sz w:val="24"/>
          <w:szCs w:val="24"/>
          <w:lang w:eastAsia="en-GB"/>
        </w:rPr>
        <w:t>(1)</w:t>
      </w:r>
      <w:r w:rsidRPr="00813425">
        <w:rPr>
          <w:rFonts w:ascii="Times New Roman" w:eastAsia="Times New Roman" w:hAnsi="Times New Roman" w:cs="Times New Roman"/>
          <w:bCs/>
          <w:color w:val="000000"/>
          <w:sz w:val="24"/>
          <w:szCs w:val="24"/>
          <w:lang w:eastAsia="en-GB"/>
        </w:rPr>
        <w:fldChar w:fldCharType="end"/>
      </w:r>
      <w:r w:rsidRPr="00813425">
        <w:rPr>
          <w:rFonts w:ascii="Times New Roman" w:eastAsia="Times New Roman" w:hAnsi="Times New Roman" w:cs="Times New Roman"/>
          <w:bCs/>
          <w:color w:val="000000"/>
          <w:sz w:val="24"/>
          <w:szCs w:val="24"/>
          <w:lang w:eastAsia="en-GB"/>
        </w:rPr>
        <w:t xml:space="preserve">. Bone mineral density (BMD), size and strength are important determinants of fracture risk </w:t>
      </w:r>
      <w:r w:rsidRPr="00813425">
        <w:rPr>
          <w:rFonts w:ascii="Times New Roman" w:eastAsia="Times New Roman" w:hAnsi="Times New Roman" w:cs="Times New Roman"/>
          <w:bCs/>
          <w:color w:val="000000"/>
          <w:sz w:val="24"/>
          <w:szCs w:val="24"/>
          <w:lang w:eastAsia="en-GB"/>
        </w:rPr>
        <w:fldChar w:fldCharType="begin" w:fldLock="1"/>
      </w:r>
      <w:r w:rsidRPr="00813425">
        <w:rPr>
          <w:rFonts w:ascii="Times New Roman" w:eastAsia="Times New Roman" w:hAnsi="Times New Roman" w:cs="Times New Roman"/>
          <w:bCs/>
          <w:color w:val="000000"/>
          <w:sz w:val="24"/>
          <w:szCs w:val="24"/>
          <w:lang w:eastAsia="en-GB"/>
        </w:rPr>
        <w:instrText>ADDIN CSL_CITATION {"citationItems":[{"id":"ITEM-1","itemData":{"DOI":"10.1016/j.ejrad.2008.04.061","author":[{"dropping-particle":"","family":"Kanis","given":"John A","non-dropping-particle":"","parse-names":false,"suffix":""},{"dropping-particle":"","family":"Johansson","given":"Helena","non-dropping-particle":"","parse-names":false,"suffix":""},{"dropping-particle":"","family":"Oden","given":"Anders","non-dropping-particle":"","parse-names":false,"suffix":""},{"dropping-particle":"V","family":"Mccloskey","given":"Eugene","non-dropping-particle":"","parse-names":false,"suffix":""}],"container-title":"European Journal of Radiology","id":"ITEM-1","issued":{"date-parts":[["2009"]]},"page":"392-397","title":"Assessment of fracture risk","type":"article-journal","volume":"71"},"uris":["http://www.mendeley.com/documents/?uuid=192e13b4-df27-4132-be68-4415b9183637"]}],"mendeley":{"formattedCitation":"(2)","plainTextFormattedCitation":"(2)","previouslyFormattedCitation":"(2)"},"properties":{"noteIndex":0},"schema":"https://github.com/citation-style-language/schema/raw/master/csl-citation.json"}</w:instrText>
      </w:r>
      <w:r w:rsidRPr="00813425">
        <w:rPr>
          <w:rFonts w:ascii="Times New Roman" w:eastAsia="Times New Roman" w:hAnsi="Times New Roman" w:cs="Times New Roman"/>
          <w:bCs/>
          <w:color w:val="000000"/>
          <w:sz w:val="24"/>
          <w:szCs w:val="24"/>
          <w:lang w:eastAsia="en-GB"/>
        </w:rPr>
        <w:fldChar w:fldCharType="separate"/>
      </w:r>
      <w:r w:rsidRPr="00813425">
        <w:rPr>
          <w:rFonts w:ascii="Times New Roman" w:eastAsia="Times New Roman" w:hAnsi="Times New Roman" w:cs="Times New Roman"/>
          <w:bCs/>
          <w:noProof/>
          <w:color w:val="000000"/>
          <w:sz w:val="24"/>
          <w:szCs w:val="24"/>
          <w:lang w:eastAsia="en-GB"/>
        </w:rPr>
        <w:t>(2)</w:t>
      </w:r>
      <w:r w:rsidRPr="00813425">
        <w:rPr>
          <w:rFonts w:ascii="Times New Roman" w:eastAsia="Times New Roman" w:hAnsi="Times New Roman" w:cs="Times New Roman"/>
          <w:bCs/>
          <w:color w:val="000000"/>
          <w:sz w:val="24"/>
          <w:szCs w:val="24"/>
          <w:lang w:eastAsia="en-GB"/>
        </w:rPr>
        <w:fldChar w:fldCharType="end"/>
      </w:r>
      <w:r w:rsidRPr="00813425">
        <w:rPr>
          <w:rFonts w:ascii="Times New Roman" w:eastAsia="Times New Roman" w:hAnsi="Times New Roman" w:cs="Times New Roman"/>
          <w:bCs/>
          <w:color w:val="000000"/>
          <w:sz w:val="24"/>
          <w:szCs w:val="24"/>
          <w:lang w:eastAsia="en-GB"/>
        </w:rPr>
        <w:t xml:space="preserve">. Bone health in later life reflects both bone accrual in childhood and adolescence and bone loss in adult years. Understanding factors that influence bone accrual may inform approaches to improve skeletal health, for example through maximising acquisition of peak bone mass (PBM) to reduce future adult fracture risk. Most studies investigating BMD by dual energy x-ray absorptiometry (DXA) have reported lower BMD in children living with HIV (CWH) than in children without HIV (CWOH) </w:t>
      </w:r>
      <w:r w:rsidRPr="00813425">
        <w:rPr>
          <w:rFonts w:ascii="Times New Roman" w:eastAsia="Times New Roman" w:hAnsi="Times New Roman" w:cs="Times New Roman"/>
          <w:bCs/>
          <w:color w:val="000000"/>
          <w:sz w:val="24"/>
          <w:szCs w:val="24"/>
          <w:lang w:eastAsia="en-GB"/>
        </w:rPr>
        <w:fldChar w:fldCharType="begin" w:fldLock="1"/>
      </w:r>
      <w:r w:rsidR="0002034D" w:rsidRPr="00813425">
        <w:rPr>
          <w:rFonts w:ascii="Times New Roman" w:eastAsia="Times New Roman" w:hAnsi="Times New Roman" w:cs="Times New Roman"/>
          <w:bCs/>
          <w:color w:val="000000"/>
          <w:sz w:val="24"/>
          <w:szCs w:val="24"/>
          <w:lang w:eastAsia="en-GB"/>
        </w:rPr>
        <w:instrText>ADDIN CSL_CITATION {"citationItems":[{"id":"ITEM-1","itemData":{"DOI":"10.1016/j.bone.2019.05.012","ISSN":"87563282","PMID":"31082498","abstract":"Background: Perinatally-acquired HIV infection commonly causes stunting in children; how this affects bone and muscle development is unclear. We investigated differences in bone and muscle mass and muscle function between children with HIV (CWH) and uninfected children. Setting: Cross-sectional study of CWH (6–16 years) receiving antiretroviral therapy (ART) for &gt;6 months and similar aged children testing HIV-negative at primary health clinics in Zimbabwe. Methods: From Dual-energy X-ray Absorptiometry (DXA) we calculated total-body less-head (TBLH) Bone Mineral Content (BMC) for lean mass adjusted-for-height (TBLH-BMCLBM) Z-scores, and lumbar spine (LS) Bone Mineral Apparent Density (BMAD) Z-scores. Results: The 97 CWH were older (mean age 12.7 vs. 10.0 years) and taller (mean height 142 cm vs. 134 cm) than 77 uninfected. However, stunting (height-for-age Z-score ≤ −2) was more prevalent in CWH (35% vs. 5%, p &lt; 0.001). Among CWH, 15% had low LS-BMAD (Z-score ≤ −2) and 13% low TBLH-BMCLBM, vs. 1% and 3% respectively in those uninfected (both p ≤ 0.02). After age, sex, height and puberty adjustment, LS-BMAD was 0.33 SDs (95%CI -0.01, 0.67; p = 0.06) lower in CWH, with no differences by HIV status in TBLH-BMCLBM, lean mass (0.11 [−0.03, 0.24], p = 0.11) or grip strength (0.05 [−0.16, 0.27], p = 0.62). However, age at ART initiation was correlated with both LS-BMAD Z-score (r = −0.33, p = 0.001) and TBLH-BMCLBM Z-score (r = −0.23, p = 0.027); for each year ART initiation was delayed a 0.13 SD reduction in LS-BMAD was seen. Conclusion: Size-adjusted low bone density is common in CWH. Delay in initiating ART adversely affects bone density. Findings support immediate ART initiation at HIV diagnosis.","author":[{"dropping-particle":"","family":"Gregson","given":"Celia L.","non-dropping-particle":"","parse-names":false,"suffix":""},{"dropping-particle":"","family":"Hartley","given":"April","non-dropping-particle":"","parse-names":false,"suffix":""},{"dropping-particle":"","family":"Majonga","given":"Edith","non-dropping-particle":"","parse-names":false,"suffix":""},{"dropping-particle":"","family":"McHugh","given":"Grace","non-dropping-particle":"","parse-names":false,"suffix":""},{"dropping-particle":"","family":"Crabtree","given":"Nicola","non-dropping-particle":"","parse-names":false,"suffix":""},{"dropping-particle":"","family":"Rukuni","given":"Ruramayi","non-dropping-particle":"","parse-names":false,"suffix":""},{"dropping-particle":"","family":"Bandason","given":"Tsitsi","non-dropping-particle":"","parse-names":false,"suffix":""},{"dropping-particle":"","family":"Mukwasi-Kahari","given":"Cynthia","non-dropping-particle":"","parse-names":false,"suffix":""},{"dropping-particle":"","family":"Ward","given":"Kate A.","non-dropping-particle":"","parse-names":false,"suffix":""},{"dropping-particle":"","family":"Mujuru","given":"Hilda","non-dropping-particle":"","parse-names":false,"suffix":""},{"dropping-particle":"","family":"Ferrand","given":"Rashida A.","non-dropping-particle":"","parse-names":false,"suffix":""}],"container-title":"Bone","id":"ITEM-1","issue":"May","issued":{"date-parts":[["2019"]]},"page":"96-102","publisher":"Elsevier","title":"Older age at initiation of antiretroviral therapy predicts low bone mineral density in children with perinatally-infected HIV in Zimbabwe","type":"article-journal","volume":"125"},"uris":["http://www.mendeley.com/documents/?uuid=f28ac05b-8648-4439-a8b8-cfc51ad3ebf6"]},{"id":"ITEM-2","itemData":{"DOI":"10.1007/s11657-018-0452-6","ISBN":"1165701804","ISSN":"18623514","PMID":"29623447","abstract":"Summary: In this study, we evaluated the relationships between immune activation, bone turnover, and bone mass in virally suppressed HIV-infected children and HIV-uninfected children in South Africa. We found that decreased bone mass may occur or persist independent of immune activation and altered bone turnover. Purpose: HIV-infected children and adolescents have deficits in skeletal growth which include decreases in bone mass and alterations in bone microarchitecture. However, the mechanism by which HIV infection compromises bone accrual in children and adolescents is unclear. The goal of this study was to evaluate the relationships between immune activation, bone turnover, and bone mass in a group of pre-pubertal HIV-infected children randomized to remain on ritonavir-boosted lopinavir (LPV/r)-based antiretroviral therapy (ART) or switch to efavirenz-based ART in South Africa virally suppressed at the time of this study. Methods: This cross-sectional analysis included 219 HIV-infected and 180 HIV-uninfected children enrolled in the CHANGES Bone Study conducted in Johannesburg, South Africa. Whole body (WB) bone mineral content (BMC) was assessed by dual x-ray absorptiometry and WB BMC Z-scores adjusted for sex, age, and height were generated. Bone turnover markers, including C-telopeptide of type 1 collagen (CTx) and procollagen type I N-terminal propeptide (P1NP), were analyzed. Markers of immune activation were also measured, including cytokines IL-6 and TNF-alpha, as well as soluble CD14 and high-sensitivity C-reactive protein (CRP). Results: Compared to uninfected controls, HIV-infected children had lower WB BMC Z-scores, similar IL-6 and TNF-alpha, higher soluble CD14 and high-sensitivity CRP, and lower markers of bone resorption (CTX) and bone formation (P1NP). Bone turnover markers were not different in those remaining on LPV/r or switched to efavirenz. Conclusions: Our findings suggest that in HIV-infected children with viral suppression, decreased bone accrual may occur or persist independent of immune activation and altered bone turnover.","author":[{"dropping-particle":"","family":"Shiau","given":"Stephanie","non-dropping-particle":"","parse-names":false,"suffix":""},{"dropping-particle":"","family":"Yin","given":"Michael T.","non-dropping-particle":"","parse-names":false,"suffix":""},{"dropping-particle":"","family":"Strehlau","given":"Renate","non-dropping-particle":"","parse-names":false,"suffix":""},{"dropping-particle":"","family":"Patel","given":"Faeezah","non-dropping-particle":"","parse-names":false,"suffix":""},{"dropping-particle":"","family":"Mbete","given":"Ndileka","non-dropping-particle":"","parse-names":false,"suffix":""},{"dropping-particle":"","family":"Kuhn","given":"Louise","non-dropping-particle":"","parse-names":false,"suffix":""},{"dropping-particle":"","family":"Coovadia","given":"Ashraf","non-dropping-particle":"","parse-names":false,"suffix":""},{"dropping-particle":"","family":"Arpadi","given":"Stephen M.","non-dropping-particle":"","parse-names":false,"suffix":""}],"container-title":"Archives of Osteoporosis","id":"ITEM-2","issue":"1","issued":{"date-parts":[["2018"]]},"publisher":"Archives of Osteoporosis","title":"Decreased bone turnover in HIV-infected children on antiretroviral therapy","type":"article-journal","volume":"13"},"uris":["http://www.mendeley.com/documents/?uuid=8fdb7563-50d5-4bfe-ac1e-d123b14b1fce"]},{"id":"ITEM-3","itemData":{"DOI":"10.1097/QAD.0000000000001204","ISBN":"0000000000","ISSN":"1473-5571","PMID":"27427876","abstract":"BACKGROUND We investigate if switching from a ritonavir-boosted lopinavir (LPV/r)-based to an efavirenz-based antiretroviral therapy (ART) regimen is associated with beneficial bone development. METHODS The CHANGES Bone Study follows HIV-infected children who participated in a non-inferiority randomized trial in Johannesburg, South Africa evaluating the safety and efficacy of pre-emptive switching to efavirenz (N[REPLACEMENT CHARACTER]=[REPLACEMENT CHARACTER]106) compared to remaining on LPV/r (N[REPLACEMENT CHARACTER]=[REPLACEMENT CHARACTER]113). HIV-uninfected children were also recruited. Whole body (WB) and lumbar spine bone mineral content (BMC) were assessed by dual-energy X-ray absorptiometry (DXA) at a cross-sectional visit. BMC Z-scores adjusted for sex, age, and height were generated. Physical activity (PA) and dietary intake were assessed. CD4 percentage and viral load were measured. We compared bone indices of HIV-infected to HIV-uninfected children and LPV/r to efavirenz by intent-to-treat. RESULTS The 219 HIV-infected (52% male) and 219 HIV-uninfected (55% male) children were 6.4 and 7.0 years of age, respectively. Mean ART duration for HIV-infected children was 5.7 years. WB BMC Z-score was 0.17 lower for HIV-infected children compared to HIV-uninfected children after adjustment for PA, dietary vitamin D and calcium (p = 0.03). WB BMC Z-score was 0.55 higher for HIV-infected children switched to efavirenz compared to those remaining on LPV/r after adjustment for PA, dietary vitamin D and calcium, CD4 percentage and viral load (p &lt; 0.0001). CONCLUSION South African HIV-infected children receiving ART have lower bone mass compared to HIV-uninfected controls. Accrued bone mass is positively associated with switching to efavirenz-based ART compared to remaining on LPV/r, providing additional rationale for limiting LPV/r exposure once viral suppression has been achieved.","author":[{"dropping-particle":"","family":"Arpadi","given":"Stephen M.","non-dropping-particle":"","parse-names":false,"suffix":""},{"dropping-particle":"","family":"Shiau","given":"Stephanie","non-dropping-particle":"","parse-names":false,"suffix":""},{"dropping-particle":"","family":"Strehlau","given":"Renate","non-dropping-particle":"","parse-names":false,"suffix":""},{"dropping-particle":"","family":"Patel","given":"Faeezah","non-dropping-particle":"","parse-names":false,"suffix":""},{"dropping-particle":"","family":"Mbete","given":"Ndileka","non-dropping-particle":"","parse-names":false,"suffix":""},{"dropping-particle":"","family":"McMahon","given":"Donald J.","non-dropping-particle":"","parse-names":false,"suffix":""},{"dropping-particle":"","family":"Kaufman","given":"Jonathan J.","non-dropping-particle":"","parse-names":false,"suffix":""},{"dropping-particle":"","family":"Coovadia","given":"Ashraf","non-dropping-particle":"","parse-names":false,"suffix":""},{"dropping-particle":"","family":"Kuhn","given":"Louise","non-dropping-particle":"","parse-names":false,"suffix":""},{"dropping-particle":"","family":"Yin","given":"Michael T.","non-dropping-particle":"","parse-names":false,"suffix":""}],"container-title":"AIDS (London, England)","id":"ITEM-3","issued":{"date-parts":[["2016"]]},"page":"2459 - 2467","title":"Efavirenz is associated with higher bone mass in South African children with HIV.","type":"article-journal","volume":"30"},"uris":["http://www.mendeley.com/documents/?uuid=eafa2d9c-7808-4cb3-abf6-f1f02dbada4b"]}],"mendeley":{"formattedCitation":"(3–5)","plainTextFormattedCitation":"(3–5)","previouslyFormattedCitation":"(3–5)"},"properties":{"noteIndex":0},"schema":"https://github.com/citation-style-language/schema/raw/master/csl-citation.json"}</w:instrText>
      </w:r>
      <w:r w:rsidRPr="00813425">
        <w:rPr>
          <w:rFonts w:ascii="Times New Roman" w:eastAsia="Times New Roman" w:hAnsi="Times New Roman" w:cs="Times New Roman"/>
          <w:bCs/>
          <w:color w:val="000000"/>
          <w:sz w:val="24"/>
          <w:szCs w:val="24"/>
          <w:lang w:eastAsia="en-GB"/>
        </w:rPr>
        <w:fldChar w:fldCharType="separate"/>
      </w:r>
      <w:r w:rsidRPr="00813425">
        <w:rPr>
          <w:rFonts w:ascii="Times New Roman" w:eastAsia="Times New Roman" w:hAnsi="Times New Roman" w:cs="Times New Roman"/>
          <w:bCs/>
          <w:noProof/>
          <w:color w:val="000000"/>
          <w:sz w:val="24"/>
          <w:szCs w:val="24"/>
          <w:lang w:eastAsia="en-GB"/>
        </w:rPr>
        <w:t>(3–5)</w:t>
      </w:r>
      <w:r w:rsidRPr="00813425">
        <w:rPr>
          <w:rFonts w:ascii="Times New Roman" w:eastAsia="Times New Roman" w:hAnsi="Times New Roman" w:cs="Times New Roman"/>
          <w:bCs/>
          <w:color w:val="000000"/>
          <w:sz w:val="24"/>
          <w:szCs w:val="24"/>
          <w:lang w:eastAsia="en-GB"/>
        </w:rPr>
        <w:fldChar w:fldCharType="end"/>
      </w:r>
      <w:r w:rsidRPr="00813425">
        <w:rPr>
          <w:rFonts w:ascii="Times New Roman" w:eastAsia="Times New Roman" w:hAnsi="Times New Roman" w:cs="Times New Roman"/>
          <w:bCs/>
          <w:color w:val="000000"/>
          <w:sz w:val="24"/>
          <w:szCs w:val="24"/>
          <w:lang w:eastAsia="en-GB"/>
        </w:rPr>
        <w:t xml:space="preserve">. In a cross-sectional analysis, we previously demonstrated lower bone size and predicted bone strength in CWH compared to CWOH; deficits were larger in the later stages of puberty, suggesting lasting effects into early adulthood </w:t>
      </w:r>
      <w:r w:rsidRPr="00813425">
        <w:rPr>
          <w:rFonts w:ascii="Times New Roman" w:eastAsia="Times New Roman" w:hAnsi="Times New Roman" w:cs="Times New Roman"/>
          <w:bCs/>
          <w:color w:val="000000"/>
          <w:sz w:val="24"/>
          <w:szCs w:val="24"/>
          <w:lang w:eastAsia="en-GB"/>
        </w:rPr>
        <w:fldChar w:fldCharType="begin" w:fldLock="1"/>
      </w:r>
      <w:r w:rsidR="00D47FD7" w:rsidRPr="00813425">
        <w:rPr>
          <w:rFonts w:ascii="Times New Roman" w:eastAsia="Times New Roman" w:hAnsi="Times New Roman" w:cs="Times New Roman"/>
          <w:bCs/>
          <w:color w:val="000000"/>
          <w:sz w:val="24"/>
          <w:szCs w:val="24"/>
          <w:lang w:eastAsia="en-GB"/>
        </w:rPr>
        <w:instrText>ADDIN CSL_CITATION {"citationItems":[{"id":"ITEM-1","itemData":{"DOI":"10.1002/jbmr.4752","ISSN":"15234681","PMID":"36426511","abstract":"HIV infection has multi-system adverse effects in children, including on the growing skeleton. We aimed to determine the association between chronic HIV infection and bone architecture (density, size, strength) in peripubertal children. We conducted a cross-sectional study of children aged 8 to 16 years with HIV (CWH) on antiretroviral therapy (ART) and children without HIV (CWOH) recruited from schools and frequency-matched for age strata and sex. Outcomes, measured by tibial peripheral quantitative computed tomography (pQCT), included 4% trabecular and 38% cortical volumetric bone mineral density (vBMD), 4% and 38% cross-sectional area (CSA), and 38% stress–strain index (SSI). Multivariable linear regression tested associations between HIV status and outcomes, stratified by sex and puberty (Tanner 1–2 versus 3–5), adjusting for age, height, fat mass, physical activity, and socioeconomic and orphanhood statuses. We recruited 303 CWH and 306 CWOH; 50% were female. Although CWH were similar in age to CWOH (overall mean ± SD 12.4 ± 2.5 years), more were prepubertal (ie, Tanner 1; 41% versus 23%). Median age at ART initiation was 4 (IQR 2–7) years, whereas median ART duration was 8 (IQR 6–10) years. CWH were more often stunted (height-for-age Z-score &lt;−2) than those without HIV (33% versus 7%). Both male and female CWH in later puberty had lower trabecular vBMD, CSA (4% and 38%), and SSI than those without HIV, whereas cortical density was similar. Adjustment explained some of these differences; however, deficits in bone size persisted in CWH in later puberty (HIV*puberty interaction p = 0.035 [males; 4% CSA] and p = 0.029 [females; 38% CSA]). Similarly, puberty further worsened the inverse association between HIV and bone strength (SSI) in both males (interaction p = 0.008) and females (interaction p = 0.004). Despite long-term ART, we identified deficits in predicted bone strength in those living with HIV, which were more overt in the later stages of puberty. This is concerning, as this may translate to higher fracture risk later in life. © 2022 The Authors. Journal of Bone and Mineral Research published by Wiley Periodicals LLC on behalf of American Society for Bone and Mineral Research (ASBMR).","author":[{"dropping-particle":"","family":"Mukwasi-Kahari","given":"Cynthia","non-dropping-particle":"","parse-names":false,"suffix":""},{"dropping-particle":"","family":"Rehman","given":"Andrea M.","non-dropping-particle":"","parse-names":false,"suffix":""},{"dropping-particle":"","family":"Ó Breasail","given":"Mícheál","non-dropping-particle":"","parse-names":false,"suffix":""},{"dropping-particle":"","family":"Rukuni","given":"Ruramayi","non-dropping-particle":"","parse-names":false,"suffix":""},{"dropping-particle":"","family":"Madanhire","given":"Tafadzwa","non-dropping-particle":"","parse-names":false,"suffix":""},{"dropping-particle":"","family":"Chipanga","given":"Joseph","non-dropping-particle":"","parse-names":false,"suffix":""},{"dropping-particle":"","family":"Stranix-Chibanda","given":"Lynda","non-dropping-particle":"","parse-names":false,"suffix":""},{"dropping-particle":"","family":"Micklesfield","given":"Lisa K.","non-dropping-particle":"","parse-names":false,"suffix":""},{"dropping-particle":"","family":"Ferrand","given":"Rashida A.","non-dropping-particle":"","parse-names":false,"suffix":""},{"dropping-particle":"","family":"Ward","given":"Kate A.","non-dropping-particle":"","parse-names":false,"suffix":""},{"dropping-particle":"","family":"Gregson","given":"Celia L.","non-dropping-particle":"","parse-names":false,"suffix":""}],"container-title":"Journal of Bone and Mineral Research","id":"ITEM-1","issue":"2","issued":{"date-parts":[["2023"]]},"page":"248-260","title":"Impaired Bone Architecture in Peripubertal Children With HIV, Despite Treatment With Antiretroviral Therapy: A Cross-Sectional Study From Zimbabwe","type":"article-journal","volume":"38"},"uris":["http://www.mendeley.com/documents/?uuid=871db17b-7621-4d1f-bb47-06d766126aa2"]}],"mendeley":{"formattedCitation":"(6)","plainTextFormattedCitation":"(6)","previouslyFormattedCitation":"(6)"},"properties":{"noteIndex":0},"schema":"https://github.com/citation-style-language/schema/raw/master/csl-citation.json"}</w:instrText>
      </w:r>
      <w:r w:rsidRPr="00813425">
        <w:rPr>
          <w:rFonts w:ascii="Times New Roman" w:eastAsia="Times New Roman" w:hAnsi="Times New Roman" w:cs="Times New Roman"/>
          <w:bCs/>
          <w:color w:val="000000"/>
          <w:sz w:val="24"/>
          <w:szCs w:val="24"/>
          <w:lang w:eastAsia="en-GB"/>
        </w:rPr>
        <w:fldChar w:fldCharType="separate"/>
      </w:r>
      <w:r w:rsidRPr="00813425">
        <w:rPr>
          <w:rFonts w:ascii="Times New Roman" w:eastAsia="Times New Roman" w:hAnsi="Times New Roman" w:cs="Times New Roman"/>
          <w:bCs/>
          <w:noProof/>
          <w:color w:val="000000"/>
          <w:sz w:val="24"/>
          <w:szCs w:val="24"/>
          <w:lang w:eastAsia="en-GB"/>
        </w:rPr>
        <w:t>(6)</w:t>
      </w:r>
      <w:r w:rsidRPr="00813425">
        <w:rPr>
          <w:rFonts w:ascii="Times New Roman" w:eastAsia="Times New Roman" w:hAnsi="Times New Roman" w:cs="Times New Roman"/>
          <w:bCs/>
          <w:color w:val="000000"/>
          <w:sz w:val="24"/>
          <w:szCs w:val="24"/>
          <w:lang w:eastAsia="en-GB"/>
        </w:rPr>
        <w:fldChar w:fldCharType="end"/>
      </w:r>
      <w:r w:rsidRPr="00813425">
        <w:rPr>
          <w:rFonts w:ascii="Times New Roman" w:eastAsia="Times New Roman" w:hAnsi="Times New Roman" w:cs="Times New Roman"/>
          <w:bCs/>
          <w:color w:val="000000"/>
          <w:sz w:val="24"/>
          <w:szCs w:val="24"/>
          <w:lang w:eastAsia="en-GB"/>
        </w:rPr>
        <w:t xml:space="preserve">. Underlying aetiological mechanisms remain unclear, and furthermore, it is uncertain whether CWH ‘catch-up’ with their uninfected counterparts as the skeleton matures. </w:t>
      </w:r>
      <w:r w:rsidRPr="00813425">
        <w:rPr>
          <w:rFonts w:ascii="Times New Roman" w:eastAsia="Times New Roman" w:hAnsi="Times New Roman" w:cs="Times New Roman"/>
          <w:bCs/>
          <w:color w:val="000000"/>
          <w:sz w:val="24"/>
          <w:szCs w:val="24"/>
          <w:lang w:eastAsia="en-GB"/>
        </w:rPr>
        <w:fldChar w:fldCharType="begin" w:fldLock="1"/>
      </w:r>
      <w:r w:rsidRPr="00813425">
        <w:rPr>
          <w:rFonts w:ascii="Times New Roman" w:eastAsia="Times New Roman" w:hAnsi="Times New Roman" w:cs="Times New Roman"/>
          <w:bCs/>
          <w:color w:val="000000"/>
          <w:sz w:val="24"/>
          <w:szCs w:val="24"/>
          <w:lang w:eastAsia="en-GB"/>
        </w:rPr>
        <w:instrText>ADDIN CSL_CITATION {"citationItems":[{"id":"ITEM-1","itemData":{"DOI":"10.1016/S2352-4642(21)00133-4","ISSN":"23524642","PMID":"34139202","abstract":"Background: Faltered linear growth and pubertal delay, which are both common in children with HIV in sub-Saharan Africa, might affect adolescent bone accrual and future fragility fracture risk. We investigated the association of HIV with bone density adjusted for skeletal size in peripubertal children in Zimbabwe. Methods: We did a cross-sectional study of baseline data from the IMVASK cohort, which enrolled children aged 8–16 years with HIV who had been taking antiretroviral therapy (ART) for at least 2 years, and children of the same age without HIV. Children with HIV were recruited from public sector HIV clinics at Parirenyatwa General Hospital and Harare Central Hospital (Harare, Zimbabwe), and children without HIV were recruited from six schools in the same suburbs that the hospitals serve. Sociodemographic, clinical, and anthropometric data were collected. Dual-energy X-ray absorptiometry (DXA) was used to measure the bone outcomes of total-body less-head bone mineral content for lean mass adjusted for height (TBLH-BMCLBM), and lumbar spine bone mineral apparent density (LS-BMAD), and we assessed the prevalence of low TBLH-BMCLBM and low LS-BMAD (defined by Z-scores of less than −2·0). Size adjustment techniques were used to overcome the size dependence of DXA measurement. We used linear regression models, with multiple imputation for missing data, to assess relationships between risk factors and TBLH-BMCLBM and LS-BMAD Z-scores in children with and without HIV. Findings: We recruited 303 children with HIV (mean age 12·4 years [SD 2·5]; 151 [50%] girls) and 306 children without HIV (mean age 12·5 years [SD 2·5]; 155 [51%] girls). In children with HIV, median age of HIV diagnosis was 3·0 years (IQR 1·2–5·8), and median ART duration was 8·1 years (6·2–9·5); for 102 (34%) children, ART included tenofovir disoproxil fumarate (TDF). Children with HIV had a higher prevalence of low TBLH-BMCLBM Z-score than children without HIV (29 [10%] of 279 children with available data vs 18 [6%] of 292 with available data; p=0·066) and a higher prevalence of low LS-BMAD Z-score (40 [14%] of 279 vs 17 [6%] of 293 with available data; p=0·0007). HIV and male sex were associated with earlier pubertal (Tanner) stage. The negative associations between HIV and Z-scores for TBLH-BMCLBM and LS-BMAD were more pronounced with pubertal maturation, particularly in girls. Among children with HIV, TDF exposure and orphanhood were associated with lower TBLH-BMCLBM Z-score in confo…","author":[{"dropping-particle":"","family":"Rukuni","given":"Ruramayi","non-dropping-particle":"","parse-names":false,"suffix":""},{"dropping-particle":"","family":"Rehman","given":"Andrea M.","non-dropping-particle":"","parse-names":false,"suffix":""},{"dropping-particle":"","family":"Mukwasi-Kahari","given":"Cynthia","non-dropping-particle":"","parse-names":false,"suffix":""},{"dropping-particle":"","family":"Madanhire","given":"Tafadzwa","non-dropping-particle":"","parse-names":false,"suffix":""},{"dropping-particle":"","family":"Kowo-Nyakoko","given":"Farirayi","non-dropping-particle":"","parse-names":false,"suffix":""},{"dropping-particle":"","family":"McHugh","given":"Grace","non-dropping-particle":"","parse-names":false,"suffix":""},{"dropping-particle":"","family":"Filteau","given":"Suzanne","non-dropping-particle":"","parse-names":false,"suffix":""},{"dropping-particle":"","family":"Chipanga","given":"Joseph","non-dropping-particle":"","parse-names":false,"suffix":""},{"dropping-particle":"","family":"Simms","given":"Victoria","non-dropping-particle":"","parse-names":false,"suffix":""},{"dropping-particle":"","family":"Mujuru","given":"Hilda","non-dropping-particle":"","parse-names":false,"suffix":""},{"dropping-particle":"","family":"Ward","given":"Kate A.","non-dropping-particle":"","parse-names":false,"suffix":""},{"dropping-particle":"","family":"Ferrand","given":"Rashida A.","non-dropping-particle":"","parse-names":false,"suffix":""},{"dropping-particle":"","family":"Gregson","given":"Celia L.","non-dropping-particle":"","parse-names":false,"suffix":""}],"container-title":"The Lancet Child and Adolescent Health","id":"ITEM-1","issue":"8","issued":{"date-parts":[["2021"]]},"page":"569-581","publisher":"The Author(s). Published by Elsevier Ltd. This is an Open Access article under the CC BY 4.0 license","title":"Effect of HIV infection on growth and bone density in peripubertal children in the era of antiretroviral therapy: a cross-sectional study in Zimbabwe","type":"article-journal","volume":"5"},"uris":["http://www.mendeley.com/documents/?uuid=77b44533-3aaa-4da8-83d4-68aa7215869f"]}],"mendeley":{"formattedCitation":"(7)","plainTextFormattedCitation":"(7)","previouslyFormattedCitation":"(7)"},"properties":{"noteIndex":0},"schema":"https://github.com/citation-style-language/schema/raw/master/csl-citation.json"}</w:instrText>
      </w:r>
      <w:r w:rsidRPr="00813425">
        <w:rPr>
          <w:rFonts w:ascii="Times New Roman" w:eastAsia="Times New Roman" w:hAnsi="Times New Roman" w:cs="Times New Roman"/>
          <w:bCs/>
          <w:color w:val="000000"/>
          <w:sz w:val="24"/>
          <w:szCs w:val="24"/>
          <w:lang w:eastAsia="en-GB"/>
        </w:rPr>
        <w:fldChar w:fldCharType="separate"/>
      </w:r>
      <w:r w:rsidRPr="00813425">
        <w:rPr>
          <w:rFonts w:ascii="Times New Roman" w:eastAsia="Times New Roman" w:hAnsi="Times New Roman" w:cs="Times New Roman"/>
          <w:bCs/>
          <w:noProof/>
          <w:color w:val="000000"/>
          <w:sz w:val="24"/>
          <w:szCs w:val="24"/>
          <w:lang w:eastAsia="en-GB"/>
        </w:rPr>
        <w:t>(7)</w:t>
      </w:r>
      <w:r w:rsidRPr="00813425">
        <w:rPr>
          <w:rFonts w:ascii="Times New Roman" w:eastAsia="Times New Roman" w:hAnsi="Times New Roman" w:cs="Times New Roman"/>
          <w:bCs/>
          <w:color w:val="000000"/>
          <w:sz w:val="24"/>
          <w:szCs w:val="24"/>
          <w:lang w:eastAsia="en-GB"/>
        </w:rPr>
        <w:fldChar w:fldCharType="end"/>
      </w:r>
      <w:r w:rsidRPr="00813425">
        <w:rPr>
          <w:rFonts w:ascii="Times New Roman" w:eastAsia="Times New Roman" w:hAnsi="Times New Roman" w:cs="Times New Roman"/>
          <w:bCs/>
          <w:color w:val="000000"/>
          <w:sz w:val="24"/>
          <w:szCs w:val="24"/>
          <w:lang w:eastAsia="en-GB"/>
        </w:rPr>
        <w:t xml:space="preserve">. Treatment of HIV is associated with poor bone outcomes. In addition, traditional factors that contribute to poor growth and bone accrual such as low dietary calcium, low physical activity and social deprivation, are common in CWH </w:t>
      </w:r>
      <w:r w:rsidRPr="00813425">
        <w:rPr>
          <w:rFonts w:ascii="Times New Roman" w:eastAsia="Times New Roman" w:hAnsi="Times New Roman" w:cs="Times New Roman"/>
          <w:bCs/>
          <w:color w:val="000000"/>
          <w:sz w:val="24"/>
          <w:szCs w:val="24"/>
          <w:lang w:eastAsia="en-GB"/>
        </w:rPr>
        <w:fldChar w:fldCharType="begin" w:fldLock="1"/>
      </w:r>
      <w:r w:rsidRPr="00813425">
        <w:rPr>
          <w:rFonts w:ascii="Times New Roman" w:eastAsia="Times New Roman" w:hAnsi="Times New Roman" w:cs="Times New Roman"/>
          <w:bCs/>
          <w:color w:val="000000"/>
          <w:sz w:val="24"/>
          <w:szCs w:val="24"/>
          <w:lang w:eastAsia="en-GB"/>
        </w:rPr>
        <w:instrText>ADDIN CSL_CITATION {"citationItems":[{"id":"ITEM-1","itemData":{"DOI":"10.1016/S2352-4642(21)00133-4","ISSN":"23524642","PMID":"34139202","abstract":"Background: Faltered linear growth and pubertal delay, which are both common in children with HIV in sub-Saharan Africa, might affect adolescent bone accrual and future fragility fracture risk. We investigated the association of HIV with bone density adjusted for skeletal size in peripubertal children in Zimbabwe. Methods: We did a cross-sectional study of baseline data from the IMVASK cohort, which enrolled children aged 8–16 years with HIV who had been taking antiretroviral therapy (ART) for at least 2 years, and children of the same age without HIV. Children with HIV were recruited from public sector HIV clinics at Parirenyatwa General Hospital and Harare Central Hospital (Harare, Zimbabwe), and children without HIV were recruited from six schools in the same suburbs that the hospitals serve. Sociodemographic, clinical, and anthropometric data were collected. Dual-energy X-ray absorptiometry (DXA) was used to measure the bone outcomes of total-body less-head bone mineral content for lean mass adjusted for height (TBLH-BMCLBM), and lumbar spine bone mineral apparent density (LS-BMAD), and we assessed the prevalence of low TBLH-BMCLBM and low LS-BMAD (defined by Z-scores of less than −2·0). Size adjustment techniques were used to overcome the size dependence of DXA measurement. We used linear regression models, with multiple imputation for missing data, to assess relationships between risk factors and TBLH-BMCLBM and LS-BMAD Z-scores in children with and without HIV. Findings: We recruited 303 children with HIV (mean age 12·4 years [SD 2·5]; 151 [50%] girls) and 306 children without HIV (mean age 12·5 years [SD 2·5]; 155 [51%] girls). In children with HIV, median age of HIV diagnosis was 3·0 years (IQR 1·2–5·8), and median ART duration was 8·1 years (6·2–9·5); for 102 (34%) children, ART included tenofovir disoproxil fumarate (TDF). Children with HIV had a higher prevalence of low TBLH-BMCLBM Z-score than children without HIV (29 [10%] of 279 children with available data vs 18 [6%] of 292 with available data; p=0·066) and a higher prevalence of low LS-BMAD Z-score (40 [14%] of 279 vs 17 [6%] of 293 with available data; p=0·0007). HIV and male sex were associated with earlier pubertal (Tanner) stage. The negative associations between HIV and Z-scores for TBLH-BMCLBM and LS-BMAD were more pronounced with pubertal maturation, particularly in girls. Among children with HIV, TDF exposure and orphanhood were associated with lower TBLH-BMCLBM Z-score in confo…","author":[{"dropping-particle":"","family":"Rukuni","given":"Ruramayi","non-dropping-particle":"","parse-names":false,"suffix":""},{"dropping-particle":"","family":"Rehman","given":"Andrea M.","non-dropping-particle":"","parse-names":false,"suffix":""},{"dropping-particle":"","family":"Mukwasi-Kahari","given":"Cynthia","non-dropping-particle":"","parse-names":false,"suffix":""},{"dropping-particle":"","family":"Madanhire","given":"Tafadzwa","non-dropping-particle":"","parse-names":false,"suffix":""},{"dropping-particle":"","family":"Kowo-Nyakoko","given":"Farirayi","non-dropping-particle":"","parse-names":false,"suffix":""},{"dropping-particle":"","family":"McHugh","given":"Grace","non-dropping-particle":"","parse-names":false,"suffix":""},{"dropping-particle":"","family":"Filteau","given":"Suzanne","non-dropping-particle":"","parse-names":false,"suffix":""},{"dropping-particle":"","family":"Chipanga","given":"Joseph","non-dropping-particle":"","parse-names":false,"suffix":""},{"dropping-particle":"","family":"Simms","given":"Victoria","non-dropping-particle":"","parse-names":false,"suffix":""},{"dropping-particle":"","family":"Mujuru","given":"Hilda","non-dropping-particle":"","parse-names":false,"suffix":""},{"dropping-particle":"","family":"Ward","given":"Kate A.","non-dropping-particle":"","parse-names":false,"suffix":""},{"dropping-particle":"","family":"Ferrand","given":"Rashida A.","non-dropping-particle":"","parse-names":false,"suffix":""},{"dropping-particle":"","family":"Gregson","given":"Celia L.","non-dropping-particle":"","parse-names":false,"suffix":""}],"container-title":"The Lancet Child and Adolescent Health","id":"ITEM-1","issue":"8","issued":{"date-parts":[["2021"]]},"page":"569-581","publisher":"The Author(s). Published by Elsevier Ltd. This is an Open Access article under the CC BY 4.0 license","title":"Effect of HIV infection on growth and bone density in peripubertal children in the era of antiretroviral therapy: a cross-sectional study in Zimbabwe","type":"article-journal","volume":"5"},"uris":["http://www.mendeley.com/documents/?uuid=77b44533-3aaa-4da8-83d4-68aa7215869f"]}],"mendeley":{"formattedCitation":"(7)","plainTextFormattedCitation":"(7)","previouslyFormattedCitation":"(7)"},"properties":{"noteIndex":0},"schema":"https://github.com/citation-style-language/schema/raw/master/csl-citation.json"}</w:instrText>
      </w:r>
      <w:r w:rsidRPr="00813425">
        <w:rPr>
          <w:rFonts w:ascii="Times New Roman" w:eastAsia="Times New Roman" w:hAnsi="Times New Roman" w:cs="Times New Roman"/>
          <w:bCs/>
          <w:color w:val="000000"/>
          <w:sz w:val="24"/>
          <w:szCs w:val="24"/>
          <w:lang w:eastAsia="en-GB"/>
        </w:rPr>
        <w:fldChar w:fldCharType="separate"/>
      </w:r>
      <w:r w:rsidRPr="00813425">
        <w:rPr>
          <w:rFonts w:ascii="Times New Roman" w:eastAsia="Times New Roman" w:hAnsi="Times New Roman" w:cs="Times New Roman"/>
          <w:bCs/>
          <w:noProof/>
          <w:color w:val="000000"/>
          <w:sz w:val="24"/>
          <w:szCs w:val="24"/>
          <w:lang w:eastAsia="en-GB"/>
        </w:rPr>
        <w:t>(7)</w:t>
      </w:r>
      <w:r w:rsidRPr="00813425">
        <w:rPr>
          <w:rFonts w:ascii="Times New Roman" w:eastAsia="Times New Roman" w:hAnsi="Times New Roman" w:cs="Times New Roman"/>
          <w:bCs/>
          <w:color w:val="000000"/>
          <w:sz w:val="24"/>
          <w:szCs w:val="24"/>
          <w:lang w:eastAsia="en-GB"/>
        </w:rPr>
        <w:fldChar w:fldCharType="end"/>
      </w:r>
      <w:r w:rsidRPr="00813425">
        <w:rPr>
          <w:rFonts w:ascii="Times New Roman" w:eastAsia="Times New Roman" w:hAnsi="Times New Roman" w:cs="Times New Roman"/>
          <w:bCs/>
          <w:color w:val="000000"/>
          <w:sz w:val="24"/>
          <w:szCs w:val="24"/>
          <w:lang w:eastAsia="en-GB"/>
        </w:rPr>
        <w:t xml:space="preserve">. Although data on bone development in CWH has recently begun to emerge from sub-Saharan Africa where 90% of CWH live </w:t>
      </w:r>
      <w:r w:rsidRPr="00813425">
        <w:rPr>
          <w:rFonts w:ascii="Times New Roman" w:eastAsia="Times New Roman" w:hAnsi="Times New Roman" w:cs="Times New Roman"/>
          <w:bCs/>
          <w:color w:val="000000"/>
          <w:sz w:val="24"/>
          <w:szCs w:val="24"/>
          <w:lang w:eastAsia="en-GB"/>
        </w:rPr>
        <w:fldChar w:fldCharType="begin" w:fldLock="1"/>
      </w:r>
      <w:r w:rsidRPr="00813425">
        <w:rPr>
          <w:rFonts w:ascii="Times New Roman" w:eastAsia="Times New Roman" w:hAnsi="Times New Roman" w:cs="Times New Roman"/>
          <w:bCs/>
          <w:color w:val="000000"/>
          <w:sz w:val="24"/>
          <w:szCs w:val="24"/>
          <w:lang w:eastAsia="en-GB"/>
        </w:rPr>
        <w:instrText>ADDIN CSL_CITATION {"citationItems":[{"id":"ITEM-1","itemData":{"author":[{"dropping-particle":"","family":"UNAIDS","given":"","non-dropping-particle":"","parse-names":false,"suffix":""}],"container-title":"UNAIDS","id":"ITEM-1","issued":{"date-parts":[["2019"]]},"page":"1 - 471","title":"UNAIDS DATA 2019","type":"article-journal","volume":"JC2959E"},"uris":["http://www.mendeley.com/documents/?uuid=6721f898-6824-4607-a099-8dbecfab1ace"]}],"mendeley":{"formattedCitation":"(8)","plainTextFormattedCitation":"(8)","previouslyFormattedCitation":"(8)"},"properties":{"noteIndex":0},"schema":"https://github.com/citation-style-language/schema/raw/master/csl-citation.json"}</w:instrText>
      </w:r>
      <w:r w:rsidRPr="00813425">
        <w:rPr>
          <w:rFonts w:ascii="Times New Roman" w:eastAsia="Times New Roman" w:hAnsi="Times New Roman" w:cs="Times New Roman"/>
          <w:bCs/>
          <w:color w:val="000000"/>
          <w:sz w:val="24"/>
          <w:szCs w:val="24"/>
          <w:lang w:eastAsia="en-GB"/>
        </w:rPr>
        <w:fldChar w:fldCharType="separate"/>
      </w:r>
      <w:r w:rsidRPr="00813425">
        <w:rPr>
          <w:rFonts w:ascii="Times New Roman" w:eastAsia="Times New Roman" w:hAnsi="Times New Roman" w:cs="Times New Roman"/>
          <w:bCs/>
          <w:noProof/>
          <w:color w:val="000000"/>
          <w:sz w:val="24"/>
          <w:szCs w:val="24"/>
          <w:lang w:eastAsia="en-GB"/>
        </w:rPr>
        <w:t>(8)</w:t>
      </w:r>
      <w:r w:rsidRPr="00813425">
        <w:rPr>
          <w:rFonts w:ascii="Times New Roman" w:eastAsia="Times New Roman" w:hAnsi="Times New Roman" w:cs="Times New Roman"/>
          <w:bCs/>
          <w:color w:val="000000"/>
          <w:sz w:val="24"/>
          <w:szCs w:val="24"/>
          <w:lang w:eastAsia="en-GB"/>
        </w:rPr>
        <w:fldChar w:fldCharType="end"/>
      </w:r>
      <w:r w:rsidRPr="00813425">
        <w:rPr>
          <w:rFonts w:ascii="Times New Roman" w:eastAsia="Times New Roman" w:hAnsi="Times New Roman" w:cs="Times New Roman"/>
          <w:bCs/>
          <w:color w:val="000000"/>
          <w:sz w:val="24"/>
          <w:szCs w:val="24"/>
          <w:lang w:eastAsia="en-GB"/>
        </w:rPr>
        <w:t xml:space="preserve">, available studies to date have either largely used DXA, which only measures two-dimensional areal bone density </w:t>
      </w:r>
      <w:r w:rsidRPr="00813425">
        <w:rPr>
          <w:rFonts w:ascii="Times New Roman" w:eastAsia="Times New Roman" w:hAnsi="Times New Roman" w:cs="Times New Roman"/>
          <w:bCs/>
          <w:color w:val="000000"/>
          <w:sz w:val="24"/>
          <w:szCs w:val="24"/>
          <w:lang w:eastAsia="en-GB"/>
        </w:rPr>
        <w:fldChar w:fldCharType="begin" w:fldLock="1"/>
      </w:r>
      <w:r w:rsidR="0002034D" w:rsidRPr="00813425">
        <w:rPr>
          <w:rFonts w:ascii="Times New Roman" w:eastAsia="Times New Roman" w:hAnsi="Times New Roman" w:cs="Times New Roman"/>
          <w:bCs/>
          <w:color w:val="000000"/>
          <w:sz w:val="24"/>
          <w:szCs w:val="24"/>
          <w:lang w:eastAsia="en-GB"/>
        </w:rPr>
        <w:instrText>ADDIN CSL_CITATION {"citationItems":[{"id":"ITEM-1","itemData":{"DOI":"10.1016/j.bone.2019.05.012","ISSN":"87563282","PMID":"31082498","abstract":"Background: Perinatally-acquired HIV infection commonly causes stunting in children; how this affects bone and muscle development is unclear. We investigated differences in bone and muscle mass and muscle function between children with HIV (CWH) and uninfected children. Setting: Cross-sectional study of CWH (6–16 years) receiving antiretroviral therapy (ART) for &gt;6 months and similar aged children testing HIV-negative at primary health clinics in Zimbabwe. Methods: From Dual-energy X-ray Absorptiometry (DXA) we calculated total-body less-head (TBLH) Bone Mineral Content (BMC) for lean mass adjusted-for-height (TBLH-BMCLBM) Z-scores, and lumbar spine (LS) Bone Mineral Apparent Density (BMAD) Z-scores. Results: The 97 CWH were older (mean age 12.7 vs. 10.0 years) and taller (mean height 142 cm vs. 134 cm) than 77 uninfected. However, stunting (height-for-age Z-score ≤ −2) was more prevalent in CWH (35% vs. 5%, p &lt; 0.001). Among CWH, 15% had low LS-BMAD (Z-score ≤ −2) and 13% low TBLH-BMCLBM, vs. 1% and 3% respectively in those uninfected (both p ≤ 0.02). After age, sex, height and puberty adjustment, LS-BMAD was 0.33 SDs (95%CI -0.01, 0.67; p = 0.06) lower in CWH, with no differences by HIV status in TBLH-BMCLBM, lean mass (0.11 [−0.03, 0.24], p = 0.11) or grip strength (0.05 [−0.16, 0.27], p = 0.62). However, age at ART initiation was correlated with both LS-BMAD Z-score (r = −0.33, p = 0.001) and TBLH-BMCLBM Z-score (r = −0.23, p = 0.027); for each year ART initiation was delayed a 0.13 SD reduction in LS-BMAD was seen. Conclusion: Size-adjusted low bone density is common in CWH. Delay in initiating ART adversely affects bone density. Findings support immediate ART initiation at HIV diagnosis.","author":[{"dropping-particle":"","family":"Gregson","given":"Celia L.","non-dropping-particle":"","parse-names":false,"suffix":""},{"dropping-particle":"","family":"Hartley","given":"April","non-dropping-particle":"","parse-names":false,"suffix":""},{"dropping-particle":"","family":"Majonga","given":"Edith","non-dropping-particle":"","parse-names":false,"suffix":""},{"dropping-particle":"","family":"McHugh","given":"Grace","non-dropping-particle":"","parse-names":false,"suffix":""},{"dropping-particle":"","family":"Crabtree","given":"Nicola","non-dropping-particle":"","parse-names":false,"suffix":""},{"dropping-particle":"","family":"Rukuni","given":"Ruramayi","non-dropping-particle":"","parse-names":false,"suffix":""},{"dropping-particle":"","family":"Bandason","given":"Tsitsi","non-dropping-particle":"","parse-names":false,"suffix":""},{"dropping-particle":"","family":"Mukwasi-Kahari","given":"Cynthia","non-dropping-particle":"","parse-names":false,"suffix":""},{"dropping-particle":"","family":"Ward","given":"Kate A.","non-dropping-particle":"","parse-names":false,"suffix":""},{"dropping-particle":"","family":"Mujuru","given":"Hilda","non-dropping-particle":"","parse-names":false,"suffix":""},{"dropping-particle":"","family":"Ferrand","given":"Rashida A.","non-dropping-particle":"","parse-names":false,"suffix":""}],"container-title":"Bone","id":"ITEM-1","issue":"May","issued":{"date-parts":[["2019"]]},"page":"96-102","publisher":"Elsevier","title":"Older age at initiation of antiretroviral therapy predicts low bone mineral density in children with perinatally-infected HIV in Zimbabwe","type":"article-journal","volume":"125"},"uris":["http://www.mendeley.com/documents/?uuid=f28ac05b-8648-4439-a8b8-cfc51ad3ebf6"]},{"id":"ITEM-2","itemData":{"DOI":"10.4172/2155-6113.1000374","abstract":"BACKGROUND: Children and adolescents, who either acquire HIV infection perinatally, from contaminated blood products or via sexual transmission early in life, have the greatest cumulative exposure to the negative direct and indirect effects of HIV infection and ART on bone, which may lead to increased lifetime risk for osteoporosis and fracture. We conducted a systematic review to evaluate the literature on bone health in children and adolescents with HIV.\\n\\nMETHODS: We performed a comprehensive search of the Medline, Scopus, and Cochrane Library databases (up to April 1, 2014) for studies that reported on bone imaging or bone fractures in HIV-infected children, adolescents, or young adults.\\n\\nRESULTS: A total of 32 publications met our inclusion criteria. Seventeen studies were cross-sectional and 15 were longitudinal. The majority of studies were conducted in high-income countries, three in middle-income countries and none in low-income countries. Overall, the studies we reviewed indicate that measures of bone mass are reduced, with increased prevalence of low BMD in children and adolescents with HIV. However, the studies are highly variable with respect to comparison sources, measurement methods, adjustment techniques for body size or growth retardation, and highlighted risk factors, including aspects related to medication exposures as well as the effects of HIV infection per se.\\n\\nCONCLUSION: HIV infection appears to be associated with decreased bone accrual throughout childhood and adolescence. Initial studies indicate that sub-optimal bone accrual may be persistent and result in reduced peak bone mass, an important determinant of future risk of osteoporosis and fracture. Important areas for future research include evaluation of bone mass, bone quality and fracture risk across the life course among those with early-life infection with HIV, particularly in resource-limited settings where the majority of children with HIV live.","author":[{"dropping-particle":"","family":"M Arpadi","given":"Stephen","non-dropping-particle":"","parse-names":false,"suffix":""}],"container-title":"Journal of AIDS &amp; Clinical Research","id":"ITEM-2","issue":"11","issued":{"date-parts":[["2014"]]},"title":"Bone Health in HIV-Infected Children, Adolescents and Young Adults: A Systematic Review","type":"article-journal","volume":"05"},"uris":["http://www.mendeley.com/documents/?uuid=0c574c7a-b4b7-4de8-90ce-81cfe715d78d"]},{"id":"ITEM-3","itemData":{"DOI":"10.1007/s11657-018-0452-6","ISBN":"1165701804","ISSN":"18623514","PMID":"29623447","abstract":"Summary: In this study, we evaluated the relationships between immune activation, bone turnover, and bone mass in virally suppressed HIV-infected children and HIV-uninfected children in South Africa. We found that decreased bone mass may occur or persist independent of immune activation and altered bone turnover. Purpose: HIV-infected children and adolescents have deficits in skeletal growth which include decreases in bone mass and alterations in bone microarchitecture. However, the mechanism by which HIV infection compromises bone accrual in children and adolescents is unclear. The goal of this study was to evaluate the relationships between immune activation, bone turnover, and bone mass in a group of pre-pubertal HIV-infected children randomized to remain on ritonavir-boosted lopinavir (LPV/r)-based antiretroviral therapy (ART) or switch to efavirenz-based ART in South Africa virally suppressed at the time of this study. Methods: This cross-sectional analysis included 219 HIV-infected and 180 HIV-uninfected children enrolled in the CHANGES Bone Study conducted in Johannesburg, South Africa. Whole body (WB) bone mineral content (BMC) was assessed by dual x-ray absorptiometry and WB BMC Z-scores adjusted for sex, age, and height were generated. Bone turnover markers, including C-telopeptide of type 1 collagen (CTx) and procollagen type I N-terminal propeptide (P1NP), were analyzed. Markers of immune activation were also measured, including cytokines IL-6 and TNF-alpha, as well as soluble CD14 and high-sensitivity C-reactive protein (CRP). Results: Compared to uninfected controls, HIV-infected children had lower WB BMC Z-scores, similar IL-6 and TNF-alpha, higher soluble CD14 and high-sensitivity CRP, and lower markers of bone resorption (CTX) and bone formation (P1NP). Bone turnover markers were not different in those remaining on LPV/r or switched to efavirenz. Conclusions: Our findings suggest that in HIV-infected children with viral suppression, decreased bone accrual may occur or persist independent of immune activation and altered bone turnover.","author":[{"dropping-particle":"","family":"Shiau","given":"Stephanie","non-dropping-particle":"","parse-names":false,"suffix":""},{"dropping-particle":"","family":"Yin","given":"Michael T.","non-dropping-particle":"","parse-names":false,"suffix":""},{"dropping-particle":"","family":"Strehlau","given":"Renate","non-dropping-particle":"","parse-names":false,"suffix":""},{"dropping-particle":"","family":"Patel","given":"Faeezah","non-dropping-particle":"","parse-names":false,"suffix":""},{"dropping-particle":"","family":"Mbete","given":"Ndileka","non-dropping-particle":"","parse-names":false,"suffix":""},{"dropping-particle":"","family":"Kuhn","given":"Louise","non-dropping-particle":"","parse-names":false,"suffix":""},{"dropping-particle":"","family":"Coovadia","given":"Ashraf","non-dropping-particle":"","parse-names":false,"suffix":""},{"dropping-particle":"","family":"Arpadi","given":"Stephen M.","non-dropping-particle":"","parse-names":false,"suffix":""}],"container-title":"Archives of Osteoporosis","id":"ITEM-3","issue":"1","issued":{"date-parts":[["2018"]]},"publisher":"Archives of Osteoporosis","title":"Decreased bone turnover in HIV-infected children on antiretroviral therapy","type":"article-journal","volume":"13"},"uris":["http://www.mendeley.com/documents/?uuid=8fdb7563-50d5-4bfe-ac1e-d123b14b1fce"]},{"id":"ITEM-4","itemData":{"DOI":"10.1016/S2352-4642(21)00133-4","ISSN":"23524642","PMID":"34139202","abstract":"Background: Faltered linear growth and pubertal delay, which are both common in children with HIV in sub-Saharan Africa, might affect adolescent bone accrual and future fragility fracture risk. We investigated the association of HIV with bone density adjusted for skeletal size in peripubertal children in Zimbabwe. Methods: We did a cross-sectional study of baseline data from the IMVASK cohort, which enrolled children aged 8–16 years with HIV who had been taking antiretroviral therapy (ART) for at least 2 years, and children of the same age without HIV. Children with HIV were recruited from public sector HIV clinics at Parirenyatwa General Hospital and Harare Central Hospital (Harare, Zimbabwe), and children without HIV were recruited from six schools in the same suburbs that the hospitals serve. Sociodemographic, clinical, and anthropometric data were collected. Dual-energy X-ray absorptiometry (DXA) was used to measure the bone outcomes of total-body less-head bone mineral content for lean mass adjusted for height (TBLH-BMCLBM), and lumbar spine bone mineral apparent density (LS-BMAD), and we assessed the prevalence of low TBLH-BMCLBM and low LS-BMAD (defined by Z-scores of less than −2·0). Size adjustment techniques were used to overcome the size dependence of DXA measurement. We used linear regression models, with multiple imputation for missing data, to assess relationships between risk factors and TBLH-BMCLBM and LS-BMAD Z-scores in children with and without HIV. Findings: We recruited 303 children with HIV (mean age 12·4 years [SD 2·5]; 151 [50%] girls) and 306 children without HIV (mean age 12·5 years [SD 2·5]; 155 [51%] girls). In children with HIV, median age of HIV diagnosis was 3·0 years (IQR 1·2–5·8), and median ART duration was 8·1 years (6·2–9·5); for 102 (34%) children, ART included tenofovir disoproxil fumarate (TDF). Children with HIV had a higher prevalence of low TBLH-BMCLBM Z-score than children without HIV (29 [10%] of 279 children with available data vs 18 [6%] of 292 with available data; p=0·066) and a higher prevalence of low LS-BMAD Z-score (40 [14%] of 279 vs 17 [6%] of 293 with available data; p=0·0007). HIV and male sex were associated with earlier pubertal (Tanner) stage. The negative associations between HIV and Z-scores for TBLH-BMCLBM and LS-BMAD were more pronounced with pubertal maturation, particularly in girls. Among children with HIV, TDF exposure and orphanhood were associated with lower TBLH-BMCLBM Z-score in confo…","author":[{"dropping-particle":"","family":"Rukuni","given":"Ruramayi","non-dropping-particle":"","parse-names":false,"suffix":""},{"dropping-particle":"","family":"Rehman","given":"Andrea M.","non-dropping-particle":"","parse-names":false,"suffix":""},{"dropping-particle":"","family":"Mukwasi-Kahari","given":"Cynthia","non-dropping-particle":"","parse-names":false,"suffix":""},{"dropping-particle":"","family":"Madanhire","given":"Tafadzwa","non-dropping-particle":"","parse-names":false,"suffix":""},{"dropping-particle":"","family":"Kowo-Nyakoko","given":"Farirayi","non-dropping-particle":"","parse-names":false,"suffix":""},{"dropping-particle":"","family":"McHugh","given":"Grace","non-dropping-particle":"","parse-names":false,"suffix":""},{"dropping-particle":"","family":"Filteau","given":"Suzanne","non-dropping-particle":"","parse-names":false,"suffix":""},{"dropping-particle":"","family":"Chipanga","given":"Joseph","non-dropping-particle":"","parse-names":false,"suffix":""},{"dropping-particle":"","family":"Simms","given":"Victoria","non-dropping-particle":"","parse-names":false,"suffix":""},{"dropping-particle":"","family":"Mujuru","given":"Hilda","non-dropping-particle":"","parse-names":false,"suffix":""},{"dropping-particle":"","family":"Ward","given":"Kate A.","non-dropping-particle":"","parse-names":false,"suffix":""},{"dropping-particle":"","family":"Ferrand","given":"Rashida A.","non-dropping-particle":"","parse-names":false,"suffix":""},{"dropping-particle":"","family":"Gregson","given":"Celia L.","non-dropping-particle":"","parse-names":false,"suffix":""}],"container-title":"The Lancet Child and Adolescent Health","id":"ITEM-4","issue":"8","issued":{"date-parts":[["2021"]]},"page":"569-581","publisher":"The Author(s). Published by Elsevier Ltd. This is an Open Access article under the CC BY 4.0 license","title":"Effect of HIV infection on growth and bone density in peripubertal children in the era of antiretroviral therapy: a cross-sectional study in Zimbabwe","type":"article-journal","volume":"5"},"uris":["http://www.mendeley.com/documents/?uuid=77b44533-3aaa-4da8-83d4-68aa7215869f"]},{"id":"ITEM-5","itemData":{"DOI":"10.1097/QAD.0000000000001204","ISBN":"0000000000","ISSN":"1473-5571","PMID":"27427876","abstract":"BACKGROUND We investigate if switching from a ritonavir-boosted lopinavir (LPV/r)-based to an efavirenz-based antiretroviral therapy (ART) regimen is associated with beneficial bone development. METHODS The CHANGES Bone Study follows HIV-infected children who participated in a non-inferiority randomized trial in Johannesburg, South Africa evaluating the safety and efficacy of pre-emptive switching to efavirenz (N[REPLACEMENT CHARACTER]=[REPLACEMENT CHARACTER]106) compared to remaining on LPV/r (N[REPLACEMENT CHARACTER]=[REPLACEMENT CHARACTER]113). HIV-uninfected children were also recruited. Whole body (WB) and lumbar spine bone mineral content (BMC) were assessed by dual-energy X-ray absorptiometry (DXA) at a cross-sectional visit. BMC Z-scores adjusted for sex, age, and height were generated. Physical activity (PA) and dietary intake were assessed. CD4 percentage and viral load were measured. We compared bone indices of HIV-infected to HIV-uninfected children and LPV/r to efavirenz by intent-to-treat. RESULTS The 219 HIV-infected (52% male) and 219 HIV-uninfected (55% male) children were 6.4 and 7.0 years of age, respectively. Mean ART duration for HIV-infected children was 5.7 years. WB BMC Z-score was 0.17 lower for HIV-infected children compared to HIV-uninfected children after adjustment for PA, dietary vitamin D and calcium (p = 0.03). WB BMC Z-score was 0.55 higher for HIV-infected children switched to efavirenz compared to those remaining on LPV/r after adjustment for PA, dietary vitamin D and calcium, CD4 percentage and viral load (p &lt; 0.0001). CONCLUSION South African HIV-infected children receiving ART have lower bone mass compared to HIV-uninfected controls. Accrued bone mass is positively associated with switching to efavirenz-based ART compared to remaining on LPV/r, providing additional rationale for limiting LPV/r exposure once viral suppression has been achieved.","author":[{"dropping-particle":"","family":"Arpadi","given":"Stephen M.","non-dropping-particle":"","parse-names":false,"suffix":""},{"dropping-particle":"","family":"Shiau","given":"Stephanie","non-dropping-particle":"","parse-names":false,"suffix":""},{"dropping-particle":"","family":"Strehlau","given":"Renate","non-dropping-particle":"","parse-names":false,"suffix":""},{"dropping-particle":"","family":"Patel","given":"Faeezah","non-dropping-particle":"","parse-names":false,"suffix":""},{"dropping-particle":"","family":"Mbete","given":"Ndileka","non-dropping-particle":"","parse-names":false,"suffix":""},{"dropping-particle":"","family":"McMahon","given":"Donald J.","non-dropping-particle":"","parse-names":false,"suffix":""},{"dropping-particle":"","family":"Kaufman","given":"Jonathan J.","non-dropping-particle":"","parse-names":false,"suffix":""},{"dropping-particle":"","family":"Coovadia","given":"Ashraf","non-dropping-particle":"","parse-names":false,"suffix":""},{"dropping-particle":"","family":"Kuhn","given":"Louise","non-dropping-particle":"","parse-names":false,"suffix":""},{"dropping-particle":"","family":"Yin","given":"Michael T.","non-dropping-particle":"","parse-names":false,"suffix":""}],"container-title":"AIDS (London, England)","id":"ITEM-5","issued":{"date-parts":[["2016"]]},"page":"2459 - 2467","title":"Efavirenz is associated with higher bone mass in South African children with HIV.","type":"article-journal","volume":"30"},"uris":["http://www.mendeley.com/documents/?uuid=eafa2d9c-7808-4cb3-abf6-f1f02dbada4b"]}],"mendeley":{"formattedCitation":"(3–5,7,9)","plainTextFormattedCitation":"(3–5,7,9)","previouslyFormattedCitation":"(3–5,7,9)"},"properties":{"noteIndex":0},"schema":"https://github.com/citation-style-language/schema/raw/master/csl-citation.json"}</w:instrText>
      </w:r>
      <w:r w:rsidRPr="00813425">
        <w:rPr>
          <w:rFonts w:ascii="Times New Roman" w:eastAsia="Times New Roman" w:hAnsi="Times New Roman" w:cs="Times New Roman"/>
          <w:bCs/>
          <w:color w:val="000000"/>
          <w:sz w:val="24"/>
          <w:szCs w:val="24"/>
          <w:lang w:eastAsia="en-GB"/>
        </w:rPr>
        <w:fldChar w:fldCharType="separate"/>
      </w:r>
      <w:r w:rsidRPr="00813425">
        <w:rPr>
          <w:rFonts w:ascii="Times New Roman" w:eastAsia="Times New Roman" w:hAnsi="Times New Roman" w:cs="Times New Roman"/>
          <w:bCs/>
          <w:noProof/>
          <w:color w:val="000000"/>
          <w:sz w:val="24"/>
          <w:szCs w:val="24"/>
          <w:lang w:eastAsia="en-GB"/>
        </w:rPr>
        <w:t>(3–5,7,9)</w:t>
      </w:r>
      <w:r w:rsidRPr="00813425">
        <w:rPr>
          <w:rFonts w:ascii="Times New Roman" w:eastAsia="Times New Roman" w:hAnsi="Times New Roman" w:cs="Times New Roman"/>
          <w:bCs/>
          <w:color w:val="000000"/>
          <w:sz w:val="24"/>
          <w:szCs w:val="24"/>
          <w:lang w:eastAsia="en-GB"/>
        </w:rPr>
        <w:fldChar w:fldCharType="end"/>
      </w:r>
      <w:r w:rsidRPr="00813425">
        <w:rPr>
          <w:rFonts w:ascii="Times New Roman" w:eastAsia="Times New Roman" w:hAnsi="Times New Roman" w:cs="Times New Roman"/>
          <w:bCs/>
          <w:color w:val="000000"/>
          <w:sz w:val="24"/>
          <w:szCs w:val="24"/>
          <w:lang w:eastAsia="en-GB"/>
        </w:rPr>
        <w:t xml:space="preserve">, or have been cross-sectional in study design </w:t>
      </w:r>
      <w:r w:rsidRPr="00813425">
        <w:rPr>
          <w:rFonts w:ascii="Times New Roman" w:eastAsia="Times New Roman" w:hAnsi="Times New Roman" w:cs="Times New Roman"/>
          <w:bCs/>
          <w:color w:val="000000"/>
          <w:sz w:val="24"/>
          <w:szCs w:val="24"/>
          <w:lang w:eastAsia="en-GB"/>
        </w:rPr>
        <w:fldChar w:fldCharType="begin" w:fldLock="1"/>
      </w:r>
      <w:r w:rsidRPr="00813425">
        <w:rPr>
          <w:rFonts w:ascii="Times New Roman" w:eastAsia="Times New Roman" w:hAnsi="Times New Roman" w:cs="Times New Roman"/>
          <w:bCs/>
          <w:color w:val="000000"/>
          <w:sz w:val="24"/>
          <w:szCs w:val="24"/>
          <w:lang w:eastAsia="en-GB"/>
        </w:rPr>
        <w:instrText>ADDIN CSL_CITATION {"citationItems":[{"id":"ITEM-1","itemData":{"DOI":"10.1097/QAI.0000000000002309","ISSN":"19447884","PMID":"32141960","abstract":"BACKGROUND: Reduced bone mineral mass by dual x-ray absorptiometry is reported in children living with HIV (CLWH), but few studies of bone microarchitecture, particularly in sub-Saharan Africa, have been conducted. Here, we compare bone architecture and strength in black South African CLWH and uninfected control children by peripheral quantitative computed tomography (pQCT). SETTING AND METHODS: One hundred seventy-two CLWH on antiretroviral therapy (ART) and 98 controls in the CHANGES Bone Study in Johannesburg, South Africa received pQCT scans of the radius and tibia. Measurements included trabecular and cortical volumetric bone mineral density (vBMD) and bone strength, estimated by the polar strength strain index (SSI), a validated measure of fracture risk. RESULTS: CLWH (51% boys) and controls (63% boys) were an average of age 10.4 years. Mean ART duration for CLWH was 9.5 years, with 70.9% on an efavirenz-based, 28.5% on a lopinavir/ritonavir-based, and 1 child on an atazanavir/ritonavir-based regimen. Male CLWH had lower trabecular vBMD at the radius than controls after adjustment for age, radial length, and Tanner stage (β = -17.3, standard error = 7.2, P = 0.018). Bone strength by polar SSI was lower in CLWH than controls (778 vs. 972 mm, P &lt; 0.01). CLWH on an LPV/r-based regimen had lower trabecular vBMD (199 vs. 222 mg/cm, P &lt; 0.001) and cortical vBMD (1074 vs. 1093 mg/cm, P = 0.004) than those on an efavirenz-based regimen. No difference in bone strength by polar SSI was observed between treatment groups. CONCLUSION: CLWH initiated on ART early in life with well-controlled HIV have deficits in bone architecture and reductions in bone strength as detected by pQCT.","author":[{"dropping-particle":"","family":"Shiau","given":"Stephanie","non-dropping-particle":"","parse-names":false,"suffix":""},{"dropping-particle":"","family":"Yin","given":"Michael T.","non-dropping-particle":"","parse-names":false,"suffix":""},{"dropping-particle":"","family":"Strehlau","given":"Renate","non-dropping-particle":"","parse-names":false,"suffix":""},{"dropping-particle":"","family":"Burke","given":"Megan","non-dropping-particle":"","parse-names":false,"suffix":""},{"dropping-particle":"","family":"Patel","given":"Faeezah","non-dropping-particle":"","parse-names":false,"suffix":""},{"dropping-particle":"","family":"Kuhn","given":"Louise","non-dropping-particle":"","parse-names":false,"suffix":""},{"dropping-particle":"","family":"Coovadia","given":"Ashraf","non-dropping-particle":"","parse-names":false,"suffix":""},{"dropping-particle":"","family":"Norris","given":"Shane A.","non-dropping-particle":"","parse-names":false,"suffix":""},{"dropping-particle":"","family":"Arpadi","given":"Stephen M.","non-dropping-particle":"","parse-names":false,"suffix":""}],"container-title":"Journal of acquired immune deficiency syndromes (1999)","id":"ITEM-1","issue":"1","issued":{"date-parts":[["2020"]]},"page":"101-106","title":"Deficits in Bone Architecture and Strength in Children Living With HIV on Antiretroviral Therapy","type":"article-journal","volume":"84"},"uris":["http://www.mendeley.com/documents/?uuid=ac787c8e-c9cd-48ff-bca9-a128b3534883"]}],"mendeley":{"formattedCitation":"(10)","plainTextFormattedCitation":"(10)","previouslyFormattedCitation":"(10)"},"properties":{"noteIndex":0},"schema":"https://github.com/citation-style-language/schema/raw/master/csl-citation.json"}</w:instrText>
      </w:r>
      <w:r w:rsidRPr="00813425">
        <w:rPr>
          <w:rFonts w:ascii="Times New Roman" w:eastAsia="Times New Roman" w:hAnsi="Times New Roman" w:cs="Times New Roman"/>
          <w:bCs/>
          <w:color w:val="000000"/>
          <w:sz w:val="24"/>
          <w:szCs w:val="24"/>
          <w:lang w:eastAsia="en-GB"/>
        </w:rPr>
        <w:fldChar w:fldCharType="separate"/>
      </w:r>
      <w:r w:rsidRPr="00813425">
        <w:rPr>
          <w:rFonts w:ascii="Times New Roman" w:eastAsia="Times New Roman" w:hAnsi="Times New Roman" w:cs="Times New Roman"/>
          <w:bCs/>
          <w:noProof/>
          <w:color w:val="000000"/>
          <w:sz w:val="24"/>
          <w:szCs w:val="24"/>
          <w:lang w:eastAsia="en-GB"/>
        </w:rPr>
        <w:t>(10)</w:t>
      </w:r>
      <w:r w:rsidRPr="00813425">
        <w:rPr>
          <w:rFonts w:ascii="Times New Roman" w:eastAsia="Times New Roman" w:hAnsi="Times New Roman" w:cs="Times New Roman"/>
          <w:bCs/>
          <w:color w:val="000000"/>
          <w:sz w:val="24"/>
          <w:szCs w:val="24"/>
          <w:lang w:eastAsia="en-GB"/>
        </w:rPr>
        <w:fldChar w:fldCharType="end"/>
      </w:r>
      <w:r w:rsidRPr="00813425">
        <w:rPr>
          <w:rFonts w:ascii="Times New Roman" w:eastAsia="Times New Roman" w:hAnsi="Times New Roman" w:cs="Times New Roman"/>
          <w:bCs/>
          <w:color w:val="000000"/>
          <w:sz w:val="24"/>
          <w:szCs w:val="24"/>
          <w:lang w:eastAsia="en-GB"/>
        </w:rPr>
        <w:t xml:space="preserve">. </w:t>
      </w:r>
    </w:p>
    <w:p w14:paraId="6364DCA7" w14:textId="77777777" w:rsidR="00C95A78" w:rsidRPr="00813425" w:rsidRDefault="00C95A78" w:rsidP="00C95A78">
      <w:pPr>
        <w:spacing w:before="100" w:beforeAutospacing="1" w:after="0" w:afterAutospacing="1" w:line="480" w:lineRule="auto"/>
        <w:rPr>
          <w:rFonts w:ascii="Times New Roman" w:eastAsia="Times New Roman" w:hAnsi="Times New Roman" w:cs="Times New Roman"/>
          <w:bCs/>
          <w:color w:val="000000"/>
          <w:sz w:val="24"/>
          <w:szCs w:val="24"/>
          <w:lang w:eastAsia="en-GB"/>
        </w:rPr>
      </w:pPr>
      <w:r w:rsidRPr="00813425">
        <w:rPr>
          <w:rFonts w:ascii="Times New Roman" w:eastAsia="Times New Roman" w:hAnsi="Times New Roman" w:cs="Times New Roman"/>
          <w:bCs/>
          <w:color w:val="000000"/>
          <w:sz w:val="24"/>
          <w:szCs w:val="24"/>
          <w:lang w:eastAsia="en-GB"/>
        </w:rPr>
        <w:t>Peripheral quantitative computed tomography (pQCT) uses very low-dose radiation to measure</w:t>
      </w:r>
      <w:r w:rsidRPr="00813425">
        <w:rPr>
          <w:rFonts w:ascii="Times New Roman" w:eastAsia="Times New Roman" w:hAnsi="Times New Roman" w:cs="Times New Roman"/>
          <w:bCs/>
          <w:color w:val="000000"/>
          <w:sz w:val="24"/>
          <w:szCs w:val="24"/>
          <w:lang w:val="en-US" w:eastAsia="en-GB"/>
        </w:rPr>
        <w:t xml:space="preserve"> volumetric BMD and bone geometry of c</w:t>
      </w:r>
      <w:r w:rsidRPr="00813425">
        <w:rPr>
          <w:rFonts w:ascii="Times New Roman" w:eastAsia="Times New Roman" w:hAnsi="Times New Roman" w:cs="Times New Roman"/>
          <w:bCs/>
          <w:color w:val="000000"/>
          <w:sz w:val="24"/>
          <w:szCs w:val="24"/>
          <w:lang w:eastAsia="en-GB"/>
        </w:rPr>
        <w:t xml:space="preserve">ortical and trabecular bone compartments. </w:t>
      </w:r>
      <w:bookmarkStart w:id="6" w:name="_Hlk18921727"/>
      <w:r w:rsidRPr="00813425">
        <w:rPr>
          <w:rFonts w:ascii="Times New Roman" w:eastAsia="Times New Roman" w:hAnsi="Times New Roman" w:cs="Times New Roman"/>
          <w:bCs/>
          <w:color w:val="000000"/>
          <w:sz w:val="24"/>
          <w:szCs w:val="24"/>
          <w:lang w:eastAsia="en-GB"/>
        </w:rPr>
        <w:t xml:space="preserve">The skeleton constitutes 80% cortical bone and 20% trabecular bone </w:t>
      </w:r>
      <w:r w:rsidRPr="00813425">
        <w:rPr>
          <w:rFonts w:ascii="Times New Roman" w:eastAsia="Times New Roman" w:hAnsi="Times New Roman" w:cs="Times New Roman"/>
          <w:bCs/>
          <w:color w:val="000000"/>
          <w:sz w:val="24"/>
          <w:szCs w:val="24"/>
          <w:lang w:eastAsia="en-GB"/>
        </w:rPr>
        <w:fldChar w:fldCharType="begin" w:fldLock="1"/>
      </w:r>
      <w:r w:rsidRPr="00813425">
        <w:rPr>
          <w:rFonts w:ascii="Times New Roman" w:eastAsia="Times New Roman" w:hAnsi="Times New Roman" w:cs="Times New Roman"/>
          <w:bCs/>
          <w:color w:val="000000"/>
          <w:sz w:val="24"/>
          <w:szCs w:val="24"/>
          <w:lang w:eastAsia="en-GB"/>
        </w:rPr>
        <w:instrText>ADDIN CSL_CITATION {"citationItems":[{"id":"ITEM-1","itemData":{"ISBN":"1588292754","author":[{"dropping-particle":"Lou","family":"Bonnick","given":"Sydney","non-dropping-particle":"","parse-names":false,"suffix":""}],"container-title":"Humana Express, Totowa, New Jersey","id":"ITEM-1","issued":{"date-parts":[["2002"]]},"number-of-pages":"1 - 406","title":"Bone densitometry in clinical practice, Application and Intepretation. Second Edition","type":"book"},"uris":["http://www.mendeley.com/documents/?uuid=c57690a3-2b94-4d7d-a79f-9442c5f738d2"]}],"mendeley":{"formattedCitation":"(11)","plainTextFormattedCitation":"(11)","previouslyFormattedCitation":"(11)"},"properties":{"noteIndex":0},"schema":"https://github.com/citation-style-language/schema/raw/master/csl-citation.json"}</w:instrText>
      </w:r>
      <w:r w:rsidRPr="00813425">
        <w:rPr>
          <w:rFonts w:ascii="Times New Roman" w:eastAsia="Times New Roman" w:hAnsi="Times New Roman" w:cs="Times New Roman"/>
          <w:bCs/>
          <w:color w:val="000000"/>
          <w:sz w:val="24"/>
          <w:szCs w:val="24"/>
          <w:lang w:eastAsia="en-GB"/>
        </w:rPr>
        <w:fldChar w:fldCharType="separate"/>
      </w:r>
      <w:r w:rsidRPr="00813425">
        <w:rPr>
          <w:rFonts w:ascii="Times New Roman" w:eastAsia="Times New Roman" w:hAnsi="Times New Roman" w:cs="Times New Roman"/>
          <w:bCs/>
          <w:noProof/>
          <w:color w:val="000000"/>
          <w:sz w:val="24"/>
          <w:szCs w:val="24"/>
          <w:lang w:eastAsia="en-GB"/>
        </w:rPr>
        <w:t>(11)</w:t>
      </w:r>
      <w:r w:rsidRPr="00813425">
        <w:rPr>
          <w:rFonts w:ascii="Times New Roman" w:eastAsia="Times New Roman" w:hAnsi="Times New Roman" w:cs="Times New Roman"/>
          <w:bCs/>
          <w:color w:val="000000"/>
          <w:sz w:val="24"/>
          <w:szCs w:val="24"/>
          <w:lang w:eastAsia="en-GB"/>
        </w:rPr>
        <w:fldChar w:fldCharType="end"/>
      </w:r>
      <w:r w:rsidRPr="00813425">
        <w:rPr>
          <w:rFonts w:ascii="Times New Roman" w:eastAsia="Times New Roman" w:hAnsi="Times New Roman" w:cs="Times New Roman"/>
          <w:bCs/>
          <w:color w:val="000000"/>
          <w:sz w:val="24"/>
          <w:szCs w:val="24"/>
          <w:lang w:eastAsia="en-GB"/>
        </w:rPr>
        <w:t>.</w:t>
      </w:r>
      <w:bookmarkEnd w:id="6"/>
      <w:r w:rsidRPr="00813425">
        <w:rPr>
          <w:rFonts w:ascii="Times New Roman" w:eastAsia="Times New Roman" w:hAnsi="Times New Roman" w:cs="Times New Roman"/>
          <w:bCs/>
          <w:color w:val="000000"/>
          <w:sz w:val="24"/>
          <w:szCs w:val="24"/>
          <w:lang w:val="en-US" w:eastAsia="en-GB"/>
        </w:rPr>
        <w:t xml:space="preserve"> Use of pQCT offers an opportunity to </w:t>
      </w:r>
      <w:r w:rsidRPr="00813425">
        <w:rPr>
          <w:rFonts w:ascii="Times New Roman" w:eastAsia="Times New Roman" w:hAnsi="Times New Roman" w:cs="Times New Roman"/>
          <w:bCs/>
          <w:color w:val="000000"/>
          <w:sz w:val="24"/>
          <w:szCs w:val="24"/>
          <w:lang w:eastAsia="en-GB"/>
        </w:rPr>
        <w:t xml:space="preserve">increase our understanding of how HIV affects trabecular and cortical bone development during puberty. </w:t>
      </w:r>
    </w:p>
    <w:p w14:paraId="6364DCA8" w14:textId="66F4AABD" w:rsidR="00C95A78" w:rsidRPr="00813425" w:rsidRDefault="00C95A78" w:rsidP="00C95A78">
      <w:pPr>
        <w:spacing w:before="100" w:beforeAutospacing="1" w:after="0" w:afterAutospacing="1" w:line="480" w:lineRule="auto"/>
        <w:rPr>
          <w:rFonts w:ascii="Times New Roman" w:eastAsia="Times New Roman" w:hAnsi="Times New Roman" w:cs="Times New Roman"/>
          <w:bCs/>
          <w:color w:val="000000"/>
          <w:sz w:val="24"/>
          <w:szCs w:val="24"/>
          <w:lang w:val="en-US" w:eastAsia="en-GB"/>
        </w:rPr>
      </w:pPr>
      <w:r w:rsidRPr="00813425">
        <w:rPr>
          <w:rFonts w:ascii="Times New Roman" w:eastAsia="Times New Roman" w:hAnsi="Times New Roman" w:cs="Times New Roman"/>
          <w:bCs/>
          <w:color w:val="000000"/>
          <w:sz w:val="24"/>
          <w:szCs w:val="24"/>
          <w:lang w:val="en-US" w:eastAsia="en-GB"/>
        </w:rPr>
        <w:lastRenderedPageBreak/>
        <w:t xml:space="preserve">Longitudinal data are necessary to understand bone development, particularly in the context of HIV-associated growth impairment </w:t>
      </w:r>
      <w:r w:rsidRPr="00813425">
        <w:rPr>
          <w:rFonts w:ascii="Times New Roman" w:eastAsia="Times New Roman" w:hAnsi="Times New Roman" w:cs="Times New Roman"/>
          <w:bCs/>
          <w:color w:val="000000"/>
          <w:sz w:val="24"/>
          <w:szCs w:val="24"/>
          <w:lang w:val="en-US" w:eastAsia="en-GB"/>
        </w:rPr>
        <w:fldChar w:fldCharType="begin" w:fldLock="1"/>
      </w:r>
      <w:r w:rsidR="0002034D" w:rsidRPr="00813425">
        <w:rPr>
          <w:rFonts w:ascii="Times New Roman" w:eastAsia="Times New Roman" w:hAnsi="Times New Roman" w:cs="Times New Roman"/>
          <w:bCs/>
          <w:color w:val="000000"/>
          <w:sz w:val="24"/>
          <w:szCs w:val="24"/>
          <w:lang w:val="en-US" w:eastAsia="en-GB"/>
        </w:rPr>
        <w:instrText>ADDIN CSL_CITATION {"citationItems":[{"id":"ITEM-1","itemData":{"DOI":"10.1016/j.bone.2019.05.012","ISSN":"87563282","PMID":"31082498","abstract":"Background: Perinatally-acquired HIV infection commonly causes stunting in children; how this affects bone and muscle development is unclear. We investigated differences in bone and muscle mass and muscle function between children with HIV (CWH) and uninfected children. Setting: Cross-sectional study of CWH (6–16 years) receiving antiretroviral therapy (ART) for &gt;6 months and similar aged children testing HIV-negative at primary health clinics in Zimbabwe. Methods: From Dual-energy X-ray Absorptiometry (DXA) we calculated total-body less-head (TBLH) Bone Mineral Content (BMC) for lean mass adjusted-for-height (TBLH-BMCLBM) Z-scores, and lumbar spine (LS) Bone Mineral Apparent Density (BMAD) Z-scores. Results: The 97 CWH were older (mean age 12.7 vs. 10.0 years) and taller (mean height 142 cm vs. 134 cm) than 77 uninfected. However, stunting (height-for-age Z-score ≤ −2) was more prevalent in CWH (35% vs. 5%, p &lt; 0.001). Among CWH, 15% had low LS-BMAD (Z-score ≤ −2) and 13% low TBLH-BMCLBM, vs. 1% and 3% respectively in those uninfected (both p ≤ 0.02). After age, sex, height and puberty adjustment, LS-BMAD was 0.33 SDs (95%CI -0.01, 0.67; p = 0.06) lower in CWH, with no differences by HIV status in TBLH-BMCLBM, lean mass (0.11 [−0.03, 0.24], p = 0.11) or grip strength (0.05 [−0.16, 0.27], p = 0.62). However, age at ART initiation was correlated with both LS-BMAD Z-score (r = −0.33, p = 0.001) and TBLH-BMCLBM Z-score (r = −0.23, p = 0.027); for each year ART initiation was delayed a 0.13 SD reduction in LS-BMAD was seen. Conclusion: Size-adjusted low bone density is common in CWH. Delay in initiating ART adversely affects bone density. Findings support immediate ART initiation at HIV diagnosis.","author":[{"dropping-particle":"","family":"Gregson","given":"Celia L.","non-dropping-particle":"","parse-names":false,"suffix":""},{"dropping-particle":"","family":"Hartley","given":"April","non-dropping-particle":"","parse-names":false,"suffix":""},{"dropping-particle":"","family":"Majonga","given":"Edith","non-dropping-particle":"","parse-names":false,"suffix":""},{"dropping-particle":"","family":"McHugh","given":"Grace","non-dropping-particle":"","parse-names":false,"suffix":""},{"dropping-particle":"","family":"Crabtree","given":"Nicola","non-dropping-particle":"","parse-names":false,"suffix":""},{"dropping-particle":"","family":"Rukuni","given":"Ruramayi","non-dropping-particle":"","parse-names":false,"suffix":""},{"dropping-particle":"","family":"Bandason","given":"Tsitsi","non-dropping-particle":"","parse-names":false,"suffix":""},{"dropping-particle":"","family":"Mukwasi-Kahari","given":"Cynthia","non-dropping-particle":"","parse-names":false,"suffix":""},{"dropping-particle":"","family":"Ward","given":"Kate A.","non-dropping-particle":"","parse-names":false,"suffix":""},{"dropping-particle":"","family":"Mujuru","given":"Hilda","non-dropping-particle":"","parse-names":false,"suffix":""},{"dropping-particle":"","family":"Ferrand","given":"Rashida A.","non-dropping-particle":"","parse-names":false,"suffix":""}],"container-title":"Bone","id":"ITEM-1","issue":"May","issued":{"date-parts":[["2019"]]},"page":"96-102","publisher":"Elsevier","title":"Older age at initiation of antiretroviral therapy predicts low bone mineral density in children with perinatally-infected HIV in Zimbabwe","type":"article-journal","volume":"125"},"uris":["http://www.mendeley.com/documents/?uuid=f28ac05b-8648-4439-a8b8-cfc51ad3ebf6"]},{"id":"ITEM-2","itemData":{"author":[{"dropping-particle":"","family":"Mchugh","given":"Grace","non-dropping-particle":"","parse-names":false,"suffix":""},{"dropping-particle":"","family":"Rylance","given":"Jamie","non-dropping-particle":"","parse-names":false,"suffix":""},{"dropping-particle":"","family":"Mujuru","given":"Hilda","non-dropping-particle":"","parse-names":false,"suffix":""},{"dropping-particle":"","family":"Paeds","given":"Mmed","non-dropping-particle":"","parse-names":false,"suffix":""},{"dropping-particle":"","family":"Epi","given":"Clin","non-dropping-particle":"","parse-names":false,"suffix":""},{"dropping-particle":"","family":"Bandason","given":"Tsitsi","non-dropping-particle":"","parse-names":false,"suffix":""},{"dropping-particle":"","family":"Epi","given":"Clin","non-dropping-particle":"","parse-names":false,"suffix":""},{"dropping-particle":"","family":"Simms","given":"Victoria","non-dropping-particle":"","parse-names":false,"suffix":""},{"dropping-particle":"","family":"Ferrand","given":"Rashida A","non-dropping-particle":"","parse-names":false,"suffix":""}],"container-title":"J Acquir Immune Defic Syndr","id":"ITEM-2","issue":"3","issued":{"date-parts":[["2016"]]},"page":"275-281","title":"Chronic Morbidity Among Older Children and Adolescents at Diagnosis of HIV Infection","type":"article-journal","volume":"73"},"uris":["http://www.mendeley.com/documents/?uuid=e03bfc30-e161-44c5-b575-db015fd32480"]}],"mendeley":{"formattedCitation":"(3,12)","plainTextFormattedCitation":"(3,12)","previouslyFormattedCitation":"(3,12)"},"properties":{"noteIndex":0},"schema":"https://github.com/citation-style-language/schema/raw/master/csl-citation.json"}</w:instrText>
      </w:r>
      <w:r w:rsidRPr="00813425">
        <w:rPr>
          <w:rFonts w:ascii="Times New Roman" w:eastAsia="Times New Roman" w:hAnsi="Times New Roman" w:cs="Times New Roman"/>
          <w:bCs/>
          <w:color w:val="000000"/>
          <w:sz w:val="24"/>
          <w:szCs w:val="24"/>
          <w:lang w:val="en-US" w:eastAsia="en-GB"/>
        </w:rPr>
        <w:fldChar w:fldCharType="separate"/>
      </w:r>
      <w:r w:rsidRPr="00813425">
        <w:rPr>
          <w:rFonts w:ascii="Times New Roman" w:eastAsia="Times New Roman" w:hAnsi="Times New Roman" w:cs="Times New Roman"/>
          <w:bCs/>
          <w:noProof/>
          <w:color w:val="000000"/>
          <w:sz w:val="24"/>
          <w:szCs w:val="24"/>
          <w:lang w:val="en-US" w:eastAsia="en-GB"/>
        </w:rPr>
        <w:t>(3,12)</w:t>
      </w:r>
      <w:r w:rsidRPr="00813425">
        <w:rPr>
          <w:rFonts w:ascii="Times New Roman" w:eastAsia="Times New Roman" w:hAnsi="Times New Roman" w:cs="Times New Roman"/>
          <w:bCs/>
          <w:color w:val="000000"/>
          <w:sz w:val="24"/>
          <w:szCs w:val="24"/>
          <w:lang w:val="en-US" w:eastAsia="en-GB"/>
        </w:rPr>
        <w:fldChar w:fldCharType="end"/>
      </w:r>
      <w:r w:rsidRPr="00813425">
        <w:rPr>
          <w:rFonts w:ascii="Times New Roman" w:eastAsia="Times New Roman" w:hAnsi="Times New Roman" w:cs="Times New Roman"/>
          <w:bCs/>
          <w:color w:val="000000"/>
          <w:sz w:val="24"/>
          <w:szCs w:val="24"/>
          <w:lang w:val="en-US" w:eastAsia="en-GB"/>
        </w:rPr>
        <w:t>.</w:t>
      </w:r>
      <w:r w:rsidRPr="00813425">
        <w:rPr>
          <w:rFonts w:ascii="Times New Roman" w:eastAsia="Times New Roman" w:hAnsi="Times New Roman" w:cs="Times New Roman"/>
          <w:bCs/>
          <w:color w:val="000000"/>
          <w:sz w:val="24"/>
          <w:szCs w:val="24"/>
          <w:lang w:eastAsia="en-GB"/>
        </w:rPr>
        <w:t xml:space="preserve"> Longitudinal studies assessing the effect of HIV on bone </w:t>
      </w:r>
      <w:r w:rsidR="00293105" w:rsidRPr="00813425">
        <w:rPr>
          <w:rFonts w:ascii="Times New Roman" w:eastAsia="Times New Roman" w:hAnsi="Times New Roman" w:cs="Times New Roman"/>
          <w:bCs/>
          <w:color w:val="000000"/>
          <w:sz w:val="24"/>
          <w:szCs w:val="24"/>
          <w:lang w:eastAsia="en-GB"/>
        </w:rPr>
        <w:t xml:space="preserve">mineral </w:t>
      </w:r>
      <w:r w:rsidRPr="00813425">
        <w:rPr>
          <w:rFonts w:ascii="Times New Roman" w:eastAsia="Times New Roman" w:hAnsi="Times New Roman" w:cs="Times New Roman"/>
          <w:bCs/>
          <w:color w:val="000000"/>
          <w:sz w:val="24"/>
          <w:szCs w:val="24"/>
          <w:lang w:eastAsia="en-GB"/>
        </w:rPr>
        <w:t xml:space="preserve">accrual from </w:t>
      </w:r>
      <w:proofErr w:type="gramStart"/>
      <w:r w:rsidRPr="00813425">
        <w:rPr>
          <w:rFonts w:ascii="Times New Roman" w:eastAsia="Times New Roman" w:hAnsi="Times New Roman" w:cs="Times New Roman"/>
          <w:bCs/>
          <w:color w:val="000000"/>
          <w:sz w:val="24"/>
          <w:szCs w:val="24"/>
          <w:lang w:eastAsia="en-GB"/>
        </w:rPr>
        <w:t>sub Saharan</w:t>
      </w:r>
      <w:proofErr w:type="gramEnd"/>
      <w:r w:rsidRPr="00813425">
        <w:rPr>
          <w:rFonts w:ascii="Times New Roman" w:eastAsia="Times New Roman" w:hAnsi="Times New Roman" w:cs="Times New Roman"/>
          <w:bCs/>
          <w:color w:val="000000"/>
          <w:sz w:val="24"/>
          <w:szCs w:val="24"/>
          <w:lang w:eastAsia="en-GB"/>
        </w:rPr>
        <w:t xml:space="preserve"> Africa are lacking despite th</w:t>
      </w:r>
      <w:r w:rsidR="00024021" w:rsidRPr="00813425">
        <w:rPr>
          <w:rFonts w:ascii="Times New Roman" w:eastAsia="Times New Roman" w:hAnsi="Times New Roman" w:cs="Times New Roman"/>
          <w:bCs/>
          <w:color w:val="000000"/>
          <w:sz w:val="24"/>
          <w:szCs w:val="24"/>
          <w:lang w:eastAsia="en-GB"/>
        </w:rPr>
        <w:t>at</w:t>
      </w:r>
      <w:r w:rsidRPr="00813425">
        <w:rPr>
          <w:rFonts w:ascii="Times New Roman" w:eastAsia="Times New Roman" w:hAnsi="Times New Roman" w:cs="Times New Roman"/>
          <w:bCs/>
          <w:color w:val="000000"/>
          <w:sz w:val="24"/>
          <w:szCs w:val="24"/>
          <w:lang w:eastAsia="en-GB"/>
        </w:rPr>
        <w:t xml:space="preserve"> 90% of C</w:t>
      </w:r>
      <w:r w:rsidR="00024021" w:rsidRPr="00813425">
        <w:rPr>
          <w:rFonts w:ascii="Times New Roman" w:eastAsia="Times New Roman" w:hAnsi="Times New Roman" w:cs="Times New Roman"/>
          <w:bCs/>
          <w:color w:val="000000"/>
          <w:sz w:val="24"/>
          <w:szCs w:val="24"/>
          <w:lang w:eastAsia="en-GB"/>
        </w:rPr>
        <w:t>WH</w:t>
      </w:r>
      <w:r w:rsidRPr="00813425">
        <w:rPr>
          <w:rFonts w:ascii="Times New Roman" w:eastAsia="Times New Roman" w:hAnsi="Times New Roman" w:cs="Times New Roman"/>
          <w:bCs/>
          <w:color w:val="000000"/>
          <w:sz w:val="24"/>
          <w:szCs w:val="24"/>
          <w:lang w:eastAsia="en-GB"/>
        </w:rPr>
        <w:t xml:space="preserve"> </w:t>
      </w:r>
      <w:r w:rsidR="00024021" w:rsidRPr="00813425">
        <w:rPr>
          <w:rFonts w:ascii="Times New Roman" w:eastAsia="Times New Roman" w:hAnsi="Times New Roman" w:cs="Times New Roman"/>
          <w:bCs/>
          <w:color w:val="000000"/>
          <w:sz w:val="24"/>
          <w:szCs w:val="24"/>
          <w:lang w:eastAsia="en-GB"/>
        </w:rPr>
        <w:t xml:space="preserve">are </w:t>
      </w:r>
      <w:r w:rsidRPr="00813425">
        <w:rPr>
          <w:rFonts w:ascii="Times New Roman" w:eastAsia="Times New Roman" w:hAnsi="Times New Roman" w:cs="Times New Roman"/>
          <w:bCs/>
          <w:color w:val="000000"/>
          <w:sz w:val="24"/>
          <w:szCs w:val="24"/>
          <w:lang w:eastAsia="en-GB"/>
        </w:rPr>
        <w:t xml:space="preserve">living in this region. We have previously demonstrated that stunting disproportionately affects CWH compared to CWOH in Zimbabwe, where 32% CWH, age 8 -16 years, are stunted </w:t>
      </w:r>
      <w:r w:rsidRPr="00813425">
        <w:rPr>
          <w:rFonts w:ascii="Times New Roman" w:eastAsia="Times New Roman" w:hAnsi="Times New Roman" w:cs="Times New Roman"/>
          <w:bCs/>
          <w:color w:val="000000"/>
          <w:sz w:val="24"/>
          <w:szCs w:val="24"/>
          <w:lang w:eastAsia="en-GB"/>
        </w:rPr>
        <w:fldChar w:fldCharType="begin" w:fldLock="1"/>
      </w:r>
      <w:r w:rsidRPr="00813425">
        <w:rPr>
          <w:rFonts w:ascii="Times New Roman" w:eastAsia="Times New Roman" w:hAnsi="Times New Roman" w:cs="Times New Roman"/>
          <w:bCs/>
          <w:color w:val="000000"/>
          <w:sz w:val="24"/>
          <w:szCs w:val="24"/>
          <w:lang w:eastAsia="en-GB"/>
        </w:rPr>
        <w:instrText>ADDIN CSL_CITATION {"citationItems":[{"id":"ITEM-1","itemData":{"DOI":"10.1016/S2352-4642(21)00133-4","ISSN":"23524642","PMID":"34139202","abstract":"Background: Faltered linear growth and pubertal delay, which are both common in children with HIV in sub-Saharan Africa, might affect adolescent bone accrual and future fragility fracture risk. We investigated the association of HIV with bone density adjusted for skeletal size in peripubertal children in Zimbabwe. Methods: We did a cross-sectional study of baseline data from the IMVASK cohort, which enrolled children aged 8–16 years with HIV who had been taking antiretroviral therapy (ART) for at least 2 years, and children of the same age without HIV. Children with HIV were recruited from public sector HIV clinics at Parirenyatwa General Hospital and Harare Central Hospital (Harare, Zimbabwe), and children without HIV were recruited from six schools in the same suburbs that the hospitals serve. Sociodemographic, clinical, and anthropometric data were collected. Dual-energy X-ray absorptiometry (DXA) was used to measure the bone outcomes of total-body less-head bone mineral content for lean mass adjusted for height (TBLH-BMCLBM), and lumbar spine bone mineral apparent density (LS-BMAD), and we assessed the prevalence of low TBLH-BMCLBM and low LS-BMAD (defined by Z-scores of less than −2·0). Size adjustment techniques were used to overcome the size dependence of DXA measurement. We used linear regression models, with multiple imputation for missing data, to assess relationships between risk factors and TBLH-BMCLBM and LS-BMAD Z-scores in children with and without HIV. Findings: We recruited 303 children with HIV (mean age 12·4 years [SD 2·5]; 151 [50%] girls) and 306 children without HIV (mean age 12·5 years [SD 2·5]; 155 [51%] girls). In children with HIV, median age of HIV diagnosis was 3·0 years (IQR 1·2–5·8), and median ART duration was 8·1 years (6·2–9·5); for 102 (34%) children, ART included tenofovir disoproxil fumarate (TDF). Children with HIV had a higher prevalence of low TBLH-BMCLBM Z-score than children without HIV (29 [10%] of 279 children with available data vs 18 [6%] of 292 with available data; p=0·066) and a higher prevalence of low LS-BMAD Z-score (40 [14%] of 279 vs 17 [6%] of 293 with available data; p=0·0007). HIV and male sex were associated with earlier pubertal (Tanner) stage. The negative associations between HIV and Z-scores for TBLH-BMCLBM and LS-BMAD were more pronounced with pubertal maturation, particularly in girls. Among children with HIV, TDF exposure and orphanhood were associated with lower TBLH-BMCLBM Z-score in confo…","author":[{"dropping-particle":"","family":"Rukuni","given":"Ruramayi","non-dropping-particle":"","parse-names":false,"suffix":""},{"dropping-particle":"","family":"Rehman","given":"Andrea M.","non-dropping-particle":"","parse-names":false,"suffix":""},{"dropping-particle":"","family":"Mukwasi-Kahari","given":"Cynthia","non-dropping-particle":"","parse-names":false,"suffix":""},{"dropping-particle":"","family":"Madanhire","given":"Tafadzwa","non-dropping-particle":"","parse-names":false,"suffix":""},{"dropping-particle":"","family":"Kowo-Nyakoko","given":"Farirayi","non-dropping-particle":"","parse-names":false,"suffix":""},{"dropping-particle":"","family":"McHugh","given":"Grace","non-dropping-particle":"","parse-names":false,"suffix":""},{"dropping-particle":"","family":"Filteau","given":"Suzanne","non-dropping-particle":"","parse-names":false,"suffix":""},{"dropping-particle":"","family":"Chipanga","given":"Joseph","non-dropping-particle":"","parse-names":false,"suffix":""},{"dropping-particle":"","family":"Simms","given":"Victoria","non-dropping-particle":"","parse-names":false,"suffix":""},{"dropping-particle":"","family":"Mujuru","given":"Hilda","non-dropping-particle":"","parse-names":false,"suffix":""},{"dropping-particle":"","family":"Ward","given":"Kate A.","non-dropping-particle":"","parse-names":false,"suffix":""},{"dropping-particle":"","family":"Ferrand","given":"Rashida A.","non-dropping-particle":"","parse-names":false,"suffix":""},{"dropping-particle":"","family":"Gregson","given":"Celia L.","non-dropping-particle":"","parse-names":false,"suffix":""}],"container-title":"The Lancet Child and Adolescent Health","id":"ITEM-1","issue":"8","issued":{"date-parts":[["2021"]]},"page":"569-581","publisher":"The Author(s). Published by Elsevier Ltd. This is an Open Access article under the CC BY 4.0 license","title":"Effect of HIV infection on growth and bone density in peripubertal children in the era of antiretroviral therapy: a cross-sectional study in Zimbabwe","type":"article-journal","volume":"5"},"uris":["http://www.mendeley.com/documents/?uuid=77b44533-3aaa-4da8-83d4-68aa7215869f"]}],"mendeley":{"formattedCitation":"(7)","plainTextFormattedCitation":"(7)","previouslyFormattedCitation":"(7)"},"properties":{"noteIndex":0},"schema":"https://github.com/citation-style-language/schema/raw/master/csl-citation.json"}</w:instrText>
      </w:r>
      <w:r w:rsidRPr="00813425">
        <w:rPr>
          <w:rFonts w:ascii="Times New Roman" w:eastAsia="Times New Roman" w:hAnsi="Times New Roman" w:cs="Times New Roman"/>
          <w:bCs/>
          <w:color w:val="000000"/>
          <w:sz w:val="24"/>
          <w:szCs w:val="24"/>
          <w:lang w:eastAsia="en-GB"/>
        </w:rPr>
        <w:fldChar w:fldCharType="separate"/>
      </w:r>
      <w:r w:rsidRPr="00813425">
        <w:rPr>
          <w:rFonts w:ascii="Times New Roman" w:eastAsia="Times New Roman" w:hAnsi="Times New Roman" w:cs="Times New Roman"/>
          <w:bCs/>
          <w:noProof/>
          <w:color w:val="000000"/>
          <w:sz w:val="24"/>
          <w:szCs w:val="24"/>
          <w:lang w:eastAsia="en-GB"/>
        </w:rPr>
        <w:t>(7)</w:t>
      </w:r>
      <w:r w:rsidRPr="00813425">
        <w:rPr>
          <w:rFonts w:ascii="Times New Roman" w:eastAsia="Times New Roman" w:hAnsi="Times New Roman" w:cs="Times New Roman"/>
          <w:bCs/>
          <w:color w:val="000000"/>
          <w:sz w:val="24"/>
          <w:szCs w:val="24"/>
          <w:lang w:eastAsia="en-GB"/>
        </w:rPr>
        <w:fldChar w:fldCharType="end"/>
      </w:r>
      <w:r w:rsidRPr="00813425">
        <w:rPr>
          <w:rFonts w:ascii="Times New Roman" w:eastAsia="Times New Roman" w:hAnsi="Times New Roman" w:cs="Times New Roman"/>
          <w:bCs/>
          <w:color w:val="000000"/>
          <w:sz w:val="24"/>
          <w:szCs w:val="24"/>
          <w:lang w:eastAsia="en-GB"/>
        </w:rPr>
        <w:t xml:space="preserve">. It is unclear how much of the effect of HIV on bone accrual is explained by, and therefore proportionate to, impaired longitudinal growth. Hence, this study aimed to use pQCT to study a paediatric population in sub-Saharan Africa and determine the effect of HIV on the change in </w:t>
      </w:r>
      <w:r w:rsidR="00024021" w:rsidRPr="00813425">
        <w:rPr>
          <w:rFonts w:ascii="Times New Roman" w:eastAsia="Times New Roman" w:hAnsi="Times New Roman" w:cs="Times New Roman"/>
          <w:bCs/>
          <w:color w:val="000000"/>
          <w:sz w:val="24"/>
          <w:szCs w:val="24"/>
          <w:lang w:eastAsia="en-GB"/>
        </w:rPr>
        <w:t xml:space="preserve">pQCT measured </w:t>
      </w:r>
      <w:r w:rsidRPr="00813425">
        <w:rPr>
          <w:rFonts w:ascii="Times New Roman" w:eastAsia="Times New Roman" w:hAnsi="Times New Roman" w:cs="Times New Roman"/>
          <w:bCs/>
          <w:color w:val="000000"/>
          <w:sz w:val="24"/>
          <w:szCs w:val="24"/>
          <w:lang w:eastAsia="en-GB"/>
        </w:rPr>
        <w:t>bone density, size and strength over a 12-month period</w:t>
      </w:r>
      <w:r w:rsidR="00024021" w:rsidRPr="00813425">
        <w:rPr>
          <w:rFonts w:ascii="Times New Roman" w:eastAsia="Times New Roman" w:hAnsi="Times New Roman" w:cs="Times New Roman"/>
          <w:bCs/>
          <w:color w:val="000000"/>
          <w:sz w:val="24"/>
          <w:szCs w:val="24"/>
          <w:lang w:eastAsia="en-GB"/>
        </w:rPr>
        <w:t>.</w:t>
      </w:r>
      <w:r w:rsidRPr="00813425">
        <w:rPr>
          <w:rFonts w:ascii="Times New Roman" w:eastAsia="Times New Roman" w:hAnsi="Times New Roman" w:cs="Times New Roman"/>
          <w:bCs/>
          <w:color w:val="000000"/>
          <w:sz w:val="24"/>
          <w:szCs w:val="24"/>
          <w:lang w:eastAsia="en-GB"/>
        </w:rPr>
        <w:t xml:space="preserve"> We also determined to what extent impairment in longitudinal growth explains any detrimental effects of HIV on pQCT-assessed bone outcomes.  </w:t>
      </w:r>
    </w:p>
    <w:p w14:paraId="6364DCA9" w14:textId="77777777" w:rsidR="00C95A78" w:rsidRPr="00813425" w:rsidRDefault="00C95A78" w:rsidP="0082668C">
      <w:pPr>
        <w:rPr>
          <w:rFonts w:ascii="Times New Roman" w:hAnsi="Times New Roman" w:cs="Times New Roman"/>
          <w:b/>
          <w:sz w:val="24"/>
          <w:szCs w:val="24"/>
          <w:lang w:val="en-GB" w:eastAsia="en-GB"/>
        </w:rPr>
      </w:pPr>
      <w:bookmarkStart w:id="7" w:name="_Toc139513437"/>
      <w:r w:rsidRPr="00813425">
        <w:rPr>
          <w:rFonts w:ascii="Times New Roman" w:hAnsi="Times New Roman" w:cs="Times New Roman"/>
          <w:b/>
          <w:sz w:val="24"/>
          <w:szCs w:val="24"/>
          <w:lang w:val="en-GB" w:eastAsia="en-GB"/>
        </w:rPr>
        <w:t>Methods</w:t>
      </w:r>
      <w:bookmarkEnd w:id="7"/>
    </w:p>
    <w:p w14:paraId="6364DCAA" w14:textId="77777777" w:rsidR="00C95A78" w:rsidRPr="00813425" w:rsidRDefault="00C95A78" w:rsidP="0082668C">
      <w:pPr>
        <w:rPr>
          <w:rFonts w:ascii="Times New Roman" w:hAnsi="Times New Roman" w:cs="Times New Roman"/>
          <w:b/>
          <w:sz w:val="24"/>
          <w:szCs w:val="24"/>
          <w:lang w:val="en-US" w:eastAsia="en-GB"/>
        </w:rPr>
      </w:pPr>
      <w:bookmarkStart w:id="8" w:name="_Toc139513438"/>
      <w:r w:rsidRPr="00813425">
        <w:rPr>
          <w:rFonts w:ascii="Times New Roman" w:hAnsi="Times New Roman" w:cs="Times New Roman"/>
          <w:b/>
          <w:sz w:val="24"/>
          <w:szCs w:val="24"/>
          <w:lang w:val="en-US" w:eastAsia="en-GB"/>
        </w:rPr>
        <w:t>Study setting</w:t>
      </w:r>
      <w:bookmarkEnd w:id="8"/>
    </w:p>
    <w:p w14:paraId="6364DCAB" w14:textId="3C9E3538" w:rsidR="00C95A78" w:rsidRPr="00813425" w:rsidRDefault="00C95A78" w:rsidP="00C95A78">
      <w:pPr>
        <w:spacing w:before="100" w:beforeAutospacing="1" w:after="0" w:afterAutospacing="1" w:line="480" w:lineRule="auto"/>
        <w:rPr>
          <w:rFonts w:ascii="Times New Roman" w:eastAsia="Times New Roman" w:hAnsi="Times New Roman" w:cs="Times New Roman"/>
          <w:b/>
          <w:bCs/>
          <w:i/>
          <w:iCs/>
          <w:color w:val="000000"/>
          <w:sz w:val="24"/>
          <w:szCs w:val="24"/>
          <w:lang w:val="en-US" w:eastAsia="en-GB"/>
        </w:rPr>
      </w:pPr>
      <w:r w:rsidRPr="00813425">
        <w:rPr>
          <w:rFonts w:ascii="Times New Roman" w:eastAsia="Times New Roman" w:hAnsi="Times New Roman" w:cs="Times New Roman"/>
          <w:bCs/>
          <w:color w:val="000000"/>
          <w:sz w:val="24"/>
          <w:szCs w:val="24"/>
          <w:lang w:val="en-US" w:eastAsia="en-GB"/>
        </w:rPr>
        <w:t xml:space="preserve">A cohort study, the IMpact of Vertical HIV infection on child and Adolescent Skeletal development (IMVASK), with two visits 12 months apart, was conducted as per published protocol (ISRCTN12266984) </w:t>
      </w:r>
      <w:r w:rsidRPr="00813425">
        <w:rPr>
          <w:rFonts w:ascii="Times New Roman" w:eastAsia="Times New Roman" w:hAnsi="Times New Roman" w:cs="Times New Roman"/>
          <w:bCs/>
          <w:color w:val="000000"/>
          <w:sz w:val="24"/>
          <w:szCs w:val="24"/>
          <w:lang w:val="en-US" w:eastAsia="en-GB"/>
        </w:rPr>
        <w:fldChar w:fldCharType="begin" w:fldLock="1"/>
      </w:r>
      <w:r w:rsidR="00F97376" w:rsidRPr="00813425">
        <w:rPr>
          <w:rFonts w:ascii="Times New Roman" w:eastAsia="Times New Roman" w:hAnsi="Times New Roman" w:cs="Times New Roman"/>
          <w:bCs/>
          <w:color w:val="000000"/>
          <w:sz w:val="24"/>
          <w:szCs w:val="24"/>
          <w:lang w:val="en-US" w:eastAsia="en-GB"/>
        </w:rPr>
        <w:instrText>ADDIN CSL_CITATION {"citationItems":[{"id":"ITEM-1","itemData":{"DOI":"10.1136/bmjopen-2019-031792","author":[{"dropping-particle":"","family":"Rukuni","given":"Ruramayi","non-dropping-particle":"","parse-names":false,"suffix":""},{"dropping-particle":"","family":"Gregson","given":"Celia","non-dropping-particle":"","parse-names":false,"suffix":""},{"dropping-particle":"","family":"Kahari","given":"Cynthia","non-dropping-particle":"","parse-names":false,"suffix":""},{"dropping-particle":"","family":"Kowo","given":"Farirayi","non-dropping-particle":"","parse-names":false,"suffix":""},{"dropping-particle":"","family":"Mchugh","given":"Grace","non-dropping-particle":"","parse-names":false,"suffix":""},{"dropping-particle":"","family":"Munyati","given":"Shungu","non-dropping-particle":"","parse-names":false,"suffix":""},{"dropping-particle":"","family":"Mujuru","given":"Hilda","non-dropping-particle":"","parse-names":false,"suffix":""},{"dropping-particle":"","family":"Ward","given":"Kate","non-dropping-particle":"","parse-names":false,"suffix":""},{"dropping-particle":"","family":"Filteau","given":"Suzanne","non-dropping-particle":"","parse-names":false,"suffix":""}],"container-title":"BMJ open","id":"ITEM-1","issued":{"date-parts":[["2020"]]},"page":"1-10","title":"The IMpact of Vertical HIV infection on child and Adolescent SKeletal development in Harare , Zimbabwe ( IMVASK Study ): a protocol for a prospective cohort study","type":"article-journal","volume":"10"},"uris":["http://www.mendeley.com/documents/?uuid=8690e3e8-10c5-4790-b3be-d220d27f0807","http://www.mendeley.com/documents/?uuid=38be1819-b0a5-4a40-b728-e77e5f0a4a99"]},{"id":"ITEM-2","itemData":{"DOI":"10.1016/S2352-4642(21)00133-4","ISSN":"23524642","PMID":"34139202","abstract":"Background: Faltered linear growth and pubertal delay, which are both common in children with HIV in sub-Saharan Africa, might affect adolescent bone accrual and future fragility fracture risk. We investigated the association of HIV with bone density adjusted for skeletal size in peripubertal children in Zimbabwe. Methods: We did a cross-sectional study of baseline data from the IMVASK cohort, which enrolled children aged 8–16 years with HIV who had been taking antiretroviral therapy (ART) for at least 2 years, and children of the same age without HIV. Children with HIV were recruited from public sector HIV clinics at Parirenyatwa General Hospital and Harare Central Hospital (Harare, Zimbabwe), and children without HIV were recruited from six schools in the same suburbs that the hospitals serve. Sociodemographic, clinical, and anthropometric data were collected. Dual-energy X-ray absorptiometry (DXA) was used to measure the bone outcomes of total-body less-head bone mineral content for lean mass adjusted for height (TBLH-BMCLBM), and lumbar spine bone mineral apparent density (LS-BMAD), and we assessed the prevalence of low TBLH-BMCLBM and low LS-BMAD (defined by Z-scores of less than −2·0). Size adjustment techniques were used to overcome the size dependence of DXA measurement. We used linear regression models, with multiple imputation for missing data, to assess relationships between risk factors and TBLH-BMCLBM and LS-BMAD Z-scores in children with and without HIV. Findings: We recruited 303 children with HIV (mean age 12·4 years [SD 2·5]; 151 [50%] girls) and 306 children without HIV (mean age 12·5 years [SD 2·5]; 155 [51%] girls). In children with HIV, median age of HIV diagnosis was 3·0 years (IQR 1·2–5·8), and median ART duration was 8·1 years (6·2–9·5); for 102 (34%) children, ART included tenofovir disoproxil fumarate (TDF). Children with HIV had a higher prevalence of low TBLH-BMCLBM Z-score than children without HIV (29 [10%] of 279 children with available data vs 18 [6%] of 292 with available data; p=0·066) and a higher prevalence of low LS-BMAD Z-score (40 [14%] of 279 vs 17 [6%] of 293 with available data; p=0·0007). HIV and male sex were associated with earlier pubertal (Tanner) stage. The negative associations between HIV and Z-scores for TBLH-BMCLBM and LS-BMAD were more pronounced with pubertal maturation, particularly in girls. Among children with HIV, TDF exposure and orphanhood were associated with lower TBLH-BMCLBM Z-score in confo…","author":[{"dropping-particle":"","family":"Rukuni","given":"Ruramayi","non-dropping-particle":"","parse-names":false,"suffix":""},{"dropping-particle":"","family":"Rehman","given":"Andrea M.","non-dropping-particle":"","parse-names":false,"suffix":""},{"dropping-particle":"","family":"Mukwasi-Kahari","given":"Cynthia","non-dropping-particle":"","parse-names":false,"suffix":""},{"dropping-particle":"","family":"Madanhire","given":"Tafadzwa","non-dropping-particle":"","parse-names":false,"suffix":""},{"dropping-particle":"","family":"Kowo-Nyakoko","given":"Farirayi","non-dropping-particle":"","parse-names":false,"suffix":""},{"dropping-particle":"","family":"McHugh","given":"Grace","non-dropping-particle":"","parse-names":false,"suffix":""},{"dropping-particle":"","family":"Filteau","given":"Suzanne","non-dropping-particle":"","parse-names":false,"suffix":""},{"dropping-particle":"","family":"Chipanga","given":"Joseph","non-dropping-particle":"","parse-names":false,"suffix":""},{"dropping-particle":"","family":"Simms","given":"Victoria","non-dropping-particle":"","parse-names":false,"suffix":""},{"dropping-particle":"","family":"Mujuru","given":"Hilda","non-dropping-particle":"","parse-names":false,"suffix":""},{"dropping-particle":"","family":"Ward","given":"Kate A.","non-dropping-particle":"","parse-names":false,"suffix":""},{"dropping-particle":"","family":"Ferrand","given":"Rashida A.","non-dropping-particle":"","parse-names":false,"suffix":""},{"dropping-particle":"","family":"Gregson","given":"Celia L.","non-dropping-particle":"","parse-names":false,"suffix":""}],"container-title":"The Lancet Child and Adolescent Health","id":"ITEM-2","issue":"8","issued":{"date-parts":[["2021"]]},"page":"569-581","publisher":"The Author(s). Published by Elsevier Ltd. This is an Open Access article under the CC BY 4.0 license","title":"Effect of HIV infection on growth and bone density in peripubertal children in the era of antiretroviral therapy: a cross-sectional study in Zimbabwe","type":"article-journal","volume":"5"},"uris":["http://www.mendeley.com/documents/?uuid=77b44533-3aaa-4da8-83d4-68aa7215869f"]},{"id":"ITEM-3","itemData":{"DOI":"10.1002/jbmr.4752","ISSN":"15234681","PMID":"36426511","abstract":"HIV infection has multi-system adverse effects in children, including on the growing skeleton. We aimed to determine the association between chronic HIV infection and bone architecture (density, size, strength) in peripubertal children. We conducted a cross-sectional study of children aged 8 to 16 years with HIV (CWH) on antiretroviral therapy (ART) and children without HIV (CWOH) recruited from schools and frequency-matched for age strata and sex. Outcomes, measured by tibial peripheral quantitative computed tomography (pQCT), included 4% trabecular and 38% cortical volumetric bone mineral density (vBMD), 4% and 38% cross-sectional area (CSA), and 38% stress–strain index (SSI). Multivariable linear regression tested associations between HIV status and outcomes, stratified by sex and puberty (Tanner 1–2 versus 3–5), adjusting for age, height, fat mass, physical activity, and socioeconomic and orphanhood statuses. We recruited 303 CWH and 306 CWOH; 50% were female. Although CWH were similar in age to CWOH (overall mean ± SD 12.4 ± 2.5 years), more were prepubertal (ie, Tanner 1; 41% versus 23%). Median age at ART initiation was 4 (IQR 2–7) years, whereas median ART duration was 8 (IQR 6–10) years. CWH were more often stunted (height-for-age Z-score &lt;−2) than those without HIV (33% versus 7%). Both male and female CWH in later puberty had lower trabecular vBMD, CSA (4% and 38%), and SSI than those without HIV, whereas cortical density was similar. Adjustment explained some of these differences; however, deficits in bone size persisted in CWH in later puberty (HIV*puberty interaction p = 0.035 [males; 4% CSA] and p = 0.029 [females; 38% CSA]). Similarly, puberty further worsened the inverse association between HIV and bone strength (SSI) in both males (interaction p = 0.008) and females (interaction p = 0.004). Despite long-term ART, we identified deficits in predicted bone strength in those living with HIV, which were more overt in the later stages of puberty. This is concerning, as this may translate to higher fracture risk later in life. © 2022 The Authors. Journal of Bone and Mineral Research published by Wiley Periodicals LLC on behalf of American Society for Bone and Mineral Research (ASBMR).","author":[{"dropping-particle":"","family":"Mukwasi-Kahari","given":"Cynthia","non-dropping-particle":"","parse-names":false,"suffix":""},{"dropping-particle":"","family":"Rehman","given":"Andrea M.","non-dropping-particle":"","parse-names":false,"suffix":""},{"dropping-particle":"","family":"Ó Breasail","given":"Mícheál","non-dropping-particle":"","parse-names":false,"suffix":""},{"dropping-particle":"","family":"Rukuni","given":"Ruramayi","non-dropping-particle":"","parse-names":false,"suffix":""},{"dropping-particle":"","family":"Madanhire","given":"Tafadzwa","non-dropping-particle":"","parse-names":false,"suffix":""},{"dropping-particle":"","family":"Chipanga","given":"Joseph","non-dropping-particle":"","parse-names":false,"suffix":""},{"dropping-particle":"","family":"Stranix-Chibanda","given":"Lynda","non-dropping-particle":"","parse-names":false,"suffix":""},{"dropping-particle":"","family":"Micklesfield","given":"Lisa K.","non-dropping-particle":"","parse-names":false,"suffix":""},{"dropping-particle":"","family":"Ferrand","given":"Rashida A.","non-dropping-particle":"","parse-names":false,"suffix":""},{"dropping-particle":"","family":"Ward","given":"Kate A.","non-dropping-particle":"","parse-names":false,"suffix":""},{"dropping-particle":"","family":"Gregson","given":"Celia L.","non-dropping-particle":"","parse-names":false,"suffix":""}],"container-title":"Journal of Bone and Mineral Research","id":"ITEM-3","issue":"2","issued":{"date-parts":[["2023"]]},"page":"248-260","title":"Impaired Bone Architecture in Peripubertal Children With HIV, Despite Treatment With Antiretroviral Therapy: A Cross-Sectional Study From Zimbabwe","type":"article-journal","volume":"38"},"uris":["http://www.mendeley.com/documents/?uuid=871db17b-7621-4d1f-bb47-06d766126aa2"]}],"mendeley":{"formattedCitation":"(6,7,13)","plainTextFormattedCitation":"(6,7,13)","previouslyFormattedCitation":"(6,7,13)"},"properties":{"noteIndex":0},"schema":"https://github.com/citation-style-language/schema/raw/master/csl-citation.json"}</w:instrText>
      </w:r>
      <w:r w:rsidRPr="00813425">
        <w:rPr>
          <w:rFonts w:ascii="Times New Roman" w:eastAsia="Times New Roman" w:hAnsi="Times New Roman" w:cs="Times New Roman"/>
          <w:bCs/>
          <w:color w:val="000000"/>
          <w:sz w:val="24"/>
          <w:szCs w:val="24"/>
          <w:lang w:val="en-US" w:eastAsia="en-GB"/>
        </w:rPr>
        <w:fldChar w:fldCharType="separate"/>
      </w:r>
      <w:r w:rsidR="00D47FD7" w:rsidRPr="00813425">
        <w:rPr>
          <w:rFonts w:ascii="Times New Roman" w:eastAsia="Times New Roman" w:hAnsi="Times New Roman" w:cs="Times New Roman"/>
          <w:bCs/>
          <w:noProof/>
          <w:color w:val="000000"/>
          <w:sz w:val="24"/>
          <w:szCs w:val="24"/>
          <w:lang w:val="en-US" w:eastAsia="en-GB"/>
        </w:rPr>
        <w:t>(6,7,13)</w:t>
      </w:r>
      <w:r w:rsidRPr="00813425">
        <w:rPr>
          <w:rFonts w:ascii="Times New Roman" w:eastAsia="Times New Roman" w:hAnsi="Times New Roman" w:cs="Times New Roman"/>
          <w:bCs/>
          <w:color w:val="000000"/>
          <w:sz w:val="24"/>
          <w:szCs w:val="24"/>
          <w:lang w:val="en-US" w:eastAsia="en-GB"/>
        </w:rPr>
        <w:fldChar w:fldCharType="end"/>
      </w:r>
      <w:r w:rsidRPr="00813425">
        <w:rPr>
          <w:rFonts w:ascii="Times New Roman" w:eastAsia="Times New Roman" w:hAnsi="Times New Roman" w:cs="Times New Roman"/>
          <w:bCs/>
          <w:color w:val="000000"/>
          <w:sz w:val="24"/>
          <w:szCs w:val="24"/>
          <w:lang w:val="en-US" w:eastAsia="en-GB"/>
        </w:rPr>
        <w:t xml:space="preserve">. </w:t>
      </w:r>
      <w:r w:rsidR="0032109F" w:rsidRPr="00813425">
        <w:rPr>
          <w:rFonts w:ascii="Times New Roman" w:eastAsia="Times New Roman" w:hAnsi="Times New Roman" w:cs="Times New Roman"/>
          <w:bCs/>
          <w:color w:val="000000"/>
          <w:sz w:val="24"/>
          <w:szCs w:val="24"/>
          <w:lang w:val="en-US" w:eastAsia="en-GB"/>
        </w:rPr>
        <w:t xml:space="preserve">Perinatally infected </w:t>
      </w:r>
      <w:r w:rsidRPr="00813425">
        <w:rPr>
          <w:rFonts w:ascii="Times New Roman" w:eastAsia="Times New Roman" w:hAnsi="Times New Roman" w:cs="Times New Roman"/>
          <w:bCs/>
          <w:color w:val="000000"/>
          <w:sz w:val="24"/>
          <w:szCs w:val="24"/>
          <w:lang w:val="en-US" w:eastAsia="en-GB"/>
        </w:rPr>
        <w:t xml:space="preserve">CWH attending either of the two main public hospitals in Harare, Zimbabwe, were quota sampled, stratified by sex and three-year age band (8-10, 11-13, 14-16 years). </w:t>
      </w:r>
      <w:r w:rsidR="000B31B5" w:rsidRPr="00813425">
        <w:rPr>
          <w:rFonts w:ascii="Times New Roman" w:eastAsia="Times New Roman" w:hAnsi="Times New Roman" w:cs="Times New Roman"/>
          <w:bCs/>
          <w:color w:val="000000"/>
          <w:sz w:val="24"/>
          <w:szCs w:val="24"/>
          <w:lang w:val="en-US" w:eastAsia="en-GB"/>
        </w:rPr>
        <w:t xml:space="preserve">Perinatal infection was defined as HIV acquired since birth and not via blood transfusion or sex. </w:t>
      </w:r>
      <w:r w:rsidRPr="00813425">
        <w:rPr>
          <w:rFonts w:ascii="Times New Roman" w:eastAsia="Times New Roman" w:hAnsi="Times New Roman" w:cs="Times New Roman"/>
          <w:bCs/>
          <w:color w:val="000000"/>
          <w:sz w:val="24"/>
          <w:szCs w:val="24"/>
          <w:lang w:val="en-US" w:eastAsia="en-GB"/>
        </w:rPr>
        <w:t xml:space="preserve">Inclusion criteria were being established on anti-retroviral therapy (ART) for at least 2 years and being aware of their HIV status. Stratified random sampling was used to recruit CWOH from three primary and three secondary schools randomly selected from the 109 primary schools and 44 secondary schools serving the population residing within the same catchment area as the hospitals. The number of children selected from each school was proportional to school size. A random number sequence was generated, and school registers were used to select participants of similar age </w:t>
      </w:r>
      <w:r w:rsidRPr="00813425">
        <w:rPr>
          <w:rFonts w:ascii="Times New Roman" w:eastAsia="Times New Roman" w:hAnsi="Times New Roman" w:cs="Times New Roman"/>
          <w:bCs/>
          <w:color w:val="000000"/>
          <w:sz w:val="24"/>
          <w:szCs w:val="24"/>
          <w:lang w:val="en-US" w:eastAsia="en-GB"/>
        </w:rPr>
        <w:lastRenderedPageBreak/>
        <w:t>and sex as the CWH using the same quota- based approach of 50 male and 50 female in each of the three age strata. CWOH were tested for HIV to confirm their status and excluded if positive. Those with acute illness requiring hospitalization, and who had no parental consent were excluded.</w:t>
      </w:r>
    </w:p>
    <w:p w14:paraId="6364DCAC" w14:textId="77777777" w:rsidR="00C95A78" w:rsidRPr="00813425" w:rsidRDefault="00C95A78" w:rsidP="0082668C">
      <w:pPr>
        <w:rPr>
          <w:rFonts w:ascii="Times New Roman" w:hAnsi="Times New Roman" w:cs="Times New Roman"/>
          <w:b/>
          <w:sz w:val="24"/>
          <w:szCs w:val="24"/>
          <w:lang w:val="en-US" w:eastAsia="en-GB"/>
        </w:rPr>
      </w:pPr>
      <w:bookmarkStart w:id="9" w:name="_Toc139513439"/>
      <w:r w:rsidRPr="00813425">
        <w:rPr>
          <w:rFonts w:ascii="Times New Roman" w:hAnsi="Times New Roman" w:cs="Times New Roman"/>
          <w:b/>
          <w:sz w:val="24"/>
          <w:szCs w:val="24"/>
          <w:lang w:val="en-US" w:eastAsia="en-GB"/>
        </w:rPr>
        <w:t>Study Procedures</w:t>
      </w:r>
      <w:bookmarkEnd w:id="9"/>
    </w:p>
    <w:p w14:paraId="6364DCAD" w14:textId="75CB735F" w:rsidR="00C95A78" w:rsidRPr="00813425" w:rsidRDefault="00C95A78" w:rsidP="00C95A78">
      <w:pPr>
        <w:spacing w:before="100" w:beforeAutospacing="1" w:after="0" w:afterAutospacing="1" w:line="480" w:lineRule="auto"/>
        <w:rPr>
          <w:rFonts w:ascii="Times New Roman" w:eastAsia="Times New Roman" w:hAnsi="Times New Roman" w:cs="Times New Roman"/>
          <w:bCs/>
          <w:color w:val="000000"/>
          <w:sz w:val="24"/>
          <w:szCs w:val="24"/>
          <w:lang w:val="en-US" w:eastAsia="en-GB"/>
        </w:rPr>
      </w:pPr>
      <w:r w:rsidRPr="00813425">
        <w:rPr>
          <w:rFonts w:ascii="Times New Roman" w:eastAsia="Times New Roman" w:hAnsi="Times New Roman" w:cs="Times New Roman"/>
          <w:bCs/>
          <w:iCs/>
          <w:color w:val="000000"/>
          <w:sz w:val="24"/>
          <w:szCs w:val="24"/>
          <w:lang w:val="en-US" w:eastAsia="en-GB"/>
        </w:rPr>
        <w:t>Baseline</w:t>
      </w:r>
      <w:r w:rsidRPr="00813425">
        <w:rPr>
          <w:rFonts w:ascii="Times New Roman" w:eastAsia="Times New Roman" w:hAnsi="Times New Roman" w:cs="Times New Roman"/>
          <w:b/>
          <w:bCs/>
          <w:iCs/>
          <w:color w:val="000000"/>
          <w:sz w:val="24"/>
          <w:szCs w:val="24"/>
          <w:lang w:val="en-US" w:eastAsia="en-GB"/>
        </w:rPr>
        <w:t xml:space="preserve"> </w:t>
      </w:r>
      <w:r w:rsidRPr="00813425">
        <w:rPr>
          <w:rFonts w:ascii="Times New Roman" w:eastAsia="Times New Roman" w:hAnsi="Times New Roman" w:cs="Times New Roman"/>
          <w:bCs/>
          <w:iCs/>
          <w:color w:val="000000"/>
          <w:sz w:val="24"/>
          <w:szCs w:val="24"/>
          <w:lang w:val="en-US" w:eastAsia="en-GB"/>
        </w:rPr>
        <w:t xml:space="preserve">data were collected from May 2018 to January 2020, and follow-up from May 2019 to January 2021. Study procedures </w:t>
      </w:r>
      <w:r w:rsidRPr="00813425">
        <w:rPr>
          <w:rFonts w:ascii="Times New Roman" w:eastAsia="Times New Roman" w:hAnsi="Times New Roman" w:cs="Times New Roman"/>
          <w:bCs/>
          <w:iCs/>
          <w:color w:val="000000"/>
          <w:sz w:val="24"/>
          <w:szCs w:val="24"/>
          <w:lang w:eastAsia="en-GB"/>
        </w:rPr>
        <w:t xml:space="preserve">at the baseline and follow-up visits were the same, as previously described </w:t>
      </w:r>
      <w:r w:rsidRPr="00813425">
        <w:rPr>
          <w:rFonts w:ascii="Times New Roman" w:eastAsia="Times New Roman" w:hAnsi="Times New Roman" w:cs="Times New Roman"/>
          <w:bCs/>
          <w:color w:val="000000"/>
          <w:sz w:val="24"/>
          <w:szCs w:val="24"/>
          <w:lang w:val="en-US" w:eastAsia="en-GB"/>
        </w:rPr>
        <w:fldChar w:fldCharType="begin" w:fldLock="1"/>
      </w:r>
      <w:r w:rsidRPr="00813425">
        <w:rPr>
          <w:rFonts w:ascii="Times New Roman" w:eastAsia="Times New Roman" w:hAnsi="Times New Roman" w:cs="Times New Roman"/>
          <w:bCs/>
          <w:color w:val="000000"/>
          <w:sz w:val="24"/>
          <w:szCs w:val="24"/>
          <w:lang w:val="en-US" w:eastAsia="en-GB"/>
        </w:rPr>
        <w:instrText>ADDIN CSL_CITATION {"citationItems":[{"id":"ITEM-1","itemData":{"DOI":"10.1136/bmjopen-2019-031792","author":[{"dropping-particle":"","family":"Rukuni","given":"Ruramayi","non-dropping-particle":"","parse-names":false,"suffix":""},{"dropping-particle":"","family":"Gregson","given":"Celia","non-dropping-particle":"","parse-names":false,"suffix":""},{"dropping-particle":"","family":"Kahari","given":"Cynthia","non-dropping-particle":"","parse-names":false,"suffix":""},{"dropping-particle":"","family":"Kowo","given":"Farirayi","non-dropping-particle":"","parse-names":false,"suffix":""},{"dropping-particle":"","family":"Mchugh","given":"Grace","non-dropping-particle":"","parse-names":false,"suffix":""},{"dropping-particle":"","family":"Munyati","given":"Shungu","non-dropping-particle":"","parse-names":false,"suffix":""},{"dropping-particle":"","family":"Mujuru","given":"Hilda","non-dropping-particle":"","parse-names":false,"suffix":""},{"dropping-particle":"","family":"Ward","given":"Kate","non-dropping-particle":"","parse-names":false,"suffix":""},{"dropping-particle":"","family":"Filteau","given":"Suzanne","non-dropping-particle":"","parse-names":false,"suffix":""}],"container-title":"BMJ open","id":"ITEM-1","issued":{"date-parts":[["2020"]]},"page":"1-10","title":"The IMpact of Vertical HIV infection on child and Adolescent SKeletal development in Harare , Zimbabwe ( IMVASK Study ): a protocol for a prospective cohort study","type":"article-journal","volume":"10"},"uris":["http://www.mendeley.com/documents/?uuid=8690e3e8-10c5-4790-b3be-d220d27f0807","http://www.mendeley.com/documents/?uuid=38be1819-b0a5-4a40-b728-e77e5f0a4a99"]},{"id":"ITEM-2","itemData":{"DOI":"10.1016/S2352-4642(21)00133-4","ISSN":"23524642","PMID":"34139202","abstract":"Background: Faltered linear growth and pubertal delay, which are both common in children with HIV in sub-Saharan Africa, might affect adolescent bone accrual and future fragility fracture risk. We investigated the association of HIV with bone density adjusted for skeletal size in peripubertal children in Zimbabwe. Methods: We did a cross-sectional study of baseline data from the IMVASK cohort, which enrolled children aged 8–16 years with HIV who had been taking antiretroviral therapy (ART) for at least 2 years, and children of the same age without HIV. Children with HIV were recruited from public sector HIV clinics at Parirenyatwa General Hospital and Harare Central Hospital (Harare, Zimbabwe), and children without HIV were recruited from six schools in the same suburbs that the hospitals serve. Sociodemographic, clinical, and anthropometric data were collected. Dual-energy X-ray absorptiometry (DXA) was used to measure the bone outcomes of total-body less-head bone mineral content for lean mass adjusted for height (TBLH-BMCLBM), and lumbar spine bone mineral apparent density (LS-BMAD), and we assessed the prevalence of low TBLH-BMCLBM and low LS-BMAD (defined by Z-scores of less than −2·0). Size adjustment techniques were used to overcome the size dependence of DXA measurement. We used linear regression models, with multiple imputation for missing data, to assess relationships between risk factors and TBLH-BMCLBM and LS-BMAD Z-scores in children with and without HIV. Findings: We recruited 303 children with HIV (mean age 12·4 years [SD 2·5]; 151 [50%] girls) and 306 children without HIV (mean age 12·5 years [SD 2·5]; 155 [51%] girls). In children with HIV, median age of HIV diagnosis was 3·0 years (IQR 1·2–5·8), and median ART duration was 8·1 years (6·2–9·5); for 102 (34%) children, ART included tenofovir disoproxil fumarate (TDF). Children with HIV had a higher prevalence of low TBLH-BMCLBM Z-score than children without HIV (29 [10%] of 279 children with available data vs 18 [6%] of 292 with available data; p=0·066) and a higher prevalence of low LS-BMAD Z-score (40 [14%] of 279 vs 17 [6%] of 293 with available data; p=0·0007). HIV and male sex were associated with earlier pubertal (Tanner) stage. The negative associations between HIV and Z-scores for TBLH-BMCLBM and LS-BMAD were more pronounced with pubertal maturation, particularly in girls. Among children with HIV, TDF exposure and orphanhood were associated with lower TBLH-BMCLBM Z-score in confo…","author":[{"dropping-particle":"","family":"Rukuni","given":"Ruramayi","non-dropping-particle":"","parse-names":false,"suffix":""},{"dropping-particle":"","family":"Rehman","given":"Andrea M.","non-dropping-particle":"","parse-names":false,"suffix":""},{"dropping-particle":"","family":"Mukwasi-Kahari","given":"Cynthia","non-dropping-particle":"","parse-names":false,"suffix":""},{"dropping-particle":"","family":"Madanhire","given":"Tafadzwa","non-dropping-particle":"","parse-names":false,"suffix":""},{"dropping-particle":"","family":"Kowo-Nyakoko","given":"Farirayi","non-dropping-particle":"","parse-names":false,"suffix":""},{"dropping-particle":"","family":"McHugh","given":"Grace","non-dropping-particle":"","parse-names":false,"suffix":""},{"dropping-particle":"","family":"Filteau","given":"Suzanne","non-dropping-particle":"","parse-names":false,"suffix":""},{"dropping-particle":"","family":"Chipanga","given":"Joseph","non-dropping-particle":"","parse-names":false,"suffix":""},{"dropping-particle":"","family":"Simms","given":"Victoria","non-dropping-particle":"","parse-names":false,"suffix":""},{"dropping-particle":"","family":"Mujuru","given":"Hilda","non-dropping-particle":"","parse-names":false,"suffix":""},{"dropping-particle":"","family":"Ward","given":"Kate A.","non-dropping-particle":"","parse-names":false,"suffix":""},{"dropping-particle":"","family":"Ferrand","given":"Rashida A.","non-dropping-particle":"","parse-names":false,"suffix":""},{"dropping-particle":"","family":"Gregson","given":"Celia L.","non-dropping-particle":"","parse-names":false,"suffix":""}],"container-title":"The Lancet Child and Adolescent Health","id":"ITEM-2","issue":"8","issued":{"date-parts":[["2021"]]},"page":"569-581","publisher":"The Author(s). Published by Elsevier Ltd. This is an Open Access article under the CC BY 4.0 license","title":"Effect of HIV infection on growth and bone density in peripubertal children in the era of antiretroviral therapy: a cross-sectional study in Zimbabwe","type":"article-journal","volume":"5"},"uris":["http://www.mendeley.com/documents/?uuid=77b44533-3aaa-4da8-83d4-68aa7215869f"]}],"mendeley":{"formattedCitation":"(7,13)","plainTextFormattedCitation":"(7,13)","previouslyFormattedCitation":"(7,13)"},"properties":{"noteIndex":0},"schema":"https://github.com/citation-style-language/schema/raw/master/csl-citation.json"}</w:instrText>
      </w:r>
      <w:r w:rsidRPr="00813425">
        <w:rPr>
          <w:rFonts w:ascii="Times New Roman" w:eastAsia="Times New Roman" w:hAnsi="Times New Roman" w:cs="Times New Roman"/>
          <w:bCs/>
          <w:color w:val="000000"/>
          <w:sz w:val="24"/>
          <w:szCs w:val="24"/>
          <w:lang w:val="en-US" w:eastAsia="en-GB"/>
        </w:rPr>
        <w:fldChar w:fldCharType="separate"/>
      </w:r>
      <w:r w:rsidRPr="00813425">
        <w:rPr>
          <w:rFonts w:ascii="Times New Roman" w:eastAsia="Times New Roman" w:hAnsi="Times New Roman" w:cs="Times New Roman"/>
          <w:bCs/>
          <w:noProof/>
          <w:color w:val="000000"/>
          <w:sz w:val="24"/>
          <w:szCs w:val="24"/>
          <w:lang w:val="en-US" w:eastAsia="en-GB"/>
        </w:rPr>
        <w:t>(7,13)</w:t>
      </w:r>
      <w:r w:rsidRPr="00813425">
        <w:rPr>
          <w:rFonts w:ascii="Times New Roman" w:eastAsia="Times New Roman" w:hAnsi="Times New Roman" w:cs="Times New Roman"/>
          <w:bCs/>
          <w:color w:val="000000"/>
          <w:sz w:val="24"/>
          <w:szCs w:val="24"/>
          <w:lang w:val="en-US" w:eastAsia="en-GB"/>
        </w:rPr>
        <w:fldChar w:fldCharType="end"/>
      </w:r>
      <w:r w:rsidRPr="00813425">
        <w:rPr>
          <w:rFonts w:ascii="Times New Roman" w:eastAsia="Times New Roman" w:hAnsi="Times New Roman" w:cs="Times New Roman"/>
          <w:bCs/>
          <w:iCs/>
          <w:color w:val="000000"/>
          <w:sz w:val="24"/>
          <w:szCs w:val="24"/>
          <w:lang w:val="en-US" w:eastAsia="en-GB"/>
        </w:rPr>
        <w:t>.</w:t>
      </w:r>
      <w:r w:rsidRPr="00813425">
        <w:rPr>
          <w:rFonts w:ascii="Times New Roman" w:eastAsia="Times New Roman" w:hAnsi="Times New Roman" w:cs="Times New Roman"/>
          <w:b/>
          <w:bCs/>
          <w:i/>
          <w:iCs/>
          <w:color w:val="000000"/>
          <w:sz w:val="24"/>
          <w:szCs w:val="24"/>
          <w:lang w:val="en-US" w:eastAsia="en-GB"/>
        </w:rPr>
        <w:t xml:space="preserve"> </w:t>
      </w:r>
      <w:r w:rsidRPr="00813425">
        <w:rPr>
          <w:rFonts w:ascii="Times New Roman" w:eastAsia="Times New Roman" w:hAnsi="Times New Roman" w:cs="Times New Roman"/>
          <w:bCs/>
          <w:color w:val="000000"/>
          <w:sz w:val="24"/>
          <w:szCs w:val="24"/>
          <w:lang w:val="en-US" w:eastAsia="en-GB"/>
        </w:rPr>
        <w:t>Questionnaires</w:t>
      </w:r>
      <w:r w:rsidR="005932A7" w:rsidRPr="00813425">
        <w:rPr>
          <w:rFonts w:ascii="Times New Roman" w:eastAsia="Times New Roman" w:hAnsi="Times New Roman" w:cs="Times New Roman"/>
          <w:bCs/>
          <w:color w:val="000000"/>
          <w:sz w:val="24"/>
          <w:szCs w:val="24"/>
          <w:lang w:val="en-US" w:eastAsia="en-GB"/>
        </w:rPr>
        <w:t>, completed by the parents/guardians,</w:t>
      </w:r>
      <w:r w:rsidRPr="00813425">
        <w:rPr>
          <w:rFonts w:ascii="Times New Roman" w:eastAsia="Times New Roman" w:hAnsi="Times New Roman" w:cs="Times New Roman"/>
          <w:bCs/>
          <w:color w:val="000000"/>
          <w:sz w:val="24"/>
          <w:szCs w:val="24"/>
          <w:lang w:val="en-US" w:eastAsia="en-GB"/>
        </w:rPr>
        <w:t xml:space="preserve"> were used to collect demographic and clinical data including age, sex, orphanhood, socio-economic status (SES), medical history, physical activity patterns and dietary data concerning calcium and vitamin D intake. SES was derived using the first principal component combining a list of factors (number in household, head of household age, highest maternal and paternal education levels, household ownership, monthly household income, access to electricity, water supply, household sanitation and ownership of a fridge, bicycle, car, television, and/or radio) and was split into tertiles for analysis. Physical activity, assessed using the International Physical Activity Questionnaire (IPAQ) short version </w:t>
      </w:r>
      <w:r w:rsidRPr="00813425">
        <w:rPr>
          <w:rFonts w:ascii="Times New Roman" w:eastAsia="Times New Roman" w:hAnsi="Times New Roman" w:cs="Times New Roman"/>
          <w:bCs/>
          <w:color w:val="000000"/>
          <w:sz w:val="24"/>
          <w:szCs w:val="24"/>
          <w:lang w:val="en-US" w:eastAsia="en-GB"/>
        </w:rPr>
        <w:fldChar w:fldCharType="begin" w:fldLock="1"/>
      </w:r>
      <w:r w:rsidR="00F97376" w:rsidRPr="00813425">
        <w:rPr>
          <w:rFonts w:ascii="Times New Roman" w:eastAsia="Times New Roman" w:hAnsi="Times New Roman" w:cs="Times New Roman"/>
          <w:bCs/>
          <w:color w:val="000000"/>
          <w:sz w:val="24"/>
          <w:szCs w:val="24"/>
          <w:lang w:val="en-US" w:eastAsia="en-GB"/>
        </w:rPr>
        <w:instrText>ADDIN CSL_CITATION {"citationItems":[{"id":"ITEM-1","itemData":{"DOI":"10.1249/01.MSS.0000078924.61453.FB","author":[{"dropping-particle":"","family":"Craig","given":"Cora L","non-dropping-particle":"","parse-names":false,"suffix":""},{"dropping-particle":"","family":"Marshall","given":"Alison L","non-dropping-particle":"","parse-names":false,"suffix":""},{"dropping-particle":"","family":"Sjo","given":"Michael","non-dropping-particle":"","parse-names":false,"suffix":""},{"dropping-particle":"","family":"Sallis","given":"James F","non-dropping-particle":"","parse-names":false,"suffix":""},{"dropping-particle":"","family":"Oja","given":"Pekka","non-dropping-particle":"","parse-names":false,"suffix":""}],"container-title":"Medicine &amp; Science in Sports &amp; Exercise","id":"ITEM-1","issued":{"date-parts":[["2003"]]},"page":"1381 - 1395","title":"International Physical Activity Questionnaire : 12-Country Reliability and Validity","type":"article-journal","volume":"35"},"uris":["http://www.mendeley.com/documents/?uuid=51e973e5-acf7-4cf9-a178-6c11eb9adceb","http://www.mendeley.com/documents/?uuid=51c56656-2f10-4e51-8ed9-2b606e55c657"]}],"mendeley":{"formattedCitation":"(14)","plainTextFormattedCitation":"(14)","previouslyFormattedCitation":"(14)"},"properties":{"noteIndex":0},"schema":"https://github.com/citation-style-language/schema/raw/master/csl-citation.json"}</w:instrText>
      </w:r>
      <w:r w:rsidRPr="00813425">
        <w:rPr>
          <w:rFonts w:ascii="Times New Roman" w:eastAsia="Times New Roman" w:hAnsi="Times New Roman" w:cs="Times New Roman"/>
          <w:bCs/>
          <w:color w:val="000000"/>
          <w:sz w:val="24"/>
          <w:szCs w:val="24"/>
          <w:lang w:val="en-US" w:eastAsia="en-GB"/>
        </w:rPr>
        <w:fldChar w:fldCharType="separate"/>
      </w:r>
      <w:r w:rsidR="00D47FD7" w:rsidRPr="00813425">
        <w:rPr>
          <w:rFonts w:ascii="Times New Roman" w:eastAsia="Times New Roman" w:hAnsi="Times New Roman" w:cs="Times New Roman"/>
          <w:bCs/>
          <w:noProof/>
          <w:color w:val="000000"/>
          <w:sz w:val="24"/>
          <w:szCs w:val="24"/>
          <w:lang w:val="en-US" w:eastAsia="en-GB"/>
        </w:rPr>
        <w:t>(14)</w:t>
      </w:r>
      <w:r w:rsidRPr="00813425">
        <w:rPr>
          <w:rFonts w:ascii="Times New Roman" w:eastAsia="Times New Roman" w:hAnsi="Times New Roman" w:cs="Times New Roman"/>
          <w:bCs/>
          <w:color w:val="000000"/>
          <w:sz w:val="24"/>
          <w:szCs w:val="24"/>
          <w:lang w:val="en-US" w:eastAsia="en-GB"/>
        </w:rPr>
        <w:fldChar w:fldCharType="end"/>
      </w:r>
      <w:r w:rsidRPr="00813425">
        <w:rPr>
          <w:rFonts w:ascii="Times New Roman" w:eastAsia="Times New Roman" w:hAnsi="Times New Roman" w:cs="Times New Roman"/>
          <w:bCs/>
          <w:color w:val="000000"/>
          <w:sz w:val="24"/>
          <w:szCs w:val="24"/>
          <w:lang w:val="en-US" w:eastAsia="en-GB"/>
        </w:rPr>
        <w:t xml:space="preserve">, classified participants into low (&lt;600 metabolic rate (MET) minutes per week), moderate (600 to 3000 MET minutes per week) and vigorous intensity (3000 MET minutes per week). A diet and nutrition assessment food frequency tool, validated in India and Malawi </w:t>
      </w:r>
      <w:r w:rsidRPr="00813425">
        <w:rPr>
          <w:rFonts w:ascii="Times New Roman" w:eastAsia="Times New Roman" w:hAnsi="Times New Roman" w:cs="Times New Roman"/>
          <w:bCs/>
          <w:color w:val="000000"/>
          <w:sz w:val="24"/>
          <w:szCs w:val="24"/>
          <w:lang w:val="en-US" w:eastAsia="en-GB"/>
        </w:rPr>
        <w:fldChar w:fldCharType="begin" w:fldLock="1"/>
      </w:r>
      <w:r w:rsidR="00F97376" w:rsidRPr="00813425">
        <w:rPr>
          <w:rFonts w:ascii="Times New Roman" w:eastAsia="Times New Roman" w:hAnsi="Times New Roman" w:cs="Times New Roman"/>
          <w:bCs/>
          <w:color w:val="000000"/>
          <w:sz w:val="24"/>
          <w:szCs w:val="24"/>
          <w:lang w:val="en-US" w:eastAsia="en-GB"/>
        </w:rPr>
        <w:instrText>ADDIN CSL_CITATION {"citationItems":[{"id":"ITEM-1","itemData":{"DOI":"10.1136/bmjopen-2015-009268","author":[{"dropping-particle":"","family":"Filteau","given":"Suzanne","non-dropping-particle":"","parse-names":false,"suffix":""},{"dropping-particle":"","family":"Rehman","given":"Andrea M","non-dropping-particle":"","parse-names":false,"suffix":""},{"dropping-particle":"","family":"Yousafzai","given":"Aisha","non-dropping-particle":"","parse-names":false,"suffix":""},{"dropping-particle":"","family":"Chugh","given":"Reema","non-dropping-particle":"","parse-names":false,"suffix":""},{"dropping-particle":"","family":"Kaur","given":"Manpreet","non-dropping-particle":"","parse-names":false,"suffix":""},{"dropping-particle":"","family":"Sachdev","given":"H P S","non-dropping-particle":"","parse-names":false,"suffix":""},{"dropping-particle":"","family":"Trilok-kumar","given":"Geeta","non-dropping-particle":"","parse-names":false,"suffix":""}],"container-title":"BMJ open","id":"ITEM-1","issued":{"date-parts":[["2016"]]},"page":"e009268","title":"Associations of vitamin D status , bone health and anthropometry , with gross motor development and performance of school-aged Indian children who were born at term with low birth weight","type":"article-journal","volume":"6"},"uris":["http://www.mendeley.com/documents/?uuid=f03b34b1-e9c4-472e-910a-a9d2374acb8b"]}],"mendeley":{"formattedCitation":"(15)","plainTextFormattedCitation":"(15)","previouslyFormattedCitation":"(15)"},"properties":{"noteIndex":0},"schema":"https://github.com/citation-style-language/schema/raw/master/csl-citation.json"}</w:instrText>
      </w:r>
      <w:r w:rsidRPr="00813425">
        <w:rPr>
          <w:rFonts w:ascii="Times New Roman" w:eastAsia="Times New Roman" w:hAnsi="Times New Roman" w:cs="Times New Roman"/>
          <w:bCs/>
          <w:color w:val="000000"/>
          <w:sz w:val="24"/>
          <w:szCs w:val="24"/>
          <w:lang w:val="en-US" w:eastAsia="en-GB"/>
        </w:rPr>
        <w:fldChar w:fldCharType="separate"/>
      </w:r>
      <w:r w:rsidR="00D47FD7" w:rsidRPr="00813425">
        <w:rPr>
          <w:rFonts w:ascii="Times New Roman" w:eastAsia="Times New Roman" w:hAnsi="Times New Roman" w:cs="Times New Roman"/>
          <w:bCs/>
          <w:noProof/>
          <w:color w:val="000000"/>
          <w:sz w:val="24"/>
          <w:szCs w:val="24"/>
          <w:lang w:val="en-US" w:eastAsia="en-GB"/>
        </w:rPr>
        <w:t>(15)</w:t>
      </w:r>
      <w:r w:rsidRPr="00813425">
        <w:rPr>
          <w:rFonts w:ascii="Times New Roman" w:eastAsia="Times New Roman" w:hAnsi="Times New Roman" w:cs="Times New Roman"/>
          <w:bCs/>
          <w:color w:val="000000"/>
          <w:sz w:val="24"/>
          <w:szCs w:val="24"/>
          <w:lang w:val="en-US" w:eastAsia="en-GB"/>
        </w:rPr>
        <w:fldChar w:fldCharType="end"/>
      </w:r>
      <w:r w:rsidRPr="00813425">
        <w:rPr>
          <w:rFonts w:ascii="Times New Roman" w:eastAsia="Times New Roman" w:hAnsi="Times New Roman" w:cs="Times New Roman"/>
          <w:bCs/>
          <w:color w:val="000000"/>
          <w:sz w:val="24"/>
          <w:szCs w:val="24"/>
          <w:lang w:val="en-US" w:eastAsia="en-GB"/>
        </w:rPr>
        <w:t xml:space="preserve"> and then adapted to the Zimbabwean context with international guidelines applicable to sub-Saharan Africa, was used to quantify dietary calcium and vitamin D intake </w:t>
      </w:r>
      <w:r w:rsidRPr="00813425">
        <w:rPr>
          <w:rFonts w:ascii="Times New Roman" w:eastAsia="Times New Roman" w:hAnsi="Times New Roman" w:cs="Times New Roman"/>
          <w:bCs/>
          <w:color w:val="000000"/>
          <w:sz w:val="24"/>
          <w:szCs w:val="24"/>
          <w:lang w:val="en-US" w:eastAsia="en-GB"/>
        </w:rPr>
        <w:fldChar w:fldCharType="begin" w:fldLock="1"/>
      </w:r>
      <w:r w:rsidR="00F97376" w:rsidRPr="00813425">
        <w:rPr>
          <w:rFonts w:ascii="Times New Roman" w:eastAsia="Times New Roman" w:hAnsi="Times New Roman" w:cs="Times New Roman"/>
          <w:bCs/>
          <w:color w:val="000000"/>
          <w:sz w:val="24"/>
          <w:szCs w:val="24"/>
          <w:lang w:val="en-US" w:eastAsia="en-GB"/>
        </w:rPr>
        <w:instrText>ADDIN CSL_CITATION {"citationItems":[{"id":"ITEM-1","itemData":{"ISBN":"1873-3573 (Electronic)\\r0039-9140 (Linking)","ISSN":"1524-4628","PMID":"18371751","abstract":"Atorvastatin calcium (ATC) is the active pharmaceutical ingredient (API) of the best selling lipid-lowering formulation Lipitor. Twelve ATC crystal forms are known and several pharmaceutical companies are developing or have developed generic drug formulations based on different ATC polymorphs. The strong overlap of the X-ray diffraction patterns (XRD) of the polymorphs with the respective patterns of the excipients, the presence of small API quantities in the tablet and the similarity of the crystal phase VIII XRD pattern used in the tablet examined in this work to that of phases IV and IX made identification difficult. Quantitative determination of ATC was attempted using Raman spectroscopy (RS), IR spectroscopy and X-ray powder diffraction. It was found that RS exhibited lower detection limit and a calibration model was constructed. Its application on commercial ATC tablets with 40mg strength yielded an error of 1.25%.","author":[{"dropping-particle":"","family":"FANTA","given":"","non-dropping-particle":"","parse-names":false,"suffix":""}],"container-title":"Food and Nutrition Technical Assistance Project (FANTA)","id":"ITEM-1","issued":{"date-parts":[["2006"]]},"page":"1-99","title":"Developing and Validating Simple Indicators of Dietary Quality and Energy Intake of Infants and Young Children in Developing Countries: Summary of findings from analysis of 10 data sets","type":"article-journal"},"uris":["http://www.mendeley.com/documents/?uuid=b122a321-f8e8-42c5-ac33-543df463a99c"]}],"mendeley":{"formattedCitation":"(16)","plainTextFormattedCitation":"(16)","previouslyFormattedCitation":"(16)"},"properties":{"noteIndex":0},"schema":"https://github.com/citation-style-language/schema/raw/master/csl-citation.json"}</w:instrText>
      </w:r>
      <w:r w:rsidRPr="00813425">
        <w:rPr>
          <w:rFonts w:ascii="Times New Roman" w:eastAsia="Times New Roman" w:hAnsi="Times New Roman" w:cs="Times New Roman"/>
          <w:bCs/>
          <w:color w:val="000000"/>
          <w:sz w:val="24"/>
          <w:szCs w:val="24"/>
          <w:lang w:val="en-US" w:eastAsia="en-GB"/>
        </w:rPr>
        <w:fldChar w:fldCharType="separate"/>
      </w:r>
      <w:r w:rsidR="00D47FD7" w:rsidRPr="00813425">
        <w:rPr>
          <w:rFonts w:ascii="Times New Roman" w:eastAsia="Times New Roman" w:hAnsi="Times New Roman" w:cs="Times New Roman"/>
          <w:bCs/>
          <w:noProof/>
          <w:color w:val="000000"/>
          <w:sz w:val="24"/>
          <w:szCs w:val="24"/>
          <w:lang w:val="en-US" w:eastAsia="en-GB"/>
        </w:rPr>
        <w:t>(16)</w:t>
      </w:r>
      <w:r w:rsidRPr="00813425">
        <w:rPr>
          <w:rFonts w:ascii="Times New Roman" w:eastAsia="Times New Roman" w:hAnsi="Times New Roman" w:cs="Times New Roman"/>
          <w:bCs/>
          <w:color w:val="000000"/>
          <w:sz w:val="24"/>
          <w:szCs w:val="24"/>
          <w:lang w:val="en-US" w:eastAsia="en-GB"/>
        </w:rPr>
        <w:fldChar w:fldCharType="end"/>
      </w:r>
      <w:r w:rsidRPr="00813425">
        <w:rPr>
          <w:rFonts w:ascii="Times New Roman" w:eastAsia="Times New Roman" w:hAnsi="Times New Roman" w:cs="Times New Roman"/>
          <w:bCs/>
          <w:color w:val="000000"/>
          <w:sz w:val="24"/>
          <w:szCs w:val="24"/>
          <w:lang w:val="en-US" w:eastAsia="en-GB"/>
        </w:rPr>
        <w:t xml:space="preserve">.  The mandatory fortification of oils and margarine with vitamin D in Zimbabwe was included in the adaptation. Daily dietary calcium intake was classified as very low (&lt;150mg/day), low (150-299mg/day) and moderate (300–450 mg/day). Daily dietary vitamin D intake was classified as very low (&lt;4.0mcg/day), low (4.0-5.9mcg/day) and moderate (6.0-8.0mcg/day) </w:t>
      </w:r>
      <w:r w:rsidRPr="00813425">
        <w:rPr>
          <w:rFonts w:ascii="Times New Roman" w:eastAsia="Times New Roman" w:hAnsi="Times New Roman" w:cs="Times New Roman"/>
          <w:bCs/>
          <w:color w:val="000000"/>
          <w:sz w:val="24"/>
          <w:szCs w:val="24"/>
          <w:lang w:val="en-US" w:eastAsia="en-GB"/>
        </w:rPr>
        <w:fldChar w:fldCharType="begin" w:fldLock="1"/>
      </w:r>
      <w:r w:rsidR="00F97376" w:rsidRPr="00813425">
        <w:rPr>
          <w:rFonts w:ascii="Times New Roman" w:eastAsia="Times New Roman" w:hAnsi="Times New Roman" w:cs="Times New Roman"/>
          <w:bCs/>
          <w:color w:val="000000"/>
          <w:sz w:val="24"/>
          <w:szCs w:val="24"/>
          <w:lang w:val="en-US" w:eastAsia="en-GB"/>
        </w:rPr>
        <w:instrText>ADDIN CSL_CITATION {"citationItems":[{"id":"ITEM-1","itemData":{"ISBN":"1873-3573 (Electronic)\\r0039-9140 (Linking)","ISSN":"1524-4628","PMID":"18371751","abstract":"Atorvastatin calcium (ATC) is the active pharmaceutical ingredient (API) of the best selling lipid-lowering formulation Lipitor. Twelve ATC crystal forms are known and several pharmaceutical companies are developing or have developed generic drug formulations based on different ATC polymorphs. The strong overlap of the X-ray diffraction patterns (XRD) of the polymorphs with the respective patterns of the excipients, the presence of small API quantities in the tablet and the similarity of the crystal phase VIII XRD pattern used in the tablet examined in this work to that of phases IV and IX made identification difficult. Quantitative determination of ATC was attempted using Raman spectroscopy (RS), IR spectroscopy and X-ray powder diffraction. It was found that RS exhibited lower detection limit and a calibration model was constructed. Its application on commercial ATC tablets with 40mg strength yielded an error of 1.25%.","author":[{"dropping-particle":"","family":"FANTA","given":"","non-dropping-particle":"","parse-names":false,"suffix":""}],"container-title":"Food and Nutrition Technical Assistance Project (FANTA)","id":"ITEM-1","issued":{"date-parts":[["2006"]]},"page":"1-99","title":"Developing and Validating Simple Indicators of Dietary Quality and Energy Intake of Infants and Young Children in Developing Countries: Summary of findings from analysis of 10 data sets","type":"article-journal"},"uris":["http://www.mendeley.com/documents/?uuid=b122a321-f8e8-42c5-ac33-543df463a99c"]}],"mendeley":{"formattedCitation":"(16)","plainTextFormattedCitation":"(16)","previouslyFormattedCitation":"(16)"},"properties":{"noteIndex":0},"schema":"https://github.com/citation-style-language/schema/raw/master/csl-citation.json"}</w:instrText>
      </w:r>
      <w:r w:rsidRPr="00813425">
        <w:rPr>
          <w:rFonts w:ascii="Times New Roman" w:eastAsia="Times New Roman" w:hAnsi="Times New Roman" w:cs="Times New Roman"/>
          <w:bCs/>
          <w:color w:val="000000"/>
          <w:sz w:val="24"/>
          <w:szCs w:val="24"/>
          <w:lang w:val="en-US" w:eastAsia="en-GB"/>
        </w:rPr>
        <w:fldChar w:fldCharType="separate"/>
      </w:r>
      <w:r w:rsidR="00D47FD7" w:rsidRPr="00813425">
        <w:rPr>
          <w:rFonts w:ascii="Times New Roman" w:eastAsia="Times New Roman" w:hAnsi="Times New Roman" w:cs="Times New Roman"/>
          <w:bCs/>
          <w:noProof/>
          <w:color w:val="000000"/>
          <w:sz w:val="24"/>
          <w:szCs w:val="24"/>
          <w:lang w:val="en-US" w:eastAsia="en-GB"/>
        </w:rPr>
        <w:t>(16)</w:t>
      </w:r>
      <w:r w:rsidRPr="00813425">
        <w:rPr>
          <w:rFonts w:ascii="Times New Roman" w:eastAsia="Times New Roman" w:hAnsi="Times New Roman" w:cs="Times New Roman"/>
          <w:bCs/>
          <w:color w:val="000000"/>
          <w:sz w:val="24"/>
          <w:szCs w:val="24"/>
          <w:lang w:val="en-US" w:eastAsia="en-GB"/>
        </w:rPr>
        <w:fldChar w:fldCharType="end"/>
      </w:r>
      <w:r w:rsidRPr="00813425">
        <w:rPr>
          <w:rFonts w:ascii="Times New Roman" w:eastAsia="Times New Roman" w:hAnsi="Times New Roman" w:cs="Times New Roman"/>
          <w:bCs/>
          <w:color w:val="000000"/>
          <w:sz w:val="24"/>
          <w:szCs w:val="24"/>
          <w:lang w:val="en-US" w:eastAsia="en-GB"/>
        </w:rPr>
        <w:t xml:space="preserve">. </w:t>
      </w:r>
    </w:p>
    <w:p w14:paraId="6364DCAE" w14:textId="4E84787E" w:rsidR="00C95A78" w:rsidRPr="00813425" w:rsidRDefault="00C95A78" w:rsidP="00C95A78">
      <w:pPr>
        <w:spacing w:before="100" w:beforeAutospacing="1" w:after="0" w:afterAutospacing="1" w:line="480" w:lineRule="auto"/>
        <w:rPr>
          <w:rFonts w:ascii="Times New Roman" w:eastAsia="Times New Roman" w:hAnsi="Times New Roman" w:cs="Times New Roman"/>
          <w:bCs/>
          <w:i/>
          <w:iCs/>
          <w:color w:val="000000"/>
          <w:sz w:val="24"/>
          <w:szCs w:val="24"/>
          <w:lang w:val="en-US" w:eastAsia="en-GB"/>
        </w:rPr>
      </w:pPr>
      <w:r w:rsidRPr="00813425">
        <w:rPr>
          <w:rFonts w:ascii="Times New Roman" w:eastAsia="Times New Roman" w:hAnsi="Times New Roman" w:cs="Times New Roman"/>
          <w:bCs/>
          <w:color w:val="000000"/>
          <w:sz w:val="24"/>
          <w:szCs w:val="24"/>
          <w:lang w:val="en-US" w:eastAsia="en-GB"/>
        </w:rPr>
        <w:lastRenderedPageBreak/>
        <w:t xml:space="preserve">Puberty was assessed by a trained study nurse or doctor using </w:t>
      </w:r>
      <w:proofErr w:type="gramStart"/>
      <w:r w:rsidRPr="00813425">
        <w:rPr>
          <w:rFonts w:ascii="Times New Roman" w:eastAsia="Times New Roman" w:hAnsi="Times New Roman" w:cs="Times New Roman"/>
          <w:bCs/>
          <w:color w:val="000000"/>
          <w:sz w:val="24"/>
          <w:szCs w:val="24"/>
          <w:lang w:val="en-US" w:eastAsia="en-GB"/>
        </w:rPr>
        <w:t>Tanner</w:t>
      </w:r>
      <w:proofErr w:type="gramEnd"/>
      <w:r w:rsidRPr="00813425">
        <w:rPr>
          <w:rFonts w:ascii="Times New Roman" w:eastAsia="Times New Roman" w:hAnsi="Times New Roman" w:cs="Times New Roman"/>
          <w:bCs/>
          <w:color w:val="000000"/>
          <w:sz w:val="24"/>
          <w:szCs w:val="24"/>
          <w:lang w:val="en-US" w:eastAsia="en-GB"/>
        </w:rPr>
        <w:t xml:space="preserve"> staging. For males, testicular volume, penile size (length and circumference) and pubic hair growth (quality, distribution and length) were assessed. For females, breast growth (size and contour) as well as pubic hair growth and age of menarche were assessed. Testicular, breast and penile growth were graded from 1-5 based on Tanner descriptions </w:t>
      </w:r>
      <w:r w:rsidRPr="00813425">
        <w:rPr>
          <w:rFonts w:ascii="Times New Roman" w:eastAsia="Times New Roman" w:hAnsi="Times New Roman" w:cs="Times New Roman"/>
          <w:bCs/>
          <w:color w:val="000000"/>
          <w:sz w:val="24"/>
          <w:szCs w:val="24"/>
          <w:lang w:val="en-US" w:eastAsia="en-GB"/>
        </w:rPr>
        <w:fldChar w:fldCharType="begin" w:fldLock="1"/>
      </w:r>
      <w:r w:rsidR="00F97376" w:rsidRPr="00813425">
        <w:rPr>
          <w:rFonts w:ascii="Times New Roman" w:eastAsia="Times New Roman" w:hAnsi="Times New Roman" w:cs="Times New Roman"/>
          <w:bCs/>
          <w:color w:val="000000"/>
          <w:sz w:val="24"/>
          <w:szCs w:val="24"/>
          <w:lang w:val="en-US" w:eastAsia="en-GB"/>
        </w:rPr>
        <w:instrText>ADDIN CSL_CITATION {"citationItems":[{"id":"ITEM-1","itemData":{"DOI":"10.1136/adc.44.235.291","ISSN":"00039888","PMID":"5785179","abstract":"Mixed longitudinal data on the physical changes at puberty in 192 normal girls are presented, together with pictorial standards for stages of breast and pubic hair development. The first sign of puberty (i.e. either breast or pubic hair development) appeared between the ages of 8.5 years and 13 years in 95% of girls, and the breasts reached the mature stage between 11.8 and 18.9 years. The mean ages at which the intermediate stages of breast and pubic hair development were reached are given; all had standard deviations of approximately 1 year. The mean age at peak height velocity (i.e. the maximum rate of growth in stature) was 12.14 ± ±0.14 (SD =0.88) and the mean age at menarche was 13.47 ± 0.10 (SD = 1.02). The limits of normal variation in the length of time which girls take to pass from one stage of breast or pubic hair development to another are given. The interval from the first sign of puberty to complete maturity varied from 1.5 years to over 6 years. The bud stage of breast development persisted for between 6 months and 2 years before further change took place. The mean interval from the beginning of breast development to menarche was 2.3 ± 0.1 years, but the range observed was 6 months to 5 years 9 months. The mean interval from the beginning of breast development to peak height velocity was 1.01 ±0.12 years (SD = 0.77). The limits of normal variation in the relation between breast and pubic hair development, the adolescent growth spurt, and menarche are described. Peak height velocity was reached very early in puberty by about 25% of girls, and in all cases it preceded menarche. 90% of girls had menstruated before their breasts reached the mature stage. Pubic hair was seen before breast development had begun in about a third of all girls. The use of these data in making a clinical distinction between normal and abnormal puberty is discussed, together with their relevance to the study of the neuro-endocrine mechanisms by which puberty is controlled.","author":[{"dropping-particle":"","family":"Marshall","given":"W. A.","non-dropping-particle":"","parse-names":false,"suffix":""},{"dropping-particle":"","family":"Tanner","given":"J. M.","non-dropping-particle":"","parse-names":false,"suffix":""}],"container-title":"Archives of Disease in Childhood","id":"ITEM-1","issued":{"date-parts":[["1969"]]},"page":"291-303","title":"Variations in pattern of pubertal changes in girls","type":"article-journal","volume":"44"},"uris":["http://www.mendeley.com/documents/?uuid=f4bc6bdd-3e1f-41a8-9338-968be640ae1f"]},{"id":"ITEM-2","itemData":{"ISSN":"10642307","abstract":"For any configuration of four convexly dependent, pairwise different beacons, it is established that the positioning of an object outside the plane of the beacons does not have singularities. In the case of an arbitrary strongly convex quadrangle of coplanar beacons, an algebraic surface is found such that a branch of a conic is a solution to the positioning problem for an object located on this surface. The equation of this surface is obtained, and a method of its focal construction is given. The stability of the solution and of the R-solution of the positioning problem is investigated. Copyright © 2005 by Pleiades Publishing, Inc.","author":[{"dropping-particle":"","family":"Marshall","given":"W. A.","non-dropping-particle":"","parse-names":false,"suffix":""},{"dropping-particle":"","family":"Tanner","given":"J. M.","non-dropping-particle":"","parse-names":false,"suffix":""}],"container-title":"Archives of Disease in Childhood,","id":"ITEM-2","issued":{"date-parts":[["1970"]]},"page":"13 - 23","title":"Variations in the Pattern of Pubertal Changes in Boys","type":"article-journal","volume":"45"},"uris":["http://www.mendeley.com/documents/?uuid=45cc6d12-aee5-46d9-991a-751205538e89"]}],"mendeley":{"formattedCitation":"(17,18)","plainTextFormattedCitation":"(17,18)","previouslyFormattedCitation":"(17,18)"},"properties":{"noteIndex":0},"schema":"https://github.com/citation-style-language/schema/raw/master/csl-citation.json"}</w:instrText>
      </w:r>
      <w:r w:rsidRPr="00813425">
        <w:rPr>
          <w:rFonts w:ascii="Times New Roman" w:eastAsia="Times New Roman" w:hAnsi="Times New Roman" w:cs="Times New Roman"/>
          <w:bCs/>
          <w:color w:val="000000"/>
          <w:sz w:val="24"/>
          <w:szCs w:val="24"/>
          <w:lang w:val="en-US" w:eastAsia="en-GB"/>
        </w:rPr>
        <w:fldChar w:fldCharType="separate"/>
      </w:r>
      <w:r w:rsidR="00D47FD7" w:rsidRPr="00813425">
        <w:rPr>
          <w:rFonts w:ascii="Times New Roman" w:eastAsia="Times New Roman" w:hAnsi="Times New Roman" w:cs="Times New Roman"/>
          <w:bCs/>
          <w:noProof/>
          <w:color w:val="000000"/>
          <w:sz w:val="24"/>
          <w:szCs w:val="24"/>
          <w:lang w:val="en-US" w:eastAsia="en-GB"/>
        </w:rPr>
        <w:t>(17,18)</w:t>
      </w:r>
      <w:r w:rsidRPr="00813425">
        <w:rPr>
          <w:rFonts w:ascii="Times New Roman" w:eastAsia="Times New Roman" w:hAnsi="Times New Roman" w:cs="Times New Roman"/>
          <w:bCs/>
          <w:color w:val="000000"/>
          <w:sz w:val="24"/>
          <w:szCs w:val="24"/>
          <w:lang w:val="en-US" w:eastAsia="en-GB"/>
        </w:rPr>
        <w:fldChar w:fldCharType="end"/>
      </w:r>
      <w:r w:rsidRPr="00813425">
        <w:rPr>
          <w:rFonts w:ascii="Times New Roman" w:eastAsia="Times New Roman" w:hAnsi="Times New Roman" w:cs="Times New Roman"/>
          <w:bCs/>
          <w:color w:val="000000"/>
          <w:sz w:val="24"/>
          <w:szCs w:val="24"/>
          <w:lang w:val="en-US" w:eastAsia="en-GB"/>
        </w:rPr>
        <w:t xml:space="preserve">. Where there was a discordance between the indicators, testicular and breast development stage respectively for males and females were used to assign Tanner stage. Participants were grouped into Tanner stages 1 and 2 (pre/early puberty) and </w:t>
      </w:r>
      <w:proofErr w:type="gramStart"/>
      <w:r w:rsidRPr="00813425">
        <w:rPr>
          <w:rFonts w:ascii="Times New Roman" w:eastAsia="Times New Roman" w:hAnsi="Times New Roman" w:cs="Times New Roman"/>
          <w:bCs/>
          <w:color w:val="000000"/>
          <w:sz w:val="24"/>
          <w:szCs w:val="24"/>
          <w:lang w:val="en-US" w:eastAsia="en-GB"/>
        </w:rPr>
        <w:t>Tanner</w:t>
      </w:r>
      <w:proofErr w:type="gramEnd"/>
      <w:r w:rsidRPr="00813425">
        <w:rPr>
          <w:rFonts w:ascii="Times New Roman" w:eastAsia="Times New Roman" w:hAnsi="Times New Roman" w:cs="Times New Roman"/>
          <w:bCs/>
          <w:color w:val="000000"/>
          <w:sz w:val="24"/>
          <w:szCs w:val="24"/>
          <w:lang w:val="en-US" w:eastAsia="en-GB"/>
        </w:rPr>
        <w:t xml:space="preserve"> stages 3 to 5 (mid/late puberty). A mean of 3 standing height measurements, to the nearest 0.1cm, using a</w:t>
      </w:r>
      <w:r w:rsidRPr="00813425">
        <w:rPr>
          <w:rFonts w:ascii="Times New Roman" w:eastAsia="Times New Roman" w:hAnsi="Times New Roman" w:cs="Times New Roman"/>
          <w:sz w:val="24"/>
          <w:szCs w:val="24"/>
          <w:lang w:val="en-GB" w:eastAsia="en-GB"/>
        </w:rPr>
        <w:t xml:space="preserve"> </w:t>
      </w:r>
      <w:r w:rsidRPr="00813425">
        <w:rPr>
          <w:rFonts w:ascii="Times New Roman" w:eastAsia="Times New Roman" w:hAnsi="Times New Roman" w:cs="Times New Roman"/>
          <w:bCs/>
          <w:color w:val="000000"/>
          <w:sz w:val="24"/>
          <w:szCs w:val="24"/>
          <w:lang w:val="en-US" w:eastAsia="en-GB"/>
        </w:rPr>
        <w:t xml:space="preserve">Seca 213 stadiometer (Hamburg, Germany) and a mean of 3 weight measurements, to the nearest 0.1kg, using a Seca 875 weight scale (Hamburg, Germany) were obtained. </w:t>
      </w:r>
      <w:r w:rsidR="00702E31" w:rsidRPr="00813425">
        <w:rPr>
          <w:rFonts w:ascii="Times New Roman" w:eastAsia="Times New Roman" w:hAnsi="Times New Roman" w:cs="Times New Roman"/>
          <w:bCs/>
          <w:color w:val="000000"/>
          <w:sz w:val="24"/>
          <w:szCs w:val="24"/>
          <w:lang w:val="en-US" w:eastAsia="en-GB"/>
        </w:rPr>
        <w:t>As</w:t>
      </w:r>
      <w:r w:rsidR="002F2167" w:rsidRPr="00813425">
        <w:rPr>
          <w:rFonts w:ascii="Times New Roman" w:eastAsia="Times New Roman" w:hAnsi="Times New Roman" w:cs="Times New Roman"/>
          <w:bCs/>
          <w:color w:val="000000"/>
          <w:sz w:val="24"/>
          <w:szCs w:val="24"/>
          <w:lang w:val="en-US" w:eastAsia="en-GB"/>
        </w:rPr>
        <w:t xml:space="preserve"> World Health Organi</w:t>
      </w:r>
      <w:r w:rsidR="002D754E" w:rsidRPr="00813425">
        <w:rPr>
          <w:rFonts w:ascii="Times New Roman" w:eastAsia="Times New Roman" w:hAnsi="Times New Roman" w:cs="Times New Roman"/>
          <w:bCs/>
          <w:color w:val="000000"/>
          <w:sz w:val="24"/>
          <w:szCs w:val="24"/>
          <w:lang w:val="en-US" w:eastAsia="en-GB"/>
        </w:rPr>
        <w:t>z</w:t>
      </w:r>
      <w:r w:rsidR="002F2167" w:rsidRPr="00813425">
        <w:rPr>
          <w:rFonts w:ascii="Times New Roman" w:eastAsia="Times New Roman" w:hAnsi="Times New Roman" w:cs="Times New Roman"/>
          <w:bCs/>
          <w:color w:val="000000"/>
          <w:sz w:val="24"/>
          <w:szCs w:val="24"/>
          <w:lang w:val="en-US" w:eastAsia="en-GB"/>
        </w:rPr>
        <w:t xml:space="preserve">ation data for WAZ are not available beyond 10 years of age </w:t>
      </w:r>
      <w:r w:rsidR="00E32C6A" w:rsidRPr="00813425">
        <w:rPr>
          <w:rFonts w:ascii="Times New Roman" w:eastAsia="Times New Roman" w:hAnsi="Times New Roman" w:cs="Times New Roman"/>
          <w:bCs/>
          <w:color w:val="000000"/>
          <w:sz w:val="24"/>
          <w:szCs w:val="24"/>
          <w:lang w:val="en-US" w:eastAsia="en-GB"/>
        </w:rPr>
        <w:fldChar w:fldCharType="begin" w:fldLock="1"/>
      </w:r>
      <w:r w:rsidR="00F97376" w:rsidRPr="00813425">
        <w:rPr>
          <w:rFonts w:ascii="Times New Roman" w:eastAsia="Times New Roman" w:hAnsi="Times New Roman" w:cs="Times New Roman"/>
          <w:bCs/>
          <w:color w:val="000000"/>
          <w:sz w:val="24"/>
          <w:szCs w:val="24"/>
          <w:lang w:val="en-US" w:eastAsia="en-GB"/>
        </w:rPr>
        <w:instrText>ADDIN CSL_CITATION {"citationItems":[{"id":"ITEM-1","itemData":{"author":[{"dropping-particle":"","family":"WHO","given":"","non-dropping-particle":"","parse-names":false,"suffix":""}],"container-title":"World Health Organisation","id":"ITEM-1","issued":{"date-parts":[["0"]]},"page":"19","title":"Growth reference data, weight-for-age(5 to 10years) https://www.who.int/tools/growth-reference-data-for-5to19-years/indicators/weight-for-age- 5to10-years","type":"article-journal"},"uris":["http://www.mendeley.com/documents/?uuid=9b36ccd1-6f59-404e-9066-ed0b84a58872"]}],"mendeley":{"formattedCitation":"(20)","plainTextFormattedCitation":"(20)","previouslyFormattedCitation":"(20)"},"properties":{"noteIndex":0},"schema":"https://github.com/citation-style-language/schema/raw/master/csl-citation.json"}</w:instrText>
      </w:r>
      <w:r w:rsidR="00E32C6A" w:rsidRPr="00813425">
        <w:rPr>
          <w:rFonts w:ascii="Times New Roman" w:eastAsia="Times New Roman" w:hAnsi="Times New Roman" w:cs="Times New Roman"/>
          <w:bCs/>
          <w:color w:val="000000"/>
          <w:sz w:val="24"/>
          <w:szCs w:val="24"/>
          <w:lang w:val="en-US" w:eastAsia="en-GB"/>
        </w:rPr>
        <w:fldChar w:fldCharType="separate"/>
      </w:r>
      <w:r w:rsidR="00D47FD7" w:rsidRPr="00813425">
        <w:rPr>
          <w:rFonts w:ascii="Times New Roman" w:eastAsia="Times New Roman" w:hAnsi="Times New Roman" w:cs="Times New Roman"/>
          <w:bCs/>
          <w:noProof/>
          <w:color w:val="000000"/>
          <w:sz w:val="24"/>
          <w:szCs w:val="24"/>
          <w:lang w:val="en-US" w:eastAsia="en-GB"/>
        </w:rPr>
        <w:t>(20)</w:t>
      </w:r>
      <w:r w:rsidR="00E32C6A" w:rsidRPr="00813425">
        <w:rPr>
          <w:rFonts w:ascii="Times New Roman" w:eastAsia="Times New Roman" w:hAnsi="Times New Roman" w:cs="Times New Roman"/>
          <w:bCs/>
          <w:color w:val="000000"/>
          <w:sz w:val="24"/>
          <w:szCs w:val="24"/>
          <w:lang w:val="en-US" w:eastAsia="en-GB"/>
        </w:rPr>
        <w:fldChar w:fldCharType="end"/>
      </w:r>
      <w:r w:rsidR="00A53CF1" w:rsidRPr="00813425">
        <w:rPr>
          <w:rFonts w:ascii="Times New Roman" w:eastAsia="Times New Roman" w:hAnsi="Times New Roman" w:cs="Times New Roman"/>
          <w:bCs/>
          <w:color w:val="000000"/>
          <w:sz w:val="24"/>
          <w:szCs w:val="24"/>
          <w:lang w:val="en-US" w:eastAsia="en-GB"/>
        </w:rPr>
        <w:t xml:space="preserve">, weight and BMI Z-scores were generated using </w:t>
      </w:r>
      <w:r w:rsidR="00702E31" w:rsidRPr="00813425">
        <w:rPr>
          <w:rFonts w:ascii="Times New Roman" w:eastAsia="Times New Roman" w:hAnsi="Times New Roman" w:cs="Times New Roman"/>
          <w:bCs/>
          <w:color w:val="000000"/>
          <w:sz w:val="24"/>
          <w:szCs w:val="24"/>
          <w:lang w:val="en-US" w:eastAsia="en-GB"/>
        </w:rPr>
        <w:t xml:space="preserve">external </w:t>
      </w:r>
      <w:r w:rsidR="00A53CF1" w:rsidRPr="00813425">
        <w:rPr>
          <w:rFonts w:ascii="Times New Roman" w:eastAsia="Times New Roman" w:hAnsi="Times New Roman" w:cs="Times New Roman"/>
          <w:bCs/>
          <w:color w:val="000000"/>
          <w:sz w:val="24"/>
          <w:szCs w:val="24"/>
          <w:lang w:val="en-US" w:eastAsia="en-GB"/>
        </w:rPr>
        <w:t>growth standards</w:t>
      </w:r>
      <w:r w:rsidR="008640AC" w:rsidRPr="00813425">
        <w:rPr>
          <w:rFonts w:ascii="Times New Roman" w:eastAsia="Times New Roman" w:hAnsi="Times New Roman" w:cs="Times New Roman"/>
          <w:bCs/>
          <w:color w:val="000000"/>
          <w:sz w:val="24"/>
          <w:szCs w:val="24"/>
          <w:lang w:val="en-US" w:eastAsia="en-GB"/>
        </w:rPr>
        <w:t xml:space="preserve"> (from the UK in 1990)</w:t>
      </w:r>
      <w:r w:rsidR="00A53CF1" w:rsidRPr="00813425">
        <w:rPr>
          <w:rFonts w:ascii="Times New Roman" w:eastAsia="Times New Roman" w:hAnsi="Times New Roman" w:cs="Times New Roman"/>
          <w:bCs/>
          <w:color w:val="000000"/>
          <w:sz w:val="24"/>
          <w:szCs w:val="24"/>
          <w:lang w:val="en-US" w:eastAsia="en-GB"/>
        </w:rPr>
        <w:t xml:space="preserve"> </w:t>
      </w:r>
      <w:bookmarkStart w:id="10" w:name="_Hlk163046903"/>
      <w:r w:rsidR="00A53CF1" w:rsidRPr="00813425">
        <w:rPr>
          <w:rFonts w:ascii="Times New Roman" w:eastAsia="Times New Roman" w:hAnsi="Times New Roman" w:cs="Times New Roman"/>
          <w:bCs/>
          <w:color w:val="000000"/>
          <w:sz w:val="24"/>
          <w:szCs w:val="24"/>
          <w:lang w:val="en-US" w:eastAsia="en-GB"/>
        </w:rPr>
        <w:fldChar w:fldCharType="begin" w:fldLock="1"/>
      </w:r>
      <w:r w:rsidR="00A53CF1" w:rsidRPr="00813425">
        <w:rPr>
          <w:rFonts w:ascii="Times New Roman" w:eastAsia="Times New Roman" w:hAnsi="Times New Roman" w:cs="Times New Roman"/>
          <w:bCs/>
          <w:color w:val="000000"/>
          <w:sz w:val="24"/>
          <w:szCs w:val="24"/>
          <w:lang w:val="en-US" w:eastAsia="en-GB"/>
        </w:rPr>
        <w:instrText>ADDIN CSL_CITATION {"citationItems":[{"id":"ITEM-1","itemData":{"DOI":"10.1002/(SICI)1097-0258(19980228)17:4&lt;407::AID-SIM742&gt;3.0.CO;2-L","ISSN":"02776715","PMID":"9496720","abstract":"To update the British growth reference, anthropometric data for weight, height, body mass index (weight/height) and head circumference from 17 distinct surveys representative of England, Scotland and Wales (37,700 children, age range 23 weeks gestation to 23 years) were analysed by maximum penalized likelihood using the LMS method. This estimates the measurement centiles in terms of three age-sex-specific cubic spline curves: the L curve (Box-Cox power to remove skewness), M curve (median) and S curve (coefficient of variation). A two-stage fitting procedure was developed to model the age trends in median weight and height, and simulation was used to estimate confidence intervals for the fitted centiles. The reference converts measurements to standard deviation scores (SDS) that are very close to Normally distributed - the means, medians and skewness for the four measurements are effectively zero overall, with standard deviations very close to one and only slight evidence of positive kurtosis beyond ± 2 SDS. The ability to express anthropometry as SDS greatly simplifies growth assessment.","author":[{"dropping-particle":"","family":"Cole","given":"T. J.","non-dropping-particle":"","parse-names":false,"suffix":""},{"dropping-particle":"V.","family":"Freeman","given":"J.","non-dropping-particle":"","parse-names":false,"suffix":""},{"dropping-particle":"","family":"Preece","given":"M. A.","non-dropping-particle":"","parse-names":false,"suffix":""}],"container-title":"Statistics in Medicine","id":"ITEM-1","issue":"4","issued":{"date-parts":[["1998"]]},"page":"407-429","title":"British 1990 growth reference centiles for weight, height, body mass index and head circumference fitted by maximum penalized likelihood","type":"article-journal","volume":"17"},"uris":["http://www.mendeley.com/documents/?uuid=6ab8546e-90c3-4aa4-8e27-15bbeea302f6"]}],"mendeley":{"formattedCitation":"(19)","plainTextFormattedCitation":"(19)","previouslyFormattedCitation":"(19)"},"properties":{"noteIndex":0},"schema":"https://github.com/citation-style-language/schema/raw/master/csl-citation.json"}</w:instrText>
      </w:r>
      <w:r w:rsidR="00A53CF1" w:rsidRPr="00813425">
        <w:rPr>
          <w:rFonts w:ascii="Times New Roman" w:eastAsia="Times New Roman" w:hAnsi="Times New Roman" w:cs="Times New Roman"/>
          <w:bCs/>
          <w:color w:val="000000"/>
          <w:sz w:val="24"/>
          <w:szCs w:val="24"/>
          <w:lang w:val="en-US" w:eastAsia="en-GB"/>
        </w:rPr>
        <w:fldChar w:fldCharType="separate"/>
      </w:r>
      <w:r w:rsidR="00A53CF1" w:rsidRPr="00813425">
        <w:rPr>
          <w:rFonts w:ascii="Times New Roman" w:eastAsia="Times New Roman" w:hAnsi="Times New Roman" w:cs="Times New Roman"/>
          <w:bCs/>
          <w:noProof/>
          <w:color w:val="000000"/>
          <w:sz w:val="24"/>
          <w:szCs w:val="24"/>
          <w:lang w:val="en-US" w:eastAsia="en-GB"/>
        </w:rPr>
        <w:t>(19)</w:t>
      </w:r>
      <w:r w:rsidR="00A53CF1" w:rsidRPr="00813425">
        <w:rPr>
          <w:rFonts w:ascii="Times New Roman" w:eastAsia="Times New Roman" w:hAnsi="Times New Roman" w:cs="Times New Roman"/>
          <w:bCs/>
          <w:color w:val="000000"/>
          <w:sz w:val="24"/>
          <w:szCs w:val="24"/>
          <w:lang w:val="en-US" w:eastAsia="en-GB"/>
        </w:rPr>
        <w:fldChar w:fldCharType="end"/>
      </w:r>
      <w:bookmarkEnd w:id="10"/>
      <w:r w:rsidR="00A53CF1" w:rsidRPr="00813425">
        <w:rPr>
          <w:rFonts w:ascii="Times New Roman" w:eastAsia="Times New Roman" w:hAnsi="Times New Roman" w:cs="Times New Roman"/>
          <w:bCs/>
          <w:color w:val="000000"/>
          <w:sz w:val="24"/>
          <w:szCs w:val="24"/>
          <w:lang w:val="en-US" w:eastAsia="en-GB"/>
        </w:rPr>
        <w:t xml:space="preserve">.  Height Z-scores were generated </w:t>
      </w:r>
      <w:r w:rsidR="000F5418" w:rsidRPr="00813425">
        <w:rPr>
          <w:rFonts w:ascii="Times New Roman" w:eastAsia="Times New Roman" w:hAnsi="Times New Roman" w:cs="Times New Roman"/>
          <w:bCs/>
          <w:color w:val="000000"/>
          <w:sz w:val="24"/>
          <w:szCs w:val="24"/>
          <w:lang w:val="en-US" w:eastAsia="en-GB"/>
        </w:rPr>
        <w:t>in the same way</w:t>
      </w:r>
      <w:r w:rsidR="00A53CF1" w:rsidRPr="00813425">
        <w:rPr>
          <w:rFonts w:ascii="Times New Roman" w:eastAsia="Times New Roman" w:hAnsi="Times New Roman" w:cs="Times New Roman"/>
          <w:bCs/>
          <w:color w:val="000000"/>
          <w:sz w:val="24"/>
          <w:szCs w:val="24"/>
          <w:lang w:val="en-US" w:eastAsia="en-GB"/>
        </w:rPr>
        <w:t xml:space="preserve"> </w:t>
      </w:r>
      <w:r w:rsidR="00A53CF1" w:rsidRPr="00813425">
        <w:rPr>
          <w:rFonts w:ascii="Times New Roman" w:eastAsia="Times New Roman" w:hAnsi="Times New Roman" w:cs="Times New Roman"/>
          <w:bCs/>
          <w:color w:val="000000"/>
          <w:sz w:val="24"/>
          <w:szCs w:val="24"/>
          <w:lang w:val="en-US" w:eastAsia="en-GB"/>
        </w:rPr>
        <w:fldChar w:fldCharType="begin" w:fldLock="1"/>
      </w:r>
      <w:r w:rsidR="00A53CF1" w:rsidRPr="00813425">
        <w:rPr>
          <w:rFonts w:ascii="Times New Roman" w:eastAsia="Times New Roman" w:hAnsi="Times New Roman" w:cs="Times New Roman"/>
          <w:bCs/>
          <w:color w:val="000000"/>
          <w:sz w:val="24"/>
          <w:szCs w:val="24"/>
          <w:lang w:val="en-US" w:eastAsia="en-GB"/>
        </w:rPr>
        <w:instrText>ADDIN CSL_CITATION {"citationItems":[{"id":"ITEM-1","itemData":{"DOI":"10.1002/(SICI)1097-0258(19980228)17:4&lt;407::AID-SIM742&gt;3.0.CO;2-L","ISSN":"02776715","PMID":"9496720","abstract":"To update the British growth reference, anthropometric data for weight, height, body mass index (weight/height) and head circumference from 17 distinct surveys representative of England, Scotland and Wales (37,700 children, age range 23 weeks gestation to 23 years) were analysed by maximum penalized likelihood using the LMS method. This estimates the measurement centiles in terms of three age-sex-specific cubic spline curves: the L curve (Box-Cox power to remove skewness), M curve (median) and S curve (coefficient of variation). A two-stage fitting procedure was developed to model the age trends in median weight and height, and simulation was used to estimate confidence intervals for the fitted centiles. The reference converts measurements to standard deviation scores (SDS) that are very close to Normally distributed - the means, medians and skewness for the four measurements are effectively zero overall, with standard deviations very close to one and only slight evidence of positive kurtosis beyond ± 2 SDS. The ability to express anthropometry as SDS greatly simplifies growth assessment.","author":[{"dropping-particle":"","family":"Cole","given":"T. J.","non-dropping-particle":"","parse-names":false,"suffix":""},{"dropping-particle":"V.","family":"Freeman","given":"J.","non-dropping-particle":"","parse-names":false,"suffix":""},{"dropping-particle":"","family":"Preece","given":"M. A.","non-dropping-particle":"","parse-names":false,"suffix":""}],"container-title":"Statistics in Medicine","id":"ITEM-1","issue":"4","issued":{"date-parts":[["1998"]]},"page":"407-429","title":"British 1990 growth reference centiles for weight, height, body mass index and head circumference fitted by maximum penalized likelihood","type":"article-journal","volume":"17"},"uris":["http://www.mendeley.com/documents/?uuid=6ab8546e-90c3-4aa4-8e27-15bbeea302f6"]}],"mendeley":{"formattedCitation":"(19)","plainTextFormattedCitation":"(19)","previouslyFormattedCitation":"(19)"},"properties":{"noteIndex":0},"schema":"https://github.com/citation-style-language/schema/raw/master/csl-citation.json"}</w:instrText>
      </w:r>
      <w:r w:rsidR="00A53CF1" w:rsidRPr="00813425">
        <w:rPr>
          <w:rFonts w:ascii="Times New Roman" w:eastAsia="Times New Roman" w:hAnsi="Times New Roman" w:cs="Times New Roman"/>
          <w:bCs/>
          <w:color w:val="000000"/>
          <w:sz w:val="24"/>
          <w:szCs w:val="24"/>
          <w:lang w:val="en-US" w:eastAsia="en-GB"/>
        </w:rPr>
        <w:fldChar w:fldCharType="separate"/>
      </w:r>
      <w:r w:rsidR="00A53CF1" w:rsidRPr="00813425">
        <w:rPr>
          <w:rFonts w:ascii="Times New Roman" w:eastAsia="Times New Roman" w:hAnsi="Times New Roman" w:cs="Times New Roman"/>
          <w:bCs/>
          <w:noProof/>
          <w:color w:val="000000"/>
          <w:sz w:val="24"/>
          <w:szCs w:val="24"/>
          <w:lang w:val="en-US" w:eastAsia="en-GB"/>
        </w:rPr>
        <w:t>(19)</w:t>
      </w:r>
      <w:r w:rsidR="00A53CF1" w:rsidRPr="00813425">
        <w:rPr>
          <w:rFonts w:ascii="Times New Roman" w:eastAsia="Times New Roman" w:hAnsi="Times New Roman" w:cs="Times New Roman"/>
          <w:bCs/>
          <w:color w:val="000000"/>
          <w:sz w:val="24"/>
          <w:szCs w:val="24"/>
          <w:lang w:val="en-US" w:eastAsia="en-GB"/>
        </w:rPr>
        <w:fldChar w:fldCharType="end"/>
      </w:r>
      <w:r w:rsidR="00B32847" w:rsidRPr="00813425">
        <w:rPr>
          <w:rFonts w:ascii="Times New Roman" w:eastAsia="Times New Roman" w:hAnsi="Times New Roman" w:cs="Times New Roman"/>
          <w:bCs/>
          <w:color w:val="000000"/>
          <w:sz w:val="24"/>
          <w:szCs w:val="24"/>
          <w:lang w:val="en-US" w:eastAsia="en-GB"/>
        </w:rPr>
        <w:t xml:space="preserve">; </w:t>
      </w:r>
      <w:r w:rsidR="0047231E" w:rsidRPr="00813425">
        <w:rPr>
          <w:rFonts w:ascii="Times New Roman" w:eastAsia="Times New Roman" w:hAnsi="Times New Roman" w:cs="Times New Roman"/>
          <w:bCs/>
          <w:color w:val="000000"/>
          <w:sz w:val="24"/>
          <w:szCs w:val="24"/>
          <w:lang w:val="en-US" w:eastAsia="en-GB"/>
        </w:rPr>
        <w:t>as a validation step</w:t>
      </w:r>
      <w:r w:rsidR="00B32847" w:rsidRPr="00813425">
        <w:rPr>
          <w:rFonts w:ascii="Times New Roman" w:eastAsia="Times New Roman" w:hAnsi="Times New Roman" w:cs="Times New Roman"/>
          <w:bCs/>
          <w:color w:val="000000"/>
          <w:sz w:val="24"/>
          <w:szCs w:val="24"/>
          <w:lang w:val="en-US" w:eastAsia="en-GB"/>
        </w:rPr>
        <w:t xml:space="preserve"> Height Z-scores were </w:t>
      </w:r>
      <w:r w:rsidR="0047231E" w:rsidRPr="00813425">
        <w:rPr>
          <w:rFonts w:ascii="Times New Roman" w:eastAsia="Times New Roman" w:hAnsi="Times New Roman" w:cs="Times New Roman"/>
          <w:bCs/>
          <w:color w:val="000000"/>
          <w:sz w:val="24"/>
          <w:szCs w:val="24"/>
          <w:lang w:val="en-US" w:eastAsia="en-GB"/>
        </w:rPr>
        <w:t xml:space="preserve">generated </w:t>
      </w:r>
      <w:r w:rsidR="00A53CF1" w:rsidRPr="00813425">
        <w:rPr>
          <w:rFonts w:ascii="Times New Roman" w:eastAsia="Times New Roman" w:hAnsi="Times New Roman" w:cs="Times New Roman"/>
          <w:bCs/>
          <w:color w:val="000000"/>
          <w:sz w:val="24"/>
          <w:szCs w:val="24"/>
          <w:lang w:val="en-US" w:eastAsia="en-GB"/>
        </w:rPr>
        <w:t xml:space="preserve">using </w:t>
      </w:r>
      <w:r w:rsidR="0047231E" w:rsidRPr="00813425">
        <w:rPr>
          <w:rFonts w:ascii="Times New Roman" w:eastAsia="Times New Roman" w:hAnsi="Times New Roman" w:cs="Times New Roman"/>
          <w:bCs/>
          <w:color w:val="000000"/>
          <w:sz w:val="24"/>
          <w:szCs w:val="24"/>
          <w:lang w:val="en-US" w:eastAsia="en-GB"/>
        </w:rPr>
        <w:t xml:space="preserve">height measurements from the HIV negative </w:t>
      </w:r>
      <w:r w:rsidR="00A53CF1" w:rsidRPr="00813425">
        <w:rPr>
          <w:rFonts w:ascii="Times New Roman" w:eastAsia="Times New Roman" w:hAnsi="Times New Roman" w:cs="Times New Roman"/>
          <w:bCs/>
          <w:color w:val="000000"/>
          <w:sz w:val="24"/>
          <w:szCs w:val="24"/>
          <w:lang w:val="en-US" w:eastAsia="en-GB"/>
        </w:rPr>
        <w:t>children recruited in this study</w:t>
      </w:r>
      <w:r w:rsidR="0029296F" w:rsidRPr="00813425">
        <w:rPr>
          <w:rFonts w:ascii="Times New Roman" w:eastAsia="Times New Roman" w:hAnsi="Times New Roman" w:cs="Times New Roman"/>
          <w:bCs/>
          <w:color w:val="000000"/>
          <w:sz w:val="24"/>
          <w:szCs w:val="24"/>
          <w:lang w:val="en-US" w:eastAsia="en-GB"/>
        </w:rPr>
        <w:t>, as reference data</w:t>
      </w:r>
      <w:r w:rsidRPr="00813425">
        <w:rPr>
          <w:rFonts w:ascii="Times New Roman" w:eastAsia="Times New Roman" w:hAnsi="Times New Roman" w:cs="Times New Roman"/>
          <w:bCs/>
          <w:color w:val="000000"/>
          <w:sz w:val="24"/>
          <w:szCs w:val="24"/>
          <w:lang w:val="en-US" w:eastAsia="en-GB"/>
        </w:rPr>
        <w:t xml:space="preserve">. Height-for-age Z-score &lt;-2, weight-for-age Z-score &lt;-2, and low weight-for-height BMI Z-score &lt;-2 were used to define stunting, underweight and wasting respectively </w:t>
      </w:r>
      <w:r w:rsidRPr="00813425">
        <w:rPr>
          <w:rFonts w:ascii="Times New Roman" w:eastAsia="Times New Roman" w:hAnsi="Times New Roman" w:cs="Times New Roman"/>
          <w:bCs/>
          <w:color w:val="000000"/>
          <w:sz w:val="24"/>
          <w:szCs w:val="24"/>
          <w:lang w:val="en-US" w:eastAsia="en-GB"/>
        </w:rPr>
        <w:fldChar w:fldCharType="begin" w:fldLock="1"/>
      </w:r>
      <w:r w:rsidR="00F97376" w:rsidRPr="00813425">
        <w:rPr>
          <w:rFonts w:ascii="Times New Roman" w:eastAsia="Times New Roman" w:hAnsi="Times New Roman" w:cs="Times New Roman"/>
          <w:bCs/>
          <w:color w:val="000000"/>
          <w:sz w:val="24"/>
          <w:szCs w:val="24"/>
          <w:lang w:val="en-US" w:eastAsia="en-GB"/>
        </w:rPr>
        <w:instrText>ADDIN CSL_CITATION {"citationItems":[{"id":"ITEM-1","itemData":{"DOI":"10.1002/(SICI)1097-0258(19980228)17:4&lt;407::AID-SIM742&gt;3.0.CO;2-L","ISSN":"02776715","PMID":"9496720","abstract":"To update the British growth reference, anthropometric data for weight, height, body mass index (weight/height) and head circumference from 17 distinct surveys representative of England, Scotland and Wales (37,700 children, age range 23 weeks gestation to 23 years) were analysed by maximum penalized likelihood using the LMS method. This estimates the measurement centiles in terms of three age-sex-specific cubic spline curves: the L curve (Box-Cox power to remove skewness), M curve (median) and S curve (coefficient of variation). A two-stage fitting procedure was developed to model the age trends in median weight and height, and simulation was used to estimate confidence intervals for the fitted centiles. The reference converts measurements to standard deviation scores (SDS) that are very close to Normally distributed - the means, medians and skewness for the four measurements are effectively zero overall, with standard deviations very close to one and only slight evidence of positive kurtosis beyond ± 2 SDS. The ability to express anthropometry as SDS greatly simplifies growth assessment.","author":[{"dropping-particle":"","family":"Cole","given":"T. J.","non-dropping-particle":"","parse-names":false,"suffix":""},{"dropping-particle":"V.","family":"Freeman","given":"J.","non-dropping-particle":"","parse-names":false,"suffix":""},{"dropping-particle":"","family":"Preece","given":"M. A.","non-dropping-particle":"","parse-names":false,"suffix":""}],"container-title":"Statistics in Medicine","id":"ITEM-1","issue":"4","issued":{"date-parts":[["1998"]]},"page":"407-429","title":"British 1990 growth reference centiles for weight, height, body mass index and head circumference fitted by maximum penalized likelihood","type":"article-journal","volume":"17"},"uris":["http://www.mendeley.com/documents/?uuid=6ab8546e-90c3-4aa4-8e27-15bbeea302f6"]},{"id":"ITEM-2","itemData":{"author":[{"dropping-particle":"","family":"Arpadi","given":"Stephen M","non-dropping-particle":"","parse-names":false,"suffix":""}],"container-title":"World Health Organisation Department of Nutrition for Health and Development","id":"ITEM-2","issue":"Durban, South Africa 10−13","issued":{"date-parts":[["2005"]]},"page":"1 - 20","title":"Growth failure in HIV - infected children","type":"article-journal","volume":"Consultati"},"uris":["http://www.mendeley.com/documents/?uuid=0e3a122b-eb96-4011-b001-72394575c180"]}],"mendeley":{"formattedCitation":"(19,21)","plainTextFormattedCitation":"(19,21)","previouslyFormattedCitation":"(19,21)"},"properties":{"noteIndex":0},"schema":"https://github.com/citation-style-language/schema/raw/master/csl-citation.json"}</w:instrText>
      </w:r>
      <w:r w:rsidRPr="00813425">
        <w:rPr>
          <w:rFonts w:ascii="Times New Roman" w:eastAsia="Times New Roman" w:hAnsi="Times New Roman" w:cs="Times New Roman"/>
          <w:bCs/>
          <w:color w:val="000000"/>
          <w:sz w:val="24"/>
          <w:szCs w:val="24"/>
          <w:lang w:val="en-US" w:eastAsia="en-GB"/>
        </w:rPr>
        <w:fldChar w:fldCharType="separate"/>
      </w:r>
      <w:r w:rsidR="00D47FD7" w:rsidRPr="00813425">
        <w:rPr>
          <w:rFonts w:ascii="Times New Roman" w:eastAsia="Times New Roman" w:hAnsi="Times New Roman" w:cs="Times New Roman"/>
          <w:bCs/>
          <w:noProof/>
          <w:color w:val="000000"/>
          <w:sz w:val="24"/>
          <w:szCs w:val="24"/>
          <w:lang w:val="en-US" w:eastAsia="en-GB"/>
        </w:rPr>
        <w:t>(19,21)</w:t>
      </w:r>
      <w:r w:rsidRPr="00813425">
        <w:rPr>
          <w:rFonts w:ascii="Times New Roman" w:eastAsia="Times New Roman" w:hAnsi="Times New Roman" w:cs="Times New Roman"/>
          <w:bCs/>
          <w:color w:val="000000"/>
          <w:sz w:val="24"/>
          <w:szCs w:val="24"/>
          <w:lang w:val="en-US" w:eastAsia="en-GB"/>
        </w:rPr>
        <w:fldChar w:fldCharType="end"/>
      </w:r>
      <w:r w:rsidRPr="00813425">
        <w:rPr>
          <w:rFonts w:ascii="Times New Roman" w:eastAsia="Times New Roman" w:hAnsi="Times New Roman" w:cs="Times New Roman"/>
          <w:bCs/>
          <w:color w:val="000000"/>
          <w:sz w:val="24"/>
          <w:szCs w:val="24"/>
          <w:lang w:val="en-US" w:eastAsia="en-GB"/>
        </w:rPr>
        <w:t xml:space="preserve">. </w:t>
      </w:r>
      <w:bookmarkStart w:id="11" w:name="_Hlk37829155"/>
      <w:r w:rsidRPr="00813425">
        <w:rPr>
          <w:rFonts w:ascii="Times New Roman" w:eastAsia="Times New Roman" w:hAnsi="Times New Roman" w:cs="Times New Roman"/>
          <w:bCs/>
          <w:color w:val="000000"/>
          <w:sz w:val="24"/>
          <w:szCs w:val="24"/>
          <w:lang w:val="en-US" w:eastAsia="en-GB"/>
        </w:rPr>
        <w:t xml:space="preserve">CD4 cell count was measured using a PIMA CD4 (Waltham, Massachusetts, USA) machine and HIV viral load using a GeneXpert HIV-1 viral load platform (Cepheid, Sunnyvale, California, USA). </w:t>
      </w:r>
      <w:bookmarkEnd w:id="11"/>
    </w:p>
    <w:p w14:paraId="6364DCAF" w14:textId="77777777" w:rsidR="00C95A78" w:rsidRPr="00813425" w:rsidRDefault="00C95A78" w:rsidP="009E3E5C">
      <w:pPr>
        <w:rPr>
          <w:rFonts w:ascii="Times New Roman" w:hAnsi="Times New Roman" w:cs="Times New Roman"/>
          <w:b/>
          <w:sz w:val="24"/>
          <w:szCs w:val="24"/>
          <w:lang w:eastAsia="en-GB"/>
        </w:rPr>
      </w:pPr>
      <w:bookmarkStart w:id="12" w:name="_Toc139513440"/>
      <w:r w:rsidRPr="00813425">
        <w:rPr>
          <w:rFonts w:ascii="Times New Roman" w:hAnsi="Times New Roman" w:cs="Times New Roman"/>
          <w:b/>
          <w:sz w:val="24"/>
          <w:szCs w:val="24"/>
          <w:lang w:eastAsia="en-GB"/>
        </w:rPr>
        <w:t>pQCT scan acquisition at baseline and follow-up</w:t>
      </w:r>
      <w:bookmarkEnd w:id="12"/>
    </w:p>
    <w:p w14:paraId="6364DCB0" w14:textId="4C3422D4" w:rsidR="00C95A78" w:rsidRPr="00813425" w:rsidRDefault="00C95A78" w:rsidP="00F363DA">
      <w:pPr>
        <w:spacing w:before="100" w:beforeAutospacing="1" w:after="100" w:afterAutospacing="1" w:line="480" w:lineRule="auto"/>
        <w:rPr>
          <w:rFonts w:ascii="Times New Roman" w:eastAsia="Times New Roman" w:hAnsi="Times New Roman" w:cs="Times New Roman"/>
          <w:bCs/>
          <w:color w:val="000000"/>
          <w:sz w:val="24"/>
          <w:szCs w:val="24"/>
          <w:lang w:eastAsia="en-GB"/>
        </w:rPr>
      </w:pPr>
      <w:r w:rsidRPr="00813425">
        <w:rPr>
          <w:rFonts w:ascii="Times New Roman" w:eastAsia="Times New Roman" w:hAnsi="Times New Roman" w:cs="Times New Roman"/>
          <w:bCs/>
          <w:color w:val="000000"/>
          <w:sz w:val="24"/>
          <w:szCs w:val="24"/>
          <w:lang w:eastAsia="en-GB"/>
        </w:rPr>
        <w:t>Non-dominant tibial pQCT scans were performed using a single XCT 2000</w:t>
      </w:r>
      <w:r w:rsidRPr="00813425">
        <w:rPr>
          <w:rFonts w:ascii="Times New Roman" w:eastAsia="Times New Roman" w:hAnsi="Times New Roman" w:cs="Times New Roman"/>
          <w:bCs/>
          <w:color w:val="000000"/>
          <w:sz w:val="24"/>
          <w:szCs w:val="24"/>
          <w:vertAlign w:val="superscript"/>
          <w:lang w:eastAsia="en-GB"/>
        </w:rPr>
        <w:t>TM</w:t>
      </w:r>
      <w:r w:rsidRPr="00813425">
        <w:rPr>
          <w:rFonts w:ascii="Times New Roman" w:eastAsia="Times New Roman" w:hAnsi="Times New Roman" w:cs="Times New Roman"/>
          <w:bCs/>
          <w:color w:val="000000"/>
          <w:sz w:val="24"/>
          <w:szCs w:val="24"/>
          <w:lang w:eastAsia="en-GB"/>
        </w:rPr>
        <w:t xml:space="preserve"> (Stratec Medizintecknik, </w:t>
      </w:r>
      <w:r w:rsidRPr="00813425">
        <w:rPr>
          <w:rFonts w:ascii="Times New Roman" w:eastAsia="Times New Roman" w:hAnsi="Times New Roman" w:cs="Times New Roman"/>
          <w:bCs/>
          <w:color w:val="000000"/>
          <w:sz w:val="24"/>
          <w:szCs w:val="24"/>
          <w:lang w:val="en-US" w:eastAsia="en-GB"/>
        </w:rPr>
        <w:t>Pforzheim</w:t>
      </w:r>
      <w:r w:rsidRPr="00813425">
        <w:rPr>
          <w:rFonts w:ascii="Times New Roman" w:eastAsia="Times New Roman" w:hAnsi="Times New Roman" w:cs="Times New Roman"/>
          <w:bCs/>
          <w:color w:val="000000"/>
          <w:sz w:val="24"/>
          <w:szCs w:val="24"/>
          <w:lang w:eastAsia="en-GB"/>
        </w:rPr>
        <w:t xml:space="preserve">, Germany), </w:t>
      </w:r>
      <w:r w:rsidRPr="00813425">
        <w:rPr>
          <w:rFonts w:ascii="Times New Roman" w:eastAsia="Times New Roman" w:hAnsi="Times New Roman" w:cs="Times New Roman"/>
          <w:bCs/>
          <w:color w:val="000000"/>
          <w:sz w:val="24"/>
          <w:szCs w:val="24"/>
          <w:lang w:val="en-US" w:eastAsia="en-GB"/>
        </w:rPr>
        <w:t>with voxel size 0.</w:t>
      </w:r>
      <w:r w:rsidRPr="0034284A">
        <w:rPr>
          <w:rFonts w:ascii="Times New Roman" w:eastAsia="Times New Roman" w:hAnsi="Times New Roman" w:cs="Times New Roman"/>
          <w:bCs/>
          <w:color w:val="000000"/>
          <w:sz w:val="24"/>
          <w:szCs w:val="24"/>
          <w:lang w:val="en-US" w:eastAsia="en-GB"/>
        </w:rPr>
        <w:t xml:space="preserve">5 x 0.5 mm and slice thickness 2 mm (CT scan speed 30 mm/s; scout view scan speed 40 mm/s). </w:t>
      </w:r>
      <w:r w:rsidR="003B3981" w:rsidRPr="0034284A">
        <w:rPr>
          <w:rFonts w:ascii="Times New Roman" w:eastAsia="Times New Roman" w:hAnsi="Times New Roman" w:cs="Times New Roman"/>
          <w:bCs/>
          <w:color w:val="000000"/>
          <w:sz w:val="24"/>
          <w:szCs w:val="24"/>
          <w:lang w:val="en-US" w:eastAsia="en-GB"/>
        </w:rPr>
        <w:t xml:space="preserve">At each visit, tibia length (in millimetres) was measured once, as the distance from the distal medial malleolus to the tibial </w:t>
      </w:r>
      <w:r w:rsidR="003B3981" w:rsidRPr="0034284A">
        <w:rPr>
          <w:rFonts w:ascii="Times New Roman" w:eastAsia="Times New Roman" w:hAnsi="Times New Roman" w:cs="Times New Roman"/>
          <w:bCs/>
          <w:color w:val="000000"/>
          <w:sz w:val="24"/>
          <w:szCs w:val="24"/>
          <w:lang w:val="en-US" w:eastAsia="en-GB"/>
        </w:rPr>
        <w:lastRenderedPageBreak/>
        <w:t xml:space="preserve">plateau. </w:t>
      </w:r>
      <w:r w:rsidRPr="0034284A">
        <w:rPr>
          <w:rFonts w:ascii="Times New Roman" w:eastAsia="Times New Roman" w:hAnsi="Times New Roman" w:cs="Times New Roman"/>
          <w:bCs/>
          <w:color w:val="000000"/>
          <w:sz w:val="24"/>
          <w:szCs w:val="24"/>
          <w:lang w:eastAsia="en-GB"/>
        </w:rPr>
        <w:t xml:space="preserve">Scan sites were determined as a percentage of tibia length, with the exact position determined by scout view placement of a reference line on the growth plate, or on the end plate for those with fused growth plates </w:t>
      </w:r>
      <w:r w:rsidRPr="0034284A">
        <w:rPr>
          <w:rFonts w:ascii="Times New Roman" w:eastAsia="Times New Roman" w:hAnsi="Times New Roman" w:cs="Times New Roman"/>
          <w:bCs/>
          <w:color w:val="000000"/>
          <w:sz w:val="24"/>
          <w:szCs w:val="24"/>
          <w:lang w:eastAsia="en-GB"/>
        </w:rPr>
        <w:fldChar w:fldCharType="begin" w:fldLock="1"/>
      </w:r>
      <w:r w:rsidR="00F97376" w:rsidRPr="0034284A">
        <w:rPr>
          <w:rFonts w:ascii="Times New Roman" w:eastAsia="Times New Roman" w:hAnsi="Times New Roman" w:cs="Times New Roman"/>
          <w:bCs/>
          <w:color w:val="000000"/>
          <w:sz w:val="24"/>
          <w:szCs w:val="24"/>
          <w:lang w:eastAsia="en-GB"/>
        </w:rPr>
        <w:instrText>ADDIN CSL_CITATION {"citationItems":[{"id":"ITEM-1","itemData":{"DOI":"10.1016/j.jocd.2014.01.006","ISSN":"15590747","PMID":"24792821","abstract":"In 2007, International Society of Clinical Densitometry Pediatric Positions Task Forces reviewed the evidence for the clinical application of peripheral quantitative computed tomography (pQCT) in children and adolescents. At that time, numerous limitations regarding the clinical application of pQCT were identified, although its use as a research modality for investigation of bone strength was highlighted. The present report provides an updated review of evidence for the clinical application of pQCT, as well as additional reviews of whole body QCT scans of the central and peripheral skeletons, and high-resolution pQCT in children. Although these techniques remain in the domain of research, this report summarizes the recent literature and evidence of the clinical applicability and offers general recommendations regarding the use of these modalities in pediatric bone health assessment. © 2014 The International Society for Clinical Densitometry.","author":[{"dropping-particle":"","family":"Adams","given":"Judith E.","non-dropping-particle":"","parse-names":false,"suffix":""},{"dropping-particle":"","family":"Engelke","given":"Klaus","non-dropping-particle":"","parse-names":false,"suffix":""},{"dropping-particle":"","family":"Zemel","given":"Babette S.","non-dropping-particle":"","parse-names":false,"suffix":""},{"dropping-particle":"","family":"Ward","given":"Kate A.","non-dropping-particle":"","parse-names":false,"suffix":""}],"container-title":"Journal of Clinical Densitometry","id":"ITEM-1","issue":"2","issued":{"date-parts":[["2014"]]},"page":"258-274","publisher":"Elsevier Ltd","title":"Quantitative computer tomography in children and adolescents: The 2013 ISCD pediatric official positions","type":"article-journal","volume":"17"},"uris":["http://www.mendeley.com/documents/?uuid=54fbbb18-1bd0-4eb5-baa9-04b9162b5e39"]}],"mendeley":{"formattedCitation":"(22)","plainTextFormattedCitation":"(22)","previouslyFormattedCitation":"(22)"},"properties":{"noteIndex":0},"schema":"https://github.com/citation-style-language/schema/raw/master/csl-citation.json"}</w:instrText>
      </w:r>
      <w:r w:rsidRPr="0034284A">
        <w:rPr>
          <w:rFonts w:ascii="Times New Roman" w:eastAsia="Times New Roman" w:hAnsi="Times New Roman" w:cs="Times New Roman"/>
          <w:bCs/>
          <w:color w:val="000000"/>
          <w:sz w:val="24"/>
          <w:szCs w:val="24"/>
          <w:lang w:eastAsia="en-GB"/>
        </w:rPr>
        <w:fldChar w:fldCharType="separate"/>
      </w:r>
      <w:r w:rsidR="00D47FD7" w:rsidRPr="0034284A">
        <w:rPr>
          <w:rFonts w:ascii="Times New Roman" w:eastAsia="Times New Roman" w:hAnsi="Times New Roman" w:cs="Times New Roman"/>
          <w:bCs/>
          <w:noProof/>
          <w:color w:val="000000"/>
          <w:sz w:val="24"/>
          <w:szCs w:val="24"/>
          <w:lang w:eastAsia="en-GB"/>
        </w:rPr>
        <w:t>(22)</w:t>
      </w:r>
      <w:r w:rsidRPr="0034284A">
        <w:rPr>
          <w:rFonts w:ascii="Times New Roman" w:eastAsia="Times New Roman" w:hAnsi="Times New Roman" w:cs="Times New Roman"/>
          <w:bCs/>
          <w:color w:val="000000"/>
          <w:sz w:val="24"/>
          <w:szCs w:val="24"/>
          <w:lang w:val="en-US" w:eastAsia="en-GB"/>
        </w:rPr>
        <w:fldChar w:fldCharType="end"/>
      </w:r>
      <w:r w:rsidRPr="0034284A">
        <w:rPr>
          <w:rFonts w:ascii="Times New Roman" w:eastAsia="Times New Roman" w:hAnsi="Times New Roman" w:cs="Times New Roman"/>
          <w:bCs/>
          <w:color w:val="000000"/>
          <w:sz w:val="24"/>
          <w:szCs w:val="24"/>
          <w:lang w:eastAsia="en-GB"/>
        </w:rPr>
        <w:t>. As long bones grow in length, the growth plate moves upward and the wider metaphysis is reshaped in</w:t>
      </w:r>
      <w:r w:rsidRPr="00813425">
        <w:rPr>
          <w:rFonts w:ascii="Times New Roman" w:eastAsia="Times New Roman" w:hAnsi="Times New Roman" w:cs="Times New Roman"/>
          <w:bCs/>
          <w:color w:val="000000"/>
          <w:sz w:val="24"/>
          <w:szCs w:val="24"/>
          <w:lang w:eastAsia="en-GB"/>
        </w:rPr>
        <w:t xml:space="preserve">to a diaphysis by continuous resorption by osteoclasts beneath the periosteum </w:t>
      </w:r>
      <w:r w:rsidRPr="00813425">
        <w:rPr>
          <w:rFonts w:ascii="Times New Roman" w:eastAsia="Times New Roman" w:hAnsi="Times New Roman" w:cs="Times New Roman"/>
          <w:bCs/>
          <w:color w:val="000000"/>
          <w:sz w:val="24"/>
          <w:szCs w:val="24"/>
          <w:lang w:eastAsia="en-GB"/>
        </w:rPr>
        <w:fldChar w:fldCharType="begin" w:fldLock="1"/>
      </w:r>
      <w:r w:rsidR="00F97376" w:rsidRPr="00813425">
        <w:rPr>
          <w:rFonts w:ascii="Times New Roman" w:eastAsia="Times New Roman" w:hAnsi="Times New Roman" w:cs="Times New Roman"/>
          <w:bCs/>
          <w:color w:val="000000"/>
          <w:sz w:val="24"/>
          <w:szCs w:val="24"/>
          <w:lang w:eastAsia="en-GB"/>
        </w:rPr>
        <w:instrText>ADDIN CSL_CITATION {"citationItems":[{"id":"ITEM-1","itemData":{"author":[{"dropping-particle":"","family":"Leonard","given":"Mary B","non-dropping-particle":"","parse-names":false,"suffix":""}],"container-title":"Pediatric Nephrology","id":"ITEM-1","issued":{"date-parts":[["2007"]]},"page":"1845 - 1824","title":"A structural approach to the assessment of fracture risk in children and adolescents with chronic kidney disease","type":"article-journal","volume":"22"},"uris":["http://www.mendeley.com/documents/?uuid=7fa1e6e9-6b9e-4133-a9cb-ef2a499fae2d"]}],"mendeley":{"formattedCitation":"(23)","plainTextFormattedCitation":"(23)","previouslyFormattedCitation":"(23)"},"properties":{"noteIndex":0},"schema":"https://github.com/citation-style-language/schema/raw/master/csl-citation.json"}</w:instrText>
      </w:r>
      <w:r w:rsidRPr="00813425">
        <w:rPr>
          <w:rFonts w:ascii="Times New Roman" w:eastAsia="Times New Roman" w:hAnsi="Times New Roman" w:cs="Times New Roman"/>
          <w:bCs/>
          <w:color w:val="000000"/>
          <w:sz w:val="24"/>
          <w:szCs w:val="24"/>
          <w:lang w:eastAsia="en-GB"/>
        </w:rPr>
        <w:fldChar w:fldCharType="separate"/>
      </w:r>
      <w:r w:rsidR="00D47FD7" w:rsidRPr="00813425">
        <w:rPr>
          <w:rFonts w:ascii="Times New Roman" w:eastAsia="Times New Roman" w:hAnsi="Times New Roman" w:cs="Times New Roman"/>
          <w:bCs/>
          <w:noProof/>
          <w:color w:val="000000"/>
          <w:sz w:val="24"/>
          <w:szCs w:val="24"/>
          <w:lang w:eastAsia="en-GB"/>
        </w:rPr>
        <w:t>(23)</w:t>
      </w:r>
      <w:r w:rsidRPr="00813425">
        <w:rPr>
          <w:rFonts w:ascii="Times New Roman" w:eastAsia="Times New Roman" w:hAnsi="Times New Roman" w:cs="Times New Roman"/>
          <w:bCs/>
          <w:color w:val="000000"/>
          <w:sz w:val="24"/>
          <w:szCs w:val="24"/>
          <w:lang w:val="en-US" w:eastAsia="en-GB"/>
        </w:rPr>
        <w:fldChar w:fldCharType="end"/>
      </w:r>
      <w:r w:rsidRPr="00813425">
        <w:rPr>
          <w:rFonts w:ascii="Times New Roman" w:eastAsia="Times New Roman" w:hAnsi="Times New Roman" w:cs="Times New Roman"/>
          <w:bCs/>
          <w:color w:val="000000"/>
          <w:sz w:val="24"/>
          <w:szCs w:val="24"/>
          <w:lang w:eastAsia="en-GB"/>
        </w:rPr>
        <w:t xml:space="preserve">. To allow for consistency of a scan site the reference line was placed at the growth plate in those children whose end plate and growth plate were not yet fused. </w:t>
      </w:r>
      <w:r w:rsidR="003B3981" w:rsidRPr="00813425">
        <w:rPr>
          <w:rFonts w:ascii="Times New Roman" w:eastAsia="Times New Roman" w:hAnsi="Times New Roman" w:cs="Times New Roman"/>
          <w:bCs/>
          <w:color w:val="000000"/>
          <w:sz w:val="24"/>
          <w:szCs w:val="24"/>
          <w:lang w:eastAsia="en-GB"/>
        </w:rPr>
        <w:t xml:space="preserve">If the growth plates were not fused, the reference line was placed on a line dissecting the growth plate along the medial line. </w:t>
      </w:r>
      <w:r w:rsidRPr="00813425">
        <w:rPr>
          <w:rFonts w:ascii="Times New Roman" w:eastAsia="Times New Roman" w:hAnsi="Times New Roman" w:cs="Times New Roman"/>
          <w:bCs/>
          <w:color w:val="000000"/>
          <w:sz w:val="24"/>
          <w:szCs w:val="24"/>
          <w:lang w:eastAsia="en-GB"/>
        </w:rPr>
        <w:t>If a growth plate had fused during the follow up interval, the reference line was placed on the end plate. Scan sites were at 4% (trabecular vBMD) and 38% (cortical vBMD) of the measured tibial length</w:t>
      </w:r>
      <w:r w:rsidR="00AC49E8" w:rsidRPr="00813425">
        <w:rPr>
          <w:rFonts w:ascii="Times New Roman" w:eastAsia="Times New Roman" w:hAnsi="Times New Roman" w:cs="Times New Roman"/>
          <w:bCs/>
          <w:color w:val="000000"/>
          <w:sz w:val="24"/>
          <w:szCs w:val="24"/>
          <w:lang w:eastAsia="en-GB"/>
        </w:rPr>
        <w:t>.</w:t>
      </w:r>
      <w:r w:rsidRPr="00813425">
        <w:rPr>
          <w:rFonts w:ascii="Times New Roman" w:eastAsia="Times New Roman" w:hAnsi="Times New Roman" w:cs="Times New Roman"/>
          <w:bCs/>
          <w:color w:val="000000"/>
          <w:sz w:val="24"/>
          <w:szCs w:val="24"/>
          <w:lang w:eastAsia="en-GB"/>
        </w:rPr>
        <w:t xml:space="preserve">  Other measurements included 4% and 38% total cross-sectional area [CSA], 38% cortical thickness and 38% stress strain index [SSI]. The same software (version 6.20 Stratec Medizintechnik) was used for image processing and analysis at both baseline and follow-up. </w:t>
      </w:r>
    </w:p>
    <w:p w14:paraId="6364DCB1" w14:textId="306956C5" w:rsidR="00C95A78" w:rsidRPr="00813425" w:rsidRDefault="00C95A78" w:rsidP="00C95A78">
      <w:pPr>
        <w:spacing w:before="100" w:beforeAutospacing="1" w:after="0" w:afterAutospacing="1" w:line="480" w:lineRule="auto"/>
        <w:rPr>
          <w:rFonts w:ascii="Times New Roman" w:eastAsia="Times New Roman" w:hAnsi="Times New Roman" w:cs="Times New Roman"/>
          <w:b/>
          <w:bCs/>
          <w:i/>
          <w:iCs/>
          <w:color w:val="000000"/>
          <w:sz w:val="24"/>
          <w:szCs w:val="24"/>
          <w:lang w:eastAsia="en-GB"/>
        </w:rPr>
      </w:pPr>
      <w:r w:rsidRPr="00813425">
        <w:rPr>
          <w:rFonts w:ascii="Times New Roman" w:eastAsia="Times New Roman" w:hAnsi="Times New Roman" w:cs="Times New Roman"/>
          <w:bCs/>
          <w:color w:val="000000"/>
          <w:sz w:val="24"/>
          <w:szCs w:val="24"/>
          <w:lang w:eastAsia="en-GB"/>
        </w:rPr>
        <w:t xml:space="preserve">A phantom was scanned daily for quality assurance. To assess reproducibility, 30 participants were scanned twice after repositioning. Short term precision (Root Mean Square % CV) was 1.26% for trabecular vBMD, 0.37% for cortical vBMD, 2.08% for 4% total CSA and 0.93% for 38% CSA. One radiographer qualitatively assessed and graded all pQCT images for movement artefacts from 0 to 3: (0) none, (1) slight streaking, (2) moderate streaking and (3) scan unusable. Scans graded as a 3 were excluded from analysis. Baseline and follow-up scans were assessed to check that scan positioning at baseline and follow-up were consistent. </w:t>
      </w:r>
      <w:r w:rsidR="006D1F37" w:rsidRPr="00813425">
        <w:rPr>
          <w:rFonts w:ascii="Times New Roman" w:eastAsia="Times New Roman" w:hAnsi="Times New Roman" w:cs="Times New Roman"/>
          <w:bCs/>
          <w:color w:val="000000"/>
          <w:sz w:val="24"/>
          <w:szCs w:val="24"/>
          <w:lang w:eastAsia="en-GB"/>
        </w:rPr>
        <w:t>In addition to movement artefacts, other s</w:t>
      </w:r>
      <w:r w:rsidRPr="00813425">
        <w:rPr>
          <w:rFonts w:ascii="Times New Roman" w:eastAsia="Times New Roman" w:hAnsi="Times New Roman" w:cs="Times New Roman"/>
          <w:bCs/>
          <w:color w:val="000000"/>
          <w:sz w:val="24"/>
          <w:szCs w:val="24"/>
          <w:lang w:eastAsia="en-GB"/>
        </w:rPr>
        <w:t xml:space="preserve">can errors such as disagreement in the side scanned (left or right tibia) or in the positioning of the reference line placement (growth plate or end plate) between baseline and follow-up scans were reasons to exclude participant scans from analyses. </w:t>
      </w:r>
    </w:p>
    <w:p w14:paraId="6364DCB2" w14:textId="77777777" w:rsidR="00C95A78" w:rsidRPr="00813425" w:rsidRDefault="00C95A78" w:rsidP="0082668C">
      <w:pPr>
        <w:rPr>
          <w:rFonts w:ascii="Times New Roman" w:hAnsi="Times New Roman" w:cs="Times New Roman"/>
          <w:b/>
          <w:sz w:val="24"/>
          <w:szCs w:val="24"/>
          <w:lang w:eastAsia="en-GB"/>
        </w:rPr>
      </w:pPr>
      <w:bookmarkStart w:id="13" w:name="_Toc139513441"/>
      <w:r w:rsidRPr="00813425">
        <w:rPr>
          <w:rFonts w:ascii="Times New Roman" w:hAnsi="Times New Roman" w:cs="Times New Roman"/>
          <w:b/>
          <w:sz w:val="24"/>
          <w:szCs w:val="24"/>
          <w:lang w:eastAsia="en-GB"/>
        </w:rPr>
        <w:lastRenderedPageBreak/>
        <w:t>Ethical considerations</w:t>
      </w:r>
      <w:bookmarkEnd w:id="13"/>
    </w:p>
    <w:p w14:paraId="6364DCB3" w14:textId="1DB509D0" w:rsidR="00C95A78" w:rsidRPr="00813425" w:rsidRDefault="00C95A78" w:rsidP="00C95A78">
      <w:pPr>
        <w:spacing w:before="100" w:beforeAutospacing="1" w:after="0" w:afterAutospacing="1" w:line="480" w:lineRule="auto"/>
        <w:rPr>
          <w:rFonts w:ascii="Times New Roman" w:eastAsia="Times New Roman" w:hAnsi="Times New Roman" w:cs="Times New Roman"/>
          <w:bCs/>
          <w:i/>
          <w:iCs/>
          <w:color w:val="000000"/>
          <w:sz w:val="24"/>
          <w:szCs w:val="24"/>
          <w:lang w:eastAsia="en-GB"/>
        </w:rPr>
      </w:pPr>
      <w:r w:rsidRPr="00813425">
        <w:rPr>
          <w:rFonts w:ascii="Times New Roman" w:eastAsia="Times New Roman" w:hAnsi="Times New Roman" w:cs="Times New Roman"/>
          <w:bCs/>
          <w:color w:val="000000"/>
          <w:sz w:val="24"/>
          <w:szCs w:val="24"/>
          <w:lang w:eastAsia="en-GB"/>
        </w:rPr>
        <w:t>This study was approved by the Parirenyatwa Hospital and College of Health Sciences joint research ethics committee (JREC/123/19), the Biomedical Research and Training Institute Institutional Review Board (AP150/2019), the Medical Research Council of Zimbabwe (MRCZ/A2494) and the London School of Hygiene and Tropical Medicine (17154) Ethics Committee. Written informed consent and/or age-appropriate assent was obtained from parents/guardians and participants.</w:t>
      </w:r>
    </w:p>
    <w:p w14:paraId="6364DCB4" w14:textId="77777777" w:rsidR="00C95A78" w:rsidRPr="00813425" w:rsidRDefault="00C95A78" w:rsidP="0082668C">
      <w:pPr>
        <w:rPr>
          <w:rFonts w:ascii="Times New Roman" w:hAnsi="Times New Roman" w:cs="Times New Roman"/>
          <w:b/>
          <w:sz w:val="24"/>
          <w:szCs w:val="24"/>
          <w:lang w:val="en-US" w:eastAsia="en-GB"/>
        </w:rPr>
      </w:pPr>
      <w:bookmarkStart w:id="14" w:name="_Toc139513442"/>
      <w:r w:rsidRPr="00813425">
        <w:rPr>
          <w:rFonts w:ascii="Times New Roman" w:hAnsi="Times New Roman" w:cs="Times New Roman"/>
          <w:b/>
          <w:sz w:val="24"/>
          <w:szCs w:val="24"/>
          <w:lang w:val="en-US" w:eastAsia="en-GB"/>
        </w:rPr>
        <w:t>Statistical analysis</w:t>
      </w:r>
      <w:bookmarkEnd w:id="14"/>
    </w:p>
    <w:p w14:paraId="6364DCB5" w14:textId="26B9B7B1" w:rsidR="00C95A78" w:rsidRPr="00813425" w:rsidRDefault="00C95A78" w:rsidP="00C95A78">
      <w:pPr>
        <w:spacing w:before="100" w:beforeAutospacing="1" w:after="100" w:afterAutospacing="1" w:line="480" w:lineRule="auto"/>
        <w:rPr>
          <w:rFonts w:ascii="Times New Roman" w:eastAsia="Times New Roman" w:hAnsi="Times New Roman" w:cs="Times New Roman"/>
          <w:b/>
          <w:bCs/>
          <w:color w:val="000000"/>
          <w:sz w:val="24"/>
          <w:szCs w:val="24"/>
          <w:lang w:val="en-US" w:eastAsia="en-GB"/>
        </w:rPr>
      </w:pPr>
      <w:r w:rsidRPr="00813425">
        <w:rPr>
          <w:rFonts w:ascii="Times New Roman" w:eastAsia="Times New Roman" w:hAnsi="Times New Roman" w:cs="Times New Roman"/>
          <w:bCs/>
          <w:color w:val="000000"/>
          <w:sz w:val="24"/>
          <w:szCs w:val="24"/>
          <w:lang w:val="en-US" w:eastAsia="en-GB"/>
        </w:rPr>
        <w:t>Statistical analyses were performed using Stata version 17 (Stata Corporation Inc., College Station, TX, USA). Data were cleaned and checked for consistency and outliers. Primary outcomes were annualised mean 4% ∆ trabecular and 38% ∆ cortical vBMD (mg/cm³), 4% and 38% ∆ CSA (mm²), 38% ∆ cortical thickness (mm) and 38% ∆ stress-strain index (SSI) (mm</w:t>
      </w:r>
      <w:r w:rsidRPr="00813425">
        <w:rPr>
          <w:rFonts w:ascii="Times New Roman" w:eastAsia="Times New Roman" w:hAnsi="Times New Roman" w:cs="Times New Roman"/>
          <w:bCs/>
          <w:color w:val="000000"/>
          <w:sz w:val="24"/>
          <w:szCs w:val="24"/>
          <w:vertAlign w:val="superscript"/>
          <w:lang w:val="en-US" w:eastAsia="en-GB"/>
        </w:rPr>
        <w:t>4</w:t>
      </w:r>
      <w:r w:rsidRPr="00813425">
        <w:rPr>
          <w:rFonts w:ascii="Times New Roman" w:eastAsia="Times New Roman" w:hAnsi="Times New Roman" w:cs="Times New Roman"/>
          <w:bCs/>
          <w:color w:val="000000"/>
          <w:sz w:val="24"/>
          <w:szCs w:val="24"/>
          <w:lang w:val="en-US" w:eastAsia="en-GB"/>
        </w:rPr>
        <w:t xml:space="preserve">). Annualised changes </w:t>
      </w:r>
      <w:r w:rsidR="006D1F37" w:rsidRPr="00813425">
        <w:rPr>
          <w:rFonts w:ascii="Times New Roman" w:eastAsia="Times New Roman" w:hAnsi="Times New Roman" w:cs="Times New Roman"/>
          <w:bCs/>
          <w:color w:val="000000"/>
          <w:sz w:val="24"/>
          <w:szCs w:val="24"/>
          <w:lang w:val="en-US" w:eastAsia="en-GB"/>
        </w:rPr>
        <w:t xml:space="preserve">of </w:t>
      </w:r>
      <w:r w:rsidRPr="00813425">
        <w:rPr>
          <w:rFonts w:ascii="Times New Roman" w:eastAsia="Times New Roman" w:hAnsi="Times New Roman" w:cs="Times New Roman"/>
          <w:bCs/>
          <w:color w:val="000000"/>
          <w:sz w:val="24"/>
          <w:szCs w:val="24"/>
          <w:lang w:val="en-US" w:eastAsia="en-GB"/>
        </w:rPr>
        <w:t xml:space="preserve">pQCT bone outcomes were defined as the pQCT bone outcomes at follow up minus the pQCT bone outcome at baseline, divided by number of </w:t>
      </w:r>
      <w:proofErr w:type="gramStart"/>
      <w:r w:rsidRPr="00813425">
        <w:rPr>
          <w:rFonts w:ascii="Times New Roman" w:eastAsia="Times New Roman" w:hAnsi="Times New Roman" w:cs="Times New Roman"/>
          <w:bCs/>
          <w:color w:val="000000"/>
          <w:sz w:val="24"/>
          <w:szCs w:val="24"/>
          <w:lang w:val="en-US" w:eastAsia="en-GB"/>
        </w:rPr>
        <w:t>day</w:t>
      </w:r>
      <w:proofErr w:type="gramEnd"/>
      <w:r w:rsidRPr="00813425">
        <w:rPr>
          <w:rFonts w:ascii="Times New Roman" w:eastAsia="Times New Roman" w:hAnsi="Times New Roman" w:cs="Times New Roman"/>
          <w:bCs/>
          <w:color w:val="000000"/>
          <w:sz w:val="24"/>
          <w:szCs w:val="24"/>
          <w:lang w:val="en-US" w:eastAsia="en-GB"/>
        </w:rPr>
        <w:t xml:space="preserve"> between the baseline and follow up visits and multiplied by 365.25. All analyses were stratified by sex as bone accrual rates differ between males and females </w:t>
      </w:r>
      <w:r w:rsidRPr="00813425">
        <w:rPr>
          <w:rFonts w:ascii="Times New Roman" w:eastAsia="Times New Roman" w:hAnsi="Times New Roman" w:cs="Times New Roman"/>
          <w:bCs/>
          <w:color w:val="000000"/>
          <w:sz w:val="24"/>
          <w:szCs w:val="24"/>
          <w:lang w:val="en-US" w:eastAsia="en-GB"/>
        </w:rPr>
        <w:fldChar w:fldCharType="begin" w:fldLock="1"/>
      </w:r>
      <w:r w:rsidR="00F97376" w:rsidRPr="00813425">
        <w:rPr>
          <w:rFonts w:ascii="Times New Roman" w:eastAsia="Times New Roman" w:hAnsi="Times New Roman" w:cs="Times New Roman"/>
          <w:bCs/>
          <w:color w:val="000000"/>
          <w:sz w:val="24"/>
          <w:szCs w:val="24"/>
          <w:lang w:val="en-US" w:eastAsia="en-GB"/>
        </w:rPr>
        <w:instrText>ADDIN CSL_CITATION {"citationItems":[{"id":"ITEM-1","itemData":{"DOI":"10.1002/jbmr.2982","ISSN":"15234681","PMID":"27556581","abstract":"Sex differences in bone strength and fracture risk are well documented. However, we know little about bone strength accrual during growth and adaptations in bone microstructure, density, and geometry that accompany gains in bone strength. Thus, our objectives were to (1) describe growth related adaptations in bone microarchitecture, geometry, density, and strength at the distal tibia and radius in boys and girls; and (2) compare differences in adaptations in bone microarchitecture, geometry, density, and strength between boys and girls. We used HR-pQCT at the distal tibia (8% site) and radius (7% site) in 184 boys and 209 girls (9 to 20 years old at baseline). We aligned boys and girls on a common maturational landmark (age at peak height velocity [APHV]) and fit a mixed effects model to these longitudinal data. Importantly, boys showed 28% to 63% greater estimated bone strength across 12 years of longitudinal growth. Boys showed 28% to 80% more porous cortices compared with girls at both sites across all biological ages, except at the radius at 9 years post-APHV. However, cortical density was similar between boys and girls at all ages at both sites, except at 9 years post-APHV at the tibia when girls’ values were 2% greater than boys’. Boys showed 13% to 48% greater cortical and total bone area across growth. Load-to-strength ratio was 26% to 27% lower in boys at all ages, indicating lower risk of distal forearm fracture compared with girls. Contrary to previous HR-pQCT studies that did not align boys and girls at the same biological age, we did not observe sex differences in Ct.BMD. Boys’ superior bone size and strength compared with girls may confer them a protective advantage. However, boys’ consistently more porous cortices may contribute to their higher fracture incidence during adolescence. Large prospective studies using HR-pQCT that target boys and girls who have sustained a fracture are needed to verify this. © 2016 American Society for Bone and Mineral Research.","author":[{"dropping-particle":"","family":"Gabel","given":"Leigh","non-dropping-particle":"","parse-names":false,"suffix":""},{"dropping-particle":"","family":"Macdonald","given":"Heather M.","non-dropping-particle":"","parse-names":false,"suffix":""},{"dropping-particle":"","family":"McKay","given":"Heather A.","non-dropping-particle":"","parse-names":false,"suffix":""}],"container-title":"Journal of Bone and Mineral Research","id":"ITEM-1","issue":"2","issued":{"date-parts":[["2017"]]},"page":"250-263","title":"Sex Differences and Growth-Related Adaptations in Bone Microarchitecture, Geometry, Density, and Strength From Childhood to Early Adulthood: A Mixed Longitudinal HR-pQCT Study","type":"article-journal","volume":"32"},"uris":["http://www.mendeley.com/documents/?uuid=bf161557-d878-4167-b28a-451f6b11225e"]}],"mendeley":{"formattedCitation":"(24)","plainTextFormattedCitation":"(24)","previouslyFormattedCitation":"(24)"},"properties":{"noteIndex":0},"schema":"https://github.com/citation-style-language/schema/raw/master/csl-citation.json"}</w:instrText>
      </w:r>
      <w:r w:rsidRPr="00813425">
        <w:rPr>
          <w:rFonts w:ascii="Times New Roman" w:eastAsia="Times New Roman" w:hAnsi="Times New Roman" w:cs="Times New Roman"/>
          <w:bCs/>
          <w:color w:val="000000"/>
          <w:sz w:val="24"/>
          <w:szCs w:val="24"/>
          <w:lang w:val="en-US" w:eastAsia="en-GB"/>
        </w:rPr>
        <w:fldChar w:fldCharType="separate"/>
      </w:r>
      <w:r w:rsidR="00D47FD7" w:rsidRPr="00813425">
        <w:rPr>
          <w:rFonts w:ascii="Times New Roman" w:eastAsia="Times New Roman" w:hAnsi="Times New Roman" w:cs="Times New Roman"/>
          <w:bCs/>
          <w:noProof/>
          <w:color w:val="000000"/>
          <w:sz w:val="24"/>
          <w:szCs w:val="24"/>
          <w:lang w:val="en-US" w:eastAsia="en-GB"/>
        </w:rPr>
        <w:t>(24)</w:t>
      </w:r>
      <w:r w:rsidRPr="00813425">
        <w:rPr>
          <w:rFonts w:ascii="Times New Roman" w:eastAsia="Times New Roman" w:hAnsi="Times New Roman" w:cs="Times New Roman"/>
          <w:bCs/>
          <w:color w:val="000000"/>
          <w:sz w:val="24"/>
          <w:szCs w:val="24"/>
          <w:lang w:val="en-US" w:eastAsia="en-GB"/>
        </w:rPr>
        <w:fldChar w:fldCharType="end"/>
      </w:r>
      <w:r w:rsidRPr="00813425">
        <w:rPr>
          <w:rFonts w:ascii="Times New Roman" w:eastAsia="Times New Roman" w:hAnsi="Times New Roman" w:cs="Times New Roman"/>
          <w:bCs/>
          <w:color w:val="000000"/>
          <w:sz w:val="24"/>
          <w:szCs w:val="24"/>
          <w:lang w:val="en-US" w:eastAsia="en-GB"/>
        </w:rPr>
        <w:t xml:space="preserve">. Independent t-tests were used to compare group means for continuous data and chi-squared tests were used for categorical percentages. Linear regression (with robust standard errors) was used to estimate mean differences (presented with 95% CI) between CWH and CWOH. Adjustments were made for SES in tertiles </w:t>
      </w:r>
      <w:r w:rsidRPr="00813425">
        <w:rPr>
          <w:rFonts w:ascii="Times New Roman" w:eastAsia="Times New Roman" w:hAnsi="Times New Roman" w:cs="Times New Roman"/>
          <w:bCs/>
          <w:color w:val="000000"/>
          <w:sz w:val="24"/>
          <w:szCs w:val="24"/>
          <w:lang w:val="en-US" w:eastAsia="en-GB"/>
        </w:rPr>
        <w:fldChar w:fldCharType="begin" w:fldLock="1"/>
      </w:r>
      <w:r w:rsidR="00F97376" w:rsidRPr="00813425">
        <w:rPr>
          <w:rFonts w:ascii="Times New Roman" w:eastAsia="Times New Roman" w:hAnsi="Times New Roman" w:cs="Times New Roman"/>
          <w:bCs/>
          <w:color w:val="000000"/>
          <w:sz w:val="24"/>
          <w:szCs w:val="24"/>
          <w:lang w:val="en-US" w:eastAsia="en-GB"/>
        </w:rPr>
        <w:instrText>ADDIN CSL_CITATION {"citationItems":[{"id":"ITEM-1","itemData":{"DOI":"10.1017/S0021932011000745","ISSN":"00219320","PMID":"22273351","abstract":"Although health is generally believed to improve with higher wealth, research on HIV in sub-Saharan Africa has shown otherwise. Whereas researchers and advocates have frequently advanced poverty as a social determinant that can help to explain sub-Saharan Africa's disproportionate burden of HIV infection, recent evidence from population surveys suggests that HIV infection is higher among wealthier individuals. Furthermore, wealthier countries in Africa have experienced the fastest growing epidemics. Some researchers have theorized that inequality in wealth may be more important than absolute wealth in explaining why some countries have higher rates of infection and rapidly increasing epidemics. Studies taking a longitudinal approach have further suggested a dynamic process whereby wealth initially increases risk for HIV acquisition and later becomes protective. Prior studies, conducted exclusively at either the individual or the country level, have neither attempted to disentangle the effects of absolute and relative wealth on HIV infection nor to look simultaneously at different levels of analysis within countries at different stages in their epidemics. The current study used micro-, meso- and macro-level data from Demographic and Health Surveys (DHS) across 170 regions within sixteen countries in sub-Saharan Africa to test the hypothesis that socioeconomic inequality, adjusted for absolute wealth, is associated with greater risk of HIV infection. These analyses reveal that inequality trumps wealth: living in a region with greater inequality in wealth was significantly associated with increased individual risk of HIV infection, net of absolute wealth. The findings also reveal a paradox that supports a dynamic interpretation of epidemic trends: in wealthier regions/countries, individuals with less wealth were more likely to be infected with HIV, whereas in poorer regions/countries, individuals with more wealth were more likely to be infected with HIV. These findings add additional nuance to existing literature on the relationship between HIV and socioeconomic status. © 2012 Cambridge University Press.","author":[{"dropping-particle":"","family":"Fox","given":"Ashley M.","non-dropping-particle":"","parse-names":false,"suffix":""}],"container-title":"Journal of Biosocial Science","id":"ITEM-1","issue":"4","issued":{"date-parts":[["2012"]]},"page":"459-480","title":"The HIV-poverty thesis RE-examined: Poverty, wealth or inequality as a social determinant of hiv infection in sub-Saharan Africa?","type":"article-journal","volume":"44"},"uris":["http://www.mendeley.com/documents/?uuid=e9d8145e-e8a2-4c22-bbee-3950d9e0434c"]}],"mendeley":{"formattedCitation":"(25)","plainTextFormattedCitation":"(25)","previouslyFormattedCitation":"(25)"},"properties":{"noteIndex":0},"schema":"https://github.com/citation-style-language/schema/raw/master/csl-citation.json"}</w:instrText>
      </w:r>
      <w:r w:rsidRPr="00813425">
        <w:rPr>
          <w:rFonts w:ascii="Times New Roman" w:eastAsia="Times New Roman" w:hAnsi="Times New Roman" w:cs="Times New Roman"/>
          <w:bCs/>
          <w:color w:val="000000"/>
          <w:sz w:val="24"/>
          <w:szCs w:val="24"/>
          <w:lang w:val="en-US" w:eastAsia="en-GB"/>
        </w:rPr>
        <w:fldChar w:fldCharType="separate"/>
      </w:r>
      <w:r w:rsidR="00D47FD7" w:rsidRPr="00813425">
        <w:rPr>
          <w:rFonts w:ascii="Times New Roman" w:eastAsia="Times New Roman" w:hAnsi="Times New Roman" w:cs="Times New Roman"/>
          <w:bCs/>
          <w:noProof/>
          <w:color w:val="000000"/>
          <w:sz w:val="24"/>
          <w:szCs w:val="24"/>
          <w:lang w:val="en-US" w:eastAsia="en-GB"/>
        </w:rPr>
        <w:t>(25)</w:t>
      </w:r>
      <w:r w:rsidRPr="00813425">
        <w:rPr>
          <w:rFonts w:ascii="Times New Roman" w:eastAsia="Times New Roman" w:hAnsi="Times New Roman" w:cs="Times New Roman"/>
          <w:bCs/>
          <w:color w:val="000000"/>
          <w:sz w:val="24"/>
          <w:szCs w:val="24"/>
          <w:lang w:val="en-US" w:eastAsia="en-GB"/>
        </w:rPr>
        <w:fldChar w:fldCharType="end"/>
      </w:r>
      <w:r w:rsidRPr="00813425">
        <w:rPr>
          <w:rFonts w:ascii="Times New Roman" w:eastAsia="Times New Roman" w:hAnsi="Times New Roman" w:cs="Times New Roman"/>
          <w:bCs/>
          <w:color w:val="000000"/>
          <w:sz w:val="24"/>
          <w:szCs w:val="24"/>
          <w:lang w:val="en-US" w:eastAsia="en-GB"/>
        </w:rPr>
        <w:t xml:space="preserve">, and orphanhood </w:t>
      </w:r>
      <w:r w:rsidRPr="00813425">
        <w:rPr>
          <w:rFonts w:ascii="Times New Roman" w:eastAsia="Times New Roman" w:hAnsi="Times New Roman" w:cs="Times New Roman"/>
          <w:bCs/>
          <w:color w:val="000000"/>
          <w:sz w:val="24"/>
          <w:szCs w:val="24"/>
          <w:lang w:val="en-US" w:eastAsia="en-GB"/>
        </w:rPr>
        <w:fldChar w:fldCharType="begin" w:fldLock="1"/>
      </w:r>
      <w:r w:rsidRPr="00813425">
        <w:rPr>
          <w:rFonts w:ascii="Times New Roman" w:eastAsia="Times New Roman" w:hAnsi="Times New Roman" w:cs="Times New Roman"/>
          <w:bCs/>
          <w:color w:val="000000"/>
          <w:sz w:val="24"/>
          <w:szCs w:val="24"/>
          <w:lang w:val="en-US" w:eastAsia="en-GB"/>
        </w:rPr>
        <w:instrText>ADDIN CSL_CITATION {"citationItems":[{"id":"ITEM-1","itemData":{"DOI":"10.1016/S2352-4642(21)00133-4","ISSN":"23524642","PMID":"34139202","abstract":"Background: Faltered linear growth and pubertal delay, which are both common in children with HIV in sub-Saharan Africa, might affect adolescent bone accrual and future fragility fracture risk. We investigated the association of HIV with bone density adjusted for skeletal size in peripubertal children in Zimbabwe. Methods: We did a cross-sectional study of baseline data from the IMVASK cohort, which enrolled children aged 8–16 years with HIV who had been taking antiretroviral therapy (ART) for at least 2 years, and children of the same age without HIV. Children with HIV were recruited from public sector HIV clinics at Parirenyatwa General Hospital and Harare Central Hospital (Harare, Zimbabwe), and children without HIV were recruited from six schools in the same suburbs that the hospitals serve. Sociodemographic, clinical, and anthropometric data were collected. Dual-energy X-ray absorptiometry (DXA) was used to measure the bone outcomes of total-body less-head bone mineral content for lean mass adjusted for height (TBLH-BMCLBM), and lumbar spine bone mineral apparent density (LS-BMAD), and we assessed the prevalence of low TBLH-BMCLBM and low LS-BMAD (defined by Z-scores of less than −2·0). Size adjustment techniques were used to overcome the size dependence of DXA measurement. We used linear regression models, with multiple imputation for missing data, to assess relationships between risk factors and TBLH-BMCLBM and LS-BMAD Z-scores in children with and without HIV. Findings: We recruited 303 children with HIV (mean age 12·4 years [SD 2·5]; 151 [50%] girls) and 306 children without HIV (mean age 12·5 years [SD 2·5]; 155 [51%] girls). In children with HIV, median age of HIV diagnosis was 3·0 years (IQR 1·2–5·8), and median ART duration was 8·1 years (6·2–9·5); for 102 (34%) children, ART included tenofovir disoproxil fumarate (TDF). Children with HIV had a higher prevalence of low TBLH-BMCLBM Z-score than children without HIV (29 [10%] of 279 children with available data vs 18 [6%] of 292 with available data; p=0·066) and a higher prevalence of low LS-BMAD Z-score (40 [14%] of 279 vs 17 [6%] of 293 with available data; p=0·0007). HIV and male sex were associated with earlier pubertal (Tanner) stage. The negative associations between HIV and Z-scores for TBLH-BMCLBM and LS-BMAD were more pronounced with pubertal maturation, particularly in girls. Among children with HIV, TDF exposure and orphanhood were associated with lower TBLH-BMCLBM Z-score in confo…","author":[{"dropping-particle":"","family":"Rukuni","given":"Ruramayi","non-dropping-particle":"","parse-names":false,"suffix":""},{"dropping-particle":"","family":"Rehman","given":"Andrea M.","non-dropping-particle":"","parse-names":false,"suffix":""},{"dropping-particle":"","family":"Mukwasi-Kahari","given":"Cynthia","non-dropping-particle":"","parse-names":false,"suffix":""},{"dropping-particle":"","family":"Madanhire","given":"Tafadzwa","non-dropping-particle":"","parse-names":false,"suffix":""},{"dropping-particle":"","family":"Kowo-Nyakoko","given":"Farirayi","non-dropping-particle":"","parse-names":false,"suffix":""},{"dropping-particle":"","family":"McHugh","given":"Grace","non-dropping-particle":"","parse-names":false,"suffix":""},{"dropping-particle":"","family":"Filteau","given":"Suzanne","non-dropping-particle":"","parse-names":false,"suffix":""},{"dropping-particle":"","family":"Chipanga","given":"Joseph","non-dropping-particle":"","parse-names":false,"suffix":""},{"dropping-particle":"","family":"Simms","given":"Victoria","non-dropping-particle":"","parse-names":false,"suffix":""},{"dropping-particle":"","family":"Mujuru","given":"Hilda","non-dropping-particle":"","parse-names":false,"suffix":""},{"dropping-particle":"","family":"Ward","given":"Kate A.","non-dropping-particle":"","parse-names":false,"suffix":""},{"dropping-particle":"","family":"Ferrand","given":"Rashida A.","non-dropping-particle":"","parse-names":false,"suffix":""},{"dropping-particle":"","family":"Gregson","given":"Celia L.","non-dropping-particle":"","parse-names":false,"suffix":""}],"container-title":"The Lancet Child and Adolescent Health","id":"ITEM-1","issue":"8","issued":{"date-parts":[["2021"]]},"page":"569-581","publisher":"The Author(s). Published by Elsevier Ltd. This is an Open Access article under the CC BY 4.0 license","title":"Effect of HIV infection on growth and bone density in peripubertal children in the era of antiretroviral therapy: a cross-sectional study in Zimbabwe","type":"article-journal","volume":"5"},"uris":["http://www.mendeley.com/documents/?uuid=77b44533-3aaa-4da8-83d4-68aa7215869f"]}],"mendeley":{"formattedCitation":"(7)","plainTextFormattedCitation":"(7)","previouslyFormattedCitation":"(7)"},"properties":{"noteIndex":0},"schema":"https://github.com/citation-style-language/schema/raw/master/csl-citation.json"}</w:instrText>
      </w:r>
      <w:r w:rsidRPr="00813425">
        <w:rPr>
          <w:rFonts w:ascii="Times New Roman" w:eastAsia="Times New Roman" w:hAnsi="Times New Roman" w:cs="Times New Roman"/>
          <w:bCs/>
          <w:color w:val="000000"/>
          <w:sz w:val="24"/>
          <w:szCs w:val="24"/>
          <w:lang w:val="en-US" w:eastAsia="en-GB"/>
        </w:rPr>
        <w:fldChar w:fldCharType="separate"/>
      </w:r>
      <w:r w:rsidRPr="00813425">
        <w:rPr>
          <w:rFonts w:ascii="Times New Roman" w:eastAsia="Times New Roman" w:hAnsi="Times New Roman" w:cs="Times New Roman"/>
          <w:bCs/>
          <w:noProof/>
          <w:color w:val="000000"/>
          <w:sz w:val="24"/>
          <w:szCs w:val="24"/>
          <w:lang w:val="en-US" w:eastAsia="en-GB"/>
        </w:rPr>
        <w:t>(7)</w:t>
      </w:r>
      <w:r w:rsidRPr="00813425">
        <w:rPr>
          <w:rFonts w:ascii="Times New Roman" w:eastAsia="Times New Roman" w:hAnsi="Times New Roman" w:cs="Times New Roman"/>
          <w:bCs/>
          <w:color w:val="000000"/>
          <w:sz w:val="24"/>
          <w:szCs w:val="24"/>
          <w:lang w:val="en-US" w:eastAsia="en-GB"/>
        </w:rPr>
        <w:fldChar w:fldCharType="end"/>
      </w:r>
      <w:r w:rsidRPr="00813425">
        <w:rPr>
          <w:rFonts w:ascii="Times New Roman" w:eastAsia="Times New Roman" w:hAnsi="Times New Roman" w:cs="Times New Roman"/>
          <w:bCs/>
          <w:color w:val="000000"/>
          <w:sz w:val="24"/>
          <w:szCs w:val="24"/>
          <w:lang w:val="en-US" w:eastAsia="en-GB"/>
        </w:rPr>
        <w:t>.  Potential differences in the effect of HIV on ∆bone outcomes by pubertal status were tested by incorporating an interaction term for baseline binary pubertal status (Tanner 1 &amp; 2 vs Tanner 3, 4 &amp; 5)</w:t>
      </w:r>
      <w:r w:rsidR="00F15411" w:rsidRPr="00813425">
        <w:rPr>
          <w:rFonts w:ascii="Times New Roman" w:eastAsia="Times New Roman" w:hAnsi="Times New Roman" w:cs="Times New Roman"/>
          <w:bCs/>
          <w:color w:val="000000"/>
          <w:sz w:val="24"/>
          <w:szCs w:val="24"/>
          <w:lang w:val="en-US" w:eastAsia="en-GB"/>
        </w:rPr>
        <w:t>.</w:t>
      </w:r>
      <w:r w:rsidRPr="00813425" w:rsidDel="00700565">
        <w:rPr>
          <w:rFonts w:ascii="Times New Roman" w:eastAsia="Times New Roman" w:hAnsi="Times New Roman" w:cs="Times New Roman"/>
          <w:bCs/>
          <w:color w:val="000000"/>
          <w:sz w:val="24"/>
          <w:szCs w:val="24"/>
          <w:lang w:val="en-US" w:eastAsia="en-GB"/>
        </w:rPr>
        <w:t xml:space="preserve"> </w:t>
      </w:r>
      <w:r w:rsidRPr="00813425">
        <w:rPr>
          <w:rFonts w:ascii="Times New Roman" w:eastAsia="Times New Roman" w:hAnsi="Times New Roman" w:cs="Times New Roman"/>
          <w:bCs/>
          <w:color w:val="000000"/>
          <w:sz w:val="24"/>
          <w:szCs w:val="24"/>
          <w:lang w:val="en-US" w:eastAsia="en-GB"/>
        </w:rPr>
        <w:t xml:space="preserve"> </w:t>
      </w:r>
      <w:r w:rsidR="006E7BB0" w:rsidRPr="00813425">
        <w:rPr>
          <w:rFonts w:ascii="Times New Roman" w:eastAsia="Times New Roman" w:hAnsi="Times New Roman" w:cs="Times New Roman"/>
          <w:bCs/>
          <w:color w:val="000000"/>
          <w:sz w:val="24"/>
          <w:szCs w:val="24"/>
          <w:lang w:val="en-US" w:eastAsia="en-GB"/>
        </w:rPr>
        <w:t xml:space="preserve">Structural equation modelling (SEM) for mediation analysis was used to evaluate whether the effect of HIV infection on change in bone outcomes was mediated </w:t>
      </w:r>
      <w:r w:rsidR="00061443" w:rsidRPr="00813425">
        <w:rPr>
          <w:rFonts w:ascii="Times New Roman" w:eastAsia="Times New Roman" w:hAnsi="Times New Roman" w:cs="Times New Roman"/>
          <w:bCs/>
          <w:color w:val="000000"/>
          <w:sz w:val="24"/>
          <w:szCs w:val="24"/>
          <w:lang w:val="en-US" w:eastAsia="en-GB"/>
        </w:rPr>
        <w:t xml:space="preserve">first </w:t>
      </w:r>
      <w:r w:rsidR="006E7BB0" w:rsidRPr="00813425">
        <w:rPr>
          <w:rFonts w:ascii="Times New Roman" w:eastAsia="Times New Roman" w:hAnsi="Times New Roman" w:cs="Times New Roman"/>
          <w:bCs/>
          <w:color w:val="000000"/>
          <w:sz w:val="24"/>
          <w:szCs w:val="24"/>
          <w:lang w:val="en-US" w:eastAsia="en-GB"/>
        </w:rPr>
        <w:t xml:space="preserve">by </w:t>
      </w:r>
      <w:r w:rsidR="00800218" w:rsidRPr="00813425">
        <w:rPr>
          <w:rFonts w:ascii="Times New Roman" w:eastAsia="Times New Roman" w:hAnsi="Times New Roman" w:cs="Times New Roman"/>
          <w:bCs/>
          <w:color w:val="000000"/>
          <w:sz w:val="24"/>
          <w:szCs w:val="24"/>
          <w:lang w:val="en-US" w:eastAsia="en-GB"/>
        </w:rPr>
        <w:t xml:space="preserve">internally generated </w:t>
      </w:r>
      <w:r w:rsidR="00440DBF" w:rsidRPr="00813425">
        <w:rPr>
          <w:rFonts w:ascii="Times New Roman" w:eastAsia="Times New Roman" w:hAnsi="Times New Roman" w:cs="Times New Roman"/>
          <w:bCs/>
          <w:color w:val="000000"/>
          <w:sz w:val="24"/>
          <w:szCs w:val="24"/>
          <w:lang w:val="en-US" w:eastAsia="en-GB"/>
        </w:rPr>
        <w:t xml:space="preserve">baseline </w:t>
      </w:r>
      <w:r w:rsidR="006E7BB0" w:rsidRPr="00813425">
        <w:rPr>
          <w:rFonts w:ascii="Times New Roman" w:eastAsia="Times New Roman" w:hAnsi="Times New Roman" w:cs="Times New Roman"/>
          <w:bCs/>
          <w:color w:val="000000"/>
          <w:sz w:val="24"/>
          <w:szCs w:val="24"/>
          <w:lang w:val="en-US" w:eastAsia="en-GB"/>
        </w:rPr>
        <w:t xml:space="preserve">height </w:t>
      </w:r>
      <w:r w:rsidR="00F15411" w:rsidRPr="00813425">
        <w:rPr>
          <w:rFonts w:ascii="Times New Roman" w:eastAsia="Times New Roman" w:hAnsi="Times New Roman" w:cs="Times New Roman"/>
          <w:bCs/>
          <w:color w:val="000000"/>
          <w:sz w:val="24"/>
          <w:szCs w:val="24"/>
          <w:lang w:val="en-US" w:eastAsia="en-GB"/>
        </w:rPr>
        <w:t>Z-scores</w:t>
      </w:r>
      <w:r w:rsidR="00AC49E8" w:rsidRPr="00813425">
        <w:rPr>
          <w:rFonts w:ascii="Times New Roman" w:eastAsia="Times New Roman" w:hAnsi="Times New Roman" w:cs="Times New Roman"/>
          <w:bCs/>
          <w:color w:val="000000"/>
          <w:sz w:val="24"/>
          <w:szCs w:val="24"/>
          <w:lang w:val="en-US" w:eastAsia="en-GB"/>
        </w:rPr>
        <w:t xml:space="preserve"> </w:t>
      </w:r>
      <w:r w:rsidR="00061443" w:rsidRPr="00813425">
        <w:rPr>
          <w:rFonts w:ascii="Times New Roman" w:eastAsia="Times New Roman" w:hAnsi="Times New Roman" w:cs="Times New Roman"/>
          <w:bCs/>
          <w:color w:val="000000"/>
          <w:sz w:val="24"/>
          <w:szCs w:val="24"/>
          <w:lang w:val="en-US" w:eastAsia="en-GB"/>
        </w:rPr>
        <w:t xml:space="preserve">and secondly by internally generated </w:t>
      </w:r>
      <w:r w:rsidR="00440DBF" w:rsidRPr="00813425">
        <w:rPr>
          <w:rFonts w:ascii="Times New Roman" w:eastAsia="Times New Roman" w:hAnsi="Times New Roman" w:cs="Times New Roman"/>
          <w:bCs/>
          <w:color w:val="000000"/>
          <w:sz w:val="24"/>
          <w:szCs w:val="24"/>
          <w:lang w:val="en-US" w:eastAsia="en-GB"/>
        </w:rPr>
        <w:t xml:space="preserve">baseline </w:t>
      </w:r>
      <w:r w:rsidR="00061443" w:rsidRPr="00813425">
        <w:rPr>
          <w:rFonts w:ascii="Times New Roman" w:eastAsia="Times New Roman" w:hAnsi="Times New Roman" w:cs="Times New Roman"/>
          <w:bCs/>
          <w:color w:val="000000"/>
          <w:sz w:val="24"/>
          <w:szCs w:val="24"/>
          <w:lang w:val="en-US" w:eastAsia="en-GB"/>
        </w:rPr>
        <w:t xml:space="preserve">tibia length Z-scores at </w:t>
      </w:r>
      <w:r w:rsidR="00061443" w:rsidRPr="00813425">
        <w:rPr>
          <w:rFonts w:ascii="Times New Roman" w:eastAsia="Times New Roman" w:hAnsi="Times New Roman" w:cs="Times New Roman"/>
          <w:bCs/>
          <w:color w:val="000000"/>
          <w:sz w:val="24"/>
          <w:szCs w:val="24"/>
          <w:lang w:val="en-US" w:eastAsia="en-GB"/>
        </w:rPr>
        <w:lastRenderedPageBreak/>
        <w:t>baseline</w:t>
      </w:r>
      <w:r w:rsidR="00F15411" w:rsidRPr="00813425">
        <w:rPr>
          <w:rFonts w:ascii="Times New Roman" w:eastAsia="Times New Roman" w:hAnsi="Times New Roman" w:cs="Times New Roman"/>
          <w:bCs/>
          <w:color w:val="000000"/>
          <w:sz w:val="24"/>
          <w:szCs w:val="24"/>
          <w:lang w:val="en-US" w:eastAsia="en-GB"/>
        </w:rPr>
        <w:t xml:space="preserve">. </w:t>
      </w:r>
      <w:r w:rsidR="003B3981" w:rsidRPr="00813425">
        <w:rPr>
          <w:rFonts w:ascii="Calibri" w:hAnsi="Calibri" w:cs="Calibri"/>
          <w:b/>
          <w:bCs/>
          <w:i/>
          <w:color w:val="2E74B5" w:themeColor="accent1" w:themeShade="BF"/>
          <w:shd w:val="clear" w:color="auto" w:fill="FFFFFF"/>
          <w:lang w:val="en-US"/>
        </w:rPr>
        <w:t xml:space="preserve"> </w:t>
      </w:r>
      <w:r w:rsidR="003B3981" w:rsidRPr="00813425">
        <w:rPr>
          <w:rFonts w:ascii="Times New Roman" w:eastAsia="Times New Roman" w:hAnsi="Times New Roman" w:cs="Times New Roman"/>
          <w:bCs/>
          <w:color w:val="000000"/>
          <w:sz w:val="24"/>
          <w:szCs w:val="24"/>
          <w:lang w:val="en-US" w:eastAsia="en-GB"/>
        </w:rPr>
        <w:t xml:space="preserve">Structural equation modelling was used, irrespective of the overall association between HIV and the pQCT bone outcomes since it is possible for an exposure to exert an effect on an outcome indirectly through a mediator even if one cannot establish evidence of an association through a hypothesis test, for a total effect of an exposure on an outcome </w:t>
      </w:r>
      <w:r w:rsidR="003B3981" w:rsidRPr="00813425">
        <w:rPr>
          <w:rFonts w:ascii="Times New Roman" w:eastAsia="Times New Roman" w:hAnsi="Times New Roman" w:cs="Times New Roman"/>
          <w:bCs/>
          <w:color w:val="000000"/>
          <w:sz w:val="24"/>
          <w:szCs w:val="24"/>
          <w:lang w:val="en-US" w:eastAsia="en-GB"/>
        </w:rPr>
        <w:fldChar w:fldCharType="begin" w:fldLock="1"/>
      </w:r>
      <w:r w:rsidR="00F97376" w:rsidRPr="00813425">
        <w:rPr>
          <w:rFonts w:ascii="Times New Roman" w:eastAsia="Times New Roman" w:hAnsi="Times New Roman" w:cs="Times New Roman"/>
          <w:bCs/>
          <w:color w:val="000000"/>
          <w:sz w:val="24"/>
          <w:szCs w:val="24"/>
          <w:lang w:val="en-US" w:eastAsia="en-GB"/>
        </w:rPr>
        <w:instrText>ADDIN CSL_CITATION {"citationItems":[{"id":"ITEM-1","itemData":{"ISBN":"9781462534654","author":[{"dropping-particle":"","family":"Hayes","given":"Andrew F.","non-dropping-particle":"","parse-names":false,"suffix":""}],"id":"ITEM-1","issued":{"date-parts":[["2018"]]},"number-of-pages":"113 - 119","title":"Introduction to Mediation, Moderation, and Conditional Process Analysis: A Regression Based Approach. The Guilford Press","type":"book"},"uris":["http://www.mendeley.com/documents/?uuid=698569b4-aa27-46f3-80ed-f77454cf2500"]}],"mendeley":{"formattedCitation":"(26)","plainTextFormattedCitation":"(26)","previouslyFormattedCitation":"(26)"},"properties":{"noteIndex":0},"schema":"https://github.com/citation-style-language/schema/raw/master/csl-citation.json"}</w:instrText>
      </w:r>
      <w:r w:rsidR="003B3981" w:rsidRPr="00813425">
        <w:rPr>
          <w:rFonts w:ascii="Times New Roman" w:eastAsia="Times New Roman" w:hAnsi="Times New Roman" w:cs="Times New Roman"/>
          <w:bCs/>
          <w:color w:val="000000"/>
          <w:sz w:val="24"/>
          <w:szCs w:val="24"/>
          <w:lang w:val="en-US" w:eastAsia="en-GB"/>
        </w:rPr>
        <w:fldChar w:fldCharType="separate"/>
      </w:r>
      <w:r w:rsidR="003B3981" w:rsidRPr="00813425">
        <w:rPr>
          <w:rFonts w:ascii="Times New Roman" w:eastAsia="Times New Roman" w:hAnsi="Times New Roman" w:cs="Times New Roman"/>
          <w:bCs/>
          <w:noProof/>
          <w:color w:val="000000"/>
          <w:sz w:val="24"/>
          <w:szCs w:val="24"/>
          <w:lang w:val="en-US" w:eastAsia="en-GB"/>
        </w:rPr>
        <w:t>(26)</w:t>
      </w:r>
      <w:r w:rsidR="003B3981" w:rsidRPr="00813425">
        <w:rPr>
          <w:rFonts w:ascii="Times New Roman" w:eastAsia="Times New Roman" w:hAnsi="Times New Roman" w:cs="Times New Roman"/>
          <w:bCs/>
          <w:color w:val="000000"/>
          <w:sz w:val="24"/>
          <w:szCs w:val="24"/>
          <w:lang w:val="en-US" w:eastAsia="en-GB"/>
        </w:rPr>
        <w:fldChar w:fldCharType="end"/>
      </w:r>
      <w:r w:rsidR="003B3981" w:rsidRPr="00813425">
        <w:rPr>
          <w:rFonts w:ascii="Times New Roman" w:eastAsia="Times New Roman" w:hAnsi="Times New Roman" w:cs="Times New Roman"/>
          <w:bCs/>
          <w:color w:val="000000"/>
          <w:sz w:val="24"/>
          <w:szCs w:val="24"/>
          <w:lang w:val="en-US" w:eastAsia="en-GB"/>
        </w:rPr>
        <w:t>.</w:t>
      </w:r>
      <w:r w:rsidR="00BC1940" w:rsidRPr="00813425">
        <w:rPr>
          <w:rFonts w:ascii="Times New Roman" w:eastAsia="Times New Roman" w:hAnsi="Times New Roman" w:cs="Times New Roman"/>
          <w:bCs/>
          <w:color w:val="000000"/>
          <w:sz w:val="24"/>
          <w:szCs w:val="24"/>
          <w:lang w:val="en-US" w:eastAsia="en-GB"/>
        </w:rPr>
        <w:t xml:space="preserve"> </w:t>
      </w:r>
      <w:r w:rsidR="00F15411" w:rsidRPr="00813425">
        <w:rPr>
          <w:rFonts w:ascii="Times New Roman" w:eastAsia="Times New Roman" w:hAnsi="Times New Roman" w:cs="Times New Roman"/>
          <w:bCs/>
          <w:color w:val="000000"/>
          <w:sz w:val="24"/>
          <w:szCs w:val="24"/>
          <w:lang w:val="en-US" w:eastAsia="en-GB"/>
        </w:rPr>
        <w:t>The structural equation models</w:t>
      </w:r>
      <w:r w:rsidR="00AC49E8" w:rsidRPr="00813425">
        <w:rPr>
          <w:rFonts w:ascii="Times New Roman" w:eastAsia="Times New Roman" w:hAnsi="Times New Roman" w:cs="Times New Roman"/>
          <w:bCs/>
          <w:color w:val="000000"/>
          <w:sz w:val="24"/>
          <w:szCs w:val="24"/>
          <w:lang w:val="en-US" w:eastAsia="en-GB"/>
        </w:rPr>
        <w:t xml:space="preserve"> used linear regression and</w:t>
      </w:r>
      <w:r w:rsidR="00F15411" w:rsidRPr="00813425">
        <w:rPr>
          <w:rFonts w:ascii="Times New Roman" w:eastAsia="Times New Roman" w:hAnsi="Times New Roman" w:cs="Times New Roman"/>
          <w:bCs/>
          <w:color w:val="000000"/>
          <w:sz w:val="24"/>
          <w:szCs w:val="24"/>
          <w:lang w:val="en-US" w:eastAsia="en-GB"/>
        </w:rPr>
        <w:t xml:space="preserve"> </w:t>
      </w:r>
      <w:r w:rsidRPr="00813425">
        <w:rPr>
          <w:rFonts w:ascii="Times New Roman" w:eastAsia="Times New Roman" w:hAnsi="Times New Roman" w:cs="Times New Roman"/>
          <w:bCs/>
          <w:color w:val="000000"/>
          <w:sz w:val="24"/>
          <w:szCs w:val="24"/>
          <w:lang w:val="en-US" w:eastAsia="en-GB"/>
        </w:rPr>
        <w:t>were adjusted for SES</w:t>
      </w:r>
      <w:r w:rsidR="00061443" w:rsidRPr="00813425">
        <w:rPr>
          <w:rFonts w:ascii="Times New Roman" w:eastAsia="Times New Roman" w:hAnsi="Times New Roman" w:cs="Times New Roman"/>
          <w:bCs/>
          <w:color w:val="000000"/>
          <w:sz w:val="24"/>
          <w:szCs w:val="24"/>
          <w:lang w:val="en-US" w:eastAsia="en-GB"/>
        </w:rPr>
        <w:t xml:space="preserve"> and </w:t>
      </w:r>
      <w:r w:rsidRPr="00813425">
        <w:rPr>
          <w:rFonts w:ascii="Times New Roman" w:eastAsia="Times New Roman" w:hAnsi="Times New Roman" w:cs="Times New Roman"/>
          <w:bCs/>
          <w:color w:val="000000"/>
          <w:sz w:val="24"/>
          <w:szCs w:val="24"/>
          <w:lang w:val="en-US" w:eastAsia="en-GB"/>
        </w:rPr>
        <w:t>orphanhood</w:t>
      </w:r>
      <w:r w:rsidR="00061443" w:rsidRPr="00813425">
        <w:rPr>
          <w:rFonts w:ascii="Times New Roman" w:eastAsia="Times New Roman" w:hAnsi="Times New Roman" w:cs="Times New Roman"/>
          <w:bCs/>
          <w:color w:val="000000"/>
          <w:sz w:val="24"/>
          <w:szCs w:val="24"/>
          <w:lang w:val="en-US" w:eastAsia="en-GB"/>
        </w:rPr>
        <w:t>.</w:t>
      </w:r>
    </w:p>
    <w:p w14:paraId="6364DCB6" w14:textId="77777777" w:rsidR="00C95A78" w:rsidRPr="00813425" w:rsidRDefault="00C95A78" w:rsidP="009E3E5C">
      <w:pPr>
        <w:rPr>
          <w:rFonts w:ascii="Times New Roman" w:hAnsi="Times New Roman" w:cs="Times New Roman"/>
          <w:b/>
          <w:sz w:val="24"/>
          <w:szCs w:val="24"/>
          <w:lang w:val="en-GB" w:eastAsia="en-GB"/>
        </w:rPr>
      </w:pPr>
      <w:bookmarkStart w:id="15" w:name="_Toc139513443"/>
      <w:r w:rsidRPr="00813425">
        <w:rPr>
          <w:rFonts w:ascii="Times New Roman" w:hAnsi="Times New Roman" w:cs="Times New Roman"/>
          <w:b/>
          <w:sz w:val="24"/>
          <w:szCs w:val="24"/>
          <w:lang w:val="en-GB" w:eastAsia="en-GB"/>
        </w:rPr>
        <w:t>Results</w:t>
      </w:r>
      <w:bookmarkEnd w:id="15"/>
    </w:p>
    <w:p w14:paraId="6364DCB7" w14:textId="77777777" w:rsidR="00C95A78" w:rsidRPr="00813425" w:rsidRDefault="00C95A78" w:rsidP="009E3E5C">
      <w:pPr>
        <w:rPr>
          <w:rFonts w:ascii="Times New Roman" w:hAnsi="Times New Roman" w:cs="Times New Roman"/>
          <w:b/>
          <w:sz w:val="24"/>
          <w:szCs w:val="24"/>
          <w:lang w:val="en-US" w:eastAsia="en-GB"/>
        </w:rPr>
      </w:pPr>
      <w:bookmarkStart w:id="16" w:name="_Toc139513444"/>
      <w:r w:rsidRPr="00813425">
        <w:rPr>
          <w:rFonts w:ascii="Times New Roman" w:hAnsi="Times New Roman" w:cs="Times New Roman"/>
          <w:b/>
          <w:sz w:val="24"/>
          <w:szCs w:val="24"/>
          <w:lang w:val="en-US" w:eastAsia="en-GB"/>
        </w:rPr>
        <w:t>Study population</w:t>
      </w:r>
      <w:bookmarkEnd w:id="16"/>
    </w:p>
    <w:p w14:paraId="6364DCB8" w14:textId="3E3454C9" w:rsidR="00C95A78" w:rsidRPr="00813425" w:rsidRDefault="00C95A78" w:rsidP="00C95A78">
      <w:pPr>
        <w:spacing w:after="0" w:line="480" w:lineRule="auto"/>
        <w:rPr>
          <w:rFonts w:ascii="Times New Roman" w:eastAsia="Times New Roman" w:hAnsi="Times New Roman" w:cs="Times New Roman"/>
          <w:color w:val="000000"/>
          <w:sz w:val="24"/>
          <w:szCs w:val="24"/>
          <w:lang w:val="en-US" w:eastAsia="en-GB"/>
        </w:rPr>
      </w:pPr>
      <w:r w:rsidRPr="00813425">
        <w:rPr>
          <w:rFonts w:ascii="Times New Roman" w:eastAsia="Times New Roman" w:hAnsi="Times New Roman" w:cs="Times New Roman"/>
          <w:color w:val="000000"/>
          <w:sz w:val="24"/>
          <w:szCs w:val="24"/>
          <w:lang w:val="en-US" w:eastAsia="en-GB"/>
        </w:rPr>
        <w:t xml:space="preserve">At baseline 609 participants, 303 CWH (151 [49.8%] male and 152 [50.2%] female), and 306 CWOH (151 [49.8%] male and 152 [50.2%] female) were recruited, and 492 (80.7%) participants, 244 CWH (125 [51.2%] male and 119 [48.8%] female), and 248 CWOH (122 [49.2%] male and 126 [50.8%] female)) had a follow-up visit (Supplementary Figure 2). In the complete case analysis, 419 (68.8%) participants had usable pQCT scans at both baseline and follow-up and were not missing covariate data. The 190 (31.2%) participants (108 CWH and 82 CWOH) not included in analyses were similar to those included in terms of age, sex, height, weight, pubertal stage, SES, physical activity levels, calcium and vitamin D </w:t>
      </w:r>
      <w:proofErr w:type="gramStart"/>
      <w:r w:rsidRPr="00813425">
        <w:rPr>
          <w:rFonts w:ascii="Times New Roman" w:eastAsia="Times New Roman" w:hAnsi="Times New Roman" w:cs="Times New Roman"/>
          <w:color w:val="000000"/>
          <w:sz w:val="24"/>
          <w:szCs w:val="24"/>
          <w:lang w:val="en-US" w:eastAsia="en-GB"/>
        </w:rPr>
        <w:t>intake;  (</w:t>
      </w:r>
      <w:proofErr w:type="gramEnd"/>
      <w:r w:rsidRPr="00813425">
        <w:rPr>
          <w:rFonts w:ascii="Times New Roman" w:eastAsia="Times New Roman" w:hAnsi="Times New Roman" w:cs="Times New Roman"/>
          <w:color w:val="000000"/>
          <w:sz w:val="24"/>
          <w:szCs w:val="24"/>
          <w:lang w:val="en-US" w:eastAsia="en-GB"/>
        </w:rPr>
        <w:t xml:space="preserve">Supplementary Table 1). </w:t>
      </w:r>
      <w:r w:rsidR="001B17D9" w:rsidRPr="00813425">
        <w:rPr>
          <w:rFonts w:ascii="Times New Roman" w:eastAsia="Times New Roman" w:hAnsi="Times New Roman" w:cs="Times New Roman"/>
          <w:color w:val="000000"/>
          <w:sz w:val="24"/>
          <w:szCs w:val="24"/>
          <w:lang w:val="en-US" w:eastAsia="en-GB"/>
        </w:rPr>
        <w:t xml:space="preserve">Eleven </w:t>
      </w:r>
      <w:r w:rsidR="008F0025" w:rsidRPr="00813425">
        <w:rPr>
          <w:rFonts w:ascii="Times New Roman" w:eastAsia="Times New Roman" w:hAnsi="Times New Roman" w:cs="Times New Roman"/>
          <w:color w:val="000000"/>
          <w:sz w:val="24"/>
          <w:szCs w:val="24"/>
          <w:lang w:val="en-US" w:eastAsia="en-GB"/>
        </w:rPr>
        <w:t xml:space="preserve">of 419 children (3%) underwent complete fusion of epiphyses and had a change in reference line placement from </w:t>
      </w:r>
      <w:r w:rsidR="00835325" w:rsidRPr="00813425">
        <w:rPr>
          <w:rFonts w:ascii="Times New Roman" w:eastAsia="Times New Roman" w:hAnsi="Times New Roman" w:cs="Times New Roman"/>
          <w:color w:val="000000"/>
          <w:sz w:val="24"/>
          <w:szCs w:val="24"/>
          <w:lang w:val="en-US" w:eastAsia="en-GB"/>
        </w:rPr>
        <w:t xml:space="preserve">the </w:t>
      </w:r>
      <w:r w:rsidR="008F0025" w:rsidRPr="00813425">
        <w:rPr>
          <w:rFonts w:ascii="Times New Roman" w:eastAsia="Times New Roman" w:hAnsi="Times New Roman" w:cs="Times New Roman"/>
          <w:color w:val="000000"/>
          <w:sz w:val="24"/>
          <w:szCs w:val="24"/>
          <w:lang w:val="en-US" w:eastAsia="en-GB"/>
        </w:rPr>
        <w:t>growth plate to end plate.</w:t>
      </w:r>
    </w:p>
    <w:p w14:paraId="6364DCB9" w14:textId="77777777" w:rsidR="00C95A78" w:rsidRPr="00813425" w:rsidRDefault="00C95A78" w:rsidP="00C95A78">
      <w:pPr>
        <w:spacing w:after="0" w:line="480" w:lineRule="auto"/>
        <w:rPr>
          <w:rFonts w:ascii="Times New Roman" w:eastAsia="Times New Roman" w:hAnsi="Times New Roman" w:cs="Times New Roman"/>
          <w:color w:val="000000"/>
          <w:sz w:val="24"/>
          <w:szCs w:val="24"/>
          <w:lang w:val="en-US" w:eastAsia="en-GB"/>
        </w:rPr>
      </w:pPr>
    </w:p>
    <w:p w14:paraId="6364DCBA" w14:textId="77777777" w:rsidR="00C95A78" w:rsidRPr="00813425" w:rsidRDefault="00C95A78" w:rsidP="00C95A78">
      <w:pPr>
        <w:spacing w:after="0" w:line="480" w:lineRule="auto"/>
        <w:rPr>
          <w:rFonts w:ascii="Times New Roman" w:eastAsia="Times New Roman" w:hAnsi="Times New Roman" w:cs="Times New Roman"/>
          <w:color w:val="000000"/>
          <w:sz w:val="24"/>
          <w:szCs w:val="24"/>
          <w:lang w:val="en-US" w:eastAsia="en-GB"/>
        </w:rPr>
      </w:pPr>
      <w:r w:rsidRPr="00813425">
        <w:rPr>
          <w:rFonts w:ascii="Times New Roman" w:eastAsia="Times New Roman" w:hAnsi="Times New Roman" w:cs="Times New Roman"/>
          <w:color w:val="000000"/>
          <w:sz w:val="24"/>
          <w:szCs w:val="24"/>
          <w:lang w:val="en-US" w:eastAsia="en-GB"/>
        </w:rPr>
        <w:t xml:space="preserve"> At baseline, males were aged mean 12.3 (standard deviation [SD] 2.5) years and females 12.4 (SD 2.5) years with no difference by HIV status (Table 1). Follow-up was challenged in 2020-2021 by national travel restrictions due to COVID-19 lockdown. Between-visit duration was on average 66 days longer among CWH compared to CWOH; therefore, at follow-up CWH were older than CWOH (Supplementary Table 1). Most males [n=132 (62%)] were in Tanner stages 1 or 2 at baseline, while fewer than half were so at follow-up [n= 94 (44%)]; </w:t>
      </w:r>
      <w:r w:rsidRPr="00813425">
        <w:rPr>
          <w:rFonts w:ascii="Times New Roman" w:eastAsia="Times New Roman" w:hAnsi="Times New Roman" w:cs="Times New Roman"/>
          <w:color w:val="000000"/>
          <w:sz w:val="24"/>
          <w:szCs w:val="24"/>
          <w:lang w:val="en-US" w:eastAsia="en-GB"/>
        </w:rPr>
        <w:lastRenderedPageBreak/>
        <w:t xml:space="preserve">this did not differ by HIV status. More female CWH were in Tanner stage 1 and 2 compared to CWOH (at both baseline and follow-up) (Table 1, Supplementary Table 1). Having one or both parents deceased was more common among CWH, compared to those without HIV (42% vs 7% in males; 46% vs 6% in females, Table 1). CWH were more likely to have a lower SES than CWOH (43% vs 25% in males; 42% vs 29% in females). </w:t>
      </w:r>
      <w:r w:rsidRPr="00813425">
        <w:rPr>
          <w:rFonts w:ascii="Times New Roman" w:eastAsia="Times New Roman" w:hAnsi="Times New Roman" w:cs="Times New Roman"/>
          <w:color w:val="000000"/>
          <w:sz w:val="24"/>
          <w:szCs w:val="24"/>
          <w:lang w:val="en-GB" w:eastAsia="en-GB"/>
        </w:rPr>
        <w:t xml:space="preserve"> Dietary c</w:t>
      </w:r>
      <w:r w:rsidRPr="00813425">
        <w:rPr>
          <w:rFonts w:ascii="Times New Roman" w:eastAsia="Times New Roman" w:hAnsi="Times New Roman" w:cs="Times New Roman"/>
          <w:color w:val="000000"/>
          <w:sz w:val="24"/>
          <w:szCs w:val="24"/>
          <w:lang w:val="en-US" w:eastAsia="en-GB"/>
        </w:rPr>
        <w:t>alcium intake and levels of physical activity were generally low, with no difference by HIV status (Table 1).</w:t>
      </w:r>
    </w:p>
    <w:p w14:paraId="6364DCBB" w14:textId="77777777" w:rsidR="00C95A78" w:rsidRPr="00813425" w:rsidRDefault="00C95A78" w:rsidP="00C95A78">
      <w:pPr>
        <w:spacing w:after="0" w:line="480" w:lineRule="auto"/>
        <w:rPr>
          <w:rFonts w:ascii="Times New Roman" w:eastAsia="Times New Roman" w:hAnsi="Times New Roman" w:cs="Times New Roman"/>
          <w:color w:val="000000"/>
          <w:sz w:val="24"/>
          <w:szCs w:val="24"/>
          <w:lang w:val="en-US" w:eastAsia="en-GB"/>
        </w:rPr>
      </w:pPr>
    </w:p>
    <w:p w14:paraId="6364DCBC" w14:textId="2358B846" w:rsidR="00C95A78" w:rsidRPr="00813425" w:rsidRDefault="00C95A78" w:rsidP="00C95A78">
      <w:pPr>
        <w:spacing w:after="0" w:line="480" w:lineRule="auto"/>
        <w:rPr>
          <w:rFonts w:ascii="Times New Roman" w:eastAsia="Times New Roman" w:hAnsi="Times New Roman" w:cs="Times New Roman"/>
          <w:color w:val="000000"/>
          <w:sz w:val="24"/>
          <w:szCs w:val="24"/>
          <w:lang w:val="en-GB" w:eastAsia="en-GB"/>
        </w:rPr>
      </w:pPr>
      <w:r w:rsidRPr="00813425">
        <w:rPr>
          <w:rFonts w:ascii="Times New Roman" w:eastAsia="Times New Roman" w:hAnsi="Times New Roman" w:cs="Times New Roman"/>
          <w:color w:val="000000"/>
          <w:sz w:val="24"/>
          <w:szCs w:val="24"/>
          <w:lang w:val="en-US" w:eastAsia="en-GB"/>
        </w:rPr>
        <w:t xml:space="preserve">Both height and weight were lower in CWH than CWOH, but during follow-up CWH experienced greater absolute gains in height compared to CWOH (Table 1). At baseline, </w:t>
      </w:r>
      <w:r w:rsidRPr="00813425">
        <w:rPr>
          <w:rFonts w:ascii="Times New Roman" w:eastAsia="Times New Roman" w:hAnsi="Times New Roman" w:cs="Times New Roman"/>
          <w:color w:val="000000"/>
          <w:sz w:val="24"/>
          <w:szCs w:val="24"/>
          <w:lang w:val="en-GB" w:eastAsia="en-GB"/>
        </w:rPr>
        <w:t xml:space="preserve">male and female CWH were 6cm and 8cm shorter than CWOH, respectively and more likely to be stunted (33% vs 7% [males]; 26% vs 9% [females]). </w:t>
      </w:r>
      <w:r w:rsidRPr="00813425">
        <w:rPr>
          <w:rFonts w:ascii="Times New Roman" w:eastAsia="Times New Roman" w:hAnsi="Times New Roman" w:cs="Times New Roman"/>
          <w:color w:val="000000"/>
          <w:sz w:val="24"/>
          <w:szCs w:val="24"/>
          <w:lang w:val="en-US" w:eastAsia="en-GB"/>
        </w:rPr>
        <w:t xml:space="preserve">Stunting prevalence increased slightly at follow-up when CWH were more likely to be stunted than CWOH (43% vs 9% [males]; 33% vs 11% [females]) (Supplementary Table 2). Although overall the study population gained weight during follow-up, the proportion who were classified as having low weight-for-age increased; at follow-up this was more likely in </w:t>
      </w:r>
      <w:r w:rsidRPr="00813425">
        <w:rPr>
          <w:rFonts w:ascii="Times New Roman" w:eastAsia="Times New Roman" w:hAnsi="Times New Roman" w:cs="Times New Roman"/>
          <w:color w:val="000000"/>
          <w:sz w:val="24"/>
          <w:szCs w:val="24"/>
          <w:lang w:val="en-GB" w:eastAsia="en-GB"/>
        </w:rPr>
        <w:t>CWH than CWOH (35% vs 14% in males; 27% vs 7% in females) (</w:t>
      </w:r>
      <w:r w:rsidR="007B2D0A" w:rsidRPr="00813425">
        <w:rPr>
          <w:rFonts w:ascii="Times New Roman" w:eastAsia="Times New Roman" w:hAnsi="Times New Roman" w:cs="Times New Roman"/>
          <w:color w:val="000000"/>
          <w:sz w:val="24"/>
          <w:szCs w:val="24"/>
          <w:lang w:val="en-US" w:eastAsia="en-GB"/>
        </w:rPr>
        <w:t>Supplementary Table 2</w:t>
      </w:r>
      <w:r w:rsidRPr="00813425">
        <w:rPr>
          <w:rFonts w:ascii="Times New Roman" w:eastAsia="Times New Roman" w:hAnsi="Times New Roman" w:cs="Times New Roman"/>
          <w:color w:val="000000"/>
          <w:sz w:val="24"/>
          <w:szCs w:val="24"/>
          <w:lang w:val="en-GB" w:eastAsia="en-GB"/>
        </w:rPr>
        <w:t>). During follow-up a greater proportion of CWH than CWOH</w:t>
      </w:r>
      <w:r w:rsidRPr="00813425" w:rsidDel="00600BE2">
        <w:rPr>
          <w:rFonts w:ascii="Times New Roman" w:eastAsia="Times New Roman" w:hAnsi="Times New Roman" w:cs="Times New Roman"/>
          <w:color w:val="000000"/>
          <w:sz w:val="24"/>
          <w:szCs w:val="24"/>
          <w:lang w:val="en-GB" w:eastAsia="en-GB"/>
        </w:rPr>
        <w:t xml:space="preserve"> </w:t>
      </w:r>
      <w:r w:rsidRPr="00813425">
        <w:rPr>
          <w:rFonts w:ascii="Times New Roman" w:eastAsia="Times New Roman" w:hAnsi="Times New Roman" w:cs="Times New Roman"/>
          <w:color w:val="000000"/>
          <w:sz w:val="24"/>
          <w:szCs w:val="24"/>
          <w:lang w:val="en-GB" w:eastAsia="en-GB"/>
        </w:rPr>
        <w:t xml:space="preserve">advanced in Tanner stage, 62% vs 49% in </w:t>
      </w:r>
      <w:r w:rsidR="008769E4" w:rsidRPr="00813425">
        <w:rPr>
          <w:rFonts w:ascii="Times New Roman" w:eastAsia="Times New Roman" w:hAnsi="Times New Roman" w:cs="Times New Roman"/>
          <w:color w:val="000000"/>
          <w:sz w:val="24"/>
          <w:szCs w:val="24"/>
          <w:lang w:val="en-GB" w:eastAsia="en-GB"/>
        </w:rPr>
        <w:t>males and 66% vs 59% in females</w:t>
      </w:r>
      <w:r w:rsidRPr="00813425">
        <w:rPr>
          <w:rFonts w:ascii="Times New Roman" w:eastAsia="Times New Roman" w:hAnsi="Times New Roman" w:cs="Times New Roman"/>
          <w:color w:val="000000"/>
          <w:sz w:val="24"/>
          <w:szCs w:val="24"/>
          <w:lang w:val="en-GB" w:eastAsia="en-GB"/>
        </w:rPr>
        <w:t xml:space="preserve"> (Table 1).</w:t>
      </w:r>
    </w:p>
    <w:p w14:paraId="6364DCBD" w14:textId="77777777" w:rsidR="00C95A78" w:rsidRPr="00813425" w:rsidRDefault="00C95A78" w:rsidP="00C95A78">
      <w:pPr>
        <w:spacing w:after="0" w:line="480" w:lineRule="auto"/>
        <w:rPr>
          <w:rFonts w:ascii="Times New Roman" w:eastAsia="Times New Roman" w:hAnsi="Times New Roman" w:cs="Times New Roman"/>
          <w:color w:val="000000"/>
          <w:sz w:val="24"/>
          <w:szCs w:val="24"/>
          <w:lang w:val="en-US" w:eastAsia="en-GB"/>
        </w:rPr>
      </w:pPr>
      <w:r w:rsidRPr="00813425">
        <w:rPr>
          <w:rFonts w:ascii="Times New Roman" w:eastAsia="Times New Roman" w:hAnsi="Times New Roman" w:cs="Times New Roman"/>
          <w:color w:val="000000"/>
          <w:sz w:val="24"/>
          <w:szCs w:val="24"/>
          <w:lang w:val="en-US" w:eastAsia="en-GB"/>
        </w:rPr>
        <w:t> </w:t>
      </w:r>
    </w:p>
    <w:p w14:paraId="6364DCBE" w14:textId="77777777" w:rsidR="00C95A78" w:rsidRPr="00813425" w:rsidRDefault="00C95A78" w:rsidP="0082668C">
      <w:pPr>
        <w:rPr>
          <w:rFonts w:ascii="Times New Roman" w:hAnsi="Times New Roman" w:cs="Times New Roman"/>
          <w:b/>
          <w:sz w:val="24"/>
          <w:szCs w:val="24"/>
          <w:lang w:val="en-US" w:eastAsia="en-GB"/>
        </w:rPr>
      </w:pPr>
      <w:bookmarkStart w:id="17" w:name="_Toc139513445"/>
      <w:r w:rsidRPr="00813425">
        <w:rPr>
          <w:rFonts w:ascii="Times New Roman" w:hAnsi="Times New Roman" w:cs="Times New Roman"/>
          <w:b/>
          <w:sz w:val="24"/>
          <w:szCs w:val="24"/>
          <w:lang w:val="en-US" w:eastAsia="en-GB"/>
        </w:rPr>
        <w:t>The effect of HIV on pQCT bone outcomes</w:t>
      </w:r>
      <w:bookmarkEnd w:id="17"/>
      <w:r w:rsidRPr="00813425">
        <w:rPr>
          <w:rFonts w:ascii="Times New Roman" w:hAnsi="Times New Roman" w:cs="Times New Roman"/>
          <w:b/>
          <w:sz w:val="24"/>
          <w:szCs w:val="24"/>
          <w:lang w:val="en-US" w:eastAsia="en-GB"/>
        </w:rPr>
        <w:t xml:space="preserve"> </w:t>
      </w:r>
    </w:p>
    <w:p w14:paraId="6364DCC0" w14:textId="68841377" w:rsidR="00C95A78" w:rsidRPr="00813425" w:rsidRDefault="00C95A78" w:rsidP="004D220C">
      <w:pPr>
        <w:spacing w:after="0" w:line="480" w:lineRule="auto"/>
        <w:rPr>
          <w:rFonts w:ascii="Times New Roman" w:eastAsia="Times New Roman" w:hAnsi="Times New Roman" w:cs="Times New Roman"/>
          <w:color w:val="000000"/>
          <w:sz w:val="24"/>
          <w:szCs w:val="24"/>
          <w:lang w:val="en-US" w:eastAsia="en-GB"/>
        </w:rPr>
      </w:pPr>
      <w:r w:rsidRPr="00813425">
        <w:rPr>
          <w:rFonts w:ascii="Times New Roman" w:eastAsia="Times New Roman" w:hAnsi="Times New Roman" w:cs="Times New Roman"/>
          <w:color w:val="000000"/>
          <w:sz w:val="24"/>
          <w:szCs w:val="24"/>
          <w:lang w:val="en-US" w:eastAsia="en-GB"/>
        </w:rPr>
        <w:t xml:space="preserve">At baseline, all CWH had lower distal trabecular density, lower distal and diaphyseal tibial CSA and lower predicted bone strength (38% SSI) than CWOH, while diaphyseal cortical density and thickness were comparable by HIV status, in both males and females (Table 2); these findings persisted at follow-up and remained robust to adjustment for SES and </w:t>
      </w:r>
      <w:r w:rsidRPr="00813425">
        <w:rPr>
          <w:rFonts w:ascii="Times New Roman" w:eastAsia="Times New Roman" w:hAnsi="Times New Roman" w:cs="Times New Roman"/>
          <w:color w:val="000000"/>
          <w:sz w:val="24"/>
          <w:szCs w:val="24"/>
          <w:lang w:val="en-US" w:eastAsia="en-GB"/>
        </w:rPr>
        <w:lastRenderedPageBreak/>
        <w:t xml:space="preserve">orphanhood (Table 2). In analyses of annualized change in bone parameters, adjusted for SES and orphanhood, the annual change in pQCT measures was similar by HIV status (Table 2).  </w:t>
      </w:r>
      <w:r w:rsidR="004D220C" w:rsidRPr="00813425">
        <w:rPr>
          <w:rFonts w:ascii="Times New Roman" w:eastAsia="Times New Roman" w:hAnsi="Times New Roman" w:cs="Times New Roman"/>
          <w:color w:val="000000"/>
          <w:sz w:val="24"/>
          <w:szCs w:val="24"/>
          <w:lang w:val="en-US" w:eastAsia="en-GB"/>
        </w:rPr>
        <w:t>Baseline pubertal stage appeared to modify the effect of HIV on growth in bone size, specifically distal tibial CSA in males, such that in late puberty male CWH had a greater increase in tibial CSA than CWOH, with a mean adjusted difference of 31.3 mm2 [95%CI -3.1, 65.6; p=0.074; interaction p=0.013] (Figure 1, Table 3). In females the same pattern was seen at the diaphyseal site for tibial CSA (rather than the distal site in males), such that female CWH in late puberty at baseline had greater increases in bone size than CWOH. No evidence was detected for an interaction between pubertal stage and HIV for bone density or strength measures.</w:t>
      </w:r>
    </w:p>
    <w:p w14:paraId="2DEBB252" w14:textId="77777777" w:rsidR="004D220C" w:rsidRPr="00813425" w:rsidRDefault="004D220C" w:rsidP="004D220C">
      <w:pPr>
        <w:spacing w:after="0" w:line="480" w:lineRule="auto"/>
        <w:rPr>
          <w:rFonts w:ascii="Times New Roman" w:hAnsi="Times New Roman" w:cs="Times New Roman"/>
          <w:sz w:val="24"/>
          <w:szCs w:val="24"/>
          <w:lang w:val="en-US" w:eastAsia="en-GB"/>
        </w:rPr>
      </w:pPr>
    </w:p>
    <w:p w14:paraId="6364DCC1" w14:textId="1AC59D10" w:rsidR="00C95A78" w:rsidRPr="00813425" w:rsidRDefault="00C95A78" w:rsidP="0082668C">
      <w:pPr>
        <w:rPr>
          <w:rFonts w:ascii="Times New Roman" w:hAnsi="Times New Roman" w:cs="Times New Roman"/>
          <w:b/>
          <w:sz w:val="24"/>
          <w:szCs w:val="24"/>
          <w:lang w:val="en-US" w:eastAsia="en-GB"/>
        </w:rPr>
      </w:pPr>
      <w:bookmarkStart w:id="18" w:name="_Toc139513446"/>
      <w:r w:rsidRPr="00813425">
        <w:rPr>
          <w:rFonts w:ascii="Times New Roman" w:hAnsi="Times New Roman" w:cs="Times New Roman"/>
          <w:b/>
          <w:sz w:val="24"/>
          <w:szCs w:val="24"/>
          <w:lang w:val="en-US" w:eastAsia="en-GB"/>
        </w:rPr>
        <w:t>The effect of HIV on change in pQCT bone outcomes mediated by height</w:t>
      </w:r>
      <w:r w:rsidR="00800218" w:rsidRPr="00813425">
        <w:rPr>
          <w:rFonts w:ascii="Times New Roman" w:hAnsi="Times New Roman" w:cs="Times New Roman"/>
          <w:b/>
          <w:sz w:val="24"/>
          <w:szCs w:val="24"/>
          <w:lang w:val="en-US" w:eastAsia="en-GB"/>
        </w:rPr>
        <w:t xml:space="preserve"> for age z-scores</w:t>
      </w:r>
      <w:bookmarkEnd w:id="18"/>
      <w:r w:rsidR="00800218" w:rsidRPr="00813425">
        <w:rPr>
          <w:rFonts w:ascii="Times New Roman" w:hAnsi="Times New Roman" w:cs="Times New Roman"/>
          <w:b/>
          <w:sz w:val="24"/>
          <w:szCs w:val="24"/>
          <w:lang w:val="en-US" w:eastAsia="en-GB"/>
        </w:rPr>
        <w:t>.</w:t>
      </w:r>
    </w:p>
    <w:p w14:paraId="6364DCC2" w14:textId="62AF81DB" w:rsidR="00C95A78" w:rsidRDefault="00C95A78" w:rsidP="00C95A78">
      <w:pPr>
        <w:spacing w:after="0" w:line="480" w:lineRule="auto"/>
        <w:rPr>
          <w:rFonts w:ascii="Times New Roman" w:eastAsia="Times New Roman" w:hAnsi="Times New Roman" w:cs="Times New Roman"/>
          <w:color w:val="000000"/>
          <w:sz w:val="24"/>
          <w:szCs w:val="24"/>
          <w:lang w:val="en-US" w:eastAsia="en-GB"/>
        </w:rPr>
      </w:pPr>
      <w:r w:rsidRPr="00813425">
        <w:rPr>
          <w:rFonts w:ascii="Times New Roman" w:eastAsia="Times New Roman" w:hAnsi="Times New Roman" w:cs="Times New Roman"/>
          <w:color w:val="000000"/>
          <w:sz w:val="24"/>
          <w:szCs w:val="24"/>
          <w:lang w:val="en-US" w:eastAsia="en-GB"/>
        </w:rPr>
        <w:t xml:space="preserve">In females, there was some evidence that the effect of HIV on annualized change in pQCT bone outcomes was mediated via HAZ (Table 4). In both males and females, there was strong evidence of an association between HIV and lower </w:t>
      </w:r>
      <w:r w:rsidRPr="0034284A">
        <w:rPr>
          <w:rFonts w:ascii="Times New Roman" w:eastAsia="Times New Roman" w:hAnsi="Times New Roman" w:cs="Times New Roman"/>
          <w:color w:val="000000"/>
          <w:sz w:val="24"/>
          <w:szCs w:val="24"/>
          <w:lang w:val="en-US" w:eastAsia="en-GB"/>
        </w:rPr>
        <w:t>baseline HAZ (the mediator). The effect of HIV on HAZ</w:t>
      </w:r>
      <w:r w:rsidR="00B54E7A" w:rsidRPr="0034284A">
        <w:rPr>
          <w:rFonts w:ascii="Times New Roman" w:eastAsia="Times New Roman" w:hAnsi="Times New Roman" w:cs="Times New Roman"/>
          <w:color w:val="000000"/>
          <w:sz w:val="24"/>
          <w:szCs w:val="24"/>
          <w:lang w:val="en-US" w:eastAsia="en-GB"/>
        </w:rPr>
        <w:t xml:space="preserve"> </w:t>
      </w:r>
      <w:r w:rsidRPr="0034284A">
        <w:rPr>
          <w:rFonts w:ascii="Times New Roman" w:eastAsia="Times New Roman" w:hAnsi="Times New Roman" w:cs="Times New Roman"/>
          <w:color w:val="000000"/>
          <w:sz w:val="24"/>
          <w:szCs w:val="24"/>
          <w:lang w:val="en-US" w:eastAsia="en-GB"/>
        </w:rPr>
        <w:t xml:space="preserve">was </w:t>
      </w:r>
      <w:bookmarkStart w:id="19" w:name="_Hlk164675954"/>
      <w:r w:rsidR="00B54E7A" w:rsidRPr="0034284A">
        <w:rPr>
          <w:rFonts w:ascii="Times New Roman" w:eastAsia="Times New Roman" w:hAnsi="Times New Roman" w:cs="Times New Roman"/>
          <w:color w:val="000000"/>
          <w:sz w:val="24"/>
          <w:szCs w:val="24"/>
          <w:lang w:val="en-US" w:eastAsia="en-GB"/>
        </w:rPr>
        <w:t xml:space="preserve">β </w:t>
      </w:r>
      <w:r w:rsidR="00C964B8" w:rsidRPr="0034284A">
        <w:rPr>
          <w:rFonts w:ascii="Times New Roman" w:eastAsia="Times New Roman" w:hAnsi="Times New Roman" w:cs="Times New Roman"/>
          <w:color w:val="000000"/>
          <w:sz w:val="24"/>
          <w:szCs w:val="24"/>
          <w:lang w:val="en-US" w:eastAsia="en-GB"/>
        </w:rPr>
        <w:t>-0.88</w:t>
      </w:r>
      <w:r w:rsidRPr="0034284A">
        <w:rPr>
          <w:rFonts w:ascii="Times New Roman" w:eastAsia="Times New Roman" w:hAnsi="Times New Roman" w:cs="Times New Roman"/>
          <w:color w:val="000000"/>
          <w:sz w:val="24"/>
          <w:szCs w:val="24"/>
          <w:lang w:val="en-US" w:eastAsia="en-GB"/>
        </w:rPr>
        <w:t xml:space="preserve"> (</w:t>
      </w:r>
      <w:r w:rsidR="00B54E7A" w:rsidRPr="0034284A">
        <w:rPr>
          <w:rFonts w:ascii="Times New Roman" w:eastAsia="Times New Roman" w:hAnsi="Times New Roman" w:cs="Times New Roman"/>
          <w:color w:val="000000"/>
          <w:sz w:val="24"/>
          <w:szCs w:val="24"/>
          <w:lang w:val="en-US" w:eastAsia="en-GB"/>
        </w:rPr>
        <w:t xml:space="preserve">95%CI </w:t>
      </w:r>
      <w:r w:rsidRPr="0034284A">
        <w:rPr>
          <w:rFonts w:ascii="Times New Roman" w:eastAsia="Times New Roman" w:hAnsi="Times New Roman" w:cs="Times New Roman"/>
          <w:color w:val="000000"/>
          <w:sz w:val="24"/>
          <w:szCs w:val="24"/>
          <w:lang w:val="en-US" w:eastAsia="en-GB"/>
        </w:rPr>
        <w:t>-1.</w:t>
      </w:r>
      <w:r w:rsidR="00C964B8" w:rsidRPr="0034284A">
        <w:rPr>
          <w:rFonts w:ascii="Times New Roman" w:eastAsia="Times New Roman" w:hAnsi="Times New Roman" w:cs="Times New Roman"/>
          <w:color w:val="000000"/>
          <w:sz w:val="24"/>
          <w:szCs w:val="24"/>
          <w:lang w:val="en-US" w:eastAsia="en-GB"/>
        </w:rPr>
        <w:t>19</w:t>
      </w:r>
      <w:r w:rsidRPr="0034284A">
        <w:rPr>
          <w:rFonts w:ascii="Times New Roman" w:eastAsia="Times New Roman" w:hAnsi="Times New Roman" w:cs="Times New Roman"/>
          <w:color w:val="000000"/>
          <w:sz w:val="24"/>
          <w:szCs w:val="24"/>
          <w:lang w:val="en-US" w:eastAsia="en-GB"/>
        </w:rPr>
        <w:t>, -0.</w:t>
      </w:r>
      <w:r w:rsidR="00C964B8" w:rsidRPr="0034284A">
        <w:rPr>
          <w:rFonts w:ascii="Times New Roman" w:eastAsia="Times New Roman" w:hAnsi="Times New Roman" w:cs="Times New Roman"/>
          <w:color w:val="000000"/>
          <w:sz w:val="24"/>
          <w:szCs w:val="24"/>
          <w:lang w:val="en-US" w:eastAsia="en-GB"/>
        </w:rPr>
        <w:t>57</w:t>
      </w:r>
      <w:r w:rsidRPr="0034284A">
        <w:rPr>
          <w:rFonts w:ascii="Times New Roman" w:eastAsia="Times New Roman" w:hAnsi="Times New Roman" w:cs="Times New Roman"/>
          <w:color w:val="000000"/>
          <w:sz w:val="24"/>
          <w:szCs w:val="24"/>
          <w:lang w:val="en-US" w:eastAsia="en-GB"/>
        </w:rPr>
        <w:t xml:space="preserve">); p&lt;0.001 </w:t>
      </w:r>
      <w:bookmarkEnd w:id="19"/>
      <w:r w:rsidRPr="0034284A">
        <w:rPr>
          <w:rFonts w:ascii="Times New Roman" w:eastAsia="Times New Roman" w:hAnsi="Times New Roman" w:cs="Times New Roman"/>
          <w:color w:val="000000"/>
          <w:sz w:val="24"/>
          <w:szCs w:val="24"/>
          <w:lang w:val="en-US" w:eastAsia="en-GB"/>
        </w:rPr>
        <w:t>in males</w:t>
      </w:r>
      <w:r w:rsidR="000B221D" w:rsidRPr="0034284A">
        <w:rPr>
          <w:rFonts w:ascii="Times New Roman" w:eastAsia="Times New Roman" w:hAnsi="Times New Roman" w:cs="Times New Roman"/>
          <w:color w:val="000000"/>
          <w:sz w:val="24"/>
          <w:szCs w:val="24"/>
          <w:lang w:val="en-US" w:eastAsia="en-GB"/>
        </w:rPr>
        <w:t>,</w:t>
      </w:r>
      <w:r w:rsidRPr="0034284A">
        <w:rPr>
          <w:rFonts w:ascii="Times New Roman" w:eastAsia="Times New Roman" w:hAnsi="Times New Roman" w:cs="Times New Roman"/>
          <w:color w:val="000000"/>
          <w:sz w:val="24"/>
          <w:szCs w:val="24"/>
          <w:lang w:val="en-US" w:eastAsia="en-GB"/>
        </w:rPr>
        <w:t xml:space="preserve"> and -</w:t>
      </w:r>
      <w:r w:rsidR="00C964B8" w:rsidRPr="0034284A">
        <w:rPr>
          <w:rFonts w:ascii="Times New Roman" w:eastAsia="Times New Roman" w:hAnsi="Times New Roman" w:cs="Times New Roman"/>
          <w:color w:val="000000"/>
          <w:sz w:val="24"/>
          <w:szCs w:val="24"/>
          <w:lang w:val="en-US" w:eastAsia="en-GB"/>
        </w:rPr>
        <w:t>0.90</w:t>
      </w:r>
      <w:r w:rsidRPr="0034284A">
        <w:rPr>
          <w:rFonts w:ascii="Times New Roman" w:eastAsia="Times New Roman" w:hAnsi="Times New Roman" w:cs="Times New Roman"/>
          <w:color w:val="000000"/>
          <w:sz w:val="24"/>
          <w:szCs w:val="24"/>
          <w:lang w:val="en-US" w:eastAsia="en-GB"/>
        </w:rPr>
        <w:t xml:space="preserve"> (-1.</w:t>
      </w:r>
      <w:r w:rsidR="00C964B8" w:rsidRPr="0034284A">
        <w:rPr>
          <w:rFonts w:ascii="Times New Roman" w:eastAsia="Times New Roman" w:hAnsi="Times New Roman" w:cs="Times New Roman"/>
          <w:color w:val="000000"/>
          <w:sz w:val="24"/>
          <w:szCs w:val="24"/>
          <w:lang w:val="en-US" w:eastAsia="en-GB"/>
        </w:rPr>
        <w:t>24</w:t>
      </w:r>
      <w:r w:rsidRPr="0034284A">
        <w:rPr>
          <w:rFonts w:ascii="Times New Roman" w:eastAsia="Times New Roman" w:hAnsi="Times New Roman" w:cs="Times New Roman"/>
          <w:color w:val="000000"/>
          <w:sz w:val="24"/>
          <w:szCs w:val="24"/>
          <w:lang w:val="en-US" w:eastAsia="en-GB"/>
        </w:rPr>
        <w:t>, -0.</w:t>
      </w:r>
      <w:r w:rsidR="00C964B8" w:rsidRPr="0034284A">
        <w:rPr>
          <w:rFonts w:ascii="Times New Roman" w:eastAsia="Times New Roman" w:hAnsi="Times New Roman" w:cs="Times New Roman"/>
          <w:color w:val="000000"/>
          <w:sz w:val="24"/>
          <w:szCs w:val="24"/>
          <w:lang w:val="en-US" w:eastAsia="en-GB"/>
        </w:rPr>
        <w:t>57</w:t>
      </w:r>
      <w:r w:rsidRPr="0034284A">
        <w:rPr>
          <w:rFonts w:ascii="Times New Roman" w:eastAsia="Times New Roman" w:hAnsi="Times New Roman" w:cs="Times New Roman"/>
          <w:color w:val="000000"/>
          <w:sz w:val="24"/>
          <w:szCs w:val="24"/>
          <w:lang w:val="en-US" w:eastAsia="en-GB"/>
        </w:rPr>
        <w:t>); p&lt;0.001 in females. In males, there was no evidence of an indirect effect of HIV on change in pQCT outcomes via HAZ and hence no evidence for mediation by linear growth</w:t>
      </w:r>
      <w:r w:rsidR="00613DF3" w:rsidRPr="0034284A">
        <w:rPr>
          <w:rFonts w:ascii="Times New Roman" w:eastAsia="Times New Roman" w:hAnsi="Times New Roman" w:cs="Times New Roman"/>
          <w:color w:val="000000"/>
          <w:sz w:val="24"/>
          <w:szCs w:val="24"/>
          <w:lang w:val="en-US" w:eastAsia="en-GB"/>
        </w:rPr>
        <w:t>,</w:t>
      </w:r>
      <w:r w:rsidR="00C964B8" w:rsidRPr="0034284A">
        <w:rPr>
          <w:rFonts w:ascii="Times New Roman" w:eastAsia="Times New Roman" w:hAnsi="Times New Roman" w:cs="Times New Roman"/>
          <w:color w:val="000000"/>
          <w:sz w:val="24"/>
          <w:szCs w:val="24"/>
          <w:lang w:val="en-US" w:eastAsia="en-GB"/>
        </w:rPr>
        <w:t xml:space="preserve"> except for ∆cortical density </w:t>
      </w:r>
      <w:r w:rsidR="00613DF3" w:rsidRPr="0034284A">
        <w:rPr>
          <w:rFonts w:ascii="Times New Roman" w:eastAsia="Times New Roman" w:hAnsi="Times New Roman" w:cs="Times New Roman"/>
          <w:color w:val="000000"/>
          <w:sz w:val="24"/>
          <w:szCs w:val="24"/>
          <w:lang w:val="en-US" w:eastAsia="en-GB"/>
        </w:rPr>
        <w:t xml:space="preserve">only </w:t>
      </w:r>
      <w:r w:rsidR="00C964B8" w:rsidRPr="0034284A">
        <w:rPr>
          <w:rFonts w:ascii="Times New Roman" w:eastAsia="Times New Roman" w:hAnsi="Times New Roman" w:cs="Times New Roman"/>
          <w:color w:val="000000"/>
          <w:sz w:val="24"/>
          <w:szCs w:val="24"/>
          <w:lang w:val="en-US" w:eastAsia="en-GB"/>
        </w:rPr>
        <w:t>(-3.19 (-5.55, -0.82); p=0.008) which was completely mediated by HAZ</w:t>
      </w:r>
      <w:r w:rsidRPr="0034284A">
        <w:rPr>
          <w:rFonts w:ascii="Times New Roman" w:eastAsia="Times New Roman" w:hAnsi="Times New Roman" w:cs="Times New Roman"/>
          <w:color w:val="000000"/>
          <w:sz w:val="24"/>
          <w:szCs w:val="24"/>
          <w:lang w:val="en-US" w:eastAsia="en-GB"/>
        </w:rPr>
        <w:t xml:space="preserve">. </w:t>
      </w:r>
      <w:r w:rsidR="00C964B8" w:rsidRPr="0034284A">
        <w:rPr>
          <w:rFonts w:ascii="Times New Roman" w:eastAsia="Times New Roman" w:hAnsi="Times New Roman" w:cs="Times New Roman"/>
          <w:color w:val="000000"/>
          <w:sz w:val="24"/>
          <w:szCs w:val="24"/>
          <w:lang w:val="en-US" w:eastAsia="en-GB"/>
        </w:rPr>
        <w:t>I</w:t>
      </w:r>
      <w:r w:rsidRPr="0034284A">
        <w:rPr>
          <w:rFonts w:ascii="Times New Roman" w:eastAsia="Times New Roman" w:hAnsi="Times New Roman" w:cs="Times New Roman"/>
          <w:color w:val="000000"/>
          <w:sz w:val="24"/>
          <w:szCs w:val="24"/>
          <w:lang w:val="en-US" w:eastAsia="en-GB"/>
        </w:rPr>
        <w:t>n females, there appeared to be an indirect effect of HIV via HAZ on</w:t>
      </w:r>
      <w:r w:rsidR="00800218" w:rsidRPr="0034284A">
        <w:rPr>
          <w:rFonts w:ascii="Times New Roman" w:eastAsia="Times New Roman" w:hAnsi="Times New Roman" w:cs="Times New Roman"/>
          <w:color w:val="000000"/>
          <w:sz w:val="24"/>
          <w:szCs w:val="24"/>
          <w:lang w:val="en-US" w:eastAsia="en-GB"/>
        </w:rPr>
        <w:t xml:space="preserve"> </w:t>
      </w:r>
      <w:bookmarkStart w:id="20" w:name="_Hlk164676068"/>
      <w:r w:rsidR="00C964B8" w:rsidRPr="0034284A">
        <w:rPr>
          <w:rFonts w:ascii="Times New Roman" w:eastAsia="Times New Roman" w:hAnsi="Times New Roman" w:cs="Times New Roman"/>
          <w:color w:val="000000"/>
          <w:sz w:val="24"/>
          <w:szCs w:val="24"/>
          <w:lang w:val="en-US" w:eastAsia="en-GB"/>
        </w:rPr>
        <w:t xml:space="preserve">∆trabecular density, </w:t>
      </w:r>
      <w:bookmarkStart w:id="21" w:name="_Hlk164676095"/>
      <w:r w:rsidRPr="0034284A">
        <w:rPr>
          <w:rFonts w:ascii="Times New Roman" w:eastAsia="Times New Roman" w:hAnsi="Times New Roman" w:cs="Times New Roman"/>
          <w:color w:val="000000"/>
          <w:sz w:val="24"/>
          <w:szCs w:val="24"/>
          <w:lang w:val="en-US" w:eastAsia="en-GB"/>
        </w:rPr>
        <w:t>∆</w:t>
      </w:r>
      <w:bookmarkEnd w:id="21"/>
      <w:r w:rsidRPr="0034284A">
        <w:rPr>
          <w:rFonts w:ascii="Times New Roman" w:eastAsia="Times New Roman" w:hAnsi="Times New Roman" w:cs="Times New Roman"/>
          <w:color w:val="000000"/>
          <w:sz w:val="24"/>
          <w:szCs w:val="24"/>
          <w:lang w:val="en-US" w:eastAsia="en-GB"/>
        </w:rPr>
        <w:t>cortical density</w:t>
      </w:r>
      <w:bookmarkEnd w:id="20"/>
      <w:r w:rsidR="00C964B8" w:rsidRPr="0034284A">
        <w:rPr>
          <w:rFonts w:ascii="Times New Roman" w:eastAsia="Times New Roman" w:hAnsi="Times New Roman" w:cs="Times New Roman"/>
          <w:color w:val="000000"/>
          <w:sz w:val="24"/>
          <w:szCs w:val="24"/>
          <w:lang w:val="en-US" w:eastAsia="en-GB"/>
        </w:rPr>
        <w:t xml:space="preserve"> </w:t>
      </w:r>
      <w:r w:rsidRPr="0034284A">
        <w:rPr>
          <w:rFonts w:ascii="Times New Roman" w:eastAsia="Times New Roman" w:hAnsi="Times New Roman" w:cs="Times New Roman"/>
          <w:color w:val="000000"/>
          <w:sz w:val="24"/>
          <w:szCs w:val="24"/>
          <w:lang w:val="en-US" w:eastAsia="en-GB"/>
        </w:rPr>
        <w:t xml:space="preserve">and </w:t>
      </w:r>
      <w:r w:rsidR="00C964B8" w:rsidRPr="0034284A">
        <w:rPr>
          <w:rFonts w:ascii="Times New Roman" w:eastAsia="Times New Roman" w:hAnsi="Times New Roman" w:cs="Times New Roman"/>
          <w:color w:val="000000"/>
          <w:sz w:val="24"/>
          <w:szCs w:val="24"/>
          <w:lang w:val="en-US" w:eastAsia="en-GB"/>
        </w:rPr>
        <w:t>∆</w:t>
      </w:r>
      <w:r w:rsidRPr="0034284A">
        <w:rPr>
          <w:rFonts w:ascii="Times New Roman" w:eastAsia="Times New Roman" w:hAnsi="Times New Roman" w:cs="Times New Roman"/>
          <w:color w:val="000000"/>
          <w:sz w:val="24"/>
          <w:szCs w:val="24"/>
          <w:lang w:val="en-US" w:eastAsia="en-GB"/>
        </w:rPr>
        <w:t>predicted bone strength (SSI), whilst no evidence for a direct effect of HIV on these bone outcomes was seen</w:t>
      </w:r>
      <w:r w:rsidR="00DA1A72" w:rsidRPr="0034284A">
        <w:rPr>
          <w:rFonts w:ascii="Times New Roman" w:eastAsia="Times New Roman" w:hAnsi="Times New Roman" w:cs="Times New Roman"/>
          <w:color w:val="000000"/>
          <w:sz w:val="24"/>
          <w:szCs w:val="24"/>
          <w:lang w:val="en-US" w:eastAsia="en-GB"/>
        </w:rPr>
        <w:t>.</w:t>
      </w:r>
      <w:r w:rsidR="00DA1A72">
        <w:rPr>
          <w:rFonts w:ascii="Times New Roman" w:eastAsia="Times New Roman" w:hAnsi="Times New Roman" w:cs="Times New Roman"/>
          <w:color w:val="000000"/>
          <w:sz w:val="24"/>
          <w:szCs w:val="24"/>
          <w:lang w:val="en-US" w:eastAsia="en-GB"/>
        </w:rPr>
        <w:t xml:space="preserve"> </w:t>
      </w:r>
    </w:p>
    <w:p w14:paraId="021589E6" w14:textId="77777777" w:rsidR="00D46D8C" w:rsidRPr="00813425" w:rsidRDefault="00D46D8C" w:rsidP="00C95A78">
      <w:pPr>
        <w:spacing w:after="0" w:line="480" w:lineRule="auto"/>
        <w:rPr>
          <w:rFonts w:ascii="Times New Roman" w:eastAsia="Times New Roman" w:hAnsi="Times New Roman" w:cs="Times New Roman"/>
          <w:color w:val="000000"/>
          <w:sz w:val="24"/>
          <w:szCs w:val="24"/>
          <w:lang w:val="en-US" w:eastAsia="en-GB"/>
        </w:rPr>
      </w:pPr>
    </w:p>
    <w:p w14:paraId="6B98C674" w14:textId="3B84F210" w:rsidR="002B7DA6" w:rsidRPr="00813425" w:rsidRDefault="00B36F2C" w:rsidP="00E25886">
      <w:pPr>
        <w:spacing w:line="480" w:lineRule="auto"/>
      </w:pPr>
      <w:r w:rsidRPr="00813425">
        <w:rPr>
          <w:rFonts w:ascii="Times New Roman" w:eastAsia="Times New Roman" w:hAnsi="Times New Roman" w:cs="Times New Roman"/>
          <w:color w:val="000000"/>
          <w:sz w:val="24"/>
          <w:szCs w:val="24"/>
          <w:lang w:val="en-US" w:eastAsia="en-GB"/>
        </w:rPr>
        <w:t>In sensitivity analys</w:t>
      </w:r>
      <w:r w:rsidR="00DE08ED" w:rsidRPr="00813425">
        <w:rPr>
          <w:rFonts w:ascii="Times New Roman" w:eastAsia="Times New Roman" w:hAnsi="Times New Roman" w:cs="Times New Roman"/>
          <w:color w:val="000000"/>
          <w:sz w:val="24"/>
          <w:szCs w:val="24"/>
          <w:lang w:val="en-US" w:eastAsia="en-GB"/>
        </w:rPr>
        <w:t>e</w:t>
      </w:r>
      <w:r w:rsidRPr="00813425">
        <w:rPr>
          <w:rFonts w:ascii="Times New Roman" w:eastAsia="Times New Roman" w:hAnsi="Times New Roman" w:cs="Times New Roman"/>
          <w:color w:val="000000"/>
          <w:sz w:val="24"/>
          <w:szCs w:val="24"/>
          <w:lang w:val="en-US" w:eastAsia="en-GB"/>
        </w:rPr>
        <w:t xml:space="preserve">s </w:t>
      </w:r>
      <w:r w:rsidR="00DE08ED" w:rsidRPr="00813425">
        <w:rPr>
          <w:rFonts w:ascii="Times New Roman" w:eastAsia="Times New Roman" w:hAnsi="Times New Roman" w:cs="Times New Roman"/>
          <w:color w:val="000000"/>
          <w:sz w:val="24"/>
          <w:szCs w:val="24"/>
          <w:lang w:val="en-US" w:eastAsia="en-GB"/>
        </w:rPr>
        <w:t xml:space="preserve">(a) </w:t>
      </w:r>
      <w:r w:rsidRPr="00813425">
        <w:rPr>
          <w:rFonts w:ascii="Times New Roman" w:eastAsia="Times New Roman" w:hAnsi="Times New Roman" w:cs="Times New Roman"/>
          <w:color w:val="000000"/>
          <w:sz w:val="24"/>
          <w:szCs w:val="24"/>
          <w:lang w:val="en-US" w:eastAsia="en-GB"/>
        </w:rPr>
        <w:t>modelling</w:t>
      </w:r>
      <w:r w:rsidR="00B90ECD" w:rsidRPr="00813425">
        <w:rPr>
          <w:rFonts w:ascii="Times New Roman" w:eastAsia="Times New Roman" w:hAnsi="Times New Roman" w:cs="Times New Roman"/>
          <w:color w:val="000000"/>
          <w:sz w:val="24"/>
          <w:szCs w:val="24"/>
          <w:lang w:val="en-US" w:eastAsia="en-GB"/>
        </w:rPr>
        <w:t xml:space="preserve"> change in bone outcomes adjusted for duration of follow-up,</w:t>
      </w:r>
      <w:r w:rsidR="00B52AB4" w:rsidRPr="00813425">
        <w:rPr>
          <w:rFonts w:ascii="Times New Roman" w:eastAsia="Times New Roman" w:hAnsi="Times New Roman" w:cs="Times New Roman"/>
          <w:color w:val="000000"/>
          <w:sz w:val="24"/>
          <w:szCs w:val="24"/>
          <w:lang w:val="en-US" w:eastAsia="en-GB"/>
        </w:rPr>
        <w:t xml:space="preserve"> </w:t>
      </w:r>
      <w:r w:rsidR="00FD027F" w:rsidRPr="00813425">
        <w:rPr>
          <w:rFonts w:ascii="Times New Roman" w:eastAsia="Times New Roman" w:hAnsi="Times New Roman" w:cs="Times New Roman"/>
          <w:color w:val="000000"/>
          <w:sz w:val="24"/>
          <w:szCs w:val="24"/>
          <w:lang w:val="en-US" w:eastAsia="en-GB"/>
        </w:rPr>
        <w:t>findings were unchanged</w:t>
      </w:r>
      <w:r w:rsidR="00DB7134" w:rsidRPr="00813425">
        <w:rPr>
          <w:rFonts w:ascii="Times New Roman" w:eastAsia="Times New Roman" w:hAnsi="Times New Roman" w:cs="Times New Roman"/>
          <w:color w:val="000000"/>
          <w:sz w:val="24"/>
          <w:szCs w:val="24"/>
          <w:lang w:val="en-US" w:eastAsia="en-GB"/>
        </w:rPr>
        <w:t>, (b)</w:t>
      </w:r>
      <w:r w:rsidR="001362B6" w:rsidRPr="00813425">
        <w:rPr>
          <w:rFonts w:ascii="Times New Roman" w:eastAsia="Times New Roman" w:hAnsi="Times New Roman" w:cs="Times New Roman"/>
          <w:color w:val="000000"/>
          <w:sz w:val="24"/>
          <w:szCs w:val="24"/>
          <w:lang w:val="en-US" w:eastAsia="en-GB"/>
        </w:rPr>
        <w:t xml:space="preserve"> excluding 11 children who underwent epiphyseal </w:t>
      </w:r>
      <w:r w:rsidR="001362B6" w:rsidRPr="00813425">
        <w:rPr>
          <w:rFonts w:ascii="Times New Roman" w:eastAsia="Times New Roman" w:hAnsi="Times New Roman" w:cs="Times New Roman"/>
          <w:color w:val="000000"/>
          <w:sz w:val="24"/>
          <w:szCs w:val="24"/>
          <w:lang w:val="en-US" w:eastAsia="en-GB"/>
        </w:rPr>
        <w:lastRenderedPageBreak/>
        <w:t>fusion</w:t>
      </w:r>
      <w:r w:rsidR="00DB7134" w:rsidRPr="00813425">
        <w:rPr>
          <w:rFonts w:ascii="Times New Roman" w:eastAsia="Times New Roman" w:hAnsi="Times New Roman" w:cs="Times New Roman"/>
          <w:color w:val="000000"/>
          <w:sz w:val="24"/>
          <w:szCs w:val="24"/>
          <w:lang w:val="en-US" w:eastAsia="en-GB"/>
        </w:rPr>
        <w:t xml:space="preserve">, </w:t>
      </w:r>
      <w:r w:rsidR="00D846D5" w:rsidRPr="00813425">
        <w:rPr>
          <w:rFonts w:ascii="Times New Roman" w:eastAsia="Times New Roman" w:hAnsi="Times New Roman" w:cs="Times New Roman"/>
          <w:color w:val="000000"/>
          <w:sz w:val="24"/>
          <w:szCs w:val="24"/>
          <w:lang w:val="en-US" w:eastAsia="en-GB"/>
        </w:rPr>
        <w:t>findings</w:t>
      </w:r>
      <w:r w:rsidR="00DB7134" w:rsidRPr="00813425">
        <w:rPr>
          <w:rFonts w:ascii="Times New Roman" w:eastAsia="Times New Roman" w:hAnsi="Times New Roman" w:cs="Times New Roman"/>
          <w:color w:val="000000"/>
          <w:sz w:val="24"/>
          <w:szCs w:val="24"/>
          <w:lang w:val="en-US" w:eastAsia="en-GB"/>
        </w:rPr>
        <w:t xml:space="preserve"> were unchanged, and (c) </w:t>
      </w:r>
      <w:r w:rsidR="00892248" w:rsidRPr="00813425">
        <w:rPr>
          <w:rFonts w:ascii="Times New Roman" w:eastAsia="Times New Roman" w:hAnsi="Times New Roman" w:cs="Times New Roman"/>
          <w:color w:val="000000"/>
          <w:sz w:val="24"/>
          <w:szCs w:val="24"/>
          <w:lang w:val="en-US" w:eastAsia="en-GB"/>
        </w:rPr>
        <w:t>ass</w:t>
      </w:r>
      <w:r w:rsidR="00C8466E" w:rsidRPr="00813425">
        <w:rPr>
          <w:rFonts w:ascii="Times New Roman" w:eastAsia="Times New Roman" w:hAnsi="Times New Roman" w:cs="Times New Roman"/>
          <w:color w:val="000000"/>
          <w:sz w:val="24"/>
          <w:szCs w:val="24"/>
          <w:lang w:val="en-US" w:eastAsia="en-GB"/>
        </w:rPr>
        <w:t xml:space="preserve">essing </w:t>
      </w:r>
      <w:r w:rsidR="009E1247" w:rsidRPr="00813425">
        <w:rPr>
          <w:rFonts w:ascii="Times New Roman" w:eastAsia="Times New Roman" w:hAnsi="Times New Roman" w:cs="Times New Roman"/>
          <w:color w:val="000000"/>
          <w:sz w:val="24"/>
          <w:szCs w:val="24"/>
          <w:lang w:val="en-US" w:eastAsia="en-GB"/>
        </w:rPr>
        <w:t xml:space="preserve">whether tibial length </w:t>
      </w:r>
      <w:r w:rsidR="00C4648D" w:rsidRPr="00813425">
        <w:rPr>
          <w:rFonts w:ascii="Times New Roman" w:eastAsia="Times New Roman" w:hAnsi="Times New Roman" w:cs="Times New Roman"/>
          <w:color w:val="000000"/>
          <w:sz w:val="24"/>
          <w:szCs w:val="24"/>
          <w:lang w:val="en-US" w:eastAsia="en-GB"/>
        </w:rPr>
        <w:t xml:space="preserve">Z-Score </w:t>
      </w:r>
      <w:r w:rsidR="009E1247" w:rsidRPr="00813425">
        <w:rPr>
          <w:rFonts w:ascii="Times New Roman" w:eastAsia="Times New Roman" w:hAnsi="Times New Roman" w:cs="Times New Roman"/>
          <w:color w:val="000000"/>
          <w:sz w:val="24"/>
          <w:szCs w:val="24"/>
          <w:lang w:val="en-US" w:eastAsia="en-GB"/>
        </w:rPr>
        <w:t xml:space="preserve">mediated the </w:t>
      </w:r>
      <w:r w:rsidR="003F2974" w:rsidRPr="00813425">
        <w:rPr>
          <w:rFonts w:ascii="Times New Roman" w:eastAsia="Times New Roman" w:hAnsi="Times New Roman" w:cs="Times New Roman"/>
          <w:color w:val="000000"/>
          <w:sz w:val="24"/>
          <w:szCs w:val="24"/>
          <w:lang w:val="en-US" w:eastAsia="en-GB"/>
        </w:rPr>
        <w:t>effect of HIV in bone outcomes</w:t>
      </w:r>
      <w:r w:rsidR="000F1077" w:rsidRPr="00813425">
        <w:rPr>
          <w:rFonts w:ascii="Times New Roman" w:eastAsia="Times New Roman" w:hAnsi="Times New Roman" w:cs="Times New Roman"/>
          <w:color w:val="000000"/>
          <w:sz w:val="24"/>
          <w:szCs w:val="24"/>
          <w:lang w:val="en-US" w:eastAsia="en-GB"/>
        </w:rPr>
        <w:t xml:space="preserve"> differently from </w:t>
      </w:r>
      <w:r w:rsidR="00C4648D" w:rsidRPr="00813425">
        <w:rPr>
          <w:rFonts w:ascii="Times New Roman" w:eastAsia="Times New Roman" w:hAnsi="Times New Roman" w:cs="Times New Roman"/>
          <w:color w:val="000000"/>
          <w:sz w:val="24"/>
          <w:szCs w:val="24"/>
          <w:lang w:val="en-US" w:eastAsia="en-GB"/>
        </w:rPr>
        <w:t xml:space="preserve">height Z-Score, we </w:t>
      </w:r>
      <w:r w:rsidR="00545EDD" w:rsidRPr="00813425">
        <w:rPr>
          <w:rFonts w:ascii="Times New Roman" w:eastAsia="Times New Roman" w:hAnsi="Times New Roman" w:cs="Times New Roman"/>
          <w:color w:val="000000"/>
          <w:sz w:val="24"/>
          <w:szCs w:val="24"/>
          <w:lang w:val="en-US" w:eastAsia="en-GB"/>
        </w:rPr>
        <w:t xml:space="preserve">identified broadly consistent patterns, </w:t>
      </w:r>
      <w:r w:rsidR="002B7DA6" w:rsidRPr="00813425">
        <w:rPr>
          <w:rFonts w:ascii="Times New Roman" w:eastAsia="Times New Roman" w:hAnsi="Times New Roman" w:cs="Times New Roman"/>
          <w:color w:val="000000"/>
          <w:sz w:val="24"/>
          <w:szCs w:val="24"/>
          <w:lang w:val="en-US" w:eastAsia="en-GB"/>
        </w:rPr>
        <w:t>although indirect effect estimates were smaller (supplementary table 3).</w:t>
      </w:r>
    </w:p>
    <w:p w14:paraId="59EBD8FF" w14:textId="77777777" w:rsidR="00B36F2C" w:rsidRPr="00813425" w:rsidRDefault="00B36F2C" w:rsidP="00C95A78">
      <w:pPr>
        <w:spacing w:after="0" w:line="480" w:lineRule="auto"/>
        <w:rPr>
          <w:rFonts w:ascii="Times New Roman" w:eastAsia="Times New Roman" w:hAnsi="Times New Roman" w:cs="Times New Roman"/>
          <w:color w:val="000000"/>
          <w:sz w:val="24"/>
          <w:szCs w:val="24"/>
          <w:lang w:val="en-US" w:eastAsia="en-GB"/>
        </w:rPr>
      </w:pPr>
    </w:p>
    <w:p w14:paraId="6364DCC4" w14:textId="77777777" w:rsidR="00C95A78" w:rsidRPr="00813425" w:rsidRDefault="00C95A78" w:rsidP="009E3E5C">
      <w:pPr>
        <w:rPr>
          <w:rFonts w:ascii="Times New Roman" w:hAnsi="Times New Roman" w:cs="Times New Roman"/>
          <w:b/>
          <w:sz w:val="24"/>
          <w:szCs w:val="24"/>
          <w:lang w:val="en-GB" w:eastAsia="en-GB"/>
        </w:rPr>
      </w:pPr>
      <w:bookmarkStart w:id="22" w:name="_Toc139513447"/>
      <w:r w:rsidRPr="00813425">
        <w:rPr>
          <w:rFonts w:ascii="Times New Roman" w:hAnsi="Times New Roman" w:cs="Times New Roman"/>
          <w:b/>
          <w:sz w:val="24"/>
          <w:szCs w:val="24"/>
          <w:lang w:val="en-GB" w:eastAsia="en-GB"/>
        </w:rPr>
        <w:t>Discussion</w:t>
      </w:r>
      <w:bookmarkEnd w:id="22"/>
    </w:p>
    <w:p w14:paraId="6364DCC5" w14:textId="2386FA4F" w:rsidR="00C95A78" w:rsidRPr="0034284A" w:rsidRDefault="00C95A78" w:rsidP="00C95A78">
      <w:pPr>
        <w:spacing w:after="0" w:line="480" w:lineRule="auto"/>
        <w:rPr>
          <w:rFonts w:ascii="Times New Roman" w:eastAsia="Times New Roman" w:hAnsi="Times New Roman" w:cs="Times New Roman"/>
          <w:color w:val="000000"/>
          <w:sz w:val="24"/>
          <w:szCs w:val="24"/>
          <w:lang w:val="en-US" w:eastAsia="en-GB"/>
        </w:rPr>
      </w:pPr>
      <w:r w:rsidRPr="00813425">
        <w:rPr>
          <w:rFonts w:ascii="Times New Roman" w:eastAsia="Times New Roman" w:hAnsi="Times New Roman" w:cs="Times New Roman"/>
          <w:color w:val="000000"/>
          <w:sz w:val="24"/>
          <w:szCs w:val="24"/>
          <w:lang w:val="en-US" w:eastAsia="en-GB"/>
        </w:rPr>
        <w:t xml:space="preserve">To our knowledge, this is the first study to investigate longitudinal changes in detailed pQCT measured bone parameters in CWH in sub-Saharan Africa. The study showed that CWH have consistently lower trabecular bone density, bone size and bone strength than CWOH over one year of follow-up. Our findings suggest that in children aged 8-16 years, puberty modifies the effect of HIV on bone </w:t>
      </w:r>
      <w:r w:rsidR="000B31B5" w:rsidRPr="00813425">
        <w:rPr>
          <w:rFonts w:ascii="Times New Roman" w:eastAsia="Times New Roman" w:hAnsi="Times New Roman" w:cs="Times New Roman"/>
          <w:color w:val="000000"/>
          <w:sz w:val="24"/>
          <w:szCs w:val="24"/>
          <w:lang w:val="en-US" w:eastAsia="en-GB"/>
        </w:rPr>
        <w:t xml:space="preserve">mineral </w:t>
      </w:r>
      <w:r w:rsidR="00E830A5" w:rsidRPr="00813425">
        <w:rPr>
          <w:rFonts w:ascii="Times New Roman" w:eastAsia="Times New Roman" w:hAnsi="Times New Roman" w:cs="Times New Roman"/>
          <w:color w:val="000000"/>
          <w:sz w:val="24"/>
          <w:szCs w:val="24"/>
          <w:lang w:val="en-US" w:eastAsia="en-GB"/>
        </w:rPr>
        <w:t>accrual</w:t>
      </w:r>
      <w:r w:rsidRPr="00813425">
        <w:rPr>
          <w:rFonts w:ascii="Times New Roman" w:eastAsia="Times New Roman" w:hAnsi="Times New Roman" w:cs="Times New Roman"/>
          <w:color w:val="000000"/>
          <w:sz w:val="24"/>
          <w:szCs w:val="24"/>
          <w:lang w:val="en-US" w:eastAsia="en-GB"/>
        </w:rPr>
        <w:t xml:space="preserve">, such that in the later stages of puberty both male and female CWH increase their bone size more than CWOH, although at the end of follow-up, and despite more </w:t>
      </w:r>
      <w:r w:rsidRPr="0034284A">
        <w:rPr>
          <w:rFonts w:ascii="Times New Roman" w:eastAsia="Times New Roman" w:hAnsi="Times New Roman" w:cs="Times New Roman"/>
          <w:color w:val="000000"/>
          <w:sz w:val="24"/>
          <w:szCs w:val="24"/>
          <w:lang w:val="en-US" w:eastAsia="en-GB"/>
        </w:rPr>
        <w:t xml:space="preserve">CWH transitioning pubertal stage, bone size remains smaller in CWH.  </w:t>
      </w:r>
      <w:r w:rsidR="003C0B88" w:rsidRPr="0034284A">
        <w:rPr>
          <w:rFonts w:ascii="Times New Roman" w:eastAsia="Times New Roman" w:hAnsi="Times New Roman" w:cs="Times New Roman"/>
          <w:color w:val="000000"/>
          <w:sz w:val="24"/>
          <w:szCs w:val="24"/>
          <w:lang w:val="en-US" w:eastAsia="en-GB"/>
        </w:rPr>
        <w:t>Furthermore, we have demonstrated there is a mediation effect of height on pQCT bone outcomes in females only, although total effect sizes are similar in males and females.</w:t>
      </w:r>
    </w:p>
    <w:p w14:paraId="6364DCC6" w14:textId="77777777" w:rsidR="00C95A78" w:rsidRPr="0034284A" w:rsidRDefault="00C95A78" w:rsidP="00C95A78">
      <w:pPr>
        <w:spacing w:after="0" w:line="480" w:lineRule="auto"/>
        <w:rPr>
          <w:rFonts w:ascii="Times New Roman" w:eastAsia="Times New Roman" w:hAnsi="Times New Roman" w:cs="Times New Roman"/>
          <w:color w:val="000000"/>
          <w:sz w:val="24"/>
          <w:szCs w:val="24"/>
          <w:lang w:val="en-US" w:eastAsia="en-GB"/>
        </w:rPr>
      </w:pPr>
    </w:p>
    <w:p w14:paraId="6364DCC7" w14:textId="5980ED07" w:rsidR="00C95A78" w:rsidRPr="00813425" w:rsidRDefault="00C95A78" w:rsidP="00D76CF1">
      <w:pPr>
        <w:spacing w:after="0" w:line="480" w:lineRule="auto"/>
        <w:rPr>
          <w:rFonts w:ascii="Times New Roman" w:eastAsia="Times New Roman" w:hAnsi="Times New Roman" w:cs="Times New Roman"/>
          <w:color w:val="000000"/>
          <w:sz w:val="24"/>
          <w:szCs w:val="24"/>
          <w:lang w:val="en-US" w:eastAsia="en-GB"/>
        </w:rPr>
      </w:pPr>
      <w:r w:rsidRPr="0034284A">
        <w:rPr>
          <w:rFonts w:ascii="Times New Roman" w:eastAsia="Times New Roman" w:hAnsi="Times New Roman" w:cs="Times New Roman"/>
          <w:color w:val="000000"/>
          <w:sz w:val="24"/>
          <w:szCs w:val="24"/>
          <w:lang w:val="en-US" w:eastAsia="en-GB"/>
        </w:rPr>
        <w:t>There were greater increases in height over the one-year of this study in CWH than CWOH. In addition, over the same period,</w:t>
      </w:r>
      <w:r w:rsidRPr="00813425">
        <w:rPr>
          <w:rFonts w:ascii="Times New Roman" w:eastAsia="Times New Roman" w:hAnsi="Times New Roman" w:cs="Times New Roman"/>
          <w:color w:val="000000"/>
          <w:sz w:val="24"/>
          <w:szCs w:val="24"/>
          <w:lang w:val="en-US" w:eastAsia="en-GB"/>
        </w:rPr>
        <w:t xml:space="preserve"> a greater proportion of CWH than CWOH advanced in Tanner stage. We have previously reported pubertal delay in the same cohort </w:t>
      </w:r>
      <w:r w:rsidRPr="00813425">
        <w:rPr>
          <w:rFonts w:ascii="Times New Roman" w:eastAsia="Times New Roman" w:hAnsi="Times New Roman" w:cs="Times New Roman"/>
          <w:color w:val="000000"/>
          <w:sz w:val="24"/>
          <w:szCs w:val="24"/>
          <w:lang w:val="en-US" w:eastAsia="en-GB"/>
        </w:rPr>
        <w:fldChar w:fldCharType="begin" w:fldLock="1"/>
      </w:r>
      <w:r w:rsidRPr="00813425">
        <w:rPr>
          <w:rFonts w:ascii="Times New Roman" w:eastAsia="Times New Roman" w:hAnsi="Times New Roman" w:cs="Times New Roman"/>
          <w:color w:val="000000"/>
          <w:sz w:val="24"/>
          <w:szCs w:val="24"/>
          <w:lang w:val="en-US" w:eastAsia="en-GB"/>
        </w:rPr>
        <w:instrText>ADDIN CSL_CITATION {"citationItems":[{"id":"ITEM-1","itemData":{"DOI":"10.1016/S2352-4642(21)00133-4","ISSN":"23524642","PMID":"34139202","abstract":"Background: Faltered linear growth and pubertal delay, which are both common in children with HIV in sub-Saharan Africa, might affect adolescent bone accrual and future fragility fracture risk. We investigated the association of HIV with bone density adjusted for skeletal size in peripubertal children in Zimbabwe. Methods: We did a cross-sectional study of baseline data from the IMVASK cohort, which enrolled children aged 8–16 years with HIV who had been taking antiretroviral therapy (ART) for at least 2 years, and children of the same age without HIV. Children with HIV were recruited from public sector HIV clinics at Parirenyatwa General Hospital and Harare Central Hospital (Harare, Zimbabwe), and children without HIV were recruited from six schools in the same suburbs that the hospitals serve. Sociodemographic, clinical, and anthropometric data were collected. Dual-energy X-ray absorptiometry (DXA) was used to measure the bone outcomes of total-body less-head bone mineral content for lean mass adjusted for height (TBLH-BMCLBM), and lumbar spine bone mineral apparent density (LS-BMAD), and we assessed the prevalence of low TBLH-BMCLBM and low LS-BMAD (defined by Z-scores of less than −2·0). Size adjustment techniques were used to overcome the size dependence of DXA measurement. We used linear regression models, with multiple imputation for missing data, to assess relationships between risk factors and TBLH-BMCLBM and LS-BMAD Z-scores in children with and without HIV. Findings: We recruited 303 children with HIV (mean age 12·4 years [SD 2·5]; 151 [50%] girls) and 306 children without HIV (mean age 12·5 years [SD 2·5]; 155 [51%] girls). In children with HIV, median age of HIV diagnosis was 3·0 years (IQR 1·2–5·8), and median ART duration was 8·1 years (6·2–9·5); for 102 (34%) children, ART included tenofovir disoproxil fumarate (TDF). Children with HIV had a higher prevalence of low TBLH-BMCLBM Z-score than children without HIV (29 [10%] of 279 children with available data vs 18 [6%] of 292 with available data; p=0·066) and a higher prevalence of low LS-BMAD Z-score (40 [14%] of 279 vs 17 [6%] of 293 with available data; p=0·0007). HIV and male sex were associated with earlier pubertal (Tanner) stage. The negative associations between HIV and Z-scores for TBLH-BMCLBM and LS-BMAD were more pronounced with pubertal maturation, particularly in girls. Among children with HIV, TDF exposure and orphanhood were associated with lower TBLH-BMCLBM Z-score in confo…","author":[{"dropping-particle":"","family":"Rukuni","given":"Ruramayi","non-dropping-particle":"","parse-names":false,"suffix":""},{"dropping-particle":"","family":"Rehman","given":"Andrea M.","non-dropping-particle":"","parse-names":false,"suffix":""},{"dropping-particle":"","family":"Mukwasi-Kahari","given":"Cynthia","non-dropping-particle":"","parse-names":false,"suffix":""},{"dropping-particle":"","family":"Madanhire","given":"Tafadzwa","non-dropping-particle":"","parse-names":false,"suffix":""},{"dropping-particle":"","family":"Kowo-Nyakoko","given":"Farirayi","non-dropping-particle":"","parse-names":false,"suffix":""},{"dropping-particle":"","family":"McHugh","given":"Grace","non-dropping-particle":"","parse-names":false,"suffix":""},{"dropping-particle":"","family":"Filteau","given":"Suzanne","non-dropping-particle":"","parse-names":false,"suffix":""},{"dropping-particle":"","family":"Chipanga","given":"Joseph","non-dropping-particle":"","parse-names":false,"suffix":""},{"dropping-particle":"","family":"Simms","given":"Victoria","non-dropping-particle":"","parse-names":false,"suffix":""},{"dropping-particle":"","family":"Mujuru","given":"Hilda","non-dropping-particle":"","parse-names":false,"suffix":""},{"dropping-particle":"","family":"Ward","given":"Kate A.","non-dropping-particle":"","parse-names":false,"suffix":""},{"dropping-particle":"","family":"Ferrand","given":"Rashida A.","non-dropping-particle":"","parse-names":false,"suffix":""},{"dropping-particle":"","family":"Gregson","given":"Celia L.","non-dropping-particle":"","parse-names":false,"suffix":""}],"container-title":"The Lancet Child and Adolescent Health","id":"ITEM-1","issue":"8","issued":{"date-parts":[["2021"]]},"page":"569-581","publisher":"The Author(s). Published by Elsevier Ltd. This is an Open Access article under the CC BY 4.0 license","title":"Effect of HIV infection on growth and bone density in peripubertal children in the era of antiretroviral therapy: a cross-sectional study in Zimbabwe","type":"article-journal","volume":"5"},"uris":["http://www.mendeley.com/documents/?uuid=77b44533-3aaa-4da8-83d4-68aa7215869f"]}],"mendeley":{"formattedCitation":"(7)","plainTextFormattedCitation":"(7)","previouslyFormattedCitation":"(7)"},"properties":{"noteIndex":0},"schema":"https://github.com/citation-style-language/schema/raw/master/csl-citation.json"}</w:instrText>
      </w:r>
      <w:r w:rsidRPr="00813425">
        <w:rPr>
          <w:rFonts w:ascii="Times New Roman" w:eastAsia="Times New Roman" w:hAnsi="Times New Roman" w:cs="Times New Roman"/>
          <w:color w:val="000000"/>
          <w:sz w:val="24"/>
          <w:szCs w:val="24"/>
          <w:lang w:val="en-US" w:eastAsia="en-GB"/>
        </w:rPr>
        <w:fldChar w:fldCharType="separate"/>
      </w:r>
      <w:r w:rsidRPr="00813425">
        <w:rPr>
          <w:rFonts w:ascii="Times New Roman" w:eastAsia="Times New Roman" w:hAnsi="Times New Roman" w:cs="Times New Roman"/>
          <w:noProof/>
          <w:color w:val="000000"/>
          <w:sz w:val="24"/>
          <w:szCs w:val="24"/>
          <w:lang w:val="en-US" w:eastAsia="en-GB"/>
        </w:rPr>
        <w:t>(7)</w:t>
      </w:r>
      <w:r w:rsidRPr="00813425">
        <w:rPr>
          <w:rFonts w:ascii="Times New Roman" w:eastAsia="Times New Roman" w:hAnsi="Times New Roman" w:cs="Times New Roman"/>
          <w:color w:val="000000"/>
          <w:sz w:val="24"/>
          <w:szCs w:val="24"/>
          <w:lang w:val="en-US" w:eastAsia="en-GB"/>
        </w:rPr>
        <w:fldChar w:fldCharType="end"/>
      </w:r>
      <w:r w:rsidRPr="00813425">
        <w:rPr>
          <w:rFonts w:ascii="Times New Roman" w:eastAsia="Times New Roman" w:hAnsi="Times New Roman" w:cs="Times New Roman"/>
          <w:color w:val="000000"/>
          <w:sz w:val="24"/>
          <w:szCs w:val="24"/>
          <w:lang w:val="en-US" w:eastAsia="en-GB"/>
        </w:rPr>
        <w:t xml:space="preserve"> and other studies have shown height is strongly determined by pubertal growth </w:t>
      </w:r>
      <w:r w:rsidRPr="00813425">
        <w:rPr>
          <w:rFonts w:ascii="Times New Roman" w:eastAsia="Times New Roman" w:hAnsi="Times New Roman" w:cs="Times New Roman"/>
          <w:color w:val="000000"/>
          <w:sz w:val="24"/>
          <w:szCs w:val="24"/>
          <w:lang w:val="en-US" w:eastAsia="en-GB"/>
        </w:rPr>
        <w:fldChar w:fldCharType="begin" w:fldLock="1"/>
      </w:r>
      <w:r w:rsidR="00F97376" w:rsidRPr="00813425">
        <w:rPr>
          <w:rFonts w:ascii="Times New Roman" w:eastAsia="Times New Roman" w:hAnsi="Times New Roman" w:cs="Times New Roman"/>
          <w:color w:val="000000"/>
          <w:sz w:val="24"/>
          <w:szCs w:val="24"/>
          <w:lang w:val="en-US" w:eastAsia="en-GB"/>
        </w:rPr>
        <w:instrText>ADDIN CSL_CITATION {"citationItems":[{"id":"ITEM-1","itemData":{"DOI":"10.1359/jbmr.091022","ISSN":"08840431","PMID":"20437610","abstract":"We have demonstrated previously that higher birth weight is associated with greater peak and later-life bone mineral content and that maternal body build, diet, and lifestyle influence prenatal bone mineral accrual. To examine prenatal influences on bone health further, we related ultrasound measures of fetal growth to childhood bone size and density. We derived Z-scores for fetal femur length and abdominal circumference and conditional growth velocity from 19 to 34 weeks' gestation from ultrasound measurements in participants in the Southampton Women's Survey. A total of 380 of the offspring underwent dual-energy X-ray absorptiometry (DXA) at age 4 years [whole body minus head bone area (BA), bone mineral content (BMC), areal bone mineral density (aBMD), and estimated volumetric BMD (vBMD)]. Volumetric bone mineral density was estimated using BMC adjusted for BA, height, and weight. A higher velocity of 19- to 34- week fetal femur growth was strongly associated with greater childhood skeletal size (BA: r=0.30, p&lt;.0001) but not with volumetric density (vBMD: r=0.03, p=.51). Conversely, a higher velocity of 19- to 34-week fetal abdominal growth was associated with greater childhood volumetric density (vBMD: r=0.15, p=.004) but not with skeletal size (BA: r=0.06, p=.21). Both fetal measurements were positively associated with BMC and aBMD, indices influenced by both size and density. The velocity of fetal femur length growth from 19 to 34 weeks' gestation predicted childhood skeletal size at age 4 years, whereas the velocity of abdominal growth (a measure of liver volume and adiposity) predicted volumetric density. These results suggest a discordance between influences on skeletal size and volumetric density. © 2010 American Society for Bone and Mineral Research.","author":[{"dropping-particle":"","family":"Harvey","given":"Nicholas C.","non-dropping-particle":"","parse-names":false,"suffix":""},{"dropping-particle":"","family":"Mahon","given":"Pamela A.","non-dropping-particle":"","parse-names":false,"suffix":""},{"dropping-particle":"","family":"Robinson","given":"Sian M.","non-dropping-particle":"","parse-names":false,"suffix":""},{"dropping-particle":"","family":"Nisbet","given":"Corrine E.","non-dropping-particle":"","parse-names":false,"suffix":""},{"dropping-particle":"","family":"Javaid","given":"M. Kassim","non-dropping-particle":"","parse-names":false,"suffix":""},{"dropping-particle":"","family":"Crozier","given":"Sarah R.","non-dropping-particle":"","parse-names":false,"suffix":""},{"dropping-particle":"","family":"Inskip","given":"Hazel M.","non-dropping-particle":"","parse-names":false,"suffix":""},{"dropping-particle":"","family":"Godfrey","given":"Keith M.","non-dropping-particle":"","parse-names":false,"suffix":""},{"dropping-particle":"","family":"Arden","given":"Nigel K.","non-dropping-particle":"","parse-names":false,"suffix":""},{"dropping-particle":"","family":"Dennison","given":"Elaine M.","non-dropping-particle":"","parse-names":false,"suffix":""},{"dropping-particle":"","family":"Cooper","given":"Cyrus","non-dropping-particle":"","parse-names":false,"suffix":""},{"dropping-particle":"","family":"Taylor","given":"P.","non-dropping-particle":"","parse-names":false,"suffix":""},{"dropping-particle":"","family":"Greenaway","given":"L. J.","non-dropping-particle":"","parse-names":false,"suffix":""},{"dropping-particle":"","family":"Hanson","given":"M.","non-dropping-particle":"","parse-names":false,"suffix":""},{"dropping-particle":"","family":"Barker","given":"D. J.P.","non-dropping-particle":"","parse-names":false,"suffix":""},{"dropping-particle":"","family":"Law","given":"C. M.","non-dropping-particle":"","parse-names":false,"suffix":""}],"container-title":"Journal of Bone and Mineral Research","id":"ITEM-1","issue":"4","issued":{"date-parts":[["2010"]]},"page":"920-927","title":"Different indices of fetal growth predict bone size and volumetric density at 4 years of age","type":"article-journal","volume":"25"},"uris":["http://www.mendeley.com/documents/?uuid=21162948-38d2-4362-b031-be62a5ac3195"]}],"mendeley":{"formattedCitation":"(27)","plainTextFormattedCitation":"(27)","previouslyFormattedCitation":"(27)"},"properties":{"noteIndex":0},"schema":"https://github.com/citation-style-language/schema/raw/master/csl-citation.json"}</w:instrText>
      </w:r>
      <w:r w:rsidRPr="00813425">
        <w:rPr>
          <w:rFonts w:ascii="Times New Roman" w:eastAsia="Times New Roman" w:hAnsi="Times New Roman" w:cs="Times New Roman"/>
          <w:color w:val="000000"/>
          <w:sz w:val="24"/>
          <w:szCs w:val="24"/>
          <w:lang w:val="en-US" w:eastAsia="en-GB"/>
        </w:rPr>
        <w:fldChar w:fldCharType="separate"/>
      </w:r>
      <w:r w:rsidR="00D47FD7" w:rsidRPr="00813425">
        <w:rPr>
          <w:rFonts w:ascii="Times New Roman" w:eastAsia="Times New Roman" w:hAnsi="Times New Roman" w:cs="Times New Roman"/>
          <w:noProof/>
          <w:color w:val="000000"/>
          <w:sz w:val="24"/>
          <w:szCs w:val="24"/>
          <w:lang w:val="en-US" w:eastAsia="en-GB"/>
        </w:rPr>
        <w:t>(27)</w:t>
      </w:r>
      <w:r w:rsidRPr="00813425">
        <w:rPr>
          <w:rFonts w:ascii="Times New Roman" w:eastAsia="Times New Roman" w:hAnsi="Times New Roman" w:cs="Times New Roman"/>
          <w:color w:val="000000"/>
          <w:sz w:val="24"/>
          <w:szCs w:val="24"/>
          <w:lang w:val="en-US" w:eastAsia="en-GB"/>
        </w:rPr>
        <w:fldChar w:fldCharType="end"/>
      </w:r>
      <w:r w:rsidRPr="00813425">
        <w:rPr>
          <w:rFonts w:ascii="Times New Roman" w:eastAsia="Times New Roman" w:hAnsi="Times New Roman" w:cs="Times New Roman"/>
          <w:color w:val="000000"/>
          <w:sz w:val="24"/>
          <w:szCs w:val="24"/>
          <w:lang w:val="en-US" w:eastAsia="en-GB"/>
        </w:rPr>
        <w:t>. Pubertal transition is classically characterised by a ‘growth spurt’ (</w:t>
      </w:r>
      <w:proofErr w:type="gramStart"/>
      <w:r w:rsidRPr="00813425">
        <w:rPr>
          <w:rFonts w:ascii="Times New Roman" w:eastAsia="Times New Roman" w:hAnsi="Times New Roman" w:cs="Times New Roman"/>
          <w:i/>
          <w:iCs/>
          <w:color w:val="000000"/>
          <w:sz w:val="24"/>
          <w:szCs w:val="24"/>
          <w:lang w:val="en-US" w:eastAsia="en-GB"/>
        </w:rPr>
        <w:t>i.e.</w:t>
      </w:r>
      <w:proofErr w:type="gramEnd"/>
      <w:r w:rsidRPr="00813425">
        <w:rPr>
          <w:rFonts w:ascii="Times New Roman" w:eastAsia="Times New Roman" w:hAnsi="Times New Roman" w:cs="Times New Roman"/>
          <w:color w:val="000000"/>
          <w:sz w:val="24"/>
          <w:szCs w:val="24"/>
          <w:lang w:val="en-US" w:eastAsia="en-GB"/>
        </w:rPr>
        <w:t xml:space="preserve"> peak height velocity). The differences in height change in our cohort could be </w:t>
      </w:r>
      <w:r w:rsidR="001E374F" w:rsidRPr="00813425">
        <w:rPr>
          <w:rFonts w:ascii="Times New Roman" w:eastAsia="Times New Roman" w:hAnsi="Times New Roman" w:cs="Times New Roman"/>
          <w:color w:val="000000"/>
          <w:sz w:val="24"/>
          <w:szCs w:val="24"/>
          <w:lang w:val="en-US" w:eastAsia="en-GB"/>
        </w:rPr>
        <w:t>explained by</w:t>
      </w:r>
      <w:r w:rsidRPr="00813425">
        <w:rPr>
          <w:rFonts w:ascii="Times New Roman" w:eastAsia="Times New Roman" w:hAnsi="Times New Roman" w:cs="Times New Roman"/>
          <w:color w:val="000000"/>
          <w:sz w:val="24"/>
          <w:szCs w:val="24"/>
          <w:lang w:val="en-US" w:eastAsia="en-GB"/>
        </w:rPr>
        <w:t xml:space="preserve"> more CWH than CWOH still undergoing pubertal transition from early to late puberty. Despite that, male CWH who were in the later stages of puberty gained more bone size at the 4% site than CWOH</w:t>
      </w:r>
      <w:r w:rsidR="00795891" w:rsidRPr="00813425">
        <w:rPr>
          <w:rFonts w:ascii="Times New Roman" w:eastAsia="Times New Roman" w:hAnsi="Times New Roman" w:cs="Times New Roman"/>
          <w:color w:val="000000"/>
          <w:sz w:val="24"/>
          <w:szCs w:val="24"/>
          <w:lang w:val="en-US" w:eastAsia="en-GB"/>
        </w:rPr>
        <w:t>;</w:t>
      </w:r>
      <w:r w:rsidRPr="00813425">
        <w:rPr>
          <w:rFonts w:ascii="Times New Roman" w:eastAsia="Times New Roman" w:hAnsi="Times New Roman" w:cs="Times New Roman"/>
          <w:color w:val="000000"/>
          <w:sz w:val="24"/>
          <w:szCs w:val="24"/>
          <w:lang w:val="en-US" w:eastAsia="en-GB"/>
        </w:rPr>
        <w:t xml:space="preserve"> however</w:t>
      </w:r>
      <w:r w:rsidR="00795891" w:rsidRPr="00813425">
        <w:rPr>
          <w:rFonts w:ascii="Times New Roman" w:eastAsia="Times New Roman" w:hAnsi="Times New Roman" w:cs="Times New Roman"/>
          <w:color w:val="000000"/>
          <w:sz w:val="24"/>
          <w:szCs w:val="24"/>
          <w:lang w:val="en-US" w:eastAsia="en-GB"/>
        </w:rPr>
        <w:t>,</w:t>
      </w:r>
      <w:r w:rsidRPr="00813425">
        <w:rPr>
          <w:rFonts w:ascii="Times New Roman" w:eastAsia="Times New Roman" w:hAnsi="Times New Roman" w:cs="Times New Roman"/>
          <w:color w:val="000000"/>
          <w:sz w:val="24"/>
          <w:szCs w:val="24"/>
          <w:lang w:val="en-US" w:eastAsia="en-GB"/>
        </w:rPr>
        <w:t xml:space="preserve"> male CWH still had lower mean bone size than CWOH at the follow up visit. These results suggest that, although CWH demonstrate a degree of catch-up growth </w:t>
      </w:r>
      <w:r w:rsidR="00077782" w:rsidRPr="00813425">
        <w:rPr>
          <w:rFonts w:ascii="Times New Roman" w:eastAsia="Times New Roman" w:hAnsi="Times New Roman" w:cs="Times New Roman"/>
          <w:color w:val="000000"/>
          <w:sz w:val="24"/>
          <w:szCs w:val="24"/>
          <w:lang w:val="en-US" w:eastAsia="en-GB"/>
        </w:rPr>
        <w:t xml:space="preserve">in bone size, </w:t>
      </w:r>
      <w:r w:rsidRPr="00813425">
        <w:rPr>
          <w:rFonts w:ascii="Times New Roman" w:eastAsia="Times New Roman" w:hAnsi="Times New Roman" w:cs="Times New Roman"/>
          <w:color w:val="000000"/>
          <w:sz w:val="24"/>
          <w:szCs w:val="24"/>
          <w:lang w:val="en-US" w:eastAsia="en-GB"/>
        </w:rPr>
        <w:t xml:space="preserve">as they transition </w:t>
      </w:r>
      <w:r w:rsidRPr="00813425">
        <w:rPr>
          <w:rFonts w:ascii="Times New Roman" w:eastAsia="Times New Roman" w:hAnsi="Times New Roman" w:cs="Times New Roman"/>
          <w:color w:val="000000"/>
          <w:sz w:val="24"/>
          <w:szCs w:val="24"/>
          <w:lang w:val="en-US" w:eastAsia="en-GB"/>
        </w:rPr>
        <w:lastRenderedPageBreak/>
        <w:t>through puberty, th</w:t>
      </w:r>
      <w:r w:rsidR="00CC36A0" w:rsidRPr="00813425">
        <w:rPr>
          <w:rFonts w:ascii="Times New Roman" w:eastAsia="Times New Roman" w:hAnsi="Times New Roman" w:cs="Times New Roman"/>
          <w:color w:val="000000"/>
          <w:sz w:val="24"/>
          <w:szCs w:val="24"/>
          <w:lang w:val="en-US" w:eastAsia="en-GB"/>
        </w:rPr>
        <w:t>is</w:t>
      </w:r>
      <w:r w:rsidRPr="00813425">
        <w:rPr>
          <w:rFonts w:ascii="Times New Roman" w:eastAsia="Times New Roman" w:hAnsi="Times New Roman" w:cs="Times New Roman"/>
          <w:color w:val="000000"/>
          <w:sz w:val="24"/>
          <w:szCs w:val="24"/>
          <w:lang w:val="en-US" w:eastAsia="en-GB"/>
        </w:rPr>
        <w:t xml:space="preserve"> catch-up growth may be </w:t>
      </w:r>
      <w:r w:rsidR="00CC36A0" w:rsidRPr="00813425">
        <w:rPr>
          <w:rFonts w:ascii="Times New Roman" w:eastAsia="Times New Roman" w:hAnsi="Times New Roman" w:cs="Times New Roman"/>
          <w:color w:val="000000"/>
          <w:sz w:val="24"/>
          <w:szCs w:val="24"/>
          <w:lang w:val="en-US" w:eastAsia="en-GB"/>
        </w:rPr>
        <w:t>in</w:t>
      </w:r>
      <w:r w:rsidRPr="00813425">
        <w:rPr>
          <w:rFonts w:ascii="Times New Roman" w:eastAsia="Times New Roman" w:hAnsi="Times New Roman" w:cs="Times New Roman"/>
          <w:color w:val="000000"/>
          <w:sz w:val="24"/>
          <w:szCs w:val="24"/>
          <w:lang w:val="en-US" w:eastAsia="en-GB"/>
        </w:rPr>
        <w:t xml:space="preserve">sufficient to reach full </w:t>
      </w:r>
      <w:r w:rsidR="00E720B8" w:rsidRPr="00813425">
        <w:rPr>
          <w:rFonts w:ascii="Times New Roman" w:eastAsia="Times New Roman" w:hAnsi="Times New Roman" w:cs="Times New Roman"/>
          <w:color w:val="000000"/>
          <w:sz w:val="24"/>
          <w:szCs w:val="24"/>
          <w:lang w:val="en-US" w:eastAsia="en-GB"/>
        </w:rPr>
        <w:t>skeletal</w:t>
      </w:r>
      <w:r w:rsidRPr="00813425">
        <w:rPr>
          <w:rFonts w:ascii="Times New Roman" w:eastAsia="Times New Roman" w:hAnsi="Times New Roman" w:cs="Times New Roman"/>
          <w:color w:val="000000"/>
          <w:sz w:val="24"/>
          <w:szCs w:val="24"/>
          <w:lang w:val="en-US" w:eastAsia="en-GB"/>
        </w:rPr>
        <w:t xml:space="preserve"> potential. These findings are concerning since deficits in bone accrual at the end of puberty are likely to persist into adulthood. </w:t>
      </w:r>
    </w:p>
    <w:p w14:paraId="6364DCC8" w14:textId="77777777" w:rsidR="004707B1" w:rsidRPr="00813425" w:rsidRDefault="004707B1" w:rsidP="00D76CF1">
      <w:pPr>
        <w:spacing w:after="0" w:line="480" w:lineRule="auto"/>
        <w:rPr>
          <w:rFonts w:ascii="Times New Roman" w:eastAsia="Times New Roman" w:hAnsi="Times New Roman" w:cs="Times New Roman"/>
          <w:color w:val="000000"/>
          <w:sz w:val="24"/>
          <w:szCs w:val="24"/>
          <w:lang w:val="en-US" w:eastAsia="en-GB"/>
        </w:rPr>
      </w:pPr>
    </w:p>
    <w:p w14:paraId="6364DCCA" w14:textId="77777777" w:rsidR="00C95A78" w:rsidRPr="00813425" w:rsidRDefault="00C95A78" w:rsidP="00C95A78">
      <w:pPr>
        <w:spacing w:after="0" w:line="480" w:lineRule="auto"/>
        <w:rPr>
          <w:rFonts w:ascii="Times New Roman" w:eastAsia="Times New Roman" w:hAnsi="Times New Roman" w:cs="Times New Roman"/>
          <w:color w:val="000000"/>
          <w:sz w:val="24"/>
          <w:szCs w:val="24"/>
          <w:lang w:val="en-US" w:eastAsia="en-GB"/>
        </w:rPr>
      </w:pPr>
    </w:p>
    <w:p w14:paraId="62ADE08C" w14:textId="77777777" w:rsidR="004E28FE" w:rsidRPr="00813425" w:rsidRDefault="00C95A78" w:rsidP="004E28FE">
      <w:pPr>
        <w:spacing w:after="0" w:line="480" w:lineRule="auto"/>
        <w:rPr>
          <w:rFonts w:ascii="Times New Roman" w:hAnsi="Times New Roman" w:cs="Times New Roman"/>
          <w:sz w:val="24"/>
          <w:szCs w:val="24"/>
          <w:lang w:val="en-US"/>
        </w:rPr>
      </w:pPr>
      <w:r w:rsidRPr="00813425">
        <w:rPr>
          <w:rFonts w:ascii="Times New Roman" w:eastAsia="Times New Roman" w:hAnsi="Times New Roman" w:cs="Times New Roman"/>
          <w:color w:val="000000"/>
          <w:sz w:val="24"/>
          <w:szCs w:val="24"/>
          <w:lang w:val="en-US" w:eastAsia="en-GB"/>
        </w:rPr>
        <w:t xml:space="preserve">We have shown that CWH still had lower bone outcomes at follow up despite the greater increase in height over the study period. Moreover, we have demonstrated that the effect of HIV on ∆bone size, ∆bone strength and ∆cortical density in females, is due to the indirect effect of HIV on height rather than the effect of HIV on changing bone turnover and mineral accrual. </w:t>
      </w:r>
      <w:r w:rsidR="004E28FE" w:rsidRPr="00813425">
        <w:rPr>
          <w:rFonts w:ascii="Times New Roman" w:hAnsi="Times New Roman" w:cs="Times New Roman"/>
          <w:sz w:val="24"/>
          <w:szCs w:val="24"/>
          <w:lang w:val="en-US"/>
        </w:rPr>
        <w:t xml:space="preserve">Childhood HIV infection can manifest as stunting (poor linear growth). Our study reports a higher prevalence of stunting in CWH than in CWOH for both males [33% (CWH) vs 7% (CWOH)] and females [26% (CWH) vs 10% (CWOH)]. This is similar to several studies that have assessed growth patterns in African countries which have consistently reported high prevalence of stunting as measured by height for age Z-scores in CWH </w:t>
      </w:r>
      <w:r w:rsidR="004E28FE" w:rsidRPr="00813425">
        <w:rPr>
          <w:rFonts w:ascii="Times New Roman" w:hAnsi="Times New Roman" w:cs="Times New Roman"/>
          <w:sz w:val="24"/>
          <w:szCs w:val="24"/>
          <w:lang w:val="en-US"/>
        </w:rPr>
        <w:fldChar w:fldCharType="begin" w:fldLock="1"/>
      </w:r>
      <w:r w:rsidR="004E28FE" w:rsidRPr="00813425">
        <w:rPr>
          <w:rFonts w:ascii="Times New Roman" w:hAnsi="Times New Roman" w:cs="Times New Roman"/>
          <w:sz w:val="24"/>
          <w:szCs w:val="24"/>
          <w:lang w:val="en-US"/>
        </w:rPr>
        <w:instrText>ADDIN CSL_CITATION {"citationItems":[{"id":"ITEM-1","itemData":{"DOI":"10.1097/MD.0000000000007019","ISBN":"0000000000","ISSN":"15365964","PMID":"28538421","abstract":"Pediatric human immunodeficiency virus (HIV) infection and malnutrition are still 2 major health issues in sub-Saharan Africa including Burkina Faso where few studies have been conducted on child malnutrition and HIV infection. This study assessed the effects of antiretroviral therapy (ART) in HIV infection and also compared the prevalence of malnutrition in terms of an inadequate diet, underweight, stunting, and wasting among HIV-infected and uninfected children less than 5 years in Bobo-Dioulasso city, Burkina Faso. This was a case-control study matching for age and sex in 164 HIV-infected and 164 HIV-uninfected children. The sociodemographic characteristics of mothers and children, household food security, drinking water source, child feeding and care practices, and child anthropometric data such as body weight, height, and mid-upper arm circumference were collected. The prevalence of food insecurity and inadequate diet was 58% and 92% of children less than 5 years of age, respectively. The prevalence of underweight, stunting, and wasting was 77% versus 35%, 65% versus 61%, and 63% versus 26% in HIV-infected and uninfected children less than 5 years of age, respectively. Out of 164 HIV-infected children, 59% were on ART initiation during data collection and the median of CD4 cell counts was 1078cells/μL. HIV-infected children on ART had greater CD4 cell counts (P=.04) and higher weight-for-Age Z (P=.01) and weight-for-height Z scores (P=.03) than those without ART. HIV infection was a risk factor for those who had inadequate dietary intake [adjusted odds ratio (AOR)=2.17, 95% confidence interval (CI) 1.17-3.62, P=.04]. In addition, HIV-infected children were more likely of being underweight (AOR=10.24, 95% CI 4.34-24.17, P&lt;0.001) and wasting (AOR=5.57, 95% CI 2.49-12.46, P&lt;0.001) than HIV-uninfected children less than 5 years of age. High prevalence of malnutrition was observed in HIV-infected children compared with HIV-uninfected children. Except for ART, nutritional assessment and support should be included in pediatric HIV management.","author":[{"dropping-particle":"","family":"Poda","given":"Ghislain Gnimbar","non-dropping-particle":"","parse-names":false,"suffix":""},{"dropping-particle":"","family":"Hsu","given":"Chien Yeh","non-dropping-particle":"","parse-names":false,"suffix":""},{"dropping-particle":"","family":"Chao","given":"Jane C.J.","non-dropping-particle":"","parse-names":false,"suffix":""}],"container-title":"Medicine (United States)","id":"ITEM-1","issue":"21","issued":{"date-parts":[["2017"]]},"title":"Malnutrition is associated with HIV infection in children less than 5 years in Bobo-Dioulasso City, Burkina Faso","type":"article-journal","volume":"96"},"uris":["http://www.mendeley.com/documents/?uuid=a1f3c289-51bb-44e3-91c0-a8a884b8c5e0"]},{"id":"ITEM-2","itemData":{"DOI":"10.1111/tmi.12685","author":[{"dropping-particle":"","family":"Feucht","given":"Ute D","non-dropping-particle":"","parse-names":false,"suffix":""},{"dropping-particle":"Van","family":"Bruwaene","given":"Lore","non-dropping-particle":"","parse-names":false,"suffix":""},{"dropping-particle":"","family":"Becker","given":"Piet J","non-dropping-particle":"","parse-names":false,"suffix":""},{"dropping-particle":"","family":"Kruger","given":"Mariana","non-dropping-particle":"","parse-names":false,"suffix":""}],"container-title":"Tropical Medicine and International Health","id":"ITEM-2","issue":"5","issued":{"date-parts":[["2016"]]},"page":"619-629","title":"Growth in HIV-infected children on long-term antiretroviral therapy","type":"article-journal","volume":"21"},"uris":["http://www.mendeley.com/documents/?uuid=4ed5fbb7-70ca-462b-a68b-18d76879eec0"]},{"id":"ITEM-3","itemData":{"DOI":"10.1371/journal.pone.0167565","ISBN":"1111111111","ISSN":"19326203","PMID":"28030557","abstract":"Background: Antiretroviral therapy (ART) is a lifesaving intervention for HIV infected children. There is a scarcity of data on immunological recovery and its relation with growth indicators among HIV infected young children. The current study aims to assess the pattern of anthropometric Z-score improvement following initiation of first-line ART among under-five children and the relationship between anthropometric Z-score improvement and immunologic recovery. Methods: We included under-five children who were on first-line ART at five major hospitals in Addis Ababa, Ethiopia. We measured anthropometry and collected clinical and laboratory data at follow up, and we retrieved clinical and anthropometric data at ART initiation from records. Z-scores for each of the anthropometric indices were calculated based on WHO growth standards using ENA for SMART 2011 software. Linear regression was used to assess the relationship between time on ART and anthropometric Z-score improvement; and the relationship between anthropometric Z-score improvement and immunologic recovery. Multiple linear regression was used to assess the independent predictors of anthropometric Z-score change. Results: The median age of the participants was 4.1 (Interquartile range (IQR): 3.3-4.9) years. More than half (52.48%) were female. The median duration of follow up was 1.69 (IQR: 1.08- 2.63) years. There was a significant improvement in all anthropometric indices at any follow up after initiation of first-line ART (underweight; 39.5% vs16.5%, stunting; 71.3% vs 62.9% and wasting; 16.3% vs 1.0%; p-value &lt; 0.0001). There was an inverse relationship between improvement in weight for age Z-score (WAZ) and duration of ART (R2 = 0.04; F (1, 158); p = 0.013). Height for age Z-score (HAZ) both at the time of ART initiation and follow up has a positive linear relationship with CD4 percentage at follow up (Coef. = 1.92; R2 = 0.05; p-value = 0.002). Duration on ART (Std. Err. = 0.206, t = -1.99, p-value = 0.049) and level of maternal education (Std. Err. = 0.290, t = 2.64, p-value = 0.009) were the only independent predictors of the change in WAZ and change in HAZ at any follow up visit respectively. Conclusion: There was a significant improvement in all anthropometric indices at any follow-up after initiation of first-line ART among under-five children. HAZ was linearly related with immunologic recovery following ART initiation. The findings indicate that anthropometric indices could be taken as p…","author":[{"dropping-particle":"","family":"Tekleab","given":"Atnafu Mekonnen","non-dropping-particle":"","parse-names":false,"suffix":""},{"dropping-particle":"","family":"Tadesse","given":"Birkneh Tilahun","non-dropping-particle":"","parse-names":false,"suffix":""},{"dropping-particle":"","family":"Giref","given":"Ababi Zergaw","non-dropping-particle":"","parse-names":false,"suffix":""},{"dropping-particle":"","family":"Shimelis","given":"Damte","non-dropping-particle":"","parse-names":false,"suffix":""},{"dropping-particle":"","family":"Gebre","given":"Meseret","non-dropping-particle":"","parse-names":false,"suffix":""}],"container-title":"PLoS ONE","id":"ITEM-3","issue":"12","issued":{"date-parts":[["2016"]]},"page":"1-14","title":"Anthropometric improvement among HIV infected pre-school children following initiation of first line anti-retroviral therapy: Implications for follow up","type":"article-journal","volume":"11"},"uris":["http://www.mendeley.com/documents/?uuid=9026fed0-caaf-42c7-abcc-670554d68f9a"]},{"id":"ITEM-4","itemData":{"author":[{"dropping-particle":"","family":"Mchugh","given":"Grace","non-dropping-particle":"","parse-names":false,"suffix":""},{"dropping-particle":"","family":"Rylance","given":"Jamie","non-dropping-particle":"","parse-names":false,"suffix":""},{"dropping-particle":"","family":"Mujuru","given":"Hilda","non-dropping-particle":"","parse-names":false,"suffix":""},{"dropping-particle":"","family":"Paeds","given":"Mmed","non-dropping-particle":"","parse-names":false,"suffix":""},{"dropping-particle":"","family":"Epi","given":"Clin","non-dropping-particle":"","parse-names":false,"suffix":""},{"dropping-particle":"","family":"Bandason","given":"Tsitsi","non-dropping-particle":"","parse-names":false,"suffix":""},{"dropping-particle":"","family":"Epi","given":"Clin","non-dropping-particle":"","parse-names":false,"suffix":""},{"dropping-particle":"","family":"Simms","given":"Victoria","non-dropping-particle":"","parse-names":false,"suffix":""},{"dropping-particle":"","family":"Ferrand","given":"Rashida A","non-dropping-particle":"","parse-names":false,"suffix":""}],"container-title":"J Acquir Immune Defic Syndr","id":"ITEM-4","issue":"3","issued":{"date-parts":[["2016"]]},"page":"275-281","title":"Chronic Morbidity Among Older Children and Adolescents at Diagnosis of HIV Infection","type":"article-journal","volume":"73"},"uris":["http://www.mendeley.com/documents/?uuid=e03bfc30-e161-44c5-b575-db015fd32480"]},{"id":"ITEM-5","itemData":{"DOI":"10.1177/2325957414531621","ISSN":"23259582","PMID":"24752886","abstract":"Background: Children with HIV infection are often reported to be short. The aim of this study was to assess the prevalence ofHIV-associated short stature in HIV endemic setting.\nMethods: Data were obtained by retrospective review of the electronicmedical records. Patients were grouped into various clinical categories. For each category, the proportion of patients withheight-for-age Z score of less than -2 standard deviation [SD] and of less than -3 SD was determined.\nResults: Theprevalence of short stature (less than -2 SD) was 28.4%. Severe short stature (less than -3 SD) is more likely withpercentage of CD4 &lt;15% (odds ratio [OR]: 3.30, confidence interval [CI]: 1.51-7.09, P = .002) and with males (OR: 1.49, CI:1.19-1.87, P = .001). Severe short stature is more likely with viral load &gt;400 copies/mL (OR 2.64, CI 1.27-5.38, P = .008) andpoor adherence (&lt;95%; OR 1.72, CI 1.03-2.05, P = .037).\nConclusion: In Botswana, short stature affects a quarter ofHIV-infected children and severe short stature is associated with poor adherence to antiretroviral treatment, severe immunosuppression,and virologic failure.","author":[{"dropping-particle":"","family":"Joel","given":"Dipesalema R.","non-dropping-particle":"","parse-names":false,"suffix":""},{"dropping-particle":"","family":"Mabikwa","given":"Vincent","non-dropping-particle":"","parse-names":false,"suffix":""},{"dropping-particle":"","family":"Makhanda","given":"Jerry","non-dropping-particle":"","parse-names":false,"suffix":""},{"dropping-particle":"","family":"Tolle","given":"Michael A.","non-dropping-particle":"","parse-names":false,"suffix":""},{"dropping-particle":"","family":"Anabwani","given":"Gabriel M.","non-dropping-particle":"","parse-names":false,"suffix":""},{"dropping-particle":"","family":"Ahmed","given":"Syed Faisal","non-dropping-particle":"","parse-names":false,"suffix":""}],"container-title":"Journal of the International Association of Providers of AIDS Care","id":"ITEM-5","issue":"6","issued":{"date-parts":[["2014"]]},"page":"529-533","title":"The prevalence and determinants of short stature in HIV-infected children","type":"article-journal","volume":"13"},"uris":["http://www.mendeley.com/documents/?uuid=3837363c-8f17-4659-ae6b-61923a289bb6"]},{"id":"ITEM-6","itemData":{"DOI":"10.1093/tropej/fmt104","ISSN":"14653664","PMID":"24393831","abstract":"We assembled a prospective cohort of 3144 human immunodeficiency virus (HIV) infected children aged &lt;15 years initiating antiretroviral therapy (ART) in Dar es Salaam, Tanzania. The prospective relationships of baseline covariates with growth were examined using linear regression models. ART led to improvement in mean weight-for-age (WAZ), height/length-for-age (HAZ) and weight-for-length or body mass index (WLZ/BMIZ) scores. However, normal HAZ values were not attained over an average follow-up of 17.2 months. After 6 months of ART, underweight (P&lt;0.001), low CD4 count or percent (P&lt;0.001), stavudine containing regimens (P1/40.05) and advanced WHO disease stage (P&lt;0.001) at ART initiation were associated with better WAZ scores. Age &gt;5 years on the other hand was associated with less increase in WAZ score after 6 months of ART (P&lt;0.001). These findings suggest that although ART improved the growth of the HIV-infected children in Tanzania, adjunct nutritional interventions may be needed to ensure that the growth of these children is optimized to the greatest extent possible.© The Author [2014]. Published by Oxford University Press.","author":[{"dropping-particle":"","family":"Mwiru","given":"Ramadhani S.","non-dropping-particle":"","parse-names":false,"suffix":""},{"dropping-particle":"","family":"Spiegelman","given":"Donna","non-dropping-particle":"","parse-names":false,"suffix":""},{"dropping-particle":"","family":"Duggan","given":"Christopher","non-dropping-particle":"","parse-names":false,"suffix":""},{"dropping-particle":"","family":"Seage","given":"George R.","non-dropping-particle":"","parse-names":false,"suffix":""},{"dropping-particle":"","family":"Semu","given":"Helen","non-dropping-particle":"","parse-names":false,"suffix":""},{"dropping-particle":"","family":"Chalamilla","given":"Guerino","non-dropping-particle":"","parse-names":false,"suffix":""},{"dropping-particle":"","family":"Kisenge","given":"Rodrick","non-dropping-particle":"","parse-names":false,"suffix":""},{"dropping-particle":"","family":"Fawzi W.","given":"Wafaie W.","non-dropping-particle":"","parse-names":false,"suffix":""}],"container-title":"Journal of Tropical Pediatrics","id":"ITEM-6","issue":"3","issued":{"date-parts":[["2014"]]},"page":"179-188","title":"Growth among HIV-infected children receiving antiretroviral therapy in Dar es Salaam, Tanzania","type":"article-journal","volume":"60"},"uris":["http://www.mendeley.com/documents/?uuid=ba08c5c4-aa19-460c-acfa-04f65298ce02"]},{"id":"ITEM-7","itemData":{"DOI":"10.3945/jn.111.148874.clinical","author":[{"dropping-particle":"","family":"Mcgrath","given":"Christine J","non-dropping-particle":"","parse-names":false,"suffix":""},{"dropping-particle":"","family":"Nduati","given":"Ruth","non-dropping-particle":"","parse-names":false,"suffix":""},{"dropping-particle":"","family":"Richardson","given":"Barbra A","non-dropping-particle":"","parse-names":false,"suffix":""},{"dropping-particle":"","family":"Kristal","given":"Alan R","non-dropping-particle":"","parse-names":false,"suffix":""},{"dropping-particle":"","family":"Mbori-ngacha","given":"Dorothy","non-dropping-particle":"","parse-names":false,"suffix":""},{"dropping-particle":"","family":"Farquhar","given":"Carey","non-dropping-particle":"","parse-names":false,"suffix":""},{"dropping-particle":"","family":"John-stewart","given":"Grace C","non-dropping-particle":"","parse-names":false,"suffix":""}],"id":"ITEM-7","issued":{"date-parts":[["2012"]]},"title":"The Prevalence of Stunting Is High in HIV-1 – Exposed Uninfected Infants in Kenya 1 – 3","type":"article-journal"},"uris":["http://www.mendeley.com/documents/?uuid=c0c8081e-6b61-4c8a-aba7-fc88a2572d2b","http://www.mendeley.com/documents/?uuid=b94e9a1b-7be0-4bf2-93fd-ba4a0e2b0c12"]},{"id":"ITEM-8","itemData":{"DOI":"10.1186/1471-2334-11-54","ISSN":"14712334","PMID":"21362177","abstract":"Background: Deficits in growth observed in HIV-infected children in resource-poor settings can be reversed with antiretroviral treatment (ART). However, many of the studies have been conducted in urban areas with older pediatric populations. This study was undertaken to evaluate growth patterns after ART initiation in a young pediatric population in rural Zambia with a high prevalence of undernutrition.Methods: Between 2007 and 2009, 193 HIV-infected children were enrolled in a cohort study in Macha, Zambia. Children were evaluated every 3 months, at which time a questionnaire was administered, height and weight were measured, and blood specimens were collected. Weight- and height-for-age z-scores were constructed from WHO growth standards. All children receiving ART at enrollment or initiating ART during the study were included in this analysis. Linear mixed effects models were used to model trajectories of weight and height-for-age z-scores.Results: A high proportion of study children were underweight (59%) and stunted (72%) at treatment initiation. Improvements in both weight- and height-for-age z-scores were observed, with weight-for-age z-scores increasing during the first 6 months of treatment and then stabilizing, and height-for-age z-scores increasing consistently over time. Trajectories of weight-for-age z-scores differed by underweight status at treatment initiation, with children who were underweight experiencing greater increases in z-scores in the first 6 months of treatment. Trajectories of height-for-age z-scores differed by age, with children older than 5 years of age experiencing smaller increases over time.Conclusions: Some of the effects of HIV on growth were reversed with ART initiation, although a high proportion of children remained underweight and stunted after two years of treatment. Partnerships between treatment and nutrition programs should be explored so that HIV-infected children can receive optimal nutritional support. © 2011 Sutcliffe et al; licensee BioMed Central Ltd.","author":[{"dropping-particle":"","family":"Sutcliffe","given":"Catherine G.","non-dropping-particle":"","parse-names":false,"suffix":""},{"dropping-particle":"","family":"Dijk","given":"Janneke H.","non-dropping-particle":"van","parse-names":false,"suffix":""},{"dropping-particle":"","family":"Munsanje","given":"Bornface","non-dropping-particle":"","parse-names":false,"suffix":""},{"dropping-particle":"","family":"Hamangaba","given":"Francis","non-dropping-particle":"","parse-names":false,"suffix":""},{"dropping-particle":"","family":"Sinywimaanzi","given":"Pamela","non-dropping-particle":"","parse-names":false,"suffix":""},{"dropping-particle":"","family":"Thuma","given":"Philip E.","non-dropping-particle":"","parse-names":false,"suffix":""},{"dropping-particle":"","family":"Moss","given":"William J.","non-dropping-particle":"","parse-names":false,"suffix":""}],"container-title":"BMC Infectious Diseases","id":"ITEM-8","issue":"1","issued":{"date-parts":[["2011"]]},"page":"54","publisher":"BioMed Central Ltd","title":"Weight and height z-scores improve after initiating ART among HIV-infected children in rural Zambia: A cohort study","type":"article-journal","volume":"11"},"uris":["http://www.mendeley.com/documents/?uuid=ecc912d9-1dc8-4978-abfe-634f9eb5caa4"]}],"mendeley":{"formattedCitation":"(12,29–35)","plainTextFormattedCitation":"(12,29–35)","previouslyFormattedCitation":"(12,28–34)"},"properties":{"noteIndex":0},"schema":"https://github.com/citation-style-language/schema/raw/master/csl-citation.json"}</w:instrText>
      </w:r>
      <w:r w:rsidR="004E28FE" w:rsidRPr="00813425">
        <w:rPr>
          <w:rFonts w:ascii="Times New Roman" w:hAnsi="Times New Roman" w:cs="Times New Roman"/>
          <w:sz w:val="24"/>
          <w:szCs w:val="24"/>
          <w:lang w:val="en-US"/>
        </w:rPr>
        <w:fldChar w:fldCharType="separate"/>
      </w:r>
      <w:r w:rsidR="004E28FE" w:rsidRPr="00813425">
        <w:rPr>
          <w:rFonts w:ascii="Times New Roman" w:hAnsi="Times New Roman" w:cs="Times New Roman"/>
          <w:noProof/>
          <w:sz w:val="24"/>
          <w:szCs w:val="24"/>
          <w:lang w:val="en-US"/>
        </w:rPr>
        <w:t>(12,29–35)</w:t>
      </w:r>
      <w:r w:rsidR="004E28FE" w:rsidRPr="00813425">
        <w:rPr>
          <w:rFonts w:ascii="Times New Roman" w:hAnsi="Times New Roman" w:cs="Times New Roman"/>
          <w:sz w:val="24"/>
          <w:szCs w:val="24"/>
          <w:lang w:val="en-US"/>
        </w:rPr>
        <w:fldChar w:fldCharType="end"/>
      </w:r>
      <w:r w:rsidR="004E28FE" w:rsidRPr="00813425">
        <w:rPr>
          <w:rFonts w:ascii="Times New Roman" w:hAnsi="Times New Roman" w:cs="Times New Roman"/>
          <w:sz w:val="24"/>
          <w:szCs w:val="24"/>
          <w:lang w:val="en-US"/>
        </w:rPr>
        <w:t xml:space="preserve">. In Zimbabwe CWH have higher odds of stunting; eight times greater in those who have acquired HIV in utero, and four times greater in those who have acquired HIV around the time of birth </w:t>
      </w:r>
      <w:r w:rsidR="004E28FE" w:rsidRPr="00813425">
        <w:rPr>
          <w:rFonts w:ascii="Times New Roman" w:hAnsi="Times New Roman" w:cs="Times New Roman"/>
          <w:sz w:val="24"/>
          <w:szCs w:val="24"/>
          <w:lang w:val="en-US"/>
        </w:rPr>
        <w:fldChar w:fldCharType="begin" w:fldLock="1"/>
      </w:r>
      <w:r w:rsidR="004E28FE" w:rsidRPr="00813425">
        <w:rPr>
          <w:rFonts w:ascii="Times New Roman" w:hAnsi="Times New Roman" w:cs="Times New Roman"/>
          <w:sz w:val="24"/>
          <w:szCs w:val="24"/>
          <w:lang w:val="en-US"/>
        </w:rPr>
        <w:instrText>ADDIN CSL_CITATION {"citationItems":[{"id":"ITEM-1","itemData":{"DOI":"10.1097/INF.0000000000001574","ISBN":"0000000000","ISSN":"15320987","PMID":"28198792","abstract":"Background: Growth failure is common among HIV-infected infants, but there are limited data on the effects of HIV exposure or timing of HIV acquisition on growth. Methods: Fourteen thousand one hundred ten infants were enrolled in the Zimbabwe Vitamin A for Mothers and Babies trial in Zimbabwe before the availability of antiretroviral therapy or co-trimoxazole. Anthropometric measurements were taken from birth through 12-24 months of age. Growth outcomes were compared between 5 groups of children: HIV-infected in utero (IU), intrapartum (IP) or postnatally (PN); HIV-exposed uninfected (HEU); and HIV unexposed. Results: Growth failure was common across all groups of children. Compared with HIV-unexposed children, IU-, IP- and PN-infected children had significantly lower length-for-age and weight-for-length Z scores throughout the first 2 years of life. At 12 months, odds ratios for stunting were higher in IU [6.25, 95% confidence interval (CI): 4.20-9.31] and IP infants (4.76, 95% CI: 3.58-6.33) than in PN infants (1.70, 95% CI: 1.16-2.47). Compared with HIV-unexposed infants, HEU infants at 12 months had odds ratios for stunting of 1.23 (95% CI: 1.08-1.39) and wasting of 1.56 (95% CI: 1.22-2.00). Conclusions: HIV-infected infants had very high rates of growth failure during the first 2 years of life, particularly if IU or IP infected, highlighting the importance of early infant diagnosis and antiretroviral therapy. HEU infants had poorer growth than HIV-unexposed infants in the first 12 months of life.","author":[{"dropping-particle":"","family":"Omoni","given":"Adetayo O.","non-dropping-particle":"","parse-names":false,"suffix":""},{"dropping-particle":"","family":"Ntozini","given":"Robert","non-dropping-particle":"","parse-names":false,"suffix":""},{"dropping-particle":"","family":"Evans","given":"Ceri","non-dropping-particle":"","parse-names":false,"suffix":""},{"dropping-particle":"","family":"Prendergast","given":"Andrew J.","non-dropping-particle":"","parse-names":false,"suffix":""},{"dropping-particle":"","family":"Moulton","given":"Lawrence H.","non-dropping-particle":"","parse-names":false,"suffix":""},{"dropping-particle":"","family":"Christian","given":"Parul S.","non-dropping-particle":"","parse-names":false,"suffix":""},{"dropping-particle":"","family":"Humphrey","given":"Jean H.","non-dropping-particle":"","parse-names":false,"suffix":""}],"container-title":"Pediatric Infectious Disease Journal","id":"ITEM-1","issue":"9","issued":{"date-parts":[["2017"]]},"page":"869-876","title":"Child Growth According to Maternal and Child HIV Status in Zimbabwe","type":"article-journal","volume":"36"},"uris":["http://www.mendeley.com/documents/?uuid=1ea07a7b-b695-4da0-b09a-121d7e0d3c67"]}],"mendeley":{"formattedCitation":"(36)","plainTextFormattedCitation":"(36)","previouslyFormattedCitation":"(35)"},"properties":{"noteIndex":0},"schema":"https://github.com/citation-style-language/schema/raw/master/csl-citation.json"}</w:instrText>
      </w:r>
      <w:r w:rsidR="004E28FE" w:rsidRPr="00813425">
        <w:rPr>
          <w:rFonts w:ascii="Times New Roman" w:hAnsi="Times New Roman" w:cs="Times New Roman"/>
          <w:sz w:val="24"/>
          <w:szCs w:val="24"/>
          <w:lang w:val="en-US"/>
        </w:rPr>
        <w:fldChar w:fldCharType="separate"/>
      </w:r>
      <w:r w:rsidR="004E28FE" w:rsidRPr="00813425">
        <w:rPr>
          <w:rFonts w:ascii="Times New Roman" w:hAnsi="Times New Roman" w:cs="Times New Roman"/>
          <w:noProof/>
          <w:sz w:val="24"/>
          <w:szCs w:val="24"/>
          <w:lang w:val="en-US"/>
        </w:rPr>
        <w:t>(36)</w:t>
      </w:r>
      <w:r w:rsidR="004E28FE" w:rsidRPr="00813425">
        <w:rPr>
          <w:rFonts w:ascii="Times New Roman" w:hAnsi="Times New Roman" w:cs="Times New Roman"/>
          <w:sz w:val="24"/>
          <w:szCs w:val="24"/>
          <w:lang w:val="en-US"/>
        </w:rPr>
        <w:fldChar w:fldCharType="end"/>
      </w:r>
      <w:r w:rsidR="004E28FE" w:rsidRPr="00813425">
        <w:rPr>
          <w:rFonts w:ascii="Times New Roman" w:hAnsi="Times New Roman" w:cs="Times New Roman"/>
          <w:sz w:val="24"/>
          <w:szCs w:val="24"/>
          <w:lang w:val="en-US"/>
        </w:rPr>
        <w:t xml:space="preserve">. Improvements in growth have been reported in CWH who have an early HIV diagnosis and less severe HIV symptoms or who start ART early </w:t>
      </w:r>
      <w:r w:rsidR="004E28FE" w:rsidRPr="00813425">
        <w:rPr>
          <w:rFonts w:ascii="Times New Roman" w:hAnsi="Times New Roman" w:cs="Times New Roman"/>
          <w:sz w:val="24"/>
          <w:szCs w:val="24"/>
          <w:lang w:val="en-US"/>
        </w:rPr>
        <w:fldChar w:fldCharType="begin" w:fldLock="1"/>
      </w:r>
      <w:r w:rsidR="004E28FE" w:rsidRPr="00813425">
        <w:rPr>
          <w:rFonts w:ascii="Times New Roman" w:hAnsi="Times New Roman" w:cs="Times New Roman"/>
          <w:sz w:val="24"/>
          <w:szCs w:val="24"/>
          <w:lang w:val="en-US"/>
        </w:rPr>
        <w:instrText>ADDIN CSL_CITATION {"citationItems":[{"id":"ITEM-1","itemData":{"DOI":"10.1016/j.nut.2015.12.035","ISSN":"18731244","PMID":"26875999","abstract":"Objective: HIV/AIDS and malnutrition combine to undermine the immunity of individuals and are inextricably interrelated. Although the effect of highly active antiretroviral therapy (HAART) on growth in HIV-infected children is well known, the influence of prior nutritional and immunologic status on the response to HAART is not well documented. The aim of the present study was to determine the effects of HAART on nutritional and immunological status in HIV-infected children in the low-income country of Ethiopia. Methods: A multicenter, retrospective cohort study was conducted on HIV-infected children receiving antiretroviral therapy at the pediatric units of public hospitals in Addis Ababa (Black Lion, Zewditu, Yekatit 12 and ALERT hospitals), Ethiopia. Nutritional status was defined as stunting (height-for-age Z score [HAZ] &lt;-2), wasting (weight-for-height Z score [WHZ] &lt;-2), and underweight (weight-for-age Z score [WAZ] &lt;-2). Multivariable logistic regression was used to analyze factors associated with treatment success and to establish whether growth (baseline nutritional status) in children predicts immunologic outcomes. In all, 556 HIV-infected children receiving HAART from January 2008 to December 2009 were included in this study. Results: Over the 24-mo follow-up period, the study showed that the immunologic recovery of stunted and underweight children, regardless of their baseline nutritional status, responded equally to treatment. However, wasted children showed less immunologic recovery at the different follow-up visits. Predictors of positive shift in WHZ after 24 mo of follow-up were advanced disease stage (World Health Organization clinical stages 3 and 4) with odds ratio (OR), 0.25 (95% confidence interval [CI], 0.34-0.99; P = 0.045) and baseline severe underweight OR, 0.19 (95% CI, 0.09-0.56; P = 0.003). The independent predictors of positive shift of growth shift in WAZ over 24 mo were lower baseline age (&lt;36 mo) with OR, 0.21 (95% CI, 0.04-0.90; P = 0.036) and baseline moderate underweight itself with OR, 0.11 (95% CI, 0.05-0.25; P = 0.0001) were predictors of positive shift (shift to normal). Conclusion: Despite the apparent growth response in HIV-infected children after initiation of HAART, moderate and severe underweight are both independent predictors of a positive shift. The latter suggests that children on HAART require nutritional supplementation, especially during the early initiation of HAART.","author":[{"dropping-particle":"","family":"Ebissa","given":"Getachew","non-dropping-particle":"","parse-names":false,"suffix":""},{"dropping-particle":"","family":"Deyessa","given":"Negusse","non-dropping-particle":"","parse-names":false,"suffix":""},{"dropping-particle":"","family":"Biadgilign","given":"Sibhatu","non-dropping-particle":"","parse-names":false,"suffix":""}],"container-title":"Nutrition","id":"ITEM-1","issue":"6","issued":{"date-parts":[["2016"]]},"page":"667-673","publisher":"Elsevier Inc.","title":"Impact of highly active antiretroviral therapy on nutritional and immunologic status in HIV-infected children in the low-income country of Ethiopia","type":"article-journal","volume":"32"},"uris":["http://www.mendeley.com/documents/?uuid=07b05d88-5617-4ba8-9504-eea8f28e258b"]}],"mendeley":{"formattedCitation":"(37)","plainTextFormattedCitation":"(37)","previouslyFormattedCitation":"(36)"},"properties":{"noteIndex":0},"schema":"https://github.com/citation-style-language/schema/raw/master/csl-citation.json"}</w:instrText>
      </w:r>
      <w:r w:rsidR="004E28FE" w:rsidRPr="00813425">
        <w:rPr>
          <w:rFonts w:ascii="Times New Roman" w:hAnsi="Times New Roman" w:cs="Times New Roman"/>
          <w:sz w:val="24"/>
          <w:szCs w:val="24"/>
          <w:lang w:val="en-US"/>
        </w:rPr>
        <w:fldChar w:fldCharType="separate"/>
      </w:r>
      <w:r w:rsidR="004E28FE" w:rsidRPr="00813425">
        <w:rPr>
          <w:rFonts w:ascii="Times New Roman" w:hAnsi="Times New Roman" w:cs="Times New Roman"/>
          <w:noProof/>
          <w:sz w:val="24"/>
          <w:szCs w:val="24"/>
          <w:lang w:val="en-US"/>
        </w:rPr>
        <w:t>(37)</w:t>
      </w:r>
      <w:r w:rsidR="004E28FE" w:rsidRPr="00813425">
        <w:rPr>
          <w:rFonts w:ascii="Times New Roman" w:hAnsi="Times New Roman" w:cs="Times New Roman"/>
          <w:sz w:val="24"/>
          <w:szCs w:val="24"/>
          <w:lang w:val="en-US"/>
        </w:rPr>
        <w:fldChar w:fldCharType="end"/>
      </w:r>
      <w:r w:rsidR="004E28FE" w:rsidRPr="00813425">
        <w:rPr>
          <w:rFonts w:ascii="Times New Roman" w:hAnsi="Times New Roman" w:cs="Times New Roman"/>
          <w:sz w:val="24"/>
          <w:szCs w:val="24"/>
          <w:lang w:val="en-US"/>
        </w:rPr>
        <w:t xml:space="preserve">. However, in Africa, CWH start ART later in life than other parts of the world, often when the disease is already in a more advanced stage, potentially affecting growth </w:t>
      </w:r>
      <w:r w:rsidR="004E28FE" w:rsidRPr="00813425">
        <w:rPr>
          <w:rFonts w:ascii="Times New Roman" w:hAnsi="Times New Roman" w:cs="Times New Roman"/>
          <w:sz w:val="24"/>
          <w:szCs w:val="24"/>
          <w:lang w:val="en-US"/>
        </w:rPr>
        <w:fldChar w:fldCharType="begin" w:fldLock="1"/>
      </w:r>
      <w:r w:rsidR="004E28FE" w:rsidRPr="00813425">
        <w:rPr>
          <w:rFonts w:ascii="Times New Roman" w:hAnsi="Times New Roman" w:cs="Times New Roman"/>
          <w:sz w:val="24"/>
          <w:szCs w:val="24"/>
          <w:lang w:val="en-US"/>
        </w:rPr>
        <w:instrText>ADDIN CSL_CITATION {"citationItems":[{"id":"ITEM-1","itemData":{"DOI":"10.1097/INF.0000000000001454","ISSN":"15320987","PMID":"28187062","abstract":"Objectives: To describe prevalence and risk factors for wasting and stunting among HIV-infected children with a median duration of 3 years of antiretroviral therapy (ART) at the time of their enrollment in the cohort study. Methods: Wasting and stunting at ART initiation and enrollment were defined as weight-for-height/body mass index-for-age Z scores &lt; -2 and height-for-age Z scores &lt; -2, respectively. Logistic regression was used to assess risk factors for wasting and stunting. Main predictive factors were age at enrollment, nutritional status and age (&lt; or ≥5 years) at ART initiation and ART duration (&lt; or ≥3 years on first-line, or ≥3 years including a switch to second-line ART). Results: Two hundred forty-four children 2-16 years of age were enrolled. Overall, wasting and stunting prevalence dropped off consistently in children 2-10 years of age, between ART initiation and enrollment, while it remained at high levels, 52% and 42%, respectively, in children 10-16 years of age. Risk factors for wasting at enrollment were ART duration of ≥3 years including a switch to second-line [adjusted odds ratio (aOR): 3.9, 95% confidence interval (CI): 1.7-8.9] and wasting at ART initiation (aOR: 2.7, 95% CI: 1.4-5.2). The risk factor for stunting at enrollment was stunting at ART initiation (aOR: 11.6, 95% CI: 5.4-25.0), independent of ART duration. Conclusions: Malnutrition at the time of ART initiation was the main predictor of malnutrition at enrollment among HIV-infected children on ART. Longer duration on ART had no overall protective effect on wasting and stunting. Growth and virologic monitoring are of utmost importance in the comprehensive care of children with HIV infection.","author":[{"dropping-particle":"","family":"Cames","given":"Cecile","non-dropping-particle":"","parse-names":false,"suffix":""},{"dropping-particle":"","family":"Pascal","given":"Lea","non-dropping-particle":"","parse-names":false,"suffix":""},{"dropping-particle":"","family":"Diack","given":"Aminata","non-dropping-particle":"","parse-names":false,"suffix":""},{"dropping-particle":"","family":"Mbodj","given":"Helene","non-dropping-particle":"","parse-names":false,"suffix":""},{"dropping-particle":"","family":"Ouattara","given":"Baly","non-dropping-particle":"","parse-names":false,"suffix":""},{"dropping-particle":"","family":"Diagne","given":"Ndeye Rama","non-dropping-particle":"","parse-names":false,"suffix":""},{"dropping-particle":"","family":"Diallo","given":"Ndeye Fatou","non-dropping-particle":"","parse-names":false,"suffix":""},{"dropping-particle":"","family":"Msellati","given":"Philippe","non-dropping-particle":"","parse-names":false,"suffix":""},{"dropping-particle":"","family":"Mbaye","given":"Ngagne","non-dropping-particle":"","parse-names":false,"suffix":""},{"dropping-particle":"","family":"Sy Signate","given":"Haby","non-dropping-particle":"","parse-names":false,"suffix":""},{"dropping-particle":"","family":"Ba","given":"Aissata","non-dropping-particle":"","parse-names":false,"suffix":""},{"dropping-particle":"","family":"Dia","given":"Aicha","non-dropping-particle":"","parse-names":false,"suffix":""},{"dropping-particle":"","family":"Have","given":"Ndeye Ngone","non-dropping-particle":"","parse-names":false,"suffix":""},{"dropping-particle":"","family":"Dieye","given":"Astou","non-dropping-particle":"","parse-names":false,"suffix":""},{"dropping-particle":"","family":"Faye","given":"Henriette","non-dropping-particle":"","parse-names":false,"suffix":""},{"dropping-particle":"","family":"Fall","given":"Oumy","non-dropping-particle":"","parse-names":false,"suffix":""},{"dropping-particle":"","family":"Sonko","given":"Rosine","non-dropping-particle":"","parse-names":false,"suffix":""},{"dropping-particle":"","family":"Laschina","given":"Natalia","non-dropping-particle":"","parse-names":false,"suffix":""},{"dropping-particle":"","family":"Diouf","given":"Maty","non-dropping-particle":"","parse-names":false,"suffix":""},{"dropping-particle":"","family":"Niang","given":"Abdou Kader","non-dropping-particle":"","parse-names":false,"suffix":""},{"dropping-particle":"","family":"Diom","given":"Alhadji Bassine","non-dropping-particle":"","parse-names":false,"suffix":""},{"dropping-particle":"","family":"Ndour","given":"Adama","non-dropping-particle":"","parse-names":false,"suffix":""},{"dropping-particle":"","family":"Badiane","given":"Bigue","non-dropping-particle":"","parse-names":false,"suffix":""}],"container-title":"Pediatric Infectious Disease Journal","id":"ITEM-1","issue":"4","issued":{"date-parts":[["2017"]]},"page":"e87-e92","title":"Risk Factors for Growth Retardation in HIV-infected Senegalese Children on Antiretroviral Treatment: The ANRS 12279 MAGGSEN Pediatric Cohort Study","type":"article-journal","volume":"36"},"uris":["http://www.mendeley.com/documents/?uuid=365e8049-63af-4449-9fea-d19f25e587da"]}],"mendeley":{"formattedCitation":"(38)","plainTextFormattedCitation":"(38)","previouslyFormattedCitation":"(37)"},"properties":{"noteIndex":0},"schema":"https://github.com/citation-style-language/schema/raw/master/csl-citation.json"}</w:instrText>
      </w:r>
      <w:r w:rsidR="004E28FE" w:rsidRPr="00813425">
        <w:rPr>
          <w:rFonts w:ascii="Times New Roman" w:hAnsi="Times New Roman" w:cs="Times New Roman"/>
          <w:sz w:val="24"/>
          <w:szCs w:val="24"/>
          <w:lang w:val="en-US"/>
        </w:rPr>
        <w:fldChar w:fldCharType="separate"/>
      </w:r>
      <w:r w:rsidR="004E28FE" w:rsidRPr="00813425">
        <w:rPr>
          <w:rFonts w:ascii="Times New Roman" w:hAnsi="Times New Roman" w:cs="Times New Roman"/>
          <w:noProof/>
          <w:sz w:val="24"/>
          <w:szCs w:val="24"/>
          <w:lang w:val="en-US"/>
        </w:rPr>
        <w:t>(38)</w:t>
      </w:r>
      <w:r w:rsidR="004E28FE" w:rsidRPr="00813425">
        <w:rPr>
          <w:rFonts w:ascii="Times New Roman" w:hAnsi="Times New Roman" w:cs="Times New Roman"/>
          <w:sz w:val="24"/>
          <w:szCs w:val="24"/>
          <w:lang w:val="en-US"/>
        </w:rPr>
        <w:fldChar w:fldCharType="end"/>
      </w:r>
      <w:r w:rsidR="004E28FE" w:rsidRPr="00813425">
        <w:rPr>
          <w:rFonts w:ascii="Times New Roman" w:hAnsi="Times New Roman" w:cs="Times New Roman"/>
          <w:sz w:val="24"/>
          <w:szCs w:val="24"/>
          <w:lang w:val="en-US"/>
        </w:rPr>
        <w:t xml:space="preserve">. </w:t>
      </w:r>
    </w:p>
    <w:p w14:paraId="6364DCCC" w14:textId="77777777" w:rsidR="00C95A78" w:rsidRPr="00813425" w:rsidRDefault="00C95A78" w:rsidP="00C95A78">
      <w:pPr>
        <w:spacing w:after="0" w:line="480" w:lineRule="auto"/>
        <w:rPr>
          <w:rFonts w:ascii="Times New Roman" w:eastAsia="Times New Roman" w:hAnsi="Times New Roman" w:cs="Times New Roman"/>
          <w:color w:val="000000"/>
          <w:sz w:val="24"/>
          <w:szCs w:val="24"/>
          <w:lang w:val="en-US" w:eastAsia="en-GB"/>
        </w:rPr>
      </w:pPr>
    </w:p>
    <w:p w14:paraId="6364DCCD" w14:textId="77777777" w:rsidR="00C95A78" w:rsidRPr="00813425" w:rsidRDefault="00C95A78" w:rsidP="00C95A78">
      <w:pPr>
        <w:spacing w:after="0" w:line="480" w:lineRule="auto"/>
        <w:rPr>
          <w:rFonts w:ascii="Times New Roman" w:eastAsia="Times New Roman" w:hAnsi="Times New Roman" w:cs="Times New Roman"/>
          <w:color w:val="000000"/>
          <w:sz w:val="24"/>
          <w:szCs w:val="24"/>
          <w:lang w:val="en-US" w:eastAsia="en-GB"/>
        </w:rPr>
      </w:pPr>
      <w:r w:rsidRPr="00813425">
        <w:rPr>
          <w:rFonts w:ascii="Times New Roman" w:eastAsia="Times New Roman" w:hAnsi="Times New Roman" w:cs="Times New Roman"/>
          <w:color w:val="000000"/>
          <w:sz w:val="24"/>
          <w:szCs w:val="24"/>
          <w:lang w:val="en-US" w:eastAsia="en-GB"/>
        </w:rPr>
        <w:t xml:space="preserve">To date, only one other study conducted in Canada has assessed longitudinal changes in pQCT bone outcomes in 31 CWH, which reported no change in pQCT bone outcomes over 2 years; (38), probably because the study was underpowered. Our findings demonstrate lower bone outcomes in CWH than in CWOH at both baseline and follow up, despite evidence of </w:t>
      </w:r>
      <w:r w:rsidRPr="00813425">
        <w:rPr>
          <w:rFonts w:ascii="Times New Roman" w:eastAsia="Times New Roman" w:hAnsi="Times New Roman" w:cs="Times New Roman"/>
          <w:color w:val="000000"/>
          <w:sz w:val="24"/>
          <w:szCs w:val="24"/>
          <w:lang w:val="en-US" w:eastAsia="en-GB"/>
        </w:rPr>
        <w:lastRenderedPageBreak/>
        <w:t xml:space="preserve">some catch up growth as CWH transition through puberty. Bone formation occurs at a faster rate before the age of 4 years, and during puberty than in any other time of one’s life. Our cohort were enrolled into the study at minimum age of 8 years. It is unclear whether or not the lower bone density size, and strength we observed in CWH is a result of factors influencing bone in the early years of life and whether or not CWH will eventually catchup to their uninfected counterparts. </w:t>
      </w:r>
    </w:p>
    <w:p w14:paraId="6364DCCE" w14:textId="77777777" w:rsidR="00C95A78" w:rsidRPr="00813425" w:rsidRDefault="00C95A78" w:rsidP="00C95A78">
      <w:pPr>
        <w:spacing w:after="0" w:line="480" w:lineRule="auto"/>
        <w:rPr>
          <w:rFonts w:ascii="Times New Roman" w:eastAsia="Times New Roman" w:hAnsi="Times New Roman" w:cs="Times New Roman"/>
          <w:color w:val="000000"/>
          <w:sz w:val="24"/>
          <w:szCs w:val="24"/>
          <w:lang w:val="en-US" w:eastAsia="en-GB"/>
        </w:rPr>
      </w:pPr>
    </w:p>
    <w:p w14:paraId="6364DCCF" w14:textId="72CA9C41" w:rsidR="00C95A78" w:rsidRPr="00813425" w:rsidRDefault="00C95A78" w:rsidP="00C95A78">
      <w:pPr>
        <w:spacing w:after="0" w:line="480" w:lineRule="auto"/>
        <w:rPr>
          <w:rFonts w:ascii="Times New Roman" w:eastAsia="Times New Roman" w:hAnsi="Times New Roman" w:cs="Times New Roman"/>
          <w:color w:val="000000"/>
          <w:sz w:val="24"/>
          <w:szCs w:val="24"/>
          <w:lang w:val="en-US" w:eastAsia="en-GB"/>
        </w:rPr>
      </w:pPr>
      <w:r w:rsidRPr="00813425">
        <w:rPr>
          <w:rFonts w:ascii="Times New Roman" w:eastAsia="Times New Roman" w:hAnsi="Times New Roman" w:cs="Times New Roman"/>
          <w:color w:val="000000"/>
          <w:sz w:val="24"/>
          <w:szCs w:val="24"/>
          <w:lang w:val="en-US" w:eastAsia="en-GB"/>
        </w:rPr>
        <w:t xml:space="preserve">Combining our results, we hypothesise that the trajectory of skeletal growth for CWH has been preset at a lower trajectory than in CWOH before the age of 8 years possibly even before the initiation of antiretroviral therapy by age 4 years, in the critical window of the first 1000 days of life. Figure 2 illustrates this hypothesis. As the children transition through puberty, it appears that the development of density and strength runs in parallel to CWOH meaning they are growing at the same rate but that the set point has been predetermined by something else earlier in life and by the end of our study’s follow up period, there are still deficits in all parameters of bone. There is evidence of catchup growth as puberty proceeds with bone area increasing to accommodate height growth. Whether or not, that is sufficient to enable CWH to get back on the trajectory they would have been had they not had HIV is unknown. It is also not known whether it is possible to reset that trajectory through interventions in the early life management of CWH. Moreover, when those children are reaching the end of puberty it is unclear whether children with HIV continue to accrue bone for a longer period of time to an older age than CWOH such that they do achieve the peak bone mass at a later stage. Studies are needed to examine the pattern of growth in later adolescence and timing of the acquisition of peak bone mass in CWH to assess whether deficits </w:t>
      </w:r>
      <w:r w:rsidR="009F24F0" w:rsidRPr="00813425">
        <w:rPr>
          <w:rFonts w:ascii="Times New Roman" w:eastAsia="Times New Roman" w:hAnsi="Times New Roman" w:cs="Times New Roman"/>
          <w:color w:val="000000"/>
          <w:sz w:val="24"/>
          <w:szCs w:val="24"/>
          <w:lang w:val="en-US" w:eastAsia="en-GB"/>
        </w:rPr>
        <w:t xml:space="preserve">in bone and in height </w:t>
      </w:r>
      <w:r w:rsidRPr="00813425">
        <w:rPr>
          <w:rFonts w:ascii="Times New Roman" w:eastAsia="Times New Roman" w:hAnsi="Times New Roman" w:cs="Times New Roman"/>
          <w:color w:val="000000"/>
          <w:sz w:val="24"/>
          <w:szCs w:val="24"/>
          <w:lang w:val="en-US" w:eastAsia="en-GB"/>
        </w:rPr>
        <w:t>are likely to continue through adulthood and increase their risk of fracture.</w:t>
      </w:r>
    </w:p>
    <w:p w14:paraId="6364DCD0" w14:textId="77777777" w:rsidR="00C95A78" w:rsidRPr="00813425" w:rsidRDefault="00C95A78" w:rsidP="00C95A78">
      <w:pPr>
        <w:spacing w:after="0" w:line="480" w:lineRule="auto"/>
        <w:rPr>
          <w:rFonts w:ascii="Times New Roman" w:eastAsia="Times New Roman" w:hAnsi="Times New Roman" w:cs="Times New Roman"/>
          <w:color w:val="000000"/>
          <w:sz w:val="24"/>
          <w:szCs w:val="24"/>
          <w:lang w:val="en-US" w:eastAsia="en-GB"/>
        </w:rPr>
      </w:pPr>
    </w:p>
    <w:p w14:paraId="6364DCD1" w14:textId="77777777" w:rsidR="00C95A78" w:rsidRPr="00813425" w:rsidRDefault="00C95A78" w:rsidP="0082668C">
      <w:pPr>
        <w:rPr>
          <w:rFonts w:ascii="Times New Roman" w:hAnsi="Times New Roman" w:cs="Times New Roman"/>
          <w:b/>
          <w:sz w:val="24"/>
          <w:szCs w:val="24"/>
          <w:lang w:val="en-GB" w:eastAsia="en-GB"/>
        </w:rPr>
      </w:pPr>
      <w:bookmarkStart w:id="23" w:name="_Toc139513448"/>
      <w:r w:rsidRPr="00813425">
        <w:rPr>
          <w:rFonts w:ascii="Times New Roman" w:hAnsi="Times New Roman" w:cs="Times New Roman"/>
          <w:b/>
          <w:sz w:val="24"/>
          <w:szCs w:val="24"/>
          <w:lang w:val="en-GB" w:eastAsia="en-GB"/>
        </w:rPr>
        <w:t>Strengths and limitations</w:t>
      </w:r>
      <w:bookmarkEnd w:id="23"/>
    </w:p>
    <w:p w14:paraId="6364DCD3" w14:textId="33A39D47" w:rsidR="00C95A78" w:rsidRPr="00813425" w:rsidRDefault="00C95A78" w:rsidP="000935AD">
      <w:pPr>
        <w:spacing w:line="480" w:lineRule="auto"/>
        <w:rPr>
          <w:rFonts w:ascii="Times New Roman" w:eastAsia="Times New Roman" w:hAnsi="Times New Roman" w:cs="Times New Roman"/>
          <w:color w:val="000000"/>
          <w:sz w:val="24"/>
          <w:szCs w:val="24"/>
          <w:lang w:val="en-US" w:eastAsia="en-GB"/>
        </w:rPr>
      </w:pPr>
      <w:r w:rsidRPr="00813425">
        <w:rPr>
          <w:rFonts w:ascii="Times New Roman" w:eastAsia="Times New Roman" w:hAnsi="Times New Roman" w:cs="Times New Roman"/>
          <w:color w:val="000000"/>
          <w:sz w:val="24"/>
          <w:szCs w:val="24"/>
          <w:lang w:val="en-US" w:eastAsia="en-GB"/>
        </w:rPr>
        <w:t xml:space="preserve">The strengths of this study include the novel use of pQCT’s three-dimensional outcomes to evaluate bone measurements using a large sample. The inclusion of a comparison group of children without HIV, and longitudinal follow-up are also strengths. The participants are likely to be representative of children living in Harare due to our robust sampling methods. </w:t>
      </w:r>
      <w:r w:rsidR="00802505" w:rsidRPr="00813425">
        <w:rPr>
          <w:rFonts w:ascii="Times New Roman" w:eastAsia="Times New Roman" w:hAnsi="Times New Roman" w:cs="Times New Roman"/>
          <w:color w:val="000000"/>
          <w:sz w:val="24"/>
          <w:szCs w:val="24"/>
          <w:lang w:val="en-US" w:eastAsia="en-GB"/>
        </w:rPr>
        <w:t xml:space="preserve">The precision results reported in our study are comparable to the expected precision results for pQCT bone outcomes from other authors, suggesting our results are likely not due to scan errors and this is another strength of this study. </w:t>
      </w:r>
      <w:r w:rsidRPr="00813425">
        <w:rPr>
          <w:rFonts w:ascii="Times New Roman" w:eastAsia="Times New Roman" w:hAnsi="Times New Roman" w:cs="Times New Roman"/>
          <w:color w:val="000000"/>
          <w:sz w:val="24"/>
          <w:szCs w:val="24"/>
          <w:lang w:val="en-US" w:eastAsia="en-GB"/>
        </w:rPr>
        <w:t xml:space="preserve">The use of pQCT may also be considered a potential limitation, as this is not a technique used in clinical practice, which limits the ability to relate our findings to routine clinical practice. There are currently no normative pQCT reference data for children living in sub-Saharan Africa, so it is not possible to determine how our measurements relate to a population norm. </w:t>
      </w:r>
      <w:r w:rsidR="002776F5" w:rsidRPr="00813425">
        <w:rPr>
          <w:rFonts w:ascii="Times New Roman" w:eastAsia="Times New Roman" w:hAnsi="Times New Roman" w:cs="Times New Roman"/>
          <w:color w:val="000000"/>
          <w:sz w:val="24"/>
          <w:szCs w:val="24"/>
          <w:lang w:val="en-US" w:eastAsia="en-GB"/>
        </w:rPr>
        <w:t xml:space="preserve">There </w:t>
      </w:r>
      <w:proofErr w:type="gramStart"/>
      <w:r w:rsidR="00FD5386" w:rsidRPr="00813425">
        <w:rPr>
          <w:rFonts w:ascii="Times New Roman" w:eastAsia="Times New Roman" w:hAnsi="Times New Roman" w:cs="Times New Roman"/>
          <w:color w:val="000000"/>
          <w:sz w:val="24"/>
          <w:szCs w:val="24"/>
          <w:lang w:val="en-US" w:eastAsia="en-GB"/>
        </w:rPr>
        <w:t>are</w:t>
      </w:r>
      <w:proofErr w:type="gramEnd"/>
      <w:r w:rsidR="002776F5" w:rsidRPr="00813425">
        <w:rPr>
          <w:rFonts w:ascii="Times New Roman" w:eastAsia="Times New Roman" w:hAnsi="Times New Roman" w:cs="Times New Roman"/>
          <w:color w:val="000000"/>
          <w:sz w:val="24"/>
          <w:szCs w:val="24"/>
          <w:lang w:val="en-US" w:eastAsia="en-GB"/>
        </w:rPr>
        <w:t xml:space="preserve"> no validated reference growth database for children living in Zimbabwe or in sub Saharan Africa. </w:t>
      </w:r>
      <w:r w:rsidR="003B3981" w:rsidRPr="00813425">
        <w:rPr>
          <w:rFonts w:ascii="Times New Roman" w:eastAsia="Times New Roman" w:hAnsi="Times New Roman" w:cs="Times New Roman"/>
          <w:color w:val="000000"/>
          <w:sz w:val="24"/>
          <w:szCs w:val="24"/>
          <w:lang w:val="en-US" w:eastAsia="en-GB"/>
        </w:rPr>
        <w:t xml:space="preserve">In defining stunting, underweight and wasting in this study, the use of growth reference values from British children requires some caution in interpretation as changes in Z-scores may reflect changes relative to UK growth curves (for example timing of puberty), rather than changes in the children under study. This is a limitation of use of external references such as this and WHO standards (which </w:t>
      </w:r>
      <w:r w:rsidR="004951DA" w:rsidRPr="00813425">
        <w:rPr>
          <w:rFonts w:ascii="Times New Roman" w:eastAsia="Times New Roman" w:hAnsi="Times New Roman" w:cs="Times New Roman"/>
          <w:color w:val="000000"/>
          <w:sz w:val="24"/>
          <w:szCs w:val="24"/>
          <w:lang w:val="en-US" w:eastAsia="en-GB"/>
        </w:rPr>
        <w:t>we did not use because they do</w:t>
      </w:r>
      <w:r w:rsidR="003B3981" w:rsidRPr="00813425">
        <w:rPr>
          <w:rFonts w:ascii="Times New Roman" w:eastAsia="Times New Roman" w:hAnsi="Times New Roman" w:cs="Times New Roman"/>
          <w:color w:val="000000"/>
          <w:sz w:val="24"/>
          <w:szCs w:val="24"/>
          <w:lang w:val="en-US" w:eastAsia="en-GB"/>
        </w:rPr>
        <w:t xml:space="preserve"> not cover the age range of our study population for weight) and highlights the importance of collecting independ</w:t>
      </w:r>
      <w:r w:rsidR="00832053" w:rsidRPr="00813425">
        <w:rPr>
          <w:rFonts w:ascii="Times New Roman" w:eastAsia="Times New Roman" w:hAnsi="Times New Roman" w:cs="Times New Roman"/>
          <w:color w:val="000000"/>
          <w:sz w:val="24"/>
          <w:szCs w:val="24"/>
          <w:lang w:val="en-US" w:eastAsia="en-GB"/>
        </w:rPr>
        <w:t xml:space="preserve">ent country-specific references </w:t>
      </w:r>
      <w:r w:rsidR="00F97376" w:rsidRPr="00813425">
        <w:rPr>
          <w:rFonts w:ascii="Times New Roman" w:eastAsia="Times New Roman" w:hAnsi="Times New Roman" w:cs="Times New Roman"/>
          <w:color w:val="000000"/>
          <w:sz w:val="24"/>
          <w:szCs w:val="24"/>
          <w:lang w:val="en-US" w:eastAsia="en-GB"/>
        </w:rPr>
        <w:fldChar w:fldCharType="begin" w:fldLock="1"/>
      </w:r>
      <w:r w:rsidR="00F97376" w:rsidRPr="00813425">
        <w:rPr>
          <w:rFonts w:ascii="Times New Roman" w:eastAsia="Times New Roman" w:hAnsi="Times New Roman" w:cs="Times New Roman"/>
          <w:color w:val="000000"/>
          <w:sz w:val="24"/>
          <w:szCs w:val="24"/>
          <w:lang w:val="en-US" w:eastAsia="en-GB"/>
        </w:rPr>
        <w:instrText>ADDIN CSL_CITATION {"citationItems":[{"id":"ITEM-1","itemData":{"DOI":"10.3945/ajcn.113.066647","ISSN":"00029165","PMID":"23964056","author":[{"dropping-particle":"","family":"Prentice","given":"Andrew M.","non-dropping-particle":"","parse-names":false,"suffix":""},{"dropping-particle":"","family":"Ward","given":"Kate A.","non-dropping-particle":"","parse-names":false,"suffix":""},{"dropping-particle":"","family":"Goldberg","given":"Gail R.","non-dropping-particle":"","parse-names":false,"suffix":""},{"dropping-particle":"","family":"Jarjou","given":"Landing M.","non-dropping-particle":"","parse-names":false,"suffix":""},{"dropping-particle":"","family":"Moore","given":"Sophie E.","non-dropping-particle":"","parse-names":false,"suffix":""},{"dropping-particle":"","family":"Fulford","given":"Anthony J.","non-dropping-particle":"","parse-names":false,"suffix":""},{"dropping-particle":"","family":"Prentice","given":"Ann","non-dropping-particle":"","parse-names":false,"suffix":""}],"container-title":"American Journal of Clinical Nutrition","id":"ITEM-1","issued":{"date-parts":[["2013"]]},"page":"911-918","title":"Critical windows for nutritional interventions against stunting","type":"article-journal","volume":"97"},"uris":["http://www.mendeley.com/documents/?uuid=3c703b9e-2cbb-40ed-93b4-8a20d2d93f18"]}],"mendeley":{"formattedCitation":"(39)","plainTextFormattedCitation":"(39)"},"properties":{"noteIndex":0},"schema":"https://github.com/citation-style-language/schema/raw/master/csl-citation.json"}</w:instrText>
      </w:r>
      <w:r w:rsidR="00F97376" w:rsidRPr="00813425">
        <w:rPr>
          <w:rFonts w:ascii="Times New Roman" w:eastAsia="Times New Roman" w:hAnsi="Times New Roman" w:cs="Times New Roman"/>
          <w:color w:val="000000"/>
          <w:sz w:val="24"/>
          <w:szCs w:val="24"/>
          <w:lang w:val="en-US" w:eastAsia="en-GB"/>
        </w:rPr>
        <w:fldChar w:fldCharType="separate"/>
      </w:r>
      <w:r w:rsidR="00F97376" w:rsidRPr="00813425">
        <w:rPr>
          <w:rFonts w:ascii="Times New Roman" w:eastAsia="Times New Roman" w:hAnsi="Times New Roman" w:cs="Times New Roman"/>
          <w:noProof/>
          <w:color w:val="000000"/>
          <w:sz w:val="24"/>
          <w:szCs w:val="24"/>
          <w:lang w:val="en-US" w:eastAsia="en-GB"/>
        </w:rPr>
        <w:t>(39)</w:t>
      </w:r>
      <w:r w:rsidR="00F97376" w:rsidRPr="00813425">
        <w:rPr>
          <w:rFonts w:ascii="Times New Roman" w:eastAsia="Times New Roman" w:hAnsi="Times New Roman" w:cs="Times New Roman"/>
          <w:color w:val="000000"/>
          <w:sz w:val="24"/>
          <w:szCs w:val="24"/>
          <w:lang w:val="en-US" w:eastAsia="en-GB"/>
        </w:rPr>
        <w:fldChar w:fldCharType="end"/>
      </w:r>
      <w:r w:rsidR="00F97376" w:rsidRPr="00813425">
        <w:rPr>
          <w:rFonts w:ascii="Times New Roman" w:eastAsia="Times New Roman" w:hAnsi="Times New Roman" w:cs="Times New Roman"/>
          <w:color w:val="000000"/>
          <w:sz w:val="24"/>
          <w:szCs w:val="24"/>
          <w:lang w:val="en-US" w:eastAsia="en-GB"/>
        </w:rPr>
        <w:t>.</w:t>
      </w:r>
      <w:r w:rsidR="00832053" w:rsidRPr="00813425">
        <w:rPr>
          <w:rFonts w:ascii="Times New Roman" w:eastAsia="Times New Roman" w:hAnsi="Times New Roman" w:cs="Times New Roman"/>
          <w:b/>
          <w:i/>
          <w:color w:val="000000"/>
          <w:sz w:val="24"/>
          <w:szCs w:val="24"/>
          <w:lang w:val="en-US" w:eastAsia="en-GB"/>
        </w:rPr>
        <w:t xml:space="preserve"> </w:t>
      </w:r>
      <w:r w:rsidRPr="00813425">
        <w:rPr>
          <w:rFonts w:ascii="Times New Roman" w:eastAsia="Times New Roman" w:hAnsi="Times New Roman" w:cs="Times New Roman"/>
          <w:color w:val="000000"/>
          <w:sz w:val="24"/>
          <w:szCs w:val="24"/>
          <w:lang w:val="en-US" w:eastAsia="en-GB"/>
        </w:rPr>
        <w:t xml:space="preserve">Participants with missing data were excluded to allow structural equation modelling analysis, thereby limiting the number of participants and potentially reducing power in this study. Small numbers within Tanner stage categories limited our ability to test for interaction, as we needed to group participants in different pubertal stages based on numbers within each stage, rather than pubertal biological characteristics for each </w:t>
      </w:r>
      <w:r w:rsidRPr="00813425">
        <w:rPr>
          <w:rFonts w:ascii="Times New Roman" w:eastAsia="Times New Roman" w:hAnsi="Times New Roman" w:cs="Times New Roman"/>
          <w:color w:val="000000"/>
          <w:sz w:val="24"/>
          <w:szCs w:val="24"/>
          <w:lang w:val="en-US" w:eastAsia="en-GB"/>
        </w:rPr>
        <w:lastRenderedPageBreak/>
        <w:t xml:space="preserve">stage. </w:t>
      </w:r>
      <w:r w:rsidR="00DE1746" w:rsidRPr="00813425">
        <w:rPr>
          <w:rFonts w:ascii="Times New Roman" w:eastAsia="Times New Roman" w:hAnsi="Times New Roman" w:cs="Times New Roman"/>
          <w:color w:val="000000"/>
          <w:sz w:val="24"/>
          <w:szCs w:val="24"/>
          <w:lang w:val="en-US" w:eastAsia="en-GB"/>
        </w:rPr>
        <w:t xml:space="preserve">We assessed reliability of pQCT bone outcomes but not of height and tibia length measurement and therefore we acknowledge this as another limitation of our study. </w:t>
      </w:r>
      <w:r w:rsidR="00E51D18" w:rsidRPr="00813425">
        <w:rPr>
          <w:rFonts w:ascii="Times New Roman" w:eastAsia="Times New Roman" w:hAnsi="Times New Roman" w:cs="Times New Roman"/>
          <w:color w:val="000000"/>
          <w:sz w:val="24"/>
          <w:szCs w:val="24"/>
          <w:lang w:val="en-US" w:eastAsia="en-GB"/>
        </w:rPr>
        <w:t xml:space="preserve">The study was underpowered to </w:t>
      </w:r>
      <w:r w:rsidR="00DB4C33" w:rsidRPr="00813425">
        <w:rPr>
          <w:rFonts w:ascii="Times New Roman" w:eastAsia="Times New Roman" w:hAnsi="Times New Roman" w:cs="Times New Roman"/>
          <w:color w:val="000000"/>
          <w:sz w:val="24"/>
          <w:szCs w:val="24"/>
          <w:lang w:val="en-US" w:eastAsia="en-GB"/>
        </w:rPr>
        <w:t>assess the relationship between changes in height with changes in bone outcomes</w:t>
      </w:r>
      <w:r w:rsidR="0024454D" w:rsidRPr="00813425">
        <w:rPr>
          <w:rFonts w:ascii="Times New Roman" w:eastAsia="Times New Roman" w:hAnsi="Times New Roman" w:cs="Times New Roman"/>
          <w:color w:val="000000"/>
          <w:sz w:val="24"/>
          <w:szCs w:val="24"/>
          <w:lang w:val="en-US" w:eastAsia="en-GB"/>
        </w:rPr>
        <w:t xml:space="preserve"> over a year, to determine whether changes were proportionate across compartments. </w:t>
      </w:r>
      <w:r w:rsidR="000B31B5" w:rsidRPr="00813425">
        <w:rPr>
          <w:rFonts w:ascii="Times New Roman" w:eastAsia="Times New Roman" w:hAnsi="Times New Roman" w:cs="Times New Roman"/>
          <w:color w:val="000000"/>
          <w:sz w:val="24"/>
          <w:szCs w:val="24"/>
          <w:lang w:val="en-US" w:eastAsia="en-GB"/>
        </w:rPr>
        <w:t>Furthermore</w:t>
      </w:r>
      <w:r w:rsidR="00223D7A" w:rsidRPr="00813425">
        <w:rPr>
          <w:rFonts w:ascii="Times New Roman" w:eastAsia="Times New Roman" w:hAnsi="Times New Roman" w:cs="Times New Roman"/>
          <w:color w:val="000000"/>
          <w:sz w:val="24"/>
          <w:szCs w:val="24"/>
          <w:lang w:val="en-US" w:eastAsia="en-GB"/>
        </w:rPr>
        <w:t>,</w:t>
      </w:r>
      <w:r w:rsidR="00FF582C" w:rsidRPr="00813425">
        <w:rPr>
          <w:rFonts w:ascii="Times New Roman" w:eastAsia="Times New Roman" w:hAnsi="Times New Roman" w:cs="Times New Roman"/>
          <w:color w:val="000000"/>
          <w:sz w:val="24"/>
          <w:szCs w:val="24"/>
          <w:lang w:val="en-US" w:eastAsia="en-GB"/>
        </w:rPr>
        <w:t xml:space="preserve"> </w:t>
      </w:r>
      <w:r w:rsidR="00A54E38" w:rsidRPr="00813425">
        <w:rPr>
          <w:rFonts w:ascii="Times New Roman" w:eastAsia="Times New Roman" w:hAnsi="Times New Roman" w:cs="Times New Roman"/>
          <w:color w:val="000000"/>
          <w:sz w:val="24"/>
          <w:szCs w:val="24"/>
          <w:lang w:val="en-US" w:eastAsia="en-GB"/>
        </w:rPr>
        <w:t xml:space="preserve">the exact timing of peak height velocity </w:t>
      </w:r>
      <w:r w:rsidR="00FF582C" w:rsidRPr="00813425">
        <w:rPr>
          <w:rFonts w:ascii="Times New Roman" w:eastAsia="Times New Roman" w:hAnsi="Times New Roman" w:cs="Times New Roman"/>
          <w:color w:val="000000"/>
          <w:sz w:val="24"/>
          <w:szCs w:val="24"/>
          <w:lang w:val="en-US" w:eastAsia="en-GB"/>
        </w:rPr>
        <w:t>could not</w:t>
      </w:r>
      <w:r w:rsidR="00A54E38" w:rsidRPr="00813425">
        <w:rPr>
          <w:rFonts w:ascii="Times New Roman" w:eastAsia="Times New Roman" w:hAnsi="Times New Roman" w:cs="Times New Roman"/>
          <w:color w:val="000000"/>
          <w:sz w:val="24"/>
          <w:szCs w:val="24"/>
          <w:lang w:val="en-US" w:eastAsia="en-GB"/>
        </w:rPr>
        <w:t xml:space="preserve"> be established</w:t>
      </w:r>
      <w:r w:rsidR="009F24F0" w:rsidRPr="00813425">
        <w:rPr>
          <w:rFonts w:ascii="Times New Roman" w:eastAsia="Times New Roman" w:hAnsi="Times New Roman" w:cs="Times New Roman"/>
          <w:color w:val="000000"/>
          <w:sz w:val="24"/>
          <w:szCs w:val="24"/>
          <w:lang w:val="en-US" w:eastAsia="en-GB"/>
        </w:rPr>
        <w:t>,</w:t>
      </w:r>
      <w:r w:rsidR="009F24F0" w:rsidRPr="00813425">
        <w:t xml:space="preserve"> </w:t>
      </w:r>
      <w:r w:rsidR="009F24F0" w:rsidRPr="00813425">
        <w:rPr>
          <w:rFonts w:ascii="Times New Roman" w:eastAsia="Times New Roman" w:hAnsi="Times New Roman" w:cs="Times New Roman"/>
          <w:color w:val="000000"/>
          <w:sz w:val="24"/>
          <w:szCs w:val="24"/>
          <w:lang w:val="en-US" w:eastAsia="en-GB"/>
        </w:rPr>
        <w:t>meaning it is not currently possible to determine whether the differences are delays in growth or persisting deficits in bone accrual.</w:t>
      </w:r>
      <w:r w:rsidR="00A54E38" w:rsidRPr="00813425">
        <w:rPr>
          <w:rFonts w:ascii="Times New Roman" w:eastAsia="Times New Roman" w:hAnsi="Times New Roman" w:cs="Times New Roman"/>
          <w:color w:val="000000"/>
          <w:sz w:val="24"/>
          <w:szCs w:val="24"/>
          <w:lang w:val="en-US" w:eastAsia="en-GB"/>
        </w:rPr>
        <w:t xml:space="preserve"> </w:t>
      </w:r>
      <w:r w:rsidRPr="00813425">
        <w:rPr>
          <w:rFonts w:ascii="Times New Roman" w:eastAsia="Times New Roman" w:hAnsi="Times New Roman" w:cs="Times New Roman"/>
          <w:color w:val="000000"/>
          <w:sz w:val="24"/>
          <w:szCs w:val="24"/>
          <w:lang w:val="en-US" w:eastAsia="en-GB"/>
        </w:rPr>
        <w:t xml:space="preserve">Follow-up of longer than one year may provide further insights into trajectories of bone </w:t>
      </w:r>
      <w:r w:rsidR="00293105" w:rsidRPr="00813425">
        <w:rPr>
          <w:rFonts w:ascii="Times New Roman" w:eastAsia="Times New Roman" w:hAnsi="Times New Roman" w:cs="Times New Roman"/>
          <w:color w:val="000000"/>
          <w:sz w:val="24"/>
          <w:szCs w:val="24"/>
          <w:lang w:val="en-US" w:eastAsia="en-GB"/>
        </w:rPr>
        <w:t xml:space="preserve">mineral </w:t>
      </w:r>
      <w:r w:rsidR="00E830A5" w:rsidRPr="00813425">
        <w:rPr>
          <w:rFonts w:ascii="Times New Roman" w:eastAsia="Times New Roman" w:hAnsi="Times New Roman" w:cs="Times New Roman"/>
          <w:color w:val="000000"/>
          <w:sz w:val="24"/>
          <w:szCs w:val="24"/>
          <w:lang w:val="en-US" w:eastAsia="en-GB"/>
        </w:rPr>
        <w:t>accrual</w:t>
      </w:r>
      <w:r w:rsidRPr="00813425">
        <w:rPr>
          <w:rFonts w:ascii="Times New Roman" w:eastAsia="Times New Roman" w:hAnsi="Times New Roman" w:cs="Times New Roman"/>
          <w:color w:val="000000"/>
          <w:sz w:val="24"/>
          <w:szCs w:val="24"/>
          <w:lang w:val="en-US" w:eastAsia="en-GB"/>
        </w:rPr>
        <w:t>.</w:t>
      </w:r>
    </w:p>
    <w:p w14:paraId="6364DCD4" w14:textId="77777777" w:rsidR="00C95A78" w:rsidRPr="0034284A" w:rsidRDefault="00C95A78" w:rsidP="009E3E5C">
      <w:pPr>
        <w:rPr>
          <w:rFonts w:ascii="Times New Roman" w:hAnsi="Times New Roman" w:cs="Times New Roman"/>
          <w:b/>
          <w:sz w:val="24"/>
          <w:szCs w:val="24"/>
          <w:lang w:val="en-GB" w:eastAsia="en-GB"/>
        </w:rPr>
      </w:pPr>
      <w:bookmarkStart w:id="24" w:name="_Toc139513449"/>
      <w:r w:rsidRPr="0034284A">
        <w:rPr>
          <w:rFonts w:ascii="Times New Roman" w:hAnsi="Times New Roman" w:cs="Times New Roman"/>
          <w:b/>
          <w:sz w:val="24"/>
          <w:szCs w:val="24"/>
          <w:lang w:val="en-GB" w:eastAsia="en-GB"/>
        </w:rPr>
        <w:t>Conclusion</w:t>
      </w:r>
      <w:bookmarkEnd w:id="24"/>
    </w:p>
    <w:p w14:paraId="6364DCD6" w14:textId="7BCE24EC" w:rsidR="00C95A78" w:rsidRDefault="003C0B88" w:rsidP="00C95A78">
      <w:pPr>
        <w:spacing w:after="0" w:line="480" w:lineRule="auto"/>
        <w:rPr>
          <w:rFonts w:ascii="Times New Roman" w:eastAsia="Times New Roman" w:hAnsi="Times New Roman" w:cs="Times New Roman"/>
          <w:color w:val="000000"/>
          <w:sz w:val="24"/>
          <w:szCs w:val="24"/>
          <w:lang w:val="en-US" w:eastAsia="en-GB"/>
        </w:rPr>
      </w:pPr>
      <w:r w:rsidRPr="0034284A">
        <w:rPr>
          <w:rFonts w:ascii="Times New Roman" w:eastAsia="Times New Roman" w:hAnsi="Times New Roman" w:cs="Times New Roman"/>
          <w:color w:val="000000"/>
          <w:sz w:val="24"/>
          <w:szCs w:val="24"/>
          <w:lang w:val="en-US" w:eastAsia="en-GB"/>
        </w:rPr>
        <w:t>Deficits were seen in bone size and strength associated with HIV infection over one year follow-up. CWH gained more height, bone size and bone strength than CWOH over the follow-up period, showing some evidence to support catch-up growth in CWH, but not enough to rectify total deficits in bone density, size and strength. These findings add to information on growth impairment in CWH and have potential implications for fracture risk in adulthood. If bone accrual does not catch up, CWH may be at higher risk of fracture in later life. To better understand trajectories of skeletal development, further research is needed to assess the effect of HIV on bone development in the early years of life as well as to follow-up CWH through to the end of young adult bone accrual.</w:t>
      </w:r>
    </w:p>
    <w:p w14:paraId="2E6B6919" w14:textId="77777777" w:rsidR="003C0B88" w:rsidRPr="00813425" w:rsidRDefault="003C0B88" w:rsidP="00C95A78">
      <w:pPr>
        <w:spacing w:after="0" w:line="480" w:lineRule="auto"/>
        <w:rPr>
          <w:rFonts w:ascii="Times New Roman" w:eastAsia="Times New Roman" w:hAnsi="Times New Roman" w:cs="Times New Roman"/>
          <w:color w:val="000000"/>
          <w:sz w:val="24"/>
          <w:szCs w:val="24"/>
          <w:lang w:val="en-US" w:eastAsia="en-GB"/>
        </w:rPr>
      </w:pPr>
    </w:p>
    <w:p w14:paraId="6364DCD7" w14:textId="77777777" w:rsidR="00C95A78" w:rsidRPr="00813425" w:rsidRDefault="00C95A78" w:rsidP="0082668C">
      <w:pPr>
        <w:rPr>
          <w:rFonts w:ascii="Times New Roman" w:hAnsi="Times New Roman" w:cs="Times New Roman"/>
          <w:b/>
          <w:sz w:val="24"/>
          <w:szCs w:val="24"/>
          <w:lang w:val="en-US" w:eastAsia="en-GB"/>
        </w:rPr>
      </w:pPr>
      <w:r w:rsidRPr="00813425">
        <w:rPr>
          <w:rFonts w:ascii="Times New Roman" w:hAnsi="Times New Roman" w:cs="Times New Roman"/>
          <w:b/>
          <w:sz w:val="24"/>
          <w:szCs w:val="24"/>
          <w:lang w:val="en-US" w:eastAsia="en-GB"/>
        </w:rPr>
        <w:t>Funding statement</w:t>
      </w:r>
    </w:p>
    <w:p w14:paraId="6364DCD8" w14:textId="6C1578D5" w:rsidR="00C95A78" w:rsidRPr="00813425" w:rsidRDefault="00832526" w:rsidP="00C95A78">
      <w:pPr>
        <w:spacing w:after="0" w:line="480" w:lineRule="auto"/>
        <w:rPr>
          <w:rFonts w:ascii="Times New Roman" w:eastAsia="Times New Roman" w:hAnsi="Times New Roman" w:cs="Times New Roman"/>
          <w:color w:val="000000"/>
          <w:sz w:val="24"/>
          <w:szCs w:val="24"/>
          <w:lang w:val="en-US" w:eastAsia="en-GB"/>
        </w:rPr>
      </w:pPr>
      <w:r w:rsidRPr="00813425">
        <w:rPr>
          <w:rFonts w:ascii="Times New Roman" w:eastAsia="Times New Roman" w:hAnsi="Times New Roman" w:cs="Times New Roman"/>
          <w:color w:val="000000"/>
          <w:sz w:val="24"/>
          <w:szCs w:val="24"/>
          <w:lang w:val="en-US" w:eastAsia="en-GB"/>
        </w:rPr>
        <w:t>C</w:t>
      </w:r>
      <w:r w:rsidR="00C95A78" w:rsidRPr="00813425">
        <w:rPr>
          <w:rFonts w:ascii="Times New Roman" w:eastAsia="Times New Roman" w:hAnsi="Times New Roman" w:cs="Times New Roman"/>
          <w:color w:val="000000"/>
          <w:sz w:val="24"/>
          <w:szCs w:val="24"/>
          <w:lang w:val="en-US" w:eastAsia="en-GB"/>
        </w:rPr>
        <w:t xml:space="preserve">K </w:t>
      </w:r>
      <w:r w:rsidR="00AB7EBE">
        <w:rPr>
          <w:rFonts w:ascii="Times New Roman" w:eastAsia="Times New Roman" w:hAnsi="Times New Roman" w:cs="Times New Roman"/>
          <w:color w:val="000000"/>
          <w:sz w:val="24"/>
          <w:szCs w:val="24"/>
          <w:lang w:val="en-US" w:eastAsia="en-GB"/>
        </w:rPr>
        <w:t>was</w:t>
      </w:r>
      <w:r w:rsidR="00C95A78" w:rsidRPr="00813425">
        <w:rPr>
          <w:rFonts w:ascii="Times New Roman" w:eastAsia="Times New Roman" w:hAnsi="Times New Roman" w:cs="Times New Roman"/>
          <w:color w:val="000000"/>
          <w:sz w:val="24"/>
          <w:szCs w:val="24"/>
          <w:lang w:val="en-US" w:eastAsia="en-GB"/>
        </w:rPr>
        <w:t xml:space="preserve"> funded by a National Institute of Health Fogarty Trent Fellowship (grant number 2D43TW009539-06). RR is funded by the Wellcome Trust (grant number 206764/Z/17/Z). Global challenges research funding from the University of Bristol, and an Academy of Medical Sciences GCRF Networking Grant (grant number GCRFNG100399) established the sub-Saharan African MuSculOskeletal Network (SAMSON) and provided the peripheral </w:t>
      </w:r>
      <w:r w:rsidR="00C95A78" w:rsidRPr="00813425">
        <w:rPr>
          <w:rFonts w:ascii="Times New Roman" w:eastAsia="Times New Roman" w:hAnsi="Times New Roman" w:cs="Times New Roman"/>
          <w:color w:val="000000"/>
          <w:sz w:val="24"/>
          <w:szCs w:val="24"/>
          <w:lang w:val="en-US" w:eastAsia="en-GB"/>
        </w:rPr>
        <w:lastRenderedPageBreak/>
        <w:t>quantitative computed tomography scanner in Zimbabwe for this study. AMR and VS are partially supported by the UK Medical Research Council (MRC) and the UK Department for International Development (DFID) under the MRC/DFID Concordat agreement, which is also part of the European and Developing Countries Clinical Trials Partnership 2 programme supported by the EU (grant number MR/R010161/1). RAF is funded by the Wellcome Trust (grant number 206316/Z/17/Z).</w:t>
      </w:r>
    </w:p>
    <w:p w14:paraId="6364DCD9" w14:textId="77777777" w:rsidR="00C95A78" w:rsidRPr="00813425" w:rsidRDefault="00C95A78" w:rsidP="00593853">
      <w:pPr>
        <w:spacing w:after="0" w:line="480" w:lineRule="auto"/>
        <w:rPr>
          <w:rFonts w:ascii="Times New Roman" w:eastAsia="Times New Roman" w:hAnsi="Times New Roman" w:cs="Times New Roman"/>
          <w:b/>
          <w:color w:val="000000"/>
          <w:sz w:val="24"/>
          <w:szCs w:val="24"/>
          <w:lang w:val="en-US" w:eastAsia="en-GB"/>
        </w:rPr>
      </w:pPr>
      <w:r w:rsidRPr="00813425">
        <w:rPr>
          <w:rFonts w:ascii="Times New Roman" w:eastAsia="Times New Roman" w:hAnsi="Times New Roman" w:cs="Times New Roman"/>
          <w:b/>
          <w:color w:val="000000"/>
          <w:sz w:val="24"/>
          <w:szCs w:val="24"/>
          <w:lang w:val="en-US" w:eastAsia="en-GB"/>
        </w:rPr>
        <w:t>Conflict of interest</w:t>
      </w:r>
    </w:p>
    <w:p w14:paraId="6364DCDA" w14:textId="77777777" w:rsidR="00C95A78" w:rsidRPr="00813425" w:rsidRDefault="00C95A78" w:rsidP="00593853">
      <w:pPr>
        <w:spacing w:after="0" w:line="480" w:lineRule="auto"/>
        <w:rPr>
          <w:rFonts w:ascii="Times New Roman" w:eastAsia="Times New Roman" w:hAnsi="Times New Roman" w:cs="Times New Roman"/>
          <w:color w:val="000000"/>
          <w:sz w:val="24"/>
          <w:szCs w:val="24"/>
          <w:lang w:val="en-US" w:eastAsia="en-GB"/>
        </w:rPr>
      </w:pPr>
      <w:r w:rsidRPr="00813425">
        <w:rPr>
          <w:rFonts w:ascii="Times New Roman" w:eastAsia="Times New Roman" w:hAnsi="Times New Roman" w:cs="Times New Roman"/>
          <w:color w:val="000000"/>
          <w:sz w:val="24"/>
          <w:szCs w:val="24"/>
          <w:lang w:val="en-US" w:eastAsia="en-GB"/>
        </w:rPr>
        <w:t>The authors declare no conflicts of interest.</w:t>
      </w:r>
    </w:p>
    <w:p w14:paraId="6364DCDB" w14:textId="77777777" w:rsidR="00C95A78" w:rsidRPr="00813425" w:rsidRDefault="00C95A78" w:rsidP="00593853">
      <w:pPr>
        <w:spacing w:after="0" w:line="480" w:lineRule="auto"/>
        <w:rPr>
          <w:rFonts w:ascii="Times New Roman" w:eastAsia="Times New Roman" w:hAnsi="Times New Roman" w:cs="Times New Roman"/>
          <w:b/>
          <w:color w:val="000000"/>
          <w:sz w:val="24"/>
          <w:szCs w:val="24"/>
          <w:lang w:val="en-US" w:eastAsia="en-GB"/>
        </w:rPr>
      </w:pPr>
      <w:r w:rsidRPr="00813425">
        <w:rPr>
          <w:rFonts w:ascii="Times New Roman" w:eastAsia="Times New Roman" w:hAnsi="Times New Roman" w:cs="Times New Roman"/>
          <w:b/>
          <w:color w:val="000000"/>
          <w:sz w:val="24"/>
          <w:szCs w:val="24"/>
          <w:lang w:val="en-US" w:eastAsia="en-GB"/>
        </w:rPr>
        <w:t>Author Contributions</w:t>
      </w:r>
    </w:p>
    <w:p w14:paraId="6364DCDC" w14:textId="56E0759D" w:rsidR="00C95A78" w:rsidRPr="00813425" w:rsidRDefault="00832526" w:rsidP="00593853">
      <w:pPr>
        <w:spacing w:before="100" w:beforeAutospacing="1" w:after="100" w:afterAutospacing="1" w:line="480" w:lineRule="auto"/>
        <w:rPr>
          <w:rFonts w:ascii="Times New Roman" w:eastAsia="Times New Roman" w:hAnsi="Times New Roman" w:cs="Times New Roman"/>
          <w:color w:val="000000"/>
          <w:sz w:val="24"/>
          <w:szCs w:val="24"/>
          <w:lang w:val="en-US" w:eastAsia="en-GB"/>
        </w:rPr>
      </w:pPr>
      <w:r w:rsidRPr="00813425">
        <w:rPr>
          <w:rFonts w:ascii="Times New Roman" w:eastAsia="Times New Roman" w:hAnsi="Times New Roman" w:cs="Times New Roman"/>
          <w:color w:val="000000"/>
          <w:sz w:val="24"/>
          <w:szCs w:val="24"/>
          <w:lang w:val="en-US" w:eastAsia="en-GB"/>
        </w:rPr>
        <w:t xml:space="preserve">Conception; </w:t>
      </w:r>
      <w:r w:rsidR="00045FB1" w:rsidRPr="00813425">
        <w:rPr>
          <w:rFonts w:ascii="Times New Roman" w:eastAsia="Times New Roman" w:hAnsi="Times New Roman" w:cs="Times New Roman"/>
          <w:color w:val="000000"/>
          <w:sz w:val="24"/>
          <w:szCs w:val="24"/>
          <w:lang w:val="en-US" w:eastAsia="en-GB"/>
        </w:rPr>
        <w:t>CK</w:t>
      </w:r>
      <w:r w:rsidRPr="00813425">
        <w:rPr>
          <w:rFonts w:ascii="Times New Roman" w:eastAsia="Times New Roman" w:hAnsi="Times New Roman" w:cs="Times New Roman"/>
          <w:color w:val="000000"/>
          <w:sz w:val="24"/>
          <w:szCs w:val="24"/>
          <w:lang w:val="en-US" w:eastAsia="en-GB"/>
        </w:rPr>
        <w:t xml:space="preserve">, AMR, KAW and CLG. Design: </w:t>
      </w:r>
      <w:r w:rsidR="00045FB1" w:rsidRPr="00813425">
        <w:rPr>
          <w:rFonts w:ascii="Times New Roman" w:eastAsia="Times New Roman" w:hAnsi="Times New Roman" w:cs="Times New Roman"/>
          <w:color w:val="000000"/>
          <w:sz w:val="24"/>
          <w:szCs w:val="24"/>
          <w:lang w:val="en-US" w:eastAsia="en-GB"/>
        </w:rPr>
        <w:t>CK</w:t>
      </w:r>
      <w:r w:rsidR="00C95A78" w:rsidRPr="00813425">
        <w:rPr>
          <w:rFonts w:ascii="Times New Roman" w:eastAsia="Times New Roman" w:hAnsi="Times New Roman" w:cs="Times New Roman"/>
          <w:color w:val="000000"/>
          <w:sz w:val="24"/>
          <w:szCs w:val="24"/>
          <w:lang w:val="en-US" w:eastAsia="en-GB"/>
        </w:rPr>
        <w:t>, KAW and</w:t>
      </w:r>
      <w:r w:rsidRPr="00813425">
        <w:rPr>
          <w:rFonts w:ascii="Times New Roman" w:eastAsia="Times New Roman" w:hAnsi="Times New Roman" w:cs="Times New Roman"/>
          <w:color w:val="000000"/>
          <w:sz w:val="24"/>
          <w:szCs w:val="24"/>
          <w:lang w:val="en-US" w:eastAsia="en-GB"/>
        </w:rPr>
        <w:t xml:space="preserve"> CLG. Data curation: </w:t>
      </w:r>
      <w:r w:rsidR="00045FB1" w:rsidRPr="00813425">
        <w:rPr>
          <w:rFonts w:ascii="Times New Roman" w:eastAsia="Times New Roman" w:hAnsi="Times New Roman" w:cs="Times New Roman"/>
          <w:color w:val="000000"/>
          <w:sz w:val="24"/>
          <w:szCs w:val="24"/>
          <w:lang w:val="en-US" w:eastAsia="en-GB"/>
        </w:rPr>
        <w:t>CK</w:t>
      </w:r>
      <w:r w:rsidR="00C95A78" w:rsidRPr="00813425">
        <w:rPr>
          <w:rFonts w:ascii="Times New Roman" w:eastAsia="Times New Roman" w:hAnsi="Times New Roman" w:cs="Times New Roman"/>
          <w:color w:val="000000"/>
          <w:sz w:val="24"/>
          <w:szCs w:val="24"/>
          <w:lang w:val="en-US" w:eastAsia="en-GB"/>
        </w:rPr>
        <w:t>, AMR, MO’B,</w:t>
      </w:r>
      <w:r w:rsidRPr="00813425">
        <w:rPr>
          <w:rFonts w:ascii="Times New Roman" w:eastAsia="Times New Roman" w:hAnsi="Times New Roman" w:cs="Times New Roman"/>
          <w:color w:val="000000"/>
          <w:sz w:val="24"/>
          <w:szCs w:val="24"/>
          <w:lang w:val="en-US" w:eastAsia="en-GB"/>
        </w:rPr>
        <w:t xml:space="preserve"> RR and JC. Formal analysis: </w:t>
      </w:r>
      <w:r w:rsidR="00045FB1" w:rsidRPr="00813425">
        <w:rPr>
          <w:rFonts w:ascii="Times New Roman" w:eastAsia="Times New Roman" w:hAnsi="Times New Roman" w:cs="Times New Roman"/>
          <w:color w:val="000000"/>
          <w:sz w:val="24"/>
          <w:szCs w:val="24"/>
          <w:lang w:val="en-US" w:eastAsia="en-GB"/>
        </w:rPr>
        <w:t>CK</w:t>
      </w:r>
      <w:r w:rsidR="00C95A78" w:rsidRPr="00813425">
        <w:rPr>
          <w:rFonts w:ascii="Times New Roman" w:eastAsia="Times New Roman" w:hAnsi="Times New Roman" w:cs="Times New Roman"/>
          <w:color w:val="000000"/>
          <w:sz w:val="24"/>
          <w:szCs w:val="24"/>
          <w:lang w:val="en-US" w:eastAsia="en-GB"/>
        </w:rPr>
        <w:t>, TM,</w:t>
      </w:r>
      <w:r w:rsidRPr="00813425">
        <w:rPr>
          <w:rFonts w:ascii="Times New Roman" w:eastAsia="Times New Roman" w:hAnsi="Times New Roman" w:cs="Times New Roman"/>
          <w:color w:val="000000"/>
          <w:sz w:val="24"/>
          <w:szCs w:val="24"/>
          <w:lang w:val="en-US" w:eastAsia="en-GB"/>
        </w:rPr>
        <w:t xml:space="preserve"> VS and AMR. Interpretation: </w:t>
      </w:r>
      <w:r w:rsidR="00045FB1" w:rsidRPr="00813425">
        <w:rPr>
          <w:rFonts w:ascii="Times New Roman" w:eastAsia="Times New Roman" w:hAnsi="Times New Roman" w:cs="Times New Roman"/>
          <w:color w:val="000000"/>
          <w:sz w:val="24"/>
          <w:szCs w:val="24"/>
          <w:lang w:val="en-US" w:eastAsia="en-GB"/>
        </w:rPr>
        <w:t>CK</w:t>
      </w:r>
      <w:r w:rsidR="00C95A78" w:rsidRPr="00813425">
        <w:rPr>
          <w:rFonts w:ascii="Times New Roman" w:eastAsia="Times New Roman" w:hAnsi="Times New Roman" w:cs="Times New Roman"/>
          <w:color w:val="000000"/>
          <w:sz w:val="24"/>
          <w:szCs w:val="24"/>
          <w:lang w:val="en-US" w:eastAsia="en-GB"/>
        </w:rPr>
        <w:t>, AMR, KAW, C</w:t>
      </w:r>
      <w:r w:rsidRPr="00813425">
        <w:rPr>
          <w:rFonts w:ascii="Times New Roman" w:eastAsia="Times New Roman" w:hAnsi="Times New Roman" w:cs="Times New Roman"/>
          <w:color w:val="000000"/>
          <w:sz w:val="24"/>
          <w:szCs w:val="24"/>
          <w:lang w:val="en-US" w:eastAsia="en-GB"/>
        </w:rPr>
        <w:t xml:space="preserve">LG. Writing- Original draft: </w:t>
      </w:r>
      <w:r w:rsidR="00045FB1" w:rsidRPr="00813425">
        <w:rPr>
          <w:rFonts w:ascii="Times New Roman" w:eastAsia="Times New Roman" w:hAnsi="Times New Roman" w:cs="Times New Roman"/>
          <w:color w:val="000000"/>
          <w:sz w:val="24"/>
          <w:szCs w:val="24"/>
          <w:lang w:val="en-US" w:eastAsia="en-GB"/>
        </w:rPr>
        <w:t>CK</w:t>
      </w:r>
      <w:r w:rsidR="00C95A78" w:rsidRPr="00813425">
        <w:rPr>
          <w:rFonts w:ascii="Times New Roman" w:eastAsia="Times New Roman" w:hAnsi="Times New Roman" w:cs="Times New Roman"/>
          <w:color w:val="000000"/>
          <w:sz w:val="24"/>
          <w:szCs w:val="24"/>
          <w:lang w:val="en-US" w:eastAsia="en-GB"/>
        </w:rPr>
        <w:t>, CLG and AMR</w:t>
      </w:r>
      <w:r w:rsidRPr="00813425">
        <w:rPr>
          <w:rFonts w:ascii="Times New Roman" w:eastAsia="Times New Roman" w:hAnsi="Times New Roman" w:cs="Times New Roman"/>
          <w:color w:val="000000"/>
          <w:sz w:val="24"/>
          <w:szCs w:val="24"/>
          <w:lang w:val="en-US" w:eastAsia="en-GB"/>
        </w:rPr>
        <w:t xml:space="preserve">. Writing- Review &amp; editing: </w:t>
      </w:r>
      <w:r w:rsidR="00045FB1" w:rsidRPr="00813425">
        <w:rPr>
          <w:rFonts w:ascii="Times New Roman" w:eastAsia="Times New Roman" w:hAnsi="Times New Roman" w:cs="Times New Roman"/>
          <w:color w:val="000000"/>
          <w:sz w:val="24"/>
          <w:szCs w:val="24"/>
          <w:lang w:val="en-US" w:eastAsia="en-GB"/>
        </w:rPr>
        <w:t>CK</w:t>
      </w:r>
      <w:r w:rsidR="00C95A78" w:rsidRPr="00813425">
        <w:rPr>
          <w:rFonts w:ascii="Times New Roman" w:eastAsia="Times New Roman" w:hAnsi="Times New Roman" w:cs="Times New Roman"/>
          <w:color w:val="000000"/>
          <w:sz w:val="24"/>
          <w:szCs w:val="24"/>
          <w:lang w:val="en-US" w:eastAsia="en-GB"/>
        </w:rPr>
        <w:t xml:space="preserve">, CLG, MO’B, RR, TM, VS, JC, LSC, LKM, RAF, KAW and AMR. Supervision: AMR, LSC, LKM, RAF, KAW and </w:t>
      </w:r>
      <w:r w:rsidRPr="00813425">
        <w:rPr>
          <w:rFonts w:ascii="Times New Roman" w:eastAsia="Times New Roman" w:hAnsi="Times New Roman" w:cs="Times New Roman"/>
          <w:color w:val="000000"/>
          <w:sz w:val="24"/>
          <w:szCs w:val="24"/>
          <w:lang w:val="en-US" w:eastAsia="en-GB"/>
        </w:rPr>
        <w:t xml:space="preserve">CLG. Project administration: </w:t>
      </w:r>
      <w:r w:rsidR="00045FB1" w:rsidRPr="00813425">
        <w:rPr>
          <w:rFonts w:ascii="Times New Roman" w:eastAsia="Times New Roman" w:hAnsi="Times New Roman" w:cs="Times New Roman"/>
          <w:color w:val="000000"/>
          <w:sz w:val="24"/>
          <w:szCs w:val="24"/>
          <w:lang w:val="en-US" w:eastAsia="en-GB"/>
        </w:rPr>
        <w:t>CK</w:t>
      </w:r>
      <w:r w:rsidR="00C95A78" w:rsidRPr="00813425">
        <w:rPr>
          <w:rFonts w:ascii="Times New Roman" w:eastAsia="Times New Roman" w:hAnsi="Times New Roman" w:cs="Times New Roman"/>
          <w:color w:val="000000"/>
          <w:sz w:val="24"/>
          <w:szCs w:val="24"/>
          <w:lang w:val="en-US" w:eastAsia="en-GB"/>
        </w:rPr>
        <w:t xml:space="preserve">, RR, JC, RAF and CLG. All authors take responsibility for their contributions as outlined above </w:t>
      </w:r>
    </w:p>
    <w:p w14:paraId="6364DCDD" w14:textId="77777777" w:rsidR="00C95A78" w:rsidRPr="00813425" w:rsidRDefault="00C95A78" w:rsidP="0082668C">
      <w:pPr>
        <w:rPr>
          <w:rFonts w:ascii="Times New Roman" w:hAnsi="Times New Roman" w:cs="Times New Roman"/>
          <w:b/>
          <w:sz w:val="24"/>
          <w:szCs w:val="24"/>
          <w:lang w:val="en-US" w:eastAsia="en-GB"/>
        </w:rPr>
      </w:pPr>
      <w:r w:rsidRPr="00813425">
        <w:rPr>
          <w:rFonts w:ascii="Times New Roman" w:hAnsi="Times New Roman" w:cs="Times New Roman"/>
          <w:b/>
          <w:sz w:val="24"/>
          <w:szCs w:val="24"/>
          <w:lang w:val="en-US" w:eastAsia="en-GB"/>
        </w:rPr>
        <w:t>Acknowledgements</w:t>
      </w:r>
    </w:p>
    <w:p w14:paraId="6364DCDE" w14:textId="77777777" w:rsidR="00C95A78" w:rsidRPr="00813425" w:rsidRDefault="00C95A78" w:rsidP="00C95A78">
      <w:pPr>
        <w:spacing w:before="100" w:beforeAutospacing="1" w:after="0" w:afterAutospacing="1" w:line="480" w:lineRule="auto"/>
        <w:rPr>
          <w:rFonts w:ascii="Times New Roman" w:eastAsia="Times New Roman" w:hAnsi="Times New Roman" w:cs="Times New Roman"/>
          <w:color w:val="000000"/>
          <w:sz w:val="24"/>
          <w:szCs w:val="24"/>
          <w:lang w:val="en-US" w:eastAsia="en-GB"/>
        </w:rPr>
      </w:pPr>
      <w:r w:rsidRPr="00813425">
        <w:rPr>
          <w:rFonts w:ascii="Times New Roman" w:eastAsia="Times New Roman" w:hAnsi="Times New Roman" w:cs="Times New Roman"/>
          <w:color w:val="000000"/>
          <w:sz w:val="24"/>
          <w:szCs w:val="24"/>
          <w:lang w:val="en-US" w:eastAsia="en-GB"/>
        </w:rPr>
        <w:t>We are grateful to the IMVASK study team who assisted in collecting data for this study and also to the participants (and their parents/guardians) for making this study possible.</w:t>
      </w:r>
    </w:p>
    <w:p w14:paraId="6364DCDF" w14:textId="77777777" w:rsidR="00C95A78" w:rsidRPr="00813425" w:rsidRDefault="00C95A78" w:rsidP="0082668C">
      <w:pPr>
        <w:rPr>
          <w:rFonts w:ascii="Times New Roman" w:hAnsi="Times New Roman" w:cs="Times New Roman"/>
          <w:b/>
          <w:sz w:val="24"/>
          <w:szCs w:val="24"/>
          <w:lang w:val="en-US" w:eastAsia="en-GB"/>
        </w:rPr>
      </w:pPr>
      <w:r w:rsidRPr="00813425">
        <w:rPr>
          <w:rFonts w:ascii="Times New Roman" w:hAnsi="Times New Roman" w:cs="Times New Roman"/>
          <w:b/>
          <w:sz w:val="24"/>
          <w:szCs w:val="24"/>
          <w:lang w:val="en-US" w:eastAsia="en-GB"/>
        </w:rPr>
        <w:t>Data sharing statement</w:t>
      </w:r>
    </w:p>
    <w:p w14:paraId="6364DCE1" w14:textId="7264EC0C" w:rsidR="00C95A78" w:rsidRPr="00813425" w:rsidRDefault="00C95A78" w:rsidP="00C95A78">
      <w:pPr>
        <w:spacing w:after="0" w:line="480" w:lineRule="auto"/>
        <w:rPr>
          <w:rFonts w:ascii="Times New Roman" w:eastAsia="Times New Roman" w:hAnsi="Times New Roman" w:cs="Times New Roman"/>
          <w:color w:val="000000"/>
          <w:sz w:val="24"/>
          <w:szCs w:val="24"/>
          <w:lang w:val="en-US" w:eastAsia="en-GB"/>
        </w:rPr>
      </w:pPr>
      <w:r w:rsidRPr="00813425">
        <w:rPr>
          <w:rFonts w:ascii="Times New Roman" w:eastAsia="Times New Roman" w:hAnsi="Times New Roman" w:cs="Times New Roman"/>
          <w:color w:val="000000"/>
          <w:sz w:val="24"/>
          <w:szCs w:val="24"/>
          <w:lang w:val="en-US" w:eastAsia="en-GB"/>
        </w:rPr>
        <w:t xml:space="preserve">Data sharing: The data that support the findings of this study are available on request from the senior authors. </w:t>
      </w:r>
    </w:p>
    <w:p w14:paraId="6364DCE2" w14:textId="77777777" w:rsidR="00C95A78" w:rsidRPr="00813425" w:rsidRDefault="00C95A78" w:rsidP="0082668C">
      <w:pPr>
        <w:rPr>
          <w:rFonts w:ascii="Times New Roman" w:hAnsi="Times New Roman" w:cs="Times New Roman"/>
          <w:b/>
          <w:sz w:val="24"/>
          <w:szCs w:val="24"/>
          <w:lang w:val="en-GB"/>
        </w:rPr>
      </w:pPr>
      <w:r w:rsidRPr="00813425">
        <w:rPr>
          <w:rFonts w:ascii="Times New Roman" w:hAnsi="Times New Roman" w:cs="Times New Roman"/>
          <w:b/>
          <w:sz w:val="24"/>
          <w:szCs w:val="24"/>
          <w:lang w:val="en-GB"/>
        </w:rPr>
        <w:t>References</w:t>
      </w:r>
    </w:p>
    <w:p w14:paraId="6364DCE3" w14:textId="77777777" w:rsidR="00D47FD7" w:rsidRPr="00813425" w:rsidRDefault="00D47FD7">
      <w:pPr>
        <w:widowControl w:val="0"/>
        <w:autoSpaceDE w:val="0"/>
        <w:autoSpaceDN w:val="0"/>
        <w:adjustRightInd w:val="0"/>
        <w:spacing w:after="0" w:line="240" w:lineRule="auto"/>
        <w:rPr>
          <w:rFonts w:ascii="Times New Roman" w:hAnsi="Times New Roman" w:cs="Times New Roman"/>
          <w:sz w:val="24"/>
          <w:szCs w:val="24"/>
        </w:rPr>
      </w:pPr>
    </w:p>
    <w:p w14:paraId="6364DCE4" w14:textId="77777777" w:rsidR="00D47FD7" w:rsidRPr="00813425" w:rsidRDefault="00D47FD7">
      <w:pPr>
        <w:widowControl w:val="0"/>
        <w:autoSpaceDE w:val="0"/>
        <w:autoSpaceDN w:val="0"/>
        <w:adjustRightInd w:val="0"/>
        <w:spacing w:after="140" w:line="288" w:lineRule="auto"/>
        <w:ind w:left="640" w:hanging="640"/>
        <w:rPr>
          <w:rFonts w:ascii="Times New Roman" w:hAnsi="Times New Roman" w:cs="Times New Roman"/>
          <w:sz w:val="24"/>
          <w:szCs w:val="24"/>
        </w:rPr>
      </w:pPr>
      <w:r w:rsidRPr="00813425">
        <w:rPr>
          <w:rFonts w:ascii="Times New Roman" w:hAnsi="Times New Roman" w:cs="Times New Roman"/>
          <w:sz w:val="24"/>
          <w:szCs w:val="24"/>
        </w:rPr>
        <w:t xml:space="preserve">1. </w:t>
      </w:r>
      <w:r w:rsidRPr="00813425">
        <w:rPr>
          <w:rFonts w:ascii="Times New Roman" w:hAnsi="Times New Roman" w:cs="Times New Roman"/>
          <w:sz w:val="24"/>
          <w:szCs w:val="24"/>
        </w:rPr>
        <w:tab/>
      </w:r>
      <w:proofErr w:type="spellStart"/>
      <w:r w:rsidRPr="00813425">
        <w:rPr>
          <w:rFonts w:ascii="Times New Roman" w:hAnsi="Times New Roman" w:cs="Times New Roman"/>
          <w:sz w:val="24"/>
          <w:szCs w:val="24"/>
        </w:rPr>
        <w:t>Starup</w:t>
      </w:r>
      <w:proofErr w:type="spellEnd"/>
      <w:r w:rsidRPr="00813425">
        <w:rPr>
          <w:rFonts w:ascii="Times New Roman" w:hAnsi="Times New Roman" w:cs="Times New Roman"/>
          <w:sz w:val="24"/>
          <w:szCs w:val="24"/>
        </w:rPr>
        <w:t xml:space="preserve">-Linde J, Rosendahl SB, </w:t>
      </w:r>
      <w:proofErr w:type="spellStart"/>
      <w:r w:rsidRPr="00813425">
        <w:rPr>
          <w:rFonts w:ascii="Times New Roman" w:hAnsi="Times New Roman" w:cs="Times New Roman"/>
          <w:sz w:val="24"/>
          <w:szCs w:val="24"/>
        </w:rPr>
        <w:t>Storgaard</w:t>
      </w:r>
      <w:proofErr w:type="spellEnd"/>
      <w:r w:rsidRPr="00813425">
        <w:rPr>
          <w:rFonts w:ascii="Times New Roman" w:hAnsi="Times New Roman" w:cs="Times New Roman"/>
          <w:sz w:val="24"/>
          <w:szCs w:val="24"/>
        </w:rPr>
        <w:t xml:space="preserve"> M, </w:t>
      </w:r>
      <w:proofErr w:type="spellStart"/>
      <w:r w:rsidRPr="00813425">
        <w:rPr>
          <w:rFonts w:ascii="Times New Roman" w:hAnsi="Times New Roman" w:cs="Times New Roman"/>
          <w:sz w:val="24"/>
          <w:szCs w:val="24"/>
        </w:rPr>
        <w:t>Langdahl</w:t>
      </w:r>
      <w:proofErr w:type="spellEnd"/>
      <w:r w:rsidRPr="00813425">
        <w:rPr>
          <w:rFonts w:ascii="Times New Roman" w:hAnsi="Times New Roman" w:cs="Times New Roman"/>
          <w:sz w:val="24"/>
          <w:szCs w:val="24"/>
        </w:rPr>
        <w:t xml:space="preserve"> B. Management of Osteoporosis in Patients Living with HIV - A Systematic Review and Meta-analysis. J </w:t>
      </w:r>
      <w:proofErr w:type="spellStart"/>
      <w:r w:rsidRPr="00813425">
        <w:rPr>
          <w:rFonts w:ascii="Times New Roman" w:hAnsi="Times New Roman" w:cs="Times New Roman"/>
          <w:sz w:val="24"/>
          <w:szCs w:val="24"/>
        </w:rPr>
        <w:lastRenderedPageBreak/>
        <w:t>Acquir</w:t>
      </w:r>
      <w:proofErr w:type="spellEnd"/>
      <w:r w:rsidRPr="00813425">
        <w:rPr>
          <w:rFonts w:ascii="Times New Roman" w:hAnsi="Times New Roman" w:cs="Times New Roman"/>
          <w:sz w:val="24"/>
          <w:szCs w:val="24"/>
        </w:rPr>
        <w:t xml:space="preserve"> Immune </w:t>
      </w:r>
      <w:proofErr w:type="spellStart"/>
      <w:r w:rsidRPr="00813425">
        <w:rPr>
          <w:rFonts w:ascii="Times New Roman" w:hAnsi="Times New Roman" w:cs="Times New Roman"/>
          <w:sz w:val="24"/>
          <w:szCs w:val="24"/>
        </w:rPr>
        <w:t>Defic</w:t>
      </w:r>
      <w:proofErr w:type="spellEnd"/>
      <w:r w:rsidRPr="00813425">
        <w:rPr>
          <w:rFonts w:ascii="Times New Roman" w:hAnsi="Times New Roman" w:cs="Times New Roman"/>
          <w:sz w:val="24"/>
          <w:szCs w:val="24"/>
        </w:rPr>
        <w:t xml:space="preserve"> </w:t>
      </w:r>
      <w:proofErr w:type="spellStart"/>
      <w:r w:rsidRPr="00813425">
        <w:rPr>
          <w:rFonts w:ascii="Times New Roman" w:hAnsi="Times New Roman" w:cs="Times New Roman"/>
          <w:sz w:val="24"/>
          <w:szCs w:val="24"/>
        </w:rPr>
        <w:t>Syndr</w:t>
      </w:r>
      <w:proofErr w:type="spellEnd"/>
      <w:r w:rsidRPr="00813425">
        <w:rPr>
          <w:rFonts w:ascii="Times New Roman" w:hAnsi="Times New Roman" w:cs="Times New Roman"/>
          <w:sz w:val="24"/>
          <w:szCs w:val="24"/>
        </w:rPr>
        <w:t xml:space="preserve">. 2020;83(1):1–8. </w:t>
      </w:r>
    </w:p>
    <w:p w14:paraId="6364DCE5" w14:textId="77777777" w:rsidR="00D47FD7" w:rsidRPr="00813425" w:rsidRDefault="00D47FD7">
      <w:pPr>
        <w:widowControl w:val="0"/>
        <w:autoSpaceDE w:val="0"/>
        <w:autoSpaceDN w:val="0"/>
        <w:adjustRightInd w:val="0"/>
        <w:spacing w:after="140" w:line="288" w:lineRule="auto"/>
        <w:ind w:left="640" w:hanging="640"/>
        <w:rPr>
          <w:rFonts w:ascii="Times New Roman" w:hAnsi="Times New Roman" w:cs="Times New Roman"/>
          <w:sz w:val="24"/>
          <w:szCs w:val="24"/>
        </w:rPr>
      </w:pPr>
      <w:r w:rsidRPr="00813425">
        <w:rPr>
          <w:rFonts w:ascii="Times New Roman" w:hAnsi="Times New Roman" w:cs="Times New Roman"/>
          <w:sz w:val="24"/>
          <w:szCs w:val="24"/>
        </w:rPr>
        <w:t xml:space="preserve">2. </w:t>
      </w:r>
      <w:r w:rsidRPr="00813425">
        <w:rPr>
          <w:rFonts w:ascii="Times New Roman" w:hAnsi="Times New Roman" w:cs="Times New Roman"/>
          <w:sz w:val="24"/>
          <w:szCs w:val="24"/>
        </w:rPr>
        <w:tab/>
        <w:t xml:space="preserve">Kanis JA, Johansson H, Oden A, </w:t>
      </w:r>
      <w:proofErr w:type="spellStart"/>
      <w:r w:rsidRPr="00813425">
        <w:rPr>
          <w:rFonts w:ascii="Times New Roman" w:hAnsi="Times New Roman" w:cs="Times New Roman"/>
          <w:sz w:val="24"/>
          <w:szCs w:val="24"/>
        </w:rPr>
        <w:t>Mccloskey</w:t>
      </w:r>
      <w:proofErr w:type="spellEnd"/>
      <w:r w:rsidRPr="00813425">
        <w:rPr>
          <w:rFonts w:ascii="Times New Roman" w:hAnsi="Times New Roman" w:cs="Times New Roman"/>
          <w:sz w:val="24"/>
          <w:szCs w:val="24"/>
        </w:rPr>
        <w:t xml:space="preserve"> E V. Assessment of fracture risk. Eur J </w:t>
      </w:r>
      <w:proofErr w:type="spellStart"/>
      <w:r w:rsidRPr="00813425">
        <w:rPr>
          <w:rFonts w:ascii="Times New Roman" w:hAnsi="Times New Roman" w:cs="Times New Roman"/>
          <w:sz w:val="24"/>
          <w:szCs w:val="24"/>
        </w:rPr>
        <w:t>Radiol</w:t>
      </w:r>
      <w:proofErr w:type="spellEnd"/>
      <w:r w:rsidRPr="00813425">
        <w:rPr>
          <w:rFonts w:ascii="Times New Roman" w:hAnsi="Times New Roman" w:cs="Times New Roman"/>
          <w:sz w:val="24"/>
          <w:szCs w:val="24"/>
        </w:rPr>
        <w:t xml:space="preserve">. </w:t>
      </w:r>
      <w:proofErr w:type="gramStart"/>
      <w:r w:rsidRPr="00813425">
        <w:rPr>
          <w:rFonts w:ascii="Times New Roman" w:hAnsi="Times New Roman" w:cs="Times New Roman"/>
          <w:sz w:val="24"/>
          <w:szCs w:val="24"/>
        </w:rPr>
        <w:t>2009;71:392</w:t>
      </w:r>
      <w:proofErr w:type="gramEnd"/>
      <w:r w:rsidRPr="00813425">
        <w:rPr>
          <w:rFonts w:ascii="Times New Roman" w:hAnsi="Times New Roman" w:cs="Times New Roman"/>
          <w:sz w:val="24"/>
          <w:szCs w:val="24"/>
        </w:rPr>
        <w:t xml:space="preserve">–7. </w:t>
      </w:r>
    </w:p>
    <w:p w14:paraId="6364DCE6" w14:textId="77777777" w:rsidR="00D47FD7" w:rsidRPr="00813425" w:rsidRDefault="00D47FD7">
      <w:pPr>
        <w:widowControl w:val="0"/>
        <w:autoSpaceDE w:val="0"/>
        <w:autoSpaceDN w:val="0"/>
        <w:adjustRightInd w:val="0"/>
        <w:spacing w:after="140" w:line="288" w:lineRule="auto"/>
        <w:ind w:left="640" w:hanging="640"/>
        <w:rPr>
          <w:rFonts w:ascii="Times New Roman" w:hAnsi="Times New Roman" w:cs="Times New Roman"/>
          <w:sz w:val="24"/>
          <w:szCs w:val="24"/>
        </w:rPr>
      </w:pPr>
      <w:r w:rsidRPr="00813425">
        <w:rPr>
          <w:rFonts w:ascii="Times New Roman" w:hAnsi="Times New Roman" w:cs="Times New Roman"/>
          <w:sz w:val="24"/>
          <w:szCs w:val="24"/>
        </w:rPr>
        <w:t xml:space="preserve">3. </w:t>
      </w:r>
      <w:r w:rsidRPr="00813425">
        <w:rPr>
          <w:rFonts w:ascii="Times New Roman" w:hAnsi="Times New Roman" w:cs="Times New Roman"/>
          <w:sz w:val="24"/>
          <w:szCs w:val="24"/>
        </w:rPr>
        <w:tab/>
        <w:t xml:space="preserve">Gregson CL, Hartley A, </w:t>
      </w:r>
      <w:proofErr w:type="spellStart"/>
      <w:r w:rsidRPr="00813425">
        <w:rPr>
          <w:rFonts w:ascii="Times New Roman" w:hAnsi="Times New Roman" w:cs="Times New Roman"/>
          <w:sz w:val="24"/>
          <w:szCs w:val="24"/>
        </w:rPr>
        <w:t>Majonga</w:t>
      </w:r>
      <w:proofErr w:type="spellEnd"/>
      <w:r w:rsidRPr="00813425">
        <w:rPr>
          <w:rFonts w:ascii="Times New Roman" w:hAnsi="Times New Roman" w:cs="Times New Roman"/>
          <w:sz w:val="24"/>
          <w:szCs w:val="24"/>
        </w:rPr>
        <w:t xml:space="preserve"> E, McHugh G, Crabtree N, Rukuni R, et al. </w:t>
      </w:r>
      <w:proofErr w:type="gramStart"/>
      <w:r w:rsidRPr="00813425">
        <w:rPr>
          <w:rFonts w:ascii="Times New Roman" w:hAnsi="Times New Roman" w:cs="Times New Roman"/>
          <w:sz w:val="24"/>
          <w:szCs w:val="24"/>
        </w:rPr>
        <w:t>Older</w:t>
      </w:r>
      <w:proofErr w:type="gramEnd"/>
      <w:r w:rsidRPr="00813425">
        <w:rPr>
          <w:rFonts w:ascii="Times New Roman" w:hAnsi="Times New Roman" w:cs="Times New Roman"/>
          <w:sz w:val="24"/>
          <w:szCs w:val="24"/>
        </w:rPr>
        <w:t xml:space="preserve"> age at initiation of antiretroviral therapy predicts low bone mineral density in children with perinatally-infected HIV in Zimbabwe. Bone [Internet]. 2019;125(May):96–102. Available from: https://doi.org/10.1016/j.bone.2019.05.012</w:t>
      </w:r>
    </w:p>
    <w:p w14:paraId="6364DCE7" w14:textId="77777777" w:rsidR="00D47FD7" w:rsidRPr="00813425" w:rsidRDefault="00D47FD7">
      <w:pPr>
        <w:widowControl w:val="0"/>
        <w:autoSpaceDE w:val="0"/>
        <w:autoSpaceDN w:val="0"/>
        <w:adjustRightInd w:val="0"/>
        <w:spacing w:after="140" w:line="288" w:lineRule="auto"/>
        <w:ind w:left="640" w:hanging="640"/>
        <w:rPr>
          <w:rFonts w:ascii="Times New Roman" w:hAnsi="Times New Roman" w:cs="Times New Roman"/>
          <w:sz w:val="24"/>
          <w:szCs w:val="24"/>
        </w:rPr>
      </w:pPr>
      <w:r w:rsidRPr="00813425">
        <w:rPr>
          <w:rFonts w:ascii="Times New Roman" w:hAnsi="Times New Roman" w:cs="Times New Roman"/>
          <w:sz w:val="24"/>
          <w:szCs w:val="24"/>
        </w:rPr>
        <w:t xml:space="preserve">4. </w:t>
      </w:r>
      <w:r w:rsidRPr="00813425">
        <w:rPr>
          <w:rFonts w:ascii="Times New Roman" w:hAnsi="Times New Roman" w:cs="Times New Roman"/>
          <w:sz w:val="24"/>
          <w:szCs w:val="24"/>
        </w:rPr>
        <w:tab/>
        <w:t xml:space="preserve">Shiau S, Yin MT, </w:t>
      </w:r>
      <w:proofErr w:type="spellStart"/>
      <w:r w:rsidRPr="00813425">
        <w:rPr>
          <w:rFonts w:ascii="Times New Roman" w:hAnsi="Times New Roman" w:cs="Times New Roman"/>
          <w:sz w:val="24"/>
          <w:szCs w:val="24"/>
        </w:rPr>
        <w:t>Strehlau</w:t>
      </w:r>
      <w:proofErr w:type="spellEnd"/>
      <w:r w:rsidRPr="00813425">
        <w:rPr>
          <w:rFonts w:ascii="Times New Roman" w:hAnsi="Times New Roman" w:cs="Times New Roman"/>
          <w:sz w:val="24"/>
          <w:szCs w:val="24"/>
        </w:rPr>
        <w:t xml:space="preserve"> R, Patel F, </w:t>
      </w:r>
      <w:proofErr w:type="spellStart"/>
      <w:r w:rsidRPr="00813425">
        <w:rPr>
          <w:rFonts w:ascii="Times New Roman" w:hAnsi="Times New Roman" w:cs="Times New Roman"/>
          <w:sz w:val="24"/>
          <w:szCs w:val="24"/>
        </w:rPr>
        <w:t>Mbete</w:t>
      </w:r>
      <w:proofErr w:type="spellEnd"/>
      <w:r w:rsidRPr="00813425">
        <w:rPr>
          <w:rFonts w:ascii="Times New Roman" w:hAnsi="Times New Roman" w:cs="Times New Roman"/>
          <w:sz w:val="24"/>
          <w:szCs w:val="24"/>
        </w:rPr>
        <w:t xml:space="preserve"> N, Kuhn L, et al. Decreased bone turnover in HIV-infected children on antiretroviral therapy. Arch Osteoporos. 2018;13(1). </w:t>
      </w:r>
    </w:p>
    <w:p w14:paraId="6364DCE8" w14:textId="77777777" w:rsidR="00D47FD7" w:rsidRPr="00813425" w:rsidRDefault="00D47FD7">
      <w:pPr>
        <w:widowControl w:val="0"/>
        <w:autoSpaceDE w:val="0"/>
        <w:autoSpaceDN w:val="0"/>
        <w:adjustRightInd w:val="0"/>
        <w:spacing w:after="140" w:line="288" w:lineRule="auto"/>
        <w:ind w:left="640" w:hanging="640"/>
        <w:rPr>
          <w:rFonts w:ascii="Times New Roman" w:hAnsi="Times New Roman" w:cs="Times New Roman"/>
          <w:sz w:val="24"/>
          <w:szCs w:val="24"/>
        </w:rPr>
      </w:pPr>
      <w:r w:rsidRPr="00813425">
        <w:rPr>
          <w:rFonts w:ascii="Times New Roman" w:hAnsi="Times New Roman" w:cs="Times New Roman"/>
          <w:sz w:val="24"/>
          <w:szCs w:val="24"/>
        </w:rPr>
        <w:t xml:space="preserve">5. </w:t>
      </w:r>
      <w:r w:rsidRPr="00813425">
        <w:rPr>
          <w:rFonts w:ascii="Times New Roman" w:hAnsi="Times New Roman" w:cs="Times New Roman"/>
          <w:sz w:val="24"/>
          <w:szCs w:val="24"/>
        </w:rPr>
        <w:tab/>
        <w:t xml:space="preserve">Arpadi SM, </w:t>
      </w:r>
      <w:proofErr w:type="spellStart"/>
      <w:r w:rsidRPr="00813425">
        <w:rPr>
          <w:rFonts w:ascii="Times New Roman" w:hAnsi="Times New Roman" w:cs="Times New Roman"/>
          <w:sz w:val="24"/>
          <w:szCs w:val="24"/>
        </w:rPr>
        <w:t>Shiau</w:t>
      </w:r>
      <w:proofErr w:type="spellEnd"/>
      <w:r w:rsidRPr="00813425">
        <w:rPr>
          <w:rFonts w:ascii="Times New Roman" w:hAnsi="Times New Roman" w:cs="Times New Roman"/>
          <w:sz w:val="24"/>
          <w:szCs w:val="24"/>
        </w:rPr>
        <w:t xml:space="preserve"> S, </w:t>
      </w:r>
      <w:proofErr w:type="spellStart"/>
      <w:r w:rsidRPr="00813425">
        <w:rPr>
          <w:rFonts w:ascii="Times New Roman" w:hAnsi="Times New Roman" w:cs="Times New Roman"/>
          <w:sz w:val="24"/>
          <w:szCs w:val="24"/>
        </w:rPr>
        <w:t>Strehlau</w:t>
      </w:r>
      <w:proofErr w:type="spellEnd"/>
      <w:r w:rsidRPr="00813425">
        <w:rPr>
          <w:rFonts w:ascii="Times New Roman" w:hAnsi="Times New Roman" w:cs="Times New Roman"/>
          <w:sz w:val="24"/>
          <w:szCs w:val="24"/>
        </w:rPr>
        <w:t xml:space="preserve"> R, Patel F, </w:t>
      </w:r>
      <w:proofErr w:type="spellStart"/>
      <w:r w:rsidRPr="00813425">
        <w:rPr>
          <w:rFonts w:ascii="Times New Roman" w:hAnsi="Times New Roman" w:cs="Times New Roman"/>
          <w:sz w:val="24"/>
          <w:szCs w:val="24"/>
        </w:rPr>
        <w:t>Mbete</w:t>
      </w:r>
      <w:proofErr w:type="spellEnd"/>
      <w:r w:rsidRPr="00813425">
        <w:rPr>
          <w:rFonts w:ascii="Times New Roman" w:hAnsi="Times New Roman" w:cs="Times New Roman"/>
          <w:sz w:val="24"/>
          <w:szCs w:val="24"/>
        </w:rPr>
        <w:t xml:space="preserve"> N, McMahon DJ, et al. Efavirenz is associated with higher bone mass in South African children with HIV. AIDS. </w:t>
      </w:r>
      <w:proofErr w:type="gramStart"/>
      <w:r w:rsidRPr="00813425">
        <w:rPr>
          <w:rFonts w:ascii="Times New Roman" w:hAnsi="Times New Roman" w:cs="Times New Roman"/>
          <w:sz w:val="24"/>
          <w:szCs w:val="24"/>
        </w:rPr>
        <w:t>2016;30:2459</w:t>
      </w:r>
      <w:proofErr w:type="gramEnd"/>
      <w:r w:rsidRPr="00813425">
        <w:rPr>
          <w:rFonts w:ascii="Times New Roman" w:hAnsi="Times New Roman" w:cs="Times New Roman"/>
          <w:sz w:val="24"/>
          <w:szCs w:val="24"/>
        </w:rPr>
        <w:t xml:space="preserve">–67. </w:t>
      </w:r>
    </w:p>
    <w:p w14:paraId="6364DCE9" w14:textId="77777777" w:rsidR="00D47FD7" w:rsidRPr="00813425" w:rsidRDefault="00D47FD7">
      <w:pPr>
        <w:widowControl w:val="0"/>
        <w:autoSpaceDE w:val="0"/>
        <w:autoSpaceDN w:val="0"/>
        <w:adjustRightInd w:val="0"/>
        <w:spacing w:after="140" w:line="288" w:lineRule="auto"/>
        <w:ind w:left="640" w:hanging="640"/>
        <w:rPr>
          <w:rFonts w:ascii="Times New Roman" w:hAnsi="Times New Roman" w:cs="Times New Roman"/>
          <w:sz w:val="24"/>
          <w:szCs w:val="24"/>
        </w:rPr>
      </w:pPr>
      <w:r w:rsidRPr="00813425">
        <w:rPr>
          <w:rFonts w:ascii="Times New Roman" w:hAnsi="Times New Roman" w:cs="Times New Roman"/>
          <w:sz w:val="24"/>
          <w:szCs w:val="24"/>
        </w:rPr>
        <w:t xml:space="preserve">6. </w:t>
      </w:r>
      <w:r w:rsidRPr="00813425">
        <w:rPr>
          <w:rFonts w:ascii="Times New Roman" w:hAnsi="Times New Roman" w:cs="Times New Roman"/>
          <w:sz w:val="24"/>
          <w:szCs w:val="24"/>
        </w:rPr>
        <w:tab/>
        <w:t xml:space="preserve">Mukwasi-Kahari C, Rehman AM, Ó Breasail M, Rukuni R, Madanhire T, Chipanga J, et al. Impaired Bone Architecture in Peripubertal Children With HIV, Despite Treatment </w:t>
      </w:r>
      <w:proofErr w:type="gramStart"/>
      <w:r w:rsidRPr="00813425">
        <w:rPr>
          <w:rFonts w:ascii="Times New Roman" w:hAnsi="Times New Roman" w:cs="Times New Roman"/>
          <w:sz w:val="24"/>
          <w:szCs w:val="24"/>
        </w:rPr>
        <w:t>With</w:t>
      </w:r>
      <w:proofErr w:type="gramEnd"/>
      <w:r w:rsidRPr="00813425">
        <w:rPr>
          <w:rFonts w:ascii="Times New Roman" w:hAnsi="Times New Roman" w:cs="Times New Roman"/>
          <w:sz w:val="24"/>
          <w:szCs w:val="24"/>
        </w:rPr>
        <w:t xml:space="preserve"> Antiretroviral Therapy: A Cross-Sectional Study From Zimbabwe. J Bone Miner Res. 2023;38(2):248–60. </w:t>
      </w:r>
    </w:p>
    <w:p w14:paraId="6364DCEA" w14:textId="77777777" w:rsidR="00D47FD7" w:rsidRPr="00813425" w:rsidRDefault="00D47FD7">
      <w:pPr>
        <w:widowControl w:val="0"/>
        <w:autoSpaceDE w:val="0"/>
        <w:autoSpaceDN w:val="0"/>
        <w:adjustRightInd w:val="0"/>
        <w:spacing w:after="140" w:line="288" w:lineRule="auto"/>
        <w:ind w:left="640" w:hanging="640"/>
        <w:rPr>
          <w:rFonts w:ascii="Times New Roman" w:hAnsi="Times New Roman" w:cs="Times New Roman"/>
          <w:sz w:val="24"/>
          <w:szCs w:val="24"/>
        </w:rPr>
      </w:pPr>
      <w:r w:rsidRPr="00813425">
        <w:rPr>
          <w:rFonts w:ascii="Times New Roman" w:hAnsi="Times New Roman" w:cs="Times New Roman"/>
          <w:sz w:val="24"/>
          <w:szCs w:val="24"/>
        </w:rPr>
        <w:t xml:space="preserve">7. </w:t>
      </w:r>
      <w:r w:rsidRPr="00813425">
        <w:rPr>
          <w:rFonts w:ascii="Times New Roman" w:hAnsi="Times New Roman" w:cs="Times New Roman"/>
          <w:sz w:val="24"/>
          <w:szCs w:val="24"/>
        </w:rPr>
        <w:tab/>
        <w:t xml:space="preserve">Rukuni R, Rehman AM, Mukwasi-Kahari C, Madanhire T, Kowo-Nyakoko F, McHugh G, et al. Effect of HIV infection on growth and bone density in peripubertal children in the era of antiretroviral therapy: a cross-sectional study in Zimbabwe. Lancet Child </w:t>
      </w:r>
      <w:proofErr w:type="spellStart"/>
      <w:r w:rsidRPr="00813425">
        <w:rPr>
          <w:rFonts w:ascii="Times New Roman" w:hAnsi="Times New Roman" w:cs="Times New Roman"/>
          <w:sz w:val="24"/>
          <w:szCs w:val="24"/>
        </w:rPr>
        <w:t>Adolesc</w:t>
      </w:r>
      <w:proofErr w:type="spellEnd"/>
      <w:r w:rsidRPr="00813425">
        <w:rPr>
          <w:rFonts w:ascii="Times New Roman" w:hAnsi="Times New Roman" w:cs="Times New Roman"/>
          <w:sz w:val="24"/>
          <w:szCs w:val="24"/>
        </w:rPr>
        <w:t xml:space="preserve"> Heal [Internet]. 2021;5(8):569–81. Available from: http://dx.doi.org/10.1016/S2352-4642(21)00133-4</w:t>
      </w:r>
    </w:p>
    <w:p w14:paraId="6364DCEB" w14:textId="77777777" w:rsidR="00D47FD7" w:rsidRPr="00813425" w:rsidRDefault="00D47FD7">
      <w:pPr>
        <w:widowControl w:val="0"/>
        <w:autoSpaceDE w:val="0"/>
        <w:autoSpaceDN w:val="0"/>
        <w:adjustRightInd w:val="0"/>
        <w:spacing w:after="140" w:line="288" w:lineRule="auto"/>
        <w:ind w:left="640" w:hanging="640"/>
        <w:rPr>
          <w:rFonts w:ascii="Times New Roman" w:hAnsi="Times New Roman" w:cs="Times New Roman"/>
          <w:sz w:val="24"/>
          <w:szCs w:val="24"/>
        </w:rPr>
      </w:pPr>
      <w:r w:rsidRPr="00813425">
        <w:rPr>
          <w:rFonts w:ascii="Times New Roman" w:hAnsi="Times New Roman" w:cs="Times New Roman"/>
          <w:sz w:val="24"/>
          <w:szCs w:val="24"/>
        </w:rPr>
        <w:t xml:space="preserve">8. </w:t>
      </w:r>
      <w:r w:rsidRPr="00813425">
        <w:rPr>
          <w:rFonts w:ascii="Times New Roman" w:hAnsi="Times New Roman" w:cs="Times New Roman"/>
          <w:sz w:val="24"/>
          <w:szCs w:val="24"/>
        </w:rPr>
        <w:tab/>
        <w:t xml:space="preserve">UNAIDS. UNAIDS DATA 2019. UNAIDS. </w:t>
      </w:r>
      <w:proofErr w:type="gramStart"/>
      <w:r w:rsidRPr="00813425">
        <w:rPr>
          <w:rFonts w:ascii="Times New Roman" w:hAnsi="Times New Roman" w:cs="Times New Roman"/>
          <w:sz w:val="24"/>
          <w:szCs w:val="24"/>
        </w:rPr>
        <w:t>2019;JC</w:t>
      </w:r>
      <w:proofErr w:type="gramEnd"/>
      <w:r w:rsidRPr="00813425">
        <w:rPr>
          <w:rFonts w:ascii="Times New Roman" w:hAnsi="Times New Roman" w:cs="Times New Roman"/>
          <w:sz w:val="24"/>
          <w:szCs w:val="24"/>
        </w:rPr>
        <w:t xml:space="preserve">2959E:1–471. </w:t>
      </w:r>
    </w:p>
    <w:p w14:paraId="6364DCEC" w14:textId="77777777" w:rsidR="00D47FD7" w:rsidRPr="00813425" w:rsidRDefault="00D47FD7">
      <w:pPr>
        <w:widowControl w:val="0"/>
        <w:autoSpaceDE w:val="0"/>
        <w:autoSpaceDN w:val="0"/>
        <w:adjustRightInd w:val="0"/>
        <w:spacing w:after="140" w:line="288" w:lineRule="auto"/>
        <w:ind w:left="640" w:hanging="640"/>
        <w:rPr>
          <w:rFonts w:ascii="Times New Roman" w:hAnsi="Times New Roman" w:cs="Times New Roman"/>
          <w:sz w:val="24"/>
          <w:szCs w:val="24"/>
        </w:rPr>
      </w:pPr>
      <w:r w:rsidRPr="00813425">
        <w:rPr>
          <w:rFonts w:ascii="Times New Roman" w:hAnsi="Times New Roman" w:cs="Times New Roman"/>
          <w:sz w:val="24"/>
          <w:szCs w:val="24"/>
        </w:rPr>
        <w:t xml:space="preserve">9. </w:t>
      </w:r>
      <w:r w:rsidRPr="00813425">
        <w:rPr>
          <w:rFonts w:ascii="Times New Roman" w:hAnsi="Times New Roman" w:cs="Times New Roman"/>
          <w:sz w:val="24"/>
          <w:szCs w:val="24"/>
        </w:rPr>
        <w:tab/>
        <w:t xml:space="preserve">M Arpadi S. Bone Health in HIV-Infected Children, Adolescents and Young Adults: A Systematic Review. J AIDS Clin Res. 2014;05(11). </w:t>
      </w:r>
    </w:p>
    <w:p w14:paraId="6364DCED" w14:textId="77777777" w:rsidR="00D47FD7" w:rsidRPr="00813425" w:rsidRDefault="00D47FD7">
      <w:pPr>
        <w:widowControl w:val="0"/>
        <w:autoSpaceDE w:val="0"/>
        <w:autoSpaceDN w:val="0"/>
        <w:adjustRightInd w:val="0"/>
        <w:spacing w:after="140" w:line="288" w:lineRule="auto"/>
        <w:ind w:left="640" w:hanging="640"/>
        <w:rPr>
          <w:rFonts w:ascii="Times New Roman" w:hAnsi="Times New Roman" w:cs="Times New Roman"/>
          <w:sz w:val="24"/>
          <w:szCs w:val="24"/>
        </w:rPr>
      </w:pPr>
      <w:r w:rsidRPr="00813425">
        <w:rPr>
          <w:rFonts w:ascii="Times New Roman" w:hAnsi="Times New Roman" w:cs="Times New Roman"/>
          <w:sz w:val="24"/>
          <w:szCs w:val="24"/>
        </w:rPr>
        <w:t xml:space="preserve">10. </w:t>
      </w:r>
      <w:r w:rsidRPr="00813425">
        <w:rPr>
          <w:rFonts w:ascii="Times New Roman" w:hAnsi="Times New Roman" w:cs="Times New Roman"/>
          <w:sz w:val="24"/>
          <w:szCs w:val="24"/>
        </w:rPr>
        <w:tab/>
        <w:t xml:space="preserve">Shiau S, Yin MT, </w:t>
      </w:r>
      <w:proofErr w:type="spellStart"/>
      <w:r w:rsidRPr="00813425">
        <w:rPr>
          <w:rFonts w:ascii="Times New Roman" w:hAnsi="Times New Roman" w:cs="Times New Roman"/>
          <w:sz w:val="24"/>
          <w:szCs w:val="24"/>
        </w:rPr>
        <w:t>Strehlau</w:t>
      </w:r>
      <w:proofErr w:type="spellEnd"/>
      <w:r w:rsidRPr="00813425">
        <w:rPr>
          <w:rFonts w:ascii="Times New Roman" w:hAnsi="Times New Roman" w:cs="Times New Roman"/>
          <w:sz w:val="24"/>
          <w:szCs w:val="24"/>
        </w:rPr>
        <w:t xml:space="preserve"> R, Burke M, Patel F, Kuhn L, et al. Deficits in Bone Architecture and Strength in Children Living </w:t>
      </w:r>
      <w:proofErr w:type="gramStart"/>
      <w:r w:rsidRPr="00813425">
        <w:rPr>
          <w:rFonts w:ascii="Times New Roman" w:hAnsi="Times New Roman" w:cs="Times New Roman"/>
          <w:sz w:val="24"/>
          <w:szCs w:val="24"/>
        </w:rPr>
        <w:t>With</w:t>
      </w:r>
      <w:proofErr w:type="gramEnd"/>
      <w:r w:rsidRPr="00813425">
        <w:rPr>
          <w:rFonts w:ascii="Times New Roman" w:hAnsi="Times New Roman" w:cs="Times New Roman"/>
          <w:sz w:val="24"/>
          <w:szCs w:val="24"/>
        </w:rPr>
        <w:t xml:space="preserve"> HIV on Antiretroviral Therapy. J </w:t>
      </w:r>
      <w:proofErr w:type="spellStart"/>
      <w:r w:rsidRPr="00813425">
        <w:rPr>
          <w:rFonts w:ascii="Times New Roman" w:hAnsi="Times New Roman" w:cs="Times New Roman"/>
          <w:sz w:val="24"/>
          <w:szCs w:val="24"/>
        </w:rPr>
        <w:t>Acquir</w:t>
      </w:r>
      <w:proofErr w:type="spellEnd"/>
      <w:r w:rsidRPr="00813425">
        <w:rPr>
          <w:rFonts w:ascii="Times New Roman" w:hAnsi="Times New Roman" w:cs="Times New Roman"/>
          <w:sz w:val="24"/>
          <w:szCs w:val="24"/>
        </w:rPr>
        <w:t xml:space="preserve"> Immune </w:t>
      </w:r>
      <w:proofErr w:type="spellStart"/>
      <w:r w:rsidRPr="00813425">
        <w:rPr>
          <w:rFonts w:ascii="Times New Roman" w:hAnsi="Times New Roman" w:cs="Times New Roman"/>
          <w:sz w:val="24"/>
          <w:szCs w:val="24"/>
        </w:rPr>
        <w:t>Defic</w:t>
      </w:r>
      <w:proofErr w:type="spellEnd"/>
      <w:r w:rsidRPr="00813425">
        <w:rPr>
          <w:rFonts w:ascii="Times New Roman" w:hAnsi="Times New Roman" w:cs="Times New Roman"/>
          <w:sz w:val="24"/>
          <w:szCs w:val="24"/>
        </w:rPr>
        <w:t xml:space="preserve"> </w:t>
      </w:r>
      <w:proofErr w:type="spellStart"/>
      <w:r w:rsidRPr="00813425">
        <w:rPr>
          <w:rFonts w:ascii="Times New Roman" w:hAnsi="Times New Roman" w:cs="Times New Roman"/>
          <w:sz w:val="24"/>
          <w:szCs w:val="24"/>
        </w:rPr>
        <w:t>Syndr</w:t>
      </w:r>
      <w:proofErr w:type="spellEnd"/>
      <w:r w:rsidRPr="00813425">
        <w:rPr>
          <w:rFonts w:ascii="Times New Roman" w:hAnsi="Times New Roman" w:cs="Times New Roman"/>
          <w:sz w:val="24"/>
          <w:szCs w:val="24"/>
        </w:rPr>
        <w:t xml:space="preserve">. 2020;84(1):101–6. </w:t>
      </w:r>
    </w:p>
    <w:p w14:paraId="6364DCEE" w14:textId="77777777" w:rsidR="00D47FD7" w:rsidRPr="00813425" w:rsidRDefault="00D47FD7">
      <w:pPr>
        <w:widowControl w:val="0"/>
        <w:autoSpaceDE w:val="0"/>
        <w:autoSpaceDN w:val="0"/>
        <w:adjustRightInd w:val="0"/>
        <w:spacing w:after="140" w:line="288" w:lineRule="auto"/>
        <w:ind w:left="640" w:hanging="640"/>
        <w:rPr>
          <w:rFonts w:ascii="Times New Roman" w:hAnsi="Times New Roman" w:cs="Times New Roman"/>
          <w:sz w:val="24"/>
          <w:szCs w:val="24"/>
        </w:rPr>
      </w:pPr>
      <w:r w:rsidRPr="00813425">
        <w:rPr>
          <w:rFonts w:ascii="Times New Roman" w:hAnsi="Times New Roman" w:cs="Times New Roman"/>
          <w:sz w:val="24"/>
          <w:szCs w:val="24"/>
        </w:rPr>
        <w:t xml:space="preserve">11. </w:t>
      </w:r>
      <w:r w:rsidRPr="00813425">
        <w:rPr>
          <w:rFonts w:ascii="Times New Roman" w:hAnsi="Times New Roman" w:cs="Times New Roman"/>
          <w:sz w:val="24"/>
          <w:szCs w:val="24"/>
        </w:rPr>
        <w:tab/>
      </w:r>
      <w:proofErr w:type="spellStart"/>
      <w:r w:rsidRPr="00813425">
        <w:rPr>
          <w:rFonts w:ascii="Times New Roman" w:hAnsi="Times New Roman" w:cs="Times New Roman"/>
          <w:sz w:val="24"/>
          <w:szCs w:val="24"/>
        </w:rPr>
        <w:t>Bonnick</w:t>
      </w:r>
      <w:proofErr w:type="spellEnd"/>
      <w:r w:rsidRPr="00813425">
        <w:rPr>
          <w:rFonts w:ascii="Times New Roman" w:hAnsi="Times New Roman" w:cs="Times New Roman"/>
          <w:sz w:val="24"/>
          <w:szCs w:val="24"/>
        </w:rPr>
        <w:t xml:space="preserve"> S Lou. Bone densitometry in clinical practice, Application and </w:t>
      </w:r>
      <w:proofErr w:type="spellStart"/>
      <w:r w:rsidRPr="00813425">
        <w:rPr>
          <w:rFonts w:ascii="Times New Roman" w:hAnsi="Times New Roman" w:cs="Times New Roman"/>
          <w:sz w:val="24"/>
          <w:szCs w:val="24"/>
        </w:rPr>
        <w:t>Intepretation</w:t>
      </w:r>
      <w:proofErr w:type="spellEnd"/>
      <w:r w:rsidRPr="00813425">
        <w:rPr>
          <w:rFonts w:ascii="Times New Roman" w:hAnsi="Times New Roman" w:cs="Times New Roman"/>
          <w:sz w:val="24"/>
          <w:szCs w:val="24"/>
        </w:rPr>
        <w:t xml:space="preserve">. Second Edition. Humana Express, Totowa, New Jersey. 2002. 1–406 p. </w:t>
      </w:r>
    </w:p>
    <w:p w14:paraId="6364DCEF" w14:textId="77777777" w:rsidR="00D47FD7" w:rsidRPr="00813425" w:rsidRDefault="00D47FD7">
      <w:pPr>
        <w:widowControl w:val="0"/>
        <w:autoSpaceDE w:val="0"/>
        <w:autoSpaceDN w:val="0"/>
        <w:adjustRightInd w:val="0"/>
        <w:spacing w:after="140" w:line="288" w:lineRule="auto"/>
        <w:ind w:left="640" w:hanging="640"/>
        <w:rPr>
          <w:rFonts w:ascii="Times New Roman" w:hAnsi="Times New Roman" w:cs="Times New Roman"/>
          <w:sz w:val="24"/>
          <w:szCs w:val="24"/>
        </w:rPr>
      </w:pPr>
      <w:r w:rsidRPr="00813425">
        <w:rPr>
          <w:rFonts w:ascii="Times New Roman" w:hAnsi="Times New Roman" w:cs="Times New Roman"/>
          <w:sz w:val="24"/>
          <w:szCs w:val="24"/>
        </w:rPr>
        <w:t xml:space="preserve">12. </w:t>
      </w:r>
      <w:r w:rsidRPr="00813425">
        <w:rPr>
          <w:rFonts w:ascii="Times New Roman" w:hAnsi="Times New Roman" w:cs="Times New Roman"/>
          <w:sz w:val="24"/>
          <w:szCs w:val="24"/>
        </w:rPr>
        <w:tab/>
      </w:r>
      <w:proofErr w:type="spellStart"/>
      <w:r w:rsidRPr="00813425">
        <w:rPr>
          <w:rFonts w:ascii="Times New Roman" w:hAnsi="Times New Roman" w:cs="Times New Roman"/>
          <w:sz w:val="24"/>
          <w:szCs w:val="24"/>
        </w:rPr>
        <w:t>Mchugh</w:t>
      </w:r>
      <w:proofErr w:type="spellEnd"/>
      <w:r w:rsidRPr="00813425">
        <w:rPr>
          <w:rFonts w:ascii="Times New Roman" w:hAnsi="Times New Roman" w:cs="Times New Roman"/>
          <w:sz w:val="24"/>
          <w:szCs w:val="24"/>
        </w:rPr>
        <w:t xml:space="preserve"> G, Rylance J, Mujuru H, </w:t>
      </w:r>
      <w:proofErr w:type="spellStart"/>
      <w:r w:rsidRPr="00813425">
        <w:rPr>
          <w:rFonts w:ascii="Times New Roman" w:hAnsi="Times New Roman" w:cs="Times New Roman"/>
          <w:sz w:val="24"/>
          <w:szCs w:val="24"/>
        </w:rPr>
        <w:t>Paeds</w:t>
      </w:r>
      <w:proofErr w:type="spellEnd"/>
      <w:r w:rsidRPr="00813425">
        <w:rPr>
          <w:rFonts w:ascii="Times New Roman" w:hAnsi="Times New Roman" w:cs="Times New Roman"/>
          <w:sz w:val="24"/>
          <w:szCs w:val="24"/>
        </w:rPr>
        <w:t xml:space="preserve"> M, Epi C, Bandason T, et al. Chronic Morbidity Among Older Children and Adolescents at Diagnosis of HIV Infection. J </w:t>
      </w:r>
      <w:proofErr w:type="spellStart"/>
      <w:r w:rsidRPr="00813425">
        <w:rPr>
          <w:rFonts w:ascii="Times New Roman" w:hAnsi="Times New Roman" w:cs="Times New Roman"/>
          <w:sz w:val="24"/>
          <w:szCs w:val="24"/>
        </w:rPr>
        <w:t>Acquir</w:t>
      </w:r>
      <w:proofErr w:type="spellEnd"/>
      <w:r w:rsidRPr="00813425">
        <w:rPr>
          <w:rFonts w:ascii="Times New Roman" w:hAnsi="Times New Roman" w:cs="Times New Roman"/>
          <w:sz w:val="24"/>
          <w:szCs w:val="24"/>
        </w:rPr>
        <w:t xml:space="preserve"> Immune </w:t>
      </w:r>
      <w:proofErr w:type="spellStart"/>
      <w:r w:rsidRPr="00813425">
        <w:rPr>
          <w:rFonts w:ascii="Times New Roman" w:hAnsi="Times New Roman" w:cs="Times New Roman"/>
          <w:sz w:val="24"/>
          <w:szCs w:val="24"/>
        </w:rPr>
        <w:t>Defic</w:t>
      </w:r>
      <w:proofErr w:type="spellEnd"/>
      <w:r w:rsidRPr="00813425">
        <w:rPr>
          <w:rFonts w:ascii="Times New Roman" w:hAnsi="Times New Roman" w:cs="Times New Roman"/>
          <w:sz w:val="24"/>
          <w:szCs w:val="24"/>
        </w:rPr>
        <w:t xml:space="preserve"> </w:t>
      </w:r>
      <w:proofErr w:type="spellStart"/>
      <w:r w:rsidRPr="00813425">
        <w:rPr>
          <w:rFonts w:ascii="Times New Roman" w:hAnsi="Times New Roman" w:cs="Times New Roman"/>
          <w:sz w:val="24"/>
          <w:szCs w:val="24"/>
        </w:rPr>
        <w:t>Syndr</w:t>
      </w:r>
      <w:proofErr w:type="spellEnd"/>
      <w:r w:rsidRPr="00813425">
        <w:rPr>
          <w:rFonts w:ascii="Times New Roman" w:hAnsi="Times New Roman" w:cs="Times New Roman"/>
          <w:sz w:val="24"/>
          <w:szCs w:val="24"/>
        </w:rPr>
        <w:t xml:space="preserve">. 2016;73(3):275–81. </w:t>
      </w:r>
    </w:p>
    <w:p w14:paraId="6364DCF0" w14:textId="77777777" w:rsidR="00D47FD7" w:rsidRPr="00813425" w:rsidRDefault="00D47FD7">
      <w:pPr>
        <w:widowControl w:val="0"/>
        <w:autoSpaceDE w:val="0"/>
        <w:autoSpaceDN w:val="0"/>
        <w:adjustRightInd w:val="0"/>
        <w:spacing w:after="140" w:line="288" w:lineRule="auto"/>
        <w:ind w:left="640" w:hanging="640"/>
        <w:rPr>
          <w:rFonts w:ascii="Times New Roman" w:hAnsi="Times New Roman" w:cs="Times New Roman"/>
          <w:sz w:val="24"/>
          <w:szCs w:val="24"/>
        </w:rPr>
      </w:pPr>
      <w:r w:rsidRPr="00813425">
        <w:rPr>
          <w:rFonts w:ascii="Times New Roman" w:hAnsi="Times New Roman" w:cs="Times New Roman"/>
          <w:sz w:val="24"/>
          <w:szCs w:val="24"/>
        </w:rPr>
        <w:t xml:space="preserve">13. </w:t>
      </w:r>
      <w:r w:rsidRPr="00813425">
        <w:rPr>
          <w:rFonts w:ascii="Times New Roman" w:hAnsi="Times New Roman" w:cs="Times New Roman"/>
          <w:sz w:val="24"/>
          <w:szCs w:val="24"/>
        </w:rPr>
        <w:tab/>
        <w:t xml:space="preserve">Rukuni R, Gregson C, Kahari C, </w:t>
      </w:r>
      <w:proofErr w:type="spellStart"/>
      <w:r w:rsidRPr="00813425">
        <w:rPr>
          <w:rFonts w:ascii="Times New Roman" w:hAnsi="Times New Roman" w:cs="Times New Roman"/>
          <w:sz w:val="24"/>
          <w:szCs w:val="24"/>
        </w:rPr>
        <w:t>Kowo</w:t>
      </w:r>
      <w:proofErr w:type="spellEnd"/>
      <w:r w:rsidRPr="00813425">
        <w:rPr>
          <w:rFonts w:ascii="Times New Roman" w:hAnsi="Times New Roman" w:cs="Times New Roman"/>
          <w:sz w:val="24"/>
          <w:szCs w:val="24"/>
        </w:rPr>
        <w:t xml:space="preserve"> F, </w:t>
      </w:r>
      <w:proofErr w:type="spellStart"/>
      <w:r w:rsidRPr="00813425">
        <w:rPr>
          <w:rFonts w:ascii="Times New Roman" w:hAnsi="Times New Roman" w:cs="Times New Roman"/>
          <w:sz w:val="24"/>
          <w:szCs w:val="24"/>
        </w:rPr>
        <w:t>Mchugh</w:t>
      </w:r>
      <w:proofErr w:type="spellEnd"/>
      <w:r w:rsidRPr="00813425">
        <w:rPr>
          <w:rFonts w:ascii="Times New Roman" w:hAnsi="Times New Roman" w:cs="Times New Roman"/>
          <w:sz w:val="24"/>
          <w:szCs w:val="24"/>
        </w:rPr>
        <w:t xml:space="preserve"> G, </w:t>
      </w:r>
      <w:proofErr w:type="spellStart"/>
      <w:r w:rsidRPr="00813425">
        <w:rPr>
          <w:rFonts w:ascii="Times New Roman" w:hAnsi="Times New Roman" w:cs="Times New Roman"/>
          <w:sz w:val="24"/>
          <w:szCs w:val="24"/>
        </w:rPr>
        <w:t>Munyati</w:t>
      </w:r>
      <w:proofErr w:type="spellEnd"/>
      <w:r w:rsidRPr="00813425">
        <w:rPr>
          <w:rFonts w:ascii="Times New Roman" w:hAnsi="Times New Roman" w:cs="Times New Roman"/>
          <w:sz w:val="24"/>
          <w:szCs w:val="24"/>
        </w:rPr>
        <w:t xml:space="preserve"> S, et al. The IMpact of Vertical HIV infection on child and Adolescent SKeletal development in </w:t>
      </w:r>
      <w:proofErr w:type="gramStart"/>
      <w:r w:rsidRPr="00813425">
        <w:rPr>
          <w:rFonts w:ascii="Times New Roman" w:hAnsi="Times New Roman" w:cs="Times New Roman"/>
          <w:sz w:val="24"/>
          <w:szCs w:val="24"/>
        </w:rPr>
        <w:t>Harare ,</w:t>
      </w:r>
      <w:proofErr w:type="gramEnd"/>
      <w:r w:rsidRPr="00813425">
        <w:rPr>
          <w:rFonts w:ascii="Times New Roman" w:hAnsi="Times New Roman" w:cs="Times New Roman"/>
          <w:sz w:val="24"/>
          <w:szCs w:val="24"/>
        </w:rPr>
        <w:t xml:space="preserve"> Zimbabwe ( IMVASK Study ): a protocol for a prospective cohort study. BMJ Open. </w:t>
      </w:r>
      <w:proofErr w:type="gramStart"/>
      <w:r w:rsidRPr="00813425">
        <w:rPr>
          <w:rFonts w:ascii="Times New Roman" w:hAnsi="Times New Roman" w:cs="Times New Roman"/>
          <w:sz w:val="24"/>
          <w:szCs w:val="24"/>
        </w:rPr>
        <w:t>2020;10:1</w:t>
      </w:r>
      <w:proofErr w:type="gramEnd"/>
      <w:r w:rsidRPr="00813425">
        <w:rPr>
          <w:rFonts w:ascii="Times New Roman" w:hAnsi="Times New Roman" w:cs="Times New Roman"/>
          <w:sz w:val="24"/>
          <w:szCs w:val="24"/>
        </w:rPr>
        <w:t xml:space="preserve">–10. </w:t>
      </w:r>
    </w:p>
    <w:p w14:paraId="6364DCF1" w14:textId="77777777" w:rsidR="00D47FD7" w:rsidRPr="00813425" w:rsidRDefault="00D47FD7">
      <w:pPr>
        <w:widowControl w:val="0"/>
        <w:autoSpaceDE w:val="0"/>
        <w:autoSpaceDN w:val="0"/>
        <w:adjustRightInd w:val="0"/>
        <w:spacing w:after="140" w:line="288" w:lineRule="auto"/>
        <w:ind w:left="640" w:hanging="640"/>
        <w:rPr>
          <w:rFonts w:ascii="Times New Roman" w:hAnsi="Times New Roman" w:cs="Times New Roman"/>
          <w:sz w:val="24"/>
          <w:szCs w:val="24"/>
        </w:rPr>
      </w:pPr>
      <w:r w:rsidRPr="00813425">
        <w:rPr>
          <w:rFonts w:ascii="Times New Roman" w:hAnsi="Times New Roman" w:cs="Times New Roman"/>
          <w:sz w:val="24"/>
          <w:szCs w:val="24"/>
        </w:rPr>
        <w:lastRenderedPageBreak/>
        <w:t xml:space="preserve">14. </w:t>
      </w:r>
      <w:r w:rsidRPr="00813425">
        <w:rPr>
          <w:rFonts w:ascii="Times New Roman" w:hAnsi="Times New Roman" w:cs="Times New Roman"/>
          <w:sz w:val="24"/>
          <w:szCs w:val="24"/>
        </w:rPr>
        <w:tab/>
        <w:t xml:space="preserve">Craig CL, Marshall AL, </w:t>
      </w:r>
      <w:proofErr w:type="spellStart"/>
      <w:r w:rsidRPr="00813425">
        <w:rPr>
          <w:rFonts w:ascii="Times New Roman" w:hAnsi="Times New Roman" w:cs="Times New Roman"/>
          <w:sz w:val="24"/>
          <w:szCs w:val="24"/>
        </w:rPr>
        <w:t>Sjo</w:t>
      </w:r>
      <w:proofErr w:type="spellEnd"/>
      <w:r w:rsidRPr="00813425">
        <w:rPr>
          <w:rFonts w:ascii="Times New Roman" w:hAnsi="Times New Roman" w:cs="Times New Roman"/>
          <w:sz w:val="24"/>
          <w:szCs w:val="24"/>
        </w:rPr>
        <w:t xml:space="preserve"> M, </w:t>
      </w:r>
      <w:proofErr w:type="spellStart"/>
      <w:r w:rsidRPr="00813425">
        <w:rPr>
          <w:rFonts w:ascii="Times New Roman" w:hAnsi="Times New Roman" w:cs="Times New Roman"/>
          <w:sz w:val="24"/>
          <w:szCs w:val="24"/>
        </w:rPr>
        <w:t>Sallis</w:t>
      </w:r>
      <w:proofErr w:type="spellEnd"/>
      <w:r w:rsidRPr="00813425">
        <w:rPr>
          <w:rFonts w:ascii="Times New Roman" w:hAnsi="Times New Roman" w:cs="Times New Roman"/>
          <w:sz w:val="24"/>
          <w:szCs w:val="24"/>
        </w:rPr>
        <w:t xml:space="preserve"> JF, </w:t>
      </w:r>
      <w:proofErr w:type="spellStart"/>
      <w:r w:rsidRPr="00813425">
        <w:rPr>
          <w:rFonts w:ascii="Times New Roman" w:hAnsi="Times New Roman" w:cs="Times New Roman"/>
          <w:sz w:val="24"/>
          <w:szCs w:val="24"/>
        </w:rPr>
        <w:t>Oja</w:t>
      </w:r>
      <w:proofErr w:type="spellEnd"/>
      <w:r w:rsidRPr="00813425">
        <w:rPr>
          <w:rFonts w:ascii="Times New Roman" w:hAnsi="Times New Roman" w:cs="Times New Roman"/>
          <w:sz w:val="24"/>
          <w:szCs w:val="24"/>
        </w:rPr>
        <w:t xml:space="preserve"> P. International Physical Activity </w:t>
      </w:r>
      <w:proofErr w:type="gramStart"/>
      <w:r w:rsidRPr="00813425">
        <w:rPr>
          <w:rFonts w:ascii="Times New Roman" w:hAnsi="Times New Roman" w:cs="Times New Roman"/>
          <w:sz w:val="24"/>
          <w:szCs w:val="24"/>
        </w:rPr>
        <w:t>Questionnaire :</w:t>
      </w:r>
      <w:proofErr w:type="gramEnd"/>
      <w:r w:rsidRPr="00813425">
        <w:rPr>
          <w:rFonts w:ascii="Times New Roman" w:hAnsi="Times New Roman" w:cs="Times New Roman"/>
          <w:sz w:val="24"/>
          <w:szCs w:val="24"/>
        </w:rPr>
        <w:t xml:space="preserve"> 12-Country Reliability and Validity. Med Sci Sport </w:t>
      </w:r>
      <w:proofErr w:type="spellStart"/>
      <w:r w:rsidRPr="00813425">
        <w:rPr>
          <w:rFonts w:ascii="Times New Roman" w:hAnsi="Times New Roman" w:cs="Times New Roman"/>
          <w:sz w:val="24"/>
          <w:szCs w:val="24"/>
        </w:rPr>
        <w:t>Exerc</w:t>
      </w:r>
      <w:proofErr w:type="spellEnd"/>
      <w:r w:rsidRPr="00813425">
        <w:rPr>
          <w:rFonts w:ascii="Times New Roman" w:hAnsi="Times New Roman" w:cs="Times New Roman"/>
          <w:sz w:val="24"/>
          <w:szCs w:val="24"/>
        </w:rPr>
        <w:t xml:space="preserve">. </w:t>
      </w:r>
      <w:proofErr w:type="gramStart"/>
      <w:r w:rsidRPr="00813425">
        <w:rPr>
          <w:rFonts w:ascii="Times New Roman" w:hAnsi="Times New Roman" w:cs="Times New Roman"/>
          <w:sz w:val="24"/>
          <w:szCs w:val="24"/>
        </w:rPr>
        <w:t>2003;35:1381</w:t>
      </w:r>
      <w:proofErr w:type="gramEnd"/>
      <w:r w:rsidRPr="00813425">
        <w:rPr>
          <w:rFonts w:ascii="Times New Roman" w:hAnsi="Times New Roman" w:cs="Times New Roman"/>
          <w:sz w:val="24"/>
          <w:szCs w:val="24"/>
        </w:rPr>
        <w:t xml:space="preserve">–95. </w:t>
      </w:r>
    </w:p>
    <w:p w14:paraId="6364DCF2" w14:textId="77777777" w:rsidR="00D47FD7" w:rsidRPr="00813425" w:rsidRDefault="00D47FD7">
      <w:pPr>
        <w:widowControl w:val="0"/>
        <w:autoSpaceDE w:val="0"/>
        <w:autoSpaceDN w:val="0"/>
        <w:adjustRightInd w:val="0"/>
        <w:spacing w:after="140" w:line="288" w:lineRule="auto"/>
        <w:ind w:left="640" w:hanging="640"/>
        <w:rPr>
          <w:rFonts w:ascii="Times New Roman" w:hAnsi="Times New Roman" w:cs="Times New Roman"/>
          <w:sz w:val="24"/>
          <w:szCs w:val="24"/>
        </w:rPr>
      </w:pPr>
      <w:r w:rsidRPr="00813425">
        <w:rPr>
          <w:rFonts w:ascii="Times New Roman" w:hAnsi="Times New Roman" w:cs="Times New Roman"/>
          <w:sz w:val="24"/>
          <w:szCs w:val="24"/>
        </w:rPr>
        <w:t xml:space="preserve">15. </w:t>
      </w:r>
      <w:r w:rsidRPr="00813425">
        <w:rPr>
          <w:rFonts w:ascii="Times New Roman" w:hAnsi="Times New Roman" w:cs="Times New Roman"/>
          <w:sz w:val="24"/>
          <w:szCs w:val="24"/>
        </w:rPr>
        <w:tab/>
        <w:t xml:space="preserve">Filteau S, Rehman AM, Yousafzai A, </w:t>
      </w:r>
      <w:proofErr w:type="spellStart"/>
      <w:r w:rsidRPr="00813425">
        <w:rPr>
          <w:rFonts w:ascii="Times New Roman" w:hAnsi="Times New Roman" w:cs="Times New Roman"/>
          <w:sz w:val="24"/>
          <w:szCs w:val="24"/>
        </w:rPr>
        <w:t>Chugh</w:t>
      </w:r>
      <w:proofErr w:type="spellEnd"/>
      <w:r w:rsidRPr="00813425">
        <w:rPr>
          <w:rFonts w:ascii="Times New Roman" w:hAnsi="Times New Roman" w:cs="Times New Roman"/>
          <w:sz w:val="24"/>
          <w:szCs w:val="24"/>
        </w:rPr>
        <w:t xml:space="preserve"> R, Kaur M, Sachdev HPS, et al. Associations of vitamin D </w:t>
      </w:r>
      <w:proofErr w:type="gramStart"/>
      <w:r w:rsidRPr="00813425">
        <w:rPr>
          <w:rFonts w:ascii="Times New Roman" w:hAnsi="Times New Roman" w:cs="Times New Roman"/>
          <w:sz w:val="24"/>
          <w:szCs w:val="24"/>
        </w:rPr>
        <w:t>status ,</w:t>
      </w:r>
      <w:proofErr w:type="gramEnd"/>
      <w:r w:rsidRPr="00813425">
        <w:rPr>
          <w:rFonts w:ascii="Times New Roman" w:hAnsi="Times New Roman" w:cs="Times New Roman"/>
          <w:sz w:val="24"/>
          <w:szCs w:val="24"/>
        </w:rPr>
        <w:t xml:space="preserve"> bone health and anthropometry , with gross motor development and performance of school-aged Indian children who were born at term with low birth weight. BMJ Open. 2016;</w:t>
      </w:r>
      <w:proofErr w:type="gramStart"/>
      <w:r w:rsidRPr="00813425">
        <w:rPr>
          <w:rFonts w:ascii="Times New Roman" w:hAnsi="Times New Roman" w:cs="Times New Roman"/>
          <w:sz w:val="24"/>
          <w:szCs w:val="24"/>
        </w:rPr>
        <w:t>6:e</w:t>
      </w:r>
      <w:proofErr w:type="gramEnd"/>
      <w:r w:rsidRPr="00813425">
        <w:rPr>
          <w:rFonts w:ascii="Times New Roman" w:hAnsi="Times New Roman" w:cs="Times New Roman"/>
          <w:sz w:val="24"/>
          <w:szCs w:val="24"/>
        </w:rPr>
        <w:t xml:space="preserve">009268. </w:t>
      </w:r>
    </w:p>
    <w:p w14:paraId="6364DCF3" w14:textId="77777777" w:rsidR="00D47FD7" w:rsidRPr="00813425" w:rsidRDefault="00D47FD7">
      <w:pPr>
        <w:widowControl w:val="0"/>
        <w:autoSpaceDE w:val="0"/>
        <w:autoSpaceDN w:val="0"/>
        <w:adjustRightInd w:val="0"/>
        <w:spacing w:after="140" w:line="288" w:lineRule="auto"/>
        <w:ind w:left="640" w:hanging="640"/>
        <w:rPr>
          <w:rFonts w:ascii="Times New Roman" w:hAnsi="Times New Roman" w:cs="Times New Roman"/>
          <w:sz w:val="24"/>
          <w:szCs w:val="24"/>
        </w:rPr>
      </w:pPr>
      <w:r w:rsidRPr="00813425">
        <w:rPr>
          <w:rFonts w:ascii="Times New Roman" w:hAnsi="Times New Roman" w:cs="Times New Roman"/>
          <w:sz w:val="24"/>
          <w:szCs w:val="24"/>
        </w:rPr>
        <w:t xml:space="preserve">16. </w:t>
      </w:r>
      <w:r w:rsidRPr="00813425">
        <w:rPr>
          <w:rFonts w:ascii="Times New Roman" w:hAnsi="Times New Roman" w:cs="Times New Roman"/>
          <w:sz w:val="24"/>
          <w:szCs w:val="24"/>
        </w:rPr>
        <w:tab/>
        <w:t xml:space="preserve">FANTA. Developing and Validating Simple Indicators of Dietary Quality and Energy Intake of Infants and Young Children in Developing Countries: Summary of findings from analysis of 10 data sets. Food Nutr Tech Assist </w:t>
      </w:r>
      <w:proofErr w:type="spellStart"/>
      <w:r w:rsidRPr="00813425">
        <w:rPr>
          <w:rFonts w:ascii="Times New Roman" w:hAnsi="Times New Roman" w:cs="Times New Roman"/>
          <w:sz w:val="24"/>
          <w:szCs w:val="24"/>
        </w:rPr>
        <w:t>Proj</w:t>
      </w:r>
      <w:proofErr w:type="spellEnd"/>
      <w:r w:rsidRPr="00813425">
        <w:rPr>
          <w:rFonts w:ascii="Times New Roman" w:hAnsi="Times New Roman" w:cs="Times New Roman"/>
          <w:sz w:val="24"/>
          <w:szCs w:val="24"/>
        </w:rPr>
        <w:t xml:space="preserve"> [Internet]. 2006;1–99. Available from: https://www.fantaproject.org/sites/default/files/resources/IYCF_Datasets_Summary_2006.pdf</w:t>
      </w:r>
    </w:p>
    <w:p w14:paraId="6364DCF4" w14:textId="77777777" w:rsidR="00D47FD7" w:rsidRPr="00813425" w:rsidRDefault="00D47FD7">
      <w:pPr>
        <w:widowControl w:val="0"/>
        <w:autoSpaceDE w:val="0"/>
        <w:autoSpaceDN w:val="0"/>
        <w:adjustRightInd w:val="0"/>
        <w:spacing w:after="140" w:line="288" w:lineRule="auto"/>
        <w:ind w:left="640" w:hanging="640"/>
        <w:rPr>
          <w:rFonts w:ascii="Times New Roman" w:hAnsi="Times New Roman" w:cs="Times New Roman"/>
          <w:sz w:val="24"/>
          <w:szCs w:val="24"/>
        </w:rPr>
      </w:pPr>
      <w:r w:rsidRPr="00813425">
        <w:rPr>
          <w:rFonts w:ascii="Times New Roman" w:hAnsi="Times New Roman" w:cs="Times New Roman"/>
          <w:sz w:val="24"/>
          <w:szCs w:val="24"/>
        </w:rPr>
        <w:t xml:space="preserve">17. </w:t>
      </w:r>
      <w:r w:rsidRPr="00813425">
        <w:rPr>
          <w:rFonts w:ascii="Times New Roman" w:hAnsi="Times New Roman" w:cs="Times New Roman"/>
          <w:sz w:val="24"/>
          <w:szCs w:val="24"/>
        </w:rPr>
        <w:tab/>
        <w:t xml:space="preserve">Marshall WA, Tanner JM. Variations in pattern of pubertal changes in girls. Arch Dis Child. </w:t>
      </w:r>
      <w:proofErr w:type="gramStart"/>
      <w:r w:rsidRPr="00813425">
        <w:rPr>
          <w:rFonts w:ascii="Times New Roman" w:hAnsi="Times New Roman" w:cs="Times New Roman"/>
          <w:sz w:val="24"/>
          <w:szCs w:val="24"/>
        </w:rPr>
        <w:t>1969;44:291</w:t>
      </w:r>
      <w:proofErr w:type="gramEnd"/>
      <w:r w:rsidRPr="00813425">
        <w:rPr>
          <w:rFonts w:ascii="Times New Roman" w:hAnsi="Times New Roman" w:cs="Times New Roman"/>
          <w:sz w:val="24"/>
          <w:szCs w:val="24"/>
        </w:rPr>
        <w:t xml:space="preserve">–303. </w:t>
      </w:r>
    </w:p>
    <w:p w14:paraId="6364DCF5" w14:textId="77777777" w:rsidR="00D47FD7" w:rsidRPr="00813425" w:rsidRDefault="00D47FD7">
      <w:pPr>
        <w:widowControl w:val="0"/>
        <w:autoSpaceDE w:val="0"/>
        <w:autoSpaceDN w:val="0"/>
        <w:adjustRightInd w:val="0"/>
        <w:spacing w:after="140" w:line="288" w:lineRule="auto"/>
        <w:ind w:left="640" w:hanging="640"/>
        <w:rPr>
          <w:rFonts w:ascii="Times New Roman" w:hAnsi="Times New Roman" w:cs="Times New Roman"/>
          <w:sz w:val="24"/>
          <w:szCs w:val="24"/>
        </w:rPr>
      </w:pPr>
      <w:r w:rsidRPr="00813425">
        <w:rPr>
          <w:rFonts w:ascii="Times New Roman" w:hAnsi="Times New Roman" w:cs="Times New Roman"/>
          <w:sz w:val="24"/>
          <w:szCs w:val="24"/>
        </w:rPr>
        <w:t xml:space="preserve">18. </w:t>
      </w:r>
      <w:r w:rsidRPr="00813425">
        <w:rPr>
          <w:rFonts w:ascii="Times New Roman" w:hAnsi="Times New Roman" w:cs="Times New Roman"/>
          <w:sz w:val="24"/>
          <w:szCs w:val="24"/>
        </w:rPr>
        <w:tab/>
        <w:t xml:space="preserve">Marshall WA, Tanner JM. Variations in the Pattern of Pubertal Changes in Boys. Arch Dis </w:t>
      </w:r>
      <w:proofErr w:type="gramStart"/>
      <w:r w:rsidRPr="00813425">
        <w:rPr>
          <w:rFonts w:ascii="Times New Roman" w:hAnsi="Times New Roman" w:cs="Times New Roman"/>
          <w:sz w:val="24"/>
          <w:szCs w:val="24"/>
        </w:rPr>
        <w:t>Childhood,.</w:t>
      </w:r>
      <w:proofErr w:type="gramEnd"/>
      <w:r w:rsidRPr="00813425">
        <w:rPr>
          <w:rFonts w:ascii="Times New Roman" w:hAnsi="Times New Roman" w:cs="Times New Roman"/>
          <w:sz w:val="24"/>
          <w:szCs w:val="24"/>
        </w:rPr>
        <w:t xml:space="preserve"> </w:t>
      </w:r>
      <w:proofErr w:type="gramStart"/>
      <w:r w:rsidRPr="00813425">
        <w:rPr>
          <w:rFonts w:ascii="Times New Roman" w:hAnsi="Times New Roman" w:cs="Times New Roman"/>
          <w:sz w:val="24"/>
          <w:szCs w:val="24"/>
        </w:rPr>
        <w:t>1970;45:13</w:t>
      </w:r>
      <w:proofErr w:type="gramEnd"/>
      <w:r w:rsidRPr="00813425">
        <w:rPr>
          <w:rFonts w:ascii="Times New Roman" w:hAnsi="Times New Roman" w:cs="Times New Roman"/>
          <w:sz w:val="24"/>
          <w:szCs w:val="24"/>
        </w:rPr>
        <w:t xml:space="preserve">–23. </w:t>
      </w:r>
    </w:p>
    <w:p w14:paraId="6364DCF6" w14:textId="77777777" w:rsidR="00D47FD7" w:rsidRPr="00813425" w:rsidRDefault="00D47FD7">
      <w:pPr>
        <w:widowControl w:val="0"/>
        <w:autoSpaceDE w:val="0"/>
        <w:autoSpaceDN w:val="0"/>
        <w:adjustRightInd w:val="0"/>
        <w:spacing w:after="140" w:line="288" w:lineRule="auto"/>
        <w:ind w:left="640" w:hanging="640"/>
        <w:rPr>
          <w:rFonts w:ascii="Times New Roman" w:hAnsi="Times New Roman" w:cs="Times New Roman"/>
          <w:sz w:val="24"/>
          <w:szCs w:val="24"/>
        </w:rPr>
      </w:pPr>
      <w:r w:rsidRPr="00813425">
        <w:rPr>
          <w:rFonts w:ascii="Times New Roman" w:hAnsi="Times New Roman" w:cs="Times New Roman"/>
          <w:sz w:val="24"/>
          <w:szCs w:val="24"/>
        </w:rPr>
        <w:t xml:space="preserve">19. </w:t>
      </w:r>
      <w:r w:rsidRPr="00813425">
        <w:rPr>
          <w:rFonts w:ascii="Times New Roman" w:hAnsi="Times New Roman" w:cs="Times New Roman"/>
          <w:sz w:val="24"/>
          <w:szCs w:val="24"/>
        </w:rPr>
        <w:tab/>
        <w:t xml:space="preserve">Cole TJ, Freeman J V., </w:t>
      </w:r>
      <w:proofErr w:type="spellStart"/>
      <w:r w:rsidRPr="00813425">
        <w:rPr>
          <w:rFonts w:ascii="Times New Roman" w:hAnsi="Times New Roman" w:cs="Times New Roman"/>
          <w:sz w:val="24"/>
          <w:szCs w:val="24"/>
        </w:rPr>
        <w:t>Preece</w:t>
      </w:r>
      <w:proofErr w:type="spellEnd"/>
      <w:r w:rsidRPr="00813425">
        <w:rPr>
          <w:rFonts w:ascii="Times New Roman" w:hAnsi="Times New Roman" w:cs="Times New Roman"/>
          <w:sz w:val="24"/>
          <w:szCs w:val="24"/>
        </w:rPr>
        <w:t xml:space="preserve"> MA. British 1990 growth reference centiles for weight, height, body mass index and head circumference fitted by maximum penalized likelihood. Stat Med. 1998;17(4):407–29. </w:t>
      </w:r>
    </w:p>
    <w:p w14:paraId="6364DCF7" w14:textId="77777777" w:rsidR="00D47FD7" w:rsidRPr="00813425" w:rsidRDefault="00D47FD7">
      <w:pPr>
        <w:widowControl w:val="0"/>
        <w:autoSpaceDE w:val="0"/>
        <w:autoSpaceDN w:val="0"/>
        <w:adjustRightInd w:val="0"/>
        <w:spacing w:after="140" w:line="288" w:lineRule="auto"/>
        <w:ind w:left="640" w:hanging="640"/>
        <w:rPr>
          <w:rFonts w:ascii="Times New Roman" w:hAnsi="Times New Roman" w:cs="Times New Roman"/>
          <w:sz w:val="24"/>
          <w:szCs w:val="24"/>
        </w:rPr>
      </w:pPr>
      <w:r w:rsidRPr="00813425">
        <w:rPr>
          <w:rFonts w:ascii="Times New Roman" w:hAnsi="Times New Roman" w:cs="Times New Roman"/>
          <w:sz w:val="24"/>
          <w:szCs w:val="24"/>
        </w:rPr>
        <w:t xml:space="preserve">20. </w:t>
      </w:r>
      <w:r w:rsidRPr="00813425">
        <w:rPr>
          <w:rFonts w:ascii="Times New Roman" w:hAnsi="Times New Roman" w:cs="Times New Roman"/>
          <w:sz w:val="24"/>
          <w:szCs w:val="24"/>
        </w:rPr>
        <w:tab/>
        <w:t>WHO. Growth reference data, weight-for-</w:t>
      </w:r>
      <w:proofErr w:type="gramStart"/>
      <w:r w:rsidRPr="00813425">
        <w:rPr>
          <w:rFonts w:ascii="Times New Roman" w:hAnsi="Times New Roman" w:cs="Times New Roman"/>
          <w:sz w:val="24"/>
          <w:szCs w:val="24"/>
        </w:rPr>
        <w:t>age(</w:t>
      </w:r>
      <w:proofErr w:type="gramEnd"/>
      <w:r w:rsidRPr="00813425">
        <w:rPr>
          <w:rFonts w:ascii="Times New Roman" w:hAnsi="Times New Roman" w:cs="Times New Roman"/>
          <w:sz w:val="24"/>
          <w:szCs w:val="24"/>
        </w:rPr>
        <w:t xml:space="preserve">5 to 10years) https://www.who.int/tools/growth-reference-data-for-5to19-years/indicators/weight-for-age- 5to10-years. World Heal Organ. :19. </w:t>
      </w:r>
    </w:p>
    <w:p w14:paraId="6364DCF8" w14:textId="77777777" w:rsidR="00D47FD7" w:rsidRPr="00813425" w:rsidRDefault="00D47FD7">
      <w:pPr>
        <w:widowControl w:val="0"/>
        <w:autoSpaceDE w:val="0"/>
        <w:autoSpaceDN w:val="0"/>
        <w:adjustRightInd w:val="0"/>
        <w:spacing w:after="140" w:line="288" w:lineRule="auto"/>
        <w:ind w:left="640" w:hanging="640"/>
        <w:rPr>
          <w:rFonts w:ascii="Times New Roman" w:hAnsi="Times New Roman" w:cs="Times New Roman"/>
          <w:sz w:val="24"/>
          <w:szCs w:val="24"/>
        </w:rPr>
      </w:pPr>
      <w:r w:rsidRPr="00813425">
        <w:rPr>
          <w:rFonts w:ascii="Times New Roman" w:hAnsi="Times New Roman" w:cs="Times New Roman"/>
          <w:sz w:val="24"/>
          <w:szCs w:val="24"/>
        </w:rPr>
        <w:t xml:space="preserve">21. </w:t>
      </w:r>
      <w:r w:rsidRPr="00813425">
        <w:rPr>
          <w:rFonts w:ascii="Times New Roman" w:hAnsi="Times New Roman" w:cs="Times New Roman"/>
          <w:sz w:val="24"/>
          <w:szCs w:val="24"/>
        </w:rPr>
        <w:tab/>
        <w:t xml:space="preserve">Arpadi SM. Growth failure in HIV - infected children. World Heal Organ Dep Nutr Heal Dev. </w:t>
      </w:r>
      <w:proofErr w:type="gramStart"/>
      <w:r w:rsidRPr="00813425">
        <w:rPr>
          <w:rFonts w:ascii="Times New Roman" w:hAnsi="Times New Roman" w:cs="Times New Roman"/>
          <w:sz w:val="24"/>
          <w:szCs w:val="24"/>
        </w:rPr>
        <w:t>2005;Consultati</w:t>
      </w:r>
      <w:proofErr w:type="gramEnd"/>
      <w:r w:rsidRPr="00813425">
        <w:rPr>
          <w:rFonts w:ascii="Times New Roman" w:hAnsi="Times New Roman" w:cs="Times New Roman"/>
          <w:sz w:val="24"/>
          <w:szCs w:val="24"/>
        </w:rPr>
        <w:t xml:space="preserve">(Durban, South Africa 10−13):1–20. </w:t>
      </w:r>
    </w:p>
    <w:p w14:paraId="6364DCF9" w14:textId="77777777" w:rsidR="00D47FD7" w:rsidRPr="00813425" w:rsidRDefault="00D47FD7">
      <w:pPr>
        <w:widowControl w:val="0"/>
        <w:autoSpaceDE w:val="0"/>
        <w:autoSpaceDN w:val="0"/>
        <w:adjustRightInd w:val="0"/>
        <w:spacing w:after="140" w:line="288" w:lineRule="auto"/>
        <w:ind w:left="640" w:hanging="640"/>
        <w:rPr>
          <w:rFonts w:ascii="Times New Roman" w:hAnsi="Times New Roman" w:cs="Times New Roman"/>
          <w:sz w:val="24"/>
          <w:szCs w:val="24"/>
        </w:rPr>
      </w:pPr>
      <w:r w:rsidRPr="00813425">
        <w:rPr>
          <w:rFonts w:ascii="Times New Roman" w:hAnsi="Times New Roman" w:cs="Times New Roman"/>
          <w:sz w:val="24"/>
          <w:szCs w:val="24"/>
        </w:rPr>
        <w:t xml:space="preserve">22. </w:t>
      </w:r>
      <w:r w:rsidRPr="00813425">
        <w:rPr>
          <w:rFonts w:ascii="Times New Roman" w:hAnsi="Times New Roman" w:cs="Times New Roman"/>
          <w:sz w:val="24"/>
          <w:szCs w:val="24"/>
        </w:rPr>
        <w:tab/>
        <w:t xml:space="preserve">Adams JE, </w:t>
      </w:r>
      <w:proofErr w:type="spellStart"/>
      <w:r w:rsidRPr="00813425">
        <w:rPr>
          <w:rFonts w:ascii="Times New Roman" w:hAnsi="Times New Roman" w:cs="Times New Roman"/>
          <w:sz w:val="24"/>
          <w:szCs w:val="24"/>
        </w:rPr>
        <w:t>Engelke</w:t>
      </w:r>
      <w:proofErr w:type="spellEnd"/>
      <w:r w:rsidRPr="00813425">
        <w:rPr>
          <w:rFonts w:ascii="Times New Roman" w:hAnsi="Times New Roman" w:cs="Times New Roman"/>
          <w:sz w:val="24"/>
          <w:szCs w:val="24"/>
        </w:rPr>
        <w:t xml:space="preserve"> K, </w:t>
      </w:r>
      <w:proofErr w:type="spellStart"/>
      <w:r w:rsidRPr="00813425">
        <w:rPr>
          <w:rFonts w:ascii="Times New Roman" w:hAnsi="Times New Roman" w:cs="Times New Roman"/>
          <w:sz w:val="24"/>
          <w:szCs w:val="24"/>
        </w:rPr>
        <w:t>Zemel</w:t>
      </w:r>
      <w:proofErr w:type="spellEnd"/>
      <w:r w:rsidRPr="00813425">
        <w:rPr>
          <w:rFonts w:ascii="Times New Roman" w:hAnsi="Times New Roman" w:cs="Times New Roman"/>
          <w:sz w:val="24"/>
          <w:szCs w:val="24"/>
        </w:rPr>
        <w:t xml:space="preserve"> BS, Ward KA. Quantitative computer tomography in children and adolescents: The 2013 ISCD </w:t>
      </w:r>
      <w:proofErr w:type="spellStart"/>
      <w:r w:rsidRPr="00813425">
        <w:rPr>
          <w:rFonts w:ascii="Times New Roman" w:hAnsi="Times New Roman" w:cs="Times New Roman"/>
          <w:sz w:val="24"/>
          <w:szCs w:val="24"/>
        </w:rPr>
        <w:t>pediatric</w:t>
      </w:r>
      <w:proofErr w:type="spellEnd"/>
      <w:r w:rsidRPr="00813425">
        <w:rPr>
          <w:rFonts w:ascii="Times New Roman" w:hAnsi="Times New Roman" w:cs="Times New Roman"/>
          <w:sz w:val="24"/>
          <w:szCs w:val="24"/>
        </w:rPr>
        <w:t xml:space="preserve"> official positions. J Clin </w:t>
      </w:r>
      <w:proofErr w:type="spellStart"/>
      <w:r w:rsidRPr="00813425">
        <w:rPr>
          <w:rFonts w:ascii="Times New Roman" w:hAnsi="Times New Roman" w:cs="Times New Roman"/>
          <w:sz w:val="24"/>
          <w:szCs w:val="24"/>
        </w:rPr>
        <w:t>Densitom</w:t>
      </w:r>
      <w:proofErr w:type="spellEnd"/>
      <w:r w:rsidRPr="00813425">
        <w:rPr>
          <w:rFonts w:ascii="Times New Roman" w:hAnsi="Times New Roman" w:cs="Times New Roman"/>
          <w:sz w:val="24"/>
          <w:szCs w:val="24"/>
        </w:rPr>
        <w:t xml:space="preserve"> [Internet]. 2014;17(2):258–74. Available from: http://dx.doi.org/10.1016/j.jocd.2014.01.006</w:t>
      </w:r>
    </w:p>
    <w:p w14:paraId="6364DCFA" w14:textId="77777777" w:rsidR="00D47FD7" w:rsidRPr="00813425" w:rsidRDefault="00D47FD7">
      <w:pPr>
        <w:widowControl w:val="0"/>
        <w:autoSpaceDE w:val="0"/>
        <w:autoSpaceDN w:val="0"/>
        <w:adjustRightInd w:val="0"/>
        <w:spacing w:after="140" w:line="288" w:lineRule="auto"/>
        <w:ind w:left="640" w:hanging="640"/>
        <w:rPr>
          <w:rFonts w:ascii="Times New Roman" w:hAnsi="Times New Roman" w:cs="Times New Roman"/>
          <w:sz w:val="24"/>
          <w:szCs w:val="24"/>
        </w:rPr>
      </w:pPr>
      <w:r w:rsidRPr="00813425">
        <w:rPr>
          <w:rFonts w:ascii="Times New Roman" w:hAnsi="Times New Roman" w:cs="Times New Roman"/>
          <w:sz w:val="24"/>
          <w:szCs w:val="24"/>
        </w:rPr>
        <w:t xml:space="preserve">23. </w:t>
      </w:r>
      <w:r w:rsidRPr="00813425">
        <w:rPr>
          <w:rFonts w:ascii="Times New Roman" w:hAnsi="Times New Roman" w:cs="Times New Roman"/>
          <w:sz w:val="24"/>
          <w:szCs w:val="24"/>
        </w:rPr>
        <w:tab/>
        <w:t xml:space="preserve">Leonard MB. A structural approach to the assessment of fracture risk in children and adolescents with chronic kidney disease. </w:t>
      </w:r>
      <w:proofErr w:type="spellStart"/>
      <w:r w:rsidRPr="00813425">
        <w:rPr>
          <w:rFonts w:ascii="Times New Roman" w:hAnsi="Times New Roman" w:cs="Times New Roman"/>
          <w:sz w:val="24"/>
          <w:szCs w:val="24"/>
        </w:rPr>
        <w:t>Pediatr</w:t>
      </w:r>
      <w:proofErr w:type="spellEnd"/>
      <w:r w:rsidRPr="00813425">
        <w:rPr>
          <w:rFonts w:ascii="Times New Roman" w:hAnsi="Times New Roman" w:cs="Times New Roman"/>
          <w:sz w:val="24"/>
          <w:szCs w:val="24"/>
        </w:rPr>
        <w:t xml:space="preserve"> Nephrol. </w:t>
      </w:r>
      <w:proofErr w:type="gramStart"/>
      <w:r w:rsidRPr="00813425">
        <w:rPr>
          <w:rFonts w:ascii="Times New Roman" w:hAnsi="Times New Roman" w:cs="Times New Roman"/>
          <w:sz w:val="24"/>
          <w:szCs w:val="24"/>
        </w:rPr>
        <w:t>2007;22:1845</w:t>
      </w:r>
      <w:proofErr w:type="gramEnd"/>
      <w:r w:rsidRPr="00813425">
        <w:rPr>
          <w:rFonts w:ascii="Times New Roman" w:hAnsi="Times New Roman" w:cs="Times New Roman"/>
          <w:sz w:val="24"/>
          <w:szCs w:val="24"/>
        </w:rPr>
        <w:t xml:space="preserve">–1824. </w:t>
      </w:r>
    </w:p>
    <w:p w14:paraId="6364DCFB" w14:textId="77777777" w:rsidR="00D47FD7" w:rsidRPr="00813425" w:rsidRDefault="00D47FD7">
      <w:pPr>
        <w:widowControl w:val="0"/>
        <w:autoSpaceDE w:val="0"/>
        <w:autoSpaceDN w:val="0"/>
        <w:adjustRightInd w:val="0"/>
        <w:spacing w:after="140" w:line="288" w:lineRule="auto"/>
        <w:ind w:left="640" w:hanging="640"/>
        <w:rPr>
          <w:rFonts w:ascii="Times New Roman" w:hAnsi="Times New Roman" w:cs="Times New Roman"/>
          <w:sz w:val="24"/>
          <w:szCs w:val="24"/>
        </w:rPr>
      </w:pPr>
      <w:r w:rsidRPr="00813425">
        <w:rPr>
          <w:rFonts w:ascii="Times New Roman" w:hAnsi="Times New Roman" w:cs="Times New Roman"/>
          <w:sz w:val="24"/>
          <w:szCs w:val="24"/>
        </w:rPr>
        <w:t xml:space="preserve">24. </w:t>
      </w:r>
      <w:r w:rsidRPr="00813425">
        <w:rPr>
          <w:rFonts w:ascii="Times New Roman" w:hAnsi="Times New Roman" w:cs="Times New Roman"/>
          <w:sz w:val="24"/>
          <w:szCs w:val="24"/>
        </w:rPr>
        <w:tab/>
        <w:t xml:space="preserve">Gabel L, Macdonald HM, McKay HA. Sex Differences and Growth-Related Adaptations in Bone Microarchitecture, Geometry, Density, and Strength </w:t>
      </w:r>
      <w:proofErr w:type="gramStart"/>
      <w:r w:rsidRPr="00813425">
        <w:rPr>
          <w:rFonts w:ascii="Times New Roman" w:hAnsi="Times New Roman" w:cs="Times New Roman"/>
          <w:sz w:val="24"/>
          <w:szCs w:val="24"/>
        </w:rPr>
        <w:t>From</w:t>
      </w:r>
      <w:proofErr w:type="gramEnd"/>
      <w:r w:rsidRPr="00813425">
        <w:rPr>
          <w:rFonts w:ascii="Times New Roman" w:hAnsi="Times New Roman" w:cs="Times New Roman"/>
          <w:sz w:val="24"/>
          <w:szCs w:val="24"/>
        </w:rPr>
        <w:t xml:space="preserve"> Childhood to Early Adulthood: A Mixed Longitudinal HR-pQCT Study. J Bone Miner Res. 2017;32(2):250–63. </w:t>
      </w:r>
    </w:p>
    <w:p w14:paraId="6364DCFC" w14:textId="77777777" w:rsidR="00D47FD7" w:rsidRPr="00813425" w:rsidRDefault="00D47FD7">
      <w:pPr>
        <w:widowControl w:val="0"/>
        <w:autoSpaceDE w:val="0"/>
        <w:autoSpaceDN w:val="0"/>
        <w:adjustRightInd w:val="0"/>
        <w:spacing w:after="140" w:line="288" w:lineRule="auto"/>
        <w:ind w:left="640" w:hanging="640"/>
        <w:rPr>
          <w:rFonts w:ascii="Times New Roman" w:hAnsi="Times New Roman" w:cs="Times New Roman"/>
          <w:sz w:val="24"/>
          <w:szCs w:val="24"/>
        </w:rPr>
      </w:pPr>
      <w:r w:rsidRPr="00813425">
        <w:rPr>
          <w:rFonts w:ascii="Times New Roman" w:hAnsi="Times New Roman" w:cs="Times New Roman"/>
          <w:sz w:val="24"/>
          <w:szCs w:val="24"/>
        </w:rPr>
        <w:t xml:space="preserve">25. </w:t>
      </w:r>
      <w:r w:rsidRPr="00813425">
        <w:rPr>
          <w:rFonts w:ascii="Times New Roman" w:hAnsi="Times New Roman" w:cs="Times New Roman"/>
          <w:sz w:val="24"/>
          <w:szCs w:val="24"/>
        </w:rPr>
        <w:tab/>
        <w:t xml:space="preserve">Fox AM. The HIV-poverty thesis </w:t>
      </w:r>
      <w:proofErr w:type="spellStart"/>
      <w:r w:rsidRPr="00813425">
        <w:rPr>
          <w:rFonts w:ascii="Times New Roman" w:hAnsi="Times New Roman" w:cs="Times New Roman"/>
          <w:sz w:val="24"/>
          <w:szCs w:val="24"/>
        </w:rPr>
        <w:t>RE-examined</w:t>
      </w:r>
      <w:proofErr w:type="spellEnd"/>
      <w:r w:rsidRPr="00813425">
        <w:rPr>
          <w:rFonts w:ascii="Times New Roman" w:hAnsi="Times New Roman" w:cs="Times New Roman"/>
          <w:sz w:val="24"/>
          <w:szCs w:val="24"/>
        </w:rPr>
        <w:t xml:space="preserve">: Poverty, wealth or inequality as a social determinant of </w:t>
      </w:r>
      <w:proofErr w:type="spellStart"/>
      <w:r w:rsidRPr="00813425">
        <w:rPr>
          <w:rFonts w:ascii="Times New Roman" w:hAnsi="Times New Roman" w:cs="Times New Roman"/>
          <w:sz w:val="24"/>
          <w:szCs w:val="24"/>
        </w:rPr>
        <w:t>hiv</w:t>
      </w:r>
      <w:proofErr w:type="spellEnd"/>
      <w:r w:rsidRPr="00813425">
        <w:rPr>
          <w:rFonts w:ascii="Times New Roman" w:hAnsi="Times New Roman" w:cs="Times New Roman"/>
          <w:sz w:val="24"/>
          <w:szCs w:val="24"/>
        </w:rPr>
        <w:t xml:space="preserve"> infection in sub-Saharan Africa? J </w:t>
      </w:r>
      <w:proofErr w:type="spellStart"/>
      <w:r w:rsidRPr="00813425">
        <w:rPr>
          <w:rFonts w:ascii="Times New Roman" w:hAnsi="Times New Roman" w:cs="Times New Roman"/>
          <w:sz w:val="24"/>
          <w:szCs w:val="24"/>
        </w:rPr>
        <w:t>Biosoc</w:t>
      </w:r>
      <w:proofErr w:type="spellEnd"/>
      <w:r w:rsidRPr="00813425">
        <w:rPr>
          <w:rFonts w:ascii="Times New Roman" w:hAnsi="Times New Roman" w:cs="Times New Roman"/>
          <w:sz w:val="24"/>
          <w:szCs w:val="24"/>
        </w:rPr>
        <w:t xml:space="preserve"> Sci. </w:t>
      </w:r>
      <w:r w:rsidRPr="00813425">
        <w:rPr>
          <w:rFonts w:ascii="Times New Roman" w:hAnsi="Times New Roman" w:cs="Times New Roman"/>
          <w:sz w:val="24"/>
          <w:szCs w:val="24"/>
        </w:rPr>
        <w:lastRenderedPageBreak/>
        <w:t xml:space="preserve">2012;44(4):459–80. </w:t>
      </w:r>
    </w:p>
    <w:p w14:paraId="6364DCFD" w14:textId="77777777" w:rsidR="00D47FD7" w:rsidRPr="00813425" w:rsidRDefault="00D47FD7">
      <w:pPr>
        <w:widowControl w:val="0"/>
        <w:autoSpaceDE w:val="0"/>
        <w:autoSpaceDN w:val="0"/>
        <w:adjustRightInd w:val="0"/>
        <w:spacing w:after="140" w:line="288" w:lineRule="auto"/>
        <w:ind w:left="640" w:hanging="640"/>
        <w:rPr>
          <w:rFonts w:ascii="Times New Roman" w:hAnsi="Times New Roman" w:cs="Times New Roman"/>
          <w:sz w:val="24"/>
          <w:szCs w:val="24"/>
        </w:rPr>
      </w:pPr>
      <w:r w:rsidRPr="00813425">
        <w:rPr>
          <w:rFonts w:ascii="Times New Roman" w:hAnsi="Times New Roman" w:cs="Times New Roman"/>
          <w:sz w:val="24"/>
          <w:szCs w:val="24"/>
        </w:rPr>
        <w:t xml:space="preserve">26. </w:t>
      </w:r>
      <w:r w:rsidRPr="00813425">
        <w:rPr>
          <w:rFonts w:ascii="Times New Roman" w:hAnsi="Times New Roman" w:cs="Times New Roman"/>
          <w:sz w:val="24"/>
          <w:szCs w:val="24"/>
        </w:rPr>
        <w:tab/>
        <w:t xml:space="preserve">Hayes AF. Introduction to Mediation, Moderation, and Conditional Process Analysis: A Regression Based Approach. The Guilford Press. 2018. 113–119 p. </w:t>
      </w:r>
    </w:p>
    <w:p w14:paraId="6364DCFE" w14:textId="77777777" w:rsidR="00D47FD7" w:rsidRPr="00813425" w:rsidRDefault="00D47FD7">
      <w:pPr>
        <w:widowControl w:val="0"/>
        <w:autoSpaceDE w:val="0"/>
        <w:autoSpaceDN w:val="0"/>
        <w:adjustRightInd w:val="0"/>
        <w:spacing w:after="140" w:line="288" w:lineRule="auto"/>
        <w:ind w:left="640" w:hanging="640"/>
        <w:rPr>
          <w:rFonts w:ascii="Times New Roman" w:hAnsi="Times New Roman" w:cs="Times New Roman"/>
          <w:sz w:val="24"/>
          <w:szCs w:val="24"/>
        </w:rPr>
      </w:pPr>
      <w:r w:rsidRPr="00813425">
        <w:rPr>
          <w:rFonts w:ascii="Times New Roman" w:hAnsi="Times New Roman" w:cs="Times New Roman"/>
          <w:sz w:val="24"/>
          <w:szCs w:val="24"/>
        </w:rPr>
        <w:t xml:space="preserve">27. </w:t>
      </w:r>
      <w:r w:rsidRPr="00813425">
        <w:rPr>
          <w:rFonts w:ascii="Times New Roman" w:hAnsi="Times New Roman" w:cs="Times New Roman"/>
          <w:sz w:val="24"/>
          <w:szCs w:val="24"/>
        </w:rPr>
        <w:tab/>
        <w:t xml:space="preserve">Harvey NC, Mahon PA, Robinson SM, Nisbet CE, Javaid MK, Crozier SR, et al. Different indices of </w:t>
      </w:r>
      <w:proofErr w:type="spellStart"/>
      <w:r w:rsidRPr="00813425">
        <w:rPr>
          <w:rFonts w:ascii="Times New Roman" w:hAnsi="Times New Roman" w:cs="Times New Roman"/>
          <w:sz w:val="24"/>
          <w:szCs w:val="24"/>
        </w:rPr>
        <w:t>fetal</w:t>
      </w:r>
      <w:proofErr w:type="spellEnd"/>
      <w:r w:rsidRPr="00813425">
        <w:rPr>
          <w:rFonts w:ascii="Times New Roman" w:hAnsi="Times New Roman" w:cs="Times New Roman"/>
          <w:sz w:val="24"/>
          <w:szCs w:val="24"/>
        </w:rPr>
        <w:t xml:space="preserve"> growth predict bone size and volumetric density at 4 years of age. J Bone Miner Res. 2010;25(4):920–7. </w:t>
      </w:r>
    </w:p>
    <w:p w14:paraId="6364DCFF" w14:textId="77777777" w:rsidR="00D47FD7" w:rsidRPr="00813425" w:rsidRDefault="00D47FD7">
      <w:pPr>
        <w:widowControl w:val="0"/>
        <w:autoSpaceDE w:val="0"/>
        <w:autoSpaceDN w:val="0"/>
        <w:adjustRightInd w:val="0"/>
        <w:spacing w:after="140" w:line="288" w:lineRule="auto"/>
        <w:ind w:left="640" w:hanging="640"/>
        <w:rPr>
          <w:rFonts w:ascii="Times New Roman" w:hAnsi="Times New Roman" w:cs="Times New Roman"/>
          <w:sz w:val="24"/>
          <w:szCs w:val="24"/>
        </w:rPr>
      </w:pPr>
      <w:r w:rsidRPr="00813425">
        <w:rPr>
          <w:rFonts w:ascii="Times New Roman" w:hAnsi="Times New Roman" w:cs="Times New Roman"/>
          <w:sz w:val="24"/>
          <w:szCs w:val="24"/>
        </w:rPr>
        <w:t xml:space="preserve">28. </w:t>
      </w:r>
      <w:r w:rsidRPr="00813425">
        <w:rPr>
          <w:rFonts w:ascii="Times New Roman" w:hAnsi="Times New Roman" w:cs="Times New Roman"/>
          <w:sz w:val="24"/>
          <w:szCs w:val="24"/>
        </w:rPr>
        <w:tab/>
        <w:t xml:space="preserve">Poda GG, Hsu CY, Chao JCJ. Malnutrition is associated with HIV infection in children less than 5 years in Bobo-Dioulasso City, Burkina Faso. Med (United States). 2017;96(21). </w:t>
      </w:r>
    </w:p>
    <w:p w14:paraId="6364DD00" w14:textId="77777777" w:rsidR="00D47FD7" w:rsidRPr="00813425" w:rsidRDefault="00D47FD7">
      <w:pPr>
        <w:widowControl w:val="0"/>
        <w:autoSpaceDE w:val="0"/>
        <w:autoSpaceDN w:val="0"/>
        <w:adjustRightInd w:val="0"/>
        <w:spacing w:after="140" w:line="288" w:lineRule="auto"/>
        <w:ind w:left="640" w:hanging="640"/>
        <w:rPr>
          <w:rFonts w:ascii="Times New Roman" w:hAnsi="Times New Roman" w:cs="Times New Roman"/>
          <w:sz w:val="24"/>
          <w:szCs w:val="24"/>
        </w:rPr>
      </w:pPr>
      <w:r w:rsidRPr="00813425">
        <w:rPr>
          <w:rFonts w:ascii="Times New Roman" w:hAnsi="Times New Roman" w:cs="Times New Roman"/>
          <w:sz w:val="24"/>
          <w:szCs w:val="24"/>
        </w:rPr>
        <w:t xml:space="preserve">29. </w:t>
      </w:r>
      <w:r w:rsidRPr="00813425">
        <w:rPr>
          <w:rFonts w:ascii="Times New Roman" w:hAnsi="Times New Roman" w:cs="Times New Roman"/>
          <w:sz w:val="24"/>
          <w:szCs w:val="24"/>
        </w:rPr>
        <w:tab/>
        <w:t xml:space="preserve">Feucht UD, </w:t>
      </w:r>
      <w:proofErr w:type="spellStart"/>
      <w:r w:rsidRPr="00813425">
        <w:rPr>
          <w:rFonts w:ascii="Times New Roman" w:hAnsi="Times New Roman" w:cs="Times New Roman"/>
          <w:sz w:val="24"/>
          <w:szCs w:val="24"/>
        </w:rPr>
        <w:t>Bruwaene</w:t>
      </w:r>
      <w:proofErr w:type="spellEnd"/>
      <w:r w:rsidRPr="00813425">
        <w:rPr>
          <w:rFonts w:ascii="Times New Roman" w:hAnsi="Times New Roman" w:cs="Times New Roman"/>
          <w:sz w:val="24"/>
          <w:szCs w:val="24"/>
        </w:rPr>
        <w:t xml:space="preserve"> L Van, Becker PJ, Kruger M. Growth in HIV-infected children on long-term antiretroviral therapy. Trop Med Int Heal. 2016;21(5):619–29. </w:t>
      </w:r>
    </w:p>
    <w:p w14:paraId="6364DD01" w14:textId="77777777" w:rsidR="00D47FD7" w:rsidRPr="00813425" w:rsidRDefault="00D47FD7">
      <w:pPr>
        <w:widowControl w:val="0"/>
        <w:autoSpaceDE w:val="0"/>
        <w:autoSpaceDN w:val="0"/>
        <w:adjustRightInd w:val="0"/>
        <w:spacing w:after="140" w:line="288" w:lineRule="auto"/>
        <w:ind w:left="640" w:hanging="640"/>
        <w:rPr>
          <w:rFonts w:ascii="Times New Roman" w:hAnsi="Times New Roman" w:cs="Times New Roman"/>
          <w:sz w:val="24"/>
          <w:szCs w:val="24"/>
        </w:rPr>
      </w:pPr>
      <w:r w:rsidRPr="00813425">
        <w:rPr>
          <w:rFonts w:ascii="Times New Roman" w:hAnsi="Times New Roman" w:cs="Times New Roman"/>
          <w:sz w:val="24"/>
          <w:szCs w:val="24"/>
        </w:rPr>
        <w:t xml:space="preserve">30. </w:t>
      </w:r>
      <w:r w:rsidRPr="00813425">
        <w:rPr>
          <w:rFonts w:ascii="Times New Roman" w:hAnsi="Times New Roman" w:cs="Times New Roman"/>
          <w:sz w:val="24"/>
          <w:szCs w:val="24"/>
        </w:rPr>
        <w:tab/>
        <w:t xml:space="preserve">Tekleab AM, Tadesse BT, </w:t>
      </w:r>
      <w:proofErr w:type="spellStart"/>
      <w:r w:rsidRPr="00813425">
        <w:rPr>
          <w:rFonts w:ascii="Times New Roman" w:hAnsi="Times New Roman" w:cs="Times New Roman"/>
          <w:sz w:val="24"/>
          <w:szCs w:val="24"/>
        </w:rPr>
        <w:t>Giref</w:t>
      </w:r>
      <w:proofErr w:type="spellEnd"/>
      <w:r w:rsidRPr="00813425">
        <w:rPr>
          <w:rFonts w:ascii="Times New Roman" w:hAnsi="Times New Roman" w:cs="Times New Roman"/>
          <w:sz w:val="24"/>
          <w:szCs w:val="24"/>
        </w:rPr>
        <w:t xml:space="preserve"> AZ, </w:t>
      </w:r>
      <w:proofErr w:type="spellStart"/>
      <w:r w:rsidRPr="00813425">
        <w:rPr>
          <w:rFonts w:ascii="Times New Roman" w:hAnsi="Times New Roman" w:cs="Times New Roman"/>
          <w:sz w:val="24"/>
          <w:szCs w:val="24"/>
        </w:rPr>
        <w:t>Shimelis</w:t>
      </w:r>
      <w:proofErr w:type="spellEnd"/>
      <w:r w:rsidRPr="00813425">
        <w:rPr>
          <w:rFonts w:ascii="Times New Roman" w:hAnsi="Times New Roman" w:cs="Times New Roman"/>
          <w:sz w:val="24"/>
          <w:szCs w:val="24"/>
        </w:rPr>
        <w:t xml:space="preserve"> D, </w:t>
      </w:r>
      <w:proofErr w:type="spellStart"/>
      <w:r w:rsidRPr="00813425">
        <w:rPr>
          <w:rFonts w:ascii="Times New Roman" w:hAnsi="Times New Roman" w:cs="Times New Roman"/>
          <w:sz w:val="24"/>
          <w:szCs w:val="24"/>
        </w:rPr>
        <w:t>Gebre</w:t>
      </w:r>
      <w:proofErr w:type="spellEnd"/>
      <w:r w:rsidRPr="00813425">
        <w:rPr>
          <w:rFonts w:ascii="Times New Roman" w:hAnsi="Times New Roman" w:cs="Times New Roman"/>
          <w:sz w:val="24"/>
          <w:szCs w:val="24"/>
        </w:rPr>
        <w:t xml:space="preserve"> M. Anthropometric improvement among HIV infected pre-school children following initiation of first line anti-retroviral therapy: Implications for follow up. PLoS One. 2016;11(12):1–14. </w:t>
      </w:r>
    </w:p>
    <w:p w14:paraId="6364DD02" w14:textId="77777777" w:rsidR="00D47FD7" w:rsidRPr="00813425" w:rsidRDefault="00D47FD7">
      <w:pPr>
        <w:widowControl w:val="0"/>
        <w:autoSpaceDE w:val="0"/>
        <w:autoSpaceDN w:val="0"/>
        <w:adjustRightInd w:val="0"/>
        <w:spacing w:after="140" w:line="288" w:lineRule="auto"/>
        <w:ind w:left="640" w:hanging="640"/>
        <w:rPr>
          <w:rFonts w:ascii="Times New Roman" w:hAnsi="Times New Roman" w:cs="Times New Roman"/>
          <w:sz w:val="24"/>
          <w:szCs w:val="24"/>
        </w:rPr>
      </w:pPr>
      <w:r w:rsidRPr="00813425">
        <w:rPr>
          <w:rFonts w:ascii="Times New Roman" w:hAnsi="Times New Roman" w:cs="Times New Roman"/>
          <w:sz w:val="24"/>
          <w:szCs w:val="24"/>
        </w:rPr>
        <w:t xml:space="preserve">31. </w:t>
      </w:r>
      <w:r w:rsidRPr="00813425">
        <w:rPr>
          <w:rFonts w:ascii="Times New Roman" w:hAnsi="Times New Roman" w:cs="Times New Roman"/>
          <w:sz w:val="24"/>
          <w:szCs w:val="24"/>
        </w:rPr>
        <w:tab/>
        <w:t xml:space="preserve">Joel DR, </w:t>
      </w:r>
      <w:proofErr w:type="spellStart"/>
      <w:r w:rsidRPr="00813425">
        <w:rPr>
          <w:rFonts w:ascii="Times New Roman" w:hAnsi="Times New Roman" w:cs="Times New Roman"/>
          <w:sz w:val="24"/>
          <w:szCs w:val="24"/>
        </w:rPr>
        <w:t>Mabikwa</w:t>
      </w:r>
      <w:proofErr w:type="spellEnd"/>
      <w:r w:rsidRPr="00813425">
        <w:rPr>
          <w:rFonts w:ascii="Times New Roman" w:hAnsi="Times New Roman" w:cs="Times New Roman"/>
          <w:sz w:val="24"/>
          <w:szCs w:val="24"/>
        </w:rPr>
        <w:t xml:space="preserve"> V, </w:t>
      </w:r>
      <w:proofErr w:type="spellStart"/>
      <w:r w:rsidRPr="00813425">
        <w:rPr>
          <w:rFonts w:ascii="Times New Roman" w:hAnsi="Times New Roman" w:cs="Times New Roman"/>
          <w:sz w:val="24"/>
          <w:szCs w:val="24"/>
        </w:rPr>
        <w:t>Makhanda</w:t>
      </w:r>
      <w:proofErr w:type="spellEnd"/>
      <w:r w:rsidRPr="00813425">
        <w:rPr>
          <w:rFonts w:ascii="Times New Roman" w:hAnsi="Times New Roman" w:cs="Times New Roman"/>
          <w:sz w:val="24"/>
          <w:szCs w:val="24"/>
        </w:rPr>
        <w:t xml:space="preserve"> J, Tolle MA, </w:t>
      </w:r>
      <w:proofErr w:type="spellStart"/>
      <w:r w:rsidRPr="00813425">
        <w:rPr>
          <w:rFonts w:ascii="Times New Roman" w:hAnsi="Times New Roman" w:cs="Times New Roman"/>
          <w:sz w:val="24"/>
          <w:szCs w:val="24"/>
        </w:rPr>
        <w:t>Anabwani</w:t>
      </w:r>
      <w:proofErr w:type="spellEnd"/>
      <w:r w:rsidRPr="00813425">
        <w:rPr>
          <w:rFonts w:ascii="Times New Roman" w:hAnsi="Times New Roman" w:cs="Times New Roman"/>
          <w:sz w:val="24"/>
          <w:szCs w:val="24"/>
        </w:rPr>
        <w:t xml:space="preserve"> GM, Ahmed SF. The prevalence and determinants of short stature in HIV-infected children. J Int Assoc </w:t>
      </w:r>
      <w:proofErr w:type="spellStart"/>
      <w:r w:rsidRPr="00813425">
        <w:rPr>
          <w:rFonts w:ascii="Times New Roman" w:hAnsi="Times New Roman" w:cs="Times New Roman"/>
          <w:sz w:val="24"/>
          <w:szCs w:val="24"/>
        </w:rPr>
        <w:t>Provid</w:t>
      </w:r>
      <w:proofErr w:type="spellEnd"/>
      <w:r w:rsidRPr="00813425">
        <w:rPr>
          <w:rFonts w:ascii="Times New Roman" w:hAnsi="Times New Roman" w:cs="Times New Roman"/>
          <w:sz w:val="24"/>
          <w:szCs w:val="24"/>
        </w:rPr>
        <w:t xml:space="preserve"> AIDS Care. 2014;13(6):529–33. </w:t>
      </w:r>
    </w:p>
    <w:p w14:paraId="6364DD03" w14:textId="77777777" w:rsidR="00D47FD7" w:rsidRPr="00813425" w:rsidRDefault="00D47FD7">
      <w:pPr>
        <w:widowControl w:val="0"/>
        <w:autoSpaceDE w:val="0"/>
        <w:autoSpaceDN w:val="0"/>
        <w:adjustRightInd w:val="0"/>
        <w:spacing w:after="140" w:line="288" w:lineRule="auto"/>
        <w:ind w:left="640" w:hanging="640"/>
        <w:rPr>
          <w:rFonts w:ascii="Times New Roman" w:hAnsi="Times New Roman" w:cs="Times New Roman"/>
          <w:sz w:val="24"/>
          <w:szCs w:val="24"/>
        </w:rPr>
      </w:pPr>
      <w:r w:rsidRPr="00813425">
        <w:rPr>
          <w:rFonts w:ascii="Times New Roman" w:hAnsi="Times New Roman" w:cs="Times New Roman"/>
          <w:sz w:val="24"/>
          <w:szCs w:val="24"/>
        </w:rPr>
        <w:t xml:space="preserve">32. </w:t>
      </w:r>
      <w:r w:rsidRPr="00813425">
        <w:rPr>
          <w:rFonts w:ascii="Times New Roman" w:hAnsi="Times New Roman" w:cs="Times New Roman"/>
          <w:sz w:val="24"/>
          <w:szCs w:val="24"/>
        </w:rPr>
        <w:tab/>
        <w:t xml:space="preserve">Mwiru RS, Spiegelman D, Duggan C, </w:t>
      </w:r>
      <w:proofErr w:type="spellStart"/>
      <w:r w:rsidRPr="00813425">
        <w:rPr>
          <w:rFonts w:ascii="Times New Roman" w:hAnsi="Times New Roman" w:cs="Times New Roman"/>
          <w:sz w:val="24"/>
          <w:szCs w:val="24"/>
        </w:rPr>
        <w:t>Seage</w:t>
      </w:r>
      <w:proofErr w:type="spellEnd"/>
      <w:r w:rsidRPr="00813425">
        <w:rPr>
          <w:rFonts w:ascii="Times New Roman" w:hAnsi="Times New Roman" w:cs="Times New Roman"/>
          <w:sz w:val="24"/>
          <w:szCs w:val="24"/>
        </w:rPr>
        <w:t xml:space="preserve"> GR, </w:t>
      </w:r>
      <w:proofErr w:type="spellStart"/>
      <w:r w:rsidRPr="00813425">
        <w:rPr>
          <w:rFonts w:ascii="Times New Roman" w:hAnsi="Times New Roman" w:cs="Times New Roman"/>
          <w:sz w:val="24"/>
          <w:szCs w:val="24"/>
        </w:rPr>
        <w:t>Semu</w:t>
      </w:r>
      <w:proofErr w:type="spellEnd"/>
      <w:r w:rsidRPr="00813425">
        <w:rPr>
          <w:rFonts w:ascii="Times New Roman" w:hAnsi="Times New Roman" w:cs="Times New Roman"/>
          <w:sz w:val="24"/>
          <w:szCs w:val="24"/>
        </w:rPr>
        <w:t xml:space="preserve"> H, </w:t>
      </w:r>
      <w:proofErr w:type="spellStart"/>
      <w:r w:rsidRPr="00813425">
        <w:rPr>
          <w:rFonts w:ascii="Times New Roman" w:hAnsi="Times New Roman" w:cs="Times New Roman"/>
          <w:sz w:val="24"/>
          <w:szCs w:val="24"/>
        </w:rPr>
        <w:t>Chalamilla</w:t>
      </w:r>
      <w:proofErr w:type="spellEnd"/>
      <w:r w:rsidRPr="00813425">
        <w:rPr>
          <w:rFonts w:ascii="Times New Roman" w:hAnsi="Times New Roman" w:cs="Times New Roman"/>
          <w:sz w:val="24"/>
          <w:szCs w:val="24"/>
        </w:rPr>
        <w:t xml:space="preserve"> G, et al. Growth among HIV-infected children receiving antiretroviral therapy in Dar es Salaam, Tanzania. J Trop </w:t>
      </w:r>
      <w:proofErr w:type="spellStart"/>
      <w:r w:rsidRPr="00813425">
        <w:rPr>
          <w:rFonts w:ascii="Times New Roman" w:hAnsi="Times New Roman" w:cs="Times New Roman"/>
          <w:sz w:val="24"/>
          <w:szCs w:val="24"/>
        </w:rPr>
        <w:t>Pediatr</w:t>
      </w:r>
      <w:proofErr w:type="spellEnd"/>
      <w:r w:rsidRPr="00813425">
        <w:rPr>
          <w:rFonts w:ascii="Times New Roman" w:hAnsi="Times New Roman" w:cs="Times New Roman"/>
          <w:sz w:val="24"/>
          <w:szCs w:val="24"/>
        </w:rPr>
        <w:t xml:space="preserve">. 2014;60(3):179–88. </w:t>
      </w:r>
    </w:p>
    <w:p w14:paraId="6364DD04" w14:textId="77777777" w:rsidR="00D47FD7" w:rsidRPr="00813425" w:rsidRDefault="00D47FD7">
      <w:pPr>
        <w:widowControl w:val="0"/>
        <w:autoSpaceDE w:val="0"/>
        <w:autoSpaceDN w:val="0"/>
        <w:adjustRightInd w:val="0"/>
        <w:spacing w:after="140" w:line="288" w:lineRule="auto"/>
        <w:ind w:left="640" w:hanging="640"/>
        <w:rPr>
          <w:rFonts w:ascii="Times New Roman" w:hAnsi="Times New Roman" w:cs="Times New Roman"/>
          <w:sz w:val="24"/>
          <w:szCs w:val="24"/>
        </w:rPr>
      </w:pPr>
      <w:r w:rsidRPr="00813425">
        <w:rPr>
          <w:rFonts w:ascii="Times New Roman" w:hAnsi="Times New Roman" w:cs="Times New Roman"/>
          <w:sz w:val="24"/>
          <w:szCs w:val="24"/>
        </w:rPr>
        <w:t xml:space="preserve">33. </w:t>
      </w:r>
      <w:r w:rsidRPr="00813425">
        <w:rPr>
          <w:rFonts w:ascii="Times New Roman" w:hAnsi="Times New Roman" w:cs="Times New Roman"/>
          <w:sz w:val="24"/>
          <w:szCs w:val="24"/>
        </w:rPr>
        <w:tab/>
      </w:r>
      <w:proofErr w:type="spellStart"/>
      <w:r w:rsidRPr="00813425">
        <w:rPr>
          <w:rFonts w:ascii="Times New Roman" w:hAnsi="Times New Roman" w:cs="Times New Roman"/>
          <w:sz w:val="24"/>
          <w:szCs w:val="24"/>
        </w:rPr>
        <w:t>Mcgrath</w:t>
      </w:r>
      <w:proofErr w:type="spellEnd"/>
      <w:r w:rsidRPr="00813425">
        <w:rPr>
          <w:rFonts w:ascii="Times New Roman" w:hAnsi="Times New Roman" w:cs="Times New Roman"/>
          <w:sz w:val="24"/>
          <w:szCs w:val="24"/>
        </w:rPr>
        <w:t xml:space="preserve"> CJ, </w:t>
      </w:r>
      <w:proofErr w:type="spellStart"/>
      <w:r w:rsidRPr="00813425">
        <w:rPr>
          <w:rFonts w:ascii="Times New Roman" w:hAnsi="Times New Roman" w:cs="Times New Roman"/>
          <w:sz w:val="24"/>
          <w:szCs w:val="24"/>
        </w:rPr>
        <w:t>Nduati</w:t>
      </w:r>
      <w:proofErr w:type="spellEnd"/>
      <w:r w:rsidRPr="00813425">
        <w:rPr>
          <w:rFonts w:ascii="Times New Roman" w:hAnsi="Times New Roman" w:cs="Times New Roman"/>
          <w:sz w:val="24"/>
          <w:szCs w:val="24"/>
        </w:rPr>
        <w:t xml:space="preserve"> R, Richardson BA, Kristal AR, </w:t>
      </w:r>
      <w:proofErr w:type="spellStart"/>
      <w:r w:rsidRPr="00813425">
        <w:rPr>
          <w:rFonts w:ascii="Times New Roman" w:hAnsi="Times New Roman" w:cs="Times New Roman"/>
          <w:sz w:val="24"/>
          <w:szCs w:val="24"/>
        </w:rPr>
        <w:t>Mbori-ngacha</w:t>
      </w:r>
      <w:proofErr w:type="spellEnd"/>
      <w:r w:rsidRPr="00813425">
        <w:rPr>
          <w:rFonts w:ascii="Times New Roman" w:hAnsi="Times New Roman" w:cs="Times New Roman"/>
          <w:sz w:val="24"/>
          <w:szCs w:val="24"/>
        </w:rPr>
        <w:t xml:space="preserve"> D, Farquhar C, et al. The Prevalence of Stunting Is High in HIV-1 – Exposed Uninfected Infants in Kenya 1 – 3. 2012; </w:t>
      </w:r>
    </w:p>
    <w:p w14:paraId="6364DD05" w14:textId="77777777" w:rsidR="00D47FD7" w:rsidRPr="00813425" w:rsidRDefault="00D47FD7">
      <w:pPr>
        <w:widowControl w:val="0"/>
        <w:autoSpaceDE w:val="0"/>
        <w:autoSpaceDN w:val="0"/>
        <w:adjustRightInd w:val="0"/>
        <w:spacing w:after="140" w:line="288" w:lineRule="auto"/>
        <w:ind w:left="640" w:hanging="640"/>
        <w:rPr>
          <w:rFonts w:ascii="Times New Roman" w:hAnsi="Times New Roman" w:cs="Times New Roman"/>
          <w:sz w:val="24"/>
          <w:szCs w:val="24"/>
        </w:rPr>
      </w:pPr>
      <w:r w:rsidRPr="00813425">
        <w:rPr>
          <w:rFonts w:ascii="Times New Roman" w:hAnsi="Times New Roman" w:cs="Times New Roman"/>
          <w:sz w:val="24"/>
          <w:szCs w:val="24"/>
        </w:rPr>
        <w:t xml:space="preserve">34. </w:t>
      </w:r>
      <w:r w:rsidRPr="00813425">
        <w:rPr>
          <w:rFonts w:ascii="Times New Roman" w:hAnsi="Times New Roman" w:cs="Times New Roman"/>
          <w:sz w:val="24"/>
          <w:szCs w:val="24"/>
        </w:rPr>
        <w:tab/>
        <w:t xml:space="preserve">Sutcliffe CG, van Dijk JH, </w:t>
      </w:r>
      <w:proofErr w:type="spellStart"/>
      <w:r w:rsidRPr="00813425">
        <w:rPr>
          <w:rFonts w:ascii="Times New Roman" w:hAnsi="Times New Roman" w:cs="Times New Roman"/>
          <w:sz w:val="24"/>
          <w:szCs w:val="24"/>
        </w:rPr>
        <w:t>Munsanje</w:t>
      </w:r>
      <w:proofErr w:type="spellEnd"/>
      <w:r w:rsidRPr="00813425">
        <w:rPr>
          <w:rFonts w:ascii="Times New Roman" w:hAnsi="Times New Roman" w:cs="Times New Roman"/>
          <w:sz w:val="24"/>
          <w:szCs w:val="24"/>
        </w:rPr>
        <w:t xml:space="preserve"> B, </w:t>
      </w:r>
      <w:proofErr w:type="spellStart"/>
      <w:r w:rsidRPr="00813425">
        <w:rPr>
          <w:rFonts w:ascii="Times New Roman" w:hAnsi="Times New Roman" w:cs="Times New Roman"/>
          <w:sz w:val="24"/>
          <w:szCs w:val="24"/>
        </w:rPr>
        <w:t>Hamangaba</w:t>
      </w:r>
      <w:proofErr w:type="spellEnd"/>
      <w:r w:rsidRPr="00813425">
        <w:rPr>
          <w:rFonts w:ascii="Times New Roman" w:hAnsi="Times New Roman" w:cs="Times New Roman"/>
          <w:sz w:val="24"/>
          <w:szCs w:val="24"/>
        </w:rPr>
        <w:t xml:space="preserve"> F, </w:t>
      </w:r>
      <w:proofErr w:type="spellStart"/>
      <w:r w:rsidRPr="00813425">
        <w:rPr>
          <w:rFonts w:ascii="Times New Roman" w:hAnsi="Times New Roman" w:cs="Times New Roman"/>
          <w:sz w:val="24"/>
          <w:szCs w:val="24"/>
        </w:rPr>
        <w:t>Sinywimaanzi</w:t>
      </w:r>
      <w:proofErr w:type="spellEnd"/>
      <w:r w:rsidRPr="00813425">
        <w:rPr>
          <w:rFonts w:ascii="Times New Roman" w:hAnsi="Times New Roman" w:cs="Times New Roman"/>
          <w:sz w:val="24"/>
          <w:szCs w:val="24"/>
        </w:rPr>
        <w:t xml:space="preserve"> P, </w:t>
      </w:r>
      <w:proofErr w:type="spellStart"/>
      <w:r w:rsidRPr="00813425">
        <w:rPr>
          <w:rFonts w:ascii="Times New Roman" w:hAnsi="Times New Roman" w:cs="Times New Roman"/>
          <w:sz w:val="24"/>
          <w:szCs w:val="24"/>
        </w:rPr>
        <w:t>Thuma</w:t>
      </w:r>
      <w:proofErr w:type="spellEnd"/>
      <w:r w:rsidRPr="00813425">
        <w:rPr>
          <w:rFonts w:ascii="Times New Roman" w:hAnsi="Times New Roman" w:cs="Times New Roman"/>
          <w:sz w:val="24"/>
          <w:szCs w:val="24"/>
        </w:rPr>
        <w:t xml:space="preserve"> PE, et al. Weight and height z-scores improve after initiating ART among HIV-infected children in rural Zambia: A cohort study. BMC Infect Dis [Internet]. 2011;11(1):54. Available from: http://www.biomedcentral.com/1471-2334/11/54</w:t>
      </w:r>
    </w:p>
    <w:p w14:paraId="6364DD06" w14:textId="77777777" w:rsidR="00D47FD7" w:rsidRPr="00813425" w:rsidRDefault="00D47FD7">
      <w:pPr>
        <w:widowControl w:val="0"/>
        <w:autoSpaceDE w:val="0"/>
        <w:autoSpaceDN w:val="0"/>
        <w:adjustRightInd w:val="0"/>
        <w:spacing w:after="140" w:line="288" w:lineRule="auto"/>
        <w:ind w:left="640" w:hanging="640"/>
        <w:rPr>
          <w:rFonts w:ascii="Times New Roman" w:hAnsi="Times New Roman" w:cs="Times New Roman"/>
          <w:sz w:val="24"/>
          <w:szCs w:val="24"/>
        </w:rPr>
      </w:pPr>
      <w:r w:rsidRPr="00813425">
        <w:rPr>
          <w:rFonts w:ascii="Times New Roman" w:hAnsi="Times New Roman" w:cs="Times New Roman"/>
          <w:sz w:val="24"/>
          <w:szCs w:val="24"/>
        </w:rPr>
        <w:t xml:space="preserve">35. </w:t>
      </w:r>
      <w:r w:rsidRPr="00813425">
        <w:rPr>
          <w:rFonts w:ascii="Times New Roman" w:hAnsi="Times New Roman" w:cs="Times New Roman"/>
          <w:sz w:val="24"/>
          <w:szCs w:val="24"/>
        </w:rPr>
        <w:tab/>
      </w:r>
      <w:proofErr w:type="spellStart"/>
      <w:r w:rsidRPr="00813425">
        <w:rPr>
          <w:rFonts w:ascii="Times New Roman" w:hAnsi="Times New Roman" w:cs="Times New Roman"/>
          <w:sz w:val="24"/>
          <w:szCs w:val="24"/>
        </w:rPr>
        <w:t>Omoni</w:t>
      </w:r>
      <w:proofErr w:type="spellEnd"/>
      <w:r w:rsidRPr="00813425">
        <w:rPr>
          <w:rFonts w:ascii="Times New Roman" w:hAnsi="Times New Roman" w:cs="Times New Roman"/>
          <w:sz w:val="24"/>
          <w:szCs w:val="24"/>
        </w:rPr>
        <w:t xml:space="preserve"> AO, </w:t>
      </w:r>
      <w:proofErr w:type="spellStart"/>
      <w:r w:rsidRPr="00813425">
        <w:rPr>
          <w:rFonts w:ascii="Times New Roman" w:hAnsi="Times New Roman" w:cs="Times New Roman"/>
          <w:sz w:val="24"/>
          <w:szCs w:val="24"/>
        </w:rPr>
        <w:t>Ntozini</w:t>
      </w:r>
      <w:proofErr w:type="spellEnd"/>
      <w:r w:rsidRPr="00813425">
        <w:rPr>
          <w:rFonts w:ascii="Times New Roman" w:hAnsi="Times New Roman" w:cs="Times New Roman"/>
          <w:sz w:val="24"/>
          <w:szCs w:val="24"/>
        </w:rPr>
        <w:t xml:space="preserve"> R, Evans C, Prendergast AJ, Moulton LH, Christian PS, et al. Child Growth According to Maternal and Child HIV Status in Zimbabwe. </w:t>
      </w:r>
      <w:proofErr w:type="spellStart"/>
      <w:r w:rsidRPr="00813425">
        <w:rPr>
          <w:rFonts w:ascii="Times New Roman" w:hAnsi="Times New Roman" w:cs="Times New Roman"/>
          <w:sz w:val="24"/>
          <w:szCs w:val="24"/>
        </w:rPr>
        <w:t>Pediatr</w:t>
      </w:r>
      <w:proofErr w:type="spellEnd"/>
      <w:r w:rsidRPr="00813425">
        <w:rPr>
          <w:rFonts w:ascii="Times New Roman" w:hAnsi="Times New Roman" w:cs="Times New Roman"/>
          <w:sz w:val="24"/>
          <w:szCs w:val="24"/>
        </w:rPr>
        <w:t xml:space="preserve"> Infect Dis J. 2017;36(9):869–76. </w:t>
      </w:r>
    </w:p>
    <w:p w14:paraId="6364DD07" w14:textId="77777777" w:rsidR="00D47FD7" w:rsidRPr="00813425" w:rsidRDefault="00D47FD7">
      <w:pPr>
        <w:widowControl w:val="0"/>
        <w:autoSpaceDE w:val="0"/>
        <w:autoSpaceDN w:val="0"/>
        <w:adjustRightInd w:val="0"/>
        <w:spacing w:after="140" w:line="288" w:lineRule="auto"/>
        <w:ind w:left="640" w:hanging="640"/>
        <w:rPr>
          <w:rFonts w:ascii="Times New Roman" w:hAnsi="Times New Roman" w:cs="Times New Roman"/>
          <w:sz w:val="24"/>
          <w:szCs w:val="24"/>
        </w:rPr>
      </w:pPr>
      <w:r w:rsidRPr="00813425">
        <w:rPr>
          <w:rFonts w:ascii="Times New Roman" w:hAnsi="Times New Roman" w:cs="Times New Roman"/>
          <w:sz w:val="24"/>
          <w:szCs w:val="24"/>
        </w:rPr>
        <w:t xml:space="preserve">36. </w:t>
      </w:r>
      <w:r w:rsidRPr="00813425">
        <w:rPr>
          <w:rFonts w:ascii="Times New Roman" w:hAnsi="Times New Roman" w:cs="Times New Roman"/>
          <w:sz w:val="24"/>
          <w:szCs w:val="24"/>
        </w:rPr>
        <w:tab/>
      </w:r>
      <w:proofErr w:type="spellStart"/>
      <w:r w:rsidRPr="00813425">
        <w:rPr>
          <w:rFonts w:ascii="Times New Roman" w:hAnsi="Times New Roman" w:cs="Times New Roman"/>
          <w:sz w:val="24"/>
          <w:szCs w:val="24"/>
        </w:rPr>
        <w:t>Ebissa</w:t>
      </w:r>
      <w:proofErr w:type="spellEnd"/>
      <w:r w:rsidRPr="00813425">
        <w:rPr>
          <w:rFonts w:ascii="Times New Roman" w:hAnsi="Times New Roman" w:cs="Times New Roman"/>
          <w:sz w:val="24"/>
          <w:szCs w:val="24"/>
        </w:rPr>
        <w:t xml:space="preserve"> G, </w:t>
      </w:r>
      <w:proofErr w:type="spellStart"/>
      <w:r w:rsidRPr="00813425">
        <w:rPr>
          <w:rFonts w:ascii="Times New Roman" w:hAnsi="Times New Roman" w:cs="Times New Roman"/>
          <w:sz w:val="24"/>
          <w:szCs w:val="24"/>
        </w:rPr>
        <w:t>Deyessa</w:t>
      </w:r>
      <w:proofErr w:type="spellEnd"/>
      <w:r w:rsidRPr="00813425">
        <w:rPr>
          <w:rFonts w:ascii="Times New Roman" w:hAnsi="Times New Roman" w:cs="Times New Roman"/>
          <w:sz w:val="24"/>
          <w:szCs w:val="24"/>
        </w:rPr>
        <w:t xml:space="preserve"> N, </w:t>
      </w:r>
      <w:proofErr w:type="spellStart"/>
      <w:r w:rsidRPr="00813425">
        <w:rPr>
          <w:rFonts w:ascii="Times New Roman" w:hAnsi="Times New Roman" w:cs="Times New Roman"/>
          <w:sz w:val="24"/>
          <w:szCs w:val="24"/>
        </w:rPr>
        <w:t>Biadgilign</w:t>
      </w:r>
      <w:proofErr w:type="spellEnd"/>
      <w:r w:rsidRPr="00813425">
        <w:rPr>
          <w:rFonts w:ascii="Times New Roman" w:hAnsi="Times New Roman" w:cs="Times New Roman"/>
          <w:sz w:val="24"/>
          <w:szCs w:val="24"/>
        </w:rPr>
        <w:t xml:space="preserve"> S. Impact of highly active antiretroviral therapy on nutritional and immunologic status in HIV-infected children in the low-income country of Ethiopia. Nutrition [Internet]. 2016;32(6):667–73. Available from: http://dx.doi.org/10.1016/j.nut.2015.12.035</w:t>
      </w:r>
    </w:p>
    <w:p w14:paraId="6364DD08" w14:textId="77777777" w:rsidR="00D47FD7" w:rsidRPr="00813425" w:rsidRDefault="00D47FD7">
      <w:pPr>
        <w:widowControl w:val="0"/>
        <w:autoSpaceDE w:val="0"/>
        <w:autoSpaceDN w:val="0"/>
        <w:adjustRightInd w:val="0"/>
        <w:spacing w:after="140" w:line="288" w:lineRule="auto"/>
        <w:ind w:left="640" w:hanging="640"/>
        <w:rPr>
          <w:rFonts w:ascii="Times New Roman" w:hAnsi="Times New Roman" w:cs="Times New Roman"/>
          <w:sz w:val="24"/>
          <w:szCs w:val="24"/>
        </w:rPr>
      </w:pPr>
      <w:r w:rsidRPr="00813425">
        <w:rPr>
          <w:rFonts w:ascii="Times New Roman" w:hAnsi="Times New Roman" w:cs="Times New Roman"/>
          <w:sz w:val="24"/>
          <w:szCs w:val="24"/>
        </w:rPr>
        <w:t xml:space="preserve">37. </w:t>
      </w:r>
      <w:r w:rsidRPr="00813425">
        <w:rPr>
          <w:rFonts w:ascii="Times New Roman" w:hAnsi="Times New Roman" w:cs="Times New Roman"/>
          <w:sz w:val="24"/>
          <w:szCs w:val="24"/>
        </w:rPr>
        <w:tab/>
      </w:r>
      <w:proofErr w:type="spellStart"/>
      <w:r w:rsidRPr="00813425">
        <w:rPr>
          <w:rFonts w:ascii="Times New Roman" w:hAnsi="Times New Roman" w:cs="Times New Roman"/>
          <w:sz w:val="24"/>
          <w:szCs w:val="24"/>
        </w:rPr>
        <w:t>Cames</w:t>
      </w:r>
      <w:proofErr w:type="spellEnd"/>
      <w:r w:rsidRPr="00813425">
        <w:rPr>
          <w:rFonts w:ascii="Times New Roman" w:hAnsi="Times New Roman" w:cs="Times New Roman"/>
          <w:sz w:val="24"/>
          <w:szCs w:val="24"/>
        </w:rPr>
        <w:t xml:space="preserve"> C, Pascal L, Diack A, </w:t>
      </w:r>
      <w:proofErr w:type="spellStart"/>
      <w:r w:rsidRPr="00813425">
        <w:rPr>
          <w:rFonts w:ascii="Times New Roman" w:hAnsi="Times New Roman" w:cs="Times New Roman"/>
          <w:sz w:val="24"/>
          <w:szCs w:val="24"/>
        </w:rPr>
        <w:t>Mbodj</w:t>
      </w:r>
      <w:proofErr w:type="spellEnd"/>
      <w:r w:rsidRPr="00813425">
        <w:rPr>
          <w:rFonts w:ascii="Times New Roman" w:hAnsi="Times New Roman" w:cs="Times New Roman"/>
          <w:sz w:val="24"/>
          <w:szCs w:val="24"/>
        </w:rPr>
        <w:t xml:space="preserve"> H, Ouattara B, </w:t>
      </w:r>
      <w:proofErr w:type="spellStart"/>
      <w:r w:rsidRPr="00813425">
        <w:rPr>
          <w:rFonts w:ascii="Times New Roman" w:hAnsi="Times New Roman" w:cs="Times New Roman"/>
          <w:sz w:val="24"/>
          <w:szCs w:val="24"/>
        </w:rPr>
        <w:t>Diagne</w:t>
      </w:r>
      <w:proofErr w:type="spellEnd"/>
      <w:r w:rsidRPr="00813425">
        <w:rPr>
          <w:rFonts w:ascii="Times New Roman" w:hAnsi="Times New Roman" w:cs="Times New Roman"/>
          <w:sz w:val="24"/>
          <w:szCs w:val="24"/>
        </w:rPr>
        <w:t xml:space="preserve"> NR, et al. Risk Factors for Growth Retardation in HIV-infected Senegalese Children on Antiretroviral Treatment: The ANRS 12279 MAGGSEN </w:t>
      </w:r>
      <w:proofErr w:type="spellStart"/>
      <w:r w:rsidRPr="00813425">
        <w:rPr>
          <w:rFonts w:ascii="Times New Roman" w:hAnsi="Times New Roman" w:cs="Times New Roman"/>
          <w:sz w:val="24"/>
          <w:szCs w:val="24"/>
        </w:rPr>
        <w:t>Pediatric</w:t>
      </w:r>
      <w:proofErr w:type="spellEnd"/>
      <w:r w:rsidRPr="00813425">
        <w:rPr>
          <w:rFonts w:ascii="Times New Roman" w:hAnsi="Times New Roman" w:cs="Times New Roman"/>
          <w:sz w:val="24"/>
          <w:szCs w:val="24"/>
        </w:rPr>
        <w:t xml:space="preserve"> Cohort Study. </w:t>
      </w:r>
      <w:proofErr w:type="spellStart"/>
      <w:r w:rsidRPr="00813425">
        <w:rPr>
          <w:rFonts w:ascii="Times New Roman" w:hAnsi="Times New Roman" w:cs="Times New Roman"/>
          <w:sz w:val="24"/>
          <w:szCs w:val="24"/>
        </w:rPr>
        <w:t>Pediatr</w:t>
      </w:r>
      <w:proofErr w:type="spellEnd"/>
      <w:r w:rsidRPr="00813425">
        <w:rPr>
          <w:rFonts w:ascii="Times New Roman" w:hAnsi="Times New Roman" w:cs="Times New Roman"/>
          <w:sz w:val="24"/>
          <w:szCs w:val="24"/>
        </w:rPr>
        <w:t xml:space="preserve"> Infect Dis J. </w:t>
      </w:r>
      <w:r w:rsidRPr="00813425">
        <w:rPr>
          <w:rFonts w:ascii="Times New Roman" w:hAnsi="Times New Roman" w:cs="Times New Roman"/>
          <w:sz w:val="24"/>
          <w:szCs w:val="24"/>
        </w:rPr>
        <w:lastRenderedPageBreak/>
        <w:t>2017;36(4</w:t>
      </w:r>
      <w:proofErr w:type="gramStart"/>
      <w:r w:rsidRPr="00813425">
        <w:rPr>
          <w:rFonts w:ascii="Times New Roman" w:hAnsi="Times New Roman" w:cs="Times New Roman"/>
          <w:sz w:val="24"/>
          <w:szCs w:val="24"/>
        </w:rPr>
        <w:t>):e</w:t>
      </w:r>
      <w:proofErr w:type="gramEnd"/>
      <w:r w:rsidRPr="00813425">
        <w:rPr>
          <w:rFonts w:ascii="Times New Roman" w:hAnsi="Times New Roman" w:cs="Times New Roman"/>
          <w:sz w:val="24"/>
          <w:szCs w:val="24"/>
        </w:rPr>
        <w:t xml:space="preserve">87–92. </w:t>
      </w:r>
    </w:p>
    <w:p w14:paraId="4666B3AC" w14:textId="46E5A12C" w:rsidR="00F97376" w:rsidRPr="00813425" w:rsidRDefault="00D47FD7" w:rsidP="00593853">
      <w:pPr>
        <w:widowControl w:val="0"/>
        <w:autoSpaceDE w:val="0"/>
        <w:autoSpaceDN w:val="0"/>
        <w:adjustRightInd w:val="0"/>
        <w:spacing w:after="140" w:line="288" w:lineRule="auto"/>
        <w:ind w:left="640" w:hanging="640"/>
      </w:pPr>
      <w:r w:rsidRPr="00813425">
        <w:rPr>
          <w:rFonts w:ascii="Times New Roman" w:hAnsi="Times New Roman" w:cs="Times New Roman"/>
          <w:sz w:val="24"/>
          <w:szCs w:val="24"/>
        </w:rPr>
        <w:t xml:space="preserve">38. </w:t>
      </w:r>
      <w:r w:rsidRPr="00813425">
        <w:rPr>
          <w:rFonts w:ascii="Times New Roman" w:hAnsi="Times New Roman" w:cs="Times New Roman"/>
          <w:sz w:val="24"/>
          <w:szCs w:val="24"/>
        </w:rPr>
        <w:tab/>
        <w:t xml:space="preserve">Van Der </w:t>
      </w:r>
      <w:proofErr w:type="spellStart"/>
      <w:r w:rsidRPr="00813425">
        <w:rPr>
          <w:rFonts w:ascii="Times New Roman" w:hAnsi="Times New Roman" w:cs="Times New Roman"/>
          <w:sz w:val="24"/>
          <w:szCs w:val="24"/>
        </w:rPr>
        <w:t>weele</w:t>
      </w:r>
      <w:proofErr w:type="spellEnd"/>
      <w:r w:rsidRPr="00813425">
        <w:rPr>
          <w:rFonts w:ascii="Times New Roman" w:hAnsi="Times New Roman" w:cs="Times New Roman"/>
          <w:sz w:val="24"/>
          <w:szCs w:val="24"/>
        </w:rPr>
        <w:t xml:space="preserve"> T, </w:t>
      </w:r>
      <w:proofErr w:type="spellStart"/>
      <w:r w:rsidRPr="00813425">
        <w:rPr>
          <w:rFonts w:ascii="Times New Roman" w:hAnsi="Times New Roman" w:cs="Times New Roman"/>
          <w:sz w:val="24"/>
          <w:szCs w:val="24"/>
        </w:rPr>
        <w:t>Vansteelandt</w:t>
      </w:r>
      <w:proofErr w:type="spellEnd"/>
      <w:r w:rsidRPr="00813425">
        <w:rPr>
          <w:rFonts w:ascii="Times New Roman" w:hAnsi="Times New Roman" w:cs="Times New Roman"/>
          <w:sz w:val="24"/>
          <w:szCs w:val="24"/>
        </w:rPr>
        <w:t xml:space="preserve"> S. Mediation analysis with multiple mediators. Epidemiol Method. 2013;2(1):95–115. </w:t>
      </w:r>
      <w:r w:rsidR="00F97376" w:rsidRPr="00813425">
        <w:rPr>
          <w:rFonts w:ascii="Times New Roman" w:hAnsi="Times New Roman" w:cs="Times New Roman"/>
          <w:sz w:val="24"/>
          <w:szCs w:val="24"/>
        </w:rPr>
        <w:t xml:space="preserve"> </w:t>
      </w:r>
    </w:p>
    <w:p w14:paraId="6364DD0A" w14:textId="77777777" w:rsidR="00E335A6" w:rsidRPr="00813425" w:rsidRDefault="00E335A6" w:rsidP="00F97376">
      <w:pPr>
        <w:widowControl w:val="0"/>
        <w:autoSpaceDE w:val="0"/>
        <w:autoSpaceDN w:val="0"/>
        <w:adjustRightInd w:val="0"/>
        <w:spacing w:after="0" w:line="360" w:lineRule="auto"/>
        <w:ind w:left="640" w:hanging="640"/>
        <w:rPr>
          <w:rFonts w:ascii="Times New Roman" w:hAnsi="Times New Roman" w:cs="Times New Roman"/>
          <w:noProof/>
          <w:sz w:val="24"/>
          <w:szCs w:val="24"/>
          <w:lang w:val="en-GB"/>
        </w:rPr>
        <w:sectPr w:rsidR="00E335A6" w:rsidRPr="00813425">
          <w:footerReference w:type="default" r:id="rId8"/>
          <w:pgSz w:w="11906" w:h="16838"/>
          <w:pgMar w:top="1440" w:right="1440" w:bottom="1440" w:left="1440" w:header="708" w:footer="708" w:gutter="0"/>
          <w:cols w:space="708"/>
          <w:docGrid w:linePitch="360"/>
        </w:sectPr>
      </w:pPr>
      <w:r w:rsidRPr="00813425">
        <w:rPr>
          <w:rFonts w:ascii="Times New Roman" w:hAnsi="Times New Roman" w:cs="Times New Roman"/>
          <w:b/>
          <w:color w:val="000000"/>
          <w:sz w:val="24"/>
          <w:szCs w:val="24"/>
          <w:lang w:val="en-US"/>
        </w:rPr>
        <w:fldChar w:fldCharType="begin" w:fldLock="1"/>
      </w:r>
      <w:r w:rsidRPr="00813425">
        <w:rPr>
          <w:rFonts w:ascii="Times New Roman" w:hAnsi="Times New Roman" w:cs="Times New Roman"/>
          <w:b/>
          <w:color w:val="000000"/>
          <w:sz w:val="24"/>
          <w:szCs w:val="24"/>
          <w:lang w:val="en-US"/>
        </w:rPr>
        <w:instrText xml:space="preserve">ADDIN Mendeley Bibliography CSL_BIBLIOGRAPHY </w:instrText>
      </w:r>
      <w:r w:rsidRPr="00813425">
        <w:rPr>
          <w:rFonts w:ascii="Times New Roman" w:hAnsi="Times New Roman" w:cs="Times New Roman"/>
          <w:b/>
          <w:color w:val="000000"/>
          <w:sz w:val="24"/>
          <w:szCs w:val="24"/>
          <w:lang w:val="en-US"/>
        </w:rPr>
        <w:fldChar w:fldCharType="end"/>
      </w:r>
      <w:r w:rsidR="00C95A78" w:rsidRPr="00813425">
        <w:rPr>
          <w:rFonts w:ascii="Times New Roman" w:hAnsi="Times New Roman" w:cs="Times New Roman"/>
          <w:b/>
          <w:color w:val="000000"/>
          <w:sz w:val="24"/>
          <w:szCs w:val="24"/>
          <w:lang w:val="en-US"/>
        </w:rPr>
        <w:fldChar w:fldCharType="begin" w:fldLock="1"/>
      </w:r>
      <w:r w:rsidR="00C95A78" w:rsidRPr="00813425">
        <w:rPr>
          <w:rFonts w:ascii="Times New Roman" w:hAnsi="Times New Roman" w:cs="Times New Roman"/>
          <w:b/>
          <w:color w:val="000000"/>
          <w:sz w:val="24"/>
          <w:szCs w:val="24"/>
          <w:lang w:val="en-US"/>
        </w:rPr>
        <w:instrText xml:space="preserve">ADDIN Mendeley Bibliography CSL_BIBLIOGRAPHY </w:instrText>
      </w:r>
      <w:r w:rsidR="00C95A78" w:rsidRPr="00813425">
        <w:rPr>
          <w:rFonts w:ascii="Times New Roman" w:hAnsi="Times New Roman" w:cs="Times New Roman"/>
          <w:b/>
          <w:color w:val="000000"/>
          <w:sz w:val="24"/>
          <w:szCs w:val="24"/>
          <w:lang w:val="en-US"/>
        </w:rPr>
        <w:fldChar w:fldCharType="separate"/>
      </w:r>
      <w:bookmarkStart w:id="25" w:name="_Toc139513500"/>
    </w:p>
    <w:bookmarkEnd w:id="25"/>
    <w:p w14:paraId="6364DEA1" w14:textId="7D862D98" w:rsidR="00C95A78" w:rsidRPr="00813425" w:rsidRDefault="00C95A78" w:rsidP="005F2B20">
      <w:pPr>
        <w:keepNext/>
        <w:spacing w:after="200" w:line="240" w:lineRule="auto"/>
        <w:rPr>
          <w:b/>
          <w:iCs/>
          <w:noProof/>
          <w:szCs w:val="18"/>
        </w:rPr>
        <w:sectPr w:rsidR="00C95A78" w:rsidRPr="00813425" w:rsidSect="00E335A6">
          <w:type w:val="continuous"/>
          <w:pgSz w:w="11906" w:h="16838"/>
          <w:pgMar w:top="1440" w:right="1440" w:bottom="1440" w:left="1440" w:header="708" w:footer="708" w:gutter="0"/>
          <w:cols w:space="708"/>
          <w:docGrid w:linePitch="360"/>
        </w:sectPr>
      </w:pPr>
    </w:p>
    <w:p w14:paraId="5B89BCF9" w14:textId="48ABB865" w:rsidR="00F363DA" w:rsidRPr="00813425" w:rsidRDefault="00C95A78" w:rsidP="005F2B20">
      <w:pPr>
        <w:widowControl w:val="0"/>
        <w:autoSpaceDE w:val="0"/>
        <w:autoSpaceDN w:val="0"/>
        <w:adjustRightInd w:val="0"/>
        <w:spacing w:after="0" w:line="240" w:lineRule="auto"/>
        <w:rPr>
          <w:b/>
          <w:color w:val="000000" w:themeColor="text1"/>
        </w:rPr>
      </w:pPr>
      <w:r w:rsidRPr="00813425">
        <w:rPr>
          <w:rFonts w:ascii="Times New Roman" w:hAnsi="Times New Roman" w:cs="Times New Roman"/>
          <w:b/>
          <w:color w:val="000000"/>
          <w:sz w:val="24"/>
          <w:szCs w:val="24"/>
          <w:lang w:val="en-US"/>
        </w:rPr>
        <w:lastRenderedPageBreak/>
        <w:fldChar w:fldCharType="end"/>
      </w:r>
      <w:r w:rsidR="00F363DA" w:rsidRPr="00813425">
        <w:rPr>
          <w:b/>
          <w:color w:val="000000" w:themeColor="text1"/>
        </w:rPr>
        <w:t>Table 1: Clinical characteristics and anthropometry of children living with and without HIV stratified by sex</w:t>
      </w:r>
    </w:p>
    <w:tbl>
      <w:tblPr>
        <w:tblpPr w:leftFromText="180" w:rightFromText="180" w:vertAnchor="text" w:horzAnchor="margin" w:tblpY="126"/>
        <w:tblW w:w="9498" w:type="dxa"/>
        <w:tblLook w:val="04A0" w:firstRow="1" w:lastRow="0" w:firstColumn="1" w:lastColumn="0" w:noHBand="0" w:noVBand="1"/>
      </w:tblPr>
      <w:tblGrid>
        <w:gridCol w:w="3098"/>
        <w:gridCol w:w="1228"/>
        <w:gridCol w:w="1096"/>
        <w:gridCol w:w="802"/>
        <w:gridCol w:w="1228"/>
        <w:gridCol w:w="1195"/>
        <w:gridCol w:w="851"/>
      </w:tblGrid>
      <w:tr w:rsidR="00F363DA" w:rsidRPr="00813425" w14:paraId="396A67BC" w14:textId="77777777" w:rsidTr="00325727">
        <w:trPr>
          <w:trHeight w:val="230"/>
        </w:trPr>
        <w:tc>
          <w:tcPr>
            <w:tcW w:w="3098" w:type="dxa"/>
            <w:tcBorders>
              <w:left w:val="nil"/>
              <w:bottom w:val="nil"/>
              <w:right w:val="single" w:sz="4" w:space="0" w:color="auto"/>
            </w:tcBorders>
            <w:shd w:val="clear" w:color="auto" w:fill="auto"/>
            <w:noWrap/>
            <w:vAlign w:val="bottom"/>
            <w:hideMark/>
          </w:tcPr>
          <w:p w14:paraId="22A7AD73" w14:textId="77777777" w:rsidR="00F363DA" w:rsidRPr="00813425" w:rsidRDefault="00F363DA" w:rsidP="00F363DA">
            <w:pPr>
              <w:spacing w:after="0" w:line="240" w:lineRule="auto"/>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c>
          <w:tcPr>
            <w:tcW w:w="3126"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15B5E1BB" w14:textId="77777777" w:rsidR="00F363DA" w:rsidRPr="00813425" w:rsidRDefault="00F363DA" w:rsidP="00F363DA">
            <w:pPr>
              <w:spacing w:after="0" w:line="240" w:lineRule="auto"/>
              <w:jc w:val="center"/>
              <w:rPr>
                <w:rFonts w:ascii="Calibri" w:eastAsia="Times New Roman" w:hAnsi="Calibri" w:cs="Calibri"/>
                <w:b/>
                <w:bCs/>
                <w:noProof/>
                <w:sz w:val="16"/>
                <w:szCs w:val="16"/>
                <w:lang w:eastAsia="en-ZW"/>
              </w:rPr>
            </w:pPr>
            <w:r w:rsidRPr="00813425">
              <w:rPr>
                <w:rFonts w:ascii="Calibri" w:eastAsia="Times New Roman" w:hAnsi="Calibri" w:cs="Calibri"/>
                <w:b/>
                <w:bCs/>
                <w:noProof/>
                <w:sz w:val="16"/>
                <w:szCs w:val="16"/>
                <w:lang w:eastAsia="en-ZW"/>
              </w:rPr>
              <w:t>Males (n=213)</w:t>
            </w:r>
          </w:p>
        </w:tc>
        <w:tc>
          <w:tcPr>
            <w:tcW w:w="3274"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7DA18B50" w14:textId="77777777" w:rsidR="00F363DA" w:rsidRPr="00813425" w:rsidRDefault="00F363DA" w:rsidP="00F363DA">
            <w:pPr>
              <w:spacing w:after="0" w:line="240" w:lineRule="auto"/>
              <w:jc w:val="center"/>
              <w:rPr>
                <w:rFonts w:ascii="Calibri" w:eastAsia="Times New Roman" w:hAnsi="Calibri" w:cs="Calibri"/>
                <w:b/>
                <w:bCs/>
                <w:noProof/>
                <w:sz w:val="16"/>
                <w:szCs w:val="16"/>
                <w:lang w:eastAsia="en-ZW"/>
              </w:rPr>
            </w:pPr>
            <w:r w:rsidRPr="00813425">
              <w:rPr>
                <w:rFonts w:ascii="Calibri" w:eastAsia="Times New Roman" w:hAnsi="Calibri" w:cs="Calibri"/>
                <w:b/>
                <w:bCs/>
                <w:noProof/>
                <w:sz w:val="16"/>
                <w:szCs w:val="16"/>
                <w:lang w:eastAsia="en-ZW"/>
              </w:rPr>
              <w:t>Females (n=206)</w:t>
            </w:r>
          </w:p>
        </w:tc>
      </w:tr>
      <w:tr w:rsidR="00F363DA" w:rsidRPr="00813425" w14:paraId="0A220383" w14:textId="77777777" w:rsidTr="00325727">
        <w:trPr>
          <w:trHeight w:val="230"/>
        </w:trPr>
        <w:tc>
          <w:tcPr>
            <w:tcW w:w="3098" w:type="dxa"/>
            <w:tcBorders>
              <w:top w:val="nil"/>
              <w:left w:val="nil"/>
              <w:bottom w:val="single" w:sz="4" w:space="0" w:color="auto"/>
              <w:right w:val="single" w:sz="4" w:space="0" w:color="auto"/>
            </w:tcBorders>
            <w:shd w:val="clear" w:color="auto" w:fill="auto"/>
            <w:noWrap/>
            <w:vAlign w:val="bottom"/>
            <w:hideMark/>
          </w:tcPr>
          <w:p w14:paraId="421A71E3" w14:textId="77777777" w:rsidR="00F363DA" w:rsidRPr="00813425" w:rsidRDefault="00F363DA" w:rsidP="00F363DA">
            <w:pPr>
              <w:spacing w:after="0" w:line="240" w:lineRule="auto"/>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xml:space="preserve"> </w:t>
            </w:r>
          </w:p>
        </w:tc>
        <w:tc>
          <w:tcPr>
            <w:tcW w:w="1228" w:type="dxa"/>
            <w:tcBorders>
              <w:top w:val="nil"/>
              <w:left w:val="nil"/>
              <w:bottom w:val="single" w:sz="4" w:space="0" w:color="auto"/>
              <w:right w:val="single" w:sz="4" w:space="0" w:color="auto"/>
            </w:tcBorders>
            <w:shd w:val="clear" w:color="000000" w:fill="D9D9D9"/>
            <w:noWrap/>
            <w:vAlign w:val="bottom"/>
            <w:hideMark/>
          </w:tcPr>
          <w:p w14:paraId="0B8FDC19" w14:textId="77777777" w:rsidR="00F363DA" w:rsidRPr="00813425" w:rsidRDefault="00F363DA" w:rsidP="00F363DA">
            <w:pPr>
              <w:spacing w:after="0" w:line="240" w:lineRule="auto"/>
              <w:jc w:val="center"/>
              <w:rPr>
                <w:rFonts w:ascii="Calibri" w:eastAsia="Times New Roman" w:hAnsi="Calibri" w:cs="Calibri"/>
                <w:b/>
                <w:bCs/>
                <w:noProof/>
                <w:sz w:val="16"/>
                <w:szCs w:val="16"/>
                <w:lang w:eastAsia="en-ZW"/>
              </w:rPr>
            </w:pPr>
            <w:r w:rsidRPr="00813425">
              <w:rPr>
                <w:rFonts w:ascii="Calibri" w:eastAsia="Times New Roman" w:hAnsi="Calibri" w:cs="Calibri"/>
                <w:b/>
                <w:bCs/>
                <w:noProof/>
                <w:sz w:val="16"/>
                <w:szCs w:val="16"/>
                <w:lang w:eastAsia="en-ZW"/>
              </w:rPr>
              <w:t>CWOH (n=113)</w:t>
            </w:r>
          </w:p>
        </w:tc>
        <w:tc>
          <w:tcPr>
            <w:tcW w:w="1096" w:type="dxa"/>
            <w:tcBorders>
              <w:top w:val="nil"/>
              <w:left w:val="nil"/>
              <w:bottom w:val="single" w:sz="4" w:space="0" w:color="auto"/>
              <w:right w:val="single" w:sz="4" w:space="0" w:color="auto"/>
            </w:tcBorders>
            <w:shd w:val="clear" w:color="000000" w:fill="D9D9D9"/>
            <w:noWrap/>
            <w:vAlign w:val="bottom"/>
            <w:hideMark/>
          </w:tcPr>
          <w:p w14:paraId="28FB5B43" w14:textId="77777777" w:rsidR="00F363DA" w:rsidRPr="00813425" w:rsidRDefault="00F363DA" w:rsidP="00F363DA">
            <w:pPr>
              <w:spacing w:after="0" w:line="240" w:lineRule="auto"/>
              <w:jc w:val="center"/>
              <w:rPr>
                <w:rFonts w:ascii="Calibri" w:eastAsia="Times New Roman" w:hAnsi="Calibri" w:cs="Calibri"/>
                <w:b/>
                <w:bCs/>
                <w:noProof/>
                <w:sz w:val="16"/>
                <w:szCs w:val="16"/>
                <w:lang w:eastAsia="en-ZW"/>
              </w:rPr>
            </w:pPr>
            <w:r w:rsidRPr="00813425">
              <w:rPr>
                <w:rFonts w:ascii="Calibri" w:eastAsia="Times New Roman" w:hAnsi="Calibri" w:cs="Calibri"/>
                <w:b/>
                <w:bCs/>
                <w:noProof/>
                <w:sz w:val="16"/>
                <w:szCs w:val="16"/>
                <w:lang w:eastAsia="en-ZW"/>
              </w:rPr>
              <w:t>CWH (n=100)</w:t>
            </w:r>
          </w:p>
        </w:tc>
        <w:tc>
          <w:tcPr>
            <w:tcW w:w="802" w:type="dxa"/>
            <w:tcBorders>
              <w:top w:val="nil"/>
              <w:left w:val="nil"/>
              <w:bottom w:val="single" w:sz="4" w:space="0" w:color="auto"/>
              <w:right w:val="single" w:sz="4" w:space="0" w:color="auto"/>
            </w:tcBorders>
            <w:shd w:val="clear" w:color="000000" w:fill="D9D9D9"/>
            <w:noWrap/>
            <w:vAlign w:val="bottom"/>
            <w:hideMark/>
          </w:tcPr>
          <w:p w14:paraId="4DE8EB50" w14:textId="77777777" w:rsidR="00F363DA" w:rsidRPr="00813425" w:rsidRDefault="00F363DA" w:rsidP="00F363DA">
            <w:pPr>
              <w:spacing w:after="0" w:line="240" w:lineRule="auto"/>
              <w:jc w:val="center"/>
              <w:rPr>
                <w:rFonts w:ascii="Calibri" w:eastAsia="Times New Roman" w:hAnsi="Calibri" w:cs="Calibri"/>
                <w:b/>
                <w:bCs/>
                <w:noProof/>
                <w:sz w:val="16"/>
                <w:szCs w:val="16"/>
                <w:lang w:eastAsia="en-ZW"/>
              </w:rPr>
            </w:pPr>
            <w:r w:rsidRPr="00813425">
              <w:rPr>
                <w:rFonts w:ascii="Calibri" w:eastAsia="Times New Roman" w:hAnsi="Calibri" w:cs="Calibri"/>
                <w:b/>
                <w:bCs/>
                <w:noProof/>
                <w:sz w:val="16"/>
                <w:szCs w:val="16"/>
                <w:lang w:eastAsia="en-ZW"/>
              </w:rPr>
              <w:t>p-value</w:t>
            </w:r>
          </w:p>
        </w:tc>
        <w:tc>
          <w:tcPr>
            <w:tcW w:w="1228" w:type="dxa"/>
            <w:tcBorders>
              <w:top w:val="nil"/>
              <w:left w:val="nil"/>
              <w:bottom w:val="single" w:sz="4" w:space="0" w:color="auto"/>
              <w:right w:val="single" w:sz="4" w:space="0" w:color="auto"/>
            </w:tcBorders>
            <w:shd w:val="clear" w:color="000000" w:fill="D9D9D9"/>
            <w:noWrap/>
            <w:vAlign w:val="bottom"/>
            <w:hideMark/>
          </w:tcPr>
          <w:p w14:paraId="7B982AF5" w14:textId="77777777" w:rsidR="00F363DA" w:rsidRPr="00813425" w:rsidRDefault="00F363DA" w:rsidP="00F363DA">
            <w:pPr>
              <w:spacing w:after="0" w:line="240" w:lineRule="auto"/>
              <w:jc w:val="center"/>
              <w:rPr>
                <w:rFonts w:ascii="Calibri" w:eastAsia="Times New Roman" w:hAnsi="Calibri" w:cs="Calibri"/>
                <w:b/>
                <w:bCs/>
                <w:noProof/>
                <w:sz w:val="16"/>
                <w:szCs w:val="16"/>
                <w:lang w:eastAsia="en-ZW"/>
              </w:rPr>
            </w:pPr>
            <w:r w:rsidRPr="00813425">
              <w:rPr>
                <w:rFonts w:ascii="Calibri" w:eastAsia="Times New Roman" w:hAnsi="Calibri" w:cs="Calibri"/>
                <w:b/>
                <w:bCs/>
                <w:noProof/>
                <w:sz w:val="16"/>
                <w:szCs w:val="16"/>
                <w:lang w:eastAsia="en-ZW"/>
              </w:rPr>
              <w:t>CWOH (n=111)</w:t>
            </w:r>
          </w:p>
        </w:tc>
        <w:tc>
          <w:tcPr>
            <w:tcW w:w="1195" w:type="dxa"/>
            <w:tcBorders>
              <w:top w:val="nil"/>
              <w:left w:val="nil"/>
              <w:bottom w:val="single" w:sz="4" w:space="0" w:color="auto"/>
              <w:right w:val="single" w:sz="4" w:space="0" w:color="auto"/>
            </w:tcBorders>
            <w:shd w:val="clear" w:color="000000" w:fill="D9D9D9"/>
            <w:noWrap/>
            <w:vAlign w:val="bottom"/>
            <w:hideMark/>
          </w:tcPr>
          <w:p w14:paraId="17B50379" w14:textId="77777777" w:rsidR="00F363DA" w:rsidRPr="00813425" w:rsidRDefault="00F363DA" w:rsidP="00F363DA">
            <w:pPr>
              <w:spacing w:after="0" w:line="240" w:lineRule="auto"/>
              <w:jc w:val="center"/>
              <w:rPr>
                <w:rFonts w:ascii="Calibri" w:eastAsia="Times New Roman" w:hAnsi="Calibri" w:cs="Calibri"/>
                <w:b/>
                <w:bCs/>
                <w:noProof/>
                <w:sz w:val="16"/>
                <w:szCs w:val="16"/>
                <w:lang w:eastAsia="en-ZW"/>
              </w:rPr>
            </w:pPr>
            <w:r w:rsidRPr="00813425">
              <w:rPr>
                <w:rFonts w:ascii="Calibri" w:eastAsia="Times New Roman" w:hAnsi="Calibri" w:cs="Calibri"/>
                <w:b/>
                <w:bCs/>
                <w:noProof/>
                <w:sz w:val="16"/>
                <w:szCs w:val="16"/>
                <w:lang w:eastAsia="en-ZW"/>
              </w:rPr>
              <w:t>CWH (n=95)</w:t>
            </w:r>
          </w:p>
        </w:tc>
        <w:tc>
          <w:tcPr>
            <w:tcW w:w="851" w:type="dxa"/>
            <w:tcBorders>
              <w:top w:val="nil"/>
              <w:left w:val="nil"/>
              <w:bottom w:val="single" w:sz="4" w:space="0" w:color="auto"/>
              <w:right w:val="single" w:sz="4" w:space="0" w:color="auto"/>
            </w:tcBorders>
            <w:shd w:val="clear" w:color="000000" w:fill="D9D9D9"/>
            <w:noWrap/>
            <w:vAlign w:val="bottom"/>
            <w:hideMark/>
          </w:tcPr>
          <w:p w14:paraId="16530636" w14:textId="77777777" w:rsidR="00F363DA" w:rsidRPr="00813425" w:rsidRDefault="00F363DA" w:rsidP="00F363DA">
            <w:pPr>
              <w:spacing w:after="0" w:line="240" w:lineRule="auto"/>
              <w:jc w:val="center"/>
              <w:rPr>
                <w:rFonts w:ascii="Calibri" w:eastAsia="Times New Roman" w:hAnsi="Calibri" w:cs="Calibri"/>
                <w:b/>
                <w:bCs/>
                <w:noProof/>
                <w:sz w:val="16"/>
                <w:szCs w:val="16"/>
                <w:lang w:eastAsia="en-ZW"/>
              </w:rPr>
            </w:pPr>
            <w:r w:rsidRPr="00813425">
              <w:rPr>
                <w:rFonts w:ascii="Calibri" w:eastAsia="Times New Roman" w:hAnsi="Calibri" w:cs="Calibri"/>
                <w:b/>
                <w:bCs/>
                <w:noProof/>
                <w:sz w:val="16"/>
                <w:szCs w:val="16"/>
                <w:lang w:eastAsia="en-ZW"/>
              </w:rPr>
              <w:t>p-value</w:t>
            </w:r>
          </w:p>
        </w:tc>
      </w:tr>
      <w:tr w:rsidR="00F363DA" w:rsidRPr="00813425" w14:paraId="44A0BC6A" w14:textId="77777777" w:rsidTr="00325727">
        <w:trPr>
          <w:trHeight w:val="230"/>
        </w:trPr>
        <w:tc>
          <w:tcPr>
            <w:tcW w:w="9498" w:type="dxa"/>
            <w:gridSpan w:val="7"/>
            <w:tcBorders>
              <w:top w:val="nil"/>
              <w:left w:val="single" w:sz="4" w:space="0" w:color="auto"/>
              <w:bottom w:val="single" w:sz="4" w:space="0" w:color="auto"/>
              <w:right w:val="single" w:sz="4" w:space="0" w:color="auto"/>
            </w:tcBorders>
            <w:shd w:val="clear" w:color="auto" w:fill="auto"/>
            <w:noWrap/>
            <w:vAlign w:val="bottom"/>
          </w:tcPr>
          <w:p w14:paraId="49A47170" w14:textId="6538D6DD" w:rsidR="00F363DA" w:rsidRPr="00813425" w:rsidRDefault="00F363DA" w:rsidP="00F363DA">
            <w:pPr>
              <w:spacing w:after="0" w:line="240" w:lineRule="auto"/>
              <w:rPr>
                <w:rFonts w:ascii="Calibri" w:eastAsia="Times New Roman" w:hAnsi="Calibri" w:cs="Calibri"/>
                <w:b/>
                <w:noProof/>
                <w:sz w:val="16"/>
                <w:szCs w:val="16"/>
                <w:lang w:eastAsia="en-ZW"/>
              </w:rPr>
            </w:pPr>
            <w:r w:rsidRPr="00813425">
              <w:rPr>
                <w:rFonts w:ascii="Calibri" w:eastAsia="Times New Roman" w:hAnsi="Calibri" w:cs="Calibri"/>
                <w:b/>
                <w:noProof/>
                <w:sz w:val="16"/>
                <w:szCs w:val="16"/>
                <w:lang w:eastAsia="en-ZW"/>
              </w:rPr>
              <w:t>Baseline clinical characteristics</w:t>
            </w:r>
          </w:p>
        </w:tc>
      </w:tr>
      <w:tr w:rsidR="00F363DA" w:rsidRPr="00813425" w14:paraId="56244605" w14:textId="77777777" w:rsidTr="00325727">
        <w:trPr>
          <w:trHeight w:val="230"/>
        </w:trPr>
        <w:tc>
          <w:tcPr>
            <w:tcW w:w="3098" w:type="dxa"/>
            <w:tcBorders>
              <w:top w:val="nil"/>
              <w:left w:val="single" w:sz="4" w:space="0" w:color="auto"/>
              <w:bottom w:val="single" w:sz="4" w:space="0" w:color="auto"/>
              <w:right w:val="single" w:sz="4" w:space="0" w:color="auto"/>
            </w:tcBorders>
            <w:shd w:val="clear" w:color="auto" w:fill="auto"/>
            <w:noWrap/>
            <w:vAlign w:val="bottom"/>
            <w:hideMark/>
          </w:tcPr>
          <w:p w14:paraId="22FB3B7B" w14:textId="46766797" w:rsidR="00F363DA" w:rsidRPr="00813425" w:rsidRDefault="00F363DA" w:rsidP="00F363DA">
            <w:pPr>
              <w:spacing w:after="0" w:line="240" w:lineRule="auto"/>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Age, yrs, mean</w:t>
            </w:r>
            <w:r w:rsidR="00B67730" w:rsidRPr="00813425">
              <w:rPr>
                <w:rFonts w:ascii="Calibri" w:eastAsia="Times New Roman" w:hAnsi="Calibri" w:cs="Calibri"/>
                <w:noProof/>
                <w:sz w:val="16"/>
                <w:szCs w:val="16"/>
                <w:lang w:eastAsia="en-ZW"/>
              </w:rPr>
              <w:t xml:space="preserve"> </w:t>
            </w:r>
            <w:r w:rsidRPr="00813425">
              <w:rPr>
                <w:rFonts w:ascii="Calibri" w:eastAsia="Times New Roman" w:hAnsi="Calibri" w:cs="Calibri"/>
                <w:noProof/>
                <w:sz w:val="16"/>
                <w:szCs w:val="16"/>
                <w:lang w:eastAsia="en-ZW"/>
              </w:rPr>
              <w:t>(SD)</w:t>
            </w:r>
          </w:p>
        </w:tc>
        <w:tc>
          <w:tcPr>
            <w:tcW w:w="1228" w:type="dxa"/>
            <w:tcBorders>
              <w:top w:val="nil"/>
              <w:left w:val="nil"/>
              <w:bottom w:val="single" w:sz="4" w:space="0" w:color="auto"/>
              <w:right w:val="single" w:sz="4" w:space="0" w:color="auto"/>
            </w:tcBorders>
            <w:shd w:val="clear" w:color="auto" w:fill="auto"/>
            <w:noWrap/>
            <w:vAlign w:val="bottom"/>
            <w:hideMark/>
          </w:tcPr>
          <w:p w14:paraId="1B259189"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12.2 (2.4)</w:t>
            </w:r>
          </w:p>
        </w:tc>
        <w:tc>
          <w:tcPr>
            <w:tcW w:w="1096" w:type="dxa"/>
            <w:tcBorders>
              <w:top w:val="nil"/>
              <w:left w:val="nil"/>
              <w:bottom w:val="single" w:sz="4" w:space="0" w:color="auto"/>
              <w:right w:val="single" w:sz="4" w:space="0" w:color="auto"/>
            </w:tcBorders>
            <w:shd w:val="clear" w:color="auto" w:fill="auto"/>
            <w:noWrap/>
            <w:vAlign w:val="bottom"/>
            <w:hideMark/>
          </w:tcPr>
          <w:p w14:paraId="0B4D02EC"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12.5 (2.5)</w:t>
            </w:r>
          </w:p>
        </w:tc>
        <w:tc>
          <w:tcPr>
            <w:tcW w:w="802" w:type="dxa"/>
            <w:tcBorders>
              <w:top w:val="nil"/>
              <w:left w:val="nil"/>
              <w:bottom w:val="single" w:sz="4" w:space="0" w:color="auto"/>
              <w:right w:val="single" w:sz="4" w:space="0" w:color="auto"/>
            </w:tcBorders>
            <w:shd w:val="clear" w:color="auto" w:fill="auto"/>
            <w:noWrap/>
            <w:vAlign w:val="bottom"/>
            <w:hideMark/>
          </w:tcPr>
          <w:p w14:paraId="2475DC85"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0.29</w:t>
            </w:r>
          </w:p>
        </w:tc>
        <w:tc>
          <w:tcPr>
            <w:tcW w:w="1228" w:type="dxa"/>
            <w:tcBorders>
              <w:top w:val="nil"/>
              <w:left w:val="nil"/>
              <w:bottom w:val="single" w:sz="4" w:space="0" w:color="auto"/>
              <w:right w:val="single" w:sz="4" w:space="0" w:color="auto"/>
            </w:tcBorders>
            <w:shd w:val="clear" w:color="auto" w:fill="auto"/>
            <w:noWrap/>
            <w:vAlign w:val="bottom"/>
            <w:hideMark/>
          </w:tcPr>
          <w:p w14:paraId="5899AA6A"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12.6 (2.5)</w:t>
            </w:r>
          </w:p>
        </w:tc>
        <w:tc>
          <w:tcPr>
            <w:tcW w:w="1195" w:type="dxa"/>
            <w:tcBorders>
              <w:top w:val="nil"/>
              <w:left w:val="nil"/>
              <w:bottom w:val="single" w:sz="4" w:space="0" w:color="auto"/>
              <w:right w:val="single" w:sz="4" w:space="0" w:color="auto"/>
            </w:tcBorders>
            <w:shd w:val="clear" w:color="auto" w:fill="auto"/>
            <w:noWrap/>
            <w:vAlign w:val="bottom"/>
            <w:hideMark/>
          </w:tcPr>
          <w:p w14:paraId="1A2B8505"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12.1 (2.4)</w:t>
            </w:r>
          </w:p>
        </w:tc>
        <w:tc>
          <w:tcPr>
            <w:tcW w:w="851" w:type="dxa"/>
            <w:tcBorders>
              <w:top w:val="nil"/>
              <w:left w:val="nil"/>
              <w:bottom w:val="single" w:sz="4" w:space="0" w:color="auto"/>
              <w:right w:val="single" w:sz="4" w:space="0" w:color="auto"/>
            </w:tcBorders>
            <w:shd w:val="clear" w:color="auto" w:fill="auto"/>
            <w:noWrap/>
            <w:vAlign w:val="bottom"/>
            <w:hideMark/>
          </w:tcPr>
          <w:p w14:paraId="129AC27F"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0.14</w:t>
            </w:r>
          </w:p>
        </w:tc>
      </w:tr>
      <w:tr w:rsidR="00F363DA" w:rsidRPr="00813425" w14:paraId="1463D3A7" w14:textId="77777777" w:rsidTr="00325727">
        <w:trPr>
          <w:trHeight w:val="230"/>
        </w:trPr>
        <w:tc>
          <w:tcPr>
            <w:tcW w:w="3098" w:type="dxa"/>
            <w:tcBorders>
              <w:top w:val="nil"/>
              <w:left w:val="single" w:sz="4" w:space="0" w:color="auto"/>
              <w:bottom w:val="single" w:sz="4" w:space="0" w:color="auto"/>
              <w:right w:val="single" w:sz="4" w:space="0" w:color="auto"/>
            </w:tcBorders>
            <w:shd w:val="clear" w:color="auto" w:fill="auto"/>
            <w:noWrap/>
            <w:vAlign w:val="bottom"/>
            <w:hideMark/>
          </w:tcPr>
          <w:p w14:paraId="489F1D62" w14:textId="77777777" w:rsidR="00F363DA" w:rsidRPr="00813425" w:rsidRDefault="00F363DA" w:rsidP="00F363DA">
            <w:pPr>
              <w:spacing w:after="0" w:line="240" w:lineRule="auto"/>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Age group, %</w:t>
            </w:r>
          </w:p>
        </w:tc>
        <w:tc>
          <w:tcPr>
            <w:tcW w:w="1228" w:type="dxa"/>
            <w:tcBorders>
              <w:top w:val="nil"/>
              <w:left w:val="nil"/>
              <w:bottom w:val="single" w:sz="4" w:space="0" w:color="auto"/>
              <w:right w:val="single" w:sz="4" w:space="0" w:color="auto"/>
            </w:tcBorders>
            <w:shd w:val="clear" w:color="auto" w:fill="auto"/>
            <w:noWrap/>
            <w:vAlign w:val="bottom"/>
            <w:hideMark/>
          </w:tcPr>
          <w:p w14:paraId="1B372433"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c>
          <w:tcPr>
            <w:tcW w:w="1096" w:type="dxa"/>
            <w:tcBorders>
              <w:top w:val="nil"/>
              <w:left w:val="nil"/>
              <w:bottom w:val="single" w:sz="4" w:space="0" w:color="auto"/>
              <w:right w:val="single" w:sz="4" w:space="0" w:color="auto"/>
            </w:tcBorders>
            <w:shd w:val="clear" w:color="auto" w:fill="auto"/>
            <w:noWrap/>
            <w:vAlign w:val="bottom"/>
            <w:hideMark/>
          </w:tcPr>
          <w:p w14:paraId="2D748C13"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c>
          <w:tcPr>
            <w:tcW w:w="802" w:type="dxa"/>
            <w:tcBorders>
              <w:top w:val="nil"/>
              <w:left w:val="nil"/>
              <w:bottom w:val="single" w:sz="4" w:space="0" w:color="auto"/>
              <w:right w:val="single" w:sz="4" w:space="0" w:color="auto"/>
            </w:tcBorders>
            <w:shd w:val="clear" w:color="auto" w:fill="auto"/>
            <w:noWrap/>
            <w:vAlign w:val="bottom"/>
            <w:hideMark/>
          </w:tcPr>
          <w:p w14:paraId="6B2E7CAE"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0.96</w:t>
            </w:r>
          </w:p>
        </w:tc>
        <w:tc>
          <w:tcPr>
            <w:tcW w:w="1228" w:type="dxa"/>
            <w:tcBorders>
              <w:top w:val="nil"/>
              <w:left w:val="nil"/>
              <w:bottom w:val="single" w:sz="4" w:space="0" w:color="auto"/>
              <w:right w:val="single" w:sz="4" w:space="0" w:color="auto"/>
            </w:tcBorders>
            <w:shd w:val="clear" w:color="auto" w:fill="auto"/>
            <w:noWrap/>
            <w:vAlign w:val="bottom"/>
            <w:hideMark/>
          </w:tcPr>
          <w:p w14:paraId="71721FDC"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c>
          <w:tcPr>
            <w:tcW w:w="1195" w:type="dxa"/>
            <w:tcBorders>
              <w:top w:val="nil"/>
              <w:left w:val="nil"/>
              <w:bottom w:val="single" w:sz="4" w:space="0" w:color="auto"/>
              <w:right w:val="single" w:sz="4" w:space="0" w:color="auto"/>
            </w:tcBorders>
            <w:shd w:val="clear" w:color="auto" w:fill="auto"/>
            <w:noWrap/>
            <w:vAlign w:val="bottom"/>
            <w:hideMark/>
          </w:tcPr>
          <w:p w14:paraId="423D367B"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c>
          <w:tcPr>
            <w:tcW w:w="851" w:type="dxa"/>
            <w:tcBorders>
              <w:top w:val="nil"/>
              <w:left w:val="nil"/>
              <w:bottom w:val="single" w:sz="4" w:space="0" w:color="auto"/>
              <w:right w:val="single" w:sz="4" w:space="0" w:color="auto"/>
            </w:tcBorders>
            <w:shd w:val="clear" w:color="auto" w:fill="auto"/>
            <w:noWrap/>
            <w:vAlign w:val="bottom"/>
            <w:hideMark/>
          </w:tcPr>
          <w:p w14:paraId="415FD464"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0.23</w:t>
            </w:r>
          </w:p>
        </w:tc>
      </w:tr>
      <w:tr w:rsidR="00F363DA" w:rsidRPr="00813425" w14:paraId="474C290E" w14:textId="77777777" w:rsidTr="00325727">
        <w:trPr>
          <w:trHeight w:val="230"/>
        </w:trPr>
        <w:tc>
          <w:tcPr>
            <w:tcW w:w="3098" w:type="dxa"/>
            <w:tcBorders>
              <w:top w:val="nil"/>
              <w:left w:val="single" w:sz="4" w:space="0" w:color="auto"/>
              <w:bottom w:val="single" w:sz="4" w:space="0" w:color="auto"/>
              <w:right w:val="single" w:sz="4" w:space="0" w:color="auto"/>
            </w:tcBorders>
            <w:shd w:val="clear" w:color="auto" w:fill="auto"/>
            <w:noWrap/>
            <w:vAlign w:val="bottom"/>
            <w:hideMark/>
          </w:tcPr>
          <w:p w14:paraId="54BB608B" w14:textId="77777777" w:rsidR="00F363DA" w:rsidRPr="00813425" w:rsidRDefault="00F363DA" w:rsidP="00F363DA">
            <w:pPr>
              <w:spacing w:after="0" w:line="240" w:lineRule="auto"/>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xml:space="preserve">   8 - 10yrs</w:t>
            </w:r>
          </w:p>
        </w:tc>
        <w:tc>
          <w:tcPr>
            <w:tcW w:w="1228" w:type="dxa"/>
            <w:tcBorders>
              <w:top w:val="nil"/>
              <w:left w:val="nil"/>
              <w:bottom w:val="single" w:sz="4" w:space="0" w:color="auto"/>
              <w:right w:val="single" w:sz="4" w:space="0" w:color="auto"/>
            </w:tcBorders>
            <w:shd w:val="clear" w:color="auto" w:fill="auto"/>
            <w:noWrap/>
            <w:vAlign w:val="bottom"/>
            <w:hideMark/>
          </w:tcPr>
          <w:p w14:paraId="33739B26"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40 (35%)</w:t>
            </w:r>
          </w:p>
        </w:tc>
        <w:tc>
          <w:tcPr>
            <w:tcW w:w="1096" w:type="dxa"/>
            <w:tcBorders>
              <w:top w:val="nil"/>
              <w:left w:val="nil"/>
              <w:bottom w:val="single" w:sz="4" w:space="0" w:color="auto"/>
              <w:right w:val="single" w:sz="4" w:space="0" w:color="auto"/>
            </w:tcBorders>
            <w:shd w:val="clear" w:color="auto" w:fill="auto"/>
            <w:noWrap/>
            <w:vAlign w:val="bottom"/>
            <w:hideMark/>
          </w:tcPr>
          <w:p w14:paraId="7513D4CC"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34 (34%)</w:t>
            </w:r>
          </w:p>
        </w:tc>
        <w:tc>
          <w:tcPr>
            <w:tcW w:w="802" w:type="dxa"/>
            <w:tcBorders>
              <w:top w:val="nil"/>
              <w:left w:val="nil"/>
              <w:bottom w:val="single" w:sz="4" w:space="0" w:color="auto"/>
              <w:right w:val="single" w:sz="4" w:space="0" w:color="auto"/>
            </w:tcBorders>
            <w:shd w:val="clear" w:color="auto" w:fill="auto"/>
            <w:noWrap/>
            <w:vAlign w:val="bottom"/>
            <w:hideMark/>
          </w:tcPr>
          <w:p w14:paraId="14D787B4"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c>
          <w:tcPr>
            <w:tcW w:w="1228" w:type="dxa"/>
            <w:tcBorders>
              <w:top w:val="nil"/>
              <w:left w:val="nil"/>
              <w:bottom w:val="single" w:sz="4" w:space="0" w:color="auto"/>
              <w:right w:val="single" w:sz="4" w:space="0" w:color="auto"/>
            </w:tcBorders>
            <w:shd w:val="clear" w:color="auto" w:fill="auto"/>
            <w:noWrap/>
            <w:vAlign w:val="bottom"/>
            <w:hideMark/>
          </w:tcPr>
          <w:p w14:paraId="2B7DC5F4"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35 (32%)</w:t>
            </w:r>
          </w:p>
        </w:tc>
        <w:tc>
          <w:tcPr>
            <w:tcW w:w="1195" w:type="dxa"/>
            <w:tcBorders>
              <w:top w:val="nil"/>
              <w:left w:val="nil"/>
              <w:bottom w:val="single" w:sz="4" w:space="0" w:color="auto"/>
              <w:right w:val="single" w:sz="4" w:space="0" w:color="auto"/>
            </w:tcBorders>
            <w:shd w:val="clear" w:color="auto" w:fill="auto"/>
            <w:noWrap/>
            <w:vAlign w:val="bottom"/>
            <w:hideMark/>
          </w:tcPr>
          <w:p w14:paraId="131FF903"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36 (38%)</w:t>
            </w:r>
          </w:p>
        </w:tc>
        <w:tc>
          <w:tcPr>
            <w:tcW w:w="851" w:type="dxa"/>
            <w:tcBorders>
              <w:top w:val="nil"/>
              <w:left w:val="nil"/>
              <w:bottom w:val="single" w:sz="4" w:space="0" w:color="auto"/>
              <w:right w:val="single" w:sz="4" w:space="0" w:color="auto"/>
            </w:tcBorders>
            <w:shd w:val="clear" w:color="auto" w:fill="auto"/>
            <w:noWrap/>
            <w:vAlign w:val="bottom"/>
            <w:hideMark/>
          </w:tcPr>
          <w:p w14:paraId="4CA0939F"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r>
      <w:tr w:rsidR="00F363DA" w:rsidRPr="00813425" w14:paraId="47818F74" w14:textId="77777777" w:rsidTr="00325727">
        <w:trPr>
          <w:trHeight w:val="230"/>
        </w:trPr>
        <w:tc>
          <w:tcPr>
            <w:tcW w:w="3098" w:type="dxa"/>
            <w:tcBorders>
              <w:top w:val="nil"/>
              <w:left w:val="single" w:sz="4" w:space="0" w:color="auto"/>
              <w:bottom w:val="single" w:sz="4" w:space="0" w:color="auto"/>
              <w:right w:val="single" w:sz="4" w:space="0" w:color="auto"/>
            </w:tcBorders>
            <w:shd w:val="clear" w:color="auto" w:fill="auto"/>
            <w:noWrap/>
            <w:vAlign w:val="bottom"/>
            <w:hideMark/>
          </w:tcPr>
          <w:p w14:paraId="4FCFE650" w14:textId="77777777" w:rsidR="00F363DA" w:rsidRPr="00813425" w:rsidRDefault="00F363DA" w:rsidP="00F363DA">
            <w:pPr>
              <w:spacing w:after="0" w:line="240" w:lineRule="auto"/>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xml:space="preserve">   11 - 13yrs</w:t>
            </w:r>
          </w:p>
        </w:tc>
        <w:tc>
          <w:tcPr>
            <w:tcW w:w="1228" w:type="dxa"/>
            <w:tcBorders>
              <w:top w:val="nil"/>
              <w:left w:val="nil"/>
              <w:bottom w:val="single" w:sz="4" w:space="0" w:color="auto"/>
              <w:right w:val="single" w:sz="4" w:space="0" w:color="auto"/>
            </w:tcBorders>
            <w:shd w:val="clear" w:color="auto" w:fill="auto"/>
            <w:noWrap/>
            <w:vAlign w:val="bottom"/>
            <w:hideMark/>
          </w:tcPr>
          <w:p w14:paraId="75C357F0"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39 (35%)</w:t>
            </w:r>
          </w:p>
        </w:tc>
        <w:tc>
          <w:tcPr>
            <w:tcW w:w="1096" w:type="dxa"/>
            <w:tcBorders>
              <w:top w:val="nil"/>
              <w:left w:val="nil"/>
              <w:bottom w:val="single" w:sz="4" w:space="0" w:color="auto"/>
              <w:right w:val="single" w:sz="4" w:space="0" w:color="auto"/>
            </w:tcBorders>
            <w:shd w:val="clear" w:color="auto" w:fill="auto"/>
            <w:noWrap/>
            <w:vAlign w:val="bottom"/>
            <w:hideMark/>
          </w:tcPr>
          <w:p w14:paraId="621179F6"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34 (34%)</w:t>
            </w:r>
          </w:p>
        </w:tc>
        <w:tc>
          <w:tcPr>
            <w:tcW w:w="802" w:type="dxa"/>
            <w:tcBorders>
              <w:top w:val="nil"/>
              <w:left w:val="nil"/>
              <w:bottom w:val="single" w:sz="4" w:space="0" w:color="auto"/>
              <w:right w:val="single" w:sz="4" w:space="0" w:color="auto"/>
            </w:tcBorders>
            <w:shd w:val="clear" w:color="auto" w:fill="auto"/>
            <w:noWrap/>
            <w:vAlign w:val="bottom"/>
            <w:hideMark/>
          </w:tcPr>
          <w:p w14:paraId="5380C23C"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c>
          <w:tcPr>
            <w:tcW w:w="1228" w:type="dxa"/>
            <w:tcBorders>
              <w:top w:val="nil"/>
              <w:left w:val="nil"/>
              <w:bottom w:val="single" w:sz="4" w:space="0" w:color="auto"/>
              <w:right w:val="single" w:sz="4" w:space="0" w:color="auto"/>
            </w:tcBorders>
            <w:shd w:val="clear" w:color="auto" w:fill="auto"/>
            <w:noWrap/>
            <w:vAlign w:val="bottom"/>
            <w:hideMark/>
          </w:tcPr>
          <w:p w14:paraId="0DA858E8"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33 (30%)</w:t>
            </w:r>
          </w:p>
        </w:tc>
        <w:tc>
          <w:tcPr>
            <w:tcW w:w="1195" w:type="dxa"/>
            <w:tcBorders>
              <w:top w:val="nil"/>
              <w:left w:val="nil"/>
              <w:bottom w:val="single" w:sz="4" w:space="0" w:color="auto"/>
              <w:right w:val="single" w:sz="4" w:space="0" w:color="auto"/>
            </w:tcBorders>
            <w:shd w:val="clear" w:color="auto" w:fill="auto"/>
            <w:noWrap/>
            <w:vAlign w:val="bottom"/>
            <w:hideMark/>
          </w:tcPr>
          <w:p w14:paraId="0E677F58"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33 (35%)</w:t>
            </w:r>
          </w:p>
        </w:tc>
        <w:tc>
          <w:tcPr>
            <w:tcW w:w="851" w:type="dxa"/>
            <w:tcBorders>
              <w:top w:val="nil"/>
              <w:left w:val="nil"/>
              <w:bottom w:val="single" w:sz="4" w:space="0" w:color="auto"/>
              <w:right w:val="single" w:sz="4" w:space="0" w:color="auto"/>
            </w:tcBorders>
            <w:shd w:val="clear" w:color="auto" w:fill="auto"/>
            <w:noWrap/>
            <w:vAlign w:val="bottom"/>
            <w:hideMark/>
          </w:tcPr>
          <w:p w14:paraId="338D1C40"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r>
      <w:tr w:rsidR="00F363DA" w:rsidRPr="00813425" w14:paraId="644F476C" w14:textId="77777777" w:rsidTr="00325727">
        <w:trPr>
          <w:trHeight w:val="230"/>
        </w:trPr>
        <w:tc>
          <w:tcPr>
            <w:tcW w:w="3098" w:type="dxa"/>
            <w:tcBorders>
              <w:top w:val="nil"/>
              <w:left w:val="single" w:sz="4" w:space="0" w:color="auto"/>
              <w:bottom w:val="single" w:sz="4" w:space="0" w:color="auto"/>
              <w:right w:val="single" w:sz="4" w:space="0" w:color="auto"/>
            </w:tcBorders>
            <w:shd w:val="clear" w:color="auto" w:fill="auto"/>
            <w:noWrap/>
            <w:vAlign w:val="bottom"/>
            <w:hideMark/>
          </w:tcPr>
          <w:p w14:paraId="50692490" w14:textId="77777777" w:rsidR="00F363DA" w:rsidRPr="00813425" w:rsidRDefault="00F363DA" w:rsidP="00F363DA">
            <w:pPr>
              <w:spacing w:after="0" w:line="240" w:lineRule="auto"/>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xml:space="preserve">   14 - 16 yrs</w:t>
            </w:r>
          </w:p>
        </w:tc>
        <w:tc>
          <w:tcPr>
            <w:tcW w:w="1228" w:type="dxa"/>
            <w:tcBorders>
              <w:top w:val="nil"/>
              <w:left w:val="nil"/>
              <w:bottom w:val="single" w:sz="4" w:space="0" w:color="auto"/>
              <w:right w:val="single" w:sz="4" w:space="0" w:color="auto"/>
            </w:tcBorders>
            <w:shd w:val="clear" w:color="auto" w:fill="auto"/>
            <w:noWrap/>
            <w:vAlign w:val="bottom"/>
            <w:hideMark/>
          </w:tcPr>
          <w:p w14:paraId="6CAC96D4"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34 (30%)</w:t>
            </w:r>
          </w:p>
        </w:tc>
        <w:tc>
          <w:tcPr>
            <w:tcW w:w="1096" w:type="dxa"/>
            <w:tcBorders>
              <w:top w:val="nil"/>
              <w:left w:val="nil"/>
              <w:bottom w:val="single" w:sz="4" w:space="0" w:color="auto"/>
              <w:right w:val="single" w:sz="4" w:space="0" w:color="auto"/>
            </w:tcBorders>
            <w:shd w:val="clear" w:color="auto" w:fill="auto"/>
            <w:noWrap/>
            <w:vAlign w:val="bottom"/>
            <w:hideMark/>
          </w:tcPr>
          <w:p w14:paraId="34234026"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32 (32%)</w:t>
            </w:r>
          </w:p>
        </w:tc>
        <w:tc>
          <w:tcPr>
            <w:tcW w:w="802" w:type="dxa"/>
            <w:tcBorders>
              <w:top w:val="nil"/>
              <w:left w:val="nil"/>
              <w:bottom w:val="single" w:sz="4" w:space="0" w:color="auto"/>
              <w:right w:val="single" w:sz="4" w:space="0" w:color="auto"/>
            </w:tcBorders>
            <w:shd w:val="clear" w:color="auto" w:fill="auto"/>
            <w:noWrap/>
            <w:vAlign w:val="bottom"/>
            <w:hideMark/>
          </w:tcPr>
          <w:p w14:paraId="4760B278"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c>
          <w:tcPr>
            <w:tcW w:w="1228" w:type="dxa"/>
            <w:tcBorders>
              <w:top w:val="nil"/>
              <w:left w:val="nil"/>
              <w:bottom w:val="single" w:sz="4" w:space="0" w:color="auto"/>
              <w:right w:val="single" w:sz="4" w:space="0" w:color="auto"/>
            </w:tcBorders>
            <w:shd w:val="clear" w:color="auto" w:fill="auto"/>
            <w:noWrap/>
            <w:vAlign w:val="bottom"/>
            <w:hideMark/>
          </w:tcPr>
          <w:p w14:paraId="63AB7611"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43 (39%)</w:t>
            </w:r>
          </w:p>
        </w:tc>
        <w:tc>
          <w:tcPr>
            <w:tcW w:w="1195" w:type="dxa"/>
            <w:tcBorders>
              <w:top w:val="nil"/>
              <w:left w:val="nil"/>
              <w:bottom w:val="single" w:sz="4" w:space="0" w:color="auto"/>
              <w:right w:val="single" w:sz="4" w:space="0" w:color="auto"/>
            </w:tcBorders>
            <w:shd w:val="clear" w:color="auto" w:fill="auto"/>
            <w:noWrap/>
            <w:vAlign w:val="bottom"/>
            <w:hideMark/>
          </w:tcPr>
          <w:p w14:paraId="43DD4729"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26 (27%)</w:t>
            </w:r>
          </w:p>
        </w:tc>
        <w:tc>
          <w:tcPr>
            <w:tcW w:w="851" w:type="dxa"/>
            <w:tcBorders>
              <w:top w:val="nil"/>
              <w:left w:val="nil"/>
              <w:bottom w:val="single" w:sz="4" w:space="0" w:color="auto"/>
              <w:right w:val="single" w:sz="4" w:space="0" w:color="auto"/>
            </w:tcBorders>
            <w:shd w:val="clear" w:color="auto" w:fill="auto"/>
            <w:noWrap/>
            <w:vAlign w:val="bottom"/>
            <w:hideMark/>
          </w:tcPr>
          <w:p w14:paraId="1AFFD9B2"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r>
      <w:tr w:rsidR="00F363DA" w:rsidRPr="00813425" w14:paraId="66C096BC" w14:textId="77777777" w:rsidTr="00325727">
        <w:trPr>
          <w:trHeight w:val="230"/>
        </w:trPr>
        <w:tc>
          <w:tcPr>
            <w:tcW w:w="3098" w:type="dxa"/>
            <w:tcBorders>
              <w:top w:val="nil"/>
              <w:left w:val="single" w:sz="4" w:space="0" w:color="auto"/>
              <w:bottom w:val="single" w:sz="4" w:space="0" w:color="auto"/>
              <w:right w:val="single" w:sz="4" w:space="0" w:color="auto"/>
            </w:tcBorders>
            <w:shd w:val="clear" w:color="auto" w:fill="auto"/>
            <w:noWrap/>
            <w:vAlign w:val="bottom"/>
            <w:hideMark/>
          </w:tcPr>
          <w:p w14:paraId="5073D832" w14:textId="77777777" w:rsidR="00F363DA" w:rsidRPr="00813425" w:rsidRDefault="00F363DA" w:rsidP="00F363DA">
            <w:pPr>
              <w:spacing w:after="0" w:line="240" w:lineRule="auto"/>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Tanner stage, %</w:t>
            </w:r>
          </w:p>
        </w:tc>
        <w:tc>
          <w:tcPr>
            <w:tcW w:w="1228" w:type="dxa"/>
            <w:tcBorders>
              <w:top w:val="nil"/>
              <w:left w:val="nil"/>
              <w:bottom w:val="single" w:sz="4" w:space="0" w:color="auto"/>
              <w:right w:val="single" w:sz="4" w:space="0" w:color="auto"/>
            </w:tcBorders>
            <w:shd w:val="clear" w:color="auto" w:fill="auto"/>
            <w:noWrap/>
            <w:vAlign w:val="bottom"/>
            <w:hideMark/>
          </w:tcPr>
          <w:p w14:paraId="0739C777"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c>
          <w:tcPr>
            <w:tcW w:w="1096" w:type="dxa"/>
            <w:tcBorders>
              <w:top w:val="nil"/>
              <w:left w:val="nil"/>
              <w:bottom w:val="single" w:sz="4" w:space="0" w:color="auto"/>
              <w:right w:val="single" w:sz="4" w:space="0" w:color="auto"/>
            </w:tcBorders>
            <w:shd w:val="clear" w:color="auto" w:fill="auto"/>
            <w:noWrap/>
            <w:vAlign w:val="bottom"/>
            <w:hideMark/>
          </w:tcPr>
          <w:p w14:paraId="4EA5D6C7"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c>
          <w:tcPr>
            <w:tcW w:w="802" w:type="dxa"/>
            <w:tcBorders>
              <w:top w:val="nil"/>
              <w:left w:val="nil"/>
              <w:bottom w:val="single" w:sz="4" w:space="0" w:color="auto"/>
              <w:right w:val="single" w:sz="4" w:space="0" w:color="auto"/>
            </w:tcBorders>
            <w:shd w:val="clear" w:color="auto" w:fill="auto"/>
            <w:noWrap/>
            <w:vAlign w:val="bottom"/>
            <w:hideMark/>
          </w:tcPr>
          <w:p w14:paraId="4B2D731F"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0.59</w:t>
            </w:r>
          </w:p>
        </w:tc>
        <w:tc>
          <w:tcPr>
            <w:tcW w:w="1228" w:type="dxa"/>
            <w:tcBorders>
              <w:top w:val="nil"/>
              <w:left w:val="nil"/>
              <w:bottom w:val="single" w:sz="4" w:space="0" w:color="auto"/>
              <w:right w:val="single" w:sz="4" w:space="0" w:color="auto"/>
            </w:tcBorders>
            <w:shd w:val="clear" w:color="auto" w:fill="auto"/>
            <w:noWrap/>
            <w:vAlign w:val="bottom"/>
            <w:hideMark/>
          </w:tcPr>
          <w:p w14:paraId="29A65C82"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c>
          <w:tcPr>
            <w:tcW w:w="1195" w:type="dxa"/>
            <w:tcBorders>
              <w:top w:val="nil"/>
              <w:left w:val="nil"/>
              <w:bottom w:val="single" w:sz="4" w:space="0" w:color="auto"/>
              <w:right w:val="single" w:sz="4" w:space="0" w:color="auto"/>
            </w:tcBorders>
            <w:shd w:val="clear" w:color="auto" w:fill="auto"/>
            <w:noWrap/>
            <w:vAlign w:val="bottom"/>
            <w:hideMark/>
          </w:tcPr>
          <w:p w14:paraId="6E379E72"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c>
          <w:tcPr>
            <w:tcW w:w="851" w:type="dxa"/>
            <w:tcBorders>
              <w:top w:val="nil"/>
              <w:left w:val="nil"/>
              <w:bottom w:val="single" w:sz="4" w:space="0" w:color="auto"/>
              <w:right w:val="single" w:sz="4" w:space="0" w:color="auto"/>
            </w:tcBorders>
            <w:shd w:val="clear" w:color="auto" w:fill="auto"/>
            <w:noWrap/>
            <w:vAlign w:val="bottom"/>
            <w:hideMark/>
          </w:tcPr>
          <w:p w14:paraId="66C67698"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&lt;0.001</w:t>
            </w:r>
          </w:p>
        </w:tc>
      </w:tr>
      <w:tr w:rsidR="00F363DA" w:rsidRPr="00813425" w14:paraId="64BED0C1" w14:textId="77777777" w:rsidTr="00325727">
        <w:trPr>
          <w:trHeight w:val="230"/>
        </w:trPr>
        <w:tc>
          <w:tcPr>
            <w:tcW w:w="3098" w:type="dxa"/>
            <w:tcBorders>
              <w:top w:val="nil"/>
              <w:left w:val="single" w:sz="4" w:space="0" w:color="auto"/>
              <w:bottom w:val="single" w:sz="4" w:space="0" w:color="auto"/>
              <w:right w:val="single" w:sz="4" w:space="0" w:color="auto"/>
            </w:tcBorders>
            <w:shd w:val="clear" w:color="auto" w:fill="auto"/>
            <w:noWrap/>
            <w:vAlign w:val="bottom"/>
            <w:hideMark/>
          </w:tcPr>
          <w:p w14:paraId="05638B42" w14:textId="77777777" w:rsidR="00F363DA" w:rsidRPr="00813425" w:rsidRDefault="00F363DA" w:rsidP="00F363DA">
            <w:pPr>
              <w:spacing w:after="0" w:line="240" w:lineRule="auto"/>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xml:space="preserve">   Tanner 1</w:t>
            </w:r>
          </w:p>
        </w:tc>
        <w:tc>
          <w:tcPr>
            <w:tcW w:w="1228" w:type="dxa"/>
            <w:tcBorders>
              <w:top w:val="nil"/>
              <w:left w:val="nil"/>
              <w:bottom w:val="single" w:sz="4" w:space="0" w:color="auto"/>
              <w:right w:val="single" w:sz="4" w:space="0" w:color="auto"/>
            </w:tcBorders>
            <w:shd w:val="clear" w:color="auto" w:fill="auto"/>
            <w:noWrap/>
            <w:vAlign w:val="bottom"/>
            <w:hideMark/>
          </w:tcPr>
          <w:p w14:paraId="56E2181A"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35 (31%)</w:t>
            </w:r>
          </w:p>
        </w:tc>
        <w:tc>
          <w:tcPr>
            <w:tcW w:w="1096" w:type="dxa"/>
            <w:tcBorders>
              <w:top w:val="nil"/>
              <w:left w:val="nil"/>
              <w:bottom w:val="single" w:sz="4" w:space="0" w:color="auto"/>
              <w:right w:val="single" w:sz="4" w:space="0" w:color="auto"/>
            </w:tcBorders>
            <w:shd w:val="clear" w:color="auto" w:fill="auto"/>
            <w:noWrap/>
            <w:vAlign w:val="bottom"/>
            <w:hideMark/>
          </w:tcPr>
          <w:p w14:paraId="3AC36EF8"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38 (38%)</w:t>
            </w:r>
          </w:p>
        </w:tc>
        <w:tc>
          <w:tcPr>
            <w:tcW w:w="802" w:type="dxa"/>
            <w:tcBorders>
              <w:top w:val="nil"/>
              <w:left w:val="nil"/>
              <w:bottom w:val="single" w:sz="4" w:space="0" w:color="auto"/>
              <w:right w:val="single" w:sz="4" w:space="0" w:color="auto"/>
            </w:tcBorders>
            <w:shd w:val="clear" w:color="auto" w:fill="auto"/>
            <w:noWrap/>
            <w:vAlign w:val="bottom"/>
            <w:hideMark/>
          </w:tcPr>
          <w:p w14:paraId="7684EB8B"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c>
          <w:tcPr>
            <w:tcW w:w="1228" w:type="dxa"/>
            <w:tcBorders>
              <w:top w:val="nil"/>
              <w:left w:val="nil"/>
              <w:bottom w:val="single" w:sz="4" w:space="0" w:color="auto"/>
              <w:right w:val="single" w:sz="4" w:space="0" w:color="auto"/>
            </w:tcBorders>
            <w:shd w:val="clear" w:color="auto" w:fill="auto"/>
            <w:noWrap/>
            <w:vAlign w:val="bottom"/>
            <w:hideMark/>
          </w:tcPr>
          <w:p w14:paraId="644D3053"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19 (17%)</w:t>
            </w:r>
          </w:p>
        </w:tc>
        <w:tc>
          <w:tcPr>
            <w:tcW w:w="1195" w:type="dxa"/>
            <w:tcBorders>
              <w:top w:val="nil"/>
              <w:left w:val="nil"/>
              <w:bottom w:val="single" w:sz="4" w:space="0" w:color="auto"/>
              <w:right w:val="single" w:sz="4" w:space="0" w:color="auto"/>
            </w:tcBorders>
            <w:shd w:val="clear" w:color="auto" w:fill="auto"/>
            <w:noWrap/>
            <w:vAlign w:val="bottom"/>
            <w:hideMark/>
          </w:tcPr>
          <w:p w14:paraId="0043D1AC"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43 (45%)</w:t>
            </w:r>
          </w:p>
        </w:tc>
        <w:tc>
          <w:tcPr>
            <w:tcW w:w="851" w:type="dxa"/>
            <w:tcBorders>
              <w:top w:val="nil"/>
              <w:left w:val="nil"/>
              <w:bottom w:val="single" w:sz="4" w:space="0" w:color="auto"/>
              <w:right w:val="single" w:sz="4" w:space="0" w:color="auto"/>
            </w:tcBorders>
            <w:shd w:val="clear" w:color="auto" w:fill="auto"/>
            <w:noWrap/>
            <w:vAlign w:val="bottom"/>
            <w:hideMark/>
          </w:tcPr>
          <w:p w14:paraId="44CF6E14"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r>
      <w:tr w:rsidR="00F363DA" w:rsidRPr="00813425" w14:paraId="71EA3D31" w14:textId="77777777" w:rsidTr="00325727">
        <w:trPr>
          <w:trHeight w:val="230"/>
        </w:trPr>
        <w:tc>
          <w:tcPr>
            <w:tcW w:w="3098" w:type="dxa"/>
            <w:tcBorders>
              <w:top w:val="nil"/>
              <w:left w:val="single" w:sz="4" w:space="0" w:color="auto"/>
              <w:bottom w:val="single" w:sz="4" w:space="0" w:color="auto"/>
              <w:right w:val="single" w:sz="4" w:space="0" w:color="auto"/>
            </w:tcBorders>
            <w:shd w:val="clear" w:color="auto" w:fill="auto"/>
            <w:noWrap/>
            <w:vAlign w:val="bottom"/>
            <w:hideMark/>
          </w:tcPr>
          <w:p w14:paraId="075B5C06" w14:textId="77777777" w:rsidR="00F363DA" w:rsidRPr="00813425" w:rsidRDefault="00F363DA" w:rsidP="00F363DA">
            <w:pPr>
              <w:spacing w:after="0" w:line="240" w:lineRule="auto"/>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xml:space="preserve">   Tanner 2</w:t>
            </w:r>
          </w:p>
        </w:tc>
        <w:tc>
          <w:tcPr>
            <w:tcW w:w="1228" w:type="dxa"/>
            <w:tcBorders>
              <w:top w:val="nil"/>
              <w:left w:val="nil"/>
              <w:bottom w:val="single" w:sz="4" w:space="0" w:color="auto"/>
              <w:right w:val="single" w:sz="4" w:space="0" w:color="auto"/>
            </w:tcBorders>
            <w:shd w:val="clear" w:color="auto" w:fill="auto"/>
            <w:noWrap/>
            <w:vAlign w:val="bottom"/>
            <w:hideMark/>
          </w:tcPr>
          <w:p w14:paraId="56E618D6"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31 (27%)</w:t>
            </w:r>
          </w:p>
        </w:tc>
        <w:tc>
          <w:tcPr>
            <w:tcW w:w="1096" w:type="dxa"/>
            <w:tcBorders>
              <w:top w:val="nil"/>
              <w:left w:val="nil"/>
              <w:bottom w:val="single" w:sz="4" w:space="0" w:color="auto"/>
              <w:right w:val="single" w:sz="4" w:space="0" w:color="auto"/>
            </w:tcBorders>
            <w:shd w:val="clear" w:color="auto" w:fill="auto"/>
            <w:noWrap/>
            <w:vAlign w:val="bottom"/>
            <w:hideMark/>
          </w:tcPr>
          <w:p w14:paraId="5453AE98"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28 (28%)</w:t>
            </w:r>
          </w:p>
        </w:tc>
        <w:tc>
          <w:tcPr>
            <w:tcW w:w="802" w:type="dxa"/>
            <w:tcBorders>
              <w:top w:val="nil"/>
              <w:left w:val="nil"/>
              <w:bottom w:val="single" w:sz="4" w:space="0" w:color="auto"/>
              <w:right w:val="single" w:sz="4" w:space="0" w:color="auto"/>
            </w:tcBorders>
            <w:shd w:val="clear" w:color="auto" w:fill="auto"/>
            <w:noWrap/>
            <w:vAlign w:val="bottom"/>
            <w:hideMark/>
          </w:tcPr>
          <w:p w14:paraId="295DE9CB"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c>
          <w:tcPr>
            <w:tcW w:w="1228" w:type="dxa"/>
            <w:tcBorders>
              <w:top w:val="nil"/>
              <w:left w:val="nil"/>
              <w:bottom w:val="single" w:sz="4" w:space="0" w:color="auto"/>
              <w:right w:val="single" w:sz="4" w:space="0" w:color="auto"/>
            </w:tcBorders>
            <w:shd w:val="clear" w:color="auto" w:fill="auto"/>
            <w:noWrap/>
            <w:vAlign w:val="bottom"/>
            <w:hideMark/>
          </w:tcPr>
          <w:p w14:paraId="12DECBCB"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22 (20%)</w:t>
            </w:r>
          </w:p>
        </w:tc>
        <w:tc>
          <w:tcPr>
            <w:tcW w:w="1195" w:type="dxa"/>
            <w:tcBorders>
              <w:top w:val="nil"/>
              <w:left w:val="nil"/>
              <w:bottom w:val="single" w:sz="4" w:space="0" w:color="auto"/>
              <w:right w:val="single" w:sz="4" w:space="0" w:color="auto"/>
            </w:tcBorders>
            <w:shd w:val="clear" w:color="auto" w:fill="auto"/>
            <w:noWrap/>
            <w:vAlign w:val="bottom"/>
            <w:hideMark/>
          </w:tcPr>
          <w:p w14:paraId="083CE352"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15 (16%)</w:t>
            </w:r>
          </w:p>
        </w:tc>
        <w:tc>
          <w:tcPr>
            <w:tcW w:w="851" w:type="dxa"/>
            <w:tcBorders>
              <w:top w:val="nil"/>
              <w:left w:val="nil"/>
              <w:bottom w:val="single" w:sz="4" w:space="0" w:color="auto"/>
              <w:right w:val="single" w:sz="4" w:space="0" w:color="auto"/>
            </w:tcBorders>
            <w:shd w:val="clear" w:color="auto" w:fill="auto"/>
            <w:noWrap/>
            <w:vAlign w:val="bottom"/>
            <w:hideMark/>
          </w:tcPr>
          <w:p w14:paraId="22E97996"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r>
      <w:tr w:rsidR="00F363DA" w:rsidRPr="00813425" w14:paraId="109BC99A" w14:textId="77777777" w:rsidTr="00325727">
        <w:trPr>
          <w:trHeight w:val="230"/>
        </w:trPr>
        <w:tc>
          <w:tcPr>
            <w:tcW w:w="3098" w:type="dxa"/>
            <w:tcBorders>
              <w:top w:val="nil"/>
              <w:left w:val="single" w:sz="4" w:space="0" w:color="auto"/>
              <w:bottom w:val="single" w:sz="4" w:space="0" w:color="auto"/>
              <w:right w:val="single" w:sz="4" w:space="0" w:color="auto"/>
            </w:tcBorders>
            <w:shd w:val="clear" w:color="auto" w:fill="auto"/>
            <w:noWrap/>
            <w:vAlign w:val="bottom"/>
            <w:hideMark/>
          </w:tcPr>
          <w:p w14:paraId="423A6880" w14:textId="77777777" w:rsidR="00F363DA" w:rsidRPr="00813425" w:rsidRDefault="00F363DA" w:rsidP="00F363DA">
            <w:pPr>
              <w:spacing w:after="0" w:line="240" w:lineRule="auto"/>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xml:space="preserve">   Tanner 3</w:t>
            </w:r>
          </w:p>
        </w:tc>
        <w:tc>
          <w:tcPr>
            <w:tcW w:w="1228" w:type="dxa"/>
            <w:tcBorders>
              <w:top w:val="nil"/>
              <w:left w:val="nil"/>
              <w:bottom w:val="single" w:sz="4" w:space="0" w:color="auto"/>
              <w:right w:val="single" w:sz="4" w:space="0" w:color="auto"/>
            </w:tcBorders>
            <w:shd w:val="clear" w:color="auto" w:fill="auto"/>
            <w:noWrap/>
            <w:vAlign w:val="bottom"/>
            <w:hideMark/>
          </w:tcPr>
          <w:p w14:paraId="55C7DF53"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18 (16%)</w:t>
            </w:r>
          </w:p>
        </w:tc>
        <w:tc>
          <w:tcPr>
            <w:tcW w:w="1096" w:type="dxa"/>
            <w:tcBorders>
              <w:top w:val="nil"/>
              <w:left w:val="nil"/>
              <w:bottom w:val="single" w:sz="4" w:space="0" w:color="auto"/>
              <w:right w:val="single" w:sz="4" w:space="0" w:color="auto"/>
            </w:tcBorders>
            <w:shd w:val="clear" w:color="auto" w:fill="auto"/>
            <w:noWrap/>
            <w:vAlign w:val="bottom"/>
            <w:hideMark/>
          </w:tcPr>
          <w:p w14:paraId="6FCF5169"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15 (15%)</w:t>
            </w:r>
          </w:p>
        </w:tc>
        <w:tc>
          <w:tcPr>
            <w:tcW w:w="802" w:type="dxa"/>
            <w:tcBorders>
              <w:top w:val="nil"/>
              <w:left w:val="nil"/>
              <w:bottom w:val="single" w:sz="4" w:space="0" w:color="auto"/>
              <w:right w:val="single" w:sz="4" w:space="0" w:color="auto"/>
            </w:tcBorders>
            <w:shd w:val="clear" w:color="auto" w:fill="auto"/>
            <w:noWrap/>
            <w:vAlign w:val="bottom"/>
            <w:hideMark/>
          </w:tcPr>
          <w:p w14:paraId="7F731650"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c>
          <w:tcPr>
            <w:tcW w:w="1228" w:type="dxa"/>
            <w:tcBorders>
              <w:top w:val="nil"/>
              <w:left w:val="nil"/>
              <w:bottom w:val="single" w:sz="4" w:space="0" w:color="auto"/>
              <w:right w:val="single" w:sz="4" w:space="0" w:color="auto"/>
            </w:tcBorders>
            <w:shd w:val="clear" w:color="auto" w:fill="auto"/>
            <w:noWrap/>
            <w:vAlign w:val="bottom"/>
            <w:hideMark/>
          </w:tcPr>
          <w:p w14:paraId="7D2BEDED"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22 (20%)</w:t>
            </w:r>
          </w:p>
        </w:tc>
        <w:tc>
          <w:tcPr>
            <w:tcW w:w="1195" w:type="dxa"/>
            <w:tcBorders>
              <w:top w:val="nil"/>
              <w:left w:val="nil"/>
              <w:bottom w:val="single" w:sz="4" w:space="0" w:color="auto"/>
              <w:right w:val="single" w:sz="4" w:space="0" w:color="auto"/>
            </w:tcBorders>
            <w:shd w:val="clear" w:color="auto" w:fill="auto"/>
            <w:noWrap/>
            <w:vAlign w:val="bottom"/>
            <w:hideMark/>
          </w:tcPr>
          <w:p w14:paraId="19538879"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20 (21%)</w:t>
            </w:r>
          </w:p>
        </w:tc>
        <w:tc>
          <w:tcPr>
            <w:tcW w:w="851" w:type="dxa"/>
            <w:tcBorders>
              <w:top w:val="nil"/>
              <w:left w:val="nil"/>
              <w:bottom w:val="single" w:sz="4" w:space="0" w:color="auto"/>
              <w:right w:val="single" w:sz="4" w:space="0" w:color="auto"/>
            </w:tcBorders>
            <w:shd w:val="clear" w:color="auto" w:fill="auto"/>
            <w:noWrap/>
            <w:vAlign w:val="bottom"/>
            <w:hideMark/>
          </w:tcPr>
          <w:p w14:paraId="34A748AC"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r>
      <w:tr w:rsidR="00F363DA" w:rsidRPr="00813425" w14:paraId="21100B30" w14:textId="77777777" w:rsidTr="00325727">
        <w:trPr>
          <w:trHeight w:val="230"/>
        </w:trPr>
        <w:tc>
          <w:tcPr>
            <w:tcW w:w="3098" w:type="dxa"/>
            <w:tcBorders>
              <w:top w:val="nil"/>
              <w:left w:val="single" w:sz="4" w:space="0" w:color="auto"/>
              <w:bottom w:val="single" w:sz="4" w:space="0" w:color="auto"/>
              <w:right w:val="single" w:sz="4" w:space="0" w:color="auto"/>
            </w:tcBorders>
            <w:shd w:val="clear" w:color="auto" w:fill="auto"/>
            <w:noWrap/>
            <w:vAlign w:val="bottom"/>
            <w:hideMark/>
          </w:tcPr>
          <w:p w14:paraId="4391C7A0" w14:textId="77777777" w:rsidR="00F363DA" w:rsidRPr="00813425" w:rsidRDefault="00F363DA" w:rsidP="00F363DA">
            <w:pPr>
              <w:spacing w:after="0" w:line="240" w:lineRule="auto"/>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xml:space="preserve">   Tanner 4</w:t>
            </w:r>
          </w:p>
        </w:tc>
        <w:tc>
          <w:tcPr>
            <w:tcW w:w="1228" w:type="dxa"/>
            <w:tcBorders>
              <w:top w:val="nil"/>
              <w:left w:val="nil"/>
              <w:bottom w:val="single" w:sz="4" w:space="0" w:color="auto"/>
              <w:right w:val="single" w:sz="4" w:space="0" w:color="auto"/>
            </w:tcBorders>
            <w:shd w:val="clear" w:color="auto" w:fill="auto"/>
            <w:noWrap/>
            <w:vAlign w:val="bottom"/>
            <w:hideMark/>
          </w:tcPr>
          <w:p w14:paraId="4AA4252F"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27 (24%)</w:t>
            </w:r>
          </w:p>
        </w:tc>
        <w:tc>
          <w:tcPr>
            <w:tcW w:w="1096" w:type="dxa"/>
            <w:tcBorders>
              <w:top w:val="nil"/>
              <w:left w:val="nil"/>
              <w:bottom w:val="single" w:sz="4" w:space="0" w:color="auto"/>
              <w:right w:val="single" w:sz="4" w:space="0" w:color="auto"/>
            </w:tcBorders>
            <w:shd w:val="clear" w:color="auto" w:fill="auto"/>
            <w:noWrap/>
            <w:vAlign w:val="bottom"/>
            <w:hideMark/>
          </w:tcPr>
          <w:p w14:paraId="163350AC"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16 (16%)</w:t>
            </w:r>
          </w:p>
        </w:tc>
        <w:tc>
          <w:tcPr>
            <w:tcW w:w="802" w:type="dxa"/>
            <w:tcBorders>
              <w:top w:val="nil"/>
              <w:left w:val="nil"/>
              <w:bottom w:val="single" w:sz="4" w:space="0" w:color="auto"/>
              <w:right w:val="single" w:sz="4" w:space="0" w:color="auto"/>
            </w:tcBorders>
            <w:shd w:val="clear" w:color="auto" w:fill="auto"/>
            <w:noWrap/>
            <w:vAlign w:val="bottom"/>
            <w:hideMark/>
          </w:tcPr>
          <w:p w14:paraId="49AA8CBB"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c>
          <w:tcPr>
            <w:tcW w:w="1228" w:type="dxa"/>
            <w:tcBorders>
              <w:top w:val="nil"/>
              <w:left w:val="nil"/>
              <w:bottom w:val="single" w:sz="4" w:space="0" w:color="auto"/>
              <w:right w:val="single" w:sz="4" w:space="0" w:color="auto"/>
            </w:tcBorders>
            <w:shd w:val="clear" w:color="auto" w:fill="auto"/>
            <w:noWrap/>
            <w:vAlign w:val="bottom"/>
            <w:hideMark/>
          </w:tcPr>
          <w:p w14:paraId="2EE5CF41"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35 (32%)</w:t>
            </w:r>
          </w:p>
        </w:tc>
        <w:tc>
          <w:tcPr>
            <w:tcW w:w="1195" w:type="dxa"/>
            <w:tcBorders>
              <w:top w:val="nil"/>
              <w:left w:val="nil"/>
              <w:bottom w:val="single" w:sz="4" w:space="0" w:color="auto"/>
              <w:right w:val="single" w:sz="4" w:space="0" w:color="auto"/>
            </w:tcBorders>
            <w:shd w:val="clear" w:color="auto" w:fill="auto"/>
            <w:noWrap/>
            <w:vAlign w:val="bottom"/>
            <w:hideMark/>
          </w:tcPr>
          <w:p w14:paraId="414CCAFA"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14 (15%)</w:t>
            </w:r>
          </w:p>
        </w:tc>
        <w:tc>
          <w:tcPr>
            <w:tcW w:w="851" w:type="dxa"/>
            <w:tcBorders>
              <w:top w:val="nil"/>
              <w:left w:val="nil"/>
              <w:bottom w:val="single" w:sz="4" w:space="0" w:color="auto"/>
              <w:right w:val="single" w:sz="4" w:space="0" w:color="auto"/>
            </w:tcBorders>
            <w:shd w:val="clear" w:color="auto" w:fill="auto"/>
            <w:noWrap/>
            <w:vAlign w:val="bottom"/>
            <w:hideMark/>
          </w:tcPr>
          <w:p w14:paraId="3A13B4E8"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r>
      <w:tr w:rsidR="00F363DA" w:rsidRPr="00813425" w14:paraId="3090106C" w14:textId="77777777" w:rsidTr="00325727">
        <w:trPr>
          <w:trHeight w:val="230"/>
        </w:trPr>
        <w:tc>
          <w:tcPr>
            <w:tcW w:w="3098" w:type="dxa"/>
            <w:tcBorders>
              <w:top w:val="nil"/>
              <w:left w:val="single" w:sz="4" w:space="0" w:color="auto"/>
              <w:bottom w:val="single" w:sz="4" w:space="0" w:color="auto"/>
              <w:right w:val="single" w:sz="4" w:space="0" w:color="auto"/>
            </w:tcBorders>
            <w:shd w:val="clear" w:color="auto" w:fill="auto"/>
            <w:noWrap/>
            <w:vAlign w:val="bottom"/>
            <w:hideMark/>
          </w:tcPr>
          <w:p w14:paraId="7F8A0148" w14:textId="77777777" w:rsidR="00F363DA" w:rsidRPr="00813425" w:rsidRDefault="00F363DA" w:rsidP="00F363DA">
            <w:pPr>
              <w:spacing w:after="0" w:line="240" w:lineRule="auto"/>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xml:space="preserve">   Tanner 5</w:t>
            </w:r>
          </w:p>
        </w:tc>
        <w:tc>
          <w:tcPr>
            <w:tcW w:w="1228" w:type="dxa"/>
            <w:tcBorders>
              <w:top w:val="nil"/>
              <w:left w:val="nil"/>
              <w:bottom w:val="single" w:sz="4" w:space="0" w:color="auto"/>
              <w:right w:val="single" w:sz="4" w:space="0" w:color="auto"/>
            </w:tcBorders>
            <w:shd w:val="clear" w:color="auto" w:fill="auto"/>
            <w:noWrap/>
            <w:vAlign w:val="bottom"/>
            <w:hideMark/>
          </w:tcPr>
          <w:p w14:paraId="6C6026FB"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2 (2%)</w:t>
            </w:r>
          </w:p>
        </w:tc>
        <w:tc>
          <w:tcPr>
            <w:tcW w:w="1096" w:type="dxa"/>
            <w:tcBorders>
              <w:top w:val="nil"/>
              <w:left w:val="nil"/>
              <w:bottom w:val="single" w:sz="4" w:space="0" w:color="auto"/>
              <w:right w:val="single" w:sz="4" w:space="0" w:color="auto"/>
            </w:tcBorders>
            <w:shd w:val="clear" w:color="auto" w:fill="auto"/>
            <w:noWrap/>
            <w:vAlign w:val="bottom"/>
            <w:hideMark/>
          </w:tcPr>
          <w:p w14:paraId="3FC466E4"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3 (3%)</w:t>
            </w:r>
          </w:p>
        </w:tc>
        <w:tc>
          <w:tcPr>
            <w:tcW w:w="802" w:type="dxa"/>
            <w:tcBorders>
              <w:top w:val="nil"/>
              <w:left w:val="nil"/>
              <w:bottom w:val="single" w:sz="4" w:space="0" w:color="auto"/>
              <w:right w:val="single" w:sz="4" w:space="0" w:color="auto"/>
            </w:tcBorders>
            <w:shd w:val="clear" w:color="auto" w:fill="auto"/>
            <w:noWrap/>
            <w:vAlign w:val="bottom"/>
            <w:hideMark/>
          </w:tcPr>
          <w:p w14:paraId="6CAC0E78"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c>
          <w:tcPr>
            <w:tcW w:w="1228" w:type="dxa"/>
            <w:tcBorders>
              <w:top w:val="nil"/>
              <w:left w:val="nil"/>
              <w:bottom w:val="single" w:sz="4" w:space="0" w:color="auto"/>
              <w:right w:val="single" w:sz="4" w:space="0" w:color="auto"/>
            </w:tcBorders>
            <w:shd w:val="clear" w:color="auto" w:fill="auto"/>
            <w:noWrap/>
            <w:vAlign w:val="bottom"/>
            <w:hideMark/>
          </w:tcPr>
          <w:p w14:paraId="1FB4030A"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13 (12%)</w:t>
            </w:r>
          </w:p>
        </w:tc>
        <w:tc>
          <w:tcPr>
            <w:tcW w:w="1195" w:type="dxa"/>
            <w:tcBorders>
              <w:top w:val="nil"/>
              <w:left w:val="nil"/>
              <w:bottom w:val="single" w:sz="4" w:space="0" w:color="auto"/>
              <w:right w:val="single" w:sz="4" w:space="0" w:color="auto"/>
            </w:tcBorders>
            <w:shd w:val="clear" w:color="auto" w:fill="auto"/>
            <w:noWrap/>
            <w:vAlign w:val="bottom"/>
            <w:hideMark/>
          </w:tcPr>
          <w:p w14:paraId="57E54A68"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3 (3%)</w:t>
            </w:r>
          </w:p>
        </w:tc>
        <w:tc>
          <w:tcPr>
            <w:tcW w:w="851" w:type="dxa"/>
            <w:tcBorders>
              <w:top w:val="nil"/>
              <w:left w:val="nil"/>
              <w:bottom w:val="single" w:sz="4" w:space="0" w:color="auto"/>
              <w:right w:val="single" w:sz="4" w:space="0" w:color="auto"/>
            </w:tcBorders>
            <w:shd w:val="clear" w:color="auto" w:fill="auto"/>
            <w:noWrap/>
            <w:vAlign w:val="bottom"/>
            <w:hideMark/>
          </w:tcPr>
          <w:p w14:paraId="12646554"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r>
      <w:tr w:rsidR="00F363DA" w:rsidRPr="00813425" w14:paraId="3074A859" w14:textId="77777777" w:rsidTr="00325727">
        <w:trPr>
          <w:trHeight w:val="230"/>
        </w:trPr>
        <w:tc>
          <w:tcPr>
            <w:tcW w:w="3098" w:type="dxa"/>
            <w:tcBorders>
              <w:top w:val="nil"/>
              <w:left w:val="single" w:sz="4" w:space="0" w:color="auto"/>
              <w:bottom w:val="single" w:sz="4" w:space="0" w:color="auto"/>
              <w:right w:val="single" w:sz="4" w:space="0" w:color="auto"/>
            </w:tcBorders>
            <w:shd w:val="clear" w:color="auto" w:fill="auto"/>
            <w:noWrap/>
            <w:vAlign w:val="bottom"/>
            <w:hideMark/>
          </w:tcPr>
          <w:p w14:paraId="21D2CEF6" w14:textId="77777777" w:rsidR="00F363DA" w:rsidRPr="00813425" w:rsidRDefault="00F363DA" w:rsidP="00F363DA">
            <w:pPr>
              <w:spacing w:after="0" w:line="240" w:lineRule="auto"/>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Pubertal status, %</w:t>
            </w:r>
          </w:p>
        </w:tc>
        <w:tc>
          <w:tcPr>
            <w:tcW w:w="1228" w:type="dxa"/>
            <w:tcBorders>
              <w:top w:val="nil"/>
              <w:left w:val="nil"/>
              <w:bottom w:val="single" w:sz="4" w:space="0" w:color="auto"/>
              <w:right w:val="single" w:sz="4" w:space="0" w:color="auto"/>
            </w:tcBorders>
            <w:shd w:val="clear" w:color="auto" w:fill="auto"/>
            <w:noWrap/>
            <w:vAlign w:val="bottom"/>
            <w:hideMark/>
          </w:tcPr>
          <w:p w14:paraId="2F5A7109"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c>
          <w:tcPr>
            <w:tcW w:w="1096" w:type="dxa"/>
            <w:tcBorders>
              <w:top w:val="nil"/>
              <w:left w:val="nil"/>
              <w:bottom w:val="single" w:sz="4" w:space="0" w:color="auto"/>
              <w:right w:val="single" w:sz="4" w:space="0" w:color="auto"/>
            </w:tcBorders>
            <w:shd w:val="clear" w:color="auto" w:fill="auto"/>
            <w:noWrap/>
            <w:vAlign w:val="bottom"/>
            <w:hideMark/>
          </w:tcPr>
          <w:p w14:paraId="3BAF2C8E"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c>
          <w:tcPr>
            <w:tcW w:w="802" w:type="dxa"/>
            <w:tcBorders>
              <w:top w:val="nil"/>
              <w:left w:val="nil"/>
              <w:bottom w:val="single" w:sz="4" w:space="0" w:color="auto"/>
              <w:right w:val="single" w:sz="4" w:space="0" w:color="auto"/>
            </w:tcBorders>
            <w:shd w:val="clear" w:color="auto" w:fill="auto"/>
            <w:noWrap/>
            <w:vAlign w:val="bottom"/>
            <w:hideMark/>
          </w:tcPr>
          <w:p w14:paraId="4A4D0599"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0.26</w:t>
            </w:r>
          </w:p>
        </w:tc>
        <w:tc>
          <w:tcPr>
            <w:tcW w:w="1228" w:type="dxa"/>
            <w:tcBorders>
              <w:top w:val="nil"/>
              <w:left w:val="nil"/>
              <w:bottom w:val="single" w:sz="4" w:space="0" w:color="auto"/>
              <w:right w:val="single" w:sz="4" w:space="0" w:color="auto"/>
            </w:tcBorders>
            <w:shd w:val="clear" w:color="auto" w:fill="auto"/>
            <w:noWrap/>
            <w:vAlign w:val="bottom"/>
            <w:hideMark/>
          </w:tcPr>
          <w:p w14:paraId="07DC9966"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c>
          <w:tcPr>
            <w:tcW w:w="1195" w:type="dxa"/>
            <w:tcBorders>
              <w:top w:val="nil"/>
              <w:left w:val="nil"/>
              <w:bottom w:val="single" w:sz="4" w:space="0" w:color="auto"/>
              <w:right w:val="single" w:sz="4" w:space="0" w:color="auto"/>
            </w:tcBorders>
            <w:shd w:val="clear" w:color="auto" w:fill="auto"/>
            <w:noWrap/>
            <w:vAlign w:val="bottom"/>
            <w:hideMark/>
          </w:tcPr>
          <w:p w14:paraId="34F5973A"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c>
          <w:tcPr>
            <w:tcW w:w="851" w:type="dxa"/>
            <w:tcBorders>
              <w:top w:val="nil"/>
              <w:left w:val="nil"/>
              <w:bottom w:val="single" w:sz="4" w:space="0" w:color="auto"/>
              <w:right w:val="single" w:sz="4" w:space="0" w:color="auto"/>
            </w:tcBorders>
            <w:shd w:val="clear" w:color="auto" w:fill="auto"/>
            <w:noWrap/>
            <w:vAlign w:val="bottom"/>
            <w:hideMark/>
          </w:tcPr>
          <w:p w14:paraId="4CB75640"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&lt;0.001</w:t>
            </w:r>
          </w:p>
        </w:tc>
      </w:tr>
      <w:tr w:rsidR="00F363DA" w:rsidRPr="00813425" w14:paraId="727E8015" w14:textId="77777777" w:rsidTr="00325727">
        <w:trPr>
          <w:trHeight w:val="230"/>
        </w:trPr>
        <w:tc>
          <w:tcPr>
            <w:tcW w:w="3098" w:type="dxa"/>
            <w:tcBorders>
              <w:top w:val="nil"/>
              <w:left w:val="single" w:sz="4" w:space="0" w:color="auto"/>
              <w:bottom w:val="single" w:sz="4" w:space="0" w:color="auto"/>
              <w:right w:val="single" w:sz="4" w:space="0" w:color="auto"/>
            </w:tcBorders>
            <w:shd w:val="clear" w:color="auto" w:fill="auto"/>
            <w:noWrap/>
            <w:vAlign w:val="bottom"/>
            <w:hideMark/>
          </w:tcPr>
          <w:p w14:paraId="066B22AC" w14:textId="77777777" w:rsidR="00F363DA" w:rsidRPr="00813425" w:rsidRDefault="00F363DA" w:rsidP="00F363DA">
            <w:pPr>
              <w:spacing w:after="0" w:line="240" w:lineRule="auto"/>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xml:space="preserve">   Early Puberty</w:t>
            </w:r>
          </w:p>
        </w:tc>
        <w:tc>
          <w:tcPr>
            <w:tcW w:w="1228" w:type="dxa"/>
            <w:tcBorders>
              <w:top w:val="nil"/>
              <w:left w:val="nil"/>
              <w:bottom w:val="single" w:sz="4" w:space="0" w:color="auto"/>
              <w:right w:val="single" w:sz="4" w:space="0" w:color="auto"/>
            </w:tcBorders>
            <w:shd w:val="clear" w:color="auto" w:fill="auto"/>
            <w:noWrap/>
            <w:vAlign w:val="bottom"/>
            <w:hideMark/>
          </w:tcPr>
          <w:p w14:paraId="571DC6C6"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66 (58%)</w:t>
            </w:r>
          </w:p>
        </w:tc>
        <w:tc>
          <w:tcPr>
            <w:tcW w:w="1096" w:type="dxa"/>
            <w:tcBorders>
              <w:top w:val="nil"/>
              <w:left w:val="nil"/>
              <w:bottom w:val="single" w:sz="4" w:space="0" w:color="auto"/>
              <w:right w:val="single" w:sz="4" w:space="0" w:color="auto"/>
            </w:tcBorders>
            <w:shd w:val="clear" w:color="auto" w:fill="auto"/>
            <w:noWrap/>
            <w:vAlign w:val="bottom"/>
            <w:hideMark/>
          </w:tcPr>
          <w:p w14:paraId="2C5F6CCD"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66 (66%)</w:t>
            </w:r>
          </w:p>
        </w:tc>
        <w:tc>
          <w:tcPr>
            <w:tcW w:w="802" w:type="dxa"/>
            <w:tcBorders>
              <w:top w:val="nil"/>
              <w:left w:val="nil"/>
              <w:bottom w:val="single" w:sz="4" w:space="0" w:color="auto"/>
              <w:right w:val="single" w:sz="4" w:space="0" w:color="auto"/>
            </w:tcBorders>
            <w:shd w:val="clear" w:color="auto" w:fill="auto"/>
            <w:noWrap/>
            <w:vAlign w:val="bottom"/>
            <w:hideMark/>
          </w:tcPr>
          <w:p w14:paraId="63DDCA44"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c>
          <w:tcPr>
            <w:tcW w:w="1228" w:type="dxa"/>
            <w:tcBorders>
              <w:top w:val="nil"/>
              <w:left w:val="nil"/>
              <w:bottom w:val="single" w:sz="4" w:space="0" w:color="auto"/>
              <w:right w:val="single" w:sz="4" w:space="0" w:color="auto"/>
            </w:tcBorders>
            <w:shd w:val="clear" w:color="auto" w:fill="auto"/>
            <w:noWrap/>
            <w:vAlign w:val="bottom"/>
            <w:hideMark/>
          </w:tcPr>
          <w:p w14:paraId="4EA56BB8"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41 (37%)</w:t>
            </w:r>
          </w:p>
        </w:tc>
        <w:tc>
          <w:tcPr>
            <w:tcW w:w="1195" w:type="dxa"/>
            <w:tcBorders>
              <w:top w:val="nil"/>
              <w:left w:val="nil"/>
              <w:bottom w:val="single" w:sz="4" w:space="0" w:color="auto"/>
              <w:right w:val="single" w:sz="4" w:space="0" w:color="auto"/>
            </w:tcBorders>
            <w:shd w:val="clear" w:color="auto" w:fill="auto"/>
            <w:noWrap/>
            <w:vAlign w:val="bottom"/>
            <w:hideMark/>
          </w:tcPr>
          <w:p w14:paraId="3B224397"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58 (61%)</w:t>
            </w:r>
          </w:p>
        </w:tc>
        <w:tc>
          <w:tcPr>
            <w:tcW w:w="851" w:type="dxa"/>
            <w:tcBorders>
              <w:top w:val="nil"/>
              <w:left w:val="nil"/>
              <w:bottom w:val="single" w:sz="4" w:space="0" w:color="auto"/>
              <w:right w:val="single" w:sz="4" w:space="0" w:color="auto"/>
            </w:tcBorders>
            <w:shd w:val="clear" w:color="auto" w:fill="auto"/>
            <w:noWrap/>
            <w:vAlign w:val="bottom"/>
            <w:hideMark/>
          </w:tcPr>
          <w:p w14:paraId="2C87D837"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r>
      <w:tr w:rsidR="00F363DA" w:rsidRPr="00813425" w14:paraId="733028DB" w14:textId="77777777" w:rsidTr="00325727">
        <w:trPr>
          <w:trHeight w:val="230"/>
        </w:trPr>
        <w:tc>
          <w:tcPr>
            <w:tcW w:w="3098" w:type="dxa"/>
            <w:tcBorders>
              <w:top w:val="nil"/>
              <w:left w:val="single" w:sz="4" w:space="0" w:color="auto"/>
              <w:bottom w:val="single" w:sz="4" w:space="0" w:color="auto"/>
              <w:right w:val="single" w:sz="4" w:space="0" w:color="auto"/>
            </w:tcBorders>
            <w:shd w:val="clear" w:color="auto" w:fill="auto"/>
            <w:noWrap/>
            <w:vAlign w:val="bottom"/>
            <w:hideMark/>
          </w:tcPr>
          <w:p w14:paraId="7A04981E" w14:textId="77777777" w:rsidR="00F363DA" w:rsidRPr="00813425" w:rsidRDefault="00F363DA" w:rsidP="00F363DA">
            <w:pPr>
              <w:spacing w:after="0" w:line="240" w:lineRule="auto"/>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xml:space="preserve">   Late Puberty</w:t>
            </w:r>
          </w:p>
        </w:tc>
        <w:tc>
          <w:tcPr>
            <w:tcW w:w="1228" w:type="dxa"/>
            <w:tcBorders>
              <w:top w:val="nil"/>
              <w:left w:val="nil"/>
              <w:bottom w:val="single" w:sz="4" w:space="0" w:color="auto"/>
              <w:right w:val="single" w:sz="4" w:space="0" w:color="auto"/>
            </w:tcBorders>
            <w:shd w:val="clear" w:color="auto" w:fill="auto"/>
            <w:noWrap/>
            <w:vAlign w:val="bottom"/>
            <w:hideMark/>
          </w:tcPr>
          <w:p w14:paraId="1D4CA5B8"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47 (42%)</w:t>
            </w:r>
          </w:p>
        </w:tc>
        <w:tc>
          <w:tcPr>
            <w:tcW w:w="1096" w:type="dxa"/>
            <w:tcBorders>
              <w:top w:val="nil"/>
              <w:left w:val="nil"/>
              <w:bottom w:val="single" w:sz="4" w:space="0" w:color="auto"/>
              <w:right w:val="single" w:sz="4" w:space="0" w:color="auto"/>
            </w:tcBorders>
            <w:shd w:val="clear" w:color="auto" w:fill="auto"/>
            <w:noWrap/>
            <w:vAlign w:val="bottom"/>
            <w:hideMark/>
          </w:tcPr>
          <w:p w14:paraId="207E5033"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34 (34%)</w:t>
            </w:r>
          </w:p>
        </w:tc>
        <w:tc>
          <w:tcPr>
            <w:tcW w:w="802" w:type="dxa"/>
            <w:tcBorders>
              <w:top w:val="nil"/>
              <w:left w:val="nil"/>
              <w:bottom w:val="single" w:sz="4" w:space="0" w:color="auto"/>
              <w:right w:val="single" w:sz="4" w:space="0" w:color="auto"/>
            </w:tcBorders>
            <w:shd w:val="clear" w:color="auto" w:fill="auto"/>
            <w:noWrap/>
            <w:vAlign w:val="bottom"/>
            <w:hideMark/>
          </w:tcPr>
          <w:p w14:paraId="28D76B87"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c>
          <w:tcPr>
            <w:tcW w:w="1228" w:type="dxa"/>
            <w:tcBorders>
              <w:top w:val="nil"/>
              <w:left w:val="nil"/>
              <w:bottom w:val="single" w:sz="4" w:space="0" w:color="auto"/>
              <w:right w:val="single" w:sz="4" w:space="0" w:color="auto"/>
            </w:tcBorders>
            <w:shd w:val="clear" w:color="auto" w:fill="auto"/>
            <w:noWrap/>
            <w:vAlign w:val="bottom"/>
            <w:hideMark/>
          </w:tcPr>
          <w:p w14:paraId="6B44D9F4"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70 (63%)</w:t>
            </w:r>
          </w:p>
        </w:tc>
        <w:tc>
          <w:tcPr>
            <w:tcW w:w="1195" w:type="dxa"/>
            <w:tcBorders>
              <w:top w:val="nil"/>
              <w:left w:val="nil"/>
              <w:bottom w:val="single" w:sz="4" w:space="0" w:color="auto"/>
              <w:right w:val="single" w:sz="4" w:space="0" w:color="auto"/>
            </w:tcBorders>
            <w:shd w:val="clear" w:color="auto" w:fill="auto"/>
            <w:noWrap/>
            <w:vAlign w:val="bottom"/>
            <w:hideMark/>
          </w:tcPr>
          <w:p w14:paraId="4B6A6385"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37 (39%)</w:t>
            </w:r>
          </w:p>
        </w:tc>
        <w:tc>
          <w:tcPr>
            <w:tcW w:w="851" w:type="dxa"/>
            <w:tcBorders>
              <w:top w:val="nil"/>
              <w:left w:val="nil"/>
              <w:bottom w:val="single" w:sz="4" w:space="0" w:color="auto"/>
              <w:right w:val="single" w:sz="4" w:space="0" w:color="auto"/>
            </w:tcBorders>
            <w:shd w:val="clear" w:color="auto" w:fill="auto"/>
            <w:noWrap/>
            <w:vAlign w:val="bottom"/>
            <w:hideMark/>
          </w:tcPr>
          <w:p w14:paraId="4B78C526"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r>
      <w:tr w:rsidR="00F363DA" w:rsidRPr="00813425" w14:paraId="66101164" w14:textId="77777777" w:rsidTr="00325727">
        <w:trPr>
          <w:trHeight w:val="230"/>
        </w:trPr>
        <w:tc>
          <w:tcPr>
            <w:tcW w:w="3098" w:type="dxa"/>
            <w:tcBorders>
              <w:top w:val="nil"/>
              <w:left w:val="single" w:sz="4" w:space="0" w:color="auto"/>
              <w:bottom w:val="single" w:sz="4" w:space="0" w:color="auto"/>
              <w:right w:val="single" w:sz="4" w:space="0" w:color="auto"/>
            </w:tcBorders>
            <w:shd w:val="clear" w:color="auto" w:fill="auto"/>
            <w:noWrap/>
            <w:vAlign w:val="bottom"/>
            <w:hideMark/>
          </w:tcPr>
          <w:p w14:paraId="199C4289" w14:textId="77777777" w:rsidR="00F363DA" w:rsidRPr="00813425" w:rsidRDefault="00F363DA" w:rsidP="00F363DA">
            <w:pPr>
              <w:spacing w:after="0" w:line="240" w:lineRule="auto"/>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Socio-economic status, %</w:t>
            </w:r>
          </w:p>
        </w:tc>
        <w:tc>
          <w:tcPr>
            <w:tcW w:w="1228" w:type="dxa"/>
            <w:tcBorders>
              <w:top w:val="nil"/>
              <w:left w:val="nil"/>
              <w:bottom w:val="single" w:sz="4" w:space="0" w:color="auto"/>
              <w:right w:val="single" w:sz="4" w:space="0" w:color="auto"/>
            </w:tcBorders>
            <w:shd w:val="clear" w:color="auto" w:fill="auto"/>
            <w:noWrap/>
            <w:vAlign w:val="bottom"/>
            <w:hideMark/>
          </w:tcPr>
          <w:p w14:paraId="1AB147AE"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c>
          <w:tcPr>
            <w:tcW w:w="1096" w:type="dxa"/>
            <w:tcBorders>
              <w:top w:val="nil"/>
              <w:left w:val="nil"/>
              <w:bottom w:val="single" w:sz="4" w:space="0" w:color="auto"/>
              <w:right w:val="single" w:sz="4" w:space="0" w:color="auto"/>
            </w:tcBorders>
            <w:shd w:val="clear" w:color="auto" w:fill="auto"/>
            <w:noWrap/>
            <w:vAlign w:val="bottom"/>
            <w:hideMark/>
          </w:tcPr>
          <w:p w14:paraId="1E17A3BF"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c>
          <w:tcPr>
            <w:tcW w:w="802" w:type="dxa"/>
            <w:tcBorders>
              <w:top w:val="nil"/>
              <w:left w:val="nil"/>
              <w:bottom w:val="single" w:sz="4" w:space="0" w:color="auto"/>
              <w:right w:val="single" w:sz="4" w:space="0" w:color="auto"/>
            </w:tcBorders>
            <w:shd w:val="clear" w:color="auto" w:fill="auto"/>
            <w:noWrap/>
            <w:vAlign w:val="bottom"/>
            <w:hideMark/>
          </w:tcPr>
          <w:p w14:paraId="0BF19F72"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xml:space="preserve"> 0.009</w:t>
            </w:r>
          </w:p>
        </w:tc>
        <w:tc>
          <w:tcPr>
            <w:tcW w:w="1228" w:type="dxa"/>
            <w:tcBorders>
              <w:top w:val="nil"/>
              <w:left w:val="nil"/>
              <w:bottom w:val="single" w:sz="4" w:space="0" w:color="auto"/>
              <w:right w:val="single" w:sz="4" w:space="0" w:color="auto"/>
            </w:tcBorders>
            <w:shd w:val="clear" w:color="auto" w:fill="auto"/>
            <w:noWrap/>
            <w:vAlign w:val="bottom"/>
            <w:hideMark/>
          </w:tcPr>
          <w:p w14:paraId="4F7E8FB6"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c>
          <w:tcPr>
            <w:tcW w:w="1195" w:type="dxa"/>
            <w:tcBorders>
              <w:top w:val="nil"/>
              <w:left w:val="nil"/>
              <w:bottom w:val="single" w:sz="4" w:space="0" w:color="auto"/>
              <w:right w:val="single" w:sz="4" w:space="0" w:color="auto"/>
            </w:tcBorders>
            <w:shd w:val="clear" w:color="auto" w:fill="auto"/>
            <w:noWrap/>
            <w:vAlign w:val="bottom"/>
            <w:hideMark/>
          </w:tcPr>
          <w:p w14:paraId="455C14E8"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c>
          <w:tcPr>
            <w:tcW w:w="851" w:type="dxa"/>
            <w:tcBorders>
              <w:top w:val="nil"/>
              <w:left w:val="nil"/>
              <w:bottom w:val="single" w:sz="4" w:space="0" w:color="auto"/>
              <w:right w:val="single" w:sz="4" w:space="0" w:color="auto"/>
            </w:tcBorders>
            <w:shd w:val="clear" w:color="auto" w:fill="auto"/>
            <w:noWrap/>
            <w:vAlign w:val="bottom"/>
            <w:hideMark/>
          </w:tcPr>
          <w:p w14:paraId="789ACF4F"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xml:space="preserve"> 0.077</w:t>
            </w:r>
          </w:p>
        </w:tc>
      </w:tr>
      <w:tr w:rsidR="00F363DA" w:rsidRPr="00813425" w14:paraId="60245768" w14:textId="77777777" w:rsidTr="00325727">
        <w:trPr>
          <w:trHeight w:val="230"/>
        </w:trPr>
        <w:tc>
          <w:tcPr>
            <w:tcW w:w="3098" w:type="dxa"/>
            <w:tcBorders>
              <w:top w:val="nil"/>
              <w:left w:val="single" w:sz="4" w:space="0" w:color="auto"/>
              <w:bottom w:val="single" w:sz="4" w:space="0" w:color="auto"/>
              <w:right w:val="single" w:sz="4" w:space="0" w:color="auto"/>
            </w:tcBorders>
            <w:shd w:val="clear" w:color="auto" w:fill="auto"/>
            <w:noWrap/>
            <w:vAlign w:val="bottom"/>
            <w:hideMark/>
          </w:tcPr>
          <w:p w14:paraId="117827BC" w14:textId="77777777" w:rsidR="00F363DA" w:rsidRPr="00813425" w:rsidRDefault="00F363DA" w:rsidP="00F363DA">
            <w:pPr>
              <w:spacing w:after="0" w:line="240" w:lineRule="auto"/>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xml:space="preserve">   Low, Tertile 1</w:t>
            </w:r>
          </w:p>
        </w:tc>
        <w:tc>
          <w:tcPr>
            <w:tcW w:w="1228" w:type="dxa"/>
            <w:tcBorders>
              <w:top w:val="nil"/>
              <w:left w:val="nil"/>
              <w:bottom w:val="single" w:sz="4" w:space="0" w:color="auto"/>
              <w:right w:val="single" w:sz="4" w:space="0" w:color="auto"/>
            </w:tcBorders>
            <w:shd w:val="clear" w:color="auto" w:fill="auto"/>
            <w:noWrap/>
            <w:vAlign w:val="bottom"/>
            <w:hideMark/>
          </w:tcPr>
          <w:p w14:paraId="49991B2F"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28 (25%)</w:t>
            </w:r>
          </w:p>
        </w:tc>
        <w:tc>
          <w:tcPr>
            <w:tcW w:w="1096" w:type="dxa"/>
            <w:tcBorders>
              <w:top w:val="nil"/>
              <w:left w:val="nil"/>
              <w:bottom w:val="single" w:sz="4" w:space="0" w:color="auto"/>
              <w:right w:val="single" w:sz="4" w:space="0" w:color="auto"/>
            </w:tcBorders>
            <w:shd w:val="clear" w:color="auto" w:fill="auto"/>
            <w:noWrap/>
            <w:vAlign w:val="bottom"/>
            <w:hideMark/>
          </w:tcPr>
          <w:p w14:paraId="11B4A348"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43 (43%)</w:t>
            </w:r>
          </w:p>
        </w:tc>
        <w:tc>
          <w:tcPr>
            <w:tcW w:w="802" w:type="dxa"/>
            <w:tcBorders>
              <w:top w:val="nil"/>
              <w:left w:val="nil"/>
              <w:bottom w:val="single" w:sz="4" w:space="0" w:color="auto"/>
              <w:right w:val="single" w:sz="4" w:space="0" w:color="auto"/>
            </w:tcBorders>
            <w:shd w:val="clear" w:color="auto" w:fill="auto"/>
            <w:noWrap/>
            <w:vAlign w:val="bottom"/>
            <w:hideMark/>
          </w:tcPr>
          <w:p w14:paraId="59E8C664"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c>
          <w:tcPr>
            <w:tcW w:w="1228" w:type="dxa"/>
            <w:tcBorders>
              <w:top w:val="nil"/>
              <w:left w:val="nil"/>
              <w:bottom w:val="single" w:sz="4" w:space="0" w:color="auto"/>
              <w:right w:val="single" w:sz="4" w:space="0" w:color="auto"/>
            </w:tcBorders>
            <w:shd w:val="clear" w:color="auto" w:fill="auto"/>
            <w:noWrap/>
            <w:vAlign w:val="bottom"/>
            <w:hideMark/>
          </w:tcPr>
          <w:p w14:paraId="520FBDDF"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32 (29%)</w:t>
            </w:r>
          </w:p>
        </w:tc>
        <w:tc>
          <w:tcPr>
            <w:tcW w:w="1195" w:type="dxa"/>
            <w:tcBorders>
              <w:top w:val="nil"/>
              <w:left w:val="nil"/>
              <w:bottom w:val="single" w:sz="4" w:space="0" w:color="auto"/>
              <w:right w:val="single" w:sz="4" w:space="0" w:color="auto"/>
            </w:tcBorders>
            <w:shd w:val="clear" w:color="auto" w:fill="auto"/>
            <w:noWrap/>
            <w:vAlign w:val="bottom"/>
            <w:hideMark/>
          </w:tcPr>
          <w:p w14:paraId="40F40228"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40 (42%)</w:t>
            </w:r>
          </w:p>
        </w:tc>
        <w:tc>
          <w:tcPr>
            <w:tcW w:w="851" w:type="dxa"/>
            <w:tcBorders>
              <w:top w:val="nil"/>
              <w:left w:val="nil"/>
              <w:bottom w:val="single" w:sz="4" w:space="0" w:color="auto"/>
              <w:right w:val="single" w:sz="4" w:space="0" w:color="auto"/>
            </w:tcBorders>
            <w:shd w:val="clear" w:color="auto" w:fill="auto"/>
            <w:noWrap/>
            <w:vAlign w:val="bottom"/>
            <w:hideMark/>
          </w:tcPr>
          <w:p w14:paraId="6C0392D1"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r>
      <w:tr w:rsidR="00F363DA" w:rsidRPr="00813425" w14:paraId="2B0D85CE" w14:textId="77777777" w:rsidTr="00325727">
        <w:trPr>
          <w:trHeight w:val="230"/>
        </w:trPr>
        <w:tc>
          <w:tcPr>
            <w:tcW w:w="3098" w:type="dxa"/>
            <w:tcBorders>
              <w:top w:val="nil"/>
              <w:left w:val="single" w:sz="4" w:space="0" w:color="auto"/>
              <w:bottom w:val="single" w:sz="4" w:space="0" w:color="auto"/>
              <w:right w:val="single" w:sz="4" w:space="0" w:color="auto"/>
            </w:tcBorders>
            <w:shd w:val="clear" w:color="auto" w:fill="auto"/>
            <w:noWrap/>
            <w:vAlign w:val="bottom"/>
            <w:hideMark/>
          </w:tcPr>
          <w:p w14:paraId="6D3A17CE" w14:textId="77777777" w:rsidR="00F363DA" w:rsidRPr="00813425" w:rsidRDefault="00F363DA" w:rsidP="00F363DA">
            <w:pPr>
              <w:spacing w:after="0" w:line="240" w:lineRule="auto"/>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xml:space="preserve">   Middle, Tertile 2</w:t>
            </w:r>
          </w:p>
        </w:tc>
        <w:tc>
          <w:tcPr>
            <w:tcW w:w="1228" w:type="dxa"/>
            <w:tcBorders>
              <w:top w:val="nil"/>
              <w:left w:val="nil"/>
              <w:bottom w:val="single" w:sz="4" w:space="0" w:color="auto"/>
              <w:right w:val="single" w:sz="4" w:space="0" w:color="auto"/>
            </w:tcBorders>
            <w:shd w:val="clear" w:color="auto" w:fill="auto"/>
            <w:noWrap/>
            <w:vAlign w:val="bottom"/>
            <w:hideMark/>
          </w:tcPr>
          <w:p w14:paraId="68B030AC"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36 (32%)</w:t>
            </w:r>
          </w:p>
        </w:tc>
        <w:tc>
          <w:tcPr>
            <w:tcW w:w="1096" w:type="dxa"/>
            <w:tcBorders>
              <w:top w:val="nil"/>
              <w:left w:val="nil"/>
              <w:bottom w:val="single" w:sz="4" w:space="0" w:color="auto"/>
              <w:right w:val="single" w:sz="4" w:space="0" w:color="auto"/>
            </w:tcBorders>
            <w:shd w:val="clear" w:color="auto" w:fill="auto"/>
            <w:noWrap/>
            <w:vAlign w:val="bottom"/>
            <w:hideMark/>
          </w:tcPr>
          <w:p w14:paraId="4A48139F"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30 (30%)</w:t>
            </w:r>
          </w:p>
        </w:tc>
        <w:tc>
          <w:tcPr>
            <w:tcW w:w="802" w:type="dxa"/>
            <w:tcBorders>
              <w:top w:val="nil"/>
              <w:left w:val="nil"/>
              <w:bottom w:val="single" w:sz="4" w:space="0" w:color="auto"/>
              <w:right w:val="single" w:sz="4" w:space="0" w:color="auto"/>
            </w:tcBorders>
            <w:shd w:val="clear" w:color="auto" w:fill="auto"/>
            <w:noWrap/>
            <w:vAlign w:val="bottom"/>
            <w:hideMark/>
          </w:tcPr>
          <w:p w14:paraId="4A258C22"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c>
          <w:tcPr>
            <w:tcW w:w="1228" w:type="dxa"/>
            <w:tcBorders>
              <w:top w:val="nil"/>
              <w:left w:val="nil"/>
              <w:bottom w:val="single" w:sz="4" w:space="0" w:color="auto"/>
              <w:right w:val="single" w:sz="4" w:space="0" w:color="auto"/>
            </w:tcBorders>
            <w:shd w:val="clear" w:color="auto" w:fill="auto"/>
            <w:noWrap/>
            <w:vAlign w:val="bottom"/>
            <w:hideMark/>
          </w:tcPr>
          <w:p w14:paraId="1D7DD83C"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37 (33%)</w:t>
            </w:r>
          </w:p>
        </w:tc>
        <w:tc>
          <w:tcPr>
            <w:tcW w:w="1195" w:type="dxa"/>
            <w:tcBorders>
              <w:top w:val="nil"/>
              <w:left w:val="nil"/>
              <w:bottom w:val="single" w:sz="4" w:space="0" w:color="auto"/>
              <w:right w:val="single" w:sz="4" w:space="0" w:color="auto"/>
            </w:tcBorders>
            <w:shd w:val="clear" w:color="auto" w:fill="auto"/>
            <w:noWrap/>
            <w:vAlign w:val="bottom"/>
            <w:hideMark/>
          </w:tcPr>
          <w:p w14:paraId="7FDD2E24"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31 (33%)</w:t>
            </w:r>
          </w:p>
        </w:tc>
        <w:tc>
          <w:tcPr>
            <w:tcW w:w="851" w:type="dxa"/>
            <w:tcBorders>
              <w:top w:val="nil"/>
              <w:left w:val="nil"/>
              <w:bottom w:val="single" w:sz="4" w:space="0" w:color="auto"/>
              <w:right w:val="single" w:sz="4" w:space="0" w:color="auto"/>
            </w:tcBorders>
            <w:shd w:val="clear" w:color="auto" w:fill="auto"/>
            <w:noWrap/>
            <w:vAlign w:val="bottom"/>
            <w:hideMark/>
          </w:tcPr>
          <w:p w14:paraId="63400BB2"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r>
      <w:tr w:rsidR="00F363DA" w:rsidRPr="00813425" w14:paraId="547D29BE" w14:textId="77777777" w:rsidTr="00325727">
        <w:trPr>
          <w:trHeight w:val="230"/>
        </w:trPr>
        <w:tc>
          <w:tcPr>
            <w:tcW w:w="3098" w:type="dxa"/>
            <w:tcBorders>
              <w:top w:val="nil"/>
              <w:left w:val="single" w:sz="4" w:space="0" w:color="auto"/>
              <w:bottom w:val="single" w:sz="4" w:space="0" w:color="auto"/>
              <w:right w:val="single" w:sz="4" w:space="0" w:color="auto"/>
            </w:tcBorders>
            <w:shd w:val="clear" w:color="auto" w:fill="auto"/>
            <w:noWrap/>
            <w:vAlign w:val="bottom"/>
            <w:hideMark/>
          </w:tcPr>
          <w:p w14:paraId="40D2F705" w14:textId="77777777" w:rsidR="00F363DA" w:rsidRPr="00813425" w:rsidRDefault="00F363DA" w:rsidP="00F363DA">
            <w:pPr>
              <w:spacing w:after="0" w:line="240" w:lineRule="auto"/>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xml:space="preserve">   High, Tertile 3</w:t>
            </w:r>
          </w:p>
        </w:tc>
        <w:tc>
          <w:tcPr>
            <w:tcW w:w="1228" w:type="dxa"/>
            <w:tcBorders>
              <w:top w:val="nil"/>
              <w:left w:val="nil"/>
              <w:bottom w:val="single" w:sz="4" w:space="0" w:color="auto"/>
              <w:right w:val="single" w:sz="4" w:space="0" w:color="auto"/>
            </w:tcBorders>
            <w:shd w:val="clear" w:color="auto" w:fill="auto"/>
            <w:noWrap/>
            <w:vAlign w:val="bottom"/>
            <w:hideMark/>
          </w:tcPr>
          <w:p w14:paraId="785B43B8"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49 (43%)</w:t>
            </w:r>
          </w:p>
        </w:tc>
        <w:tc>
          <w:tcPr>
            <w:tcW w:w="1096" w:type="dxa"/>
            <w:tcBorders>
              <w:top w:val="nil"/>
              <w:left w:val="nil"/>
              <w:bottom w:val="single" w:sz="4" w:space="0" w:color="auto"/>
              <w:right w:val="single" w:sz="4" w:space="0" w:color="auto"/>
            </w:tcBorders>
            <w:shd w:val="clear" w:color="auto" w:fill="auto"/>
            <w:noWrap/>
            <w:vAlign w:val="bottom"/>
            <w:hideMark/>
          </w:tcPr>
          <w:p w14:paraId="6041DFEE"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27 (27%)</w:t>
            </w:r>
          </w:p>
        </w:tc>
        <w:tc>
          <w:tcPr>
            <w:tcW w:w="802" w:type="dxa"/>
            <w:tcBorders>
              <w:top w:val="nil"/>
              <w:left w:val="nil"/>
              <w:bottom w:val="single" w:sz="4" w:space="0" w:color="auto"/>
              <w:right w:val="single" w:sz="4" w:space="0" w:color="auto"/>
            </w:tcBorders>
            <w:shd w:val="clear" w:color="auto" w:fill="auto"/>
            <w:noWrap/>
            <w:vAlign w:val="bottom"/>
            <w:hideMark/>
          </w:tcPr>
          <w:p w14:paraId="5A38917D"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c>
          <w:tcPr>
            <w:tcW w:w="1228" w:type="dxa"/>
            <w:tcBorders>
              <w:top w:val="nil"/>
              <w:left w:val="nil"/>
              <w:bottom w:val="single" w:sz="4" w:space="0" w:color="auto"/>
              <w:right w:val="single" w:sz="4" w:space="0" w:color="auto"/>
            </w:tcBorders>
            <w:shd w:val="clear" w:color="auto" w:fill="auto"/>
            <w:noWrap/>
            <w:vAlign w:val="bottom"/>
            <w:hideMark/>
          </w:tcPr>
          <w:p w14:paraId="4732550E"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42 (38%)</w:t>
            </w:r>
          </w:p>
        </w:tc>
        <w:tc>
          <w:tcPr>
            <w:tcW w:w="1195" w:type="dxa"/>
            <w:tcBorders>
              <w:top w:val="nil"/>
              <w:left w:val="nil"/>
              <w:bottom w:val="single" w:sz="4" w:space="0" w:color="auto"/>
              <w:right w:val="single" w:sz="4" w:space="0" w:color="auto"/>
            </w:tcBorders>
            <w:shd w:val="clear" w:color="auto" w:fill="auto"/>
            <w:noWrap/>
            <w:vAlign w:val="bottom"/>
            <w:hideMark/>
          </w:tcPr>
          <w:p w14:paraId="70F5E275"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24 (25%)</w:t>
            </w:r>
          </w:p>
        </w:tc>
        <w:tc>
          <w:tcPr>
            <w:tcW w:w="851" w:type="dxa"/>
            <w:tcBorders>
              <w:top w:val="nil"/>
              <w:left w:val="nil"/>
              <w:bottom w:val="single" w:sz="4" w:space="0" w:color="auto"/>
              <w:right w:val="single" w:sz="4" w:space="0" w:color="auto"/>
            </w:tcBorders>
            <w:shd w:val="clear" w:color="auto" w:fill="auto"/>
            <w:noWrap/>
            <w:vAlign w:val="bottom"/>
            <w:hideMark/>
          </w:tcPr>
          <w:p w14:paraId="23FDA3AF"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r>
      <w:tr w:rsidR="00F363DA" w:rsidRPr="00813425" w14:paraId="7E42A13B" w14:textId="77777777" w:rsidTr="00325727">
        <w:trPr>
          <w:trHeight w:val="230"/>
        </w:trPr>
        <w:tc>
          <w:tcPr>
            <w:tcW w:w="3098" w:type="dxa"/>
            <w:tcBorders>
              <w:top w:val="nil"/>
              <w:left w:val="single" w:sz="4" w:space="0" w:color="auto"/>
              <w:bottom w:val="single" w:sz="4" w:space="0" w:color="auto"/>
              <w:right w:val="single" w:sz="4" w:space="0" w:color="auto"/>
            </w:tcBorders>
            <w:shd w:val="clear" w:color="auto" w:fill="auto"/>
            <w:noWrap/>
            <w:vAlign w:val="bottom"/>
            <w:hideMark/>
          </w:tcPr>
          <w:p w14:paraId="60B74E90" w14:textId="77777777" w:rsidR="00F363DA" w:rsidRPr="00813425" w:rsidRDefault="00F363DA" w:rsidP="00F363DA">
            <w:pPr>
              <w:spacing w:after="0" w:line="240" w:lineRule="auto"/>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Orphanhood, %</w:t>
            </w:r>
          </w:p>
        </w:tc>
        <w:tc>
          <w:tcPr>
            <w:tcW w:w="1228" w:type="dxa"/>
            <w:tcBorders>
              <w:top w:val="nil"/>
              <w:left w:val="nil"/>
              <w:bottom w:val="single" w:sz="4" w:space="0" w:color="auto"/>
              <w:right w:val="single" w:sz="4" w:space="0" w:color="auto"/>
            </w:tcBorders>
            <w:shd w:val="clear" w:color="auto" w:fill="auto"/>
            <w:noWrap/>
            <w:vAlign w:val="bottom"/>
            <w:hideMark/>
          </w:tcPr>
          <w:p w14:paraId="734DE3C5"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c>
          <w:tcPr>
            <w:tcW w:w="1096" w:type="dxa"/>
            <w:tcBorders>
              <w:top w:val="nil"/>
              <w:left w:val="nil"/>
              <w:bottom w:val="single" w:sz="4" w:space="0" w:color="auto"/>
              <w:right w:val="single" w:sz="4" w:space="0" w:color="auto"/>
            </w:tcBorders>
            <w:shd w:val="clear" w:color="auto" w:fill="auto"/>
            <w:noWrap/>
            <w:vAlign w:val="bottom"/>
            <w:hideMark/>
          </w:tcPr>
          <w:p w14:paraId="0E27E745"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c>
          <w:tcPr>
            <w:tcW w:w="802" w:type="dxa"/>
            <w:tcBorders>
              <w:top w:val="nil"/>
              <w:left w:val="nil"/>
              <w:bottom w:val="single" w:sz="4" w:space="0" w:color="auto"/>
              <w:right w:val="single" w:sz="4" w:space="0" w:color="auto"/>
            </w:tcBorders>
            <w:shd w:val="clear" w:color="auto" w:fill="auto"/>
            <w:noWrap/>
            <w:vAlign w:val="bottom"/>
            <w:hideMark/>
          </w:tcPr>
          <w:p w14:paraId="2BDFE85B"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&lt;0.001</w:t>
            </w:r>
          </w:p>
        </w:tc>
        <w:tc>
          <w:tcPr>
            <w:tcW w:w="1228" w:type="dxa"/>
            <w:tcBorders>
              <w:top w:val="nil"/>
              <w:left w:val="nil"/>
              <w:bottom w:val="single" w:sz="4" w:space="0" w:color="auto"/>
              <w:right w:val="single" w:sz="4" w:space="0" w:color="auto"/>
            </w:tcBorders>
            <w:shd w:val="clear" w:color="auto" w:fill="auto"/>
            <w:noWrap/>
            <w:vAlign w:val="bottom"/>
            <w:hideMark/>
          </w:tcPr>
          <w:p w14:paraId="47E1BDEE"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c>
          <w:tcPr>
            <w:tcW w:w="1195" w:type="dxa"/>
            <w:tcBorders>
              <w:top w:val="nil"/>
              <w:left w:val="nil"/>
              <w:bottom w:val="single" w:sz="4" w:space="0" w:color="auto"/>
              <w:right w:val="single" w:sz="4" w:space="0" w:color="auto"/>
            </w:tcBorders>
            <w:shd w:val="clear" w:color="auto" w:fill="auto"/>
            <w:noWrap/>
            <w:vAlign w:val="bottom"/>
            <w:hideMark/>
          </w:tcPr>
          <w:p w14:paraId="3A402941"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c>
          <w:tcPr>
            <w:tcW w:w="851" w:type="dxa"/>
            <w:tcBorders>
              <w:top w:val="nil"/>
              <w:left w:val="nil"/>
              <w:bottom w:val="single" w:sz="4" w:space="0" w:color="auto"/>
              <w:right w:val="single" w:sz="4" w:space="0" w:color="auto"/>
            </w:tcBorders>
            <w:shd w:val="clear" w:color="auto" w:fill="auto"/>
            <w:noWrap/>
            <w:vAlign w:val="bottom"/>
            <w:hideMark/>
          </w:tcPr>
          <w:p w14:paraId="4A7B7BA1"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&lt;0.001</w:t>
            </w:r>
          </w:p>
        </w:tc>
      </w:tr>
      <w:tr w:rsidR="00F363DA" w:rsidRPr="00813425" w14:paraId="514F0099" w14:textId="77777777" w:rsidTr="00325727">
        <w:trPr>
          <w:trHeight w:val="230"/>
        </w:trPr>
        <w:tc>
          <w:tcPr>
            <w:tcW w:w="3098" w:type="dxa"/>
            <w:tcBorders>
              <w:top w:val="nil"/>
              <w:left w:val="single" w:sz="4" w:space="0" w:color="auto"/>
              <w:bottom w:val="single" w:sz="4" w:space="0" w:color="auto"/>
              <w:right w:val="single" w:sz="4" w:space="0" w:color="auto"/>
            </w:tcBorders>
            <w:shd w:val="clear" w:color="auto" w:fill="auto"/>
            <w:noWrap/>
            <w:vAlign w:val="bottom"/>
            <w:hideMark/>
          </w:tcPr>
          <w:p w14:paraId="5D305B27" w14:textId="77777777" w:rsidR="00F363DA" w:rsidRPr="00813425" w:rsidRDefault="00F363DA" w:rsidP="00F363DA">
            <w:pPr>
              <w:spacing w:after="0" w:line="240" w:lineRule="auto"/>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xml:space="preserve">   Not an orphan</w:t>
            </w:r>
          </w:p>
        </w:tc>
        <w:tc>
          <w:tcPr>
            <w:tcW w:w="1228" w:type="dxa"/>
            <w:tcBorders>
              <w:top w:val="nil"/>
              <w:left w:val="nil"/>
              <w:bottom w:val="single" w:sz="4" w:space="0" w:color="auto"/>
              <w:right w:val="single" w:sz="4" w:space="0" w:color="auto"/>
            </w:tcBorders>
            <w:shd w:val="clear" w:color="auto" w:fill="auto"/>
            <w:noWrap/>
            <w:vAlign w:val="bottom"/>
            <w:hideMark/>
          </w:tcPr>
          <w:p w14:paraId="2325D7CA"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105 (93%)</w:t>
            </w:r>
          </w:p>
        </w:tc>
        <w:tc>
          <w:tcPr>
            <w:tcW w:w="1096" w:type="dxa"/>
            <w:tcBorders>
              <w:top w:val="nil"/>
              <w:left w:val="nil"/>
              <w:bottom w:val="single" w:sz="4" w:space="0" w:color="auto"/>
              <w:right w:val="single" w:sz="4" w:space="0" w:color="auto"/>
            </w:tcBorders>
            <w:shd w:val="clear" w:color="auto" w:fill="auto"/>
            <w:noWrap/>
            <w:vAlign w:val="bottom"/>
            <w:hideMark/>
          </w:tcPr>
          <w:p w14:paraId="7DD41414"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58 (58%)</w:t>
            </w:r>
          </w:p>
        </w:tc>
        <w:tc>
          <w:tcPr>
            <w:tcW w:w="802" w:type="dxa"/>
            <w:tcBorders>
              <w:top w:val="nil"/>
              <w:left w:val="nil"/>
              <w:bottom w:val="single" w:sz="4" w:space="0" w:color="auto"/>
              <w:right w:val="single" w:sz="4" w:space="0" w:color="auto"/>
            </w:tcBorders>
            <w:shd w:val="clear" w:color="auto" w:fill="auto"/>
            <w:noWrap/>
            <w:vAlign w:val="bottom"/>
            <w:hideMark/>
          </w:tcPr>
          <w:p w14:paraId="4C135035"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c>
          <w:tcPr>
            <w:tcW w:w="1228" w:type="dxa"/>
            <w:tcBorders>
              <w:top w:val="nil"/>
              <w:left w:val="nil"/>
              <w:bottom w:val="single" w:sz="4" w:space="0" w:color="auto"/>
              <w:right w:val="single" w:sz="4" w:space="0" w:color="auto"/>
            </w:tcBorders>
            <w:shd w:val="clear" w:color="auto" w:fill="auto"/>
            <w:noWrap/>
            <w:vAlign w:val="bottom"/>
            <w:hideMark/>
          </w:tcPr>
          <w:p w14:paraId="1BF8CE5C"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105 (95%)</w:t>
            </w:r>
          </w:p>
        </w:tc>
        <w:tc>
          <w:tcPr>
            <w:tcW w:w="1195" w:type="dxa"/>
            <w:tcBorders>
              <w:top w:val="nil"/>
              <w:left w:val="nil"/>
              <w:bottom w:val="single" w:sz="4" w:space="0" w:color="auto"/>
              <w:right w:val="single" w:sz="4" w:space="0" w:color="auto"/>
            </w:tcBorders>
            <w:shd w:val="clear" w:color="auto" w:fill="auto"/>
            <w:noWrap/>
            <w:vAlign w:val="bottom"/>
            <w:hideMark/>
          </w:tcPr>
          <w:p w14:paraId="33114F61"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51 (54%)</w:t>
            </w:r>
          </w:p>
        </w:tc>
        <w:tc>
          <w:tcPr>
            <w:tcW w:w="851" w:type="dxa"/>
            <w:tcBorders>
              <w:top w:val="nil"/>
              <w:left w:val="nil"/>
              <w:bottom w:val="single" w:sz="4" w:space="0" w:color="auto"/>
              <w:right w:val="single" w:sz="4" w:space="0" w:color="auto"/>
            </w:tcBorders>
            <w:shd w:val="clear" w:color="auto" w:fill="auto"/>
            <w:noWrap/>
            <w:vAlign w:val="bottom"/>
            <w:hideMark/>
          </w:tcPr>
          <w:p w14:paraId="3A1EF94E"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r>
      <w:tr w:rsidR="00F363DA" w:rsidRPr="00813425" w14:paraId="13BEF10A" w14:textId="77777777" w:rsidTr="00325727">
        <w:trPr>
          <w:trHeight w:val="230"/>
        </w:trPr>
        <w:tc>
          <w:tcPr>
            <w:tcW w:w="3098" w:type="dxa"/>
            <w:tcBorders>
              <w:top w:val="nil"/>
              <w:left w:val="single" w:sz="4" w:space="0" w:color="auto"/>
              <w:bottom w:val="single" w:sz="4" w:space="0" w:color="auto"/>
              <w:right w:val="single" w:sz="4" w:space="0" w:color="auto"/>
            </w:tcBorders>
            <w:shd w:val="clear" w:color="auto" w:fill="auto"/>
            <w:noWrap/>
            <w:vAlign w:val="bottom"/>
            <w:hideMark/>
          </w:tcPr>
          <w:p w14:paraId="5ED6D090" w14:textId="77777777" w:rsidR="00F363DA" w:rsidRPr="00813425" w:rsidRDefault="00F363DA" w:rsidP="00F363DA">
            <w:pPr>
              <w:spacing w:after="0" w:line="240" w:lineRule="auto"/>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xml:space="preserve">   One parent alive</w:t>
            </w:r>
          </w:p>
        </w:tc>
        <w:tc>
          <w:tcPr>
            <w:tcW w:w="1228" w:type="dxa"/>
            <w:tcBorders>
              <w:top w:val="nil"/>
              <w:left w:val="nil"/>
              <w:bottom w:val="single" w:sz="4" w:space="0" w:color="auto"/>
              <w:right w:val="single" w:sz="4" w:space="0" w:color="auto"/>
            </w:tcBorders>
            <w:shd w:val="clear" w:color="auto" w:fill="auto"/>
            <w:noWrap/>
            <w:vAlign w:val="bottom"/>
            <w:hideMark/>
          </w:tcPr>
          <w:p w14:paraId="720BFC20"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5 (4%)</w:t>
            </w:r>
          </w:p>
        </w:tc>
        <w:tc>
          <w:tcPr>
            <w:tcW w:w="1096" w:type="dxa"/>
            <w:tcBorders>
              <w:top w:val="nil"/>
              <w:left w:val="nil"/>
              <w:bottom w:val="single" w:sz="4" w:space="0" w:color="auto"/>
              <w:right w:val="single" w:sz="4" w:space="0" w:color="auto"/>
            </w:tcBorders>
            <w:shd w:val="clear" w:color="auto" w:fill="auto"/>
            <w:noWrap/>
            <w:vAlign w:val="bottom"/>
            <w:hideMark/>
          </w:tcPr>
          <w:p w14:paraId="50D45355"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36 (36%)</w:t>
            </w:r>
          </w:p>
        </w:tc>
        <w:tc>
          <w:tcPr>
            <w:tcW w:w="802" w:type="dxa"/>
            <w:tcBorders>
              <w:top w:val="nil"/>
              <w:left w:val="nil"/>
              <w:bottom w:val="single" w:sz="4" w:space="0" w:color="auto"/>
              <w:right w:val="single" w:sz="4" w:space="0" w:color="auto"/>
            </w:tcBorders>
            <w:shd w:val="clear" w:color="auto" w:fill="auto"/>
            <w:noWrap/>
            <w:vAlign w:val="bottom"/>
            <w:hideMark/>
          </w:tcPr>
          <w:p w14:paraId="7C8DB985"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c>
          <w:tcPr>
            <w:tcW w:w="1228" w:type="dxa"/>
            <w:tcBorders>
              <w:top w:val="nil"/>
              <w:left w:val="nil"/>
              <w:bottom w:val="single" w:sz="4" w:space="0" w:color="auto"/>
              <w:right w:val="single" w:sz="4" w:space="0" w:color="auto"/>
            </w:tcBorders>
            <w:shd w:val="clear" w:color="auto" w:fill="auto"/>
            <w:noWrap/>
            <w:vAlign w:val="bottom"/>
            <w:hideMark/>
          </w:tcPr>
          <w:p w14:paraId="641314C2"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4 (4%)</w:t>
            </w:r>
          </w:p>
        </w:tc>
        <w:tc>
          <w:tcPr>
            <w:tcW w:w="1195" w:type="dxa"/>
            <w:tcBorders>
              <w:top w:val="nil"/>
              <w:left w:val="nil"/>
              <w:bottom w:val="single" w:sz="4" w:space="0" w:color="auto"/>
              <w:right w:val="single" w:sz="4" w:space="0" w:color="auto"/>
            </w:tcBorders>
            <w:shd w:val="clear" w:color="auto" w:fill="auto"/>
            <w:noWrap/>
            <w:vAlign w:val="bottom"/>
            <w:hideMark/>
          </w:tcPr>
          <w:p w14:paraId="4B10309D"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36 (38%)</w:t>
            </w:r>
          </w:p>
        </w:tc>
        <w:tc>
          <w:tcPr>
            <w:tcW w:w="851" w:type="dxa"/>
            <w:tcBorders>
              <w:top w:val="nil"/>
              <w:left w:val="nil"/>
              <w:bottom w:val="single" w:sz="4" w:space="0" w:color="auto"/>
              <w:right w:val="single" w:sz="4" w:space="0" w:color="auto"/>
            </w:tcBorders>
            <w:shd w:val="clear" w:color="auto" w:fill="auto"/>
            <w:noWrap/>
            <w:vAlign w:val="bottom"/>
            <w:hideMark/>
          </w:tcPr>
          <w:p w14:paraId="4725E495"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r>
      <w:tr w:rsidR="00F363DA" w:rsidRPr="00813425" w14:paraId="38096316" w14:textId="77777777" w:rsidTr="00325727">
        <w:trPr>
          <w:trHeight w:val="230"/>
        </w:trPr>
        <w:tc>
          <w:tcPr>
            <w:tcW w:w="3098" w:type="dxa"/>
            <w:tcBorders>
              <w:top w:val="nil"/>
              <w:left w:val="single" w:sz="4" w:space="0" w:color="auto"/>
              <w:bottom w:val="single" w:sz="4" w:space="0" w:color="auto"/>
              <w:right w:val="single" w:sz="4" w:space="0" w:color="auto"/>
            </w:tcBorders>
            <w:shd w:val="clear" w:color="auto" w:fill="auto"/>
            <w:noWrap/>
            <w:vAlign w:val="bottom"/>
            <w:hideMark/>
          </w:tcPr>
          <w:p w14:paraId="1F31B5FF" w14:textId="77777777" w:rsidR="00F363DA" w:rsidRPr="00813425" w:rsidRDefault="00F363DA" w:rsidP="00F363DA">
            <w:pPr>
              <w:spacing w:after="0" w:line="240" w:lineRule="auto"/>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xml:space="preserve">   Orphan</w:t>
            </w:r>
          </w:p>
        </w:tc>
        <w:tc>
          <w:tcPr>
            <w:tcW w:w="1228" w:type="dxa"/>
            <w:tcBorders>
              <w:top w:val="nil"/>
              <w:left w:val="nil"/>
              <w:bottom w:val="single" w:sz="4" w:space="0" w:color="auto"/>
              <w:right w:val="single" w:sz="4" w:space="0" w:color="auto"/>
            </w:tcBorders>
            <w:shd w:val="clear" w:color="auto" w:fill="auto"/>
            <w:noWrap/>
            <w:vAlign w:val="bottom"/>
            <w:hideMark/>
          </w:tcPr>
          <w:p w14:paraId="511FB54D"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3 (3%)</w:t>
            </w:r>
          </w:p>
        </w:tc>
        <w:tc>
          <w:tcPr>
            <w:tcW w:w="1096" w:type="dxa"/>
            <w:tcBorders>
              <w:top w:val="nil"/>
              <w:left w:val="nil"/>
              <w:bottom w:val="single" w:sz="4" w:space="0" w:color="auto"/>
              <w:right w:val="single" w:sz="4" w:space="0" w:color="auto"/>
            </w:tcBorders>
            <w:shd w:val="clear" w:color="auto" w:fill="auto"/>
            <w:noWrap/>
            <w:vAlign w:val="bottom"/>
            <w:hideMark/>
          </w:tcPr>
          <w:p w14:paraId="487B379E"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6 (6%)</w:t>
            </w:r>
          </w:p>
        </w:tc>
        <w:tc>
          <w:tcPr>
            <w:tcW w:w="802" w:type="dxa"/>
            <w:tcBorders>
              <w:top w:val="nil"/>
              <w:left w:val="nil"/>
              <w:bottom w:val="single" w:sz="4" w:space="0" w:color="auto"/>
              <w:right w:val="single" w:sz="4" w:space="0" w:color="auto"/>
            </w:tcBorders>
            <w:shd w:val="clear" w:color="auto" w:fill="auto"/>
            <w:noWrap/>
            <w:vAlign w:val="bottom"/>
            <w:hideMark/>
          </w:tcPr>
          <w:p w14:paraId="3A1190C6"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c>
          <w:tcPr>
            <w:tcW w:w="1228" w:type="dxa"/>
            <w:tcBorders>
              <w:top w:val="nil"/>
              <w:left w:val="nil"/>
              <w:bottom w:val="single" w:sz="4" w:space="0" w:color="auto"/>
              <w:right w:val="single" w:sz="4" w:space="0" w:color="auto"/>
            </w:tcBorders>
            <w:shd w:val="clear" w:color="auto" w:fill="auto"/>
            <w:noWrap/>
            <w:vAlign w:val="bottom"/>
            <w:hideMark/>
          </w:tcPr>
          <w:p w14:paraId="4EEBD6BE"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2 (2%)</w:t>
            </w:r>
          </w:p>
        </w:tc>
        <w:tc>
          <w:tcPr>
            <w:tcW w:w="1195" w:type="dxa"/>
            <w:tcBorders>
              <w:top w:val="nil"/>
              <w:left w:val="nil"/>
              <w:bottom w:val="single" w:sz="4" w:space="0" w:color="auto"/>
              <w:right w:val="single" w:sz="4" w:space="0" w:color="auto"/>
            </w:tcBorders>
            <w:shd w:val="clear" w:color="auto" w:fill="auto"/>
            <w:noWrap/>
            <w:vAlign w:val="bottom"/>
            <w:hideMark/>
          </w:tcPr>
          <w:p w14:paraId="489A168F"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8 (8%)</w:t>
            </w:r>
          </w:p>
        </w:tc>
        <w:tc>
          <w:tcPr>
            <w:tcW w:w="851" w:type="dxa"/>
            <w:tcBorders>
              <w:top w:val="nil"/>
              <w:left w:val="nil"/>
              <w:bottom w:val="single" w:sz="4" w:space="0" w:color="auto"/>
              <w:right w:val="single" w:sz="4" w:space="0" w:color="auto"/>
            </w:tcBorders>
            <w:shd w:val="clear" w:color="auto" w:fill="auto"/>
            <w:noWrap/>
            <w:vAlign w:val="bottom"/>
            <w:hideMark/>
          </w:tcPr>
          <w:p w14:paraId="5A603620"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r>
      <w:tr w:rsidR="00F363DA" w:rsidRPr="00813425" w14:paraId="034F48E6" w14:textId="77777777" w:rsidTr="00325727">
        <w:trPr>
          <w:trHeight w:val="230"/>
        </w:trPr>
        <w:tc>
          <w:tcPr>
            <w:tcW w:w="3098" w:type="dxa"/>
            <w:tcBorders>
              <w:top w:val="nil"/>
              <w:left w:val="single" w:sz="4" w:space="0" w:color="auto"/>
              <w:bottom w:val="single" w:sz="4" w:space="0" w:color="auto"/>
              <w:right w:val="single" w:sz="4" w:space="0" w:color="auto"/>
            </w:tcBorders>
            <w:shd w:val="clear" w:color="auto" w:fill="auto"/>
            <w:noWrap/>
            <w:vAlign w:val="bottom"/>
            <w:hideMark/>
          </w:tcPr>
          <w:p w14:paraId="5B2B0753" w14:textId="77777777" w:rsidR="00F363DA" w:rsidRPr="00813425" w:rsidRDefault="00F363DA" w:rsidP="00F363DA">
            <w:pPr>
              <w:spacing w:after="0" w:line="240" w:lineRule="auto"/>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Physical Activity, %</w:t>
            </w:r>
          </w:p>
        </w:tc>
        <w:tc>
          <w:tcPr>
            <w:tcW w:w="1228" w:type="dxa"/>
            <w:tcBorders>
              <w:top w:val="nil"/>
              <w:left w:val="nil"/>
              <w:bottom w:val="single" w:sz="4" w:space="0" w:color="auto"/>
              <w:right w:val="single" w:sz="4" w:space="0" w:color="auto"/>
            </w:tcBorders>
            <w:shd w:val="clear" w:color="auto" w:fill="auto"/>
            <w:noWrap/>
            <w:vAlign w:val="bottom"/>
            <w:hideMark/>
          </w:tcPr>
          <w:p w14:paraId="1CC4EE2B"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c>
          <w:tcPr>
            <w:tcW w:w="1096" w:type="dxa"/>
            <w:tcBorders>
              <w:top w:val="nil"/>
              <w:left w:val="nil"/>
              <w:bottom w:val="single" w:sz="4" w:space="0" w:color="auto"/>
              <w:right w:val="single" w:sz="4" w:space="0" w:color="auto"/>
            </w:tcBorders>
            <w:shd w:val="clear" w:color="auto" w:fill="auto"/>
            <w:noWrap/>
            <w:vAlign w:val="bottom"/>
            <w:hideMark/>
          </w:tcPr>
          <w:p w14:paraId="49F1BA7E"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c>
          <w:tcPr>
            <w:tcW w:w="802" w:type="dxa"/>
            <w:tcBorders>
              <w:top w:val="nil"/>
              <w:left w:val="nil"/>
              <w:bottom w:val="single" w:sz="4" w:space="0" w:color="auto"/>
              <w:right w:val="single" w:sz="4" w:space="0" w:color="auto"/>
            </w:tcBorders>
            <w:shd w:val="clear" w:color="auto" w:fill="auto"/>
            <w:noWrap/>
            <w:vAlign w:val="bottom"/>
            <w:hideMark/>
          </w:tcPr>
          <w:p w14:paraId="598C4991"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xml:space="preserve"> 0.061</w:t>
            </w:r>
          </w:p>
        </w:tc>
        <w:tc>
          <w:tcPr>
            <w:tcW w:w="1228" w:type="dxa"/>
            <w:tcBorders>
              <w:top w:val="nil"/>
              <w:left w:val="nil"/>
              <w:bottom w:val="single" w:sz="4" w:space="0" w:color="auto"/>
              <w:right w:val="single" w:sz="4" w:space="0" w:color="auto"/>
            </w:tcBorders>
            <w:shd w:val="clear" w:color="auto" w:fill="auto"/>
            <w:noWrap/>
            <w:vAlign w:val="bottom"/>
            <w:hideMark/>
          </w:tcPr>
          <w:p w14:paraId="75EF18B0"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c>
          <w:tcPr>
            <w:tcW w:w="1195" w:type="dxa"/>
            <w:tcBorders>
              <w:top w:val="nil"/>
              <w:left w:val="nil"/>
              <w:bottom w:val="single" w:sz="4" w:space="0" w:color="auto"/>
              <w:right w:val="single" w:sz="4" w:space="0" w:color="auto"/>
            </w:tcBorders>
            <w:shd w:val="clear" w:color="auto" w:fill="auto"/>
            <w:noWrap/>
            <w:vAlign w:val="bottom"/>
            <w:hideMark/>
          </w:tcPr>
          <w:p w14:paraId="7093100B"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c>
          <w:tcPr>
            <w:tcW w:w="851" w:type="dxa"/>
            <w:tcBorders>
              <w:top w:val="nil"/>
              <w:left w:val="nil"/>
              <w:bottom w:val="single" w:sz="4" w:space="0" w:color="auto"/>
              <w:right w:val="single" w:sz="4" w:space="0" w:color="auto"/>
            </w:tcBorders>
            <w:shd w:val="clear" w:color="auto" w:fill="auto"/>
            <w:noWrap/>
            <w:vAlign w:val="bottom"/>
            <w:hideMark/>
          </w:tcPr>
          <w:p w14:paraId="54DB7CCB"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0.16</w:t>
            </w:r>
          </w:p>
        </w:tc>
      </w:tr>
      <w:tr w:rsidR="00F363DA" w:rsidRPr="00813425" w14:paraId="3F73BF7D" w14:textId="77777777" w:rsidTr="00325727">
        <w:trPr>
          <w:trHeight w:val="230"/>
        </w:trPr>
        <w:tc>
          <w:tcPr>
            <w:tcW w:w="3098" w:type="dxa"/>
            <w:tcBorders>
              <w:top w:val="nil"/>
              <w:left w:val="single" w:sz="4" w:space="0" w:color="auto"/>
              <w:bottom w:val="single" w:sz="4" w:space="0" w:color="auto"/>
              <w:right w:val="single" w:sz="4" w:space="0" w:color="auto"/>
            </w:tcBorders>
            <w:shd w:val="clear" w:color="auto" w:fill="auto"/>
            <w:noWrap/>
            <w:vAlign w:val="bottom"/>
            <w:hideMark/>
          </w:tcPr>
          <w:p w14:paraId="13AC482B" w14:textId="77777777" w:rsidR="00F363DA" w:rsidRPr="00813425" w:rsidRDefault="00F363DA" w:rsidP="00F363DA">
            <w:pPr>
              <w:spacing w:after="0" w:line="240" w:lineRule="auto"/>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xml:space="preserve">   Low, &lt;600</w:t>
            </w:r>
          </w:p>
        </w:tc>
        <w:tc>
          <w:tcPr>
            <w:tcW w:w="1228" w:type="dxa"/>
            <w:tcBorders>
              <w:top w:val="nil"/>
              <w:left w:val="nil"/>
              <w:bottom w:val="single" w:sz="4" w:space="0" w:color="auto"/>
              <w:right w:val="single" w:sz="4" w:space="0" w:color="auto"/>
            </w:tcBorders>
            <w:shd w:val="clear" w:color="auto" w:fill="auto"/>
            <w:noWrap/>
            <w:vAlign w:val="bottom"/>
            <w:hideMark/>
          </w:tcPr>
          <w:p w14:paraId="53595E55"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37 (33%)</w:t>
            </w:r>
          </w:p>
        </w:tc>
        <w:tc>
          <w:tcPr>
            <w:tcW w:w="1096" w:type="dxa"/>
            <w:tcBorders>
              <w:top w:val="nil"/>
              <w:left w:val="nil"/>
              <w:bottom w:val="single" w:sz="4" w:space="0" w:color="auto"/>
              <w:right w:val="single" w:sz="4" w:space="0" w:color="auto"/>
            </w:tcBorders>
            <w:shd w:val="clear" w:color="auto" w:fill="auto"/>
            <w:noWrap/>
            <w:vAlign w:val="bottom"/>
            <w:hideMark/>
          </w:tcPr>
          <w:p w14:paraId="2684C304"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43 (43%)</w:t>
            </w:r>
          </w:p>
        </w:tc>
        <w:tc>
          <w:tcPr>
            <w:tcW w:w="802" w:type="dxa"/>
            <w:tcBorders>
              <w:top w:val="nil"/>
              <w:left w:val="nil"/>
              <w:bottom w:val="single" w:sz="4" w:space="0" w:color="auto"/>
              <w:right w:val="single" w:sz="4" w:space="0" w:color="auto"/>
            </w:tcBorders>
            <w:shd w:val="clear" w:color="auto" w:fill="auto"/>
            <w:noWrap/>
            <w:vAlign w:val="bottom"/>
            <w:hideMark/>
          </w:tcPr>
          <w:p w14:paraId="4E3A25A7"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c>
          <w:tcPr>
            <w:tcW w:w="1228" w:type="dxa"/>
            <w:tcBorders>
              <w:top w:val="nil"/>
              <w:left w:val="nil"/>
              <w:bottom w:val="single" w:sz="4" w:space="0" w:color="auto"/>
              <w:right w:val="single" w:sz="4" w:space="0" w:color="auto"/>
            </w:tcBorders>
            <w:shd w:val="clear" w:color="auto" w:fill="auto"/>
            <w:noWrap/>
            <w:vAlign w:val="bottom"/>
            <w:hideMark/>
          </w:tcPr>
          <w:p w14:paraId="27C35029"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43 (39%)</w:t>
            </w:r>
          </w:p>
        </w:tc>
        <w:tc>
          <w:tcPr>
            <w:tcW w:w="1195" w:type="dxa"/>
            <w:tcBorders>
              <w:top w:val="nil"/>
              <w:left w:val="nil"/>
              <w:bottom w:val="single" w:sz="4" w:space="0" w:color="auto"/>
              <w:right w:val="single" w:sz="4" w:space="0" w:color="auto"/>
            </w:tcBorders>
            <w:shd w:val="clear" w:color="auto" w:fill="auto"/>
            <w:noWrap/>
            <w:vAlign w:val="bottom"/>
            <w:hideMark/>
          </w:tcPr>
          <w:p w14:paraId="0AE6FC3B"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49 (52%)</w:t>
            </w:r>
          </w:p>
        </w:tc>
        <w:tc>
          <w:tcPr>
            <w:tcW w:w="851" w:type="dxa"/>
            <w:tcBorders>
              <w:top w:val="nil"/>
              <w:left w:val="nil"/>
              <w:bottom w:val="single" w:sz="4" w:space="0" w:color="auto"/>
              <w:right w:val="single" w:sz="4" w:space="0" w:color="auto"/>
            </w:tcBorders>
            <w:shd w:val="clear" w:color="auto" w:fill="auto"/>
            <w:noWrap/>
            <w:vAlign w:val="bottom"/>
            <w:hideMark/>
          </w:tcPr>
          <w:p w14:paraId="5A6713E9"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r>
      <w:tr w:rsidR="00F363DA" w:rsidRPr="00813425" w14:paraId="001AC0CD" w14:textId="77777777" w:rsidTr="00325727">
        <w:trPr>
          <w:trHeight w:val="230"/>
        </w:trPr>
        <w:tc>
          <w:tcPr>
            <w:tcW w:w="3098" w:type="dxa"/>
            <w:tcBorders>
              <w:top w:val="nil"/>
              <w:left w:val="single" w:sz="4" w:space="0" w:color="auto"/>
              <w:bottom w:val="single" w:sz="4" w:space="0" w:color="auto"/>
              <w:right w:val="single" w:sz="4" w:space="0" w:color="auto"/>
            </w:tcBorders>
            <w:shd w:val="clear" w:color="auto" w:fill="auto"/>
            <w:noWrap/>
            <w:vAlign w:val="bottom"/>
            <w:hideMark/>
          </w:tcPr>
          <w:p w14:paraId="56860330" w14:textId="77777777" w:rsidR="00F363DA" w:rsidRPr="00813425" w:rsidRDefault="00F363DA" w:rsidP="00F363DA">
            <w:pPr>
              <w:spacing w:after="0" w:line="240" w:lineRule="auto"/>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xml:space="preserve">   Moderate, 600 -3000</w:t>
            </w:r>
          </w:p>
        </w:tc>
        <w:tc>
          <w:tcPr>
            <w:tcW w:w="1228" w:type="dxa"/>
            <w:tcBorders>
              <w:top w:val="nil"/>
              <w:left w:val="nil"/>
              <w:bottom w:val="single" w:sz="4" w:space="0" w:color="auto"/>
              <w:right w:val="single" w:sz="4" w:space="0" w:color="auto"/>
            </w:tcBorders>
            <w:shd w:val="clear" w:color="auto" w:fill="auto"/>
            <w:noWrap/>
            <w:vAlign w:val="bottom"/>
            <w:hideMark/>
          </w:tcPr>
          <w:p w14:paraId="6E352E0A"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40 (35%)</w:t>
            </w:r>
          </w:p>
        </w:tc>
        <w:tc>
          <w:tcPr>
            <w:tcW w:w="1096" w:type="dxa"/>
            <w:tcBorders>
              <w:top w:val="nil"/>
              <w:left w:val="nil"/>
              <w:bottom w:val="single" w:sz="4" w:space="0" w:color="auto"/>
              <w:right w:val="single" w:sz="4" w:space="0" w:color="auto"/>
            </w:tcBorders>
            <w:shd w:val="clear" w:color="auto" w:fill="auto"/>
            <w:noWrap/>
            <w:vAlign w:val="bottom"/>
            <w:hideMark/>
          </w:tcPr>
          <w:p w14:paraId="09341B2A"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21 (21%)</w:t>
            </w:r>
          </w:p>
        </w:tc>
        <w:tc>
          <w:tcPr>
            <w:tcW w:w="802" w:type="dxa"/>
            <w:tcBorders>
              <w:top w:val="nil"/>
              <w:left w:val="nil"/>
              <w:bottom w:val="single" w:sz="4" w:space="0" w:color="auto"/>
              <w:right w:val="single" w:sz="4" w:space="0" w:color="auto"/>
            </w:tcBorders>
            <w:shd w:val="clear" w:color="auto" w:fill="auto"/>
            <w:noWrap/>
            <w:vAlign w:val="bottom"/>
            <w:hideMark/>
          </w:tcPr>
          <w:p w14:paraId="2F02D288"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c>
          <w:tcPr>
            <w:tcW w:w="1228" w:type="dxa"/>
            <w:tcBorders>
              <w:top w:val="nil"/>
              <w:left w:val="nil"/>
              <w:bottom w:val="single" w:sz="4" w:space="0" w:color="auto"/>
              <w:right w:val="single" w:sz="4" w:space="0" w:color="auto"/>
            </w:tcBorders>
            <w:shd w:val="clear" w:color="auto" w:fill="auto"/>
            <w:noWrap/>
            <w:vAlign w:val="bottom"/>
            <w:hideMark/>
          </w:tcPr>
          <w:p w14:paraId="1A536EB2"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32 (29%)</w:t>
            </w:r>
          </w:p>
        </w:tc>
        <w:tc>
          <w:tcPr>
            <w:tcW w:w="1195" w:type="dxa"/>
            <w:tcBorders>
              <w:top w:val="nil"/>
              <w:left w:val="nil"/>
              <w:bottom w:val="single" w:sz="4" w:space="0" w:color="auto"/>
              <w:right w:val="single" w:sz="4" w:space="0" w:color="auto"/>
            </w:tcBorders>
            <w:shd w:val="clear" w:color="auto" w:fill="auto"/>
            <w:noWrap/>
            <w:vAlign w:val="bottom"/>
            <w:hideMark/>
          </w:tcPr>
          <w:p w14:paraId="0DCA5A7D"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24 (25%)</w:t>
            </w:r>
          </w:p>
        </w:tc>
        <w:tc>
          <w:tcPr>
            <w:tcW w:w="851" w:type="dxa"/>
            <w:tcBorders>
              <w:top w:val="nil"/>
              <w:left w:val="nil"/>
              <w:bottom w:val="single" w:sz="4" w:space="0" w:color="auto"/>
              <w:right w:val="single" w:sz="4" w:space="0" w:color="auto"/>
            </w:tcBorders>
            <w:shd w:val="clear" w:color="auto" w:fill="auto"/>
            <w:noWrap/>
            <w:vAlign w:val="bottom"/>
            <w:hideMark/>
          </w:tcPr>
          <w:p w14:paraId="26FE2D40"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r>
      <w:tr w:rsidR="00F363DA" w:rsidRPr="00813425" w14:paraId="189D523F" w14:textId="77777777" w:rsidTr="00325727">
        <w:trPr>
          <w:trHeight w:val="230"/>
        </w:trPr>
        <w:tc>
          <w:tcPr>
            <w:tcW w:w="3098" w:type="dxa"/>
            <w:tcBorders>
              <w:top w:val="nil"/>
              <w:left w:val="single" w:sz="4" w:space="0" w:color="auto"/>
              <w:bottom w:val="single" w:sz="4" w:space="0" w:color="auto"/>
              <w:right w:val="single" w:sz="4" w:space="0" w:color="auto"/>
            </w:tcBorders>
            <w:shd w:val="clear" w:color="auto" w:fill="auto"/>
            <w:noWrap/>
            <w:vAlign w:val="bottom"/>
            <w:hideMark/>
          </w:tcPr>
          <w:p w14:paraId="1D633611" w14:textId="77777777" w:rsidR="00F363DA" w:rsidRPr="00813425" w:rsidRDefault="00F363DA" w:rsidP="00F363DA">
            <w:pPr>
              <w:spacing w:after="0" w:line="240" w:lineRule="auto"/>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xml:space="preserve">   High, &gt;3000</w:t>
            </w:r>
          </w:p>
        </w:tc>
        <w:tc>
          <w:tcPr>
            <w:tcW w:w="1228" w:type="dxa"/>
            <w:tcBorders>
              <w:top w:val="nil"/>
              <w:left w:val="nil"/>
              <w:bottom w:val="single" w:sz="4" w:space="0" w:color="auto"/>
              <w:right w:val="single" w:sz="4" w:space="0" w:color="auto"/>
            </w:tcBorders>
            <w:shd w:val="clear" w:color="auto" w:fill="auto"/>
            <w:noWrap/>
            <w:vAlign w:val="bottom"/>
            <w:hideMark/>
          </w:tcPr>
          <w:p w14:paraId="021DE97F"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36 (32%)</w:t>
            </w:r>
          </w:p>
        </w:tc>
        <w:tc>
          <w:tcPr>
            <w:tcW w:w="1096" w:type="dxa"/>
            <w:tcBorders>
              <w:top w:val="nil"/>
              <w:left w:val="nil"/>
              <w:bottom w:val="single" w:sz="4" w:space="0" w:color="auto"/>
              <w:right w:val="single" w:sz="4" w:space="0" w:color="auto"/>
            </w:tcBorders>
            <w:shd w:val="clear" w:color="auto" w:fill="auto"/>
            <w:noWrap/>
            <w:vAlign w:val="bottom"/>
            <w:hideMark/>
          </w:tcPr>
          <w:p w14:paraId="50935B4B"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36 (36%)</w:t>
            </w:r>
          </w:p>
        </w:tc>
        <w:tc>
          <w:tcPr>
            <w:tcW w:w="802" w:type="dxa"/>
            <w:tcBorders>
              <w:top w:val="nil"/>
              <w:left w:val="nil"/>
              <w:bottom w:val="single" w:sz="4" w:space="0" w:color="auto"/>
              <w:right w:val="single" w:sz="4" w:space="0" w:color="auto"/>
            </w:tcBorders>
            <w:shd w:val="clear" w:color="auto" w:fill="auto"/>
            <w:noWrap/>
            <w:vAlign w:val="bottom"/>
            <w:hideMark/>
          </w:tcPr>
          <w:p w14:paraId="402221E4"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c>
          <w:tcPr>
            <w:tcW w:w="1228" w:type="dxa"/>
            <w:tcBorders>
              <w:top w:val="nil"/>
              <w:left w:val="nil"/>
              <w:bottom w:val="single" w:sz="4" w:space="0" w:color="auto"/>
              <w:right w:val="single" w:sz="4" w:space="0" w:color="auto"/>
            </w:tcBorders>
            <w:shd w:val="clear" w:color="auto" w:fill="auto"/>
            <w:noWrap/>
            <w:vAlign w:val="bottom"/>
            <w:hideMark/>
          </w:tcPr>
          <w:p w14:paraId="787B09E8"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36 (32%)</w:t>
            </w:r>
          </w:p>
        </w:tc>
        <w:tc>
          <w:tcPr>
            <w:tcW w:w="1195" w:type="dxa"/>
            <w:tcBorders>
              <w:top w:val="nil"/>
              <w:left w:val="nil"/>
              <w:bottom w:val="single" w:sz="4" w:space="0" w:color="auto"/>
              <w:right w:val="single" w:sz="4" w:space="0" w:color="auto"/>
            </w:tcBorders>
            <w:shd w:val="clear" w:color="auto" w:fill="auto"/>
            <w:noWrap/>
            <w:vAlign w:val="bottom"/>
            <w:hideMark/>
          </w:tcPr>
          <w:p w14:paraId="23380092"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22 (23%)</w:t>
            </w:r>
          </w:p>
        </w:tc>
        <w:tc>
          <w:tcPr>
            <w:tcW w:w="851" w:type="dxa"/>
            <w:tcBorders>
              <w:top w:val="nil"/>
              <w:left w:val="nil"/>
              <w:bottom w:val="single" w:sz="4" w:space="0" w:color="auto"/>
              <w:right w:val="single" w:sz="4" w:space="0" w:color="auto"/>
            </w:tcBorders>
            <w:shd w:val="clear" w:color="auto" w:fill="auto"/>
            <w:noWrap/>
            <w:vAlign w:val="bottom"/>
            <w:hideMark/>
          </w:tcPr>
          <w:p w14:paraId="367A9B1C"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r>
      <w:tr w:rsidR="00F363DA" w:rsidRPr="00813425" w14:paraId="0C6182F8" w14:textId="77777777" w:rsidTr="00325727">
        <w:trPr>
          <w:trHeight w:val="230"/>
        </w:trPr>
        <w:tc>
          <w:tcPr>
            <w:tcW w:w="3098" w:type="dxa"/>
            <w:tcBorders>
              <w:top w:val="nil"/>
              <w:left w:val="single" w:sz="4" w:space="0" w:color="auto"/>
              <w:bottom w:val="single" w:sz="4" w:space="0" w:color="auto"/>
              <w:right w:val="single" w:sz="4" w:space="0" w:color="auto"/>
            </w:tcBorders>
            <w:shd w:val="clear" w:color="auto" w:fill="auto"/>
            <w:noWrap/>
            <w:vAlign w:val="bottom"/>
            <w:hideMark/>
          </w:tcPr>
          <w:p w14:paraId="666902E4" w14:textId="77777777" w:rsidR="00F363DA" w:rsidRPr="00813425" w:rsidRDefault="00F363DA" w:rsidP="00F363DA">
            <w:pPr>
              <w:spacing w:after="0" w:line="240" w:lineRule="auto"/>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Calcium Intake, %</w:t>
            </w:r>
          </w:p>
        </w:tc>
        <w:tc>
          <w:tcPr>
            <w:tcW w:w="1228" w:type="dxa"/>
            <w:tcBorders>
              <w:top w:val="nil"/>
              <w:left w:val="nil"/>
              <w:bottom w:val="single" w:sz="4" w:space="0" w:color="auto"/>
              <w:right w:val="single" w:sz="4" w:space="0" w:color="auto"/>
            </w:tcBorders>
            <w:shd w:val="clear" w:color="auto" w:fill="auto"/>
            <w:noWrap/>
            <w:vAlign w:val="bottom"/>
            <w:hideMark/>
          </w:tcPr>
          <w:p w14:paraId="65A0D405"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c>
          <w:tcPr>
            <w:tcW w:w="1096" w:type="dxa"/>
            <w:tcBorders>
              <w:top w:val="nil"/>
              <w:left w:val="nil"/>
              <w:bottom w:val="single" w:sz="4" w:space="0" w:color="auto"/>
              <w:right w:val="single" w:sz="4" w:space="0" w:color="auto"/>
            </w:tcBorders>
            <w:shd w:val="clear" w:color="auto" w:fill="auto"/>
            <w:noWrap/>
            <w:vAlign w:val="bottom"/>
            <w:hideMark/>
          </w:tcPr>
          <w:p w14:paraId="65F2B2EF"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c>
          <w:tcPr>
            <w:tcW w:w="802" w:type="dxa"/>
            <w:tcBorders>
              <w:top w:val="nil"/>
              <w:left w:val="nil"/>
              <w:bottom w:val="single" w:sz="4" w:space="0" w:color="auto"/>
              <w:right w:val="single" w:sz="4" w:space="0" w:color="auto"/>
            </w:tcBorders>
            <w:shd w:val="clear" w:color="auto" w:fill="auto"/>
            <w:noWrap/>
            <w:vAlign w:val="bottom"/>
            <w:hideMark/>
          </w:tcPr>
          <w:p w14:paraId="2AC762FA"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0.98</w:t>
            </w:r>
          </w:p>
        </w:tc>
        <w:tc>
          <w:tcPr>
            <w:tcW w:w="1228" w:type="dxa"/>
            <w:tcBorders>
              <w:top w:val="nil"/>
              <w:left w:val="nil"/>
              <w:bottom w:val="single" w:sz="4" w:space="0" w:color="auto"/>
              <w:right w:val="single" w:sz="4" w:space="0" w:color="auto"/>
            </w:tcBorders>
            <w:shd w:val="clear" w:color="auto" w:fill="auto"/>
            <w:noWrap/>
            <w:vAlign w:val="bottom"/>
            <w:hideMark/>
          </w:tcPr>
          <w:p w14:paraId="3E2CD6BB"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c>
          <w:tcPr>
            <w:tcW w:w="1195" w:type="dxa"/>
            <w:tcBorders>
              <w:top w:val="nil"/>
              <w:left w:val="nil"/>
              <w:bottom w:val="single" w:sz="4" w:space="0" w:color="auto"/>
              <w:right w:val="single" w:sz="4" w:space="0" w:color="auto"/>
            </w:tcBorders>
            <w:shd w:val="clear" w:color="auto" w:fill="auto"/>
            <w:noWrap/>
            <w:vAlign w:val="bottom"/>
            <w:hideMark/>
          </w:tcPr>
          <w:p w14:paraId="59368977"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c>
          <w:tcPr>
            <w:tcW w:w="851" w:type="dxa"/>
            <w:tcBorders>
              <w:top w:val="nil"/>
              <w:left w:val="nil"/>
              <w:bottom w:val="single" w:sz="4" w:space="0" w:color="auto"/>
              <w:right w:val="single" w:sz="4" w:space="0" w:color="auto"/>
            </w:tcBorders>
            <w:shd w:val="clear" w:color="auto" w:fill="auto"/>
            <w:noWrap/>
            <w:vAlign w:val="bottom"/>
            <w:hideMark/>
          </w:tcPr>
          <w:p w14:paraId="1C4489A7"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0.81</w:t>
            </w:r>
          </w:p>
        </w:tc>
      </w:tr>
      <w:tr w:rsidR="00F363DA" w:rsidRPr="00813425" w14:paraId="0A9A5ACB" w14:textId="77777777" w:rsidTr="00325727">
        <w:trPr>
          <w:trHeight w:val="230"/>
        </w:trPr>
        <w:tc>
          <w:tcPr>
            <w:tcW w:w="3098" w:type="dxa"/>
            <w:tcBorders>
              <w:top w:val="nil"/>
              <w:left w:val="single" w:sz="4" w:space="0" w:color="auto"/>
              <w:bottom w:val="single" w:sz="4" w:space="0" w:color="auto"/>
              <w:right w:val="single" w:sz="4" w:space="0" w:color="auto"/>
            </w:tcBorders>
            <w:shd w:val="clear" w:color="auto" w:fill="auto"/>
            <w:noWrap/>
            <w:vAlign w:val="bottom"/>
            <w:hideMark/>
          </w:tcPr>
          <w:p w14:paraId="13EA1985" w14:textId="77777777" w:rsidR="00F363DA" w:rsidRPr="00813425" w:rsidRDefault="00F363DA" w:rsidP="00F363DA">
            <w:pPr>
              <w:spacing w:after="0" w:line="240" w:lineRule="auto"/>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xml:space="preserve">   Low, &lt;150 mg</w:t>
            </w:r>
          </w:p>
        </w:tc>
        <w:tc>
          <w:tcPr>
            <w:tcW w:w="1228" w:type="dxa"/>
            <w:tcBorders>
              <w:top w:val="nil"/>
              <w:left w:val="nil"/>
              <w:bottom w:val="single" w:sz="4" w:space="0" w:color="auto"/>
              <w:right w:val="single" w:sz="4" w:space="0" w:color="auto"/>
            </w:tcBorders>
            <w:shd w:val="clear" w:color="auto" w:fill="auto"/>
            <w:noWrap/>
            <w:vAlign w:val="bottom"/>
            <w:hideMark/>
          </w:tcPr>
          <w:p w14:paraId="16E1CA5A"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49 (43%)</w:t>
            </w:r>
          </w:p>
        </w:tc>
        <w:tc>
          <w:tcPr>
            <w:tcW w:w="1096" w:type="dxa"/>
            <w:tcBorders>
              <w:top w:val="nil"/>
              <w:left w:val="nil"/>
              <w:bottom w:val="single" w:sz="4" w:space="0" w:color="auto"/>
              <w:right w:val="single" w:sz="4" w:space="0" w:color="auto"/>
            </w:tcBorders>
            <w:shd w:val="clear" w:color="auto" w:fill="auto"/>
            <w:noWrap/>
            <w:vAlign w:val="bottom"/>
            <w:hideMark/>
          </w:tcPr>
          <w:p w14:paraId="6F1C99A9"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42 (42%)</w:t>
            </w:r>
          </w:p>
        </w:tc>
        <w:tc>
          <w:tcPr>
            <w:tcW w:w="802" w:type="dxa"/>
            <w:tcBorders>
              <w:top w:val="nil"/>
              <w:left w:val="nil"/>
              <w:bottom w:val="single" w:sz="4" w:space="0" w:color="auto"/>
              <w:right w:val="single" w:sz="4" w:space="0" w:color="auto"/>
            </w:tcBorders>
            <w:shd w:val="clear" w:color="auto" w:fill="auto"/>
            <w:noWrap/>
            <w:vAlign w:val="bottom"/>
            <w:hideMark/>
          </w:tcPr>
          <w:p w14:paraId="373FE6B9"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c>
          <w:tcPr>
            <w:tcW w:w="1228" w:type="dxa"/>
            <w:tcBorders>
              <w:top w:val="nil"/>
              <w:left w:val="nil"/>
              <w:bottom w:val="single" w:sz="4" w:space="0" w:color="auto"/>
              <w:right w:val="single" w:sz="4" w:space="0" w:color="auto"/>
            </w:tcBorders>
            <w:shd w:val="clear" w:color="auto" w:fill="auto"/>
            <w:noWrap/>
            <w:vAlign w:val="bottom"/>
            <w:hideMark/>
          </w:tcPr>
          <w:p w14:paraId="29832AA3"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48 (43%)</w:t>
            </w:r>
          </w:p>
        </w:tc>
        <w:tc>
          <w:tcPr>
            <w:tcW w:w="1195" w:type="dxa"/>
            <w:tcBorders>
              <w:top w:val="nil"/>
              <w:left w:val="nil"/>
              <w:bottom w:val="single" w:sz="4" w:space="0" w:color="auto"/>
              <w:right w:val="single" w:sz="4" w:space="0" w:color="auto"/>
            </w:tcBorders>
            <w:shd w:val="clear" w:color="auto" w:fill="auto"/>
            <w:noWrap/>
            <w:vAlign w:val="bottom"/>
            <w:hideMark/>
          </w:tcPr>
          <w:p w14:paraId="28078A7B"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38 (40%)</w:t>
            </w:r>
          </w:p>
        </w:tc>
        <w:tc>
          <w:tcPr>
            <w:tcW w:w="851" w:type="dxa"/>
            <w:tcBorders>
              <w:top w:val="nil"/>
              <w:left w:val="nil"/>
              <w:bottom w:val="single" w:sz="4" w:space="0" w:color="auto"/>
              <w:right w:val="single" w:sz="4" w:space="0" w:color="auto"/>
            </w:tcBorders>
            <w:shd w:val="clear" w:color="auto" w:fill="auto"/>
            <w:noWrap/>
            <w:vAlign w:val="bottom"/>
            <w:hideMark/>
          </w:tcPr>
          <w:p w14:paraId="44584D4D"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r>
      <w:tr w:rsidR="00F363DA" w:rsidRPr="00813425" w14:paraId="39F266B2" w14:textId="77777777" w:rsidTr="00325727">
        <w:trPr>
          <w:trHeight w:val="230"/>
        </w:trPr>
        <w:tc>
          <w:tcPr>
            <w:tcW w:w="3098" w:type="dxa"/>
            <w:tcBorders>
              <w:top w:val="nil"/>
              <w:left w:val="single" w:sz="4" w:space="0" w:color="auto"/>
              <w:bottom w:val="single" w:sz="4" w:space="0" w:color="auto"/>
              <w:right w:val="single" w:sz="4" w:space="0" w:color="auto"/>
            </w:tcBorders>
            <w:shd w:val="clear" w:color="auto" w:fill="auto"/>
            <w:noWrap/>
            <w:vAlign w:val="bottom"/>
            <w:hideMark/>
          </w:tcPr>
          <w:p w14:paraId="5E99CCB9" w14:textId="77777777" w:rsidR="00F363DA" w:rsidRPr="00813425" w:rsidRDefault="00F363DA" w:rsidP="00F363DA">
            <w:pPr>
              <w:spacing w:after="0" w:line="240" w:lineRule="auto"/>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xml:space="preserve">  Moderate,  150-299 mg</w:t>
            </w:r>
          </w:p>
        </w:tc>
        <w:tc>
          <w:tcPr>
            <w:tcW w:w="1228" w:type="dxa"/>
            <w:tcBorders>
              <w:top w:val="nil"/>
              <w:left w:val="nil"/>
              <w:bottom w:val="single" w:sz="4" w:space="0" w:color="auto"/>
              <w:right w:val="single" w:sz="4" w:space="0" w:color="auto"/>
            </w:tcBorders>
            <w:shd w:val="clear" w:color="auto" w:fill="auto"/>
            <w:noWrap/>
            <w:vAlign w:val="bottom"/>
            <w:hideMark/>
          </w:tcPr>
          <w:p w14:paraId="4D4FD123"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24 (21%)</w:t>
            </w:r>
          </w:p>
        </w:tc>
        <w:tc>
          <w:tcPr>
            <w:tcW w:w="1096" w:type="dxa"/>
            <w:tcBorders>
              <w:top w:val="nil"/>
              <w:left w:val="nil"/>
              <w:bottom w:val="single" w:sz="4" w:space="0" w:color="auto"/>
              <w:right w:val="single" w:sz="4" w:space="0" w:color="auto"/>
            </w:tcBorders>
            <w:shd w:val="clear" w:color="auto" w:fill="auto"/>
            <w:noWrap/>
            <w:vAlign w:val="bottom"/>
            <w:hideMark/>
          </w:tcPr>
          <w:p w14:paraId="0A171631"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22 (22%)</w:t>
            </w:r>
          </w:p>
        </w:tc>
        <w:tc>
          <w:tcPr>
            <w:tcW w:w="802" w:type="dxa"/>
            <w:tcBorders>
              <w:top w:val="nil"/>
              <w:left w:val="nil"/>
              <w:bottom w:val="single" w:sz="4" w:space="0" w:color="auto"/>
              <w:right w:val="single" w:sz="4" w:space="0" w:color="auto"/>
            </w:tcBorders>
            <w:shd w:val="clear" w:color="auto" w:fill="auto"/>
            <w:noWrap/>
            <w:vAlign w:val="bottom"/>
            <w:hideMark/>
          </w:tcPr>
          <w:p w14:paraId="32BB0D8C"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c>
          <w:tcPr>
            <w:tcW w:w="1228" w:type="dxa"/>
            <w:tcBorders>
              <w:top w:val="nil"/>
              <w:left w:val="nil"/>
              <w:bottom w:val="single" w:sz="4" w:space="0" w:color="auto"/>
              <w:right w:val="single" w:sz="4" w:space="0" w:color="auto"/>
            </w:tcBorders>
            <w:shd w:val="clear" w:color="auto" w:fill="auto"/>
            <w:noWrap/>
            <w:vAlign w:val="bottom"/>
            <w:hideMark/>
          </w:tcPr>
          <w:p w14:paraId="4D039318"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24 (22%)</w:t>
            </w:r>
          </w:p>
        </w:tc>
        <w:tc>
          <w:tcPr>
            <w:tcW w:w="1195" w:type="dxa"/>
            <w:tcBorders>
              <w:top w:val="nil"/>
              <w:left w:val="nil"/>
              <w:bottom w:val="single" w:sz="4" w:space="0" w:color="auto"/>
              <w:right w:val="single" w:sz="4" w:space="0" w:color="auto"/>
            </w:tcBorders>
            <w:shd w:val="clear" w:color="auto" w:fill="auto"/>
            <w:noWrap/>
            <w:vAlign w:val="bottom"/>
            <w:hideMark/>
          </w:tcPr>
          <w:p w14:paraId="1D2ED464"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24 (25%)</w:t>
            </w:r>
          </w:p>
        </w:tc>
        <w:tc>
          <w:tcPr>
            <w:tcW w:w="851" w:type="dxa"/>
            <w:tcBorders>
              <w:top w:val="nil"/>
              <w:left w:val="nil"/>
              <w:bottom w:val="single" w:sz="4" w:space="0" w:color="auto"/>
              <w:right w:val="single" w:sz="4" w:space="0" w:color="auto"/>
            </w:tcBorders>
            <w:shd w:val="clear" w:color="auto" w:fill="auto"/>
            <w:noWrap/>
            <w:vAlign w:val="bottom"/>
            <w:hideMark/>
          </w:tcPr>
          <w:p w14:paraId="2896BD8C"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r>
      <w:tr w:rsidR="00F363DA" w:rsidRPr="00813425" w14:paraId="226E4611" w14:textId="77777777" w:rsidTr="00325727">
        <w:trPr>
          <w:trHeight w:val="230"/>
        </w:trPr>
        <w:tc>
          <w:tcPr>
            <w:tcW w:w="3098" w:type="dxa"/>
            <w:tcBorders>
              <w:top w:val="nil"/>
              <w:left w:val="single" w:sz="4" w:space="0" w:color="auto"/>
              <w:bottom w:val="single" w:sz="4" w:space="0" w:color="auto"/>
              <w:right w:val="single" w:sz="4" w:space="0" w:color="auto"/>
            </w:tcBorders>
            <w:shd w:val="clear" w:color="auto" w:fill="auto"/>
            <w:noWrap/>
            <w:vAlign w:val="bottom"/>
            <w:hideMark/>
          </w:tcPr>
          <w:p w14:paraId="235A9568" w14:textId="77777777" w:rsidR="00F363DA" w:rsidRPr="00813425" w:rsidRDefault="00F363DA" w:rsidP="00F363DA">
            <w:pPr>
              <w:spacing w:after="0" w:line="240" w:lineRule="auto"/>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xml:space="preserve">   High, 300-449 mg</w:t>
            </w:r>
          </w:p>
        </w:tc>
        <w:tc>
          <w:tcPr>
            <w:tcW w:w="1228" w:type="dxa"/>
            <w:tcBorders>
              <w:top w:val="nil"/>
              <w:left w:val="nil"/>
              <w:bottom w:val="single" w:sz="4" w:space="0" w:color="auto"/>
              <w:right w:val="single" w:sz="4" w:space="0" w:color="auto"/>
            </w:tcBorders>
            <w:shd w:val="clear" w:color="auto" w:fill="auto"/>
            <w:noWrap/>
            <w:vAlign w:val="bottom"/>
            <w:hideMark/>
          </w:tcPr>
          <w:p w14:paraId="652268FB"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40 (35%)</w:t>
            </w:r>
          </w:p>
        </w:tc>
        <w:tc>
          <w:tcPr>
            <w:tcW w:w="1096" w:type="dxa"/>
            <w:tcBorders>
              <w:top w:val="nil"/>
              <w:left w:val="nil"/>
              <w:bottom w:val="single" w:sz="4" w:space="0" w:color="auto"/>
              <w:right w:val="single" w:sz="4" w:space="0" w:color="auto"/>
            </w:tcBorders>
            <w:shd w:val="clear" w:color="auto" w:fill="auto"/>
            <w:noWrap/>
            <w:vAlign w:val="bottom"/>
            <w:hideMark/>
          </w:tcPr>
          <w:p w14:paraId="742259D8"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36 (36%)</w:t>
            </w:r>
          </w:p>
        </w:tc>
        <w:tc>
          <w:tcPr>
            <w:tcW w:w="802" w:type="dxa"/>
            <w:tcBorders>
              <w:top w:val="nil"/>
              <w:left w:val="nil"/>
              <w:bottom w:val="single" w:sz="4" w:space="0" w:color="auto"/>
              <w:right w:val="single" w:sz="4" w:space="0" w:color="auto"/>
            </w:tcBorders>
            <w:shd w:val="clear" w:color="auto" w:fill="auto"/>
            <w:noWrap/>
            <w:vAlign w:val="bottom"/>
            <w:hideMark/>
          </w:tcPr>
          <w:p w14:paraId="64DDAC8D"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c>
          <w:tcPr>
            <w:tcW w:w="1228" w:type="dxa"/>
            <w:tcBorders>
              <w:top w:val="nil"/>
              <w:left w:val="nil"/>
              <w:bottom w:val="single" w:sz="4" w:space="0" w:color="auto"/>
              <w:right w:val="single" w:sz="4" w:space="0" w:color="auto"/>
            </w:tcBorders>
            <w:shd w:val="clear" w:color="auto" w:fill="auto"/>
            <w:noWrap/>
            <w:vAlign w:val="bottom"/>
            <w:hideMark/>
          </w:tcPr>
          <w:p w14:paraId="27318B72"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39 (35%)</w:t>
            </w:r>
          </w:p>
        </w:tc>
        <w:tc>
          <w:tcPr>
            <w:tcW w:w="1195" w:type="dxa"/>
            <w:tcBorders>
              <w:top w:val="nil"/>
              <w:left w:val="nil"/>
              <w:bottom w:val="single" w:sz="4" w:space="0" w:color="auto"/>
              <w:right w:val="single" w:sz="4" w:space="0" w:color="auto"/>
            </w:tcBorders>
            <w:shd w:val="clear" w:color="auto" w:fill="auto"/>
            <w:noWrap/>
            <w:vAlign w:val="bottom"/>
            <w:hideMark/>
          </w:tcPr>
          <w:p w14:paraId="32BF4F4F"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33 (35%)</w:t>
            </w:r>
          </w:p>
        </w:tc>
        <w:tc>
          <w:tcPr>
            <w:tcW w:w="851" w:type="dxa"/>
            <w:tcBorders>
              <w:top w:val="nil"/>
              <w:left w:val="nil"/>
              <w:bottom w:val="single" w:sz="4" w:space="0" w:color="auto"/>
              <w:right w:val="single" w:sz="4" w:space="0" w:color="auto"/>
            </w:tcBorders>
            <w:shd w:val="clear" w:color="auto" w:fill="auto"/>
            <w:noWrap/>
            <w:vAlign w:val="bottom"/>
            <w:hideMark/>
          </w:tcPr>
          <w:p w14:paraId="70525AB2"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w:t>
            </w:r>
          </w:p>
        </w:tc>
      </w:tr>
      <w:tr w:rsidR="00F363DA" w:rsidRPr="00813425" w14:paraId="27B14D58" w14:textId="77777777" w:rsidTr="00325727">
        <w:trPr>
          <w:trHeight w:val="230"/>
        </w:trPr>
        <w:tc>
          <w:tcPr>
            <w:tcW w:w="9498" w:type="dxa"/>
            <w:gridSpan w:val="7"/>
            <w:tcBorders>
              <w:top w:val="nil"/>
              <w:left w:val="single" w:sz="4" w:space="0" w:color="auto"/>
              <w:bottom w:val="single" w:sz="4" w:space="0" w:color="auto"/>
              <w:right w:val="single" w:sz="4" w:space="0" w:color="auto"/>
            </w:tcBorders>
            <w:shd w:val="clear" w:color="auto" w:fill="auto"/>
            <w:noWrap/>
            <w:vAlign w:val="bottom"/>
          </w:tcPr>
          <w:p w14:paraId="3CD08CAB" w14:textId="34ED2382" w:rsidR="00F363DA" w:rsidRPr="00813425" w:rsidRDefault="00F363DA" w:rsidP="00F363DA">
            <w:pPr>
              <w:spacing w:after="0" w:line="240" w:lineRule="auto"/>
              <w:rPr>
                <w:rFonts w:ascii="Calibri" w:eastAsia="Times New Roman" w:hAnsi="Calibri" w:cs="Calibri"/>
                <w:b/>
                <w:noProof/>
                <w:sz w:val="16"/>
                <w:szCs w:val="16"/>
                <w:lang w:eastAsia="en-ZW"/>
              </w:rPr>
            </w:pPr>
            <w:r w:rsidRPr="00813425">
              <w:rPr>
                <w:rFonts w:ascii="Calibri" w:eastAsia="Times New Roman" w:hAnsi="Calibri" w:cs="Calibri"/>
                <w:b/>
                <w:noProof/>
                <w:sz w:val="16"/>
                <w:szCs w:val="16"/>
                <w:lang w:eastAsia="en-ZW"/>
              </w:rPr>
              <w:t>Change in clinical characteristics during one year follow up</w:t>
            </w:r>
          </w:p>
        </w:tc>
      </w:tr>
      <w:tr w:rsidR="00325727" w:rsidRPr="00813425" w14:paraId="5218CF69" w14:textId="77777777" w:rsidTr="00325727">
        <w:trPr>
          <w:trHeight w:val="230"/>
        </w:trPr>
        <w:tc>
          <w:tcPr>
            <w:tcW w:w="3098" w:type="dxa"/>
            <w:tcBorders>
              <w:top w:val="nil"/>
              <w:left w:val="single" w:sz="4" w:space="0" w:color="auto"/>
              <w:bottom w:val="single" w:sz="4" w:space="0" w:color="auto"/>
              <w:right w:val="single" w:sz="4" w:space="0" w:color="auto"/>
            </w:tcBorders>
            <w:shd w:val="clear" w:color="auto" w:fill="auto"/>
            <w:noWrap/>
            <w:vAlign w:val="bottom"/>
            <w:hideMark/>
          </w:tcPr>
          <w:p w14:paraId="47589606" w14:textId="77777777" w:rsidR="00325727" w:rsidRPr="00813425" w:rsidRDefault="00325727" w:rsidP="00325727">
            <w:pPr>
              <w:spacing w:after="0" w:line="240" w:lineRule="auto"/>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Tanner stage</w:t>
            </w:r>
          </w:p>
        </w:tc>
        <w:tc>
          <w:tcPr>
            <w:tcW w:w="1228" w:type="dxa"/>
            <w:tcBorders>
              <w:top w:val="nil"/>
              <w:left w:val="nil"/>
              <w:bottom w:val="single" w:sz="4" w:space="0" w:color="auto"/>
              <w:right w:val="single" w:sz="4" w:space="0" w:color="auto"/>
            </w:tcBorders>
            <w:shd w:val="clear" w:color="auto" w:fill="auto"/>
            <w:noWrap/>
            <w:vAlign w:val="bottom"/>
            <w:hideMark/>
          </w:tcPr>
          <w:p w14:paraId="2C8032B5" w14:textId="3DAF5259"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55 (49%)</w:t>
            </w:r>
          </w:p>
        </w:tc>
        <w:tc>
          <w:tcPr>
            <w:tcW w:w="1096" w:type="dxa"/>
            <w:tcBorders>
              <w:top w:val="nil"/>
              <w:left w:val="nil"/>
              <w:bottom w:val="single" w:sz="4" w:space="0" w:color="auto"/>
              <w:right w:val="single" w:sz="4" w:space="0" w:color="auto"/>
            </w:tcBorders>
            <w:shd w:val="clear" w:color="auto" w:fill="auto"/>
            <w:noWrap/>
            <w:vAlign w:val="bottom"/>
            <w:hideMark/>
          </w:tcPr>
          <w:p w14:paraId="4D260B04" w14:textId="63C2B1D3"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61 (62%)</w:t>
            </w:r>
          </w:p>
        </w:tc>
        <w:tc>
          <w:tcPr>
            <w:tcW w:w="802" w:type="dxa"/>
            <w:tcBorders>
              <w:top w:val="nil"/>
              <w:left w:val="nil"/>
              <w:bottom w:val="single" w:sz="4" w:space="0" w:color="auto"/>
              <w:right w:val="single" w:sz="4" w:space="0" w:color="auto"/>
            </w:tcBorders>
            <w:shd w:val="clear" w:color="auto" w:fill="auto"/>
            <w:noWrap/>
            <w:vAlign w:val="bottom"/>
            <w:hideMark/>
          </w:tcPr>
          <w:p w14:paraId="47817A4F"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xml:space="preserve"> 0.072</w:t>
            </w:r>
          </w:p>
        </w:tc>
        <w:tc>
          <w:tcPr>
            <w:tcW w:w="1228" w:type="dxa"/>
            <w:tcBorders>
              <w:top w:val="nil"/>
              <w:left w:val="nil"/>
              <w:bottom w:val="single" w:sz="4" w:space="0" w:color="auto"/>
              <w:right w:val="single" w:sz="4" w:space="0" w:color="auto"/>
            </w:tcBorders>
            <w:shd w:val="clear" w:color="auto" w:fill="auto"/>
            <w:noWrap/>
            <w:vAlign w:val="bottom"/>
            <w:hideMark/>
          </w:tcPr>
          <w:p w14:paraId="4D3E0B14" w14:textId="233D8C50"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65 (59%)</w:t>
            </w:r>
          </w:p>
        </w:tc>
        <w:tc>
          <w:tcPr>
            <w:tcW w:w="1195" w:type="dxa"/>
            <w:tcBorders>
              <w:top w:val="nil"/>
              <w:left w:val="nil"/>
              <w:bottom w:val="single" w:sz="4" w:space="0" w:color="auto"/>
              <w:right w:val="single" w:sz="4" w:space="0" w:color="auto"/>
            </w:tcBorders>
            <w:shd w:val="clear" w:color="auto" w:fill="auto"/>
            <w:noWrap/>
            <w:vAlign w:val="bottom"/>
            <w:hideMark/>
          </w:tcPr>
          <w:p w14:paraId="603BEB0F" w14:textId="2D7DD515"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63 (66%)</w:t>
            </w:r>
          </w:p>
        </w:tc>
        <w:tc>
          <w:tcPr>
            <w:tcW w:w="851" w:type="dxa"/>
            <w:tcBorders>
              <w:top w:val="nil"/>
              <w:left w:val="nil"/>
              <w:bottom w:val="single" w:sz="4" w:space="0" w:color="auto"/>
              <w:right w:val="single" w:sz="4" w:space="0" w:color="auto"/>
            </w:tcBorders>
            <w:shd w:val="clear" w:color="auto" w:fill="auto"/>
            <w:noWrap/>
            <w:vAlign w:val="bottom"/>
            <w:hideMark/>
          </w:tcPr>
          <w:p w14:paraId="75B594C2"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0.32</w:t>
            </w:r>
          </w:p>
        </w:tc>
      </w:tr>
      <w:tr w:rsidR="00F363DA" w:rsidRPr="00813425" w14:paraId="2615EE3B" w14:textId="77777777" w:rsidTr="00325727">
        <w:trPr>
          <w:trHeight w:val="230"/>
        </w:trPr>
        <w:tc>
          <w:tcPr>
            <w:tcW w:w="9498" w:type="dxa"/>
            <w:gridSpan w:val="7"/>
            <w:tcBorders>
              <w:top w:val="nil"/>
              <w:left w:val="single" w:sz="4" w:space="0" w:color="auto"/>
              <w:bottom w:val="single" w:sz="4" w:space="0" w:color="auto"/>
              <w:right w:val="single" w:sz="4" w:space="0" w:color="auto"/>
            </w:tcBorders>
            <w:shd w:val="clear" w:color="auto" w:fill="auto"/>
            <w:noWrap/>
            <w:vAlign w:val="bottom"/>
          </w:tcPr>
          <w:p w14:paraId="70B68B96" w14:textId="51B8B8CF" w:rsidR="00F363DA" w:rsidRPr="00813425" w:rsidRDefault="00F363DA" w:rsidP="00F363DA">
            <w:pPr>
              <w:spacing w:after="0" w:line="240" w:lineRule="auto"/>
              <w:rPr>
                <w:rFonts w:ascii="Calibri" w:eastAsia="Times New Roman" w:hAnsi="Calibri" w:cs="Calibri"/>
                <w:b/>
                <w:noProof/>
                <w:sz w:val="16"/>
                <w:szCs w:val="16"/>
                <w:lang w:eastAsia="en-ZW"/>
              </w:rPr>
            </w:pPr>
            <w:r w:rsidRPr="00813425">
              <w:rPr>
                <w:rFonts w:ascii="Calibri" w:eastAsia="Times New Roman" w:hAnsi="Calibri" w:cs="Calibri"/>
                <w:b/>
                <w:noProof/>
                <w:sz w:val="16"/>
                <w:szCs w:val="16"/>
                <w:lang w:eastAsia="en-ZW"/>
              </w:rPr>
              <w:t>Baseline Anthropometry</w:t>
            </w:r>
          </w:p>
        </w:tc>
      </w:tr>
      <w:tr w:rsidR="00F363DA" w:rsidRPr="00813425" w14:paraId="082C3C16" w14:textId="77777777" w:rsidTr="00325727">
        <w:trPr>
          <w:trHeight w:val="230"/>
        </w:trPr>
        <w:tc>
          <w:tcPr>
            <w:tcW w:w="3098" w:type="dxa"/>
            <w:tcBorders>
              <w:top w:val="nil"/>
              <w:left w:val="single" w:sz="4" w:space="0" w:color="auto"/>
              <w:bottom w:val="single" w:sz="4" w:space="0" w:color="auto"/>
              <w:right w:val="single" w:sz="4" w:space="0" w:color="auto"/>
            </w:tcBorders>
            <w:shd w:val="clear" w:color="auto" w:fill="auto"/>
            <w:noWrap/>
            <w:vAlign w:val="bottom"/>
            <w:hideMark/>
          </w:tcPr>
          <w:p w14:paraId="0E2138C8" w14:textId="77777777" w:rsidR="00F363DA" w:rsidRPr="00813425" w:rsidRDefault="00F363DA" w:rsidP="00F363DA">
            <w:pPr>
              <w:spacing w:after="0" w:line="240" w:lineRule="auto"/>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Height, cm, mean(SD)</w:t>
            </w:r>
          </w:p>
        </w:tc>
        <w:tc>
          <w:tcPr>
            <w:tcW w:w="1228" w:type="dxa"/>
            <w:tcBorders>
              <w:top w:val="nil"/>
              <w:left w:val="nil"/>
              <w:bottom w:val="single" w:sz="4" w:space="0" w:color="auto"/>
              <w:right w:val="single" w:sz="4" w:space="0" w:color="auto"/>
            </w:tcBorders>
            <w:shd w:val="clear" w:color="auto" w:fill="auto"/>
            <w:noWrap/>
            <w:vAlign w:val="bottom"/>
            <w:hideMark/>
          </w:tcPr>
          <w:p w14:paraId="2B8C0568"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146.2 (14.5)</w:t>
            </w:r>
          </w:p>
        </w:tc>
        <w:tc>
          <w:tcPr>
            <w:tcW w:w="1096" w:type="dxa"/>
            <w:tcBorders>
              <w:top w:val="nil"/>
              <w:left w:val="nil"/>
              <w:bottom w:val="single" w:sz="4" w:space="0" w:color="auto"/>
              <w:right w:val="single" w:sz="4" w:space="0" w:color="auto"/>
            </w:tcBorders>
            <w:shd w:val="clear" w:color="auto" w:fill="auto"/>
            <w:noWrap/>
            <w:vAlign w:val="bottom"/>
            <w:hideMark/>
          </w:tcPr>
          <w:p w14:paraId="35B83BD3"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140.6 (12.1)</w:t>
            </w:r>
          </w:p>
        </w:tc>
        <w:tc>
          <w:tcPr>
            <w:tcW w:w="802" w:type="dxa"/>
            <w:tcBorders>
              <w:top w:val="nil"/>
              <w:left w:val="nil"/>
              <w:bottom w:val="single" w:sz="4" w:space="0" w:color="auto"/>
              <w:right w:val="single" w:sz="4" w:space="0" w:color="auto"/>
            </w:tcBorders>
            <w:shd w:val="clear" w:color="auto" w:fill="auto"/>
            <w:noWrap/>
            <w:vAlign w:val="bottom"/>
            <w:hideMark/>
          </w:tcPr>
          <w:p w14:paraId="77DBEDB5"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xml:space="preserve"> 0.003</w:t>
            </w:r>
          </w:p>
        </w:tc>
        <w:tc>
          <w:tcPr>
            <w:tcW w:w="1228" w:type="dxa"/>
            <w:tcBorders>
              <w:top w:val="nil"/>
              <w:left w:val="nil"/>
              <w:bottom w:val="single" w:sz="4" w:space="0" w:color="auto"/>
              <w:right w:val="single" w:sz="4" w:space="0" w:color="auto"/>
            </w:tcBorders>
            <w:shd w:val="clear" w:color="auto" w:fill="auto"/>
            <w:noWrap/>
            <w:vAlign w:val="bottom"/>
            <w:hideMark/>
          </w:tcPr>
          <w:p w14:paraId="4B3B33B6"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147.7 (11.6)</w:t>
            </w:r>
          </w:p>
        </w:tc>
        <w:tc>
          <w:tcPr>
            <w:tcW w:w="1195" w:type="dxa"/>
            <w:tcBorders>
              <w:top w:val="nil"/>
              <w:left w:val="nil"/>
              <w:bottom w:val="single" w:sz="4" w:space="0" w:color="auto"/>
              <w:right w:val="single" w:sz="4" w:space="0" w:color="auto"/>
            </w:tcBorders>
            <w:shd w:val="clear" w:color="auto" w:fill="auto"/>
            <w:noWrap/>
            <w:vAlign w:val="bottom"/>
            <w:hideMark/>
          </w:tcPr>
          <w:p w14:paraId="393BA9CE"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139.4 (13.0)</w:t>
            </w:r>
          </w:p>
        </w:tc>
        <w:tc>
          <w:tcPr>
            <w:tcW w:w="851" w:type="dxa"/>
            <w:tcBorders>
              <w:top w:val="nil"/>
              <w:left w:val="nil"/>
              <w:bottom w:val="single" w:sz="4" w:space="0" w:color="auto"/>
              <w:right w:val="single" w:sz="4" w:space="0" w:color="auto"/>
            </w:tcBorders>
            <w:shd w:val="clear" w:color="auto" w:fill="auto"/>
            <w:noWrap/>
            <w:vAlign w:val="bottom"/>
            <w:hideMark/>
          </w:tcPr>
          <w:p w14:paraId="40EE11C3"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&lt;0.001</w:t>
            </w:r>
          </w:p>
        </w:tc>
      </w:tr>
      <w:tr w:rsidR="00F363DA" w:rsidRPr="00813425" w14:paraId="68395E56" w14:textId="77777777" w:rsidTr="00325727">
        <w:trPr>
          <w:trHeight w:val="230"/>
        </w:trPr>
        <w:tc>
          <w:tcPr>
            <w:tcW w:w="3098" w:type="dxa"/>
            <w:tcBorders>
              <w:top w:val="nil"/>
              <w:left w:val="single" w:sz="4" w:space="0" w:color="auto"/>
              <w:bottom w:val="single" w:sz="4" w:space="0" w:color="auto"/>
              <w:right w:val="single" w:sz="4" w:space="0" w:color="auto"/>
            </w:tcBorders>
            <w:shd w:val="clear" w:color="auto" w:fill="auto"/>
            <w:noWrap/>
            <w:vAlign w:val="bottom"/>
            <w:hideMark/>
          </w:tcPr>
          <w:p w14:paraId="2409CE18" w14:textId="4770E4F2" w:rsidR="00F363DA" w:rsidRPr="00813425" w:rsidRDefault="00F363DA" w:rsidP="00F363DA">
            <w:pPr>
              <w:spacing w:after="0" w:line="240" w:lineRule="auto"/>
              <w:rPr>
                <w:rFonts w:ascii="Calibri" w:eastAsia="Times New Roman" w:hAnsi="Calibri" w:cs="Calibri"/>
                <w:noProof/>
                <w:sz w:val="16"/>
                <w:szCs w:val="16"/>
                <w:vertAlign w:val="superscript"/>
                <w:lang w:eastAsia="en-ZW"/>
              </w:rPr>
            </w:pPr>
            <w:bookmarkStart w:id="26" w:name="_Hlk163204446"/>
            <w:r w:rsidRPr="00813425">
              <w:rPr>
                <w:rFonts w:ascii="Calibri" w:eastAsia="Times New Roman" w:hAnsi="Calibri" w:cs="Calibri"/>
                <w:noProof/>
                <w:sz w:val="16"/>
                <w:szCs w:val="16"/>
                <w:lang w:eastAsia="en-ZW"/>
              </w:rPr>
              <w:t>Height for age Z-score, mean</w:t>
            </w:r>
            <w:r w:rsidR="00B67730" w:rsidRPr="00813425">
              <w:rPr>
                <w:rFonts w:ascii="Calibri" w:eastAsia="Times New Roman" w:hAnsi="Calibri" w:cs="Calibri"/>
                <w:noProof/>
                <w:sz w:val="16"/>
                <w:szCs w:val="16"/>
                <w:lang w:eastAsia="en-ZW"/>
              </w:rPr>
              <w:t xml:space="preserve"> </w:t>
            </w:r>
            <w:r w:rsidRPr="00813425">
              <w:rPr>
                <w:rFonts w:ascii="Calibri" w:eastAsia="Times New Roman" w:hAnsi="Calibri" w:cs="Calibri"/>
                <w:noProof/>
                <w:sz w:val="16"/>
                <w:szCs w:val="16"/>
                <w:lang w:eastAsia="en-ZW"/>
              </w:rPr>
              <w:t>(SD)</w:t>
            </w:r>
            <w:r w:rsidR="00325727" w:rsidRPr="00813425">
              <w:rPr>
                <w:rFonts w:ascii="Calibri" w:eastAsia="Times New Roman" w:hAnsi="Calibri" w:cs="Calibri"/>
                <w:b/>
                <w:bCs/>
                <w:noProof/>
                <w:sz w:val="16"/>
                <w:szCs w:val="16"/>
                <w:vertAlign w:val="superscript"/>
                <w:lang w:eastAsia="en-ZW"/>
              </w:rPr>
              <w:t>a</w:t>
            </w:r>
          </w:p>
        </w:tc>
        <w:tc>
          <w:tcPr>
            <w:tcW w:w="1228" w:type="dxa"/>
            <w:tcBorders>
              <w:top w:val="nil"/>
              <w:left w:val="nil"/>
              <w:bottom w:val="single" w:sz="4" w:space="0" w:color="auto"/>
              <w:right w:val="single" w:sz="4" w:space="0" w:color="auto"/>
            </w:tcBorders>
            <w:shd w:val="clear" w:color="auto" w:fill="auto"/>
            <w:noWrap/>
            <w:vAlign w:val="bottom"/>
            <w:hideMark/>
          </w:tcPr>
          <w:p w14:paraId="273427BE"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-0.7 (1.0)</w:t>
            </w:r>
          </w:p>
        </w:tc>
        <w:tc>
          <w:tcPr>
            <w:tcW w:w="1096" w:type="dxa"/>
            <w:tcBorders>
              <w:top w:val="nil"/>
              <w:left w:val="nil"/>
              <w:bottom w:val="single" w:sz="4" w:space="0" w:color="auto"/>
              <w:right w:val="single" w:sz="4" w:space="0" w:color="auto"/>
            </w:tcBorders>
            <w:shd w:val="clear" w:color="auto" w:fill="auto"/>
            <w:noWrap/>
            <w:vAlign w:val="bottom"/>
            <w:hideMark/>
          </w:tcPr>
          <w:p w14:paraId="16E56045"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-1.7 (1.1)</w:t>
            </w:r>
          </w:p>
        </w:tc>
        <w:tc>
          <w:tcPr>
            <w:tcW w:w="802" w:type="dxa"/>
            <w:tcBorders>
              <w:top w:val="nil"/>
              <w:left w:val="nil"/>
              <w:bottom w:val="single" w:sz="4" w:space="0" w:color="auto"/>
              <w:right w:val="single" w:sz="4" w:space="0" w:color="auto"/>
            </w:tcBorders>
            <w:shd w:val="clear" w:color="auto" w:fill="auto"/>
            <w:noWrap/>
            <w:vAlign w:val="bottom"/>
            <w:hideMark/>
          </w:tcPr>
          <w:p w14:paraId="78AAEC0A"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&lt;0.001</w:t>
            </w:r>
          </w:p>
        </w:tc>
        <w:tc>
          <w:tcPr>
            <w:tcW w:w="1228" w:type="dxa"/>
            <w:tcBorders>
              <w:top w:val="nil"/>
              <w:left w:val="nil"/>
              <w:bottom w:val="single" w:sz="4" w:space="0" w:color="auto"/>
              <w:right w:val="single" w:sz="4" w:space="0" w:color="auto"/>
            </w:tcBorders>
            <w:shd w:val="clear" w:color="auto" w:fill="auto"/>
            <w:noWrap/>
            <w:vAlign w:val="bottom"/>
            <w:hideMark/>
          </w:tcPr>
          <w:p w14:paraId="502E2595"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-0.5 (1.1)</w:t>
            </w:r>
          </w:p>
        </w:tc>
        <w:tc>
          <w:tcPr>
            <w:tcW w:w="1195" w:type="dxa"/>
            <w:tcBorders>
              <w:top w:val="nil"/>
              <w:left w:val="nil"/>
              <w:bottom w:val="single" w:sz="4" w:space="0" w:color="auto"/>
              <w:right w:val="single" w:sz="4" w:space="0" w:color="auto"/>
            </w:tcBorders>
            <w:shd w:val="clear" w:color="auto" w:fill="auto"/>
            <w:noWrap/>
            <w:vAlign w:val="bottom"/>
            <w:hideMark/>
          </w:tcPr>
          <w:p w14:paraId="156498FA"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-1.5 (1.0)</w:t>
            </w:r>
          </w:p>
        </w:tc>
        <w:tc>
          <w:tcPr>
            <w:tcW w:w="851" w:type="dxa"/>
            <w:tcBorders>
              <w:top w:val="nil"/>
              <w:left w:val="nil"/>
              <w:bottom w:val="single" w:sz="4" w:space="0" w:color="auto"/>
              <w:right w:val="single" w:sz="4" w:space="0" w:color="auto"/>
            </w:tcBorders>
            <w:shd w:val="clear" w:color="auto" w:fill="auto"/>
            <w:noWrap/>
            <w:vAlign w:val="bottom"/>
            <w:hideMark/>
          </w:tcPr>
          <w:p w14:paraId="4F4D6C1C" w14:textId="77777777" w:rsidR="00F363DA" w:rsidRPr="00813425" w:rsidRDefault="00F363DA" w:rsidP="00F363DA">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&lt;0.001</w:t>
            </w:r>
          </w:p>
        </w:tc>
      </w:tr>
      <w:bookmarkEnd w:id="26"/>
      <w:tr w:rsidR="00325727" w:rsidRPr="00813425" w14:paraId="2B61D56A" w14:textId="77777777" w:rsidTr="00325727">
        <w:trPr>
          <w:trHeight w:val="230"/>
        </w:trPr>
        <w:tc>
          <w:tcPr>
            <w:tcW w:w="3098" w:type="dxa"/>
            <w:tcBorders>
              <w:top w:val="nil"/>
              <w:left w:val="single" w:sz="4" w:space="0" w:color="auto"/>
              <w:bottom w:val="single" w:sz="4" w:space="0" w:color="auto"/>
              <w:right w:val="single" w:sz="4" w:space="0" w:color="auto"/>
            </w:tcBorders>
            <w:shd w:val="clear" w:color="auto" w:fill="auto"/>
            <w:noWrap/>
            <w:vAlign w:val="bottom"/>
          </w:tcPr>
          <w:p w14:paraId="20A050E2" w14:textId="510BF0A1" w:rsidR="00325727" w:rsidRPr="00813425" w:rsidRDefault="00325727" w:rsidP="00325727">
            <w:pPr>
              <w:spacing w:after="0" w:line="240" w:lineRule="auto"/>
              <w:rPr>
                <w:rFonts w:ascii="Calibri" w:eastAsia="Times New Roman" w:hAnsi="Calibri" w:cs="Calibri"/>
                <w:noProof/>
                <w:sz w:val="16"/>
                <w:szCs w:val="16"/>
                <w:vertAlign w:val="superscript"/>
                <w:lang w:eastAsia="en-ZW"/>
              </w:rPr>
            </w:pPr>
            <w:r w:rsidRPr="00813425">
              <w:rPr>
                <w:rFonts w:ascii="Calibri" w:eastAsia="Times New Roman" w:hAnsi="Calibri" w:cs="Calibri"/>
                <w:noProof/>
                <w:sz w:val="16"/>
                <w:szCs w:val="16"/>
                <w:lang w:eastAsia="en-ZW"/>
              </w:rPr>
              <w:t>Height for age Z-score, mean</w:t>
            </w:r>
            <w:r w:rsidR="00B67730" w:rsidRPr="00813425">
              <w:rPr>
                <w:rFonts w:ascii="Calibri" w:eastAsia="Times New Roman" w:hAnsi="Calibri" w:cs="Calibri"/>
                <w:noProof/>
                <w:sz w:val="16"/>
                <w:szCs w:val="16"/>
                <w:lang w:eastAsia="en-ZW"/>
              </w:rPr>
              <w:t xml:space="preserve"> </w:t>
            </w:r>
            <w:r w:rsidRPr="00813425">
              <w:rPr>
                <w:rFonts w:ascii="Calibri" w:eastAsia="Times New Roman" w:hAnsi="Calibri" w:cs="Calibri"/>
                <w:noProof/>
                <w:sz w:val="16"/>
                <w:szCs w:val="16"/>
                <w:lang w:eastAsia="en-ZW"/>
              </w:rPr>
              <w:t>(SD)</w:t>
            </w:r>
            <w:r w:rsidRPr="00813425">
              <w:rPr>
                <w:rFonts w:ascii="Calibri" w:eastAsia="Times New Roman" w:hAnsi="Calibri" w:cs="Calibri"/>
                <w:b/>
                <w:bCs/>
                <w:noProof/>
                <w:sz w:val="16"/>
                <w:szCs w:val="16"/>
                <w:vertAlign w:val="superscript"/>
                <w:lang w:eastAsia="en-ZW"/>
              </w:rPr>
              <w:t>b</w:t>
            </w:r>
          </w:p>
        </w:tc>
        <w:tc>
          <w:tcPr>
            <w:tcW w:w="1228" w:type="dxa"/>
            <w:tcBorders>
              <w:top w:val="nil"/>
              <w:left w:val="nil"/>
              <w:bottom w:val="single" w:sz="4" w:space="0" w:color="auto"/>
              <w:right w:val="single" w:sz="4" w:space="0" w:color="auto"/>
            </w:tcBorders>
            <w:shd w:val="clear" w:color="auto" w:fill="auto"/>
            <w:noWrap/>
            <w:vAlign w:val="bottom"/>
          </w:tcPr>
          <w:p w14:paraId="414BA45A" w14:textId="79411C81" w:rsidR="00325727" w:rsidRPr="00813425" w:rsidRDefault="007B4C19"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0</w:t>
            </w:r>
            <w:r w:rsidR="00325727" w:rsidRPr="00813425">
              <w:rPr>
                <w:rFonts w:ascii="Calibri" w:eastAsia="Times New Roman" w:hAnsi="Calibri" w:cs="Calibri"/>
                <w:noProof/>
                <w:sz w:val="16"/>
                <w:szCs w:val="16"/>
                <w:lang w:eastAsia="en-ZW"/>
              </w:rPr>
              <w:t xml:space="preserve"> (1.</w:t>
            </w:r>
            <w:r w:rsidR="009E6388" w:rsidRPr="00813425">
              <w:rPr>
                <w:rFonts w:ascii="Calibri" w:eastAsia="Times New Roman" w:hAnsi="Calibri" w:cs="Calibri"/>
                <w:noProof/>
                <w:sz w:val="16"/>
                <w:szCs w:val="16"/>
                <w:lang w:eastAsia="en-ZW"/>
              </w:rPr>
              <w:t>5</w:t>
            </w:r>
            <w:r w:rsidR="00325727" w:rsidRPr="00813425">
              <w:rPr>
                <w:rFonts w:ascii="Calibri" w:eastAsia="Times New Roman" w:hAnsi="Calibri" w:cs="Calibri"/>
                <w:noProof/>
                <w:sz w:val="16"/>
                <w:szCs w:val="16"/>
                <w:lang w:eastAsia="en-ZW"/>
              </w:rPr>
              <w:t>)</w:t>
            </w:r>
          </w:p>
        </w:tc>
        <w:tc>
          <w:tcPr>
            <w:tcW w:w="1096" w:type="dxa"/>
            <w:tcBorders>
              <w:top w:val="nil"/>
              <w:left w:val="nil"/>
              <w:bottom w:val="single" w:sz="4" w:space="0" w:color="auto"/>
              <w:right w:val="single" w:sz="4" w:space="0" w:color="auto"/>
            </w:tcBorders>
            <w:shd w:val="clear" w:color="auto" w:fill="auto"/>
            <w:noWrap/>
            <w:vAlign w:val="bottom"/>
          </w:tcPr>
          <w:p w14:paraId="0DECD7A8" w14:textId="40805CC4"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-1.</w:t>
            </w:r>
            <w:r w:rsidR="009E6388" w:rsidRPr="00813425">
              <w:rPr>
                <w:rFonts w:ascii="Calibri" w:eastAsia="Times New Roman" w:hAnsi="Calibri" w:cs="Calibri"/>
                <w:noProof/>
                <w:sz w:val="16"/>
                <w:szCs w:val="16"/>
                <w:lang w:eastAsia="en-ZW"/>
              </w:rPr>
              <w:t>6</w:t>
            </w:r>
            <w:r w:rsidRPr="00813425">
              <w:rPr>
                <w:rFonts w:ascii="Calibri" w:eastAsia="Times New Roman" w:hAnsi="Calibri" w:cs="Calibri"/>
                <w:noProof/>
                <w:sz w:val="16"/>
                <w:szCs w:val="16"/>
                <w:lang w:eastAsia="en-ZW"/>
              </w:rPr>
              <w:t xml:space="preserve"> (1.</w:t>
            </w:r>
            <w:r w:rsidR="009E6388" w:rsidRPr="00813425">
              <w:rPr>
                <w:rFonts w:ascii="Calibri" w:eastAsia="Times New Roman" w:hAnsi="Calibri" w:cs="Calibri"/>
                <w:noProof/>
                <w:sz w:val="16"/>
                <w:szCs w:val="16"/>
                <w:lang w:eastAsia="en-ZW"/>
              </w:rPr>
              <w:t>6</w:t>
            </w:r>
            <w:r w:rsidRPr="00813425">
              <w:rPr>
                <w:rFonts w:ascii="Calibri" w:eastAsia="Times New Roman" w:hAnsi="Calibri" w:cs="Calibri"/>
                <w:noProof/>
                <w:sz w:val="16"/>
                <w:szCs w:val="16"/>
                <w:lang w:eastAsia="en-ZW"/>
              </w:rPr>
              <w:t>)</w:t>
            </w:r>
          </w:p>
        </w:tc>
        <w:tc>
          <w:tcPr>
            <w:tcW w:w="802" w:type="dxa"/>
            <w:tcBorders>
              <w:top w:val="nil"/>
              <w:left w:val="nil"/>
              <w:bottom w:val="single" w:sz="4" w:space="0" w:color="auto"/>
              <w:right w:val="single" w:sz="4" w:space="0" w:color="auto"/>
            </w:tcBorders>
            <w:shd w:val="clear" w:color="auto" w:fill="auto"/>
            <w:noWrap/>
            <w:vAlign w:val="bottom"/>
          </w:tcPr>
          <w:p w14:paraId="5219FC08" w14:textId="6CD0E73C"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&lt;0.001</w:t>
            </w:r>
          </w:p>
        </w:tc>
        <w:tc>
          <w:tcPr>
            <w:tcW w:w="1228" w:type="dxa"/>
            <w:tcBorders>
              <w:top w:val="nil"/>
              <w:left w:val="nil"/>
              <w:bottom w:val="single" w:sz="4" w:space="0" w:color="auto"/>
              <w:right w:val="single" w:sz="4" w:space="0" w:color="auto"/>
            </w:tcBorders>
            <w:shd w:val="clear" w:color="auto" w:fill="auto"/>
            <w:noWrap/>
            <w:vAlign w:val="bottom"/>
          </w:tcPr>
          <w:p w14:paraId="49E69AFE" w14:textId="5ABBF941" w:rsidR="00325727" w:rsidRPr="00813425" w:rsidRDefault="007B4C19"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0</w:t>
            </w:r>
            <w:r w:rsidR="00325727" w:rsidRPr="00813425">
              <w:rPr>
                <w:rFonts w:ascii="Calibri" w:eastAsia="Times New Roman" w:hAnsi="Calibri" w:cs="Calibri"/>
                <w:noProof/>
                <w:sz w:val="16"/>
                <w:szCs w:val="16"/>
                <w:lang w:eastAsia="en-ZW"/>
              </w:rPr>
              <w:t xml:space="preserve"> (1.</w:t>
            </w:r>
            <w:r w:rsidR="009E6388" w:rsidRPr="00813425">
              <w:rPr>
                <w:rFonts w:ascii="Calibri" w:eastAsia="Times New Roman" w:hAnsi="Calibri" w:cs="Calibri"/>
                <w:noProof/>
                <w:sz w:val="16"/>
                <w:szCs w:val="16"/>
                <w:lang w:eastAsia="en-ZW"/>
              </w:rPr>
              <w:t>4</w:t>
            </w:r>
            <w:r w:rsidR="00325727" w:rsidRPr="00813425">
              <w:rPr>
                <w:rFonts w:ascii="Calibri" w:eastAsia="Times New Roman" w:hAnsi="Calibri" w:cs="Calibri"/>
                <w:noProof/>
                <w:sz w:val="16"/>
                <w:szCs w:val="16"/>
                <w:lang w:eastAsia="en-ZW"/>
              </w:rPr>
              <w:t>)</w:t>
            </w:r>
          </w:p>
        </w:tc>
        <w:tc>
          <w:tcPr>
            <w:tcW w:w="1195" w:type="dxa"/>
            <w:tcBorders>
              <w:top w:val="nil"/>
              <w:left w:val="nil"/>
              <w:bottom w:val="single" w:sz="4" w:space="0" w:color="auto"/>
              <w:right w:val="single" w:sz="4" w:space="0" w:color="auto"/>
            </w:tcBorders>
            <w:shd w:val="clear" w:color="auto" w:fill="auto"/>
            <w:noWrap/>
            <w:vAlign w:val="bottom"/>
          </w:tcPr>
          <w:p w14:paraId="2ED4E52E" w14:textId="2252718D"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-1.</w:t>
            </w:r>
            <w:r w:rsidR="009E6388" w:rsidRPr="00813425">
              <w:rPr>
                <w:rFonts w:ascii="Calibri" w:eastAsia="Times New Roman" w:hAnsi="Calibri" w:cs="Calibri"/>
                <w:noProof/>
                <w:sz w:val="16"/>
                <w:szCs w:val="16"/>
                <w:lang w:eastAsia="en-ZW"/>
              </w:rPr>
              <w:t>4</w:t>
            </w:r>
            <w:r w:rsidRPr="00813425">
              <w:rPr>
                <w:rFonts w:ascii="Calibri" w:eastAsia="Times New Roman" w:hAnsi="Calibri" w:cs="Calibri"/>
                <w:noProof/>
                <w:sz w:val="16"/>
                <w:szCs w:val="16"/>
                <w:lang w:eastAsia="en-ZW"/>
              </w:rPr>
              <w:t xml:space="preserve"> (1.</w:t>
            </w:r>
            <w:r w:rsidR="009E6388" w:rsidRPr="00813425">
              <w:rPr>
                <w:rFonts w:ascii="Calibri" w:eastAsia="Times New Roman" w:hAnsi="Calibri" w:cs="Calibri"/>
                <w:noProof/>
                <w:sz w:val="16"/>
                <w:szCs w:val="16"/>
                <w:lang w:eastAsia="en-ZW"/>
              </w:rPr>
              <w:t>5</w:t>
            </w:r>
            <w:r w:rsidRPr="00813425">
              <w:rPr>
                <w:rFonts w:ascii="Calibri" w:eastAsia="Times New Roman" w:hAnsi="Calibri" w:cs="Calibri"/>
                <w:noProof/>
                <w:sz w:val="16"/>
                <w:szCs w:val="16"/>
                <w:lang w:eastAsia="en-ZW"/>
              </w:rPr>
              <w:t>)</w:t>
            </w:r>
          </w:p>
        </w:tc>
        <w:tc>
          <w:tcPr>
            <w:tcW w:w="851" w:type="dxa"/>
            <w:tcBorders>
              <w:top w:val="nil"/>
              <w:left w:val="nil"/>
              <w:bottom w:val="single" w:sz="4" w:space="0" w:color="auto"/>
              <w:right w:val="single" w:sz="4" w:space="0" w:color="auto"/>
            </w:tcBorders>
            <w:shd w:val="clear" w:color="auto" w:fill="auto"/>
            <w:noWrap/>
            <w:vAlign w:val="bottom"/>
          </w:tcPr>
          <w:p w14:paraId="3868E68F" w14:textId="2C3B52E2"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&lt;0.001</w:t>
            </w:r>
          </w:p>
        </w:tc>
      </w:tr>
      <w:tr w:rsidR="00325727" w:rsidRPr="00813425" w14:paraId="6000F973" w14:textId="77777777" w:rsidTr="00325727">
        <w:trPr>
          <w:trHeight w:val="230"/>
        </w:trPr>
        <w:tc>
          <w:tcPr>
            <w:tcW w:w="3098" w:type="dxa"/>
            <w:tcBorders>
              <w:top w:val="nil"/>
              <w:left w:val="single" w:sz="4" w:space="0" w:color="auto"/>
              <w:bottom w:val="single" w:sz="4" w:space="0" w:color="auto"/>
              <w:right w:val="single" w:sz="4" w:space="0" w:color="auto"/>
            </w:tcBorders>
            <w:shd w:val="clear" w:color="auto" w:fill="auto"/>
            <w:noWrap/>
            <w:vAlign w:val="bottom"/>
            <w:hideMark/>
          </w:tcPr>
          <w:p w14:paraId="7BE50638" w14:textId="77777777" w:rsidR="00325727" w:rsidRPr="00813425" w:rsidRDefault="00325727" w:rsidP="00325727">
            <w:pPr>
              <w:spacing w:after="0" w:line="240" w:lineRule="auto"/>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Stunting, %</w:t>
            </w:r>
          </w:p>
        </w:tc>
        <w:tc>
          <w:tcPr>
            <w:tcW w:w="1228" w:type="dxa"/>
            <w:tcBorders>
              <w:top w:val="nil"/>
              <w:left w:val="nil"/>
              <w:bottom w:val="single" w:sz="4" w:space="0" w:color="auto"/>
              <w:right w:val="single" w:sz="4" w:space="0" w:color="auto"/>
            </w:tcBorders>
            <w:shd w:val="clear" w:color="auto" w:fill="auto"/>
            <w:noWrap/>
            <w:vAlign w:val="bottom"/>
            <w:hideMark/>
          </w:tcPr>
          <w:p w14:paraId="1C2C91A6"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8 (7%)</w:t>
            </w:r>
          </w:p>
        </w:tc>
        <w:tc>
          <w:tcPr>
            <w:tcW w:w="1096" w:type="dxa"/>
            <w:tcBorders>
              <w:top w:val="nil"/>
              <w:left w:val="nil"/>
              <w:bottom w:val="single" w:sz="4" w:space="0" w:color="auto"/>
              <w:right w:val="single" w:sz="4" w:space="0" w:color="auto"/>
            </w:tcBorders>
            <w:shd w:val="clear" w:color="auto" w:fill="auto"/>
            <w:noWrap/>
            <w:vAlign w:val="bottom"/>
            <w:hideMark/>
          </w:tcPr>
          <w:p w14:paraId="74DC5828"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33 (33%)</w:t>
            </w:r>
          </w:p>
        </w:tc>
        <w:tc>
          <w:tcPr>
            <w:tcW w:w="802" w:type="dxa"/>
            <w:tcBorders>
              <w:top w:val="nil"/>
              <w:left w:val="nil"/>
              <w:bottom w:val="single" w:sz="4" w:space="0" w:color="auto"/>
              <w:right w:val="single" w:sz="4" w:space="0" w:color="auto"/>
            </w:tcBorders>
            <w:shd w:val="clear" w:color="auto" w:fill="auto"/>
            <w:noWrap/>
            <w:vAlign w:val="bottom"/>
            <w:hideMark/>
          </w:tcPr>
          <w:p w14:paraId="442EE1FA"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&lt;0.001</w:t>
            </w:r>
          </w:p>
        </w:tc>
        <w:tc>
          <w:tcPr>
            <w:tcW w:w="1228" w:type="dxa"/>
            <w:tcBorders>
              <w:top w:val="nil"/>
              <w:left w:val="nil"/>
              <w:bottom w:val="single" w:sz="4" w:space="0" w:color="auto"/>
              <w:right w:val="single" w:sz="4" w:space="0" w:color="auto"/>
            </w:tcBorders>
            <w:shd w:val="clear" w:color="auto" w:fill="auto"/>
            <w:noWrap/>
            <w:vAlign w:val="bottom"/>
            <w:hideMark/>
          </w:tcPr>
          <w:p w14:paraId="55A01FF1"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10 (9%)</w:t>
            </w:r>
          </w:p>
        </w:tc>
        <w:tc>
          <w:tcPr>
            <w:tcW w:w="1195" w:type="dxa"/>
            <w:tcBorders>
              <w:top w:val="nil"/>
              <w:left w:val="nil"/>
              <w:bottom w:val="single" w:sz="4" w:space="0" w:color="auto"/>
              <w:right w:val="single" w:sz="4" w:space="0" w:color="auto"/>
            </w:tcBorders>
            <w:shd w:val="clear" w:color="auto" w:fill="auto"/>
            <w:noWrap/>
            <w:vAlign w:val="bottom"/>
            <w:hideMark/>
          </w:tcPr>
          <w:p w14:paraId="7AF63E82"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25 (26%)</w:t>
            </w:r>
          </w:p>
        </w:tc>
        <w:tc>
          <w:tcPr>
            <w:tcW w:w="851" w:type="dxa"/>
            <w:tcBorders>
              <w:top w:val="nil"/>
              <w:left w:val="nil"/>
              <w:bottom w:val="single" w:sz="4" w:space="0" w:color="auto"/>
              <w:right w:val="single" w:sz="4" w:space="0" w:color="auto"/>
            </w:tcBorders>
            <w:shd w:val="clear" w:color="auto" w:fill="auto"/>
            <w:noWrap/>
            <w:vAlign w:val="bottom"/>
            <w:hideMark/>
          </w:tcPr>
          <w:p w14:paraId="53C8F8E3"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&lt;0.001</w:t>
            </w:r>
          </w:p>
        </w:tc>
      </w:tr>
      <w:tr w:rsidR="00325727" w:rsidRPr="00813425" w14:paraId="30D32EFD" w14:textId="77777777" w:rsidTr="00325727">
        <w:trPr>
          <w:trHeight w:val="230"/>
        </w:trPr>
        <w:tc>
          <w:tcPr>
            <w:tcW w:w="3098" w:type="dxa"/>
            <w:tcBorders>
              <w:top w:val="nil"/>
              <w:left w:val="single" w:sz="4" w:space="0" w:color="auto"/>
              <w:bottom w:val="single" w:sz="4" w:space="0" w:color="auto"/>
              <w:right w:val="single" w:sz="4" w:space="0" w:color="auto"/>
            </w:tcBorders>
            <w:shd w:val="clear" w:color="auto" w:fill="auto"/>
            <w:noWrap/>
            <w:vAlign w:val="bottom"/>
            <w:hideMark/>
          </w:tcPr>
          <w:p w14:paraId="206E9A94" w14:textId="668CB5CD" w:rsidR="00325727" w:rsidRPr="00813425" w:rsidRDefault="00325727" w:rsidP="00325727">
            <w:pPr>
              <w:spacing w:after="0" w:line="240" w:lineRule="auto"/>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Weight, kgs, mean</w:t>
            </w:r>
            <w:r w:rsidR="00B67730" w:rsidRPr="00813425">
              <w:rPr>
                <w:rFonts w:ascii="Calibri" w:eastAsia="Times New Roman" w:hAnsi="Calibri" w:cs="Calibri"/>
                <w:noProof/>
                <w:sz w:val="16"/>
                <w:szCs w:val="16"/>
                <w:lang w:eastAsia="en-ZW"/>
              </w:rPr>
              <w:t xml:space="preserve"> </w:t>
            </w:r>
            <w:r w:rsidRPr="00813425">
              <w:rPr>
                <w:rFonts w:ascii="Calibri" w:eastAsia="Times New Roman" w:hAnsi="Calibri" w:cs="Calibri"/>
                <w:noProof/>
                <w:sz w:val="16"/>
                <w:szCs w:val="16"/>
                <w:lang w:eastAsia="en-ZW"/>
              </w:rPr>
              <w:t>(SD)</w:t>
            </w:r>
          </w:p>
        </w:tc>
        <w:tc>
          <w:tcPr>
            <w:tcW w:w="1228" w:type="dxa"/>
            <w:tcBorders>
              <w:top w:val="nil"/>
              <w:left w:val="nil"/>
              <w:bottom w:val="single" w:sz="4" w:space="0" w:color="auto"/>
              <w:right w:val="single" w:sz="4" w:space="0" w:color="auto"/>
            </w:tcBorders>
            <w:shd w:val="clear" w:color="auto" w:fill="auto"/>
            <w:noWrap/>
            <w:vAlign w:val="bottom"/>
            <w:hideMark/>
          </w:tcPr>
          <w:p w14:paraId="4E2CE586"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37.1 (11.0)</w:t>
            </w:r>
          </w:p>
        </w:tc>
        <w:tc>
          <w:tcPr>
            <w:tcW w:w="1096" w:type="dxa"/>
            <w:tcBorders>
              <w:top w:val="nil"/>
              <w:left w:val="nil"/>
              <w:bottom w:val="single" w:sz="4" w:space="0" w:color="auto"/>
              <w:right w:val="single" w:sz="4" w:space="0" w:color="auto"/>
            </w:tcBorders>
            <w:shd w:val="clear" w:color="auto" w:fill="auto"/>
            <w:noWrap/>
            <w:vAlign w:val="bottom"/>
            <w:hideMark/>
          </w:tcPr>
          <w:p w14:paraId="2B6E23A4"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33.2 (7.7)</w:t>
            </w:r>
          </w:p>
        </w:tc>
        <w:tc>
          <w:tcPr>
            <w:tcW w:w="802" w:type="dxa"/>
            <w:tcBorders>
              <w:top w:val="nil"/>
              <w:left w:val="nil"/>
              <w:bottom w:val="single" w:sz="4" w:space="0" w:color="auto"/>
              <w:right w:val="single" w:sz="4" w:space="0" w:color="auto"/>
            </w:tcBorders>
            <w:shd w:val="clear" w:color="auto" w:fill="auto"/>
            <w:noWrap/>
            <w:vAlign w:val="bottom"/>
            <w:hideMark/>
          </w:tcPr>
          <w:p w14:paraId="3B5A1BE0"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xml:space="preserve"> 0.004</w:t>
            </w:r>
          </w:p>
        </w:tc>
        <w:tc>
          <w:tcPr>
            <w:tcW w:w="1228" w:type="dxa"/>
            <w:tcBorders>
              <w:top w:val="nil"/>
              <w:left w:val="nil"/>
              <w:bottom w:val="single" w:sz="4" w:space="0" w:color="auto"/>
              <w:right w:val="single" w:sz="4" w:space="0" w:color="auto"/>
            </w:tcBorders>
            <w:shd w:val="clear" w:color="auto" w:fill="auto"/>
            <w:noWrap/>
            <w:vAlign w:val="bottom"/>
            <w:hideMark/>
          </w:tcPr>
          <w:p w14:paraId="0AEC3D4A"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42.8 (13.1)</w:t>
            </w:r>
          </w:p>
        </w:tc>
        <w:tc>
          <w:tcPr>
            <w:tcW w:w="1195" w:type="dxa"/>
            <w:tcBorders>
              <w:top w:val="nil"/>
              <w:left w:val="nil"/>
              <w:bottom w:val="single" w:sz="4" w:space="0" w:color="auto"/>
              <w:right w:val="single" w:sz="4" w:space="0" w:color="auto"/>
            </w:tcBorders>
            <w:shd w:val="clear" w:color="auto" w:fill="auto"/>
            <w:noWrap/>
            <w:vAlign w:val="bottom"/>
            <w:hideMark/>
          </w:tcPr>
          <w:p w14:paraId="23F7FC5A"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34.3 (10.3)</w:t>
            </w:r>
          </w:p>
        </w:tc>
        <w:tc>
          <w:tcPr>
            <w:tcW w:w="851" w:type="dxa"/>
            <w:tcBorders>
              <w:top w:val="nil"/>
              <w:left w:val="nil"/>
              <w:bottom w:val="single" w:sz="4" w:space="0" w:color="auto"/>
              <w:right w:val="single" w:sz="4" w:space="0" w:color="auto"/>
            </w:tcBorders>
            <w:shd w:val="clear" w:color="auto" w:fill="auto"/>
            <w:noWrap/>
            <w:vAlign w:val="bottom"/>
            <w:hideMark/>
          </w:tcPr>
          <w:p w14:paraId="7B98D292"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&lt;0.001</w:t>
            </w:r>
          </w:p>
        </w:tc>
      </w:tr>
      <w:tr w:rsidR="00325727" w:rsidRPr="00813425" w14:paraId="6717D53B" w14:textId="77777777" w:rsidTr="00325727">
        <w:trPr>
          <w:trHeight w:val="230"/>
        </w:trPr>
        <w:tc>
          <w:tcPr>
            <w:tcW w:w="3098" w:type="dxa"/>
            <w:tcBorders>
              <w:top w:val="nil"/>
              <w:left w:val="single" w:sz="4" w:space="0" w:color="auto"/>
              <w:bottom w:val="single" w:sz="4" w:space="0" w:color="auto"/>
              <w:right w:val="single" w:sz="4" w:space="0" w:color="auto"/>
            </w:tcBorders>
            <w:shd w:val="clear" w:color="auto" w:fill="auto"/>
            <w:noWrap/>
            <w:vAlign w:val="bottom"/>
            <w:hideMark/>
          </w:tcPr>
          <w:p w14:paraId="30BE74CE" w14:textId="521B2CB9" w:rsidR="00325727" w:rsidRPr="00813425" w:rsidRDefault="00325727" w:rsidP="00325727">
            <w:pPr>
              <w:spacing w:after="0" w:line="240" w:lineRule="auto"/>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Weight for age Z-score, mean</w:t>
            </w:r>
            <w:r w:rsidR="00B67730" w:rsidRPr="00813425">
              <w:rPr>
                <w:rFonts w:ascii="Calibri" w:eastAsia="Times New Roman" w:hAnsi="Calibri" w:cs="Calibri"/>
                <w:noProof/>
                <w:sz w:val="16"/>
                <w:szCs w:val="16"/>
                <w:lang w:eastAsia="en-ZW"/>
              </w:rPr>
              <w:t xml:space="preserve"> </w:t>
            </w:r>
            <w:r w:rsidRPr="00813425">
              <w:rPr>
                <w:rFonts w:ascii="Calibri" w:eastAsia="Times New Roman" w:hAnsi="Calibri" w:cs="Calibri"/>
                <w:noProof/>
                <w:sz w:val="16"/>
                <w:szCs w:val="16"/>
                <w:lang w:eastAsia="en-ZW"/>
              </w:rPr>
              <w:t>(SD)</w:t>
            </w:r>
          </w:p>
        </w:tc>
        <w:tc>
          <w:tcPr>
            <w:tcW w:w="1228" w:type="dxa"/>
            <w:tcBorders>
              <w:top w:val="nil"/>
              <w:left w:val="nil"/>
              <w:bottom w:val="single" w:sz="4" w:space="0" w:color="auto"/>
              <w:right w:val="single" w:sz="4" w:space="0" w:color="auto"/>
            </w:tcBorders>
            <w:shd w:val="clear" w:color="auto" w:fill="auto"/>
            <w:noWrap/>
            <w:vAlign w:val="bottom"/>
            <w:hideMark/>
          </w:tcPr>
          <w:p w14:paraId="1593D4F6"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-0.8 (1.0)</w:t>
            </w:r>
          </w:p>
        </w:tc>
        <w:tc>
          <w:tcPr>
            <w:tcW w:w="1096" w:type="dxa"/>
            <w:tcBorders>
              <w:top w:val="nil"/>
              <w:left w:val="nil"/>
              <w:bottom w:val="single" w:sz="4" w:space="0" w:color="auto"/>
              <w:right w:val="single" w:sz="4" w:space="0" w:color="auto"/>
            </w:tcBorders>
            <w:shd w:val="clear" w:color="auto" w:fill="auto"/>
            <w:noWrap/>
            <w:vAlign w:val="bottom"/>
            <w:hideMark/>
          </w:tcPr>
          <w:p w14:paraId="635D97D7"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-1.6 (1.2)</w:t>
            </w:r>
          </w:p>
        </w:tc>
        <w:tc>
          <w:tcPr>
            <w:tcW w:w="802" w:type="dxa"/>
            <w:tcBorders>
              <w:top w:val="nil"/>
              <w:left w:val="nil"/>
              <w:bottom w:val="single" w:sz="4" w:space="0" w:color="auto"/>
              <w:right w:val="single" w:sz="4" w:space="0" w:color="auto"/>
            </w:tcBorders>
            <w:shd w:val="clear" w:color="auto" w:fill="auto"/>
            <w:noWrap/>
            <w:vAlign w:val="bottom"/>
            <w:hideMark/>
          </w:tcPr>
          <w:p w14:paraId="1896EEF8"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&lt;0.001</w:t>
            </w:r>
          </w:p>
        </w:tc>
        <w:tc>
          <w:tcPr>
            <w:tcW w:w="1228" w:type="dxa"/>
            <w:tcBorders>
              <w:top w:val="nil"/>
              <w:left w:val="nil"/>
              <w:bottom w:val="single" w:sz="4" w:space="0" w:color="auto"/>
              <w:right w:val="single" w:sz="4" w:space="0" w:color="auto"/>
            </w:tcBorders>
            <w:shd w:val="clear" w:color="auto" w:fill="auto"/>
            <w:noWrap/>
            <w:vAlign w:val="bottom"/>
            <w:hideMark/>
          </w:tcPr>
          <w:p w14:paraId="715A6E17"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-0.2 (1.1)</w:t>
            </w:r>
          </w:p>
        </w:tc>
        <w:tc>
          <w:tcPr>
            <w:tcW w:w="1195" w:type="dxa"/>
            <w:tcBorders>
              <w:top w:val="nil"/>
              <w:left w:val="nil"/>
              <w:bottom w:val="single" w:sz="4" w:space="0" w:color="auto"/>
              <w:right w:val="single" w:sz="4" w:space="0" w:color="auto"/>
            </w:tcBorders>
            <w:shd w:val="clear" w:color="auto" w:fill="auto"/>
            <w:noWrap/>
            <w:vAlign w:val="bottom"/>
            <w:hideMark/>
          </w:tcPr>
          <w:p w14:paraId="353E6BEE"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-1.3 (1.1)</w:t>
            </w:r>
          </w:p>
        </w:tc>
        <w:tc>
          <w:tcPr>
            <w:tcW w:w="851" w:type="dxa"/>
            <w:tcBorders>
              <w:top w:val="nil"/>
              <w:left w:val="nil"/>
              <w:bottom w:val="single" w:sz="4" w:space="0" w:color="auto"/>
              <w:right w:val="single" w:sz="4" w:space="0" w:color="auto"/>
            </w:tcBorders>
            <w:shd w:val="clear" w:color="auto" w:fill="auto"/>
            <w:noWrap/>
            <w:vAlign w:val="bottom"/>
            <w:hideMark/>
          </w:tcPr>
          <w:p w14:paraId="36BF61CD"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&lt;0.001</w:t>
            </w:r>
          </w:p>
        </w:tc>
      </w:tr>
      <w:tr w:rsidR="00325727" w:rsidRPr="00813425" w14:paraId="10B0F9A9" w14:textId="77777777" w:rsidTr="00325727">
        <w:trPr>
          <w:trHeight w:val="230"/>
        </w:trPr>
        <w:tc>
          <w:tcPr>
            <w:tcW w:w="3098" w:type="dxa"/>
            <w:tcBorders>
              <w:top w:val="nil"/>
              <w:left w:val="single" w:sz="4" w:space="0" w:color="auto"/>
              <w:bottom w:val="single" w:sz="4" w:space="0" w:color="auto"/>
              <w:right w:val="single" w:sz="4" w:space="0" w:color="auto"/>
            </w:tcBorders>
            <w:shd w:val="clear" w:color="auto" w:fill="auto"/>
            <w:noWrap/>
            <w:vAlign w:val="bottom"/>
            <w:hideMark/>
          </w:tcPr>
          <w:p w14:paraId="185C1785" w14:textId="77777777" w:rsidR="00325727" w:rsidRPr="00813425" w:rsidRDefault="00325727" w:rsidP="00325727">
            <w:pPr>
              <w:spacing w:after="0" w:line="240" w:lineRule="auto"/>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Underweight, %</w:t>
            </w:r>
          </w:p>
        </w:tc>
        <w:tc>
          <w:tcPr>
            <w:tcW w:w="1228" w:type="dxa"/>
            <w:tcBorders>
              <w:top w:val="nil"/>
              <w:left w:val="nil"/>
              <w:bottom w:val="single" w:sz="4" w:space="0" w:color="auto"/>
              <w:right w:val="single" w:sz="4" w:space="0" w:color="auto"/>
            </w:tcBorders>
            <w:shd w:val="clear" w:color="auto" w:fill="auto"/>
            <w:noWrap/>
            <w:vAlign w:val="bottom"/>
            <w:hideMark/>
          </w:tcPr>
          <w:p w14:paraId="1FFF100D"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12 (11%)</w:t>
            </w:r>
          </w:p>
        </w:tc>
        <w:tc>
          <w:tcPr>
            <w:tcW w:w="1096" w:type="dxa"/>
            <w:tcBorders>
              <w:top w:val="nil"/>
              <w:left w:val="nil"/>
              <w:bottom w:val="single" w:sz="4" w:space="0" w:color="auto"/>
              <w:right w:val="single" w:sz="4" w:space="0" w:color="auto"/>
            </w:tcBorders>
            <w:shd w:val="clear" w:color="auto" w:fill="auto"/>
            <w:noWrap/>
            <w:vAlign w:val="bottom"/>
            <w:hideMark/>
          </w:tcPr>
          <w:p w14:paraId="1717882F"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29 (29%)</w:t>
            </w:r>
          </w:p>
        </w:tc>
        <w:tc>
          <w:tcPr>
            <w:tcW w:w="802" w:type="dxa"/>
            <w:tcBorders>
              <w:top w:val="nil"/>
              <w:left w:val="nil"/>
              <w:bottom w:val="single" w:sz="4" w:space="0" w:color="auto"/>
              <w:right w:val="single" w:sz="4" w:space="0" w:color="auto"/>
            </w:tcBorders>
            <w:shd w:val="clear" w:color="auto" w:fill="auto"/>
            <w:noWrap/>
            <w:vAlign w:val="bottom"/>
            <w:hideMark/>
          </w:tcPr>
          <w:p w14:paraId="7CD03528"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&lt;0.001</w:t>
            </w:r>
          </w:p>
        </w:tc>
        <w:tc>
          <w:tcPr>
            <w:tcW w:w="1228" w:type="dxa"/>
            <w:tcBorders>
              <w:top w:val="nil"/>
              <w:left w:val="nil"/>
              <w:bottom w:val="single" w:sz="4" w:space="0" w:color="auto"/>
              <w:right w:val="single" w:sz="4" w:space="0" w:color="auto"/>
            </w:tcBorders>
            <w:shd w:val="clear" w:color="auto" w:fill="auto"/>
            <w:noWrap/>
            <w:vAlign w:val="bottom"/>
            <w:hideMark/>
          </w:tcPr>
          <w:p w14:paraId="5A9447AD"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7 (6%)</w:t>
            </w:r>
          </w:p>
        </w:tc>
        <w:tc>
          <w:tcPr>
            <w:tcW w:w="1195" w:type="dxa"/>
            <w:tcBorders>
              <w:top w:val="nil"/>
              <w:left w:val="nil"/>
              <w:bottom w:val="single" w:sz="4" w:space="0" w:color="auto"/>
              <w:right w:val="single" w:sz="4" w:space="0" w:color="auto"/>
            </w:tcBorders>
            <w:shd w:val="clear" w:color="auto" w:fill="auto"/>
            <w:noWrap/>
            <w:vAlign w:val="bottom"/>
            <w:hideMark/>
          </w:tcPr>
          <w:p w14:paraId="058E9357"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19 (20%)</w:t>
            </w:r>
          </w:p>
        </w:tc>
        <w:tc>
          <w:tcPr>
            <w:tcW w:w="851" w:type="dxa"/>
            <w:tcBorders>
              <w:top w:val="nil"/>
              <w:left w:val="nil"/>
              <w:bottom w:val="single" w:sz="4" w:space="0" w:color="auto"/>
              <w:right w:val="single" w:sz="4" w:space="0" w:color="auto"/>
            </w:tcBorders>
            <w:shd w:val="clear" w:color="auto" w:fill="auto"/>
            <w:noWrap/>
            <w:vAlign w:val="bottom"/>
            <w:hideMark/>
          </w:tcPr>
          <w:p w14:paraId="49B71BC4"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xml:space="preserve"> 0.003</w:t>
            </w:r>
          </w:p>
        </w:tc>
      </w:tr>
      <w:tr w:rsidR="00325727" w:rsidRPr="00813425" w14:paraId="6FB70510" w14:textId="77777777" w:rsidTr="00325727">
        <w:trPr>
          <w:trHeight w:val="230"/>
        </w:trPr>
        <w:tc>
          <w:tcPr>
            <w:tcW w:w="3098" w:type="dxa"/>
            <w:tcBorders>
              <w:top w:val="nil"/>
              <w:left w:val="single" w:sz="4" w:space="0" w:color="auto"/>
              <w:bottom w:val="single" w:sz="4" w:space="0" w:color="auto"/>
              <w:right w:val="single" w:sz="4" w:space="0" w:color="auto"/>
            </w:tcBorders>
            <w:shd w:val="clear" w:color="auto" w:fill="auto"/>
            <w:noWrap/>
            <w:vAlign w:val="bottom"/>
            <w:hideMark/>
          </w:tcPr>
          <w:p w14:paraId="7066787F" w14:textId="77777777" w:rsidR="00325727" w:rsidRPr="00813425" w:rsidRDefault="00325727" w:rsidP="00325727">
            <w:pPr>
              <w:spacing w:after="0" w:line="240" w:lineRule="auto"/>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Body mass index, kg/cm²</w:t>
            </w:r>
          </w:p>
        </w:tc>
        <w:tc>
          <w:tcPr>
            <w:tcW w:w="1228" w:type="dxa"/>
            <w:tcBorders>
              <w:top w:val="nil"/>
              <w:left w:val="nil"/>
              <w:bottom w:val="single" w:sz="4" w:space="0" w:color="auto"/>
              <w:right w:val="single" w:sz="4" w:space="0" w:color="auto"/>
            </w:tcBorders>
            <w:shd w:val="clear" w:color="auto" w:fill="auto"/>
            <w:noWrap/>
            <w:vAlign w:val="bottom"/>
            <w:hideMark/>
          </w:tcPr>
          <w:p w14:paraId="26299181"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16.9 (2.2)</w:t>
            </w:r>
          </w:p>
        </w:tc>
        <w:tc>
          <w:tcPr>
            <w:tcW w:w="1096" w:type="dxa"/>
            <w:tcBorders>
              <w:top w:val="nil"/>
              <w:left w:val="nil"/>
              <w:bottom w:val="single" w:sz="4" w:space="0" w:color="auto"/>
              <w:right w:val="single" w:sz="4" w:space="0" w:color="auto"/>
            </w:tcBorders>
            <w:shd w:val="clear" w:color="auto" w:fill="auto"/>
            <w:noWrap/>
            <w:vAlign w:val="bottom"/>
            <w:hideMark/>
          </w:tcPr>
          <w:p w14:paraId="23BFD4F6"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16.5 (1.4)</w:t>
            </w:r>
          </w:p>
        </w:tc>
        <w:tc>
          <w:tcPr>
            <w:tcW w:w="802" w:type="dxa"/>
            <w:tcBorders>
              <w:top w:val="nil"/>
              <w:left w:val="nil"/>
              <w:bottom w:val="single" w:sz="4" w:space="0" w:color="auto"/>
              <w:right w:val="single" w:sz="4" w:space="0" w:color="auto"/>
            </w:tcBorders>
            <w:shd w:val="clear" w:color="auto" w:fill="auto"/>
            <w:noWrap/>
            <w:vAlign w:val="bottom"/>
            <w:hideMark/>
          </w:tcPr>
          <w:p w14:paraId="1159A5B4"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0.17</w:t>
            </w:r>
          </w:p>
        </w:tc>
        <w:tc>
          <w:tcPr>
            <w:tcW w:w="1228" w:type="dxa"/>
            <w:tcBorders>
              <w:top w:val="nil"/>
              <w:left w:val="nil"/>
              <w:bottom w:val="single" w:sz="4" w:space="0" w:color="auto"/>
              <w:right w:val="single" w:sz="4" w:space="0" w:color="auto"/>
            </w:tcBorders>
            <w:shd w:val="clear" w:color="auto" w:fill="auto"/>
            <w:noWrap/>
            <w:vAlign w:val="bottom"/>
            <w:hideMark/>
          </w:tcPr>
          <w:p w14:paraId="3736B70B"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19.1 (3.8)</w:t>
            </w:r>
          </w:p>
        </w:tc>
        <w:tc>
          <w:tcPr>
            <w:tcW w:w="1195" w:type="dxa"/>
            <w:tcBorders>
              <w:top w:val="nil"/>
              <w:left w:val="nil"/>
              <w:bottom w:val="single" w:sz="4" w:space="0" w:color="auto"/>
              <w:right w:val="single" w:sz="4" w:space="0" w:color="auto"/>
            </w:tcBorders>
            <w:shd w:val="clear" w:color="auto" w:fill="auto"/>
            <w:noWrap/>
            <w:vAlign w:val="bottom"/>
            <w:hideMark/>
          </w:tcPr>
          <w:p w14:paraId="4918F3DE"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17.2 (2.5)</w:t>
            </w:r>
          </w:p>
        </w:tc>
        <w:tc>
          <w:tcPr>
            <w:tcW w:w="851" w:type="dxa"/>
            <w:tcBorders>
              <w:top w:val="nil"/>
              <w:left w:val="nil"/>
              <w:bottom w:val="single" w:sz="4" w:space="0" w:color="auto"/>
              <w:right w:val="single" w:sz="4" w:space="0" w:color="auto"/>
            </w:tcBorders>
            <w:shd w:val="clear" w:color="auto" w:fill="auto"/>
            <w:noWrap/>
            <w:vAlign w:val="bottom"/>
            <w:hideMark/>
          </w:tcPr>
          <w:p w14:paraId="5D506171"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&lt;0.001</w:t>
            </w:r>
          </w:p>
        </w:tc>
      </w:tr>
      <w:tr w:rsidR="00325727" w:rsidRPr="00813425" w14:paraId="347B9911" w14:textId="77777777" w:rsidTr="00325727">
        <w:trPr>
          <w:trHeight w:val="230"/>
        </w:trPr>
        <w:tc>
          <w:tcPr>
            <w:tcW w:w="3098" w:type="dxa"/>
            <w:tcBorders>
              <w:top w:val="nil"/>
              <w:left w:val="single" w:sz="4" w:space="0" w:color="auto"/>
              <w:bottom w:val="single" w:sz="4" w:space="0" w:color="auto"/>
              <w:right w:val="single" w:sz="4" w:space="0" w:color="auto"/>
            </w:tcBorders>
            <w:shd w:val="clear" w:color="auto" w:fill="auto"/>
            <w:noWrap/>
            <w:vAlign w:val="bottom"/>
            <w:hideMark/>
          </w:tcPr>
          <w:p w14:paraId="5B4A2EEC" w14:textId="778FA60C" w:rsidR="00325727" w:rsidRPr="00813425" w:rsidRDefault="00325727" w:rsidP="00325727">
            <w:pPr>
              <w:spacing w:after="0" w:line="240" w:lineRule="auto"/>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Body mass index Z-scores, mean</w:t>
            </w:r>
            <w:r w:rsidR="00B67730" w:rsidRPr="00813425">
              <w:rPr>
                <w:rFonts w:ascii="Calibri" w:eastAsia="Times New Roman" w:hAnsi="Calibri" w:cs="Calibri"/>
                <w:noProof/>
                <w:sz w:val="16"/>
                <w:szCs w:val="16"/>
                <w:lang w:eastAsia="en-ZW"/>
              </w:rPr>
              <w:t xml:space="preserve"> </w:t>
            </w:r>
            <w:r w:rsidRPr="00813425">
              <w:rPr>
                <w:rFonts w:ascii="Calibri" w:eastAsia="Times New Roman" w:hAnsi="Calibri" w:cs="Calibri"/>
                <w:noProof/>
                <w:sz w:val="16"/>
                <w:szCs w:val="16"/>
                <w:lang w:eastAsia="en-ZW"/>
              </w:rPr>
              <w:t>(SD)</w:t>
            </w:r>
          </w:p>
        </w:tc>
        <w:tc>
          <w:tcPr>
            <w:tcW w:w="1228" w:type="dxa"/>
            <w:tcBorders>
              <w:top w:val="nil"/>
              <w:left w:val="nil"/>
              <w:bottom w:val="single" w:sz="4" w:space="0" w:color="auto"/>
              <w:right w:val="single" w:sz="4" w:space="0" w:color="auto"/>
            </w:tcBorders>
            <w:shd w:val="clear" w:color="auto" w:fill="auto"/>
            <w:noWrap/>
            <w:vAlign w:val="bottom"/>
            <w:hideMark/>
          </w:tcPr>
          <w:p w14:paraId="47F6F42B"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-0.6 (1.0)</w:t>
            </w:r>
          </w:p>
        </w:tc>
        <w:tc>
          <w:tcPr>
            <w:tcW w:w="1096" w:type="dxa"/>
            <w:tcBorders>
              <w:top w:val="nil"/>
              <w:left w:val="nil"/>
              <w:bottom w:val="single" w:sz="4" w:space="0" w:color="auto"/>
              <w:right w:val="single" w:sz="4" w:space="0" w:color="auto"/>
            </w:tcBorders>
            <w:shd w:val="clear" w:color="auto" w:fill="auto"/>
            <w:noWrap/>
            <w:vAlign w:val="bottom"/>
            <w:hideMark/>
          </w:tcPr>
          <w:p w14:paraId="6801E6B1"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-0.8 (0.8)</w:t>
            </w:r>
          </w:p>
        </w:tc>
        <w:tc>
          <w:tcPr>
            <w:tcW w:w="802" w:type="dxa"/>
            <w:tcBorders>
              <w:top w:val="nil"/>
              <w:left w:val="nil"/>
              <w:bottom w:val="single" w:sz="4" w:space="0" w:color="auto"/>
              <w:right w:val="single" w:sz="4" w:space="0" w:color="auto"/>
            </w:tcBorders>
            <w:shd w:val="clear" w:color="auto" w:fill="auto"/>
            <w:noWrap/>
            <w:vAlign w:val="bottom"/>
            <w:hideMark/>
          </w:tcPr>
          <w:p w14:paraId="2BFC02AC"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xml:space="preserve"> 0.086</w:t>
            </w:r>
          </w:p>
        </w:tc>
        <w:tc>
          <w:tcPr>
            <w:tcW w:w="1228" w:type="dxa"/>
            <w:tcBorders>
              <w:top w:val="nil"/>
              <w:left w:val="nil"/>
              <w:bottom w:val="single" w:sz="4" w:space="0" w:color="auto"/>
              <w:right w:val="single" w:sz="4" w:space="0" w:color="auto"/>
            </w:tcBorders>
            <w:shd w:val="clear" w:color="auto" w:fill="auto"/>
            <w:noWrap/>
            <w:vAlign w:val="bottom"/>
            <w:hideMark/>
          </w:tcPr>
          <w:p w14:paraId="7DFF4950"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0.0 (1.2)</w:t>
            </w:r>
          </w:p>
        </w:tc>
        <w:tc>
          <w:tcPr>
            <w:tcW w:w="1195" w:type="dxa"/>
            <w:tcBorders>
              <w:top w:val="nil"/>
              <w:left w:val="nil"/>
              <w:bottom w:val="single" w:sz="4" w:space="0" w:color="auto"/>
              <w:right w:val="single" w:sz="4" w:space="0" w:color="auto"/>
            </w:tcBorders>
            <w:shd w:val="clear" w:color="auto" w:fill="auto"/>
            <w:noWrap/>
            <w:vAlign w:val="bottom"/>
            <w:hideMark/>
          </w:tcPr>
          <w:p w14:paraId="45AC712E"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-0.6 (0.9)</w:t>
            </w:r>
          </w:p>
        </w:tc>
        <w:tc>
          <w:tcPr>
            <w:tcW w:w="851" w:type="dxa"/>
            <w:tcBorders>
              <w:top w:val="nil"/>
              <w:left w:val="nil"/>
              <w:bottom w:val="single" w:sz="4" w:space="0" w:color="auto"/>
              <w:right w:val="single" w:sz="4" w:space="0" w:color="auto"/>
            </w:tcBorders>
            <w:shd w:val="clear" w:color="auto" w:fill="auto"/>
            <w:noWrap/>
            <w:vAlign w:val="bottom"/>
            <w:hideMark/>
          </w:tcPr>
          <w:p w14:paraId="037ED9F1"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&lt;0.001</w:t>
            </w:r>
          </w:p>
        </w:tc>
      </w:tr>
      <w:tr w:rsidR="00325727" w:rsidRPr="00813425" w14:paraId="5E8BCBE0" w14:textId="77777777" w:rsidTr="00325727">
        <w:trPr>
          <w:trHeight w:val="230"/>
        </w:trPr>
        <w:tc>
          <w:tcPr>
            <w:tcW w:w="3098" w:type="dxa"/>
            <w:tcBorders>
              <w:top w:val="nil"/>
              <w:left w:val="single" w:sz="4" w:space="0" w:color="auto"/>
              <w:bottom w:val="single" w:sz="4" w:space="0" w:color="auto"/>
              <w:right w:val="single" w:sz="4" w:space="0" w:color="auto"/>
            </w:tcBorders>
            <w:shd w:val="clear" w:color="auto" w:fill="auto"/>
            <w:noWrap/>
            <w:vAlign w:val="bottom"/>
            <w:hideMark/>
          </w:tcPr>
          <w:p w14:paraId="04ABE298" w14:textId="77777777" w:rsidR="00325727" w:rsidRPr="00813425" w:rsidRDefault="00325727" w:rsidP="00325727">
            <w:pPr>
              <w:spacing w:after="0" w:line="240" w:lineRule="auto"/>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Wasting, %</w:t>
            </w:r>
          </w:p>
        </w:tc>
        <w:tc>
          <w:tcPr>
            <w:tcW w:w="1228" w:type="dxa"/>
            <w:tcBorders>
              <w:top w:val="nil"/>
              <w:left w:val="nil"/>
              <w:bottom w:val="single" w:sz="4" w:space="0" w:color="auto"/>
              <w:right w:val="single" w:sz="4" w:space="0" w:color="auto"/>
            </w:tcBorders>
            <w:shd w:val="clear" w:color="auto" w:fill="auto"/>
            <w:noWrap/>
            <w:vAlign w:val="bottom"/>
            <w:hideMark/>
          </w:tcPr>
          <w:p w14:paraId="51208449"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9 (8%)</w:t>
            </w:r>
          </w:p>
        </w:tc>
        <w:tc>
          <w:tcPr>
            <w:tcW w:w="1096" w:type="dxa"/>
            <w:tcBorders>
              <w:top w:val="nil"/>
              <w:left w:val="nil"/>
              <w:bottom w:val="single" w:sz="4" w:space="0" w:color="auto"/>
              <w:right w:val="single" w:sz="4" w:space="0" w:color="auto"/>
            </w:tcBorders>
            <w:shd w:val="clear" w:color="auto" w:fill="auto"/>
            <w:noWrap/>
            <w:vAlign w:val="bottom"/>
            <w:hideMark/>
          </w:tcPr>
          <w:p w14:paraId="677FBEA8"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7 (7%)</w:t>
            </w:r>
          </w:p>
        </w:tc>
        <w:tc>
          <w:tcPr>
            <w:tcW w:w="802" w:type="dxa"/>
            <w:tcBorders>
              <w:top w:val="nil"/>
              <w:left w:val="nil"/>
              <w:bottom w:val="single" w:sz="4" w:space="0" w:color="auto"/>
              <w:right w:val="single" w:sz="4" w:space="0" w:color="auto"/>
            </w:tcBorders>
            <w:shd w:val="clear" w:color="auto" w:fill="auto"/>
            <w:noWrap/>
            <w:vAlign w:val="bottom"/>
            <w:hideMark/>
          </w:tcPr>
          <w:p w14:paraId="2AC22094"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0.79</w:t>
            </w:r>
          </w:p>
        </w:tc>
        <w:tc>
          <w:tcPr>
            <w:tcW w:w="1228" w:type="dxa"/>
            <w:tcBorders>
              <w:top w:val="nil"/>
              <w:left w:val="nil"/>
              <w:bottom w:val="single" w:sz="4" w:space="0" w:color="auto"/>
              <w:right w:val="single" w:sz="4" w:space="0" w:color="auto"/>
            </w:tcBorders>
            <w:shd w:val="clear" w:color="auto" w:fill="auto"/>
            <w:noWrap/>
            <w:vAlign w:val="bottom"/>
            <w:hideMark/>
          </w:tcPr>
          <w:p w14:paraId="746896AB"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3 (3%)</w:t>
            </w:r>
          </w:p>
        </w:tc>
        <w:tc>
          <w:tcPr>
            <w:tcW w:w="1195" w:type="dxa"/>
            <w:tcBorders>
              <w:top w:val="nil"/>
              <w:left w:val="nil"/>
              <w:bottom w:val="single" w:sz="4" w:space="0" w:color="auto"/>
              <w:right w:val="single" w:sz="4" w:space="0" w:color="auto"/>
            </w:tcBorders>
            <w:shd w:val="clear" w:color="auto" w:fill="auto"/>
            <w:noWrap/>
            <w:vAlign w:val="bottom"/>
            <w:hideMark/>
          </w:tcPr>
          <w:p w14:paraId="6B691435"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7 (7%)</w:t>
            </w:r>
          </w:p>
        </w:tc>
        <w:tc>
          <w:tcPr>
            <w:tcW w:w="851" w:type="dxa"/>
            <w:tcBorders>
              <w:top w:val="nil"/>
              <w:left w:val="nil"/>
              <w:bottom w:val="single" w:sz="4" w:space="0" w:color="auto"/>
              <w:right w:val="single" w:sz="4" w:space="0" w:color="auto"/>
            </w:tcBorders>
            <w:shd w:val="clear" w:color="auto" w:fill="auto"/>
            <w:noWrap/>
            <w:vAlign w:val="bottom"/>
            <w:hideMark/>
          </w:tcPr>
          <w:p w14:paraId="39391949"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0.12</w:t>
            </w:r>
          </w:p>
        </w:tc>
      </w:tr>
      <w:tr w:rsidR="00325727" w:rsidRPr="00813425" w14:paraId="3C7AF4F6" w14:textId="77777777" w:rsidTr="00325727">
        <w:trPr>
          <w:trHeight w:val="230"/>
        </w:trPr>
        <w:tc>
          <w:tcPr>
            <w:tcW w:w="3098" w:type="dxa"/>
            <w:tcBorders>
              <w:top w:val="nil"/>
              <w:left w:val="single" w:sz="4" w:space="0" w:color="auto"/>
              <w:bottom w:val="single" w:sz="4" w:space="0" w:color="auto"/>
              <w:right w:val="single" w:sz="4" w:space="0" w:color="auto"/>
            </w:tcBorders>
            <w:shd w:val="clear" w:color="auto" w:fill="auto"/>
            <w:noWrap/>
            <w:vAlign w:val="bottom"/>
          </w:tcPr>
          <w:p w14:paraId="210B4BAC" w14:textId="5CE20954" w:rsidR="00325727" w:rsidRPr="00813425" w:rsidRDefault="00325727" w:rsidP="00325727">
            <w:pPr>
              <w:spacing w:after="0" w:line="240" w:lineRule="auto"/>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Tibia length, mm, mean</w:t>
            </w:r>
            <w:r w:rsidR="00B67730" w:rsidRPr="00813425">
              <w:rPr>
                <w:rFonts w:ascii="Calibri" w:eastAsia="Times New Roman" w:hAnsi="Calibri" w:cs="Calibri"/>
                <w:noProof/>
                <w:sz w:val="16"/>
                <w:szCs w:val="16"/>
                <w:lang w:eastAsia="en-ZW"/>
              </w:rPr>
              <w:t xml:space="preserve"> </w:t>
            </w:r>
            <w:r w:rsidRPr="00813425">
              <w:rPr>
                <w:rFonts w:ascii="Calibri" w:eastAsia="Times New Roman" w:hAnsi="Calibri" w:cs="Calibri"/>
                <w:noProof/>
                <w:sz w:val="16"/>
                <w:szCs w:val="16"/>
                <w:lang w:eastAsia="en-ZW"/>
              </w:rPr>
              <w:t>(SD)</w:t>
            </w:r>
          </w:p>
        </w:tc>
        <w:tc>
          <w:tcPr>
            <w:tcW w:w="1228" w:type="dxa"/>
            <w:tcBorders>
              <w:top w:val="nil"/>
              <w:left w:val="nil"/>
              <w:bottom w:val="single" w:sz="4" w:space="0" w:color="auto"/>
              <w:right w:val="single" w:sz="4" w:space="0" w:color="auto"/>
            </w:tcBorders>
            <w:shd w:val="clear" w:color="auto" w:fill="auto"/>
            <w:noWrap/>
          </w:tcPr>
          <w:p w14:paraId="4962CA6B" w14:textId="1BE4F24B"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sz w:val="16"/>
                <w:szCs w:val="16"/>
              </w:rPr>
              <w:t>341.7 (47.3)</w:t>
            </w:r>
          </w:p>
        </w:tc>
        <w:tc>
          <w:tcPr>
            <w:tcW w:w="1096" w:type="dxa"/>
            <w:tcBorders>
              <w:top w:val="nil"/>
              <w:left w:val="nil"/>
              <w:bottom w:val="single" w:sz="4" w:space="0" w:color="auto"/>
              <w:right w:val="single" w:sz="4" w:space="0" w:color="auto"/>
            </w:tcBorders>
            <w:shd w:val="clear" w:color="auto" w:fill="auto"/>
            <w:noWrap/>
          </w:tcPr>
          <w:p w14:paraId="6DFC48E7" w14:textId="392FD660"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sz w:val="16"/>
                <w:szCs w:val="16"/>
              </w:rPr>
              <w:t>327.6 (36.1)</w:t>
            </w:r>
          </w:p>
        </w:tc>
        <w:tc>
          <w:tcPr>
            <w:tcW w:w="802" w:type="dxa"/>
            <w:tcBorders>
              <w:top w:val="nil"/>
              <w:left w:val="nil"/>
              <w:bottom w:val="single" w:sz="4" w:space="0" w:color="auto"/>
              <w:right w:val="single" w:sz="4" w:space="0" w:color="auto"/>
            </w:tcBorders>
            <w:shd w:val="clear" w:color="auto" w:fill="auto"/>
            <w:noWrap/>
          </w:tcPr>
          <w:p w14:paraId="0285C48D" w14:textId="7B400460"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sz w:val="16"/>
                <w:szCs w:val="16"/>
              </w:rPr>
              <w:t>0.017</w:t>
            </w:r>
          </w:p>
        </w:tc>
        <w:tc>
          <w:tcPr>
            <w:tcW w:w="1228" w:type="dxa"/>
            <w:tcBorders>
              <w:top w:val="nil"/>
              <w:left w:val="nil"/>
              <w:bottom w:val="single" w:sz="4" w:space="0" w:color="auto"/>
              <w:right w:val="single" w:sz="4" w:space="0" w:color="auto"/>
            </w:tcBorders>
            <w:shd w:val="clear" w:color="auto" w:fill="auto"/>
            <w:noWrap/>
          </w:tcPr>
          <w:p w14:paraId="60D207CC" w14:textId="61F4DF78"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sz w:val="16"/>
                <w:szCs w:val="16"/>
              </w:rPr>
              <w:t>344.7 (37.6)</w:t>
            </w:r>
          </w:p>
        </w:tc>
        <w:tc>
          <w:tcPr>
            <w:tcW w:w="1195" w:type="dxa"/>
            <w:tcBorders>
              <w:top w:val="nil"/>
              <w:left w:val="nil"/>
              <w:bottom w:val="single" w:sz="4" w:space="0" w:color="auto"/>
              <w:right w:val="single" w:sz="4" w:space="0" w:color="auto"/>
            </w:tcBorders>
            <w:shd w:val="clear" w:color="auto" w:fill="auto"/>
            <w:noWrap/>
          </w:tcPr>
          <w:p w14:paraId="74820E40" w14:textId="0A2DDD88"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sz w:val="16"/>
                <w:szCs w:val="16"/>
              </w:rPr>
              <w:t>323.5 (39.2)</w:t>
            </w:r>
          </w:p>
        </w:tc>
        <w:tc>
          <w:tcPr>
            <w:tcW w:w="851" w:type="dxa"/>
            <w:tcBorders>
              <w:top w:val="nil"/>
              <w:left w:val="nil"/>
              <w:bottom w:val="single" w:sz="4" w:space="0" w:color="auto"/>
              <w:right w:val="single" w:sz="4" w:space="0" w:color="auto"/>
            </w:tcBorders>
            <w:shd w:val="clear" w:color="auto" w:fill="auto"/>
            <w:noWrap/>
          </w:tcPr>
          <w:p w14:paraId="3C69A8BB" w14:textId="1C986334"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sz w:val="16"/>
                <w:szCs w:val="16"/>
              </w:rPr>
              <w:t>&lt;0.001</w:t>
            </w:r>
          </w:p>
        </w:tc>
      </w:tr>
      <w:tr w:rsidR="00325727" w:rsidRPr="00813425" w14:paraId="45CC4923" w14:textId="77777777" w:rsidTr="00325727">
        <w:trPr>
          <w:trHeight w:val="230"/>
        </w:trPr>
        <w:tc>
          <w:tcPr>
            <w:tcW w:w="9498" w:type="dxa"/>
            <w:gridSpan w:val="7"/>
            <w:tcBorders>
              <w:top w:val="nil"/>
              <w:left w:val="single" w:sz="4" w:space="0" w:color="auto"/>
              <w:bottom w:val="single" w:sz="4" w:space="0" w:color="auto"/>
              <w:right w:val="single" w:sz="4" w:space="0" w:color="auto"/>
            </w:tcBorders>
            <w:shd w:val="clear" w:color="auto" w:fill="auto"/>
            <w:noWrap/>
            <w:vAlign w:val="bottom"/>
          </w:tcPr>
          <w:p w14:paraId="680C9566" w14:textId="5D95446C" w:rsidR="00325727" w:rsidRPr="00813425" w:rsidRDefault="00325727" w:rsidP="00325727">
            <w:pPr>
              <w:spacing w:after="0" w:line="240" w:lineRule="auto"/>
              <w:rPr>
                <w:rFonts w:ascii="Calibri" w:eastAsia="Times New Roman" w:hAnsi="Calibri" w:cs="Calibri"/>
                <w:b/>
                <w:noProof/>
                <w:sz w:val="16"/>
                <w:szCs w:val="16"/>
                <w:lang w:eastAsia="en-ZW"/>
              </w:rPr>
            </w:pPr>
            <w:r w:rsidRPr="00813425">
              <w:rPr>
                <w:rFonts w:ascii="Calibri" w:eastAsia="Times New Roman" w:hAnsi="Calibri" w:cs="Calibri"/>
                <w:b/>
                <w:noProof/>
                <w:sz w:val="16"/>
                <w:szCs w:val="16"/>
                <w:lang w:eastAsia="en-ZW"/>
              </w:rPr>
              <w:t>Change in anthropometry</w:t>
            </w:r>
          </w:p>
        </w:tc>
      </w:tr>
      <w:tr w:rsidR="00325727" w:rsidRPr="00813425" w14:paraId="412DFB5E" w14:textId="77777777" w:rsidTr="00325727">
        <w:trPr>
          <w:trHeight w:val="230"/>
        </w:trPr>
        <w:tc>
          <w:tcPr>
            <w:tcW w:w="3098" w:type="dxa"/>
            <w:tcBorders>
              <w:top w:val="nil"/>
              <w:left w:val="single" w:sz="4" w:space="0" w:color="auto"/>
              <w:bottom w:val="single" w:sz="4" w:space="0" w:color="auto"/>
              <w:right w:val="single" w:sz="4" w:space="0" w:color="auto"/>
            </w:tcBorders>
            <w:shd w:val="clear" w:color="auto" w:fill="auto"/>
            <w:noWrap/>
            <w:vAlign w:val="bottom"/>
            <w:hideMark/>
          </w:tcPr>
          <w:p w14:paraId="1A0257C7" w14:textId="1666BF99" w:rsidR="00325727" w:rsidRPr="00813425" w:rsidRDefault="00325727" w:rsidP="00325727">
            <w:pPr>
              <w:spacing w:after="0" w:line="240" w:lineRule="auto"/>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Height, cm, mean</w:t>
            </w:r>
            <w:r w:rsidR="00B67730" w:rsidRPr="00813425">
              <w:rPr>
                <w:rFonts w:ascii="Calibri" w:eastAsia="Times New Roman" w:hAnsi="Calibri" w:cs="Calibri"/>
                <w:noProof/>
                <w:sz w:val="16"/>
                <w:szCs w:val="16"/>
                <w:lang w:eastAsia="en-ZW"/>
              </w:rPr>
              <w:t xml:space="preserve"> </w:t>
            </w:r>
            <w:r w:rsidRPr="00813425">
              <w:rPr>
                <w:rFonts w:ascii="Calibri" w:eastAsia="Times New Roman" w:hAnsi="Calibri" w:cs="Calibri"/>
                <w:noProof/>
                <w:sz w:val="16"/>
                <w:szCs w:val="16"/>
                <w:lang w:eastAsia="en-ZW"/>
              </w:rPr>
              <w:t>(SD)</w:t>
            </w:r>
          </w:p>
        </w:tc>
        <w:tc>
          <w:tcPr>
            <w:tcW w:w="1228" w:type="dxa"/>
            <w:tcBorders>
              <w:top w:val="nil"/>
              <w:left w:val="nil"/>
              <w:bottom w:val="single" w:sz="4" w:space="0" w:color="auto"/>
              <w:right w:val="single" w:sz="4" w:space="0" w:color="auto"/>
            </w:tcBorders>
            <w:shd w:val="clear" w:color="auto" w:fill="auto"/>
            <w:noWrap/>
            <w:vAlign w:val="bottom"/>
            <w:hideMark/>
          </w:tcPr>
          <w:p w14:paraId="66EE37FF"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5.0 (2.4)</w:t>
            </w:r>
          </w:p>
        </w:tc>
        <w:tc>
          <w:tcPr>
            <w:tcW w:w="1096" w:type="dxa"/>
            <w:tcBorders>
              <w:top w:val="nil"/>
              <w:left w:val="nil"/>
              <w:bottom w:val="single" w:sz="4" w:space="0" w:color="auto"/>
              <w:right w:val="single" w:sz="4" w:space="0" w:color="auto"/>
            </w:tcBorders>
            <w:shd w:val="clear" w:color="auto" w:fill="auto"/>
            <w:noWrap/>
            <w:vAlign w:val="bottom"/>
            <w:hideMark/>
          </w:tcPr>
          <w:p w14:paraId="5BE70F25"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6.8 (4.7)</w:t>
            </w:r>
          </w:p>
        </w:tc>
        <w:tc>
          <w:tcPr>
            <w:tcW w:w="802" w:type="dxa"/>
            <w:tcBorders>
              <w:top w:val="nil"/>
              <w:left w:val="nil"/>
              <w:bottom w:val="single" w:sz="4" w:space="0" w:color="auto"/>
              <w:right w:val="single" w:sz="4" w:space="0" w:color="auto"/>
            </w:tcBorders>
            <w:shd w:val="clear" w:color="auto" w:fill="auto"/>
            <w:noWrap/>
            <w:vAlign w:val="bottom"/>
            <w:hideMark/>
          </w:tcPr>
          <w:p w14:paraId="4A3CF2A8"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&lt;0.001</w:t>
            </w:r>
          </w:p>
        </w:tc>
        <w:tc>
          <w:tcPr>
            <w:tcW w:w="1228" w:type="dxa"/>
            <w:tcBorders>
              <w:top w:val="nil"/>
              <w:left w:val="nil"/>
              <w:bottom w:val="single" w:sz="4" w:space="0" w:color="auto"/>
              <w:right w:val="single" w:sz="4" w:space="0" w:color="auto"/>
            </w:tcBorders>
            <w:shd w:val="clear" w:color="auto" w:fill="auto"/>
            <w:noWrap/>
            <w:vAlign w:val="bottom"/>
            <w:hideMark/>
          </w:tcPr>
          <w:p w14:paraId="1F35E64F"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3.7 (3.3)</w:t>
            </w:r>
          </w:p>
        </w:tc>
        <w:tc>
          <w:tcPr>
            <w:tcW w:w="1195" w:type="dxa"/>
            <w:tcBorders>
              <w:top w:val="nil"/>
              <w:left w:val="nil"/>
              <w:bottom w:val="single" w:sz="4" w:space="0" w:color="auto"/>
              <w:right w:val="single" w:sz="4" w:space="0" w:color="auto"/>
            </w:tcBorders>
            <w:shd w:val="clear" w:color="auto" w:fill="auto"/>
            <w:noWrap/>
            <w:vAlign w:val="bottom"/>
            <w:hideMark/>
          </w:tcPr>
          <w:p w14:paraId="71D11EEA"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4.9 (3.0)</w:t>
            </w:r>
          </w:p>
        </w:tc>
        <w:tc>
          <w:tcPr>
            <w:tcW w:w="851" w:type="dxa"/>
            <w:tcBorders>
              <w:top w:val="nil"/>
              <w:left w:val="nil"/>
              <w:bottom w:val="single" w:sz="4" w:space="0" w:color="auto"/>
              <w:right w:val="single" w:sz="4" w:space="0" w:color="auto"/>
            </w:tcBorders>
            <w:shd w:val="clear" w:color="auto" w:fill="auto"/>
            <w:noWrap/>
            <w:vAlign w:val="bottom"/>
            <w:hideMark/>
          </w:tcPr>
          <w:p w14:paraId="7E9BFC60"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xml:space="preserve"> 0.005</w:t>
            </w:r>
          </w:p>
        </w:tc>
      </w:tr>
      <w:tr w:rsidR="00325727" w:rsidRPr="00813425" w14:paraId="1E33A383" w14:textId="77777777" w:rsidTr="00325727">
        <w:trPr>
          <w:trHeight w:val="230"/>
        </w:trPr>
        <w:tc>
          <w:tcPr>
            <w:tcW w:w="3098" w:type="dxa"/>
            <w:tcBorders>
              <w:top w:val="nil"/>
              <w:left w:val="single" w:sz="4" w:space="0" w:color="auto"/>
              <w:bottom w:val="single" w:sz="4" w:space="0" w:color="auto"/>
              <w:right w:val="single" w:sz="4" w:space="0" w:color="auto"/>
            </w:tcBorders>
            <w:shd w:val="clear" w:color="auto" w:fill="auto"/>
            <w:noWrap/>
            <w:vAlign w:val="bottom"/>
            <w:hideMark/>
          </w:tcPr>
          <w:p w14:paraId="1C110ECE" w14:textId="7ED10734" w:rsidR="00325727" w:rsidRPr="00813425" w:rsidRDefault="00325727" w:rsidP="00325727">
            <w:pPr>
              <w:spacing w:after="0" w:line="240" w:lineRule="auto"/>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Weight, kgs, mean</w:t>
            </w:r>
            <w:r w:rsidR="00B67730" w:rsidRPr="00813425">
              <w:rPr>
                <w:rFonts w:ascii="Calibri" w:eastAsia="Times New Roman" w:hAnsi="Calibri" w:cs="Calibri"/>
                <w:noProof/>
                <w:sz w:val="16"/>
                <w:szCs w:val="16"/>
                <w:lang w:eastAsia="en-ZW"/>
              </w:rPr>
              <w:t xml:space="preserve"> </w:t>
            </w:r>
            <w:r w:rsidRPr="00813425">
              <w:rPr>
                <w:rFonts w:ascii="Calibri" w:eastAsia="Times New Roman" w:hAnsi="Calibri" w:cs="Calibri"/>
                <w:noProof/>
                <w:sz w:val="16"/>
                <w:szCs w:val="16"/>
                <w:lang w:eastAsia="en-ZW"/>
              </w:rPr>
              <w:t>(SD)</w:t>
            </w:r>
          </w:p>
        </w:tc>
        <w:tc>
          <w:tcPr>
            <w:tcW w:w="1228" w:type="dxa"/>
            <w:tcBorders>
              <w:top w:val="nil"/>
              <w:left w:val="nil"/>
              <w:bottom w:val="single" w:sz="4" w:space="0" w:color="auto"/>
              <w:right w:val="single" w:sz="4" w:space="0" w:color="auto"/>
            </w:tcBorders>
            <w:shd w:val="clear" w:color="auto" w:fill="auto"/>
            <w:noWrap/>
            <w:vAlign w:val="bottom"/>
            <w:hideMark/>
          </w:tcPr>
          <w:p w14:paraId="5571BD84"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4.0 (2.4)</w:t>
            </w:r>
          </w:p>
        </w:tc>
        <w:tc>
          <w:tcPr>
            <w:tcW w:w="1096" w:type="dxa"/>
            <w:tcBorders>
              <w:top w:val="nil"/>
              <w:left w:val="nil"/>
              <w:bottom w:val="single" w:sz="4" w:space="0" w:color="auto"/>
              <w:right w:val="single" w:sz="4" w:space="0" w:color="auto"/>
            </w:tcBorders>
            <w:shd w:val="clear" w:color="auto" w:fill="auto"/>
            <w:noWrap/>
            <w:vAlign w:val="bottom"/>
            <w:hideMark/>
          </w:tcPr>
          <w:p w14:paraId="07805224"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4.3 (3.1)</w:t>
            </w:r>
          </w:p>
        </w:tc>
        <w:tc>
          <w:tcPr>
            <w:tcW w:w="802" w:type="dxa"/>
            <w:tcBorders>
              <w:top w:val="nil"/>
              <w:left w:val="nil"/>
              <w:bottom w:val="single" w:sz="4" w:space="0" w:color="auto"/>
              <w:right w:val="single" w:sz="4" w:space="0" w:color="auto"/>
            </w:tcBorders>
            <w:shd w:val="clear" w:color="auto" w:fill="auto"/>
            <w:noWrap/>
            <w:vAlign w:val="bottom"/>
            <w:hideMark/>
          </w:tcPr>
          <w:p w14:paraId="60DBD2BE"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0.53</w:t>
            </w:r>
          </w:p>
        </w:tc>
        <w:tc>
          <w:tcPr>
            <w:tcW w:w="1228" w:type="dxa"/>
            <w:tcBorders>
              <w:top w:val="nil"/>
              <w:left w:val="nil"/>
              <w:bottom w:val="single" w:sz="4" w:space="0" w:color="auto"/>
              <w:right w:val="single" w:sz="4" w:space="0" w:color="auto"/>
            </w:tcBorders>
            <w:shd w:val="clear" w:color="auto" w:fill="auto"/>
            <w:noWrap/>
            <w:vAlign w:val="bottom"/>
            <w:hideMark/>
          </w:tcPr>
          <w:p w14:paraId="6C30AE8B"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3.9 (3.5)</w:t>
            </w:r>
          </w:p>
        </w:tc>
        <w:tc>
          <w:tcPr>
            <w:tcW w:w="1195" w:type="dxa"/>
            <w:tcBorders>
              <w:top w:val="nil"/>
              <w:left w:val="nil"/>
              <w:bottom w:val="single" w:sz="4" w:space="0" w:color="auto"/>
              <w:right w:val="single" w:sz="4" w:space="0" w:color="auto"/>
            </w:tcBorders>
            <w:shd w:val="clear" w:color="auto" w:fill="auto"/>
            <w:noWrap/>
            <w:vAlign w:val="bottom"/>
            <w:hideMark/>
          </w:tcPr>
          <w:p w14:paraId="22A4FD70"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4.1 (3.3)</w:t>
            </w:r>
          </w:p>
        </w:tc>
        <w:tc>
          <w:tcPr>
            <w:tcW w:w="851" w:type="dxa"/>
            <w:tcBorders>
              <w:top w:val="nil"/>
              <w:left w:val="nil"/>
              <w:bottom w:val="single" w:sz="4" w:space="0" w:color="auto"/>
              <w:right w:val="single" w:sz="4" w:space="0" w:color="auto"/>
            </w:tcBorders>
            <w:shd w:val="clear" w:color="auto" w:fill="auto"/>
            <w:noWrap/>
            <w:vAlign w:val="bottom"/>
            <w:hideMark/>
          </w:tcPr>
          <w:p w14:paraId="2E9B7DBE"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0.6</w:t>
            </w:r>
          </w:p>
        </w:tc>
      </w:tr>
      <w:tr w:rsidR="00325727" w:rsidRPr="00813425" w14:paraId="37FBA61E" w14:textId="77777777" w:rsidTr="00325727">
        <w:trPr>
          <w:trHeight w:val="230"/>
        </w:trPr>
        <w:tc>
          <w:tcPr>
            <w:tcW w:w="3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4A8FD" w14:textId="3F2774F4" w:rsidR="00325727" w:rsidRPr="00813425" w:rsidRDefault="00325727" w:rsidP="00325727">
            <w:pPr>
              <w:spacing w:after="0" w:line="240" w:lineRule="auto"/>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Body mass index, kg/cm², mean</w:t>
            </w:r>
            <w:r w:rsidR="00B67730" w:rsidRPr="00813425">
              <w:rPr>
                <w:rFonts w:ascii="Calibri" w:eastAsia="Times New Roman" w:hAnsi="Calibri" w:cs="Calibri"/>
                <w:noProof/>
                <w:sz w:val="16"/>
                <w:szCs w:val="16"/>
                <w:lang w:eastAsia="en-ZW"/>
              </w:rPr>
              <w:t xml:space="preserve"> </w:t>
            </w:r>
            <w:r w:rsidRPr="00813425">
              <w:rPr>
                <w:rFonts w:ascii="Calibri" w:eastAsia="Times New Roman" w:hAnsi="Calibri" w:cs="Calibri"/>
                <w:noProof/>
                <w:sz w:val="16"/>
                <w:szCs w:val="16"/>
                <w:lang w:eastAsia="en-ZW"/>
              </w:rPr>
              <w:t>(SD)</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A3C7EE"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0.7 (0.8)</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9BD04"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0.4 (0.8)</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52E33"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 xml:space="preserve"> 0.029</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A3C03"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0.9 (1.2)</w:t>
            </w:r>
          </w:p>
        </w:tc>
        <w:tc>
          <w:tcPr>
            <w:tcW w:w="11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CFEA2"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0.8 (1.3)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C14186" w14:textId="77777777"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0.83</w:t>
            </w:r>
          </w:p>
        </w:tc>
      </w:tr>
      <w:tr w:rsidR="00325727" w:rsidRPr="00813425" w14:paraId="1E30BE62" w14:textId="77777777" w:rsidTr="00325727">
        <w:trPr>
          <w:trHeight w:val="230"/>
        </w:trPr>
        <w:tc>
          <w:tcPr>
            <w:tcW w:w="30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DE5766" w14:textId="67BE9BAA" w:rsidR="00325727" w:rsidRPr="00813425" w:rsidRDefault="00325727" w:rsidP="00325727">
            <w:pPr>
              <w:spacing w:after="0" w:line="240" w:lineRule="auto"/>
              <w:rPr>
                <w:rFonts w:ascii="Calibri" w:eastAsia="Times New Roman" w:hAnsi="Calibri" w:cs="Calibri"/>
                <w:noProof/>
                <w:sz w:val="16"/>
                <w:szCs w:val="16"/>
                <w:lang w:eastAsia="en-ZW"/>
              </w:rPr>
            </w:pPr>
            <w:r w:rsidRPr="00813425">
              <w:rPr>
                <w:rFonts w:ascii="Calibri" w:eastAsia="Times New Roman" w:hAnsi="Calibri" w:cs="Calibri"/>
                <w:noProof/>
                <w:sz w:val="16"/>
                <w:szCs w:val="16"/>
                <w:lang w:eastAsia="en-ZW"/>
              </w:rPr>
              <w:t>Tibia length, mm, mean</w:t>
            </w:r>
            <w:r w:rsidR="00B67730" w:rsidRPr="00813425">
              <w:rPr>
                <w:rFonts w:ascii="Calibri" w:eastAsia="Times New Roman" w:hAnsi="Calibri" w:cs="Calibri"/>
                <w:noProof/>
                <w:sz w:val="16"/>
                <w:szCs w:val="16"/>
                <w:lang w:eastAsia="en-ZW"/>
              </w:rPr>
              <w:t xml:space="preserve"> </w:t>
            </w:r>
            <w:r w:rsidRPr="00813425">
              <w:rPr>
                <w:rFonts w:ascii="Calibri" w:eastAsia="Times New Roman" w:hAnsi="Calibri" w:cs="Calibri"/>
                <w:noProof/>
                <w:sz w:val="16"/>
                <w:szCs w:val="16"/>
                <w:lang w:eastAsia="en-ZW"/>
              </w:rPr>
              <w:t>(SD)</w:t>
            </w:r>
          </w:p>
        </w:tc>
        <w:tc>
          <w:tcPr>
            <w:tcW w:w="1228" w:type="dxa"/>
            <w:tcBorders>
              <w:top w:val="single" w:sz="4" w:space="0" w:color="auto"/>
              <w:left w:val="single" w:sz="4" w:space="0" w:color="auto"/>
              <w:bottom w:val="single" w:sz="4" w:space="0" w:color="auto"/>
              <w:right w:val="single" w:sz="4" w:space="0" w:color="auto"/>
            </w:tcBorders>
            <w:shd w:val="clear" w:color="auto" w:fill="auto"/>
            <w:noWrap/>
          </w:tcPr>
          <w:p w14:paraId="15CBCB02" w14:textId="1735C2EF"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sz w:val="16"/>
                <w:szCs w:val="16"/>
              </w:rPr>
              <w:t>20.3 (21.6)</w:t>
            </w:r>
          </w:p>
        </w:tc>
        <w:tc>
          <w:tcPr>
            <w:tcW w:w="1096" w:type="dxa"/>
            <w:tcBorders>
              <w:top w:val="single" w:sz="4" w:space="0" w:color="auto"/>
              <w:left w:val="single" w:sz="4" w:space="0" w:color="auto"/>
              <w:bottom w:val="single" w:sz="4" w:space="0" w:color="auto"/>
              <w:right w:val="single" w:sz="4" w:space="0" w:color="auto"/>
            </w:tcBorders>
            <w:shd w:val="clear" w:color="auto" w:fill="auto"/>
            <w:noWrap/>
          </w:tcPr>
          <w:p w14:paraId="4637D53B" w14:textId="04841349"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sz w:val="16"/>
                <w:szCs w:val="16"/>
              </w:rPr>
              <w:t>20.3 (13.2)</w:t>
            </w:r>
          </w:p>
        </w:tc>
        <w:tc>
          <w:tcPr>
            <w:tcW w:w="802" w:type="dxa"/>
            <w:tcBorders>
              <w:top w:val="single" w:sz="4" w:space="0" w:color="auto"/>
              <w:left w:val="single" w:sz="4" w:space="0" w:color="auto"/>
              <w:bottom w:val="single" w:sz="4" w:space="0" w:color="auto"/>
              <w:right w:val="single" w:sz="4" w:space="0" w:color="auto"/>
            </w:tcBorders>
            <w:shd w:val="clear" w:color="auto" w:fill="auto"/>
            <w:noWrap/>
          </w:tcPr>
          <w:p w14:paraId="66FC198A" w14:textId="59E47D6F"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sz w:val="16"/>
                <w:szCs w:val="16"/>
              </w:rPr>
              <w:t>0.980</w:t>
            </w:r>
          </w:p>
        </w:tc>
        <w:tc>
          <w:tcPr>
            <w:tcW w:w="1228" w:type="dxa"/>
            <w:tcBorders>
              <w:top w:val="single" w:sz="4" w:space="0" w:color="auto"/>
              <w:left w:val="nil"/>
              <w:bottom w:val="single" w:sz="4" w:space="0" w:color="auto"/>
              <w:right w:val="single" w:sz="4" w:space="0" w:color="auto"/>
            </w:tcBorders>
            <w:shd w:val="clear" w:color="auto" w:fill="auto"/>
            <w:noWrap/>
            <w:vAlign w:val="bottom"/>
          </w:tcPr>
          <w:p w14:paraId="706CAC8E" w14:textId="2DACE1B8"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hAnsi="Calibri" w:cs="Calibri"/>
                <w:sz w:val="16"/>
                <w:szCs w:val="16"/>
              </w:rPr>
              <w:t>18.3 (18.6)</w:t>
            </w:r>
          </w:p>
        </w:tc>
        <w:tc>
          <w:tcPr>
            <w:tcW w:w="11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24B33B" w14:textId="5C5C13E1"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hAnsi="Calibri" w:cs="Calibri"/>
                <w:sz w:val="16"/>
                <w:szCs w:val="16"/>
              </w:rPr>
              <w:t>16.9 (17.6)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FCAAC9" w14:textId="537375E1" w:rsidR="00325727" w:rsidRPr="00813425" w:rsidRDefault="00325727" w:rsidP="00325727">
            <w:pPr>
              <w:spacing w:after="0" w:line="240" w:lineRule="auto"/>
              <w:jc w:val="center"/>
              <w:rPr>
                <w:rFonts w:ascii="Calibri" w:eastAsia="Times New Roman" w:hAnsi="Calibri" w:cs="Calibri"/>
                <w:noProof/>
                <w:sz w:val="16"/>
                <w:szCs w:val="16"/>
                <w:lang w:eastAsia="en-ZW"/>
              </w:rPr>
            </w:pPr>
            <w:r w:rsidRPr="00813425">
              <w:rPr>
                <w:rFonts w:ascii="Calibri" w:hAnsi="Calibri" w:cs="Calibri"/>
                <w:sz w:val="16"/>
                <w:szCs w:val="16"/>
              </w:rPr>
              <w:t xml:space="preserve"> 0.59</w:t>
            </w:r>
          </w:p>
        </w:tc>
      </w:tr>
    </w:tbl>
    <w:p w14:paraId="08F4816D" w14:textId="5D7766D7" w:rsidR="00AF4327" w:rsidRPr="00813425" w:rsidRDefault="00F363DA" w:rsidP="00E25886">
      <w:pPr>
        <w:pStyle w:val="NoSpacing"/>
        <w:rPr>
          <w:sz w:val="18"/>
          <w:szCs w:val="18"/>
        </w:rPr>
        <w:sectPr w:rsidR="00AF4327" w:rsidRPr="00813425" w:rsidSect="00F363DA">
          <w:pgSz w:w="11906" w:h="16838"/>
          <w:pgMar w:top="1440" w:right="1440" w:bottom="1440" w:left="1440" w:header="708" w:footer="708" w:gutter="0"/>
          <w:cols w:space="708"/>
          <w:docGrid w:linePitch="360"/>
        </w:sectPr>
      </w:pPr>
      <w:r w:rsidRPr="00813425">
        <w:rPr>
          <w:sz w:val="18"/>
          <w:szCs w:val="18"/>
        </w:rPr>
        <w:t>CWH: Children living with HIV, CWOH: Children without HIV, SD (Standard Deviation), BMI (Body mass index)</w:t>
      </w:r>
      <w:r w:rsidR="00325727" w:rsidRPr="00813425">
        <w:rPr>
          <w:sz w:val="18"/>
          <w:szCs w:val="18"/>
        </w:rPr>
        <w:t xml:space="preserve">, </w:t>
      </w:r>
      <w:bookmarkStart w:id="27" w:name="_Hlk163204501"/>
      <w:proofErr w:type="spellStart"/>
      <w:r w:rsidR="00325727" w:rsidRPr="00813425">
        <w:rPr>
          <w:bCs/>
          <w:sz w:val="18"/>
          <w:szCs w:val="18"/>
          <w:vertAlign w:val="superscript"/>
        </w:rPr>
        <w:t>a</w:t>
      </w:r>
      <w:r w:rsidR="00325727" w:rsidRPr="00813425">
        <w:rPr>
          <w:sz w:val="18"/>
          <w:szCs w:val="18"/>
        </w:rPr>
        <w:t>Height</w:t>
      </w:r>
      <w:proofErr w:type="spellEnd"/>
      <w:r w:rsidR="00325727" w:rsidRPr="00813425">
        <w:rPr>
          <w:sz w:val="18"/>
          <w:szCs w:val="18"/>
        </w:rPr>
        <w:t xml:space="preserve"> for age Z-score based on British reference</w:t>
      </w:r>
      <w:r w:rsidR="005E222D" w:rsidRPr="00813425">
        <w:rPr>
          <w:sz w:val="18"/>
          <w:szCs w:val="18"/>
        </w:rPr>
        <w:t xml:space="preserve"> data</w:t>
      </w:r>
      <w:r w:rsidR="00325727" w:rsidRPr="00813425">
        <w:rPr>
          <w:sz w:val="18"/>
          <w:szCs w:val="18"/>
        </w:rPr>
        <w:t xml:space="preserve">, </w:t>
      </w:r>
      <w:proofErr w:type="spellStart"/>
      <w:r w:rsidR="00325727" w:rsidRPr="00813425">
        <w:rPr>
          <w:bCs/>
          <w:sz w:val="18"/>
          <w:szCs w:val="18"/>
          <w:vertAlign w:val="superscript"/>
        </w:rPr>
        <w:t>b</w:t>
      </w:r>
      <w:r w:rsidR="00325727" w:rsidRPr="00813425">
        <w:rPr>
          <w:sz w:val="18"/>
          <w:szCs w:val="18"/>
        </w:rPr>
        <w:t>Height</w:t>
      </w:r>
      <w:proofErr w:type="spellEnd"/>
      <w:r w:rsidR="00325727" w:rsidRPr="00813425">
        <w:rPr>
          <w:sz w:val="18"/>
          <w:szCs w:val="18"/>
        </w:rPr>
        <w:t xml:space="preserve"> for age Z-score based on internally generated reference</w:t>
      </w:r>
      <w:r w:rsidR="005E222D" w:rsidRPr="00813425">
        <w:rPr>
          <w:sz w:val="18"/>
          <w:szCs w:val="18"/>
        </w:rPr>
        <w:t xml:space="preserve"> data</w:t>
      </w:r>
      <w:r w:rsidR="00325727" w:rsidRPr="00813425">
        <w:rPr>
          <w:sz w:val="18"/>
          <w:szCs w:val="18"/>
        </w:rPr>
        <w:t xml:space="preserve"> </w:t>
      </w:r>
      <w:bookmarkEnd w:id="27"/>
    </w:p>
    <w:p w14:paraId="6364DEA3" w14:textId="64DCE2C5" w:rsidR="002412F1" w:rsidRPr="00813425" w:rsidRDefault="002412F1" w:rsidP="00C95A78">
      <w:pPr>
        <w:widowControl w:val="0"/>
        <w:autoSpaceDE w:val="0"/>
        <w:autoSpaceDN w:val="0"/>
        <w:adjustRightInd w:val="0"/>
        <w:spacing w:after="0" w:line="360" w:lineRule="auto"/>
        <w:rPr>
          <w:b/>
          <w:color w:val="000000" w:themeColor="text1"/>
        </w:rPr>
      </w:pPr>
      <w:r w:rsidRPr="00813425">
        <w:rPr>
          <w:b/>
          <w:color w:val="000000" w:themeColor="text1"/>
        </w:rPr>
        <w:lastRenderedPageBreak/>
        <w:t>Table 2: pQCT bone outcomes of children living with and without HIV, stratified by sex</w:t>
      </w:r>
    </w:p>
    <w:tbl>
      <w:tblPr>
        <w:tblW w:w="13662" w:type="dxa"/>
        <w:tblLook w:val="04A0" w:firstRow="1" w:lastRow="0" w:firstColumn="1" w:lastColumn="0" w:noHBand="0" w:noVBand="1"/>
      </w:tblPr>
      <w:tblGrid>
        <w:gridCol w:w="2595"/>
        <w:gridCol w:w="1536"/>
        <w:gridCol w:w="1412"/>
        <w:gridCol w:w="1785"/>
        <w:gridCol w:w="811"/>
        <w:gridCol w:w="1412"/>
        <w:gridCol w:w="1412"/>
        <w:gridCol w:w="1848"/>
        <w:gridCol w:w="851"/>
      </w:tblGrid>
      <w:tr w:rsidR="00C95A78" w:rsidRPr="00813425" w14:paraId="6364DEA7" w14:textId="77777777" w:rsidTr="00C95A78">
        <w:trPr>
          <w:trHeight w:val="199"/>
        </w:trPr>
        <w:tc>
          <w:tcPr>
            <w:tcW w:w="259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64DEA4" w14:textId="77777777" w:rsidR="00C95A78" w:rsidRPr="00813425" w:rsidRDefault="00C95A78" w:rsidP="00C95A78">
            <w:pPr>
              <w:spacing w:after="0" w:line="240" w:lineRule="auto"/>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 </w:t>
            </w:r>
          </w:p>
        </w:tc>
        <w:tc>
          <w:tcPr>
            <w:tcW w:w="5544" w:type="dxa"/>
            <w:gridSpan w:val="4"/>
            <w:tcBorders>
              <w:top w:val="single" w:sz="4" w:space="0" w:color="auto"/>
              <w:left w:val="nil"/>
              <w:bottom w:val="single" w:sz="4" w:space="0" w:color="auto"/>
              <w:right w:val="single" w:sz="4" w:space="0" w:color="auto"/>
            </w:tcBorders>
            <w:shd w:val="clear" w:color="000000" w:fill="D9D9D9"/>
            <w:vAlign w:val="bottom"/>
            <w:hideMark/>
          </w:tcPr>
          <w:p w14:paraId="6364DEA5" w14:textId="77777777" w:rsidR="00C95A78" w:rsidRPr="00813425" w:rsidRDefault="00C95A78" w:rsidP="00C95A78">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Males (n=213)</w:t>
            </w:r>
          </w:p>
        </w:tc>
        <w:tc>
          <w:tcPr>
            <w:tcW w:w="5523" w:type="dxa"/>
            <w:gridSpan w:val="4"/>
            <w:tcBorders>
              <w:top w:val="single" w:sz="4" w:space="0" w:color="auto"/>
              <w:left w:val="nil"/>
              <w:bottom w:val="single" w:sz="4" w:space="0" w:color="auto"/>
              <w:right w:val="single" w:sz="4" w:space="0" w:color="auto"/>
            </w:tcBorders>
            <w:shd w:val="clear" w:color="000000" w:fill="D9D9D9"/>
            <w:vAlign w:val="bottom"/>
            <w:hideMark/>
          </w:tcPr>
          <w:p w14:paraId="6364DEA6" w14:textId="77777777" w:rsidR="00C95A78" w:rsidRPr="00813425" w:rsidRDefault="00C95A78" w:rsidP="00C95A78">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Females (n=206)</w:t>
            </w:r>
          </w:p>
        </w:tc>
      </w:tr>
      <w:tr w:rsidR="00C95A78" w:rsidRPr="00813425" w14:paraId="6364DEB1" w14:textId="77777777" w:rsidTr="00C95A78">
        <w:trPr>
          <w:trHeight w:val="399"/>
        </w:trPr>
        <w:tc>
          <w:tcPr>
            <w:tcW w:w="2595" w:type="dxa"/>
            <w:tcBorders>
              <w:top w:val="nil"/>
              <w:left w:val="single" w:sz="4" w:space="0" w:color="auto"/>
              <w:bottom w:val="single" w:sz="4" w:space="0" w:color="auto"/>
              <w:right w:val="single" w:sz="4" w:space="0" w:color="auto"/>
            </w:tcBorders>
            <w:shd w:val="clear" w:color="000000" w:fill="D9D9D9"/>
            <w:vAlign w:val="bottom"/>
            <w:hideMark/>
          </w:tcPr>
          <w:p w14:paraId="6364DEA8" w14:textId="77777777" w:rsidR="00C95A78" w:rsidRPr="00813425" w:rsidRDefault="00C95A78" w:rsidP="00C95A78">
            <w:pPr>
              <w:spacing w:after="0" w:line="240" w:lineRule="auto"/>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 xml:space="preserve">Baseline </w:t>
            </w:r>
          </w:p>
        </w:tc>
        <w:tc>
          <w:tcPr>
            <w:tcW w:w="1536" w:type="dxa"/>
            <w:tcBorders>
              <w:top w:val="nil"/>
              <w:left w:val="nil"/>
              <w:bottom w:val="single" w:sz="4" w:space="0" w:color="auto"/>
              <w:right w:val="single" w:sz="4" w:space="0" w:color="auto"/>
            </w:tcBorders>
            <w:shd w:val="clear" w:color="000000" w:fill="D9D9D9"/>
            <w:vAlign w:val="bottom"/>
            <w:hideMark/>
          </w:tcPr>
          <w:p w14:paraId="6364DEA9" w14:textId="77777777" w:rsidR="00C95A78" w:rsidRPr="00813425" w:rsidRDefault="00C95A78" w:rsidP="00C95A78">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*Mean (SD) CWOH (n=113)</w:t>
            </w:r>
          </w:p>
        </w:tc>
        <w:tc>
          <w:tcPr>
            <w:tcW w:w="1412" w:type="dxa"/>
            <w:tcBorders>
              <w:top w:val="nil"/>
              <w:left w:val="nil"/>
              <w:bottom w:val="single" w:sz="4" w:space="0" w:color="auto"/>
              <w:right w:val="single" w:sz="4" w:space="0" w:color="auto"/>
            </w:tcBorders>
            <w:shd w:val="clear" w:color="000000" w:fill="D9D9D9"/>
            <w:vAlign w:val="bottom"/>
            <w:hideMark/>
          </w:tcPr>
          <w:p w14:paraId="6364DEAA" w14:textId="77777777" w:rsidR="00C95A78" w:rsidRPr="00813425" w:rsidRDefault="00C95A78" w:rsidP="00C95A78">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*Mean (SD) CWH (n=100)</w:t>
            </w:r>
          </w:p>
        </w:tc>
        <w:tc>
          <w:tcPr>
            <w:tcW w:w="1785" w:type="dxa"/>
            <w:tcBorders>
              <w:top w:val="nil"/>
              <w:left w:val="nil"/>
              <w:bottom w:val="single" w:sz="4" w:space="0" w:color="auto"/>
              <w:right w:val="single" w:sz="4" w:space="0" w:color="auto"/>
            </w:tcBorders>
            <w:shd w:val="clear" w:color="000000" w:fill="D9D9D9"/>
            <w:vAlign w:val="bottom"/>
            <w:hideMark/>
          </w:tcPr>
          <w:p w14:paraId="6364DEAB" w14:textId="77777777" w:rsidR="00C95A78" w:rsidRPr="00813425" w:rsidRDefault="00C95A78" w:rsidP="00C95A78">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 xml:space="preserve">**Adjusted MD        </w:t>
            </w:r>
            <w:proofErr w:type="gramStart"/>
            <w:r w:rsidRPr="00813425">
              <w:rPr>
                <w:rFonts w:ascii="Calibri" w:eastAsia="Times New Roman" w:hAnsi="Calibri" w:cs="Calibri"/>
                <w:b/>
                <w:bCs/>
                <w:sz w:val="16"/>
                <w:szCs w:val="16"/>
                <w:lang w:eastAsia="en-ZW"/>
              </w:rPr>
              <w:t xml:space="preserve">   (</w:t>
            </w:r>
            <w:proofErr w:type="gramEnd"/>
            <w:r w:rsidRPr="00813425">
              <w:rPr>
                <w:rFonts w:ascii="Calibri" w:eastAsia="Times New Roman" w:hAnsi="Calibri" w:cs="Calibri"/>
                <w:b/>
                <w:bCs/>
                <w:sz w:val="16"/>
                <w:szCs w:val="16"/>
                <w:lang w:eastAsia="en-ZW"/>
              </w:rPr>
              <w:t>95% CI)</w:t>
            </w:r>
          </w:p>
        </w:tc>
        <w:tc>
          <w:tcPr>
            <w:tcW w:w="811" w:type="dxa"/>
            <w:tcBorders>
              <w:top w:val="nil"/>
              <w:left w:val="nil"/>
              <w:bottom w:val="single" w:sz="4" w:space="0" w:color="auto"/>
              <w:right w:val="single" w:sz="4" w:space="0" w:color="auto"/>
            </w:tcBorders>
            <w:shd w:val="clear" w:color="000000" w:fill="D9D9D9"/>
            <w:vAlign w:val="bottom"/>
            <w:hideMark/>
          </w:tcPr>
          <w:p w14:paraId="6364DEAC" w14:textId="77777777" w:rsidR="00C95A78" w:rsidRPr="00813425" w:rsidRDefault="00C95A78" w:rsidP="00C95A78">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p-value</w:t>
            </w:r>
          </w:p>
        </w:tc>
        <w:tc>
          <w:tcPr>
            <w:tcW w:w="1412" w:type="dxa"/>
            <w:tcBorders>
              <w:top w:val="nil"/>
              <w:left w:val="nil"/>
              <w:bottom w:val="single" w:sz="4" w:space="0" w:color="auto"/>
              <w:right w:val="single" w:sz="4" w:space="0" w:color="auto"/>
            </w:tcBorders>
            <w:shd w:val="clear" w:color="000000" w:fill="D9D9D9"/>
            <w:vAlign w:val="bottom"/>
            <w:hideMark/>
          </w:tcPr>
          <w:p w14:paraId="6364DEAD" w14:textId="77777777" w:rsidR="00C95A78" w:rsidRPr="00813425" w:rsidRDefault="00C95A78" w:rsidP="00C95A78">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*Mean (SD) CWOH (n=111)</w:t>
            </w:r>
          </w:p>
        </w:tc>
        <w:tc>
          <w:tcPr>
            <w:tcW w:w="1412" w:type="dxa"/>
            <w:tcBorders>
              <w:top w:val="nil"/>
              <w:left w:val="nil"/>
              <w:bottom w:val="single" w:sz="4" w:space="0" w:color="auto"/>
              <w:right w:val="single" w:sz="4" w:space="0" w:color="auto"/>
            </w:tcBorders>
            <w:shd w:val="clear" w:color="000000" w:fill="D9D9D9"/>
            <w:vAlign w:val="bottom"/>
            <w:hideMark/>
          </w:tcPr>
          <w:p w14:paraId="6364DEAE" w14:textId="77777777" w:rsidR="00C95A78" w:rsidRPr="00813425" w:rsidRDefault="00C95A78" w:rsidP="00C95A78">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*Mean (SD) CWH (n=95)</w:t>
            </w:r>
          </w:p>
        </w:tc>
        <w:tc>
          <w:tcPr>
            <w:tcW w:w="1848" w:type="dxa"/>
            <w:tcBorders>
              <w:top w:val="nil"/>
              <w:left w:val="nil"/>
              <w:bottom w:val="single" w:sz="4" w:space="0" w:color="auto"/>
              <w:right w:val="single" w:sz="4" w:space="0" w:color="auto"/>
            </w:tcBorders>
            <w:shd w:val="clear" w:color="000000" w:fill="D9D9D9"/>
            <w:vAlign w:val="bottom"/>
            <w:hideMark/>
          </w:tcPr>
          <w:p w14:paraId="6364DEAF" w14:textId="77777777" w:rsidR="00C95A78" w:rsidRPr="00813425" w:rsidRDefault="00C95A78" w:rsidP="00C95A78">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 xml:space="preserve">**Adjusted MD        </w:t>
            </w:r>
            <w:proofErr w:type="gramStart"/>
            <w:r w:rsidRPr="00813425">
              <w:rPr>
                <w:rFonts w:ascii="Calibri" w:eastAsia="Times New Roman" w:hAnsi="Calibri" w:cs="Calibri"/>
                <w:b/>
                <w:bCs/>
                <w:sz w:val="16"/>
                <w:szCs w:val="16"/>
                <w:lang w:eastAsia="en-ZW"/>
              </w:rPr>
              <w:t xml:space="preserve">   (</w:t>
            </w:r>
            <w:proofErr w:type="gramEnd"/>
            <w:r w:rsidRPr="00813425">
              <w:rPr>
                <w:rFonts w:ascii="Calibri" w:eastAsia="Times New Roman" w:hAnsi="Calibri" w:cs="Calibri"/>
                <w:b/>
                <w:bCs/>
                <w:sz w:val="16"/>
                <w:szCs w:val="16"/>
                <w:lang w:eastAsia="en-ZW"/>
              </w:rPr>
              <w:t>95% CI)</w:t>
            </w:r>
          </w:p>
        </w:tc>
        <w:tc>
          <w:tcPr>
            <w:tcW w:w="851" w:type="dxa"/>
            <w:tcBorders>
              <w:top w:val="nil"/>
              <w:left w:val="nil"/>
              <w:bottom w:val="single" w:sz="4" w:space="0" w:color="auto"/>
              <w:right w:val="single" w:sz="4" w:space="0" w:color="auto"/>
            </w:tcBorders>
            <w:shd w:val="clear" w:color="000000" w:fill="D9D9D9"/>
            <w:vAlign w:val="bottom"/>
            <w:hideMark/>
          </w:tcPr>
          <w:p w14:paraId="6364DEB0" w14:textId="77777777" w:rsidR="00C95A78" w:rsidRPr="00813425" w:rsidRDefault="00C95A78" w:rsidP="00C95A78">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p-value</w:t>
            </w:r>
          </w:p>
        </w:tc>
      </w:tr>
      <w:tr w:rsidR="00C95A78" w:rsidRPr="00813425" w14:paraId="6364DEBB" w14:textId="77777777" w:rsidTr="00C95A78">
        <w:trPr>
          <w:trHeight w:val="199"/>
        </w:trPr>
        <w:tc>
          <w:tcPr>
            <w:tcW w:w="2595" w:type="dxa"/>
            <w:tcBorders>
              <w:top w:val="nil"/>
              <w:left w:val="single" w:sz="4" w:space="0" w:color="auto"/>
              <w:bottom w:val="single" w:sz="4" w:space="0" w:color="auto"/>
              <w:right w:val="single" w:sz="4" w:space="0" w:color="auto"/>
            </w:tcBorders>
            <w:shd w:val="clear" w:color="auto" w:fill="auto"/>
            <w:vAlign w:val="bottom"/>
            <w:hideMark/>
          </w:tcPr>
          <w:p w14:paraId="6364DEB2" w14:textId="77777777" w:rsidR="00C95A78" w:rsidRPr="00813425" w:rsidRDefault="00C95A78" w:rsidP="00C95A78">
            <w:pPr>
              <w:spacing w:after="0" w:line="240" w:lineRule="auto"/>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4% Trabecular density, mg/cm³</w:t>
            </w:r>
          </w:p>
        </w:tc>
        <w:tc>
          <w:tcPr>
            <w:tcW w:w="1536" w:type="dxa"/>
            <w:tcBorders>
              <w:top w:val="nil"/>
              <w:left w:val="nil"/>
              <w:bottom w:val="single" w:sz="4" w:space="0" w:color="auto"/>
              <w:right w:val="single" w:sz="4" w:space="0" w:color="auto"/>
            </w:tcBorders>
            <w:shd w:val="clear" w:color="auto" w:fill="auto"/>
            <w:vAlign w:val="bottom"/>
            <w:hideMark/>
          </w:tcPr>
          <w:p w14:paraId="6364DEB3"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208.0 (42.1)</w:t>
            </w:r>
          </w:p>
        </w:tc>
        <w:tc>
          <w:tcPr>
            <w:tcW w:w="1412" w:type="dxa"/>
            <w:tcBorders>
              <w:top w:val="nil"/>
              <w:left w:val="nil"/>
              <w:bottom w:val="single" w:sz="4" w:space="0" w:color="auto"/>
              <w:right w:val="single" w:sz="4" w:space="0" w:color="auto"/>
            </w:tcBorders>
            <w:shd w:val="clear" w:color="auto" w:fill="auto"/>
            <w:vAlign w:val="bottom"/>
            <w:hideMark/>
          </w:tcPr>
          <w:p w14:paraId="6364DEB4"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197.3 (37.7)</w:t>
            </w:r>
          </w:p>
        </w:tc>
        <w:tc>
          <w:tcPr>
            <w:tcW w:w="1785" w:type="dxa"/>
            <w:tcBorders>
              <w:top w:val="nil"/>
              <w:left w:val="nil"/>
              <w:bottom w:val="single" w:sz="4" w:space="0" w:color="auto"/>
              <w:right w:val="single" w:sz="4" w:space="0" w:color="auto"/>
            </w:tcBorders>
            <w:shd w:val="clear" w:color="auto" w:fill="auto"/>
            <w:vAlign w:val="bottom"/>
            <w:hideMark/>
          </w:tcPr>
          <w:p w14:paraId="6364DEB5"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-10.52 (-22.</w:t>
            </w:r>
            <w:proofErr w:type="gramStart"/>
            <w:r w:rsidRPr="00813425">
              <w:rPr>
                <w:rFonts w:ascii="Calibri" w:eastAsia="Times New Roman" w:hAnsi="Calibri" w:cs="Calibri"/>
                <w:sz w:val="16"/>
                <w:szCs w:val="16"/>
                <w:lang w:eastAsia="en-ZW"/>
              </w:rPr>
              <w:t>8 ,</w:t>
            </w:r>
            <w:proofErr w:type="gramEnd"/>
            <w:r w:rsidRPr="00813425">
              <w:rPr>
                <w:rFonts w:ascii="Calibri" w:eastAsia="Times New Roman" w:hAnsi="Calibri" w:cs="Calibri"/>
                <w:sz w:val="16"/>
                <w:szCs w:val="16"/>
                <w:lang w:eastAsia="en-ZW"/>
              </w:rPr>
              <w:t xml:space="preserve"> 1.7)</w:t>
            </w:r>
          </w:p>
        </w:tc>
        <w:tc>
          <w:tcPr>
            <w:tcW w:w="811" w:type="dxa"/>
            <w:tcBorders>
              <w:top w:val="nil"/>
              <w:left w:val="nil"/>
              <w:bottom w:val="single" w:sz="4" w:space="0" w:color="auto"/>
              <w:right w:val="single" w:sz="4" w:space="0" w:color="auto"/>
            </w:tcBorders>
            <w:shd w:val="clear" w:color="auto" w:fill="auto"/>
            <w:vAlign w:val="bottom"/>
            <w:hideMark/>
          </w:tcPr>
          <w:p w14:paraId="6364DEB6"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0.092</w:t>
            </w:r>
          </w:p>
        </w:tc>
        <w:tc>
          <w:tcPr>
            <w:tcW w:w="1412" w:type="dxa"/>
            <w:tcBorders>
              <w:top w:val="nil"/>
              <w:left w:val="nil"/>
              <w:bottom w:val="single" w:sz="4" w:space="0" w:color="auto"/>
              <w:right w:val="single" w:sz="4" w:space="0" w:color="auto"/>
            </w:tcBorders>
            <w:shd w:val="clear" w:color="auto" w:fill="auto"/>
            <w:vAlign w:val="bottom"/>
            <w:hideMark/>
          </w:tcPr>
          <w:p w14:paraId="6364DEB7"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210.7 (31.5)</w:t>
            </w:r>
          </w:p>
        </w:tc>
        <w:tc>
          <w:tcPr>
            <w:tcW w:w="1412" w:type="dxa"/>
            <w:tcBorders>
              <w:top w:val="nil"/>
              <w:left w:val="nil"/>
              <w:bottom w:val="single" w:sz="4" w:space="0" w:color="auto"/>
              <w:right w:val="single" w:sz="4" w:space="0" w:color="auto"/>
            </w:tcBorders>
            <w:shd w:val="clear" w:color="auto" w:fill="auto"/>
            <w:vAlign w:val="bottom"/>
            <w:hideMark/>
          </w:tcPr>
          <w:p w14:paraId="6364DEB8"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198.5 (33.1)</w:t>
            </w:r>
          </w:p>
        </w:tc>
        <w:tc>
          <w:tcPr>
            <w:tcW w:w="1848" w:type="dxa"/>
            <w:tcBorders>
              <w:top w:val="nil"/>
              <w:left w:val="nil"/>
              <w:bottom w:val="single" w:sz="4" w:space="0" w:color="auto"/>
              <w:right w:val="single" w:sz="4" w:space="0" w:color="auto"/>
            </w:tcBorders>
            <w:shd w:val="clear" w:color="auto" w:fill="auto"/>
            <w:vAlign w:val="bottom"/>
            <w:hideMark/>
          </w:tcPr>
          <w:p w14:paraId="6364DEB9"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-12.63 (-22.</w:t>
            </w:r>
            <w:proofErr w:type="gramStart"/>
            <w:r w:rsidRPr="00813425">
              <w:rPr>
                <w:rFonts w:ascii="Calibri" w:eastAsia="Times New Roman" w:hAnsi="Calibri" w:cs="Calibri"/>
                <w:sz w:val="16"/>
                <w:szCs w:val="16"/>
                <w:lang w:eastAsia="en-ZW"/>
              </w:rPr>
              <w:t>9 ,</w:t>
            </w:r>
            <w:proofErr w:type="gramEnd"/>
            <w:r w:rsidRPr="00813425">
              <w:rPr>
                <w:rFonts w:ascii="Calibri" w:eastAsia="Times New Roman" w:hAnsi="Calibri" w:cs="Calibri"/>
                <w:sz w:val="16"/>
                <w:szCs w:val="16"/>
                <w:lang w:eastAsia="en-ZW"/>
              </w:rPr>
              <w:t xml:space="preserve"> -2.4)</w:t>
            </w:r>
          </w:p>
        </w:tc>
        <w:tc>
          <w:tcPr>
            <w:tcW w:w="851" w:type="dxa"/>
            <w:tcBorders>
              <w:top w:val="nil"/>
              <w:left w:val="nil"/>
              <w:bottom w:val="single" w:sz="4" w:space="0" w:color="auto"/>
              <w:right w:val="single" w:sz="4" w:space="0" w:color="auto"/>
            </w:tcBorders>
            <w:shd w:val="clear" w:color="auto" w:fill="auto"/>
            <w:vAlign w:val="bottom"/>
            <w:hideMark/>
          </w:tcPr>
          <w:p w14:paraId="6364DEBA"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0.016</w:t>
            </w:r>
          </w:p>
        </w:tc>
      </w:tr>
      <w:tr w:rsidR="00C95A78" w:rsidRPr="00813425" w14:paraId="6364DEC5" w14:textId="77777777" w:rsidTr="00C95A78">
        <w:trPr>
          <w:trHeight w:val="199"/>
        </w:trPr>
        <w:tc>
          <w:tcPr>
            <w:tcW w:w="2595" w:type="dxa"/>
            <w:tcBorders>
              <w:top w:val="nil"/>
              <w:left w:val="single" w:sz="4" w:space="0" w:color="auto"/>
              <w:bottom w:val="single" w:sz="4" w:space="0" w:color="auto"/>
              <w:right w:val="single" w:sz="4" w:space="0" w:color="auto"/>
            </w:tcBorders>
            <w:shd w:val="clear" w:color="auto" w:fill="auto"/>
            <w:vAlign w:val="bottom"/>
            <w:hideMark/>
          </w:tcPr>
          <w:p w14:paraId="6364DEBC" w14:textId="77777777" w:rsidR="00C95A78" w:rsidRPr="00813425" w:rsidRDefault="00C95A78" w:rsidP="00C95A78">
            <w:pPr>
              <w:spacing w:after="0" w:line="240" w:lineRule="auto"/>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38% Cortical density, mg/cm³</w:t>
            </w:r>
          </w:p>
        </w:tc>
        <w:tc>
          <w:tcPr>
            <w:tcW w:w="1536" w:type="dxa"/>
            <w:tcBorders>
              <w:top w:val="nil"/>
              <w:left w:val="nil"/>
              <w:bottom w:val="single" w:sz="4" w:space="0" w:color="auto"/>
              <w:right w:val="single" w:sz="4" w:space="0" w:color="auto"/>
            </w:tcBorders>
            <w:shd w:val="clear" w:color="auto" w:fill="auto"/>
            <w:vAlign w:val="bottom"/>
            <w:hideMark/>
          </w:tcPr>
          <w:p w14:paraId="6364DEBD"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1070.3 (33.5)</w:t>
            </w:r>
          </w:p>
        </w:tc>
        <w:tc>
          <w:tcPr>
            <w:tcW w:w="1412" w:type="dxa"/>
            <w:tcBorders>
              <w:top w:val="nil"/>
              <w:left w:val="nil"/>
              <w:bottom w:val="single" w:sz="4" w:space="0" w:color="auto"/>
              <w:right w:val="single" w:sz="4" w:space="0" w:color="auto"/>
            </w:tcBorders>
            <w:shd w:val="clear" w:color="auto" w:fill="auto"/>
            <w:vAlign w:val="bottom"/>
            <w:hideMark/>
          </w:tcPr>
          <w:p w14:paraId="6364DEBE"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1067.8 (37.1)</w:t>
            </w:r>
          </w:p>
        </w:tc>
        <w:tc>
          <w:tcPr>
            <w:tcW w:w="1785" w:type="dxa"/>
            <w:tcBorders>
              <w:top w:val="nil"/>
              <w:left w:val="nil"/>
              <w:bottom w:val="single" w:sz="4" w:space="0" w:color="auto"/>
              <w:right w:val="single" w:sz="4" w:space="0" w:color="auto"/>
            </w:tcBorders>
            <w:shd w:val="clear" w:color="auto" w:fill="auto"/>
            <w:vAlign w:val="bottom"/>
            <w:hideMark/>
          </w:tcPr>
          <w:p w14:paraId="6364DEBF"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-3.56 (-14.</w:t>
            </w:r>
            <w:proofErr w:type="gramStart"/>
            <w:r w:rsidRPr="00813425">
              <w:rPr>
                <w:rFonts w:ascii="Calibri" w:eastAsia="Times New Roman" w:hAnsi="Calibri" w:cs="Calibri"/>
                <w:sz w:val="16"/>
                <w:szCs w:val="16"/>
                <w:lang w:eastAsia="en-ZW"/>
              </w:rPr>
              <w:t>4 ,</w:t>
            </w:r>
            <w:proofErr w:type="gramEnd"/>
            <w:r w:rsidRPr="00813425">
              <w:rPr>
                <w:rFonts w:ascii="Calibri" w:eastAsia="Times New Roman" w:hAnsi="Calibri" w:cs="Calibri"/>
                <w:sz w:val="16"/>
                <w:szCs w:val="16"/>
                <w:lang w:eastAsia="en-ZW"/>
              </w:rPr>
              <w:t xml:space="preserve"> 7.3)</w:t>
            </w:r>
          </w:p>
        </w:tc>
        <w:tc>
          <w:tcPr>
            <w:tcW w:w="811" w:type="dxa"/>
            <w:tcBorders>
              <w:top w:val="nil"/>
              <w:left w:val="nil"/>
              <w:bottom w:val="single" w:sz="4" w:space="0" w:color="auto"/>
              <w:right w:val="single" w:sz="4" w:space="0" w:color="auto"/>
            </w:tcBorders>
            <w:shd w:val="clear" w:color="auto" w:fill="auto"/>
            <w:vAlign w:val="bottom"/>
            <w:hideMark/>
          </w:tcPr>
          <w:p w14:paraId="6364DEC0"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0.518</w:t>
            </w:r>
          </w:p>
        </w:tc>
        <w:tc>
          <w:tcPr>
            <w:tcW w:w="1412" w:type="dxa"/>
            <w:tcBorders>
              <w:top w:val="nil"/>
              <w:left w:val="nil"/>
              <w:bottom w:val="single" w:sz="4" w:space="0" w:color="auto"/>
              <w:right w:val="single" w:sz="4" w:space="0" w:color="auto"/>
            </w:tcBorders>
            <w:shd w:val="clear" w:color="auto" w:fill="auto"/>
            <w:vAlign w:val="bottom"/>
            <w:hideMark/>
          </w:tcPr>
          <w:p w14:paraId="6364DEC1"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1098.6 (45.7)</w:t>
            </w:r>
          </w:p>
        </w:tc>
        <w:tc>
          <w:tcPr>
            <w:tcW w:w="1412" w:type="dxa"/>
            <w:tcBorders>
              <w:top w:val="nil"/>
              <w:left w:val="nil"/>
              <w:bottom w:val="single" w:sz="4" w:space="0" w:color="auto"/>
              <w:right w:val="single" w:sz="4" w:space="0" w:color="auto"/>
            </w:tcBorders>
            <w:shd w:val="clear" w:color="auto" w:fill="auto"/>
            <w:vAlign w:val="bottom"/>
            <w:hideMark/>
          </w:tcPr>
          <w:p w14:paraId="6364DEC2"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1095.7 (40.2)</w:t>
            </w:r>
          </w:p>
        </w:tc>
        <w:tc>
          <w:tcPr>
            <w:tcW w:w="1848" w:type="dxa"/>
            <w:tcBorders>
              <w:top w:val="nil"/>
              <w:left w:val="nil"/>
              <w:bottom w:val="single" w:sz="4" w:space="0" w:color="auto"/>
              <w:right w:val="single" w:sz="4" w:space="0" w:color="auto"/>
            </w:tcBorders>
            <w:shd w:val="clear" w:color="auto" w:fill="auto"/>
            <w:vAlign w:val="bottom"/>
            <w:hideMark/>
          </w:tcPr>
          <w:p w14:paraId="6364DEC3"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-8.21 (-21.</w:t>
            </w:r>
            <w:proofErr w:type="gramStart"/>
            <w:r w:rsidRPr="00813425">
              <w:rPr>
                <w:rFonts w:ascii="Calibri" w:eastAsia="Times New Roman" w:hAnsi="Calibri" w:cs="Calibri"/>
                <w:sz w:val="16"/>
                <w:szCs w:val="16"/>
                <w:lang w:eastAsia="en-ZW"/>
              </w:rPr>
              <w:t>9 ,</w:t>
            </w:r>
            <w:proofErr w:type="gramEnd"/>
            <w:r w:rsidRPr="00813425">
              <w:rPr>
                <w:rFonts w:ascii="Calibri" w:eastAsia="Times New Roman" w:hAnsi="Calibri" w:cs="Calibri"/>
                <w:sz w:val="16"/>
                <w:szCs w:val="16"/>
                <w:lang w:eastAsia="en-ZW"/>
              </w:rPr>
              <w:t xml:space="preserve"> 5.5)</w:t>
            </w:r>
          </w:p>
        </w:tc>
        <w:tc>
          <w:tcPr>
            <w:tcW w:w="851" w:type="dxa"/>
            <w:tcBorders>
              <w:top w:val="nil"/>
              <w:left w:val="nil"/>
              <w:bottom w:val="single" w:sz="4" w:space="0" w:color="auto"/>
              <w:right w:val="single" w:sz="4" w:space="0" w:color="auto"/>
            </w:tcBorders>
            <w:shd w:val="clear" w:color="auto" w:fill="auto"/>
            <w:vAlign w:val="bottom"/>
            <w:hideMark/>
          </w:tcPr>
          <w:p w14:paraId="6364DEC4"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0.239</w:t>
            </w:r>
          </w:p>
        </w:tc>
      </w:tr>
      <w:tr w:rsidR="00C95A78" w:rsidRPr="00813425" w14:paraId="6364DECF" w14:textId="77777777" w:rsidTr="00C95A78">
        <w:trPr>
          <w:trHeight w:val="199"/>
        </w:trPr>
        <w:tc>
          <w:tcPr>
            <w:tcW w:w="2595" w:type="dxa"/>
            <w:tcBorders>
              <w:top w:val="nil"/>
              <w:left w:val="single" w:sz="4" w:space="0" w:color="auto"/>
              <w:bottom w:val="single" w:sz="4" w:space="0" w:color="auto"/>
              <w:right w:val="single" w:sz="4" w:space="0" w:color="auto"/>
            </w:tcBorders>
            <w:shd w:val="clear" w:color="auto" w:fill="auto"/>
            <w:vAlign w:val="bottom"/>
            <w:hideMark/>
          </w:tcPr>
          <w:p w14:paraId="6364DEC6" w14:textId="77777777" w:rsidR="00C95A78" w:rsidRPr="00813425" w:rsidRDefault="00C95A78" w:rsidP="00C95A78">
            <w:pPr>
              <w:spacing w:after="0" w:line="240" w:lineRule="auto"/>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 xml:space="preserve">4% Total </w:t>
            </w:r>
            <w:proofErr w:type="gramStart"/>
            <w:r w:rsidRPr="00813425">
              <w:rPr>
                <w:rFonts w:ascii="Calibri" w:eastAsia="Times New Roman" w:hAnsi="Calibri" w:cs="Calibri"/>
                <w:sz w:val="16"/>
                <w:szCs w:val="16"/>
                <w:lang w:eastAsia="en-ZW"/>
              </w:rPr>
              <w:t>Cross sectional</w:t>
            </w:r>
            <w:proofErr w:type="gramEnd"/>
            <w:r w:rsidRPr="00813425">
              <w:rPr>
                <w:rFonts w:ascii="Calibri" w:eastAsia="Times New Roman" w:hAnsi="Calibri" w:cs="Calibri"/>
                <w:sz w:val="16"/>
                <w:szCs w:val="16"/>
                <w:lang w:eastAsia="en-ZW"/>
              </w:rPr>
              <w:t xml:space="preserve"> area, mm²</w:t>
            </w:r>
          </w:p>
        </w:tc>
        <w:tc>
          <w:tcPr>
            <w:tcW w:w="1536" w:type="dxa"/>
            <w:tcBorders>
              <w:top w:val="nil"/>
              <w:left w:val="nil"/>
              <w:bottom w:val="single" w:sz="4" w:space="0" w:color="auto"/>
              <w:right w:val="single" w:sz="4" w:space="0" w:color="auto"/>
            </w:tcBorders>
            <w:shd w:val="clear" w:color="auto" w:fill="auto"/>
            <w:vAlign w:val="bottom"/>
            <w:hideMark/>
          </w:tcPr>
          <w:p w14:paraId="6364DEC7"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752.7 (230.2)</w:t>
            </w:r>
          </w:p>
        </w:tc>
        <w:tc>
          <w:tcPr>
            <w:tcW w:w="1412" w:type="dxa"/>
            <w:tcBorders>
              <w:top w:val="nil"/>
              <w:left w:val="nil"/>
              <w:bottom w:val="single" w:sz="4" w:space="0" w:color="auto"/>
              <w:right w:val="single" w:sz="4" w:space="0" w:color="auto"/>
            </w:tcBorders>
            <w:shd w:val="clear" w:color="auto" w:fill="auto"/>
            <w:vAlign w:val="bottom"/>
            <w:hideMark/>
          </w:tcPr>
          <w:p w14:paraId="6364DEC8"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679.2 (177.9)</w:t>
            </w:r>
          </w:p>
        </w:tc>
        <w:tc>
          <w:tcPr>
            <w:tcW w:w="1785" w:type="dxa"/>
            <w:tcBorders>
              <w:top w:val="nil"/>
              <w:left w:val="nil"/>
              <w:bottom w:val="single" w:sz="4" w:space="0" w:color="auto"/>
              <w:right w:val="single" w:sz="4" w:space="0" w:color="auto"/>
            </w:tcBorders>
            <w:shd w:val="clear" w:color="auto" w:fill="auto"/>
            <w:vAlign w:val="bottom"/>
            <w:hideMark/>
          </w:tcPr>
          <w:p w14:paraId="6364DEC9"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-99.79 (-163.</w:t>
            </w:r>
            <w:proofErr w:type="gramStart"/>
            <w:r w:rsidRPr="00813425">
              <w:rPr>
                <w:rFonts w:ascii="Calibri" w:eastAsia="Times New Roman" w:hAnsi="Calibri" w:cs="Calibri"/>
                <w:sz w:val="16"/>
                <w:szCs w:val="16"/>
                <w:lang w:eastAsia="en-ZW"/>
              </w:rPr>
              <w:t>0 ,</w:t>
            </w:r>
            <w:proofErr w:type="gramEnd"/>
            <w:r w:rsidRPr="00813425">
              <w:rPr>
                <w:rFonts w:ascii="Calibri" w:eastAsia="Times New Roman" w:hAnsi="Calibri" w:cs="Calibri"/>
                <w:sz w:val="16"/>
                <w:szCs w:val="16"/>
                <w:lang w:eastAsia="en-ZW"/>
              </w:rPr>
              <w:t xml:space="preserve"> -36.6)</w:t>
            </w:r>
          </w:p>
        </w:tc>
        <w:tc>
          <w:tcPr>
            <w:tcW w:w="811" w:type="dxa"/>
            <w:tcBorders>
              <w:top w:val="nil"/>
              <w:left w:val="nil"/>
              <w:bottom w:val="single" w:sz="4" w:space="0" w:color="auto"/>
              <w:right w:val="single" w:sz="4" w:space="0" w:color="auto"/>
            </w:tcBorders>
            <w:shd w:val="clear" w:color="auto" w:fill="auto"/>
            <w:vAlign w:val="bottom"/>
            <w:hideMark/>
          </w:tcPr>
          <w:p w14:paraId="6364DECA"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0.002</w:t>
            </w:r>
          </w:p>
        </w:tc>
        <w:tc>
          <w:tcPr>
            <w:tcW w:w="1412" w:type="dxa"/>
            <w:tcBorders>
              <w:top w:val="nil"/>
              <w:left w:val="nil"/>
              <w:bottom w:val="single" w:sz="4" w:space="0" w:color="auto"/>
              <w:right w:val="single" w:sz="4" w:space="0" w:color="auto"/>
            </w:tcBorders>
            <w:shd w:val="clear" w:color="auto" w:fill="auto"/>
            <w:vAlign w:val="bottom"/>
            <w:hideMark/>
          </w:tcPr>
          <w:p w14:paraId="6364DECB"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731.7 (171.1)</w:t>
            </w:r>
          </w:p>
        </w:tc>
        <w:tc>
          <w:tcPr>
            <w:tcW w:w="1412" w:type="dxa"/>
            <w:tcBorders>
              <w:top w:val="nil"/>
              <w:left w:val="nil"/>
              <w:bottom w:val="single" w:sz="4" w:space="0" w:color="auto"/>
              <w:right w:val="single" w:sz="4" w:space="0" w:color="auto"/>
            </w:tcBorders>
            <w:shd w:val="clear" w:color="auto" w:fill="auto"/>
            <w:vAlign w:val="bottom"/>
            <w:hideMark/>
          </w:tcPr>
          <w:p w14:paraId="6364DECC"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661.1 (166.9)</w:t>
            </w:r>
          </w:p>
        </w:tc>
        <w:tc>
          <w:tcPr>
            <w:tcW w:w="1848" w:type="dxa"/>
            <w:tcBorders>
              <w:top w:val="nil"/>
              <w:left w:val="nil"/>
              <w:bottom w:val="single" w:sz="4" w:space="0" w:color="auto"/>
              <w:right w:val="single" w:sz="4" w:space="0" w:color="auto"/>
            </w:tcBorders>
            <w:shd w:val="clear" w:color="auto" w:fill="auto"/>
            <w:vAlign w:val="bottom"/>
            <w:hideMark/>
          </w:tcPr>
          <w:p w14:paraId="6364DECD"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-104.89 (-157.</w:t>
            </w:r>
            <w:proofErr w:type="gramStart"/>
            <w:r w:rsidRPr="00813425">
              <w:rPr>
                <w:rFonts w:ascii="Calibri" w:eastAsia="Times New Roman" w:hAnsi="Calibri" w:cs="Calibri"/>
                <w:sz w:val="16"/>
                <w:szCs w:val="16"/>
                <w:lang w:eastAsia="en-ZW"/>
              </w:rPr>
              <w:t>8 ,</w:t>
            </w:r>
            <w:proofErr w:type="gramEnd"/>
            <w:r w:rsidRPr="00813425">
              <w:rPr>
                <w:rFonts w:ascii="Calibri" w:eastAsia="Times New Roman" w:hAnsi="Calibri" w:cs="Calibri"/>
                <w:sz w:val="16"/>
                <w:szCs w:val="16"/>
                <w:lang w:eastAsia="en-ZW"/>
              </w:rPr>
              <w:t xml:space="preserve"> -51.9)</w:t>
            </w:r>
          </w:p>
        </w:tc>
        <w:tc>
          <w:tcPr>
            <w:tcW w:w="851" w:type="dxa"/>
            <w:tcBorders>
              <w:top w:val="nil"/>
              <w:left w:val="nil"/>
              <w:bottom w:val="single" w:sz="4" w:space="0" w:color="auto"/>
              <w:right w:val="single" w:sz="4" w:space="0" w:color="auto"/>
            </w:tcBorders>
            <w:shd w:val="clear" w:color="auto" w:fill="auto"/>
            <w:vAlign w:val="bottom"/>
            <w:hideMark/>
          </w:tcPr>
          <w:p w14:paraId="6364DECE"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&lt;0.001</w:t>
            </w:r>
          </w:p>
        </w:tc>
      </w:tr>
      <w:tr w:rsidR="00C95A78" w:rsidRPr="00813425" w14:paraId="6364DED9" w14:textId="77777777" w:rsidTr="00C95A78">
        <w:trPr>
          <w:trHeight w:val="199"/>
        </w:trPr>
        <w:tc>
          <w:tcPr>
            <w:tcW w:w="2595" w:type="dxa"/>
            <w:tcBorders>
              <w:top w:val="nil"/>
              <w:left w:val="single" w:sz="4" w:space="0" w:color="auto"/>
              <w:bottom w:val="single" w:sz="4" w:space="0" w:color="auto"/>
              <w:right w:val="single" w:sz="4" w:space="0" w:color="auto"/>
            </w:tcBorders>
            <w:shd w:val="clear" w:color="auto" w:fill="auto"/>
            <w:vAlign w:val="bottom"/>
            <w:hideMark/>
          </w:tcPr>
          <w:p w14:paraId="6364DED0" w14:textId="77777777" w:rsidR="00C95A78" w:rsidRPr="00813425" w:rsidRDefault="00C95A78" w:rsidP="00C95A78">
            <w:pPr>
              <w:spacing w:after="0" w:line="240" w:lineRule="auto"/>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 xml:space="preserve">38% Total </w:t>
            </w:r>
            <w:proofErr w:type="gramStart"/>
            <w:r w:rsidRPr="00813425">
              <w:rPr>
                <w:rFonts w:ascii="Calibri" w:eastAsia="Times New Roman" w:hAnsi="Calibri" w:cs="Calibri"/>
                <w:sz w:val="16"/>
                <w:szCs w:val="16"/>
                <w:lang w:eastAsia="en-ZW"/>
              </w:rPr>
              <w:t>Cross sectional</w:t>
            </w:r>
            <w:proofErr w:type="gramEnd"/>
            <w:r w:rsidRPr="00813425">
              <w:rPr>
                <w:rFonts w:ascii="Calibri" w:eastAsia="Times New Roman" w:hAnsi="Calibri" w:cs="Calibri"/>
                <w:sz w:val="16"/>
                <w:szCs w:val="16"/>
                <w:lang w:eastAsia="en-ZW"/>
              </w:rPr>
              <w:t xml:space="preserve"> area, mm²</w:t>
            </w:r>
          </w:p>
        </w:tc>
        <w:tc>
          <w:tcPr>
            <w:tcW w:w="1536" w:type="dxa"/>
            <w:tcBorders>
              <w:top w:val="nil"/>
              <w:left w:val="nil"/>
              <w:bottom w:val="single" w:sz="4" w:space="0" w:color="auto"/>
              <w:right w:val="single" w:sz="4" w:space="0" w:color="auto"/>
            </w:tcBorders>
            <w:shd w:val="clear" w:color="auto" w:fill="auto"/>
            <w:vAlign w:val="bottom"/>
            <w:hideMark/>
          </w:tcPr>
          <w:p w14:paraId="6364DED1"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341.79 (78.01)</w:t>
            </w:r>
          </w:p>
        </w:tc>
        <w:tc>
          <w:tcPr>
            <w:tcW w:w="1412" w:type="dxa"/>
            <w:tcBorders>
              <w:top w:val="nil"/>
              <w:left w:val="nil"/>
              <w:bottom w:val="single" w:sz="4" w:space="0" w:color="auto"/>
              <w:right w:val="single" w:sz="4" w:space="0" w:color="auto"/>
            </w:tcBorders>
            <w:shd w:val="clear" w:color="auto" w:fill="auto"/>
            <w:vAlign w:val="bottom"/>
            <w:hideMark/>
          </w:tcPr>
          <w:p w14:paraId="6364DED2"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313.00 (64.35)</w:t>
            </w:r>
          </w:p>
        </w:tc>
        <w:tc>
          <w:tcPr>
            <w:tcW w:w="1785" w:type="dxa"/>
            <w:tcBorders>
              <w:top w:val="nil"/>
              <w:left w:val="nil"/>
              <w:bottom w:val="single" w:sz="4" w:space="0" w:color="auto"/>
              <w:right w:val="single" w:sz="4" w:space="0" w:color="auto"/>
            </w:tcBorders>
            <w:shd w:val="clear" w:color="auto" w:fill="auto"/>
            <w:vAlign w:val="bottom"/>
            <w:hideMark/>
          </w:tcPr>
          <w:p w14:paraId="6364DED3"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-39.04 (-60.</w:t>
            </w:r>
            <w:proofErr w:type="gramStart"/>
            <w:r w:rsidRPr="00813425">
              <w:rPr>
                <w:rFonts w:ascii="Calibri" w:eastAsia="Times New Roman" w:hAnsi="Calibri" w:cs="Calibri"/>
                <w:sz w:val="16"/>
                <w:szCs w:val="16"/>
                <w:lang w:eastAsia="en-ZW"/>
              </w:rPr>
              <w:t>9 ,</w:t>
            </w:r>
            <w:proofErr w:type="gramEnd"/>
            <w:r w:rsidRPr="00813425">
              <w:rPr>
                <w:rFonts w:ascii="Calibri" w:eastAsia="Times New Roman" w:hAnsi="Calibri" w:cs="Calibri"/>
                <w:sz w:val="16"/>
                <w:szCs w:val="16"/>
                <w:lang w:eastAsia="en-ZW"/>
              </w:rPr>
              <w:t xml:space="preserve"> -17.2)</w:t>
            </w:r>
          </w:p>
        </w:tc>
        <w:tc>
          <w:tcPr>
            <w:tcW w:w="811" w:type="dxa"/>
            <w:tcBorders>
              <w:top w:val="nil"/>
              <w:left w:val="nil"/>
              <w:bottom w:val="single" w:sz="4" w:space="0" w:color="auto"/>
              <w:right w:val="single" w:sz="4" w:space="0" w:color="auto"/>
            </w:tcBorders>
            <w:shd w:val="clear" w:color="auto" w:fill="auto"/>
            <w:vAlign w:val="bottom"/>
            <w:hideMark/>
          </w:tcPr>
          <w:p w14:paraId="6364DED4"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0.001</w:t>
            </w:r>
          </w:p>
        </w:tc>
        <w:tc>
          <w:tcPr>
            <w:tcW w:w="1412" w:type="dxa"/>
            <w:tcBorders>
              <w:top w:val="nil"/>
              <w:left w:val="nil"/>
              <w:bottom w:val="single" w:sz="4" w:space="0" w:color="auto"/>
              <w:right w:val="single" w:sz="4" w:space="0" w:color="auto"/>
            </w:tcBorders>
            <w:shd w:val="clear" w:color="auto" w:fill="auto"/>
            <w:vAlign w:val="bottom"/>
            <w:hideMark/>
          </w:tcPr>
          <w:p w14:paraId="6364DED5"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330.25 (60.4)</w:t>
            </w:r>
          </w:p>
        </w:tc>
        <w:tc>
          <w:tcPr>
            <w:tcW w:w="1412" w:type="dxa"/>
            <w:tcBorders>
              <w:top w:val="nil"/>
              <w:left w:val="nil"/>
              <w:bottom w:val="single" w:sz="4" w:space="0" w:color="auto"/>
              <w:right w:val="single" w:sz="4" w:space="0" w:color="auto"/>
            </w:tcBorders>
            <w:shd w:val="clear" w:color="auto" w:fill="auto"/>
            <w:vAlign w:val="bottom"/>
            <w:hideMark/>
          </w:tcPr>
          <w:p w14:paraId="6364DED6"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286.52 (57.6)</w:t>
            </w:r>
          </w:p>
        </w:tc>
        <w:tc>
          <w:tcPr>
            <w:tcW w:w="1848" w:type="dxa"/>
            <w:tcBorders>
              <w:top w:val="nil"/>
              <w:left w:val="nil"/>
              <w:bottom w:val="single" w:sz="4" w:space="0" w:color="auto"/>
              <w:right w:val="single" w:sz="4" w:space="0" w:color="auto"/>
            </w:tcBorders>
            <w:shd w:val="clear" w:color="auto" w:fill="auto"/>
            <w:vAlign w:val="bottom"/>
            <w:hideMark/>
          </w:tcPr>
          <w:p w14:paraId="6364DED7"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-51.18 (-69.</w:t>
            </w:r>
            <w:proofErr w:type="gramStart"/>
            <w:r w:rsidRPr="00813425">
              <w:rPr>
                <w:rFonts w:ascii="Calibri" w:eastAsia="Times New Roman" w:hAnsi="Calibri" w:cs="Calibri"/>
                <w:sz w:val="16"/>
                <w:szCs w:val="16"/>
                <w:lang w:eastAsia="en-ZW"/>
              </w:rPr>
              <w:t>8 ,</w:t>
            </w:r>
            <w:proofErr w:type="gramEnd"/>
            <w:r w:rsidRPr="00813425">
              <w:rPr>
                <w:rFonts w:ascii="Calibri" w:eastAsia="Times New Roman" w:hAnsi="Calibri" w:cs="Calibri"/>
                <w:sz w:val="16"/>
                <w:szCs w:val="16"/>
                <w:lang w:eastAsia="en-ZW"/>
              </w:rPr>
              <w:t xml:space="preserve"> -32.5)</w:t>
            </w:r>
          </w:p>
        </w:tc>
        <w:tc>
          <w:tcPr>
            <w:tcW w:w="851" w:type="dxa"/>
            <w:tcBorders>
              <w:top w:val="nil"/>
              <w:left w:val="nil"/>
              <w:bottom w:val="single" w:sz="4" w:space="0" w:color="auto"/>
              <w:right w:val="single" w:sz="4" w:space="0" w:color="auto"/>
            </w:tcBorders>
            <w:shd w:val="clear" w:color="auto" w:fill="auto"/>
            <w:vAlign w:val="bottom"/>
            <w:hideMark/>
          </w:tcPr>
          <w:p w14:paraId="6364DED8"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&lt;0.001</w:t>
            </w:r>
          </w:p>
        </w:tc>
      </w:tr>
      <w:tr w:rsidR="00C95A78" w:rsidRPr="00813425" w14:paraId="6364DEE3" w14:textId="77777777" w:rsidTr="00C95A78">
        <w:trPr>
          <w:trHeight w:val="199"/>
        </w:trPr>
        <w:tc>
          <w:tcPr>
            <w:tcW w:w="2595" w:type="dxa"/>
            <w:tcBorders>
              <w:top w:val="nil"/>
              <w:left w:val="single" w:sz="4" w:space="0" w:color="auto"/>
              <w:bottom w:val="single" w:sz="4" w:space="0" w:color="auto"/>
              <w:right w:val="single" w:sz="4" w:space="0" w:color="auto"/>
            </w:tcBorders>
            <w:shd w:val="clear" w:color="auto" w:fill="auto"/>
            <w:vAlign w:val="bottom"/>
            <w:hideMark/>
          </w:tcPr>
          <w:p w14:paraId="6364DEDA" w14:textId="77777777" w:rsidR="00C95A78" w:rsidRPr="00813425" w:rsidRDefault="00C95A78" w:rsidP="00C95A78">
            <w:pPr>
              <w:spacing w:after="0" w:line="240" w:lineRule="auto"/>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38% Cortical thickness, mm</w:t>
            </w:r>
          </w:p>
        </w:tc>
        <w:tc>
          <w:tcPr>
            <w:tcW w:w="1536" w:type="dxa"/>
            <w:tcBorders>
              <w:top w:val="nil"/>
              <w:left w:val="nil"/>
              <w:bottom w:val="single" w:sz="4" w:space="0" w:color="auto"/>
              <w:right w:val="single" w:sz="4" w:space="0" w:color="auto"/>
            </w:tcBorders>
            <w:shd w:val="clear" w:color="auto" w:fill="auto"/>
            <w:vAlign w:val="bottom"/>
            <w:hideMark/>
          </w:tcPr>
          <w:p w14:paraId="6364DEDB"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3.8 (0.6)</w:t>
            </w:r>
          </w:p>
        </w:tc>
        <w:tc>
          <w:tcPr>
            <w:tcW w:w="1412" w:type="dxa"/>
            <w:tcBorders>
              <w:top w:val="nil"/>
              <w:left w:val="nil"/>
              <w:bottom w:val="single" w:sz="4" w:space="0" w:color="auto"/>
              <w:right w:val="single" w:sz="4" w:space="0" w:color="auto"/>
            </w:tcBorders>
            <w:shd w:val="clear" w:color="auto" w:fill="auto"/>
            <w:vAlign w:val="bottom"/>
            <w:hideMark/>
          </w:tcPr>
          <w:p w14:paraId="6364DEDC"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3.8 (0.6)</w:t>
            </w:r>
          </w:p>
        </w:tc>
        <w:tc>
          <w:tcPr>
            <w:tcW w:w="1785" w:type="dxa"/>
            <w:tcBorders>
              <w:top w:val="nil"/>
              <w:left w:val="nil"/>
              <w:bottom w:val="single" w:sz="4" w:space="0" w:color="auto"/>
              <w:right w:val="single" w:sz="4" w:space="0" w:color="auto"/>
            </w:tcBorders>
            <w:shd w:val="clear" w:color="auto" w:fill="auto"/>
            <w:vAlign w:val="bottom"/>
            <w:hideMark/>
          </w:tcPr>
          <w:p w14:paraId="6364DEDD"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-0.13 (-0.</w:t>
            </w:r>
            <w:proofErr w:type="gramStart"/>
            <w:r w:rsidRPr="00813425">
              <w:rPr>
                <w:rFonts w:ascii="Calibri" w:eastAsia="Times New Roman" w:hAnsi="Calibri" w:cs="Calibri"/>
                <w:sz w:val="16"/>
                <w:szCs w:val="16"/>
                <w:lang w:eastAsia="en-ZW"/>
              </w:rPr>
              <w:t>3 ,</w:t>
            </w:r>
            <w:proofErr w:type="gramEnd"/>
            <w:r w:rsidRPr="00813425">
              <w:rPr>
                <w:rFonts w:ascii="Calibri" w:eastAsia="Times New Roman" w:hAnsi="Calibri" w:cs="Calibri"/>
                <w:sz w:val="16"/>
                <w:szCs w:val="16"/>
                <w:lang w:eastAsia="en-ZW"/>
              </w:rPr>
              <w:t xml:space="preserve"> 0)</w:t>
            </w:r>
          </w:p>
        </w:tc>
        <w:tc>
          <w:tcPr>
            <w:tcW w:w="811" w:type="dxa"/>
            <w:tcBorders>
              <w:top w:val="nil"/>
              <w:left w:val="nil"/>
              <w:bottom w:val="single" w:sz="4" w:space="0" w:color="auto"/>
              <w:right w:val="single" w:sz="4" w:space="0" w:color="auto"/>
            </w:tcBorders>
            <w:shd w:val="clear" w:color="auto" w:fill="auto"/>
            <w:vAlign w:val="bottom"/>
            <w:hideMark/>
          </w:tcPr>
          <w:p w14:paraId="6364DEDE"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0.153</w:t>
            </w:r>
          </w:p>
        </w:tc>
        <w:tc>
          <w:tcPr>
            <w:tcW w:w="1412" w:type="dxa"/>
            <w:tcBorders>
              <w:top w:val="nil"/>
              <w:left w:val="nil"/>
              <w:bottom w:val="single" w:sz="4" w:space="0" w:color="auto"/>
              <w:right w:val="single" w:sz="4" w:space="0" w:color="auto"/>
            </w:tcBorders>
            <w:shd w:val="clear" w:color="auto" w:fill="auto"/>
            <w:vAlign w:val="bottom"/>
            <w:hideMark/>
          </w:tcPr>
          <w:p w14:paraId="6364DEDF"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3.8 (0.6)</w:t>
            </w:r>
          </w:p>
        </w:tc>
        <w:tc>
          <w:tcPr>
            <w:tcW w:w="1412" w:type="dxa"/>
            <w:tcBorders>
              <w:top w:val="nil"/>
              <w:left w:val="nil"/>
              <w:bottom w:val="single" w:sz="4" w:space="0" w:color="auto"/>
              <w:right w:val="single" w:sz="4" w:space="0" w:color="auto"/>
            </w:tcBorders>
            <w:shd w:val="clear" w:color="auto" w:fill="auto"/>
            <w:vAlign w:val="bottom"/>
            <w:hideMark/>
          </w:tcPr>
          <w:p w14:paraId="6364DEE0"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3.7 (0.6)</w:t>
            </w:r>
          </w:p>
        </w:tc>
        <w:tc>
          <w:tcPr>
            <w:tcW w:w="1848" w:type="dxa"/>
            <w:tcBorders>
              <w:top w:val="nil"/>
              <w:left w:val="nil"/>
              <w:bottom w:val="single" w:sz="4" w:space="0" w:color="auto"/>
              <w:right w:val="single" w:sz="4" w:space="0" w:color="auto"/>
            </w:tcBorders>
            <w:shd w:val="clear" w:color="auto" w:fill="auto"/>
            <w:vAlign w:val="bottom"/>
            <w:hideMark/>
          </w:tcPr>
          <w:p w14:paraId="6364DEE1"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-0.18 (-0.</w:t>
            </w:r>
            <w:proofErr w:type="gramStart"/>
            <w:r w:rsidRPr="00813425">
              <w:rPr>
                <w:rFonts w:ascii="Calibri" w:eastAsia="Times New Roman" w:hAnsi="Calibri" w:cs="Calibri"/>
                <w:sz w:val="16"/>
                <w:szCs w:val="16"/>
                <w:lang w:eastAsia="en-ZW"/>
              </w:rPr>
              <w:t>4 ,</w:t>
            </w:r>
            <w:proofErr w:type="gramEnd"/>
            <w:r w:rsidRPr="00813425">
              <w:rPr>
                <w:rFonts w:ascii="Calibri" w:eastAsia="Times New Roman" w:hAnsi="Calibri" w:cs="Calibri"/>
                <w:sz w:val="16"/>
                <w:szCs w:val="16"/>
                <w:lang w:eastAsia="en-ZW"/>
              </w:rPr>
              <w:t xml:space="preserve"> 0)</w:t>
            </w:r>
          </w:p>
        </w:tc>
        <w:tc>
          <w:tcPr>
            <w:tcW w:w="851" w:type="dxa"/>
            <w:tcBorders>
              <w:top w:val="nil"/>
              <w:left w:val="nil"/>
              <w:bottom w:val="single" w:sz="4" w:space="0" w:color="auto"/>
              <w:right w:val="single" w:sz="4" w:space="0" w:color="auto"/>
            </w:tcBorders>
            <w:shd w:val="clear" w:color="auto" w:fill="auto"/>
            <w:vAlign w:val="bottom"/>
            <w:hideMark/>
          </w:tcPr>
          <w:p w14:paraId="6364DEE2"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0.062</w:t>
            </w:r>
          </w:p>
        </w:tc>
      </w:tr>
      <w:tr w:rsidR="00C95A78" w:rsidRPr="00813425" w14:paraId="6364DEED" w14:textId="77777777" w:rsidTr="00C95A78">
        <w:trPr>
          <w:trHeight w:val="199"/>
        </w:trPr>
        <w:tc>
          <w:tcPr>
            <w:tcW w:w="2595" w:type="dxa"/>
            <w:tcBorders>
              <w:top w:val="nil"/>
              <w:left w:val="single" w:sz="4" w:space="0" w:color="auto"/>
              <w:bottom w:val="single" w:sz="4" w:space="0" w:color="auto"/>
              <w:right w:val="single" w:sz="4" w:space="0" w:color="auto"/>
            </w:tcBorders>
            <w:shd w:val="clear" w:color="auto" w:fill="auto"/>
            <w:vAlign w:val="bottom"/>
            <w:hideMark/>
          </w:tcPr>
          <w:p w14:paraId="6364DEE4" w14:textId="77777777" w:rsidR="00C95A78" w:rsidRPr="00813425" w:rsidRDefault="00C95A78" w:rsidP="00C95A78">
            <w:pPr>
              <w:spacing w:after="0" w:line="240" w:lineRule="auto"/>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38% Stress strain index, mm³</w:t>
            </w:r>
          </w:p>
        </w:tc>
        <w:tc>
          <w:tcPr>
            <w:tcW w:w="1536" w:type="dxa"/>
            <w:tcBorders>
              <w:top w:val="nil"/>
              <w:left w:val="nil"/>
              <w:bottom w:val="single" w:sz="4" w:space="0" w:color="auto"/>
              <w:right w:val="single" w:sz="4" w:space="0" w:color="auto"/>
            </w:tcBorders>
            <w:shd w:val="clear" w:color="auto" w:fill="auto"/>
            <w:vAlign w:val="bottom"/>
            <w:hideMark/>
          </w:tcPr>
          <w:p w14:paraId="6364DEE5"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1162.0 (386.9)</w:t>
            </w:r>
          </w:p>
        </w:tc>
        <w:tc>
          <w:tcPr>
            <w:tcW w:w="1412" w:type="dxa"/>
            <w:tcBorders>
              <w:top w:val="nil"/>
              <w:left w:val="nil"/>
              <w:bottom w:val="single" w:sz="4" w:space="0" w:color="auto"/>
              <w:right w:val="single" w:sz="4" w:space="0" w:color="auto"/>
            </w:tcBorders>
            <w:shd w:val="clear" w:color="auto" w:fill="auto"/>
            <w:vAlign w:val="bottom"/>
            <w:hideMark/>
          </w:tcPr>
          <w:p w14:paraId="6364DEE6"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1021.3 (311.1)</w:t>
            </w:r>
          </w:p>
        </w:tc>
        <w:tc>
          <w:tcPr>
            <w:tcW w:w="1785" w:type="dxa"/>
            <w:tcBorders>
              <w:top w:val="nil"/>
              <w:left w:val="nil"/>
              <w:bottom w:val="single" w:sz="4" w:space="0" w:color="auto"/>
              <w:right w:val="single" w:sz="4" w:space="0" w:color="auto"/>
            </w:tcBorders>
            <w:shd w:val="clear" w:color="auto" w:fill="auto"/>
            <w:vAlign w:val="bottom"/>
            <w:hideMark/>
          </w:tcPr>
          <w:p w14:paraId="6364DEE7"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-197.54 (-304.</w:t>
            </w:r>
            <w:proofErr w:type="gramStart"/>
            <w:r w:rsidRPr="00813425">
              <w:rPr>
                <w:rFonts w:ascii="Calibri" w:eastAsia="Times New Roman" w:hAnsi="Calibri" w:cs="Calibri"/>
                <w:sz w:val="16"/>
                <w:szCs w:val="16"/>
                <w:lang w:eastAsia="en-ZW"/>
              </w:rPr>
              <w:t>9 ,</w:t>
            </w:r>
            <w:proofErr w:type="gramEnd"/>
            <w:r w:rsidRPr="00813425">
              <w:rPr>
                <w:rFonts w:ascii="Calibri" w:eastAsia="Times New Roman" w:hAnsi="Calibri" w:cs="Calibri"/>
                <w:sz w:val="16"/>
                <w:szCs w:val="16"/>
                <w:lang w:eastAsia="en-ZW"/>
              </w:rPr>
              <w:t xml:space="preserve"> -90.2)</w:t>
            </w:r>
          </w:p>
        </w:tc>
        <w:tc>
          <w:tcPr>
            <w:tcW w:w="811" w:type="dxa"/>
            <w:tcBorders>
              <w:top w:val="nil"/>
              <w:left w:val="nil"/>
              <w:bottom w:val="single" w:sz="4" w:space="0" w:color="auto"/>
              <w:right w:val="single" w:sz="4" w:space="0" w:color="auto"/>
            </w:tcBorders>
            <w:shd w:val="clear" w:color="auto" w:fill="auto"/>
            <w:vAlign w:val="bottom"/>
            <w:hideMark/>
          </w:tcPr>
          <w:p w14:paraId="6364DEE8"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&lt;0.001</w:t>
            </w:r>
          </w:p>
        </w:tc>
        <w:tc>
          <w:tcPr>
            <w:tcW w:w="1412" w:type="dxa"/>
            <w:tcBorders>
              <w:top w:val="nil"/>
              <w:left w:val="nil"/>
              <w:bottom w:val="single" w:sz="4" w:space="0" w:color="auto"/>
              <w:right w:val="single" w:sz="4" w:space="0" w:color="auto"/>
            </w:tcBorders>
            <w:shd w:val="clear" w:color="auto" w:fill="auto"/>
            <w:vAlign w:val="bottom"/>
            <w:hideMark/>
          </w:tcPr>
          <w:p w14:paraId="6364DEE9"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1124.0 (326.4)</w:t>
            </w:r>
          </w:p>
        </w:tc>
        <w:tc>
          <w:tcPr>
            <w:tcW w:w="1412" w:type="dxa"/>
            <w:tcBorders>
              <w:top w:val="nil"/>
              <w:left w:val="nil"/>
              <w:bottom w:val="single" w:sz="4" w:space="0" w:color="auto"/>
              <w:right w:val="single" w:sz="4" w:space="0" w:color="auto"/>
            </w:tcBorders>
            <w:shd w:val="clear" w:color="auto" w:fill="auto"/>
            <w:vAlign w:val="bottom"/>
            <w:hideMark/>
          </w:tcPr>
          <w:p w14:paraId="6364DEEA"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923.1 (284.2)</w:t>
            </w:r>
          </w:p>
        </w:tc>
        <w:tc>
          <w:tcPr>
            <w:tcW w:w="1848" w:type="dxa"/>
            <w:tcBorders>
              <w:top w:val="nil"/>
              <w:left w:val="nil"/>
              <w:bottom w:val="single" w:sz="4" w:space="0" w:color="auto"/>
              <w:right w:val="single" w:sz="4" w:space="0" w:color="auto"/>
            </w:tcBorders>
            <w:shd w:val="clear" w:color="auto" w:fill="auto"/>
            <w:vAlign w:val="bottom"/>
            <w:hideMark/>
          </w:tcPr>
          <w:p w14:paraId="6364DEEB"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-241.28 (-338.</w:t>
            </w:r>
            <w:proofErr w:type="gramStart"/>
            <w:r w:rsidRPr="00813425">
              <w:rPr>
                <w:rFonts w:ascii="Calibri" w:eastAsia="Times New Roman" w:hAnsi="Calibri" w:cs="Calibri"/>
                <w:sz w:val="16"/>
                <w:szCs w:val="16"/>
                <w:lang w:eastAsia="en-ZW"/>
              </w:rPr>
              <w:t>3 ,</w:t>
            </w:r>
            <w:proofErr w:type="gramEnd"/>
            <w:r w:rsidRPr="00813425">
              <w:rPr>
                <w:rFonts w:ascii="Calibri" w:eastAsia="Times New Roman" w:hAnsi="Calibri" w:cs="Calibri"/>
                <w:sz w:val="16"/>
                <w:szCs w:val="16"/>
                <w:lang w:eastAsia="en-ZW"/>
              </w:rPr>
              <w:t xml:space="preserve"> -144.3)</w:t>
            </w:r>
          </w:p>
        </w:tc>
        <w:tc>
          <w:tcPr>
            <w:tcW w:w="851" w:type="dxa"/>
            <w:tcBorders>
              <w:top w:val="nil"/>
              <w:left w:val="nil"/>
              <w:bottom w:val="single" w:sz="4" w:space="0" w:color="auto"/>
              <w:right w:val="single" w:sz="4" w:space="0" w:color="auto"/>
            </w:tcBorders>
            <w:shd w:val="clear" w:color="auto" w:fill="auto"/>
            <w:vAlign w:val="bottom"/>
            <w:hideMark/>
          </w:tcPr>
          <w:p w14:paraId="6364DEEC"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&lt;0.001</w:t>
            </w:r>
          </w:p>
        </w:tc>
      </w:tr>
      <w:tr w:rsidR="00C95A78" w:rsidRPr="00813425" w14:paraId="6364DEF7" w14:textId="77777777" w:rsidTr="00C95A78">
        <w:trPr>
          <w:trHeight w:val="399"/>
        </w:trPr>
        <w:tc>
          <w:tcPr>
            <w:tcW w:w="2595" w:type="dxa"/>
            <w:tcBorders>
              <w:top w:val="nil"/>
              <w:left w:val="single" w:sz="4" w:space="0" w:color="auto"/>
              <w:bottom w:val="single" w:sz="4" w:space="0" w:color="auto"/>
              <w:right w:val="single" w:sz="4" w:space="0" w:color="auto"/>
            </w:tcBorders>
            <w:shd w:val="clear" w:color="000000" w:fill="D9D9D9"/>
            <w:vAlign w:val="bottom"/>
            <w:hideMark/>
          </w:tcPr>
          <w:p w14:paraId="6364DEEE" w14:textId="77777777" w:rsidR="00C95A78" w:rsidRPr="00813425" w:rsidRDefault="00C95A78" w:rsidP="00C95A78">
            <w:pPr>
              <w:spacing w:after="0" w:line="240" w:lineRule="auto"/>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 xml:space="preserve">Follow up </w:t>
            </w:r>
          </w:p>
        </w:tc>
        <w:tc>
          <w:tcPr>
            <w:tcW w:w="1536" w:type="dxa"/>
            <w:tcBorders>
              <w:top w:val="nil"/>
              <w:left w:val="nil"/>
              <w:bottom w:val="single" w:sz="4" w:space="0" w:color="auto"/>
              <w:right w:val="single" w:sz="4" w:space="0" w:color="auto"/>
            </w:tcBorders>
            <w:shd w:val="clear" w:color="000000" w:fill="D9D9D9"/>
            <w:vAlign w:val="bottom"/>
            <w:hideMark/>
          </w:tcPr>
          <w:p w14:paraId="6364DEEF" w14:textId="77777777" w:rsidR="00C95A78" w:rsidRPr="00813425" w:rsidRDefault="00C95A78" w:rsidP="00C95A78">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*Mean (SD) CWOH (n=113)</w:t>
            </w:r>
          </w:p>
        </w:tc>
        <w:tc>
          <w:tcPr>
            <w:tcW w:w="1412" w:type="dxa"/>
            <w:tcBorders>
              <w:top w:val="nil"/>
              <w:left w:val="nil"/>
              <w:bottom w:val="single" w:sz="4" w:space="0" w:color="auto"/>
              <w:right w:val="single" w:sz="4" w:space="0" w:color="auto"/>
            </w:tcBorders>
            <w:shd w:val="clear" w:color="000000" w:fill="D9D9D9"/>
            <w:vAlign w:val="bottom"/>
            <w:hideMark/>
          </w:tcPr>
          <w:p w14:paraId="6364DEF0" w14:textId="77777777" w:rsidR="00C95A78" w:rsidRPr="00813425" w:rsidRDefault="00C95A78" w:rsidP="00C95A78">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*Mean (SD) CWH (n=100)</w:t>
            </w:r>
          </w:p>
        </w:tc>
        <w:tc>
          <w:tcPr>
            <w:tcW w:w="1785" w:type="dxa"/>
            <w:tcBorders>
              <w:top w:val="nil"/>
              <w:left w:val="nil"/>
              <w:bottom w:val="single" w:sz="4" w:space="0" w:color="auto"/>
              <w:right w:val="single" w:sz="4" w:space="0" w:color="auto"/>
            </w:tcBorders>
            <w:shd w:val="clear" w:color="000000" w:fill="D9D9D9"/>
            <w:vAlign w:val="bottom"/>
            <w:hideMark/>
          </w:tcPr>
          <w:p w14:paraId="6364DEF1" w14:textId="77777777" w:rsidR="00C95A78" w:rsidRPr="00813425" w:rsidRDefault="00C95A78" w:rsidP="00C95A78">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 xml:space="preserve">**Adjusted MD        </w:t>
            </w:r>
            <w:proofErr w:type="gramStart"/>
            <w:r w:rsidRPr="00813425">
              <w:rPr>
                <w:rFonts w:ascii="Calibri" w:eastAsia="Times New Roman" w:hAnsi="Calibri" w:cs="Calibri"/>
                <w:b/>
                <w:bCs/>
                <w:sz w:val="16"/>
                <w:szCs w:val="16"/>
                <w:lang w:eastAsia="en-ZW"/>
              </w:rPr>
              <w:t xml:space="preserve">   (</w:t>
            </w:r>
            <w:proofErr w:type="gramEnd"/>
            <w:r w:rsidRPr="00813425">
              <w:rPr>
                <w:rFonts w:ascii="Calibri" w:eastAsia="Times New Roman" w:hAnsi="Calibri" w:cs="Calibri"/>
                <w:b/>
                <w:bCs/>
                <w:sz w:val="16"/>
                <w:szCs w:val="16"/>
                <w:lang w:eastAsia="en-ZW"/>
              </w:rPr>
              <w:t>95% CI)</w:t>
            </w:r>
          </w:p>
        </w:tc>
        <w:tc>
          <w:tcPr>
            <w:tcW w:w="811" w:type="dxa"/>
            <w:tcBorders>
              <w:top w:val="nil"/>
              <w:left w:val="nil"/>
              <w:bottom w:val="single" w:sz="4" w:space="0" w:color="auto"/>
              <w:right w:val="single" w:sz="4" w:space="0" w:color="auto"/>
            </w:tcBorders>
            <w:shd w:val="clear" w:color="000000" w:fill="D9D9D9"/>
            <w:vAlign w:val="bottom"/>
            <w:hideMark/>
          </w:tcPr>
          <w:p w14:paraId="6364DEF2" w14:textId="77777777" w:rsidR="00C95A78" w:rsidRPr="00813425" w:rsidRDefault="00C95A78" w:rsidP="00C95A78">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p-value</w:t>
            </w:r>
          </w:p>
        </w:tc>
        <w:tc>
          <w:tcPr>
            <w:tcW w:w="1412" w:type="dxa"/>
            <w:tcBorders>
              <w:top w:val="nil"/>
              <w:left w:val="nil"/>
              <w:bottom w:val="single" w:sz="4" w:space="0" w:color="auto"/>
              <w:right w:val="single" w:sz="4" w:space="0" w:color="auto"/>
            </w:tcBorders>
            <w:shd w:val="clear" w:color="000000" w:fill="D9D9D9"/>
            <w:vAlign w:val="bottom"/>
            <w:hideMark/>
          </w:tcPr>
          <w:p w14:paraId="6364DEF3" w14:textId="77777777" w:rsidR="00C95A78" w:rsidRPr="00813425" w:rsidRDefault="00C95A78" w:rsidP="00C95A78">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*Mean (SD) CWOH (n=111)</w:t>
            </w:r>
          </w:p>
        </w:tc>
        <w:tc>
          <w:tcPr>
            <w:tcW w:w="1412" w:type="dxa"/>
            <w:tcBorders>
              <w:top w:val="nil"/>
              <w:left w:val="nil"/>
              <w:bottom w:val="single" w:sz="4" w:space="0" w:color="auto"/>
              <w:right w:val="single" w:sz="4" w:space="0" w:color="auto"/>
            </w:tcBorders>
            <w:shd w:val="clear" w:color="000000" w:fill="D9D9D9"/>
            <w:vAlign w:val="bottom"/>
            <w:hideMark/>
          </w:tcPr>
          <w:p w14:paraId="6364DEF4" w14:textId="77777777" w:rsidR="00C95A78" w:rsidRPr="00813425" w:rsidRDefault="00C95A78" w:rsidP="00C95A78">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*Mean (SD) CWH (n=95)</w:t>
            </w:r>
          </w:p>
        </w:tc>
        <w:tc>
          <w:tcPr>
            <w:tcW w:w="1848" w:type="dxa"/>
            <w:tcBorders>
              <w:top w:val="nil"/>
              <w:left w:val="nil"/>
              <w:bottom w:val="single" w:sz="4" w:space="0" w:color="auto"/>
              <w:right w:val="single" w:sz="4" w:space="0" w:color="auto"/>
            </w:tcBorders>
            <w:shd w:val="clear" w:color="000000" w:fill="D9D9D9"/>
            <w:vAlign w:val="bottom"/>
            <w:hideMark/>
          </w:tcPr>
          <w:p w14:paraId="6364DEF5" w14:textId="77777777" w:rsidR="00C95A78" w:rsidRPr="00813425" w:rsidRDefault="00C95A78" w:rsidP="00C95A78">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 xml:space="preserve">**Adjusted MD        </w:t>
            </w:r>
            <w:proofErr w:type="gramStart"/>
            <w:r w:rsidRPr="00813425">
              <w:rPr>
                <w:rFonts w:ascii="Calibri" w:eastAsia="Times New Roman" w:hAnsi="Calibri" w:cs="Calibri"/>
                <w:b/>
                <w:bCs/>
                <w:sz w:val="16"/>
                <w:szCs w:val="16"/>
                <w:lang w:eastAsia="en-ZW"/>
              </w:rPr>
              <w:t xml:space="preserve">   (</w:t>
            </w:r>
            <w:proofErr w:type="gramEnd"/>
            <w:r w:rsidRPr="00813425">
              <w:rPr>
                <w:rFonts w:ascii="Calibri" w:eastAsia="Times New Roman" w:hAnsi="Calibri" w:cs="Calibri"/>
                <w:b/>
                <w:bCs/>
                <w:sz w:val="16"/>
                <w:szCs w:val="16"/>
                <w:lang w:eastAsia="en-ZW"/>
              </w:rPr>
              <w:t>95% CI)</w:t>
            </w:r>
          </w:p>
        </w:tc>
        <w:tc>
          <w:tcPr>
            <w:tcW w:w="851" w:type="dxa"/>
            <w:tcBorders>
              <w:top w:val="nil"/>
              <w:left w:val="nil"/>
              <w:bottom w:val="single" w:sz="4" w:space="0" w:color="auto"/>
              <w:right w:val="single" w:sz="4" w:space="0" w:color="auto"/>
            </w:tcBorders>
            <w:shd w:val="clear" w:color="000000" w:fill="D9D9D9"/>
            <w:vAlign w:val="bottom"/>
            <w:hideMark/>
          </w:tcPr>
          <w:p w14:paraId="6364DEF6" w14:textId="77777777" w:rsidR="00C95A78" w:rsidRPr="00813425" w:rsidRDefault="00C95A78" w:rsidP="00C95A78">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p-value</w:t>
            </w:r>
          </w:p>
        </w:tc>
      </w:tr>
      <w:tr w:rsidR="00C95A78" w:rsidRPr="00813425" w14:paraId="6364DF01" w14:textId="77777777" w:rsidTr="00C95A78">
        <w:trPr>
          <w:trHeight w:val="199"/>
        </w:trPr>
        <w:tc>
          <w:tcPr>
            <w:tcW w:w="2595" w:type="dxa"/>
            <w:tcBorders>
              <w:top w:val="nil"/>
              <w:left w:val="single" w:sz="4" w:space="0" w:color="auto"/>
              <w:bottom w:val="single" w:sz="4" w:space="0" w:color="auto"/>
              <w:right w:val="single" w:sz="4" w:space="0" w:color="auto"/>
            </w:tcBorders>
            <w:shd w:val="clear" w:color="auto" w:fill="auto"/>
            <w:vAlign w:val="bottom"/>
            <w:hideMark/>
          </w:tcPr>
          <w:p w14:paraId="6364DEF8" w14:textId="77777777" w:rsidR="00C95A78" w:rsidRPr="00813425" w:rsidRDefault="00C95A78" w:rsidP="00C95A78">
            <w:pPr>
              <w:spacing w:after="0" w:line="240" w:lineRule="auto"/>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4% Trabecular density, mg/cm³</w:t>
            </w:r>
          </w:p>
        </w:tc>
        <w:tc>
          <w:tcPr>
            <w:tcW w:w="1536" w:type="dxa"/>
            <w:tcBorders>
              <w:top w:val="nil"/>
              <w:left w:val="nil"/>
              <w:bottom w:val="single" w:sz="4" w:space="0" w:color="auto"/>
              <w:right w:val="single" w:sz="4" w:space="0" w:color="auto"/>
            </w:tcBorders>
            <w:shd w:val="clear" w:color="auto" w:fill="auto"/>
            <w:vAlign w:val="bottom"/>
            <w:hideMark/>
          </w:tcPr>
          <w:p w14:paraId="6364DEF9"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203.8 (34.5)</w:t>
            </w:r>
          </w:p>
        </w:tc>
        <w:tc>
          <w:tcPr>
            <w:tcW w:w="1412" w:type="dxa"/>
            <w:tcBorders>
              <w:top w:val="nil"/>
              <w:left w:val="nil"/>
              <w:bottom w:val="single" w:sz="4" w:space="0" w:color="auto"/>
              <w:right w:val="single" w:sz="4" w:space="0" w:color="auto"/>
            </w:tcBorders>
            <w:shd w:val="clear" w:color="auto" w:fill="auto"/>
            <w:vAlign w:val="bottom"/>
            <w:hideMark/>
          </w:tcPr>
          <w:p w14:paraId="6364DEFA"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192.1 (36.1)</w:t>
            </w:r>
          </w:p>
        </w:tc>
        <w:tc>
          <w:tcPr>
            <w:tcW w:w="1785" w:type="dxa"/>
            <w:tcBorders>
              <w:top w:val="nil"/>
              <w:left w:val="nil"/>
              <w:bottom w:val="single" w:sz="4" w:space="0" w:color="auto"/>
              <w:right w:val="single" w:sz="4" w:space="0" w:color="auto"/>
            </w:tcBorders>
            <w:shd w:val="clear" w:color="auto" w:fill="auto"/>
            <w:vAlign w:val="bottom"/>
            <w:hideMark/>
          </w:tcPr>
          <w:p w14:paraId="6364DEFB"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-10.87 (-21.</w:t>
            </w:r>
            <w:proofErr w:type="gramStart"/>
            <w:r w:rsidRPr="00813425">
              <w:rPr>
                <w:rFonts w:ascii="Calibri" w:eastAsia="Times New Roman" w:hAnsi="Calibri" w:cs="Calibri"/>
                <w:sz w:val="16"/>
                <w:szCs w:val="16"/>
                <w:lang w:eastAsia="en-ZW"/>
              </w:rPr>
              <w:t>6 ,</w:t>
            </w:r>
            <w:proofErr w:type="gramEnd"/>
            <w:r w:rsidRPr="00813425">
              <w:rPr>
                <w:rFonts w:ascii="Calibri" w:eastAsia="Times New Roman" w:hAnsi="Calibri" w:cs="Calibri"/>
                <w:sz w:val="16"/>
                <w:szCs w:val="16"/>
                <w:lang w:eastAsia="en-ZW"/>
              </w:rPr>
              <w:t xml:space="preserve"> -0.1)</w:t>
            </w:r>
          </w:p>
        </w:tc>
        <w:tc>
          <w:tcPr>
            <w:tcW w:w="811" w:type="dxa"/>
            <w:tcBorders>
              <w:top w:val="nil"/>
              <w:left w:val="nil"/>
              <w:bottom w:val="single" w:sz="4" w:space="0" w:color="auto"/>
              <w:right w:val="single" w:sz="4" w:space="0" w:color="auto"/>
            </w:tcBorders>
            <w:shd w:val="clear" w:color="auto" w:fill="auto"/>
            <w:vAlign w:val="bottom"/>
            <w:hideMark/>
          </w:tcPr>
          <w:p w14:paraId="6364DEFC"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0.048</w:t>
            </w:r>
          </w:p>
        </w:tc>
        <w:tc>
          <w:tcPr>
            <w:tcW w:w="1412" w:type="dxa"/>
            <w:tcBorders>
              <w:top w:val="nil"/>
              <w:left w:val="nil"/>
              <w:bottom w:val="single" w:sz="4" w:space="0" w:color="auto"/>
              <w:right w:val="single" w:sz="4" w:space="0" w:color="auto"/>
            </w:tcBorders>
            <w:shd w:val="clear" w:color="auto" w:fill="auto"/>
            <w:vAlign w:val="bottom"/>
            <w:hideMark/>
          </w:tcPr>
          <w:p w14:paraId="6364DEFD"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210.9 (33.1)</w:t>
            </w:r>
          </w:p>
        </w:tc>
        <w:tc>
          <w:tcPr>
            <w:tcW w:w="1412" w:type="dxa"/>
            <w:tcBorders>
              <w:top w:val="nil"/>
              <w:left w:val="nil"/>
              <w:bottom w:val="single" w:sz="4" w:space="0" w:color="auto"/>
              <w:right w:val="single" w:sz="4" w:space="0" w:color="auto"/>
            </w:tcBorders>
            <w:shd w:val="clear" w:color="auto" w:fill="auto"/>
            <w:vAlign w:val="bottom"/>
            <w:hideMark/>
          </w:tcPr>
          <w:p w14:paraId="6364DEFE"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196.2 (32.6)</w:t>
            </w:r>
          </w:p>
        </w:tc>
        <w:tc>
          <w:tcPr>
            <w:tcW w:w="1848" w:type="dxa"/>
            <w:tcBorders>
              <w:top w:val="nil"/>
              <w:left w:val="nil"/>
              <w:bottom w:val="single" w:sz="4" w:space="0" w:color="auto"/>
              <w:right w:val="single" w:sz="4" w:space="0" w:color="auto"/>
            </w:tcBorders>
            <w:shd w:val="clear" w:color="auto" w:fill="auto"/>
            <w:vAlign w:val="bottom"/>
            <w:hideMark/>
          </w:tcPr>
          <w:p w14:paraId="6364DEFF"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-14.52 (-25.</w:t>
            </w:r>
            <w:proofErr w:type="gramStart"/>
            <w:r w:rsidRPr="00813425">
              <w:rPr>
                <w:rFonts w:ascii="Calibri" w:eastAsia="Times New Roman" w:hAnsi="Calibri" w:cs="Calibri"/>
                <w:sz w:val="16"/>
                <w:szCs w:val="16"/>
                <w:lang w:eastAsia="en-ZW"/>
              </w:rPr>
              <w:t>0 ,</w:t>
            </w:r>
            <w:proofErr w:type="gramEnd"/>
            <w:r w:rsidRPr="00813425">
              <w:rPr>
                <w:rFonts w:ascii="Calibri" w:eastAsia="Times New Roman" w:hAnsi="Calibri" w:cs="Calibri"/>
                <w:sz w:val="16"/>
                <w:szCs w:val="16"/>
                <w:lang w:eastAsia="en-ZW"/>
              </w:rPr>
              <w:t xml:space="preserve"> -4.1)</w:t>
            </w:r>
          </w:p>
        </w:tc>
        <w:tc>
          <w:tcPr>
            <w:tcW w:w="851" w:type="dxa"/>
            <w:tcBorders>
              <w:top w:val="nil"/>
              <w:left w:val="nil"/>
              <w:bottom w:val="single" w:sz="4" w:space="0" w:color="auto"/>
              <w:right w:val="single" w:sz="4" w:space="0" w:color="auto"/>
            </w:tcBorders>
            <w:shd w:val="clear" w:color="auto" w:fill="auto"/>
            <w:vAlign w:val="bottom"/>
            <w:hideMark/>
          </w:tcPr>
          <w:p w14:paraId="6364DF00"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0.007</w:t>
            </w:r>
          </w:p>
        </w:tc>
      </w:tr>
      <w:tr w:rsidR="00C95A78" w:rsidRPr="00813425" w14:paraId="6364DF0B" w14:textId="77777777" w:rsidTr="00C95A78">
        <w:trPr>
          <w:trHeight w:val="199"/>
        </w:trPr>
        <w:tc>
          <w:tcPr>
            <w:tcW w:w="2595" w:type="dxa"/>
            <w:tcBorders>
              <w:top w:val="nil"/>
              <w:left w:val="single" w:sz="4" w:space="0" w:color="auto"/>
              <w:bottom w:val="single" w:sz="4" w:space="0" w:color="auto"/>
              <w:right w:val="single" w:sz="4" w:space="0" w:color="auto"/>
            </w:tcBorders>
            <w:shd w:val="clear" w:color="auto" w:fill="auto"/>
            <w:vAlign w:val="bottom"/>
            <w:hideMark/>
          </w:tcPr>
          <w:p w14:paraId="6364DF02" w14:textId="77777777" w:rsidR="00C95A78" w:rsidRPr="00813425" w:rsidRDefault="00C95A78" w:rsidP="00C95A78">
            <w:pPr>
              <w:spacing w:after="0" w:line="240" w:lineRule="auto"/>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38% Cortical density, mg/cm³</w:t>
            </w:r>
          </w:p>
        </w:tc>
        <w:tc>
          <w:tcPr>
            <w:tcW w:w="1536" w:type="dxa"/>
            <w:tcBorders>
              <w:top w:val="nil"/>
              <w:left w:val="nil"/>
              <w:bottom w:val="single" w:sz="4" w:space="0" w:color="auto"/>
              <w:right w:val="single" w:sz="4" w:space="0" w:color="auto"/>
            </w:tcBorders>
            <w:shd w:val="clear" w:color="auto" w:fill="auto"/>
            <w:vAlign w:val="bottom"/>
            <w:hideMark/>
          </w:tcPr>
          <w:p w14:paraId="6364DF03"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1077.1 (38.8)</w:t>
            </w:r>
          </w:p>
        </w:tc>
        <w:tc>
          <w:tcPr>
            <w:tcW w:w="1412" w:type="dxa"/>
            <w:tcBorders>
              <w:top w:val="nil"/>
              <w:left w:val="nil"/>
              <w:bottom w:val="single" w:sz="4" w:space="0" w:color="auto"/>
              <w:right w:val="single" w:sz="4" w:space="0" w:color="auto"/>
            </w:tcBorders>
            <w:shd w:val="clear" w:color="auto" w:fill="auto"/>
            <w:vAlign w:val="bottom"/>
            <w:hideMark/>
          </w:tcPr>
          <w:p w14:paraId="6364DF04"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1074.0 (38.8)</w:t>
            </w:r>
          </w:p>
        </w:tc>
        <w:tc>
          <w:tcPr>
            <w:tcW w:w="1785" w:type="dxa"/>
            <w:tcBorders>
              <w:top w:val="nil"/>
              <w:left w:val="nil"/>
              <w:bottom w:val="single" w:sz="4" w:space="0" w:color="auto"/>
              <w:right w:val="single" w:sz="4" w:space="0" w:color="auto"/>
            </w:tcBorders>
            <w:shd w:val="clear" w:color="auto" w:fill="auto"/>
            <w:vAlign w:val="bottom"/>
            <w:hideMark/>
          </w:tcPr>
          <w:p w14:paraId="6364DF05"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-4.80 (-16.</w:t>
            </w:r>
            <w:proofErr w:type="gramStart"/>
            <w:r w:rsidRPr="00813425">
              <w:rPr>
                <w:rFonts w:ascii="Calibri" w:eastAsia="Times New Roman" w:hAnsi="Calibri" w:cs="Calibri"/>
                <w:sz w:val="16"/>
                <w:szCs w:val="16"/>
                <w:lang w:eastAsia="en-ZW"/>
              </w:rPr>
              <w:t>8 ,</w:t>
            </w:r>
            <w:proofErr w:type="gramEnd"/>
            <w:r w:rsidRPr="00813425">
              <w:rPr>
                <w:rFonts w:ascii="Calibri" w:eastAsia="Times New Roman" w:hAnsi="Calibri" w:cs="Calibri"/>
                <w:sz w:val="16"/>
                <w:szCs w:val="16"/>
                <w:lang w:eastAsia="en-ZW"/>
              </w:rPr>
              <w:t xml:space="preserve"> 7.2)</w:t>
            </w:r>
          </w:p>
        </w:tc>
        <w:tc>
          <w:tcPr>
            <w:tcW w:w="811" w:type="dxa"/>
            <w:tcBorders>
              <w:top w:val="nil"/>
              <w:left w:val="nil"/>
              <w:bottom w:val="single" w:sz="4" w:space="0" w:color="auto"/>
              <w:right w:val="single" w:sz="4" w:space="0" w:color="auto"/>
            </w:tcBorders>
            <w:shd w:val="clear" w:color="auto" w:fill="auto"/>
            <w:vAlign w:val="bottom"/>
            <w:hideMark/>
          </w:tcPr>
          <w:p w14:paraId="6364DF06"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0.429</w:t>
            </w:r>
          </w:p>
        </w:tc>
        <w:tc>
          <w:tcPr>
            <w:tcW w:w="1412" w:type="dxa"/>
            <w:tcBorders>
              <w:top w:val="nil"/>
              <w:left w:val="nil"/>
              <w:bottom w:val="single" w:sz="4" w:space="0" w:color="auto"/>
              <w:right w:val="single" w:sz="4" w:space="0" w:color="auto"/>
            </w:tcBorders>
            <w:shd w:val="clear" w:color="auto" w:fill="auto"/>
            <w:vAlign w:val="bottom"/>
            <w:hideMark/>
          </w:tcPr>
          <w:p w14:paraId="6364DF07"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1115.5 (45.6)</w:t>
            </w:r>
          </w:p>
        </w:tc>
        <w:tc>
          <w:tcPr>
            <w:tcW w:w="1412" w:type="dxa"/>
            <w:tcBorders>
              <w:top w:val="nil"/>
              <w:left w:val="nil"/>
              <w:bottom w:val="single" w:sz="4" w:space="0" w:color="auto"/>
              <w:right w:val="single" w:sz="4" w:space="0" w:color="auto"/>
            </w:tcBorders>
            <w:shd w:val="clear" w:color="auto" w:fill="auto"/>
            <w:vAlign w:val="bottom"/>
            <w:hideMark/>
          </w:tcPr>
          <w:p w14:paraId="6364DF08"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1109.0 (39.2)</w:t>
            </w:r>
          </w:p>
        </w:tc>
        <w:tc>
          <w:tcPr>
            <w:tcW w:w="1848" w:type="dxa"/>
            <w:tcBorders>
              <w:top w:val="nil"/>
              <w:left w:val="nil"/>
              <w:bottom w:val="single" w:sz="4" w:space="0" w:color="auto"/>
              <w:right w:val="single" w:sz="4" w:space="0" w:color="auto"/>
            </w:tcBorders>
            <w:shd w:val="clear" w:color="auto" w:fill="auto"/>
            <w:vAlign w:val="bottom"/>
            <w:hideMark/>
          </w:tcPr>
          <w:p w14:paraId="6364DF09"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-11.17 (-24.</w:t>
            </w:r>
            <w:proofErr w:type="gramStart"/>
            <w:r w:rsidRPr="00813425">
              <w:rPr>
                <w:rFonts w:ascii="Calibri" w:eastAsia="Times New Roman" w:hAnsi="Calibri" w:cs="Calibri"/>
                <w:sz w:val="16"/>
                <w:szCs w:val="16"/>
                <w:lang w:eastAsia="en-ZW"/>
              </w:rPr>
              <w:t>7 ,</w:t>
            </w:r>
            <w:proofErr w:type="gramEnd"/>
            <w:r w:rsidRPr="00813425">
              <w:rPr>
                <w:rFonts w:ascii="Calibri" w:eastAsia="Times New Roman" w:hAnsi="Calibri" w:cs="Calibri"/>
                <w:sz w:val="16"/>
                <w:szCs w:val="16"/>
                <w:lang w:eastAsia="en-ZW"/>
              </w:rPr>
              <w:t xml:space="preserve"> 2.4)</w:t>
            </w:r>
          </w:p>
        </w:tc>
        <w:tc>
          <w:tcPr>
            <w:tcW w:w="851" w:type="dxa"/>
            <w:tcBorders>
              <w:top w:val="nil"/>
              <w:left w:val="nil"/>
              <w:bottom w:val="single" w:sz="4" w:space="0" w:color="auto"/>
              <w:right w:val="single" w:sz="4" w:space="0" w:color="auto"/>
            </w:tcBorders>
            <w:shd w:val="clear" w:color="auto" w:fill="auto"/>
            <w:vAlign w:val="bottom"/>
            <w:hideMark/>
          </w:tcPr>
          <w:p w14:paraId="6364DF0A"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0.106</w:t>
            </w:r>
          </w:p>
        </w:tc>
      </w:tr>
      <w:tr w:rsidR="00C95A78" w:rsidRPr="00813425" w14:paraId="6364DF15" w14:textId="77777777" w:rsidTr="00C95A78">
        <w:trPr>
          <w:trHeight w:val="199"/>
        </w:trPr>
        <w:tc>
          <w:tcPr>
            <w:tcW w:w="2595" w:type="dxa"/>
            <w:tcBorders>
              <w:top w:val="nil"/>
              <w:left w:val="single" w:sz="4" w:space="0" w:color="auto"/>
              <w:bottom w:val="single" w:sz="4" w:space="0" w:color="auto"/>
              <w:right w:val="single" w:sz="4" w:space="0" w:color="auto"/>
            </w:tcBorders>
            <w:shd w:val="clear" w:color="auto" w:fill="auto"/>
            <w:vAlign w:val="bottom"/>
            <w:hideMark/>
          </w:tcPr>
          <w:p w14:paraId="6364DF0C" w14:textId="77777777" w:rsidR="00C95A78" w:rsidRPr="00813425" w:rsidRDefault="00C95A78" w:rsidP="00C95A78">
            <w:pPr>
              <w:spacing w:after="0" w:line="240" w:lineRule="auto"/>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 xml:space="preserve">4% Total </w:t>
            </w:r>
            <w:proofErr w:type="gramStart"/>
            <w:r w:rsidRPr="00813425">
              <w:rPr>
                <w:rFonts w:ascii="Calibri" w:eastAsia="Times New Roman" w:hAnsi="Calibri" w:cs="Calibri"/>
                <w:sz w:val="16"/>
                <w:szCs w:val="16"/>
                <w:lang w:eastAsia="en-ZW"/>
              </w:rPr>
              <w:t>Cross sectional</w:t>
            </w:r>
            <w:proofErr w:type="gramEnd"/>
            <w:r w:rsidRPr="00813425">
              <w:rPr>
                <w:rFonts w:ascii="Calibri" w:eastAsia="Times New Roman" w:hAnsi="Calibri" w:cs="Calibri"/>
                <w:sz w:val="16"/>
                <w:szCs w:val="16"/>
                <w:lang w:eastAsia="en-ZW"/>
              </w:rPr>
              <w:t xml:space="preserve"> area, mm²</w:t>
            </w:r>
          </w:p>
        </w:tc>
        <w:tc>
          <w:tcPr>
            <w:tcW w:w="1536" w:type="dxa"/>
            <w:tcBorders>
              <w:top w:val="nil"/>
              <w:left w:val="nil"/>
              <w:bottom w:val="single" w:sz="4" w:space="0" w:color="auto"/>
              <w:right w:val="single" w:sz="4" w:space="0" w:color="auto"/>
            </w:tcBorders>
            <w:shd w:val="clear" w:color="auto" w:fill="auto"/>
            <w:vAlign w:val="bottom"/>
            <w:hideMark/>
          </w:tcPr>
          <w:p w14:paraId="6364DF0D"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783.0 (221.8)</w:t>
            </w:r>
          </w:p>
        </w:tc>
        <w:tc>
          <w:tcPr>
            <w:tcW w:w="1412" w:type="dxa"/>
            <w:tcBorders>
              <w:top w:val="nil"/>
              <w:left w:val="nil"/>
              <w:bottom w:val="single" w:sz="4" w:space="0" w:color="auto"/>
              <w:right w:val="single" w:sz="4" w:space="0" w:color="auto"/>
            </w:tcBorders>
            <w:shd w:val="clear" w:color="auto" w:fill="auto"/>
            <w:vAlign w:val="bottom"/>
            <w:hideMark/>
          </w:tcPr>
          <w:p w14:paraId="6364DF0E"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728.9 (187.3)</w:t>
            </w:r>
          </w:p>
        </w:tc>
        <w:tc>
          <w:tcPr>
            <w:tcW w:w="1785" w:type="dxa"/>
            <w:tcBorders>
              <w:top w:val="nil"/>
              <w:left w:val="nil"/>
              <w:bottom w:val="single" w:sz="4" w:space="0" w:color="auto"/>
              <w:right w:val="single" w:sz="4" w:space="0" w:color="auto"/>
            </w:tcBorders>
            <w:shd w:val="clear" w:color="auto" w:fill="auto"/>
            <w:vAlign w:val="bottom"/>
            <w:hideMark/>
          </w:tcPr>
          <w:p w14:paraId="6364DF0F"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-81.91 (-144.</w:t>
            </w:r>
            <w:proofErr w:type="gramStart"/>
            <w:r w:rsidRPr="00813425">
              <w:rPr>
                <w:rFonts w:ascii="Calibri" w:eastAsia="Times New Roman" w:hAnsi="Calibri" w:cs="Calibri"/>
                <w:sz w:val="16"/>
                <w:szCs w:val="16"/>
                <w:lang w:eastAsia="en-ZW"/>
              </w:rPr>
              <w:t>8 ,</w:t>
            </w:r>
            <w:proofErr w:type="gramEnd"/>
            <w:r w:rsidRPr="00813425">
              <w:rPr>
                <w:rFonts w:ascii="Calibri" w:eastAsia="Times New Roman" w:hAnsi="Calibri" w:cs="Calibri"/>
                <w:sz w:val="16"/>
                <w:szCs w:val="16"/>
                <w:lang w:eastAsia="en-ZW"/>
              </w:rPr>
              <w:t xml:space="preserve"> -19.0)</w:t>
            </w:r>
          </w:p>
        </w:tc>
        <w:tc>
          <w:tcPr>
            <w:tcW w:w="811" w:type="dxa"/>
            <w:tcBorders>
              <w:top w:val="nil"/>
              <w:left w:val="nil"/>
              <w:bottom w:val="single" w:sz="4" w:space="0" w:color="auto"/>
              <w:right w:val="single" w:sz="4" w:space="0" w:color="auto"/>
            </w:tcBorders>
            <w:shd w:val="clear" w:color="auto" w:fill="auto"/>
            <w:vAlign w:val="bottom"/>
            <w:hideMark/>
          </w:tcPr>
          <w:p w14:paraId="6364DF10"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0.011</w:t>
            </w:r>
          </w:p>
        </w:tc>
        <w:tc>
          <w:tcPr>
            <w:tcW w:w="1412" w:type="dxa"/>
            <w:tcBorders>
              <w:top w:val="nil"/>
              <w:left w:val="nil"/>
              <w:bottom w:val="single" w:sz="4" w:space="0" w:color="auto"/>
              <w:right w:val="single" w:sz="4" w:space="0" w:color="auto"/>
            </w:tcBorders>
            <w:shd w:val="clear" w:color="auto" w:fill="auto"/>
            <w:vAlign w:val="bottom"/>
            <w:hideMark/>
          </w:tcPr>
          <w:p w14:paraId="6364DF11"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748.6 (152.7)</w:t>
            </w:r>
          </w:p>
        </w:tc>
        <w:tc>
          <w:tcPr>
            <w:tcW w:w="1412" w:type="dxa"/>
            <w:tcBorders>
              <w:top w:val="nil"/>
              <w:left w:val="nil"/>
              <w:bottom w:val="single" w:sz="4" w:space="0" w:color="auto"/>
              <w:right w:val="single" w:sz="4" w:space="0" w:color="auto"/>
            </w:tcBorders>
            <w:shd w:val="clear" w:color="auto" w:fill="auto"/>
            <w:vAlign w:val="bottom"/>
            <w:hideMark/>
          </w:tcPr>
          <w:p w14:paraId="6364DF12"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685.0 (151.1)</w:t>
            </w:r>
          </w:p>
        </w:tc>
        <w:tc>
          <w:tcPr>
            <w:tcW w:w="1848" w:type="dxa"/>
            <w:tcBorders>
              <w:top w:val="nil"/>
              <w:left w:val="nil"/>
              <w:bottom w:val="single" w:sz="4" w:space="0" w:color="auto"/>
              <w:right w:val="single" w:sz="4" w:space="0" w:color="auto"/>
            </w:tcBorders>
            <w:shd w:val="clear" w:color="auto" w:fill="auto"/>
            <w:vAlign w:val="bottom"/>
            <w:hideMark/>
          </w:tcPr>
          <w:p w14:paraId="6364DF13"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-94.32 (-142.</w:t>
            </w:r>
            <w:proofErr w:type="gramStart"/>
            <w:r w:rsidRPr="00813425">
              <w:rPr>
                <w:rFonts w:ascii="Calibri" w:eastAsia="Times New Roman" w:hAnsi="Calibri" w:cs="Calibri"/>
                <w:sz w:val="16"/>
                <w:szCs w:val="16"/>
                <w:lang w:eastAsia="en-ZW"/>
              </w:rPr>
              <w:t>0 ,</w:t>
            </w:r>
            <w:proofErr w:type="gramEnd"/>
            <w:r w:rsidRPr="00813425">
              <w:rPr>
                <w:rFonts w:ascii="Calibri" w:eastAsia="Times New Roman" w:hAnsi="Calibri" w:cs="Calibri"/>
                <w:sz w:val="16"/>
                <w:szCs w:val="16"/>
                <w:lang w:eastAsia="en-ZW"/>
              </w:rPr>
              <w:t xml:space="preserve"> -46.6)</w:t>
            </w:r>
          </w:p>
        </w:tc>
        <w:tc>
          <w:tcPr>
            <w:tcW w:w="851" w:type="dxa"/>
            <w:tcBorders>
              <w:top w:val="nil"/>
              <w:left w:val="nil"/>
              <w:bottom w:val="single" w:sz="4" w:space="0" w:color="auto"/>
              <w:right w:val="single" w:sz="4" w:space="0" w:color="auto"/>
            </w:tcBorders>
            <w:shd w:val="clear" w:color="auto" w:fill="auto"/>
            <w:vAlign w:val="bottom"/>
            <w:hideMark/>
          </w:tcPr>
          <w:p w14:paraId="6364DF14"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&lt;0.001</w:t>
            </w:r>
          </w:p>
        </w:tc>
      </w:tr>
      <w:tr w:rsidR="00C95A78" w:rsidRPr="00813425" w14:paraId="6364DF1F" w14:textId="77777777" w:rsidTr="00C95A78">
        <w:trPr>
          <w:trHeight w:val="199"/>
        </w:trPr>
        <w:tc>
          <w:tcPr>
            <w:tcW w:w="2595" w:type="dxa"/>
            <w:tcBorders>
              <w:top w:val="nil"/>
              <w:left w:val="single" w:sz="4" w:space="0" w:color="auto"/>
              <w:bottom w:val="single" w:sz="4" w:space="0" w:color="auto"/>
              <w:right w:val="single" w:sz="4" w:space="0" w:color="auto"/>
            </w:tcBorders>
            <w:shd w:val="clear" w:color="auto" w:fill="auto"/>
            <w:vAlign w:val="bottom"/>
            <w:hideMark/>
          </w:tcPr>
          <w:p w14:paraId="6364DF16" w14:textId="77777777" w:rsidR="00C95A78" w:rsidRPr="00813425" w:rsidRDefault="00C95A78" w:rsidP="00C95A78">
            <w:pPr>
              <w:spacing w:after="0" w:line="240" w:lineRule="auto"/>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 xml:space="preserve">38% Total </w:t>
            </w:r>
            <w:proofErr w:type="gramStart"/>
            <w:r w:rsidRPr="00813425">
              <w:rPr>
                <w:rFonts w:ascii="Calibri" w:eastAsia="Times New Roman" w:hAnsi="Calibri" w:cs="Calibri"/>
                <w:sz w:val="16"/>
                <w:szCs w:val="16"/>
                <w:lang w:eastAsia="en-ZW"/>
              </w:rPr>
              <w:t>Cross sectional</w:t>
            </w:r>
            <w:proofErr w:type="gramEnd"/>
            <w:r w:rsidRPr="00813425">
              <w:rPr>
                <w:rFonts w:ascii="Calibri" w:eastAsia="Times New Roman" w:hAnsi="Calibri" w:cs="Calibri"/>
                <w:sz w:val="16"/>
                <w:szCs w:val="16"/>
                <w:lang w:eastAsia="en-ZW"/>
              </w:rPr>
              <w:t xml:space="preserve"> area, mm²</w:t>
            </w:r>
          </w:p>
        </w:tc>
        <w:tc>
          <w:tcPr>
            <w:tcW w:w="1536" w:type="dxa"/>
            <w:tcBorders>
              <w:top w:val="nil"/>
              <w:left w:val="nil"/>
              <w:bottom w:val="single" w:sz="4" w:space="0" w:color="auto"/>
              <w:right w:val="single" w:sz="4" w:space="0" w:color="auto"/>
            </w:tcBorders>
            <w:shd w:val="clear" w:color="auto" w:fill="auto"/>
            <w:vAlign w:val="bottom"/>
            <w:hideMark/>
          </w:tcPr>
          <w:p w14:paraId="6364DF17"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368.1 (79.1)</w:t>
            </w:r>
          </w:p>
        </w:tc>
        <w:tc>
          <w:tcPr>
            <w:tcW w:w="1412" w:type="dxa"/>
            <w:tcBorders>
              <w:top w:val="nil"/>
              <w:left w:val="nil"/>
              <w:bottom w:val="single" w:sz="4" w:space="0" w:color="auto"/>
              <w:right w:val="single" w:sz="4" w:space="0" w:color="auto"/>
            </w:tcBorders>
            <w:shd w:val="clear" w:color="auto" w:fill="auto"/>
            <w:vAlign w:val="bottom"/>
            <w:hideMark/>
          </w:tcPr>
          <w:p w14:paraId="6364DF18"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342.1 (70.0)</w:t>
            </w:r>
          </w:p>
        </w:tc>
        <w:tc>
          <w:tcPr>
            <w:tcW w:w="1785" w:type="dxa"/>
            <w:tcBorders>
              <w:top w:val="nil"/>
              <w:left w:val="nil"/>
              <w:bottom w:val="single" w:sz="4" w:space="0" w:color="auto"/>
              <w:right w:val="single" w:sz="4" w:space="0" w:color="auto"/>
            </w:tcBorders>
            <w:shd w:val="clear" w:color="auto" w:fill="auto"/>
            <w:vAlign w:val="bottom"/>
            <w:hideMark/>
          </w:tcPr>
          <w:p w14:paraId="6364DF19"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-36.31 (-59.</w:t>
            </w:r>
            <w:proofErr w:type="gramStart"/>
            <w:r w:rsidRPr="00813425">
              <w:rPr>
                <w:rFonts w:ascii="Calibri" w:eastAsia="Times New Roman" w:hAnsi="Calibri" w:cs="Calibri"/>
                <w:sz w:val="16"/>
                <w:szCs w:val="16"/>
                <w:lang w:eastAsia="en-ZW"/>
              </w:rPr>
              <w:t>2 ,</w:t>
            </w:r>
            <w:proofErr w:type="gramEnd"/>
            <w:r w:rsidRPr="00813425">
              <w:rPr>
                <w:rFonts w:ascii="Calibri" w:eastAsia="Times New Roman" w:hAnsi="Calibri" w:cs="Calibri"/>
                <w:sz w:val="16"/>
                <w:szCs w:val="16"/>
                <w:lang w:eastAsia="en-ZW"/>
              </w:rPr>
              <w:t xml:space="preserve"> -13.5)</w:t>
            </w:r>
          </w:p>
        </w:tc>
        <w:tc>
          <w:tcPr>
            <w:tcW w:w="811" w:type="dxa"/>
            <w:tcBorders>
              <w:top w:val="nil"/>
              <w:left w:val="nil"/>
              <w:bottom w:val="single" w:sz="4" w:space="0" w:color="auto"/>
              <w:right w:val="single" w:sz="4" w:space="0" w:color="auto"/>
            </w:tcBorders>
            <w:shd w:val="clear" w:color="auto" w:fill="auto"/>
            <w:vAlign w:val="bottom"/>
            <w:hideMark/>
          </w:tcPr>
          <w:p w14:paraId="6364DF1A"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0.002</w:t>
            </w:r>
          </w:p>
        </w:tc>
        <w:tc>
          <w:tcPr>
            <w:tcW w:w="1412" w:type="dxa"/>
            <w:tcBorders>
              <w:top w:val="nil"/>
              <w:left w:val="nil"/>
              <w:bottom w:val="single" w:sz="4" w:space="0" w:color="auto"/>
              <w:right w:val="single" w:sz="4" w:space="0" w:color="auto"/>
            </w:tcBorders>
            <w:shd w:val="clear" w:color="auto" w:fill="auto"/>
            <w:vAlign w:val="bottom"/>
            <w:hideMark/>
          </w:tcPr>
          <w:p w14:paraId="6364DF1B"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346.6 (56.5)</w:t>
            </w:r>
          </w:p>
        </w:tc>
        <w:tc>
          <w:tcPr>
            <w:tcW w:w="1412" w:type="dxa"/>
            <w:tcBorders>
              <w:top w:val="nil"/>
              <w:left w:val="nil"/>
              <w:bottom w:val="single" w:sz="4" w:space="0" w:color="auto"/>
              <w:right w:val="single" w:sz="4" w:space="0" w:color="auto"/>
            </w:tcBorders>
            <w:shd w:val="clear" w:color="auto" w:fill="auto"/>
            <w:vAlign w:val="bottom"/>
            <w:hideMark/>
          </w:tcPr>
          <w:p w14:paraId="6364DF1C"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306.6 (57.5)</w:t>
            </w:r>
          </w:p>
        </w:tc>
        <w:tc>
          <w:tcPr>
            <w:tcW w:w="1848" w:type="dxa"/>
            <w:tcBorders>
              <w:top w:val="nil"/>
              <w:left w:val="nil"/>
              <w:bottom w:val="single" w:sz="4" w:space="0" w:color="auto"/>
              <w:right w:val="single" w:sz="4" w:space="0" w:color="auto"/>
            </w:tcBorders>
            <w:shd w:val="clear" w:color="auto" w:fill="auto"/>
            <w:vAlign w:val="bottom"/>
            <w:hideMark/>
          </w:tcPr>
          <w:p w14:paraId="6364DF1D"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-48.16 (-66.</w:t>
            </w:r>
            <w:proofErr w:type="gramStart"/>
            <w:r w:rsidRPr="00813425">
              <w:rPr>
                <w:rFonts w:ascii="Calibri" w:eastAsia="Times New Roman" w:hAnsi="Calibri" w:cs="Calibri"/>
                <w:sz w:val="16"/>
                <w:szCs w:val="16"/>
                <w:lang w:eastAsia="en-ZW"/>
              </w:rPr>
              <w:t>1 ,</w:t>
            </w:r>
            <w:proofErr w:type="gramEnd"/>
            <w:r w:rsidRPr="00813425">
              <w:rPr>
                <w:rFonts w:ascii="Calibri" w:eastAsia="Times New Roman" w:hAnsi="Calibri" w:cs="Calibri"/>
                <w:sz w:val="16"/>
                <w:szCs w:val="16"/>
                <w:lang w:eastAsia="en-ZW"/>
              </w:rPr>
              <w:t xml:space="preserve"> -30.2)</w:t>
            </w:r>
          </w:p>
        </w:tc>
        <w:tc>
          <w:tcPr>
            <w:tcW w:w="851" w:type="dxa"/>
            <w:tcBorders>
              <w:top w:val="nil"/>
              <w:left w:val="nil"/>
              <w:bottom w:val="single" w:sz="4" w:space="0" w:color="auto"/>
              <w:right w:val="single" w:sz="4" w:space="0" w:color="auto"/>
            </w:tcBorders>
            <w:shd w:val="clear" w:color="auto" w:fill="auto"/>
            <w:vAlign w:val="bottom"/>
            <w:hideMark/>
          </w:tcPr>
          <w:p w14:paraId="6364DF1E"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&lt;0.001</w:t>
            </w:r>
          </w:p>
        </w:tc>
      </w:tr>
      <w:tr w:rsidR="00C95A78" w:rsidRPr="00813425" w14:paraId="6364DF29" w14:textId="77777777" w:rsidTr="00C95A78">
        <w:trPr>
          <w:trHeight w:val="199"/>
        </w:trPr>
        <w:tc>
          <w:tcPr>
            <w:tcW w:w="2595" w:type="dxa"/>
            <w:tcBorders>
              <w:top w:val="nil"/>
              <w:left w:val="single" w:sz="4" w:space="0" w:color="auto"/>
              <w:bottom w:val="single" w:sz="4" w:space="0" w:color="auto"/>
              <w:right w:val="single" w:sz="4" w:space="0" w:color="auto"/>
            </w:tcBorders>
            <w:shd w:val="clear" w:color="auto" w:fill="auto"/>
            <w:vAlign w:val="bottom"/>
            <w:hideMark/>
          </w:tcPr>
          <w:p w14:paraId="6364DF20" w14:textId="77777777" w:rsidR="00C95A78" w:rsidRPr="00813425" w:rsidRDefault="00C95A78" w:rsidP="00C95A78">
            <w:pPr>
              <w:spacing w:after="0" w:line="240" w:lineRule="auto"/>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38% Cortical thickness, mm</w:t>
            </w:r>
          </w:p>
        </w:tc>
        <w:tc>
          <w:tcPr>
            <w:tcW w:w="1536" w:type="dxa"/>
            <w:tcBorders>
              <w:top w:val="nil"/>
              <w:left w:val="nil"/>
              <w:bottom w:val="single" w:sz="4" w:space="0" w:color="auto"/>
              <w:right w:val="single" w:sz="4" w:space="0" w:color="auto"/>
            </w:tcBorders>
            <w:shd w:val="clear" w:color="auto" w:fill="auto"/>
            <w:vAlign w:val="bottom"/>
            <w:hideMark/>
          </w:tcPr>
          <w:p w14:paraId="6364DF21"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4.0 (0.6)</w:t>
            </w:r>
          </w:p>
        </w:tc>
        <w:tc>
          <w:tcPr>
            <w:tcW w:w="1412" w:type="dxa"/>
            <w:tcBorders>
              <w:top w:val="nil"/>
              <w:left w:val="nil"/>
              <w:bottom w:val="single" w:sz="4" w:space="0" w:color="auto"/>
              <w:right w:val="single" w:sz="4" w:space="0" w:color="auto"/>
            </w:tcBorders>
            <w:shd w:val="clear" w:color="auto" w:fill="auto"/>
            <w:vAlign w:val="bottom"/>
            <w:hideMark/>
          </w:tcPr>
          <w:p w14:paraId="6364DF22"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3.9 (0.7)</w:t>
            </w:r>
          </w:p>
        </w:tc>
        <w:tc>
          <w:tcPr>
            <w:tcW w:w="1785" w:type="dxa"/>
            <w:tcBorders>
              <w:top w:val="nil"/>
              <w:left w:val="nil"/>
              <w:bottom w:val="single" w:sz="4" w:space="0" w:color="auto"/>
              <w:right w:val="single" w:sz="4" w:space="0" w:color="auto"/>
            </w:tcBorders>
            <w:shd w:val="clear" w:color="auto" w:fill="auto"/>
            <w:vAlign w:val="bottom"/>
            <w:hideMark/>
          </w:tcPr>
          <w:p w14:paraId="6364DF23"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-0.17 (-0.</w:t>
            </w:r>
            <w:proofErr w:type="gramStart"/>
            <w:r w:rsidRPr="00813425">
              <w:rPr>
                <w:rFonts w:ascii="Calibri" w:eastAsia="Times New Roman" w:hAnsi="Calibri" w:cs="Calibri"/>
                <w:sz w:val="16"/>
                <w:szCs w:val="16"/>
                <w:lang w:eastAsia="en-ZW"/>
              </w:rPr>
              <w:t>4 ,</w:t>
            </w:r>
            <w:proofErr w:type="gramEnd"/>
            <w:r w:rsidRPr="00813425">
              <w:rPr>
                <w:rFonts w:ascii="Calibri" w:eastAsia="Times New Roman" w:hAnsi="Calibri" w:cs="Calibri"/>
                <w:sz w:val="16"/>
                <w:szCs w:val="16"/>
                <w:lang w:eastAsia="en-ZW"/>
              </w:rPr>
              <w:t xml:space="preserve"> 0)</w:t>
            </w:r>
          </w:p>
        </w:tc>
        <w:tc>
          <w:tcPr>
            <w:tcW w:w="811" w:type="dxa"/>
            <w:tcBorders>
              <w:top w:val="nil"/>
              <w:left w:val="nil"/>
              <w:bottom w:val="single" w:sz="4" w:space="0" w:color="auto"/>
              <w:right w:val="single" w:sz="4" w:space="0" w:color="auto"/>
            </w:tcBorders>
            <w:shd w:val="clear" w:color="auto" w:fill="auto"/>
            <w:vAlign w:val="bottom"/>
            <w:hideMark/>
          </w:tcPr>
          <w:p w14:paraId="6364DF24"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0.074</w:t>
            </w:r>
          </w:p>
        </w:tc>
        <w:tc>
          <w:tcPr>
            <w:tcW w:w="1412" w:type="dxa"/>
            <w:tcBorders>
              <w:top w:val="nil"/>
              <w:left w:val="nil"/>
              <w:bottom w:val="single" w:sz="4" w:space="0" w:color="auto"/>
              <w:right w:val="single" w:sz="4" w:space="0" w:color="auto"/>
            </w:tcBorders>
            <w:shd w:val="clear" w:color="auto" w:fill="auto"/>
            <w:vAlign w:val="bottom"/>
            <w:hideMark/>
          </w:tcPr>
          <w:p w14:paraId="6364DF25"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4.0 (0.6)</w:t>
            </w:r>
          </w:p>
        </w:tc>
        <w:tc>
          <w:tcPr>
            <w:tcW w:w="1412" w:type="dxa"/>
            <w:tcBorders>
              <w:top w:val="nil"/>
              <w:left w:val="nil"/>
              <w:bottom w:val="single" w:sz="4" w:space="0" w:color="auto"/>
              <w:right w:val="single" w:sz="4" w:space="0" w:color="auto"/>
            </w:tcBorders>
            <w:shd w:val="clear" w:color="auto" w:fill="auto"/>
            <w:vAlign w:val="bottom"/>
            <w:hideMark/>
          </w:tcPr>
          <w:p w14:paraId="6364DF26"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3.8 (0.6)</w:t>
            </w:r>
          </w:p>
        </w:tc>
        <w:tc>
          <w:tcPr>
            <w:tcW w:w="1848" w:type="dxa"/>
            <w:tcBorders>
              <w:top w:val="nil"/>
              <w:left w:val="nil"/>
              <w:bottom w:val="single" w:sz="4" w:space="0" w:color="auto"/>
              <w:right w:val="single" w:sz="4" w:space="0" w:color="auto"/>
            </w:tcBorders>
            <w:shd w:val="clear" w:color="auto" w:fill="auto"/>
            <w:vAlign w:val="bottom"/>
            <w:hideMark/>
          </w:tcPr>
          <w:p w14:paraId="6364DF27"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-0.21 (-0.</w:t>
            </w:r>
            <w:proofErr w:type="gramStart"/>
            <w:r w:rsidRPr="00813425">
              <w:rPr>
                <w:rFonts w:ascii="Calibri" w:eastAsia="Times New Roman" w:hAnsi="Calibri" w:cs="Calibri"/>
                <w:sz w:val="16"/>
                <w:szCs w:val="16"/>
                <w:lang w:eastAsia="en-ZW"/>
              </w:rPr>
              <w:t>4 ,</w:t>
            </w:r>
            <w:proofErr w:type="gramEnd"/>
            <w:r w:rsidRPr="00813425">
              <w:rPr>
                <w:rFonts w:ascii="Calibri" w:eastAsia="Times New Roman" w:hAnsi="Calibri" w:cs="Calibri"/>
                <w:sz w:val="16"/>
                <w:szCs w:val="16"/>
                <w:lang w:eastAsia="en-ZW"/>
              </w:rPr>
              <w:t xml:space="preserve"> 0)</w:t>
            </w:r>
          </w:p>
        </w:tc>
        <w:tc>
          <w:tcPr>
            <w:tcW w:w="851" w:type="dxa"/>
            <w:tcBorders>
              <w:top w:val="nil"/>
              <w:left w:val="nil"/>
              <w:bottom w:val="single" w:sz="4" w:space="0" w:color="auto"/>
              <w:right w:val="single" w:sz="4" w:space="0" w:color="auto"/>
            </w:tcBorders>
            <w:shd w:val="clear" w:color="auto" w:fill="auto"/>
            <w:vAlign w:val="bottom"/>
            <w:hideMark/>
          </w:tcPr>
          <w:p w14:paraId="6364DF28"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0.033</w:t>
            </w:r>
          </w:p>
        </w:tc>
      </w:tr>
      <w:tr w:rsidR="00C95A78" w:rsidRPr="00813425" w14:paraId="6364DF33" w14:textId="77777777" w:rsidTr="00C95A78">
        <w:trPr>
          <w:trHeight w:val="199"/>
        </w:trPr>
        <w:tc>
          <w:tcPr>
            <w:tcW w:w="2595" w:type="dxa"/>
            <w:tcBorders>
              <w:top w:val="nil"/>
              <w:left w:val="single" w:sz="4" w:space="0" w:color="auto"/>
              <w:bottom w:val="single" w:sz="4" w:space="0" w:color="auto"/>
              <w:right w:val="single" w:sz="4" w:space="0" w:color="auto"/>
            </w:tcBorders>
            <w:shd w:val="clear" w:color="auto" w:fill="auto"/>
            <w:vAlign w:val="bottom"/>
            <w:hideMark/>
          </w:tcPr>
          <w:p w14:paraId="6364DF2A" w14:textId="77777777" w:rsidR="00C95A78" w:rsidRPr="00813425" w:rsidRDefault="00C95A78" w:rsidP="00C95A78">
            <w:pPr>
              <w:spacing w:after="0" w:line="240" w:lineRule="auto"/>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38% Stress strain index, mm³</w:t>
            </w:r>
          </w:p>
        </w:tc>
        <w:tc>
          <w:tcPr>
            <w:tcW w:w="1536" w:type="dxa"/>
            <w:tcBorders>
              <w:top w:val="nil"/>
              <w:left w:val="nil"/>
              <w:bottom w:val="single" w:sz="4" w:space="0" w:color="auto"/>
              <w:right w:val="single" w:sz="4" w:space="0" w:color="auto"/>
            </w:tcBorders>
            <w:shd w:val="clear" w:color="auto" w:fill="auto"/>
            <w:vAlign w:val="bottom"/>
            <w:hideMark/>
          </w:tcPr>
          <w:p w14:paraId="6364DF2B"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1306.8 (410.2)</w:t>
            </w:r>
          </w:p>
        </w:tc>
        <w:tc>
          <w:tcPr>
            <w:tcW w:w="1412" w:type="dxa"/>
            <w:tcBorders>
              <w:top w:val="nil"/>
              <w:left w:val="nil"/>
              <w:bottom w:val="single" w:sz="4" w:space="0" w:color="auto"/>
              <w:right w:val="single" w:sz="4" w:space="0" w:color="auto"/>
            </w:tcBorders>
            <w:shd w:val="clear" w:color="auto" w:fill="auto"/>
            <w:vAlign w:val="bottom"/>
            <w:hideMark/>
          </w:tcPr>
          <w:p w14:paraId="6364DF2C"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1175.6 (358.3)</w:t>
            </w:r>
          </w:p>
        </w:tc>
        <w:tc>
          <w:tcPr>
            <w:tcW w:w="1785" w:type="dxa"/>
            <w:tcBorders>
              <w:top w:val="nil"/>
              <w:left w:val="nil"/>
              <w:bottom w:val="single" w:sz="4" w:space="0" w:color="auto"/>
              <w:right w:val="single" w:sz="4" w:space="0" w:color="auto"/>
            </w:tcBorders>
            <w:shd w:val="clear" w:color="auto" w:fill="auto"/>
            <w:vAlign w:val="bottom"/>
            <w:hideMark/>
          </w:tcPr>
          <w:p w14:paraId="6364DF2D"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-190.72 (-308.</w:t>
            </w:r>
            <w:proofErr w:type="gramStart"/>
            <w:r w:rsidRPr="00813425">
              <w:rPr>
                <w:rFonts w:ascii="Calibri" w:eastAsia="Times New Roman" w:hAnsi="Calibri" w:cs="Calibri"/>
                <w:sz w:val="16"/>
                <w:szCs w:val="16"/>
                <w:lang w:eastAsia="en-ZW"/>
              </w:rPr>
              <w:t>4 ,</w:t>
            </w:r>
            <w:proofErr w:type="gramEnd"/>
            <w:r w:rsidRPr="00813425">
              <w:rPr>
                <w:rFonts w:ascii="Calibri" w:eastAsia="Times New Roman" w:hAnsi="Calibri" w:cs="Calibri"/>
                <w:sz w:val="16"/>
                <w:szCs w:val="16"/>
                <w:lang w:eastAsia="en-ZW"/>
              </w:rPr>
              <w:t xml:space="preserve"> -73.0)</w:t>
            </w:r>
          </w:p>
        </w:tc>
        <w:tc>
          <w:tcPr>
            <w:tcW w:w="811" w:type="dxa"/>
            <w:tcBorders>
              <w:top w:val="nil"/>
              <w:left w:val="nil"/>
              <w:bottom w:val="single" w:sz="4" w:space="0" w:color="auto"/>
              <w:right w:val="single" w:sz="4" w:space="0" w:color="auto"/>
            </w:tcBorders>
            <w:shd w:val="clear" w:color="auto" w:fill="auto"/>
            <w:vAlign w:val="bottom"/>
            <w:hideMark/>
          </w:tcPr>
          <w:p w14:paraId="6364DF2E"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0.002</w:t>
            </w:r>
          </w:p>
        </w:tc>
        <w:tc>
          <w:tcPr>
            <w:tcW w:w="1412" w:type="dxa"/>
            <w:tcBorders>
              <w:top w:val="nil"/>
              <w:left w:val="nil"/>
              <w:bottom w:val="single" w:sz="4" w:space="0" w:color="auto"/>
              <w:right w:val="single" w:sz="4" w:space="0" w:color="auto"/>
            </w:tcBorders>
            <w:shd w:val="clear" w:color="auto" w:fill="auto"/>
            <w:vAlign w:val="bottom"/>
            <w:hideMark/>
          </w:tcPr>
          <w:p w14:paraId="6364DF2F"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1229.4 (314.6)</w:t>
            </w:r>
          </w:p>
        </w:tc>
        <w:tc>
          <w:tcPr>
            <w:tcW w:w="1412" w:type="dxa"/>
            <w:tcBorders>
              <w:top w:val="nil"/>
              <w:left w:val="nil"/>
              <w:bottom w:val="single" w:sz="4" w:space="0" w:color="auto"/>
              <w:right w:val="single" w:sz="4" w:space="0" w:color="auto"/>
            </w:tcBorders>
            <w:shd w:val="clear" w:color="auto" w:fill="auto"/>
            <w:vAlign w:val="bottom"/>
            <w:hideMark/>
          </w:tcPr>
          <w:p w14:paraId="6364DF30"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1034.3 (295.1)</w:t>
            </w:r>
          </w:p>
        </w:tc>
        <w:tc>
          <w:tcPr>
            <w:tcW w:w="1848" w:type="dxa"/>
            <w:tcBorders>
              <w:top w:val="nil"/>
              <w:left w:val="nil"/>
              <w:bottom w:val="single" w:sz="4" w:space="0" w:color="auto"/>
              <w:right w:val="single" w:sz="4" w:space="0" w:color="auto"/>
            </w:tcBorders>
            <w:shd w:val="clear" w:color="auto" w:fill="auto"/>
            <w:vAlign w:val="bottom"/>
            <w:hideMark/>
          </w:tcPr>
          <w:p w14:paraId="6364DF31"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-240.50 (-336.</w:t>
            </w:r>
            <w:proofErr w:type="gramStart"/>
            <w:r w:rsidRPr="00813425">
              <w:rPr>
                <w:rFonts w:ascii="Calibri" w:eastAsia="Times New Roman" w:hAnsi="Calibri" w:cs="Calibri"/>
                <w:sz w:val="16"/>
                <w:szCs w:val="16"/>
                <w:lang w:eastAsia="en-ZW"/>
              </w:rPr>
              <w:t>9 ,</w:t>
            </w:r>
            <w:proofErr w:type="gramEnd"/>
            <w:r w:rsidRPr="00813425">
              <w:rPr>
                <w:rFonts w:ascii="Calibri" w:eastAsia="Times New Roman" w:hAnsi="Calibri" w:cs="Calibri"/>
                <w:sz w:val="16"/>
                <w:szCs w:val="16"/>
                <w:lang w:eastAsia="en-ZW"/>
              </w:rPr>
              <w:t xml:space="preserve"> -144.1)</w:t>
            </w:r>
          </w:p>
        </w:tc>
        <w:tc>
          <w:tcPr>
            <w:tcW w:w="851" w:type="dxa"/>
            <w:tcBorders>
              <w:top w:val="nil"/>
              <w:left w:val="nil"/>
              <w:bottom w:val="single" w:sz="4" w:space="0" w:color="auto"/>
              <w:right w:val="single" w:sz="4" w:space="0" w:color="auto"/>
            </w:tcBorders>
            <w:shd w:val="clear" w:color="auto" w:fill="auto"/>
            <w:vAlign w:val="bottom"/>
            <w:hideMark/>
          </w:tcPr>
          <w:p w14:paraId="6364DF32"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&lt;0.001</w:t>
            </w:r>
          </w:p>
        </w:tc>
      </w:tr>
      <w:tr w:rsidR="00C95A78" w:rsidRPr="00813425" w14:paraId="6364DF3D" w14:textId="77777777" w:rsidTr="00C95A78">
        <w:trPr>
          <w:trHeight w:val="399"/>
        </w:trPr>
        <w:tc>
          <w:tcPr>
            <w:tcW w:w="2595" w:type="dxa"/>
            <w:tcBorders>
              <w:top w:val="nil"/>
              <w:left w:val="single" w:sz="4" w:space="0" w:color="auto"/>
              <w:bottom w:val="single" w:sz="4" w:space="0" w:color="auto"/>
              <w:right w:val="single" w:sz="4" w:space="0" w:color="auto"/>
            </w:tcBorders>
            <w:shd w:val="clear" w:color="000000" w:fill="D9D9D9"/>
            <w:vAlign w:val="bottom"/>
            <w:hideMark/>
          </w:tcPr>
          <w:p w14:paraId="6364DF34" w14:textId="77777777" w:rsidR="00C95A78" w:rsidRPr="00813425" w:rsidRDefault="00C95A78" w:rsidP="00C95A78">
            <w:pPr>
              <w:spacing w:after="0" w:line="240" w:lineRule="auto"/>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Change over 12 months</w:t>
            </w:r>
          </w:p>
        </w:tc>
        <w:tc>
          <w:tcPr>
            <w:tcW w:w="1536" w:type="dxa"/>
            <w:tcBorders>
              <w:top w:val="nil"/>
              <w:left w:val="nil"/>
              <w:bottom w:val="single" w:sz="4" w:space="0" w:color="auto"/>
              <w:right w:val="single" w:sz="4" w:space="0" w:color="auto"/>
            </w:tcBorders>
            <w:shd w:val="clear" w:color="000000" w:fill="D9D9D9"/>
            <w:vAlign w:val="bottom"/>
            <w:hideMark/>
          </w:tcPr>
          <w:p w14:paraId="6364DF35" w14:textId="77777777" w:rsidR="00C95A78" w:rsidRPr="00813425" w:rsidRDefault="00C95A78" w:rsidP="00C95A78">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*Mean (SD) CWOH (n=113)</w:t>
            </w:r>
          </w:p>
        </w:tc>
        <w:tc>
          <w:tcPr>
            <w:tcW w:w="1412" w:type="dxa"/>
            <w:tcBorders>
              <w:top w:val="nil"/>
              <w:left w:val="nil"/>
              <w:bottom w:val="single" w:sz="4" w:space="0" w:color="auto"/>
              <w:right w:val="single" w:sz="4" w:space="0" w:color="auto"/>
            </w:tcBorders>
            <w:shd w:val="clear" w:color="000000" w:fill="D9D9D9"/>
            <w:vAlign w:val="bottom"/>
            <w:hideMark/>
          </w:tcPr>
          <w:p w14:paraId="6364DF36" w14:textId="77777777" w:rsidR="00C95A78" w:rsidRPr="00813425" w:rsidRDefault="00C95A78" w:rsidP="00C95A78">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*Mean (SD) CWH (n=100)</w:t>
            </w:r>
          </w:p>
        </w:tc>
        <w:tc>
          <w:tcPr>
            <w:tcW w:w="1785" w:type="dxa"/>
            <w:tcBorders>
              <w:top w:val="nil"/>
              <w:left w:val="nil"/>
              <w:bottom w:val="single" w:sz="4" w:space="0" w:color="auto"/>
              <w:right w:val="single" w:sz="4" w:space="0" w:color="auto"/>
            </w:tcBorders>
            <w:shd w:val="clear" w:color="000000" w:fill="D9D9D9"/>
            <w:vAlign w:val="bottom"/>
            <w:hideMark/>
          </w:tcPr>
          <w:p w14:paraId="6364DF37" w14:textId="77777777" w:rsidR="00C95A78" w:rsidRPr="00813425" w:rsidRDefault="00C95A78" w:rsidP="00C95A78">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 xml:space="preserve">**Adjusted MD        </w:t>
            </w:r>
            <w:proofErr w:type="gramStart"/>
            <w:r w:rsidRPr="00813425">
              <w:rPr>
                <w:rFonts w:ascii="Calibri" w:eastAsia="Times New Roman" w:hAnsi="Calibri" w:cs="Calibri"/>
                <w:b/>
                <w:bCs/>
                <w:sz w:val="16"/>
                <w:szCs w:val="16"/>
                <w:lang w:eastAsia="en-ZW"/>
              </w:rPr>
              <w:t xml:space="preserve">   (</w:t>
            </w:r>
            <w:proofErr w:type="gramEnd"/>
            <w:r w:rsidRPr="00813425">
              <w:rPr>
                <w:rFonts w:ascii="Calibri" w:eastAsia="Times New Roman" w:hAnsi="Calibri" w:cs="Calibri"/>
                <w:b/>
                <w:bCs/>
                <w:sz w:val="16"/>
                <w:szCs w:val="16"/>
                <w:lang w:eastAsia="en-ZW"/>
              </w:rPr>
              <w:t>95% CI)</w:t>
            </w:r>
          </w:p>
        </w:tc>
        <w:tc>
          <w:tcPr>
            <w:tcW w:w="811" w:type="dxa"/>
            <w:tcBorders>
              <w:top w:val="nil"/>
              <w:left w:val="nil"/>
              <w:bottom w:val="single" w:sz="4" w:space="0" w:color="auto"/>
              <w:right w:val="single" w:sz="4" w:space="0" w:color="auto"/>
            </w:tcBorders>
            <w:shd w:val="clear" w:color="000000" w:fill="D9D9D9"/>
            <w:vAlign w:val="bottom"/>
            <w:hideMark/>
          </w:tcPr>
          <w:p w14:paraId="6364DF38" w14:textId="77777777" w:rsidR="00C95A78" w:rsidRPr="00813425" w:rsidRDefault="00C95A78" w:rsidP="00C95A78">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p-value </w:t>
            </w:r>
          </w:p>
        </w:tc>
        <w:tc>
          <w:tcPr>
            <w:tcW w:w="1412" w:type="dxa"/>
            <w:tcBorders>
              <w:top w:val="nil"/>
              <w:left w:val="nil"/>
              <w:bottom w:val="single" w:sz="4" w:space="0" w:color="auto"/>
              <w:right w:val="single" w:sz="4" w:space="0" w:color="auto"/>
            </w:tcBorders>
            <w:shd w:val="clear" w:color="000000" w:fill="D9D9D9"/>
            <w:vAlign w:val="bottom"/>
            <w:hideMark/>
          </w:tcPr>
          <w:p w14:paraId="6364DF39" w14:textId="77777777" w:rsidR="00C95A78" w:rsidRPr="00813425" w:rsidRDefault="00C95A78" w:rsidP="00C95A78">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*Mean (SD) CWOH (n=111)</w:t>
            </w:r>
          </w:p>
        </w:tc>
        <w:tc>
          <w:tcPr>
            <w:tcW w:w="1412" w:type="dxa"/>
            <w:tcBorders>
              <w:top w:val="nil"/>
              <w:left w:val="nil"/>
              <w:bottom w:val="single" w:sz="4" w:space="0" w:color="auto"/>
              <w:right w:val="single" w:sz="4" w:space="0" w:color="auto"/>
            </w:tcBorders>
            <w:shd w:val="clear" w:color="000000" w:fill="D9D9D9"/>
            <w:vAlign w:val="bottom"/>
            <w:hideMark/>
          </w:tcPr>
          <w:p w14:paraId="6364DF3A" w14:textId="77777777" w:rsidR="00C95A78" w:rsidRPr="00813425" w:rsidRDefault="00C95A78" w:rsidP="00C95A78">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*Mean (SD) CWH (n=95)</w:t>
            </w:r>
          </w:p>
        </w:tc>
        <w:tc>
          <w:tcPr>
            <w:tcW w:w="1848" w:type="dxa"/>
            <w:tcBorders>
              <w:top w:val="nil"/>
              <w:left w:val="nil"/>
              <w:bottom w:val="single" w:sz="4" w:space="0" w:color="auto"/>
              <w:right w:val="single" w:sz="4" w:space="0" w:color="auto"/>
            </w:tcBorders>
            <w:shd w:val="clear" w:color="000000" w:fill="D9D9D9"/>
            <w:vAlign w:val="bottom"/>
            <w:hideMark/>
          </w:tcPr>
          <w:p w14:paraId="6364DF3B" w14:textId="77777777" w:rsidR="00C95A78" w:rsidRPr="00813425" w:rsidRDefault="00C95A78" w:rsidP="00C95A78">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 xml:space="preserve">**Adjusted MD        </w:t>
            </w:r>
            <w:proofErr w:type="gramStart"/>
            <w:r w:rsidRPr="00813425">
              <w:rPr>
                <w:rFonts w:ascii="Calibri" w:eastAsia="Times New Roman" w:hAnsi="Calibri" w:cs="Calibri"/>
                <w:b/>
                <w:bCs/>
                <w:sz w:val="16"/>
                <w:szCs w:val="16"/>
                <w:lang w:eastAsia="en-ZW"/>
              </w:rPr>
              <w:t xml:space="preserve">   (</w:t>
            </w:r>
            <w:proofErr w:type="gramEnd"/>
            <w:r w:rsidRPr="00813425">
              <w:rPr>
                <w:rFonts w:ascii="Calibri" w:eastAsia="Times New Roman" w:hAnsi="Calibri" w:cs="Calibri"/>
                <w:b/>
                <w:bCs/>
                <w:sz w:val="16"/>
                <w:szCs w:val="16"/>
                <w:lang w:eastAsia="en-ZW"/>
              </w:rPr>
              <w:t>95% CI)</w:t>
            </w:r>
          </w:p>
        </w:tc>
        <w:tc>
          <w:tcPr>
            <w:tcW w:w="851" w:type="dxa"/>
            <w:tcBorders>
              <w:top w:val="nil"/>
              <w:left w:val="nil"/>
              <w:bottom w:val="single" w:sz="4" w:space="0" w:color="auto"/>
              <w:right w:val="single" w:sz="4" w:space="0" w:color="auto"/>
            </w:tcBorders>
            <w:shd w:val="clear" w:color="000000" w:fill="D9D9D9"/>
            <w:vAlign w:val="bottom"/>
            <w:hideMark/>
          </w:tcPr>
          <w:p w14:paraId="6364DF3C" w14:textId="77777777" w:rsidR="00C95A78" w:rsidRPr="00813425" w:rsidRDefault="00C95A78" w:rsidP="00C95A78">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p-value</w:t>
            </w:r>
          </w:p>
        </w:tc>
      </w:tr>
      <w:tr w:rsidR="00C95A78" w:rsidRPr="00813425" w14:paraId="6364DF47" w14:textId="77777777" w:rsidTr="00C95A78">
        <w:trPr>
          <w:trHeight w:val="199"/>
        </w:trPr>
        <w:tc>
          <w:tcPr>
            <w:tcW w:w="2595" w:type="dxa"/>
            <w:tcBorders>
              <w:top w:val="nil"/>
              <w:left w:val="single" w:sz="4" w:space="0" w:color="auto"/>
              <w:bottom w:val="single" w:sz="4" w:space="0" w:color="auto"/>
              <w:right w:val="single" w:sz="4" w:space="0" w:color="auto"/>
            </w:tcBorders>
            <w:shd w:val="clear" w:color="auto" w:fill="auto"/>
            <w:vAlign w:val="bottom"/>
            <w:hideMark/>
          </w:tcPr>
          <w:p w14:paraId="6364DF3E" w14:textId="77777777" w:rsidR="00C95A78" w:rsidRPr="00813425" w:rsidRDefault="00C95A78" w:rsidP="00C95A78">
            <w:pPr>
              <w:spacing w:after="0" w:line="240" w:lineRule="auto"/>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4% Trabecular density, mg/cm³</w:t>
            </w:r>
          </w:p>
        </w:tc>
        <w:tc>
          <w:tcPr>
            <w:tcW w:w="1536" w:type="dxa"/>
            <w:tcBorders>
              <w:top w:val="nil"/>
              <w:left w:val="nil"/>
              <w:bottom w:val="single" w:sz="4" w:space="0" w:color="auto"/>
              <w:right w:val="single" w:sz="4" w:space="0" w:color="auto"/>
            </w:tcBorders>
            <w:shd w:val="clear" w:color="auto" w:fill="auto"/>
            <w:vAlign w:val="bottom"/>
            <w:hideMark/>
          </w:tcPr>
          <w:p w14:paraId="6364DF3F"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-3.8 (19.5)</w:t>
            </w:r>
          </w:p>
        </w:tc>
        <w:tc>
          <w:tcPr>
            <w:tcW w:w="1412" w:type="dxa"/>
            <w:tcBorders>
              <w:top w:val="nil"/>
              <w:left w:val="nil"/>
              <w:bottom w:val="single" w:sz="4" w:space="0" w:color="auto"/>
              <w:right w:val="single" w:sz="4" w:space="0" w:color="auto"/>
            </w:tcBorders>
            <w:shd w:val="clear" w:color="auto" w:fill="auto"/>
            <w:vAlign w:val="bottom"/>
            <w:hideMark/>
          </w:tcPr>
          <w:p w14:paraId="6364DF40"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-4.4 (17.2)</w:t>
            </w:r>
          </w:p>
        </w:tc>
        <w:tc>
          <w:tcPr>
            <w:tcW w:w="1785" w:type="dxa"/>
            <w:tcBorders>
              <w:top w:val="nil"/>
              <w:left w:val="nil"/>
              <w:bottom w:val="single" w:sz="4" w:space="0" w:color="auto"/>
              <w:right w:val="single" w:sz="4" w:space="0" w:color="auto"/>
            </w:tcBorders>
            <w:shd w:val="clear" w:color="auto" w:fill="auto"/>
            <w:vAlign w:val="bottom"/>
            <w:hideMark/>
          </w:tcPr>
          <w:p w14:paraId="6364DF41"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-0.35 (-6.</w:t>
            </w:r>
            <w:proofErr w:type="gramStart"/>
            <w:r w:rsidRPr="00813425">
              <w:rPr>
                <w:rFonts w:ascii="Calibri" w:eastAsia="Times New Roman" w:hAnsi="Calibri" w:cs="Calibri"/>
                <w:sz w:val="16"/>
                <w:szCs w:val="16"/>
                <w:lang w:eastAsia="en-ZW"/>
              </w:rPr>
              <w:t>0 ,</w:t>
            </w:r>
            <w:proofErr w:type="gramEnd"/>
            <w:r w:rsidRPr="00813425">
              <w:rPr>
                <w:rFonts w:ascii="Calibri" w:eastAsia="Times New Roman" w:hAnsi="Calibri" w:cs="Calibri"/>
                <w:sz w:val="16"/>
                <w:szCs w:val="16"/>
                <w:lang w:eastAsia="en-ZW"/>
              </w:rPr>
              <w:t xml:space="preserve"> 5.3)</w:t>
            </w:r>
          </w:p>
        </w:tc>
        <w:tc>
          <w:tcPr>
            <w:tcW w:w="811" w:type="dxa"/>
            <w:tcBorders>
              <w:top w:val="nil"/>
              <w:left w:val="nil"/>
              <w:bottom w:val="single" w:sz="4" w:space="0" w:color="auto"/>
              <w:right w:val="single" w:sz="4" w:space="0" w:color="auto"/>
            </w:tcBorders>
            <w:shd w:val="clear" w:color="auto" w:fill="auto"/>
            <w:vAlign w:val="bottom"/>
            <w:hideMark/>
          </w:tcPr>
          <w:p w14:paraId="6364DF42"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0.903</w:t>
            </w:r>
          </w:p>
        </w:tc>
        <w:tc>
          <w:tcPr>
            <w:tcW w:w="1412" w:type="dxa"/>
            <w:tcBorders>
              <w:top w:val="nil"/>
              <w:left w:val="nil"/>
              <w:bottom w:val="single" w:sz="4" w:space="0" w:color="auto"/>
              <w:right w:val="single" w:sz="4" w:space="0" w:color="auto"/>
            </w:tcBorders>
            <w:shd w:val="clear" w:color="auto" w:fill="auto"/>
            <w:vAlign w:val="bottom"/>
            <w:hideMark/>
          </w:tcPr>
          <w:p w14:paraId="6364DF43"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0.1 (13.4)</w:t>
            </w:r>
          </w:p>
        </w:tc>
        <w:tc>
          <w:tcPr>
            <w:tcW w:w="1412" w:type="dxa"/>
            <w:tcBorders>
              <w:top w:val="nil"/>
              <w:left w:val="nil"/>
              <w:bottom w:val="single" w:sz="4" w:space="0" w:color="auto"/>
              <w:right w:val="single" w:sz="4" w:space="0" w:color="auto"/>
            </w:tcBorders>
            <w:shd w:val="clear" w:color="auto" w:fill="auto"/>
            <w:vAlign w:val="bottom"/>
            <w:hideMark/>
          </w:tcPr>
          <w:p w14:paraId="6364DF44"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-2.1 (13.9)</w:t>
            </w:r>
          </w:p>
        </w:tc>
        <w:tc>
          <w:tcPr>
            <w:tcW w:w="1848" w:type="dxa"/>
            <w:tcBorders>
              <w:top w:val="nil"/>
              <w:left w:val="nil"/>
              <w:bottom w:val="single" w:sz="4" w:space="0" w:color="auto"/>
              <w:right w:val="single" w:sz="4" w:space="0" w:color="auto"/>
            </w:tcBorders>
            <w:shd w:val="clear" w:color="auto" w:fill="auto"/>
            <w:vAlign w:val="bottom"/>
            <w:hideMark/>
          </w:tcPr>
          <w:p w14:paraId="6364DF45"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-1.61 (-5.</w:t>
            </w:r>
            <w:proofErr w:type="gramStart"/>
            <w:r w:rsidRPr="00813425">
              <w:rPr>
                <w:rFonts w:ascii="Calibri" w:eastAsia="Times New Roman" w:hAnsi="Calibri" w:cs="Calibri"/>
                <w:sz w:val="16"/>
                <w:szCs w:val="16"/>
                <w:lang w:eastAsia="en-ZW"/>
              </w:rPr>
              <w:t>9 ,</w:t>
            </w:r>
            <w:proofErr w:type="gramEnd"/>
            <w:r w:rsidRPr="00813425">
              <w:rPr>
                <w:rFonts w:ascii="Calibri" w:eastAsia="Times New Roman" w:hAnsi="Calibri" w:cs="Calibri"/>
                <w:sz w:val="16"/>
                <w:szCs w:val="16"/>
                <w:lang w:eastAsia="en-ZW"/>
              </w:rPr>
              <w:t xml:space="preserve"> 2.7)</w:t>
            </w:r>
          </w:p>
        </w:tc>
        <w:tc>
          <w:tcPr>
            <w:tcW w:w="851" w:type="dxa"/>
            <w:tcBorders>
              <w:top w:val="nil"/>
              <w:left w:val="nil"/>
              <w:bottom w:val="single" w:sz="4" w:space="0" w:color="auto"/>
              <w:right w:val="single" w:sz="4" w:space="0" w:color="auto"/>
            </w:tcBorders>
            <w:shd w:val="clear" w:color="auto" w:fill="auto"/>
            <w:vAlign w:val="bottom"/>
            <w:hideMark/>
          </w:tcPr>
          <w:p w14:paraId="6364DF46"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0.463</w:t>
            </w:r>
          </w:p>
        </w:tc>
      </w:tr>
      <w:tr w:rsidR="00C95A78" w:rsidRPr="00813425" w14:paraId="6364DF51" w14:textId="77777777" w:rsidTr="00C95A78">
        <w:trPr>
          <w:trHeight w:val="199"/>
        </w:trPr>
        <w:tc>
          <w:tcPr>
            <w:tcW w:w="2595" w:type="dxa"/>
            <w:tcBorders>
              <w:top w:val="nil"/>
              <w:left w:val="single" w:sz="4" w:space="0" w:color="auto"/>
              <w:bottom w:val="single" w:sz="4" w:space="0" w:color="auto"/>
              <w:right w:val="single" w:sz="4" w:space="0" w:color="auto"/>
            </w:tcBorders>
            <w:shd w:val="clear" w:color="auto" w:fill="auto"/>
            <w:vAlign w:val="bottom"/>
            <w:hideMark/>
          </w:tcPr>
          <w:p w14:paraId="6364DF48" w14:textId="77777777" w:rsidR="00C95A78" w:rsidRPr="00813425" w:rsidRDefault="00C95A78" w:rsidP="00C95A78">
            <w:pPr>
              <w:spacing w:after="0" w:line="240" w:lineRule="auto"/>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38% Cortical density, mg/cm³</w:t>
            </w:r>
          </w:p>
        </w:tc>
        <w:tc>
          <w:tcPr>
            <w:tcW w:w="1536" w:type="dxa"/>
            <w:tcBorders>
              <w:top w:val="nil"/>
              <w:left w:val="nil"/>
              <w:bottom w:val="single" w:sz="4" w:space="0" w:color="auto"/>
              <w:right w:val="single" w:sz="4" w:space="0" w:color="auto"/>
            </w:tcBorders>
            <w:shd w:val="clear" w:color="auto" w:fill="auto"/>
            <w:vAlign w:val="bottom"/>
            <w:hideMark/>
          </w:tcPr>
          <w:p w14:paraId="6364DF49"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6.2 (18.3)</w:t>
            </w:r>
          </w:p>
        </w:tc>
        <w:tc>
          <w:tcPr>
            <w:tcW w:w="1412" w:type="dxa"/>
            <w:tcBorders>
              <w:top w:val="nil"/>
              <w:left w:val="nil"/>
              <w:bottom w:val="single" w:sz="4" w:space="0" w:color="auto"/>
              <w:right w:val="single" w:sz="4" w:space="0" w:color="auto"/>
            </w:tcBorders>
            <w:shd w:val="clear" w:color="auto" w:fill="auto"/>
            <w:vAlign w:val="bottom"/>
            <w:hideMark/>
          </w:tcPr>
          <w:p w14:paraId="6364DF4A"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5.1 (18.4)</w:t>
            </w:r>
          </w:p>
        </w:tc>
        <w:tc>
          <w:tcPr>
            <w:tcW w:w="1785" w:type="dxa"/>
            <w:tcBorders>
              <w:top w:val="nil"/>
              <w:left w:val="nil"/>
              <w:bottom w:val="single" w:sz="4" w:space="0" w:color="auto"/>
              <w:right w:val="single" w:sz="4" w:space="0" w:color="auto"/>
            </w:tcBorders>
            <w:shd w:val="clear" w:color="auto" w:fill="auto"/>
            <w:vAlign w:val="bottom"/>
            <w:hideMark/>
          </w:tcPr>
          <w:p w14:paraId="6364DF4B"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-1.90 (-7.</w:t>
            </w:r>
            <w:proofErr w:type="gramStart"/>
            <w:r w:rsidRPr="00813425">
              <w:rPr>
                <w:rFonts w:ascii="Calibri" w:eastAsia="Times New Roman" w:hAnsi="Calibri" w:cs="Calibri"/>
                <w:sz w:val="16"/>
                <w:szCs w:val="16"/>
                <w:lang w:eastAsia="en-ZW"/>
              </w:rPr>
              <w:t>6 ,</w:t>
            </w:r>
            <w:proofErr w:type="gramEnd"/>
            <w:r w:rsidRPr="00813425">
              <w:rPr>
                <w:rFonts w:ascii="Calibri" w:eastAsia="Times New Roman" w:hAnsi="Calibri" w:cs="Calibri"/>
                <w:sz w:val="16"/>
                <w:szCs w:val="16"/>
                <w:lang w:eastAsia="en-ZW"/>
              </w:rPr>
              <w:t xml:space="preserve"> 3.8)</w:t>
            </w:r>
          </w:p>
        </w:tc>
        <w:tc>
          <w:tcPr>
            <w:tcW w:w="811" w:type="dxa"/>
            <w:tcBorders>
              <w:top w:val="nil"/>
              <w:left w:val="nil"/>
              <w:bottom w:val="single" w:sz="4" w:space="0" w:color="auto"/>
              <w:right w:val="single" w:sz="4" w:space="0" w:color="auto"/>
            </w:tcBorders>
            <w:shd w:val="clear" w:color="auto" w:fill="auto"/>
            <w:vAlign w:val="bottom"/>
            <w:hideMark/>
          </w:tcPr>
          <w:p w14:paraId="6364DF4C"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0.508</w:t>
            </w:r>
          </w:p>
        </w:tc>
        <w:tc>
          <w:tcPr>
            <w:tcW w:w="1412" w:type="dxa"/>
            <w:tcBorders>
              <w:top w:val="nil"/>
              <w:left w:val="nil"/>
              <w:bottom w:val="single" w:sz="4" w:space="0" w:color="auto"/>
              <w:right w:val="single" w:sz="4" w:space="0" w:color="auto"/>
            </w:tcBorders>
            <w:shd w:val="clear" w:color="auto" w:fill="auto"/>
            <w:vAlign w:val="bottom"/>
            <w:hideMark/>
          </w:tcPr>
          <w:p w14:paraId="6364DF4D"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14.8 (16.7)</w:t>
            </w:r>
          </w:p>
        </w:tc>
        <w:tc>
          <w:tcPr>
            <w:tcW w:w="1412" w:type="dxa"/>
            <w:tcBorders>
              <w:top w:val="nil"/>
              <w:left w:val="nil"/>
              <w:bottom w:val="single" w:sz="4" w:space="0" w:color="auto"/>
              <w:right w:val="single" w:sz="4" w:space="0" w:color="auto"/>
            </w:tcBorders>
            <w:shd w:val="clear" w:color="auto" w:fill="auto"/>
            <w:vAlign w:val="bottom"/>
            <w:hideMark/>
          </w:tcPr>
          <w:p w14:paraId="6364DF4E"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10.6 (14.5)</w:t>
            </w:r>
          </w:p>
        </w:tc>
        <w:tc>
          <w:tcPr>
            <w:tcW w:w="1848" w:type="dxa"/>
            <w:tcBorders>
              <w:top w:val="nil"/>
              <w:left w:val="nil"/>
              <w:bottom w:val="single" w:sz="4" w:space="0" w:color="auto"/>
              <w:right w:val="single" w:sz="4" w:space="0" w:color="auto"/>
            </w:tcBorders>
            <w:shd w:val="clear" w:color="auto" w:fill="auto"/>
            <w:vAlign w:val="bottom"/>
            <w:hideMark/>
          </w:tcPr>
          <w:p w14:paraId="6364DF4F"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-3.61 (-8.</w:t>
            </w:r>
            <w:proofErr w:type="gramStart"/>
            <w:r w:rsidRPr="00813425">
              <w:rPr>
                <w:rFonts w:ascii="Calibri" w:eastAsia="Times New Roman" w:hAnsi="Calibri" w:cs="Calibri"/>
                <w:sz w:val="16"/>
                <w:szCs w:val="16"/>
                <w:lang w:eastAsia="en-ZW"/>
              </w:rPr>
              <w:t>6 ,</w:t>
            </w:r>
            <w:proofErr w:type="gramEnd"/>
            <w:r w:rsidRPr="00813425">
              <w:rPr>
                <w:rFonts w:ascii="Calibri" w:eastAsia="Times New Roman" w:hAnsi="Calibri" w:cs="Calibri"/>
                <w:sz w:val="16"/>
                <w:szCs w:val="16"/>
                <w:lang w:eastAsia="en-ZW"/>
              </w:rPr>
              <w:t xml:space="preserve"> 1.4)</w:t>
            </w:r>
          </w:p>
        </w:tc>
        <w:tc>
          <w:tcPr>
            <w:tcW w:w="851" w:type="dxa"/>
            <w:tcBorders>
              <w:top w:val="nil"/>
              <w:left w:val="nil"/>
              <w:bottom w:val="single" w:sz="4" w:space="0" w:color="auto"/>
              <w:right w:val="single" w:sz="4" w:space="0" w:color="auto"/>
            </w:tcBorders>
            <w:shd w:val="clear" w:color="auto" w:fill="auto"/>
            <w:vAlign w:val="bottom"/>
            <w:hideMark/>
          </w:tcPr>
          <w:p w14:paraId="6364DF50"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0.157</w:t>
            </w:r>
          </w:p>
        </w:tc>
      </w:tr>
      <w:tr w:rsidR="00C95A78" w:rsidRPr="00813425" w14:paraId="6364DF5B" w14:textId="77777777" w:rsidTr="00C95A78">
        <w:trPr>
          <w:trHeight w:val="199"/>
        </w:trPr>
        <w:tc>
          <w:tcPr>
            <w:tcW w:w="2595" w:type="dxa"/>
            <w:tcBorders>
              <w:top w:val="nil"/>
              <w:left w:val="single" w:sz="4" w:space="0" w:color="auto"/>
              <w:bottom w:val="single" w:sz="4" w:space="0" w:color="auto"/>
              <w:right w:val="single" w:sz="4" w:space="0" w:color="auto"/>
            </w:tcBorders>
            <w:shd w:val="clear" w:color="auto" w:fill="auto"/>
            <w:vAlign w:val="bottom"/>
            <w:hideMark/>
          </w:tcPr>
          <w:p w14:paraId="6364DF52" w14:textId="77777777" w:rsidR="00C95A78" w:rsidRPr="00813425" w:rsidRDefault="00C95A78" w:rsidP="00C95A78">
            <w:pPr>
              <w:spacing w:after="0" w:line="240" w:lineRule="auto"/>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 xml:space="preserve">4% Total </w:t>
            </w:r>
            <w:proofErr w:type="gramStart"/>
            <w:r w:rsidRPr="00813425">
              <w:rPr>
                <w:rFonts w:ascii="Calibri" w:eastAsia="Times New Roman" w:hAnsi="Calibri" w:cs="Calibri"/>
                <w:sz w:val="16"/>
                <w:szCs w:val="16"/>
                <w:lang w:eastAsia="en-ZW"/>
              </w:rPr>
              <w:t>Cross sectional</w:t>
            </w:r>
            <w:proofErr w:type="gramEnd"/>
            <w:r w:rsidRPr="00813425">
              <w:rPr>
                <w:rFonts w:ascii="Calibri" w:eastAsia="Times New Roman" w:hAnsi="Calibri" w:cs="Calibri"/>
                <w:sz w:val="16"/>
                <w:szCs w:val="16"/>
                <w:lang w:eastAsia="en-ZW"/>
              </w:rPr>
              <w:t xml:space="preserve"> area, mm² </w:t>
            </w:r>
          </w:p>
        </w:tc>
        <w:tc>
          <w:tcPr>
            <w:tcW w:w="1536" w:type="dxa"/>
            <w:tcBorders>
              <w:top w:val="nil"/>
              <w:left w:val="nil"/>
              <w:bottom w:val="single" w:sz="4" w:space="0" w:color="auto"/>
              <w:right w:val="single" w:sz="4" w:space="0" w:color="auto"/>
            </w:tcBorders>
            <w:shd w:val="clear" w:color="auto" w:fill="auto"/>
            <w:vAlign w:val="bottom"/>
            <w:hideMark/>
          </w:tcPr>
          <w:p w14:paraId="6364DF53"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27.5 (65.9)</w:t>
            </w:r>
          </w:p>
        </w:tc>
        <w:tc>
          <w:tcPr>
            <w:tcW w:w="1412" w:type="dxa"/>
            <w:tcBorders>
              <w:top w:val="nil"/>
              <w:left w:val="nil"/>
              <w:bottom w:val="single" w:sz="4" w:space="0" w:color="auto"/>
              <w:right w:val="single" w:sz="4" w:space="0" w:color="auto"/>
            </w:tcBorders>
            <w:shd w:val="clear" w:color="auto" w:fill="auto"/>
            <w:vAlign w:val="bottom"/>
            <w:hideMark/>
          </w:tcPr>
          <w:p w14:paraId="6364DF54"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41.3 (53.2)</w:t>
            </w:r>
          </w:p>
        </w:tc>
        <w:tc>
          <w:tcPr>
            <w:tcW w:w="1785" w:type="dxa"/>
            <w:tcBorders>
              <w:top w:val="nil"/>
              <w:left w:val="nil"/>
              <w:bottom w:val="single" w:sz="4" w:space="0" w:color="auto"/>
              <w:right w:val="single" w:sz="4" w:space="0" w:color="auto"/>
            </w:tcBorders>
            <w:shd w:val="clear" w:color="auto" w:fill="auto"/>
            <w:vAlign w:val="bottom"/>
            <w:hideMark/>
          </w:tcPr>
          <w:p w14:paraId="6364DF55"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13.23 (-5.</w:t>
            </w:r>
            <w:proofErr w:type="gramStart"/>
            <w:r w:rsidRPr="00813425">
              <w:rPr>
                <w:rFonts w:ascii="Calibri" w:eastAsia="Times New Roman" w:hAnsi="Calibri" w:cs="Calibri"/>
                <w:sz w:val="16"/>
                <w:szCs w:val="16"/>
                <w:lang w:eastAsia="en-ZW"/>
              </w:rPr>
              <w:t>3 ,</w:t>
            </w:r>
            <w:proofErr w:type="gramEnd"/>
            <w:r w:rsidRPr="00813425">
              <w:rPr>
                <w:rFonts w:ascii="Calibri" w:eastAsia="Times New Roman" w:hAnsi="Calibri" w:cs="Calibri"/>
                <w:sz w:val="16"/>
                <w:szCs w:val="16"/>
                <w:lang w:eastAsia="en-ZW"/>
              </w:rPr>
              <w:t xml:space="preserve"> 31.8)</w:t>
            </w:r>
          </w:p>
        </w:tc>
        <w:tc>
          <w:tcPr>
            <w:tcW w:w="811" w:type="dxa"/>
            <w:tcBorders>
              <w:top w:val="nil"/>
              <w:left w:val="nil"/>
              <w:bottom w:val="single" w:sz="4" w:space="0" w:color="auto"/>
              <w:right w:val="single" w:sz="4" w:space="0" w:color="auto"/>
            </w:tcBorders>
            <w:shd w:val="clear" w:color="auto" w:fill="auto"/>
            <w:vAlign w:val="bottom"/>
            <w:hideMark/>
          </w:tcPr>
          <w:p w14:paraId="6364DF56"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0.161</w:t>
            </w:r>
          </w:p>
        </w:tc>
        <w:tc>
          <w:tcPr>
            <w:tcW w:w="1412" w:type="dxa"/>
            <w:tcBorders>
              <w:top w:val="nil"/>
              <w:left w:val="nil"/>
              <w:bottom w:val="single" w:sz="4" w:space="0" w:color="auto"/>
              <w:right w:val="single" w:sz="4" w:space="0" w:color="auto"/>
            </w:tcBorders>
            <w:shd w:val="clear" w:color="auto" w:fill="auto"/>
            <w:vAlign w:val="bottom"/>
            <w:hideMark/>
          </w:tcPr>
          <w:p w14:paraId="6364DF57"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15.7 (57.6)</w:t>
            </w:r>
          </w:p>
        </w:tc>
        <w:tc>
          <w:tcPr>
            <w:tcW w:w="1412" w:type="dxa"/>
            <w:tcBorders>
              <w:top w:val="nil"/>
              <w:left w:val="nil"/>
              <w:bottom w:val="single" w:sz="4" w:space="0" w:color="auto"/>
              <w:right w:val="single" w:sz="4" w:space="0" w:color="auto"/>
            </w:tcBorders>
            <w:shd w:val="clear" w:color="auto" w:fill="auto"/>
            <w:vAlign w:val="bottom"/>
            <w:hideMark/>
          </w:tcPr>
          <w:p w14:paraId="6364DF58"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18.5 (61.8)</w:t>
            </w:r>
          </w:p>
        </w:tc>
        <w:tc>
          <w:tcPr>
            <w:tcW w:w="1848" w:type="dxa"/>
            <w:tcBorders>
              <w:top w:val="nil"/>
              <w:left w:val="nil"/>
              <w:bottom w:val="single" w:sz="4" w:space="0" w:color="auto"/>
              <w:right w:val="single" w:sz="4" w:space="0" w:color="auto"/>
            </w:tcBorders>
            <w:shd w:val="clear" w:color="auto" w:fill="auto"/>
            <w:vAlign w:val="bottom"/>
            <w:hideMark/>
          </w:tcPr>
          <w:p w14:paraId="6364DF59"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6.42 (-12.</w:t>
            </w:r>
            <w:proofErr w:type="gramStart"/>
            <w:r w:rsidRPr="00813425">
              <w:rPr>
                <w:rFonts w:ascii="Calibri" w:eastAsia="Times New Roman" w:hAnsi="Calibri" w:cs="Calibri"/>
                <w:sz w:val="16"/>
                <w:szCs w:val="16"/>
                <w:lang w:eastAsia="en-ZW"/>
              </w:rPr>
              <w:t>4 ,</w:t>
            </w:r>
            <w:proofErr w:type="gramEnd"/>
            <w:r w:rsidRPr="00813425">
              <w:rPr>
                <w:rFonts w:ascii="Calibri" w:eastAsia="Times New Roman" w:hAnsi="Calibri" w:cs="Calibri"/>
                <w:sz w:val="16"/>
                <w:szCs w:val="16"/>
                <w:lang w:eastAsia="en-ZW"/>
              </w:rPr>
              <w:t xml:space="preserve"> 25.3)</w:t>
            </w:r>
          </w:p>
        </w:tc>
        <w:tc>
          <w:tcPr>
            <w:tcW w:w="851" w:type="dxa"/>
            <w:tcBorders>
              <w:top w:val="nil"/>
              <w:left w:val="nil"/>
              <w:bottom w:val="single" w:sz="4" w:space="0" w:color="auto"/>
              <w:right w:val="single" w:sz="4" w:space="0" w:color="auto"/>
            </w:tcBorders>
            <w:shd w:val="clear" w:color="auto" w:fill="auto"/>
            <w:vAlign w:val="bottom"/>
            <w:hideMark/>
          </w:tcPr>
          <w:p w14:paraId="6364DF5A"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0.503</w:t>
            </w:r>
          </w:p>
        </w:tc>
      </w:tr>
      <w:tr w:rsidR="00C95A78" w:rsidRPr="00813425" w14:paraId="6364DF65" w14:textId="77777777" w:rsidTr="00C95A78">
        <w:trPr>
          <w:trHeight w:val="199"/>
        </w:trPr>
        <w:tc>
          <w:tcPr>
            <w:tcW w:w="2595" w:type="dxa"/>
            <w:tcBorders>
              <w:top w:val="nil"/>
              <w:left w:val="single" w:sz="4" w:space="0" w:color="auto"/>
              <w:bottom w:val="single" w:sz="4" w:space="0" w:color="auto"/>
              <w:right w:val="single" w:sz="4" w:space="0" w:color="auto"/>
            </w:tcBorders>
            <w:shd w:val="clear" w:color="auto" w:fill="auto"/>
            <w:vAlign w:val="bottom"/>
            <w:hideMark/>
          </w:tcPr>
          <w:p w14:paraId="6364DF5C" w14:textId="77777777" w:rsidR="00C95A78" w:rsidRPr="00813425" w:rsidRDefault="00C95A78" w:rsidP="00C95A78">
            <w:pPr>
              <w:spacing w:after="0" w:line="240" w:lineRule="auto"/>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 xml:space="preserve">38% Total </w:t>
            </w:r>
            <w:proofErr w:type="gramStart"/>
            <w:r w:rsidRPr="00813425">
              <w:rPr>
                <w:rFonts w:ascii="Calibri" w:eastAsia="Times New Roman" w:hAnsi="Calibri" w:cs="Calibri"/>
                <w:sz w:val="16"/>
                <w:szCs w:val="16"/>
                <w:lang w:eastAsia="en-ZW"/>
              </w:rPr>
              <w:t>Cross sectional</w:t>
            </w:r>
            <w:proofErr w:type="gramEnd"/>
            <w:r w:rsidRPr="00813425">
              <w:rPr>
                <w:rFonts w:ascii="Calibri" w:eastAsia="Times New Roman" w:hAnsi="Calibri" w:cs="Calibri"/>
                <w:sz w:val="16"/>
                <w:szCs w:val="16"/>
                <w:lang w:eastAsia="en-ZW"/>
              </w:rPr>
              <w:t xml:space="preserve"> area, mm²</w:t>
            </w:r>
          </w:p>
        </w:tc>
        <w:tc>
          <w:tcPr>
            <w:tcW w:w="1536" w:type="dxa"/>
            <w:tcBorders>
              <w:top w:val="nil"/>
              <w:left w:val="nil"/>
              <w:bottom w:val="single" w:sz="4" w:space="0" w:color="auto"/>
              <w:right w:val="single" w:sz="4" w:space="0" w:color="auto"/>
            </w:tcBorders>
            <w:shd w:val="clear" w:color="auto" w:fill="auto"/>
            <w:vAlign w:val="bottom"/>
            <w:hideMark/>
          </w:tcPr>
          <w:p w14:paraId="6364DF5D"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24.7 (15.7)</w:t>
            </w:r>
          </w:p>
        </w:tc>
        <w:tc>
          <w:tcPr>
            <w:tcW w:w="1412" w:type="dxa"/>
            <w:tcBorders>
              <w:top w:val="nil"/>
              <w:left w:val="nil"/>
              <w:bottom w:val="single" w:sz="4" w:space="0" w:color="auto"/>
              <w:right w:val="single" w:sz="4" w:space="0" w:color="auto"/>
            </w:tcBorders>
            <w:shd w:val="clear" w:color="auto" w:fill="auto"/>
            <w:vAlign w:val="bottom"/>
            <w:hideMark/>
          </w:tcPr>
          <w:p w14:paraId="6364DF5E"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24.7 (18.6)</w:t>
            </w:r>
          </w:p>
        </w:tc>
        <w:tc>
          <w:tcPr>
            <w:tcW w:w="1785" w:type="dxa"/>
            <w:tcBorders>
              <w:top w:val="nil"/>
              <w:left w:val="nil"/>
              <w:bottom w:val="single" w:sz="4" w:space="0" w:color="auto"/>
              <w:right w:val="single" w:sz="4" w:space="0" w:color="auto"/>
            </w:tcBorders>
            <w:shd w:val="clear" w:color="auto" w:fill="auto"/>
            <w:vAlign w:val="bottom"/>
            <w:hideMark/>
          </w:tcPr>
          <w:p w14:paraId="6364DF5F"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0.10 (-5.</w:t>
            </w:r>
            <w:proofErr w:type="gramStart"/>
            <w:r w:rsidRPr="00813425">
              <w:rPr>
                <w:rFonts w:ascii="Calibri" w:eastAsia="Times New Roman" w:hAnsi="Calibri" w:cs="Calibri"/>
                <w:sz w:val="16"/>
                <w:szCs w:val="16"/>
                <w:lang w:eastAsia="en-ZW"/>
              </w:rPr>
              <w:t>2 ,</w:t>
            </w:r>
            <w:proofErr w:type="gramEnd"/>
            <w:r w:rsidRPr="00813425">
              <w:rPr>
                <w:rFonts w:ascii="Calibri" w:eastAsia="Times New Roman" w:hAnsi="Calibri" w:cs="Calibri"/>
                <w:sz w:val="16"/>
                <w:szCs w:val="16"/>
                <w:lang w:eastAsia="en-ZW"/>
              </w:rPr>
              <w:t xml:space="preserve"> 5.4)</w:t>
            </w:r>
          </w:p>
        </w:tc>
        <w:tc>
          <w:tcPr>
            <w:tcW w:w="811" w:type="dxa"/>
            <w:tcBorders>
              <w:top w:val="nil"/>
              <w:left w:val="nil"/>
              <w:bottom w:val="single" w:sz="4" w:space="0" w:color="auto"/>
              <w:right w:val="single" w:sz="4" w:space="0" w:color="auto"/>
            </w:tcBorders>
            <w:shd w:val="clear" w:color="auto" w:fill="auto"/>
            <w:vAlign w:val="bottom"/>
            <w:hideMark/>
          </w:tcPr>
          <w:p w14:paraId="6364DF60"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0.970</w:t>
            </w:r>
          </w:p>
        </w:tc>
        <w:tc>
          <w:tcPr>
            <w:tcW w:w="1412" w:type="dxa"/>
            <w:tcBorders>
              <w:top w:val="nil"/>
              <w:left w:val="nil"/>
              <w:bottom w:val="single" w:sz="4" w:space="0" w:color="auto"/>
              <w:right w:val="single" w:sz="4" w:space="0" w:color="auto"/>
            </w:tcBorders>
            <w:shd w:val="clear" w:color="auto" w:fill="auto"/>
            <w:vAlign w:val="bottom"/>
            <w:hideMark/>
          </w:tcPr>
          <w:p w14:paraId="6364DF61"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14.6 (16.4)</w:t>
            </w:r>
          </w:p>
        </w:tc>
        <w:tc>
          <w:tcPr>
            <w:tcW w:w="1412" w:type="dxa"/>
            <w:tcBorders>
              <w:top w:val="nil"/>
              <w:left w:val="nil"/>
              <w:bottom w:val="single" w:sz="4" w:space="0" w:color="auto"/>
              <w:right w:val="single" w:sz="4" w:space="0" w:color="auto"/>
            </w:tcBorders>
            <w:shd w:val="clear" w:color="auto" w:fill="auto"/>
            <w:vAlign w:val="bottom"/>
            <w:hideMark/>
          </w:tcPr>
          <w:p w14:paraId="6364DF62"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16.4 (17.0)</w:t>
            </w:r>
          </w:p>
        </w:tc>
        <w:tc>
          <w:tcPr>
            <w:tcW w:w="1848" w:type="dxa"/>
            <w:tcBorders>
              <w:top w:val="nil"/>
              <w:left w:val="nil"/>
              <w:bottom w:val="single" w:sz="4" w:space="0" w:color="auto"/>
              <w:right w:val="single" w:sz="4" w:space="0" w:color="auto"/>
            </w:tcBorders>
            <w:shd w:val="clear" w:color="auto" w:fill="auto"/>
            <w:vAlign w:val="bottom"/>
            <w:hideMark/>
          </w:tcPr>
          <w:p w14:paraId="6364DF63"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1.44 (-3.</w:t>
            </w:r>
            <w:proofErr w:type="gramStart"/>
            <w:r w:rsidRPr="00813425">
              <w:rPr>
                <w:rFonts w:ascii="Calibri" w:eastAsia="Times New Roman" w:hAnsi="Calibri" w:cs="Calibri"/>
                <w:sz w:val="16"/>
                <w:szCs w:val="16"/>
                <w:lang w:eastAsia="en-ZW"/>
              </w:rPr>
              <w:t>8 ,</w:t>
            </w:r>
            <w:proofErr w:type="gramEnd"/>
            <w:r w:rsidRPr="00813425">
              <w:rPr>
                <w:rFonts w:ascii="Calibri" w:eastAsia="Times New Roman" w:hAnsi="Calibri" w:cs="Calibri"/>
                <w:sz w:val="16"/>
                <w:szCs w:val="16"/>
                <w:lang w:eastAsia="en-ZW"/>
              </w:rPr>
              <w:t xml:space="preserve"> 6.7)</w:t>
            </w:r>
          </w:p>
        </w:tc>
        <w:tc>
          <w:tcPr>
            <w:tcW w:w="851" w:type="dxa"/>
            <w:tcBorders>
              <w:top w:val="nil"/>
              <w:left w:val="nil"/>
              <w:bottom w:val="single" w:sz="4" w:space="0" w:color="auto"/>
              <w:right w:val="single" w:sz="4" w:space="0" w:color="auto"/>
            </w:tcBorders>
            <w:shd w:val="clear" w:color="auto" w:fill="auto"/>
            <w:vAlign w:val="bottom"/>
            <w:hideMark/>
          </w:tcPr>
          <w:p w14:paraId="6364DF64"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0.590</w:t>
            </w:r>
          </w:p>
        </w:tc>
      </w:tr>
      <w:tr w:rsidR="00C95A78" w:rsidRPr="00813425" w14:paraId="6364DF6F" w14:textId="77777777" w:rsidTr="00C95A78">
        <w:trPr>
          <w:trHeight w:val="199"/>
        </w:trPr>
        <w:tc>
          <w:tcPr>
            <w:tcW w:w="2595" w:type="dxa"/>
            <w:tcBorders>
              <w:top w:val="nil"/>
              <w:left w:val="single" w:sz="4" w:space="0" w:color="auto"/>
              <w:bottom w:val="single" w:sz="4" w:space="0" w:color="auto"/>
              <w:right w:val="single" w:sz="4" w:space="0" w:color="auto"/>
            </w:tcBorders>
            <w:shd w:val="clear" w:color="auto" w:fill="auto"/>
            <w:vAlign w:val="bottom"/>
            <w:hideMark/>
          </w:tcPr>
          <w:p w14:paraId="6364DF66" w14:textId="77777777" w:rsidR="00C95A78" w:rsidRPr="00813425" w:rsidRDefault="00C95A78" w:rsidP="00C95A78">
            <w:pPr>
              <w:spacing w:after="0" w:line="240" w:lineRule="auto"/>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 xml:space="preserve">38% Cortical thickness, mm </w:t>
            </w:r>
          </w:p>
        </w:tc>
        <w:tc>
          <w:tcPr>
            <w:tcW w:w="1536" w:type="dxa"/>
            <w:tcBorders>
              <w:top w:val="nil"/>
              <w:left w:val="nil"/>
              <w:bottom w:val="single" w:sz="4" w:space="0" w:color="auto"/>
              <w:right w:val="single" w:sz="4" w:space="0" w:color="auto"/>
            </w:tcBorders>
            <w:shd w:val="clear" w:color="auto" w:fill="auto"/>
            <w:vAlign w:val="bottom"/>
            <w:hideMark/>
          </w:tcPr>
          <w:p w14:paraId="6364DF67"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0.2 (0.2)</w:t>
            </w:r>
          </w:p>
        </w:tc>
        <w:tc>
          <w:tcPr>
            <w:tcW w:w="1412" w:type="dxa"/>
            <w:tcBorders>
              <w:top w:val="nil"/>
              <w:left w:val="nil"/>
              <w:bottom w:val="single" w:sz="4" w:space="0" w:color="auto"/>
              <w:right w:val="single" w:sz="4" w:space="0" w:color="auto"/>
            </w:tcBorders>
            <w:shd w:val="clear" w:color="auto" w:fill="auto"/>
            <w:vAlign w:val="bottom"/>
            <w:hideMark/>
          </w:tcPr>
          <w:p w14:paraId="6364DF68"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0.1 (0.2)</w:t>
            </w:r>
          </w:p>
        </w:tc>
        <w:tc>
          <w:tcPr>
            <w:tcW w:w="1785" w:type="dxa"/>
            <w:tcBorders>
              <w:top w:val="nil"/>
              <w:left w:val="nil"/>
              <w:bottom w:val="single" w:sz="4" w:space="0" w:color="auto"/>
              <w:right w:val="single" w:sz="4" w:space="0" w:color="auto"/>
            </w:tcBorders>
            <w:shd w:val="clear" w:color="auto" w:fill="auto"/>
            <w:vAlign w:val="bottom"/>
            <w:hideMark/>
          </w:tcPr>
          <w:p w14:paraId="6364DF69"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-0.05 (-0.</w:t>
            </w:r>
            <w:proofErr w:type="gramStart"/>
            <w:r w:rsidRPr="00813425">
              <w:rPr>
                <w:rFonts w:ascii="Calibri" w:eastAsia="Times New Roman" w:hAnsi="Calibri" w:cs="Calibri"/>
                <w:sz w:val="16"/>
                <w:szCs w:val="16"/>
                <w:lang w:eastAsia="en-ZW"/>
              </w:rPr>
              <w:t>1 ,</w:t>
            </w:r>
            <w:proofErr w:type="gramEnd"/>
            <w:r w:rsidRPr="00813425">
              <w:rPr>
                <w:rFonts w:ascii="Calibri" w:eastAsia="Times New Roman" w:hAnsi="Calibri" w:cs="Calibri"/>
                <w:sz w:val="16"/>
                <w:szCs w:val="16"/>
                <w:lang w:eastAsia="en-ZW"/>
              </w:rPr>
              <w:t xml:space="preserve"> 0)</w:t>
            </w:r>
          </w:p>
        </w:tc>
        <w:tc>
          <w:tcPr>
            <w:tcW w:w="811" w:type="dxa"/>
            <w:tcBorders>
              <w:top w:val="nil"/>
              <w:left w:val="nil"/>
              <w:bottom w:val="single" w:sz="4" w:space="0" w:color="auto"/>
              <w:right w:val="single" w:sz="4" w:space="0" w:color="auto"/>
            </w:tcBorders>
            <w:shd w:val="clear" w:color="auto" w:fill="auto"/>
            <w:vAlign w:val="bottom"/>
            <w:hideMark/>
          </w:tcPr>
          <w:p w14:paraId="6364DF6A"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0.101</w:t>
            </w:r>
          </w:p>
        </w:tc>
        <w:tc>
          <w:tcPr>
            <w:tcW w:w="1412" w:type="dxa"/>
            <w:tcBorders>
              <w:top w:val="nil"/>
              <w:left w:val="nil"/>
              <w:bottom w:val="single" w:sz="4" w:space="0" w:color="auto"/>
              <w:right w:val="single" w:sz="4" w:space="0" w:color="auto"/>
            </w:tcBorders>
            <w:shd w:val="clear" w:color="auto" w:fill="auto"/>
            <w:vAlign w:val="bottom"/>
            <w:hideMark/>
          </w:tcPr>
          <w:p w14:paraId="6364DF6B"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0.2 (0.2)</w:t>
            </w:r>
          </w:p>
        </w:tc>
        <w:tc>
          <w:tcPr>
            <w:tcW w:w="1412" w:type="dxa"/>
            <w:tcBorders>
              <w:top w:val="nil"/>
              <w:left w:val="nil"/>
              <w:bottom w:val="single" w:sz="4" w:space="0" w:color="auto"/>
              <w:right w:val="single" w:sz="4" w:space="0" w:color="auto"/>
            </w:tcBorders>
            <w:shd w:val="clear" w:color="auto" w:fill="auto"/>
            <w:vAlign w:val="bottom"/>
            <w:hideMark/>
          </w:tcPr>
          <w:p w14:paraId="6364DF6C"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0.1 (0.2)</w:t>
            </w:r>
          </w:p>
        </w:tc>
        <w:tc>
          <w:tcPr>
            <w:tcW w:w="1848" w:type="dxa"/>
            <w:tcBorders>
              <w:top w:val="nil"/>
              <w:left w:val="nil"/>
              <w:bottom w:val="single" w:sz="4" w:space="0" w:color="auto"/>
              <w:right w:val="single" w:sz="4" w:space="0" w:color="auto"/>
            </w:tcBorders>
            <w:shd w:val="clear" w:color="auto" w:fill="auto"/>
            <w:vAlign w:val="bottom"/>
            <w:hideMark/>
          </w:tcPr>
          <w:p w14:paraId="6364DF6D"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-0.04 (-0.</w:t>
            </w:r>
            <w:proofErr w:type="gramStart"/>
            <w:r w:rsidRPr="00813425">
              <w:rPr>
                <w:rFonts w:ascii="Calibri" w:eastAsia="Times New Roman" w:hAnsi="Calibri" w:cs="Calibri"/>
                <w:sz w:val="16"/>
                <w:szCs w:val="16"/>
                <w:lang w:eastAsia="en-ZW"/>
              </w:rPr>
              <w:t>1 ,</w:t>
            </w:r>
            <w:proofErr w:type="gramEnd"/>
            <w:r w:rsidRPr="00813425">
              <w:rPr>
                <w:rFonts w:ascii="Calibri" w:eastAsia="Times New Roman" w:hAnsi="Calibri" w:cs="Calibri"/>
                <w:sz w:val="16"/>
                <w:szCs w:val="16"/>
                <w:lang w:eastAsia="en-ZW"/>
              </w:rPr>
              <w:t xml:space="preserve"> 0)</w:t>
            </w:r>
          </w:p>
        </w:tc>
        <w:tc>
          <w:tcPr>
            <w:tcW w:w="851" w:type="dxa"/>
            <w:tcBorders>
              <w:top w:val="nil"/>
              <w:left w:val="nil"/>
              <w:bottom w:val="single" w:sz="4" w:space="0" w:color="auto"/>
              <w:right w:val="single" w:sz="4" w:space="0" w:color="auto"/>
            </w:tcBorders>
            <w:shd w:val="clear" w:color="auto" w:fill="auto"/>
            <w:vAlign w:val="bottom"/>
            <w:hideMark/>
          </w:tcPr>
          <w:p w14:paraId="6364DF6E"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0.252</w:t>
            </w:r>
          </w:p>
        </w:tc>
      </w:tr>
      <w:tr w:rsidR="00C95A78" w:rsidRPr="00813425" w14:paraId="6364DF79" w14:textId="77777777" w:rsidTr="00C95A78">
        <w:trPr>
          <w:trHeight w:val="199"/>
        </w:trPr>
        <w:tc>
          <w:tcPr>
            <w:tcW w:w="2595" w:type="dxa"/>
            <w:tcBorders>
              <w:top w:val="nil"/>
              <w:left w:val="single" w:sz="4" w:space="0" w:color="auto"/>
              <w:bottom w:val="single" w:sz="4" w:space="0" w:color="auto"/>
              <w:right w:val="single" w:sz="4" w:space="0" w:color="auto"/>
            </w:tcBorders>
            <w:shd w:val="clear" w:color="auto" w:fill="auto"/>
            <w:vAlign w:val="bottom"/>
            <w:hideMark/>
          </w:tcPr>
          <w:p w14:paraId="6364DF70" w14:textId="77777777" w:rsidR="00C95A78" w:rsidRPr="00813425" w:rsidRDefault="00C95A78" w:rsidP="00C95A78">
            <w:pPr>
              <w:spacing w:after="0" w:line="240" w:lineRule="auto"/>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38% Stress strain index, mm³</w:t>
            </w:r>
          </w:p>
        </w:tc>
        <w:tc>
          <w:tcPr>
            <w:tcW w:w="1536" w:type="dxa"/>
            <w:tcBorders>
              <w:top w:val="nil"/>
              <w:left w:val="nil"/>
              <w:bottom w:val="single" w:sz="4" w:space="0" w:color="auto"/>
              <w:right w:val="single" w:sz="4" w:space="0" w:color="auto"/>
            </w:tcBorders>
            <w:shd w:val="clear" w:color="auto" w:fill="auto"/>
            <w:vAlign w:val="bottom"/>
            <w:hideMark/>
          </w:tcPr>
          <w:p w14:paraId="6364DF71"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136.5 (77.9)</w:t>
            </w:r>
          </w:p>
        </w:tc>
        <w:tc>
          <w:tcPr>
            <w:tcW w:w="1412" w:type="dxa"/>
            <w:tcBorders>
              <w:top w:val="nil"/>
              <w:left w:val="nil"/>
              <w:bottom w:val="single" w:sz="4" w:space="0" w:color="auto"/>
              <w:right w:val="single" w:sz="4" w:space="0" w:color="auto"/>
            </w:tcBorders>
            <w:shd w:val="clear" w:color="auto" w:fill="auto"/>
            <w:vAlign w:val="bottom"/>
            <w:hideMark/>
          </w:tcPr>
          <w:p w14:paraId="6364DF72"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130.8 (95.6)</w:t>
            </w:r>
          </w:p>
        </w:tc>
        <w:tc>
          <w:tcPr>
            <w:tcW w:w="1785" w:type="dxa"/>
            <w:tcBorders>
              <w:top w:val="nil"/>
              <w:left w:val="nil"/>
              <w:bottom w:val="single" w:sz="4" w:space="0" w:color="auto"/>
              <w:right w:val="single" w:sz="4" w:space="0" w:color="auto"/>
            </w:tcBorders>
            <w:shd w:val="clear" w:color="auto" w:fill="auto"/>
            <w:vAlign w:val="bottom"/>
            <w:hideMark/>
          </w:tcPr>
          <w:p w14:paraId="6364DF73"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-7.12 (-33.</w:t>
            </w:r>
            <w:proofErr w:type="gramStart"/>
            <w:r w:rsidRPr="00813425">
              <w:rPr>
                <w:rFonts w:ascii="Calibri" w:eastAsia="Times New Roman" w:hAnsi="Calibri" w:cs="Calibri"/>
                <w:sz w:val="16"/>
                <w:szCs w:val="16"/>
                <w:lang w:eastAsia="en-ZW"/>
              </w:rPr>
              <w:t>7 ,</w:t>
            </w:r>
            <w:proofErr w:type="gramEnd"/>
            <w:r w:rsidRPr="00813425">
              <w:rPr>
                <w:rFonts w:ascii="Calibri" w:eastAsia="Times New Roman" w:hAnsi="Calibri" w:cs="Calibri"/>
                <w:sz w:val="16"/>
                <w:szCs w:val="16"/>
                <w:lang w:eastAsia="en-ZW"/>
              </w:rPr>
              <w:t xml:space="preserve"> 19.5)</w:t>
            </w:r>
          </w:p>
        </w:tc>
        <w:tc>
          <w:tcPr>
            <w:tcW w:w="811" w:type="dxa"/>
            <w:tcBorders>
              <w:top w:val="nil"/>
              <w:left w:val="nil"/>
              <w:bottom w:val="single" w:sz="4" w:space="0" w:color="auto"/>
              <w:right w:val="single" w:sz="4" w:space="0" w:color="auto"/>
            </w:tcBorders>
            <w:shd w:val="clear" w:color="auto" w:fill="auto"/>
            <w:vAlign w:val="bottom"/>
            <w:hideMark/>
          </w:tcPr>
          <w:p w14:paraId="6364DF74"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0.599</w:t>
            </w:r>
          </w:p>
        </w:tc>
        <w:tc>
          <w:tcPr>
            <w:tcW w:w="1412" w:type="dxa"/>
            <w:tcBorders>
              <w:top w:val="nil"/>
              <w:left w:val="nil"/>
              <w:bottom w:val="single" w:sz="4" w:space="0" w:color="auto"/>
              <w:right w:val="single" w:sz="4" w:space="0" w:color="auto"/>
            </w:tcBorders>
            <w:shd w:val="clear" w:color="auto" w:fill="auto"/>
            <w:vAlign w:val="bottom"/>
            <w:hideMark/>
          </w:tcPr>
          <w:p w14:paraId="6364DF75"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94.2 (73.5)</w:t>
            </w:r>
          </w:p>
        </w:tc>
        <w:tc>
          <w:tcPr>
            <w:tcW w:w="1412" w:type="dxa"/>
            <w:tcBorders>
              <w:top w:val="nil"/>
              <w:left w:val="nil"/>
              <w:bottom w:val="single" w:sz="4" w:space="0" w:color="auto"/>
              <w:right w:val="single" w:sz="4" w:space="0" w:color="auto"/>
            </w:tcBorders>
            <w:shd w:val="clear" w:color="auto" w:fill="auto"/>
            <w:vAlign w:val="bottom"/>
            <w:hideMark/>
          </w:tcPr>
          <w:p w14:paraId="6364DF76"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90.4 (89.8)</w:t>
            </w:r>
          </w:p>
        </w:tc>
        <w:tc>
          <w:tcPr>
            <w:tcW w:w="1848" w:type="dxa"/>
            <w:tcBorders>
              <w:top w:val="nil"/>
              <w:left w:val="nil"/>
              <w:bottom w:val="single" w:sz="4" w:space="0" w:color="auto"/>
              <w:right w:val="single" w:sz="4" w:space="0" w:color="auto"/>
            </w:tcBorders>
            <w:shd w:val="clear" w:color="auto" w:fill="auto"/>
            <w:vAlign w:val="bottom"/>
            <w:hideMark/>
          </w:tcPr>
          <w:p w14:paraId="6364DF77"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-6.52 (-32.</w:t>
            </w:r>
            <w:proofErr w:type="gramStart"/>
            <w:r w:rsidRPr="00813425">
              <w:rPr>
                <w:rFonts w:ascii="Calibri" w:eastAsia="Times New Roman" w:hAnsi="Calibri" w:cs="Calibri"/>
                <w:sz w:val="16"/>
                <w:szCs w:val="16"/>
                <w:lang w:eastAsia="en-ZW"/>
              </w:rPr>
              <w:t>2 ,</w:t>
            </w:r>
            <w:proofErr w:type="gramEnd"/>
            <w:r w:rsidRPr="00813425">
              <w:rPr>
                <w:rFonts w:ascii="Calibri" w:eastAsia="Times New Roman" w:hAnsi="Calibri" w:cs="Calibri"/>
                <w:sz w:val="16"/>
                <w:szCs w:val="16"/>
                <w:lang w:eastAsia="en-ZW"/>
              </w:rPr>
              <w:t xml:space="preserve"> 19.2)</w:t>
            </w:r>
          </w:p>
        </w:tc>
        <w:tc>
          <w:tcPr>
            <w:tcW w:w="851" w:type="dxa"/>
            <w:tcBorders>
              <w:top w:val="nil"/>
              <w:left w:val="nil"/>
              <w:bottom w:val="single" w:sz="4" w:space="0" w:color="auto"/>
              <w:right w:val="single" w:sz="4" w:space="0" w:color="auto"/>
            </w:tcBorders>
            <w:shd w:val="clear" w:color="auto" w:fill="auto"/>
            <w:vAlign w:val="bottom"/>
            <w:hideMark/>
          </w:tcPr>
          <w:p w14:paraId="6364DF78" w14:textId="77777777" w:rsidR="00C95A78" w:rsidRPr="00813425" w:rsidRDefault="00C95A78" w:rsidP="00C95A78">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0.617</w:t>
            </w:r>
          </w:p>
        </w:tc>
      </w:tr>
    </w:tbl>
    <w:p w14:paraId="6364DF7A" w14:textId="77777777" w:rsidR="00C95A78" w:rsidRPr="00813425" w:rsidRDefault="00C95A78" w:rsidP="00C95A78">
      <w:pPr>
        <w:widowControl w:val="0"/>
        <w:autoSpaceDE w:val="0"/>
        <w:autoSpaceDN w:val="0"/>
        <w:adjustRightInd w:val="0"/>
        <w:spacing w:after="0" w:line="360" w:lineRule="auto"/>
        <w:ind w:left="640" w:hanging="640"/>
        <w:rPr>
          <w:rFonts w:cstheme="minorHAnsi"/>
          <w:b/>
          <w:i/>
          <w:color w:val="000000"/>
          <w:sz w:val="16"/>
          <w:szCs w:val="16"/>
          <w:lang w:val="en-US"/>
        </w:rPr>
      </w:pPr>
      <w:r w:rsidRPr="00813425">
        <w:rPr>
          <w:rFonts w:cstheme="minorHAnsi"/>
          <w:b/>
          <w:color w:val="000000"/>
          <w:sz w:val="18"/>
          <w:szCs w:val="18"/>
          <w:lang w:val="en-US"/>
        </w:rPr>
        <w:t>*</w:t>
      </w:r>
      <w:r w:rsidRPr="00813425">
        <w:rPr>
          <w:rFonts w:cstheme="minorHAnsi"/>
          <w:b/>
          <w:i/>
          <w:color w:val="000000"/>
          <w:sz w:val="16"/>
          <w:szCs w:val="16"/>
          <w:lang w:val="en-US"/>
        </w:rPr>
        <w:t>Unadjusted, **Adjusted for socioeconomic status and orphanhood CWH: Children living with HIV, CWOH: Children without HIV, SD (Standard Deviation)</w:t>
      </w:r>
    </w:p>
    <w:p w14:paraId="6364DF7B" w14:textId="77777777" w:rsidR="00C95A78" w:rsidRPr="00813425" w:rsidRDefault="00C95A78" w:rsidP="00C95A78">
      <w:pPr>
        <w:widowControl w:val="0"/>
        <w:autoSpaceDE w:val="0"/>
        <w:autoSpaceDN w:val="0"/>
        <w:adjustRightInd w:val="0"/>
        <w:spacing w:after="0" w:line="360" w:lineRule="auto"/>
        <w:ind w:left="640" w:hanging="640"/>
        <w:rPr>
          <w:rFonts w:cstheme="minorHAnsi"/>
          <w:b/>
          <w:i/>
          <w:color w:val="000000"/>
          <w:sz w:val="16"/>
          <w:szCs w:val="16"/>
          <w:lang w:val="en-US"/>
        </w:rPr>
      </w:pPr>
      <w:r w:rsidRPr="00813425">
        <w:rPr>
          <w:rFonts w:cstheme="minorHAnsi"/>
          <w:b/>
          <w:i/>
          <w:color w:val="000000"/>
          <w:sz w:val="16"/>
          <w:szCs w:val="16"/>
          <w:lang w:val="en-US"/>
        </w:rPr>
        <w:t>MD (95% CI); Mean Difference (95 % Confidence Interval) with CWOH as the reference group, such that negative values mean that those with HIV have lower values than those with HIV</w:t>
      </w:r>
    </w:p>
    <w:p w14:paraId="6364DF7C" w14:textId="77777777" w:rsidR="00C95A78" w:rsidRPr="00813425" w:rsidRDefault="00C95A78" w:rsidP="00C95A78">
      <w:pPr>
        <w:spacing w:after="0" w:line="240" w:lineRule="auto"/>
        <w:rPr>
          <w:rFonts w:ascii="Calibri" w:eastAsia="Times New Roman" w:hAnsi="Calibri" w:cs="Calibri"/>
          <w:b/>
          <w:bCs/>
          <w:sz w:val="20"/>
          <w:szCs w:val="20"/>
          <w:lang w:eastAsia="en-ZW"/>
        </w:rPr>
      </w:pPr>
      <w:r w:rsidRPr="00813425">
        <w:rPr>
          <w:rFonts w:ascii="Calibri" w:eastAsia="Times New Roman" w:hAnsi="Calibri" w:cs="Calibri"/>
          <w:b/>
          <w:bCs/>
          <w:sz w:val="20"/>
          <w:szCs w:val="20"/>
          <w:lang w:eastAsia="en-ZW"/>
        </w:rPr>
        <w:br w:type="page"/>
      </w:r>
    </w:p>
    <w:p w14:paraId="6364DF7D" w14:textId="77777777" w:rsidR="00C95A78" w:rsidRPr="00813425" w:rsidRDefault="00C95A78" w:rsidP="00C95A78">
      <w:pPr>
        <w:spacing w:after="0" w:line="240" w:lineRule="auto"/>
        <w:rPr>
          <w:rFonts w:ascii="Calibri" w:eastAsia="Times New Roman" w:hAnsi="Calibri" w:cs="Calibri"/>
          <w:b/>
          <w:bCs/>
          <w:sz w:val="20"/>
          <w:szCs w:val="20"/>
          <w:lang w:eastAsia="en-ZW"/>
        </w:rPr>
      </w:pPr>
    </w:p>
    <w:p w14:paraId="298F5960" w14:textId="77777777" w:rsidR="0059509C" w:rsidRPr="00813425" w:rsidRDefault="0059509C" w:rsidP="0059509C">
      <w:pPr>
        <w:keepNext/>
        <w:spacing w:after="200" w:line="240" w:lineRule="auto"/>
        <w:rPr>
          <w:b/>
          <w:iCs/>
          <w:szCs w:val="18"/>
        </w:rPr>
      </w:pPr>
      <w:r w:rsidRPr="00813425">
        <w:rPr>
          <w:b/>
          <w:iCs/>
          <w:szCs w:val="18"/>
        </w:rPr>
        <w:t>Table 3: pQCT bone outcomes of children living with and without HIV, stratified by sex and pubertal status</w:t>
      </w:r>
    </w:p>
    <w:tbl>
      <w:tblPr>
        <w:tblW w:w="14034" w:type="dxa"/>
        <w:tblInd w:w="-5" w:type="dxa"/>
        <w:tblLook w:val="04A0" w:firstRow="1" w:lastRow="0" w:firstColumn="1" w:lastColumn="0" w:noHBand="0" w:noVBand="1"/>
      </w:tblPr>
      <w:tblGrid>
        <w:gridCol w:w="2704"/>
        <w:gridCol w:w="1691"/>
        <w:gridCol w:w="708"/>
        <w:gridCol w:w="1413"/>
        <w:gridCol w:w="850"/>
        <w:gridCol w:w="950"/>
        <w:gridCol w:w="1044"/>
        <w:gridCol w:w="563"/>
        <w:gridCol w:w="704"/>
        <w:gridCol w:w="1417"/>
        <w:gridCol w:w="851"/>
        <w:gridCol w:w="1139"/>
      </w:tblGrid>
      <w:tr w:rsidR="0059509C" w:rsidRPr="00813425" w14:paraId="79A3143F" w14:textId="77777777" w:rsidTr="003A4397">
        <w:trPr>
          <w:trHeight w:val="182"/>
        </w:trPr>
        <w:tc>
          <w:tcPr>
            <w:tcW w:w="270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B6488DF" w14:textId="77777777" w:rsidR="0059509C" w:rsidRPr="00813425" w:rsidRDefault="0059509C" w:rsidP="003A4397">
            <w:pPr>
              <w:spacing w:after="0" w:line="240" w:lineRule="auto"/>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 </w:t>
            </w:r>
          </w:p>
        </w:tc>
        <w:tc>
          <w:tcPr>
            <w:tcW w:w="5612" w:type="dxa"/>
            <w:gridSpan w:val="5"/>
            <w:tcBorders>
              <w:top w:val="single" w:sz="4" w:space="0" w:color="auto"/>
              <w:left w:val="nil"/>
              <w:bottom w:val="single" w:sz="4" w:space="0" w:color="auto"/>
              <w:right w:val="single" w:sz="4" w:space="0" w:color="auto"/>
            </w:tcBorders>
            <w:shd w:val="clear" w:color="000000" w:fill="D9D9D9"/>
            <w:noWrap/>
            <w:vAlign w:val="bottom"/>
            <w:hideMark/>
          </w:tcPr>
          <w:p w14:paraId="5AE3BA69"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Unadjusted (n=419)</w:t>
            </w:r>
          </w:p>
        </w:tc>
        <w:tc>
          <w:tcPr>
            <w:tcW w:w="5718" w:type="dxa"/>
            <w:gridSpan w:val="6"/>
            <w:tcBorders>
              <w:top w:val="single" w:sz="4" w:space="0" w:color="auto"/>
              <w:left w:val="nil"/>
              <w:bottom w:val="single" w:sz="4" w:space="0" w:color="auto"/>
              <w:right w:val="single" w:sz="4" w:space="0" w:color="auto"/>
            </w:tcBorders>
            <w:shd w:val="clear" w:color="000000" w:fill="D9D9D9"/>
            <w:noWrap/>
            <w:vAlign w:val="bottom"/>
            <w:hideMark/>
          </w:tcPr>
          <w:p w14:paraId="6D734175"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*Adjusted (n=419)</w:t>
            </w:r>
          </w:p>
        </w:tc>
      </w:tr>
      <w:tr w:rsidR="0059509C" w:rsidRPr="00813425" w14:paraId="3803775E" w14:textId="77777777" w:rsidTr="002C1313">
        <w:trPr>
          <w:trHeight w:val="182"/>
        </w:trPr>
        <w:tc>
          <w:tcPr>
            <w:tcW w:w="2704" w:type="dxa"/>
            <w:tcBorders>
              <w:top w:val="nil"/>
              <w:left w:val="single" w:sz="4" w:space="0" w:color="auto"/>
              <w:bottom w:val="single" w:sz="4" w:space="0" w:color="auto"/>
              <w:right w:val="single" w:sz="4" w:space="0" w:color="auto"/>
            </w:tcBorders>
            <w:shd w:val="clear" w:color="000000" w:fill="D9D9D9"/>
            <w:noWrap/>
            <w:vAlign w:val="bottom"/>
            <w:hideMark/>
          </w:tcPr>
          <w:p w14:paraId="004CA0B6" w14:textId="77777777" w:rsidR="0059509C" w:rsidRPr="00813425" w:rsidRDefault="0059509C" w:rsidP="003A4397">
            <w:pPr>
              <w:spacing w:after="0" w:line="240" w:lineRule="auto"/>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Males (n=213)</w:t>
            </w:r>
          </w:p>
        </w:tc>
        <w:tc>
          <w:tcPr>
            <w:tcW w:w="2399"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16BE2848"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Tanner Stages 1 and 2</w:t>
            </w:r>
          </w:p>
        </w:tc>
        <w:tc>
          <w:tcPr>
            <w:tcW w:w="2263"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181C148C"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Tanner Stages 3, 4 &amp; 5</w:t>
            </w:r>
          </w:p>
        </w:tc>
        <w:tc>
          <w:tcPr>
            <w:tcW w:w="950" w:type="dxa"/>
            <w:tcBorders>
              <w:top w:val="nil"/>
              <w:left w:val="nil"/>
              <w:bottom w:val="single" w:sz="4" w:space="0" w:color="auto"/>
              <w:right w:val="single" w:sz="4" w:space="0" w:color="auto"/>
            </w:tcBorders>
            <w:shd w:val="clear" w:color="000000" w:fill="D9D9D9"/>
            <w:noWrap/>
            <w:vAlign w:val="bottom"/>
            <w:hideMark/>
          </w:tcPr>
          <w:p w14:paraId="084CFE29"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Interaction</w:t>
            </w:r>
          </w:p>
        </w:tc>
        <w:tc>
          <w:tcPr>
            <w:tcW w:w="2311"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0CBF1284"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Tanner Stages 1 and 2</w:t>
            </w:r>
          </w:p>
        </w:tc>
        <w:tc>
          <w:tcPr>
            <w:tcW w:w="2268"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193610A7"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Tanner Stages 3, 4 &amp; 5</w:t>
            </w:r>
          </w:p>
        </w:tc>
        <w:tc>
          <w:tcPr>
            <w:tcW w:w="1139" w:type="dxa"/>
            <w:tcBorders>
              <w:top w:val="nil"/>
              <w:left w:val="nil"/>
              <w:bottom w:val="single" w:sz="4" w:space="0" w:color="auto"/>
              <w:right w:val="single" w:sz="4" w:space="0" w:color="auto"/>
            </w:tcBorders>
            <w:shd w:val="clear" w:color="000000" w:fill="D9D9D9"/>
            <w:noWrap/>
            <w:vAlign w:val="bottom"/>
            <w:hideMark/>
          </w:tcPr>
          <w:p w14:paraId="4A299344"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Interaction</w:t>
            </w:r>
          </w:p>
        </w:tc>
      </w:tr>
      <w:tr w:rsidR="0059509C" w:rsidRPr="00813425" w14:paraId="4D2DF6D3" w14:textId="77777777" w:rsidTr="002C1313">
        <w:trPr>
          <w:trHeight w:val="182"/>
        </w:trPr>
        <w:tc>
          <w:tcPr>
            <w:tcW w:w="2704" w:type="dxa"/>
            <w:tcBorders>
              <w:top w:val="nil"/>
              <w:left w:val="single" w:sz="4" w:space="0" w:color="auto"/>
              <w:bottom w:val="single" w:sz="4" w:space="0" w:color="auto"/>
              <w:right w:val="single" w:sz="4" w:space="0" w:color="auto"/>
            </w:tcBorders>
            <w:shd w:val="clear" w:color="000000" w:fill="D9D9D9"/>
            <w:noWrap/>
            <w:vAlign w:val="bottom"/>
            <w:hideMark/>
          </w:tcPr>
          <w:p w14:paraId="78073121" w14:textId="77777777" w:rsidR="0059509C" w:rsidRPr="00813425" w:rsidRDefault="0059509C" w:rsidP="003A4397">
            <w:pPr>
              <w:spacing w:after="0" w:line="240" w:lineRule="auto"/>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Characteristic</w:t>
            </w:r>
          </w:p>
        </w:tc>
        <w:tc>
          <w:tcPr>
            <w:tcW w:w="1691" w:type="dxa"/>
            <w:tcBorders>
              <w:top w:val="nil"/>
              <w:left w:val="nil"/>
              <w:bottom w:val="single" w:sz="4" w:space="0" w:color="auto"/>
              <w:right w:val="single" w:sz="4" w:space="0" w:color="auto"/>
            </w:tcBorders>
            <w:shd w:val="clear" w:color="000000" w:fill="D9D9D9"/>
            <w:noWrap/>
            <w:vAlign w:val="bottom"/>
            <w:hideMark/>
          </w:tcPr>
          <w:p w14:paraId="46F4B2FA"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MD (95% CI)</w:t>
            </w:r>
          </w:p>
        </w:tc>
        <w:tc>
          <w:tcPr>
            <w:tcW w:w="708" w:type="dxa"/>
            <w:tcBorders>
              <w:top w:val="nil"/>
              <w:left w:val="nil"/>
              <w:bottom w:val="single" w:sz="4" w:space="0" w:color="auto"/>
              <w:right w:val="single" w:sz="4" w:space="0" w:color="auto"/>
            </w:tcBorders>
            <w:shd w:val="clear" w:color="000000" w:fill="D9D9D9"/>
            <w:noWrap/>
            <w:vAlign w:val="bottom"/>
            <w:hideMark/>
          </w:tcPr>
          <w:p w14:paraId="3483018E"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p-value</w:t>
            </w:r>
          </w:p>
        </w:tc>
        <w:tc>
          <w:tcPr>
            <w:tcW w:w="1413" w:type="dxa"/>
            <w:tcBorders>
              <w:top w:val="nil"/>
              <w:left w:val="nil"/>
              <w:bottom w:val="single" w:sz="4" w:space="0" w:color="auto"/>
              <w:right w:val="single" w:sz="4" w:space="0" w:color="auto"/>
            </w:tcBorders>
            <w:shd w:val="clear" w:color="000000" w:fill="D9D9D9"/>
            <w:noWrap/>
            <w:vAlign w:val="bottom"/>
            <w:hideMark/>
          </w:tcPr>
          <w:p w14:paraId="20DF6B2C"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MD (95% CI)</w:t>
            </w:r>
          </w:p>
        </w:tc>
        <w:tc>
          <w:tcPr>
            <w:tcW w:w="850" w:type="dxa"/>
            <w:tcBorders>
              <w:top w:val="nil"/>
              <w:left w:val="nil"/>
              <w:bottom w:val="single" w:sz="4" w:space="0" w:color="auto"/>
              <w:right w:val="single" w:sz="4" w:space="0" w:color="auto"/>
            </w:tcBorders>
            <w:shd w:val="clear" w:color="000000" w:fill="D9D9D9"/>
            <w:noWrap/>
            <w:vAlign w:val="bottom"/>
            <w:hideMark/>
          </w:tcPr>
          <w:p w14:paraId="361F2E82"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p-value</w:t>
            </w:r>
          </w:p>
        </w:tc>
        <w:tc>
          <w:tcPr>
            <w:tcW w:w="950" w:type="dxa"/>
            <w:tcBorders>
              <w:top w:val="nil"/>
              <w:left w:val="nil"/>
              <w:bottom w:val="single" w:sz="4" w:space="0" w:color="auto"/>
              <w:right w:val="single" w:sz="4" w:space="0" w:color="auto"/>
            </w:tcBorders>
            <w:shd w:val="clear" w:color="000000" w:fill="D9D9D9"/>
            <w:noWrap/>
            <w:vAlign w:val="bottom"/>
            <w:hideMark/>
          </w:tcPr>
          <w:p w14:paraId="6547FB8E"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p-value</w:t>
            </w:r>
          </w:p>
        </w:tc>
        <w:tc>
          <w:tcPr>
            <w:tcW w:w="1607" w:type="dxa"/>
            <w:gridSpan w:val="2"/>
            <w:tcBorders>
              <w:top w:val="nil"/>
              <w:left w:val="nil"/>
              <w:bottom w:val="single" w:sz="4" w:space="0" w:color="auto"/>
              <w:right w:val="single" w:sz="4" w:space="0" w:color="auto"/>
            </w:tcBorders>
            <w:shd w:val="clear" w:color="000000" w:fill="D9D9D9"/>
            <w:noWrap/>
            <w:vAlign w:val="bottom"/>
            <w:hideMark/>
          </w:tcPr>
          <w:p w14:paraId="158A579F"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MD (95% CI)</w:t>
            </w:r>
          </w:p>
        </w:tc>
        <w:tc>
          <w:tcPr>
            <w:tcW w:w="704" w:type="dxa"/>
            <w:tcBorders>
              <w:top w:val="nil"/>
              <w:left w:val="nil"/>
              <w:bottom w:val="single" w:sz="4" w:space="0" w:color="auto"/>
              <w:right w:val="single" w:sz="4" w:space="0" w:color="auto"/>
            </w:tcBorders>
            <w:shd w:val="clear" w:color="000000" w:fill="D9D9D9"/>
            <w:noWrap/>
            <w:vAlign w:val="bottom"/>
            <w:hideMark/>
          </w:tcPr>
          <w:p w14:paraId="77502ADA"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p-value</w:t>
            </w:r>
          </w:p>
        </w:tc>
        <w:tc>
          <w:tcPr>
            <w:tcW w:w="1417" w:type="dxa"/>
            <w:tcBorders>
              <w:top w:val="nil"/>
              <w:left w:val="nil"/>
              <w:bottom w:val="single" w:sz="4" w:space="0" w:color="auto"/>
              <w:right w:val="single" w:sz="4" w:space="0" w:color="auto"/>
            </w:tcBorders>
            <w:shd w:val="clear" w:color="000000" w:fill="D9D9D9"/>
            <w:noWrap/>
            <w:vAlign w:val="bottom"/>
            <w:hideMark/>
          </w:tcPr>
          <w:p w14:paraId="5988E0F5"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MD (95% CI)</w:t>
            </w:r>
          </w:p>
        </w:tc>
        <w:tc>
          <w:tcPr>
            <w:tcW w:w="851" w:type="dxa"/>
            <w:tcBorders>
              <w:top w:val="nil"/>
              <w:left w:val="nil"/>
              <w:bottom w:val="single" w:sz="4" w:space="0" w:color="auto"/>
              <w:right w:val="single" w:sz="4" w:space="0" w:color="auto"/>
            </w:tcBorders>
            <w:shd w:val="clear" w:color="000000" w:fill="D9D9D9"/>
            <w:noWrap/>
            <w:vAlign w:val="bottom"/>
            <w:hideMark/>
          </w:tcPr>
          <w:p w14:paraId="732B0944"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p-value</w:t>
            </w:r>
          </w:p>
        </w:tc>
        <w:tc>
          <w:tcPr>
            <w:tcW w:w="1139" w:type="dxa"/>
            <w:tcBorders>
              <w:top w:val="nil"/>
              <w:left w:val="nil"/>
              <w:bottom w:val="single" w:sz="4" w:space="0" w:color="auto"/>
              <w:right w:val="single" w:sz="4" w:space="0" w:color="auto"/>
            </w:tcBorders>
            <w:shd w:val="clear" w:color="000000" w:fill="D9D9D9"/>
            <w:noWrap/>
            <w:vAlign w:val="bottom"/>
            <w:hideMark/>
          </w:tcPr>
          <w:p w14:paraId="550F75FB"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p-value</w:t>
            </w:r>
          </w:p>
        </w:tc>
      </w:tr>
      <w:tr w:rsidR="0059509C" w:rsidRPr="00813425" w14:paraId="3239E393" w14:textId="77777777" w:rsidTr="002C1313">
        <w:trPr>
          <w:trHeight w:val="182"/>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14:paraId="7762D1EB" w14:textId="77777777" w:rsidR="0059509C" w:rsidRPr="00813425" w:rsidRDefault="0059509C" w:rsidP="003A4397">
            <w:pPr>
              <w:spacing w:after="0" w:line="240" w:lineRule="auto"/>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 4% Trabecular Density, mg/cm³</w:t>
            </w:r>
          </w:p>
        </w:tc>
        <w:tc>
          <w:tcPr>
            <w:tcW w:w="1691" w:type="dxa"/>
            <w:tcBorders>
              <w:top w:val="nil"/>
              <w:left w:val="nil"/>
              <w:bottom w:val="single" w:sz="4" w:space="0" w:color="auto"/>
              <w:right w:val="single" w:sz="4" w:space="0" w:color="auto"/>
            </w:tcBorders>
            <w:shd w:val="clear" w:color="auto" w:fill="auto"/>
            <w:noWrap/>
            <w:vAlign w:val="bottom"/>
            <w:hideMark/>
          </w:tcPr>
          <w:p w14:paraId="251C1956" w14:textId="0B0A06F4"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-3.10 (-9.0</w:t>
            </w:r>
            <w:r w:rsidR="002C1313" w:rsidRPr="00813425">
              <w:rPr>
                <w:rFonts w:ascii="Calibri" w:eastAsia="Times New Roman" w:hAnsi="Calibri" w:cs="Calibri"/>
                <w:sz w:val="16"/>
                <w:szCs w:val="16"/>
                <w:lang w:eastAsia="en-ZW"/>
              </w:rPr>
              <w:t>,</w:t>
            </w:r>
            <w:r w:rsidRPr="00813425">
              <w:rPr>
                <w:rFonts w:ascii="Calibri" w:eastAsia="Times New Roman" w:hAnsi="Calibri" w:cs="Calibri"/>
                <w:sz w:val="16"/>
                <w:szCs w:val="16"/>
                <w:lang w:eastAsia="en-ZW"/>
              </w:rPr>
              <w:t xml:space="preserve"> 2.8)</w:t>
            </w:r>
          </w:p>
        </w:tc>
        <w:tc>
          <w:tcPr>
            <w:tcW w:w="708" w:type="dxa"/>
            <w:tcBorders>
              <w:top w:val="nil"/>
              <w:left w:val="nil"/>
              <w:bottom w:val="single" w:sz="4" w:space="0" w:color="auto"/>
              <w:right w:val="single" w:sz="4" w:space="0" w:color="auto"/>
            </w:tcBorders>
            <w:shd w:val="clear" w:color="auto" w:fill="auto"/>
            <w:noWrap/>
            <w:vAlign w:val="bottom"/>
            <w:hideMark/>
          </w:tcPr>
          <w:p w14:paraId="4204C08C" w14:textId="77777777"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0.298</w:t>
            </w:r>
          </w:p>
        </w:tc>
        <w:tc>
          <w:tcPr>
            <w:tcW w:w="1413" w:type="dxa"/>
            <w:tcBorders>
              <w:top w:val="nil"/>
              <w:left w:val="nil"/>
              <w:bottom w:val="single" w:sz="4" w:space="0" w:color="auto"/>
              <w:right w:val="single" w:sz="4" w:space="0" w:color="auto"/>
            </w:tcBorders>
            <w:shd w:val="clear" w:color="auto" w:fill="auto"/>
            <w:noWrap/>
            <w:vAlign w:val="bottom"/>
            <w:hideMark/>
          </w:tcPr>
          <w:p w14:paraId="4B5B9F90" w14:textId="57B4D68F"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3.59 (-5.6</w:t>
            </w:r>
            <w:r w:rsidR="002C1313" w:rsidRPr="00813425">
              <w:rPr>
                <w:rFonts w:ascii="Calibri" w:eastAsia="Times New Roman" w:hAnsi="Calibri" w:cs="Calibri"/>
                <w:sz w:val="16"/>
                <w:szCs w:val="16"/>
                <w:lang w:eastAsia="en-ZW"/>
              </w:rPr>
              <w:t>,</w:t>
            </w:r>
            <w:r w:rsidRPr="00813425">
              <w:rPr>
                <w:rFonts w:ascii="Calibri" w:eastAsia="Times New Roman" w:hAnsi="Calibri" w:cs="Calibri"/>
                <w:sz w:val="16"/>
                <w:szCs w:val="16"/>
                <w:lang w:eastAsia="en-ZW"/>
              </w:rPr>
              <w:t xml:space="preserve"> 12.8)</w:t>
            </w:r>
          </w:p>
        </w:tc>
        <w:tc>
          <w:tcPr>
            <w:tcW w:w="850" w:type="dxa"/>
            <w:tcBorders>
              <w:top w:val="nil"/>
              <w:left w:val="nil"/>
              <w:bottom w:val="single" w:sz="4" w:space="0" w:color="auto"/>
              <w:right w:val="single" w:sz="4" w:space="0" w:color="auto"/>
            </w:tcBorders>
            <w:shd w:val="clear" w:color="auto" w:fill="auto"/>
            <w:noWrap/>
            <w:vAlign w:val="bottom"/>
            <w:hideMark/>
          </w:tcPr>
          <w:p w14:paraId="150535F3" w14:textId="77777777"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0.441</w:t>
            </w:r>
          </w:p>
        </w:tc>
        <w:tc>
          <w:tcPr>
            <w:tcW w:w="950" w:type="dxa"/>
            <w:tcBorders>
              <w:top w:val="nil"/>
              <w:left w:val="nil"/>
              <w:bottom w:val="single" w:sz="4" w:space="0" w:color="auto"/>
              <w:right w:val="single" w:sz="4" w:space="0" w:color="auto"/>
            </w:tcBorders>
            <w:shd w:val="clear" w:color="auto" w:fill="auto"/>
            <w:noWrap/>
            <w:vAlign w:val="bottom"/>
            <w:hideMark/>
          </w:tcPr>
          <w:p w14:paraId="03F36E91"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0.208</w:t>
            </w:r>
          </w:p>
        </w:tc>
        <w:tc>
          <w:tcPr>
            <w:tcW w:w="1607" w:type="dxa"/>
            <w:gridSpan w:val="2"/>
            <w:tcBorders>
              <w:top w:val="nil"/>
              <w:left w:val="nil"/>
              <w:bottom w:val="single" w:sz="4" w:space="0" w:color="auto"/>
              <w:right w:val="single" w:sz="4" w:space="0" w:color="auto"/>
            </w:tcBorders>
            <w:shd w:val="clear" w:color="auto" w:fill="auto"/>
            <w:noWrap/>
            <w:vAlign w:val="bottom"/>
            <w:hideMark/>
          </w:tcPr>
          <w:p w14:paraId="2CE56880" w14:textId="19EB9C79"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-2.91 (-9.6</w:t>
            </w:r>
            <w:r w:rsidR="002C1313" w:rsidRPr="00813425">
              <w:rPr>
                <w:rFonts w:ascii="Calibri" w:eastAsia="Times New Roman" w:hAnsi="Calibri" w:cs="Calibri"/>
                <w:sz w:val="16"/>
                <w:szCs w:val="16"/>
                <w:lang w:eastAsia="en-ZW"/>
              </w:rPr>
              <w:t>,</w:t>
            </w:r>
            <w:r w:rsidRPr="00813425">
              <w:rPr>
                <w:rFonts w:ascii="Calibri" w:eastAsia="Times New Roman" w:hAnsi="Calibri" w:cs="Calibri"/>
                <w:sz w:val="16"/>
                <w:szCs w:val="16"/>
                <w:lang w:eastAsia="en-ZW"/>
              </w:rPr>
              <w:t xml:space="preserve"> 3.7)</w:t>
            </w:r>
          </w:p>
        </w:tc>
        <w:tc>
          <w:tcPr>
            <w:tcW w:w="704" w:type="dxa"/>
            <w:tcBorders>
              <w:top w:val="nil"/>
              <w:left w:val="nil"/>
              <w:bottom w:val="single" w:sz="4" w:space="0" w:color="auto"/>
              <w:right w:val="single" w:sz="4" w:space="0" w:color="auto"/>
            </w:tcBorders>
            <w:shd w:val="clear" w:color="auto" w:fill="auto"/>
            <w:noWrap/>
            <w:vAlign w:val="bottom"/>
            <w:hideMark/>
          </w:tcPr>
          <w:p w14:paraId="77E6B656" w14:textId="77777777"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0.389</w:t>
            </w:r>
          </w:p>
        </w:tc>
        <w:tc>
          <w:tcPr>
            <w:tcW w:w="1417" w:type="dxa"/>
            <w:tcBorders>
              <w:top w:val="nil"/>
              <w:left w:val="nil"/>
              <w:bottom w:val="single" w:sz="4" w:space="0" w:color="auto"/>
              <w:right w:val="single" w:sz="4" w:space="0" w:color="auto"/>
            </w:tcBorders>
            <w:shd w:val="clear" w:color="auto" w:fill="auto"/>
            <w:noWrap/>
            <w:vAlign w:val="bottom"/>
            <w:hideMark/>
          </w:tcPr>
          <w:p w14:paraId="68EDF827" w14:textId="3D9EBCE1"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3.52 (-7.6</w:t>
            </w:r>
            <w:r w:rsidR="002C1313" w:rsidRPr="00813425">
              <w:rPr>
                <w:rFonts w:ascii="Calibri" w:eastAsia="Times New Roman" w:hAnsi="Calibri" w:cs="Calibri"/>
                <w:sz w:val="16"/>
                <w:szCs w:val="16"/>
                <w:lang w:eastAsia="en-ZW"/>
              </w:rPr>
              <w:t>,</w:t>
            </w:r>
            <w:r w:rsidRPr="00813425">
              <w:rPr>
                <w:rFonts w:ascii="Calibri" w:eastAsia="Times New Roman" w:hAnsi="Calibri" w:cs="Calibri"/>
                <w:sz w:val="16"/>
                <w:szCs w:val="16"/>
                <w:lang w:eastAsia="en-ZW"/>
              </w:rPr>
              <w:t xml:space="preserve"> 14.7)</w:t>
            </w:r>
          </w:p>
        </w:tc>
        <w:tc>
          <w:tcPr>
            <w:tcW w:w="851" w:type="dxa"/>
            <w:tcBorders>
              <w:top w:val="nil"/>
              <w:left w:val="nil"/>
              <w:bottom w:val="single" w:sz="4" w:space="0" w:color="auto"/>
              <w:right w:val="single" w:sz="4" w:space="0" w:color="auto"/>
            </w:tcBorders>
            <w:shd w:val="clear" w:color="auto" w:fill="auto"/>
            <w:noWrap/>
            <w:vAlign w:val="bottom"/>
            <w:hideMark/>
          </w:tcPr>
          <w:p w14:paraId="0C55D433" w14:textId="77777777"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0.531</w:t>
            </w:r>
          </w:p>
        </w:tc>
        <w:tc>
          <w:tcPr>
            <w:tcW w:w="1139" w:type="dxa"/>
            <w:tcBorders>
              <w:top w:val="nil"/>
              <w:left w:val="nil"/>
              <w:bottom w:val="single" w:sz="4" w:space="0" w:color="auto"/>
              <w:right w:val="single" w:sz="4" w:space="0" w:color="auto"/>
            </w:tcBorders>
            <w:shd w:val="clear" w:color="auto" w:fill="auto"/>
            <w:noWrap/>
            <w:vAlign w:val="bottom"/>
            <w:hideMark/>
          </w:tcPr>
          <w:p w14:paraId="53BA6ECF"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0.174</w:t>
            </w:r>
          </w:p>
        </w:tc>
      </w:tr>
      <w:tr w:rsidR="0059509C" w:rsidRPr="00813425" w14:paraId="153DD278" w14:textId="77777777" w:rsidTr="002C1313">
        <w:trPr>
          <w:trHeight w:val="182"/>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14:paraId="71DC5936" w14:textId="77777777" w:rsidR="0059509C" w:rsidRPr="00813425" w:rsidRDefault="0059509C" w:rsidP="003A4397">
            <w:pPr>
              <w:spacing w:after="0" w:line="240" w:lineRule="auto"/>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 38% Cortical Density, mg/cm³</w:t>
            </w:r>
          </w:p>
        </w:tc>
        <w:tc>
          <w:tcPr>
            <w:tcW w:w="1691" w:type="dxa"/>
            <w:tcBorders>
              <w:top w:val="nil"/>
              <w:left w:val="nil"/>
              <w:bottom w:val="single" w:sz="4" w:space="0" w:color="auto"/>
              <w:right w:val="single" w:sz="4" w:space="0" w:color="auto"/>
            </w:tcBorders>
            <w:shd w:val="clear" w:color="auto" w:fill="auto"/>
            <w:noWrap/>
            <w:vAlign w:val="bottom"/>
            <w:hideMark/>
          </w:tcPr>
          <w:p w14:paraId="2D577284" w14:textId="39469C5B"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3.49 (-2.1</w:t>
            </w:r>
            <w:r w:rsidR="002C1313" w:rsidRPr="00813425">
              <w:rPr>
                <w:rFonts w:ascii="Calibri" w:eastAsia="Times New Roman" w:hAnsi="Calibri" w:cs="Calibri"/>
                <w:sz w:val="16"/>
                <w:szCs w:val="16"/>
                <w:lang w:eastAsia="en-ZW"/>
              </w:rPr>
              <w:t>,</w:t>
            </w:r>
            <w:r w:rsidRPr="00813425">
              <w:rPr>
                <w:rFonts w:ascii="Calibri" w:eastAsia="Times New Roman" w:hAnsi="Calibri" w:cs="Calibri"/>
                <w:sz w:val="16"/>
                <w:szCs w:val="16"/>
                <w:lang w:eastAsia="en-ZW"/>
              </w:rPr>
              <w:t xml:space="preserve"> 9.1)</w:t>
            </w:r>
          </w:p>
        </w:tc>
        <w:tc>
          <w:tcPr>
            <w:tcW w:w="708" w:type="dxa"/>
            <w:tcBorders>
              <w:top w:val="nil"/>
              <w:left w:val="nil"/>
              <w:bottom w:val="single" w:sz="4" w:space="0" w:color="auto"/>
              <w:right w:val="single" w:sz="4" w:space="0" w:color="auto"/>
            </w:tcBorders>
            <w:shd w:val="clear" w:color="auto" w:fill="auto"/>
            <w:noWrap/>
            <w:vAlign w:val="bottom"/>
            <w:hideMark/>
          </w:tcPr>
          <w:p w14:paraId="0ED0FC36" w14:textId="77777777"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0.218</w:t>
            </w:r>
          </w:p>
        </w:tc>
        <w:tc>
          <w:tcPr>
            <w:tcW w:w="1413" w:type="dxa"/>
            <w:tcBorders>
              <w:top w:val="nil"/>
              <w:left w:val="nil"/>
              <w:bottom w:val="single" w:sz="4" w:space="0" w:color="auto"/>
              <w:right w:val="single" w:sz="4" w:space="0" w:color="auto"/>
            </w:tcBorders>
            <w:shd w:val="clear" w:color="auto" w:fill="auto"/>
            <w:noWrap/>
            <w:vAlign w:val="bottom"/>
            <w:hideMark/>
          </w:tcPr>
          <w:p w14:paraId="02685752" w14:textId="5D20F043"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-7.13 (-16.1</w:t>
            </w:r>
            <w:r w:rsidR="002C1313" w:rsidRPr="00813425">
              <w:rPr>
                <w:rFonts w:ascii="Calibri" w:eastAsia="Times New Roman" w:hAnsi="Calibri" w:cs="Calibri"/>
                <w:sz w:val="16"/>
                <w:szCs w:val="16"/>
                <w:lang w:eastAsia="en-ZW"/>
              </w:rPr>
              <w:t>,</w:t>
            </w:r>
            <w:r w:rsidRPr="00813425">
              <w:rPr>
                <w:rFonts w:ascii="Calibri" w:eastAsia="Times New Roman" w:hAnsi="Calibri" w:cs="Calibri"/>
                <w:sz w:val="16"/>
                <w:szCs w:val="16"/>
                <w:lang w:eastAsia="en-ZW"/>
              </w:rPr>
              <w:t xml:space="preserve"> 1.9)</w:t>
            </w:r>
          </w:p>
        </w:tc>
        <w:tc>
          <w:tcPr>
            <w:tcW w:w="850" w:type="dxa"/>
            <w:tcBorders>
              <w:top w:val="nil"/>
              <w:left w:val="nil"/>
              <w:bottom w:val="single" w:sz="4" w:space="0" w:color="auto"/>
              <w:right w:val="single" w:sz="4" w:space="0" w:color="auto"/>
            </w:tcBorders>
            <w:shd w:val="clear" w:color="auto" w:fill="auto"/>
            <w:noWrap/>
            <w:vAlign w:val="bottom"/>
            <w:hideMark/>
          </w:tcPr>
          <w:p w14:paraId="77EAA500" w14:textId="77777777"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0.118</w:t>
            </w:r>
          </w:p>
        </w:tc>
        <w:tc>
          <w:tcPr>
            <w:tcW w:w="950" w:type="dxa"/>
            <w:tcBorders>
              <w:top w:val="nil"/>
              <w:left w:val="nil"/>
              <w:bottom w:val="single" w:sz="4" w:space="0" w:color="auto"/>
              <w:right w:val="single" w:sz="4" w:space="0" w:color="auto"/>
            </w:tcBorders>
            <w:shd w:val="clear" w:color="auto" w:fill="auto"/>
            <w:noWrap/>
            <w:vAlign w:val="bottom"/>
            <w:hideMark/>
          </w:tcPr>
          <w:p w14:paraId="7FC8E463"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0.051</w:t>
            </w:r>
          </w:p>
        </w:tc>
        <w:tc>
          <w:tcPr>
            <w:tcW w:w="1607" w:type="dxa"/>
            <w:gridSpan w:val="2"/>
            <w:tcBorders>
              <w:top w:val="nil"/>
              <w:left w:val="nil"/>
              <w:bottom w:val="single" w:sz="4" w:space="0" w:color="auto"/>
              <w:right w:val="single" w:sz="4" w:space="0" w:color="auto"/>
            </w:tcBorders>
            <w:shd w:val="clear" w:color="auto" w:fill="auto"/>
            <w:noWrap/>
            <w:vAlign w:val="bottom"/>
            <w:hideMark/>
          </w:tcPr>
          <w:p w14:paraId="58EEB6C1" w14:textId="5CB5876D"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3.05 (-3.2</w:t>
            </w:r>
            <w:r w:rsidR="002C1313" w:rsidRPr="00813425">
              <w:rPr>
                <w:rFonts w:ascii="Calibri" w:eastAsia="Times New Roman" w:hAnsi="Calibri" w:cs="Calibri"/>
                <w:sz w:val="16"/>
                <w:szCs w:val="16"/>
                <w:lang w:eastAsia="en-ZW"/>
              </w:rPr>
              <w:t>,</w:t>
            </w:r>
            <w:r w:rsidRPr="00813425">
              <w:rPr>
                <w:rFonts w:ascii="Calibri" w:eastAsia="Times New Roman" w:hAnsi="Calibri" w:cs="Calibri"/>
                <w:sz w:val="16"/>
                <w:szCs w:val="16"/>
                <w:lang w:eastAsia="en-ZW"/>
              </w:rPr>
              <w:t xml:space="preserve"> 9.3)</w:t>
            </w:r>
          </w:p>
        </w:tc>
        <w:tc>
          <w:tcPr>
            <w:tcW w:w="704" w:type="dxa"/>
            <w:tcBorders>
              <w:top w:val="nil"/>
              <w:left w:val="nil"/>
              <w:bottom w:val="single" w:sz="4" w:space="0" w:color="auto"/>
              <w:right w:val="single" w:sz="4" w:space="0" w:color="auto"/>
            </w:tcBorders>
            <w:shd w:val="clear" w:color="auto" w:fill="auto"/>
            <w:noWrap/>
            <w:vAlign w:val="bottom"/>
            <w:hideMark/>
          </w:tcPr>
          <w:p w14:paraId="58E5EFA4" w14:textId="77777777"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0.337</w:t>
            </w:r>
          </w:p>
        </w:tc>
        <w:tc>
          <w:tcPr>
            <w:tcW w:w="1417" w:type="dxa"/>
            <w:tcBorders>
              <w:top w:val="nil"/>
              <w:left w:val="nil"/>
              <w:bottom w:val="single" w:sz="4" w:space="0" w:color="auto"/>
              <w:right w:val="single" w:sz="4" w:space="0" w:color="auto"/>
            </w:tcBorders>
            <w:shd w:val="clear" w:color="auto" w:fill="auto"/>
            <w:noWrap/>
            <w:vAlign w:val="bottom"/>
            <w:hideMark/>
          </w:tcPr>
          <w:p w14:paraId="08274524" w14:textId="55B50063"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-6.77 (-17.5</w:t>
            </w:r>
            <w:r w:rsidR="002C1313" w:rsidRPr="00813425">
              <w:rPr>
                <w:rFonts w:ascii="Calibri" w:eastAsia="Times New Roman" w:hAnsi="Calibri" w:cs="Calibri"/>
                <w:sz w:val="16"/>
                <w:szCs w:val="16"/>
                <w:lang w:eastAsia="en-ZW"/>
              </w:rPr>
              <w:t>,</w:t>
            </w:r>
            <w:r w:rsidRPr="00813425">
              <w:rPr>
                <w:rFonts w:ascii="Calibri" w:eastAsia="Times New Roman" w:hAnsi="Calibri" w:cs="Calibri"/>
                <w:sz w:val="16"/>
                <w:szCs w:val="16"/>
                <w:lang w:eastAsia="en-ZW"/>
              </w:rPr>
              <w:t xml:space="preserve"> 3.9)</w:t>
            </w:r>
          </w:p>
        </w:tc>
        <w:tc>
          <w:tcPr>
            <w:tcW w:w="851" w:type="dxa"/>
            <w:tcBorders>
              <w:top w:val="nil"/>
              <w:left w:val="nil"/>
              <w:bottom w:val="single" w:sz="4" w:space="0" w:color="auto"/>
              <w:right w:val="single" w:sz="4" w:space="0" w:color="auto"/>
            </w:tcBorders>
            <w:shd w:val="clear" w:color="auto" w:fill="auto"/>
            <w:noWrap/>
            <w:vAlign w:val="bottom"/>
            <w:hideMark/>
          </w:tcPr>
          <w:p w14:paraId="65943265" w14:textId="77777777"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0.212</w:t>
            </w:r>
          </w:p>
        </w:tc>
        <w:tc>
          <w:tcPr>
            <w:tcW w:w="1139" w:type="dxa"/>
            <w:tcBorders>
              <w:top w:val="nil"/>
              <w:left w:val="nil"/>
              <w:bottom w:val="single" w:sz="4" w:space="0" w:color="auto"/>
              <w:right w:val="single" w:sz="4" w:space="0" w:color="auto"/>
            </w:tcBorders>
            <w:shd w:val="clear" w:color="auto" w:fill="auto"/>
            <w:noWrap/>
            <w:vAlign w:val="bottom"/>
            <w:hideMark/>
          </w:tcPr>
          <w:p w14:paraId="015E2F00"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0.042</w:t>
            </w:r>
          </w:p>
        </w:tc>
      </w:tr>
      <w:tr w:rsidR="0059509C" w:rsidRPr="00813425" w14:paraId="1CE44413" w14:textId="77777777" w:rsidTr="002C1313">
        <w:trPr>
          <w:trHeight w:val="182"/>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14:paraId="7FBFF34C" w14:textId="348F2372" w:rsidR="0059509C" w:rsidRPr="00813425" w:rsidRDefault="0059509C" w:rsidP="003A4397">
            <w:pPr>
              <w:spacing w:after="0" w:line="240" w:lineRule="auto"/>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 xml:space="preserve">∆ 4% Total </w:t>
            </w:r>
            <w:r w:rsidR="002C1313" w:rsidRPr="00813425">
              <w:rPr>
                <w:rFonts w:ascii="Calibri" w:eastAsia="Times New Roman" w:hAnsi="Calibri" w:cs="Calibri"/>
                <w:sz w:val="16"/>
                <w:szCs w:val="16"/>
                <w:lang w:eastAsia="en-ZW"/>
              </w:rPr>
              <w:t>CSA</w:t>
            </w:r>
            <w:r w:rsidRPr="00813425">
              <w:rPr>
                <w:rFonts w:ascii="Calibri" w:eastAsia="Times New Roman" w:hAnsi="Calibri" w:cs="Calibri"/>
                <w:sz w:val="16"/>
                <w:szCs w:val="16"/>
                <w:lang w:eastAsia="en-ZW"/>
              </w:rPr>
              <w:t>,</w:t>
            </w:r>
            <w:r w:rsidR="002C1313" w:rsidRPr="00813425">
              <w:rPr>
                <w:rFonts w:ascii="Calibri" w:eastAsia="Times New Roman" w:hAnsi="Calibri" w:cs="Calibri"/>
                <w:sz w:val="16"/>
                <w:szCs w:val="16"/>
                <w:lang w:eastAsia="en-ZW"/>
              </w:rPr>
              <w:t xml:space="preserve"> </w:t>
            </w:r>
            <w:r w:rsidRPr="00813425">
              <w:rPr>
                <w:rFonts w:ascii="Calibri" w:eastAsia="Times New Roman" w:hAnsi="Calibri" w:cs="Calibri"/>
                <w:sz w:val="16"/>
                <w:szCs w:val="16"/>
                <w:lang w:eastAsia="en-ZW"/>
              </w:rPr>
              <w:t>mm²</w:t>
            </w:r>
          </w:p>
        </w:tc>
        <w:tc>
          <w:tcPr>
            <w:tcW w:w="1691" w:type="dxa"/>
            <w:tcBorders>
              <w:top w:val="nil"/>
              <w:left w:val="nil"/>
              <w:bottom w:val="single" w:sz="4" w:space="0" w:color="auto"/>
              <w:right w:val="single" w:sz="4" w:space="0" w:color="auto"/>
            </w:tcBorders>
            <w:shd w:val="clear" w:color="auto" w:fill="auto"/>
            <w:noWrap/>
            <w:vAlign w:val="bottom"/>
            <w:hideMark/>
          </w:tcPr>
          <w:p w14:paraId="01E5AEAD" w14:textId="7EFD64BA"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-4.17 (-23.4</w:t>
            </w:r>
            <w:r w:rsidR="002C1313" w:rsidRPr="00813425">
              <w:rPr>
                <w:rFonts w:ascii="Calibri" w:eastAsia="Times New Roman" w:hAnsi="Calibri" w:cs="Calibri"/>
                <w:sz w:val="16"/>
                <w:szCs w:val="16"/>
                <w:lang w:eastAsia="en-ZW"/>
              </w:rPr>
              <w:t>,</w:t>
            </w:r>
            <w:r w:rsidRPr="00813425">
              <w:rPr>
                <w:rFonts w:ascii="Calibri" w:eastAsia="Times New Roman" w:hAnsi="Calibri" w:cs="Calibri"/>
                <w:sz w:val="16"/>
                <w:szCs w:val="16"/>
                <w:lang w:eastAsia="en-ZW"/>
              </w:rPr>
              <w:t xml:space="preserve"> 15.1)</w:t>
            </w:r>
          </w:p>
        </w:tc>
        <w:tc>
          <w:tcPr>
            <w:tcW w:w="708" w:type="dxa"/>
            <w:tcBorders>
              <w:top w:val="nil"/>
              <w:left w:val="nil"/>
              <w:bottom w:val="single" w:sz="4" w:space="0" w:color="auto"/>
              <w:right w:val="single" w:sz="4" w:space="0" w:color="auto"/>
            </w:tcBorders>
            <w:shd w:val="clear" w:color="auto" w:fill="auto"/>
            <w:noWrap/>
            <w:vAlign w:val="bottom"/>
            <w:hideMark/>
          </w:tcPr>
          <w:p w14:paraId="636AC8AF" w14:textId="77777777"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0.669</w:t>
            </w:r>
          </w:p>
        </w:tc>
        <w:tc>
          <w:tcPr>
            <w:tcW w:w="1413" w:type="dxa"/>
            <w:tcBorders>
              <w:top w:val="nil"/>
              <w:left w:val="nil"/>
              <w:bottom w:val="single" w:sz="4" w:space="0" w:color="auto"/>
              <w:right w:val="single" w:sz="4" w:space="0" w:color="auto"/>
            </w:tcBorders>
            <w:shd w:val="clear" w:color="auto" w:fill="auto"/>
            <w:noWrap/>
            <w:vAlign w:val="bottom"/>
            <w:hideMark/>
          </w:tcPr>
          <w:p w14:paraId="12A1D75E" w14:textId="6A922AF4"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40.81 (12.0</w:t>
            </w:r>
            <w:r w:rsidR="002C1313" w:rsidRPr="00813425">
              <w:rPr>
                <w:rFonts w:ascii="Calibri" w:eastAsia="Times New Roman" w:hAnsi="Calibri" w:cs="Calibri"/>
                <w:sz w:val="16"/>
                <w:szCs w:val="16"/>
                <w:lang w:eastAsia="en-ZW"/>
              </w:rPr>
              <w:t>,</w:t>
            </w:r>
            <w:r w:rsidRPr="00813425">
              <w:rPr>
                <w:rFonts w:ascii="Calibri" w:eastAsia="Times New Roman" w:hAnsi="Calibri" w:cs="Calibri"/>
                <w:sz w:val="16"/>
                <w:szCs w:val="16"/>
                <w:lang w:eastAsia="en-ZW"/>
              </w:rPr>
              <w:t xml:space="preserve"> 69.6)</w:t>
            </w:r>
          </w:p>
        </w:tc>
        <w:tc>
          <w:tcPr>
            <w:tcW w:w="850" w:type="dxa"/>
            <w:tcBorders>
              <w:top w:val="nil"/>
              <w:left w:val="nil"/>
              <w:bottom w:val="single" w:sz="4" w:space="0" w:color="auto"/>
              <w:right w:val="single" w:sz="4" w:space="0" w:color="auto"/>
            </w:tcBorders>
            <w:shd w:val="clear" w:color="auto" w:fill="auto"/>
            <w:noWrap/>
            <w:vAlign w:val="bottom"/>
            <w:hideMark/>
          </w:tcPr>
          <w:p w14:paraId="65CFE9F1" w14:textId="77777777"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0.006</w:t>
            </w:r>
          </w:p>
        </w:tc>
        <w:tc>
          <w:tcPr>
            <w:tcW w:w="950" w:type="dxa"/>
            <w:tcBorders>
              <w:top w:val="nil"/>
              <w:left w:val="nil"/>
              <w:bottom w:val="single" w:sz="4" w:space="0" w:color="auto"/>
              <w:right w:val="single" w:sz="4" w:space="0" w:color="auto"/>
            </w:tcBorders>
            <w:shd w:val="clear" w:color="auto" w:fill="auto"/>
            <w:noWrap/>
            <w:vAlign w:val="bottom"/>
            <w:hideMark/>
          </w:tcPr>
          <w:p w14:paraId="744EB69D"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0.011</w:t>
            </w:r>
          </w:p>
        </w:tc>
        <w:tc>
          <w:tcPr>
            <w:tcW w:w="1607" w:type="dxa"/>
            <w:gridSpan w:val="2"/>
            <w:tcBorders>
              <w:top w:val="nil"/>
              <w:left w:val="nil"/>
              <w:bottom w:val="single" w:sz="4" w:space="0" w:color="auto"/>
              <w:right w:val="single" w:sz="4" w:space="0" w:color="auto"/>
            </w:tcBorders>
            <w:shd w:val="clear" w:color="auto" w:fill="auto"/>
            <w:noWrap/>
            <w:vAlign w:val="bottom"/>
            <w:hideMark/>
          </w:tcPr>
          <w:p w14:paraId="0AC08CBD" w14:textId="43229C57"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-2.04 (-23.8</w:t>
            </w:r>
            <w:r w:rsidR="002C1313" w:rsidRPr="00813425">
              <w:rPr>
                <w:rFonts w:ascii="Calibri" w:eastAsia="Times New Roman" w:hAnsi="Calibri" w:cs="Calibri"/>
                <w:sz w:val="16"/>
                <w:szCs w:val="16"/>
                <w:lang w:eastAsia="en-ZW"/>
              </w:rPr>
              <w:t>,</w:t>
            </w:r>
            <w:r w:rsidRPr="00813425">
              <w:rPr>
                <w:rFonts w:ascii="Calibri" w:eastAsia="Times New Roman" w:hAnsi="Calibri" w:cs="Calibri"/>
                <w:sz w:val="16"/>
                <w:szCs w:val="16"/>
                <w:lang w:eastAsia="en-ZW"/>
              </w:rPr>
              <w:t xml:space="preserve"> 19.7)</w:t>
            </w:r>
          </w:p>
        </w:tc>
        <w:tc>
          <w:tcPr>
            <w:tcW w:w="704" w:type="dxa"/>
            <w:tcBorders>
              <w:top w:val="nil"/>
              <w:left w:val="nil"/>
              <w:bottom w:val="single" w:sz="4" w:space="0" w:color="auto"/>
              <w:right w:val="single" w:sz="4" w:space="0" w:color="auto"/>
            </w:tcBorders>
            <w:shd w:val="clear" w:color="auto" w:fill="auto"/>
            <w:noWrap/>
            <w:vAlign w:val="bottom"/>
            <w:hideMark/>
          </w:tcPr>
          <w:p w14:paraId="17E3F120" w14:textId="77777777"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0.853</w:t>
            </w:r>
          </w:p>
        </w:tc>
        <w:tc>
          <w:tcPr>
            <w:tcW w:w="1417" w:type="dxa"/>
            <w:tcBorders>
              <w:top w:val="nil"/>
              <w:left w:val="nil"/>
              <w:bottom w:val="single" w:sz="4" w:space="0" w:color="auto"/>
              <w:right w:val="single" w:sz="4" w:space="0" w:color="auto"/>
            </w:tcBorders>
            <w:shd w:val="clear" w:color="auto" w:fill="auto"/>
            <w:noWrap/>
            <w:vAlign w:val="bottom"/>
            <w:hideMark/>
          </w:tcPr>
          <w:p w14:paraId="1EA61086" w14:textId="717EC65F"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31.27 (-3.1</w:t>
            </w:r>
            <w:r w:rsidR="002C1313" w:rsidRPr="00813425">
              <w:rPr>
                <w:rFonts w:ascii="Calibri" w:eastAsia="Times New Roman" w:hAnsi="Calibri" w:cs="Calibri"/>
                <w:sz w:val="16"/>
                <w:szCs w:val="16"/>
                <w:lang w:eastAsia="en-ZW"/>
              </w:rPr>
              <w:t>,</w:t>
            </w:r>
            <w:r w:rsidRPr="00813425">
              <w:rPr>
                <w:rFonts w:ascii="Calibri" w:eastAsia="Times New Roman" w:hAnsi="Calibri" w:cs="Calibri"/>
                <w:sz w:val="16"/>
                <w:szCs w:val="16"/>
                <w:lang w:eastAsia="en-ZW"/>
              </w:rPr>
              <w:t xml:space="preserve"> 65.6)</w:t>
            </w:r>
          </w:p>
        </w:tc>
        <w:tc>
          <w:tcPr>
            <w:tcW w:w="851" w:type="dxa"/>
            <w:tcBorders>
              <w:top w:val="nil"/>
              <w:left w:val="nil"/>
              <w:bottom w:val="single" w:sz="4" w:space="0" w:color="auto"/>
              <w:right w:val="single" w:sz="4" w:space="0" w:color="auto"/>
            </w:tcBorders>
            <w:shd w:val="clear" w:color="auto" w:fill="auto"/>
            <w:noWrap/>
            <w:vAlign w:val="bottom"/>
            <w:hideMark/>
          </w:tcPr>
          <w:p w14:paraId="63D4AB7C" w14:textId="77777777"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0.074</w:t>
            </w:r>
          </w:p>
        </w:tc>
        <w:tc>
          <w:tcPr>
            <w:tcW w:w="1139" w:type="dxa"/>
            <w:tcBorders>
              <w:top w:val="nil"/>
              <w:left w:val="nil"/>
              <w:bottom w:val="single" w:sz="4" w:space="0" w:color="auto"/>
              <w:right w:val="single" w:sz="4" w:space="0" w:color="auto"/>
            </w:tcBorders>
            <w:shd w:val="clear" w:color="auto" w:fill="auto"/>
            <w:noWrap/>
            <w:vAlign w:val="bottom"/>
            <w:hideMark/>
          </w:tcPr>
          <w:p w14:paraId="70C3A6D6"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0.013</w:t>
            </w:r>
          </w:p>
        </w:tc>
      </w:tr>
      <w:tr w:rsidR="0059509C" w:rsidRPr="00813425" w14:paraId="7D4270DA" w14:textId="77777777" w:rsidTr="002C1313">
        <w:trPr>
          <w:trHeight w:val="182"/>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14:paraId="7C1448C4" w14:textId="1979AF72" w:rsidR="0059509C" w:rsidRPr="00813425" w:rsidRDefault="0059509C" w:rsidP="003A4397">
            <w:pPr>
              <w:spacing w:after="0" w:line="240" w:lineRule="auto"/>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 xml:space="preserve">∆ 38% Total </w:t>
            </w:r>
            <w:r w:rsidR="002C1313" w:rsidRPr="00813425">
              <w:rPr>
                <w:rFonts w:ascii="Calibri" w:eastAsia="Times New Roman" w:hAnsi="Calibri" w:cs="Calibri"/>
                <w:sz w:val="16"/>
                <w:szCs w:val="16"/>
                <w:lang w:eastAsia="en-ZW"/>
              </w:rPr>
              <w:t>CSA</w:t>
            </w:r>
            <w:r w:rsidRPr="00813425">
              <w:rPr>
                <w:rFonts w:ascii="Calibri" w:eastAsia="Times New Roman" w:hAnsi="Calibri" w:cs="Calibri"/>
                <w:sz w:val="16"/>
                <w:szCs w:val="16"/>
                <w:lang w:eastAsia="en-ZW"/>
              </w:rPr>
              <w:t>,</w:t>
            </w:r>
            <w:r w:rsidR="002C1313" w:rsidRPr="00813425">
              <w:rPr>
                <w:rFonts w:ascii="Calibri" w:eastAsia="Times New Roman" w:hAnsi="Calibri" w:cs="Calibri"/>
                <w:sz w:val="16"/>
                <w:szCs w:val="16"/>
                <w:lang w:eastAsia="en-ZW"/>
              </w:rPr>
              <w:t xml:space="preserve"> </w:t>
            </w:r>
            <w:r w:rsidRPr="00813425">
              <w:rPr>
                <w:rFonts w:ascii="Calibri" w:eastAsia="Times New Roman" w:hAnsi="Calibri" w:cs="Calibri"/>
                <w:sz w:val="16"/>
                <w:szCs w:val="16"/>
                <w:lang w:eastAsia="en-ZW"/>
              </w:rPr>
              <w:t>mm²</w:t>
            </w:r>
          </w:p>
        </w:tc>
        <w:tc>
          <w:tcPr>
            <w:tcW w:w="1691" w:type="dxa"/>
            <w:tcBorders>
              <w:top w:val="nil"/>
              <w:left w:val="nil"/>
              <w:bottom w:val="single" w:sz="4" w:space="0" w:color="auto"/>
              <w:right w:val="single" w:sz="4" w:space="0" w:color="auto"/>
            </w:tcBorders>
            <w:shd w:val="clear" w:color="auto" w:fill="auto"/>
            <w:noWrap/>
            <w:vAlign w:val="bottom"/>
            <w:hideMark/>
          </w:tcPr>
          <w:p w14:paraId="31388C6D" w14:textId="690955B6"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-0.78 (-6.7</w:t>
            </w:r>
            <w:r w:rsidR="002C1313" w:rsidRPr="00813425">
              <w:rPr>
                <w:rFonts w:ascii="Calibri" w:eastAsia="Times New Roman" w:hAnsi="Calibri" w:cs="Calibri"/>
                <w:sz w:val="16"/>
                <w:szCs w:val="16"/>
                <w:lang w:eastAsia="en-ZW"/>
              </w:rPr>
              <w:t>,</w:t>
            </w:r>
            <w:r w:rsidRPr="00813425">
              <w:rPr>
                <w:rFonts w:ascii="Calibri" w:eastAsia="Times New Roman" w:hAnsi="Calibri" w:cs="Calibri"/>
                <w:sz w:val="16"/>
                <w:szCs w:val="16"/>
                <w:lang w:eastAsia="en-ZW"/>
              </w:rPr>
              <w:t xml:space="preserve"> 5.1)</w:t>
            </w:r>
          </w:p>
        </w:tc>
        <w:tc>
          <w:tcPr>
            <w:tcW w:w="708" w:type="dxa"/>
            <w:tcBorders>
              <w:top w:val="nil"/>
              <w:left w:val="nil"/>
              <w:bottom w:val="single" w:sz="4" w:space="0" w:color="auto"/>
              <w:right w:val="single" w:sz="4" w:space="0" w:color="auto"/>
            </w:tcBorders>
            <w:shd w:val="clear" w:color="auto" w:fill="auto"/>
            <w:noWrap/>
            <w:vAlign w:val="bottom"/>
            <w:hideMark/>
          </w:tcPr>
          <w:p w14:paraId="617009F0" w14:textId="77777777"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0.792</w:t>
            </w:r>
          </w:p>
        </w:tc>
        <w:tc>
          <w:tcPr>
            <w:tcW w:w="1413" w:type="dxa"/>
            <w:tcBorders>
              <w:top w:val="nil"/>
              <w:left w:val="nil"/>
              <w:bottom w:val="single" w:sz="4" w:space="0" w:color="auto"/>
              <w:right w:val="single" w:sz="4" w:space="0" w:color="auto"/>
            </w:tcBorders>
            <w:shd w:val="clear" w:color="auto" w:fill="auto"/>
            <w:noWrap/>
            <w:vAlign w:val="bottom"/>
            <w:hideMark/>
          </w:tcPr>
          <w:p w14:paraId="223A1BF3" w14:textId="38927937"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0.89 (-6.9</w:t>
            </w:r>
            <w:r w:rsidR="002C1313" w:rsidRPr="00813425">
              <w:rPr>
                <w:rFonts w:ascii="Calibri" w:eastAsia="Times New Roman" w:hAnsi="Calibri" w:cs="Calibri"/>
                <w:sz w:val="16"/>
                <w:szCs w:val="16"/>
                <w:lang w:eastAsia="en-ZW"/>
              </w:rPr>
              <w:t>,</w:t>
            </w:r>
            <w:r w:rsidRPr="00813425">
              <w:rPr>
                <w:rFonts w:ascii="Calibri" w:eastAsia="Times New Roman" w:hAnsi="Calibri" w:cs="Calibri"/>
                <w:sz w:val="16"/>
                <w:szCs w:val="16"/>
                <w:lang w:eastAsia="en-ZW"/>
              </w:rPr>
              <w:t xml:space="preserve"> 8.7)</w:t>
            </w:r>
          </w:p>
        </w:tc>
        <w:tc>
          <w:tcPr>
            <w:tcW w:w="850" w:type="dxa"/>
            <w:tcBorders>
              <w:top w:val="nil"/>
              <w:left w:val="nil"/>
              <w:bottom w:val="single" w:sz="4" w:space="0" w:color="auto"/>
              <w:right w:val="single" w:sz="4" w:space="0" w:color="auto"/>
            </w:tcBorders>
            <w:shd w:val="clear" w:color="auto" w:fill="auto"/>
            <w:noWrap/>
            <w:vAlign w:val="bottom"/>
            <w:hideMark/>
          </w:tcPr>
          <w:p w14:paraId="2A4EF200" w14:textId="77777777"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0.820</w:t>
            </w:r>
          </w:p>
        </w:tc>
        <w:tc>
          <w:tcPr>
            <w:tcW w:w="950" w:type="dxa"/>
            <w:tcBorders>
              <w:top w:val="nil"/>
              <w:left w:val="nil"/>
              <w:bottom w:val="single" w:sz="4" w:space="0" w:color="auto"/>
              <w:right w:val="single" w:sz="4" w:space="0" w:color="auto"/>
            </w:tcBorders>
            <w:shd w:val="clear" w:color="auto" w:fill="auto"/>
            <w:noWrap/>
            <w:vAlign w:val="bottom"/>
            <w:hideMark/>
          </w:tcPr>
          <w:p w14:paraId="31A6B0BC"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0.728</w:t>
            </w:r>
          </w:p>
        </w:tc>
        <w:tc>
          <w:tcPr>
            <w:tcW w:w="1607" w:type="dxa"/>
            <w:gridSpan w:val="2"/>
            <w:tcBorders>
              <w:top w:val="nil"/>
              <w:left w:val="nil"/>
              <w:bottom w:val="single" w:sz="4" w:space="0" w:color="auto"/>
              <w:right w:val="single" w:sz="4" w:space="0" w:color="auto"/>
            </w:tcBorders>
            <w:shd w:val="clear" w:color="auto" w:fill="auto"/>
            <w:noWrap/>
            <w:vAlign w:val="bottom"/>
            <w:hideMark/>
          </w:tcPr>
          <w:p w14:paraId="62D6E1C1" w14:textId="6614A2CC"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-0.72 (-7.4</w:t>
            </w:r>
            <w:r w:rsidR="002C1313" w:rsidRPr="00813425">
              <w:rPr>
                <w:rFonts w:ascii="Calibri" w:eastAsia="Times New Roman" w:hAnsi="Calibri" w:cs="Calibri"/>
                <w:sz w:val="16"/>
                <w:szCs w:val="16"/>
                <w:lang w:eastAsia="en-ZW"/>
              </w:rPr>
              <w:t>,</w:t>
            </w:r>
            <w:r w:rsidRPr="00813425">
              <w:rPr>
                <w:rFonts w:ascii="Calibri" w:eastAsia="Times New Roman" w:hAnsi="Calibri" w:cs="Calibri"/>
                <w:sz w:val="16"/>
                <w:szCs w:val="16"/>
                <w:lang w:eastAsia="en-ZW"/>
              </w:rPr>
              <w:t xml:space="preserve"> 5.9)</w:t>
            </w:r>
          </w:p>
        </w:tc>
        <w:tc>
          <w:tcPr>
            <w:tcW w:w="704" w:type="dxa"/>
            <w:tcBorders>
              <w:top w:val="nil"/>
              <w:left w:val="nil"/>
              <w:bottom w:val="single" w:sz="4" w:space="0" w:color="auto"/>
              <w:right w:val="single" w:sz="4" w:space="0" w:color="auto"/>
            </w:tcBorders>
            <w:shd w:val="clear" w:color="auto" w:fill="auto"/>
            <w:noWrap/>
            <w:vAlign w:val="bottom"/>
            <w:hideMark/>
          </w:tcPr>
          <w:p w14:paraId="689F9190" w14:textId="77777777"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0.831</w:t>
            </w:r>
          </w:p>
        </w:tc>
        <w:tc>
          <w:tcPr>
            <w:tcW w:w="1417" w:type="dxa"/>
            <w:tcBorders>
              <w:top w:val="nil"/>
              <w:left w:val="nil"/>
              <w:bottom w:val="single" w:sz="4" w:space="0" w:color="auto"/>
              <w:right w:val="single" w:sz="4" w:space="0" w:color="auto"/>
            </w:tcBorders>
            <w:shd w:val="clear" w:color="auto" w:fill="auto"/>
            <w:noWrap/>
            <w:vAlign w:val="bottom"/>
            <w:hideMark/>
          </w:tcPr>
          <w:p w14:paraId="4CA02318" w14:textId="3112AE7C"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1.47 (-7.9</w:t>
            </w:r>
            <w:r w:rsidR="002C1313" w:rsidRPr="00813425">
              <w:rPr>
                <w:rFonts w:ascii="Calibri" w:eastAsia="Times New Roman" w:hAnsi="Calibri" w:cs="Calibri"/>
                <w:sz w:val="16"/>
                <w:szCs w:val="16"/>
                <w:lang w:eastAsia="en-ZW"/>
              </w:rPr>
              <w:t>,</w:t>
            </w:r>
            <w:r w:rsidRPr="00813425">
              <w:rPr>
                <w:rFonts w:ascii="Calibri" w:eastAsia="Times New Roman" w:hAnsi="Calibri" w:cs="Calibri"/>
                <w:sz w:val="16"/>
                <w:szCs w:val="16"/>
                <w:lang w:eastAsia="en-ZW"/>
              </w:rPr>
              <w:t xml:space="preserve"> 10.8)</w:t>
            </w:r>
          </w:p>
        </w:tc>
        <w:tc>
          <w:tcPr>
            <w:tcW w:w="851" w:type="dxa"/>
            <w:tcBorders>
              <w:top w:val="nil"/>
              <w:left w:val="nil"/>
              <w:bottom w:val="single" w:sz="4" w:space="0" w:color="auto"/>
              <w:right w:val="single" w:sz="4" w:space="0" w:color="auto"/>
            </w:tcBorders>
            <w:shd w:val="clear" w:color="auto" w:fill="auto"/>
            <w:noWrap/>
            <w:vAlign w:val="bottom"/>
            <w:hideMark/>
          </w:tcPr>
          <w:p w14:paraId="366F2B22" w14:textId="77777777"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0.754</w:t>
            </w:r>
          </w:p>
        </w:tc>
        <w:tc>
          <w:tcPr>
            <w:tcW w:w="1139" w:type="dxa"/>
            <w:tcBorders>
              <w:top w:val="nil"/>
              <w:left w:val="nil"/>
              <w:bottom w:val="single" w:sz="4" w:space="0" w:color="auto"/>
              <w:right w:val="single" w:sz="4" w:space="0" w:color="auto"/>
            </w:tcBorders>
            <w:shd w:val="clear" w:color="auto" w:fill="auto"/>
            <w:noWrap/>
            <w:vAlign w:val="bottom"/>
            <w:hideMark/>
          </w:tcPr>
          <w:p w14:paraId="61D681E7"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0.728</w:t>
            </w:r>
          </w:p>
        </w:tc>
      </w:tr>
      <w:tr w:rsidR="0059509C" w:rsidRPr="00813425" w14:paraId="2404BE74" w14:textId="77777777" w:rsidTr="002C1313">
        <w:trPr>
          <w:trHeight w:val="182"/>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14:paraId="78F057A6" w14:textId="77777777" w:rsidR="0059509C" w:rsidRPr="00813425" w:rsidRDefault="0059509C" w:rsidP="003A4397">
            <w:pPr>
              <w:spacing w:after="0" w:line="240" w:lineRule="auto"/>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 38% Cortical Thickness, mm</w:t>
            </w:r>
          </w:p>
        </w:tc>
        <w:tc>
          <w:tcPr>
            <w:tcW w:w="1691" w:type="dxa"/>
            <w:tcBorders>
              <w:top w:val="nil"/>
              <w:left w:val="nil"/>
              <w:bottom w:val="single" w:sz="4" w:space="0" w:color="auto"/>
              <w:right w:val="single" w:sz="4" w:space="0" w:color="auto"/>
            </w:tcBorders>
            <w:shd w:val="clear" w:color="auto" w:fill="auto"/>
            <w:noWrap/>
            <w:vAlign w:val="bottom"/>
            <w:hideMark/>
          </w:tcPr>
          <w:p w14:paraId="375F7045" w14:textId="44A6C348"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-0.05 (-0.1</w:t>
            </w:r>
            <w:r w:rsidR="002C1313" w:rsidRPr="00813425">
              <w:rPr>
                <w:rFonts w:ascii="Calibri" w:eastAsia="Times New Roman" w:hAnsi="Calibri" w:cs="Calibri"/>
                <w:sz w:val="16"/>
                <w:szCs w:val="16"/>
                <w:lang w:eastAsia="en-ZW"/>
              </w:rPr>
              <w:t>,</w:t>
            </w:r>
            <w:r w:rsidRPr="00813425">
              <w:rPr>
                <w:rFonts w:ascii="Calibri" w:eastAsia="Times New Roman" w:hAnsi="Calibri" w:cs="Calibri"/>
                <w:sz w:val="16"/>
                <w:szCs w:val="16"/>
                <w:lang w:eastAsia="en-ZW"/>
              </w:rPr>
              <w:t xml:space="preserve"> 0)</w:t>
            </w:r>
          </w:p>
        </w:tc>
        <w:tc>
          <w:tcPr>
            <w:tcW w:w="708" w:type="dxa"/>
            <w:tcBorders>
              <w:top w:val="nil"/>
              <w:left w:val="nil"/>
              <w:bottom w:val="single" w:sz="4" w:space="0" w:color="auto"/>
              <w:right w:val="single" w:sz="4" w:space="0" w:color="auto"/>
            </w:tcBorders>
            <w:shd w:val="clear" w:color="auto" w:fill="auto"/>
            <w:noWrap/>
            <w:vAlign w:val="bottom"/>
            <w:hideMark/>
          </w:tcPr>
          <w:p w14:paraId="6362CF5F" w14:textId="77777777"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0.185</w:t>
            </w:r>
          </w:p>
        </w:tc>
        <w:tc>
          <w:tcPr>
            <w:tcW w:w="1413" w:type="dxa"/>
            <w:tcBorders>
              <w:top w:val="nil"/>
              <w:left w:val="nil"/>
              <w:bottom w:val="single" w:sz="4" w:space="0" w:color="auto"/>
              <w:right w:val="single" w:sz="4" w:space="0" w:color="auto"/>
            </w:tcBorders>
            <w:shd w:val="clear" w:color="auto" w:fill="auto"/>
            <w:noWrap/>
            <w:vAlign w:val="bottom"/>
            <w:hideMark/>
          </w:tcPr>
          <w:p w14:paraId="60BA5437" w14:textId="789366C7"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-0.03 (-0.1</w:t>
            </w:r>
            <w:r w:rsidR="002C1313" w:rsidRPr="00813425">
              <w:rPr>
                <w:rFonts w:ascii="Calibri" w:eastAsia="Times New Roman" w:hAnsi="Calibri" w:cs="Calibri"/>
                <w:sz w:val="16"/>
                <w:szCs w:val="16"/>
                <w:lang w:eastAsia="en-ZW"/>
              </w:rPr>
              <w:t>,</w:t>
            </w:r>
            <w:r w:rsidRPr="00813425">
              <w:rPr>
                <w:rFonts w:ascii="Calibri" w:eastAsia="Times New Roman" w:hAnsi="Calibri" w:cs="Calibri"/>
                <w:sz w:val="16"/>
                <w:szCs w:val="16"/>
                <w:lang w:eastAsia="en-ZW"/>
              </w:rPr>
              <w:t xml:space="preserve"> 0.0)</w:t>
            </w:r>
          </w:p>
        </w:tc>
        <w:tc>
          <w:tcPr>
            <w:tcW w:w="850" w:type="dxa"/>
            <w:tcBorders>
              <w:top w:val="nil"/>
              <w:left w:val="nil"/>
              <w:bottom w:val="single" w:sz="4" w:space="0" w:color="auto"/>
              <w:right w:val="single" w:sz="4" w:space="0" w:color="auto"/>
            </w:tcBorders>
            <w:shd w:val="clear" w:color="auto" w:fill="auto"/>
            <w:noWrap/>
            <w:vAlign w:val="bottom"/>
            <w:hideMark/>
          </w:tcPr>
          <w:p w14:paraId="673DA09D" w14:textId="77777777"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0.372</w:t>
            </w:r>
          </w:p>
        </w:tc>
        <w:tc>
          <w:tcPr>
            <w:tcW w:w="950" w:type="dxa"/>
            <w:tcBorders>
              <w:top w:val="nil"/>
              <w:left w:val="nil"/>
              <w:bottom w:val="single" w:sz="4" w:space="0" w:color="auto"/>
              <w:right w:val="single" w:sz="4" w:space="0" w:color="auto"/>
            </w:tcBorders>
            <w:shd w:val="clear" w:color="auto" w:fill="auto"/>
            <w:noWrap/>
            <w:vAlign w:val="bottom"/>
            <w:hideMark/>
          </w:tcPr>
          <w:p w14:paraId="424790AF"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0.653</w:t>
            </w:r>
          </w:p>
        </w:tc>
        <w:tc>
          <w:tcPr>
            <w:tcW w:w="1607" w:type="dxa"/>
            <w:gridSpan w:val="2"/>
            <w:tcBorders>
              <w:top w:val="nil"/>
              <w:left w:val="nil"/>
              <w:bottom w:val="single" w:sz="4" w:space="0" w:color="auto"/>
              <w:right w:val="single" w:sz="4" w:space="0" w:color="auto"/>
            </w:tcBorders>
            <w:shd w:val="clear" w:color="auto" w:fill="auto"/>
            <w:noWrap/>
            <w:vAlign w:val="bottom"/>
            <w:hideMark/>
          </w:tcPr>
          <w:p w14:paraId="4E8667C2" w14:textId="6B8D2932"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-0.05 (-0.1</w:t>
            </w:r>
            <w:r w:rsidR="002C1313" w:rsidRPr="00813425">
              <w:rPr>
                <w:rFonts w:ascii="Calibri" w:eastAsia="Times New Roman" w:hAnsi="Calibri" w:cs="Calibri"/>
                <w:sz w:val="16"/>
                <w:szCs w:val="16"/>
                <w:lang w:eastAsia="en-ZW"/>
              </w:rPr>
              <w:t>,</w:t>
            </w:r>
            <w:r w:rsidRPr="00813425">
              <w:rPr>
                <w:rFonts w:ascii="Calibri" w:eastAsia="Times New Roman" w:hAnsi="Calibri" w:cs="Calibri"/>
                <w:sz w:val="16"/>
                <w:szCs w:val="16"/>
                <w:lang w:eastAsia="en-ZW"/>
              </w:rPr>
              <w:t xml:space="preserve"> 0)</w:t>
            </w:r>
          </w:p>
        </w:tc>
        <w:tc>
          <w:tcPr>
            <w:tcW w:w="704" w:type="dxa"/>
            <w:tcBorders>
              <w:top w:val="nil"/>
              <w:left w:val="nil"/>
              <w:bottom w:val="single" w:sz="4" w:space="0" w:color="auto"/>
              <w:right w:val="single" w:sz="4" w:space="0" w:color="auto"/>
            </w:tcBorders>
            <w:shd w:val="clear" w:color="auto" w:fill="auto"/>
            <w:noWrap/>
            <w:vAlign w:val="bottom"/>
            <w:hideMark/>
          </w:tcPr>
          <w:p w14:paraId="154763AF" w14:textId="77777777"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0.275</w:t>
            </w:r>
          </w:p>
        </w:tc>
        <w:tc>
          <w:tcPr>
            <w:tcW w:w="1417" w:type="dxa"/>
            <w:tcBorders>
              <w:top w:val="nil"/>
              <w:left w:val="nil"/>
              <w:bottom w:val="single" w:sz="4" w:space="0" w:color="auto"/>
              <w:right w:val="single" w:sz="4" w:space="0" w:color="auto"/>
            </w:tcBorders>
            <w:shd w:val="clear" w:color="auto" w:fill="auto"/>
            <w:noWrap/>
            <w:vAlign w:val="bottom"/>
            <w:hideMark/>
          </w:tcPr>
          <w:p w14:paraId="6EC7DAC2" w14:textId="3B0A8E1A"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-0.03 (-0.1</w:t>
            </w:r>
            <w:r w:rsidR="002C1313" w:rsidRPr="00813425">
              <w:rPr>
                <w:rFonts w:ascii="Calibri" w:eastAsia="Times New Roman" w:hAnsi="Calibri" w:cs="Calibri"/>
                <w:sz w:val="16"/>
                <w:szCs w:val="16"/>
                <w:lang w:eastAsia="en-ZW"/>
              </w:rPr>
              <w:t>,</w:t>
            </w:r>
            <w:r w:rsidRPr="00813425">
              <w:rPr>
                <w:rFonts w:ascii="Calibri" w:eastAsia="Times New Roman" w:hAnsi="Calibri" w:cs="Calibri"/>
                <w:sz w:val="16"/>
                <w:szCs w:val="16"/>
                <w:lang w:eastAsia="en-ZW"/>
              </w:rPr>
              <w:t xml:space="preserve"> 0.1)</w:t>
            </w:r>
          </w:p>
        </w:tc>
        <w:tc>
          <w:tcPr>
            <w:tcW w:w="851" w:type="dxa"/>
            <w:tcBorders>
              <w:top w:val="nil"/>
              <w:left w:val="nil"/>
              <w:bottom w:val="single" w:sz="4" w:space="0" w:color="auto"/>
              <w:right w:val="single" w:sz="4" w:space="0" w:color="auto"/>
            </w:tcBorders>
            <w:shd w:val="clear" w:color="auto" w:fill="auto"/>
            <w:noWrap/>
            <w:vAlign w:val="bottom"/>
            <w:hideMark/>
          </w:tcPr>
          <w:p w14:paraId="0420286F" w14:textId="77777777"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0.480</w:t>
            </w:r>
          </w:p>
        </w:tc>
        <w:tc>
          <w:tcPr>
            <w:tcW w:w="1139" w:type="dxa"/>
            <w:tcBorders>
              <w:top w:val="nil"/>
              <w:left w:val="nil"/>
              <w:bottom w:val="single" w:sz="4" w:space="0" w:color="auto"/>
              <w:right w:val="single" w:sz="4" w:space="0" w:color="auto"/>
            </w:tcBorders>
            <w:shd w:val="clear" w:color="auto" w:fill="auto"/>
            <w:noWrap/>
            <w:vAlign w:val="bottom"/>
            <w:hideMark/>
          </w:tcPr>
          <w:p w14:paraId="60BBE9C9"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0.713</w:t>
            </w:r>
          </w:p>
        </w:tc>
      </w:tr>
      <w:tr w:rsidR="0059509C" w:rsidRPr="00813425" w14:paraId="2FF21D94" w14:textId="77777777" w:rsidTr="002C1313">
        <w:trPr>
          <w:trHeight w:val="182"/>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14:paraId="650B3A56" w14:textId="77777777" w:rsidR="0059509C" w:rsidRPr="00813425" w:rsidRDefault="0059509C" w:rsidP="003A4397">
            <w:pPr>
              <w:spacing w:after="0" w:line="240" w:lineRule="auto"/>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 38% Stress Strain Index, mm³</w:t>
            </w:r>
          </w:p>
        </w:tc>
        <w:tc>
          <w:tcPr>
            <w:tcW w:w="1691" w:type="dxa"/>
            <w:tcBorders>
              <w:top w:val="nil"/>
              <w:left w:val="nil"/>
              <w:bottom w:val="single" w:sz="4" w:space="0" w:color="auto"/>
              <w:right w:val="single" w:sz="4" w:space="0" w:color="auto"/>
            </w:tcBorders>
            <w:shd w:val="clear" w:color="auto" w:fill="auto"/>
            <w:noWrap/>
            <w:vAlign w:val="bottom"/>
            <w:hideMark/>
          </w:tcPr>
          <w:p w14:paraId="7AC9D90B" w14:textId="0430C87F"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-3.16 (-33.6</w:t>
            </w:r>
            <w:r w:rsidR="002C1313" w:rsidRPr="00813425">
              <w:rPr>
                <w:rFonts w:ascii="Calibri" w:eastAsia="Times New Roman" w:hAnsi="Calibri" w:cs="Calibri"/>
                <w:sz w:val="16"/>
                <w:szCs w:val="16"/>
                <w:lang w:eastAsia="en-ZW"/>
              </w:rPr>
              <w:t>,</w:t>
            </w:r>
            <w:r w:rsidRPr="00813425">
              <w:rPr>
                <w:rFonts w:ascii="Calibri" w:eastAsia="Times New Roman" w:hAnsi="Calibri" w:cs="Calibri"/>
                <w:sz w:val="16"/>
                <w:szCs w:val="16"/>
                <w:lang w:eastAsia="en-ZW"/>
              </w:rPr>
              <w:t xml:space="preserve"> 27.3)</w:t>
            </w:r>
          </w:p>
        </w:tc>
        <w:tc>
          <w:tcPr>
            <w:tcW w:w="708" w:type="dxa"/>
            <w:tcBorders>
              <w:top w:val="nil"/>
              <w:left w:val="nil"/>
              <w:bottom w:val="single" w:sz="4" w:space="0" w:color="auto"/>
              <w:right w:val="single" w:sz="4" w:space="0" w:color="auto"/>
            </w:tcBorders>
            <w:shd w:val="clear" w:color="auto" w:fill="auto"/>
            <w:noWrap/>
            <w:vAlign w:val="bottom"/>
            <w:hideMark/>
          </w:tcPr>
          <w:p w14:paraId="2C98791A" w14:textId="77777777"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0.838</w:t>
            </w:r>
          </w:p>
        </w:tc>
        <w:tc>
          <w:tcPr>
            <w:tcW w:w="1413" w:type="dxa"/>
            <w:tcBorders>
              <w:top w:val="nil"/>
              <w:left w:val="nil"/>
              <w:bottom w:val="single" w:sz="4" w:space="0" w:color="auto"/>
              <w:right w:val="single" w:sz="4" w:space="0" w:color="auto"/>
            </w:tcBorders>
            <w:shd w:val="clear" w:color="auto" w:fill="auto"/>
            <w:noWrap/>
            <w:vAlign w:val="bottom"/>
            <w:hideMark/>
          </w:tcPr>
          <w:p w14:paraId="706AA8E5" w14:textId="33A415B7"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-4.41 (-41.0</w:t>
            </w:r>
            <w:r w:rsidR="002C1313" w:rsidRPr="00813425">
              <w:rPr>
                <w:rFonts w:ascii="Calibri" w:eastAsia="Times New Roman" w:hAnsi="Calibri" w:cs="Calibri"/>
                <w:sz w:val="16"/>
                <w:szCs w:val="16"/>
                <w:lang w:eastAsia="en-ZW"/>
              </w:rPr>
              <w:t>,</w:t>
            </w:r>
            <w:r w:rsidRPr="00813425">
              <w:rPr>
                <w:rFonts w:ascii="Calibri" w:eastAsia="Times New Roman" w:hAnsi="Calibri" w:cs="Calibri"/>
                <w:sz w:val="16"/>
                <w:szCs w:val="16"/>
                <w:lang w:eastAsia="en-ZW"/>
              </w:rPr>
              <w:t xml:space="preserve"> 32.2)</w:t>
            </w:r>
          </w:p>
        </w:tc>
        <w:tc>
          <w:tcPr>
            <w:tcW w:w="850" w:type="dxa"/>
            <w:tcBorders>
              <w:top w:val="nil"/>
              <w:left w:val="nil"/>
              <w:bottom w:val="single" w:sz="4" w:space="0" w:color="auto"/>
              <w:right w:val="single" w:sz="4" w:space="0" w:color="auto"/>
            </w:tcBorders>
            <w:shd w:val="clear" w:color="auto" w:fill="auto"/>
            <w:noWrap/>
            <w:vAlign w:val="bottom"/>
            <w:hideMark/>
          </w:tcPr>
          <w:p w14:paraId="46DE39D9" w14:textId="77777777"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0.811</w:t>
            </w:r>
          </w:p>
        </w:tc>
        <w:tc>
          <w:tcPr>
            <w:tcW w:w="950" w:type="dxa"/>
            <w:tcBorders>
              <w:top w:val="nil"/>
              <w:left w:val="nil"/>
              <w:bottom w:val="single" w:sz="4" w:space="0" w:color="auto"/>
              <w:right w:val="single" w:sz="4" w:space="0" w:color="auto"/>
            </w:tcBorders>
            <w:shd w:val="clear" w:color="auto" w:fill="auto"/>
            <w:noWrap/>
            <w:vAlign w:val="bottom"/>
            <w:hideMark/>
          </w:tcPr>
          <w:p w14:paraId="565E1FF5"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0.958</w:t>
            </w:r>
          </w:p>
        </w:tc>
        <w:tc>
          <w:tcPr>
            <w:tcW w:w="1607" w:type="dxa"/>
            <w:gridSpan w:val="2"/>
            <w:tcBorders>
              <w:top w:val="nil"/>
              <w:left w:val="nil"/>
              <w:bottom w:val="single" w:sz="4" w:space="0" w:color="auto"/>
              <w:right w:val="single" w:sz="4" w:space="0" w:color="auto"/>
            </w:tcBorders>
            <w:shd w:val="clear" w:color="auto" w:fill="auto"/>
            <w:noWrap/>
            <w:vAlign w:val="bottom"/>
            <w:hideMark/>
          </w:tcPr>
          <w:p w14:paraId="73FCE9F2" w14:textId="49FBCE6C"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-3.05 (-37.5</w:t>
            </w:r>
            <w:r w:rsidR="002C1313" w:rsidRPr="00813425">
              <w:rPr>
                <w:rFonts w:ascii="Calibri" w:eastAsia="Times New Roman" w:hAnsi="Calibri" w:cs="Calibri"/>
                <w:sz w:val="16"/>
                <w:szCs w:val="16"/>
                <w:lang w:eastAsia="en-ZW"/>
              </w:rPr>
              <w:t>,</w:t>
            </w:r>
            <w:r w:rsidRPr="00813425">
              <w:rPr>
                <w:rFonts w:ascii="Calibri" w:eastAsia="Times New Roman" w:hAnsi="Calibri" w:cs="Calibri"/>
                <w:sz w:val="16"/>
                <w:szCs w:val="16"/>
                <w:lang w:eastAsia="en-ZW"/>
              </w:rPr>
              <w:t xml:space="preserve"> 31.3)</w:t>
            </w:r>
          </w:p>
        </w:tc>
        <w:tc>
          <w:tcPr>
            <w:tcW w:w="704" w:type="dxa"/>
            <w:tcBorders>
              <w:top w:val="nil"/>
              <w:left w:val="nil"/>
              <w:bottom w:val="single" w:sz="4" w:space="0" w:color="auto"/>
              <w:right w:val="single" w:sz="4" w:space="0" w:color="auto"/>
            </w:tcBorders>
            <w:shd w:val="clear" w:color="auto" w:fill="auto"/>
            <w:noWrap/>
            <w:vAlign w:val="bottom"/>
            <w:hideMark/>
          </w:tcPr>
          <w:p w14:paraId="48A7D0FD" w14:textId="77777777"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0.861</w:t>
            </w:r>
          </w:p>
        </w:tc>
        <w:tc>
          <w:tcPr>
            <w:tcW w:w="1417" w:type="dxa"/>
            <w:tcBorders>
              <w:top w:val="nil"/>
              <w:left w:val="nil"/>
              <w:bottom w:val="single" w:sz="4" w:space="0" w:color="auto"/>
              <w:right w:val="single" w:sz="4" w:space="0" w:color="auto"/>
            </w:tcBorders>
            <w:shd w:val="clear" w:color="auto" w:fill="auto"/>
            <w:noWrap/>
            <w:vAlign w:val="bottom"/>
            <w:hideMark/>
          </w:tcPr>
          <w:p w14:paraId="69095F49" w14:textId="74C8018B"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4.42 (-39.3</w:t>
            </w:r>
            <w:r w:rsidR="002C1313" w:rsidRPr="00813425">
              <w:rPr>
                <w:rFonts w:ascii="Calibri" w:eastAsia="Times New Roman" w:hAnsi="Calibri" w:cs="Calibri"/>
                <w:sz w:val="16"/>
                <w:szCs w:val="16"/>
                <w:lang w:eastAsia="en-ZW"/>
              </w:rPr>
              <w:t>,</w:t>
            </w:r>
            <w:r w:rsidRPr="00813425">
              <w:rPr>
                <w:rFonts w:ascii="Calibri" w:eastAsia="Times New Roman" w:hAnsi="Calibri" w:cs="Calibri"/>
                <w:sz w:val="16"/>
                <w:szCs w:val="16"/>
                <w:lang w:eastAsia="en-ZW"/>
              </w:rPr>
              <w:t xml:space="preserve"> 48.1)</w:t>
            </w:r>
          </w:p>
        </w:tc>
        <w:tc>
          <w:tcPr>
            <w:tcW w:w="851" w:type="dxa"/>
            <w:tcBorders>
              <w:top w:val="nil"/>
              <w:left w:val="nil"/>
              <w:bottom w:val="single" w:sz="4" w:space="0" w:color="auto"/>
              <w:right w:val="single" w:sz="4" w:space="0" w:color="auto"/>
            </w:tcBorders>
            <w:shd w:val="clear" w:color="auto" w:fill="auto"/>
            <w:noWrap/>
            <w:vAlign w:val="bottom"/>
            <w:hideMark/>
          </w:tcPr>
          <w:p w14:paraId="27996A82" w14:textId="77777777"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0.841</w:t>
            </w:r>
          </w:p>
        </w:tc>
        <w:tc>
          <w:tcPr>
            <w:tcW w:w="1139" w:type="dxa"/>
            <w:tcBorders>
              <w:top w:val="nil"/>
              <w:left w:val="nil"/>
              <w:bottom w:val="single" w:sz="4" w:space="0" w:color="auto"/>
              <w:right w:val="single" w:sz="4" w:space="0" w:color="auto"/>
            </w:tcBorders>
            <w:shd w:val="clear" w:color="auto" w:fill="auto"/>
            <w:noWrap/>
            <w:vAlign w:val="bottom"/>
            <w:hideMark/>
          </w:tcPr>
          <w:p w14:paraId="4397C1C9"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0.966</w:t>
            </w:r>
          </w:p>
        </w:tc>
      </w:tr>
      <w:tr w:rsidR="0059509C" w:rsidRPr="00813425" w14:paraId="629898F5" w14:textId="77777777" w:rsidTr="002C1313">
        <w:trPr>
          <w:trHeight w:val="182"/>
        </w:trPr>
        <w:tc>
          <w:tcPr>
            <w:tcW w:w="2704" w:type="dxa"/>
            <w:tcBorders>
              <w:top w:val="nil"/>
              <w:left w:val="single" w:sz="4" w:space="0" w:color="auto"/>
              <w:bottom w:val="single" w:sz="4" w:space="0" w:color="auto"/>
              <w:right w:val="single" w:sz="4" w:space="0" w:color="auto"/>
            </w:tcBorders>
            <w:shd w:val="clear" w:color="000000" w:fill="D9D9D9"/>
            <w:noWrap/>
            <w:vAlign w:val="bottom"/>
            <w:hideMark/>
          </w:tcPr>
          <w:p w14:paraId="76657D45" w14:textId="77777777" w:rsidR="0059509C" w:rsidRPr="00813425" w:rsidRDefault="0059509C" w:rsidP="003A4397">
            <w:pPr>
              <w:spacing w:after="0" w:line="240" w:lineRule="auto"/>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Females (n=206)</w:t>
            </w:r>
          </w:p>
        </w:tc>
        <w:tc>
          <w:tcPr>
            <w:tcW w:w="2399"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2E83BD59"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Tanner Stages 1 and 2</w:t>
            </w:r>
          </w:p>
        </w:tc>
        <w:tc>
          <w:tcPr>
            <w:tcW w:w="2263"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0F03CDC9"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Tanner Stages 3, 4 &amp; 5</w:t>
            </w:r>
          </w:p>
        </w:tc>
        <w:tc>
          <w:tcPr>
            <w:tcW w:w="950" w:type="dxa"/>
            <w:tcBorders>
              <w:top w:val="nil"/>
              <w:left w:val="nil"/>
              <w:bottom w:val="single" w:sz="4" w:space="0" w:color="auto"/>
              <w:right w:val="single" w:sz="4" w:space="0" w:color="auto"/>
            </w:tcBorders>
            <w:shd w:val="clear" w:color="000000" w:fill="D9D9D9"/>
            <w:noWrap/>
            <w:vAlign w:val="bottom"/>
            <w:hideMark/>
          </w:tcPr>
          <w:p w14:paraId="1FFA5251"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Interaction</w:t>
            </w:r>
          </w:p>
        </w:tc>
        <w:tc>
          <w:tcPr>
            <w:tcW w:w="2311"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6134AD0A"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Tanner Stages 1 and 2</w:t>
            </w:r>
          </w:p>
        </w:tc>
        <w:tc>
          <w:tcPr>
            <w:tcW w:w="2268"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3CDF3AA4"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Tanner Stages 3, 4 &amp; 5</w:t>
            </w:r>
          </w:p>
        </w:tc>
        <w:tc>
          <w:tcPr>
            <w:tcW w:w="1139" w:type="dxa"/>
            <w:tcBorders>
              <w:top w:val="nil"/>
              <w:left w:val="nil"/>
              <w:bottom w:val="single" w:sz="4" w:space="0" w:color="auto"/>
              <w:right w:val="single" w:sz="4" w:space="0" w:color="auto"/>
            </w:tcBorders>
            <w:shd w:val="clear" w:color="000000" w:fill="D9D9D9"/>
            <w:noWrap/>
            <w:vAlign w:val="bottom"/>
            <w:hideMark/>
          </w:tcPr>
          <w:p w14:paraId="5AD96F88"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Interaction</w:t>
            </w:r>
          </w:p>
        </w:tc>
      </w:tr>
      <w:tr w:rsidR="0059509C" w:rsidRPr="00813425" w14:paraId="705F5A6D" w14:textId="77777777" w:rsidTr="002C1313">
        <w:trPr>
          <w:trHeight w:val="182"/>
        </w:trPr>
        <w:tc>
          <w:tcPr>
            <w:tcW w:w="2704" w:type="dxa"/>
            <w:tcBorders>
              <w:top w:val="nil"/>
              <w:left w:val="single" w:sz="4" w:space="0" w:color="auto"/>
              <w:bottom w:val="single" w:sz="4" w:space="0" w:color="auto"/>
              <w:right w:val="single" w:sz="4" w:space="0" w:color="auto"/>
            </w:tcBorders>
            <w:shd w:val="clear" w:color="000000" w:fill="D9D9D9"/>
            <w:noWrap/>
            <w:vAlign w:val="bottom"/>
            <w:hideMark/>
          </w:tcPr>
          <w:p w14:paraId="1330E611" w14:textId="77777777" w:rsidR="0059509C" w:rsidRPr="00813425" w:rsidRDefault="0059509C" w:rsidP="003A4397">
            <w:pPr>
              <w:spacing w:after="0" w:line="240" w:lineRule="auto"/>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Characteristic</w:t>
            </w:r>
          </w:p>
        </w:tc>
        <w:tc>
          <w:tcPr>
            <w:tcW w:w="1691" w:type="dxa"/>
            <w:tcBorders>
              <w:top w:val="nil"/>
              <w:left w:val="nil"/>
              <w:bottom w:val="single" w:sz="4" w:space="0" w:color="auto"/>
              <w:right w:val="single" w:sz="4" w:space="0" w:color="auto"/>
            </w:tcBorders>
            <w:shd w:val="clear" w:color="000000" w:fill="D9D9D9"/>
            <w:noWrap/>
            <w:vAlign w:val="bottom"/>
            <w:hideMark/>
          </w:tcPr>
          <w:p w14:paraId="55F6E5B4"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MD (95% CI)</w:t>
            </w:r>
          </w:p>
        </w:tc>
        <w:tc>
          <w:tcPr>
            <w:tcW w:w="708" w:type="dxa"/>
            <w:tcBorders>
              <w:top w:val="nil"/>
              <w:left w:val="nil"/>
              <w:bottom w:val="single" w:sz="4" w:space="0" w:color="auto"/>
              <w:right w:val="single" w:sz="4" w:space="0" w:color="auto"/>
            </w:tcBorders>
            <w:shd w:val="clear" w:color="000000" w:fill="D9D9D9"/>
            <w:noWrap/>
            <w:vAlign w:val="bottom"/>
            <w:hideMark/>
          </w:tcPr>
          <w:p w14:paraId="7BD707D3"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p-value</w:t>
            </w:r>
          </w:p>
        </w:tc>
        <w:tc>
          <w:tcPr>
            <w:tcW w:w="1413" w:type="dxa"/>
            <w:tcBorders>
              <w:top w:val="nil"/>
              <w:left w:val="nil"/>
              <w:bottom w:val="single" w:sz="4" w:space="0" w:color="auto"/>
              <w:right w:val="single" w:sz="4" w:space="0" w:color="auto"/>
            </w:tcBorders>
            <w:shd w:val="clear" w:color="000000" w:fill="D9D9D9"/>
            <w:noWrap/>
            <w:vAlign w:val="bottom"/>
            <w:hideMark/>
          </w:tcPr>
          <w:p w14:paraId="035416E7"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MD (95% CI)</w:t>
            </w:r>
          </w:p>
        </w:tc>
        <w:tc>
          <w:tcPr>
            <w:tcW w:w="850" w:type="dxa"/>
            <w:tcBorders>
              <w:top w:val="nil"/>
              <w:left w:val="nil"/>
              <w:bottom w:val="single" w:sz="4" w:space="0" w:color="auto"/>
              <w:right w:val="single" w:sz="4" w:space="0" w:color="auto"/>
            </w:tcBorders>
            <w:shd w:val="clear" w:color="000000" w:fill="D9D9D9"/>
            <w:noWrap/>
            <w:vAlign w:val="bottom"/>
            <w:hideMark/>
          </w:tcPr>
          <w:p w14:paraId="4BFF4919"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p-value</w:t>
            </w:r>
          </w:p>
        </w:tc>
        <w:tc>
          <w:tcPr>
            <w:tcW w:w="950" w:type="dxa"/>
            <w:tcBorders>
              <w:top w:val="nil"/>
              <w:left w:val="nil"/>
              <w:bottom w:val="single" w:sz="4" w:space="0" w:color="auto"/>
              <w:right w:val="single" w:sz="4" w:space="0" w:color="auto"/>
            </w:tcBorders>
            <w:shd w:val="clear" w:color="000000" w:fill="D9D9D9"/>
            <w:noWrap/>
            <w:vAlign w:val="bottom"/>
            <w:hideMark/>
          </w:tcPr>
          <w:p w14:paraId="1BA4323B"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p-value</w:t>
            </w:r>
          </w:p>
        </w:tc>
        <w:tc>
          <w:tcPr>
            <w:tcW w:w="1607" w:type="dxa"/>
            <w:gridSpan w:val="2"/>
            <w:tcBorders>
              <w:top w:val="nil"/>
              <w:left w:val="nil"/>
              <w:bottom w:val="single" w:sz="4" w:space="0" w:color="auto"/>
              <w:right w:val="single" w:sz="4" w:space="0" w:color="auto"/>
            </w:tcBorders>
            <w:shd w:val="clear" w:color="000000" w:fill="D9D9D9"/>
            <w:noWrap/>
            <w:vAlign w:val="bottom"/>
            <w:hideMark/>
          </w:tcPr>
          <w:p w14:paraId="0527CC5E"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MD (95% CI)</w:t>
            </w:r>
          </w:p>
        </w:tc>
        <w:tc>
          <w:tcPr>
            <w:tcW w:w="704" w:type="dxa"/>
            <w:tcBorders>
              <w:top w:val="nil"/>
              <w:left w:val="nil"/>
              <w:bottom w:val="single" w:sz="4" w:space="0" w:color="auto"/>
              <w:right w:val="single" w:sz="4" w:space="0" w:color="auto"/>
            </w:tcBorders>
            <w:shd w:val="clear" w:color="000000" w:fill="D9D9D9"/>
            <w:noWrap/>
            <w:vAlign w:val="bottom"/>
            <w:hideMark/>
          </w:tcPr>
          <w:p w14:paraId="62D7D7D6"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p-value</w:t>
            </w:r>
          </w:p>
        </w:tc>
        <w:tc>
          <w:tcPr>
            <w:tcW w:w="1417" w:type="dxa"/>
            <w:tcBorders>
              <w:top w:val="nil"/>
              <w:left w:val="nil"/>
              <w:bottom w:val="single" w:sz="4" w:space="0" w:color="auto"/>
              <w:right w:val="single" w:sz="4" w:space="0" w:color="auto"/>
            </w:tcBorders>
            <w:shd w:val="clear" w:color="000000" w:fill="D9D9D9"/>
            <w:noWrap/>
            <w:vAlign w:val="bottom"/>
            <w:hideMark/>
          </w:tcPr>
          <w:p w14:paraId="0D801499"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MD (95% CI)</w:t>
            </w:r>
          </w:p>
        </w:tc>
        <w:tc>
          <w:tcPr>
            <w:tcW w:w="851" w:type="dxa"/>
            <w:tcBorders>
              <w:top w:val="nil"/>
              <w:left w:val="nil"/>
              <w:bottom w:val="single" w:sz="4" w:space="0" w:color="auto"/>
              <w:right w:val="single" w:sz="4" w:space="0" w:color="auto"/>
            </w:tcBorders>
            <w:shd w:val="clear" w:color="000000" w:fill="D9D9D9"/>
            <w:noWrap/>
            <w:vAlign w:val="bottom"/>
            <w:hideMark/>
          </w:tcPr>
          <w:p w14:paraId="05A2DB9F"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p-value</w:t>
            </w:r>
          </w:p>
        </w:tc>
        <w:tc>
          <w:tcPr>
            <w:tcW w:w="1139" w:type="dxa"/>
            <w:tcBorders>
              <w:top w:val="nil"/>
              <w:left w:val="nil"/>
              <w:bottom w:val="single" w:sz="4" w:space="0" w:color="auto"/>
              <w:right w:val="single" w:sz="4" w:space="0" w:color="auto"/>
            </w:tcBorders>
            <w:shd w:val="clear" w:color="000000" w:fill="D9D9D9"/>
            <w:noWrap/>
            <w:vAlign w:val="bottom"/>
            <w:hideMark/>
          </w:tcPr>
          <w:p w14:paraId="53D0126A"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p-value</w:t>
            </w:r>
          </w:p>
        </w:tc>
      </w:tr>
      <w:tr w:rsidR="0059509C" w:rsidRPr="00813425" w14:paraId="51AEC41D" w14:textId="77777777" w:rsidTr="002C1313">
        <w:trPr>
          <w:trHeight w:val="182"/>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14:paraId="151CF359" w14:textId="77777777" w:rsidR="0059509C" w:rsidRPr="00813425" w:rsidRDefault="0059509C" w:rsidP="003A4397">
            <w:pPr>
              <w:spacing w:after="0" w:line="240" w:lineRule="auto"/>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 4% Trabecular Density, mg/cm³</w:t>
            </w:r>
          </w:p>
        </w:tc>
        <w:tc>
          <w:tcPr>
            <w:tcW w:w="1691" w:type="dxa"/>
            <w:tcBorders>
              <w:top w:val="nil"/>
              <w:left w:val="nil"/>
              <w:bottom w:val="single" w:sz="4" w:space="0" w:color="auto"/>
              <w:right w:val="single" w:sz="4" w:space="0" w:color="auto"/>
            </w:tcBorders>
            <w:shd w:val="clear" w:color="auto" w:fill="auto"/>
            <w:noWrap/>
            <w:vAlign w:val="bottom"/>
            <w:hideMark/>
          </w:tcPr>
          <w:p w14:paraId="12B0589A" w14:textId="14AC91FB"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0.98 (-4.5</w:t>
            </w:r>
            <w:r w:rsidR="002C1313" w:rsidRPr="00813425">
              <w:rPr>
                <w:rFonts w:ascii="Calibri" w:eastAsia="Times New Roman" w:hAnsi="Calibri" w:cs="Calibri"/>
                <w:sz w:val="16"/>
                <w:szCs w:val="16"/>
                <w:lang w:eastAsia="en-ZW"/>
              </w:rPr>
              <w:t>,</w:t>
            </w:r>
            <w:r w:rsidRPr="00813425">
              <w:rPr>
                <w:rFonts w:ascii="Calibri" w:eastAsia="Times New Roman" w:hAnsi="Calibri" w:cs="Calibri"/>
                <w:sz w:val="16"/>
                <w:szCs w:val="16"/>
                <w:lang w:eastAsia="en-ZW"/>
              </w:rPr>
              <w:t xml:space="preserve"> 6.5)</w:t>
            </w:r>
          </w:p>
        </w:tc>
        <w:tc>
          <w:tcPr>
            <w:tcW w:w="708" w:type="dxa"/>
            <w:tcBorders>
              <w:top w:val="nil"/>
              <w:left w:val="nil"/>
              <w:bottom w:val="single" w:sz="4" w:space="0" w:color="auto"/>
              <w:right w:val="single" w:sz="4" w:space="0" w:color="auto"/>
            </w:tcBorders>
            <w:shd w:val="clear" w:color="auto" w:fill="auto"/>
            <w:noWrap/>
            <w:vAlign w:val="bottom"/>
            <w:hideMark/>
          </w:tcPr>
          <w:p w14:paraId="1243D96D" w14:textId="77777777"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0.723</w:t>
            </w:r>
          </w:p>
        </w:tc>
        <w:tc>
          <w:tcPr>
            <w:tcW w:w="1413" w:type="dxa"/>
            <w:tcBorders>
              <w:top w:val="nil"/>
              <w:left w:val="nil"/>
              <w:bottom w:val="single" w:sz="4" w:space="0" w:color="auto"/>
              <w:right w:val="single" w:sz="4" w:space="0" w:color="auto"/>
            </w:tcBorders>
            <w:shd w:val="clear" w:color="auto" w:fill="auto"/>
            <w:noWrap/>
            <w:vAlign w:val="bottom"/>
            <w:hideMark/>
          </w:tcPr>
          <w:p w14:paraId="4FF8D708" w14:textId="487B8FAD"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-4.53 (-10.0</w:t>
            </w:r>
            <w:r w:rsidR="002C1313" w:rsidRPr="00813425">
              <w:rPr>
                <w:rFonts w:ascii="Calibri" w:eastAsia="Times New Roman" w:hAnsi="Calibri" w:cs="Calibri"/>
                <w:sz w:val="16"/>
                <w:szCs w:val="16"/>
                <w:lang w:eastAsia="en-ZW"/>
              </w:rPr>
              <w:t>,</w:t>
            </w:r>
            <w:r w:rsidRPr="00813425">
              <w:rPr>
                <w:rFonts w:ascii="Calibri" w:eastAsia="Times New Roman" w:hAnsi="Calibri" w:cs="Calibri"/>
                <w:sz w:val="16"/>
                <w:szCs w:val="16"/>
                <w:lang w:eastAsia="en-ZW"/>
              </w:rPr>
              <w:t xml:space="preserve"> 1.0)</w:t>
            </w:r>
          </w:p>
        </w:tc>
        <w:tc>
          <w:tcPr>
            <w:tcW w:w="850" w:type="dxa"/>
            <w:tcBorders>
              <w:top w:val="nil"/>
              <w:left w:val="nil"/>
              <w:bottom w:val="single" w:sz="4" w:space="0" w:color="auto"/>
              <w:right w:val="single" w:sz="4" w:space="0" w:color="auto"/>
            </w:tcBorders>
            <w:shd w:val="clear" w:color="auto" w:fill="auto"/>
            <w:noWrap/>
            <w:vAlign w:val="bottom"/>
            <w:hideMark/>
          </w:tcPr>
          <w:p w14:paraId="185E1CBC" w14:textId="77777777"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0.106</w:t>
            </w:r>
          </w:p>
        </w:tc>
        <w:tc>
          <w:tcPr>
            <w:tcW w:w="950" w:type="dxa"/>
            <w:tcBorders>
              <w:top w:val="nil"/>
              <w:left w:val="nil"/>
              <w:bottom w:val="single" w:sz="4" w:space="0" w:color="auto"/>
              <w:right w:val="single" w:sz="4" w:space="0" w:color="auto"/>
            </w:tcBorders>
            <w:shd w:val="clear" w:color="auto" w:fill="auto"/>
            <w:noWrap/>
            <w:vAlign w:val="bottom"/>
            <w:hideMark/>
          </w:tcPr>
          <w:p w14:paraId="6D810F11"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0.163</w:t>
            </w:r>
          </w:p>
        </w:tc>
        <w:tc>
          <w:tcPr>
            <w:tcW w:w="1607" w:type="dxa"/>
            <w:gridSpan w:val="2"/>
            <w:tcBorders>
              <w:top w:val="nil"/>
              <w:left w:val="nil"/>
              <w:bottom w:val="single" w:sz="4" w:space="0" w:color="auto"/>
              <w:right w:val="single" w:sz="4" w:space="0" w:color="auto"/>
            </w:tcBorders>
            <w:shd w:val="clear" w:color="auto" w:fill="auto"/>
            <w:noWrap/>
            <w:vAlign w:val="bottom"/>
            <w:hideMark/>
          </w:tcPr>
          <w:p w14:paraId="0B2BF6EA" w14:textId="0ABED78E"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0.25 (-6.1</w:t>
            </w:r>
            <w:r w:rsidR="002C1313" w:rsidRPr="00813425">
              <w:rPr>
                <w:rFonts w:ascii="Calibri" w:eastAsia="Times New Roman" w:hAnsi="Calibri" w:cs="Calibri"/>
                <w:sz w:val="16"/>
                <w:szCs w:val="16"/>
                <w:lang w:eastAsia="en-ZW"/>
              </w:rPr>
              <w:t>,</w:t>
            </w:r>
            <w:r w:rsidRPr="00813425">
              <w:rPr>
                <w:rFonts w:ascii="Calibri" w:eastAsia="Times New Roman" w:hAnsi="Calibri" w:cs="Calibri"/>
                <w:sz w:val="16"/>
                <w:szCs w:val="16"/>
                <w:lang w:eastAsia="en-ZW"/>
              </w:rPr>
              <w:t xml:space="preserve"> 6.6)</w:t>
            </w:r>
          </w:p>
        </w:tc>
        <w:tc>
          <w:tcPr>
            <w:tcW w:w="704" w:type="dxa"/>
            <w:tcBorders>
              <w:top w:val="nil"/>
              <w:left w:val="nil"/>
              <w:bottom w:val="single" w:sz="4" w:space="0" w:color="auto"/>
              <w:right w:val="single" w:sz="4" w:space="0" w:color="auto"/>
            </w:tcBorders>
            <w:shd w:val="clear" w:color="auto" w:fill="auto"/>
            <w:noWrap/>
            <w:vAlign w:val="bottom"/>
            <w:hideMark/>
          </w:tcPr>
          <w:p w14:paraId="30AC2CAD" w14:textId="77777777"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0.938</w:t>
            </w:r>
          </w:p>
        </w:tc>
        <w:tc>
          <w:tcPr>
            <w:tcW w:w="1417" w:type="dxa"/>
            <w:tcBorders>
              <w:top w:val="nil"/>
              <w:left w:val="nil"/>
              <w:bottom w:val="single" w:sz="4" w:space="0" w:color="auto"/>
              <w:right w:val="single" w:sz="4" w:space="0" w:color="auto"/>
            </w:tcBorders>
            <w:shd w:val="clear" w:color="auto" w:fill="auto"/>
            <w:noWrap/>
            <w:vAlign w:val="bottom"/>
            <w:hideMark/>
          </w:tcPr>
          <w:p w14:paraId="583AAF21" w14:textId="3F94517A"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-2.97 (-9.6</w:t>
            </w:r>
            <w:r w:rsidR="002C1313" w:rsidRPr="00813425">
              <w:rPr>
                <w:rFonts w:ascii="Calibri" w:eastAsia="Times New Roman" w:hAnsi="Calibri" w:cs="Calibri"/>
                <w:sz w:val="16"/>
                <w:szCs w:val="16"/>
                <w:lang w:eastAsia="en-ZW"/>
              </w:rPr>
              <w:t>,</w:t>
            </w:r>
            <w:r w:rsidRPr="00813425">
              <w:rPr>
                <w:rFonts w:ascii="Calibri" w:eastAsia="Times New Roman" w:hAnsi="Calibri" w:cs="Calibri"/>
                <w:sz w:val="16"/>
                <w:szCs w:val="16"/>
                <w:lang w:eastAsia="en-ZW"/>
              </w:rPr>
              <w:t xml:space="preserve"> 3.6)</w:t>
            </w:r>
          </w:p>
        </w:tc>
        <w:tc>
          <w:tcPr>
            <w:tcW w:w="851" w:type="dxa"/>
            <w:tcBorders>
              <w:top w:val="nil"/>
              <w:left w:val="nil"/>
              <w:bottom w:val="single" w:sz="4" w:space="0" w:color="auto"/>
              <w:right w:val="single" w:sz="4" w:space="0" w:color="auto"/>
            </w:tcBorders>
            <w:shd w:val="clear" w:color="auto" w:fill="auto"/>
            <w:noWrap/>
            <w:vAlign w:val="bottom"/>
            <w:hideMark/>
          </w:tcPr>
          <w:p w14:paraId="5E5D6D5D" w14:textId="77777777"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0.374</w:t>
            </w:r>
          </w:p>
        </w:tc>
        <w:tc>
          <w:tcPr>
            <w:tcW w:w="1139" w:type="dxa"/>
            <w:tcBorders>
              <w:top w:val="nil"/>
              <w:left w:val="nil"/>
              <w:bottom w:val="single" w:sz="4" w:space="0" w:color="auto"/>
              <w:right w:val="single" w:sz="4" w:space="0" w:color="auto"/>
            </w:tcBorders>
            <w:shd w:val="clear" w:color="auto" w:fill="auto"/>
            <w:noWrap/>
            <w:vAlign w:val="bottom"/>
            <w:hideMark/>
          </w:tcPr>
          <w:p w14:paraId="41396399"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0.144</w:t>
            </w:r>
          </w:p>
        </w:tc>
      </w:tr>
      <w:tr w:rsidR="0059509C" w:rsidRPr="00813425" w14:paraId="46C96B5B" w14:textId="77777777" w:rsidTr="002C1313">
        <w:trPr>
          <w:trHeight w:val="182"/>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14:paraId="38A67D14" w14:textId="77777777" w:rsidR="0059509C" w:rsidRPr="00813425" w:rsidRDefault="0059509C" w:rsidP="003A4397">
            <w:pPr>
              <w:spacing w:after="0" w:line="240" w:lineRule="auto"/>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 38% Cortical Density, mg/cm³</w:t>
            </w:r>
          </w:p>
        </w:tc>
        <w:tc>
          <w:tcPr>
            <w:tcW w:w="1691" w:type="dxa"/>
            <w:tcBorders>
              <w:top w:val="nil"/>
              <w:left w:val="nil"/>
              <w:bottom w:val="single" w:sz="4" w:space="0" w:color="auto"/>
              <w:right w:val="single" w:sz="4" w:space="0" w:color="auto"/>
            </w:tcBorders>
            <w:shd w:val="clear" w:color="auto" w:fill="auto"/>
            <w:noWrap/>
            <w:vAlign w:val="bottom"/>
            <w:hideMark/>
          </w:tcPr>
          <w:p w14:paraId="66193B5C" w14:textId="6CB7E032"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-1.98 (-8.6</w:t>
            </w:r>
            <w:r w:rsidR="002C1313" w:rsidRPr="00813425">
              <w:rPr>
                <w:rFonts w:ascii="Calibri" w:eastAsia="Times New Roman" w:hAnsi="Calibri" w:cs="Calibri"/>
                <w:sz w:val="16"/>
                <w:szCs w:val="16"/>
                <w:lang w:eastAsia="en-ZW"/>
              </w:rPr>
              <w:t>,</w:t>
            </w:r>
            <w:r w:rsidRPr="00813425">
              <w:rPr>
                <w:rFonts w:ascii="Calibri" w:eastAsia="Times New Roman" w:hAnsi="Calibri" w:cs="Calibri"/>
                <w:sz w:val="16"/>
                <w:szCs w:val="16"/>
                <w:lang w:eastAsia="en-ZW"/>
              </w:rPr>
              <w:t xml:space="preserve"> 4.7)</w:t>
            </w:r>
          </w:p>
        </w:tc>
        <w:tc>
          <w:tcPr>
            <w:tcW w:w="708" w:type="dxa"/>
            <w:tcBorders>
              <w:top w:val="nil"/>
              <w:left w:val="nil"/>
              <w:bottom w:val="single" w:sz="4" w:space="0" w:color="auto"/>
              <w:right w:val="single" w:sz="4" w:space="0" w:color="auto"/>
            </w:tcBorders>
            <w:shd w:val="clear" w:color="auto" w:fill="auto"/>
            <w:noWrap/>
            <w:vAlign w:val="bottom"/>
            <w:hideMark/>
          </w:tcPr>
          <w:p w14:paraId="7107231E" w14:textId="77777777"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0.556</w:t>
            </w:r>
          </w:p>
        </w:tc>
        <w:tc>
          <w:tcPr>
            <w:tcW w:w="1413" w:type="dxa"/>
            <w:tcBorders>
              <w:top w:val="nil"/>
              <w:left w:val="nil"/>
              <w:bottom w:val="single" w:sz="4" w:space="0" w:color="auto"/>
              <w:right w:val="single" w:sz="4" w:space="0" w:color="auto"/>
            </w:tcBorders>
            <w:shd w:val="clear" w:color="auto" w:fill="auto"/>
            <w:noWrap/>
            <w:vAlign w:val="bottom"/>
            <w:hideMark/>
          </w:tcPr>
          <w:p w14:paraId="39DB28EA" w14:textId="37C63C11"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-3.26 (-9.2</w:t>
            </w:r>
            <w:r w:rsidR="002C1313" w:rsidRPr="00813425">
              <w:rPr>
                <w:rFonts w:ascii="Calibri" w:eastAsia="Times New Roman" w:hAnsi="Calibri" w:cs="Calibri"/>
                <w:sz w:val="16"/>
                <w:szCs w:val="16"/>
                <w:lang w:eastAsia="en-ZW"/>
              </w:rPr>
              <w:t>,</w:t>
            </w:r>
            <w:r w:rsidRPr="00813425">
              <w:rPr>
                <w:rFonts w:ascii="Calibri" w:eastAsia="Times New Roman" w:hAnsi="Calibri" w:cs="Calibri"/>
                <w:sz w:val="16"/>
                <w:szCs w:val="16"/>
                <w:lang w:eastAsia="en-ZW"/>
              </w:rPr>
              <w:t xml:space="preserve"> 2.7)</w:t>
            </w:r>
          </w:p>
        </w:tc>
        <w:tc>
          <w:tcPr>
            <w:tcW w:w="850" w:type="dxa"/>
            <w:tcBorders>
              <w:top w:val="nil"/>
              <w:left w:val="nil"/>
              <w:bottom w:val="single" w:sz="4" w:space="0" w:color="auto"/>
              <w:right w:val="single" w:sz="4" w:space="0" w:color="auto"/>
            </w:tcBorders>
            <w:shd w:val="clear" w:color="auto" w:fill="auto"/>
            <w:noWrap/>
            <w:vAlign w:val="bottom"/>
            <w:hideMark/>
          </w:tcPr>
          <w:p w14:paraId="27BD6BF5" w14:textId="77777777"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0.278</w:t>
            </w:r>
          </w:p>
        </w:tc>
        <w:tc>
          <w:tcPr>
            <w:tcW w:w="950" w:type="dxa"/>
            <w:tcBorders>
              <w:top w:val="nil"/>
              <w:left w:val="nil"/>
              <w:bottom w:val="single" w:sz="4" w:space="0" w:color="auto"/>
              <w:right w:val="single" w:sz="4" w:space="0" w:color="auto"/>
            </w:tcBorders>
            <w:shd w:val="clear" w:color="auto" w:fill="auto"/>
            <w:noWrap/>
            <w:vAlign w:val="bottom"/>
            <w:hideMark/>
          </w:tcPr>
          <w:p w14:paraId="28E34C67"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0.781</w:t>
            </w:r>
          </w:p>
        </w:tc>
        <w:tc>
          <w:tcPr>
            <w:tcW w:w="1607" w:type="dxa"/>
            <w:gridSpan w:val="2"/>
            <w:tcBorders>
              <w:top w:val="nil"/>
              <w:left w:val="nil"/>
              <w:bottom w:val="single" w:sz="4" w:space="0" w:color="auto"/>
              <w:right w:val="single" w:sz="4" w:space="0" w:color="auto"/>
            </w:tcBorders>
            <w:shd w:val="clear" w:color="auto" w:fill="auto"/>
            <w:noWrap/>
            <w:vAlign w:val="bottom"/>
            <w:hideMark/>
          </w:tcPr>
          <w:p w14:paraId="32F6E050" w14:textId="2213B11E"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-1.65 (-9.3</w:t>
            </w:r>
            <w:r w:rsidR="002C1313" w:rsidRPr="00813425">
              <w:rPr>
                <w:rFonts w:ascii="Calibri" w:eastAsia="Times New Roman" w:hAnsi="Calibri" w:cs="Calibri"/>
                <w:sz w:val="16"/>
                <w:szCs w:val="16"/>
                <w:lang w:eastAsia="en-ZW"/>
              </w:rPr>
              <w:t>,</w:t>
            </w:r>
            <w:r w:rsidRPr="00813425">
              <w:rPr>
                <w:rFonts w:ascii="Calibri" w:eastAsia="Times New Roman" w:hAnsi="Calibri" w:cs="Calibri"/>
                <w:sz w:val="16"/>
                <w:szCs w:val="16"/>
                <w:lang w:eastAsia="en-ZW"/>
              </w:rPr>
              <w:t xml:space="preserve"> 6.0)</w:t>
            </w:r>
          </w:p>
        </w:tc>
        <w:tc>
          <w:tcPr>
            <w:tcW w:w="704" w:type="dxa"/>
            <w:tcBorders>
              <w:top w:val="nil"/>
              <w:left w:val="nil"/>
              <w:bottom w:val="single" w:sz="4" w:space="0" w:color="auto"/>
              <w:right w:val="single" w:sz="4" w:space="0" w:color="auto"/>
            </w:tcBorders>
            <w:shd w:val="clear" w:color="auto" w:fill="auto"/>
            <w:noWrap/>
            <w:vAlign w:val="bottom"/>
            <w:hideMark/>
          </w:tcPr>
          <w:p w14:paraId="44082F2F" w14:textId="77777777"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0.669</w:t>
            </w:r>
          </w:p>
        </w:tc>
        <w:tc>
          <w:tcPr>
            <w:tcW w:w="1417" w:type="dxa"/>
            <w:tcBorders>
              <w:top w:val="nil"/>
              <w:left w:val="nil"/>
              <w:bottom w:val="single" w:sz="4" w:space="0" w:color="auto"/>
              <w:right w:val="single" w:sz="4" w:space="0" w:color="auto"/>
            </w:tcBorders>
            <w:shd w:val="clear" w:color="auto" w:fill="auto"/>
            <w:noWrap/>
            <w:vAlign w:val="bottom"/>
            <w:hideMark/>
          </w:tcPr>
          <w:p w14:paraId="0906FAEA" w14:textId="5BB20BF6"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-0.49 (-7.6</w:t>
            </w:r>
            <w:r w:rsidR="002C1313" w:rsidRPr="00813425">
              <w:rPr>
                <w:rFonts w:ascii="Calibri" w:eastAsia="Times New Roman" w:hAnsi="Calibri" w:cs="Calibri"/>
                <w:sz w:val="16"/>
                <w:szCs w:val="16"/>
                <w:lang w:eastAsia="en-ZW"/>
              </w:rPr>
              <w:t>,</w:t>
            </w:r>
            <w:r w:rsidRPr="00813425">
              <w:rPr>
                <w:rFonts w:ascii="Calibri" w:eastAsia="Times New Roman" w:hAnsi="Calibri" w:cs="Calibri"/>
                <w:sz w:val="16"/>
                <w:szCs w:val="16"/>
                <w:lang w:eastAsia="en-ZW"/>
              </w:rPr>
              <w:t xml:space="preserve"> 6.6)</w:t>
            </w:r>
          </w:p>
        </w:tc>
        <w:tc>
          <w:tcPr>
            <w:tcW w:w="851" w:type="dxa"/>
            <w:tcBorders>
              <w:top w:val="nil"/>
              <w:left w:val="nil"/>
              <w:bottom w:val="single" w:sz="4" w:space="0" w:color="auto"/>
              <w:right w:val="single" w:sz="4" w:space="0" w:color="auto"/>
            </w:tcBorders>
            <w:shd w:val="clear" w:color="auto" w:fill="auto"/>
            <w:noWrap/>
            <w:vAlign w:val="bottom"/>
            <w:hideMark/>
          </w:tcPr>
          <w:p w14:paraId="6BD49881" w14:textId="77777777"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0.892</w:t>
            </w:r>
          </w:p>
        </w:tc>
        <w:tc>
          <w:tcPr>
            <w:tcW w:w="1139" w:type="dxa"/>
            <w:tcBorders>
              <w:top w:val="nil"/>
              <w:left w:val="nil"/>
              <w:bottom w:val="single" w:sz="4" w:space="0" w:color="auto"/>
              <w:right w:val="single" w:sz="4" w:space="0" w:color="auto"/>
            </w:tcBorders>
            <w:shd w:val="clear" w:color="auto" w:fill="auto"/>
            <w:noWrap/>
            <w:vAlign w:val="bottom"/>
            <w:hideMark/>
          </w:tcPr>
          <w:p w14:paraId="55EB813A"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0.845</w:t>
            </w:r>
          </w:p>
        </w:tc>
      </w:tr>
      <w:tr w:rsidR="0059509C" w:rsidRPr="00813425" w14:paraId="5BC41D3D" w14:textId="77777777" w:rsidTr="002C1313">
        <w:trPr>
          <w:trHeight w:val="182"/>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14:paraId="3828615E" w14:textId="6141EA80" w:rsidR="0059509C" w:rsidRPr="00813425" w:rsidRDefault="0059509C" w:rsidP="003A4397">
            <w:pPr>
              <w:spacing w:after="0" w:line="240" w:lineRule="auto"/>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 xml:space="preserve">∆ 4% Total </w:t>
            </w:r>
            <w:r w:rsidR="002C1313" w:rsidRPr="00813425">
              <w:rPr>
                <w:rFonts w:ascii="Calibri" w:eastAsia="Times New Roman" w:hAnsi="Calibri" w:cs="Calibri"/>
                <w:sz w:val="16"/>
                <w:szCs w:val="16"/>
                <w:lang w:eastAsia="en-ZW"/>
              </w:rPr>
              <w:t>CSA</w:t>
            </w:r>
            <w:r w:rsidRPr="00813425">
              <w:rPr>
                <w:rFonts w:ascii="Calibri" w:eastAsia="Times New Roman" w:hAnsi="Calibri" w:cs="Calibri"/>
                <w:sz w:val="16"/>
                <w:szCs w:val="16"/>
                <w:lang w:eastAsia="en-ZW"/>
              </w:rPr>
              <w:t>,</w:t>
            </w:r>
            <w:r w:rsidR="002C1313" w:rsidRPr="00813425">
              <w:rPr>
                <w:rFonts w:ascii="Calibri" w:eastAsia="Times New Roman" w:hAnsi="Calibri" w:cs="Calibri"/>
                <w:sz w:val="16"/>
                <w:szCs w:val="16"/>
                <w:lang w:eastAsia="en-ZW"/>
              </w:rPr>
              <w:t xml:space="preserve"> </w:t>
            </w:r>
            <w:r w:rsidRPr="00813425">
              <w:rPr>
                <w:rFonts w:ascii="Calibri" w:eastAsia="Times New Roman" w:hAnsi="Calibri" w:cs="Calibri"/>
                <w:sz w:val="16"/>
                <w:szCs w:val="16"/>
                <w:lang w:eastAsia="en-ZW"/>
              </w:rPr>
              <w:t>mm²</w:t>
            </w:r>
          </w:p>
        </w:tc>
        <w:tc>
          <w:tcPr>
            <w:tcW w:w="1691" w:type="dxa"/>
            <w:tcBorders>
              <w:top w:val="nil"/>
              <w:left w:val="nil"/>
              <w:bottom w:val="single" w:sz="4" w:space="0" w:color="auto"/>
              <w:right w:val="single" w:sz="4" w:space="0" w:color="auto"/>
            </w:tcBorders>
            <w:shd w:val="clear" w:color="auto" w:fill="auto"/>
            <w:noWrap/>
            <w:vAlign w:val="bottom"/>
            <w:hideMark/>
          </w:tcPr>
          <w:p w14:paraId="002C2ECA" w14:textId="07BE4CD0"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-14.76 (-40.5</w:t>
            </w:r>
            <w:r w:rsidR="002C1313" w:rsidRPr="00813425">
              <w:rPr>
                <w:rFonts w:ascii="Calibri" w:eastAsia="Times New Roman" w:hAnsi="Calibri" w:cs="Calibri"/>
                <w:sz w:val="16"/>
                <w:szCs w:val="16"/>
                <w:lang w:eastAsia="en-ZW"/>
              </w:rPr>
              <w:t>,</w:t>
            </w:r>
            <w:r w:rsidRPr="00813425">
              <w:rPr>
                <w:rFonts w:ascii="Calibri" w:eastAsia="Times New Roman" w:hAnsi="Calibri" w:cs="Calibri"/>
                <w:sz w:val="16"/>
                <w:szCs w:val="16"/>
                <w:lang w:eastAsia="en-ZW"/>
              </w:rPr>
              <w:t xml:space="preserve"> 11.0)</w:t>
            </w:r>
          </w:p>
        </w:tc>
        <w:tc>
          <w:tcPr>
            <w:tcW w:w="708" w:type="dxa"/>
            <w:tcBorders>
              <w:top w:val="nil"/>
              <w:left w:val="nil"/>
              <w:bottom w:val="single" w:sz="4" w:space="0" w:color="auto"/>
              <w:right w:val="single" w:sz="4" w:space="0" w:color="auto"/>
            </w:tcBorders>
            <w:shd w:val="clear" w:color="auto" w:fill="auto"/>
            <w:noWrap/>
            <w:vAlign w:val="bottom"/>
            <w:hideMark/>
          </w:tcPr>
          <w:p w14:paraId="3A0BB47B" w14:textId="77777777"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0.259</w:t>
            </w:r>
          </w:p>
        </w:tc>
        <w:tc>
          <w:tcPr>
            <w:tcW w:w="1413" w:type="dxa"/>
            <w:tcBorders>
              <w:top w:val="nil"/>
              <w:left w:val="nil"/>
              <w:bottom w:val="single" w:sz="4" w:space="0" w:color="auto"/>
              <w:right w:val="single" w:sz="4" w:space="0" w:color="auto"/>
            </w:tcBorders>
            <w:shd w:val="clear" w:color="auto" w:fill="auto"/>
            <w:noWrap/>
            <w:vAlign w:val="bottom"/>
            <w:hideMark/>
          </w:tcPr>
          <w:p w14:paraId="6E1795E5" w14:textId="41E0745A"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-2.10 (-20.7</w:t>
            </w:r>
            <w:r w:rsidR="002C1313" w:rsidRPr="00813425">
              <w:rPr>
                <w:rFonts w:ascii="Calibri" w:eastAsia="Times New Roman" w:hAnsi="Calibri" w:cs="Calibri"/>
                <w:sz w:val="16"/>
                <w:szCs w:val="16"/>
                <w:lang w:eastAsia="en-ZW"/>
              </w:rPr>
              <w:t>,</w:t>
            </w:r>
            <w:r w:rsidRPr="00813425">
              <w:rPr>
                <w:rFonts w:ascii="Calibri" w:eastAsia="Times New Roman" w:hAnsi="Calibri" w:cs="Calibri"/>
                <w:sz w:val="16"/>
                <w:szCs w:val="16"/>
                <w:lang w:eastAsia="en-ZW"/>
              </w:rPr>
              <w:t xml:space="preserve"> 16.5)</w:t>
            </w:r>
          </w:p>
        </w:tc>
        <w:tc>
          <w:tcPr>
            <w:tcW w:w="850" w:type="dxa"/>
            <w:tcBorders>
              <w:top w:val="nil"/>
              <w:left w:val="nil"/>
              <w:bottom w:val="single" w:sz="4" w:space="0" w:color="auto"/>
              <w:right w:val="single" w:sz="4" w:space="0" w:color="auto"/>
            </w:tcBorders>
            <w:shd w:val="clear" w:color="auto" w:fill="auto"/>
            <w:noWrap/>
            <w:vAlign w:val="bottom"/>
            <w:hideMark/>
          </w:tcPr>
          <w:p w14:paraId="19DE57CC" w14:textId="77777777"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0.824</w:t>
            </w:r>
          </w:p>
        </w:tc>
        <w:tc>
          <w:tcPr>
            <w:tcW w:w="950" w:type="dxa"/>
            <w:tcBorders>
              <w:top w:val="nil"/>
              <w:left w:val="nil"/>
              <w:bottom w:val="single" w:sz="4" w:space="0" w:color="auto"/>
              <w:right w:val="single" w:sz="4" w:space="0" w:color="auto"/>
            </w:tcBorders>
            <w:shd w:val="clear" w:color="auto" w:fill="auto"/>
            <w:noWrap/>
            <w:vAlign w:val="bottom"/>
            <w:hideMark/>
          </w:tcPr>
          <w:p w14:paraId="01DAEC47"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0.444</w:t>
            </w:r>
          </w:p>
        </w:tc>
        <w:tc>
          <w:tcPr>
            <w:tcW w:w="1607" w:type="dxa"/>
            <w:gridSpan w:val="2"/>
            <w:tcBorders>
              <w:top w:val="nil"/>
              <w:left w:val="nil"/>
              <w:bottom w:val="single" w:sz="4" w:space="0" w:color="auto"/>
              <w:right w:val="single" w:sz="4" w:space="0" w:color="auto"/>
            </w:tcBorders>
            <w:shd w:val="clear" w:color="auto" w:fill="auto"/>
            <w:noWrap/>
            <w:vAlign w:val="bottom"/>
            <w:hideMark/>
          </w:tcPr>
          <w:p w14:paraId="46A717FD" w14:textId="5541E35E"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-17.88 (-47.2</w:t>
            </w:r>
            <w:r w:rsidR="002C1313" w:rsidRPr="00813425">
              <w:rPr>
                <w:rFonts w:ascii="Calibri" w:eastAsia="Times New Roman" w:hAnsi="Calibri" w:cs="Calibri"/>
                <w:sz w:val="16"/>
                <w:szCs w:val="16"/>
                <w:lang w:eastAsia="en-ZW"/>
              </w:rPr>
              <w:t>,</w:t>
            </w:r>
            <w:r w:rsidRPr="00813425">
              <w:rPr>
                <w:rFonts w:ascii="Calibri" w:eastAsia="Times New Roman" w:hAnsi="Calibri" w:cs="Calibri"/>
                <w:sz w:val="16"/>
                <w:szCs w:val="16"/>
                <w:lang w:eastAsia="en-ZW"/>
              </w:rPr>
              <w:t xml:space="preserve"> 11.4)</w:t>
            </w:r>
          </w:p>
        </w:tc>
        <w:tc>
          <w:tcPr>
            <w:tcW w:w="704" w:type="dxa"/>
            <w:tcBorders>
              <w:top w:val="nil"/>
              <w:left w:val="nil"/>
              <w:bottom w:val="single" w:sz="4" w:space="0" w:color="auto"/>
              <w:right w:val="single" w:sz="4" w:space="0" w:color="auto"/>
            </w:tcBorders>
            <w:shd w:val="clear" w:color="auto" w:fill="auto"/>
            <w:noWrap/>
            <w:vAlign w:val="bottom"/>
            <w:hideMark/>
          </w:tcPr>
          <w:p w14:paraId="13502799" w14:textId="77777777"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0.229</w:t>
            </w:r>
          </w:p>
        </w:tc>
        <w:tc>
          <w:tcPr>
            <w:tcW w:w="1417" w:type="dxa"/>
            <w:tcBorders>
              <w:top w:val="nil"/>
              <w:left w:val="nil"/>
              <w:bottom w:val="single" w:sz="4" w:space="0" w:color="auto"/>
              <w:right w:val="single" w:sz="4" w:space="0" w:color="auto"/>
            </w:tcBorders>
            <w:shd w:val="clear" w:color="auto" w:fill="auto"/>
            <w:noWrap/>
            <w:vAlign w:val="bottom"/>
            <w:hideMark/>
          </w:tcPr>
          <w:p w14:paraId="050BC52B" w14:textId="64FBB2C3"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1.72 (-20.9</w:t>
            </w:r>
            <w:r w:rsidR="002C1313" w:rsidRPr="00813425">
              <w:rPr>
                <w:rFonts w:ascii="Calibri" w:eastAsia="Times New Roman" w:hAnsi="Calibri" w:cs="Calibri"/>
                <w:sz w:val="16"/>
                <w:szCs w:val="16"/>
                <w:lang w:eastAsia="en-ZW"/>
              </w:rPr>
              <w:t>,</w:t>
            </w:r>
            <w:r w:rsidRPr="00813425">
              <w:rPr>
                <w:rFonts w:ascii="Calibri" w:eastAsia="Times New Roman" w:hAnsi="Calibri" w:cs="Calibri"/>
                <w:sz w:val="16"/>
                <w:szCs w:val="16"/>
                <w:lang w:eastAsia="en-ZW"/>
              </w:rPr>
              <w:t xml:space="preserve"> 24.3)</w:t>
            </w:r>
          </w:p>
        </w:tc>
        <w:tc>
          <w:tcPr>
            <w:tcW w:w="851" w:type="dxa"/>
            <w:tcBorders>
              <w:top w:val="nil"/>
              <w:left w:val="nil"/>
              <w:bottom w:val="single" w:sz="4" w:space="0" w:color="auto"/>
              <w:right w:val="single" w:sz="4" w:space="0" w:color="auto"/>
            </w:tcBorders>
            <w:shd w:val="clear" w:color="auto" w:fill="auto"/>
            <w:noWrap/>
            <w:vAlign w:val="bottom"/>
            <w:hideMark/>
          </w:tcPr>
          <w:p w14:paraId="2F97B905" w14:textId="77777777"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0.880</w:t>
            </w:r>
          </w:p>
        </w:tc>
        <w:tc>
          <w:tcPr>
            <w:tcW w:w="1139" w:type="dxa"/>
            <w:tcBorders>
              <w:top w:val="nil"/>
              <w:left w:val="nil"/>
              <w:bottom w:val="single" w:sz="4" w:space="0" w:color="auto"/>
              <w:right w:val="single" w:sz="4" w:space="0" w:color="auto"/>
            </w:tcBorders>
            <w:shd w:val="clear" w:color="auto" w:fill="auto"/>
            <w:noWrap/>
            <w:vAlign w:val="bottom"/>
            <w:hideMark/>
          </w:tcPr>
          <w:p w14:paraId="6AA1C9B5"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0.546</w:t>
            </w:r>
          </w:p>
        </w:tc>
      </w:tr>
      <w:tr w:rsidR="0059509C" w:rsidRPr="00813425" w14:paraId="402C0B1E" w14:textId="77777777" w:rsidTr="002C1313">
        <w:trPr>
          <w:trHeight w:val="182"/>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14:paraId="0DA28A00" w14:textId="38CE1BF3" w:rsidR="0059509C" w:rsidRPr="00813425" w:rsidRDefault="0059509C" w:rsidP="003A4397">
            <w:pPr>
              <w:spacing w:after="0" w:line="240" w:lineRule="auto"/>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 xml:space="preserve">∆ 38% Total </w:t>
            </w:r>
            <w:r w:rsidR="002C1313" w:rsidRPr="00813425">
              <w:rPr>
                <w:rFonts w:ascii="Calibri" w:eastAsia="Times New Roman" w:hAnsi="Calibri" w:cs="Calibri"/>
                <w:sz w:val="16"/>
                <w:szCs w:val="16"/>
                <w:lang w:eastAsia="en-ZW"/>
              </w:rPr>
              <w:t>CSA</w:t>
            </w:r>
            <w:r w:rsidRPr="00813425">
              <w:rPr>
                <w:rFonts w:ascii="Calibri" w:eastAsia="Times New Roman" w:hAnsi="Calibri" w:cs="Calibri"/>
                <w:sz w:val="16"/>
                <w:szCs w:val="16"/>
                <w:lang w:eastAsia="en-ZW"/>
              </w:rPr>
              <w:t>,</w:t>
            </w:r>
            <w:r w:rsidR="002C1313" w:rsidRPr="00813425">
              <w:rPr>
                <w:rFonts w:ascii="Calibri" w:eastAsia="Times New Roman" w:hAnsi="Calibri" w:cs="Calibri"/>
                <w:sz w:val="16"/>
                <w:szCs w:val="16"/>
                <w:lang w:eastAsia="en-ZW"/>
              </w:rPr>
              <w:t xml:space="preserve"> </w:t>
            </w:r>
            <w:r w:rsidRPr="00813425">
              <w:rPr>
                <w:rFonts w:ascii="Calibri" w:eastAsia="Times New Roman" w:hAnsi="Calibri" w:cs="Calibri"/>
                <w:sz w:val="16"/>
                <w:szCs w:val="16"/>
                <w:lang w:eastAsia="en-ZW"/>
              </w:rPr>
              <w:t>mm²</w:t>
            </w:r>
          </w:p>
        </w:tc>
        <w:tc>
          <w:tcPr>
            <w:tcW w:w="1691" w:type="dxa"/>
            <w:tcBorders>
              <w:top w:val="nil"/>
              <w:left w:val="nil"/>
              <w:bottom w:val="single" w:sz="4" w:space="0" w:color="auto"/>
              <w:right w:val="single" w:sz="4" w:space="0" w:color="auto"/>
            </w:tcBorders>
            <w:shd w:val="clear" w:color="auto" w:fill="auto"/>
            <w:noWrap/>
            <w:vAlign w:val="bottom"/>
            <w:hideMark/>
          </w:tcPr>
          <w:p w14:paraId="2F94D780" w14:textId="25ADA826"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-6.51 (-13.4</w:t>
            </w:r>
            <w:r w:rsidR="002C1313" w:rsidRPr="00813425">
              <w:rPr>
                <w:rFonts w:ascii="Calibri" w:eastAsia="Times New Roman" w:hAnsi="Calibri" w:cs="Calibri"/>
                <w:sz w:val="16"/>
                <w:szCs w:val="16"/>
                <w:lang w:eastAsia="en-ZW"/>
              </w:rPr>
              <w:t>,</w:t>
            </w:r>
            <w:r w:rsidRPr="00813425">
              <w:rPr>
                <w:rFonts w:ascii="Calibri" w:eastAsia="Times New Roman" w:hAnsi="Calibri" w:cs="Calibri"/>
                <w:sz w:val="16"/>
                <w:szCs w:val="16"/>
                <w:lang w:eastAsia="en-ZW"/>
              </w:rPr>
              <w:t xml:space="preserve"> 0.3)</w:t>
            </w:r>
          </w:p>
        </w:tc>
        <w:tc>
          <w:tcPr>
            <w:tcW w:w="708" w:type="dxa"/>
            <w:tcBorders>
              <w:top w:val="nil"/>
              <w:left w:val="nil"/>
              <w:bottom w:val="single" w:sz="4" w:space="0" w:color="auto"/>
              <w:right w:val="single" w:sz="4" w:space="0" w:color="auto"/>
            </w:tcBorders>
            <w:shd w:val="clear" w:color="auto" w:fill="auto"/>
            <w:noWrap/>
            <w:vAlign w:val="bottom"/>
            <w:hideMark/>
          </w:tcPr>
          <w:p w14:paraId="7C1C177F" w14:textId="77777777"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0.063</w:t>
            </w:r>
          </w:p>
        </w:tc>
        <w:tc>
          <w:tcPr>
            <w:tcW w:w="1413" w:type="dxa"/>
            <w:tcBorders>
              <w:top w:val="nil"/>
              <w:left w:val="nil"/>
              <w:bottom w:val="single" w:sz="4" w:space="0" w:color="auto"/>
              <w:right w:val="single" w:sz="4" w:space="0" w:color="auto"/>
            </w:tcBorders>
            <w:shd w:val="clear" w:color="auto" w:fill="auto"/>
            <w:noWrap/>
            <w:vAlign w:val="bottom"/>
            <w:hideMark/>
          </w:tcPr>
          <w:p w14:paraId="5CBE66B6" w14:textId="4F028ADF"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4.76 (-1.1</w:t>
            </w:r>
            <w:r w:rsidR="002C1313" w:rsidRPr="00813425">
              <w:rPr>
                <w:rFonts w:ascii="Calibri" w:eastAsia="Times New Roman" w:hAnsi="Calibri" w:cs="Calibri"/>
                <w:sz w:val="16"/>
                <w:szCs w:val="16"/>
                <w:lang w:eastAsia="en-ZW"/>
              </w:rPr>
              <w:t>,</w:t>
            </w:r>
            <w:r w:rsidRPr="00813425">
              <w:rPr>
                <w:rFonts w:ascii="Calibri" w:eastAsia="Times New Roman" w:hAnsi="Calibri" w:cs="Calibri"/>
                <w:sz w:val="16"/>
                <w:szCs w:val="16"/>
                <w:lang w:eastAsia="en-ZW"/>
              </w:rPr>
              <w:t xml:space="preserve"> 10.6)</w:t>
            </w:r>
          </w:p>
        </w:tc>
        <w:tc>
          <w:tcPr>
            <w:tcW w:w="850" w:type="dxa"/>
            <w:tcBorders>
              <w:top w:val="nil"/>
              <w:left w:val="nil"/>
              <w:bottom w:val="single" w:sz="4" w:space="0" w:color="auto"/>
              <w:right w:val="single" w:sz="4" w:space="0" w:color="auto"/>
            </w:tcBorders>
            <w:shd w:val="clear" w:color="auto" w:fill="auto"/>
            <w:noWrap/>
            <w:vAlign w:val="bottom"/>
            <w:hideMark/>
          </w:tcPr>
          <w:p w14:paraId="0F772C76" w14:textId="77777777"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0.110</w:t>
            </w:r>
          </w:p>
        </w:tc>
        <w:tc>
          <w:tcPr>
            <w:tcW w:w="950" w:type="dxa"/>
            <w:tcBorders>
              <w:top w:val="nil"/>
              <w:left w:val="nil"/>
              <w:bottom w:val="single" w:sz="4" w:space="0" w:color="auto"/>
              <w:right w:val="single" w:sz="4" w:space="0" w:color="auto"/>
            </w:tcBorders>
            <w:shd w:val="clear" w:color="auto" w:fill="auto"/>
            <w:noWrap/>
            <w:vAlign w:val="bottom"/>
            <w:hideMark/>
          </w:tcPr>
          <w:p w14:paraId="69F16443"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0.013</w:t>
            </w:r>
          </w:p>
        </w:tc>
        <w:tc>
          <w:tcPr>
            <w:tcW w:w="1607" w:type="dxa"/>
            <w:gridSpan w:val="2"/>
            <w:tcBorders>
              <w:top w:val="nil"/>
              <w:left w:val="nil"/>
              <w:bottom w:val="single" w:sz="4" w:space="0" w:color="auto"/>
              <w:right w:val="single" w:sz="4" w:space="0" w:color="auto"/>
            </w:tcBorders>
            <w:shd w:val="clear" w:color="auto" w:fill="auto"/>
            <w:noWrap/>
            <w:vAlign w:val="bottom"/>
            <w:hideMark/>
          </w:tcPr>
          <w:p w14:paraId="6CA03D6C" w14:textId="3653BD9F"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-7.04 (-14.9</w:t>
            </w:r>
            <w:r w:rsidR="002C1313" w:rsidRPr="00813425">
              <w:rPr>
                <w:rFonts w:ascii="Calibri" w:eastAsia="Times New Roman" w:hAnsi="Calibri" w:cs="Calibri"/>
                <w:sz w:val="16"/>
                <w:szCs w:val="16"/>
                <w:lang w:eastAsia="en-ZW"/>
              </w:rPr>
              <w:t>,</w:t>
            </w:r>
            <w:r w:rsidRPr="00813425">
              <w:rPr>
                <w:rFonts w:ascii="Calibri" w:eastAsia="Times New Roman" w:hAnsi="Calibri" w:cs="Calibri"/>
                <w:sz w:val="16"/>
                <w:szCs w:val="16"/>
                <w:lang w:eastAsia="en-ZW"/>
              </w:rPr>
              <w:t xml:space="preserve"> 0.9)</w:t>
            </w:r>
          </w:p>
        </w:tc>
        <w:tc>
          <w:tcPr>
            <w:tcW w:w="704" w:type="dxa"/>
            <w:tcBorders>
              <w:top w:val="nil"/>
              <w:left w:val="nil"/>
              <w:bottom w:val="single" w:sz="4" w:space="0" w:color="auto"/>
              <w:right w:val="single" w:sz="4" w:space="0" w:color="auto"/>
            </w:tcBorders>
            <w:shd w:val="clear" w:color="auto" w:fill="auto"/>
            <w:noWrap/>
            <w:vAlign w:val="bottom"/>
            <w:hideMark/>
          </w:tcPr>
          <w:p w14:paraId="5A614554" w14:textId="77777777"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0.080</w:t>
            </w:r>
          </w:p>
        </w:tc>
        <w:tc>
          <w:tcPr>
            <w:tcW w:w="1417" w:type="dxa"/>
            <w:tcBorders>
              <w:top w:val="nil"/>
              <w:left w:val="nil"/>
              <w:bottom w:val="single" w:sz="4" w:space="0" w:color="auto"/>
              <w:right w:val="single" w:sz="4" w:space="0" w:color="auto"/>
            </w:tcBorders>
            <w:shd w:val="clear" w:color="auto" w:fill="auto"/>
            <w:noWrap/>
            <w:vAlign w:val="bottom"/>
            <w:hideMark/>
          </w:tcPr>
          <w:p w14:paraId="60AD9356" w14:textId="63EC2074"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3.32 (-3.7</w:t>
            </w:r>
            <w:r w:rsidR="002C1313" w:rsidRPr="00813425">
              <w:rPr>
                <w:rFonts w:ascii="Calibri" w:eastAsia="Times New Roman" w:hAnsi="Calibri" w:cs="Calibri"/>
                <w:sz w:val="16"/>
                <w:szCs w:val="16"/>
                <w:lang w:eastAsia="en-ZW"/>
              </w:rPr>
              <w:t>,</w:t>
            </w:r>
            <w:r w:rsidRPr="00813425">
              <w:rPr>
                <w:rFonts w:ascii="Calibri" w:eastAsia="Times New Roman" w:hAnsi="Calibri" w:cs="Calibri"/>
                <w:sz w:val="16"/>
                <w:szCs w:val="16"/>
                <w:lang w:eastAsia="en-ZW"/>
              </w:rPr>
              <w:t xml:space="preserve"> 10.3)</w:t>
            </w:r>
          </w:p>
        </w:tc>
        <w:tc>
          <w:tcPr>
            <w:tcW w:w="851" w:type="dxa"/>
            <w:tcBorders>
              <w:top w:val="nil"/>
              <w:left w:val="nil"/>
              <w:bottom w:val="single" w:sz="4" w:space="0" w:color="auto"/>
              <w:right w:val="single" w:sz="4" w:space="0" w:color="auto"/>
            </w:tcBorders>
            <w:shd w:val="clear" w:color="auto" w:fill="auto"/>
            <w:noWrap/>
            <w:vAlign w:val="bottom"/>
            <w:hideMark/>
          </w:tcPr>
          <w:p w14:paraId="7DFA32B0" w14:textId="77777777"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0.349</w:t>
            </w:r>
          </w:p>
        </w:tc>
        <w:tc>
          <w:tcPr>
            <w:tcW w:w="1139" w:type="dxa"/>
            <w:tcBorders>
              <w:top w:val="nil"/>
              <w:left w:val="nil"/>
              <w:bottom w:val="single" w:sz="4" w:space="0" w:color="auto"/>
              <w:right w:val="single" w:sz="4" w:space="0" w:color="auto"/>
            </w:tcBorders>
            <w:shd w:val="clear" w:color="auto" w:fill="auto"/>
            <w:noWrap/>
            <w:vAlign w:val="bottom"/>
            <w:hideMark/>
          </w:tcPr>
          <w:p w14:paraId="02779216"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0.022</w:t>
            </w:r>
          </w:p>
        </w:tc>
      </w:tr>
      <w:tr w:rsidR="0059509C" w:rsidRPr="00813425" w14:paraId="53AF6C6F" w14:textId="77777777" w:rsidTr="002C1313">
        <w:trPr>
          <w:trHeight w:val="182"/>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14:paraId="74B34F6B" w14:textId="77777777" w:rsidR="0059509C" w:rsidRPr="00813425" w:rsidRDefault="0059509C" w:rsidP="003A4397">
            <w:pPr>
              <w:spacing w:after="0" w:line="240" w:lineRule="auto"/>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 38% Cortical Thickness, mm</w:t>
            </w:r>
          </w:p>
        </w:tc>
        <w:tc>
          <w:tcPr>
            <w:tcW w:w="1691" w:type="dxa"/>
            <w:tcBorders>
              <w:top w:val="nil"/>
              <w:left w:val="nil"/>
              <w:bottom w:val="single" w:sz="4" w:space="0" w:color="auto"/>
              <w:right w:val="single" w:sz="4" w:space="0" w:color="auto"/>
            </w:tcBorders>
            <w:shd w:val="clear" w:color="auto" w:fill="auto"/>
            <w:noWrap/>
            <w:vAlign w:val="bottom"/>
            <w:hideMark/>
          </w:tcPr>
          <w:p w14:paraId="1DFAC4B1" w14:textId="1F615F65"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-0.09 (-0.2</w:t>
            </w:r>
            <w:r w:rsidR="002C1313" w:rsidRPr="00813425">
              <w:rPr>
                <w:rFonts w:ascii="Calibri" w:eastAsia="Times New Roman" w:hAnsi="Calibri" w:cs="Calibri"/>
                <w:sz w:val="16"/>
                <w:szCs w:val="16"/>
                <w:lang w:eastAsia="en-ZW"/>
              </w:rPr>
              <w:t>,</w:t>
            </w:r>
            <w:r w:rsidRPr="00813425">
              <w:rPr>
                <w:rFonts w:ascii="Calibri" w:eastAsia="Times New Roman" w:hAnsi="Calibri" w:cs="Calibri"/>
                <w:sz w:val="16"/>
                <w:szCs w:val="16"/>
                <w:lang w:eastAsia="en-ZW"/>
              </w:rPr>
              <w:t xml:space="preserve"> 0.0)</w:t>
            </w:r>
          </w:p>
        </w:tc>
        <w:tc>
          <w:tcPr>
            <w:tcW w:w="708" w:type="dxa"/>
            <w:tcBorders>
              <w:top w:val="nil"/>
              <w:left w:val="nil"/>
              <w:bottom w:val="single" w:sz="4" w:space="0" w:color="auto"/>
              <w:right w:val="single" w:sz="4" w:space="0" w:color="auto"/>
            </w:tcBorders>
            <w:shd w:val="clear" w:color="auto" w:fill="auto"/>
            <w:noWrap/>
            <w:vAlign w:val="bottom"/>
            <w:hideMark/>
          </w:tcPr>
          <w:p w14:paraId="385887DA" w14:textId="77777777"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0.072</w:t>
            </w:r>
          </w:p>
        </w:tc>
        <w:tc>
          <w:tcPr>
            <w:tcW w:w="1413" w:type="dxa"/>
            <w:tcBorders>
              <w:top w:val="nil"/>
              <w:left w:val="nil"/>
              <w:bottom w:val="single" w:sz="4" w:space="0" w:color="auto"/>
              <w:right w:val="single" w:sz="4" w:space="0" w:color="auto"/>
            </w:tcBorders>
            <w:shd w:val="clear" w:color="auto" w:fill="auto"/>
            <w:noWrap/>
            <w:vAlign w:val="bottom"/>
            <w:hideMark/>
          </w:tcPr>
          <w:p w14:paraId="37608FF6" w14:textId="7E25D14E"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0.02 (-0.0</w:t>
            </w:r>
            <w:r w:rsidR="002C1313" w:rsidRPr="00813425">
              <w:rPr>
                <w:rFonts w:ascii="Calibri" w:eastAsia="Times New Roman" w:hAnsi="Calibri" w:cs="Calibri"/>
                <w:sz w:val="16"/>
                <w:szCs w:val="16"/>
                <w:lang w:eastAsia="en-ZW"/>
              </w:rPr>
              <w:t>,</w:t>
            </w:r>
            <w:r w:rsidRPr="00813425">
              <w:rPr>
                <w:rFonts w:ascii="Calibri" w:eastAsia="Times New Roman" w:hAnsi="Calibri" w:cs="Calibri"/>
                <w:sz w:val="16"/>
                <w:szCs w:val="16"/>
                <w:lang w:eastAsia="en-ZW"/>
              </w:rPr>
              <w:t xml:space="preserve"> 0.1)</w:t>
            </w:r>
          </w:p>
        </w:tc>
        <w:tc>
          <w:tcPr>
            <w:tcW w:w="850" w:type="dxa"/>
            <w:tcBorders>
              <w:top w:val="nil"/>
              <w:left w:val="nil"/>
              <w:bottom w:val="single" w:sz="4" w:space="0" w:color="auto"/>
              <w:right w:val="single" w:sz="4" w:space="0" w:color="auto"/>
            </w:tcBorders>
            <w:shd w:val="clear" w:color="auto" w:fill="auto"/>
            <w:noWrap/>
            <w:vAlign w:val="bottom"/>
            <w:hideMark/>
          </w:tcPr>
          <w:p w14:paraId="0E7F9B13" w14:textId="77777777"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0.501</w:t>
            </w:r>
          </w:p>
        </w:tc>
        <w:tc>
          <w:tcPr>
            <w:tcW w:w="950" w:type="dxa"/>
            <w:tcBorders>
              <w:top w:val="nil"/>
              <w:left w:val="nil"/>
              <w:bottom w:val="single" w:sz="4" w:space="0" w:color="auto"/>
              <w:right w:val="single" w:sz="4" w:space="0" w:color="auto"/>
            </w:tcBorders>
            <w:shd w:val="clear" w:color="auto" w:fill="auto"/>
            <w:noWrap/>
            <w:vAlign w:val="bottom"/>
            <w:hideMark/>
          </w:tcPr>
          <w:p w14:paraId="506CDF0D"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0.064</w:t>
            </w:r>
          </w:p>
        </w:tc>
        <w:tc>
          <w:tcPr>
            <w:tcW w:w="1607" w:type="dxa"/>
            <w:gridSpan w:val="2"/>
            <w:tcBorders>
              <w:top w:val="nil"/>
              <w:left w:val="nil"/>
              <w:bottom w:val="single" w:sz="4" w:space="0" w:color="auto"/>
              <w:right w:val="single" w:sz="4" w:space="0" w:color="auto"/>
            </w:tcBorders>
            <w:shd w:val="clear" w:color="auto" w:fill="auto"/>
            <w:noWrap/>
            <w:vAlign w:val="bottom"/>
            <w:hideMark/>
          </w:tcPr>
          <w:p w14:paraId="7BB5C392" w14:textId="044B7C78"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-0.11 (-0.2</w:t>
            </w:r>
            <w:r w:rsidR="002C1313" w:rsidRPr="00813425">
              <w:rPr>
                <w:rFonts w:ascii="Calibri" w:eastAsia="Times New Roman" w:hAnsi="Calibri" w:cs="Calibri"/>
                <w:sz w:val="16"/>
                <w:szCs w:val="16"/>
                <w:lang w:eastAsia="en-ZW"/>
              </w:rPr>
              <w:t>,</w:t>
            </w:r>
            <w:r w:rsidRPr="00813425">
              <w:rPr>
                <w:rFonts w:ascii="Calibri" w:eastAsia="Times New Roman" w:hAnsi="Calibri" w:cs="Calibri"/>
                <w:sz w:val="16"/>
                <w:szCs w:val="16"/>
                <w:lang w:eastAsia="en-ZW"/>
              </w:rPr>
              <w:t xml:space="preserve"> 0)</w:t>
            </w:r>
          </w:p>
        </w:tc>
        <w:tc>
          <w:tcPr>
            <w:tcW w:w="704" w:type="dxa"/>
            <w:tcBorders>
              <w:top w:val="nil"/>
              <w:left w:val="nil"/>
              <w:bottom w:val="single" w:sz="4" w:space="0" w:color="auto"/>
              <w:right w:val="single" w:sz="4" w:space="0" w:color="auto"/>
            </w:tcBorders>
            <w:shd w:val="clear" w:color="auto" w:fill="auto"/>
            <w:noWrap/>
            <w:vAlign w:val="bottom"/>
            <w:hideMark/>
          </w:tcPr>
          <w:p w14:paraId="071CADAE" w14:textId="77777777"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0.061</w:t>
            </w:r>
          </w:p>
        </w:tc>
        <w:tc>
          <w:tcPr>
            <w:tcW w:w="1417" w:type="dxa"/>
            <w:tcBorders>
              <w:top w:val="nil"/>
              <w:left w:val="nil"/>
              <w:bottom w:val="single" w:sz="4" w:space="0" w:color="auto"/>
              <w:right w:val="single" w:sz="4" w:space="0" w:color="auto"/>
            </w:tcBorders>
            <w:shd w:val="clear" w:color="auto" w:fill="auto"/>
            <w:noWrap/>
            <w:vAlign w:val="bottom"/>
            <w:hideMark/>
          </w:tcPr>
          <w:p w14:paraId="723FA694" w14:textId="202D9CA7"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0.02 (-0.1</w:t>
            </w:r>
            <w:r w:rsidR="002C1313" w:rsidRPr="00813425">
              <w:rPr>
                <w:rFonts w:ascii="Calibri" w:eastAsia="Times New Roman" w:hAnsi="Calibri" w:cs="Calibri"/>
                <w:sz w:val="16"/>
                <w:szCs w:val="16"/>
                <w:lang w:eastAsia="en-ZW"/>
              </w:rPr>
              <w:t>,</w:t>
            </w:r>
            <w:r w:rsidRPr="00813425">
              <w:rPr>
                <w:rFonts w:ascii="Calibri" w:eastAsia="Times New Roman" w:hAnsi="Calibri" w:cs="Calibri"/>
                <w:sz w:val="16"/>
                <w:szCs w:val="16"/>
                <w:lang w:eastAsia="en-ZW"/>
              </w:rPr>
              <w:t xml:space="preserve"> 0.1)</w:t>
            </w:r>
          </w:p>
        </w:tc>
        <w:tc>
          <w:tcPr>
            <w:tcW w:w="851" w:type="dxa"/>
            <w:tcBorders>
              <w:top w:val="nil"/>
              <w:left w:val="nil"/>
              <w:bottom w:val="single" w:sz="4" w:space="0" w:color="auto"/>
              <w:right w:val="single" w:sz="4" w:space="0" w:color="auto"/>
            </w:tcBorders>
            <w:shd w:val="clear" w:color="auto" w:fill="auto"/>
            <w:noWrap/>
            <w:vAlign w:val="bottom"/>
            <w:hideMark/>
          </w:tcPr>
          <w:p w14:paraId="0EE668B7" w14:textId="77777777"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0.639</w:t>
            </w:r>
          </w:p>
        </w:tc>
        <w:tc>
          <w:tcPr>
            <w:tcW w:w="1139" w:type="dxa"/>
            <w:tcBorders>
              <w:top w:val="nil"/>
              <w:left w:val="nil"/>
              <w:bottom w:val="single" w:sz="4" w:space="0" w:color="auto"/>
              <w:right w:val="single" w:sz="4" w:space="0" w:color="auto"/>
            </w:tcBorders>
            <w:shd w:val="clear" w:color="auto" w:fill="auto"/>
            <w:noWrap/>
            <w:vAlign w:val="bottom"/>
            <w:hideMark/>
          </w:tcPr>
          <w:p w14:paraId="384BEC27"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0.096</w:t>
            </w:r>
          </w:p>
        </w:tc>
      </w:tr>
      <w:tr w:rsidR="0059509C" w:rsidRPr="00813425" w14:paraId="25FD95AE" w14:textId="77777777" w:rsidTr="002C1313">
        <w:trPr>
          <w:trHeight w:val="182"/>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14:paraId="0BDFB71E" w14:textId="5612FEE2" w:rsidR="0059509C" w:rsidRPr="00813425" w:rsidRDefault="0059509C" w:rsidP="003A4397">
            <w:pPr>
              <w:spacing w:after="0" w:line="240" w:lineRule="auto"/>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 38% Stress Strain Index,</w:t>
            </w:r>
            <w:r w:rsidR="002C1313" w:rsidRPr="00813425">
              <w:rPr>
                <w:rFonts w:ascii="Calibri" w:eastAsia="Times New Roman" w:hAnsi="Calibri" w:cs="Calibri"/>
                <w:sz w:val="16"/>
                <w:szCs w:val="16"/>
                <w:lang w:eastAsia="en-ZW"/>
              </w:rPr>
              <w:t xml:space="preserve"> </w:t>
            </w:r>
            <w:r w:rsidRPr="00813425">
              <w:rPr>
                <w:rFonts w:ascii="Calibri" w:eastAsia="Times New Roman" w:hAnsi="Calibri" w:cs="Calibri"/>
                <w:sz w:val="16"/>
                <w:szCs w:val="16"/>
                <w:lang w:eastAsia="en-ZW"/>
              </w:rPr>
              <w:t>mm³</w:t>
            </w:r>
          </w:p>
        </w:tc>
        <w:tc>
          <w:tcPr>
            <w:tcW w:w="1691" w:type="dxa"/>
            <w:tcBorders>
              <w:top w:val="nil"/>
              <w:left w:val="nil"/>
              <w:bottom w:val="single" w:sz="4" w:space="0" w:color="auto"/>
              <w:right w:val="single" w:sz="4" w:space="0" w:color="auto"/>
            </w:tcBorders>
            <w:shd w:val="clear" w:color="auto" w:fill="auto"/>
            <w:noWrap/>
            <w:vAlign w:val="bottom"/>
            <w:hideMark/>
          </w:tcPr>
          <w:p w14:paraId="2080B6BE" w14:textId="6A241426"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-31.62 (-66.2</w:t>
            </w:r>
            <w:r w:rsidR="002C1313" w:rsidRPr="00813425">
              <w:rPr>
                <w:rFonts w:ascii="Calibri" w:eastAsia="Times New Roman" w:hAnsi="Calibri" w:cs="Calibri"/>
                <w:sz w:val="16"/>
                <w:szCs w:val="16"/>
                <w:lang w:eastAsia="en-ZW"/>
              </w:rPr>
              <w:t>,</w:t>
            </w:r>
            <w:r w:rsidRPr="00813425">
              <w:rPr>
                <w:rFonts w:ascii="Calibri" w:eastAsia="Times New Roman" w:hAnsi="Calibri" w:cs="Calibri"/>
                <w:sz w:val="16"/>
                <w:szCs w:val="16"/>
                <w:lang w:eastAsia="en-ZW"/>
              </w:rPr>
              <w:t xml:space="preserve"> 3.0)</w:t>
            </w:r>
          </w:p>
        </w:tc>
        <w:tc>
          <w:tcPr>
            <w:tcW w:w="708" w:type="dxa"/>
            <w:tcBorders>
              <w:top w:val="nil"/>
              <w:left w:val="nil"/>
              <w:bottom w:val="single" w:sz="4" w:space="0" w:color="auto"/>
              <w:right w:val="single" w:sz="4" w:space="0" w:color="auto"/>
            </w:tcBorders>
            <w:shd w:val="clear" w:color="auto" w:fill="auto"/>
            <w:noWrap/>
            <w:vAlign w:val="bottom"/>
            <w:hideMark/>
          </w:tcPr>
          <w:p w14:paraId="04EF5D63" w14:textId="77777777"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0.073</w:t>
            </w:r>
          </w:p>
        </w:tc>
        <w:tc>
          <w:tcPr>
            <w:tcW w:w="1413" w:type="dxa"/>
            <w:tcBorders>
              <w:top w:val="nil"/>
              <w:left w:val="nil"/>
              <w:bottom w:val="single" w:sz="4" w:space="0" w:color="auto"/>
              <w:right w:val="single" w:sz="4" w:space="0" w:color="auto"/>
            </w:tcBorders>
            <w:shd w:val="clear" w:color="auto" w:fill="auto"/>
            <w:noWrap/>
            <w:vAlign w:val="bottom"/>
            <w:hideMark/>
          </w:tcPr>
          <w:p w14:paraId="6DDE4194" w14:textId="18874880"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9.68 (-20.5</w:t>
            </w:r>
            <w:r w:rsidR="002C1313" w:rsidRPr="00813425">
              <w:rPr>
                <w:rFonts w:ascii="Calibri" w:eastAsia="Times New Roman" w:hAnsi="Calibri" w:cs="Calibri"/>
                <w:sz w:val="16"/>
                <w:szCs w:val="16"/>
                <w:lang w:eastAsia="en-ZW"/>
              </w:rPr>
              <w:t>,</w:t>
            </w:r>
            <w:r w:rsidRPr="00813425">
              <w:rPr>
                <w:rFonts w:ascii="Calibri" w:eastAsia="Times New Roman" w:hAnsi="Calibri" w:cs="Calibri"/>
                <w:sz w:val="16"/>
                <w:szCs w:val="16"/>
                <w:lang w:eastAsia="en-ZW"/>
              </w:rPr>
              <w:t xml:space="preserve"> 39.9)</w:t>
            </w:r>
          </w:p>
        </w:tc>
        <w:tc>
          <w:tcPr>
            <w:tcW w:w="850" w:type="dxa"/>
            <w:tcBorders>
              <w:top w:val="nil"/>
              <w:left w:val="nil"/>
              <w:bottom w:val="single" w:sz="4" w:space="0" w:color="auto"/>
              <w:right w:val="single" w:sz="4" w:space="0" w:color="auto"/>
            </w:tcBorders>
            <w:shd w:val="clear" w:color="auto" w:fill="auto"/>
            <w:noWrap/>
            <w:vAlign w:val="bottom"/>
            <w:hideMark/>
          </w:tcPr>
          <w:p w14:paraId="0286C7D3" w14:textId="77777777"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0.526</w:t>
            </w:r>
          </w:p>
        </w:tc>
        <w:tc>
          <w:tcPr>
            <w:tcW w:w="950" w:type="dxa"/>
            <w:tcBorders>
              <w:top w:val="nil"/>
              <w:left w:val="nil"/>
              <w:bottom w:val="single" w:sz="4" w:space="0" w:color="auto"/>
              <w:right w:val="single" w:sz="4" w:space="0" w:color="auto"/>
            </w:tcBorders>
            <w:shd w:val="clear" w:color="auto" w:fill="auto"/>
            <w:noWrap/>
            <w:vAlign w:val="bottom"/>
            <w:hideMark/>
          </w:tcPr>
          <w:p w14:paraId="07ACA347"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0.072</w:t>
            </w:r>
          </w:p>
        </w:tc>
        <w:tc>
          <w:tcPr>
            <w:tcW w:w="1607" w:type="dxa"/>
            <w:gridSpan w:val="2"/>
            <w:tcBorders>
              <w:top w:val="nil"/>
              <w:left w:val="nil"/>
              <w:bottom w:val="single" w:sz="4" w:space="0" w:color="auto"/>
              <w:right w:val="single" w:sz="4" w:space="0" w:color="auto"/>
            </w:tcBorders>
            <w:shd w:val="clear" w:color="auto" w:fill="auto"/>
            <w:noWrap/>
            <w:vAlign w:val="bottom"/>
            <w:hideMark/>
          </w:tcPr>
          <w:p w14:paraId="05008210" w14:textId="0F1BC480"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-37.27 (-76.9</w:t>
            </w:r>
            <w:r w:rsidR="002C1313" w:rsidRPr="00813425">
              <w:rPr>
                <w:rFonts w:ascii="Calibri" w:eastAsia="Times New Roman" w:hAnsi="Calibri" w:cs="Calibri"/>
                <w:sz w:val="16"/>
                <w:szCs w:val="16"/>
                <w:lang w:eastAsia="en-ZW"/>
              </w:rPr>
              <w:t>,</w:t>
            </w:r>
            <w:r w:rsidRPr="00813425">
              <w:rPr>
                <w:rFonts w:ascii="Calibri" w:eastAsia="Times New Roman" w:hAnsi="Calibri" w:cs="Calibri"/>
                <w:sz w:val="16"/>
                <w:szCs w:val="16"/>
                <w:lang w:eastAsia="en-ZW"/>
              </w:rPr>
              <w:t xml:space="preserve"> 2.4)</w:t>
            </w:r>
          </w:p>
        </w:tc>
        <w:tc>
          <w:tcPr>
            <w:tcW w:w="704" w:type="dxa"/>
            <w:tcBorders>
              <w:top w:val="nil"/>
              <w:left w:val="nil"/>
              <w:bottom w:val="single" w:sz="4" w:space="0" w:color="auto"/>
              <w:right w:val="single" w:sz="4" w:space="0" w:color="auto"/>
            </w:tcBorders>
            <w:shd w:val="clear" w:color="auto" w:fill="auto"/>
            <w:noWrap/>
            <w:vAlign w:val="bottom"/>
            <w:hideMark/>
          </w:tcPr>
          <w:p w14:paraId="7F8A4ACF" w14:textId="77777777"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0.065</w:t>
            </w:r>
          </w:p>
        </w:tc>
        <w:tc>
          <w:tcPr>
            <w:tcW w:w="1417" w:type="dxa"/>
            <w:tcBorders>
              <w:top w:val="nil"/>
              <w:left w:val="nil"/>
              <w:bottom w:val="single" w:sz="4" w:space="0" w:color="auto"/>
              <w:right w:val="single" w:sz="4" w:space="0" w:color="auto"/>
            </w:tcBorders>
            <w:shd w:val="clear" w:color="auto" w:fill="auto"/>
            <w:noWrap/>
            <w:vAlign w:val="bottom"/>
            <w:hideMark/>
          </w:tcPr>
          <w:p w14:paraId="7764E22E" w14:textId="494F0DC2"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9.57 (-26.7</w:t>
            </w:r>
            <w:r w:rsidR="002C1313" w:rsidRPr="00813425">
              <w:rPr>
                <w:rFonts w:ascii="Calibri" w:eastAsia="Times New Roman" w:hAnsi="Calibri" w:cs="Calibri"/>
                <w:sz w:val="16"/>
                <w:szCs w:val="16"/>
                <w:lang w:eastAsia="en-ZW"/>
              </w:rPr>
              <w:t>,</w:t>
            </w:r>
            <w:r w:rsidRPr="00813425">
              <w:rPr>
                <w:rFonts w:ascii="Calibri" w:eastAsia="Times New Roman" w:hAnsi="Calibri" w:cs="Calibri"/>
                <w:sz w:val="16"/>
                <w:szCs w:val="16"/>
                <w:lang w:eastAsia="en-ZW"/>
              </w:rPr>
              <w:t xml:space="preserve"> 45.9)</w:t>
            </w:r>
          </w:p>
        </w:tc>
        <w:tc>
          <w:tcPr>
            <w:tcW w:w="851" w:type="dxa"/>
            <w:tcBorders>
              <w:top w:val="nil"/>
              <w:left w:val="nil"/>
              <w:bottom w:val="single" w:sz="4" w:space="0" w:color="auto"/>
              <w:right w:val="single" w:sz="4" w:space="0" w:color="auto"/>
            </w:tcBorders>
            <w:shd w:val="clear" w:color="auto" w:fill="auto"/>
            <w:noWrap/>
            <w:vAlign w:val="bottom"/>
            <w:hideMark/>
          </w:tcPr>
          <w:p w14:paraId="7446091A" w14:textId="77777777" w:rsidR="0059509C" w:rsidRPr="00813425" w:rsidRDefault="0059509C" w:rsidP="003A4397">
            <w:pPr>
              <w:spacing w:after="0" w:line="240" w:lineRule="auto"/>
              <w:jc w:val="center"/>
              <w:rPr>
                <w:rFonts w:ascii="Calibri" w:eastAsia="Times New Roman" w:hAnsi="Calibri" w:cs="Calibri"/>
                <w:sz w:val="16"/>
                <w:szCs w:val="16"/>
                <w:lang w:eastAsia="en-ZW"/>
              </w:rPr>
            </w:pPr>
            <w:r w:rsidRPr="00813425">
              <w:rPr>
                <w:rFonts w:ascii="Calibri" w:eastAsia="Times New Roman" w:hAnsi="Calibri" w:cs="Calibri"/>
                <w:sz w:val="16"/>
                <w:szCs w:val="16"/>
                <w:lang w:eastAsia="en-ZW"/>
              </w:rPr>
              <w:t>0.602</w:t>
            </w:r>
          </w:p>
        </w:tc>
        <w:tc>
          <w:tcPr>
            <w:tcW w:w="1139" w:type="dxa"/>
            <w:tcBorders>
              <w:top w:val="nil"/>
              <w:left w:val="nil"/>
              <w:bottom w:val="single" w:sz="4" w:space="0" w:color="auto"/>
              <w:right w:val="single" w:sz="4" w:space="0" w:color="auto"/>
            </w:tcBorders>
            <w:shd w:val="clear" w:color="auto" w:fill="auto"/>
            <w:noWrap/>
            <w:vAlign w:val="bottom"/>
            <w:hideMark/>
          </w:tcPr>
          <w:p w14:paraId="3DD8172B" w14:textId="77777777" w:rsidR="0059509C" w:rsidRPr="00813425" w:rsidRDefault="0059509C" w:rsidP="003A4397">
            <w:pPr>
              <w:spacing w:after="0" w:line="240" w:lineRule="auto"/>
              <w:jc w:val="center"/>
              <w:rPr>
                <w:rFonts w:ascii="Calibri" w:eastAsia="Times New Roman" w:hAnsi="Calibri" w:cs="Calibri"/>
                <w:b/>
                <w:bCs/>
                <w:sz w:val="16"/>
                <w:szCs w:val="16"/>
                <w:lang w:eastAsia="en-ZW"/>
              </w:rPr>
            </w:pPr>
            <w:r w:rsidRPr="00813425">
              <w:rPr>
                <w:rFonts w:ascii="Calibri" w:eastAsia="Times New Roman" w:hAnsi="Calibri" w:cs="Calibri"/>
                <w:b/>
                <w:bCs/>
                <w:sz w:val="16"/>
                <w:szCs w:val="16"/>
                <w:lang w:eastAsia="en-ZW"/>
              </w:rPr>
              <w:t>0.097</w:t>
            </w:r>
          </w:p>
        </w:tc>
      </w:tr>
      <w:tr w:rsidR="0059509C" w:rsidRPr="00813425" w14:paraId="704EB603" w14:textId="77777777" w:rsidTr="003A4397">
        <w:trPr>
          <w:gridAfter w:val="5"/>
          <w:wAfter w:w="4674" w:type="dxa"/>
          <w:trHeight w:val="210"/>
        </w:trPr>
        <w:tc>
          <w:tcPr>
            <w:tcW w:w="9360" w:type="dxa"/>
            <w:gridSpan w:val="7"/>
            <w:tcBorders>
              <w:top w:val="nil"/>
              <w:left w:val="nil"/>
              <w:bottom w:val="nil"/>
              <w:right w:val="nil"/>
            </w:tcBorders>
            <w:shd w:val="clear" w:color="auto" w:fill="auto"/>
            <w:noWrap/>
            <w:vAlign w:val="bottom"/>
            <w:hideMark/>
          </w:tcPr>
          <w:p w14:paraId="0C63EB83" w14:textId="77777777" w:rsidR="0059509C" w:rsidRPr="00813425" w:rsidRDefault="0059509C" w:rsidP="003A4397">
            <w:pPr>
              <w:spacing w:after="0" w:line="240" w:lineRule="auto"/>
              <w:rPr>
                <w:rFonts w:ascii="Calibri" w:eastAsia="Times New Roman" w:hAnsi="Calibri" w:cs="Calibri"/>
                <w:b/>
                <w:bCs/>
                <w:i/>
                <w:sz w:val="16"/>
                <w:szCs w:val="16"/>
                <w:lang w:eastAsia="en-ZW"/>
              </w:rPr>
            </w:pPr>
            <w:r w:rsidRPr="00813425">
              <w:rPr>
                <w:rFonts w:ascii="Calibri" w:eastAsia="Times New Roman" w:hAnsi="Calibri" w:cs="Calibri"/>
                <w:b/>
                <w:bCs/>
                <w:i/>
                <w:sz w:val="16"/>
                <w:szCs w:val="16"/>
                <w:lang w:eastAsia="en-ZW"/>
              </w:rPr>
              <w:t xml:space="preserve">*Adjusted for socioeconomic status and orphanhood </w:t>
            </w:r>
          </w:p>
        </w:tc>
      </w:tr>
      <w:tr w:rsidR="0059509C" w:rsidRPr="00C54929" w14:paraId="7F663C60" w14:textId="77777777" w:rsidTr="003A4397">
        <w:trPr>
          <w:gridAfter w:val="5"/>
          <w:wAfter w:w="4674" w:type="dxa"/>
          <w:trHeight w:val="210"/>
        </w:trPr>
        <w:tc>
          <w:tcPr>
            <w:tcW w:w="9360" w:type="dxa"/>
            <w:gridSpan w:val="7"/>
            <w:tcBorders>
              <w:top w:val="nil"/>
              <w:left w:val="nil"/>
              <w:bottom w:val="nil"/>
              <w:right w:val="nil"/>
            </w:tcBorders>
            <w:shd w:val="clear" w:color="auto" w:fill="auto"/>
            <w:noWrap/>
            <w:vAlign w:val="bottom"/>
            <w:hideMark/>
          </w:tcPr>
          <w:p w14:paraId="6F3648FE" w14:textId="77777777" w:rsidR="0059509C" w:rsidRPr="00813425" w:rsidRDefault="0059509C" w:rsidP="003A4397">
            <w:pPr>
              <w:spacing w:after="0" w:line="240" w:lineRule="auto"/>
              <w:rPr>
                <w:rFonts w:ascii="Calibri" w:eastAsia="Times New Roman" w:hAnsi="Calibri" w:cs="Calibri"/>
                <w:b/>
                <w:bCs/>
                <w:i/>
                <w:sz w:val="16"/>
                <w:szCs w:val="16"/>
                <w:lang w:eastAsia="en-ZW"/>
              </w:rPr>
            </w:pPr>
            <w:r w:rsidRPr="00813425">
              <w:rPr>
                <w:rFonts w:ascii="Calibri" w:eastAsia="Times New Roman" w:hAnsi="Calibri" w:cs="Calibri"/>
                <w:b/>
                <w:bCs/>
                <w:i/>
                <w:sz w:val="16"/>
                <w:szCs w:val="16"/>
                <w:lang w:eastAsia="en-ZW"/>
              </w:rPr>
              <w:t>MD (95% CI); Mean Difference (95 % Confidence Interval) with CWOH as the reference group, such that negative values mean that those with HIV have lower values than those with HIV</w:t>
            </w:r>
          </w:p>
          <w:p w14:paraId="16A97E7D" w14:textId="72C42AE2" w:rsidR="002C1313" w:rsidRPr="00C54929" w:rsidRDefault="002C1313" w:rsidP="003A4397">
            <w:pPr>
              <w:spacing w:after="0" w:line="240" w:lineRule="auto"/>
              <w:rPr>
                <w:rFonts w:ascii="Calibri" w:eastAsia="Times New Roman" w:hAnsi="Calibri" w:cs="Calibri"/>
                <w:b/>
                <w:bCs/>
                <w:i/>
                <w:sz w:val="16"/>
                <w:szCs w:val="16"/>
                <w:lang w:eastAsia="en-ZW"/>
              </w:rPr>
            </w:pPr>
            <w:r w:rsidRPr="00813425">
              <w:rPr>
                <w:rFonts w:ascii="Calibri" w:eastAsia="Times New Roman" w:hAnsi="Calibri" w:cs="Calibri"/>
                <w:b/>
                <w:bCs/>
                <w:i/>
                <w:sz w:val="16"/>
                <w:szCs w:val="16"/>
                <w:lang w:eastAsia="en-ZW"/>
              </w:rPr>
              <w:t>CSA; Cross Sectional Area</w:t>
            </w:r>
          </w:p>
        </w:tc>
      </w:tr>
    </w:tbl>
    <w:p w14:paraId="2A091FB6" w14:textId="15FA0E6A" w:rsidR="005928F2" w:rsidRDefault="005928F2" w:rsidP="00C95A78">
      <w:pPr>
        <w:keepNext/>
        <w:spacing w:after="200" w:line="240" w:lineRule="auto"/>
        <w:rPr>
          <w:b/>
          <w:iCs/>
          <w:szCs w:val="18"/>
        </w:rPr>
      </w:pPr>
      <w:r w:rsidRPr="00B35893">
        <w:rPr>
          <w:rFonts w:cstheme="minorHAnsi"/>
          <w:b/>
          <w:i/>
          <w:color w:val="538135" w:themeColor="accent6" w:themeShade="BF"/>
        </w:rPr>
        <w:br/>
      </w:r>
    </w:p>
    <w:p w14:paraId="3507B055" w14:textId="5BCB9F64" w:rsidR="005928F2" w:rsidRDefault="005928F2" w:rsidP="00C95A78">
      <w:pPr>
        <w:keepNext/>
        <w:spacing w:after="200" w:line="240" w:lineRule="auto"/>
        <w:rPr>
          <w:b/>
          <w:iCs/>
          <w:szCs w:val="18"/>
        </w:rPr>
      </w:pPr>
      <w:r>
        <w:rPr>
          <w:b/>
          <w:iCs/>
          <w:szCs w:val="18"/>
        </w:rPr>
        <w:br w:type="page"/>
      </w:r>
    </w:p>
    <w:tbl>
      <w:tblPr>
        <w:tblW w:w="13750" w:type="dxa"/>
        <w:tblLook w:val="04A0" w:firstRow="1" w:lastRow="0" w:firstColumn="1" w:lastColumn="0" w:noHBand="0" w:noVBand="1"/>
      </w:tblPr>
      <w:tblGrid>
        <w:gridCol w:w="2438"/>
        <w:gridCol w:w="2663"/>
        <w:gridCol w:w="3121"/>
        <w:gridCol w:w="2835"/>
        <w:gridCol w:w="2693"/>
      </w:tblGrid>
      <w:tr w:rsidR="0059509C" w:rsidRPr="006F7002" w14:paraId="4D94689F" w14:textId="77777777" w:rsidTr="0059509C">
        <w:trPr>
          <w:trHeight w:val="236"/>
        </w:trPr>
        <w:tc>
          <w:tcPr>
            <w:tcW w:w="13750" w:type="dxa"/>
            <w:gridSpan w:val="5"/>
            <w:tcBorders>
              <w:top w:val="nil"/>
              <w:left w:val="nil"/>
              <w:bottom w:val="nil"/>
              <w:right w:val="nil"/>
            </w:tcBorders>
            <w:shd w:val="clear" w:color="auto" w:fill="auto"/>
            <w:noWrap/>
            <w:vAlign w:val="bottom"/>
            <w:hideMark/>
          </w:tcPr>
          <w:p w14:paraId="227069B7" w14:textId="726F9E12" w:rsidR="0059509C" w:rsidRPr="0059509C" w:rsidRDefault="0059509C" w:rsidP="003A4397">
            <w:pPr>
              <w:spacing w:after="0" w:line="240" w:lineRule="auto"/>
              <w:rPr>
                <w:rFonts w:ascii="Calibri" w:eastAsia="Times New Roman" w:hAnsi="Calibri" w:cs="Calibri"/>
                <w:b/>
                <w:bCs/>
                <w:lang w:eastAsia="en-ZW"/>
              </w:rPr>
            </w:pPr>
            <w:r w:rsidRPr="0059509C">
              <w:rPr>
                <w:rFonts w:ascii="Calibri" w:eastAsia="Times New Roman" w:hAnsi="Calibri" w:cs="Calibri"/>
                <w:b/>
                <w:bCs/>
                <w:lang w:eastAsia="en-ZW"/>
              </w:rPr>
              <w:lastRenderedPageBreak/>
              <w:t xml:space="preserve">Table 4: pQCT bone outcomes of children living with and without HIV after mediation analysis with HIV as exposure, internally generated height for age Z-scores as the mediator and adjusted for SES and orphanhood status </w:t>
            </w:r>
          </w:p>
        </w:tc>
      </w:tr>
      <w:tr w:rsidR="0059509C" w:rsidRPr="006F7002" w14:paraId="23C61CE7" w14:textId="77777777" w:rsidTr="0059509C">
        <w:trPr>
          <w:trHeight w:val="236"/>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7E7F1E" w14:textId="77777777" w:rsidR="0059509C" w:rsidRPr="006F7002" w:rsidRDefault="0059509C" w:rsidP="003A4397">
            <w:pPr>
              <w:spacing w:after="0" w:line="240" w:lineRule="auto"/>
              <w:rPr>
                <w:rFonts w:ascii="Calibri" w:eastAsia="Times New Roman" w:hAnsi="Calibri" w:cs="Calibri"/>
                <w:b/>
                <w:bCs/>
                <w:sz w:val="20"/>
                <w:szCs w:val="20"/>
                <w:lang w:eastAsia="en-ZW"/>
              </w:rPr>
            </w:pPr>
            <w:r w:rsidRPr="006F7002">
              <w:rPr>
                <w:rFonts w:ascii="Calibri" w:eastAsia="Times New Roman" w:hAnsi="Calibri" w:cs="Calibri"/>
                <w:b/>
                <w:bCs/>
                <w:sz w:val="20"/>
                <w:szCs w:val="20"/>
                <w:lang w:eastAsia="en-ZW"/>
              </w:rPr>
              <w:t> </w:t>
            </w:r>
          </w:p>
        </w:tc>
        <w:tc>
          <w:tcPr>
            <w:tcW w:w="11312" w:type="dxa"/>
            <w:gridSpan w:val="4"/>
            <w:tcBorders>
              <w:top w:val="single" w:sz="4" w:space="0" w:color="auto"/>
              <w:left w:val="nil"/>
              <w:bottom w:val="single" w:sz="4" w:space="0" w:color="auto"/>
              <w:right w:val="single" w:sz="4" w:space="0" w:color="auto"/>
            </w:tcBorders>
            <w:shd w:val="clear" w:color="auto" w:fill="auto"/>
            <w:vAlign w:val="bottom"/>
            <w:hideMark/>
          </w:tcPr>
          <w:p w14:paraId="7CDF7630" w14:textId="75927269" w:rsidR="0059509C" w:rsidRPr="006F7002" w:rsidRDefault="0059509C" w:rsidP="003A4397">
            <w:pPr>
              <w:spacing w:after="0" w:line="240" w:lineRule="auto"/>
              <w:jc w:val="center"/>
              <w:rPr>
                <w:rFonts w:ascii="Calibri" w:eastAsia="Times New Roman" w:hAnsi="Calibri" w:cs="Calibri"/>
                <w:b/>
                <w:bCs/>
                <w:sz w:val="20"/>
                <w:szCs w:val="20"/>
                <w:lang w:eastAsia="en-ZW"/>
              </w:rPr>
            </w:pPr>
            <w:r w:rsidRPr="006F7002">
              <w:rPr>
                <w:rFonts w:ascii="Calibri" w:eastAsia="Times New Roman" w:hAnsi="Calibri" w:cs="Calibri"/>
                <w:b/>
                <w:bCs/>
                <w:sz w:val="20"/>
                <w:szCs w:val="20"/>
                <w:lang w:eastAsia="en-ZW"/>
              </w:rPr>
              <w:t xml:space="preserve">Adjusted for </w:t>
            </w:r>
            <w:r>
              <w:rPr>
                <w:rFonts w:ascii="Calibri" w:eastAsia="Times New Roman" w:hAnsi="Calibri" w:cs="Calibri"/>
                <w:b/>
                <w:bCs/>
                <w:sz w:val="20"/>
                <w:szCs w:val="20"/>
                <w:lang w:eastAsia="en-ZW"/>
              </w:rPr>
              <w:t>SES</w:t>
            </w:r>
            <w:r w:rsidRPr="006F7002">
              <w:rPr>
                <w:rFonts w:ascii="Calibri" w:eastAsia="Times New Roman" w:hAnsi="Calibri" w:cs="Calibri"/>
                <w:b/>
                <w:bCs/>
                <w:sz w:val="20"/>
                <w:szCs w:val="20"/>
                <w:lang w:eastAsia="en-ZW"/>
              </w:rPr>
              <w:t xml:space="preserve"> and orphanhood status </w:t>
            </w:r>
          </w:p>
        </w:tc>
      </w:tr>
      <w:tr w:rsidR="0059509C" w:rsidRPr="006F7002" w14:paraId="3EDDA709" w14:textId="77777777" w:rsidTr="0059509C">
        <w:trPr>
          <w:trHeight w:val="710"/>
        </w:trPr>
        <w:tc>
          <w:tcPr>
            <w:tcW w:w="2438" w:type="dxa"/>
            <w:tcBorders>
              <w:top w:val="nil"/>
              <w:left w:val="single" w:sz="4" w:space="0" w:color="auto"/>
              <w:bottom w:val="single" w:sz="4" w:space="0" w:color="auto"/>
              <w:right w:val="single" w:sz="4" w:space="0" w:color="auto"/>
            </w:tcBorders>
            <w:shd w:val="clear" w:color="auto" w:fill="auto"/>
            <w:noWrap/>
            <w:vAlign w:val="bottom"/>
            <w:hideMark/>
          </w:tcPr>
          <w:p w14:paraId="024FA15D" w14:textId="77777777" w:rsidR="0059509C" w:rsidRPr="006F7002" w:rsidRDefault="0059509C" w:rsidP="003A4397">
            <w:pPr>
              <w:spacing w:after="0" w:line="240" w:lineRule="auto"/>
              <w:rPr>
                <w:rFonts w:ascii="Calibri" w:eastAsia="Times New Roman" w:hAnsi="Calibri" w:cs="Calibri"/>
                <w:b/>
                <w:bCs/>
                <w:sz w:val="20"/>
                <w:szCs w:val="20"/>
                <w:lang w:eastAsia="en-ZW"/>
              </w:rPr>
            </w:pPr>
            <w:r w:rsidRPr="006F7002">
              <w:rPr>
                <w:rFonts w:ascii="Calibri" w:eastAsia="Times New Roman" w:hAnsi="Calibri" w:cs="Calibri"/>
                <w:b/>
                <w:bCs/>
                <w:sz w:val="20"/>
                <w:szCs w:val="20"/>
                <w:lang w:eastAsia="en-ZW"/>
              </w:rPr>
              <w:t>Males (n=213)</w:t>
            </w:r>
          </w:p>
        </w:tc>
        <w:tc>
          <w:tcPr>
            <w:tcW w:w="2663" w:type="dxa"/>
            <w:tcBorders>
              <w:top w:val="nil"/>
              <w:left w:val="nil"/>
              <w:bottom w:val="single" w:sz="4" w:space="0" w:color="auto"/>
              <w:right w:val="single" w:sz="4" w:space="0" w:color="auto"/>
            </w:tcBorders>
            <w:shd w:val="clear" w:color="auto" w:fill="auto"/>
            <w:vAlign w:val="bottom"/>
            <w:hideMark/>
          </w:tcPr>
          <w:p w14:paraId="43EE1F49" w14:textId="77777777" w:rsidR="0059509C" w:rsidRPr="006F7002" w:rsidRDefault="0059509C" w:rsidP="003A4397">
            <w:pPr>
              <w:spacing w:after="0" w:line="240" w:lineRule="auto"/>
              <w:jc w:val="center"/>
              <w:rPr>
                <w:rFonts w:ascii="Calibri" w:eastAsia="Times New Roman" w:hAnsi="Calibri" w:cs="Calibri"/>
                <w:b/>
                <w:bCs/>
                <w:sz w:val="20"/>
                <w:szCs w:val="20"/>
                <w:lang w:eastAsia="en-ZW"/>
              </w:rPr>
            </w:pPr>
            <w:r w:rsidRPr="006F7002">
              <w:rPr>
                <w:rFonts w:ascii="Calibri" w:eastAsia="Times New Roman" w:hAnsi="Calibri" w:cs="Calibri"/>
                <w:b/>
                <w:bCs/>
                <w:sz w:val="20"/>
                <w:szCs w:val="20"/>
                <w:lang w:eastAsia="en-ZW"/>
              </w:rPr>
              <w:t>Direct effect of HIV on pQCT outcome, β (95% CI</w:t>
            </w:r>
            <w:proofErr w:type="gramStart"/>
            <w:r w:rsidRPr="006F7002">
              <w:rPr>
                <w:rFonts w:ascii="Calibri" w:eastAsia="Times New Roman" w:hAnsi="Calibri" w:cs="Calibri"/>
                <w:b/>
                <w:bCs/>
                <w:sz w:val="20"/>
                <w:szCs w:val="20"/>
                <w:lang w:eastAsia="en-ZW"/>
              </w:rPr>
              <w:t>);p</w:t>
            </w:r>
            <w:proofErr w:type="gramEnd"/>
            <w:r w:rsidRPr="006F7002">
              <w:rPr>
                <w:rFonts w:ascii="Calibri" w:eastAsia="Times New Roman" w:hAnsi="Calibri" w:cs="Calibri"/>
                <w:b/>
                <w:bCs/>
                <w:sz w:val="20"/>
                <w:szCs w:val="20"/>
                <w:lang w:eastAsia="en-ZW"/>
              </w:rPr>
              <w:t xml:space="preserve"> value</w:t>
            </w:r>
          </w:p>
        </w:tc>
        <w:tc>
          <w:tcPr>
            <w:tcW w:w="3121" w:type="dxa"/>
            <w:tcBorders>
              <w:top w:val="nil"/>
              <w:left w:val="nil"/>
              <w:bottom w:val="single" w:sz="4" w:space="0" w:color="auto"/>
              <w:right w:val="single" w:sz="4" w:space="0" w:color="auto"/>
            </w:tcBorders>
            <w:shd w:val="clear" w:color="auto" w:fill="auto"/>
            <w:vAlign w:val="bottom"/>
            <w:hideMark/>
          </w:tcPr>
          <w:p w14:paraId="21331DB3" w14:textId="77777777" w:rsidR="0059509C" w:rsidRPr="006F7002" w:rsidRDefault="0059509C" w:rsidP="003A4397">
            <w:pPr>
              <w:spacing w:after="0" w:line="240" w:lineRule="auto"/>
              <w:jc w:val="center"/>
              <w:rPr>
                <w:rFonts w:ascii="Calibri" w:eastAsia="Times New Roman" w:hAnsi="Calibri" w:cs="Calibri"/>
                <w:b/>
                <w:bCs/>
                <w:sz w:val="20"/>
                <w:szCs w:val="20"/>
                <w:lang w:eastAsia="en-ZW"/>
              </w:rPr>
            </w:pPr>
            <w:r w:rsidRPr="006F7002">
              <w:rPr>
                <w:rFonts w:ascii="Calibri" w:eastAsia="Times New Roman" w:hAnsi="Calibri" w:cs="Calibri"/>
                <w:b/>
                <w:bCs/>
                <w:sz w:val="20"/>
                <w:szCs w:val="20"/>
                <w:lang w:eastAsia="en-ZW"/>
              </w:rPr>
              <w:t>Effect of Height Z-score on pQCT bone outcome, β (95% CI</w:t>
            </w:r>
            <w:proofErr w:type="gramStart"/>
            <w:r w:rsidRPr="006F7002">
              <w:rPr>
                <w:rFonts w:ascii="Calibri" w:eastAsia="Times New Roman" w:hAnsi="Calibri" w:cs="Calibri"/>
                <w:b/>
                <w:bCs/>
                <w:sz w:val="20"/>
                <w:szCs w:val="20"/>
                <w:lang w:eastAsia="en-ZW"/>
              </w:rPr>
              <w:t>);p</w:t>
            </w:r>
            <w:proofErr w:type="gramEnd"/>
            <w:r w:rsidRPr="006F7002">
              <w:rPr>
                <w:rFonts w:ascii="Calibri" w:eastAsia="Times New Roman" w:hAnsi="Calibri" w:cs="Calibri"/>
                <w:b/>
                <w:bCs/>
                <w:sz w:val="20"/>
                <w:szCs w:val="20"/>
                <w:lang w:eastAsia="en-ZW"/>
              </w:rPr>
              <w:t xml:space="preserve"> value</w:t>
            </w:r>
          </w:p>
        </w:tc>
        <w:tc>
          <w:tcPr>
            <w:tcW w:w="2835" w:type="dxa"/>
            <w:tcBorders>
              <w:top w:val="nil"/>
              <w:left w:val="nil"/>
              <w:bottom w:val="single" w:sz="4" w:space="0" w:color="auto"/>
              <w:right w:val="single" w:sz="4" w:space="0" w:color="auto"/>
            </w:tcBorders>
            <w:shd w:val="clear" w:color="auto" w:fill="auto"/>
            <w:vAlign w:val="bottom"/>
            <w:hideMark/>
          </w:tcPr>
          <w:p w14:paraId="41070EE7" w14:textId="77777777" w:rsidR="0059509C" w:rsidRPr="006F7002" w:rsidRDefault="0059509C" w:rsidP="003A4397">
            <w:pPr>
              <w:spacing w:after="0" w:line="240" w:lineRule="auto"/>
              <w:jc w:val="center"/>
              <w:rPr>
                <w:rFonts w:ascii="Calibri" w:eastAsia="Times New Roman" w:hAnsi="Calibri" w:cs="Calibri"/>
                <w:b/>
                <w:bCs/>
                <w:sz w:val="20"/>
                <w:szCs w:val="20"/>
                <w:lang w:eastAsia="en-ZW"/>
              </w:rPr>
            </w:pPr>
            <w:r w:rsidRPr="006F7002">
              <w:rPr>
                <w:rFonts w:ascii="Calibri" w:eastAsia="Times New Roman" w:hAnsi="Calibri" w:cs="Calibri"/>
                <w:b/>
                <w:bCs/>
                <w:sz w:val="20"/>
                <w:szCs w:val="20"/>
                <w:lang w:eastAsia="en-ZW"/>
              </w:rPr>
              <w:t>Indirect effect of HIV on pQCT outcome, β (95% CI</w:t>
            </w:r>
            <w:proofErr w:type="gramStart"/>
            <w:r w:rsidRPr="006F7002">
              <w:rPr>
                <w:rFonts w:ascii="Calibri" w:eastAsia="Times New Roman" w:hAnsi="Calibri" w:cs="Calibri"/>
                <w:b/>
                <w:bCs/>
                <w:sz w:val="20"/>
                <w:szCs w:val="20"/>
                <w:lang w:eastAsia="en-ZW"/>
              </w:rPr>
              <w:t>);p</w:t>
            </w:r>
            <w:proofErr w:type="gramEnd"/>
            <w:r w:rsidRPr="006F7002">
              <w:rPr>
                <w:rFonts w:ascii="Calibri" w:eastAsia="Times New Roman" w:hAnsi="Calibri" w:cs="Calibri"/>
                <w:b/>
                <w:bCs/>
                <w:sz w:val="20"/>
                <w:szCs w:val="20"/>
                <w:lang w:eastAsia="en-ZW"/>
              </w:rPr>
              <w:t xml:space="preserve"> value</w:t>
            </w:r>
          </w:p>
        </w:tc>
        <w:tc>
          <w:tcPr>
            <w:tcW w:w="2693" w:type="dxa"/>
            <w:tcBorders>
              <w:top w:val="nil"/>
              <w:left w:val="nil"/>
              <w:bottom w:val="single" w:sz="4" w:space="0" w:color="auto"/>
              <w:right w:val="single" w:sz="4" w:space="0" w:color="auto"/>
            </w:tcBorders>
            <w:shd w:val="clear" w:color="auto" w:fill="auto"/>
            <w:vAlign w:val="bottom"/>
            <w:hideMark/>
          </w:tcPr>
          <w:p w14:paraId="46D39A92" w14:textId="77777777" w:rsidR="0059509C" w:rsidRPr="006F7002" w:rsidRDefault="0059509C" w:rsidP="003A4397">
            <w:pPr>
              <w:spacing w:after="0" w:line="240" w:lineRule="auto"/>
              <w:jc w:val="center"/>
              <w:rPr>
                <w:rFonts w:ascii="Calibri" w:eastAsia="Times New Roman" w:hAnsi="Calibri" w:cs="Calibri"/>
                <w:b/>
                <w:bCs/>
                <w:sz w:val="20"/>
                <w:szCs w:val="20"/>
                <w:lang w:eastAsia="en-ZW"/>
              </w:rPr>
            </w:pPr>
            <w:r w:rsidRPr="006F7002">
              <w:rPr>
                <w:rFonts w:ascii="Calibri" w:eastAsia="Times New Roman" w:hAnsi="Calibri" w:cs="Calibri"/>
                <w:b/>
                <w:bCs/>
                <w:sz w:val="20"/>
                <w:szCs w:val="20"/>
                <w:lang w:eastAsia="en-ZW"/>
              </w:rPr>
              <w:t>Total effect of HIV on pQCT outcome, β (95% CI</w:t>
            </w:r>
            <w:proofErr w:type="gramStart"/>
            <w:r w:rsidRPr="006F7002">
              <w:rPr>
                <w:rFonts w:ascii="Calibri" w:eastAsia="Times New Roman" w:hAnsi="Calibri" w:cs="Calibri"/>
                <w:b/>
                <w:bCs/>
                <w:sz w:val="20"/>
                <w:szCs w:val="20"/>
                <w:lang w:eastAsia="en-ZW"/>
              </w:rPr>
              <w:t>);p</w:t>
            </w:r>
            <w:proofErr w:type="gramEnd"/>
            <w:r w:rsidRPr="006F7002">
              <w:rPr>
                <w:rFonts w:ascii="Calibri" w:eastAsia="Times New Roman" w:hAnsi="Calibri" w:cs="Calibri"/>
                <w:b/>
                <w:bCs/>
                <w:sz w:val="20"/>
                <w:szCs w:val="20"/>
                <w:lang w:eastAsia="en-ZW"/>
              </w:rPr>
              <w:t xml:space="preserve"> value</w:t>
            </w:r>
          </w:p>
        </w:tc>
      </w:tr>
      <w:tr w:rsidR="0059509C" w:rsidRPr="006F7002" w14:paraId="08822E2D" w14:textId="77777777" w:rsidTr="0059509C">
        <w:trPr>
          <w:trHeight w:val="236"/>
        </w:trPr>
        <w:tc>
          <w:tcPr>
            <w:tcW w:w="2438" w:type="dxa"/>
            <w:tcBorders>
              <w:top w:val="nil"/>
              <w:left w:val="single" w:sz="4" w:space="0" w:color="auto"/>
              <w:bottom w:val="single" w:sz="4" w:space="0" w:color="auto"/>
              <w:right w:val="single" w:sz="4" w:space="0" w:color="auto"/>
            </w:tcBorders>
            <w:shd w:val="clear" w:color="auto" w:fill="auto"/>
            <w:noWrap/>
            <w:vAlign w:val="bottom"/>
            <w:hideMark/>
          </w:tcPr>
          <w:p w14:paraId="585DCF7F" w14:textId="77777777" w:rsidR="0059509C" w:rsidRPr="006F7002" w:rsidRDefault="0059509C" w:rsidP="003A4397">
            <w:pPr>
              <w:spacing w:after="0" w:line="240" w:lineRule="auto"/>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 4% trabecular density</w:t>
            </w:r>
          </w:p>
        </w:tc>
        <w:tc>
          <w:tcPr>
            <w:tcW w:w="2663" w:type="dxa"/>
            <w:tcBorders>
              <w:top w:val="nil"/>
              <w:left w:val="nil"/>
              <w:bottom w:val="single" w:sz="4" w:space="0" w:color="auto"/>
              <w:right w:val="single" w:sz="4" w:space="0" w:color="auto"/>
            </w:tcBorders>
            <w:shd w:val="clear" w:color="auto" w:fill="auto"/>
            <w:vAlign w:val="bottom"/>
            <w:hideMark/>
          </w:tcPr>
          <w:p w14:paraId="21EE2310" w14:textId="77777777" w:rsidR="0059509C" w:rsidRPr="006F7002" w:rsidRDefault="0059509C" w:rsidP="003A4397">
            <w:pPr>
              <w:spacing w:after="0" w:line="240" w:lineRule="auto"/>
              <w:jc w:val="center"/>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1.02(-0.57, 2.60);0.210</w:t>
            </w:r>
          </w:p>
        </w:tc>
        <w:tc>
          <w:tcPr>
            <w:tcW w:w="3121" w:type="dxa"/>
            <w:tcBorders>
              <w:top w:val="nil"/>
              <w:left w:val="nil"/>
              <w:bottom w:val="single" w:sz="4" w:space="0" w:color="auto"/>
              <w:right w:val="single" w:sz="4" w:space="0" w:color="auto"/>
            </w:tcBorders>
            <w:shd w:val="clear" w:color="auto" w:fill="auto"/>
            <w:vAlign w:val="bottom"/>
            <w:hideMark/>
          </w:tcPr>
          <w:p w14:paraId="47C3F42E" w14:textId="77777777" w:rsidR="0059509C" w:rsidRPr="006F7002" w:rsidRDefault="0059509C" w:rsidP="003A4397">
            <w:pPr>
              <w:spacing w:after="0" w:line="240" w:lineRule="auto"/>
              <w:jc w:val="center"/>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1.02(-4.95, 6.98);0.738</w:t>
            </w:r>
          </w:p>
        </w:tc>
        <w:tc>
          <w:tcPr>
            <w:tcW w:w="2835" w:type="dxa"/>
            <w:tcBorders>
              <w:top w:val="nil"/>
              <w:left w:val="nil"/>
              <w:bottom w:val="single" w:sz="4" w:space="0" w:color="auto"/>
              <w:right w:val="single" w:sz="4" w:space="0" w:color="auto"/>
            </w:tcBorders>
            <w:shd w:val="clear" w:color="auto" w:fill="auto"/>
            <w:vAlign w:val="bottom"/>
            <w:hideMark/>
          </w:tcPr>
          <w:p w14:paraId="437B5A9C" w14:textId="77777777" w:rsidR="0059509C" w:rsidRPr="006F7002" w:rsidRDefault="0059509C" w:rsidP="003A4397">
            <w:pPr>
              <w:spacing w:after="0" w:line="240" w:lineRule="auto"/>
              <w:jc w:val="center"/>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-1.37(-3.56, 0.82);0.221</w:t>
            </w:r>
          </w:p>
        </w:tc>
        <w:tc>
          <w:tcPr>
            <w:tcW w:w="2693" w:type="dxa"/>
            <w:tcBorders>
              <w:top w:val="nil"/>
              <w:left w:val="nil"/>
              <w:bottom w:val="single" w:sz="4" w:space="0" w:color="auto"/>
              <w:right w:val="single" w:sz="4" w:space="0" w:color="auto"/>
            </w:tcBorders>
            <w:shd w:val="clear" w:color="auto" w:fill="auto"/>
            <w:vAlign w:val="bottom"/>
            <w:hideMark/>
          </w:tcPr>
          <w:p w14:paraId="6E4FDA9A" w14:textId="77777777" w:rsidR="0059509C" w:rsidRPr="006F7002" w:rsidRDefault="0059509C" w:rsidP="003A4397">
            <w:pPr>
              <w:spacing w:after="0" w:line="240" w:lineRule="auto"/>
              <w:jc w:val="center"/>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-0.35(-5.94, 5.24);0.902</w:t>
            </w:r>
          </w:p>
        </w:tc>
      </w:tr>
      <w:tr w:rsidR="0059509C" w:rsidRPr="006F7002" w14:paraId="70053D53" w14:textId="77777777" w:rsidTr="0059509C">
        <w:trPr>
          <w:trHeight w:val="236"/>
        </w:trPr>
        <w:tc>
          <w:tcPr>
            <w:tcW w:w="2438" w:type="dxa"/>
            <w:tcBorders>
              <w:top w:val="nil"/>
              <w:left w:val="single" w:sz="4" w:space="0" w:color="auto"/>
              <w:bottom w:val="single" w:sz="4" w:space="0" w:color="auto"/>
              <w:right w:val="single" w:sz="4" w:space="0" w:color="auto"/>
            </w:tcBorders>
            <w:shd w:val="clear" w:color="auto" w:fill="auto"/>
            <w:noWrap/>
            <w:vAlign w:val="bottom"/>
            <w:hideMark/>
          </w:tcPr>
          <w:p w14:paraId="05321AF1" w14:textId="77777777" w:rsidR="0059509C" w:rsidRPr="006F7002" w:rsidRDefault="0059509C" w:rsidP="003A4397">
            <w:pPr>
              <w:spacing w:after="0" w:line="240" w:lineRule="auto"/>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 38% cortical density</w:t>
            </w:r>
          </w:p>
        </w:tc>
        <w:tc>
          <w:tcPr>
            <w:tcW w:w="2663" w:type="dxa"/>
            <w:tcBorders>
              <w:top w:val="nil"/>
              <w:left w:val="nil"/>
              <w:bottom w:val="single" w:sz="4" w:space="0" w:color="auto"/>
              <w:right w:val="single" w:sz="4" w:space="0" w:color="auto"/>
            </w:tcBorders>
            <w:shd w:val="clear" w:color="auto" w:fill="auto"/>
            <w:vAlign w:val="bottom"/>
            <w:hideMark/>
          </w:tcPr>
          <w:p w14:paraId="6E403191" w14:textId="77777777" w:rsidR="0059509C" w:rsidRPr="006F7002" w:rsidRDefault="0059509C" w:rsidP="003A4397">
            <w:pPr>
              <w:spacing w:after="0" w:line="240" w:lineRule="auto"/>
              <w:jc w:val="center"/>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1.29(-4.55, 7.12);0.666</w:t>
            </w:r>
          </w:p>
        </w:tc>
        <w:tc>
          <w:tcPr>
            <w:tcW w:w="3121" w:type="dxa"/>
            <w:tcBorders>
              <w:top w:val="nil"/>
              <w:left w:val="nil"/>
              <w:bottom w:val="single" w:sz="4" w:space="0" w:color="auto"/>
              <w:right w:val="single" w:sz="4" w:space="0" w:color="auto"/>
            </w:tcBorders>
            <w:shd w:val="clear" w:color="auto" w:fill="auto"/>
            <w:vAlign w:val="bottom"/>
            <w:hideMark/>
          </w:tcPr>
          <w:p w14:paraId="2FBA7359" w14:textId="77777777" w:rsidR="0059509C" w:rsidRPr="006F7002" w:rsidRDefault="0059509C" w:rsidP="003A4397">
            <w:pPr>
              <w:spacing w:after="0" w:line="240" w:lineRule="auto"/>
              <w:jc w:val="center"/>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2.36(0.81, 3.91);0.003</w:t>
            </w:r>
          </w:p>
        </w:tc>
        <w:tc>
          <w:tcPr>
            <w:tcW w:w="2835" w:type="dxa"/>
            <w:tcBorders>
              <w:top w:val="nil"/>
              <w:left w:val="nil"/>
              <w:bottom w:val="single" w:sz="4" w:space="0" w:color="auto"/>
              <w:right w:val="single" w:sz="4" w:space="0" w:color="auto"/>
            </w:tcBorders>
            <w:shd w:val="clear" w:color="000000" w:fill="F8CBAD"/>
            <w:vAlign w:val="bottom"/>
            <w:hideMark/>
          </w:tcPr>
          <w:p w14:paraId="1EE7F7EC" w14:textId="77777777" w:rsidR="0059509C" w:rsidRPr="006F7002" w:rsidRDefault="0059509C" w:rsidP="003A4397">
            <w:pPr>
              <w:spacing w:after="0" w:line="240" w:lineRule="auto"/>
              <w:jc w:val="center"/>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-3.19(-5.55, -0.82);0.008</w:t>
            </w:r>
          </w:p>
        </w:tc>
        <w:tc>
          <w:tcPr>
            <w:tcW w:w="2693" w:type="dxa"/>
            <w:tcBorders>
              <w:top w:val="nil"/>
              <w:left w:val="nil"/>
              <w:bottom w:val="single" w:sz="4" w:space="0" w:color="auto"/>
              <w:right w:val="single" w:sz="4" w:space="0" w:color="auto"/>
            </w:tcBorders>
            <w:shd w:val="clear" w:color="auto" w:fill="auto"/>
            <w:vAlign w:val="bottom"/>
            <w:hideMark/>
          </w:tcPr>
          <w:p w14:paraId="441EE35D" w14:textId="77777777" w:rsidR="0059509C" w:rsidRPr="006F7002" w:rsidRDefault="0059509C" w:rsidP="003A4397">
            <w:pPr>
              <w:spacing w:after="0" w:line="240" w:lineRule="auto"/>
              <w:jc w:val="center"/>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-1.90(-7.46, 3.65);0.502</w:t>
            </w:r>
          </w:p>
        </w:tc>
      </w:tr>
      <w:tr w:rsidR="0059509C" w:rsidRPr="006F7002" w14:paraId="59A8FFD0" w14:textId="77777777" w:rsidTr="0059509C">
        <w:trPr>
          <w:trHeight w:val="236"/>
        </w:trPr>
        <w:tc>
          <w:tcPr>
            <w:tcW w:w="2438" w:type="dxa"/>
            <w:tcBorders>
              <w:top w:val="nil"/>
              <w:left w:val="single" w:sz="4" w:space="0" w:color="auto"/>
              <w:bottom w:val="single" w:sz="4" w:space="0" w:color="auto"/>
              <w:right w:val="single" w:sz="4" w:space="0" w:color="auto"/>
            </w:tcBorders>
            <w:shd w:val="clear" w:color="auto" w:fill="auto"/>
            <w:noWrap/>
            <w:vAlign w:val="bottom"/>
            <w:hideMark/>
          </w:tcPr>
          <w:p w14:paraId="140E917D" w14:textId="77777777" w:rsidR="0059509C" w:rsidRPr="006F7002" w:rsidRDefault="0059509C" w:rsidP="003A4397">
            <w:pPr>
              <w:spacing w:after="0" w:line="240" w:lineRule="auto"/>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 4% total CSA</w:t>
            </w:r>
          </w:p>
        </w:tc>
        <w:tc>
          <w:tcPr>
            <w:tcW w:w="2663" w:type="dxa"/>
            <w:tcBorders>
              <w:top w:val="nil"/>
              <w:left w:val="nil"/>
              <w:bottom w:val="single" w:sz="4" w:space="0" w:color="auto"/>
              <w:right w:val="single" w:sz="4" w:space="0" w:color="auto"/>
            </w:tcBorders>
            <w:shd w:val="clear" w:color="auto" w:fill="auto"/>
            <w:vAlign w:val="bottom"/>
            <w:hideMark/>
          </w:tcPr>
          <w:p w14:paraId="0DF03776" w14:textId="77777777" w:rsidR="0059509C" w:rsidRPr="006F7002" w:rsidRDefault="0059509C" w:rsidP="003A4397">
            <w:pPr>
              <w:spacing w:after="0" w:line="240" w:lineRule="auto"/>
              <w:jc w:val="center"/>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7.56(-11.83, 26.95);0.445</w:t>
            </w:r>
          </w:p>
        </w:tc>
        <w:tc>
          <w:tcPr>
            <w:tcW w:w="3121" w:type="dxa"/>
            <w:tcBorders>
              <w:top w:val="nil"/>
              <w:left w:val="nil"/>
              <w:bottom w:val="single" w:sz="4" w:space="0" w:color="auto"/>
              <w:right w:val="single" w:sz="4" w:space="0" w:color="auto"/>
            </w:tcBorders>
            <w:shd w:val="clear" w:color="auto" w:fill="auto"/>
            <w:vAlign w:val="bottom"/>
            <w:hideMark/>
          </w:tcPr>
          <w:p w14:paraId="538C758B" w14:textId="77777777" w:rsidR="0059509C" w:rsidRPr="006F7002" w:rsidRDefault="0059509C" w:rsidP="003A4397">
            <w:pPr>
              <w:spacing w:after="0" w:line="240" w:lineRule="auto"/>
              <w:jc w:val="center"/>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-4.20(-9.36, 0.95);0.110</w:t>
            </w:r>
          </w:p>
        </w:tc>
        <w:tc>
          <w:tcPr>
            <w:tcW w:w="2835" w:type="dxa"/>
            <w:tcBorders>
              <w:top w:val="nil"/>
              <w:left w:val="nil"/>
              <w:bottom w:val="single" w:sz="4" w:space="0" w:color="auto"/>
              <w:right w:val="single" w:sz="4" w:space="0" w:color="auto"/>
            </w:tcBorders>
            <w:shd w:val="clear" w:color="auto" w:fill="auto"/>
            <w:vAlign w:val="bottom"/>
            <w:hideMark/>
          </w:tcPr>
          <w:p w14:paraId="4E8640DE" w14:textId="77777777" w:rsidR="0059509C" w:rsidRPr="006F7002" w:rsidRDefault="0059509C" w:rsidP="003A4397">
            <w:pPr>
              <w:spacing w:after="0" w:line="240" w:lineRule="auto"/>
              <w:jc w:val="center"/>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5.67(-1.56, 12.90);0.124</w:t>
            </w:r>
          </w:p>
        </w:tc>
        <w:tc>
          <w:tcPr>
            <w:tcW w:w="2693" w:type="dxa"/>
            <w:tcBorders>
              <w:top w:val="nil"/>
              <w:left w:val="nil"/>
              <w:bottom w:val="single" w:sz="4" w:space="0" w:color="auto"/>
              <w:right w:val="single" w:sz="4" w:space="0" w:color="auto"/>
            </w:tcBorders>
            <w:shd w:val="clear" w:color="auto" w:fill="auto"/>
            <w:vAlign w:val="bottom"/>
            <w:hideMark/>
          </w:tcPr>
          <w:p w14:paraId="0F7369A8" w14:textId="77777777" w:rsidR="0059509C" w:rsidRPr="006F7002" w:rsidRDefault="0059509C" w:rsidP="003A4397">
            <w:pPr>
              <w:spacing w:after="0" w:line="240" w:lineRule="auto"/>
              <w:jc w:val="center"/>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13.2(-4.98, 31.44);0.154</w:t>
            </w:r>
          </w:p>
        </w:tc>
      </w:tr>
      <w:tr w:rsidR="0059509C" w:rsidRPr="006F7002" w14:paraId="2C2F265B" w14:textId="77777777" w:rsidTr="0059509C">
        <w:trPr>
          <w:trHeight w:val="236"/>
        </w:trPr>
        <w:tc>
          <w:tcPr>
            <w:tcW w:w="2438" w:type="dxa"/>
            <w:tcBorders>
              <w:top w:val="nil"/>
              <w:left w:val="single" w:sz="4" w:space="0" w:color="auto"/>
              <w:bottom w:val="single" w:sz="4" w:space="0" w:color="auto"/>
              <w:right w:val="single" w:sz="4" w:space="0" w:color="auto"/>
            </w:tcBorders>
            <w:shd w:val="clear" w:color="auto" w:fill="auto"/>
            <w:noWrap/>
            <w:vAlign w:val="bottom"/>
            <w:hideMark/>
          </w:tcPr>
          <w:p w14:paraId="436AA7BA" w14:textId="77777777" w:rsidR="0059509C" w:rsidRPr="006F7002" w:rsidRDefault="0059509C" w:rsidP="003A4397">
            <w:pPr>
              <w:spacing w:after="0" w:line="240" w:lineRule="auto"/>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 38% total CSA</w:t>
            </w:r>
          </w:p>
        </w:tc>
        <w:tc>
          <w:tcPr>
            <w:tcW w:w="2663" w:type="dxa"/>
            <w:tcBorders>
              <w:top w:val="nil"/>
              <w:left w:val="nil"/>
              <w:bottom w:val="single" w:sz="4" w:space="0" w:color="auto"/>
              <w:right w:val="single" w:sz="4" w:space="0" w:color="auto"/>
            </w:tcBorders>
            <w:shd w:val="clear" w:color="auto" w:fill="auto"/>
            <w:vAlign w:val="bottom"/>
            <w:hideMark/>
          </w:tcPr>
          <w:p w14:paraId="6DB16A40" w14:textId="77777777" w:rsidR="0059509C" w:rsidRPr="006F7002" w:rsidRDefault="0059509C" w:rsidP="003A4397">
            <w:pPr>
              <w:spacing w:after="0" w:line="240" w:lineRule="auto"/>
              <w:jc w:val="center"/>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0.48(-6.02, 6.215.06);0.864</w:t>
            </w:r>
          </w:p>
        </w:tc>
        <w:tc>
          <w:tcPr>
            <w:tcW w:w="3121" w:type="dxa"/>
            <w:tcBorders>
              <w:top w:val="nil"/>
              <w:left w:val="nil"/>
              <w:bottom w:val="single" w:sz="4" w:space="0" w:color="auto"/>
              <w:right w:val="single" w:sz="4" w:space="0" w:color="auto"/>
            </w:tcBorders>
            <w:shd w:val="clear" w:color="auto" w:fill="auto"/>
            <w:vAlign w:val="bottom"/>
            <w:hideMark/>
          </w:tcPr>
          <w:p w14:paraId="4A4617BB" w14:textId="77777777" w:rsidR="0059509C" w:rsidRPr="006F7002" w:rsidRDefault="0059509C" w:rsidP="003A4397">
            <w:pPr>
              <w:spacing w:after="0" w:line="240" w:lineRule="auto"/>
              <w:jc w:val="center"/>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-0.43(-1.91, 1.04);0.565</w:t>
            </w:r>
          </w:p>
        </w:tc>
        <w:tc>
          <w:tcPr>
            <w:tcW w:w="2835" w:type="dxa"/>
            <w:tcBorders>
              <w:top w:val="nil"/>
              <w:left w:val="nil"/>
              <w:bottom w:val="single" w:sz="4" w:space="0" w:color="auto"/>
              <w:right w:val="single" w:sz="4" w:space="0" w:color="auto"/>
            </w:tcBorders>
            <w:shd w:val="clear" w:color="auto" w:fill="auto"/>
            <w:vAlign w:val="bottom"/>
            <w:hideMark/>
          </w:tcPr>
          <w:p w14:paraId="7E092BC9" w14:textId="77777777" w:rsidR="0059509C" w:rsidRPr="006F7002" w:rsidRDefault="0059509C" w:rsidP="003A4397">
            <w:pPr>
              <w:spacing w:after="0" w:line="240" w:lineRule="auto"/>
              <w:jc w:val="center"/>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-0.58(-1.41, 2.58);0.567</w:t>
            </w:r>
          </w:p>
        </w:tc>
        <w:tc>
          <w:tcPr>
            <w:tcW w:w="2693" w:type="dxa"/>
            <w:tcBorders>
              <w:top w:val="nil"/>
              <w:left w:val="nil"/>
              <w:bottom w:val="single" w:sz="4" w:space="0" w:color="auto"/>
              <w:right w:val="single" w:sz="4" w:space="0" w:color="auto"/>
            </w:tcBorders>
            <w:shd w:val="clear" w:color="auto" w:fill="auto"/>
            <w:vAlign w:val="bottom"/>
            <w:hideMark/>
          </w:tcPr>
          <w:p w14:paraId="40E1A978" w14:textId="77777777" w:rsidR="0059509C" w:rsidRPr="006F7002" w:rsidRDefault="0059509C" w:rsidP="003A4397">
            <w:pPr>
              <w:spacing w:after="0" w:line="240" w:lineRule="auto"/>
              <w:jc w:val="center"/>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0.10(-5.07, 5.28);0.969</w:t>
            </w:r>
          </w:p>
        </w:tc>
      </w:tr>
      <w:tr w:rsidR="0059509C" w:rsidRPr="006F7002" w14:paraId="51DBDAB1" w14:textId="77777777" w:rsidTr="0059509C">
        <w:trPr>
          <w:trHeight w:val="236"/>
        </w:trPr>
        <w:tc>
          <w:tcPr>
            <w:tcW w:w="2438" w:type="dxa"/>
            <w:tcBorders>
              <w:top w:val="nil"/>
              <w:left w:val="single" w:sz="4" w:space="0" w:color="auto"/>
              <w:bottom w:val="single" w:sz="4" w:space="0" w:color="auto"/>
              <w:right w:val="single" w:sz="4" w:space="0" w:color="auto"/>
            </w:tcBorders>
            <w:shd w:val="clear" w:color="auto" w:fill="auto"/>
            <w:noWrap/>
            <w:vAlign w:val="bottom"/>
            <w:hideMark/>
          </w:tcPr>
          <w:p w14:paraId="27DF28A8" w14:textId="77777777" w:rsidR="0059509C" w:rsidRPr="006F7002" w:rsidRDefault="0059509C" w:rsidP="003A4397">
            <w:pPr>
              <w:spacing w:after="0" w:line="240" w:lineRule="auto"/>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 38% cortical thickness</w:t>
            </w:r>
          </w:p>
        </w:tc>
        <w:tc>
          <w:tcPr>
            <w:tcW w:w="2663" w:type="dxa"/>
            <w:tcBorders>
              <w:top w:val="nil"/>
              <w:left w:val="nil"/>
              <w:bottom w:val="single" w:sz="4" w:space="0" w:color="auto"/>
              <w:right w:val="single" w:sz="4" w:space="0" w:color="auto"/>
            </w:tcBorders>
            <w:shd w:val="clear" w:color="auto" w:fill="auto"/>
            <w:vAlign w:val="bottom"/>
            <w:hideMark/>
          </w:tcPr>
          <w:p w14:paraId="37278654" w14:textId="77777777" w:rsidR="0059509C" w:rsidRPr="006F7002" w:rsidRDefault="0059509C" w:rsidP="003A4397">
            <w:pPr>
              <w:spacing w:after="0" w:line="240" w:lineRule="auto"/>
              <w:jc w:val="center"/>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-0.07(-0.13, 0.01);0.047</w:t>
            </w:r>
          </w:p>
        </w:tc>
        <w:tc>
          <w:tcPr>
            <w:tcW w:w="3121" w:type="dxa"/>
            <w:tcBorders>
              <w:top w:val="nil"/>
              <w:left w:val="nil"/>
              <w:bottom w:val="single" w:sz="4" w:space="0" w:color="auto"/>
              <w:right w:val="single" w:sz="4" w:space="0" w:color="auto"/>
            </w:tcBorders>
            <w:shd w:val="clear" w:color="auto" w:fill="auto"/>
            <w:vAlign w:val="bottom"/>
            <w:hideMark/>
          </w:tcPr>
          <w:p w14:paraId="0259216E" w14:textId="77777777" w:rsidR="0059509C" w:rsidRPr="006F7002" w:rsidRDefault="0059509C" w:rsidP="003A4397">
            <w:pPr>
              <w:spacing w:after="0" w:line="240" w:lineRule="auto"/>
              <w:jc w:val="center"/>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-0.01(-0.03, 0.01);0.241</w:t>
            </w:r>
          </w:p>
        </w:tc>
        <w:tc>
          <w:tcPr>
            <w:tcW w:w="2835" w:type="dxa"/>
            <w:tcBorders>
              <w:top w:val="nil"/>
              <w:left w:val="nil"/>
              <w:bottom w:val="single" w:sz="4" w:space="0" w:color="auto"/>
              <w:right w:val="single" w:sz="4" w:space="0" w:color="auto"/>
            </w:tcBorders>
            <w:shd w:val="clear" w:color="auto" w:fill="auto"/>
            <w:vAlign w:val="bottom"/>
            <w:hideMark/>
          </w:tcPr>
          <w:p w14:paraId="3064356E" w14:textId="77777777" w:rsidR="0059509C" w:rsidRPr="006F7002" w:rsidRDefault="0059509C" w:rsidP="003A4397">
            <w:pPr>
              <w:spacing w:after="0" w:line="240" w:lineRule="auto"/>
              <w:jc w:val="center"/>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0.01(-0.01, 0.04);0.251</w:t>
            </w:r>
          </w:p>
        </w:tc>
        <w:tc>
          <w:tcPr>
            <w:tcW w:w="2693" w:type="dxa"/>
            <w:tcBorders>
              <w:top w:val="nil"/>
              <w:left w:val="nil"/>
              <w:bottom w:val="single" w:sz="4" w:space="0" w:color="auto"/>
              <w:right w:val="single" w:sz="4" w:space="0" w:color="auto"/>
            </w:tcBorders>
            <w:shd w:val="clear" w:color="auto" w:fill="auto"/>
            <w:vAlign w:val="bottom"/>
            <w:hideMark/>
          </w:tcPr>
          <w:p w14:paraId="0F6286D9" w14:textId="77777777" w:rsidR="0059509C" w:rsidRPr="006F7002" w:rsidRDefault="0059509C" w:rsidP="003A4397">
            <w:pPr>
              <w:spacing w:after="0" w:line="240" w:lineRule="auto"/>
              <w:jc w:val="center"/>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-0.05(-0.11, 0.01);0.095</w:t>
            </w:r>
          </w:p>
        </w:tc>
      </w:tr>
      <w:tr w:rsidR="0059509C" w:rsidRPr="006F7002" w14:paraId="717FFE6C" w14:textId="77777777" w:rsidTr="0059509C">
        <w:trPr>
          <w:trHeight w:val="236"/>
        </w:trPr>
        <w:tc>
          <w:tcPr>
            <w:tcW w:w="2438" w:type="dxa"/>
            <w:tcBorders>
              <w:top w:val="nil"/>
              <w:left w:val="single" w:sz="4" w:space="0" w:color="auto"/>
              <w:bottom w:val="single" w:sz="4" w:space="0" w:color="auto"/>
              <w:right w:val="single" w:sz="4" w:space="0" w:color="auto"/>
            </w:tcBorders>
            <w:shd w:val="clear" w:color="auto" w:fill="auto"/>
            <w:noWrap/>
            <w:vAlign w:val="bottom"/>
            <w:hideMark/>
          </w:tcPr>
          <w:p w14:paraId="7A61AA6A" w14:textId="77777777" w:rsidR="0059509C" w:rsidRPr="006F7002" w:rsidRDefault="0059509C" w:rsidP="003A4397">
            <w:pPr>
              <w:spacing w:after="0" w:line="240" w:lineRule="auto"/>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 38% SSI</w:t>
            </w:r>
          </w:p>
        </w:tc>
        <w:tc>
          <w:tcPr>
            <w:tcW w:w="2663" w:type="dxa"/>
            <w:tcBorders>
              <w:top w:val="nil"/>
              <w:left w:val="nil"/>
              <w:bottom w:val="single" w:sz="4" w:space="0" w:color="auto"/>
              <w:right w:val="single" w:sz="4" w:space="0" w:color="auto"/>
            </w:tcBorders>
            <w:shd w:val="clear" w:color="auto" w:fill="auto"/>
            <w:vAlign w:val="bottom"/>
            <w:hideMark/>
          </w:tcPr>
          <w:p w14:paraId="0FD396DA" w14:textId="77777777" w:rsidR="0059509C" w:rsidRPr="006F7002" w:rsidRDefault="0059509C" w:rsidP="003A4397">
            <w:pPr>
              <w:spacing w:after="0" w:line="240" w:lineRule="auto"/>
              <w:jc w:val="center"/>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-4.09(-32.10, 23.91);0.774</w:t>
            </w:r>
          </w:p>
        </w:tc>
        <w:tc>
          <w:tcPr>
            <w:tcW w:w="3121" w:type="dxa"/>
            <w:tcBorders>
              <w:top w:val="nil"/>
              <w:left w:val="nil"/>
              <w:bottom w:val="single" w:sz="4" w:space="0" w:color="auto"/>
              <w:right w:val="single" w:sz="4" w:space="0" w:color="auto"/>
            </w:tcBorders>
            <w:shd w:val="clear" w:color="auto" w:fill="auto"/>
            <w:vAlign w:val="bottom"/>
            <w:hideMark/>
          </w:tcPr>
          <w:p w14:paraId="434EE3DD" w14:textId="2F7029AA" w:rsidR="0059509C" w:rsidRPr="006F7002" w:rsidRDefault="0059509C" w:rsidP="003A4397">
            <w:pPr>
              <w:spacing w:after="0" w:line="240" w:lineRule="auto"/>
              <w:jc w:val="center"/>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2.23(-5.21, 9.68);0.56</w:t>
            </w:r>
            <w:r w:rsidR="005B32EF">
              <w:rPr>
                <w:rFonts w:ascii="Calibri" w:eastAsia="Times New Roman" w:hAnsi="Calibri" w:cs="Calibri"/>
                <w:sz w:val="20"/>
                <w:szCs w:val="20"/>
                <w:lang w:eastAsia="en-ZW"/>
              </w:rPr>
              <w:t>0</w:t>
            </w:r>
          </w:p>
        </w:tc>
        <w:tc>
          <w:tcPr>
            <w:tcW w:w="2835" w:type="dxa"/>
            <w:tcBorders>
              <w:top w:val="nil"/>
              <w:left w:val="nil"/>
              <w:bottom w:val="single" w:sz="4" w:space="0" w:color="auto"/>
              <w:right w:val="single" w:sz="4" w:space="0" w:color="auto"/>
            </w:tcBorders>
            <w:shd w:val="clear" w:color="auto" w:fill="auto"/>
            <w:vAlign w:val="bottom"/>
            <w:hideMark/>
          </w:tcPr>
          <w:p w14:paraId="448877BE" w14:textId="77777777" w:rsidR="0059509C" w:rsidRPr="006F7002" w:rsidRDefault="0059509C" w:rsidP="003A4397">
            <w:pPr>
              <w:spacing w:after="0" w:line="240" w:lineRule="auto"/>
              <w:jc w:val="center"/>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-3.02(-13.12, 7.08);0.558</w:t>
            </w:r>
          </w:p>
        </w:tc>
        <w:tc>
          <w:tcPr>
            <w:tcW w:w="2693" w:type="dxa"/>
            <w:tcBorders>
              <w:top w:val="nil"/>
              <w:left w:val="nil"/>
              <w:bottom w:val="single" w:sz="4" w:space="0" w:color="auto"/>
              <w:right w:val="single" w:sz="4" w:space="0" w:color="auto"/>
            </w:tcBorders>
            <w:shd w:val="clear" w:color="auto" w:fill="auto"/>
            <w:vAlign w:val="bottom"/>
            <w:hideMark/>
          </w:tcPr>
          <w:p w14:paraId="4266816D" w14:textId="77777777" w:rsidR="0059509C" w:rsidRPr="006F7002" w:rsidRDefault="0059509C" w:rsidP="003A4397">
            <w:pPr>
              <w:spacing w:after="0" w:line="240" w:lineRule="auto"/>
              <w:jc w:val="center"/>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-7.12(-33.28, 19.05);0.594</w:t>
            </w:r>
          </w:p>
        </w:tc>
      </w:tr>
      <w:tr w:rsidR="0059509C" w:rsidRPr="006F7002" w14:paraId="2017B9AC" w14:textId="77777777" w:rsidTr="0059509C">
        <w:trPr>
          <w:trHeight w:val="710"/>
        </w:trPr>
        <w:tc>
          <w:tcPr>
            <w:tcW w:w="2438" w:type="dxa"/>
            <w:tcBorders>
              <w:top w:val="nil"/>
              <w:left w:val="single" w:sz="4" w:space="0" w:color="auto"/>
              <w:bottom w:val="single" w:sz="4" w:space="0" w:color="auto"/>
              <w:right w:val="single" w:sz="4" w:space="0" w:color="auto"/>
            </w:tcBorders>
            <w:shd w:val="clear" w:color="auto" w:fill="auto"/>
            <w:noWrap/>
            <w:vAlign w:val="bottom"/>
            <w:hideMark/>
          </w:tcPr>
          <w:p w14:paraId="56506E8B" w14:textId="77777777" w:rsidR="0059509C" w:rsidRPr="006F7002" w:rsidRDefault="0059509C" w:rsidP="003A4397">
            <w:pPr>
              <w:spacing w:after="0" w:line="240" w:lineRule="auto"/>
              <w:rPr>
                <w:rFonts w:ascii="Calibri" w:eastAsia="Times New Roman" w:hAnsi="Calibri" w:cs="Calibri"/>
                <w:b/>
                <w:bCs/>
                <w:sz w:val="20"/>
                <w:szCs w:val="20"/>
                <w:lang w:eastAsia="en-ZW"/>
              </w:rPr>
            </w:pPr>
            <w:r w:rsidRPr="006F7002">
              <w:rPr>
                <w:rFonts w:ascii="Calibri" w:eastAsia="Times New Roman" w:hAnsi="Calibri" w:cs="Calibri"/>
                <w:b/>
                <w:bCs/>
                <w:sz w:val="20"/>
                <w:szCs w:val="20"/>
                <w:lang w:eastAsia="en-ZW"/>
              </w:rPr>
              <w:t>Females (n=206)</w:t>
            </w:r>
          </w:p>
        </w:tc>
        <w:tc>
          <w:tcPr>
            <w:tcW w:w="2663" w:type="dxa"/>
            <w:tcBorders>
              <w:top w:val="nil"/>
              <w:left w:val="nil"/>
              <w:bottom w:val="single" w:sz="4" w:space="0" w:color="auto"/>
              <w:right w:val="single" w:sz="4" w:space="0" w:color="auto"/>
            </w:tcBorders>
            <w:shd w:val="clear" w:color="auto" w:fill="auto"/>
            <w:vAlign w:val="bottom"/>
            <w:hideMark/>
          </w:tcPr>
          <w:p w14:paraId="66ADA755" w14:textId="77777777" w:rsidR="0059509C" w:rsidRPr="006F7002" w:rsidRDefault="0059509C" w:rsidP="003A4397">
            <w:pPr>
              <w:spacing w:after="0" w:line="240" w:lineRule="auto"/>
              <w:jc w:val="center"/>
              <w:rPr>
                <w:rFonts w:ascii="Calibri" w:eastAsia="Times New Roman" w:hAnsi="Calibri" w:cs="Calibri"/>
                <w:b/>
                <w:bCs/>
                <w:sz w:val="20"/>
                <w:szCs w:val="20"/>
                <w:lang w:eastAsia="en-ZW"/>
              </w:rPr>
            </w:pPr>
            <w:r w:rsidRPr="006F7002">
              <w:rPr>
                <w:rFonts w:ascii="Calibri" w:eastAsia="Times New Roman" w:hAnsi="Calibri" w:cs="Calibri"/>
                <w:b/>
                <w:bCs/>
                <w:sz w:val="20"/>
                <w:szCs w:val="20"/>
                <w:lang w:eastAsia="en-ZW"/>
              </w:rPr>
              <w:t>Direct effect of HIV on pQCT outcome, β (95% CI</w:t>
            </w:r>
            <w:proofErr w:type="gramStart"/>
            <w:r w:rsidRPr="006F7002">
              <w:rPr>
                <w:rFonts w:ascii="Calibri" w:eastAsia="Times New Roman" w:hAnsi="Calibri" w:cs="Calibri"/>
                <w:b/>
                <w:bCs/>
                <w:sz w:val="20"/>
                <w:szCs w:val="20"/>
                <w:lang w:eastAsia="en-ZW"/>
              </w:rPr>
              <w:t>);p</w:t>
            </w:r>
            <w:proofErr w:type="gramEnd"/>
            <w:r w:rsidRPr="006F7002">
              <w:rPr>
                <w:rFonts w:ascii="Calibri" w:eastAsia="Times New Roman" w:hAnsi="Calibri" w:cs="Calibri"/>
                <w:b/>
                <w:bCs/>
                <w:sz w:val="20"/>
                <w:szCs w:val="20"/>
                <w:lang w:eastAsia="en-ZW"/>
              </w:rPr>
              <w:t xml:space="preserve"> value</w:t>
            </w:r>
          </w:p>
        </w:tc>
        <w:tc>
          <w:tcPr>
            <w:tcW w:w="3121" w:type="dxa"/>
            <w:tcBorders>
              <w:top w:val="nil"/>
              <w:left w:val="nil"/>
              <w:bottom w:val="single" w:sz="4" w:space="0" w:color="auto"/>
              <w:right w:val="single" w:sz="4" w:space="0" w:color="auto"/>
            </w:tcBorders>
            <w:shd w:val="clear" w:color="auto" w:fill="auto"/>
            <w:vAlign w:val="bottom"/>
            <w:hideMark/>
          </w:tcPr>
          <w:p w14:paraId="2EF943BE" w14:textId="77777777" w:rsidR="0059509C" w:rsidRPr="006F7002" w:rsidRDefault="0059509C" w:rsidP="003A4397">
            <w:pPr>
              <w:spacing w:after="0" w:line="240" w:lineRule="auto"/>
              <w:jc w:val="center"/>
              <w:rPr>
                <w:rFonts w:ascii="Calibri" w:eastAsia="Times New Roman" w:hAnsi="Calibri" w:cs="Calibri"/>
                <w:b/>
                <w:bCs/>
                <w:sz w:val="20"/>
                <w:szCs w:val="20"/>
                <w:lang w:eastAsia="en-ZW"/>
              </w:rPr>
            </w:pPr>
            <w:r w:rsidRPr="006F7002">
              <w:rPr>
                <w:rFonts w:ascii="Calibri" w:eastAsia="Times New Roman" w:hAnsi="Calibri" w:cs="Calibri"/>
                <w:b/>
                <w:bCs/>
                <w:sz w:val="20"/>
                <w:szCs w:val="20"/>
                <w:lang w:eastAsia="en-ZW"/>
              </w:rPr>
              <w:t>Effect of Height Z-score on pQCT bone outcome, β (95% CI</w:t>
            </w:r>
            <w:proofErr w:type="gramStart"/>
            <w:r w:rsidRPr="006F7002">
              <w:rPr>
                <w:rFonts w:ascii="Calibri" w:eastAsia="Times New Roman" w:hAnsi="Calibri" w:cs="Calibri"/>
                <w:b/>
                <w:bCs/>
                <w:sz w:val="20"/>
                <w:szCs w:val="20"/>
                <w:lang w:eastAsia="en-ZW"/>
              </w:rPr>
              <w:t>);p</w:t>
            </w:r>
            <w:proofErr w:type="gramEnd"/>
            <w:r w:rsidRPr="006F7002">
              <w:rPr>
                <w:rFonts w:ascii="Calibri" w:eastAsia="Times New Roman" w:hAnsi="Calibri" w:cs="Calibri"/>
                <w:b/>
                <w:bCs/>
                <w:sz w:val="20"/>
                <w:szCs w:val="20"/>
                <w:lang w:eastAsia="en-ZW"/>
              </w:rPr>
              <w:t xml:space="preserve"> value</w:t>
            </w:r>
          </w:p>
        </w:tc>
        <w:tc>
          <w:tcPr>
            <w:tcW w:w="2835" w:type="dxa"/>
            <w:tcBorders>
              <w:top w:val="nil"/>
              <w:left w:val="nil"/>
              <w:bottom w:val="single" w:sz="4" w:space="0" w:color="auto"/>
              <w:right w:val="single" w:sz="4" w:space="0" w:color="auto"/>
            </w:tcBorders>
            <w:shd w:val="clear" w:color="auto" w:fill="auto"/>
            <w:vAlign w:val="bottom"/>
            <w:hideMark/>
          </w:tcPr>
          <w:p w14:paraId="2BA89E06" w14:textId="77777777" w:rsidR="0059509C" w:rsidRPr="006F7002" w:rsidRDefault="0059509C" w:rsidP="003A4397">
            <w:pPr>
              <w:spacing w:after="0" w:line="240" w:lineRule="auto"/>
              <w:jc w:val="center"/>
              <w:rPr>
                <w:rFonts w:ascii="Calibri" w:eastAsia="Times New Roman" w:hAnsi="Calibri" w:cs="Calibri"/>
                <w:b/>
                <w:bCs/>
                <w:sz w:val="20"/>
                <w:szCs w:val="20"/>
                <w:lang w:eastAsia="en-ZW"/>
              </w:rPr>
            </w:pPr>
            <w:r w:rsidRPr="006F7002">
              <w:rPr>
                <w:rFonts w:ascii="Calibri" w:eastAsia="Times New Roman" w:hAnsi="Calibri" w:cs="Calibri"/>
                <w:b/>
                <w:bCs/>
                <w:sz w:val="20"/>
                <w:szCs w:val="20"/>
                <w:lang w:eastAsia="en-ZW"/>
              </w:rPr>
              <w:t>Indirect effect of HIV on pQCT outcome, β (95% CI</w:t>
            </w:r>
            <w:proofErr w:type="gramStart"/>
            <w:r w:rsidRPr="006F7002">
              <w:rPr>
                <w:rFonts w:ascii="Calibri" w:eastAsia="Times New Roman" w:hAnsi="Calibri" w:cs="Calibri"/>
                <w:b/>
                <w:bCs/>
                <w:sz w:val="20"/>
                <w:szCs w:val="20"/>
                <w:lang w:eastAsia="en-ZW"/>
              </w:rPr>
              <w:t>);p</w:t>
            </w:r>
            <w:proofErr w:type="gramEnd"/>
            <w:r w:rsidRPr="006F7002">
              <w:rPr>
                <w:rFonts w:ascii="Calibri" w:eastAsia="Times New Roman" w:hAnsi="Calibri" w:cs="Calibri"/>
                <w:b/>
                <w:bCs/>
                <w:sz w:val="20"/>
                <w:szCs w:val="20"/>
                <w:lang w:eastAsia="en-ZW"/>
              </w:rPr>
              <w:t xml:space="preserve"> value</w:t>
            </w:r>
          </w:p>
        </w:tc>
        <w:tc>
          <w:tcPr>
            <w:tcW w:w="2693" w:type="dxa"/>
            <w:tcBorders>
              <w:top w:val="nil"/>
              <w:left w:val="nil"/>
              <w:bottom w:val="single" w:sz="4" w:space="0" w:color="auto"/>
              <w:right w:val="single" w:sz="4" w:space="0" w:color="auto"/>
            </w:tcBorders>
            <w:shd w:val="clear" w:color="auto" w:fill="auto"/>
            <w:vAlign w:val="bottom"/>
            <w:hideMark/>
          </w:tcPr>
          <w:p w14:paraId="7EC32963" w14:textId="77777777" w:rsidR="0059509C" w:rsidRPr="006F7002" w:rsidRDefault="0059509C" w:rsidP="003A4397">
            <w:pPr>
              <w:spacing w:after="0" w:line="240" w:lineRule="auto"/>
              <w:jc w:val="center"/>
              <w:rPr>
                <w:rFonts w:ascii="Calibri" w:eastAsia="Times New Roman" w:hAnsi="Calibri" w:cs="Calibri"/>
                <w:b/>
                <w:bCs/>
                <w:sz w:val="20"/>
                <w:szCs w:val="20"/>
                <w:lang w:eastAsia="en-ZW"/>
              </w:rPr>
            </w:pPr>
            <w:r w:rsidRPr="006F7002">
              <w:rPr>
                <w:rFonts w:ascii="Calibri" w:eastAsia="Times New Roman" w:hAnsi="Calibri" w:cs="Calibri"/>
                <w:b/>
                <w:bCs/>
                <w:sz w:val="20"/>
                <w:szCs w:val="20"/>
                <w:lang w:eastAsia="en-ZW"/>
              </w:rPr>
              <w:t>Total effect of HIV on pQCT outcome, β (95% CI</w:t>
            </w:r>
            <w:proofErr w:type="gramStart"/>
            <w:r w:rsidRPr="006F7002">
              <w:rPr>
                <w:rFonts w:ascii="Calibri" w:eastAsia="Times New Roman" w:hAnsi="Calibri" w:cs="Calibri"/>
                <w:b/>
                <w:bCs/>
                <w:sz w:val="20"/>
                <w:szCs w:val="20"/>
                <w:lang w:eastAsia="en-ZW"/>
              </w:rPr>
              <w:t>);p</w:t>
            </w:r>
            <w:proofErr w:type="gramEnd"/>
            <w:r w:rsidRPr="006F7002">
              <w:rPr>
                <w:rFonts w:ascii="Calibri" w:eastAsia="Times New Roman" w:hAnsi="Calibri" w:cs="Calibri"/>
                <w:b/>
                <w:bCs/>
                <w:sz w:val="20"/>
                <w:szCs w:val="20"/>
                <w:lang w:eastAsia="en-ZW"/>
              </w:rPr>
              <w:t xml:space="preserve"> value</w:t>
            </w:r>
          </w:p>
        </w:tc>
      </w:tr>
      <w:tr w:rsidR="0059509C" w:rsidRPr="006F7002" w14:paraId="309EC906" w14:textId="77777777" w:rsidTr="0059509C">
        <w:trPr>
          <w:trHeight w:val="236"/>
        </w:trPr>
        <w:tc>
          <w:tcPr>
            <w:tcW w:w="2438" w:type="dxa"/>
            <w:tcBorders>
              <w:top w:val="nil"/>
              <w:left w:val="single" w:sz="4" w:space="0" w:color="auto"/>
              <w:bottom w:val="single" w:sz="4" w:space="0" w:color="auto"/>
              <w:right w:val="single" w:sz="4" w:space="0" w:color="auto"/>
            </w:tcBorders>
            <w:shd w:val="clear" w:color="auto" w:fill="auto"/>
            <w:noWrap/>
            <w:vAlign w:val="bottom"/>
            <w:hideMark/>
          </w:tcPr>
          <w:p w14:paraId="493AB4F4" w14:textId="77777777" w:rsidR="0059509C" w:rsidRPr="006F7002" w:rsidRDefault="0059509C" w:rsidP="003A4397">
            <w:pPr>
              <w:spacing w:after="0" w:line="240" w:lineRule="auto"/>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 4% trabecular density</w:t>
            </w:r>
          </w:p>
        </w:tc>
        <w:tc>
          <w:tcPr>
            <w:tcW w:w="2663" w:type="dxa"/>
            <w:tcBorders>
              <w:top w:val="nil"/>
              <w:left w:val="nil"/>
              <w:bottom w:val="single" w:sz="4" w:space="0" w:color="auto"/>
              <w:right w:val="single" w:sz="4" w:space="0" w:color="auto"/>
            </w:tcBorders>
            <w:shd w:val="clear" w:color="auto" w:fill="auto"/>
            <w:vAlign w:val="bottom"/>
            <w:hideMark/>
          </w:tcPr>
          <w:p w14:paraId="6C3CDAB1" w14:textId="77777777" w:rsidR="0059509C" w:rsidRPr="006F7002" w:rsidRDefault="0059509C" w:rsidP="003A4397">
            <w:pPr>
              <w:spacing w:after="0" w:line="240" w:lineRule="auto"/>
              <w:jc w:val="center"/>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0.86(-3.66, 5.38);0.709</w:t>
            </w:r>
          </w:p>
        </w:tc>
        <w:tc>
          <w:tcPr>
            <w:tcW w:w="3121" w:type="dxa"/>
            <w:tcBorders>
              <w:top w:val="nil"/>
              <w:left w:val="nil"/>
              <w:bottom w:val="single" w:sz="4" w:space="0" w:color="auto"/>
              <w:right w:val="single" w:sz="4" w:space="0" w:color="auto"/>
            </w:tcBorders>
            <w:shd w:val="clear" w:color="auto" w:fill="auto"/>
            <w:vAlign w:val="bottom"/>
            <w:hideMark/>
          </w:tcPr>
          <w:p w14:paraId="759EA146" w14:textId="77777777" w:rsidR="0059509C" w:rsidRPr="006F7002" w:rsidRDefault="0059509C" w:rsidP="003A4397">
            <w:pPr>
              <w:spacing w:after="0" w:line="240" w:lineRule="auto"/>
              <w:jc w:val="center"/>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1.74(0.51, 2.96);0.005</w:t>
            </w:r>
          </w:p>
        </w:tc>
        <w:tc>
          <w:tcPr>
            <w:tcW w:w="2835" w:type="dxa"/>
            <w:tcBorders>
              <w:top w:val="nil"/>
              <w:left w:val="nil"/>
              <w:bottom w:val="single" w:sz="4" w:space="0" w:color="auto"/>
              <w:right w:val="single" w:sz="4" w:space="0" w:color="auto"/>
            </w:tcBorders>
            <w:shd w:val="clear" w:color="000000" w:fill="F8CBAD"/>
            <w:vAlign w:val="bottom"/>
            <w:hideMark/>
          </w:tcPr>
          <w:p w14:paraId="619DE6B3" w14:textId="77777777" w:rsidR="0059509C" w:rsidRPr="006F7002" w:rsidRDefault="0059509C" w:rsidP="003A4397">
            <w:pPr>
              <w:spacing w:after="0" w:line="240" w:lineRule="auto"/>
              <w:jc w:val="center"/>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-2.47(-4.40, -0.55);0.012</w:t>
            </w:r>
          </w:p>
        </w:tc>
        <w:tc>
          <w:tcPr>
            <w:tcW w:w="2693" w:type="dxa"/>
            <w:tcBorders>
              <w:top w:val="nil"/>
              <w:left w:val="nil"/>
              <w:bottom w:val="single" w:sz="4" w:space="0" w:color="auto"/>
              <w:right w:val="single" w:sz="4" w:space="0" w:color="auto"/>
            </w:tcBorders>
            <w:shd w:val="clear" w:color="auto" w:fill="auto"/>
            <w:vAlign w:val="bottom"/>
            <w:hideMark/>
          </w:tcPr>
          <w:p w14:paraId="01A84D01" w14:textId="77777777" w:rsidR="0059509C" w:rsidRPr="006F7002" w:rsidRDefault="0059509C" w:rsidP="003A4397">
            <w:pPr>
              <w:spacing w:after="0" w:line="240" w:lineRule="auto"/>
              <w:jc w:val="center"/>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-1.61(-5.86, 2.64);0.457</w:t>
            </w:r>
          </w:p>
        </w:tc>
      </w:tr>
      <w:tr w:rsidR="0059509C" w:rsidRPr="006F7002" w14:paraId="1083F60D" w14:textId="77777777" w:rsidTr="0059509C">
        <w:trPr>
          <w:trHeight w:val="236"/>
        </w:trPr>
        <w:tc>
          <w:tcPr>
            <w:tcW w:w="2438" w:type="dxa"/>
            <w:tcBorders>
              <w:top w:val="nil"/>
              <w:left w:val="single" w:sz="4" w:space="0" w:color="auto"/>
              <w:bottom w:val="single" w:sz="4" w:space="0" w:color="auto"/>
              <w:right w:val="single" w:sz="4" w:space="0" w:color="auto"/>
            </w:tcBorders>
            <w:shd w:val="clear" w:color="auto" w:fill="auto"/>
            <w:noWrap/>
            <w:vAlign w:val="bottom"/>
            <w:hideMark/>
          </w:tcPr>
          <w:p w14:paraId="5692C4B8" w14:textId="77777777" w:rsidR="0059509C" w:rsidRPr="006F7002" w:rsidRDefault="0059509C" w:rsidP="003A4397">
            <w:pPr>
              <w:spacing w:after="0" w:line="240" w:lineRule="auto"/>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 38% cortical density</w:t>
            </w:r>
          </w:p>
        </w:tc>
        <w:tc>
          <w:tcPr>
            <w:tcW w:w="2663" w:type="dxa"/>
            <w:tcBorders>
              <w:top w:val="nil"/>
              <w:left w:val="nil"/>
              <w:bottom w:val="single" w:sz="4" w:space="0" w:color="auto"/>
              <w:right w:val="single" w:sz="4" w:space="0" w:color="auto"/>
            </w:tcBorders>
            <w:shd w:val="clear" w:color="auto" w:fill="auto"/>
            <w:vAlign w:val="bottom"/>
            <w:hideMark/>
          </w:tcPr>
          <w:p w14:paraId="5791AE82" w14:textId="77777777" w:rsidR="0059509C" w:rsidRPr="006F7002" w:rsidRDefault="0059509C" w:rsidP="003A4397">
            <w:pPr>
              <w:spacing w:after="0" w:line="240" w:lineRule="auto"/>
              <w:jc w:val="center"/>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-0.35(-5.56, 4.86);0.896</w:t>
            </w:r>
          </w:p>
        </w:tc>
        <w:tc>
          <w:tcPr>
            <w:tcW w:w="3121" w:type="dxa"/>
            <w:tcBorders>
              <w:top w:val="nil"/>
              <w:left w:val="nil"/>
              <w:bottom w:val="single" w:sz="4" w:space="0" w:color="auto"/>
              <w:right w:val="single" w:sz="4" w:space="0" w:color="auto"/>
            </w:tcBorders>
            <w:shd w:val="clear" w:color="auto" w:fill="auto"/>
            <w:vAlign w:val="bottom"/>
            <w:hideMark/>
          </w:tcPr>
          <w:p w14:paraId="0AE0835A" w14:textId="77777777" w:rsidR="0059509C" w:rsidRPr="006F7002" w:rsidRDefault="0059509C" w:rsidP="003A4397">
            <w:pPr>
              <w:spacing w:after="0" w:line="240" w:lineRule="auto"/>
              <w:jc w:val="center"/>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2.28(0.87, 3.69);0.002</w:t>
            </w:r>
          </w:p>
        </w:tc>
        <w:tc>
          <w:tcPr>
            <w:tcW w:w="2835" w:type="dxa"/>
            <w:tcBorders>
              <w:top w:val="nil"/>
              <w:left w:val="nil"/>
              <w:bottom w:val="single" w:sz="4" w:space="0" w:color="auto"/>
              <w:right w:val="single" w:sz="4" w:space="0" w:color="auto"/>
            </w:tcBorders>
            <w:shd w:val="clear" w:color="000000" w:fill="F8CBAD"/>
            <w:vAlign w:val="bottom"/>
            <w:hideMark/>
          </w:tcPr>
          <w:p w14:paraId="621BCA2B" w14:textId="77777777" w:rsidR="0059509C" w:rsidRPr="006F7002" w:rsidRDefault="0059509C" w:rsidP="003A4397">
            <w:pPr>
              <w:spacing w:after="0" w:line="240" w:lineRule="auto"/>
              <w:jc w:val="center"/>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-3.26(-5.54, -0.98);0.005</w:t>
            </w:r>
          </w:p>
        </w:tc>
        <w:tc>
          <w:tcPr>
            <w:tcW w:w="2693" w:type="dxa"/>
            <w:tcBorders>
              <w:top w:val="nil"/>
              <w:left w:val="nil"/>
              <w:bottom w:val="single" w:sz="4" w:space="0" w:color="auto"/>
              <w:right w:val="single" w:sz="4" w:space="0" w:color="auto"/>
            </w:tcBorders>
            <w:shd w:val="clear" w:color="auto" w:fill="auto"/>
            <w:vAlign w:val="bottom"/>
            <w:hideMark/>
          </w:tcPr>
          <w:p w14:paraId="5F27AF7B" w14:textId="77777777" w:rsidR="0059509C" w:rsidRPr="006F7002" w:rsidRDefault="0059509C" w:rsidP="003A4397">
            <w:pPr>
              <w:spacing w:after="0" w:line="240" w:lineRule="auto"/>
              <w:jc w:val="center"/>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-3.61(-8.53, 1.31);0.151</w:t>
            </w:r>
          </w:p>
        </w:tc>
      </w:tr>
      <w:tr w:rsidR="0059509C" w:rsidRPr="006F7002" w14:paraId="7262EEE1" w14:textId="77777777" w:rsidTr="0059509C">
        <w:trPr>
          <w:trHeight w:val="236"/>
        </w:trPr>
        <w:tc>
          <w:tcPr>
            <w:tcW w:w="2438" w:type="dxa"/>
            <w:tcBorders>
              <w:top w:val="nil"/>
              <w:left w:val="single" w:sz="4" w:space="0" w:color="auto"/>
              <w:bottom w:val="single" w:sz="4" w:space="0" w:color="auto"/>
              <w:right w:val="single" w:sz="4" w:space="0" w:color="auto"/>
            </w:tcBorders>
            <w:shd w:val="clear" w:color="auto" w:fill="auto"/>
            <w:noWrap/>
            <w:vAlign w:val="bottom"/>
            <w:hideMark/>
          </w:tcPr>
          <w:p w14:paraId="31830792" w14:textId="77777777" w:rsidR="0059509C" w:rsidRPr="006F7002" w:rsidRDefault="0059509C" w:rsidP="003A4397">
            <w:pPr>
              <w:spacing w:after="0" w:line="240" w:lineRule="auto"/>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 4% total CSA</w:t>
            </w:r>
          </w:p>
        </w:tc>
        <w:tc>
          <w:tcPr>
            <w:tcW w:w="2663" w:type="dxa"/>
            <w:tcBorders>
              <w:top w:val="nil"/>
              <w:left w:val="nil"/>
              <w:bottom w:val="single" w:sz="4" w:space="0" w:color="auto"/>
              <w:right w:val="single" w:sz="4" w:space="0" w:color="auto"/>
            </w:tcBorders>
            <w:shd w:val="clear" w:color="auto" w:fill="auto"/>
            <w:vAlign w:val="bottom"/>
            <w:hideMark/>
          </w:tcPr>
          <w:p w14:paraId="0AC64462" w14:textId="77777777" w:rsidR="0059509C" w:rsidRPr="006F7002" w:rsidRDefault="0059509C" w:rsidP="003A4397">
            <w:pPr>
              <w:spacing w:after="0" w:line="240" w:lineRule="auto"/>
              <w:jc w:val="center"/>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6.71(-13.31, 26.83);0.509</w:t>
            </w:r>
          </w:p>
        </w:tc>
        <w:tc>
          <w:tcPr>
            <w:tcW w:w="3121" w:type="dxa"/>
            <w:tcBorders>
              <w:top w:val="nil"/>
              <w:left w:val="nil"/>
              <w:bottom w:val="single" w:sz="4" w:space="0" w:color="auto"/>
              <w:right w:val="single" w:sz="4" w:space="0" w:color="auto"/>
            </w:tcBorders>
            <w:shd w:val="clear" w:color="auto" w:fill="auto"/>
            <w:vAlign w:val="bottom"/>
            <w:hideMark/>
          </w:tcPr>
          <w:p w14:paraId="733A1CFE" w14:textId="77777777" w:rsidR="0059509C" w:rsidRPr="006F7002" w:rsidRDefault="0059509C" w:rsidP="003A4397">
            <w:pPr>
              <w:spacing w:after="0" w:line="240" w:lineRule="auto"/>
              <w:jc w:val="center"/>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0.24(-5.18, 5.66);0.931</w:t>
            </w:r>
          </w:p>
        </w:tc>
        <w:tc>
          <w:tcPr>
            <w:tcW w:w="2835" w:type="dxa"/>
            <w:tcBorders>
              <w:top w:val="nil"/>
              <w:left w:val="nil"/>
              <w:bottom w:val="single" w:sz="4" w:space="0" w:color="auto"/>
              <w:right w:val="single" w:sz="4" w:space="0" w:color="auto"/>
            </w:tcBorders>
            <w:shd w:val="clear" w:color="auto" w:fill="auto"/>
            <w:vAlign w:val="bottom"/>
            <w:hideMark/>
          </w:tcPr>
          <w:p w14:paraId="177741B9" w14:textId="77777777" w:rsidR="0059509C" w:rsidRPr="006F7002" w:rsidRDefault="0059509C" w:rsidP="003A4397">
            <w:pPr>
              <w:spacing w:after="0" w:line="240" w:lineRule="auto"/>
              <w:jc w:val="center"/>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-0.34(-8.08, 7.39);0.931</w:t>
            </w:r>
          </w:p>
        </w:tc>
        <w:tc>
          <w:tcPr>
            <w:tcW w:w="2693" w:type="dxa"/>
            <w:tcBorders>
              <w:top w:val="nil"/>
              <w:left w:val="nil"/>
              <w:bottom w:val="single" w:sz="4" w:space="0" w:color="auto"/>
              <w:right w:val="single" w:sz="4" w:space="0" w:color="auto"/>
            </w:tcBorders>
            <w:shd w:val="clear" w:color="auto" w:fill="auto"/>
            <w:vAlign w:val="bottom"/>
            <w:hideMark/>
          </w:tcPr>
          <w:p w14:paraId="55211D03" w14:textId="77777777" w:rsidR="0059509C" w:rsidRPr="006F7002" w:rsidRDefault="0059509C" w:rsidP="003A4397">
            <w:pPr>
              <w:spacing w:after="0" w:line="240" w:lineRule="auto"/>
              <w:jc w:val="center"/>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6.41(-12.10, 24.94);0.417</w:t>
            </w:r>
          </w:p>
        </w:tc>
      </w:tr>
      <w:tr w:rsidR="0059509C" w:rsidRPr="006F7002" w14:paraId="1290174B" w14:textId="77777777" w:rsidTr="0059509C">
        <w:trPr>
          <w:trHeight w:val="236"/>
        </w:trPr>
        <w:tc>
          <w:tcPr>
            <w:tcW w:w="2438" w:type="dxa"/>
            <w:tcBorders>
              <w:top w:val="nil"/>
              <w:left w:val="single" w:sz="4" w:space="0" w:color="auto"/>
              <w:bottom w:val="single" w:sz="4" w:space="0" w:color="auto"/>
              <w:right w:val="single" w:sz="4" w:space="0" w:color="auto"/>
            </w:tcBorders>
            <w:shd w:val="clear" w:color="auto" w:fill="auto"/>
            <w:noWrap/>
            <w:vAlign w:val="bottom"/>
            <w:hideMark/>
          </w:tcPr>
          <w:p w14:paraId="58731211" w14:textId="77777777" w:rsidR="0059509C" w:rsidRPr="006F7002" w:rsidRDefault="0059509C" w:rsidP="003A4397">
            <w:pPr>
              <w:spacing w:after="0" w:line="240" w:lineRule="auto"/>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 38% total CSA</w:t>
            </w:r>
          </w:p>
        </w:tc>
        <w:tc>
          <w:tcPr>
            <w:tcW w:w="2663" w:type="dxa"/>
            <w:tcBorders>
              <w:top w:val="nil"/>
              <w:left w:val="nil"/>
              <w:bottom w:val="single" w:sz="4" w:space="0" w:color="auto"/>
              <w:right w:val="single" w:sz="4" w:space="0" w:color="auto"/>
            </w:tcBorders>
            <w:shd w:val="clear" w:color="auto" w:fill="auto"/>
            <w:vAlign w:val="bottom"/>
            <w:hideMark/>
          </w:tcPr>
          <w:p w14:paraId="5188F868" w14:textId="77777777" w:rsidR="0059509C" w:rsidRPr="006F7002" w:rsidRDefault="0059509C" w:rsidP="003A4397">
            <w:pPr>
              <w:spacing w:after="0" w:line="240" w:lineRule="auto"/>
              <w:jc w:val="center"/>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2.62(-2.95, 8.17);0.357</w:t>
            </w:r>
          </w:p>
        </w:tc>
        <w:tc>
          <w:tcPr>
            <w:tcW w:w="3121" w:type="dxa"/>
            <w:tcBorders>
              <w:top w:val="nil"/>
              <w:left w:val="nil"/>
              <w:bottom w:val="single" w:sz="4" w:space="0" w:color="auto"/>
              <w:right w:val="single" w:sz="4" w:space="0" w:color="auto"/>
            </w:tcBorders>
            <w:shd w:val="clear" w:color="auto" w:fill="auto"/>
            <w:vAlign w:val="bottom"/>
            <w:hideMark/>
          </w:tcPr>
          <w:p w14:paraId="0EAE8CA5" w14:textId="77777777" w:rsidR="0059509C" w:rsidRPr="006F7002" w:rsidRDefault="0059509C" w:rsidP="003A4397">
            <w:pPr>
              <w:spacing w:after="0" w:line="240" w:lineRule="auto"/>
              <w:jc w:val="center"/>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0.83(-0.68, 2.33);0.282</w:t>
            </w:r>
          </w:p>
        </w:tc>
        <w:tc>
          <w:tcPr>
            <w:tcW w:w="2835" w:type="dxa"/>
            <w:tcBorders>
              <w:top w:val="nil"/>
              <w:left w:val="nil"/>
              <w:bottom w:val="single" w:sz="4" w:space="0" w:color="auto"/>
              <w:right w:val="single" w:sz="4" w:space="0" w:color="auto"/>
            </w:tcBorders>
            <w:shd w:val="clear" w:color="auto" w:fill="auto"/>
            <w:vAlign w:val="bottom"/>
            <w:hideMark/>
          </w:tcPr>
          <w:p w14:paraId="595647C4" w14:textId="77777777" w:rsidR="0059509C" w:rsidRPr="006F7002" w:rsidRDefault="0059509C" w:rsidP="003A4397">
            <w:pPr>
              <w:spacing w:after="0" w:line="240" w:lineRule="auto"/>
              <w:jc w:val="center"/>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-1.18(-3.37, 1.01);0.289</w:t>
            </w:r>
          </w:p>
        </w:tc>
        <w:tc>
          <w:tcPr>
            <w:tcW w:w="2693" w:type="dxa"/>
            <w:tcBorders>
              <w:top w:val="nil"/>
              <w:left w:val="nil"/>
              <w:bottom w:val="single" w:sz="4" w:space="0" w:color="auto"/>
              <w:right w:val="single" w:sz="4" w:space="0" w:color="auto"/>
            </w:tcBorders>
            <w:shd w:val="clear" w:color="auto" w:fill="auto"/>
            <w:vAlign w:val="bottom"/>
            <w:hideMark/>
          </w:tcPr>
          <w:p w14:paraId="5E0C2263" w14:textId="77777777" w:rsidR="0059509C" w:rsidRPr="006F7002" w:rsidRDefault="0059509C" w:rsidP="003A4397">
            <w:pPr>
              <w:spacing w:after="0" w:line="240" w:lineRule="auto"/>
              <w:jc w:val="center"/>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1.44(-3.72, 6.59);0.585</w:t>
            </w:r>
          </w:p>
        </w:tc>
      </w:tr>
      <w:tr w:rsidR="0059509C" w:rsidRPr="006F7002" w14:paraId="4E78792A" w14:textId="77777777" w:rsidTr="0059509C">
        <w:trPr>
          <w:trHeight w:val="236"/>
        </w:trPr>
        <w:tc>
          <w:tcPr>
            <w:tcW w:w="2438" w:type="dxa"/>
            <w:tcBorders>
              <w:top w:val="nil"/>
              <w:left w:val="single" w:sz="4" w:space="0" w:color="auto"/>
              <w:bottom w:val="single" w:sz="4" w:space="0" w:color="auto"/>
              <w:right w:val="single" w:sz="4" w:space="0" w:color="auto"/>
            </w:tcBorders>
            <w:shd w:val="clear" w:color="auto" w:fill="auto"/>
            <w:noWrap/>
            <w:vAlign w:val="bottom"/>
            <w:hideMark/>
          </w:tcPr>
          <w:p w14:paraId="3CDA5E3B" w14:textId="77777777" w:rsidR="0059509C" w:rsidRPr="006F7002" w:rsidRDefault="0059509C" w:rsidP="003A4397">
            <w:pPr>
              <w:spacing w:after="0" w:line="240" w:lineRule="auto"/>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 38% cortical thickness</w:t>
            </w:r>
          </w:p>
        </w:tc>
        <w:tc>
          <w:tcPr>
            <w:tcW w:w="2663" w:type="dxa"/>
            <w:tcBorders>
              <w:top w:val="nil"/>
              <w:left w:val="nil"/>
              <w:bottom w:val="single" w:sz="4" w:space="0" w:color="auto"/>
              <w:right w:val="single" w:sz="4" w:space="0" w:color="auto"/>
            </w:tcBorders>
            <w:shd w:val="clear" w:color="auto" w:fill="auto"/>
            <w:vAlign w:val="bottom"/>
            <w:hideMark/>
          </w:tcPr>
          <w:p w14:paraId="205DC9F0" w14:textId="77777777" w:rsidR="0059509C" w:rsidRPr="006F7002" w:rsidRDefault="0059509C" w:rsidP="003A4397">
            <w:pPr>
              <w:spacing w:after="0" w:line="240" w:lineRule="auto"/>
              <w:jc w:val="center"/>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-0.03(-0.09, 0.04);0.364</w:t>
            </w:r>
          </w:p>
        </w:tc>
        <w:tc>
          <w:tcPr>
            <w:tcW w:w="3121" w:type="dxa"/>
            <w:tcBorders>
              <w:top w:val="nil"/>
              <w:left w:val="nil"/>
              <w:bottom w:val="single" w:sz="4" w:space="0" w:color="auto"/>
              <w:right w:val="single" w:sz="4" w:space="0" w:color="auto"/>
            </w:tcBorders>
            <w:shd w:val="clear" w:color="auto" w:fill="auto"/>
            <w:vAlign w:val="bottom"/>
            <w:hideMark/>
          </w:tcPr>
          <w:p w14:paraId="4918C11F" w14:textId="77777777" w:rsidR="0059509C" w:rsidRPr="006F7002" w:rsidRDefault="0059509C" w:rsidP="003A4397">
            <w:pPr>
              <w:spacing w:after="0" w:line="240" w:lineRule="auto"/>
              <w:jc w:val="center"/>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0.01(-0.01, 0.02);0.667</w:t>
            </w:r>
          </w:p>
        </w:tc>
        <w:tc>
          <w:tcPr>
            <w:tcW w:w="2835" w:type="dxa"/>
            <w:tcBorders>
              <w:top w:val="nil"/>
              <w:left w:val="nil"/>
              <w:bottom w:val="single" w:sz="4" w:space="0" w:color="auto"/>
              <w:right w:val="single" w:sz="4" w:space="0" w:color="auto"/>
            </w:tcBorders>
            <w:shd w:val="clear" w:color="auto" w:fill="auto"/>
            <w:vAlign w:val="bottom"/>
            <w:hideMark/>
          </w:tcPr>
          <w:p w14:paraId="55B5A04C" w14:textId="77777777" w:rsidR="0059509C" w:rsidRPr="006F7002" w:rsidRDefault="0059509C" w:rsidP="003A4397">
            <w:pPr>
              <w:spacing w:after="0" w:line="240" w:lineRule="auto"/>
              <w:jc w:val="center"/>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-0.01(-0.03, 0.02);0.667</w:t>
            </w:r>
          </w:p>
        </w:tc>
        <w:tc>
          <w:tcPr>
            <w:tcW w:w="2693" w:type="dxa"/>
            <w:tcBorders>
              <w:top w:val="nil"/>
              <w:left w:val="nil"/>
              <w:bottom w:val="single" w:sz="4" w:space="0" w:color="auto"/>
              <w:right w:val="single" w:sz="4" w:space="0" w:color="auto"/>
            </w:tcBorders>
            <w:shd w:val="clear" w:color="auto" w:fill="auto"/>
            <w:vAlign w:val="bottom"/>
            <w:hideMark/>
          </w:tcPr>
          <w:p w14:paraId="33D35BE0" w14:textId="77777777" w:rsidR="0059509C" w:rsidRPr="006F7002" w:rsidRDefault="0059509C" w:rsidP="003A4397">
            <w:pPr>
              <w:spacing w:after="0" w:line="240" w:lineRule="auto"/>
              <w:jc w:val="center"/>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-0.04(-0.10, 0.03);0.244</w:t>
            </w:r>
          </w:p>
        </w:tc>
      </w:tr>
      <w:tr w:rsidR="0059509C" w:rsidRPr="006F7002" w14:paraId="53A075A8" w14:textId="77777777" w:rsidTr="0059509C">
        <w:trPr>
          <w:trHeight w:val="236"/>
        </w:trPr>
        <w:tc>
          <w:tcPr>
            <w:tcW w:w="2438" w:type="dxa"/>
            <w:tcBorders>
              <w:top w:val="nil"/>
              <w:left w:val="single" w:sz="4" w:space="0" w:color="auto"/>
              <w:bottom w:val="single" w:sz="4" w:space="0" w:color="auto"/>
              <w:right w:val="single" w:sz="4" w:space="0" w:color="auto"/>
            </w:tcBorders>
            <w:shd w:val="clear" w:color="auto" w:fill="auto"/>
            <w:noWrap/>
            <w:vAlign w:val="bottom"/>
            <w:hideMark/>
          </w:tcPr>
          <w:p w14:paraId="7ECD2376" w14:textId="77777777" w:rsidR="0059509C" w:rsidRPr="006F7002" w:rsidRDefault="0059509C" w:rsidP="003A4397">
            <w:pPr>
              <w:spacing w:after="0" w:line="240" w:lineRule="auto"/>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 38% SSI</w:t>
            </w:r>
          </w:p>
        </w:tc>
        <w:tc>
          <w:tcPr>
            <w:tcW w:w="2663" w:type="dxa"/>
            <w:tcBorders>
              <w:top w:val="nil"/>
              <w:left w:val="nil"/>
              <w:bottom w:val="single" w:sz="4" w:space="0" w:color="auto"/>
              <w:right w:val="single" w:sz="4" w:space="0" w:color="auto"/>
            </w:tcBorders>
            <w:shd w:val="clear" w:color="auto" w:fill="auto"/>
            <w:vAlign w:val="bottom"/>
            <w:hideMark/>
          </w:tcPr>
          <w:p w14:paraId="1ED65297" w14:textId="77777777" w:rsidR="0059509C" w:rsidRPr="006F7002" w:rsidRDefault="0059509C" w:rsidP="003A4397">
            <w:pPr>
              <w:spacing w:after="0" w:line="240" w:lineRule="auto"/>
              <w:jc w:val="center"/>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9.24(--17.54, 36.03);0.499</w:t>
            </w:r>
          </w:p>
        </w:tc>
        <w:tc>
          <w:tcPr>
            <w:tcW w:w="3121" w:type="dxa"/>
            <w:tcBorders>
              <w:top w:val="nil"/>
              <w:left w:val="nil"/>
              <w:bottom w:val="single" w:sz="4" w:space="0" w:color="auto"/>
              <w:right w:val="single" w:sz="4" w:space="0" w:color="auto"/>
            </w:tcBorders>
            <w:shd w:val="clear" w:color="auto" w:fill="auto"/>
            <w:vAlign w:val="bottom"/>
            <w:hideMark/>
          </w:tcPr>
          <w:p w14:paraId="1F2B33EA" w14:textId="77777777" w:rsidR="0059509C" w:rsidRPr="006F7002" w:rsidRDefault="0059509C" w:rsidP="003A4397">
            <w:pPr>
              <w:spacing w:after="0" w:line="240" w:lineRule="auto"/>
              <w:jc w:val="center"/>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11.02(3.78, 18.27);0.003</w:t>
            </w:r>
          </w:p>
        </w:tc>
        <w:tc>
          <w:tcPr>
            <w:tcW w:w="2835" w:type="dxa"/>
            <w:tcBorders>
              <w:top w:val="nil"/>
              <w:left w:val="nil"/>
              <w:bottom w:val="single" w:sz="4" w:space="0" w:color="auto"/>
              <w:right w:val="single" w:sz="4" w:space="0" w:color="auto"/>
            </w:tcBorders>
            <w:shd w:val="clear" w:color="000000" w:fill="F8CBAD"/>
            <w:vAlign w:val="bottom"/>
            <w:hideMark/>
          </w:tcPr>
          <w:p w14:paraId="57734F4E" w14:textId="77777777" w:rsidR="0059509C" w:rsidRPr="006F7002" w:rsidRDefault="0059509C" w:rsidP="003A4397">
            <w:pPr>
              <w:spacing w:after="0" w:line="240" w:lineRule="auto"/>
              <w:jc w:val="center"/>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-15.76(-27.34, -4.19);0.008</w:t>
            </w:r>
          </w:p>
        </w:tc>
        <w:tc>
          <w:tcPr>
            <w:tcW w:w="2693" w:type="dxa"/>
            <w:tcBorders>
              <w:top w:val="nil"/>
              <w:left w:val="nil"/>
              <w:bottom w:val="single" w:sz="4" w:space="0" w:color="auto"/>
              <w:right w:val="single" w:sz="4" w:space="0" w:color="auto"/>
            </w:tcBorders>
            <w:shd w:val="clear" w:color="auto" w:fill="auto"/>
            <w:vAlign w:val="bottom"/>
            <w:hideMark/>
          </w:tcPr>
          <w:p w14:paraId="7DB63F1F" w14:textId="77777777" w:rsidR="0059509C" w:rsidRPr="006F7002" w:rsidRDefault="0059509C" w:rsidP="003A4397">
            <w:pPr>
              <w:spacing w:after="0" w:line="240" w:lineRule="auto"/>
              <w:jc w:val="center"/>
              <w:rPr>
                <w:rFonts w:ascii="Calibri" w:eastAsia="Times New Roman" w:hAnsi="Calibri" w:cs="Calibri"/>
                <w:sz w:val="20"/>
                <w:szCs w:val="20"/>
                <w:lang w:eastAsia="en-ZW"/>
              </w:rPr>
            </w:pPr>
            <w:r w:rsidRPr="006F7002">
              <w:rPr>
                <w:rFonts w:ascii="Calibri" w:eastAsia="Times New Roman" w:hAnsi="Calibri" w:cs="Calibri"/>
                <w:sz w:val="20"/>
                <w:szCs w:val="20"/>
                <w:lang w:eastAsia="en-ZW"/>
              </w:rPr>
              <w:t>-6.52(-31.75, 18.71);0.612</w:t>
            </w:r>
          </w:p>
        </w:tc>
      </w:tr>
      <w:tr w:rsidR="0059509C" w:rsidRPr="006F7002" w14:paraId="51DBA52C" w14:textId="77777777" w:rsidTr="0059509C">
        <w:trPr>
          <w:trHeight w:val="192"/>
        </w:trPr>
        <w:tc>
          <w:tcPr>
            <w:tcW w:w="2438" w:type="dxa"/>
            <w:tcBorders>
              <w:top w:val="nil"/>
              <w:left w:val="nil"/>
              <w:bottom w:val="nil"/>
              <w:right w:val="nil"/>
            </w:tcBorders>
            <w:shd w:val="clear" w:color="auto" w:fill="auto"/>
            <w:noWrap/>
            <w:vAlign w:val="bottom"/>
            <w:hideMark/>
          </w:tcPr>
          <w:p w14:paraId="4DCE8F5D" w14:textId="77777777" w:rsidR="0059509C" w:rsidRPr="006F7002" w:rsidRDefault="0059509C" w:rsidP="003A4397">
            <w:pPr>
              <w:spacing w:after="0" w:line="240" w:lineRule="auto"/>
              <w:jc w:val="center"/>
              <w:rPr>
                <w:rFonts w:ascii="Calibri" w:eastAsia="Times New Roman" w:hAnsi="Calibri" w:cs="Calibri"/>
                <w:sz w:val="20"/>
                <w:szCs w:val="20"/>
                <w:lang w:eastAsia="en-ZW"/>
              </w:rPr>
            </w:pPr>
          </w:p>
        </w:tc>
        <w:tc>
          <w:tcPr>
            <w:tcW w:w="2663" w:type="dxa"/>
            <w:tcBorders>
              <w:top w:val="nil"/>
              <w:left w:val="nil"/>
              <w:bottom w:val="nil"/>
              <w:right w:val="nil"/>
            </w:tcBorders>
            <w:shd w:val="clear" w:color="auto" w:fill="auto"/>
            <w:vAlign w:val="bottom"/>
            <w:hideMark/>
          </w:tcPr>
          <w:p w14:paraId="085EBAC1" w14:textId="77777777" w:rsidR="0059509C" w:rsidRPr="006F7002" w:rsidRDefault="0059509C" w:rsidP="003A4397">
            <w:pPr>
              <w:spacing w:after="0" w:line="240" w:lineRule="auto"/>
              <w:rPr>
                <w:rFonts w:ascii="Times New Roman" w:eastAsia="Times New Roman" w:hAnsi="Times New Roman" w:cs="Times New Roman"/>
                <w:sz w:val="20"/>
                <w:szCs w:val="20"/>
                <w:lang w:eastAsia="en-ZW"/>
              </w:rPr>
            </w:pPr>
          </w:p>
        </w:tc>
        <w:tc>
          <w:tcPr>
            <w:tcW w:w="3121" w:type="dxa"/>
            <w:tcBorders>
              <w:top w:val="nil"/>
              <w:left w:val="nil"/>
              <w:bottom w:val="nil"/>
              <w:right w:val="nil"/>
            </w:tcBorders>
            <w:shd w:val="clear" w:color="auto" w:fill="auto"/>
            <w:vAlign w:val="bottom"/>
            <w:hideMark/>
          </w:tcPr>
          <w:p w14:paraId="352F3B08" w14:textId="77777777" w:rsidR="0059509C" w:rsidRPr="006F7002" w:rsidRDefault="0059509C" w:rsidP="003A4397">
            <w:pPr>
              <w:spacing w:after="0" w:line="240" w:lineRule="auto"/>
              <w:jc w:val="center"/>
              <w:rPr>
                <w:rFonts w:ascii="Times New Roman" w:eastAsia="Times New Roman" w:hAnsi="Times New Roman" w:cs="Times New Roman"/>
                <w:sz w:val="20"/>
                <w:szCs w:val="20"/>
                <w:lang w:eastAsia="en-ZW"/>
              </w:rPr>
            </w:pPr>
          </w:p>
        </w:tc>
        <w:tc>
          <w:tcPr>
            <w:tcW w:w="2835" w:type="dxa"/>
            <w:tcBorders>
              <w:top w:val="nil"/>
              <w:left w:val="nil"/>
              <w:bottom w:val="nil"/>
              <w:right w:val="nil"/>
            </w:tcBorders>
            <w:shd w:val="clear" w:color="auto" w:fill="auto"/>
            <w:vAlign w:val="bottom"/>
            <w:hideMark/>
          </w:tcPr>
          <w:p w14:paraId="6FF86F3B" w14:textId="77777777" w:rsidR="0059509C" w:rsidRPr="006F7002" w:rsidRDefault="0059509C" w:rsidP="003A4397">
            <w:pPr>
              <w:spacing w:after="0" w:line="240" w:lineRule="auto"/>
              <w:jc w:val="center"/>
              <w:rPr>
                <w:rFonts w:ascii="Times New Roman" w:eastAsia="Times New Roman" w:hAnsi="Times New Roman" w:cs="Times New Roman"/>
                <w:sz w:val="20"/>
                <w:szCs w:val="20"/>
                <w:lang w:eastAsia="en-ZW"/>
              </w:rPr>
            </w:pPr>
          </w:p>
        </w:tc>
        <w:tc>
          <w:tcPr>
            <w:tcW w:w="2693" w:type="dxa"/>
            <w:tcBorders>
              <w:top w:val="nil"/>
              <w:left w:val="nil"/>
              <w:bottom w:val="nil"/>
              <w:right w:val="nil"/>
            </w:tcBorders>
            <w:shd w:val="clear" w:color="auto" w:fill="auto"/>
            <w:vAlign w:val="bottom"/>
            <w:hideMark/>
          </w:tcPr>
          <w:p w14:paraId="28D015A8" w14:textId="77777777" w:rsidR="0059509C" w:rsidRPr="006F7002" w:rsidRDefault="0059509C" w:rsidP="003A4397">
            <w:pPr>
              <w:spacing w:after="0" w:line="240" w:lineRule="auto"/>
              <w:jc w:val="center"/>
              <w:rPr>
                <w:rFonts w:ascii="Times New Roman" w:eastAsia="Times New Roman" w:hAnsi="Times New Roman" w:cs="Times New Roman"/>
                <w:sz w:val="20"/>
                <w:szCs w:val="20"/>
                <w:lang w:eastAsia="en-ZW"/>
              </w:rPr>
            </w:pPr>
          </w:p>
        </w:tc>
      </w:tr>
      <w:tr w:rsidR="0059509C" w:rsidRPr="006F7002" w14:paraId="64AF73BB" w14:textId="77777777" w:rsidTr="0059509C">
        <w:trPr>
          <w:trHeight w:val="192"/>
        </w:trPr>
        <w:tc>
          <w:tcPr>
            <w:tcW w:w="11057" w:type="dxa"/>
            <w:gridSpan w:val="4"/>
            <w:tcBorders>
              <w:top w:val="nil"/>
              <w:left w:val="nil"/>
              <w:bottom w:val="nil"/>
              <w:right w:val="nil"/>
            </w:tcBorders>
            <w:shd w:val="clear" w:color="auto" w:fill="auto"/>
            <w:noWrap/>
            <w:vAlign w:val="bottom"/>
            <w:hideMark/>
          </w:tcPr>
          <w:p w14:paraId="725C6C56" w14:textId="77777777" w:rsidR="0059509C" w:rsidRPr="006F7002" w:rsidRDefault="0059509C" w:rsidP="003A4397">
            <w:pPr>
              <w:spacing w:after="0" w:line="240" w:lineRule="auto"/>
              <w:rPr>
                <w:rFonts w:ascii="Calibri" w:eastAsia="Times New Roman" w:hAnsi="Calibri" w:cs="Calibri"/>
                <w:b/>
                <w:bCs/>
                <w:sz w:val="16"/>
                <w:szCs w:val="16"/>
                <w:lang w:eastAsia="en-ZW"/>
              </w:rPr>
            </w:pPr>
            <w:r w:rsidRPr="006F7002">
              <w:rPr>
                <w:rFonts w:ascii="Calibri" w:eastAsia="Times New Roman" w:hAnsi="Calibri" w:cs="Calibri"/>
                <w:b/>
                <w:bCs/>
                <w:sz w:val="16"/>
                <w:szCs w:val="16"/>
                <w:lang w:eastAsia="en-ZW"/>
              </w:rPr>
              <w:t>**The effect of HIV on Zim height z-score at baseline, (β (95% CI</w:t>
            </w:r>
            <w:proofErr w:type="gramStart"/>
            <w:r w:rsidRPr="006F7002">
              <w:rPr>
                <w:rFonts w:ascii="Calibri" w:eastAsia="Times New Roman" w:hAnsi="Calibri" w:cs="Calibri"/>
                <w:b/>
                <w:bCs/>
                <w:sz w:val="16"/>
                <w:szCs w:val="16"/>
                <w:lang w:eastAsia="en-ZW"/>
              </w:rPr>
              <w:t>);p</w:t>
            </w:r>
            <w:proofErr w:type="gramEnd"/>
            <w:r w:rsidRPr="006F7002">
              <w:rPr>
                <w:rFonts w:ascii="Calibri" w:eastAsia="Times New Roman" w:hAnsi="Calibri" w:cs="Calibri"/>
                <w:b/>
                <w:bCs/>
                <w:sz w:val="16"/>
                <w:szCs w:val="16"/>
                <w:lang w:eastAsia="en-ZW"/>
              </w:rPr>
              <w:t xml:space="preserve"> value) was '-0.88 (-1.19, -0.57);&lt;0.001 (males) and '-0.90(-1.24, -0.57);&lt;0.001 (females)</w:t>
            </w:r>
          </w:p>
        </w:tc>
        <w:tc>
          <w:tcPr>
            <w:tcW w:w="2693" w:type="dxa"/>
            <w:tcBorders>
              <w:top w:val="nil"/>
              <w:left w:val="nil"/>
              <w:bottom w:val="nil"/>
              <w:right w:val="nil"/>
            </w:tcBorders>
            <w:shd w:val="clear" w:color="auto" w:fill="auto"/>
            <w:vAlign w:val="bottom"/>
            <w:hideMark/>
          </w:tcPr>
          <w:p w14:paraId="5EB519E6" w14:textId="77777777" w:rsidR="0059509C" w:rsidRPr="006F7002" w:rsidRDefault="0059509C" w:rsidP="003A4397">
            <w:pPr>
              <w:spacing w:after="0" w:line="240" w:lineRule="auto"/>
              <w:rPr>
                <w:rFonts w:ascii="Calibri" w:eastAsia="Times New Roman" w:hAnsi="Calibri" w:cs="Calibri"/>
                <w:b/>
                <w:bCs/>
                <w:sz w:val="16"/>
                <w:szCs w:val="16"/>
                <w:lang w:eastAsia="en-ZW"/>
              </w:rPr>
            </w:pPr>
          </w:p>
        </w:tc>
      </w:tr>
      <w:tr w:rsidR="0059509C" w:rsidRPr="006F7002" w14:paraId="77B63198" w14:textId="77777777" w:rsidTr="0059509C">
        <w:trPr>
          <w:trHeight w:val="192"/>
        </w:trPr>
        <w:tc>
          <w:tcPr>
            <w:tcW w:w="5101" w:type="dxa"/>
            <w:gridSpan w:val="2"/>
            <w:tcBorders>
              <w:top w:val="nil"/>
              <w:left w:val="nil"/>
              <w:bottom w:val="nil"/>
              <w:right w:val="nil"/>
            </w:tcBorders>
            <w:shd w:val="clear" w:color="auto" w:fill="auto"/>
            <w:noWrap/>
            <w:vAlign w:val="bottom"/>
            <w:hideMark/>
          </w:tcPr>
          <w:p w14:paraId="39F7AB58" w14:textId="77777777" w:rsidR="0059509C" w:rsidRPr="006F7002" w:rsidRDefault="0059509C" w:rsidP="003A4397">
            <w:pPr>
              <w:spacing w:after="0" w:line="240" w:lineRule="auto"/>
              <w:rPr>
                <w:rFonts w:ascii="Calibri" w:eastAsia="Times New Roman" w:hAnsi="Calibri" w:cs="Calibri"/>
                <w:b/>
                <w:bCs/>
                <w:sz w:val="16"/>
                <w:szCs w:val="16"/>
                <w:lang w:eastAsia="en-ZW"/>
              </w:rPr>
            </w:pPr>
            <w:r w:rsidRPr="006F7002">
              <w:rPr>
                <w:rFonts w:ascii="Calibri" w:eastAsia="Times New Roman" w:hAnsi="Calibri" w:cs="Calibri"/>
                <w:b/>
                <w:bCs/>
                <w:sz w:val="16"/>
                <w:szCs w:val="16"/>
                <w:lang w:eastAsia="en-ZW"/>
              </w:rPr>
              <w:t>Direct effect is the pathway from HIV to the pQCT outcome</w:t>
            </w:r>
          </w:p>
        </w:tc>
        <w:tc>
          <w:tcPr>
            <w:tcW w:w="3121" w:type="dxa"/>
            <w:tcBorders>
              <w:top w:val="nil"/>
              <w:left w:val="nil"/>
              <w:bottom w:val="nil"/>
              <w:right w:val="nil"/>
            </w:tcBorders>
            <w:shd w:val="clear" w:color="auto" w:fill="auto"/>
            <w:vAlign w:val="bottom"/>
            <w:hideMark/>
          </w:tcPr>
          <w:p w14:paraId="6D7523B6" w14:textId="77777777" w:rsidR="0059509C" w:rsidRPr="006F7002" w:rsidRDefault="0059509C" w:rsidP="003A4397">
            <w:pPr>
              <w:spacing w:after="0" w:line="240" w:lineRule="auto"/>
              <w:rPr>
                <w:rFonts w:ascii="Calibri" w:eastAsia="Times New Roman" w:hAnsi="Calibri" w:cs="Calibri"/>
                <w:b/>
                <w:bCs/>
                <w:sz w:val="16"/>
                <w:szCs w:val="16"/>
                <w:lang w:eastAsia="en-ZW"/>
              </w:rPr>
            </w:pPr>
          </w:p>
        </w:tc>
        <w:tc>
          <w:tcPr>
            <w:tcW w:w="2835" w:type="dxa"/>
            <w:tcBorders>
              <w:top w:val="nil"/>
              <w:left w:val="nil"/>
              <w:bottom w:val="nil"/>
              <w:right w:val="nil"/>
            </w:tcBorders>
            <w:shd w:val="clear" w:color="auto" w:fill="auto"/>
            <w:vAlign w:val="bottom"/>
            <w:hideMark/>
          </w:tcPr>
          <w:p w14:paraId="41E7E7AA" w14:textId="77777777" w:rsidR="0059509C" w:rsidRPr="006F7002" w:rsidRDefault="0059509C" w:rsidP="003A4397">
            <w:pPr>
              <w:spacing w:after="0" w:line="240" w:lineRule="auto"/>
              <w:jc w:val="center"/>
              <w:rPr>
                <w:rFonts w:ascii="Times New Roman" w:eastAsia="Times New Roman" w:hAnsi="Times New Roman" w:cs="Times New Roman"/>
                <w:sz w:val="20"/>
                <w:szCs w:val="20"/>
                <w:lang w:eastAsia="en-ZW"/>
              </w:rPr>
            </w:pPr>
          </w:p>
        </w:tc>
        <w:tc>
          <w:tcPr>
            <w:tcW w:w="2693" w:type="dxa"/>
            <w:tcBorders>
              <w:top w:val="nil"/>
              <w:left w:val="nil"/>
              <w:bottom w:val="nil"/>
              <w:right w:val="nil"/>
            </w:tcBorders>
            <w:shd w:val="clear" w:color="auto" w:fill="auto"/>
            <w:vAlign w:val="bottom"/>
            <w:hideMark/>
          </w:tcPr>
          <w:p w14:paraId="78AF49FC" w14:textId="77777777" w:rsidR="0059509C" w:rsidRPr="006F7002" w:rsidRDefault="0059509C" w:rsidP="003A4397">
            <w:pPr>
              <w:spacing w:after="0" w:line="240" w:lineRule="auto"/>
              <w:jc w:val="center"/>
              <w:rPr>
                <w:rFonts w:ascii="Times New Roman" w:eastAsia="Times New Roman" w:hAnsi="Times New Roman" w:cs="Times New Roman"/>
                <w:sz w:val="20"/>
                <w:szCs w:val="20"/>
                <w:lang w:eastAsia="en-ZW"/>
              </w:rPr>
            </w:pPr>
          </w:p>
        </w:tc>
      </w:tr>
      <w:tr w:rsidR="0059509C" w:rsidRPr="006F7002" w14:paraId="202608BA" w14:textId="77777777" w:rsidTr="0059509C">
        <w:trPr>
          <w:trHeight w:val="192"/>
        </w:trPr>
        <w:tc>
          <w:tcPr>
            <w:tcW w:w="8222" w:type="dxa"/>
            <w:gridSpan w:val="3"/>
            <w:tcBorders>
              <w:top w:val="nil"/>
              <w:left w:val="nil"/>
              <w:bottom w:val="nil"/>
              <w:right w:val="nil"/>
            </w:tcBorders>
            <w:shd w:val="clear" w:color="auto" w:fill="auto"/>
            <w:noWrap/>
            <w:vAlign w:val="bottom"/>
            <w:hideMark/>
          </w:tcPr>
          <w:p w14:paraId="23998789" w14:textId="77777777" w:rsidR="0059509C" w:rsidRPr="006F7002" w:rsidRDefault="0059509C" w:rsidP="003A4397">
            <w:pPr>
              <w:spacing w:after="0" w:line="240" w:lineRule="auto"/>
              <w:rPr>
                <w:rFonts w:ascii="Calibri" w:eastAsia="Times New Roman" w:hAnsi="Calibri" w:cs="Calibri"/>
                <w:b/>
                <w:bCs/>
                <w:sz w:val="16"/>
                <w:szCs w:val="16"/>
                <w:lang w:eastAsia="en-ZW"/>
              </w:rPr>
            </w:pPr>
            <w:r w:rsidRPr="006F7002">
              <w:rPr>
                <w:rFonts w:ascii="Calibri" w:eastAsia="Times New Roman" w:hAnsi="Calibri" w:cs="Calibri"/>
                <w:b/>
                <w:bCs/>
                <w:sz w:val="16"/>
                <w:szCs w:val="16"/>
                <w:lang w:eastAsia="en-ZW"/>
              </w:rPr>
              <w:t>The indirect effect is the pathway from HIV via Zim height</w:t>
            </w:r>
            <w:r>
              <w:rPr>
                <w:rFonts w:ascii="Calibri" w:eastAsia="Times New Roman" w:hAnsi="Calibri" w:cs="Calibri"/>
                <w:b/>
                <w:bCs/>
                <w:sz w:val="16"/>
                <w:szCs w:val="16"/>
                <w:lang w:eastAsia="en-ZW"/>
              </w:rPr>
              <w:t xml:space="preserve"> for age</w:t>
            </w:r>
            <w:r w:rsidRPr="006F7002">
              <w:rPr>
                <w:rFonts w:ascii="Calibri" w:eastAsia="Times New Roman" w:hAnsi="Calibri" w:cs="Calibri"/>
                <w:b/>
                <w:bCs/>
                <w:sz w:val="16"/>
                <w:szCs w:val="16"/>
                <w:lang w:eastAsia="en-ZW"/>
              </w:rPr>
              <w:t xml:space="preserve"> </w:t>
            </w:r>
            <w:r>
              <w:rPr>
                <w:rFonts w:ascii="Calibri" w:eastAsia="Times New Roman" w:hAnsi="Calibri" w:cs="Calibri"/>
                <w:b/>
                <w:bCs/>
                <w:sz w:val="16"/>
                <w:szCs w:val="16"/>
                <w:lang w:eastAsia="en-ZW"/>
              </w:rPr>
              <w:t>Z</w:t>
            </w:r>
            <w:r w:rsidRPr="006F7002">
              <w:rPr>
                <w:rFonts w:ascii="Calibri" w:eastAsia="Times New Roman" w:hAnsi="Calibri" w:cs="Calibri"/>
                <w:b/>
                <w:bCs/>
                <w:sz w:val="16"/>
                <w:szCs w:val="16"/>
                <w:lang w:eastAsia="en-ZW"/>
              </w:rPr>
              <w:t>-score at baseline to the pQCT outcome</w:t>
            </w:r>
          </w:p>
        </w:tc>
        <w:tc>
          <w:tcPr>
            <w:tcW w:w="2835" w:type="dxa"/>
            <w:tcBorders>
              <w:top w:val="nil"/>
              <w:left w:val="nil"/>
              <w:bottom w:val="nil"/>
              <w:right w:val="nil"/>
            </w:tcBorders>
            <w:shd w:val="clear" w:color="auto" w:fill="auto"/>
            <w:vAlign w:val="bottom"/>
            <w:hideMark/>
          </w:tcPr>
          <w:p w14:paraId="53F15B39" w14:textId="77777777" w:rsidR="0059509C" w:rsidRPr="006F7002" w:rsidRDefault="0059509C" w:rsidP="003A4397">
            <w:pPr>
              <w:spacing w:after="0" w:line="240" w:lineRule="auto"/>
              <w:rPr>
                <w:rFonts w:ascii="Calibri" w:eastAsia="Times New Roman" w:hAnsi="Calibri" w:cs="Calibri"/>
                <w:b/>
                <w:bCs/>
                <w:sz w:val="16"/>
                <w:szCs w:val="16"/>
                <w:lang w:eastAsia="en-ZW"/>
              </w:rPr>
            </w:pPr>
          </w:p>
        </w:tc>
        <w:tc>
          <w:tcPr>
            <w:tcW w:w="2693" w:type="dxa"/>
            <w:tcBorders>
              <w:top w:val="nil"/>
              <w:left w:val="nil"/>
              <w:bottom w:val="nil"/>
              <w:right w:val="nil"/>
            </w:tcBorders>
            <w:shd w:val="clear" w:color="auto" w:fill="auto"/>
            <w:vAlign w:val="bottom"/>
            <w:hideMark/>
          </w:tcPr>
          <w:p w14:paraId="6D458C58" w14:textId="77777777" w:rsidR="0059509C" w:rsidRPr="006F7002" w:rsidRDefault="0059509C" w:rsidP="003A4397">
            <w:pPr>
              <w:spacing w:after="0" w:line="240" w:lineRule="auto"/>
              <w:jc w:val="center"/>
              <w:rPr>
                <w:rFonts w:ascii="Times New Roman" w:eastAsia="Times New Roman" w:hAnsi="Times New Roman" w:cs="Times New Roman"/>
                <w:sz w:val="20"/>
                <w:szCs w:val="20"/>
                <w:lang w:eastAsia="en-ZW"/>
              </w:rPr>
            </w:pPr>
          </w:p>
        </w:tc>
      </w:tr>
      <w:tr w:rsidR="0059509C" w:rsidRPr="006F7002" w14:paraId="07AE5B6A" w14:textId="77777777" w:rsidTr="0059509C">
        <w:trPr>
          <w:trHeight w:val="192"/>
        </w:trPr>
        <w:tc>
          <w:tcPr>
            <w:tcW w:w="5101" w:type="dxa"/>
            <w:gridSpan w:val="2"/>
            <w:tcBorders>
              <w:top w:val="nil"/>
              <w:left w:val="nil"/>
              <w:bottom w:val="nil"/>
              <w:right w:val="nil"/>
            </w:tcBorders>
            <w:shd w:val="clear" w:color="auto" w:fill="auto"/>
            <w:noWrap/>
            <w:vAlign w:val="bottom"/>
            <w:hideMark/>
          </w:tcPr>
          <w:p w14:paraId="6E298BAD" w14:textId="77777777" w:rsidR="0059509C" w:rsidRPr="006F7002" w:rsidRDefault="0059509C" w:rsidP="003A4397">
            <w:pPr>
              <w:spacing w:after="0" w:line="240" w:lineRule="auto"/>
              <w:rPr>
                <w:rFonts w:ascii="Calibri" w:eastAsia="Times New Roman" w:hAnsi="Calibri" w:cs="Calibri"/>
                <w:b/>
                <w:bCs/>
                <w:sz w:val="16"/>
                <w:szCs w:val="16"/>
                <w:lang w:eastAsia="en-ZW"/>
              </w:rPr>
            </w:pPr>
            <w:r w:rsidRPr="006F7002">
              <w:rPr>
                <w:rFonts w:ascii="Calibri" w:eastAsia="Times New Roman" w:hAnsi="Calibri" w:cs="Calibri"/>
                <w:b/>
                <w:bCs/>
                <w:sz w:val="16"/>
                <w:szCs w:val="16"/>
                <w:lang w:eastAsia="en-ZW"/>
              </w:rPr>
              <w:t>The total effect is the sum of the direct and indirect effects</w:t>
            </w:r>
          </w:p>
        </w:tc>
        <w:tc>
          <w:tcPr>
            <w:tcW w:w="3121" w:type="dxa"/>
            <w:tcBorders>
              <w:top w:val="nil"/>
              <w:left w:val="nil"/>
              <w:bottom w:val="nil"/>
              <w:right w:val="nil"/>
            </w:tcBorders>
            <w:shd w:val="clear" w:color="auto" w:fill="auto"/>
            <w:vAlign w:val="bottom"/>
            <w:hideMark/>
          </w:tcPr>
          <w:p w14:paraId="4AE07052" w14:textId="77777777" w:rsidR="0059509C" w:rsidRPr="006F7002" w:rsidRDefault="0059509C" w:rsidP="003A4397">
            <w:pPr>
              <w:spacing w:after="0" w:line="240" w:lineRule="auto"/>
              <w:rPr>
                <w:rFonts w:ascii="Calibri" w:eastAsia="Times New Roman" w:hAnsi="Calibri" w:cs="Calibri"/>
                <w:b/>
                <w:bCs/>
                <w:sz w:val="16"/>
                <w:szCs w:val="16"/>
                <w:lang w:eastAsia="en-ZW"/>
              </w:rPr>
            </w:pPr>
          </w:p>
        </w:tc>
        <w:tc>
          <w:tcPr>
            <w:tcW w:w="2835" w:type="dxa"/>
            <w:tcBorders>
              <w:top w:val="nil"/>
              <w:left w:val="nil"/>
              <w:bottom w:val="nil"/>
              <w:right w:val="nil"/>
            </w:tcBorders>
            <w:shd w:val="clear" w:color="auto" w:fill="auto"/>
            <w:vAlign w:val="bottom"/>
            <w:hideMark/>
          </w:tcPr>
          <w:p w14:paraId="1F41D906" w14:textId="77777777" w:rsidR="0059509C" w:rsidRPr="006F7002" w:rsidRDefault="0059509C" w:rsidP="003A4397">
            <w:pPr>
              <w:spacing w:after="0" w:line="240" w:lineRule="auto"/>
              <w:jc w:val="center"/>
              <w:rPr>
                <w:rFonts w:ascii="Times New Roman" w:eastAsia="Times New Roman" w:hAnsi="Times New Roman" w:cs="Times New Roman"/>
                <w:sz w:val="20"/>
                <w:szCs w:val="20"/>
                <w:lang w:eastAsia="en-ZW"/>
              </w:rPr>
            </w:pPr>
          </w:p>
        </w:tc>
        <w:tc>
          <w:tcPr>
            <w:tcW w:w="2693" w:type="dxa"/>
            <w:tcBorders>
              <w:top w:val="nil"/>
              <w:left w:val="nil"/>
              <w:bottom w:val="nil"/>
              <w:right w:val="nil"/>
            </w:tcBorders>
            <w:shd w:val="clear" w:color="auto" w:fill="auto"/>
            <w:vAlign w:val="bottom"/>
            <w:hideMark/>
          </w:tcPr>
          <w:p w14:paraId="3C2F8FD9" w14:textId="77777777" w:rsidR="0059509C" w:rsidRPr="006F7002" w:rsidRDefault="0059509C" w:rsidP="003A4397">
            <w:pPr>
              <w:spacing w:after="0" w:line="240" w:lineRule="auto"/>
              <w:jc w:val="center"/>
              <w:rPr>
                <w:rFonts w:ascii="Times New Roman" w:eastAsia="Times New Roman" w:hAnsi="Times New Roman" w:cs="Times New Roman"/>
                <w:sz w:val="20"/>
                <w:szCs w:val="20"/>
                <w:lang w:eastAsia="en-ZW"/>
              </w:rPr>
            </w:pPr>
          </w:p>
        </w:tc>
      </w:tr>
      <w:tr w:rsidR="0059509C" w:rsidRPr="006F7002" w14:paraId="708DDB13" w14:textId="77777777" w:rsidTr="0059509C">
        <w:trPr>
          <w:trHeight w:val="192"/>
        </w:trPr>
        <w:tc>
          <w:tcPr>
            <w:tcW w:w="5101" w:type="dxa"/>
            <w:gridSpan w:val="2"/>
            <w:tcBorders>
              <w:top w:val="nil"/>
              <w:left w:val="nil"/>
              <w:bottom w:val="nil"/>
              <w:right w:val="nil"/>
            </w:tcBorders>
            <w:shd w:val="clear" w:color="auto" w:fill="auto"/>
            <w:noWrap/>
            <w:vAlign w:val="bottom"/>
            <w:hideMark/>
          </w:tcPr>
          <w:p w14:paraId="46F5B458" w14:textId="77777777" w:rsidR="0059509C" w:rsidRPr="006F7002" w:rsidRDefault="0059509C" w:rsidP="003A4397">
            <w:pPr>
              <w:spacing w:after="0" w:line="240" w:lineRule="auto"/>
              <w:rPr>
                <w:rFonts w:ascii="Calibri" w:eastAsia="Times New Roman" w:hAnsi="Calibri" w:cs="Calibri"/>
                <w:b/>
                <w:bCs/>
                <w:sz w:val="16"/>
                <w:szCs w:val="16"/>
                <w:lang w:eastAsia="en-ZW"/>
              </w:rPr>
            </w:pPr>
            <w:r w:rsidRPr="006F7002">
              <w:rPr>
                <w:rFonts w:ascii="Calibri" w:eastAsia="Times New Roman" w:hAnsi="Calibri" w:cs="Calibri"/>
                <w:b/>
                <w:bCs/>
                <w:sz w:val="16"/>
                <w:szCs w:val="16"/>
                <w:lang w:eastAsia="en-ZW"/>
              </w:rPr>
              <w:t xml:space="preserve">*Adjusted for socioeconomic status and orphanhood </w:t>
            </w:r>
          </w:p>
        </w:tc>
        <w:tc>
          <w:tcPr>
            <w:tcW w:w="3121" w:type="dxa"/>
            <w:tcBorders>
              <w:top w:val="nil"/>
              <w:left w:val="nil"/>
              <w:bottom w:val="nil"/>
              <w:right w:val="nil"/>
            </w:tcBorders>
            <w:shd w:val="clear" w:color="auto" w:fill="auto"/>
            <w:vAlign w:val="bottom"/>
            <w:hideMark/>
          </w:tcPr>
          <w:p w14:paraId="5B146EB5" w14:textId="77777777" w:rsidR="0059509C" w:rsidRPr="006F7002" w:rsidRDefault="0059509C" w:rsidP="003A4397">
            <w:pPr>
              <w:spacing w:after="0" w:line="240" w:lineRule="auto"/>
              <w:rPr>
                <w:rFonts w:ascii="Calibri" w:eastAsia="Times New Roman" w:hAnsi="Calibri" w:cs="Calibri"/>
                <w:b/>
                <w:bCs/>
                <w:sz w:val="16"/>
                <w:szCs w:val="16"/>
                <w:lang w:eastAsia="en-ZW"/>
              </w:rPr>
            </w:pPr>
          </w:p>
        </w:tc>
        <w:tc>
          <w:tcPr>
            <w:tcW w:w="2835" w:type="dxa"/>
            <w:tcBorders>
              <w:top w:val="nil"/>
              <w:left w:val="nil"/>
              <w:bottom w:val="nil"/>
              <w:right w:val="nil"/>
            </w:tcBorders>
            <w:shd w:val="clear" w:color="auto" w:fill="auto"/>
            <w:vAlign w:val="bottom"/>
            <w:hideMark/>
          </w:tcPr>
          <w:p w14:paraId="39E7EE52" w14:textId="77777777" w:rsidR="0059509C" w:rsidRPr="006F7002" w:rsidRDefault="0059509C" w:rsidP="003A4397">
            <w:pPr>
              <w:spacing w:after="0" w:line="240" w:lineRule="auto"/>
              <w:jc w:val="center"/>
              <w:rPr>
                <w:rFonts w:ascii="Times New Roman" w:eastAsia="Times New Roman" w:hAnsi="Times New Roman" w:cs="Times New Roman"/>
                <w:sz w:val="20"/>
                <w:szCs w:val="20"/>
                <w:lang w:eastAsia="en-ZW"/>
              </w:rPr>
            </w:pPr>
          </w:p>
        </w:tc>
        <w:tc>
          <w:tcPr>
            <w:tcW w:w="2693" w:type="dxa"/>
            <w:tcBorders>
              <w:top w:val="nil"/>
              <w:left w:val="nil"/>
              <w:bottom w:val="nil"/>
              <w:right w:val="nil"/>
            </w:tcBorders>
            <w:shd w:val="clear" w:color="auto" w:fill="auto"/>
            <w:vAlign w:val="bottom"/>
            <w:hideMark/>
          </w:tcPr>
          <w:p w14:paraId="11AE8E18" w14:textId="77777777" w:rsidR="0059509C" w:rsidRPr="006F7002" w:rsidRDefault="0059509C" w:rsidP="003A4397">
            <w:pPr>
              <w:spacing w:after="0" w:line="240" w:lineRule="auto"/>
              <w:jc w:val="center"/>
              <w:rPr>
                <w:rFonts w:ascii="Times New Roman" w:eastAsia="Times New Roman" w:hAnsi="Times New Roman" w:cs="Times New Roman"/>
                <w:sz w:val="20"/>
                <w:szCs w:val="20"/>
                <w:lang w:eastAsia="en-ZW"/>
              </w:rPr>
            </w:pPr>
          </w:p>
        </w:tc>
      </w:tr>
      <w:tr w:rsidR="0059509C" w:rsidRPr="006F7002" w14:paraId="4666C498" w14:textId="77777777" w:rsidTr="0059509C">
        <w:trPr>
          <w:trHeight w:val="192"/>
        </w:trPr>
        <w:tc>
          <w:tcPr>
            <w:tcW w:w="13750" w:type="dxa"/>
            <w:gridSpan w:val="5"/>
            <w:tcBorders>
              <w:top w:val="nil"/>
              <w:left w:val="nil"/>
              <w:bottom w:val="nil"/>
              <w:right w:val="nil"/>
            </w:tcBorders>
            <w:shd w:val="clear" w:color="auto" w:fill="auto"/>
            <w:noWrap/>
            <w:vAlign w:val="bottom"/>
            <w:hideMark/>
          </w:tcPr>
          <w:p w14:paraId="2B7F3937" w14:textId="77777777" w:rsidR="0059509C" w:rsidRDefault="0059509C" w:rsidP="003A4397">
            <w:pPr>
              <w:spacing w:after="0" w:line="240" w:lineRule="auto"/>
              <w:rPr>
                <w:rFonts w:ascii="Calibri" w:eastAsia="Times New Roman" w:hAnsi="Calibri" w:cs="Calibri"/>
                <w:b/>
                <w:bCs/>
                <w:sz w:val="16"/>
                <w:szCs w:val="16"/>
                <w:lang w:eastAsia="en-ZW"/>
              </w:rPr>
            </w:pPr>
            <w:r w:rsidRPr="006F7002">
              <w:rPr>
                <w:rFonts w:ascii="Calibri" w:eastAsia="Times New Roman" w:hAnsi="Calibri" w:cs="Calibri"/>
                <w:b/>
                <w:bCs/>
                <w:sz w:val="16"/>
                <w:szCs w:val="16"/>
                <w:lang w:eastAsia="en-ZW"/>
              </w:rPr>
              <w:t>MD (95% CI); Mean Difference (95 % Confidence Interval) with CWOH as the reference group, such that negative values mean that those with HIV have lower values than those with HIV.</w:t>
            </w:r>
          </w:p>
          <w:p w14:paraId="0D1A5620" w14:textId="5B574CC2" w:rsidR="002C1313" w:rsidRPr="006F7002" w:rsidRDefault="002C1313" w:rsidP="003A4397">
            <w:pPr>
              <w:spacing w:after="0" w:line="240" w:lineRule="auto"/>
              <w:rPr>
                <w:rFonts w:ascii="Calibri" w:eastAsia="Times New Roman" w:hAnsi="Calibri" w:cs="Calibri"/>
                <w:b/>
                <w:bCs/>
                <w:sz w:val="16"/>
                <w:szCs w:val="16"/>
                <w:lang w:eastAsia="en-ZW"/>
              </w:rPr>
            </w:pPr>
            <w:r>
              <w:rPr>
                <w:rFonts w:ascii="Calibri" w:eastAsia="Times New Roman" w:hAnsi="Calibri" w:cs="Calibri"/>
                <w:b/>
                <w:bCs/>
                <w:sz w:val="16"/>
                <w:szCs w:val="16"/>
                <w:lang w:eastAsia="en-ZW"/>
              </w:rPr>
              <w:t>CSA; Cross Sectional Area</w:t>
            </w:r>
          </w:p>
        </w:tc>
      </w:tr>
      <w:tr w:rsidR="0059509C" w:rsidRPr="006F7002" w14:paraId="1369FF70" w14:textId="77777777" w:rsidTr="0059509C">
        <w:trPr>
          <w:trHeight w:val="192"/>
        </w:trPr>
        <w:tc>
          <w:tcPr>
            <w:tcW w:w="2438" w:type="dxa"/>
            <w:tcBorders>
              <w:top w:val="nil"/>
              <w:left w:val="nil"/>
              <w:bottom w:val="nil"/>
              <w:right w:val="nil"/>
            </w:tcBorders>
            <w:shd w:val="clear" w:color="auto" w:fill="auto"/>
            <w:noWrap/>
            <w:vAlign w:val="bottom"/>
            <w:hideMark/>
          </w:tcPr>
          <w:p w14:paraId="6F90D32F" w14:textId="77777777" w:rsidR="0059509C" w:rsidRPr="006F7002" w:rsidRDefault="0059509C" w:rsidP="003A4397">
            <w:pPr>
              <w:spacing w:after="0" w:line="240" w:lineRule="auto"/>
              <w:rPr>
                <w:rFonts w:ascii="Calibri" w:eastAsia="Times New Roman" w:hAnsi="Calibri" w:cs="Calibri"/>
                <w:b/>
                <w:bCs/>
                <w:sz w:val="16"/>
                <w:szCs w:val="16"/>
                <w:lang w:eastAsia="en-ZW"/>
              </w:rPr>
            </w:pPr>
          </w:p>
        </w:tc>
        <w:tc>
          <w:tcPr>
            <w:tcW w:w="2663" w:type="dxa"/>
            <w:tcBorders>
              <w:top w:val="nil"/>
              <w:left w:val="nil"/>
              <w:bottom w:val="nil"/>
              <w:right w:val="nil"/>
            </w:tcBorders>
            <w:shd w:val="clear" w:color="auto" w:fill="auto"/>
            <w:vAlign w:val="bottom"/>
            <w:hideMark/>
          </w:tcPr>
          <w:p w14:paraId="2202955B" w14:textId="77777777" w:rsidR="0059509C" w:rsidRPr="006F7002" w:rsidRDefault="0059509C" w:rsidP="003A4397">
            <w:pPr>
              <w:spacing w:after="0" w:line="240" w:lineRule="auto"/>
              <w:rPr>
                <w:rFonts w:ascii="Times New Roman" w:eastAsia="Times New Roman" w:hAnsi="Times New Roman" w:cs="Times New Roman"/>
                <w:sz w:val="20"/>
                <w:szCs w:val="20"/>
                <w:lang w:eastAsia="en-ZW"/>
              </w:rPr>
            </w:pPr>
          </w:p>
        </w:tc>
        <w:tc>
          <w:tcPr>
            <w:tcW w:w="3121" w:type="dxa"/>
            <w:tcBorders>
              <w:top w:val="nil"/>
              <w:left w:val="nil"/>
              <w:bottom w:val="nil"/>
              <w:right w:val="nil"/>
            </w:tcBorders>
            <w:shd w:val="clear" w:color="auto" w:fill="auto"/>
            <w:vAlign w:val="bottom"/>
            <w:hideMark/>
          </w:tcPr>
          <w:p w14:paraId="58289175" w14:textId="77777777" w:rsidR="0059509C" w:rsidRPr="006F7002" w:rsidRDefault="0059509C" w:rsidP="003A4397">
            <w:pPr>
              <w:spacing w:after="0" w:line="240" w:lineRule="auto"/>
              <w:jc w:val="center"/>
              <w:rPr>
                <w:rFonts w:ascii="Times New Roman" w:eastAsia="Times New Roman" w:hAnsi="Times New Roman" w:cs="Times New Roman"/>
                <w:sz w:val="20"/>
                <w:szCs w:val="20"/>
                <w:lang w:eastAsia="en-ZW"/>
              </w:rPr>
            </w:pPr>
          </w:p>
        </w:tc>
        <w:tc>
          <w:tcPr>
            <w:tcW w:w="2835" w:type="dxa"/>
            <w:tcBorders>
              <w:top w:val="nil"/>
              <w:left w:val="nil"/>
              <w:bottom w:val="nil"/>
              <w:right w:val="nil"/>
            </w:tcBorders>
            <w:shd w:val="clear" w:color="auto" w:fill="auto"/>
            <w:vAlign w:val="bottom"/>
            <w:hideMark/>
          </w:tcPr>
          <w:p w14:paraId="276127B2" w14:textId="77777777" w:rsidR="0059509C" w:rsidRPr="006F7002" w:rsidRDefault="0059509C" w:rsidP="003A4397">
            <w:pPr>
              <w:spacing w:after="0" w:line="240" w:lineRule="auto"/>
              <w:jc w:val="center"/>
              <w:rPr>
                <w:rFonts w:ascii="Times New Roman" w:eastAsia="Times New Roman" w:hAnsi="Times New Roman" w:cs="Times New Roman"/>
                <w:sz w:val="20"/>
                <w:szCs w:val="20"/>
                <w:lang w:eastAsia="en-ZW"/>
              </w:rPr>
            </w:pPr>
          </w:p>
        </w:tc>
        <w:tc>
          <w:tcPr>
            <w:tcW w:w="2693" w:type="dxa"/>
            <w:tcBorders>
              <w:top w:val="nil"/>
              <w:left w:val="nil"/>
              <w:bottom w:val="nil"/>
              <w:right w:val="nil"/>
            </w:tcBorders>
            <w:shd w:val="clear" w:color="auto" w:fill="auto"/>
            <w:vAlign w:val="bottom"/>
            <w:hideMark/>
          </w:tcPr>
          <w:p w14:paraId="553CAA9C" w14:textId="77777777" w:rsidR="0059509C" w:rsidRPr="006F7002" w:rsidRDefault="0059509C" w:rsidP="003A4397">
            <w:pPr>
              <w:spacing w:after="0" w:line="240" w:lineRule="auto"/>
              <w:jc w:val="center"/>
              <w:rPr>
                <w:rFonts w:ascii="Times New Roman" w:eastAsia="Times New Roman" w:hAnsi="Times New Roman" w:cs="Times New Roman"/>
                <w:sz w:val="20"/>
                <w:szCs w:val="20"/>
                <w:lang w:eastAsia="en-ZW"/>
              </w:rPr>
            </w:pPr>
          </w:p>
        </w:tc>
      </w:tr>
      <w:tr w:rsidR="0059509C" w:rsidRPr="006F7002" w14:paraId="028F6711" w14:textId="77777777" w:rsidTr="0059509C">
        <w:trPr>
          <w:trHeight w:val="192"/>
        </w:trPr>
        <w:tc>
          <w:tcPr>
            <w:tcW w:w="2438" w:type="dxa"/>
            <w:tcBorders>
              <w:top w:val="nil"/>
              <w:left w:val="nil"/>
              <w:bottom w:val="nil"/>
              <w:right w:val="nil"/>
            </w:tcBorders>
            <w:shd w:val="clear" w:color="000000" w:fill="F8CBAD"/>
            <w:vAlign w:val="bottom"/>
            <w:hideMark/>
          </w:tcPr>
          <w:p w14:paraId="64791A37" w14:textId="2115180C" w:rsidR="0059509C" w:rsidRPr="006F7002" w:rsidRDefault="00641B28" w:rsidP="003A4397">
            <w:pPr>
              <w:spacing w:after="0" w:line="240" w:lineRule="auto"/>
              <w:jc w:val="center"/>
              <w:rPr>
                <w:rFonts w:ascii="Calibri" w:eastAsia="Times New Roman" w:hAnsi="Calibri" w:cs="Calibri"/>
                <w:sz w:val="16"/>
                <w:szCs w:val="16"/>
                <w:lang w:eastAsia="en-ZW"/>
              </w:rPr>
            </w:pPr>
            <w:r>
              <w:rPr>
                <w:rFonts w:ascii="Calibri" w:eastAsia="Times New Roman" w:hAnsi="Calibri" w:cs="Calibri"/>
                <w:sz w:val="16"/>
                <w:szCs w:val="16"/>
                <w:lang w:eastAsia="en-ZW"/>
              </w:rPr>
              <w:t>Shaded area=</w:t>
            </w:r>
            <w:r w:rsidR="0059509C" w:rsidRPr="006F7002">
              <w:rPr>
                <w:rFonts w:ascii="Calibri" w:eastAsia="Times New Roman" w:hAnsi="Calibri" w:cs="Calibri"/>
                <w:sz w:val="16"/>
                <w:szCs w:val="16"/>
                <w:lang w:eastAsia="en-ZW"/>
              </w:rPr>
              <w:t>Complete mediation</w:t>
            </w:r>
          </w:p>
        </w:tc>
        <w:tc>
          <w:tcPr>
            <w:tcW w:w="2663" w:type="dxa"/>
            <w:tcBorders>
              <w:top w:val="nil"/>
              <w:left w:val="nil"/>
              <w:bottom w:val="nil"/>
              <w:right w:val="nil"/>
            </w:tcBorders>
            <w:shd w:val="clear" w:color="auto" w:fill="auto"/>
            <w:vAlign w:val="bottom"/>
            <w:hideMark/>
          </w:tcPr>
          <w:p w14:paraId="14EFA878" w14:textId="77777777" w:rsidR="0059509C" w:rsidRPr="006F7002" w:rsidRDefault="0059509C" w:rsidP="003A4397">
            <w:pPr>
              <w:spacing w:after="0" w:line="240" w:lineRule="auto"/>
              <w:jc w:val="center"/>
              <w:rPr>
                <w:rFonts w:ascii="Calibri" w:eastAsia="Times New Roman" w:hAnsi="Calibri" w:cs="Calibri"/>
                <w:sz w:val="16"/>
                <w:szCs w:val="16"/>
                <w:lang w:eastAsia="en-ZW"/>
              </w:rPr>
            </w:pPr>
          </w:p>
        </w:tc>
        <w:tc>
          <w:tcPr>
            <w:tcW w:w="3121" w:type="dxa"/>
            <w:tcBorders>
              <w:top w:val="nil"/>
              <w:left w:val="nil"/>
              <w:bottom w:val="nil"/>
              <w:right w:val="nil"/>
            </w:tcBorders>
            <w:shd w:val="clear" w:color="auto" w:fill="auto"/>
            <w:vAlign w:val="bottom"/>
            <w:hideMark/>
          </w:tcPr>
          <w:p w14:paraId="491EBA11" w14:textId="77777777" w:rsidR="0059509C" w:rsidRPr="006F7002" w:rsidRDefault="0059509C" w:rsidP="003A4397">
            <w:pPr>
              <w:spacing w:after="0" w:line="240" w:lineRule="auto"/>
              <w:jc w:val="center"/>
              <w:rPr>
                <w:rFonts w:ascii="Times New Roman" w:eastAsia="Times New Roman" w:hAnsi="Times New Roman" w:cs="Times New Roman"/>
                <w:sz w:val="20"/>
                <w:szCs w:val="20"/>
                <w:lang w:eastAsia="en-ZW"/>
              </w:rPr>
            </w:pPr>
          </w:p>
        </w:tc>
        <w:tc>
          <w:tcPr>
            <w:tcW w:w="2835" w:type="dxa"/>
            <w:tcBorders>
              <w:top w:val="nil"/>
              <w:left w:val="nil"/>
              <w:bottom w:val="nil"/>
              <w:right w:val="nil"/>
            </w:tcBorders>
            <w:shd w:val="clear" w:color="auto" w:fill="auto"/>
            <w:vAlign w:val="bottom"/>
            <w:hideMark/>
          </w:tcPr>
          <w:p w14:paraId="3AD4FA0A" w14:textId="77777777" w:rsidR="0059509C" w:rsidRPr="006F7002" w:rsidRDefault="0059509C" w:rsidP="003A4397">
            <w:pPr>
              <w:spacing w:after="0" w:line="240" w:lineRule="auto"/>
              <w:jc w:val="center"/>
              <w:rPr>
                <w:rFonts w:ascii="Times New Roman" w:eastAsia="Times New Roman" w:hAnsi="Times New Roman" w:cs="Times New Roman"/>
                <w:sz w:val="20"/>
                <w:szCs w:val="20"/>
                <w:lang w:eastAsia="en-ZW"/>
              </w:rPr>
            </w:pPr>
          </w:p>
        </w:tc>
        <w:tc>
          <w:tcPr>
            <w:tcW w:w="2693" w:type="dxa"/>
            <w:tcBorders>
              <w:top w:val="nil"/>
              <w:left w:val="nil"/>
              <w:bottom w:val="nil"/>
              <w:right w:val="nil"/>
            </w:tcBorders>
            <w:shd w:val="clear" w:color="auto" w:fill="auto"/>
            <w:vAlign w:val="bottom"/>
            <w:hideMark/>
          </w:tcPr>
          <w:p w14:paraId="17891FA3" w14:textId="77777777" w:rsidR="0059509C" w:rsidRPr="006F7002" w:rsidRDefault="0059509C" w:rsidP="003A4397">
            <w:pPr>
              <w:spacing w:after="0" w:line="240" w:lineRule="auto"/>
              <w:jc w:val="center"/>
              <w:rPr>
                <w:rFonts w:ascii="Times New Roman" w:eastAsia="Times New Roman" w:hAnsi="Times New Roman" w:cs="Times New Roman"/>
                <w:sz w:val="20"/>
                <w:szCs w:val="20"/>
                <w:lang w:eastAsia="en-ZW"/>
              </w:rPr>
            </w:pPr>
          </w:p>
        </w:tc>
      </w:tr>
    </w:tbl>
    <w:p w14:paraId="2DAEA349" w14:textId="77777777" w:rsidR="005928F2" w:rsidRDefault="005928F2" w:rsidP="00C95A78">
      <w:pPr>
        <w:keepNext/>
        <w:spacing w:after="200" w:line="240" w:lineRule="auto"/>
        <w:rPr>
          <w:b/>
          <w:iCs/>
          <w:szCs w:val="18"/>
        </w:rPr>
      </w:pPr>
    </w:p>
    <w:p w14:paraId="1237304D" w14:textId="77777777" w:rsidR="005928F2" w:rsidRDefault="005928F2" w:rsidP="00C95A78">
      <w:pPr>
        <w:keepNext/>
        <w:spacing w:after="200" w:line="240" w:lineRule="auto"/>
        <w:rPr>
          <w:b/>
          <w:iCs/>
          <w:szCs w:val="18"/>
        </w:rPr>
      </w:pPr>
      <w:r>
        <w:rPr>
          <w:b/>
          <w:iCs/>
          <w:szCs w:val="18"/>
        </w:rPr>
        <w:br w:type="page"/>
      </w:r>
    </w:p>
    <w:p w14:paraId="6364E0AF" w14:textId="77777777" w:rsidR="00C95A78" w:rsidRPr="00C54929" w:rsidRDefault="00C95A78" w:rsidP="00C95A78">
      <w:pPr>
        <w:widowControl w:val="0"/>
        <w:autoSpaceDE w:val="0"/>
        <w:autoSpaceDN w:val="0"/>
        <w:adjustRightInd w:val="0"/>
        <w:spacing w:after="0" w:line="240" w:lineRule="auto"/>
        <w:ind w:left="640" w:hanging="640"/>
        <w:rPr>
          <w:rFonts w:cstheme="minorHAnsi"/>
          <w:b/>
          <w:i/>
          <w:sz w:val="16"/>
          <w:szCs w:val="16"/>
          <w:lang w:val="en-GB"/>
        </w:rPr>
        <w:sectPr w:rsidR="00C95A78" w:rsidRPr="00C54929" w:rsidSect="00C95A78">
          <w:pgSz w:w="16838" w:h="11906" w:orient="landscape"/>
          <w:pgMar w:top="1440" w:right="1440" w:bottom="1440" w:left="1440" w:header="708" w:footer="708" w:gutter="0"/>
          <w:cols w:space="708"/>
          <w:docGrid w:linePitch="360"/>
        </w:sectPr>
      </w:pPr>
    </w:p>
    <w:p w14:paraId="6364E0B0" w14:textId="77777777" w:rsidR="002412F1" w:rsidRPr="00C54929" w:rsidRDefault="002412F1" w:rsidP="00C95A78">
      <w:pPr>
        <w:keepNext/>
        <w:spacing w:after="200" w:line="240" w:lineRule="auto"/>
        <w:rPr>
          <w:b/>
          <w:iCs/>
          <w:szCs w:val="18"/>
        </w:rPr>
      </w:pPr>
      <w:r w:rsidRPr="00C54929">
        <w:rPr>
          <w:b/>
          <w:iCs/>
          <w:szCs w:val="18"/>
        </w:rPr>
        <w:lastRenderedPageBreak/>
        <w:t>Figure 1: Unadjusted comparison of change in pQCT measured bone outcomes, over 12 months, between children living with and without HIV infection by sex and pubertal status</w:t>
      </w:r>
    </w:p>
    <w:p w14:paraId="6364E0B1" w14:textId="77777777" w:rsidR="00C95A78" w:rsidRPr="00C54929" w:rsidRDefault="00C95A78" w:rsidP="00C95A78">
      <w:pPr>
        <w:widowControl w:val="0"/>
        <w:autoSpaceDE w:val="0"/>
        <w:autoSpaceDN w:val="0"/>
        <w:adjustRightInd w:val="0"/>
        <w:spacing w:after="0" w:line="240" w:lineRule="auto"/>
        <w:ind w:left="640" w:hanging="640"/>
        <w:rPr>
          <w:rFonts w:cstheme="minorHAnsi"/>
          <w:b/>
          <w:sz w:val="16"/>
          <w:szCs w:val="16"/>
          <w:lang w:val="en-GB"/>
        </w:rPr>
      </w:pPr>
      <w:r w:rsidRPr="00C54929">
        <w:rPr>
          <w:noProof/>
          <w:lang w:eastAsia="en-ZW"/>
        </w:rPr>
        <w:drawing>
          <wp:inline distT="0" distB="0" distL="0" distR="0" wp14:anchorId="6364E0BD" wp14:editId="6364E0BE">
            <wp:extent cx="5731510" cy="6768465"/>
            <wp:effectExtent l="0" t="0" r="254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stretch>
                      <a:fillRect/>
                    </a:stretch>
                  </pic:blipFill>
                  <pic:spPr>
                    <a:xfrm>
                      <a:off x="0" y="0"/>
                      <a:ext cx="5731510" cy="6768465"/>
                    </a:xfrm>
                    <a:prstGeom prst="rect">
                      <a:avLst/>
                    </a:prstGeom>
                  </pic:spPr>
                </pic:pic>
              </a:graphicData>
            </a:graphic>
          </wp:inline>
        </w:drawing>
      </w:r>
    </w:p>
    <w:p w14:paraId="6364E0B2" w14:textId="77777777" w:rsidR="00C95A78" w:rsidRPr="00C54929" w:rsidRDefault="00C95A78" w:rsidP="00C95A78">
      <w:pPr>
        <w:widowControl w:val="0"/>
        <w:autoSpaceDE w:val="0"/>
        <w:autoSpaceDN w:val="0"/>
        <w:adjustRightInd w:val="0"/>
        <w:spacing w:after="0" w:line="240" w:lineRule="auto"/>
        <w:ind w:left="640" w:hanging="640"/>
        <w:rPr>
          <w:rFonts w:cstheme="minorHAnsi"/>
          <w:b/>
          <w:i/>
          <w:sz w:val="16"/>
          <w:szCs w:val="16"/>
          <w:lang w:val="en-GB"/>
        </w:rPr>
      </w:pPr>
      <w:r w:rsidRPr="00C54929">
        <w:rPr>
          <w:rFonts w:cstheme="minorHAnsi"/>
          <w:b/>
          <w:i/>
          <w:sz w:val="16"/>
          <w:szCs w:val="16"/>
          <w:lang w:val="en-GB"/>
        </w:rPr>
        <w:tab/>
        <w:t>-Figure 1 above shows unadjusted comparison of change in pQCT measured bone outcomes, over 12 months, between children living with and without HIV infection by sex and pubertal status</w:t>
      </w:r>
    </w:p>
    <w:p w14:paraId="6364E0B3" w14:textId="77777777" w:rsidR="00C95A78" w:rsidRPr="00C54929" w:rsidRDefault="00C95A78" w:rsidP="00C95A78">
      <w:pPr>
        <w:widowControl w:val="0"/>
        <w:autoSpaceDE w:val="0"/>
        <w:autoSpaceDN w:val="0"/>
        <w:adjustRightInd w:val="0"/>
        <w:spacing w:after="0" w:line="240" w:lineRule="auto"/>
        <w:ind w:left="640" w:hanging="640"/>
        <w:rPr>
          <w:rFonts w:cstheme="minorHAnsi"/>
          <w:b/>
          <w:i/>
          <w:sz w:val="16"/>
          <w:szCs w:val="16"/>
          <w:lang w:val="en-GB"/>
        </w:rPr>
      </w:pPr>
      <w:r w:rsidRPr="00C54929">
        <w:rPr>
          <w:rFonts w:cstheme="minorHAnsi"/>
          <w:b/>
          <w:i/>
          <w:sz w:val="16"/>
          <w:szCs w:val="16"/>
          <w:lang w:val="en-GB"/>
        </w:rPr>
        <w:tab/>
        <w:t>-CWH: Children living with HIV, CWOH: Children without HIV, CSA: Cross sectional area, SSI: Stress strain index</w:t>
      </w:r>
    </w:p>
    <w:p w14:paraId="6364E0B4" w14:textId="77777777" w:rsidR="00C95A78" w:rsidRPr="00C54929" w:rsidRDefault="00C95A78" w:rsidP="00C95A78">
      <w:pPr>
        <w:widowControl w:val="0"/>
        <w:autoSpaceDE w:val="0"/>
        <w:autoSpaceDN w:val="0"/>
        <w:adjustRightInd w:val="0"/>
        <w:spacing w:after="0" w:line="240" w:lineRule="auto"/>
        <w:ind w:left="640" w:hanging="640"/>
        <w:rPr>
          <w:rFonts w:cstheme="minorHAnsi"/>
          <w:b/>
          <w:i/>
          <w:sz w:val="16"/>
          <w:szCs w:val="16"/>
          <w:lang w:val="en-GB"/>
        </w:rPr>
      </w:pPr>
      <w:r w:rsidRPr="00C54929">
        <w:rPr>
          <w:rFonts w:cstheme="minorHAnsi"/>
          <w:b/>
          <w:i/>
          <w:sz w:val="16"/>
          <w:szCs w:val="16"/>
          <w:lang w:val="en-GB"/>
        </w:rPr>
        <w:br w:type="page"/>
      </w:r>
    </w:p>
    <w:p w14:paraId="6364E0B5" w14:textId="77777777" w:rsidR="002412F1" w:rsidRPr="00C54929" w:rsidRDefault="002412F1" w:rsidP="00C95A78">
      <w:pPr>
        <w:keepNext/>
        <w:spacing w:after="200" w:line="240" w:lineRule="auto"/>
        <w:rPr>
          <w:b/>
          <w:iCs/>
          <w:szCs w:val="18"/>
        </w:rPr>
      </w:pPr>
      <w:r w:rsidRPr="00C54929">
        <w:rPr>
          <w:b/>
          <w:iCs/>
          <w:szCs w:val="18"/>
        </w:rPr>
        <w:lastRenderedPageBreak/>
        <w:t>Figure 2: Conceptualised diagram showing bone accrual in children with and without HIV</w:t>
      </w:r>
    </w:p>
    <w:p w14:paraId="6364E0B6" w14:textId="77777777" w:rsidR="00C95A78" w:rsidRPr="00C54929" w:rsidRDefault="00C95A78" w:rsidP="00C95A78">
      <w:pPr>
        <w:widowControl w:val="0"/>
        <w:autoSpaceDE w:val="0"/>
        <w:autoSpaceDN w:val="0"/>
        <w:adjustRightInd w:val="0"/>
        <w:spacing w:after="0" w:line="240" w:lineRule="auto"/>
        <w:ind w:left="640" w:hanging="640"/>
        <w:rPr>
          <w:rFonts w:cstheme="minorHAnsi"/>
          <w:b/>
          <w:i/>
          <w:sz w:val="16"/>
          <w:szCs w:val="16"/>
          <w:lang w:val="en-GB"/>
        </w:rPr>
      </w:pPr>
      <w:r w:rsidRPr="00C54929">
        <w:rPr>
          <w:noProof/>
          <w:lang w:eastAsia="en-ZW"/>
        </w:rPr>
        <w:drawing>
          <wp:inline distT="0" distB="0" distL="0" distR="0" wp14:anchorId="6364E0BF" wp14:editId="6364E0C0">
            <wp:extent cx="5441352" cy="5026511"/>
            <wp:effectExtent l="0" t="0" r="6985" b="317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364E0B7" w14:textId="77777777" w:rsidR="00C95A78" w:rsidRPr="00C54929" w:rsidRDefault="00C95A78" w:rsidP="00C95A78">
      <w:pPr>
        <w:widowControl w:val="0"/>
        <w:autoSpaceDE w:val="0"/>
        <w:autoSpaceDN w:val="0"/>
        <w:adjustRightInd w:val="0"/>
        <w:spacing w:after="0" w:line="240" w:lineRule="auto"/>
        <w:ind w:left="640"/>
        <w:rPr>
          <w:rFonts w:cstheme="minorHAnsi"/>
          <w:b/>
          <w:i/>
          <w:sz w:val="16"/>
          <w:szCs w:val="16"/>
          <w:lang w:val="en-GB"/>
        </w:rPr>
      </w:pPr>
      <w:r w:rsidRPr="00C54929">
        <w:rPr>
          <w:rFonts w:cstheme="minorHAnsi"/>
          <w:b/>
          <w:i/>
          <w:sz w:val="16"/>
          <w:szCs w:val="16"/>
          <w:lang w:val="en-GB"/>
        </w:rPr>
        <w:t>-Figure 2 above is a hypothesised diagram, hypothesising that CWH are pre-set at a lower trajectory than CWOH before the age of 8 years, accrue bone at the same rate as CWOH and may or may not catch-up after pubertal years</w:t>
      </w:r>
    </w:p>
    <w:p w14:paraId="6364E0B8" w14:textId="77777777" w:rsidR="00C95A78" w:rsidRPr="00C95A78" w:rsidRDefault="00C95A78" w:rsidP="00C95A78">
      <w:pPr>
        <w:widowControl w:val="0"/>
        <w:autoSpaceDE w:val="0"/>
        <w:autoSpaceDN w:val="0"/>
        <w:adjustRightInd w:val="0"/>
        <w:spacing w:after="0" w:line="240" w:lineRule="auto"/>
        <w:ind w:left="640"/>
        <w:rPr>
          <w:rFonts w:cstheme="minorHAnsi"/>
          <w:b/>
          <w:i/>
          <w:sz w:val="16"/>
          <w:szCs w:val="16"/>
          <w:lang w:val="en-GB"/>
        </w:rPr>
      </w:pPr>
      <w:r w:rsidRPr="00C54929">
        <w:rPr>
          <w:rFonts w:cstheme="minorHAnsi"/>
          <w:b/>
          <w:i/>
          <w:sz w:val="16"/>
          <w:szCs w:val="16"/>
          <w:lang w:val="en-GB"/>
        </w:rPr>
        <w:t>-CWH: Children living with HIV, CWOH: Children without HIV, CSA: Cross sectional area, SSI: Stress strain index</w:t>
      </w:r>
    </w:p>
    <w:p w14:paraId="6364E0B9" w14:textId="77777777" w:rsidR="00C95A78" w:rsidRPr="00C95A78" w:rsidRDefault="00C95A78" w:rsidP="00C95A78">
      <w:pPr>
        <w:widowControl w:val="0"/>
        <w:autoSpaceDE w:val="0"/>
        <w:autoSpaceDN w:val="0"/>
        <w:adjustRightInd w:val="0"/>
        <w:spacing w:after="0" w:line="240" w:lineRule="auto"/>
        <w:ind w:left="640" w:hanging="640"/>
        <w:rPr>
          <w:rFonts w:cstheme="minorHAnsi"/>
          <w:b/>
          <w:i/>
          <w:sz w:val="16"/>
          <w:szCs w:val="16"/>
          <w:lang w:val="en-GB"/>
        </w:rPr>
      </w:pPr>
    </w:p>
    <w:p w14:paraId="6364E0BA" w14:textId="77777777" w:rsidR="00C95A78" w:rsidRPr="00C95A78" w:rsidRDefault="00C95A78" w:rsidP="00C95A78">
      <w:pPr>
        <w:widowControl w:val="0"/>
        <w:autoSpaceDE w:val="0"/>
        <w:autoSpaceDN w:val="0"/>
        <w:adjustRightInd w:val="0"/>
        <w:spacing w:after="0" w:line="240" w:lineRule="auto"/>
        <w:ind w:left="640" w:hanging="640"/>
        <w:rPr>
          <w:rFonts w:cstheme="minorHAnsi"/>
          <w:b/>
          <w:i/>
          <w:sz w:val="16"/>
          <w:szCs w:val="16"/>
          <w:lang w:val="en-GB"/>
        </w:rPr>
      </w:pPr>
    </w:p>
    <w:p w14:paraId="6364E0BC" w14:textId="77777777" w:rsidR="00F95858" w:rsidRDefault="00F95858"/>
    <w:sectPr w:rsidR="00F9585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E2EFB" w14:textId="77777777" w:rsidR="0020000D" w:rsidRDefault="0020000D">
      <w:pPr>
        <w:spacing w:after="0" w:line="240" w:lineRule="auto"/>
      </w:pPr>
      <w:r>
        <w:separator/>
      </w:r>
    </w:p>
  </w:endnote>
  <w:endnote w:type="continuationSeparator" w:id="0">
    <w:p w14:paraId="627468F6" w14:textId="77777777" w:rsidR="0020000D" w:rsidRDefault="002000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CFAI O+ Times">
    <w:altName w:val="Times New Roman"/>
    <w:panose1 w:val="00000000000000000000"/>
    <w:charset w:val="00"/>
    <w:family w:val="roman"/>
    <w:notTrueType/>
    <w:pitch w:val="default"/>
    <w:sig w:usb0="00000003" w:usb1="00000000" w:usb2="00000000" w:usb3="00000000" w:csb0="00000001" w:csb1="00000000"/>
  </w:font>
  <w:font w:name="Bodoni Bd BT">
    <w:altName w:val="Times New Roman"/>
    <w:charset w:val="00"/>
    <w:family w:val="roman"/>
    <w:pitch w:val="variable"/>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9713810"/>
      <w:docPartObj>
        <w:docPartGallery w:val="Page Numbers (Bottom of Page)"/>
        <w:docPartUnique/>
      </w:docPartObj>
    </w:sdtPr>
    <w:sdtEndPr>
      <w:rPr>
        <w:noProof/>
      </w:rPr>
    </w:sdtEndPr>
    <w:sdtContent>
      <w:p w14:paraId="6364E0C5" w14:textId="77777777" w:rsidR="00274355" w:rsidRDefault="00274355">
        <w:pPr>
          <w:pStyle w:val="Footer"/>
          <w:jc w:val="right"/>
        </w:pPr>
        <w:r>
          <w:fldChar w:fldCharType="begin"/>
        </w:r>
        <w:r>
          <w:instrText xml:space="preserve"> PAGE   \* MERGEFORMAT </w:instrText>
        </w:r>
        <w:r>
          <w:fldChar w:fldCharType="separate"/>
        </w:r>
        <w:r w:rsidR="00BC1940">
          <w:rPr>
            <w:noProof/>
          </w:rPr>
          <w:t>9</w:t>
        </w:r>
        <w:r>
          <w:rPr>
            <w:noProof/>
          </w:rPr>
          <w:fldChar w:fldCharType="end"/>
        </w:r>
      </w:p>
    </w:sdtContent>
  </w:sdt>
  <w:p w14:paraId="6364E0C6" w14:textId="77777777" w:rsidR="00274355" w:rsidRDefault="002743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04E25" w14:textId="77777777" w:rsidR="0020000D" w:rsidRDefault="0020000D">
      <w:pPr>
        <w:spacing w:after="0" w:line="240" w:lineRule="auto"/>
      </w:pPr>
      <w:r>
        <w:separator/>
      </w:r>
    </w:p>
  </w:footnote>
  <w:footnote w:type="continuationSeparator" w:id="0">
    <w:p w14:paraId="4F0BDE86" w14:textId="77777777" w:rsidR="0020000D" w:rsidRDefault="002000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04715"/>
    <w:multiLevelType w:val="multilevel"/>
    <w:tmpl w:val="5E7E87F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rPr>
    </w:lvl>
    <w:lvl w:ilvl="3">
      <w:start w:val="1"/>
      <w:numFmt w:val="decimal"/>
      <w:pStyle w:val="Heading4"/>
      <w:lvlText w:val="%1.%2.%3.%4"/>
      <w:lvlJc w:val="left"/>
      <w:pPr>
        <w:ind w:left="1005"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15:restartNumberingAfterBreak="0">
    <w:nsid w:val="1BDA37FB"/>
    <w:multiLevelType w:val="hybridMultilevel"/>
    <w:tmpl w:val="CD96AF4A"/>
    <w:lvl w:ilvl="0" w:tplc="30090001">
      <w:start w:val="1"/>
      <w:numFmt w:val="bullet"/>
      <w:lvlText w:val=""/>
      <w:lvlJc w:val="left"/>
      <w:pPr>
        <w:ind w:left="1440" w:hanging="360"/>
      </w:pPr>
      <w:rPr>
        <w:rFonts w:ascii="Symbol" w:hAnsi="Symbol" w:hint="default"/>
      </w:rPr>
    </w:lvl>
    <w:lvl w:ilvl="1" w:tplc="30090003" w:tentative="1">
      <w:start w:val="1"/>
      <w:numFmt w:val="bullet"/>
      <w:lvlText w:val="o"/>
      <w:lvlJc w:val="left"/>
      <w:pPr>
        <w:ind w:left="2160" w:hanging="360"/>
      </w:pPr>
      <w:rPr>
        <w:rFonts w:ascii="Courier New" w:hAnsi="Courier New" w:cs="Courier New" w:hint="default"/>
      </w:rPr>
    </w:lvl>
    <w:lvl w:ilvl="2" w:tplc="30090005" w:tentative="1">
      <w:start w:val="1"/>
      <w:numFmt w:val="bullet"/>
      <w:lvlText w:val=""/>
      <w:lvlJc w:val="left"/>
      <w:pPr>
        <w:ind w:left="2880" w:hanging="360"/>
      </w:pPr>
      <w:rPr>
        <w:rFonts w:ascii="Wingdings" w:hAnsi="Wingdings" w:hint="default"/>
      </w:rPr>
    </w:lvl>
    <w:lvl w:ilvl="3" w:tplc="30090001" w:tentative="1">
      <w:start w:val="1"/>
      <w:numFmt w:val="bullet"/>
      <w:lvlText w:val=""/>
      <w:lvlJc w:val="left"/>
      <w:pPr>
        <w:ind w:left="3600" w:hanging="360"/>
      </w:pPr>
      <w:rPr>
        <w:rFonts w:ascii="Symbol" w:hAnsi="Symbol" w:hint="default"/>
      </w:rPr>
    </w:lvl>
    <w:lvl w:ilvl="4" w:tplc="30090003" w:tentative="1">
      <w:start w:val="1"/>
      <w:numFmt w:val="bullet"/>
      <w:lvlText w:val="o"/>
      <w:lvlJc w:val="left"/>
      <w:pPr>
        <w:ind w:left="4320" w:hanging="360"/>
      </w:pPr>
      <w:rPr>
        <w:rFonts w:ascii="Courier New" w:hAnsi="Courier New" w:cs="Courier New" w:hint="default"/>
      </w:rPr>
    </w:lvl>
    <w:lvl w:ilvl="5" w:tplc="30090005" w:tentative="1">
      <w:start w:val="1"/>
      <w:numFmt w:val="bullet"/>
      <w:lvlText w:val=""/>
      <w:lvlJc w:val="left"/>
      <w:pPr>
        <w:ind w:left="5040" w:hanging="360"/>
      </w:pPr>
      <w:rPr>
        <w:rFonts w:ascii="Wingdings" w:hAnsi="Wingdings" w:hint="default"/>
      </w:rPr>
    </w:lvl>
    <w:lvl w:ilvl="6" w:tplc="30090001" w:tentative="1">
      <w:start w:val="1"/>
      <w:numFmt w:val="bullet"/>
      <w:lvlText w:val=""/>
      <w:lvlJc w:val="left"/>
      <w:pPr>
        <w:ind w:left="5760" w:hanging="360"/>
      </w:pPr>
      <w:rPr>
        <w:rFonts w:ascii="Symbol" w:hAnsi="Symbol" w:hint="default"/>
      </w:rPr>
    </w:lvl>
    <w:lvl w:ilvl="7" w:tplc="30090003" w:tentative="1">
      <w:start w:val="1"/>
      <w:numFmt w:val="bullet"/>
      <w:lvlText w:val="o"/>
      <w:lvlJc w:val="left"/>
      <w:pPr>
        <w:ind w:left="6480" w:hanging="360"/>
      </w:pPr>
      <w:rPr>
        <w:rFonts w:ascii="Courier New" w:hAnsi="Courier New" w:cs="Courier New" w:hint="default"/>
      </w:rPr>
    </w:lvl>
    <w:lvl w:ilvl="8" w:tplc="30090005" w:tentative="1">
      <w:start w:val="1"/>
      <w:numFmt w:val="bullet"/>
      <w:lvlText w:val=""/>
      <w:lvlJc w:val="left"/>
      <w:pPr>
        <w:ind w:left="7200" w:hanging="360"/>
      </w:pPr>
      <w:rPr>
        <w:rFonts w:ascii="Wingdings" w:hAnsi="Wingdings" w:hint="default"/>
      </w:rPr>
    </w:lvl>
  </w:abstractNum>
  <w:abstractNum w:abstractNumId="2" w15:restartNumberingAfterBreak="0">
    <w:nsid w:val="2723320E"/>
    <w:multiLevelType w:val="hybridMultilevel"/>
    <w:tmpl w:val="1BBAF504"/>
    <w:lvl w:ilvl="0" w:tplc="D87E18C2">
      <w:start w:val="4"/>
      <w:numFmt w:val="bullet"/>
      <w:lvlText w:val="-"/>
      <w:lvlJc w:val="left"/>
      <w:pPr>
        <w:ind w:left="720" w:hanging="360"/>
      </w:pPr>
      <w:rPr>
        <w:rFonts w:ascii="Calibri" w:eastAsia="Times New Roman" w:hAnsi="Calibri" w:cs="Calibri"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3" w15:restartNumberingAfterBreak="0">
    <w:nsid w:val="65B22AC9"/>
    <w:multiLevelType w:val="hybridMultilevel"/>
    <w:tmpl w:val="996414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6BA975A0"/>
    <w:multiLevelType w:val="hybridMultilevel"/>
    <w:tmpl w:val="FB5CA650"/>
    <w:lvl w:ilvl="0" w:tplc="5212D786">
      <w:start w:val="1"/>
      <w:numFmt w:val="decimal"/>
      <w:lvlText w:val="%1."/>
      <w:lvlJc w:val="left"/>
      <w:pPr>
        <w:tabs>
          <w:tab w:val="num" w:pos="720"/>
        </w:tabs>
        <w:ind w:left="720" w:hanging="360"/>
      </w:pPr>
      <w:rPr>
        <w:rFonts w:ascii="Times New Roman" w:eastAsia="Times New Roman" w:hAnsi="Times New Roman" w:cs="Times New Roman"/>
      </w:rPr>
    </w:lvl>
    <w:lvl w:ilvl="1" w:tplc="BC2EE872" w:tentative="1">
      <w:start w:val="1"/>
      <w:numFmt w:val="bullet"/>
      <w:lvlText w:val="•"/>
      <w:lvlJc w:val="left"/>
      <w:pPr>
        <w:tabs>
          <w:tab w:val="num" w:pos="1440"/>
        </w:tabs>
        <w:ind w:left="1440" w:hanging="360"/>
      </w:pPr>
      <w:rPr>
        <w:rFonts w:ascii="Arial" w:hAnsi="Arial" w:hint="default"/>
      </w:rPr>
    </w:lvl>
    <w:lvl w:ilvl="2" w:tplc="13C4A588" w:tentative="1">
      <w:start w:val="1"/>
      <w:numFmt w:val="bullet"/>
      <w:lvlText w:val="•"/>
      <w:lvlJc w:val="left"/>
      <w:pPr>
        <w:tabs>
          <w:tab w:val="num" w:pos="2160"/>
        </w:tabs>
        <w:ind w:left="2160" w:hanging="360"/>
      </w:pPr>
      <w:rPr>
        <w:rFonts w:ascii="Arial" w:hAnsi="Arial" w:hint="default"/>
      </w:rPr>
    </w:lvl>
    <w:lvl w:ilvl="3" w:tplc="04E2C0CA" w:tentative="1">
      <w:start w:val="1"/>
      <w:numFmt w:val="bullet"/>
      <w:lvlText w:val="•"/>
      <w:lvlJc w:val="left"/>
      <w:pPr>
        <w:tabs>
          <w:tab w:val="num" w:pos="2880"/>
        </w:tabs>
        <w:ind w:left="2880" w:hanging="360"/>
      </w:pPr>
      <w:rPr>
        <w:rFonts w:ascii="Arial" w:hAnsi="Arial" w:hint="default"/>
      </w:rPr>
    </w:lvl>
    <w:lvl w:ilvl="4" w:tplc="915CFCD6" w:tentative="1">
      <w:start w:val="1"/>
      <w:numFmt w:val="bullet"/>
      <w:lvlText w:val="•"/>
      <w:lvlJc w:val="left"/>
      <w:pPr>
        <w:tabs>
          <w:tab w:val="num" w:pos="3600"/>
        </w:tabs>
        <w:ind w:left="3600" w:hanging="360"/>
      </w:pPr>
      <w:rPr>
        <w:rFonts w:ascii="Arial" w:hAnsi="Arial" w:hint="default"/>
      </w:rPr>
    </w:lvl>
    <w:lvl w:ilvl="5" w:tplc="2A9283B8" w:tentative="1">
      <w:start w:val="1"/>
      <w:numFmt w:val="bullet"/>
      <w:lvlText w:val="•"/>
      <w:lvlJc w:val="left"/>
      <w:pPr>
        <w:tabs>
          <w:tab w:val="num" w:pos="4320"/>
        </w:tabs>
        <w:ind w:left="4320" w:hanging="360"/>
      </w:pPr>
      <w:rPr>
        <w:rFonts w:ascii="Arial" w:hAnsi="Arial" w:hint="default"/>
      </w:rPr>
    </w:lvl>
    <w:lvl w:ilvl="6" w:tplc="906016EC" w:tentative="1">
      <w:start w:val="1"/>
      <w:numFmt w:val="bullet"/>
      <w:lvlText w:val="•"/>
      <w:lvlJc w:val="left"/>
      <w:pPr>
        <w:tabs>
          <w:tab w:val="num" w:pos="5040"/>
        </w:tabs>
        <w:ind w:left="5040" w:hanging="360"/>
      </w:pPr>
      <w:rPr>
        <w:rFonts w:ascii="Arial" w:hAnsi="Arial" w:hint="default"/>
      </w:rPr>
    </w:lvl>
    <w:lvl w:ilvl="7" w:tplc="B8E604AA" w:tentative="1">
      <w:start w:val="1"/>
      <w:numFmt w:val="bullet"/>
      <w:lvlText w:val="•"/>
      <w:lvlJc w:val="left"/>
      <w:pPr>
        <w:tabs>
          <w:tab w:val="num" w:pos="5760"/>
        </w:tabs>
        <w:ind w:left="5760" w:hanging="360"/>
      </w:pPr>
      <w:rPr>
        <w:rFonts w:ascii="Arial" w:hAnsi="Arial" w:hint="default"/>
      </w:rPr>
    </w:lvl>
    <w:lvl w:ilvl="8" w:tplc="6938FC8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D8A05C2"/>
    <w:multiLevelType w:val="hybridMultilevel"/>
    <w:tmpl w:val="24727C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78A93FA7"/>
    <w:multiLevelType w:val="hybridMultilevel"/>
    <w:tmpl w:val="4B1CDBC6"/>
    <w:lvl w:ilvl="0" w:tplc="3009000F">
      <w:start w:val="1"/>
      <w:numFmt w:val="decimal"/>
      <w:lvlText w:val="%1."/>
      <w:lvlJc w:val="lef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num w:numId="1">
    <w:abstractNumId w:val="0"/>
  </w:num>
  <w:num w:numId="2">
    <w:abstractNumId w:val="6"/>
  </w:num>
  <w:num w:numId="3">
    <w:abstractNumId w:val="4"/>
  </w:num>
  <w:num w:numId="4">
    <w:abstractNumId w:val="3"/>
  </w:num>
  <w:num w:numId="5">
    <w:abstractNumId w:val="1"/>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A78"/>
    <w:rsid w:val="00004F12"/>
    <w:rsid w:val="000065FB"/>
    <w:rsid w:val="00015236"/>
    <w:rsid w:val="0002034D"/>
    <w:rsid w:val="00022B78"/>
    <w:rsid w:val="00024021"/>
    <w:rsid w:val="00045FB1"/>
    <w:rsid w:val="00061443"/>
    <w:rsid w:val="00077782"/>
    <w:rsid w:val="00080B17"/>
    <w:rsid w:val="000935AD"/>
    <w:rsid w:val="000B221D"/>
    <w:rsid w:val="000B2BA4"/>
    <w:rsid w:val="000B31B5"/>
    <w:rsid w:val="000B48FC"/>
    <w:rsid w:val="000C3BD9"/>
    <w:rsid w:val="000E4469"/>
    <w:rsid w:val="000E464A"/>
    <w:rsid w:val="000F1077"/>
    <w:rsid w:val="000F5418"/>
    <w:rsid w:val="00112C5F"/>
    <w:rsid w:val="001362B6"/>
    <w:rsid w:val="00140E22"/>
    <w:rsid w:val="0015076B"/>
    <w:rsid w:val="001562EF"/>
    <w:rsid w:val="00187DE5"/>
    <w:rsid w:val="00191224"/>
    <w:rsid w:val="0019460D"/>
    <w:rsid w:val="001A7A56"/>
    <w:rsid w:val="001B17D9"/>
    <w:rsid w:val="001B62D1"/>
    <w:rsid w:val="001D4DF9"/>
    <w:rsid w:val="001E1877"/>
    <w:rsid w:val="001E2235"/>
    <w:rsid w:val="001E24F6"/>
    <w:rsid w:val="001E374F"/>
    <w:rsid w:val="001E4B64"/>
    <w:rsid w:val="001E6561"/>
    <w:rsid w:val="001F3642"/>
    <w:rsid w:val="0020000D"/>
    <w:rsid w:val="00217431"/>
    <w:rsid w:val="002222CD"/>
    <w:rsid w:val="00223D7A"/>
    <w:rsid w:val="002412F1"/>
    <w:rsid w:val="0024454D"/>
    <w:rsid w:val="00274355"/>
    <w:rsid w:val="00276F2E"/>
    <w:rsid w:val="002776F5"/>
    <w:rsid w:val="00283A40"/>
    <w:rsid w:val="0029296F"/>
    <w:rsid w:val="00293105"/>
    <w:rsid w:val="002A2892"/>
    <w:rsid w:val="002B7DA6"/>
    <w:rsid w:val="002C1313"/>
    <w:rsid w:val="002C191D"/>
    <w:rsid w:val="002D1D44"/>
    <w:rsid w:val="002D3573"/>
    <w:rsid w:val="002D754E"/>
    <w:rsid w:val="002E0370"/>
    <w:rsid w:val="002F2167"/>
    <w:rsid w:val="00304F1E"/>
    <w:rsid w:val="003074F3"/>
    <w:rsid w:val="00311913"/>
    <w:rsid w:val="0032109F"/>
    <w:rsid w:val="00325727"/>
    <w:rsid w:val="0034284A"/>
    <w:rsid w:val="00386059"/>
    <w:rsid w:val="003A1FDA"/>
    <w:rsid w:val="003B3981"/>
    <w:rsid w:val="003C0B88"/>
    <w:rsid w:val="003E6FAF"/>
    <w:rsid w:val="003F2974"/>
    <w:rsid w:val="00422856"/>
    <w:rsid w:val="00440DBF"/>
    <w:rsid w:val="0045594D"/>
    <w:rsid w:val="004707B1"/>
    <w:rsid w:val="0047231E"/>
    <w:rsid w:val="00473161"/>
    <w:rsid w:val="00475664"/>
    <w:rsid w:val="0048339F"/>
    <w:rsid w:val="004951DA"/>
    <w:rsid w:val="004C5D31"/>
    <w:rsid w:val="004D220C"/>
    <w:rsid w:val="004D73B6"/>
    <w:rsid w:val="004E28FE"/>
    <w:rsid w:val="00510995"/>
    <w:rsid w:val="00545EDD"/>
    <w:rsid w:val="00555675"/>
    <w:rsid w:val="005928F2"/>
    <w:rsid w:val="005932A7"/>
    <w:rsid w:val="00593853"/>
    <w:rsid w:val="00593F23"/>
    <w:rsid w:val="0059509C"/>
    <w:rsid w:val="005B1E9A"/>
    <w:rsid w:val="005B32EF"/>
    <w:rsid w:val="005B7C47"/>
    <w:rsid w:val="005C78BA"/>
    <w:rsid w:val="005E222D"/>
    <w:rsid w:val="005E3B0D"/>
    <w:rsid w:val="005F2B20"/>
    <w:rsid w:val="00613DF3"/>
    <w:rsid w:val="00641B28"/>
    <w:rsid w:val="00660EB8"/>
    <w:rsid w:val="006613B1"/>
    <w:rsid w:val="00667A00"/>
    <w:rsid w:val="00681723"/>
    <w:rsid w:val="00687D68"/>
    <w:rsid w:val="006C4593"/>
    <w:rsid w:val="006C6C57"/>
    <w:rsid w:val="006D1F37"/>
    <w:rsid w:val="006E7BB0"/>
    <w:rsid w:val="00702E31"/>
    <w:rsid w:val="00726424"/>
    <w:rsid w:val="00750784"/>
    <w:rsid w:val="00770A83"/>
    <w:rsid w:val="00795891"/>
    <w:rsid w:val="007B2D0A"/>
    <w:rsid w:val="007B4C19"/>
    <w:rsid w:val="007B76FC"/>
    <w:rsid w:val="007E1BC6"/>
    <w:rsid w:val="00800218"/>
    <w:rsid w:val="00802505"/>
    <w:rsid w:val="00813425"/>
    <w:rsid w:val="008259C8"/>
    <w:rsid w:val="0082668C"/>
    <w:rsid w:val="00832053"/>
    <w:rsid w:val="00832526"/>
    <w:rsid w:val="00833BD5"/>
    <w:rsid w:val="00835325"/>
    <w:rsid w:val="00835F3C"/>
    <w:rsid w:val="00850FC2"/>
    <w:rsid w:val="008640AC"/>
    <w:rsid w:val="008769E4"/>
    <w:rsid w:val="00880F79"/>
    <w:rsid w:val="00892248"/>
    <w:rsid w:val="008A665D"/>
    <w:rsid w:val="008B03EA"/>
    <w:rsid w:val="008C626C"/>
    <w:rsid w:val="008C71F2"/>
    <w:rsid w:val="008C7AEA"/>
    <w:rsid w:val="008D2FE1"/>
    <w:rsid w:val="008E0E93"/>
    <w:rsid w:val="008F0025"/>
    <w:rsid w:val="0091489C"/>
    <w:rsid w:val="0092328D"/>
    <w:rsid w:val="0092566F"/>
    <w:rsid w:val="0095213F"/>
    <w:rsid w:val="009525AE"/>
    <w:rsid w:val="00994F1D"/>
    <w:rsid w:val="009E1247"/>
    <w:rsid w:val="009E3E5C"/>
    <w:rsid w:val="009E6388"/>
    <w:rsid w:val="009F24F0"/>
    <w:rsid w:val="00A039EE"/>
    <w:rsid w:val="00A30054"/>
    <w:rsid w:val="00A47CFD"/>
    <w:rsid w:val="00A5037C"/>
    <w:rsid w:val="00A53CF1"/>
    <w:rsid w:val="00A54E38"/>
    <w:rsid w:val="00A936F8"/>
    <w:rsid w:val="00AA1B46"/>
    <w:rsid w:val="00AA39F1"/>
    <w:rsid w:val="00AA6DF8"/>
    <w:rsid w:val="00AB5E5B"/>
    <w:rsid w:val="00AB7EBE"/>
    <w:rsid w:val="00AC2A80"/>
    <w:rsid w:val="00AC49E8"/>
    <w:rsid w:val="00AD076A"/>
    <w:rsid w:val="00AD1190"/>
    <w:rsid w:val="00AD22E3"/>
    <w:rsid w:val="00AF4327"/>
    <w:rsid w:val="00B138C7"/>
    <w:rsid w:val="00B32847"/>
    <w:rsid w:val="00B34247"/>
    <w:rsid w:val="00B36F2C"/>
    <w:rsid w:val="00B52304"/>
    <w:rsid w:val="00B52AB4"/>
    <w:rsid w:val="00B54E7A"/>
    <w:rsid w:val="00B67730"/>
    <w:rsid w:val="00B75BA3"/>
    <w:rsid w:val="00B804C7"/>
    <w:rsid w:val="00B90ECD"/>
    <w:rsid w:val="00BA3C8F"/>
    <w:rsid w:val="00BC1012"/>
    <w:rsid w:val="00BC1940"/>
    <w:rsid w:val="00BC5BFA"/>
    <w:rsid w:val="00BD435D"/>
    <w:rsid w:val="00BD60CE"/>
    <w:rsid w:val="00C0689D"/>
    <w:rsid w:val="00C15847"/>
    <w:rsid w:val="00C3337C"/>
    <w:rsid w:val="00C37E72"/>
    <w:rsid w:val="00C4648D"/>
    <w:rsid w:val="00C53E05"/>
    <w:rsid w:val="00C54929"/>
    <w:rsid w:val="00C61FCB"/>
    <w:rsid w:val="00C8466E"/>
    <w:rsid w:val="00C95A78"/>
    <w:rsid w:val="00C964B8"/>
    <w:rsid w:val="00CB2AE6"/>
    <w:rsid w:val="00CC36A0"/>
    <w:rsid w:val="00D221A8"/>
    <w:rsid w:val="00D27A39"/>
    <w:rsid w:val="00D43E39"/>
    <w:rsid w:val="00D46D8C"/>
    <w:rsid w:val="00D47FD7"/>
    <w:rsid w:val="00D74DF9"/>
    <w:rsid w:val="00D75DF3"/>
    <w:rsid w:val="00D76CF1"/>
    <w:rsid w:val="00D846D5"/>
    <w:rsid w:val="00DA1A72"/>
    <w:rsid w:val="00DB1135"/>
    <w:rsid w:val="00DB4C33"/>
    <w:rsid w:val="00DB7134"/>
    <w:rsid w:val="00DE08ED"/>
    <w:rsid w:val="00DE1746"/>
    <w:rsid w:val="00DE37F1"/>
    <w:rsid w:val="00E25886"/>
    <w:rsid w:val="00E32C6A"/>
    <w:rsid w:val="00E335A6"/>
    <w:rsid w:val="00E51D18"/>
    <w:rsid w:val="00E62F23"/>
    <w:rsid w:val="00E720B8"/>
    <w:rsid w:val="00E732AC"/>
    <w:rsid w:val="00E830A5"/>
    <w:rsid w:val="00E87AC8"/>
    <w:rsid w:val="00EA3EF5"/>
    <w:rsid w:val="00EC5D3B"/>
    <w:rsid w:val="00F10694"/>
    <w:rsid w:val="00F15411"/>
    <w:rsid w:val="00F157CF"/>
    <w:rsid w:val="00F218D0"/>
    <w:rsid w:val="00F363DA"/>
    <w:rsid w:val="00F765FE"/>
    <w:rsid w:val="00F95858"/>
    <w:rsid w:val="00F97376"/>
    <w:rsid w:val="00FA7A69"/>
    <w:rsid w:val="00FC38FE"/>
    <w:rsid w:val="00FD027F"/>
    <w:rsid w:val="00FD5386"/>
    <w:rsid w:val="00FF582C"/>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64DC8D"/>
  <w15:chartTrackingRefBased/>
  <w15:docId w15:val="{D2BD4A69-7F4B-4E77-8BE2-5262E8E00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W"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5A78"/>
    <w:pPr>
      <w:keepNext/>
      <w:keepLines/>
      <w:numPr>
        <w:numId w:val="1"/>
      </w:numPr>
      <w:spacing w:before="240" w:after="120"/>
      <w:outlineLvl w:val="0"/>
    </w:pPr>
    <w:rPr>
      <w:rFonts w:eastAsia="MS Gothic" w:cstheme="minorHAnsi"/>
      <w:b/>
      <w:sz w:val="24"/>
      <w:szCs w:val="32"/>
      <w:lang w:val="en-US" w:eastAsia="en-GB"/>
    </w:rPr>
  </w:style>
  <w:style w:type="paragraph" w:styleId="Heading2">
    <w:name w:val="heading 2"/>
    <w:basedOn w:val="Normal"/>
    <w:next w:val="Normal"/>
    <w:link w:val="Heading2Char"/>
    <w:uiPriority w:val="9"/>
    <w:unhideWhenUsed/>
    <w:qFormat/>
    <w:rsid w:val="00C95A78"/>
    <w:pPr>
      <w:keepNext/>
      <w:keepLines/>
      <w:numPr>
        <w:ilvl w:val="1"/>
        <w:numId w:val="1"/>
      </w:numPr>
      <w:spacing w:before="40" w:after="0"/>
      <w:outlineLvl w:val="1"/>
    </w:pPr>
    <w:rPr>
      <w:rFonts w:eastAsiaTheme="majorEastAsia" w:cstheme="majorBidi"/>
      <w:b/>
      <w:color w:val="000000" w:themeColor="text1"/>
      <w:szCs w:val="26"/>
      <w:lang w:val="en-GB" w:eastAsia="en-GB"/>
    </w:rPr>
  </w:style>
  <w:style w:type="paragraph" w:styleId="Heading3">
    <w:name w:val="heading 3"/>
    <w:basedOn w:val="Normal"/>
    <w:next w:val="Normal"/>
    <w:link w:val="Heading3Char"/>
    <w:uiPriority w:val="9"/>
    <w:unhideWhenUsed/>
    <w:qFormat/>
    <w:rsid w:val="00C95A78"/>
    <w:pPr>
      <w:keepNext/>
      <w:keepLines/>
      <w:numPr>
        <w:ilvl w:val="2"/>
        <w:numId w:val="1"/>
      </w:numPr>
      <w:spacing w:before="40" w:after="0"/>
      <w:outlineLvl w:val="2"/>
    </w:pPr>
    <w:rPr>
      <w:rFonts w:eastAsiaTheme="majorEastAsia" w:cstheme="majorBidi"/>
      <w:b/>
      <w:i/>
      <w:szCs w:val="24"/>
    </w:rPr>
  </w:style>
  <w:style w:type="paragraph" w:styleId="Heading4">
    <w:name w:val="heading 4"/>
    <w:basedOn w:val="Normal"/>
    <w:next w:val="Normal"/>
    <w:link w:val="Heading4Char"/>
    <w:uiPriority w:val="9"/>
    <w:unhideWhenUsed/>
    <w:qFormat/>
    <w:rsid w:val="00C95A78"/>
    <w:pPr>
      <w:keepNext/>
      <w:keepLines/>
      <w:numPr>
        <w:ilvl w:val="3"/>
        <w:numId w:val="1"/>
      </w:numPr>
      <w:spacing w:before="40" w:after="0" w:line="240" w:lineRule="auto"/>
      <w:ind w:left="2565"/>
      <w:outlineLvl w:val="3"/>
    </w:pPr>
    <w:rPr>
      <w:rFonts w:asciiTheme="majorHAnsi" w:eastAsiaTheme="majorEastAsia" w:hAnsiTheme="majorHAnsi" w:cstheme="majorBidi"/>
      <w:b/>
      <w:i/>
      <w:iCs/>
    </w:rPr>
  </w:style>
  <w:style w:type="paragraph" w:styleId="Heading5">
    <w:name w:val="heading 5"/>
    <w:basedOn w:val="Normal"/>
    <w:next w:val="Normal"/>
    <w:link w:val="Heading5Char"/>
    <w:uiPriority w:val="9"/>
    <w:semiHidden/>
    <w:unhideWhenUsed/>
    <w:qFormat/>
    <w:rsid w:val="00C95A78"/>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95A78"/>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95A78"/>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C95A78"/>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95A78"/>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5A78"/>
    <w:rPr>
      <w:rFonts w:eastAsia="MS Gothic" w:cstheme="minorHAnsi"/>
      <w:b/>
      <w:sz w:val="24"/>
      <w:szCs w:val="32"/>
      <w:lang w:val="en-US" w:eastAsia="en-GB"/>
    </w:rPr>
  </w:style>
  <w:style w:type="character" w:customStyle="1" w:styleId="Heading2Char">
    <w:name w:val="Heading 2 Char"/>
    <w:basedOn w:val="DefaultParagraphFont"/>
    <w:link w:val="Heading2"/>
    <w:uiPriority w:val="9"/>
    <w:rsid w:val="00C95A78"/>
    <w:rPr>
      <w:rFonts w:eastAsiaTheme="majorEastAsia" w:cstheme="majorBidi"/>
      <w:b/>
      <w:color w:val="000000" w:themeColor="text1"/>
      <w:szCs w:val="26"/>
      <w:lang w:val="en-GB" w:eastAsia="en-GB"/>
    </w:rPr>
  </w:style>
  <w:style w:type="character" w:customStyle="1" w:styleId="Heading3Char">
    <w:name w:val="Heading 3 Char"/>
    <w:basedOn w:val="DefaultParagraphFont"/>
    <w:link w:val="Heading3"/>
    <w:uiPriority w:val="9"/>
    <w:rsid w:val="00C95A78"/>
    <w:rPr>
      <w:rFonts w:eastAsiaTheme="majorEastAsia" w:cstheme="majorBidi"/>
      <w:b/>
      <w:i/>
      <w:szCs w:val="24"/>
    </w:rPr>
  </w:style>
  <w:style w:type="character" w:customStyle="1" w:styleId="Heading4Char">
    <w:name w:val="Heading 4 Char"/>
    <w:basedOn w:val="DefaultParagraphFont"/>
    <w:link w:val="Heading4"/>
    <w:uiPriority w:val="9"/>
    <w:rsid w:val="00C95A78"/>
    <w:rPr>
      <w:rFonts w:asciiTheme="majorHAnsi" w:eastAsiaTheme="majorEastAsia" w:hAnsiTheme="majorHAnsi" w:cstheme="majorBidi"/>
      <w:b/>
      <w:i/>
      <w:iCs/>
    </w:rPr>
  </w:style>
  <w:style w:type="character" w:customStyle="1" w:styleId="Heading5Char">
    <w:name w:val="Heading 5 Char"/>
    <w:basedOn w:val="DefaultParagraphFont"/>
    <w:link w:val="Heading5"/>
    <w:uiPriority w:val="9"/>
    <w:semiHidden/>
    <w:rsid w:val="00C95A78"/>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C95A78"/>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C95A78"/>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C95A7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95A78"/>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C95A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5A78"/>
  </w:style>
  <w:style w:type="paragraph" w:styleId="Footer">
    <w:name w:val="footer"/>
    <w:basedOn w:val="Normal"/>
    <w:link w:val="FooterChar"/>
    <w:uiPriority w:val="99"/>
    <w:unhideWhenUsed/>
    <w:rsid w:val="00C95A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5A78"/>
  </w:style>
  <w:style w:type="paragraph" w:styleId="TOCHeading">
    <w:name w:val="TOC Heading"/>
    <w:basedOn w:val="Heading1"/>
    <w:next w:val="Normal"/>
    <w:uiPriority w:val="39"/>
    <w:unhideWhenUsed/>
    <w:qFormat/>
    <w:rsid w:val="00C95A78"/>
    <w:pPr>
      <w:numPr>
        <w:numId w:val="0"/>
      </w:numPr>
      <w:outlineLvl w:val="9"/>
    </w:pPr>
    <w:rPr>
      <w:b w:val="0"/>
      <w:color w:val="2E74B5" w:themeColor="accent1" w:themeShade="BF"/>
      <w:sz w:val="32"/>
    </w:rPr>
  </w:style>
  <w:style w:type="paragraph" w:styleId="TOC1">
    <w:name w:val="toc 1"/>
    <w:basedOn w:val="Normal"/>
    <w:next w:val="Normal"/>
    <w:autoRedefine/>
    <w:uiPriority w:val="39"/>
    <w:unhideWhenUsed/>
    <w:rsid w:val="00C95A78"/>
    <w:pPr>
      <w:spacing w:after="100"/>
    </w:pPr>
  </w:style>
  <w:style w:type="paragraph" w:styleId="TOC2">
    <w:name w:val="toc 2"/>
    <w:basedOn w:val="Normal"/>
    <w:next w:val="Normal"/>
    <w:autoRedefine/>
    <w:uiPriority w:val="39"/>
    <w:unhideWhenUsed/>
    <w:rsid w:val="00C95A78"/>
    <w:pPr>
      <w:tabs>
        <w:tab w:val="left" w:pos="880"/>
        <w:tab w:val="right" w:leader="dot" w:pos="9016"/>
      </w:tabs>
      <w:spacing w:after="100"/>
      <w:ind w:left="220"/>
    </w:pPr>
  </w:style>
  <w:style w:type="paragraph" w:styleId="TOC3">
    <w:name w:val="toc 3"/>
    <w:basedOn w:val="Normal"/>
    <w:next w:val="Normal"/>
    <w:autoRedefine/>
    <w:uiPriority w:val="39"/>
    <w:unhideWhenUsed/>
    <w:rsid w:val="00C95A78"/>
    <w:pPr>
      <w:tabs>
        <w:tab w:val="left" w:pos="1320"/>
        <w:tab w:val="right" w:leader="dot" w:pos="9016"/>
      </w:tabs>
      <w:spacing w:after="100"/>
      <w:ind w:left="440"/>
    </w:pPr>
  </w:style>
  <w:style w:type="character" w:styleId="Hyperlink">
    <w:name w:val="Hyperlink"/>
    <w:basedOn w:val="DefaultParagraphFont"/>
    <w:uiPriority w:val="99"/>
    <w:unhideWhenUsed/>
    <w:rsid w:val="00C95A78"/>
    <w:rPr>
      <w:color w:val="0563C1" w:themeColor="hyperlink"/>
      <w:u w:val="single"/>
    </w:rPr>
  </w:style>
  <w:style w:type="character" w:styleId="CommentReference">
    <w:name w:val="annotation reference"/>
    <w:basedOn w:val="DefaultParagraphFont"/>
    <w:uiPriority w:val="99"/>
    <w:unhideWhenUsed/>
    <w:rsid w:val="00C95A78"/>
    <w:rPr>
      <w:sz w:val="16"/>
      <w:szCs w:val="16"/>
    </w:rPr>
  </w:style>
  <w:style w:type="paragraph" w:styleId="CommentText">
    <w:name w:val="annotation text"/>
    <w:basedOn w:val="Normal"/>
    <w:link w:val="CommentTextChar"/>
    <w:uiPriority w:val="99"/>
    <w:unhideWhenUsed/>
    <w:rsid w:val="00C95A78"/>
    <w:pPr>
      <w:spacing w:line="240" w:lineRule="auto"/>
    </w:pPr>
    <w:rPr>
      <w:sz w:val="20"/>
      <w:szCs w:val="20"/>
      <w:lang w:val="en-US"/>
    </w:rPr>
  </w:style>
  <w:style w:type="character" w:customStyle="1" w:styleId="CommentTextChar">
    <w:name w:val="Comment Text Char"/>
    <w:basedOn w:val="DefaultParagraphFont"/>
    <w:link w:val="CommentText"/>
    <w:uiPriority w:val="99"/>
    <w:rsid w:val="00C95A78"/>
    <w:rPr>
      <w:sz w:val="20"/>
      <w:szCs w:val="20"/>
      <w:lang w:val="en-US"/>
    </w:rPr>
  </w:style>
  <w:style w:type="paragraph" w:styleId="BalloonText">
    <w:name w:val="Balloon Text"/>
    <w:basedOn w:val="Normal"/>
    <w:link w:val="BalloonTextChar"/>
    <w:uiPriority w:val="99"/>
    <w:semiHidden/>
    <w:unhideWhenUsed/>
    <w:rsid w:val="00C95A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5A78"/>
    <w:rPr>
      <w:rFonts w:ascii="Segoe UI" w:hAnsi="Segoe UI" w:cs="Segoe UI"/>
      <w:sz w:val="18"/>
      <w:szCs w:val="18"/>
    </w:rPr>
  </w:style>
  <w:style w:type="paragraph" w:styleId="Revision">
    <w:name w:val="Revision"/>
    <w:hidden/>
    <w:uiPriority w:val="99"/>
    <w:semiHidden/>
    <w:rsid w:val="00C95A78"/>
    <w:pPr>
      <w:spacing w:after="0" w:line="240" w:lineRule="auto"/>
    </w:pPr>
  </w:style>
  <w:style w:type="paragraph" w:styleId="CommentSubject">
    <w:name w:val="annotation subject"/>
    <w:basedOn w:val="CommentText"/>
    <w:next w:val="CommentText"/>
    <w:link w:val="CommentSubjectChar"/>
    <w:uiPriority w:val="99"/>
    <w:semiHidden/>
    <w:unhideWhenUsed/>
    <w:rsid w:val="00C95A78"/>
    <w:rPr>
      <w:b/>
      <w:bCs/>
      <w:lang w:val="en-ZW"/>
    </w:rPr>
  </w:style>
  <w:style w:type="character" w:customStyle="1" w:styleId="CommentSubjectChar">
    <w:name w:val="Comment Subject Char"/>
    <w:basedOn w:val="CommentTextChar"/>
    <w:link w:val="CommentSubject"/>
    <w:uiPriority w:val="99"/>
    <w:semiHidden/>
    <w:rsid w:val="00C95A78"/>
    <w:rPr>
      <w:b/>
      <w:bCs/>
      <w:sz w:val="20"/>
      <w:szCs w:val="20"/>
      <w:lang w:val="en-US"/>
    </w:rPr>
  </w:style>
  <w:style w:type="paragraph" w:styleId="ListParagraph">
    <w:name w:val="List Paragraph"/>
    <w:basedOn w:val="Normal"/>
    <w:uiPriority w:val="34"/>
    <w:qFormat/>
    <w:rsid w:val="00C95A78"/>
    <w:pPr>
      <w:ind w:left="720"/>
      <w:contextualSpacing/>
    </w:pPr>
  </w:style>
  <w:style w:type="paragraph" w:styleId="Caption">
    <w:name w:val="caption"/>
    <w:basedOn w:val="Normal"/>
    <w:next w:val="Normal"/>
    <w:unhideWhenUsed/>
    <w:qFormat/>
    <w:rsid w:val="00C95A78"/>
    <w:pPr>
      <w:spacing w:after="200" w:line="240" w:lineRule="auto"/>
    </w:pPr>
    <w:rPr>
      <w:b/>
      <w:iCs/>
      <w:szCs w:val="18"/>
    </w:rPr>
  </w:style>
  <w:style w:type="paragraph" w:styleId="TableofFigures">
    <w:name w:val="table of figures"/>
    <w:basedOn w:val="Normal"/>
    <w:next w:val="Normal"/>
    <w:uiPriority w:val="99"/>
    <w:unhideWhenUsed/>
    <w:rsid w:val="00C95A78"/>
    <w:pPr>
      <w:spacing w:after="0"/>
    </w:pPr>
  </w:style>
  <w:style w:type="table" w:styleId="TableGrid">
    <w:name w:val="Table Grid"/>
    <w:basedOn w:val="TableNormal"/>
    <w:uiPriority w:val="59"/>
    <w:rsid w:val="00C95A7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95A78"/>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1">
    <w:name w:val="Table Grid1"/>
    <w:basedOn w:val="TableNormal"/>
    <w:next w:val="TableGrid"/>
    <w:uiPriority w:val="39"/>
    <w:rsid w:val="00C95A7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C95A78"/>
  </w:style>
  <w:style w:type="character" w:customStyle="1" w:styleId="UnresolvedMention1">
    <w:name w:val="Unresolved Mention1"/>
    <w:uiPriority w:val="99"/>
    <w:semiHidden/>
    <w:unhideWhenUsed/>
    <w:rsid w:val="00C95A78"/>
    <w:rPr>
      <w:color w:val="808080"/>
      <w:shd w:val="clear" w:color="auto" w:fill="E6E6E6"/>
    </w:rPr>
  </w:style>
  <w:style w:type="table" w:customStyle="1" w:styleId="TableGrid2">
    <w:name w:val="Table Grid2"/>
    <w:basedOn w:val="TableNormal"/>
    <w:next w:val="TableGrid"/>
    <w:uiPriority w:val="59"/>
    <w:rsid w:val="00C95A78"/>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99"/>
    <w:qFormat/>
    <w:rsid w:val="00C95A78"/>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99"/>
    <w:rsid w:val="00C95A78"/>
    <w:rPr>
      <w:rFonts w:ascii="Calibri" w:eastAsia="Times New Roman" w:hAnsi="Calibri" w:cs="Times New Roman"/>
      <w:lang w:val="en-US"/>
    </w:rPr>
  </w:style>
  <w:style w:type="paragraph" w:customStyle="1" w:styleId="EndNoteBibliography">
    <w:name w:val="EndNote Bibliography"/>
    <w:basedOn w:val="Normal"/>
    <w:link w:val="EndNoteBibliographyChar"/>
    <w:rsid w:val="00C95A78"/>
    <w:pPr>
      <w:spacing w:after="0" w:line="480" w:lineRule="auto"/>
    </w:pPr>
    <w:rPr>
      <w:rFonts w:ascii="Calibri" w:eastAsia="Calibri" w:hAnsi="Calibri" w:cs="Calibri"/>
      <w:noProof/>
      <w:sz w:val="24"/>
      <w:szCs w:val="24"/>
      <w:lang w:val="en-US" w:eastAsia="en-GB"/>
    </w:rPr>
  </w:style>
  <w:style w:type="character" w:customStyle="1" w:styleId="EndNoteBibliographyChar">
    <w:name w:val="EndNote Bibliography Char"/>
    <w:link w:val="EndNoteBibliography"/>
    <w:rsid w:val="00C95A78"/>
    <w:rPr>
      <w:rFonts w:ascii="Calibri" w:eastAsia="Calibri" w:hAnsi="Calibri" w:cs="Calibri"/>
      <w:noProof/>
      <w:sz w:val="24"/>
      <w:szCs w:val="24"/>
      <w:lang w:val="en-US" w:eastAsia="en-GB"/>
    </w:rPr>
  </w:style>
  <w:style w:type="paragraph" w:styleId="FootnoteText">
    <w:name w:val="footnote text"/>
    <w:basedOn w:val="Normal"/>
    <w:link w:val="FootnoteTextChar"/>
    <w:uiPriority w:val="99"/>
    <w:semiHidden/>
    <w:unhideWhenUsed/>
    <w:rsid w:val="00C95A78"/>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C95A78"/>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C95A78"/>
    <w:rPr>
      <w:vertAlign w:val="superscript"/>
    </w:rPr>
  </w:style>
  <w:style w:type="character" w:styleId="FollowedHyperlink">
    <w:name w:val="FollowedHyperlink"/>
    <w:uiPriority w:val="99"/>
    <w:semiHidden/>
    <w:unhideWhenUsed/>
    <w:rsid w:val="00C95A78"/>
    <w:rPr>
      <w:color w:val="800080"/>
      <w:u w:val="single"/>
    </w:rPr>
  </w:style>
  <w:style w:type="character" w:customStyle="1" w:styleId="UnresolvedMention2">
    <w:name w:val="Unresolved Mention2"/>
    <w:basedOn w:val="DefaultParagraphFont"/>
    <w:uiPriority w:val="99"/>
    <w:semiHidden/>
    <w:unhideWhenUsed/>
    <w:rsid w:val="00C95A78"/>
    <w:rPr>
      <w:color w:val="605E5C"/>
      <w:shd w:val="clear" w:color="auto" w:fill="E1DFDD"/>
    </w:rPr>
  </w:style>
  <w:style w:type="character" w:customStyle="1" w:styleId="UnresolvedMention3">
    <w:name w:val="Unresolved Mention3"/>
    <w:basedOn w:val="DefaultParagraphFont"/>
    <w:uiPriority w:val="99"/>
    <w:semiHidden/>
    <w:unhideWhenUsed/>
    <w:rsid w:val="00C95A78"/>
    <w:rPr>
      <w:color w:val="605E5C"/>
      <w:shd w:val="clear" w:color="auto" w:fill="E1DFDD"/>
    </w:rPr>
  </w:style>
  <w:style w:type="character" w:styleId="PlaceholderText">
    <w:name w:val="Placeholder Text"/>
    <w:basedOn w:val="DefaultParagraphFont"/>
    <w:uiPriority w:val="99"/>
    <w:semiHidden/>
    <w:rsid w:val="00C95A78"/>
    <w:rPr>
      <w:color w:val="808080"/>
    </w:rPr>
  </w:style>
  <w:style w:type="numbering" w:customStyle="1" w:styleId="NoList1">
    <w:name w:val="No List1"/>
    <w:next w:val="NoList"/>
    <w:uiPriority w:val="99"/>
    <w:semiHidden/>
    <w:unhideWhenUsed/>
    <w:rsid w:val="00C95A78"/>
  </w:style>
  <w:style w:type="table" w:customStyle="1" w:styleId="TableGrid3">
    <w:name w:val="Table Grid3"/>
    <w:basedOn w:val="TableNormal"/>
    <w:next w:val="TableGrid"/>
    <w:uiPriority w:val="59"/>
    <w:rsid w:val="00C95A78"/>
    <w:pPr>
      <w:spacing w:after="0" w:line="240" w:lineRule="auto"/>
    </w:pPr>
    <w:rPr>
      <w:rFonts w:ascii="Calibri" w:eastAsia="Calibri" w:hAnsi="Calibri" w:cs="Times New Roman"/>
      <w:sz w:val="20"/>
      <w:szCs w:val="20"/>
      <w:lang w:eastAsia="en-Z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C95A78"/>
  </w:style>
  <w:style w:type="numbering" w:customStyle="1" w:styleId="NoList2">
    <w:name w:val="No List2"/>
    <w:next w:val="NoList"/>
    <w:uiPriority w:val="99"/>
    <w:semiHidden/>
    <w:unhideWhenUsed/>
    <w:rsid w:val="00C95A78"/>
  </w:style>
  <w:style w:type="paragraph" w:customStyle="1" w:styleId="Default">
    <w:name w:val="Default"/>
    <w:rsid w:val="00C95A78"/>
    <w:pPr>
      <w:widowControl w:val="0"/>
      <w:autoSpaceDE w:val="0"/>
      <w:autoSpaceDN w:val="0"/>
      <w:adjustRightInd w:val="0"/>
      <w:spacing w:after="0" w:line="240" w:lineRule="auto"/>
    </w:pPr>
    <w:rPr>
      <w:rFonts w:ascii="ICFAI O+ Times" w:eastAsia="Times New Roman" w:hAnsi="ICFAI O+ Times" w:cs="Times New Roman"/>
      <w:color w:val="000000"/>
      <w:sz w:val="24"/>
      <w:szCs w:val="24"/>
      <w:lang w:val="en-US"/>
    </w:rPr>
  </w:style>
  <w:style w:type="table" w:customStyle="1" w:styleId="TableGrid4">
    <w:name w:val="Table Grid4"/>
    <w:basedOn w:val="TableNormal"/>
    <w:next w:val="TableGrid"/>
    <w:uiPriority w:val="39"/>
    <w:rsid w:val="00C95A7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C95A78"/>
    <w:rPr>
      <w:color w:val="605E5C"/>
      <w:shd w:val="clear" w:color="auto" w:fill="E1DFDD"/>
    </w:rPr>
  </w:style>
  <w:style w:type="numbering" w:customStyle="1" w:styleId="NoList3">
    <w:name w:val="No List3"/>
    <w:next w:val="NoList"/>
    <w:uiPriority w:val="99"/>
    <w:semiHidden/>
    <w:unhideWhenUsed/>
    <w:rsid w:val="00C95A78"/>
  </w:style>
  <w:style w:type="paragraph" w:customStyle="1" w:styleId="EndNoteBibliographyTitle">
    <w:name w:val="EndNote Bibliography Title"/>
    <w:basedOn w:val="Normal"/>
    <w:link w:val="EndNoteBibliographyTitleChar"/>
    <w:rsid w:val="00C95A78"/>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C95A78"/>
    <w:rPr>
      <w:rFonts w:ascii="Calibri" w:hAnsi="Calibri"/>
      <w:noProof/>
      <w:lang w:val="en-US"/>
    </w:rPr>
  </w:style>
  <w:style w:type="character" w:styleId="LineNumber">
    <w:name w:val="line number"/>
    <w:basedOn w:val="DefaultParagraphFont"/>
    <w:uiPriority w:val="99"/>
    <w:semiHidden/>
    <w:unhideWhenUsed/>
    <w:rsid w:val="00C95A78"/>
  </w:style>
  <w:style w:type="character" w:customStyle="1" w:styleId="cf01">
    <w:name w:val="cf01"/>
    <w:basedOn w:val="DefaultParagraphFont"/>
    <w:rsid w:val="00C95A78"/>
    <w:rPr>
      <w:rFonts w:ascii="Segoe UI" w:hAnsi="Segoe UI" w:cs="Segoe UI" w:hint="default"/>
      <w:sz w:val="18"/>
      <w:szCs w:val="18"/>
    </w:rPr>
  </w:style>
  <w:style w:type="paragraph" w:styleId="Title">
    <w:name w:val="Title"/>
    <w:basedOn w:val="Normal"/>
    <w:link w:val="TitleChar"/>
    <w:qFormat/>
    <w:rsid w:val="00C95A78"/>
    <w:pPr>
      <w:spacing w:after="0" w:line="240" w:lineRule="auto"/>
      <w:jc w:val="center"/>
    </w:pPr>
    <w:rPr>
      <w:rFonts w:ascii="Bodoni Bd BT" w:eastAsia="Times New Roman" w:hAnsi="Bodoni Bd BT" w:cs="Times New Roman"/>
      <w:sz w:val="28"/>
      <w:szCs w:val="20"/>
      <w:lang w:val="en-GB"/>
    </w:rPr>
  </w:style>
  <w:style w:type="character" w:customStyle="1" w:styleId="TitleChar">
    <w:name w:val="Title Char"/>
    <w:basedOn w:val="DefaultParagraphFont"/>
    <w:link w:val="Title"/>
    <w:rsid w:val="00C95A78"/>
    <w:rPr>
      <w:rFonts w:ascii="Bodoni Bd BT" w:eastAsia="Times New Roman" w:hAnsi="Bodoni Bd BT" w:cs="Times New Roman"/>
      <w:sz w:val="28"/>
      <w:szCs w:val="20"/>
      <w:lang w:val="en-GB"/>
    </w:rPr>
  </w:style>
  <w:style w:type="paragraph" w:styleId="TOC4">
    <w:name w:val="toc 4"/>
    <w:basedOn w:val="Normal"/>
    <w:next w:val="Normal"/>
    <w:autoRedefine/>
    <w:uiPriority w:val="39"/>
    <w:unhideWhenUsed/>
    <w:rsid w:val="00C95A78"/>
    <w:pPr>
      <w:spacing w:after="100"/>
      <w:ind w:left="660"/>
    </w:pPr>
    <w:rPr>
      <w:rFonts w:eastAsiaTheme="minorEastAsia"/>
      <w:lang w:eastAsia="en-ZW"/>
    </w:rPr>
  </w:style>
  <w:style w:type="paragraph" w:styleId="TOC5">
    <w:name w:val="toc 5"/>
    <w:basedOn w:val="Normal"/>
    <w:next w:val="Normal"/>
    <w:autoRedefine/>
    <w:uiPriority w:val="39"/>
    <w:unhideWhenUsed/>
    <w:rsid w:val="00C95A78"/>
    <w:pPr>
      <w:spacing w:after="100"/>
      <w:ind w:left="880"/>
    </w:pPr>
    <w:rPr>
      <w:rFonts w:eastAsiaTheme="minorEastAsia"/>
      <w:lang w:eastAsia="en-ZW"/>
    </w:rPr>
  </w:style>
  <w:style w:type="paragraph" w:styleId="TOC6">
    <w:name w:val="toc 6"/>
    <w:basedOn w:val="Normal"/>
    <w:next w:val="Normal"/>
    <w:autoRedefine/>
    <w:uiPriority w:val="39"/>
    <w:unhideWhenUsed/>
    <w:rsid w:val="00C95A78"/>
    <w:pPr>
      <w:spacing w:after="100"/>
      <w:ind w:left="1100"/>
    </w:pPr>
    <w:rPr>
      <w:rFonts w:eastAsiaTheme="minorEastAsia"/>
      <w:lang w:eastAsia="en-ZW"/>
    </w:rPr>
  </w:style>
  <w:style w:type="paragraph" w:styleId="TOC7">
    <w:name w:val="toc 7"/>
    <w:basedOn w:val="Normal"/>
    <w:next w:val="Normal"/>
    <w:autoRedefine/>
    <w:uiPriority w:val="39"/>
    <w:unhideWhenUsed/>
    <w:rsid w:val="00C95A78"/>
    <w:pPr>
      <w:spacing w:after="100"/>
      <w:ind w:left="1320"/>
    </w:pPr>
    <w:rPr>
      <w:rFonts w:eastAsiaTheme="minorEastAsia"/>
      <w:lang w:eastAsia="en-ZW"/>
    </w:rPr>
  </w:style>
  <w:style w:type="paragraph" w:styleId="TOC8">
    <w:name w:val="toc 8"/>
    <w:basedOn w:val="Normal"/>
    <w:next w:val="Normal"/>
    <w:autoRedefine/>
    <w:uiPriority w:val="39"/>
    <w:unhideWhenUsed/>
    <w:rsid w:val="00C95A78"/>
    <w:pPr>
      <w:spacing w:after="100"/>
      <w:ind w:left="1540"/>
    </w:pPr>
    <w:rPr>
      <w:rFonts w:eastAsiaTheme="minorEastAsia"/>
      <w:lang w:eastAsia="en-ZW"/>
    </w:rPr>
  </w:style>
  <w:style w:type="paragraph" w:styleId="TOC9">
    <w:name w:val="toc 9"/>
    <w:basedOn w:val="Normal"/>
    <w:next w:val="Normal"/>
    <w:autoRedefine/>
    <w:uiPriority w:val="39"/>
    <w:unhideWhenUsed/>
    <w:rsid w:val="00C95A78"/>
    <w:pPr>
      <w:spacing w:after="100"/>
      <w:ind w:left="1760"/>
    </w:pPr>
    <w:rPr>
      <w:rFonts w:eastAsiaTheme="minorEastAsia"/>
      <w:lang w:eastAsia="en-Z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rPr>
              <a:t>Hypothesised trajectory of bone accrual in children with and without HIV</a:t>
            </a:r>
          </a:p>
        </c:rich>
      </c:tx>
      <c:layout>
        <c:manualLayout>
          <c:xMode val="edge"/>
          <c:yMode val="edge"/>
          <c:x val="0.14922900262467195"/>
          <c:y val="2.31481481481481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'C:\Users\DELL\Documents\excel files\[ck_hypothesised trajectory of bone accrual in CWH_7Mar23.xlsx]Sheet1'!$E$5</c:f>
              <c:strCache>
                <c:ptCount val="1"/>
                <c:pt idx="0">
                  <c:v>HIV-</c:v>
                </c:pt>
              </c:strCache>
            </c:strRef>
          </c:tx>
          <c:spPr>
            <a:ln w="38100" cap="rnd">
              <a:solidFill>
                <a:schemeClr val="accent1"/>
              </a:solidFill>
              <a:round/>
            </a:ln>
            <a:effectLst/>
          </c:spPr>
          <c:marker>
            <c:symbol val="none"/>
          </c:marker>
          <c:xVal>
            <c:strRef>
              <c:f>[1]Sheet1!$D$6:$D$36</c:f>
              <c:strCache>
                <c:ptCount val="31"/>
                <c:pt idx="0">
                  <c:v>0</c:v>
                </c:pt>
                <c:pt idx="1">
                  <c:v>1</c:v>
                </c:pt>
                <c:pt idx="2">
                  <c:v>2</c:v>
                </c:pt>
                <c:pt idx="3">
                  <c:v>3</c:v>
                </c:pt>
                <c:pt idx="4">
                  <c:v>4</c:v>
                </c:pt>
                <c:pt idx="5">
                  <c:v>5</c:v>
                </c:pt>
                <c:pt idx="6">
                  <c:v>6</c:v>
                </c:pt>
                <c:pt idx="7">
                  <c:v>7</c:v>
                </c:pt>
                <c:pt idx="8">
                  <c:v>8 years</c:v>
                </c:pt>
                <c:pt idx="9">
                  <c:v>9</c:v>
                </c:pt>
                <c:pt idx="10">
                  <c:v>10</c:v>
                </c:pt>
                <c:pt idx="11">
                  <c:v>11</c:v>
                </c:pt>
                <c:pt idx="12">
                  <c:v>12</c:v>
                </c:pt>
                <c:pt idx="13">
                  <c:v>13</c:v>
                </c:pt>
                <c:pt idx="14">
                  <c:v>14</c:v>
                </c:pt>
                <c:pt idx="15">
                  <c:v>15</c:v>
                </c:pt>
                <c:pt idx="16">
                  <c:v>16 years</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strCache>
            </c:strRef>
          </c:xVal>
          <c:yVal>
            <c:numRef>
              <c:f>[1]Sheet1!$E$6:$E$36</c:f>
              <c:numCache>
                <c:formatCode>General</c:formatCode>
                <c:ptCount val="31"/>
                <c:pt idx="0">
                  <c:v>100</c:v>
                </c:pt>
                <c:pt idx="1">
                  <c:v>135</c:v>
                </c:pt>
                <c:pt idx="2">
                  <c:v>200</c:v>
                </c:pt>
                <c:pt idx="3">
                  <c:v>300</c:v>
                </c:pt>
                <c:pt idx="4">
                  <c:v>400</c:v>
                </c:pt>
                <c:pt idx="5">
                  <c:v>530</c:v>
                </c:pt>
                <c:pt idx="6">
                  <c:v>700</c:v>
                </c:pt>
                <c:pt idx="7">
                  <c:v>850</c:v>
                </c:pt>
                <c:pt idx="8">
                  <c:v>990</c:v>
                </c:pt>
                <c:pt idx="9">
                  <c:v>1150</c:v>
                </c:pt>
                <c:pt idx="10">
                  <c:v>1320</c:v>
                </c:pt>
                <c:pt idx="11">
                  <c:v>1550</c:v>
                </c:pt>
                <c:pt idx="12">
                  <c:v>1750</c:v>
                </c:pt>
                <c:pt idx="13">
                  <c:v>2000</c:v>
                </c:pt>
                <c:pt idx="14">
                  <c:v>2200</c:v>
                </c:pt>
                <c:pt idx="15">
                  <c:v>2500</c:v>
                </c:pt>
                <c:pt idx="16">
                  <c:v>2700</c:v>
                </c:pt>
                <c:pt idx="17">
                  <c:v>2850</c:v>
                </c:pt>
                <c:pt idx="18">
                  <c:v>3000</c:v>
                </c:pt>
                <c:pt idx="19">
                  <c:v>3100</c:v>
                </c:pt>
                <c:pt idx="20">
                  <c:v>3150</c:v>
                </c:pt>
                <c:pt idx="21">
                  <c:v>3200</c:v>
                </c:pt>
                <c:pt idx="22">
                  <c:v>3240</c:v>
                </c:pt>
                <c:pt idx="23">
                  <c:v>3280</c:v>
                </c:pt>
                <c:pt idx="24">
                  <c:v>3300</c:v>
                </c:pt>
                <c:pt idx="25">
                  <c:v>3320</c:v>
                </c:pt>
                <c:pt idx="26">
                  <c:v>3320</c:v>
                </c:pt>
                <c:pt idx="27">
                  <c:v>3320</c:v>
                </c:pt>
                <c:pt idx="28">
                  <c:v>3320</c:v>
                </c:pt>
                <c:pt idx="29">
                  <c:v>3320</c:v>
                </c:pt>
                <c:pt idx="30">
                  <c:v>3320</c:v>
                </c:pt>
              </c:numCache>
            </c:numRef>
          </c:yVal>
          <c:smooth val="0"/>
          <c:extLst>
            <c:ext xmlns:c16="http://schemas.microsoft.com/office/drawing/2014/chart" uri="{C3380CC4-5D6E-409C-BE32-E72D297353CC}">
              <c16:uniqueId val="{00000000-4680-4FAB-84A8-F0DBA59DD39A}"/>
            </c:ext>
          </c:extLst>
        </c:ser>
        <c:ser>
          <c:idx val="1"/>
          <c:order val="1"/>
          <c:tx>
            <c:strRef>
              <c:f>'C:\Users\DELL\Documents\excel files\[ck_hypothesised trajectory of bone accrual in CWH_7Mar23.xlsx]Sheet1'!$F$5</c:f>
              <c:strCache>
                <c:ptCount val="1"/>
                <c:pt idx="0">
                  <c:v>HIV+, Observed</c:v>
                </c:pt>
              </c:strCache>
            </c:strRef>
          </c:tx>
          <c:spPr>
            <a:ln w="19050" cap="rnd">
              <a:solidFill>
                <a:schemeClr val="bg1">
                  <a:lumMod val="85000"/>
                </a:schemeClr>
              </a:solidFill>
              <a:round/>
            </a:ln>
            <a:effectLst/>
          </c:spPr>
          <c:marker>
            <c:symbol val="none"/>
          </c:marker>
          <c:xVal>
            <c:strRef>
              <c:f>[1]Sheet1!$D$6:$D$32</c:f>
              <c:strCache>
                <c:ptCount val="27"/>
                <c:pt idx="0">
                  <c:v>0</c:v>
                </c:pt>
                <c:pt idx="1">
                  <c:v>1</c:v>
                </c:pt>
                <c:pt idx="2">
                  <c:v>2</c:v>
                </c:pt>
                <c:pt idx="3">
                  <c:v>3</c:v>
                </c:pt>
                <c:pt idx="4">
                  <c:v>4</c:v>
                </c:pt>
                <c:pt idx="5">
                  <c:v>5</c:v>
                </c:pt>
                <c:pt idx="6">
                  <c:v>6</c:v>
                </c:pt>
                <c:pt idx="7">
                  <c:v>7</c:v>
                </c:pt>
                <c:pt idx="8">
                  <c:v>8 years</c:v>
                </c:pt>
                <c:pt idx="9">
                  <c:v>9</c:v>
                </c:pt>
                <c:pt idx="10">
                  <c:v>10</c:v>
                </c:pt>
                <c:pt idx="11">
                  <c:v>11</c:v>
                </c:pt>
                <c:pt idx="12">
                  <c:v>12</c:v>
                </c:pt>
                <c:pt idx="13">
                  <c:v>13</c:v>
                </c:pt>
                <c:pt idx="14">
                  <c:v>14</c:v>
                </c:pt>
                <c:pt idx="15">
                  <c:v>15</c:v>
                </c:pt>
                <c:pt idx="16">
                  <c:v>16 years</c:v>
                </c:pt>
                <c:pt idx="17">
                  <c:v>17</c:v>
                </c:pt>
                <c:pt idx="18">
                  <c:v>18</c:v>
                </c:pt>
                <c:pt idx="19">
                  <c:v>19</c:v>
                </c:pt>
                <c:pt idx="20">
                  <c:v>20</c:v>
                </c:pt>
                <c:pt idx="21">
                  <c:v>21</c:v>
                </c:pt>
                <c:pt idx="22">
                  <c:v>22</c:v>
                </c:pt>
                <c:pt idx="23">
                  <c:v>23</c:v>
                </c:pt>
                <c:pt idx="24">
                  <c:v>24</c:v>
                </c:pt>
                <c:pt idx="25">
                  <c:v>25</c:v>
                </c:pt>
                <c:pt idx="26">
                  <c:v>26</c:v>
                </c:pt>
              </c:strCache>
            </c:strRef>
          </c:xVal>
          <c:yVal>
            <c:numRef>
              <c:f>[1]Sheet1!$F$6:$F$32</c:f>
              <c:numCache>
                <c:formatCode>General</c:formatCode>
                <c:ptCount val="27"/>
                <c:pt idx="8">
                  <c:v>465</c:v>
                </c:pt>
                <c:pt idx="9">
                  <c:v>580</c:v>
                </c:pt>
                <c:pt idx="10">
                  <c:v>700</c:v>
                </c:pt>
                <c:pt idx="11">
                  <c:v>850</c:v>
                </c:pt>
                <c:pt idx="12">
                  <c:v>990</c:v>
                </c:pt>
                <c:pt idx="13">
                  <c:v>1150</c:v>
                </c:pt>
                <c:pt idx="14">
                  <c:v>1320</c:v>
                </c:pt>
                <c:pt idx="15">
                  <c:v>1550</c:v>
                </c:pt>
                <c:pt idx="16">
                  <c:v>1750</c:v>
                </c:pt>
                <c:pt idx="17">
                  <c:v>2000</c:v>
                </c:pt>
              </c:numCache>
            </c:numRef>
          </c:yVal>
          <c:smooth val="0"/>
          <c:extLst>
            <c:ext xmlns:c16="http://schemas.microsoft.com/office/drawing/2014/chart" uri="{C3380CC4-5D6E-409C-BE32-E72D297353CC}">
              <c16:uniqueId val="{00000001-4680-4FAB-84A8-F0DBA59DD39A}"/>
            </c:ext>
          </c:extLst>
        </c:ser>
        <c:ser>
          <c:idx val="2"/>
          <c:order val="2"/>
          <c:tx>
            <c:strRef>
              <c:f>'C:\Users\DELL\Documents\excel files\[ck_hypothesised trajectory of bone accrual in CWH_7Mar23.xlsx]Sheet1'!$G$5</c:f>
              <c:strCache>
                <c:ptCount val="1"/>
                <c:pt idx="0">
                  <c:v>HIV+</c:v>
                </c:pt>
              </c:strCache>
            </c:strRef>
          </c:tx>
          <c:spPr>
            <a:ln w="38100" cap="rnd">
              <a:solidFill>
                <a:schemeClr val="accent3"/>
              </a:solidFill>
              <a:round/>
            </a:ln>
            <a:effectLst/>
          </c:spPr>
          <c:marker>
            <c:symbol val="none"/>
          </c:marker>
          <c:xVal>
            <c:strRef>
              <c:f>[1]Sheet1!$D$6:$D$32</c:f>
              <c:strCache>
                <c:ptCount val="27"/>
                <c:pt idx="0">
                  <c:v>0</c:v>
                </c:pt>
                <c:pt idx="1">
                  <c:v>1</c:v>
                </c:pt>
                <c:pt idx="2">
                  <c:v>2</c:v>
                </c:pt>
                <c:pt idx="3">
                  <c:v>3</c:v>
                </c:pt>
                <c:pt idx="4">
                  <c:v>4</c:v>
                </c:pt>
                <c:pt idx="5">
                  <c:v>5</c:v>
                </c:pt>
                <c:pt idx="6">
                  <c:v>6</c:v>
                </c:pt>
                <c:pt idx="7">
                  <c:v>7</c:v>
                </c:pt>
                <c:pt idx="8">
                  <c:v>8 years</c:v>
                </c:pt>
                <c:pt idx="9">
                  <c:v>9</c:v>
                </c:pt>
                <c:pt idx="10">
                  <c:v>10</c:v>
                </c:pt>
                <c:pt idx="11">
                  <c:v>11</c:v>
                </c:pt>
                <c:pt idx="12">
                  <c:v>12</c:v>
                </c:pt>
                <c:pt idx="13">
                  <c:v>13</c:v>
                </c:pt>
                <c:pt idx="14">
                  <c:v>14</c:v>
                </c:pt>
                <c:pt idx="15">
                  <c:v>15</c:v>
                </c:pt>
                <c:pt idx="16">
                  <c:v>16 years</c:v>
                </c:pt>
                <c:pt idx="17">
                  <c:v>17</c:v>
                </c:pt>
                <c:pt idx="18">
                  <c:v>18</c:v>
                </c:pt>
                <c:pt idx="19">
                  <c:v>19</c:v>
                </c:pt>
                <c:pt idx="20">
                  <c:v>20</c:v>
                </c:pt>
                <c:pt idx="21">
                  <c:v>21</c:v>
                </c:pt>
                <c:pt idx="22">
                  <c:v>22</c:v>
                </c:pt>
                <c:pt idx="23">
                  <c:v>23</c:v>
                </c:pt>
                <c:pt idx="24">
                  <c:v>24</c:v>
                </c:pt>
                <c:pt idx="25">
                  <c:v>25</c:v>
                </c:pt>
                <c:pt idx="26">
                  <c:v>26</c:v>
                </c:pt>
              </c:strCache>
            </c:strRef>
          </c:xVal>
          <c:yVal>
            <c:numRef>
              <c:f>[1]Sheet1!$G$6:$G$32</c:f>
              <c:numCache>
                <c:formatCode>General</c:formatCode>
                <c:ptCount val="27"/>
                <c:pt idx="8">
                  <c:v>465</c:v>
                </c:pt>
                <c:pt idx="9">
                  <c:v>580</c:v>
                </c:pt>
                <c:pt idx="10">
                  <c:v>700</c:v>
                </c:pt>
                <c:pt idx="11">
                  <c:v>850</c:v>
                </c:pt>
                <c:pt idx="12">
                  <c:v>990</c:v>
                </c:pt>
                <c:pt idx="13">
                  <c:v>1150</c:v>
                </c:pt>
                <c:pt idx="14">
                  <c:v>1320</c:v>
                </c:pt>
                <c:pt idx="15">
                  <c:v>1550</c:v>
                </c:pt>
                <c:pt idx="16">
                  <c:v>1750</c:v>
                </c:pt>
                <c:pt idx="17">
                  <c:v>2000</c:v>
                </c:pt>
              </c:numCache>
            </c:numRef>
          </c:yVal>
          <c:smooth val="0"/>
          <c:extLst>
            <c:ext xmlns:c16="http://schemas.microsoft.com/office/drawing/2014/chart" uri="{C3380CC4-5D6E-409C-BE32-E72D297353CC}">
              <c16:uniqueId val="{00000002-4680-4FAB-84A8-F0DBA59DD39A}"/>
            </c:ext>
          </c:extLst>
        </c:ser>
        <c:ser>
          <c:idx val="3"/>
          <c:order val="3"/>
          <c:tx>
            <c:strRef>
              <c:f>'C:\Users\DELL\Documents\excel files\[ck_hypothesised trajectory of bone accrual in CWH_7Mar23.xlsx]Sheet1'!$H$5</c:f>
              <c:strCache>
                <c:ptCount val="1"/>
                <c:pt idx="0">
                  <c:v>HIV+, unobserved, no catchup</c:v>
                </c:pt>
              </c:strCache>
            </c:strRef>
          </c:tx>
          <c:spPr>
            <a:ln w="38100" cap="sq">
              <a:solidFill>
                <a:schemeClr val="bg1">
                  <a:lumMod val="65000"/>
                </a:schemeClr>
              </a:solidFill>
              <a:prstDash val="sysDash"/>
              <a:bevel/>
            </a:ln>
            <a:effectLst/>
          </c:spPr>
          <c:marker>
            <c:symbol val="none"/>
          </c:marker>
          <c:dPt>
            <c:idx val="21"/>
            <c:marker>
              <c:symbol val="none"/>
            </c:marker>
            <c:bubble3D val="0"/>
            <c:extLst>
              <c:ext xmlns:c16="http://schemas.microsoft.com/office/drawing/2014/chart" uri="{C3380CC4-5D6E-409C-BE32-E72D297353CC}">
                <c16:uniqueId val="{00000003-4680-4FAB-84A8-F0DBA59DD39A}"/>
              </c:ext>
            </c:extLst>
          </c:dPt>
          <c:xVal>
            <c:strRef>
              <c:f>[1]Sheet1!$D$6:$D$36</c:f>
              <c:strCache>
                <c:ptCount val="31"/>
                <c:pt idx="0">
                  <c:v>0</c:v>
                </c:pt>
                <c:pt idx="1">
                  <c:v>1</c:v>
                </c:pt>
                <c:pt idx="2">
                  <c:v>2</c:v>
                </c:pt>
                <c:pt idx="3">
                  <c:v>3</c:v>
                </c:pt>
                <c:pt idx="4">
                  <c:v>4</c:v>
                </c:pt>
                <c:pt idx="5">
                  <c:v>5</c:v>
                </c:pt>
                <c:pt idx="6">
                  <c:v>6</c:v>
                </c:pt>
                <c:pt idx="7">
                  <c:v>7</c:v>
                </c:pt>
                <c:pt idx="8">
                  <c:v>8 years</c:v>
                </c:pt>
                <c:pt idx="9">
                  <c:v>9</c:v>
                </c:pt>
                <c:pt idx="10">
                  <c:v>10</c:v>
                </c:pt>
                <c:pt idx="11">
                  <c:v>11</c:v>
                </c:pt>
                <c:pt idx="12">
                  <c:v>12</c:v>
                </c:pt>
                <c:pt idx="13">
                  <c:v>13</c:v>
                </c:pt>
                <c:pt idx="14">
                  <c:v>14</c:v>
                </c:pt>
                <c:pt idx="15">
                  <c:v>15</c:v>
                </c:pt>
                <c:pt idx="16">
                  <c:v>16 years</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strCache>
            </c:strRef>
          </c:xVal>
          <c:yVal>
            <c:numRef>
              <c:f>[1]Sheet1!$H$6:$H$36</c:f>
              <c:numCache>
                <c:formatCode>General</c:formatCode>
                <c:ptCount val="31"/>
                <c:pt idx="0">
                  <c:v>10</c:v>
                </c:pt>
                <c:pt idx="1">
                  <c:v>30</c:v>
                </c:pt>
                <c:pt idx="2">
                  <c:v>50</c:v>
                </c:pt>
                <c:pt idx="3">
                  <c:v>100</c:v>
                </c:pt>
                <c:pt idx="4">
                  <c:v>150</c:v>
                </c:pt>
                <c:pt idx="5">
                  <c:v>200</c:v>
                </c:pt>
                <c:pt idx="6">
                  <c:v>280</c:v>
                </c:pt>
                <c:pt idx="7">
                  <c:v>365</c:v>
                </c:pt>
                <c:pt idx="8">
                  <c:v>465</c:v>
                </c:pt>
                <c:pt idx="17">
                  <c:v>2000</c:v>
                </c:pt>
                <c:pt idx="18">
                  <c:v>2200</c:v>
                </c:pt>
                <c:pt idx="19">
                  <c:v>2400</c:v>
                </c:pt>
                <c:pt idx="20">
                  <c:v>2550</c:v>
                </c:pt>
                <c:pt idx="21">
                  <c:v>2650</c:v>
                </c:pt>
                <c:pt idx="22">
                  <c:v>2750</c:v>
                </c:pt>
                <c:pt idx="23">
                  <c:v>2800</c:v>
                </c:pt>
                <c:pt idx="24">
                  <c:v>2850</c:v>
                </c:pt>
                <c:pt idx="25">
                  <c:v>2855</c:v>
                </c:pt>
                <c:pt idx="26">
                  <c:v>2860</c:v>
                </c:pt>
                <c:pt idx="27">
                  <c:v>2860</c:v>
                </c:pt>
                <c:pt idx="28">
                  <c:v>2860</c:v>
                </c:pt>
                <c:pt idx="29">
                  <c:v>2860</c:v>
                </c:pt>
                <c:pt idx="30">
                  <c:v>2870</c:v>
                </c:pt>
              </c:numCache>
            </c:numRef>
          </c:yVal>
          <c:smooth val="1"/>
          <c:extLst>
            <c:ext xmlns:c16="http://schemas.microsoft.com/office/drawing/2014/chart" uri="{C3380CC4-5D6E-409C-BE32-E72D297353CC}">
              <c16:uniqueId val="{00000004-4680-4FAB-84A8-F0DBA59DD39A}"/>
            </c:ext>
          </c:extLst>
        </c:ser>
        <c:ser>
          <c:idx val="4"/>
          <c:order val="4"/>
          <c:tx>
            <c:strRef>
              <c:f>'C:\Users\DELL\Documents\excel files\[ck_hypothesised trajectory of bone accrual in CWH_7Mar23.xlsx]Sheet1'!$I$5</c:f>
              <c:strCache>
                <c:ptCount val="1"/>
                <c:pt idx="0">
                  <c:v>HIV+, unobserved, with catch up</c:v>
                </c:pt>
              </c:strCache>
            </c:strRef>
          </c:tx>
          <c:spPr>
            <a:ln w="38100" cap="sq" cmpd="sng">
              <a:solidFill>
                <a:schemeClr val="bg1">
                  <a:lumMod val="65000"/>
                </a:schemeClr>
              </a:solidFill>
              <a:prstDash val="sysDot"/>
              <a:bevel/>
            </a:ln>
            <a:effectLst/>
          </c:spPr>
          <c:marker>
            <c:symbol val="none"/>
          </c:marker>
          <c:xVal>
            <c:strRef>
              <c:f>[1]Sheet1!$D$6:$D$36</c:f>
              <c:strCache>
                <c:ptCount val="31"/>
                <c:pt idx="0">
                  <c:v>0</c:v>
                </c:pt>
                <c:pt idx="1">
                  <c:v>1</c:v>
                </c:pt>
                <c:pt idx="2">
                  <c:v>2</c:v>
                </c:pt>
                <c:pt idx="3">
                  <c:v>3</c:v>
                </c:pt>
                <c:pt idx="4">
                  <c:v>4</c:v>
                </c:pt>
                <c:pt idx="5">
                  <c:v>5</c:v>
                </c:pt>
                <c:pt idx="6">
                  <c:v>6</c:v>
                </c:pt>
                <c:pt idx="7">
                  <c:v>7</c:v>
                </c:pt>
                <c:pt idx="8">
                  <c:v>8 years</c:v>
                </c:pt>
                <c:pt idx="9">
                  <c:v>9</c:v>
                </c:pt>
                <c:pt idx="10">
                  <c:v>10</c:v>
                </c:pt>
                <c:pt idx="11">
                  <c:v>11</c:v>
                </c:pt>
                <c:pt idx="12">
                  <c:v>12</c:v>
                </c:pt>
                <c:pt idx="13">
                  <c:v>13</c:v>
                </c:pt>
                <c:pt idx="14">
                  <c:v>14</c:v>
                </c:pt>
                <c:pt idx="15">
                  <c:v>15</c:v>
                </c:pt>
                <c:pt idx="16">
                  <c:v>16 years</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strCache>
            </c:strRef>
          </c:xVal>
          <c:yVal>
            <c:numRef>
              <c:f>[1]Sheet1!$I$5:$I$36</c:f>
              <c:numCache>
                <c:formatCode>General</c:formatCode>
                <c:ptCount val="32"/>
                <c:pt idx="0">
                  <c:v>0</c:v>
                </c:pt>
                <c:pt idx="17">
                  <c:v>2000</c:v>
                </c:pt>
                <c:pt idx="18">
                  <c:v>2200</c:v>
                </c:pt>
                <c:pt idx="19">
                  <c:v>2500</c:v>
                </c:pt>
                <c:pt idx="20">
                  <c:v>2680</c:v>
                </c:pt>
                <c:pt idx="21">
                  <c:v>2800</c:v>
                </c:pt>
                <c:pt idx="22">
                  <c:v>2900</c:v>
                </c:pt>
                <c:pt idx="23">
                  <c:v>3000</c:v>
                </c:pt>
                <c:pt idx="24">
                  <c:v>3050</c:v>
                </c:pt>
                <c:pt idx="25">
                  <c:v>3100</c:v>
                </c:pt>
                <c:pt idx="26">
                  <c:v>3150</c:v>
                </c:pt>
                <c:pt idx="27">
                  <c:v>3200</c:v>
                </c:pt>
                <c:pt idx="28">
                  <c:v>3240</c:v>
                </c:pt>
                <c:pt idx="29">
                  <c:v>3280</c:v>
                </c:pt>
                <c:pt idx="30">
                  <c:v>3300</c:v>
                </c:pt>
                <c:pt idx="31">
                  <c:v>3320</c:v>
                </c:pt>
              </c:numCache>
            </c:numRef>
          </c:yVal>
          <c:smooth val="1"/>
          <c:extLst>
            <c:ext xmlns:c16="http://schemas.microsoft.com/office/drawing/2014/chart" uri="{C3380CC4-5D6E-409C-BE32-E72D297353CC}">
              <c16:uniqueId val="{00000005-4680-4FAB-84A8-F0DBA59DD39A}"/>
            </c:ext>
          </c:extLst>
        </c:ser>
        <c:dLbls>
          <c:showLegendKey val="0"/>
          <c:showVal val="0"/>
          <c:showCatName val="0"/>
          <c:showSerName val="0"/>
          <c:showPercent val="0"/>
          <c:showBubbleSize val="0"/>
        </c:dLbls>
        <c:axId val="543557120"/>
        <c:axId val="543556336"/>
      </c:scatterChart>
      <c:valAx>
        <c:axId val="543557120"/>
        <c:scaling>
          <c:orientation val="minMax"/>
          <c:max val="3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t>Age in years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3556336"/>
        <c:crosses val="autoZero"/>
        <c:crossBetween val="midCat"/>
        <c:majorUnit val="1"/>
      </c:valAx>
      <c:valAx>
        <c:axId val="543556336"/>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ZW" sz="1200" b="1"/>
                  <a:t>Bone Accrual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one"/>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3557120"/>
        <c:crossesAt val="0"/>
        <c:crossBetween val="midCat"/>
        <c:majorUnit val="100"/>
      </c:valAx>
      <c:spPr>
        <a:noFill/>
        <a:ln>
          <a:solidFill>
            <a:schemeClr val="bg1">
              <a:lumMod val="65000"/>
            </a:schemeClr>
          </a:solidFill>
          <a:round/>
        </a:ln>
        <a:effectLst/>
      </c:spPr>
    </c:plotArea>
    <c:legend>
      <c:legendPos val="r"/>
      <c:legendEntry>
        <c:idx val="1"/>
        <c:delete val="1"/>
      </c:legendEntry>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F27C1C-4082-4732-BDF2-B9C730712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31532</Words>
  <Characters>179736</Characters>
  <Application>Microsoft Office Word</Application>
  <DocSecurity>4</DocSecurity>
  <Lines>1497</Lines>
  <Paragraphs>421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Kahari</dc:creator>
  <cp:keywords/>
  <dc:description/>
  <cp:lastModifiedBy>Karen Drake</cp:lastModifiedBy>
  <cp:revision>2</cp:revision>
  <dcterms:created xsi:type="dcterms:W3CDTF">2024-10-11T12:08:00Z</dcterms:created>
  <dcterms:modified xsi:type="dcterms:W3CDTF">2024-10-11T12:08:00Z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a1aca0ce-4166-317e-a8b3-9238800e2880</vt:lpwstr>
  </property>
  <property fmtid="{D5CDD505-2E9C-101B-9397-08002B2CF9AE}" pid="24" name="Mendeley Citation Style_1">
    <vt:lpwstr>http://www.zotero.org/styles/vancouver</vt:lpwstr>
  </property>
</Properties>
</file>