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5C39" w14:textId="24B4E7C8" w:rsidR="003E0419" w:rsidRDefault="003E0419" w:rsidP="00A13E88">
      <w:pPr>
        <w:spacing w:after="200" w:line="360" w:lineRule="auto"/>
        <w:jc w:val="both"/>
        <w:rPr>
          <w:rFonts w:ascii="Arial" w:hAnsi="Arial" w:cs="Arial"/>
          <w:b/>
          <w:bCs/>
          <w:color w:val="000000"/>
          <w:bdr w:val="none" w:sz="0" w:space="0" w:color="auto" w:frame="1"/>
          <w:shd w:val="clear" w:color="auto" w:fill="FFFFFF"/>
        </w:rPr>
      </w:pPr>
      <w:bookmarkStart w:id="0" w:name="_Hlk161062483"/>
      <w:r>
        <w:rPr>
          <w:rFonts w:ascii="Arial" w:hAnsi="Arial" w:cs="Arial"/>
          <w:b/>
          <w:bCs/>
          <w:color w:val="000000"/>
          <w:bdr w:val="none" w:sz="0" w:space="0" w:color="auto" w:frame="1"/>
          <w:shd w:val="clear" w:color="auto" w:fill="FFFFFF"/>
        </w:rPr>
        <w:t>Multimorbidity and risk of adverse outcomes in the Hertfordshire Cohort Study</w:t>
      </w:r>
      <w:r w:rsidR="005841F8">
        <w:rPr>
          <w:rFonts w:ascii="Arial" w:hAnsi="Arial" w:cs="Arial"/>
          <w:b/>
          <w:bCs/>
          <w:color w:val="000000"/>
          <w:bdr w:val="none" w:sz="0" w:space="0" w:color="auto" w:frame="1"/>
          <w:shd w:val="clear" w:color="auto" w:fill="FFFFFF"/>
        </w:rPr>
        <w:t xml:space="preserve">: </w:t>
      </w:r>
      <w:r w:rsidR="00565CD3">
        <w:rPr>
          <w:rFonts w:ascii="Arial" w:hAnsi="Arial" w:cs="Arial"/>
          <w:b/>
          <w:bCs/>
          <w:color w:val="000000"/>
          <w:bdr w:val="none" w:sz="0" w:space="0" w:color="auto" w:frame="1"/>
          <w:shd w:val="clear" w:color="auto" w:fill="FFFFFF"/>
        </w:rPr>
        <w:t>d</w:t>
      </w:r>
      <w:r w:rsidR="005841F8">
        <w:rPr>
          <w:rFonts w:ascii="Arial" w:hAnsi="Arial" w:cs="Arial"/>
          <w:b/>
          <w:bCs/>
          <w:color w:val="000000"/>
          <w:bdr w:val="none" w:sz="0" w:space="0" w:color="auto" w:frame="1"/>
          <w:shd w:val="clear" w:color="auto" w:fill="FFFFFF"/>
        </w:rPr>
        <w:t>oes sex matter?</w:t>
      </w:r>
    </w:p>
    <w:p w14:paraId="15D557BD" w14:textId="79B94607" w:rsidR="00A13E88" w:rsidRPr="00A13E88" w:rsidRDefault="000D3702" w:rsidP="00A13E88">
      <w:pPr>
        <w:spacing w:after="200" w:line="360" w:lineRule="auto"/>
        <w:jc w:val="both"/>
        <w:rPr>
          <w:rFonts w:ascii="Arial" w:eastAsia="Arial" w:hAnsi="Arial" w:cs="Arial"/>
          <w:vertAlign w:val="superscript"/>
        </w:rPr>
      </w:pPr>
      <w:bookmarkStart w:id="1" w:name="_Hlk161062520"/>
      <w:bookmarkEnd w:id="0"/>
      <w:r w:rsidRPr="00A13E88">
        <w:rPr>
          <w:rFonts w:ascii="Arial" w:eastAsia="Arial" w:hAnsi="Arial" w:cs="Arial"/>
        </w:rPr>
        <w:t>Leo D Westbury</w:t>
      </w:r>
      <w:r w:rsidRPr="00A13E88">
        <w:rPr>
          <w:rFonts w:ascii="Arial" w:eastAsia="Arial" w:hAnsi="Arial" w:cs="Arial"/>
          <w:vertAlign w:val="superscript"/>
        </w:rPr>
        <w:t>1</w:t>
      </w:r>
      <w:r>
        <w:rPr>
          <w:rFonts w:ascii="Arial" w:eastAsia="Arial" w:hAnsi="Arial" w:cs="Arial"/>
          <w:vertAlign w:val="superscript"/>
        </w:rPr>
        <w:t>*</w:t>
      </w:r>
      <w:r w:rsidRPr="000D3702">
        <w:rPr>
          <w:rFonts w:ascii="Arial" w:eastAsia="Arial" w:hAnsi="Arial" w:cs="Arial"/>
        </w:rPr>
        <w:t xml:space="preserve">, </w:t>
      </w:r>
      <w:r w:rsidR="00A13E88" w:rsidRPr="00A13E88">
        <w:rPr>
          <w:rFonts w:ascii="Arial" w:eastAsia="Arial" w:hAnsi="Arial" w:cs="Arial"/>
        </w:rPr>
        <w:t>Roshan Rambukwella</w:t>
      </w:r>
      <w:r w:rsidR="00A13E88" w:rsidRPr="00A13E88">
        <w:rPr>
          <w:rFonts w:ascii="Arial" w:eastAsia="Arial" w:hAnsi="Arial" w:cs="Arial"/>
          <w:vertAlign w:val="superscript"/>
        </w:rPr>
        <w:t>1</w:t>
      </w:r>
      <w:r w:rsidR="006D54ED">
        <w:rPr>
          <w:rFonts w:ascii="Arial" w:eastAsia="Arial" w:hAnsi="Arial" w:cs="Arial"/>
          <w:vertAlign w:val="superscript"/>
        </w:rPr>
        <w:t>*</w:t>
      </w:r>
      <w:r w:rsidR="00A13E88" w:rsidRPr="00A13E88">
        <w:rPr>
          <w:rFonts w:ascii="Arial" w:eastAsia="Arial" w:hAnsi="Arial" w:cs="Arial"/>
        </w:rPr>
        <w:t>,</w:t>
      </w:r>
      <w:r>
        <w:rPr>
          <w:rFonts w:ascii="Arial" w:eastAsia="Arial" w:hAnsi="Arial" w:cs="Arial"/>
        </w:rPr>
        <w:t xml:space="preserve"> </w:t>
      </w:r>
      <w:r w:rsidR="00A13E88" w:rsidRPr="00A13E88">
        <w:rPr>
          <w:rFonts w:ascii="Arial" w:eastAsia="Arial" w:hAnsi="Arial" w:cs="Arial"/>
        </w:rPr>
        <w:t>Camille Pearse</w:t>
      </w:r>
      <w:r w:rsidR="00A13E88" w:rsidRPr="00A13E88">
        <w:rPr>
          <w:rFonts w:ascii="Arial" w:eastAsia="Arial" w:hAnsi="Arial" w:cs="Arial"/>
          <w:vertAlign w:val="superscript"/>
        </w:rPr>
        <w:t>1</w:t>
      </w:r>
      <w:r w:rsidR="00A13E88" w:rsidRPr="00A13E88">
        <w:rPr>
          <w:rFonts w:ascii="Arial" w:eastAsia="Arial" w:hAnsi="Arial" w:cs="Arial"/>
        </w:rPr>
        <w:t>, Kate A Ward</w:t>
      </w:r>
      <w:r w:rsidR="00A13E88" w:rsidRPr="00A13E88">
        <w:rPr>
          <w:rFonts w:ascii="Arial" w:eastAsia="Arial" w:hAnsi="Arial" w:cs="Arial"/>
          <w:vertAlign w:val="superscript"/>
        </w:rPr>
        <w:t>1,2</w:t>
      </w:r>
      <w:r w:rsidR="00A13E88" w:rsidRPr="00A13E88">
        <w:rPr>
          <w:rFonts w:ascii="Arial" w:eastAsia="Arial" w:hAnsi="Arial" w:cs="Arial"/>
        </w:rPr>
        <w:t>, Cyrus Cooper</w:t>
      </w:r>
      <w:r w:rsidR="00A13E88" w:rsidRPr="00A13E88">
        <w:rPr>
          <w:rFonts w:ascii="Arial" w:eastAsia="Arial" w:hAnsi="Arial" w:cs="Arial"/>
          <w:vertAlign w:val="superscript"/>
        </w:rPr>
        <w:t>1,2,3</w:t>
      </w:r>
      <w:r w:rsidR="00A13E88" w:rsidRPr="00A13E88">
        <w:rPr>
          <w:rFonts w:ascii="Arial" w:eastAsia="Arial" w:hAnsi="Arial" w:cs="Arial"/>
        </w:rPr>
        <w:t>, Elaine M Dennison</w:t>
      </w:r>
      <w:r w:rsidR="00A13E88" w:rsidRPr="00A13E88">
        <w:rPr>
          <w:rFonts w:ascii="Arial" w:eastAsia="Arial" w:hAnsi="Arial" w:cs="Arial"/>
          <w:vertAlign w:val="superscript"/>
        </w:rPr>
        <w:t>1,</w:t>
      </w:r>
      <w:r w:rsidR="00B03F5A">
        <w:rPr>
          <w:rFonts w:ascii="Arial" w:eastAsia="Arial" w:hAnsi="Arial" w:cs="Arial"/>
          <w:vertAlign w:val="superscript"/>
        </w:rPr>
        <w:t>2,</w:t>
      </w:r>
      <w:r w:rsidR="00A13E88" w:rsidRPr="00A13E88">
        <w:rPr>
          <w:rFonts w:ascii="Arial" w:eastAsia="Arial" w:hAnsi="Arial" w:cs="Arial"/>
          <w:vertAlign w:val="superscript"/>
        </w:rPr>
        <w:t>4</w:t>
      </w:r>
    </w:p>
    <w:bookmarkEnd w:id="1"/>
    <w:p w14:paraId="3493B7D7" w14:textId="2B700FD7" w:rsidR="00A13E88" w:rsidRPr="00A13E88" w:rsidRDefault="00A13E88" w:rsidP="00A13E88">
      <w:pPr>
        <w:spacing w:after="200" w:line="360" w:lineRule="auto"/>
        <w:jc w:val="both"/>
        <w:rPr>
          <w:rFonts w:ascii="Arial" w:eastAsia="Arial" w:hAnsi="Arial" w:cs="Arial"/>
        </w:rPr>
      </w:pPr>
      <w:r w:rsidRPr="00A13E88">
        <w:rPr>
          <w:rFonts w:ascii="Arial" w:eastAsia="Arial" w:hAnsi="Arial" w:cs="Arial"/>
          <w:vertAlign w:val="superscript"/>
        </w:rPr>
        <w:t>1</w:t>
      </w:r>
      <w:r w:rsidRPr="00A13E88">
        <w:rPr>
          <w:rFonts w:ascii="Arial" w:eastAsia="Arial" w:hAnsi="Arial" w:cs="Arial"/>
        </w:rPr>
        <w:t>MRC Lifecourse Epidemiology Centre, University of Southampton, Southampton, United Kingdom</w:t>
      </w:r>
    </w:p>
    <w:p w14:paraId="22008634" w14:textId="19C99D16" w:rsidR="00A13E88" w:rsidRPr="00A13E88" w:rsidRDefault="00A13E88" w:rsidP="00A13E88">
      <w:pPr>
        <w:spacing w:after="200" w:line="360" w:lineRule="auto"/>
        <w:jc w:val="both"/>
        <w:rPr>
          <w:rFonts w:ascii="Arial" w:eastAsia="Arial" w:hAnsi="Arial" w:cs="Arial"/>
        </w:rPr>
      </w:pPr>
      <w:r w:rsidRPr="00A13E88">
        <w:rPr>
          <w:rFonts w:ascii="Arial" w:eastAsia="Arial" w:hAnsi="Arial" w:cs="Arial"/>
          <w:vertAlign w:val="superscript"/>
        </w:rPr>
        <w:t>2</w:t>
      </w:r>
      <w:r w:rsidRPr="00A13E88">
        <w:rPr>
          <w:rFonts w:ascii="Arial" w:eastAsia="Arial" w:hAnsi="Arial" w:cs="Arial"/>
        </w:rPr>
        <w:t>NIHR Southampton Biomedical Research Centre, University of Southampton and University Hospital Southampton NHS Foundation Trust, Southampton, United Kingdom</w:t>
      </w:r>
    </w:p>
    <w:p w14:paraId="09293D3B" w14:textId="6FA32084" w:rsidR="00A13E88" w:rsidRPr="00A13E88" w:rsidRDefault="00A13E88" w:rsidP="00A13E88">
      <w:pPr>
        <w:spacing w:after="200" w:line="360" w:lineRule="auto"/>
        <w:jc w:val="both"/>
        <w:rPr>
          <w:rFonts w:ascii="Arial" w:eastAsia="Arial" w:hAnsi="Arial" w:cs="Arial"/>
        </w:rPr>
      </w:pPr>
      <w:r w:rsidRPr="00A13E88">
        <w:rPr>
          <w:rFonts w:ascii="Arial" w:eastAsia="Arial" w:hAnsi="Arial" w:cs="Arial"/>
          <w:vertAlign w:val="superscript"/>
        </w:rPr>
        <w:t>3</w:t>
      </w:r>
      <w:r w:rsidRPr="00A13E88">
        <w:rPr>
          <w:rFonts w:ascii="Arial" w:eastAsia="Arial" w:hAnsi="Arial" w:cs="Arial"/>
        </w:rPr>
        <w:t>NIHR Oxford Biomedical Research Centre, University of Oxford, Oxford, United Kingdom</w:t>
      </w:r>
    </w:p>
    <w:p w14:paraId="0E1EA6BA" w14:textId="740E56BB" w:rsidR="00A13E88" w:rsidRPr="000D3702" w:rsidRDefault="00A13E88" w:rsidP="00A13E88">
      <w:pPr>
        <w:spacing w:after="200" w:line="360" w:lineRule="auto"/>
        <w:jc w:val="both"/>
        <w:rPr>
          <w:rFonts w:ascii="Arial" w:eastAsia="Arial" w:hAnsi="Arial" w:cs="Arial"/>
        </w:rPr>
      </w:pPr>
      <w:r w:rsidRPr="000D3702">
        <w:rPr>
          <w:rFonts w:ascii="Arial" w:eastAsia="Arial" w:hAnsi="Arial" w:cs="Arial"/>
          <w:vertAlign w:val="superscript"/>
        </w:rPr>
        <w:t>4</w:t>
      </w:r>
      <w:r w:rsidRPr="000D3702">
        <w:rPr>
          <w:rFonts w:ascii="Arial" w:eastAsia="Arial" w:hAnsi="Arial" w:cs="Arial"/>
        </w:rPr>
        <w:t>Victoria University of Wellington, Wellington, New Zealand</w:t>
      </w:r>
    </w:p>
    <w:p w14:paraId="3C1F17A6" w14:textId="373C368F" w:rsidR="00396F7C" w:rsidRPr="000D3702" w:rsidRDefault="00396F7C" w:rsidP="00396F7C">
      <w:pPr>
        <w:spacing w:after="200" w:line="360" w:lineRule="auto"/>
        <w:jc w:val="both"/>
        <w:rPr>
          <w:rFonts w:ascii="Arial" w:eastAsia="Arial" w:hAnsi="Arial" w:cs="Arial"/>
          <w:u w:val="single"/>
        </w:rPr>
      </w:pPr>
      <w:r w:rsidRPr="000D3702">
        <w:rPr>
          <w:rFonts w:ascii="Arial" w:eastAsia="Arial" w:hAnsi="Arial" w:cs="Arial"/>
        </w:rPr>
        <w:t xml:space="preserve">Authors’ email addresses: </w:t>
      </w:r>
      <w:bookmarkStart w:id="2" w:name="_Hlk137504623"/>
      <w:r w:rsidRPr="000D3702">
        <w:rPr>
          <w:rFonts w:ascii="Arial" w:eastAsia="Arial" w:hAnsi="Arial" w:cs="Arial"/>
        </w:rPr>
        <w:t xml:space="preserve">Leo D Westbury </w:t>
      </w:r>
      <w:hyperlink r:id="rId11" w:history="1">
        <w:r w:rsidRPr="000D3702">
          <w:rPr>
            <w:rStyle w:val="Hyperlink"/>
            <w:rFonts w:ascii="Arial" w:eastAsia="Arial" w:hAnsi="Arial" w:cs="Arial"/>
            <w:bCs/>
          </w:rPr>
          <w:t>lw@mrc.soton.ac.uk</w:t>
        </w:r>
      </w:hyperlink>
      <w:r w:rsidRPr="000D3702">
        <w:rPr>
          <w:rFonts w:ascii="Arial" w:eastAsia="Arial" w:hAnsi="Arial" w:cs="Arial"/>
          <w:bCs/>
          <w:u w:val="single"/>
        </w:rPr>
        <w:t>;</w:t>
      </w:r>
      <w:r w:rsidR="000D3702" w:rsidRPr="000D3702">
        <w:rPr>
          <w:rFonts w:ascii="Arial" w:eastAsia="Arial" w:hAnsi="Arial" w:cs="Arial"/>
          <w:bCs/>
        </w:rPr>
        <w:t xml:space="preserve"> </w:t>
      </w:r>
      <w:r w:rsidR="000D3702" w:rsidRPr="000D3702">
        <w:rPr>
          <w:rFonts w:ascii="Arial" w:eastAsia="Arial" w:hAnsi="Arial" w:cs="Arial"/>
        </w:rPr>
        <w:t>Roshan Rambukwella</w:t>
      </w:r>
      <w:r w:rsidR="000D3702">
        <w:rPr>
          <w:rFonts w:ascii="Arial" w:eastAsia="Arial" w:hAnsi="Arial" w:cs="Arial"/>
        </w:rPr>
        <w:t xml:space="preserve"> </w:t>
      </w:r>
      <w:hyperlink r:id="rId12" w:history="1">
        <w:r w:rsidR="000D3702" w:rsidRPr="00903D30">
          <w:rPr>
            <w:rStyle w:val="Hyperlink"/>
            <w:rFonts w:ascii="Arial" w:hAnsi="Arial" w:cs="Arial"/>
          </w:rPr>
          <w:t>roshanrambukwella1@gmail.com</w:t>
        </w:r>
      </w:hyperlink>
      <w:r w:rsidR="000D3702" w:rsidRPr="000D3702">
        <w:rPr>
          <w:rFonts w:ascii="Arial" w:eastAsia="Arial" w:hAnsi="Arial" w:cs="Arial"/>
        </w:rPr>
        <w:t xml:space="preserve">; </w:t>
      </w:r>
      <w:r w:rsidRPr="000D3702">
        <w:rPr>
          <w:rFonts w:ascii="Arial" w:eastAsia="Arial" w:hAnsi="Arial" w:cs="Arial"/>
        </w:rPr>
        <w:t xml:space="preserve">Camille Pearse </w:t>
      </w:r>
      <w:hyperlink r:id="rId13" w:history="1">
        <w:r w:rsidRPr="000D3702">
          <w:rPr>
            <w:rStyle w:val="Hyperlink"/>
            <w:rFonts w:ascii="Arial" w:eastAsia="Arial" w:hAnsi="Arial" w:cs="Arial"/>
          </w:rPr>
          <w:t>cp@mrc.soton.ac.uk</w:t>
        </w:r>
      </w:hyperlink>
      <w:hyperlink r:id="rId14" w:history="1"/>
      <w:r w:rsidRPr="000D3702">
        <w:rPr>
          <w:rFonts w:ascii="Arial" w:eastAsia="Arial" w:hAnsi="Arial" w:cs="Arial"/>
        </w:rPr>
        <w:t xml:space="preserve">; Kate A Ward </w:t>
      </w:r>
      <w:hyperlink r:id="rId15" w:history="1">
        <w:r w:rsidRPr="000D3702">
          <w:rPr>
            <w:rStyle w:val="Hyperlink"/>
            <w:rFonts w:ascii="Arial" w:eastAsia="Arial" w:hAnsi="Arial" w:cs="Arial"/>
          </w:rPr>
          <w:t>kw@mrc.soton.ac.uk</w:t>
        </w:r>
      </w:hyperlink>
      <w:r w:rsidRPr="000D3702">
        <w:rPr>
          <w:rFonts w:ascii="Arial" w:eastAsia="Arial" w:hAnsi="Arial" w:cs="Arial"/>
        </w:rPr>
        <w:t xml:space="preserve">; Cyrus Cooper </w:t>
      </w:r>
      <w:hyperlink r:id="rId16" w:history="1">
        <w:r w:rsidRPr="000D3702">
          <w:rPr>
            <w:rStyle w:val="Hyperlink"/>
            <w:rFonts w:ascii="Arial" w:eastAsia="Arial" w:hAnsi="Arial" w:cs="Arial"/>
            <w:bCs/>
          </w:rPr>
          <w:t>cc@mrc.soton.ac.uk</w:t>
        </w:r>
      </w:hyperlink>
      <w:r w:rsidRPr="000D3702">
        <w:rPr>
          <w:rFonts w:ascii="Arial" w:eastAsia="Arial" w:hAnsi="Arial" w:cs="Arial"/>
          <w:bCs/>
          <w:u w:val="single"/>
        </w:rPr>
        <w:t>;</w:t>
      </w:r>
      <w:r w:rsidR="000D3702" w:rsidRPr="000D3702">
        <w:rPr>
          <w:rFonts w:ascii="Arial" w:eastAsia="Arial" w:hAnsi="Arial" w:cs="Arial"/>
          <w:bCs/>
        </w:rPr>
        <w:t xml:space="preserve"> </w:t>
      </w:r>
      <w:r w:rsidRPr="000D3702">
        <w:rPr>
          <w:rFonts w:ascii="Arial" w:eastAsia="Arial" w:hAnsi="Arial" w:cs="Arial"/>
        </w:rPr>
        <w:t xml:space="preserve">Elaine M Dennison </w:t>
      </w:r>
      <w:hyperlink r:id="rId17" w:history="1">
        <w:r w:rsidRPr="000D3702">
          <w:rPr>
            <w:rStyle w:val="Hyperlink"/>
            <w:rFonts w:ascii="Arial" w:eastAsia="Arial" w:hAnsi="Arial" w:cs="Arial"/>
          </w:rPr>
          <w:t>emd@mrc.soton.ac.uk</w:t>
        </w:r>
      </w:hyperlink>
      <w:bookmarkEnd w:id="2"/>
    </w:p>
    <w:p w14:paraId="0FDB2196" w14:textId="77777777" w:rsidR="00396F7C" w:rsidRPr="00396F7C" w:rsidRDefault="00396F7C" w:rsidP="00396F7C">
      <w:pPr>
        <w:spacing w:after="200" w:line="360" w:lineRule="auto"/>
        <w:jc w:val="both"/>
        <w:rPr>
          <w:rFonts w:ascii="Arial" w:eastAsia="Arial" w:hAnsi="Arial" w:cs="Arial"/>
        </w:rPr>
      </w:pPr>
      <w:r w:rsidRPr="00396F7C">
        <w:rPr>
          <w:rFonts w:ascii="Arial" w:eastAsia="Arial" w:hAnsi="Arial" w:cs="Arial"/>
        </w:rPr>
        <w:t>*These authors contributed equally to the manuscript</w:t>
      </w:r>
    </w:p>
    <w:p w14:paraId="64A428A5" w14:textId="77777777" w:rsidR="00396F7C" w:rsidRPr="00396F7C" w:rsidRDefault="00396F7C" w:rsidP="00B16F5F">
      <w:pPr>
        <w:spacing w:after="200" w:line="240" w:lineRule="auto"/>
        <w:jc w:val="both"/>
        <w:rPr>
          <w:rFonts w:ascii="Arial" w:eastAsia="Arial" w:hAnsi="Arial" w:cs="Arial"/>
        </w:rPr>
      </w:pPr>
      <w:proofErr w:type="spellStart"/>
      <w:r w:rsidRPr="00396F7C">
        <w:rPr>
          <w:rFonts w:ascii="Arial" w:eastAsia="Arial" w:hAnsi="Arial" w:cs="Arial"/>
        </w:rPr>
        <w:t>ORCiD</w:t>
      </w:r>
      <w:proofErr w:type="spellEnd"/>
      <w:r w:rsidRPr="00396F7C">
        <w:rPr>
          <w:rFonts w:ascii="Arial" w:eastAsia="Arial" w:hAnsi="Arial" w:cs="Arial"/>
        </w:rPr>
        <w:t xml:space="preserve"> ID</w:t>
      </w:r>
    </w:p>
    <w:p w14:paraId="5BA1847B" w14:textId="4D8B64E6" w:rsidR="000D3702" w:rsidRDefault="000D3702" w:rsidP="00B16F5F">
      <w:pPr>
        <w:spacing w:after="200" w:line="240" w:lineRule="auto"/>
        <w:jc w:val="both"/>
        <w:rPr>
          <w:rFonts w:ascii="Arial" w:eastAsia="Arial" w:hAnsi="Arial" w:cs="Arial"/>
        </w:rPr>
      </w:pPr>
      <w:r w:rsidRPr="00396F7C">
        <w:rPr>
          <w:rFonts w:ascii="Arial" w:eastAsia="Arial" w:hAnsi="Arial" w:cs="Arial"/>
        </w:rPr>
        <w:t>Leo D Westbury: 0009-0008-5853-8096</w:t>
      </w:r>
    </w:p>
    <w:p w14:paraId="08B821C7" w14:textId="15D9B280" w:rsidR="00396F7C" w:rsidRPr="00396F7C" w:rsidRDefault="00396F7C" w:rsidP="00B16F5F">
      <w:pPr>
        <w:spacing w:after="200" w:line="240" w:lineRule="auto"/>
        <w:jc w:val="both"/>
        <w:rPr>
          <w:rFonts w:ascii="Arial" w:eastAsia="Arial" w:hAnsi="Arial" w:cs="Arial"/>
        </w:rPr>
      </w:pPr>
      <w:r w:rsidRPr="00396F7C">
        <w:rPr>
          <w:rFonts w:ascii="Arial" w:eastAsia="Arial" w:hAnsi="Arial" w:cs="Arial"/>
        </w:rPr>
        <w:t>Roshan Rambukwella: 0000-0001-7560-6865</w:t>
      </w:r>
    </w:p>
    <w:p w14:paraId="331E1C29" w14:textId="77777777" w:rsidR="00396F7C" w:rsidRPr="00396F7C" w:rsidRDefault="00396F7C" w:rsidP="00B16F5F">
      <w:pPr>
        <w:spacing w:after="200" w:line="240" w:lineRule="auto"/>
        <w:jc w:val="both"/>
        <w:rPr>
          <w:rFonts w:ascii="Arial" w:eastAsia="Arial" w:hAnsi="Arial" w:cs="Arial"/>
        </w:rPr>
      </w:pPr>
      <w:r w:rsidRPr="00396F7C">
        <w:rPr>
          <w:rFonts w:ascii="Arial" w:eastAsia="Arial" w:hAnsi="Arial" w:cs="Arial"/>
        </w:rPr>
        <w:t>Camille Pearse: 0000-0003-3486-8353</w:t>
      </w:r>
    </w:p>
    <w:p w14:paraId="252B16BB" w14:textId="77777777" w:rsidR="00396F7C" w:rsidRPr="00396F7C" w:rsidRDefault="00396F7C" w:rsidP="00B16F5F">
      <w:pPr>
        <w:spacing w:after="200" w:line="240" w:lineRule="auto"/>
        <w:jc w:val="both"/>
        <w:rPr>
          <w:rFonts w:ascii="Arial" w:eastAsia="Arial" w:hAnsi="Arial" w:cs="Arial"/>
        </w:rPr>
      </w:pPr>
      <w:r w:rsidRPr="00396F7C">
        <w:rPr>
          <w:rFonts w:ascii="Arial" w:eastAsia="Arial" w:hAnsi="Arial" w:cs="Arial"/>
        </w:rPr>
        <w:t>Kate A Ward: 0000-0001-7034-6750</w:t>
      </w:r>
    </w:p>
    <w:p w14:paraId="0113C281" w14:textId="77777777" w:rsidR="00396F7C" w:rsidRPr="00396F7C" w:rsidRDefault="00396F7C" w:rsidP="00B16F5F">
      <w:pPr>
        <w:spacing w:after="200" w:line="240" w:lineRule="auto"/>
        <w:jc w:val="both"/>
        <w:rPr>
          <w:rFonts w:ascii="Arial" w:eastAsia="Arial" w:hAnsi="Arial" w:cs="Arial"/>
          <w:bCs/>
          <w:u w:val="single"/>
        </w:rPr>
      </w:pPr>
      <w:r w:rsidRPr="00396F7C">
        <w:rPr>
          <w:rFonts w:ascii="Arial" w:eastAsia="Arial" w:hAnsi="Arial" w:cs="Arial"/>
        </w:rPr>
        <w:t xml:space="preserve">Cyrus Cooper: </w:t>
      </w:r>
      <w:r w:rsidRPr="00396F7C">
        <w:rPr>
          <w:rFonts w:ascii="Arial" w:eastAsia="Arial" w:hAnsi="Arial" w:cs="Arial"/>
          <w:bCs/>
        </w:rPr>
        <w:t>0000-0003-3510-0709</w:t>
      </w:r>
    </w:p>
    <w:p w14:paraId="6E1975AC" w14:textId="77777777" w:rsidR="00396F7C" w:rsidRPr="00396F7C" w:rsidRDefault="00396F7C" w:rsidP="00B16F5F">
      <w:pPr>
        <w:spacing w:after="200" w:line="240" w:lineRule="auto"/>
        <w:jc w:val="both"/>
        <w:rPr>
          <w:rFonts w:ascii="Arial" w:eastAsia="Arial" w:hAnsi="Arial" w:cs="Arial"/>
          <w:bCs/>
        </w:rPr>
      </w:pPr>
      <w:r w:rsidRPr="00396F7C">
        <w:rPr>
          <w:rFonts w:ascii="Arial" w:eastAsia="Arial" w:hAnsi="Arial" w:cs="Arial"/>
        </w:rPr>
        <w:t xml:space="preserve">Elaine M Dennison: </w:t>
      </w:r>
      <w:r w:rsidRPr="00396F7C">
        <w:rPr>
          <w:rFonts w:ascii="Arial" w:eastAsia="Arial" w:hAnsi="Arial" w:cs="Arial"/>
          <w:bCs/>
        </w:rPr>
        <w:t>0000-0002-3048-4961</w:t>
      </w:r>
    </w:p>
    <w:p w14:paraId="61C44B22" w14:textId="77777777" w:rsidR="00396F7C" w:rsidRPr="00396F7C" w:rsidRDefault="00396F7C" w:rsidP="00396F7C">
      <w:pPr>
        <w:spacing w:after="200" w:line="360" w:lineRule="auto"/>
        <w:jc w:val="both"/>
        <w:rPr>
          <w:rFonts w:ascii="Arial" w:eastAsia="Arial" w:hAnsi="Arial" w:cs="Arial"/>
        </w:rPr>
      </w:pPr>
    </w:p>
    <w:p w14:paraId="42834246" w14:textId="77777777" w:rsidR="00396F7C" w:rsidRPr="00396F7C" w:rsidRDefault="00396F7C" w:rsidP="00B16F5F">
      <w:pPr>
        <w:spacing w:after="200" w:line="240" w:lineRule="auto"/>
        <w:jc w:val="both"/>
        <w:rPr>
          <w:rFonts w:ascii="Arial" w:eastAsia="Arial" w:hAnsi="Arial" w:cs="Arial"/>
        </w:rPr>
      </w:pPr>
      <w:r w:rsidRPr="00396F7C">
        <w:rPr>
          <w:rFonts w:ascii="Arial" w:eastAsia="Arial" w:hAnsi="Arial" w:cs="Arial"/>
        </w:rPr>
        <w:t>Corresponding author:</w:t>
      </w:r>
    </w:p>
    <w:p w14:paraId="409258FD" w14:textId="77777777" w:rsidR="00396F7C" w:rsidRPr="00396F7C" w:rsidRDefault="00396F7C" w:rsidP="00B16F5F">
      <w:pPr>
        <w:spacing w:after="200" w:line="240" w:lineRule="auto"/>
        <w:jc w:val="both"/>
        <w:rPr>
          <w:rFonts w:ascii="Arial" w:eastAsia="Arial" w:hAnsi="Arial" w:cs="Arial"/>
        </w:rPr>
      </w:pPr>
      <w:r w:rsidRPr="00396F7C">
        <w:rPr>
          <w:rFonts w:ascii="Arial" w:eastAsia="Arial" w:hAnsi="Arial" w:cs="Arial"/>
        </w:rPr>
        <w:t>Elaine M Dennison</w:t>
      </w:r>
    </w:p>
    <w:p w14:paraId="496CA86B" w14:textId="77777777" w:rsidR="00396F7C" w:rsidRPr="00396F7C" w:rsidRDefault="00396F7C" w:rsidP="00B16F5F">
      <w:pPr>
        <w:spacing w:after="200" w:line="240" w:lineRule="auto"/>
        <w:jc w:val="both"/>
        <w:rPr>
          <w:rFonts w:ascii="Arial" w:eastAsia="Arial" w:hAnsi="Arial" w:cs="Arial"/>
        </w:rPr>
      </w:pPr>
      <w:r w:rsidRPr="00396F7C">
        <w:rPr>
          <w:rFonts w:ascii="Arial" w:eastAsia="Arial" w:hAnsi="Arial" w:cs="Arial"/>
        </w:rPr>
        <w:t>Professor of Musculoskeletal Epidemiology</w:t>
      </w:r>
    </w:p>
    <w:p w14:paraId="6885E7C9" w14:textId="77777777" w:rsidR="00396F7C" w:rsidRPr="00396F7C" w:rsidRDefault="00396F7C" w:rsidP="00B16F5F">
      <w:pPr>
        <w:spacing w:after="200" w:line="240" w:lineRule="auto"/>
        <w:jc w:val="both"/>
        <w:rPr>
          <w:rFonts w:ascii="Arial" w:eastAsia="Arial" w:hAnsi="Arial" w:cs="Arial"/>
        </w:rPr>
      </w:pPr>
      <w:r w:rsidRPr="00396F7C">
        <w:rPr>
          <w:rFonts w:ascii="Arial" w:eastAsia="Arial" w:hAnsi="Arial" w:cs="Arial"/>
        </w:rPr>
        <w:t>MRC Lifecourse Epidemiology Centre, University of Southampton, Southampton, UK</w:t>
      </w:r>
    </w:p>
    <w:p w14:paraId="7419FED4" w14:textId="77777777" w:rsidR="00396F7C" w:rsidRPr="00396F7C" w:rsidRDefault="00396F7C" w:rsidP="00B16F5F">
      <w:pPr>
        <w:spacing w:after="200" w:line="240" w:lineRule="auto"/>
        <w:jc w:val="both"/>
        <w:rPr>
          <w:rFonts w:ascii="Arial" w:eastAsia="Arial" w:hAnsi="Arial" w:cs="Arial"/>
        </w:rPr>
      </w:pPr>
      <w:r w:rsidRPr="00396F7C">
        <w:rPr>
          <w:rFonts w:ascii="Arial" w:eastAsia="Arial" w:hAnsi="Arial" w:cs="Arial"/>
        </w:rPr>
        <w:t>Telephone: 02380777624</w:t>
      </w:r>
    </w:p>
    <w:bookmarkStart w:id="3" w:name="_Hlk137504543"/>
    <w:p w14:paraId="65F3A172" w14:textId="40F27A89" w:rsidR="00211335" w:rsidRPr="00DB09D1" w:rsidRDefault="00396F7C" w:rsidP="00DB09D1">
      <w:pPr>
        <w:spacing w:after="200" w:line="240" w:lineRule="auto"/>
        <w:jc w:val="both"/>
        <w:rPr>
          <w:rFonts w:ascii="Arial" w:eastAsia="Arial" w:hAnsi="Arial" w:cs="Arial"/>
        </w:rPr>
      </w:pPr>
      <w:r w:rsidRPr="00396F7C">
        <w:rPr>
          <w:rFonts w:ascii="Arial" w:eastAsia="Arial" w:hAnsi="Arial" w:cs="Arial"/>
        </w:rPr>
        <w:fldChar w:fldCharType="begin"/>
      </w:r>
      <w:r w:rsidRPr="00396F7C">
        <w:rPr>
          <w:rFonts w:ascii="Arial" w:eastAsia="Arial" w:hAnsi="Arial" w:cs="Arial"/>
        </w:rPr>
        <w:instrText>HYPERLINK "mailto:emd@mrc.soton.ac.uk"</w:instrText>
      </w:r>
      <w:r w:rsidRPr="00396F7C">
        <w:rPr>
          <w:rFonts w:ascii="Arial" w:eastAsia="Arial" w:hAnsi="Arial" w:cs="Arial"/>
        </w:rPr>
        <w:fldChar w:fldCharType="separate"/>
      </w:r>
      <w:r w:rsidRPr="00396F7C">
        <w:rPr>
          <w:rStyle w:val="Hyperlink"/>
          <w:rFonts w:ascii="Arial" w:eastAsia="Arial" w:hAnsi="Arial" w:cs="Arial"/>
        </w:rPr>
        <w:t>emd@mrc.soton.ac.uk</w:t>
      </w:r>
      <w:r w:rsidRPr="00396F7C">
        <w:rPr>
          <w:rFonts w:ascii="Arial" w:eastAsia="Arial" w:hAnsi="Arial" w:cs="Arial"/>
        </w:rPr>
        <w:fldChar w:fldCharType="end"/>
      </w:r>
      <w:r w:rsidRPr="00396F7C">
        <w:rPr>
          <w:rFonts w:ascii="Arial" w:eastAsia="Arial" w:hAnsi="Arial" w:cs="Arial"/>
        </w:rPr>
        <w:t xml:space="preserve"> </w:t>
      </w:r>
      <w:bookmarkEnd w:id="3"/>
      <w:r w:rsidR="00211335">
        <w:rPr>
          <w:rFonts w:ascii="Arial" w:eastAsia="Arial" w:hAnsi="Arial" w:cs="Arial"/>
          <w:b/>
          <w:bCs/>
        </w:rPr>
        <w:br w:type="page"/>
      </w:r>
    </w:p>
    <w:p w14:paraId="51CB8B1E" w14:textId="3F02B557" w:rsidR="00A13E88" w:rsidRDefault="00A13E88" w:rsidP="00FC17F5">
      <w:pPr>
        <w:spacing w:after="200" w:line="480" w:lineRule="auto"/>
        <w:jc w:val="both"/>
        <w:rPr>
          <w:rFonts w:ascii="Arial" w:eastAsia="Arial" w:hAnsi="Arial" w:cs="Arial"/>
          <w:b/>
          <w:bCs/>
        </w:rPr>
      </w:pPr>
      <w:r w:rsidRPr="006445F3">
        <w:rPr>
          <w:rFonts w:ascii="Arial" w:eastAsia="Arial" w:hAnsi="Arial" w:cs="Arial"/>
          <w:b/>
          <w:bCs/>
        </w:rPr>
        <w:lastRenderedPageBreak/>
        <w:t>Abstract</w:t>
      </w:r>
      <w:r w:rsidR="00C00616">
        <w:rPr>
          <w:rFonts w:ascii="Arial" w:eastAsia="Arial" w:hAnsi="Arial" w:cs="Arial"/>
          <w:b/>
          <w:bCs/>
        </w:rPr>
        <w:t xml:space="preserve"> </w:t>
      </w:r>
    </w:p>
    <w:p w14:paraId="0DE856A8" w14:textId="7ED04650" w:rsidR="00A13E88" w:rsidRDefault="00B95F6C" w:rsidP="00FC17F5">
      <w:pPr>
        <w:spacing w:after="200" w:line="480" w:lineRule="auto"/>
        <w:jc w:val="both"/>
        <w:rPr>
          <w:rFonts w:ascii="Arial" w:eastAsia="Arial" w:hAnsi="Arial" w:cs="Arial"/>
          <w:b/>
          <w:bCs/>
        </w:rPr>
      </w:pPr>
      <w:r>
        <w:rPr>
          <w:rFonts w:ascii="Arial" w:eastAsia="Arial" w:hAnsi="Arial" w:cs="Arial"/>
          <w:b/>
          <w:bCs/>
        </w:rPr>
        <w:t>Aims</w:t>
      </w:r>
    </w:p>
    <w:p w14:paraId="0C78942D" w14:textId="3A46D26B" w:rsidR="00A13E88" w:rsidRPr="008A6A51" w:rsidRDefault="003A0EAA" w:rsidP="00FC17F5">
      <w:pPr>
        <w:spacing w:after="200" w:line="480" w:lineRule="auto"/>
        <w:jc w:val="both"/>
        <w:rPr>
          <w:rFonts w:ascii="Arial" w:eastAsia="Arial" w:hAnsi="Arial" w:cs="Arial"/>
        </w:rPr>
      </w:pPr>
      <w:bookmarkStart w:id="4" w:name="_Hlk171404160"/>
      <w:r w:rsidRPr="003A0EAA">
        <w:rPr>
          <w:rFonts w:ascii="Arial" w:eastAsia="Arial" w:hAnsi="Arial" w:cs="Arial"/>
        </w:rPr>
        <w:t>W</w:t>
      </w:r>
      <w:r w:rsidR="008A6A51">
        <w:rPr>
          <w:rFonts w:ascii="Arial" w:eastAsia="Arial" w:hAnsi="Arial" w:cs="Arial"/>
        </w:rPr>
        <w:t>e</w:t>
      </w:r>
      <w:r w:rsidR="003E0419">
        <w:rPr>
          <w:rFonts w:ascii="Arial" w:eastAsia="Arial" w:hAnsi="Arial" w:cs="Arial"/>
          <w:lang w:val="en-US"/>
        </w:rPr>
        <w:t xml:space="preserve"> examine</w:t>
      </w:r>
      <w:r w:rsidR="008A6A51">
        <w:rPr>
          <w:rFonts w:ascii="Arial" w:eastAsia="Arial" w:hAnsi="Arial" w:cs="Arial"/>
          <w:lang w:val="en-US"/>
        </w:rPr>
        <w:t>d</w:t>
      </w:r>
      <w:r w:rsidR="003E0419">
        <w:rPr>
          <w:rFonts w:ascii="Arial" w:eastAsia="Arial" w:hAnsi="Arial" w:cs="Arial"/>
          <w:lang w:val="en-US"/>
        </w:rPr>
        <w:t xml:space="preserve"> whether </w:t>
      </w:r>
      <w:r w:rsidR="00B95F6C">
        <w:rPr>
          <w:rFonts w:ascii="Arial" w:eastAsia="Arial" w:hAnsi="Arial" w:cs="Arial"/>
          <w:lang w:val="en-US"/>
        </w:rPr>
        <w:t>admission risk increases</w:t>
      </w:r>
      <w:r w:rsidR="003E0419" w:rsidRPr="00207539">
        <w:rPr>
          <w:rFonts w:ascii="Arial" w:eastAsia="Arial" w:hAnsi="Arial" w:cs="Arial"/>
          <w:lang w:val="en-US"/>
        </w:rPr>
        <w:t xml:space="preserve"> </w:t>
      </w:r>
      <w:r w:rsidR="003E0419">
        <w:rPr>
          <w:rFonts w:ascii="Arial" w:eastAsia="Arial" w:hAnsi="Arial" w:cs="Arial"/>
          <w:lang w:val="en-US"/>
        </w:rPr>
        <w:t xml:space="preserve">at a certain threshold of number of systems medicated </w:t>
      </w:r>
      <w:r w:rsidR="003E0419" w:rsidRPr="00207539">
        <w:rPr>
          <w:rFonts w:ascii="Arial" w:eastAsia="Arial" w:hAnsi="Arial" w:cs="Arial"/>
          <w:lang w:val="en-US"/>
        </w:rPr>
        <w:t xml:space="preserve">or whether </w:t>
      </w:r>
      <w:r w:rsidR="003E0419">
        <w:rPr>
          <w:rFonts w:ascii="Arial" w:eastAsia="Arial" w:hAnsi="Arial" w:cs="Arial"/>
          <w:lang w:val="en-US"/>
        </w:rPr>
        <w:t>any increase</w:t>
      </w:r>
      <w:r w:rsidR="003E0419" w:rsidRPr="00207539">
        <w:rPr>
          <w:rFonts w:ascii="Arial" w:eastAsia="Arial" w:hAnsi="Arial" w:cs="Arial"/>
          <w:lang w:val="en-US"/>
        </w:rPr>
        <w:t xml:space="preserve"> confer</w:t>
      </w:r>
      <w:r w:rsidR="003E0419">
        <w:rPr>
          <w:rFonts w:ascii="Arial" w:eastAsia="Arial" w:hAnsi="Arial" w:cs="Arial"/>
          <w:lang w:val="en-US"/>
        </w:rPr>
        <w:t>s</w:t>
      </w:r>
      <w:r w:rsidR="003E0419" w:rsidRPr="00207539">
        <w:rPr>
          <w:rFonts w:ascii="Arial" w:eastAsia="Arial" w:hAnsi="Arial" w:cs="Arial"/>
          <w:lang w:val="en-US"/>
        </w:rPr>
        <w:t xml:space="preserve"> greater </w:t>
      </w:r>
      <w:r w:rsidR="003E0419">
        <w:rPr>
          <w:rFonts w:ascii="Arial" w:eastAsia="Arial" w:hAnsi="Arial" w:cs="Arial"/>
          <w:lang w:val="en-US"/>
        </w:rPr>
        <w:t>admission risks</w:t>
      </w:r>
      <w:r w:rsidR="008A6A51">
        <w:rPr>
          <w:rFonts w:ascii="Arial" w:eastAsia="Arial" w:hAnsi="Arial" w:cs="Arial"/>
          <w:lang w:val="en-US"/>
        </w:rPr>
        <w:t xml:space="preserve"> </w:t>
      </w:r>
      <w:r w:rsidR="00A65BA3">
        <w:rPr>
          <w:rFonts w:ascii="Arial" w:eastAsia="Arial" w:hAnsi="Arial" w:cs="Arial"/>
          <w:lang w:val="en-US"/>
        </w:rPr>
        <w:t xml:space="preserve">in either sex </w:t>
      </w:r>
      <w:r w:rsidR="008A6A51">
        <w:rPr>
          <w:rFonts w:ascii="Arial" w:eastAsia="Arial" w:hAnsi="Arial" w:cs="Arial"/>
          <w:lang w:val="en-US"/>
        </w:rPr>
        <w:t>in a community</w:t>
      </w:r>
      <w:r w:rsidR="000D3702">
        <w:rPr>
          <w:rFonts w:ascii="Arial" w:eastAsia="Arial" w:hAnsi="Arial" w:cs="Arial"/>
          <w:lang w:val="en-US"/>
        </w:rPr>
        <w:t>-</w:t>
      </w:r>
      <w:r w:rsidR="008A6A51">
        <w:rPr>
          <w:rFonts w:ascii="Arial" w:eastAsia="Arial" w:hAnsi="Arial" w:cs="Arial"/>
          <w:lang w:val="en-US"/>
        </w:rPr>
        <w:t xml:space="preserve">dwelling cohort of older persons in </w:t>
      </w:r>
      <w:r w:rsidR="007D721F">
        <w:rPr>
          <w:rFonts w:ascii="Arial" w:eastAsia="Arial" w:hAnsi="Arial" w:cs="Arial"/>
        </w:rPr>
        <w:t>Hertfordshire</w:t>
      </w:r>
      <w:r w:rsidR="008A6A51">
        <w:rPr>
          <w:rFonts w:ascii="Arial" w:eastAsia="Arial" w:hAnsi="Arial" w:cs="Arial"/>
        </w:rPr>
        <w:t>.</w:t>
      </w:r>
      <w:r w:rsidR="007E4C7D" w:rsidRPr="007E4C7D">
        <w:rPr>
          <w:rFonts w:ascii="Arial" w:eastAsia="Arial" w:hAnsi="Arial" w:cs="Arial"/>
        </w:rPr>
        <w:t xml:space="preserve"> This study uses a longitudinal retrospective study design.</w:t>
      </w:r>
    </w:p>
    <w:bookmarkEnd w:id="4"/>
    <w:p w14:paraId="1EA72F54" w14:textId="490B2D8D" w:rsidR="00A13E88" w:rsidRDefault="00A13E88" w:rsidP="00FC17F5">
      <w:pPr>
        <w:spacing w:after="200" w:line="480" w:lineRule="auto"/>
        <w:jc w:val="both"/>
        <w:rPr>
          <w:rFonts w:ascii="Arial" w:eastAsia="Arial" w:hAnsi="Arial" w:cs="Arial"/>
          <w:b/>
          <w:bCs/>
        </w:rPr>
      </w:pPr>
      <w:r>
        <w:rPr>
          <w:rFonts w:ascii="Arial" w:eastAsia="Arial" w:hAnsi="Arial" w:cs="Arial"/>
          <w:b/>
          <w:bCs/>
        </w:rPr>
        <w:t>Methods</w:t>
      </w:r>
    </w:p>
    <w:p w14:paraId="4F2B2625" w14:textId="1C11D446" w:rsidR="00DF0751" w:rsidRPr="003B26BB" w:rsidRDefault="009C17E5" w:rsidP="00FC17F5">
      <w:pPr>
        <w:spacing w:after="200" w:line="480" w:lineRule="auto"/>
        <w:jc w:val="both"/>
        <w:rPr>
          <w:rFonts w:ascii="Arial" w:eastAsia="Arial" w:hAnsi="Arial" w:cs="Arial"/>
        </w:rPr>
      </w:pPr>
      <w:r>
        <w:rPr>
          <w:rFonts w:ascii="Arial" w:eastAsia="Arial" w:hAnsi="Arial" w:cs="Arial"/>
          <w:lang w:val="en-US"/>
        </w:rPr>
        <w:t xml:space="preserve">Data from </w:t>
      </w:r>
      <w:r w:rsidR="00DF0751" w:rsidRPr="00CF2914">
        <w:rPr>
          <w:rFonts w:ascii="Arial" w:eastAsia="Arial" w:hAnsi="Arial" w:cs="Arial"/>
          <w:lang w:val="en-US"/>
        </w:rPr>
        <w:t>2997 men and women</w:t>
      </w:r>
      <w:r w:rsidR="00207539">
        <w:rPr>
          <w:rFonts w:ascii="Arial" w:eastAsia="Arial" w:hAnsi="Arial" w:cs="Arial"/>
          <w:lang w:val="en-US"/>
        </w:rPr>
        <w:t xml:space="preserve"> (age 59-73 at baseline)</w:t>
      </w:r>
      <w:r w:rsidR="00DF0751" w:rsidRPr="00CF2914">
        <w:rPr>
          <w:rFonts w:ascii="Arial" w:eastAsia="Arial" w:hAnsi="Arial" w:cs="Arial"/>
          <w:lang w:val="en-US"/>
        </w:rPr>
        <w:t xml:space="preserve"> were </w:t>
      </w:r>
      <w:r w:rsidR="00385AD3">
        <w:rPr>
          <w:rFonts w:ascii="Arial" w:eastAsia="Arial" w:hAnsi="Arial" w:cs="Arial"/>
          <w:lang w:val="en-US"/>
        </w:rPr>
        <w:t>analyzed</w:t>
      </w:r>
      <w:r w:rsidR="00DF0751" w:rsidRPr="00CF2914">
        <w:rPr>
          <w:rFonts w:ascii="Arial" w:eastAsia="Arial" w:hAnsi="Arial" w:cs="Arial"/>
          <w:lang w:val="en-US"/>
        </w:rPr>
        <w:t xml:space="preserve">. </w:t>
      </w:r>
      <w:bookmarkStart w:id="5" w:name="_Hlk150165687"/>
      <w:r w:rsidR="00DF0751" w:rsidRPr="00DF0751">
        <w:rPr>
          <w:rFonts w:ascii="Arial" w:eastAsia="Arial" w:hAnsi="Arial" w:cs="Arial"/>
          <w:lang w:val="en-US"/>
        </w:rPr>
        <w:t>Participants were followed up from baseline (1998-2004) until December 2018 using Hospital Episode Statistics and mortality data, report</w:t>
      </w:r>
      <w:r>
        <w:rPr>
          <w:rFonts w:ascii="Arial" w:eastAsia="Arial" w:hAnsi="Arial" w:cs="Arial"/>
          <w:lang w:val="en-US"/>
        </w:rPr>
        <w:t>ing</w:t>
      </w:r>
      <w:r w:rsidR="00DF0751" w:rsidRPr="00DF0751">
        <w:rPr>
          <w:rFonts w:ascii="Arial" w:eastAsia="Arial" w:hAnsi="Arial" w:cs="Arial"/>
          <w:lang w:val="en-US"/>
        </w:rPr>
        <w:t xml:space="preserve"> clinical outcomes using ICD-10 coding.</w:t>
      </w:r>
      <w:bookmarkEnd w:id="5"/>
      <w:r w:rsidR="00DF0751" w:rsidRPr="00DF0751">
        <w:rPr>
          <w:rFonts w:ascii="Arial" w:eastAsia="Arial" w:hAnsi="Arial" w:cs="Arial"/>
          <w:lang w:val="en-US"/>
        </w:rPr>
        <w:t xml:space="preserve"> </w:t>
      </w:r>
      <w:r w:rsidR="007D721F" w:rsidRPr="007D721F">
        <w:rPr>
          <w:rFonts w:ascii="Arial" w:eastAsia="Arial" w:hAnsi="Arial" w:cs="Arial"/>
          <w:lang w:val="en-US"/>
        </w:rPr>
        <w:t xml:space="preserve">Number of systems medicated in relation </w:t>
      </w:r>
      <w:r w:rsidR="007D721F">
        <w:rPr>
          <w:rFonts w:ascii="Arial" w:eastAsia="Arial" w:hAnsi="Arial" w:cs="Arial"/>
          <w:lang w:val="en-US"/>
        </w:rPr>
        <w:t xml:space="preserve">to </w:t>
      </w:r>
      <w:r w:rsidR="007D721F" w:rsidRPr="007D721F">
        <w:rPr>
          <w:rFonts w:ascii="Arial" w:eastAsia="Arial" w:hAnsi="Arial" w:cs="Arial"/>
          <w:lang w:val="en-US"/>
        </w:rPr>
        <w:t>mortality (all-cause, cancer-related, cardiovascular-related) and admission (any, neurological, cardiovascular</w:t>
      </w:r>
      <w:r w:rsidR="00385AD3">
        <w:rPr>
          <w:rFonts w:ascii="Arial" w:eastAsia="Arial" w:hAnsi="Arial" w:cs="Arial"/>
          <w:lang w:val="en-US"/>
        </w:rPr>
        <w:t>,</w:t>
      </w:r>
      <w:r w:rsidR="007D721F" w:rsidRPr="007D721F">
        <w:rPr>
          <w:rFonts w:ascii="Arial" w:eastAsia="Arial" w:hAnsi="Arial" w:cs="Arial"/>
          <w:lang w:val="en-US"/>
        </w:rPr>
        <w:t xml:space="preserve"> and respiratory) were examined using</w:t>
      </w:r>
      <w:r w:rsidR="007D721F">
        <w:rPr>
          <w:rFonts w:ascii="Arial" w:eastAsia="Arial" w:hAnsi="Arial" w:cs="Arial"/>
          <w:lang w:val="en-US"/>
        </w:rPr>
        <w:t xml:space="preserve"> Cox regression.</w:t>
      </w:r>
    </w:p>
    <w:p w14:paraId="2D2A6CB0" w14:textId="36B8BF60" w:rsidR="00A13E88" w:rsidRDefault="00A13E88" w:rsidP="00FC17F5">
      <w:pPr>
        <w:spacing w:after="200" w:line="480" w:lineRule="auto"/>
        <w:jc w:val="both"/>
        <w:rPr>
          <w:rFonts w:ascii="Arial" w:eastAsia="Arial" w:hAnsi="Arial" w:cs="Arial"/>
          <w:b/>
          <w:bCs/>
        </w:rPr>
      </w:pPr>
      <w:r>
        <w:rPr>
          <w:rFonts w:ascii="Arial" w:eastAsia="Arial" w:hAnsi="Arial" w:cs="Arial"/>
          <w:b/>
          <w:bCs/>
        </w:rPr>
        <w:t>Results</w:t>
      </w:r>
    </w:p>
    <w:p w14:paraId="28A727D1" w14:textId="66D95719" w:rsidR="007D721F" w:rsidRPr="00CF2914" w:rsidRDefault="007D721F" w:rsidP="00FC17F5">
      <w:pPr>
        <w:spacing w:after="200" w:line="480" w:lineRule="auto"/>
        <w:jc w:val="both"/>
        <w:rPr>
          <w:rFonts w:ascii="Arial" w:eastAsia="Arial" w:hAnsi="Arial" w:cs="Arial"/>
        </w:rPr>
      </w:pPr>
      <w:r>
        <w:rPr>
          <w:rFonts w:ascii="Arial" w:eastAsia="Arial" w:hAnsi="Arial" w:cs="Arial"/>
          <w:lang w:val="en-US"/>
        </w:rPr>
        <w:t>Apart from cancer-related mortality</w:t>
      </w:r>
      <w:r w:rsidR="00B16F5F">
        <w:rPr>
          <w:rFonts w:ascii="Arial" w:eastAsia="Arial" w:hAnsi="Arial" w:cs="Arial"/>
          <w:lang w:val="en-US"/>
        </w:rPr>
        <w:t xml:space="preserve"> among women</w:t>
      </w:r>
      <w:r>
        <w:rPr>
          <w:rFonts w:ascii="Arial" w:eastAsia="Arial" w:hAnsi="Arial" w:cs="Arial"/>
          <w:lang w:val="en-US"/>
        </w:rPr>
        <w:t xml:space="preserve">, </w:t>
      </w:r>
      <w:r w:rsidR="00B83D67">
        <w:rPr>
          <w:rFonts w:ascii="Arial" w:eastAsia="Arial" w:hAnsi="Arial" w:cs="Arial"/>
          <w:lang w:val="en-US"/>
        </w:rPr>
        <w:t xml:space="preserve">more systems medicated predicted increased risk of all events </w:t>
      </w:r>
      <w:r>
        <w:rPr>
          <w:rFonts w:ascii="Arial" w:eastAsia="Arial" w:hAnsi="Arial" w:cs="Arial"/>
          <w:lang w:val="en-US"/>
        </w:rPr>
        <w:t>among both sexes</w:t>
      </w:r>
      <w:r w:rsidR="00B83D67">
        <w:rPr>
          <w:rFonts w:ascii="Arial" w:eastAsia="Arial" w:hAnsi="Arial" w:cs="Arial"/>
          <w:lang w:val="en-US"/>
        </w:rPr>
        <w:t xml:space="preserve"> </w:t>
      </w:r>
      <w:r w:rsidR="00B83D67" w:rsidRPr="007D721F">
        <w:rPr>
          <w:rFonts w:ascii="Arial" w:eastAsia="Arial" w:hAnsi="Arial" w:cs="Arial"/>
          <w:lang w:val="en-US"/>
        </w:rPr>
        <w:t>(p≤0.001)</w:t>
      </w:r>
      <w:r>
        <w:rPr>
          <w:rFonts w:ascii="Arial" w:eastAsia="Arial" w:hAnsi="Arial" w:cs="Arial"/>
          <w:lang w:val="en-US"/>
        </w:rPr>
        <w:t>.</w:t>
      </w:r>
      <w:r w:rsidRPr="007D721F">
        <w:t xml:space="preserve"> </w:t>
      </w:r>
      <w:r w:rsidRPr="007D721F">
        <w:rPr>
          <w:rFonts w:ascii="Arial" w:eastAsia="Arial" w:hAnsi="Arial" w:cs="Arial"/>
          <w:lang w:val="en-US"/>
        </w:rPr>
        <w:t>For</w:t>
      </w:r>
      <w:r>
        <w:rPr>
          <w:rFonts w:ascii="Arial" w:eastAsia="Arial" w:hAnsi="Arial" w:cs="Arial"/>
          <w:lang w:val="en-US"/>
        </w:rPr>
        <w:t xml:space="preserve"> ‘any’, cardiovascular and respiratory</w:t>
      </w:r>
      <w:r w:rsidR="00B83D67">
        <w:rPr>
          <w:rFonts w:ascii="Arial" w:eastAsia="Arial" w:hAnsi="Arial" w:cs="Arial"/>
          <w:lang w:val="en-US"/>
        </w:rPr>
        <w:t xml:space="preserve"> admission</w:t>
      </w:r>
      <w:r w:rsidRPr="007D721F">
        <w:rPr>
          <w:rFonts w:ascii="Arial" w:eastAsia="Arial" w:hAnsi="Arial" w:cs="Arial"/>
          <w:lang w:val="en-US"/>
        </w:rPr>
        <w:t>, there were increases in risk for each category of number of systems medicated</w:t>
      </w:r>
      <w:r>
        <w:rPr>
          <w:rFonts w:ascii="Arial" w:eastAsia="Arial" w:hAnsi="Arial" w:cs="Arial"/>
          <w:lang w:val="en-US"/>
        </w:rPr>
        <w:t xml:space="preserve">. </w:t>
      </w:r>
      <w:r w:rsidRPr="007D721F">
        <w:rPr>
          <w:rFonts w:ascii="Arial" w:eastAsia="Arial" w:hAnsi="Arial" w:cs="Arial"/>
          <w:lang w:val="en-US"/>
        </w:rPr>
        <w:t>For example, compared to men with no systems medicated, those with 1, 2 and &gt;2 systems medicated had hazard ratios (95% CI) for cardiovascular admissions of 1.82</w:t>
      </w:r>
      <w:r w:rsidR="0030129C">
        <w:rPr>
          <w:rFonts w:ascii="Arial" w:eastAsia="Arial" w:hAnsi="Arial" w:cs="Arial"/>
          <w:lang w:val="en-US"/>
        </w:rPr>
        <w:t xml:space="preserve"> </w:t>
      </w:r>
      <w:r w:rsidRPr="007D721F">
        <w:rPr>
          <w:rFonts w:ascii="Arial" w:eastAsia="Arial" w:hAnsi="Arial" w:cs="Arial"/>
          <w:lang w:val="en-US"/>
        </w:rPr>
        <w:t>(1.57,2.12), 2.39</w:t>
      </w:r>
      <w:r w:rsidR="0030129C">
        <w:rPr>
          <w:rFonts w:ascii="Arial" w:eastAsia="Arial" w:hAnsi="Arial" w:cs="Arial"/>
          <w:lang w:val="en-US"/>
        </w:rPr>
        <w:t xml:space="preserve"> </w:t>
      </w:r>
      <w:r w:rsidRPr="007D721F">
        <w:rPr>
          <w:rFonts w:ascii="Arial" w:eastAsia="Arial" w:hAnsi="Arial" w:cs="Arial"/>
          <w:lang w:val="en-US"/>
        </w:rPr>
        <w:t>(2.00,2.84) and 3.45</w:t>
      </w:r>
      <w:r w:rsidR="0030129C">
        <w:rPr>
          <w:rFonts w:ascii="Arial" w:eastAsia="Arial" w:hAnsi="Arial" w:cs="Arial"/>
          <w:lang w:val="en-US"/>
        </w:rPr>
        <w:t xml:space="preserve"> </w:t>
      </w:r>
      <w:r w:rsidRPr="007D721F">
        <w:rPr>
          <w:rFonts w:ascii="Arial" w:eastAsia="Arial" w:hAnsi="Arial" w:cs="Arial"/>
          <w:lang w:val="en-US"/>
        </w:rPr>
        <w:t>(2.84,4.20) respectively;</w:t>
      </w:r>
      <w:r w:rsidR="00B83D67">
        <w:rPr>
          <w:rFonts w:ascii="Arial" w:eastAsia="Arial" w:hAnsi="Arial" w:cs="Arial"/>
          <w:lang w:val="en-US"/>
        </w:rPr>
        <w:t xml:space="preserve"> e</w:t>
      </w:r>
      <w:r w:rsidRPr="007D721F">
        <w:rPr>
          <w:rFonts w:ascii="Arial" w:eastAsia="Arial" w:hAnsi="Arial" w:cs="Arial"/>
          <w:lang w:val="en-US"/>
        </w:rPr>
        <w:t>stimates among women were 1.74</w:t>
      </w:r>
      <w:r w:rsidR="0030129C">
        <w:rPr>
          <w:rFonts w:ascii="Arial" w:eastAsia="Arial" w:hAnsi="Arial" w:cs="Arial"/>
          <w:lang w:val="en-US"/>
        </w:rPr>
        <w:t xml:space="preserve"> </w:t>
      </w:r>
      <w:r w:rsidRPr="007D721F">
        <w:rPr>
          <w:rFonts w:ascii="Arial" w:eastAsia="Arial" w:hAnsi="Arial" w:cs="Arial"/>
          <w:lang w:val="en-US"/>
        </w:rPr>
        <w:t>(1.44,2.11), 2.35</w:t>
      </w:r>
      <w:r w:rsidR="0030129C">
        <w:rPr>
          <w:rFonts w:ascii="Arial" w:eastAsia="Arial" w:hAnsi="Arial" w:cs="Arial"/>
          <w:lang w:val="en-US"/>
        </w:rPr>
        <w:t xml:space="preserve"> </w:t>
      </w:r>
      <w:r w:rsidRPr="007D721F">
        <w:rPr>
          <w:rFonts w:ascii="Arial" w:eastAsia="Arial" w:hAnsi="Arial" w:cs="Arial"/>
          <w:lang w:val="en-US"/>
        </w:rPr>
        <w:t>(1.92,2.88) and 3.40</w:t>
      </w:r>
      <w:r w:rsidR="0030129C">
        <w:rPr>
          <w:rFonts w:ascii="Arial" w:eastAsia="Arial" w:hAnsi="Arial" w:cs="Arial"/>
          <w:lang w:val="en-US"/>
        </w:rPr>
        <w:t xml:space="preserve"> </w:t>
      </w:r>
      <w:r w:rsidRPr="007D721F">
        <w:rPr>
          <w:rFonts w:ascii="Arial" w:eastAsia="Arial" w:hAnsi="Arial" w:cs="Arial"/>
          <w:lang w:val="en-US"/>
        </w:rPr>
        <w:t>(2.79,4.13).</w:t>
      </w:r>
    </w:p>
    <w:p w14:paraId="5CDAB795" w14:textId="4FCD31BC" w:rsidR="00A13E88" w:rsidRDefault="00A13E88" w:rsidP="00FC17F5">
      <w:pPr>
        <w:spacing w:after="200" w:line="480" w:lineRule="auto"/>
        <w:jc w:val="both"/>
        <w:rPr>
          <w:rFonts w:ascii="Arial" w:eastAsia="Arial" w:hAnsi="Arial" w:cs="Arial"/>
          <w:b/>
          <w:bCs/>
        </w:rPr>
      </w:pPr>
      <w:r>
        <w:rPr>
          <w:rFonts w:ascii="Arial" w:eastAsia="Arial" w:hAnsi="Arial" w:cs="Arial"/>
          <w:b/>
          <w:bCs/>
        </w:rPr>
        <w:t>Conclusions</w:t>
      </w:r>
    </w:p>
    <w:p w14:paraId="136DE7E6" w14:textId="77777777" w:rsidR="00DA4D05" w:rsidRDefault="003E0419" w:rsidP="00FC17F5">
      <w:pPr>
        <w:spacing w:after="200" w:line="480" w:lineRule="auto"/>
        <w:jc w:val="both"/>
        <w:rPr>
          <w:rFonts w:ascii="Arial" w:eastAsia="Arial" w:hAnsi="Arial" w:cs="Arial"/>
          <w:lang w:val="en-US"/>
        </w:rPr>
      </w:pPr>
      <w:r w:rsidRPr="003E0419">
        <w:rPr>
          <w:rFonts w:ascii="Arial" w:eastAsia="Arial" w:hAnsi="Arial" w:cs="Arial"/>
          <w:lang w:val="en-US"/>
        </w:rPr>
        <w:t>Increases in numbers of systems medicated conferred greater risk of admission</w:t>
      </w:r>
      <w:r w:rsidR="00A65BA3">
        <w:rPr>
          <w:rFonts w:ascii="Arial" w:eastAsia="Arial" w:hAnsi="Arial" w:cs="Arial"/>
          <w:lang w:val="en-US"/>
        </w:rPr>
        <w:t xml:space="preserve"> in both sexes</w:t>
      </w:r>
      <w:r w:rsidRPr="003E0419">
        <w:rPr>
          <w:rFonts w:ascii="Arial" w:eastAsia="Arial" w:hAnsi="Arial" w:cs="Arial"/>
          <w:lang w:val="en-US"/>
        </w:rPr>
        <w:t>. Interventions aimed at reducing burden of chronic disease in mid-late adulthood are required.</w:t>
      </w:r>
    </w:p>
    <w:p w14:paraId="1976C9AE" w14:textId="77777777" w:rsidR="00DA4D05" w:rsidRDefault="00DA4D05" w:rsidP="00FC17F5">
      <w:pPr>
        <w:spacing w:after="200" w:line="480" w:lineRule="auto"/>
        <w:jc w:val="both"/>
        <w:rPr>
          <w:rFonts w:ascii="Arial" w:eastAsia="Arial" w:hAnsi="Arial" w:cs="Arial"/>
          <w:lang w:val="en-US"/>
        </w:rPr>
      </w:pPr>
    </w:p>
    <w:p w14:paraId="07523905" w14:textId="77777777" w:rsidR="00DA4D05" w:rsidRPr="00DA4D05" w:rsidRDefault="00DA4D05" w:rsidP="00DA4D05">
      <w:pPr>
        <w:spacing w:after="200" w:line="480" w:lineRule="auto"/>
        <w:jc w:val="both"/>
        <w:rPr>
          <w:rFonts w:ascii="Arial" w:eastAsia="Arial" w:hAnsi="Arial" w:cs="Arial"/>
          <w:b/>
          <w:bCs/>
          <w:lang w:val="en-US"/>
        </w:rPr>
      </w:pPr>
      <w:r w:rsidRPr="00DA4D05">
        <w:rPr>
          <w:rFonts w:ascii="Arial" w:eastAsia="Arial" w:hAnsi="Arial" w:cs="Arial"/>
          <w:b/>
          <w:bCs/>
          <w:lang w:val="en-US"/>
        </w:rPr>
        <w:t>Keywords</w:t>
      </w:r>
    </w:p>
    <w:p w14:paraId="00B62002" w14:textId="109C103B" w:rsidR="00DA4D05" w:rsidRDefault="00DA4D05" w:rsidP="00DA4D05">
      <w:pPr>
        <w:spacing w:after="200" w:line="480" w:lineRule="auto"/>
        <w:jc w:val="both"/>
        <w:rPr>
          <w:rFonts w:ascii="Arial" w:eastAsia="Arial" w:hAnsi="Arial" w:cs="Arial"/>
          <w:lang w:val="en-US"/>
        </w:rPr>
      </w:pPr>
      <w:r w:rsidRPr="00DA4D05">
        <w:rPr>
          <w:rFonts w:ascii="Arial" w:eastAsia="Arial" w:hAnsi="Arial" w:cs="Arial"/>
          <w:lang w:val="en-US"/>
        </w:rPr>
        <w:t>Epidemiology,</w:t>
      </w:r>
      <w:r>
        <w:rPr>
          <w:rFonts w:ascii="Arial" w:eastAsia="Arial" w:hAnsi="Arial" w:cs="Arial"/>
          <w:lang w:val="en-US"/>
        </w:rPr>
        <w:t xml:space="preserve"> comorbidity, hospital admission, mortality</w:t>
      </w:r>
    </w:p>
    <w:p w14:paraId="033001AC" w14:textId="77777777" w:rsidR="00DA4D05" w:rsidRDefault="003E0419" w:rsidP="00DA4D05">
      <w:pPr>
        <w:spacing w:after="200" w:line="480" w:lineRule="auto"/>
        <w:jc w:val="both"/>
        <w:rPr>
          <w:rFonts w:ascii="Arial" w:eastAsia="Arial" w:hAnsi="Arial" w:cs="Arial"/>
          <w:lang w:val="en-US"/>
        </w:rPr>
      </w:pPr>
      <w:r w:rsidRPr="003E0419" w:rsidDel="007D721F">
        <w:rPr>
          <w:rFonts w:ascii="Arial" w:eastAsia="Arial" w:hAnsi="Arial" w:cs="Arial"/>
          <w:lang w:val="en-US"/>
        </w:rPr>
        <w:t xml:space="preserve"> </w:t>
      </w:r>
    </w:p>
    <w:p w14:paraId="7C48CF92" w14:textId="6EA320D8" w:rsidR="00DA4D05" w:rsidRPr="00DA4D05" w:rsidRDefault="00DA4D05" w:rsidP="00DA4D05">
      <w:pPr>
        <w:spacing w:after="200" w:line="480" w:lineRule="auto"/>
        <w:jc w:val="both"/>
        <w:rPr>
          <w:rFonts w:ascii="Arial" w:eastAsia="Arial" w:hAnsi="Arial" w:cs="Arial"/>
          <w:b/>
          <w:bCs/>
          <w:lang w:val="en-US"/>
        </w:rPr>
      </w:pPr>
      <w:r w:rsidRPr="00DA4D05">
        <w:rPr>
          <w:rFonts w:ascii="Arial" w:eastAsia="Arial" w:hAnsi="Arial" w:cs="Arial"/>
          <w:b/>
          <w:bCs/>
          <w:lang w:val="en-US"/>
        </w:rPr>
        <w:t>Running headline</w:t>
      </w:r>
    </w:p>
    <w:p w14:paraId="356C5302" w14:textId="409D70B9" w:rsidR="003E0419" w:rsidRDefault="00DA4D05" w:rsidP="00DA4D05">
      <w:pPr>
        <w:spacing w:after="200" w:line="480" w:lineRule="auto"/>
        <w:jc w:val="both"/>
        <w:rPr>
          <w:rFonts w:ascii="Arial" w:eastAsia="Arial" w:hAnsi="Arial" w:cs="Arial"/>
          <w:lang w:val="en-US"/>
        </w:rPr>
      </w:pPr>
      <w:r>
        <w:rPr>
          <w:rFonts w:ascii="Arial" w:eastAsia="Arial" w:hAnsi="Arial" w:cs="Arial"/>
          <w:lang w:val="en-US"/>
        </w:rPr>
        <w:t>Comorbidity and adverse health events</w:t>
      </w:r>
    </w:p>
    <w:p w14:paraId="0E51C5CF" w14:textId="77777777" w:rsidR="00DA4D05" w:rsidRPr="003E0419" w:rsidRDefault="00DA4D05" w:rsidP="00FC17F5">
      <w:pPr>
        <w:spacing w:after="200" w:line="480" w:lineRule="auto"/>
        <w:jc w:val="both"/>
        <w:rPr>
          <w:rFonts w:ascii="Arial" w:eastAsia="Arial" w:hAnsi="Arial" w:cs="Arial"/>
        </w:rPr>
      </w:pPr>
    </w:p>
    <w:p w14:paraId="4189092B" w14:textId="77777777" w:rsidR="00340D4D" w:rsidRDefault="00340D4D" w:rsidP="00FC17F5">
      <w:pPr>
        <w:spacing w:after="200" w:line="480" w:lineRule="auto"/>
        <w:jc w:val="both"/>
        <w:rPr>
          <w:rFonts w:ascii="Arial" w:eastAsia="Arial" w:hAnsi="Arial" w:cs="Arial"/>
          <w:b/>
          <w:bCs/>
          <w:lang w:val="en-US"/>
        </w:rPr>
      </w:pPr>
      <w:bookmarkStart w:id="6" w:name="_Hlk140577129"/>
    </w:p>
    <w:p w14:paraId="01552E54" w14:textId="77777777" w:rsidR="00340D4D" w:rsidRDefault="00340D4D" w:rsidP="00FC17F5">
      <w:pPr>
        <w:spacing w:after="200" w:line="480" w:lineRule="auto"/>
        <w:jc w:val="both"/>
        <w:rPr>
          <w:rFonts w:ascii="Arial" w:eastAsia="Arial" w:hAnsi="Arial" w:cs="Arial"/>
          <w:b/>
          <w:bCs/>
          <w:lang w:val="en-US"/>
        </w:rPr>
      </w:pPr>
    </w:p>
    <w:p w14:paraId="4884D9D8" w14:textId="77777777" w:rsidR="00340D4D" w:rsidRDefault="00340D4D" w:rsidP="00FC17F5">
      <w:pPr>
        <w:spacing w:after="200" w:line="480" w:lineRule="auto"/>
        <w:jc w:val="both"/>
        <w:rPr>
          <w:rFonts w:ascii="Arial" w:eastAsia="Arial" w:hAnsi="Arial" w:cs="Arial"/>
          <w:b/>
          <w:bCs/>
          <w:lang w:val="en-US"/>
        </w:rPr>
      </w:pPr>
    </w:p>
    <w:p w14:paraId="637B18BD" w14:textId="77777777" w:rsidR="00340D4D" w:rsidRDefault="00340D4D" w:rsidP="00FC17F5">
      <w:pPr>
        <w:spacing w:after="200" w:line="480" w:lineRule="auto"/>
        <w:jc w:val="both"/>
        <w:rPr>
          <w:rFonts w:ascii="Arial" w:eastAsia="Arial" w:hAnsi="Arial" w:cs="Arial"/>
          <w:b/>
          <w:bCs/>
          <w:lang w:val="en-US"/>
        </w:rPr>
      </w:pPr>
    </w:p>
    <w:p w14:paraId="1B81FB44" w14:textId="77777777" w:rsidR="00340D4D" w:rsidRDefault="00340D4D" w:rsidP="00FC17F5">
      <w:pPr>
        <w:spacing w:after="200" w:line="480" w:lineRule="auto"/>
        <w:jc w:val="both"/>
        <w:rPr>
          <w:rFonts w:ascii="Arial" w:eastAsia="Arial" w:hAnsi="Arial" w:cs="Arial"/>
          <w:b/>
          <w:bCs/>
          <w:lang w:val="en-US"/>
        </w:rPr>
      </w:pPr>
    </w:p>
    <w:p w14:paraId="1BEEACE1" w14:textId="77777777" w:rsidR="00340D4D" w:rsidRDefault="00340D4D" w:rsidP="00FC17F5">
      <w:pPr>
        <w:spacing w:after="200" w:line="480" w:lineRule="auto"/>
        <w:jc w:val="both"/>
        <w:rPr>
          <w:rFonts w:ascii="Arial" w:eastAsia="Arial" w:hAnsi="Arial" w:cs="Arial"/>
          <w:b/>
          <w:bCs/>
          <w:lang w:val="en-US"/>
        </w:rPr>
      </w:pPr>
    </w:p>
    <w:p w14:paraId="3D3624D4" w14:textId="77777777" w:rsidR="00340D4D" w:rsidRDefault="00340D4D" w:rsidP="00FC17F5">
      <w:pPr>
        <w:spacing w:after="200" w:line="480" w:lineRule="auto"/>
        <w:jc w:val="both"/>
        <w:rPr>
          <w:rFonts w:ascii="Arial" w:eastAsia="Arial" w:hAnsi="Arial" w:cs="Arial"/>
          <w:b/>
          <w:bCs/>
          <w:lang w:val="en-US"/>
        </w:rPr>
      </w:pPr>
    </w:p>
    <w:p w14:paraId="5F0AEDF9" w14:textId="77777777" w:rsidR="00340D4D" w:rsidRDefault="00340D4D" w:rsidP="00FC17F5">
      <w:pPr>
        <w:spacing w:after="200" w:line="480" w:lineRule="auto"/>
        <w:jc w:val="both"/>
        <w:rPr>
          <w:rFonts w:ascii="Arial" w:eastAsia="Arial" w:hAnsi="Arial" w:cs="Arial"/>
          <w:b/>
          <w:bCs/>
          <w:lang w:val="en-US"/>
        </w:rPr>
      </w:pPr>
    </w:p>
    <w:p w14:paraId="2C5F8501" w14:textId="77777777" w:rsidR="00340D4D" w:rsidRDefault="00340D4D" w:rsidP="00FC17F5">
      <w:pPr>
        <w:spacing w:after="200" w:line="480" w:lineRule="auto"/>
        <w:jc w:val="both"/>
        <w:rPr>
          <w:rFonts w:ascii="Arial" w:eastAsia="Arial" w:hAnsi="Arial" w:cs="Arial"/>
          <w:b/>
          <w:bCs/>
          <w:lang w:val="en-US"/>
        </w:rPr>
      </w:pPr>
    </w:p>
    <w:p w14:paraId="4CCFEB50" w14:textId="77777777" w:rsidR="00340D4D" w:rsidRDefault="00340D4D" w:rsidP="00FC17F5">
      <w:pPr>
        <w:spacing w:after="200" w:line="480" w:lineRule="auto"/>
        <w:jc w:val="both"/>
        <w:rPr>
          <w:rFonts w:ascii="Arial" w:eastAsia="Arial" w:hAnsi="Arial" w:cs="Arial"/>
          <w:b/>
          <w:bCs/>
          <w:lang w:val="en-US"/>
        </w:rPr>
      </w:pPr>
    </w:p>
    <w:p w14:paraId="1BA28B36" w14:textId="77777777" w:rsidR="00340D4D" w:rsidRDefault="00340D4D" w:rsidP="00FC17F5">
      <w:pPr>
        <w:spacing w:after="200" w:line="480" w:lineRule="auto"/>
        <w:jc w:val="both"/>
        <w:rPr>
          <w:rFonts w:ascii="Arial" w:eastAsia="Arial" w:hAnsi="Arial" w:cs="Arial"/>
          <w:b/>
          <w:bCs/>
          <w:lang w:val="en-US"/>
        </w:rPr>
      </w:pPr>
    </w:p>
    <w:p w14:paraId="4ADBD7C3" w14:textId="77777777" w:rsidR="00340D4D" w:rsidRDefault="00340D4D" w:rsidP="00FC17F5">
      <w:pPr>
        <w:spacing w:after="200" w:line="480" w:lineRule="auto"/>
        <w:jc w:val="both"/>
        <w:rPr>
          <w:rFonts w:ascii="Arial" w:eastAsia="Arial" w:hAnsi="Arial" w:cs="Arial"/>
          <w:b/>
          <w:bCs/>
          <w:lang w:val="en-US"/>
        </w:rPr>
      </w:pPr>
    </w:p>
    <w:p w14:paraId="64434A7D" w14:textId="77777777" w:rsidR="00340D4D" w:rsidRDefault="00340D4D" w:rsidP="00FC17F5">
      <w:pPr>
        <w:spacing w:after="200" w:line="480" w:lineRule="auto"/>
        <w:jc w:val="both"/>
        <w:rPr>
          <w:rFonts w:ascii="Arial" w:eastAsia="Arial" w:hAnsi="Arial" w:cs="Arial"/>
          <w:b/>
          <w:bCs/>
          <w:lang w:val="en-US"/>
        </w:rPr>
      </w:pPr>
    </w:p>
    <w:p w14:paraId="68D14D13" w14:textId="0A71A95E" w:rsidR="00A13E88" w:rsidRPr="00A13E88" w:rsidRDefault="008A6A51" w:rsidP="00FC17F5">
      <w:pPr>
        <w:spacing w:after="200" w:line="480" w:lineRule="auto"/>
        <w:jc w:val="both"/>
        <w:rPr>
          <w:rFonts w:ascii="Arial" w:eastAsia="Arial" w:hAnsi="Arial" w:cs="Arial"/>
          <w:b/>
          <w:bCs/>
          <w:lang w:val="en-US"/>
        </w:rPr>
      </w:pPr>
      <w:r>
        <w:rPr>
          <w:rFonts w:ascii="Arial" w:eastAsia="Arial" w:hAnsi="Arial" w:cs="Arial"/>
          <w:b/>
          <w:bCs/>
          <w:lang w:val="en-US"/>
        </w:rPr>
        <w:lastRenderedPageBreak/>
        <w:t xml:space="preserve">Background </w:t>
      </w:r>
    </w:p>
    <w:p w14:paraId="47654ADE" w14:textId="267D16ED" w:rsidR="003D26F6" w:rsidRDefault="004025E0" w:rsidP="00FC17F5">
      <w:pPr>
        <w:spacing w:after="200" w:line="480" w:lineRule="auto"/>
        <w:jc w:val="both"/>
        <w:rPr>
          <w:rFonts w:ascii="Arial" w:eastAsia="Arial" w:hAnsi="Arial" w:cs="Arial"/>
          <w:lang w:val="en-US"/>
        </w:rPr>
      </w:pPr>
      <w:r>
        <w:rPr>
          <w:rFonts w:ascii="Arial" w:eastAsia="Arial" w:hAnsi="Arial" w:cs="Arial"/>
          <w:lang w:val="en-US"/>
        </w:rPr>
        <w:t>T</w:t>
      </w:r>
      <w:r w:rsidR="00A13E88" w:rsidRPr="005B6F95">
        <w:rPr>
          <w:rFonts w:ascii="Arial" w:eastAsia="Arial" w:hAnsi="Arial" w:cs="Arial"/>
          <w:lang w:val="en-US"/>
        </w:rPr>
        <w:t xml:space="preserve">he demographic shift </w:t>
      </w:r>
      <w:r>
        <w:rPr>
          <w:rFonts w:ascii="Arial" w:eastAsia="Arial" w:hAnsi="Arial" w:cs="Arial"/>
          <w:lang w:val="en-US"/>
        </w:rPr>
        <w:t xml:space="preserve">towards more people living to older ages </w:t>
      </w:r>
      <w:r w:rsidR="00A13E88" w:rsidRPr="005B6F95">
        <w:rPr>
          <w:rFonts w:ascii="Arial" w:eastAsia="Arial" w:hAnsi="Arial" w:cs="Arial"/>
          <w:lang w:val="en-US"/>
        </w:rPr>
        <w:t>bring</w:t>
      </w:r>
      <w:r>
        <w:rPr>
          <w:rFonts w:ascii="Arial" w:eastAsia="Arial" w:hAnsi="Arial" w:cs="Arial"/>
          <w:lang w:val="en-US"/>
        </w:rPr>
        <w:t>s</w:t>
      </w:r>
      <w:r w:rsidR="00A13E88" w:rsidRPr="005B6F95">
        <w:rPr>
          <w:rFonts w:ascii="Arial" w:eastAsia="Arial" w:hAnsi="Arial" w:cs="Arial"/>
          <w:lang w:val="en-US"/>
        </w:rPr>
        <w:t xml:space="preserve"> numerous opportunities and challenges</w:t>
      </w:r>
      <w:r>
        <w:rPr>
          <w:rFonts w:ascii="Arial" w:eastAsia="Arial" w:hAnsi="Arial" w:cs="Arial"/>
          <w:lang w:val="en-US"/>
        </w:rPr>
        <w:t>;</w:t>
      </w:r>
      <w:r w:rsidR="00A13E88" w:rsidRPr="005B6F95">
        <w:rPr>
          <w:rFonts w:ascii="Arial" w:eastAsia="Arial" w:hAnsi="Arial" w:cs="Arial"/>
          <w:lang w:val="en-US"/>
        </w:rPr>
        <w:t xml:space="preserve"> one of the most pressing issues </w:t>
      </w:r>
      <w:r w:rsidR="009C17E5">
        <w:rPr>
          <w:rFonts w:ascii="Arial" w:eastAsia="Arial" w:hAnsi="Arial" w:cs="Arial"/>
          <w:lang w:val="en-US"/>
        </w:rPr>
        <w:t xml:space="preserve">for planners of healthcare provision </w:t>
      </w:r>
      <w:r w:rsidR="00A13E88" w:rsidRPr="005B6F95">
        <w:rPr>
          <w:rFonts w:ascii="Arial" w:eastAsia="Arial" w:hAnsi="Arial" w:cs="Arial"/>
          <w:lang w:val="en-US"/>
        </w:rPr>
        <w:t xml:space="preserve">is the </w:t>
      </w:r>
      <w:r w:rsidR="00424D50">
        <w:rPr>
          <w:rFonts w:ascii="Arial" w:eastAsia="Arial" w:hAnsi="Arial" w:cs="Arial"/>
          <w:lang w:val="en-US"/>
        </w:rPr>
        <w:t>increased prevalence o</w:t>
      </w:r>
      <w:r w:rsidR="00A13E88" w:rsidRPr="005B6F95">
        <w:rPr>
          <w:rFonts w:ascii="Arial" w:eastAsia="Arial" w:hAnsi="Arial" w:cs="Arial"/>
          <w:lang w:val="en-US"/>
        </w:rPr>
        <w:t>f multimorbidity among older persons</w:t>
      </w:r>
      <w:r w:rsidR="00C54D1F">
        <w:rPr>
          <w:rFonts w:ascii="Arial" w:eastAsia="Arial" w:hAnsi="Arial" w:cs="Arial"/>
          <w:lang w:val="en-US"/>
        </w:rPr>
        <w:t xml:space="preserve"> </w:t>
      </w:r>
      <w:r w:rsidR="00C54D1F">
        <w:rPr>
          <w:rFonts w:ascii="Arial" w:eastAsia="Arial" w:hAnsi="Arial" w:cs="Arial"/>
          <w:lang w:val="en-US"/>
        </w:rPr>
        <w:fldChar w:fldCharType="begin"/>
      </w:r>
      <w:r w:rsidR="00C54D1F">
        <w:rPr>
          <w:rFonts w:ascii="Arial" w:eastAsia="Arial" w:hAnsi="Arial" w:cs="Arial"/>
          <w:lang w:val="en-US"/>
        </w:rPr>
        <w:instrText xml:space="preserve"> ADDIN EN.CITE &lt;EndNote&gt;&lt;Cite&gt;&lt;Author&gt;Thanakiattiwibun&lt;/Author&gt;&lt;Year&gt;2023&lt;/Year&gt;&lt;RecNum&gt;409&lt;/RecNum&gt;&lt;DisplayText&gt;[1]&lt;/DisplayText&gt;&lt;record&gt;&lt;rec-number&gt;409&lt;/rec-number&gt;&lt;foreign-keys&gt;&lt;key app="EN" db-id="xp2sx5aahpsveaea2zq5s2xsef9d0fsxsxex" timestamp="1710149513"&gt;409&lt;/key&gt;&lt;/foreign-keys&gt;&lt;ref-type name="Journal Article"&gt;17&lt;/ref-type&gt;&lt;contributors&gt;&lt;authors&gt;&lt;author&gt;Thanakiattiwibun, Chayanan&lt;/author&gt;&lt;author&gt;Siriussawakul, Arunotai&lt;/author&gt;&lt;author&gt;Virotjarumart, Tithita&lt;/author&gt;&lt;author&gt;Maneeon, Satanun&lt;/author&gt;&lt;author&gt;Tantai, Narisa&lt;/author&gt;&lt;author&gt;Srinonprasert, Varalak&lt;/author&gt;&lt;author&gt;Chaiwat, Onuma&lt;/author&gt;&lt;author&gt;Sriswasdi, Patcharee&lt;/author&gt;&lt;/authors&gt;&lt;/contributors&gt;&lt;titles&gt;&lt;title&gt;Multimorbidity, healthcare utilization, and quality of life for older patients undergoing surgery: A prospective study&lt;/title&gt;&lt;secondary-title&gt;Medicine (Baltimore).&lt;/secondary-title&gt;&lt;/titles&gt;&lt;periodical&gt;&lt;full-title&gt;Medicine (Baltimore).&lt;/full-title&gt;&lt;/periodical&gt;&lt;pages&gt;e33389&lt;/pages&gt;&lt;volume&gt;102&lt;/volume&gt;&lt;number&gt;13&lt;/number&gt;&lt;dates&gt;&lt;year&gt;2023&lt;/year&gt;&lt;/dates&gt;&lt;urls&gt;&lt;/urls&gt;&lt;electronic-resource-num&gt;https://doi.org/10.1097/MD.0000000000033389&lt;/electronic-resource-num&gt;&lt;/record&gt;&lt;/Cite&gt;&lt;/EndNote&gt;</w:instrText>
      </w:r>
      <w:r w:rsidR="00C54D1F">
        <w:rPr>
          <w:rFonts w:ascii="Arial" w:eastAsia="Arial" w:hAnsi="Arial" w:cs="Arial"/>
          <w:lang w:val="en-US"/>
        </w:rPr>
        <w:fldChar w:fldCharType="separate"/>
      </w:r>
      <w:r w:rsidR="00C54D1F">
        <w:rPr>
          <w:rFonts w:ascii="Arial" w:eastAsia="Arial" w:hAnsi="Arial" w:cs="Arial"/>
          <w:noProof/>
          <w:lang w:val="en-US"/>
        </w:rPr>
        <w:t>[1]</w:t>
      </w:r>
      <w:r w:rsidR="00C54D1F">
        <w:rPr>
          <w:rFonts w:ascii="Arial" w:eastAsia="Arial" w:hAnsi="Arial" w:cs="Arial"/>
          <w:lang w:val="en-US"/>
        </w:rPr>
        <w:fldChar w:fldCharType="end"/>
      </w:r>
      <w:r w:rsidR="00A13E88" w:rsidRPr="005B6F95">
        <w:rPr>
          <w:rFonts w:ascii="Arial" w:eastAsia="Arial" w:hAnsi="Arial" w:cs="Arial"/>
          <w:lang w:val="en-US"/>
        </w:rPr>
        <w:t>. Multimorbidity refers to the coexistence of two or more chronic disease conditions within an individual</w:t>
      </w:r>
      <w:r w:rsidR="00C54D1F">
        <w:rPr>
          <w:rFonts w:ascii="Arial" w:eastAsia="Arial" w:hAnsi="Arial" w:cs="Arial"/>
          <w:lang w:val="en-US"/>
        </w:rPr>
        <w:t xml:space="preserve"> </w:t>
      </w:r>
      <w:r w:rsidR="00C54D1F">
        <w:rPr>
          <w:rFonts w:ascii="Arial" w:eastAsia="Arial" w:hAnsi="Arial" w:cs="Arial"/>
          <w:lang w:val="en-US"/>
        </w:rPr>
        <w:fldChar w:fldCharType="begin"/>
      </w:r>
      <w:r w:rsidR="004837DE">
        <w:rPr>
          <w:rFonts w:ascii="Arial" w:eastAsia="Arial" w:hAnsi="Arial" w:cs="Arial"/>
          <w:lang w:val="en-US"/>
        </w:rPr>
        <w:instrText xml:space="preserve"> ADDIN EN.CITE &lt;EndNote&gt;&lt;Cite&gt;&lt;Author&gt;Stirland&lt;/Author&gt;&lt;Year&gt;2020&lt;/Year&gt;&lt;RecNum&gt;410&lt;/RecNum&gt;&lt;DisplayText&gt;[2]&lt;/DisplayText&gt;&lt;record&gt;&lt;rec-number&gt;410&lt;/rec-number&gt;&lt;foreign-keys&gt;&lt;key app="EN" db-id="xp2sx5aahpsveaea2zq5s2xsef9d0fsxsxex" timestamp="1710149733"&gt;410&lt;/key&gt;&lt;/foreign-keys&gt;&lt;ref-type name="Journal Article"&gt;17&lt;/ref-type&gt;&lt;contributors&gt;&lt;authors&gt;&lt;author&gt;Stirland, Lucy E&lt;/author&gt;&lt;author&gt;González-Saavedra, Laura&lt;/author&gt;&lt;author&gt;Mullin, Donncha S&lt;/author&gt;&lt;author&gt;Ritchie, Craig W&lt;/author&gt;&lt;author&gt;Muniz-Terrera, Graciela&lt;/author&gt;&lt;author&gt;Russ, Tom C&lt;/author&gt;&lt;/authors&gt;&lt;/contributors&gt;&lt;titles&gt;&lt;title&gt;Measuring multimorbidity beyond counting diseases: systematic review of community and population studies and guide to index choice&lt;/title&gt;&lt;secondary-title&gt;BMJ.&lt;/secondary-title&gt;&lt;/titles&gt;&lt;periodical&gt;&lt;full-title&gt;BMJ.&lt;/full-title&gt;&lt;/periodical&gt;&lt;pages&gt;m160&lt;/pages&gt;&lt;volume&gt;368&lt;/volume&gt;&lt;dates&gt;&lt;year&gt;2020&lt;/year&gt;&lt;/dates&gt;&lt;urls&gt;&lt;/urls&gt;&lt;electronic-resource-num&gt;https://doi.org/10.1136/bmj.m160&lt;/electronic-resource-num&gt;&lt;/record&gt;&lt;/Cite&gt;&lt;/EndNote&gt;</w:instrText>
      </w:r>
      <w:r w:rsidR="00C54D1F">
        <w:rPr>
          <w:rFonts w:ascii="Arial" w:eastAsia="Arial" w:hAnsi="Arial" w:cs="Arial"/>
          <w:lang w:val="en-US"/>
        </w:rPr>
        <w:fldChar w:fldCharType="separate"/>
      </w:r>
      <w:r w:rsidR="00C54D1F">
        <w:rPr>
          <w:rFonts w:ascii="Arial" w:eastAsia="Arial" w:hAnsi="Arial" w:cs="Arial"/>
          <w:noProof/>
          <w:lang w:val="en-US"/>
        </w:rPr>
        <w:t>[2]</w:t>
      </w:r>
      <w:r w:rsidR="00C54D1F">
        <w:rPr>
          <w:rFonts w:ascii="Arial" w:eastAsia="Arial" w:hAnsi="Arial" w:cs="Arial"/>
          <w:lang w:val="en-US"/>
        </w:rPr>
        <w:fldChar w:fldCharType="end"/>
      </w:r>
      <w:r w:rsidR="00A13E88" w:rsidRPr="005B6F95">
        <w:rPr>
          <w:rFonts w:ascii="Arial" w:eastAsia="Arial" w:hAnsi="Arial" w:cs="Arial"/>
          <w:lang w:val="en-US"/>
        </w:rPr>
        <w:t xml:space="preserve">. </w:t>
      </w:r>
      <w:r w:rsidR="00E64AAE" w:rsidRPr="005B6F95">
        <w:rPr>
          <w:rFonts w:ascii="Arial" w:hAnsi="Arial" w:cs="Arial"/>
        </w:rPr>
        <w:t xml:space="preserve">Prevalence estimates for multimorbidity range from 20 to 30% in “all age” populations and </w:t>
      </w:r>
      <w:r w:rsidR="009C17E5">
        <w:rPr>
          <w:rFonts w:ascii="Arial" w:hAnsi="Arial" w:cs="Arial"/>
        </w:rPr>
        <w:t>may be</w:t>
      </w:r>
      <w:r w:rsidR="00E64AAE" w:rsidRPr="005B6F95">
        <w:rPr>
          <w:rFonts w:ascii="Arial" w:hAnsi="Arial" w:cs="Arial"/>
        </w:rPr>
        <w:t xml:space="preserve"> as high as 55–98% in older populations</w:t>
      </w:r>
      <w:r w:rsidR="00C54D1F">
        <w:rPr>
          <w:rFonts w:ascii="Arial" w:hAnsi="Arial" w:cs="Arial"/>
        </w:rPr>
        <w:t xml:space="preserve"> </w:t>
      </w:r>
      <w:r w:rsidR="00C54D1F">
        <w:rPr>
          <w:rFonts w:ascii="Arial" w:hAnsi="Arial" w:cs="Arial"/>
        </w:rPr>
        <w:fldChar w:fldCharType="begin"/>
      </w:r>
      <w:r w:rsidR="00C54D1F">
        <w:rPr>
          <w:rFonts w:ascii="Arial" w:hAnsi="Arial" w:cs="Arial"/>
        </w:rPr>
        <w:instrText xml:space="preserve"> ADDIN EN.CITE &lt;EndNote&gt;&lt;Cite&gt;&lt;Author&gt;Collerton&lt;/Author&gt;&lt;Year&gt;2016&lt;/Year&gt;&lt;RecNum&gt;411&lt;/RecNum&gt;&lt;DisplayText&gt;[3]&lt;/DisplayText&gt;&lt;record&gt;&lt;rec-number&gt;411&lt;/rec-number&gt;&lt;foreign-keys&gt;&lt;key app="EN" db-id="xp2sx5aahpsveaea2zq5s2xsef9d0fsxsxex" timestamp="1710149897"&gt;411&lt;/key&gt;&lt;/foreign-keys&gt;&lt;ref-type name="Journal Article"&gt;17&lt;/ref-type&gt;&lt;contributors&gt;&lt;authors&gt;&lt;author&gt;Collerton, Joanna&lt;/author&gt;&lt;author&gt;Jagger, Carol&lt;/author&gt;&lt;author&gt;Yadegarfar, Mohammad E&lt;/author&gt;&lt;author&gt;Davies, Karen&lt;/author&gt;&lt;author&gt;Parker, Stuart G&lt;/author&gt;&lt;author&gt;Robinson, Louise&lt;/author&gt;&lt;author&gt;Kirkwood, Thomas BL&lt;/author&gt;&lt;/authors&gt;&lt;/contributors&gt;&lt;titles&gt;&lt;title&gt;Deconstructing Complex Multimorbidity in the Very Old: Findings from the Newcastle 85+ Study&lt;/title&gt;&lt;secondary-title&gt;Biomed Res Int.&lt;/secondary-title&gt;&lt;/titles&gt;&lt;periodical&gt;&lt;full-title&gt;Biomed Res Int.&lt;/full-title&gt;&lt;/periodical&gt;&lt;pages&gt;8745670&lt;/pages&gt;&lt;volume&gt;2016&lt;/volume&gt;&lt;dates&gt;&lt;year&gt;2016&lt;/year&gt;&lt;/dates&gt;&lt;urls&gt;&lt;/urls&gt;&lt;electronic-resource-num&gt;https://doi.org/10.1155/2016/8745670&lt;/electronic-resource-num&gt;&lt;/record&gt;&lt;/Cite&gt;&lt;/EndNote&gt;</w:instrText>
      </w:r>
      <w:r w:rsidR="00C54D1F">
        <w:rPr>
          <w:rFonts w:ascii="Arial" w:hAnsi="Arial" w:cs="Arial"/>
        </w:rPr>
        <w:fldChar w:fldCharType="separate"/>
      </w:r>
      <w:r w:rsidR="00C54D1F">
        <w:rPr>
          <w:rFonts w:ascii="Arial" w:hAnsi="Arial" w:cs="Arial"/>
          <w:noProof/>
        </w:rPr>
        <w:t>[3]</w:t>
      </w:r>
      <w:r w:rsidR="00C54D1F">
        <w:rPr>
          <w:rFonts w:ascii="Arial" w:hAnsi="Arial" w:cs="Arial"/>
        </w:rPr>
        <w:fldChar w:fldCharType="end"/>
      </w:r>
      <w:r w:rsidR="009C17E5">
        <w:rPr>
          <w:rFonts w:ascii="Arial" w:hAnsi="Arial" w:cs="Arial"/>
        </w:rPr>
        <w:t xml:space="preserve">. </w:t>
      </w:r>
      <w:r w:rsidR="00424D50">
        <w:rPr>
          <w:rFonts w:ascii="Arial" w:hAnsi="Arial" w:cs="Arial"/>
        </w:rPr>
        <w:t>Prevalence estimates</w:t>
      </w:r>
      <w:r w:rsidR="00E64AAE" w:rsidRPr="005B6F95">
        <w:rPr>
          <w:rFonts w:ascii="Arial" w:hAnsi="Arial" w:cs="Arial"/>
        </w:rPr>
        <w:t xml:space="preserve"> </w:t>
      </w:r>
      <w:r w:rsidR="005F5132">
        <w:rPr>
          <w:rFonts w:ascii="Arial" w:hAnsi="Arial" w:cs="Arial"/>
        </w:rPr>
        <w:t>are</w:t>
      </w:r>
      <w:r w:rsidR="00E64AAE" w:rsidRPr="005B6F95">
        <w:rPr>
          <w:rFonts w:ascii="Arial" w:hAnsi="Arial" w:cs="Arial"/>
        </w:rPr>
        <w:t xml:space="preserve"> e</w:t>
      </w:r>
      <w:r w:rsidR="00424D50">
        <w:rPr>
          <w:rFonts w:ascii="Arial" w:hAnsi="Arial" w:cs="Arial"/>
        </w:rPr>
        <w:t xml:space="preserve">xpected </w:t>
      </w:r>
      <w:r w:rsidR="00E64AAE" w:rsidRPr="005B6F95">
        <w:rPr>
          <w:rFonts w:ascii="Arial" w:hAnsi="Arial" w:cs="Arial"/>
        </w:rPr>
        <w:t xml:space="preserve">to rise </w:t>
      </w:r>
      <w:r w:rsidR="009C17E5">
        <w:rPr>
          <w:rFonts w:ascii="Arial" w:hAnsi="Arial" w:cs="Arial"/>
        </w:rPr>
        <w:t xml:space="preserve">further </w:t>
      </w:r>
      <w:r w:rsidR="00E64AAE" w:rsidRPr="005B6F95">
        <w:rPr>
          <w:rFonts w:ascii="Arial" w:hAnsi="Arial" w:cs="Arial"/>
        </w:rPr>
        <w:t xml:space="preserve">due to </w:t>
      </w:r>
      <w:r w:rsidR="00FB78F1">
        <w:rPr>
          <w:rFonts w:ascii="Arial" w:hAnsi="Arial" w:cs="Arial"/>
        </w:rPr>
        <w:t>ag</w:t>
      </w:r>
      <w:r w:rsidR="009B5220">
        <w:rPr>
          <w:rFonts w:ascii="Arial" w:hAnsi="Arial" w:cs="Arial"/>
        </w:rPr>
        <w:t>e</w:t>
      </w:r>
      <w:r w:rsidR="00FB78F1">
        <w:rPr>
          <w:rFonts w:ascii="Arial" w:hAnsi="Arial" w:cs="Arial"/>
        </w:rPr>
        <w:t>ing</w:t>
      </w:r>
      <w:r w:rsidR="00E64AAE" w:rsidRPr="005B6F95">
        <w:rPr>
          <w:rFonts w:ascii="Arial" w:hAnsi="Arial" w:cs="Arial"/>
        </w:rPr>
        <w:t xml:space="preserve"> populations, and improvements in medical technology</w:t>
      </w:r>
      <w:r w:rsidR="00C54D1F">
        <w:rPr>
          <w:rFonts w:ascii="Arial" w:hAnsi="Arial" w:cs="Arial"/>
        </w:rPr>
        <w:t xml:space="preserve"> </w:t>
      </w:r>
      <w:r w:rsidR="00C54D1F">
        <w:rPr>
          <w:rFonts w:ascii="Arial" w:hAnsi="Arial" w:cs="Arial"/>
        </w:rPr>
        <w:fldChar w:fldCharType="begin"/>
      </w:r>
      <w:r w:rsidR="00C54D1F">
        <w:rPr>
          <w:rFonts w:ascii="Arial" w:hAnsi="Arial" w:cs="Arial"/>
        </w:rPr>
        <w:instrText xml:space="preserve"> ADDIN EN.CITE &lt;EndNote&gt;&lt;Cite&gt;&lt;Author&gt;Collerton&lt;/Author&gt;&lt;Year&gt;2016&lt;/Year&gt;&lt;RecNum&gt;411&lt;/RecNum&gt;&lt;DisplayText&gt;[3]&lt;/DisplayText&gt;&lt;record&gt;&lt;rec-number&gt;411&lt;/rec-number&gt;&lt;foreign-keys&gt;&lt;key app="EN" db-id="xp2sx5aahpsveaea2zq5s2xsef9d0fsxsxex" timestamp="1710149897"&gt;411&lt;/key&gt;&lt;/foreign-keys&gt;&lt;ref-type name="Journal Article"&gt;17&lt;/ref-type&gt;&lt;contributors&gt;&lt;authors&gt;&lt;author&gt;Collerton, Joanna&lt;/author&gt;&lt;author&gt;Jagger, Carol&lt;/author&gt;&lt;author&gt;Yadegarfar, Mohammad E&lt;/author&gt;&lt;author&gt;Davies, Karen&lt;/author&gt;&lt;author&gt;Parker, Stuart G&lt;/author&gt;&lt;author&gt;Robinson, Louise&lt;/author&gt;&lt;author&gt;Kirkwood, Thomas BL&lt;/author&gt;&lt;/authors&gt;&lt;/contributors&gt;&lt;titles&gt;&lt;title&gt;Deconstructing Complex Multimorbidity in the Very Old: Findings from the Newcastle 85+ Study&lt;/title&gt;&lt;secondary-title&gt;Biomed Res Int.&lt;/secondary-title&gt;&lt;/titles&gt;&lt;periodical&gt;&lt;full-title&gt;Biomed Res Int.&lt;/full-title&gt;&lt;/periodical&gt;&lt;pages&gt;8745670&lt;/pages&gt;&lt;volume&gt;2016&lt;/volume&gt;&lt;dates&gt;&lt;year&gt;2016&lt;/year&gt;&lt;/dates&gt;&lt;urls&gt;&lt;/urls&gt;&lt;electronic-resource-num&gt;https://doi.org/10.1155/2016/8745670&lt;/electronic-resource-num&gt;&lt;/record&gt;&lt;/Cite&gt;&lt;/EndNote&gt;</w:instrText>
      </w:r>
      <w:r w:rsidR="00C54D1F">
        <w:rPr>
          <w:rFonts w:ascii="Arial" w:hAnsi="Arial" w:cs="Arial"/>
        </w:rPr>
        <w:fldChar w:fldCharType="separate"/>
      </w:r>
      <w:r w:rsidR="00C54D1F">
        <w:rPr>
          <w:rFonts w:ascii="Arial" w:hAnsi="Arial" w:cs="Arial"/>
          <w:noProof/>
        </w:rPr>
        <w:t>[3]</w:t>
      </w:r>
      <w:r w:rsidR="00C54D1F">
        <w:rPr>
          <w:rFonts w:ascii="Arial" w:hAnsi="Arial" w:cs="Arial"/>
        </w:rPr>
        <w:fldChar w:fldCharType="end"/>
      </w:r>
      <w:r w:rsidR="00E64AAE" w:rsidRPr="005B6F95">
        <w:rPr>
          <w:rFonts w:ascii="Arial" w:hAnsi="Arial" w:cs="Arial"/>
        </w:rPr>
        <w:t xml:space="preserve">. </w:t>
      </w:r>
    </w:p>
    <w:p w14:paraId="4086B8A1" w14:textId="76185BFA" w:rsidR="00A13E88" w:rsidRDefault="00424D50" w:rsidP="00FC17F5">
      <w:pPr>
        <w:spacing w:after="200" w:line="480" w:lineRule="auto"/>
        <w:jc w:val="both"/>
        <w:rPr>
          <w:rFonts w:ascii="Arial" w:eastAsia="Arial" w:hAnsi="Arial" w:cs="Arial"/>
          <w:lang w:val="en-US"/>
        </w:rPr>
      </w:pPr>
      <w:r>
        <w:rPr>
          <w:rFonts w:ascii="Arial" w:eastAsia="Arial" w:hAnsi="Arial" w:cs="Arial"/>
          <w:lang w:val="en-US"/>
        </w:rPr>
        <w:t>In previous studies</w:t>
      </w:r>
      <w:r w:rsidR="00A13E88" w:rsidRPr="005B6F95">
        <w:rPr>
          <w:rFonts w:ascii="Arial" w:eastAsia="Arial" w:hAnsi="Arial" w:cs="Arial"/>
          <w:lang w:val="en-US"/>
        </w:rPr>
        <w:t xml:space="preserve">, </w:t>
      </w:r>
      <w:r>
        <w:rPr>
          <w:rFonts w:ascii="Arial" w:eastAsia="Arial" w:hAnsi="Arial" w:cs="Arial"/>
          <w:lang w:val="en-US"/>
        </w:rPr>
        <w:t>people</w:t>
      </w:r>
      <w:r w:rsidR="00A13E88" w:rsidRPr="005B6F95">
        <w:rPr>
          <w:rFonts w:ascii="Arial" w:eastAsia="Arial" w:hAnsi="Arial" w:cs="Arial"/>
          <w:lang w:val="en-US"/>
        </w:rPr>
        <w:t xml:space="preserve"> with multimorbidity </w:t>
      </w:r>
      <w:r>
        <w:rPr>
          <w:rFonts w:ascii="Arial" w:eastAsia="Arial" w:hAnsi="Arial" w:cs="Arial"/>
          <w:lang w:val="en-US"/>
        </w:rPr>
        <w:t xml:space="preserve">have been shown to have </w:t>
      </w:r>
      <w:r w:rsidR="00A13E88" w:rsidRPr="005B6F95">
        <w:rPr>
          <w:rFonts w:ascii="Arial" w:eastAsia="Arial" w:hAnsi="Arial" w:cs="Arial"/>
          <w:lang w:val="en-US"/>
        </w:rPr>
        <w:t xml:space="preserve">poorer health outcomes, including </w:t>
      </w:r>
      <w:r w:rsidR="001A6F61">
        <w:rPr>
          <w:rFonts w:ascii="Arial" w:hAnsi="Arial" w:cs="Arial"/>
        </w:rPr>
        <w:t>increased hospital admissions</w:t>
      </w:r>
      <w:r w:rsidR="00C54D1F">
        <w:rPr>
          <w:rFonts w:ascii="Arial" w:hAnsi="Arial" w:cs="Arial"/>
        </w:rPr>
        <w:t xml:space="preserve"> </w:t>
      </w:r>
      <w:r w:rsidR="00C54D1F">
        <w:rPr>
          <w:rFonts w:ascii="Arial" w:hAnsi="Arial" w:cs="Arial"/>
        </w:rPr>
        <w:fldChar w:fldCharType="begin">
          <w:fldData xml:space="preserve">PEVuZE5vdGU+PENpdGU+PEF1dGhvcj5NY1BhcmxhbmQ8L0F1dGhvcj48WWVhcj4yMDIyPC9ZZWFy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</w:fldData>
        </w:fldChar>
      </w:r>
      <w:r w:rsidR="00C54D1F">
        <w:rPr>
          <w:rFonts w:ascii="Arial" w:hAnsi="Arial" w:cs="Arial"/>
        </w:rPr>
        <w:instrText xml:space="preserve"> ADDIN EN.CITE </w:instrText>
      </w:r>
      <w:r w:rsidR="00C54D1F">
        <w:rPr>
          <w:rFonts w:ascii="Arial" w:hAnsi="Arial" w:cs="Arial"/>
        </w:rPr>
        <w:fldChar w:fldCharType="begin">
          <w:fldData xml:space="preserve">PEVuZE5vdGU+PENpdGU+PEF1dGhvcj5NY1BhcmxhbmQ8L0F1dGhvcj48WWVhcj4yMDIyPC9ZZWFy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</w:fldData>
        </w:fldChar>
      </w:r>
      <w:r w:rsidR="00C54D1F">
        <w:rPr>
          <w:rFonts w:ascii="Arial" w:hAnsi="Arial" w:cs="Arial"/>
        </w:rPr>
        <w:instrText xml:space="preserve"> ADDIN EN.CITE.DATA </w:instrText>
      </w:r>
      <w:r w:rsidR="00C54D1F">
        <w:rPr>
          <w:rFonts w:ascii="Arial" w:hAnsi="Arial" w:cs="Arial"/>
        </w:rPr>
      </w:r>
      <w:r w:rsidR="00C54D1F">
        <w:rPr>
          <w:rFonts w:ascii="Arial" w:hAnsi="Arial" w:cs="Arial"/>
        </w:rPr>
        <w:fldChar w:fldCharType="end"/>
      </w:r>
      <w:r w:rsidR="00C54D1F">
        <w:rPr>
          <w:rFonts w:ascii="Arial" w:hAnsi="Arial" w:cs="Arial"/>
        </w:rPr>
      </w:r>
      <w:r w:rsidR="00C54D1F">
        <w:rPr>
          <w:rFonts w:ascii="Arial" w:hAnsi="Arial" w:cs="Arial"/>
        </w:rPr>
        <w:fldChar w:fldCharType="separate"/>
      </w:r>
      <w:r w:rsidR="00C54D1F">
        <w:rPr>
          <w:rFonts w:ascii="Arial" w:hAnsi="Arial" w:cs="Arial"/>
          <w:noProof/>
        </w:rPr>
        <w:t>[4-8]</w:t>
      </w:r>
      <w:r w:rsidR="00C54D1F">
        <w:rPr>
          <w:rFonts w:ascii="Arial" w:hAnsi="Arial" w:cs="Arial"/>
        </w:rPr>
        <w:fldChar w:fldCharType="end"/>
      </w:r>
      <w:r>
        <w:rPr>
          <w:rFonts w:ascii="Arial" w:hAnsi="Arial" w:cs="Arial"/>
        </w:rPr>
        <w:t>.</w:t>
      </w:r>
      <w:r w:rsidR="004025E0">
        <w:rPr>
          <w:rFonts w:ascii="Arial" w:hAnsi="Arial" w:cs="Arial"/>
        </w:rPr>
        <w:t xml:space="preserve"> </w:t>
      </w:r>
      <w:r w:rsidR="0005568D" w:rsidRPr="0005568D">
        <w:rPr>
          <w:rFonts w:ascii="Arial" w:eastAsia="Arial" w:hAnsi="Arial" w:cs="Arial"/>
          <w:lang w:val="en-US"/>
        </w:rPr>
        <w:t>The total expenditure on healthcare in high-income countries is dominated by the needs of those with multiple long-term conditions</w:t>
      </w:r>
      <w:r w:rsidR="00C54D1F">
        <w:rPr>
          <w:rFonts w:ascii="Arial" w:eastAsia="Arial" w:hAnsi="Arial" w:cs="Arial"/>
          <w:lang w:val="en-US"/>
        </w:rPr>
        <w:t xml:space="preserve"> </w:t>
      </w:r>
      <w:r w:rsidR="00C54D1F">
        <w:rPr>
          <w:rFonts w:ascii="Arial" w:eastAsia="Arial" w:hAnsi="Arial" w:cs="Arial"/>
          <w:lang w:val="en-US"/>
        </w:rPr>
        <w:fldChar w:fldCharType="begin">
          <w:fldData xml:space="preserve">PEVuZE5vdGU+PENpdGU+PEF1dGhvcj5QYWxsYWRpbm88L0F1dGhvcj48WWVhcj4yMDE5PC9ZZWFy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</w:fldData>
        </w:fldChar>
      </w:r>
      <w:r w:rsidR="00C54D1F">
        <w:rPr>
          <w:rFonts w:ascii="Arial" w:eastAsia="Arial" w:hAnsi="Arial" w:cs="Arial"/>
          <w:lang w:val="en-US"/>
        </w:rPr>
        <w:instrText xml:space="preserve"> ADDIN EN.CITE </w:instrText>
      </w:r>
      <w:r w:rsidR="00C54D1F">
        <w:rPr>
          <w:rFonts w:ascii="Arial" w:eastAsia="Arial" w:hAnsi="Arial" w:cs="Arial"/>
          <w:lang w:val="en-US"/>
        </w:rPr>
        <w:fldChar w:fldCharType="begin">
          <w:fldData xml:space="preserve">PEVuZE5vdGU+PENpdGU+PEF1dGhvcj5QYWxsYWRpbm88L0F1dGhvcj48WWVhcj4yMDE5PC9ZZWFy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</w:fldData>
        </w:fldChar>
      </w:r>
      <w:r w:rsidR="00C54D1F">
        <w:rPr>
          <w:rFonts w:ascii="Arial" w:eastAsia="Arial" w:hAnsi="Arial" w:cs="Arial"/>
          <w:lang w:val="en-US"/>
        </w:rPr>
        <w:instrText xml:space="preserve"> ADDIN EN.CITE.DATA </w:instrText>
      </w:r>
      <w:r w:rsidR="00C54D1F">
        <w:rPr>
          <w:rFonts w:ascii="Arial" w:eastAsia="Arial" w:hAnsi="Arial" w:cs="Arial"/>
          <w:lang w:val="en-US"/>
        </w:rPr>
      </w:r>
      <w:r w:rsidR="00C54D1F">
        <w:rPr>
          <w:rFonts w:ascii="Arial" w:eastAsia="Arial" w:hAnsi="Arial" w:cs="Arial"/>
          <w:lang w:val="en-US"/>
        </w:rPr>
        <w:fldChar w:fldCharType="end"/>
      </w:r>
      <w:r w:rsidR="00C54D1F">
        <w:rPr>
          <w:rFonts w:ascii="Arial" w:eastAsia="Arial" w:hAnsi="Arial" w:cs="Arial"/>
          <w:lang w:val="en-US"/>
        </w:rPr>
      </w:r>
      <w:r w:rsidR="00C54D1F">
        <w:rPr>
          <w:rFonts w:ascii="Arial" w:eastAsia="Arial" w:hAnsi="Arial" w:cs="Arial"/>
          <w:lang w:val="en-US"/>
        </w:rPr>
        <w:fldChar w:fldCharType="separate"/>
      </w:r>
      <w:r w:rsidR="00C54D1F">
        <w:rPr>
          <w:rFonts w:ascii="Arial" w:eastAsia="Arial" w:hAnsi="Arial" w:cs="Arial"/>
          <w:noProof/>
          <w:lang w:val="en-US"/>
        </w:rPr>
        <w:t>[6, 9, 10]</w:t>
      </w:r>
      <w:r w:rsidR="00C54D1F">
        <w:rPr>
          <w:rFonts w:ascii="Arial" w:eastAsia="Arial" w:hAnsi="Arial" w:cs="Arial"/>
          <w:lang w:val="en-US"/>
        </w:rPr>
        <w:fldChar w:fldCharType="end"/>
      </w:r>
      <w:r w:rsidR="007D2EEF">
        <w:rPr>
          <w:rFonts w:ascii="Arial" w:eastAsia="Arial" w:hAnsi="Arial" w:cs="Arial"/>
          <w:lang w:val="en-US"/>
        </w:rPr>
        <w:t>.</w:t>
      </w:r>
      <w:r w:rsidR="00E64AAE" w:rsidRPr="005B6F95">
        <w:rPr>
          <w:rFonts w:ascii="Arial" w:eastAsia="Arial" w:hAnsi="Arial" w:cs="Arial"/>
          <w:lang w:val="en-US"/>
        </w:rPr>
        <w:t xml:space="preserve"> </w:t>
      </w:r>
      <w:bookmarkStart w:id="7" w:name="_Hlk171404625"/>
      <w:r w:rsidR="004025E0">
        <w:rPr>
          <w:rFonts w:ascii="Arial" w:eastAsia="Arial" w:hAnsi="Arial" w:cs="Arial"/>
          <w:lang w:val="en-US"/>
        </w:rPr>
        <w:t>While</w:t>
      </w:r>
      <w:r w:rsidR="00A13E88" w:rsidRPr="005B6F95">
        <w:rPr>
          <w:rFonts w:ascii="Arial" w:eastAsia="Arial" w:hAnsi="Arial" w:cs="Arial"/>
          <w:lang w:val="en-US"/>
        </w:rPr>
        <w:t xml:space="preserve"> multimorbidity is not restricted to </w:t>
      </w:r>
      <w:r w:rsidR="004025E0">
        <w:rPr>
          <w:rFonts w:ascii="Arial" w:eastAsia="Arial" w:hAnsi="Arial" w:cs="Arial"/>
          <w:lang w:val="en-US"/>
        </w:rPr>
        <w:t>older adults</w:t>
      </w:r>
      <w:r w:rsidR="00A13E88" w:rsidRPr="005B6F95">
        <w:rPr>
          <w:rFonts w:ascii="Arial" w:eastAsia="Arial" w:hAnsi="Arial" w:cs="Arial"/>
          <w:lang w:val="en-US"/>
        </w:rPr>
        <w:t xml:space="preserve">, </w:t>
      </w:r>
      <w:r w:rsidR="007E4C7D" w:rsidRPr="007E4C7D">
        <w:rPr>
          <w:rFonts w:ascii="Arial" w:eastAsia="Arial" w:hAnsi="Arial" w:cs="Arial"/>
          <w:lang w:val="en-US"/>
        </w:rPr>
        <w:t>with some studies even finding higher absolute numbers of individuals with multimorbidity in younger age groups</w:t>
      </w:r>
      <w:r w:rsidR="002D5ECA">
        <w:rPr>
          <w:rFonts w:ascii="Arial" w:eastAsia="Arial" w:hAnsi="Arial" w:cs="Arial"/>
          <w:lang w:val="en-US"/>
        </w:rPr>
        <w:t xml:space="preserve"> </w:t>
      </w:r>
      <w:r w:rsidR="002D5ECA">
        <w:rPr>
          <w:rFonts w:ascii="Arial" w:eastAsia="Arial" w:hAnsi="Arial" w:cs="Arial"/>
          <w:lang w:val="en-US"/>
        </w:rPr>
        <w:fldChar w:fldCharType="begin"/>
      </w:r>
      <w:r w:rsidR="002D5ECA">
        <w:rPr>
          <w:rFonts w:ascii="Arial" w:eastAsia="Arial" w:hAnsi="Arial" w:cs="Arial"/>
          <w:lang w:val="en-US"/>
        </w:rPr>
        <w:instrText xml:space="preserve"> ADDIN EN.CITE &lt;EndNote&gt;&lt;Cite&gt;&lt;Author&gt;Barnett&lt;/Author&gt;&lt;Year&gt;2012&lt;/Year&gt;&lt;RecNum&gt;419&lt;/RecNum&gt;&lt;DisplayText&gt;[11]&lt;/DisplayText&gt;&lt;record&gt;&lt;rec-number&gt;419&lt;/rec-number&gt;&lt;foreign-keys&gt;&lt;key app="EN" db-id="xp2sx5aahpsveaea2zq5s2xsef9d0fsxsxex" timestamp="1710151084"&gt;419&lt;/key&gt;&lt;/foreign-keys&gt;&lt;ref-type name="Journal Article"&gt;17&lt;/ref-type&gt;&lt;contributors&gt;&lt;authors&gt;&lt;author&gt;Barnett, Karen&lt;/author&gt;&lt;author&gt;Mercer, Stewart W&lt;/author&gt;&lt;author&gt;Norbury, Michael&lt;/author&gt;&lt;author&gt;Watt, Graham&lt;/author&gt;&lt;author&gt;Wyke, Sally&lt;/author&gt;&lt;author&gt;Guthrie, Bruce&lt;/author&gt;&lt;/authors&gt;&lt;/contributors&gt;&lt;titles&gt;&lt;title&gt;Epidemiology of multimorbidity and implications for health care, research, and medical education: a cross-sectional study&lt;/title&gt;&lt;secondary-title&gt;Lancet.&lt;/secondary-title&gt;&lt;/titles&gt;&lt;periodical&gt;&lt;full-title&gt;Lancet.&lt;/full-title&gt;&lt;/periodical&gt;&lt;pages&gt;37-43&lt;/pages&gt;&lt;volume&gt;380&lt;/volume&gt;&lt;number&gt;9836&lt;/number&gt;&lt;dates&gt;&lt;year&gt;2012&lt;/year&gt;&lt;/dates&gt;&lt;urls&gt;&lt;/urls&gt;&lt;electronic-resource-num&gt;https://doi.org/10.1016/S0140-6736(12)60240-2&lt;/electronic-resource-num&gt;&lt;/record&gt;&lt;/Cite&gt;&lt;/EndNote&gt;</w:instrText>
      </w:r>
      <w:r w:rsidR="002D5ECA">
        <w:rPr>
          <w:rFonts w:ascii="Arial" w:eastAsia="Arial" w:hAnsi="Arial" w:cs="Arial"/>
          <w:lang w:val="en-US"/>
        </w:rPr>
        <w:fldChar w:fldCharType="separate"/>
      </w:r>
      <w:r w:rsidR="002D5ECA">
        <w:rPr>
          <w:rFonts w:ascii="Arial" w:eastAsia="Arial" w:hAnsi="Arial" w:cs="Arial"/>
          <w:noProof/>
          <w:lang w:val="en-US"/>
        </w:rPr>
        <w:t>[11]</w:t>
      </w:r>
      <w:r w:rsidR="002D5ECA">
        <w:rPr>
          <w:rFonts w:ascii="Arial" w:eastAsia="Arial" w:hAnsi="Arial" w:cs="Arial"/>
          <w:lang w:val="en-US"/>
        </w:rPr>
        <w:fldChar w:fldCharType="end"/>
      </w:r>
      <w:r w:rsidR="007E4C7D" w:rsidRPr="007E4C7D">
        <w:rPr>
          <w:rFonts w:ascii="Arial" w:eastAsia="Arial" w:hAnsi="Arial" w:cs="Arial"/>
          <w:lang w:val="en-US"/>
        </w:rPr>
        <w:t xml:space="preserve">, </w:t>
      </w:r>
      <w:r w:rsidR="00A13E88" w:rsidRPr="005B6F95">
        <w:rPr>
          <w:rFonts w:ascii="Arial" w:eastAsia="Arial" w:hAnsi="Arial" w:cs="Arial"/>
          <w:lang w:val="en-US"/>
        </w:rPr>
        <w:t>it is more prevalent among older people</w:t>
      </w:r>
      <w:r w:rsidR="00C54D1F">
        <w:rPr>
          <w:rFonts w:ascii="Arial" w:eastAsia="Arial" w:hAnsi="Arial" w:cs="Arial"/>
          <w:lang w:val="en-US"/>
        </w:rPr>
        <w:t xml:space="preserve"> </w:t>
      </w:r>
      <w:r w:rsidR="00C54D1F">
        <w:rPr>
          <w:rFonts w:ascii="Arial" w:eastAsia="Arial" w:hAnsi="Arial" w:cs="Arial"/>
          <w:lang w:val="en-US"/>
        </w:rPr>
        <w:fldChar w:fldCharType="begin"/>
      </w:r>
      <w:r w:rsidR="00C54D1F">
        <w:rPr>
          <w:rFonts w:ascii="Arial" w:eastAsia="Arial" w:hAnsi="Arial" w:cs="Arial"/>
          <w:lang w:val="en-US"/>
        </w:rPr>
        <w:instrText xml:space="preserve"> ADDIN EN.CITE &lt;EndNote&gt;&lt;Cite&gt;&lt;Author&gt;Violan&lt;/Author&gt;&lt;Year&gt;2014&lt;/Year&gt;&lt;RecNum&gt;415&lt;/RecNum&gt;&lt;DisplayText&gt;[7]&lt;/DisplayText&gt;&lt;record&gt;&lt;rec-number&gt;415&lt;/rec-number&gt;&lt;foreign-keys&gt;&lt;key app="EN" db-id="xp2sx5aahpsveaea2zq5s2xsef9d0fsxsxex" timestamp="1710150508"&gt;415&lt;/key&gt;&lt;/foreign-keys&gt;&lt;ref-type name="Journal Article"&gt;17&lt;/ref-type&gt;&lt;contributors&gt;&lt;authors&gt;&lt;author&gt;Violan, Concepció&lt;/author&gt;&lt;author&gt;Foguet-Boreu, Quintí&lt;/author&gt;&lt;author&gt;Flores-Mateo, Gemma&lt;/author&gt;&lt;author&gt;Salisbury, Chris&lt;/author&gt;&lt;author&gt;Blom, Jeanet&lt;/author&gt;&lt;author&gt;Freitag, Michael&lt;/author&gt;&lt;author&gt;Glynn, Liam&lt;/author&gt;&lt;author&gt;Muth, Christiane&lt;/author&gt;&lt;author&gt;Valderas, Jose M&lt;/author&gt;&lt;/authors&gt;&lt;/contributors&gt;&lt;titles&gt;&lt;title&gt;Prevalence, determinants and patterns of multimorbidity in primary care: a systematic review of observational studies&lt;/title&gt;&lt;secondary-title&gt;PLoS One.&lt;/secondary-title&gt;&lt;/titles&gt;&lt;periodical&gt;&lt;full-title&gt;PLoS One.&lt;/full-title&gt;&lt;/periodical&gt;&lt;pages&gt;e102149&lt;/pages&gt;&lt;volume&gt;9&lt;/volume&gt;&lt;number&gt;7&lt;/number&gt;&lt;dates&gt;&lt;year&gt;2014&lt;/year&gt;&lt;/dates&gt;&lt;urls&gt;&lt;/urls&gt;&lt;electronic-resource-num&gt;https://doi.org/10.1371/journal.pone.0102149&lt;/electronic-resource-num&gt;&lt;/record&gt;&lt;/Cite&gt;&lt;/EndNote&gt;</w:instrText>
      </w:r>
      <w:r w:rsidR="00C54D1F">
        <w:rPr>
          <w:rFonts w:ascii="Arial" w:eastAsia="Arial" w:hAnsi="Arial" w:cs="Arial"/>
          <w:lang w:val="en-US"/>
        </w:rPr>
        <w:fldChar w:fldCharType="separate"/>
      </w:r>
      <w:r w:rsidR="00C54D1F">
        <w:rPr>
          <w:rFonts w:ascii="Arial" w:eastAsia="Arial" w:hAnsi="Arial" w:cs="Arial"/>
          <w:noProof/>
          <w:lang w:val="en-US"/>
        </w:rPr>
        <w:t>[7]</w:t>
      </w:r>
      <w:r w:rsidR="00C54D1F">
        <w:rPr>
          <w:rFonts w:ascii="Arial" w:eastAsia="Arial" w:hAnsi="Arial" w:cs="Arial"/>
          <w:lang w:val="en-US"/>
        </w:rPr>
        <w:fldChar w:fldCharType="end"/>
      </w:r>
      <w:r w:rsidR="009B5220">
        <w:rPr>
          <w:rFonts w:ascii="Arial" w:eastAsia="Arial" w:hAnsi="Arial" w:cs="Arial"/>
          <w:lang w:val="en-US"/>
        </w:rPr>
        <w:t>.</w:t>
      </w:r>
      <w:bookmarkEnd w:id="7"/>
      <w:r w:rsidR="00A13E88" w:rsidRPr="005B6F95">
        <w:rPr>
          <w:rFonts w:ascii="Arial" w:eastAsia="Arial" w:hAnsi="Arial" w:cs="Arial"/>
          <w:lang w:val="en-US"/>
        </w:rPr>
        <w:t xml:space="preserve"> Therefore, the healthcare demands and costs associated with multimorbidity will continue to rise as populations age</w:t>
      </w:r>
      <w:r w:rsidR="00C54D1F">
        <w:rPr>
          <w:rFonts w:ascii="Arial" w:eastAsia="Arial" w:hAnsi="Arial" w:cs="Arial"/>
          <w:lang w:val="en-US"/>
        </w:rPr>
        <w:t xml:space="preserve"> </w:t>
      </w:r>
      <w:r w:rsidR="00C54D1F">
        <w:rPr>
          <w:rFonts w:ascii="Arial" w:eastAsia="Arial" w:hAnsi="Arial" w:cs="Arial"/>
          <w:lang w:val="en-US"/>
        </w:rPr>
        <w:fldChar w:fldCharType="begin"/>
      </w:r>
      <w:r w:rsidR="002D5ECA">
        <w:rPr>
          <w:rFonts w:ascii="Arial" w:eastAsia="Arial" w:hAnsi="Arial" w:cs="Arial"/>
          <w:lang w:val="en-US"/>
        </w:rPr>
        <w:instrText xml:space="preserve"> ADDIN EN.CITE &lt;EndNote&gt;&lt;Cite&gt;&lt;Author&gt;Barnett&lt;/Author&gt;&lt;Year&gt;2012&lt;/Year&gt;&lt;RecNum&gt;419&lt;/RecNum&gt;&lt;DisplayText&gt;[11]&lt;/DisplayText&gt;&lt;record&gt;&lt;rec-number&gt;419&lt;/rec-number&gt;&lt;foreign-keys&gt;&lt;key app="EN" db-id="xp2sx5aahpsveaea2zq5s2xsef9d0fsxsxex" timestamp="1710151084"&gt;419&lt;/key&gt;&lt;/foreign-keys&gt;&lt;ref-type name="Journal Article"&gt;17&lt;/ref-type&gt;&lt;contributors&gt;&lt;authors&gt;&lt;author&gt;Barnett, Karen&lt;/author&gt;&lt;author&gt;Mercer, Stewart W&lt;/author&gt;&lt;author&gt;Norbury, Michael&lt;/author&gt;&lt;author&gt;Watt, Graham&lt;/author&gt;&lt;author&gt;Wyke, Sally&lt;/author&gt;&lt;author&gt;Guthrie, Bruce&lt;/author&gt;&lt;/authors&gt;&lt;/contributors&gt;&lt;titles&gt;&lt;title&gt;Epidemiology of multimorbidity and implications for health care, research, and medical education: a cross-sectional study&lt;/title&gt;&lt;secondary-title&gt;Lancet.&lt;/secondary-title&gt;&lt;/titles&gt;&lt;periodical&gt;&lt;full-title&gt;Lancet.&lt;/full-title&gt;&lt;/periodical&gt;&lt;pages&gt;37-43&lt;/pages&gt;&lt;volume&gt;380&lt;/volume&gt;&lt;number&gt;9836&lt;/number&gt;&lt;dates&gt;&lt;year&gt;2012&lt;/year&gt;&lt;/dates&gt;&lt;urls&gt;&lt;/urls&gt;&lt;electronic-resource-num&gt;https://doi.org/10.1016/S0140-6736(12)60240-2&lt;/electronic-resource-num&gt;&lt;/record&gt;&lt;/Cite&gt;&lt;/EndNote&gt;</w:instrText>
      </w:r>
      <w:r w:rsidR="00C54D1F">
        <w:rPr>
          <w:rFonts w:ascii="Arial" w:eastAsia="Arial" w:hAnsi="Arial" w:cs="Arial"/>
          <w:lang w:val="en-US"/>
        </w:rPr>
        <w:fldChar w:fldCharType="separate"/>
      </w:r>
      <w:r w:rsidR="002D5ECA">
        <w:rPr>
          <w:rFonts w:ascii="Arial" w:eastAsia="Arial" w:hAnsi="Arial" w:cs="Arial"/>
          <w:noProof/>
          <w:lang w:val="en-US"/>
        </w:rPr>
        <w:t>[11]</w:t>
      </w:r>
      <w:r w:rsidR="00C54D1F">
        <w:rPr>
          <w:rFonts w:ascii="Arial" w:eastAsia="Arial" w:hAnsi="Arial" w:cs="Arial"/>
          <w:lang w:val="en-US"/>
        </w:rPr>
        <w:fldChar w:fldCharType="end"/>
      </w:r>
      <w:r w:rsidR="00A13E88" w:rsidRPr="005B6F95">
        <w:rPr>
          <w:rFonts w:ascii="Arial" w:eastAsia="Arial" w:hAnsi="Arial" w:cs="Arial"/>
          <w:lang w:val="en-US"/>
        </w:rPr>
        <w:t xml:space="preserve">. </w:t>
      </w:r>
    </w:p>
    <w:p w14:paraId="54E554C0" w14:textId="0FFC76C0" w:rsidR="002C4704" w:rsidRDefault="00B3741A" w:rsidP="00FC17F5">
      <w:pPr>
        <w:spacing w:after="200" w:line="480" w:lineRule="auto"/>
        <w:jc w:val="both"/>
        <w:rPr>
          <w:rFonts w:ascii="Arial" w:eastAsia="Arial" w:hAnsi="Arial" w:cs="Arial"/>
        </w:rPr>
      </w:pPr>
      <w:r>
        <w:rPr>
          <w:rFonts w:ascii="Arial" w:eastAsia="Arial" w:hAnsi="Arial" w:cs="Arial"/>
        </w:rPr>
        <w:t>Hence a</w:t>
      </w:r>
      <w:r w:rsidR="00B8456D" w:rsidRPr="00B8456D">
        <w:rPr>
          <w:rFonts w:ascii="Arial" w:eastAsia="Arial" w:hAnsi="Arial" w:cs="Arial"/>
        </w:rPr>
        <w:t>ddressing multimorbidity during midlife</w:t>
      </w:r>
      <w:r w:rsidR="00B8456D">
        <w:rPr>
          <w:rFonts w:ascii="Arial" w:eastAsia="Arial" w:hAnsi="Arial" w:cs="Arial"/>
        </w:rPr>
        <w:t xml:space="preserve"> may reduce the </w:t>
      </w:r>
      <w:r w:rsidR="00B8456D" w:rsidRPr="00B8456D">
        <w:rPr>
          <w:rFonts w:ascii="Arial" w:eastAsia="Arial" w:hAnsi="Arial" w:cs="Arial"/>
        </w:rPr>
        <w:t>burden on healthcare systems and improve the overall quality of life for individuals as they age</w:t>
      </w:r>
      <w:r w:rsidR="00C54D1F">
        <w:rPr>
          <w:rFonts w:ascii="Arial" w:eastAsia="Arial" w:hAnsi="Arial" w:cs="Arial"/>
        </w:rPr>
        <w:t xml:space="preserve"> </w:t>
      </w:r>
      <w:r w:rsidR="00C54D1F">
        <w:rPr>
          <w:rFonts w:ascii="Arial" w:eastAsia="Arial" w:hAnsi="Arial" w:cs="Arial"/>
        </w:rPr>
        <w:fldChar w:fldCharType="begin">
          <w:fldData xml:space="preserve">PEVuZE5vdGU+PENpdGU+PEF1dGhvcj5MYWk8L0F1dGhvcj48WWVhcj4yMDE5PC9ZZWFyPjxSZWNO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==
</w:fldData>
        </w:fldChar>
      </w:r>
      <w:r w:rsidR="002D5ECA">
        <w:rPr>
          <w:rFonts w:ascii="Arial" w:eastAsia="Arial" w:hAnsi="Arial" w:cs="Arial"/>
        </w:rPr>
        <w:instrText xml:space="preserve"> ADDIN EN.CITE </w:instrText>
      </w:r>
      <w:r w:rsidR="002D5ECA">
        <w:rPr>
          <w:rFonts w:ascii="Arial" w:eastAsia="Arial" w:hAnsi="Arial" w:cs="Arial"/>
        </w:rPr>
        <w:fldChar w:fldCharType="begin">
          <w:fldData xml:space="preserve">PEVuZE5vdGU+PENpdGU+PEF1dGhvcj5MYWk8L0F1dGhvcj48WWVhcj4yMDE5PC9ZZWFyPjxSZWNO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==
</w:fldData>
        </w:fldChar>
      </w:r>
      <w:r w:rsidR="002D5ECA">
        <w:rPr>
          <w:rFonts w:ascii="Arial" w:eastAsia="Arial" w:hAnsi="Arial" w:cs="Arial"/>
        </w:rPr>
        <w:instrText xml:space="preserve"> ADDIN EN.CITE.DATA </w:instrText>
      </w:r>
      <w:r w:rsidR="002D5ECA">
        <w:rPr>
          <w:rFonts w:ascii="Arial" w:eastAsia="Arial" w:hAnsi="Arial" w:cs="Arial"/>
        </w:rPr>
      </w:r>
      <w:r w:rsidR="002D5ECA">
        <w:rPr>
          <w:rFonts w:ascii="Arial" w:eastAsia="Arial" w:hAnsi="Arial" w:cs="Arial"/>
        </w:rPr>
        <w:fldChar w:fldCharType="end"/>
      </w:r>
      <w:r w:rsidR="00C54D1F">
        <w:rPr>
          <w:rFonts w:ascii="Arial" w:eastAsia="Arial" w:hAnsi="Arial" w:cs="Arial"/>
        </w:rPr>
      </w:r>
      <w:r w:rsidR="00C54D1F">
        <w:rPr>
          <w:rFonts w:ascii="Arial" w:eastAsia="Arial" w:hAnsi="Arial" w:cs="Arial"/>
        </w:rPr>
        <w:fldChar w:fldCharType="separate"/>
      </w:r>
      <w:r w:rsidR="002D5ECA">
        <w:rPr>
          <w:rFonts w:ascii="Arial" w:eastAsia="Arial" w:hAnsi="Arial" w:cs="Arial"/>
          <w:noProof/>
        </w:rPr>
        <w:t>[12, 13]</w:t>
      </w:r>
      <w:r w:rsidR="00C54D1F">
        <w:rPr>
          <w:rFonts w:ascii="Arial" w:eastAsia="Arial" w:hAnsi="Arial" w:cs="Arial"/>
        </w:rPr>
        <w:fldChar w:fldCharType="end"/>
      </w:r>
      <w:r w:rsidR="00B8456D" w:rsidRPr="00B8456D">
        <w:rPr>
          <w:rFonts w:ascii="Arial" w:eastAsia="Arial" w:hAnsi="Arial" w:cs="Arial"/>
        </w:rPr>
        <w:t>.</w:t>
      </w:r>
      <w:r w:rsidR="00C53DE4">
        <w:rPr>
          <w:rFonts w:ascii="Arial" w:eastAsia="Arial" w:hAnsi="Arial" w:cs="Arial"/>
        </w:rPr>
        <w:t xml:space="preserve"> </w:t>
      </w:r>
      <w:r w:rsidR="00EC2ABB">
        <w:rPr>
          <w:rFonts w:ascii="Arial" w:eastAsia="Arial" w:hAnsi="Arial" w:cs="Arial"/>
        </w:rPr>
        <w:t>Furthermore,</w:t>
      </w:r>
      <w:r w:rsidR="00424D50">
        <w:rPr>
          <w:rFonts w:ascii="Arial" w:eastAsia="Arial" w:hAnsi="Arial" w:cs="Arial"/>
        </w:rPr>
        <w:t xml:space="preserve"> u</w:t>
      </w:r>
      <w:r w:rsidR="009C17E5">
        <w:rPr>
          <w:rFonts w:ascii="Arial" w:eastAsia="Arial" w:hAnsi="Arial" w:cs="Arial"/>
        </w:rPr>
        <w:t>nderstanding relationships between multimorbidity and hospital admissions might facilitate a research agenda into the benefits of interventions at a personal and societal level</w:t>
      </w:r>
      <w:r w:rsidR="00C53DE4" w:rsidRPr="00C53DE4">
        <w:rPr>
          <w:rFonts w:ascii="Arial" w:eastAsia="Arial" w:hAnsi="Arial" w:cs="Arial"/>
        </w:rPr>
        <w:t>.</w:t>
      </w:r>
      <w:r w:rsidR="00EC2ABB">
        <w:rPr>
          <w:rFonts w:ascii="Arial" w:eastAsia="Arial" w:hAnsi="Arial" w:cs="Arial"/>
        </w:rPr>
        <w:t xml:space="preserve"> </w:t>
      </w:r>
    </w:p>
    <w:p w14:paraId="25759C69" w14:textId="52E55C16" w:rsidR="00A65BA3" w:rsidRDefault="00A65BA3" w:rsidP="00FC17F5">
      <w:pPr>
        <w:spacing w:after="200" w:line="480" w:lineRule="auto"/>
        <w:jc w:val="both"/>
        <w:rPr>
          <w:rFonts w:ascii="Arial" w:eastAsia="Arial" w:hAnsi="Arial" w:cs="Arial"/>
        </w:rPr>
      </w:pPr>
      <w:bookmarkStart w:id="8" w:name="_Hlk171404733"/>
      <w:r>
        <w:rPr>
          <w:rFonts w:ascii="Arial" w:eastAsia="Arial" w:hAnsi="Arial" w:cs="Arial"/>
        </w:rPr>
        <w:t>Despite this issue being recognised as important to public health and resource utilisation, to our knowledge</w:t>
      </w:r>
      <w:r w:rsidR="00FF7C4E">
        <w:rPr>
          <w:rFonts w:ascii="Arial" w:eastAsia="Arial" w:hAnsi="Arial" w:cs="Arial"/>
        </w:rPr>
        <w:t>,</w:t>
      </w:r>
      <w:r>
        <w:rPr>
          <w:rFonts w:ascii="Arial" w:eastAsia="Arial" w:hAnsi="Arial" w:cs="Arial"/>
        </w:rPr>
        <w:t xml:space="preserve"> no previous study has considered sexual dimorphism in the relationship</w:t>
      </w:r>
      <w:r w:rsidR="00FF7C4E">
        <w:rPr>
          <w:rFonts w:ascii="Arial" w:eastAsia="Arial" w:hAnsi="Arial" w:cs="Arial"/>
        </w:rPr>
        <w:t xml:space="preserve"> </w:t>
      </w:r>
      <w:r w:rsidR="00FF7C4E" w:rsidRPr="00FF7C4E">
        <w:rPr>
          <w:rFonts w:ascii="Arial" w:eastAsia="Arial" w:hAnsi="Arial" w:cs="Arial"/>
        </w:rPr>
        <w:t>between multimorbidity and risk of subsequent hospital admission</w:t>
      </w:r>
      <w:r>
        <w:rPr>
          <w:rFonts w:ascii="Arial" w:eastAsia="Arial" w:hAnsi="Arial" w:cs="Arial"/>
        </w:rPr>
        <w:t>.</w:t>
      </w:r>
      <w:bookmarkEnd w:id="8"/>
      <w:r>
        <w:rPr>
          <w:rFonts w:ascii="Arial" w:eastAsia="Arial" w:hAnsi="Arial" w:cs="Arial"/>
        </w:rPr>
        <w:t xml:space="preserve"> </w:t>
      </w:r>
      <w:bookmarkStart w:id="9" w:name="_Hlk171405419"/>
      <w:r>
        <w:rPr>
          <w:rFonts w:ascii="Arial" w:eastAsia="Arial" w:hAnsi="Arial" w:cs="Arial"/>
        </w:rPr>
        <w:t>We hypothesised that these may be present, as the profile of common comorbidities is different in men and women, with cardiovascular disease</w:t>
      </w:r>
      <w:r w:rsidR="00FF7C4E" w:rsidRPr="3BB58665">
        <w:rPr>
          <w:rFonts w:ascii="Arial" w:eastAsia="Arial" w:hAnsi="Arial" w:cs="Arial"/>
        </w:rPr>
        <w:t>s such as coronary heart disease</w:t>
      </w:r>
      <w:r>
        <w:rPr>
          <w:rFonts w:ascii="Arial" w:eastAsia="Arial" w:hAnsi="Arial" w:cs="Arial"/>
        </w:rPr>
        <w:t xml:space="preserve"> being more common in men</w:t>
      </w:r>
      <w:r w:rsidR="00FF7C4E">
        <w:rPr>
          <w:rFonts w:ascii="Arial" w:eastAsia="Arial" w:hAnsi="Arial" w:cs="Arial"/>
        </w:rPr>
        <w:t xml:space="preserve"> </w:t>
      </w:r>
      <w:r w:rsidR="00FF7C4E">
        <w:rPr>
          <w:rFonts w:ascii="Arial" w:eastAsia="Arial" w:hAnsi="Arial" w:cs="Arial"/>
        </w:rPr>
        <w:fldChar w:fldCharType="begin"/>
      </w:r>
      <w:r w:rsidR="002D5ECA">
        <w:rPr>
          <w:rFonts w:ascii="Arial" w:eastAsia="Arial" w:hAnsi="Arial" w:cs="Arial"/>
        </w:rPr>
        <w:instrText xml:space="preserve"> ADDIN EN.CITE &lt;EndNote&gt;&lt;Cite&gt;&lt;Author&gt;Bots&lt;/Author&gt;&lt;Year&gt;2017&lt;/Year&gt;&lt;RecNum&gt;482&lt;/RecNum&gt;&lt;DisplayText&gt;[14]&lt;/DisplayText&gt;&lt;record&gt;&lt;rec-number&gt;482&lt;/rec-number&gt;&lt;foreign-keys&gt;&lt;key app="EN" db-id="xp2sx5aahpsveaea2zq5s2xsef9d0fsxsxex" timestamp="1720508830"&gt;482&lt;/key&gt;&lt;/foreign-keys&gt;&lt;ref-type name="Journal Article"&gt;17&lt;/ref-type&gt;&lt;contributors&gt;&lt;authors&gt;&lt;author&gt;Bots, Sophie H&lt;/author&gt;&lt;author&gt;Peters, Sanne AE&lt;/author&gt;&lt;author&gt;Woodward, Mark&lt;/author&gt;&lt;/authors&gt;&lt;/contributors&gt;&lt;titles&gt;&lt;title&gt;Sex differences in coronary heart disease and stroke mortality: a global assessment of the effect of ageing between 1980 and 2010&lt;/title&gt;&lt;secondary-title&gt;BMJ Glob Health. &lt;/secondary-title&gt;&lt;/titles&gt;&lt;pages&gt;e000298&lt;/pages&gt;&lt;volume&gt;2&lt;/volume&gt;&lt;number&gt;2&lt;/number&gt;&lt;dates&gt;&lt;year&gt;2017&lt;/year&gt;&lt;/dates&gt;&lt;isbn&gt;2059-7908&lt;/isbn&gt;&lt;urls&gt;&lt;/urls&gt;&lt;electronic-resource-num&gt;https://doi.org/10.1136%2Fbmjgh-2017-000298&lt;/electronic-resource-num&gt;&lt;/record&gt;&lt;/Cite&gt;&lt;/EndNote&gt;</w:instrText>
      </w:r>
      <w:r w:rsidR="00FF7C4E">
        <w:rPr>
          <w:rFonts w:ascii="Arial" w:eastAsia="Arial" w:hAnsi="Arial" w:cs="Arial"/>
        </w:rPr>
        <w:fldChar w:fldCharType="separate"/>
      </w:r>
      <w:r w:rsidR="002D5ECA">
        <w:rPr>
          <w:rFonts w:ascii="Arial" w:eastAsia="Arial" w:hAnsi="Arial" w:cs="Arial"/>
          <w:noProof/>
        </w:rPr>
        <w:t>[14]</w:t>
      </w:r>
      <w:r w:rsidR="00FF7C4E">
        <w:rPr>
          <w:rFonts w:ascii="Arial" w:eastAsia="Arial" w:hAnsi="Arial" w:cs="Arial"/>
        </w:rPr>
        <w:fldChar w:fldCharType="end"/>
      </w:r>
      <w:r>
        <w:rPr>
          <w:rFonts w:ascii="Arial" w:eastAsia="Arial" w:hAnsi="Arial" w:cs="Arial"/>
        </w:rPr>
        <w:t xml:space="preserve">, while for example musculoskeletal diseases such as osteoporosis and osteoarthritis are more </w:t>
      </w:r>
      <w:r>
        <w:rPr>
          <w:rFonts w:ascii="Arial" w:eastAsia="Arial" w:hAnsi="Arial" w:cs="Arial"/>
        </w:rPr>
        <w:lastRenderedPageBreak/>
        <w:t>common in women</w:t>
      </w:r>
      <w:r w:rsidR="0060252D">
        <w:rPr>
          <w:rFonts w:ascii="Arial" w:eastAsia="Arial" w:hAnsi="Arial" w:cs="Arial"/>
        </w:rPr>
        <w:t xml:space="preserve"> </w:t>
      </w:r>
      <w:r w:rsidR="0060252D">
        <w:rPr>
          <w:rFonts w:ascii="Arial" w:eastAsia="Arial" w:hAnsi="Arial" w:cs="Arial"/>
        </w:rPr>
        <w:fldChar w:fldCharType="begin"/>
      </w:r>
      <w:r w:rsidR="002D5ECA">
        <w:rPr>
          <w:rFonts w:ascii="Arial" w:eastAsia="Arial" w:hAnsi="Arial" w:cs="Arial"/>
        </w:rPr>
        <w:instrText xml:space="preserve"> ADDIN EN.CITE &lt;EndNote&gt;&lt;Cite&gt;&lt;Author&gt;Salari&lt;/Author&gt;&lt;Year&gt;2021&lt;/Year&gt;&lt;RecNum&gt;483&lt;/RecNum&gt;&lt;DisplayText&gt;[15, 16]&lt;/DisplayText&gt;&lt;record&gt;&lt;rec-number&gt;483&lt;/rec-number&gt;&lt;foreign-keys&gt;&lt;key app="EN" db-id="xp2sx5aahpsveaea2zq5s2xsef9d0fsxsxex" timestamp="1720509013"&gt;483&lt;/key&gt;&lt;/foreign-keys&gt;&lt;ref-type name="Journal Article"&gt;17&lt;/ref-type&gt;&lt;contributors&gt;&lt;authors&gt;&lt;author&gt;Salari, Nader&lt;/author&gt;&lt;author&gt;Ghasemi, Hooman&lt;/author&gt;&lt;author&gt;Mohammadi, Loghman&lt;/author&gt;&lt;author&gt;Behzadi, Mohammad Hasan&lt;/author&gt;&lt;author&gt;Rabieenia, Elham&lt;/author&gt;&lt;author&gt;Shohaimi, Shamarina&lt;/author&gt;&lt;author&gt;Mohammadi, Masoud&lt;/author&gt;&lt;/authors&gt;&lt;/contributors&gt;&lt;titles&gt;&lt;title&gt;The global prevalence of osteoporosis in the world: a comprehensive systematic review and meta-analysis&lt;/title&gt;&lt;secondary-title&gt;J Orthop Surg Res.&lt;/secondary-title&gt;&lt;/titles&gt;&lt;periodical&gt;&lt;full-title&gt;J Orthop Surg Res.&lt;/full-title&gt;&lt;/periodical&gt;&lt;pages&gt;609&lt;/pages&gt;&lt;volume&gt;16&lt;/volume&gt;&lt;number&gt;1&lt;/number&gt;&lt;dates&gt;&lt;year&gt;2021&lt;/year&gt;&lt;/dates&gt;&lt;urls&gt;&lt;/urls&gt;&lt;electronic-resource-num&gt;https://doi.org/10.1186%2Fs13018-021-02772-0&lt;/electronic-resource-num&gt;&lt;/record&gt;&lt;/Cite&gt;&lt;Cite&gt;&lt;Author&gt;Tschon&lt;/Author&gt;&lt;Year&gt;2021&lt;/Year&gt;&lt;RecNum&gt;484&lt;/RecNum&gt;&lt;record&gt;&lt;rec-number&gt;484&lt;/rec-number&gt;&lt;foreign-keys&gt;&lt;key app="EN" db-id="xp2sx5aahpsveaea2zq5s2xsef9d0fsxsxex" timestamp="1720509159"&gt;484&lt;/key&gt;&lt;/foreign-keys&gt;&lt;ref-type name="Journal Article"&gt;17&lt;/ref-type&gt;&lt;contributors&gt;&lt;authors&gt;&lt;author&gt;Tschon, Matilde&lt;/author&gt;&lt;author&gt;Contartese, Deyanira&lt;/author&gt;&lt;author&gt;Pagani, Stefania&lt;/author&gt;&lt;author&gt;Borsari, Veronica&lt;/author&gt;&lt;author&gt;Fini, Milena&lt;/author&gt;&lt;/authors&gt;&lt;/contributors&gt;&lt;titles&gt;&lt;title&gt;Gender and sex are key determinants in osteoarthritis not only confounding variables. A systematic review of clinical data&lt;/title&gt;&lt;secondary-title&gt;J Clin Med.&lt;/secondary-title&gt;&lt;/titles&gt;&lt;periodical&gt;&lt;full-title&gt;J Clin Med.&lt;/full-title&gt;&lt;/periodical&gt;&lt;pages&gt;3178&lt;/pages&gt;&lt;volume&gt;10&lt;/volume&gt;&lt;number&gt;14&lt;/number&gt;&lt;dates&gt;&lt;year&gt;2021&lt;/year&gt;&lt;/dates&gt;&lt;isbn&gt;2077-0383&lt;/isbn&gt;&lt;urls&gt;&lt;/urls&gt;&lt;electronic-resource-num&gt;https://doi.org/10.3390%2Fjcm10143178&lt;/electronic-resource-num&gt;&lt;/record&gt;&lt;/Cite&gt;&lt;/EndNote&gt;</w:instrText>
      </w:r>
      <w:r w:rsidR="0060252D">
        <w:rPr>
          <w:rFonts w:ascii="Arial" w:eastAsia="Arial" w:hAnsi="Arial" w:cs="Arial"/>
        </w:rPr>
        <w:fldChar w:fldCharType="separate"/>
      </w:r>
      <w:r w:rsidR="002D5ECA">
        <w:rPr>
          <w:rFonts w:ascii="Arial" w:eastAsia="Arial" w:hAnsi="Arial" w:cs="Arial"/>
          <w:noProof/>
        </w:rPr>
        <w:t>[15, 16]</w:t>
      </w:r>
      <w:r w:rsidR="0060252D">
        <w:rPr>
          <w:rFonts w:ascii="Arial" w:eastAsia="Arial" w:hAnsi="Arial" w:cs="Arial"/>
        </w:rPr>
        <w:fldChar w:fldCharType="end"/>
      </w:r>
      <w:r>
        <w:rPr>
          <w:rFonts w:ascii="Arial" w:eastAsia="Arial" w:hAnsi="Arial" w:cs="Arial"/>
        </w:rPr>
        <w:t>.</w:t>
      </w:r>
      <w:bookmarkEnd w:id="9"/>
      <w:r>
        <w:rPr>
          <w:rFonts w:ascii="Arial" w:eastAsia="Arial" w:hAnsi="Arial" w:cs="Arial"/>
        </w:rPr>
        <w:t xml:space="preserve"> Furthermore, health seeking behaviours are different in the two sexes, with women reported as higher users of health services</w:t>
      </w:r>
      <w:r w:rsidR="007E6949">
        <w:rPr>
          <w:rFonts w:ascii="Arial" w:eastAsia="Arial" w:hAnsi="Arial" w:cs="Arial"/>
        </w:rPr>
        <w:t xml:space="preserve"> </w:t>
      </w:r>
      <w:r w:rsidR="007E6949">
        <w:rPr>
          <w:rFonts w:ascii="Arial" w:eastAsia="Arial" w:hAnsi="Arial" w:cs="Arial"/>
        </w:rPr>
        <w:fldChar w:fldCharType="begin"/>
      </w:r>
      <w:r w:rsidR="002D5ECA">
        <w:rPr>
          <w:rFonts w:ascii="Arial" w:eastAsia="Arial" w:hAnsi="Arial" w:cs="Arial"/>
        </w:rPr>
        <w:instrText xml:space="preserve"> ADDIN EN.CITE &lt;EndNote&gt;&lt;Cite&gt;&lt;Author&gt;Lim&lt;/Author&gt;&lt;Year&gt;2019&lt;/Year&gt;&lt;RecNum&gt;431&lt;/RecNum&gt;&lt;DisplayText&gt;[17]&lt;/DisplayText&gt;&lt;record&gt;&lt;rec-number&gt;431&lt;/rec-number&gt;&lt;foreign-keys&gt;&lt;key app="EN" db-id="xp2sx5aahpsveaea2zq5s2xsef9d0fsxsxex" timestamp="1710172312"&gt;431&lt;/key&gt;&lt;/foreign-keys&gt;&lt;ref-type name="Journal Article"&gt;17&lt;/ref-type&gt;&lt;contributors&gt;&lt;authors&gt;&lt;author&gt;Lim, Ming Tsuey&lt;/author&gt;&lt;author&gt;Lim, Yvonne Mei Fong&lt;/author&gt;&lt;author&gt;Tong, Seng Fah&lt;/author&gt;&lt;author&gt;Sivasampu, Sheamini&lt;/author&gt;&lt;/authors&gt;&lt;/contributors&gt;&lt;titles&gt;&lt;title&gt;Age, sex and primary care setting differences in patients’ perception of community healthcare seeking behaviour towards health services&lt;/title&gt;&lt;secondary-title&gt;PLoS One.&lt;/secondary-title&gt;&lt;/titles&gt;&lt;periodical&gt;&lt;full-title&gt;PLoS One.&lt;/full-title&gt;&lt;/periodical&gt;&lt;pages&gt;e0224260&lt;/pages&gt;&lt;volume&gt;14&lt;/volume&gt;&lt;number&gt;10&lt;/number&gt;&lt;dates&gt;&lt;year&gt;2019&lt;/year&gt;&lt;/dates&gt;&lt;urls&gt;&lt;/urls&gt;&lt;electronic-resource-num&gt;https://doi.org/10.1371/journal.pone.0224260&lt;/electronic-resource-num&gt;&lt;/record&gt;&lt;/Cite&gt;&lt;/EndNote&gt;</w:instrText>
      </w:r>
      <w:r w:rsidR="007E6949">
        <w:rPr>
          <w:rFonts w:ascii="Arial" w:eastAsia="Arial" w:hAnsi="Arial" w:cs="Arial"/>
        </w:rPr>
        <w:fldChar w:fldCharType="separate"/>
      </w:r>
      <w:r w:rsidR="002D5ECA">
        <w:rPr>
          <w:rFonts w:ascii="Arial" w:eastAsia="Arial" w:hAnsi="Arial" w:cs="Arial"/>
          <w:noProof/>
        </w:rPr>
        <w:t>[17]</w:t>
      </w:r>
      <w:r w:rsidR="007E6949">
        <w:rPr>
          <w:rFonts w:ascii="Arial" w:eastAsia="Arial" w:hAnsi="Arial" w:cs="Arial"/>
        </w:rPr>
        <w:fldChar w:fldCharType="end"/>
      </w:r>
      <w:r>
        <w:rPr>
          <w:rFonts w:ascii="Arial" w:eastAsia="Arial" w:hAnsi="Arial" w:cs="Arial"/>
        </w:rPr>
        <w:t>.</w:t>
      </w:r>
    </w:p>
    <w:p w14:paraId="5186E6C6" w14:textId="77777777" w:rsidR="007E6949" w:rsidRDefault="007E6949" w:rsidP="00FC17F5">
      <w:pPr>
        <w:spacing w:after="200" w:line="480" w:lineRule="auto"/>
        <w:jc w:val="both"/>
        <w:rPr>
          <w:rFonts w:ascii="Arial" w:eastAsia="Arial" w:hAnsi="Arial" w:cs="Arial"/>
          <w:b/>
          <w:bCs/>
        </w:rPr>
      </w:pPr>
    </w:p>
    <w:p w14:paraId="3DF0A6C1" w14:textId="4896855C" w:rsidR="002C4704" w:rsidRPr="002C4704" w:rsidRDefault="002C4704" w:rsidP="00FC17F5">
      <w:pPr>
        <w:spacing w:after="200" w:line="480" w:lineRule="auto"/>
        <w:jc w:val="both"/>
        <w:rPr>
          <w:rFonts w:ascii="Arial" w:eastAsia="Arial" w:hAnsi="Arial" w:cs="Arial"/>
          <w:b/>
          <w:bCs/>
        </w:rPr>
      </w:pPr>
      <w:r w:rsidRPr="002C4704">
        <w:rPr>
          <w:rFonts w:ascii="Arial" w:eastAsia="Arial" w:hAnsi="Arial" w:cs="Arial"/>
          <w:b/>
          <w:bCs/>
        </w:rPr>
        <w:t>Aims</w:t>
      </w:r>
    </w:p>
    <w:p w14:paraId="61306C8A" w14:textId="4DD0422F" w:rsidR="00A13E88" w:rsidRPr="003B30DA" w:rsidRDefault="005841F8" w:rsidP="00FC17F5">
      <w:pPr>
        <w:spacing w:after="200" w:line="480" w:lineRule="auto"/>
        <w:jc w:val="both"/>
        <w:rPr>
          <w:rFonts w:ascii="Arial" w:eastAsia="Arial" w:hAnsi="Arial" w:cs="Arial"/>
          <w:lang w:val="en-US"/>
        </w:rPr>
      </w:pPr>
      <w:r>
        <w:rPr>
          <w:rFonts w:ascii="Arial" w:eastAsia="Arial" w:hAnsi="Arial" w:cs="Arial"/>
          <w:lang w:val="en-US"/>
        </w:rPr>
        <w:t>Hence a</w:t>
      </w:r>
      <w:r w:rsidR="00BB7485">
        <w:rPr>
          <w:rFonts w:ascii="Arial" w:eastAsia="Arial" w:hAnsi="Arial" w:cs="Arial"/>
          <w:lang w:val="en-US"/>
        </w:rPr>
        <w:t>lthough m</w:t>
      </w:r>
      <w:r w:rsidR="00E90DE0">
        <w:rPr>
          <w:rFonts w:ascii="Arial" w:eastAsia="Arial" w:hAnsi="Arial" w:cs="Arial"/>
          <w:lang w:val="en-US"/>
        </w:rPr>
        <w:t>ultimorbidity is well established as an important contributor to risk of hospital admission</w:t>
      </w:r>
      <w:r w:rsidR="00BB7485">
        <w:rPr>
          <w:rFonts w:ascii="Arial" w:eastAsia="Arial" w:hAnsi="Arial" w:cs="Arial"/>
          <w:lang w:val="en-US"/>
        </w:rPr>
        <w:t>,</w:t>
      </w:r>
      <w:r w:rsidR="00E90DE0">
        <w:rPr>
          <w:rFonts w:ascii="Arial" w:eastAsia="Arial" w:hAnsi="Arial" w:cs="Arial"/>
          <w:lang w:val="en-US"/>
        </w:rPr>
        <w:t xml:space="preserve"> it is unclear </w:t>
      </w:r>
      <w:bookmarkStart w:id="10" w:name="_Hlk146012153"/>
      <w:r w:rsidR="00E90DE0">
        <w:rPr>
          <w:rFonts w:ascii="Arial" w:eastAsia="Arial" w:hAnsi="Arial" w:cs="Arial"/>
          <w:lang w:val="en-US"/>
        </w:rPr>
        <w:t xml:space="preserve">whether </w:t>
      </w:r>
      <w:bookmarkStart w:id="11" w:name="_Hlk146276793"/>
      <w:r w:rsidR="009B5220">
        <w:rPr>
          <w:rFonts w:ascii="Arial" w:eastAsia="Arial" w:hAnsi="Arial" w:cs="Arial"/>
          <w:lang w:val="en-US"/>
        </w:rPr>
        <w:t xml:space="preserve">risk of adverse health events only increase once a certain level </w:t>
      </w:r>
      <w:r w:rsidR="003E0419">
        <w:rPr>
          <w:rFonts w:ascii="Arial" w:eastAsia="Arial" w:hAnsi="Arial" w:cs="Arial"/>
          <w:lang w:val="en-US"/>
        </w:rPr>
        <w:t>or threshold of number of systems medicated</w:t>
      </w:r>
      <w:r w:rsidR="009B5220">
        <w:rPr>
          <w:rFonts w:ascii="Arial" w:eastAsia="Arial" w:hAnsi="Arial" w:cs="Arial"/>
          <w:lang w:val="en-US"/>
        </w:rPr>
        <w:t xml:space="preserve"> is reached, or whether</w:t>
      </w:r>
      <w:r w:rsidR="003E0419">
        <w:rPr>
          <w:rFonts w:ascii="Arial" w:eastAsia="Arial" w:hAnsi="Arial" w:cs="Arial"/>
          <w:lang w:val="en-US"/>
        </w:rPr>
        <w:t xml:space="preserve"> any increase</w:t>
      </w:r>
      <w:bookmarkStart w:id="12" w:name="_Hlk146268670"/>
      <w:r w:rsidR="009B5220">
        <w:rPr>
          <w:rFonts w:ascii="Arial" w:eastAsia="Arial" w:hAnsi="Arial" w:cs="Arial"/>
          <w:lang w:val="en-US"/>
        </w:rPr>
        <w:t xml:space="preserve"> in comorbidity level</w:t>
      </w:r>
      <w:bookmarkEnd w:id="10"/>
      <w:r w:rsidR="009B5220">
        <w:rPr>
          <w:rFonts w:ascii="Arial" w:eastAsia="Arial" w:hAnsi="Arial" w:cs="Arial"/>
          <w:lang w:val="en-US"/>
        </w:rPr>
        <w:t>, confer greater risks of these events</w:t>
      </w:r>
      <w:bookmarkEnd w:id="11"/>
      <w:bookmarkEnd w:id="12"/>
      <w:r w:rsidR="00A65BA3">
        <w:rPr>
          <w:rFonts w:ascii="Arial" w:eastAsia="Arial" w:hAnsi="Arial" w:cs="Arial"/>
          <w:lang w:val="en-US"/>
        </w:rPr>
        <w:t>, and whether such relationships vary by sex</w:t>
      </w:r>
      <w:r w:rsidR="009B5220">
        <w:rPr>
          <w:rFonts w:ascii="Arial" w:eastAsia="Arial" w:hAnsi="Arial" w:cs="Arial"/>
          <w:lang w:val="en-US"/>
        </w:rPr>
        <w:t xml:space="preserve">. </w:t>
      </w:r>
      <w:bookmarkStart w:id="13" w:name="_Hlk147824031"/>
      <w:r w:rsidR="009C17E5">
        <w:rPr>
          <w:rFonts w:ascii="Arial" w:eastAsia="Arial" w:hAnsi="Arial" w:cs="Arial"/>
          <w:lang w:val="en-US"/>
        </w:rPr>
        <w:t xml:space="preserve">Such information would be helpful when planning future research and possible interventions. </w:t>
      </w:r>
      <w:bookmarkEnd w:id="13"/>
      <w:r w:rsidR="00E90DE0">
        <w:rPr>
          <w:rFonts w:ascii="Arial" w:eastAsia="Arial" w:hAnsi="Arial" w:cs="Arial"/>
          <w:lang w:val="en-US"/>
        </w:rPr>
        <w:t>We considered this i</w:t>
      </w:r>
      <w:r w:rsidR="00A13E88" w:rsidRPr="00A13E88">
        <w:rPr>
          <w:rFonts w:ascii="Arial" w:eastAsia="Arial" w:hAnsi="Arial" w:cs="Arial"/>
          <w:lang w:val="en-US"/>
        </w:rPr>
        <w:t xml:space="preserve">n </w:t>
      </w:r>
      <w:r w:rsidR="003D26F6">
        <w:rPr>
          <w:rFonts w:ascii="Arial" w:eastAsia="Arial" w:hAnsi="Arial" w:cs="Arial"/>
          <w:lang w:val="en-US"/>
        </w:rPr>
        <w:t>this study</w:t>
      </w:r>
      <w:r w:rsidR="00E90DE0">
        <w:rPr>
          <w:rFonts w:ascii="Arial" w:eastAsia="Arial" w:hAnsi="Arial" w:cs="Arial"/>
          <w:lang w:val="en-US"/>
        </w:rPr>
        <w:t xml:space="preserve"> that relates </w:t>
      </w:r>
      <w:r w:rsidR="003D26F6">
        <w:rPr>
          <w:rFonts w:ascii="Arial" w:eastAsia="Arial" w:hAnsi="Arial" w:cs="Arial"/>
          <w:lang w:val="en-US"/>
        </w:rPr>
        <w:t xml:space="preserve">number of systems medicated to </w:t>
      </w:r>
      <w:r w:rsidR="009D4D11">
        <w:rPr>
          <w:rFonts w:ascii="Arial" w:eastAsia="Arial" w:hAnsi="Arial" w:cs="Arial"/>
          <w:lang w:val="en-US"/>
        </w:rPr>
        <w:t>risk of mortality and hospital admission events</w:t>
      </w:r>
      <w:r w:rsidR="003D26F6">
        <w:rPr>
          <w:rFonts w:ascii="Arial" w:eastAsia="Arial" w:hAnsi="Arial" w:cs="Arial"/>
          <w:lang w:val="en-US"/>
        </w:rPr>
        <w:t xml:space="preserve"> over 20 years of follow up among participants from the </w:t>
      </w:r>
      <w:r w:rsidR="00A13E88" w:rsidRPr="00A13E88">
        <w:rPr>
          <w:rFonts w:ascii="Arial" w:eastAsia="Arial" w:hAnsi="Arial" w:cs="Arial"/>
          <w:lang w:val="en-US"/>
        </w:rPr>
        <w:t>Hertfordshire Cohort Study (HCS)</w:t>
      </w:r>
      <w:r w:rsidR="004025E0">
        <w:rPr>
          <w:rFonts w:ascii="Arial" w:eastAsia="Arial" w:hAnsi="Arial" w:cs="Arial"/>
          <w:lang w:val="en-US"/>
        </w:rPr>
        <w:t>,</w:t>
      </w:r>
      <w:r w:rsidR="00A13E88" w:rsidRPr="00A13E88">
        <w:rPr>
          <w:rFonts w:ascii="Arial" w:eastAsia="Arial" w:hAnsi="Arial" w:cs="Arial"/>
          <w:lang w:val="en-US"/>
        </w:rPr>
        <w:t xml:space="preserve"> a population of community-dwelling older </w:t>
      </w:r>
      <w:r w:rsidR="00ED2183">
        <w:rPr>
          <w:rFonts w:ascii="Arial" w:eastAsia="Arial" w:hAnsi="Arial" w:cs="Arial"/>
          <w:lang w:val="en-US"/>
        </w:rPr>
        <w:t>people</w:t>
      </w:r>
      <w:r w:rsidR="003D26F6">
        <w:rPr>
          <w:rFonts w:ascii="Arial" w:eastAsia="Arial" w:hAnsi="Arial" w:cs="Arial"/>
          <w:lang w:val="en-US"/>
        </w:rPr>
        <w:t xml:space="preserve">. </w:t>
      </w:r>
      <w:bookmarkEnd w:id="6"/>
    </w:p>
    <w:p w14:paraId="055F293A" w14:textId="371FCE8A" w:rsidR="00B8456D" w:rsidRDefault="00B8456D" w:rsidP="00FC17F5">
      <w:pPr>
        <w:spacing w:line="480" w:lineRule="auto"/>
        <w:rPr>
          <w:rFonts w:ascii="Arial" w:eastAsia="Arial" w:hAnsi="Arial" w:cs="Arial"/>
          <w:b/>
          <w:bCs/>
          <w:lang w:val="en-US"/>
        </w:rPr>
      </w:pPr>
    </w:p>
    <w:p w14:paraId="0C70D5DD" w14:textId="24BD186F" w:rsidR="00A13E88" w:rsidRDefault="00A13E88" w:rsidP="00FC17F5">
      <w:pPr>
        <w:spacing w:after="200" w:line="480" w:lineRule="auto"/>
        <w:jc w:val="both"/>
        <w:rPr>
          <w:rFonts w:ascii="Arial" w:eastAsia="Arial" w:hAnsi="Arial" w:cs="Arial"/>
          <w:b/>
          <w:bCs/>
          <w:lang w:val="en-US"/>
        </w:rPr>
      </w:pPr>
      <w:r w:rsidRPr="00A13E88">
        <w:rPr>
          <w:rFonts w:ascii="Arial" w:eastAsia="Arial" w:hAnsi="Arial" w:cs="Arial"/>
          <w:b/>
          <w:bCs/>
          <w:lang w:val="en-US"/>
        </w:rPr>
        <w:t>Methods</w:t>
      </w:r>
    </w:p>
    <w:p w14:paraId="4051AF3F" w14:textId="77777777" w:rsidR="0089575D" w:rsidRPr="0089575D" w:rsidRDefault="0089575D" w:rsidP="00FC17F5">
      <w:pPr>
        <w:spacing w:after="200" w:line="480" w:lineRule="auto"/>
        <w:jc w:val="both"/>
        <w:rPr>
          <w:rFonts w:ascii="Arial" w:eastAsia="Arial" w:hAnsi="Arial" w:cs="Arial"/>
          <w:i/>
          <w:iCs/>
          <w:lang w:val="en-US"/>
        </w:rPr>
      </w:pPr>
      <w:r w:rsidRPr="0089575D">
        <w:rPr>
          <w:rFonts w:ascii="Arial" w:eastAsia="Arial" w:hAnsi="Arial" w:cs="Arial"/>
          <w:i/>
          <w:iCs/>
          <w:lang w:val="en-US"/>
        </w:rPr>
        <w:t xml:space="preserve">The Hertfordshire Cohort Study  </w:t>
      </w:r>
    </w:p>
    <w:p w14:paraId="31D76E00" w14:textId="54130628" w:rsidR="0089575D" w:rsidRPr="0089575D" w:rsidRDefault="0089575D" w:rsidP="00FC17F5">
      <w:pPr>
        <w:spacing w:after="200" w:line="480" w:lineRule="auto"/>
        <w:jc w:val="both"/>
        <w:rPr>
          <w:rFonts w:ascii="Arial" w:eastAsia="Arial" w:hAnsi="Arial" w:cs="Arial"/>
          <w:lang w:val="en-US"/>
        </w:rPr>
      </w:pPr>
      <w:r w:rsidRPr="0089575D">
        <w:rPr>
          <w:rFonts w:ascii="Arial" w:eastAsia="Arial" w:hAnsi="Arial" w:cs="Arial"/>
          <w:lang w:val="en-US"/>
        </w:rPr>
        <w:t xml:space="preserve">The Hertfordshire Cohort Study (HCS) consists of 2997 </w:t>
      </w:r>
      <w:r w:rsidR="0095735C">
        <w:rPr>
          <w:rFonts w:ascii="Arial" w:eastAsia="Arial" w:hAnsi="Arial" w:cs="Arial"/>
          <w:lang w:val="en-US"/>
        </w:rPr>
        <w:t xml:space="preserve">individuals who were born </w:t>
      </w:r>
      <w:r w:rsidRPr="0089575D">
        <w:rPr>
          <w:rFonts w:ascii="Arial" w:eastAsia="Arial" w:hAnsi="Arial" w:cs="Arial"/>
          <w:lang w:val="en-US"/>
        </w:rPr>
        <w:t>in Hertfordshire</w:t>
      </w:r>
      <w:r w:rsidR="0095735C">
        <w:rPr>
          <w:rFonts w:ascii="Arial" w:eastAsia="Arial" w:hAnsi="Arial" w:cs="Arial"/>
          <w:lang w:val="en-US"/>
        </w:rPr>
        <w:t xml:space="preserve"> (UK)</w:t>
      </w:r>
      <w:r w:rsidRPr="0089575D">
        <w:rPr>
          <w:rFonts w:ascii="Arial" w:eastAsia="Arial" w:hAnsi="Arial" w:cs="Arial"/>
          <w:lang w:val="en-US"/>
        </w:rPr>
        <w:t xml:space="preserve"> </w:t>
      </w:r>
      <w:r w:rsidR="0095735C">
        <w:rPr>
          <w:rFonts w:ascii="Arial" w:eastAsia="Arial" w:hAnsi="Arial" w:cs="Arial"/>
          <w:lang w:val="en-US"/>
        </w:rPr>
        <w:t xml:space="preserve">in 1930s. They attended a clinic visit and home interview in 1998-2004 </w:t>
      </w:r>
      <w:r w:rsidRPr="0089575D">
        <w:rPr>
          <w:rFonts w:ascii="Arial" w:eastAsia="Arial" w:hAnsi="Arial" w:cs="Arial"/>
          <w:lang w:val="en-US"/>
        </w:rPr>
        <w:t>for a detailed health assessment. The HCS had ethical approval from the Hertfordshire and Bedfordshire Local Research Ethics Committee</w:t>
      </w:r>
      <w:r w:rsidR="0095735C">
        <w:rPr>
          <w:rFonts w:ascii="Arial" w:eastAsia="Arial" w:hAnsi="Arial" w:cs="Arial"/>
          <w:lang w:val="en-US"/>
        </w:rPr>
        <w:t xml:space="preserve">; </w:t>
      </w:r>
      <w:r w:rsidRPr="0089575D">
        <w:rPr>
          <w:rFonts w:ascii="Arial" w:eastAsia="Arial" w:hAnsi="Arial" w:cs="Arial"/>
          <w:lang w:val="en-US"/>
        </w:rPr>
        <w:t xml:space="preserve">all participants provided informed consent for the investigations they underwent and for researchers to access their medical records in the future. </w:t>
      </w:r>
      <w:r w:rsidR="0095735C">
        <w:rPr>
          <w:rFonts w:ascii="Arial" w:eastAsia="Arial" w:hAnsi="Arial" w:cs="Arial"/>
          <w:lang w:val="en-US"/>
        </w:rPr>
        <w:t>Additional details about this study have been previously published</w:t>
      </w:r>
      <w:r w:rsidR="002746BD">
        <w:rPr>
          <w:rFonts w:ascii="Arial" w:eastAsia="Arial" w:hAnsi="Arial" w:cs="Arial"/>
          <w:lang w:val="en-US"/>
        </w:rPr>
        <w:t xml:space="preserve"> </w:t>
      </w:r>
      <w:r w:rsidR="004D0E6D">
        <w:rPr>
          <w:rFonts w:ascii="Arial" w:eastAsia="Arial" w:hAnsi="Arial" w:cs="Arial"/>
          <w:lang w:val="en-US"/>
        </w:rPr>
        <w:fldChar w:fldCharType="begin"/>
      </w:r>
      <w:r w:rsidR="002D5ECA">
        <w:rPr>
          <w:rFonts w:ascii="Arial" w:eastAsia="Arial" w:hAnsi="Arial" w:cs="Arial"/>
          <w:lang w:val="en-US"/>
        </w:rPr>
        <w:instrText xml:space="preserve"> ADDIN EN.CITE &lt;EndNote&gt;&lt;Cite&gt;&lt;Author&gt;Syddall&lt;/Author&gt;&lt;Year&gt;2019&lt;/Year&gt;&lt;RecNum&gt;288&lt;/RecNum&gt;&lt;DisplayText&gt;[18]&lt;/DisplayText&gt;&lt;record&gt;&lt;rec-number&gt;288&lt;/rec-number&gt;&lt;foreign-keys&gt;&lt;key app="EN" db-id="xp2sx5aahpsveaea2zq5s2xsef9d0fsxsxex" timestamp="1588319392"&gt;288&lt;/key&gt;&lt;/foreign-keys&gt;&lt;ref-type name="Journal Article"&gt;17&lt;/ref-type&gt;&lt;contributors&gt;&lt;authors&gt;&lt;author&gt;Syddall, Holly E&lt;/author&gt;&lt;author&gt;Simmonds, Shirley J&lt;/author&gt;&lt;author&gt;Carter, Sarah A&lt;/author&gt;&lt;author&gt;Robinson, Sian M&lt;/author&gt;&lt;author&gt;Dennison, Elaine M&lt;/author&gt;&lt;author&gt;Cooper, Cyrus&lt;/author&gt;&lt;/authors&gt;&lt;/contributors&gt;&lt;titles&gt;&lt;title&gt;The Hertfordshire Cohort Study: an overview&lt;/title&gt;&lt;secondary-title&gt;F1000Res.&lt;/secondary-title&gt;&lt;/titles&gt;&lt;periodical&gt;&lt;full-title&gt;F1000Res.&lt;/full-title&gt;&lt;/periodical&gt;&lt;pages&gt;82&lt;/pages&gt;&lt;volume&gt;8&lt;/volume&gt;&lt;dates&gt;&lt;year&gt;2019&lt;/year&gt;&lt;/dates&gt;&lt;urls&gt;&lt;/urls&gt;&lt;electronic-resource-num&gt;https://doi.org/10.12688/f1000research.17457.1&lt;/electronic-resource-num&gt;&lt;/record&gt;&lt;/Cite&gt;&lt;/EndNote&gt;</w:instrText>
      </w:r>
      <w:r w:rsidR="004D0E6D">
        <w:rPr>
          <w:rFonts w:ascii="Arial" w:eastAsia="Arial" w:hAnsi="Arial" w:cs="Arial"/>
          <w:lang w:val="en-US"/>
        </w:rPr>
        <w:fldChar w:fldCharType="separate"/>
      </w:r>
      <w:r w:rsidR="002D5ECA">
        <w:rPr>
          <w:rFonts w:ascii="Arial" w:eastAsia="Arial" w:hAnsi="Arial" w:cs="Arial"/>
          <w:noProof/>
          <w:lang w:val="en-US"/>
        </w:rPr>
        <w:t>[18]</w:t>
      </w:r>
      <w:r w:rsidR="004D0E6D">
        <w:rPr>
          <w:rFonts w:ascii="Arial" w:eastAsia="Arial" w:hAnsi="Arial" w:cs="Arial"/>
          <w:lang w:val="en-US"/>
        </w:rPr>
        <w:fldChar w:fldCharType="end"/>
      </w:r>
      <w:r w:rsidR="002746BD">
        <w:rPr>
          <w:rFonts w:ascii="Arial" w:eastAsia="Arial" w:hAnsi="Arial" w:cs="Arial"/>
          <w:lang w:val="en-US"/>
        </w:rPr>
        <w:t>.</w:t>
      </w:r>
      <w:r w:rsidRPr="0089575D">
        <w:rPr>
          <w:rFonts w:ascii="Arial" w:eastAsia="Arial" w:hAnsi="Arial" w:cs="Arial"/>
          <w:lang w:val="en-US"/>
        </w:rPr>
        <w:t xml:space="preserve"> </w:t>
      </w:r>
    </w:p>
    <w:p w14:paraId="3A7F057D" w14:textId="77777777" w:rsidR="007E6949" w:rsidRDefault="007E6949" w:rsidP="00FC17F5">
      <w:pPr>
        <w:spacing w:after="200" w:line="480" w:lineRule="auto"/>
        <w:jc w:val="both"/>
        <w:rPr>
          <w:rFonts w:ascii="Arial" w:eastAsia="Arial" w:hAnsi="Arial" w:cs="Arial"/>
          <w:i/>
          <w:iCs/>
          <w:lang w:val="en-US"/>
        </w:rPr>
      </w:pPr>
    </w:p>
    <w:p w14:paraId="1DA79BDF" w14:textId="75C24FDF" w:rsidR="0089575D" w:rsidRPr="0089575D" w:rsidRDefault="0089575D" w:rsidP="00FC17F5">
      <w:pPr>
        <w:spacing w:after="200" w:line="480" w:lineRule="auto"/>
        <w:jc w:val="both"/>
        <w:rPr>
          <w:rFonts w:ascii="Arial" w:eastAsia="Arial" w:hAnsi="Arial" w:cs="Arial"/>
          <w:i/>
          <w:iCs/>
          <w:lang w:val="en-US"/>
        </w:rPr>
      </w:pPr>
      <w:r w:rsidRPr="0089575D">
        <w:rPr>
          <w:rFonts w:ascii="Arial" w:eastAsia="Arial" w:hAnsi="Arial" w:cs="Arial"/>
          <w:i/>
          <w:iCs/>
          <w:lang w:val="en-US"/>
        </w:rPr>
        <w:t xml:space="preserve">Ascertainment of participant information at baseline (1998-2004)  </w:t>
      </w:r>
    </w:p>
    <w:p w14:paraId="42136A57" w14:textId="5170660B" w:rsidR="0089575D" w:rsidRPr="0089575D" w:rsidRDefault="0095735C" w:rsidP="00FC17F5">
      <w:pPr>
        <w:spacing w:after="200" w:line="480" w:lineRule="auto"/>
        <w:jc w:val="both"/>
        <w:rPr>
          <w:rFonts w:ascii="Arial" w:eastAsia="Arial" w:hAnsi="Arial" w:cs="Arial"/>
          <w:lang w:val="en-US"/>
        </w:rPr>
      </w:pPr>
      <w:r>
        <w:rPr>
          <w:rFonts w:ascii="Arial" w:eastAsia="Arial" w:hAnsi="Arial" w:cs="Arial"/>
          <w:lang w:val="en-US"/>
        </w:rPr>
        <w:lastRenderedPageBreak/>
        <w:t>A nurse-administered questionnaire was used to obtain information on alcohol consumption and smoking.</w:t>
      </w:r>
      <w:r w:rsidR="0089575D" w:rsidRPr="0089575D">
        <w:rPr>
          <w:rFonts w:ascii="Arial" w:eastAsia="Arial" w:hAnsi="Arial" w:cs="Arial"/>
          <w:lang w:val="en-US"/>
        </w:rPr>
        <w:t xml:space="preserve"> Occupational social class was ascertained from most recent or current full-time occupation for men and among women who never married, and from husband's occupation for ever-married women. Occupations were then classified according to the 1990 OPCS Standard Occupational Classification (SOC90) unit group for occupation</w:t>
      </w:r>
      <w:r w:rsidR="004D0E6D">
        <w:rPr>
          <w:rFonts w:ascii="Arial" w:eastAsia="Arial" w:hAnsi="Arial" w:cs="Arial"/>
          <w:lang w:val="en-US"/>
        </w:rPr>
        <w:t xml:space="preserve"> </w:t>
      </w:r>
      <w:r w:rsidR="004D0E6D">
        <w:rPr>
          <w:rFonts w:ascii="Arial" w:eastAsia="Arial" w:hAnsi="Arial" w:cs="Arial"/>
          <w:lang w:val="en-US"/>
        </w:rPr>
        <w:fldChar w:fldCharType="begin"/>
      </w:r>
      <w:r w:rsidR="002D5ECA">
        <w:rPr>
          <w:rFonts w:ascii="Arial" w:eastAsia="Arial" w:hAnsi="Arial" w:cs="Arial"/>
          <w:lang w:val="en-US"/>
        </w:rPr>
        <w:instrText xml:space="preserve"> ADDIN EN.CITE &lt;EndNote&gt;&lt;Cite&gt;&lt;Author&gt;Office of Population Censuses and Surveys&lt;/Author&gt;&lt;Year&gt;1990&lt;/Year&gt;&lt;RecNum&gt;185&lt;/RecNum&gt;&lt;DisplayText&gt;[19]&lt;/DisplayText&gt;&lt;record&gt;&lt;rec-number&gt;185&lt;/rec-number&gt;&lt;foreign-keys&gt;&lt;key app="EN" db-id="xp2sx5aahpsveaea2zq5s2xsef9d0fsxsxex" timestamp="1525947777"&gt;185&lt;/key&gt;&lt;/foreign-keys&gt;&lt;ref-type name="Journal Article"&gt;17&lt;/ref-type&gt;&lt;contributors&gt;&lt;authors&gt;&lt;author&gt;Office of Population Censuses and Surveys,&lt;/author&gt;&lt;/authors&gt;&lt;/contributors&gt;&lt;titles&gt;&lt;title&gt;Standard occupational classification, Vol 1 Structure and definition of major, minor and unit groups. HMSO. London.&lt;/title&gt;&lt;/titles&gt;&lt;dates&gt;&lt;year&gt;1990&lt;/year&gt;&lt;/dates&gt;&lt;urls&gt;&lt;/urls&gt;&lt;/record&gt;&lt;/Cite&gt;&lt;/EndNote&gt;</w:instrText>
      </w:r>
      <w:r w:rsidR="004D0E6D">
        <w:rPr>
          <w:rFonts w:ascii="Arial" w:eastAsia="Arial" w:hAnsi="Arial" w:cs="Arial"/>
          <w:lang w:val="en-US"/>
        </w:rPr>
        <w:fldChar w:fldCharType="separate"/>
      </w:r>
      <w:r w:rsidR="002D5ECA">
        <w:rPr>
          <w:rFonts w:ascii="Arial" w:eastAsia="Arial" w:hAnsi="Arial" w:cs="Arial"/>
          <w:noProof/>
          <w:lang w:val="en-US"/>
        </w:rPr>
        <w:t>[19]</w:t>
      </w:r>
      <w:r w:rsidR="004D0E6D">
        <w:rPr>
          <w:rFonts w:ascii="Arial" w:eastAsia="Arial" w:hAnsi="Arial" w:cs="Arial"/>
          <w:lang w:val="en-US"/>
        </w:rPr>
        <w:fldChar w:fldCharType="end"/>
      </w:r>
      <w:r w:rsidR="0089575D" w:rsidRPr="0089575D">
        <w:rPr>
          <w:rFonts w:ascii="Arial" w:eastAsia="Arial" w:hAnsi="Arial" w:cs="Arial"/>
          <w:lang w:val="en-US"/>
        </w:rPr>
        <w:t xml:space="preserve">. </w:t>
      </w:r>
      <w:r w:rsidR="00334950" w:rsidRPr="00334950">
        <w:rPr>
          <w:rFonts w:ascii="Arial" w:eastAsia="Arial" w:hAnsi="Arial" w:cs="Arial"/>
          <w:lang w:val="en-US"/>
        </w:rPr>
        <w:t xml:space="preserve">Details of all </w:t>
      </w:r>
      <w:proofErr w:type="gramStart"/>
      <w:r w:rsidR="00334950" w:rsidRPr="00334950">
        <w:rPr>
          <w:rFonts w:ascii="Arial" w:eastAsia="Arial" w:hAnsi="Arial" w:cs="Arial"/>
          <w:lang w:val="en-US"/>
        </w:rPr>
        <w:t>over-the-counter</w:t>
      </w:r>
      <w:proofErr w:type="gramEnd"/>
      <w:r w:rsidR="00334950" w:rsidRPr="00334950">
        <w:rPr>
          <w:rFonts w:ascii="Arial" w:eastAsia="Arial" w:hAnsi="Arial" w:cs="Arial"/>
          <w:lang w:val="en-US"/>
        </w:rPr>
        <w:t xml:space="preserve"> </w:t>
      </w:r>
      <w:r w:rsidR="00334950">
        <w:rPr>
          <w:rFonts w:ascii="Arial" w:eastAsia="Arial" w:hAnsi="Arial" w:cs="Arial"/>
          <w:lang w:val="en-US"/>
        </w:rPr>
        <w:t xml:space="preserve">and </w:t>
      </w:r>
      <w:r w:rsidR="00334950" w:rsidRPr="00334950">
        <w:rPr>
          <w:rFonts w:ascii="Arial" w:eastAsia="Arial" w:hAnsi="Arial" w:cs="Arial"/>
          <w:lang w:val="en-US"/>
        </w:rPr>
        <w:t xml:space="preserve">prescription medications currently taken were </w:t>
      </w:r>
      <w:r w:rsidR="00334950">
        <w:rPr>
          <w:rFonts w:ascii="Arial" w:eastAsia="Arial" w:hAnsi="Arial" w:cs="Arial"/>
          <w:lang w:val="en-US"/>
        </w:rPr>
        <w:t xml:space="preserve">recorded; these were </w:t>
      </w:r>
      <w:r w:rsidR="00334950" w:rsidRPr="00334950">
        <w:rPr>
          <w:rFonts w:ascii="Arial" w:eastAsia="Arial" w:hAnsi="Arial" w:cs="Arial"/>
          <w:lang w:val="en-US"/>
        </w:rPr>
        <w:t>coded according to the British National Formulary</w:t>
      </w:r>
      <w:r w:rsidR="00C96DE9">
        <w:rPr>
          <w:rFonts w:ascii="Arial" w:eastAsia="Arial" w:hAnsi="Arial" w:cs="Arial"/>
          <w:lang w:val="en-US"/>
        </w:rPr>
        <w:t xml:space="preserve"> into the following </w:t>
      </w:r>
      <w:r w:rsidR="00DB04DF">
        <w:rPr>
          <w:rFonts w:ascii="Arial" w:eastAsia="Arial" w:hAnsi="Arial" w:cs="Arial"/>
          <w:lang w:val="en-US"/>
        </w:rPr>
        <w:t>systems</w:t>
      </w:r>
      <w:r w:rsidR="006B5224" w:rsidRPr="006B5224">
        <w:rPr>
          <w:rFonts w:ascii="Arial" w:eastAsia="Arial" w:hAnsi="Arial" w:cs="Arial"/>
          <w:lang w:val="en-US"/>
        </w:rPr>
        <w:t xml:space="preserve">: cardiovascular; respiratory; gastro-intestinal; endocrine; central nervous; malignant disease and immunosuppression; nutrition and blood; musculoskeletal and joint disease; eye; ear; nose; skin; miscellaneous; and </w:t>
      </w:r>
      <w:proofErr w:type="spellStart"/>
      <w:r w:rsidR="006B5224" w:rsidRPr="006B5224">
        <w:rPr>
          <w:rFonts w:ascii="Arial" w:eastAsia="Arial" w:hAnsi="Arial" w:cs="Arial"/>
          <w:lang w:val="en-US"/>
        </w:rPr>
        <w:t>genito</w:t>
      </w:r>
      <w:proofErr w:type="spellEnd"/>
      <w:r w:rsidR="006B5224" w:rsidRPr="006B5224">
        <w:rPr>
          <w:rFonts w:ascii="Arial" w:eastAsia="Arial" w:hAnsi="Arial" w:cs="Arial"/>
          <w:lang w:val="en-US"/>
        </w:rPr>
        <w:t xml:space="preserve">-urinary tract. The number of systems each participant was taking medications for was </w:t>
      </w:r>
      <w:r w:rsidR="00DB04DF">
        <w:rPr>
          <w:rFonts w:ascii="Arial" w:eastAsia="Arial" w:hAnsi="Arial" w:cs="Arial"/>
          <w:lang w:val="en-US"/>
        </w:rPr>
        <w:t>then derived;</w:t>
      </w:r>
      <w:r w:rsidR="006B5224" w:rsidRPr="006B5224">
        <w:rPr>
          <w:rFonts w:ascii="Arial" w:eastAsia="Arial" w:hAnsi="Arial" w:cs="Arial"/>
          <w:lang w:val="en-US"/>
        </w:rPr>
        <w:t xml:space="preserve"> </w:t>
      </w:r>
      <w:r w:rsidR="00DB04DF">
        <w:rPr>
          <w:rFonts w:ascii="Arial" w:eastAsia="Arial" w:hAnsi="Arial" w:cs="Arial"/>
          <w:lang w:val="en-US"/>
        </w:rPr>
        <w:t>this was used as a marker of morbidity level</w:t>
      </w:r>
      <w:r w:rsidR="00C96DE9">
        <w:rPr>
          <w:rFonts w:ascii="Arial" w:eastAsia="Arial" w:hAnsi="Arial" w:cs="Arial"/>
          <w:lang w:val="en-US"/>
        </w:rPr>
        <w:t xml:space="preserve"> as has been done previously in this cohort</w:t>
      </w:r>
      <w:r w:rsidR="0010255A">
        <w:rPr>
          <w:rFonts w:ascii="Arial" w:eastAsia="Arial" w:hAnsi="Arial" w:cs="Arial"/>
          <w:lang w:val="en-US"/>
        </w:rPr>
        <w:t xml:space="preserve"> </w:t>
      </w:r>
      <w:r w:rsidR="0010255A">
        <w:rPr>
          <w:rFonts w:ascii="Arial" w:eastAsia="Arial" w:hAnsi="Arial" w:cs="Arial"/>
          <w:lang w:val="en-US"/>
        </w:rPr>
        <w:fldChar w:fldCharType="begin">
          <w:fldData xml:space="preserve">PEVuZE5vdGU+PENpdGU+PEF1dGhvcj5GdWdnbGU8L0F1dGhvcj48WWVhcj4yMDE4PC9ZZWFyPjxS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</w:fldData>
        </w:fldChar>
      </w:r>
      <w:r w:rsidR="002D5ECA">
        <w:rPr>
          <w:rFonts w:ascii="Arial" w:eastAsia="Arial" w:hAnsi="Arial" w:cs="Arial"/>
          <w:lang w:val="en-US"/>
        </w:rPr>
        <w:instrText xml:space="preserve"> ADDIN EN.CITE </w:instrText>
      </w:r>
      <w:r w:rsidR="002D5ECA">
        <w:rPr>
          <w:rFonts w:ascii="Arial" w:eastAsia="Arial" w:hAnsi="Arial" w:cs="Arial"/>
          <w:lang w:val="en-US"/>
        </w:rPr>
        <w:fldChar w:fldCharType="begin">
          <w:fldData xml:space="preserve">PEVuZE5vdGU+PENpdGU+PEF1dGhvcj5GdWdnbGU8L0F1dGhvcj48WWVhcj4yMDE4PC9ZZWFyPjxS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</w:fldData>
        </w:fldChar>
      </w:r>
      <w:r w:rsidR="002D5ECA">
        <w:rPr>
          <w:rFonts w:ascii="Arial" w:eastAsia="Arial" w:hAnsi="Arial" w:cs="Arial"/>
          <w:lang w:val="en-US"/>
        </w:rPr>
        <w:instrText xml:space="preserve"> ADDIN EN.CITE.DATA </w:instrText>
      </w:r>
      <w:r w:rsidR="002D5ECA">
        <w:rPr>
          <w:rFonts w:ascii="Arial" w:eastAsia="Arial" w:hAnsi="Arial" w:cs="Arial"/>
          <w:lang w:val="en-US"/>
        </w:rPr>
      </w:r>
      <w:r w:rsidR="002D5ECA">
        <w:rPr>
          <w:rFonts w:ascii="Arial" w:eastAsia="Arial" w:hAnsi="Arial" w:cs="Arial"/>
          <w:lang w:val="en-US"/>
        </w:rPr>
        <w:fldChar w:fldCharType="end"/>
      </w:r>
      <w:r w:rsidR="0010255A">
        <w:rPr>
          <w:rFonts w:ascii="Arial" w:eastAsia="Arial" w:hAnsi="Arial" w:cs="Arial"/>
          <w:lang w:val="en-US"/>
        </w:rPr>
      </w:r>
      <w:r w:rsidR="0010255A">
        <w:rPr>
          <w:rFonts w:ascii="Arial" w:eastAsia="Arial" w:hAnsi="Arial" w:cs="Arial"/>
          <w:lang w:val="en-US"/>
        </w:rPr>
        <w:fldChar w:fldCharType="separate"/>
      </w:r>
      <w:r w:rsidR="002D5ECA">
        <w:rPr>
          <w:rFonts w:ascii="Arial" w:eastAsia="Arial" w:hAnsi="Arial" w:cs="Arial"/>
          <w:noProof/>
          <w:lang w:val="en-US"/>
        </w:rPr>
        <w:t>[20-22]</w:t>
      </w:r>
      <w:r w:rsidR="0010255A">
        <w:rPr>
          <w:rFonts w:ascii="Arial" w:eastAsia="Arial" w:hAnsi="Arial" w:cs="Arial"/>
          <w:lang w:val="en-US"/>
        </w:rPr>
        <w:fldChar w:fldCharType="end"/>
      </w:r>
      <w:r w:rsidR="006B5224" w:rsidRPr="006B5224">
        <w:rPr>
          <w:rFonts w:ascii="Arial" w:eastAsia="Arial" w:hAnsi="Arial" w:cs="Arial"/>
          <w:lang w:val="en-US"/>
        </w:rPr>
        <w:t xml:space="preserve">. </w:t>
      </w:r>
      <w:r w:rsidR="00DB04DF">
        <w:rPr>
          <w:rFonts w:ascii="Arial" w:eastAsia="Arial" w:hAnsi="Arial" w:cs="Arial"/>
          <w:lang w:val="en-US"/>
        </w:rPr>
        <w:t>M</w:t>
      </w:r>
      <w:r w:rsidR="006B5224" w:rsidRPr="006B5224">
        <w:rPr>
          <w:rFonts w:ascii="Arial" w:eastAsia="Arial" w:hAnsi="Arial" w:cs="Arial"/>
          <w:lang w:val="en-US"/>
        </w:rPr>
        <w:t>easures of morbidity burden based on medicatio</w:t>
      </w:r>
      <w:r w:rsidR="00815848">
        <w:rPr>
          <w:rFonts w:ascii="Arial" w:eastAsia="Arial" w:hAnsi="Arial" w:cs="Arial"/>
          <w:lang w:val="en-US"/>
        </w:rPr>
        <w:t>ns taken</w:t>
      </w:r>
      <w:r w:rsidR="006B5224" w:rsidRPr="006B5224">
        <w:rPr>
          <w:rFonts w:ascii="Arial" w:eastAsia="Arial" w:hAnsi="Arial" w:cs="Arial"/>
          <w:lang w:val="en-US"/>
        </w:rPr>
        <w:t xml:space="preserve"> are widely used and are strongly </w:t>
      </w:r>
      <w:r w:rsidR="00C96DE9">
        <w:rPr>
          <w:rFonts w:ascii="Arial" w:eastAsia="Arial" w:hAnsi="Arial" w:cs="Arial"/>
          <w:lang w:val="en-US"/>
        </w:rPr>
        <w:t xml:space="preserve">associated with adverse health </w:t>
      </w:r>
      <w:r w:rsidR="006B5224" w:rsidRPr="006B5224">
        <w:rPr>
          <w:rFonts w:ascii="Arial" w:eastAsia="Arial" w:hAnsi="Arial" w:cs="Arial"/>
          <w:lang w:val="en-US"/>
        </w:rPr>
        <w:t>outcomes</w:t>
      </w:r>
      <w:r w:rsidR="0010255A">
        <w:rPr>
          <w:rFonts w:ascii="Arial" w:eastAsia="Arial" w:hAnsi="Arial" w:cs="Arial"/>
          <w:lang w:val="en-US"/>
        </w:rPr>
        <w:t xml:space="preserve"> </w:t>
      </w:r>
      <w:r w:rsidR="0010255A">
        <w:rPr>
          <w:rFonts w:ascii="Arial" w:eastAsia="Arial" w:hAnsi="Arial" w:cs="Arial"/>
          <w:lang w:val="en-US"/>
        </w:rPr>
        <w:fldChar w:fldCharType="begin"/>
      </w:r>
      <w:r w:rsidR="002D5ECA">
        <w:rPr>
          <w:rFonts w:ascii="Arial" w:eastAsia="Arial" w:hAnsi="Arial" w:cs="Arial"/>
          <w:lang w:val="en-US"/>
        </w:rPr>
        <w:instrText xml:space="preserve"> ADDIN EN.CITE &lt;EndNote&gt;&lt;Cite&gt;&lt;Author&gt;Huntley&lt;/Author&gt;&lt;Year&gt;2012&lt;/Year&gt;&lt;RecNum&gt;435&lt;/RecNum&gt;&lt;DisplayText&gt;[23]&lt;/DisplayText&gt;&lt;record&gt;&lt;rec-number&gt;435&lt;/rec-number&gt;&lt;foreign-keys&gt;&lt;key app="EN" db-id="xp2sx5aahpsveaea2zq5s2xsef9d0fsxsxex" timestamp="1710173120"&gt;435&lt;/key&gt;&lt;/foreign-keys&gt;&lt;ref-type name="Journal Article"&gt;17&lt;/ref-type&gt;&lt;contributors&gt;&lt;authors&gt;&lt;author&gt;Huntley, Alyson L&lt;/author&gt;&lt;author&gt;Johnson, Rachel&lt;/author&gt;&lt;author&gt;Purdy, Sarah&lt;/author&gt;&lt;author&gt;Valderas, Jose M&lt;/author&gt;&lt;author&gt;Salisbury, Chris&lt;/author&gt;&lt;/authors&gt;&lt;/contributors&gt;&lt;titles&gt;&lt;title&gt;Measures of multimorbidity and morbidity burden for use in primary care and community settings: a systematic review and guide&lt;/title&gt;&lt;secondary-title&gt;Ann Fam Med.&lt;/secondary-title&gt;&lt;/titles&gt;&lt;periodical&gt;&lt;full-title&gt;Ann Fam Med.&lt;/full-title&gt;&lt;/periodical&gt;&lt;pages&gt;134-141&lt;/pages&gt;&lt;volume&gt;10&lt;/volume&gt;&lt;number&gt;2&lt;/number&gt;&lt;dates&gt;&lt;year&gt;2012&lt;/year&gt;&lt;/dates&gt;&lt;urls&gt;&lt;/urls&gt;&lt;electronic-resource-num&gt;https://doi.org/10.1370/afm.1363&lt;/electronic-resource-num&gt;&lt;/record&gt;&lt;/Cite&gt;&lt;/EndNote&gt;</w:instrText>
      </w:r>
      <w:r w:rsidR="0010255A">
        <w:rPr>
          <w:rFonts w:ascii="Arial" w:eastAsia="Arial" w:hAnsi="Arial" w:cs="Arial"/>
          <w:lang w:val="en-US"/>
        </w:rPr>
        <w:fldChar w:fldCharType="separate"/>
      </w:r>
      <w:r w:rsidR="002D5ECA">
        <w:rPr>
          <w:rFonts w:ascii="Arial" w:eastAsia="Arial" w:hAnsi="Arial" w:cs="Arial"/>
          <w:noProof/>
          <w:lang w:val="en-US"/>
        </w:rPr>
        <w:t>[23]</w:t>
      </w:r>
      <w:r w:rsidR="0010255A">
        <w:rPr>
          <w:rFonts w:ascii="Arial" w:eastAsia="Arial" w:hAnsi="Arial" w:cs="Arial"/>
          <w:lang w:val="en-US"/>
        </w:rPr>
        <w:fldChar w:fldCharType="end"/>
      </w:r>
      <w:r w:rsidR="006B5224" w:rsidRPr="006B5224">
        <w:rPr>
          <w:rFonts w:ascii="Arial" w:eastAsia="Arial" w:hAnsi="Arial" w:cs="Arial"/>
          <w:lang w:val="en-US"/>
        </w:rPr>
        <w:t>.</w:t>
      </w:r>
    </w:p>
    <w:p w14:paraId="7DF669AB" w14:textId="77777777" w:rsidR="00ED2183" w:rsidRDefault="0089575D" w:rsidP="00FC17F5">
      <w:pPr>
        <w:spacing w:after="200" w:line="480" w:lineRule="auto"/>
        <w:jc w:val="both"/>
        <w:rPr>
          <w:rFonts w:ascii="Arial" w:eastAsia="Arial" w:hAnsi="Arial" w:cs="Arial"/>
          <w:lang w:val="en-US"/>
        </w:rPr>
      </w:pPr>
      <w:r w:rsidRPr="0089575D">
        <w:rPr>
          <w:rFonts w:ascii="Arial" w:eastAsia="Arial" w:hAnsi="Arial" w:cs="Arial"/>
          <w:lang w:val="en-US"/>
        </w:rPr>
        <w:t xml:space="preserve">At the baseline clinic, </w:t>
      </w:r>
      <w:r w:rsidR="0095735C">
        <w:rPr>
          <w:rFonts w:ascii="Arial" w:eastAsia="Arial" w:hAnsi="Arial" w:cs="Arial"/>
          <w:lang w:val="en-US"/>
        </w:rPr>
        <w:t>participants had their</w:t>
      </w:r>
      <w:r w:rsidRPr="0089575D">
        <w:rPr>
          <w:rFonts w:ascii="Arial" w:eastAsia="Arial" w:hAnsi="Arial" w:cs="Arial"/>
          <w:lang w:val="en-US"/>
        </w:rPr>
        <w:t xml:space="preserve"> height (</w:t>
      </w:r>
      <w:proofErr w:type="spellStart"/>
      <w:r w:rsidRPr="0089575D">
        <w:rPr>
          <w:rFonts w:ascii="Arial" w:eastAsia="Arial" w:hAnsi="Arial" w:cs="Arial"/>
          <w:lang w:val="en-US"/>
        </w:rPr>
        <w:t>Harpenden</w:t>
      </w:r>
      <w:proofErr w:type="spellEnd"/>
      <w:r w:rsidRPr="0089575D">
        <w:rPr>
          <w:rFonts w:ascii="Arial" w:eastAsia="Arial" w:hAnsi="Arial" w:cs="Arial"/>
          <w:lang w:val="en-US"/>
        </w:rPr>
        <w:t xml:space="preserve"> pocket stadiometer, </w:t>
      </w:r>
      <w:proofErr w:type="spellStart"/>
      <w:r w:rsidRPr="0089575D">
        <w:rPr>
          <w:rFonts w:ascii="Arial" w:eastAsia="Arial" w:hAnsi="Arial" w:cs="Arial"/>
          <w:lang w:val="en-US"/>
        </w:rPr>
        <w:t>Chasmors</w:t>
      </w:r>
      <w:proofErr w:type="spellEnd"/>
      <w:r w:rsidRPr="0089575D">
        <w:rPr>
          <w:rFonts w:ascii="Arial" w:eastAsia="Arial" w:hAnsi="Arial" w:cs="Arial"/>
          <w:lang w:val="en-US"/>
        </w:rPr>
        <w:t xml:space="preserve"> Ltd, London, UK) and weight (SECA floor scale, </w:t>
      </w:r>
      <w:proofErr w:type="spellStart"/>
      <w:r w:rsidRPr="0089575D">
        <w:rPr>
          <w:rFonts w:ascii="Arial" w:eastAsia="Arial" w:hAnsi="Arial" w:cs="Arial"/>
          <w:lang w:val="en-US"/>
        </w:rPr>
        <w:t>Chasmors</w:t>
      </w:r>
      <w:proofErr w:type="spellEnd"/>
      <w:r w:rsidRPr="0089575D">
        <w:rPr>
          <w:rFonts w:ascii="Arial" w:eastAsia="Arial" w:hAnsi="Arial" w:cs="Arial"/>
          <w:lang w:val="en-US"/>
        </w:rPr>
        <w:t xml:space="preserve"> Ltd, London, UK) </w:t>
      </w:r>
      <w:r w:rsidR="0095735C">
        <w:rPr>
          <w:rFonts w:ascii="Arial" w:eastAsia="Arial" w:hAnsi="Arial" w:cs="Arial"/>
          <w:lang w:val="en-US"/>
        </w:rPr>
        <w:t xml:space="preserve">measured; these </w:t>
      </w:r>
      <w:r w:rsidR="00E8448A">
        <w:rPr>
          <w:rFonts w:ascii="Arial" w:eastAsia="Arial" w:hAnsi="Arial" w:cs="Arial"/>
          <w:lang w:val="en-US"/>
        </w:rPr>
        <w:t>measurements</w:t>
      </w:r>
      <w:r w:rsidR="0095735C">
        <w:rPr>
          <w:rFonts w:ascii="Arial" w:eastAsia="Arial" w:hAnsi="Arial" w:cs="Arial"/>
          <w:lang w:val="en-US"/>
        </w:rPr>
        <w:t xml:space="preserve"> were used to derive BMI</w:t>
      </w:r>
      <w:r w:rsidRPr="0089575D">
        <w:rPr>
          <w:rFonts w:ascii="Arial" w:eastAsia="Arial" w:hAnsi="Arial" w:cs="Arial"/>
          <w:lang w:val="en-US"/>
        </w:rPr>
        <w:t>.</w:t>
      </w:r>
    </w:p>
    <w:p w14:paraId="0861C26D" w14:textId="77777777" w:rsidR="00D20EDE" w:rsidRDefault="00D20EDE" w:rsidP="00FC17F5">
      <w:pPr>
        <w:spacing w:after="200" w:line="480" w:lineRule="auto"/>
        <w:jc w:val="both"/>
        <w:rPr>
          <w:rFonts w:ascii="Arial" w:eastAsia="Arial" w:hAnsi="Arial" w:cs="Arial"/>
          <w:lang w:val="en-US"/>
        </w:rPr>
      </w:pPr>
    </w:p>
    <w:p w14:paraId="6E17FBD9" w14:textId="7140C7CB" w:rsidR="00C570BB" w:rsidRPr="00ED2183" w:rsidRDefault="00C570BB" w:rsidP="00FC17F5">
      <w:pPr>
        <w:spacing w:after="200" w:line="480" w:lineRule="auto"/>
        <w:jc w:val="both"/>
        <w:rPr>
          <w:rFonts w:ascii="Arial" w:eastAsia="Arial" w:hAnsi="Arial" w:cs="Arial"/>
          <w:lang w:val="en-US"/>
        </w:rPr>
      </w:pPr>
      <w:r w:rsidRPr="00162BFA">
        <w:rPr>
          <w:rFonts w:ascii="Arial" w:eastAsia="Arial" w:hAnsi="Arial" w:cs="Arial"/>
          <w:i/>
          <w:iCs/>
          <w:lang w:val="en-US"/>
        </w:rPr>
        <w:t>Ascertainment of adverse health</w:t>
      </w:r>
      <w:r>
        <w:rPr>
          <w:rFonts w:ascii="Arial" w:eastAsia="Arial" w:hAnsi="Arial" w:cs="Arial"/>
          <w:i/>
          <w:iCs/>
          <w:lang w:val="en-US"/>
        </w:rPr>
        <w:t xml:space="preserve"> events</w:t>
      </w:r>
    </w:p>
    <w:p w14:paraId="25F6EAB4" w14:textId="41D234C9" w:rsidR="00FC5FBC" w:rsidRPr="00162BFA" w:rsidRDefault="00C570BB" w:rsidP="00FC17F5">
      <w:pPr>
        <w:spacing w:after="200" w:line="480" w:lineRule="auto"/>
        <w:jc w:val="both"/>
        <w:rPr>
          <w:rFonts w:ascii="Arial" w:eastAsia="Arial" w:hAnsi="Arial" w:cs="Arial"/>
          <w:lang w:val="en-US"/>
        </w:rPr>
      </w:pPr>
      <w:r>
        <w:rPr>
          <w:rFonts w:ascii="Arial" w:eastAsia="Arial" w:hAnsi="Arial" w:cs="Arial"/>
          <w:lang w:val="en-US"/>
        </w:rPr>
        <w:t xml:space="preserve">These events were identified using </w:t>
      </w:r>
      <w:r w:rsidRPr="00162BFA">
        <w:rPr>
          <w:rFonts w:ascii="Arial" w:eastAsia="Arial" w:hAnsi="Arial" w:cs="Arial"/>
          <w:lang w:val="en-US"/>
        </w:rPr>
        <w:t>Hospital Episode Statistics (HES) data</w:t>
      </w:r>
      <w:r>
        <w:rPr>
          <w:rFonts w:ascii="Arial" w:eastAsia="Arial" w:hAnsi="Arial" w:cs="Arial"/>
          <w:lang w:val="en-US"/>
        </w:rPr>
        <w:t xml:space="preserve"> and mortality data.</w:t>
      </w:r>
      <w:r w:rsidRPr="00C570BB">
        <w:rPr>
          <w:rFonts w:ascii="Arial" w:eastAsia="Arial" w:hAnsi="Arial" w:cs="Arial"/>
          <w:lang w:val="en-US"/>
        </w:rPr>
        <w:t xml:space="preserve"> </w:t>
      </w:r>
      <w:r w:rsidR="00DF5CF7">
        <w:rPr>
          <w:rFonts w:ascii="Arial" w:eastAsia="Arial" w:hAnsi="Arial" w:cs="Arial"/>
          <w:lang w:val="en-US"/>
        </w:rPr>
        <w:t>T</w:t>
      </w:r>
      <w:r w:rsidR="00DF5CF7" w:rsidRPr="00162BFA">
        <w:rPr>
          <w:rFonts w:ascii="Arial" w:eastAsia="Arial" w:hAnsi="Arial" w:cs="Arial"/>
          <w:lang w:val="en-US"/>
        </w:rPr>
        <w:t>he Ethics and Confidentiality Committee of the National Information Governance Board</w:t>
      </w:r>
      <w:r w:rsidR="00DF5CF7">
        <w:rPr>
          <w:rFonts w:ascii="Arial" w:eastAsia="Arial" w:hAnsi="Arial" w:cs="Arial"/>
          <w:lang w:val="en-US"/>
        </w:rPr>
        <w:t xml:space="preserve"> and NHS Digital granted permission to obtain these data from HCS participants </w:t>
      </w:r>
      <w:r w:rsidR="00DF5CF7" w:rsidRPr="00162BFA">
        <w:rPr>
          <w:rFonts w:ascii="Arial" w:eastAsia="Arial" w:hAnsi="Arial" w:cs="Arial"/>
          <w:lang w:val="en-US"/>
        </w:rPr>
        <w:t xml:space="preserve">from 01/04/1998 to </w:t>
      </w:r>
      <w:r w:rsidR="00DF5CF7">
        <w:rPr>
          <w:rFonts w:ascii="Arial" w:eastAsia="Arial" w:hAnsi="Arial" w:cs="Arial"/>
          <w:lang w:val="en-US"/>
        </w:rPr>
        <w:t>31</w:t>
      </w:r>
      <w:r w:rsidR="00DF5CF7" w:rsidRPr="00162BFA">
        <w:rPr>
          <w:rFonts w:ascii="Arial" w:eastAsia="Arial" w:hAnsi="Arial" w:cs="Arial"/>
          <w:lang w:val="en-US"/>
        </w:rPr>
        <w:t>/</w:t>
      </w:r>
      <w:r w:rsidR="00DF5CF7">
        <w:rPr>
          <w:rFonts w:ascii="Arial" w:eastAsia="Arial" w:hAnsi="Arial" w:cs="Arial"/>
          <w:lang w:val="en-US"/>
        </w:rPr>
        <w:t>12</w:t>
      </w:r>
      <w:r w:rsidR="00DF5CF7" w:rsidRPr="00162BFA">
        <w:rPr>
          <w:rFonts w:ascii="Arial" w:eastAsia="Arial" w:hAnsi="Arial" w:cs="Arial"/>
          <w:lang w:val="en-US"/>
        </w:rPr>
        <w:t>/20</w:t>
      </w:r>
      <w:r w:rsidR="00DF5CF7">
        <w:rPr>
          <w:rFonts w:ascii="Arial" w:eastAsia="Arial" w:hAnsi="Arial" w:cs="Arial"/>
          <w:lang w:val="en-US"/>
        </w:rPr>
        <w:t xml:space="preserve">18. </w:t>
      </w:r>
      <w:r w:rsidR="004330AC">
        <w:rPr>
          <w:rFonts w:ascii="Arial" w:eastAsia="Arial" w:hAnsi="Arial" w:cs="Arial"/>
          <w:lang w:val="en-US"/>
        </w:rPr>
        <w:t>Underlying causes of death were identified using ICD-10 codes and defined as follows: Cancer (</w:t>
      </w:r>
      <w:r w:rsidR="004330AC" w:rsidRPr="004330AC">
        <w:rPr>
          <w:rFonts w:ascii="Arial" w:eastAsia="Arial" w:hAnsi="Arial" w:cs="Arial"/>
          <w:lang w:val="en-US"/>
        </w:rPr>
        <w:t>C00-C97</w:t>
      </w:r>
      <w:r w:rsidR="004330AC">
        <w:rPr>
          <w:rFonts w:ascii="Arial" w:eastAsia="Arial" w:hAnsi="Arial" w:cs="Arial"/>
          <w:lang w:val="en-US"/>
        </w:rPr>
        <w:t>); Cardiovascular (</w:t>
      </w:r>
      <w:r w:rsidR="004330AC" w:rsidRPr="004330AC">
        <w:rPr>
          <w:rFonts w:ascii="Arial" w:eastAsia="Arial" w:hAnsi="Arial" w:cs="Arial"/>
          <w:lang w:val="en-US"/>
        </w:rPr>
        <w:t>I10-I79</w:t>
      </w:r>
      <w:r w:rsidR="004330AC">
        <w:rPr>
          <w:rFonts w:ascii="Arial" w:eastAsia="Arial" w:hAnsi="Arial" w:cs="Arial"/>
          <w:lang w:val="en-US"/>
        </w:rPr>
        <w:t xml:space="preserve">); and Other (other ICD-10 codes). </w:t>
      </w:r>
      <w:r w:rsidRPr="00162BFA">
        <w:rPr>
          <w:rFonts w:ascii="Arial" w:eastAsia="Arial" w:hAnsi="Arial" w:cs="Arial"/>
          <w:lang w:val="en-US"/>
        </w:rPr>
        <w:t xml:space="preserve">The Linkage of the HCS cohort with HES data </w:t>
      </w:r>
      <w:r>
        <w:rPr>
          <w:rFonts w:ascii="Arial" w:eastAsia="Arial" w:hAnsi="Arial" w:cs="Arial"/>
          <w:lang w:val="en-US"/>
        </w:rPr>
        <w:t>has been described previously</w:t>
      </w:r>
      <w:r w:rsidR="00736E94">
        <w:rPr>
          <w:rFonts w:ascii="Arial" w:eastAsia="Arial" w:hAnsi="Arial" w:cs="Arial"/>
          <w:lang w:val="en-US"/>
        </w:rPr>
        <w:t xml:space="preserve"> </w:t>
      </w:r>
      <w:r w:rsidR="00736E94">
        <w:rPr>
          <w:rFonts w:ascii="Arial" w:eastAsia="Arial" w:hAnsi="Arial" w:cs="Arial"/>
          <w:lang w:val="en-US"/>
        </w:rPr>
        <w:fldChar w:fldCharType="begin"/>
      </w:r>
      <w:r w:rsidR="002D5ECA">
        <w:rPr>
          <w:rFonts w:ascii="Arial" w:eastAsia="Arial" w:hAnsi="Arial" w:cs="Arial"/>
          <w:lang w:val="en-US"/>
        </w:rPr>
        <w:instrText xml:space="preserve"> ADDIN EN.CITE &lt;EndNote&gt;&lt;Cite&gt;&lt;Author&gt;Simmonds&lt;/Author&gt;&lt;Year&gt;2014&lt;/Year&gt;&lt;RecNum&gt;8&lt;/RecNum&gt;&lt;DisplayText&gt;[24]&lt;/DisplayText&gt;&lt;record&gt;&lt;rec-number&gt;8&lt;/rec-number&gt;&lt;foreign-keys&gt;&lt;key app="EN" db-id="xp2sx5aahpsveaea2zq5s2xsef9d0fsxsxex" timestamp="1447934546"&gt;8&lt;/key&gt;&lt;/foreign-keys&gt;&lt;ref-type name="Journal Article"&gt;17&lt;/ref-type&gt;&lt;contributors&gt;&lt;authors&gt;&lt;author&gt;Simmonds, S. J.&lt;/author&gt;&lt;author&gt;Syddall, H. E.&lt;/author&gt;&lt;author&gt;Walsh, B.&lt;/author&gt;&lt;author&gt;Evandrou, M.&lt;/author&gt;&lt;author&gt;Dennison, E. M.&lt;/author&gt;&lt;author&gt;Cooper, C.&lt;/author&gt;&lt;author&gt;Aihie Sayer, A.&lt;/author&gt;&lt;/authors&gt;&lt;/contributors&gt;&lt;titles&gt;&lt;title&gt;Understanding NHS hospital admissions in England: linkage of Hospital Episode Statistics to the Hertfordshire Cohort Study&lt;/title&gt;&lt;secondary-title&gt;Age Ageing.&lt;/secondary-title&gt;&lt;/titles&gt;&lt;periodical&gt;&lt;full-title&gt;Age Ageing.&lt;/full-title&gt;&lt;/periodical&gt;&lt;pages&gt;653-660&lt;/pages&gt;&lt;volume&gt;43&lt;/volume&gt;&lt;number&gt;5&lt;/number&gt;&lt;dates&gt;&lt;year&gt;2014&lt;/year&gt;&lt;/dates&gt;&lt;urls&gt;&lt;/urls&gt;&lt;electronic-resource-num&gt;https://doi.org/10.1093/ageing/afu020&lt;/electronic-resource-num&gt;&lt;/record&gt;&lt;/Cite&gt;&lt;/EndNote&gt;</w:instrText>
      </w:r>
      <w:r w:rsidR="00736E94">
        <w:rPr>
          <w:rFonts w:ascii="Arial" w:eastAsia="Arial" w:hAnsi="Arial" w:cs="Arial"/>
          <w:lang w:val="en-US"/>
        </w:rPr>
        <w:fldChar w:fldCharType="separate"/>
      </w:r>
      <w:r w:rsidR="002D5ECA">
        <w:rPr>
          <w:rFonts w:ascii="Arial" w:eastAsia="Arial" w:hAnsi="Arial" w:cs="Arial"/>
          <w:noProof/>
          <w:lang w:val="en-US"/>
        </w:rPr>
        <w:t>[24]</w:t>
      </w:r>
      <w:r w:rsidR="00736E94">
        <w:rPr>
          <w:rFonts w:ascii="Arial" w:eastAsia="Arial" w:hAnsi="Arial" w:cs="Arial"/>
          <w:lang w:val="en-US"/>
        </w:rPr>
        <w:fldChar w:fldCharType="end"/>
      </w:r>
      <w:r w:rsidRPr="00162BFA">
        <w:rPr>
          <w:rFonts w:ascii="Arial" w:eastAsia="Arial" w:hAnsi="Arial" w:cs="Arial"/>
          <w:lang w:val="en-US"/>
        </w:rPr>
        <w:t xml:space="preserve">; the HES </w:t>
      </w:r>
      <w:r>
        <w:rPr>
          <w:rFonts w:ascii="Arial" w:eastAsia="Arial" w:hAnsi="Arial" w:cs="Arial"/>
          <w:lang w:val="en-US"/>
        </w:rPr>
        <w:t xml:space="preserve">data extract for each participant </w:t>
      </w:r>
      <w:r w:rsidRPr="00162BFA">
        <w:rPr>
          <w:rFonts w:ascii="Arial" w:eastAsia="Arial" w:hAnsi="Arial" w:cs="Arial"/>
          <w:lang w:val="en-US"/>
        </w:rPr>
        <w:t xml:space="preserve">included </w:t>
      </w:r>
      <w:r>
        <w:rPr>
          <w:rFonts w:ascii="Arial" w:eastAsia="Arial" w:hAnsi="Arial" w:cs="Arial"/>
          <w:lang w:val="en-US"/>
        </w:rPr>
        <w:t xml:space="preserve">information relating to </w:t>
      </w:r>
      <w:r w:rsidR="00DB04DF">
        <w:rPr>
          <w:rFonts w:ascii="Arial" w:eastAsia="Arial" w:hAnsi="Arial" w:cs="Arial"/>
          <w:lang w:val="en-US"/>
        </w:rPr>
        <w:t xml:space="preserve">their </w:t>
      </w:r>
      <w:r>
        <w:rPr>
          <w:rFonts w:ascii="Arial" w:eastAsia="Arial" w:hAnsi="Arial" w:cs="Arial"/>
          <w:lang w:val="en-US"/>
        </w:rPr>
        <w:t>hospital admission</w:t>
      </w:r>
      <w:r w:rsidR="00DB04DF">
        <w:rPr>
          <w:rFonts w:ascii="Arial" w:eastAsia="Arial" w:hAnsi="Arial" w:cs="Arial"/>
          <w:lang w:val="en-US"/>
        </w:rPr>
        <w:t>s</w:t>
      </w:r>
      <w:r>
        <w:rPr>
          <w:rFonts w:ascii="Arial" w:eastAsia="Arial" w:hAnsi="Arial" w:cs="Arial"/>
          <w:lang w:val="en-US"/>
        </w:rPr>
        <w:t xml:space="preserve"> such as </w:t>
      </w:r>
      <w:r>
        <w:rPr>
          <w:rFonts w:ascii="Arial" w:eastAsia="Arial" w:hAnsi="Arial" w:cs="Arial"/>
          <w:lang w:val="en-US"/>
        </w:rPr>
        <w:lastRenderedPageBreak/>
        <w:t>the</w:t>
      </w:r>
      <w:r w:rsidRPr="00162BFA">
        <w:rPr>
          <w:rFonts w:ascii="Arial" w:eastAsia="Arial" w:hAnsi="Arial" w:cs="Arial"/>
          <w:lang w:val="en-US"/>
        </w:rPr>
        <w:t xml:space="preserve"> admission date, diagnoses coded to ICD-10, and date of discharge. </w:t>
      </w:r>
      <w:r>
        <w:rPr>
          <w:rFonts w:ascii="Arial" w:eastAsia="Arial" w:hAnsi="Arial" w:cs="Arial"/>
          <w:lang w:val="en-US"/>
        </w:rPr>
        <w:t>Admission types</w:t>
      </w:r>
      <w:r w:rsidRPr="00162BFA">
        <w:rPr>
          <w:rFonts w:ascii="Arial" w:eastAsia="Arial" w:hAnsi="Arial" w:cs="Arial"/>
          <w:lang w:val="en-US"/>
        </w:rPr>
        <w:t xml:space="preserve"> were identified by ICD-10 codes </w:t>
      </w:r>
      <w:r w:rsidR="00FC5FBC">
        <w:rPr>
          <w:rFonts w:ascii="Arial" w:eastAsia="Arial" w:hAnsi="Arial" w:cs="Arial"/>
          <w:lang w:val="en-US"/>
        </w:rPr>
        <w:t xml:space="preserve">assigned to each admission and were defined as follows: Neurological – </w:t>
      </w:r>
      <w:r w:rsidR="00FC5FBC" w:rsidRPr="00FC5FBC">
        <w:rPr>
          <w:rFonts w:ascii="Arial" w:eastAsia="Arial" w:hAnsi="Arial" w:cs="Arial"/>
          <w:lang w:val="en-US"/>
        </w:rPr>
        <w:t>G00-G99</w:t>
      </w:r>
      <w:r w:rsidR="00FC5FBC">
        <w:rPr>
          <w:rFonts w:ascii="Arial" w:eastAsia="Arial" w:hAnsi="Arial" w:cs="Arial"/>
          <w:lang w:val="en-US"/>
        </w:rPr>
        <w:t xml:space="preserve"> (d</w:t>
      </w:r>
      <w:r w:rsidR="00FC5FBC" w:rsidRPr="00FC5FBC">
        <w:rPr>
          <w:rFonts w:ascii="Arial" w:eastAsia="Arial" w:hAnsi="Arial" w:cs="Arial"/>
          <w:lang w:val="en-US"/>
        </w:rPr>
        <w:t>iseases of the nervous system</w:t>
      </w:r>
      <w:r w:rsidR="00FC5FBC">
        <w:rPr>
          <w:rFonts w:ascii="Arial" w:eastAsia="Arial" w:hAnsi="Arial" w:cs="Arial"/>
          <w:lang w:val="en-US"/>
        </w:rPr>
        <w:t xml:space="preserve">); </w:t>
      </w:r>
      <w:r w:rsidR="00FC5FBC" w:rsidRPr="00FC5FBC">
        <w:rPr>
          <w:rFonts w:ascii="Arial" w:eastAsia="Arial" w:hAnsi="Arial" w:cs="Arial"/>
          <w:lang w:val="en-US"/>
        </w:rPr>
        <w:t>Cardiovascular</w:t>
      </w:r>
      <w:r w:rsidR="00FC5FBC">
        <w:rPr>
          <w:rFonts w:ascii="Arial" w:eastAsia="Arial" w:hAnsi="Arial" w:cs="Arial"/>
          <w:lang w:val="en-US"/>
        </w:rPr>
        <w:t xml:space="preserve"> – </w:t>
      </w:r>
      <w:r w:rsidR="00FC5FBC" w:rsidRPr="00FC5FBC">
        <w:rPr>
          <w:rFonts w:ascii="Arial" w:eastAsia="Arial" w:hAnsi="Arial" w:cs="Arial"/>
          <w:lang w:val="en-US"/>
        </w:rPr>
        <w:t>I10-I79</w:t>
      </w:r>
      <w:r w:rsidR="00FC5FBC">
        <w:rPr>
          <w:rFonts w:ascii="Arial" w:eastAsia="Arial" w:hAnsi="Arial" w:cs="Arial"/>
          <w:lang w:val="en-US"/>
        </w:rPr>
        <w:t xml:space="preserve">; and Respiratory – </w:t>
      </w:r>
      <w:r w:rsidR="00FC5FBC" w:rsidRPr="00FC5FBC">
        <w:rPr>
          <w:rFonts w:ascii="Arial" w:eastAsia="Arial" w:hAnsi="Arial" w:cs="Arial"/>
          <w:lang w:val="en-US"/>
        </w:rPr>
        <w:t xml:space="preserve">J00-J99 </w:t>
      </w:r>
      <w:r w:rsidR="00FC5FBC">
        <w:rPr>
          <w:rFonts w:ascii="Arial" w:eastAsia="Arial" w:hAnsi="Arial" w:cs="Arial"/>
          <w:lang w:val="en-US"/>
        </w:rPr>
        <w:t>(d</w:t>
      </w:r>
      <w:r w:rsidR="00FC5FBC" w:rsidRPr="00FC5FBC">
        <w:rPr>
          <w:rFonts w:ascii="Arial" w:eastAsia="Arial" w:hAnsi="Arial" w:cs="Arial"/>
          <w:lang w:val="en-US"/>
        </w:rPr>
        <w:t>iseases of the respiratory system</w:t>
      </w:r>
      <w:r w:rsidR="00FC5FBC">
        <w:rPr>
          <w:rFonts w:ascii="Arial" w:eastAsia="Arial" w:hAnsi="Arial" w:cs="Arial"/>
          <w:lang w:val="en-US"/>
        </w:rPr>
        <w:t xml:space="preserve">). </w:t>
      </w:r>
    </w:p>
    <w:p w14:paraId="28B82B77" w14:textId="77777777" w:rsidR="00DF5CF7" w:rsidRDefault="00DF5CF7" w:rsidP="00FC17F5">
      <w:pPr>
        <w:pStyle w:val="Heading2"/>
        <w:keepNext w:val="0"/>
        <w:spacing w:before="0" w:after="200" w:line="480" w:lineRule="auto"/>
        <w:jc w:val="both"/>
        <w:rPr>
          <w:rFonts w:ascii="Arial" w:eastAsia="Arial" w:hAnsi="Arial" w:cs="Arial"/>
          <w:i/>
          <w:iCs/>
          <w:color w:val="auto"/>
          <w:sz w:val="22"/>
          <w:szCs w:val="22"/>
          <w:lang w:val="en-US"/>
        </w:rPr>
      </w:pPr>
    </w:p>
    <w:p w14:paraId="1F150446" w14:textId="3411C4D0" w:rsidR="00C570BB" w:rsidRPr="00162BFA" w:rsidRDefault="00C570BB" w:rsidP="00FC17F5">
      <w:pPr>
        <w:pStyle w:val="Heading2"/>
        <w:keepNext w:val="0"/>
        <w:spacing w:before="0" w:after="200" w:line="480" w:lineRule="auto"/>
        <w:jc w:val="both"/>
        <w:rPr>
          <w:rFonts w:ascii="Arial" w:eastAsia="Arial" w:hAnsi="Arial" w:cs="Arial"/>
          <w:i/>
          <w:iCs/>
          <w:color w:val="auto"/>
          <w:sz w:val="22"/>
          <w:szCs w:val="22"/>
          <w:lang w:val="en-US"/>
        </w:rPr>
      </w:pPr>
      <w:r w:rsidRPr="00162BFA">
        <w:rPr>
          <w:rFonts w:ascii="Arial" w:eastAsia="Arial" w:hAnsi="Arial" w:cs="Arial"/>
          <w:i/>
          <w:iCs/>
          <w:color w:val="auto"/>
          <w:sz w:val="22"/>
          <w:szCs w:val="22"/>
          <w:lang w:val="en-US"/>
        </w:rPr>
        <w:t>Statistical methods</w:t>
      </w:r>
    </w:p>
    <w:p w14:paraId="3F89C8EF" w14:textId="07CECE4E" w:rsidR="004D4EF6" w:rsidRPr="004D4EF6" w:rsidRDefault="00FC5FBC" w:rsidP="00A41144">
      <w:pPr>
        <w:pStyle w:val="PlainText"/>
        <w:spacing w:after="200" w:line="480" w:lineRule="auto"/>
        <w:jc w:val="both"/>
        <w:rPr>
          <w:rFonts w:ascii="Arial" w:hAnsi="Arial" w:cs="Arial"/>
        </w:rPr>
      </w:pPr>
      <w:r w:rsidRPr="004D4EF6">
        <w:rPr>
          <w:rFonts w:ascii="Arial" w:eastAsia="Arial" w:hAnsi="Arial" w:cs="Arial"/>
          <w:lang w:val="en-US"/>
        </w:rPr>
        <w:t>Descriptive statistics were used to describe key baseline participant characteristics and the health events experienced during follow-up</w:t>
      </w:r>
      <w:r w:rsidR="00C570BB" w:rsidRPr="004D4EF6">
        <w:rPr>
          <w:rFonts w:ascii="Arial" w:eastAsia="Arial" w:hAnsi="Arial" w:cs="Arial"/>
          <w:lang w:val="en-US"/>
        </w:rPr>
        <w:t xml:space="preserve">. </w:t>
      </w:r>
      <w:bookmarkStart w:id="14" w:name="_Hlk146277067"/>
      <w:bookmarkStart w:id="15" w:name="_Hlk146012709"/>
      <w:r w:rsidR="004330AC" w:rsidRPr="004D4EF6">
        <w:rPr>
          <w:rFonts w:ascii="Arial" w:eastAsia="Arial" w:hAnsi="Arial" w:cs="Arial"/>
          <w:lang w:val="en-US"/>
        </w:rPr>
        <w:t>Number of systems medicated in relation to risk of</w:t>
      </w:r>
      <w:r w:rsidR="0078502F" w:rsidRPr="004D4EF6">
        <w:rPr>
          <w:rFonts w:ascii="Arial" w:eastAsia="Arial" w:hAnsi="Arial" w:cs="Arial"/>
          <w:lang w:val="en-US"/>
        </w:rPr>
        <w:t xml:space="preserve"> adverse events relating to </w:t>
      </w:r>
      <w:r w:rsidR="004330AC" w:rsidRPr="004D4EF6">
        <w:rPr>
          <w:rFonts w:ascii="Arial" w:eastAsia="Arial" w:hAnsi="Arial" w:cs="Arial"/>
          <w:lang w:val="en-US"/>
        </w:rPr>
        <w:t>mortality (all-cause, cancer-related, cardiovascular-related</w:t>
      </w:r>
      <w:r w:rsidR="00ED2183" w:rsidRPr="004D4EF6">
        <w:rPr>
          <w:rFonts w:ascii="Arial" w:eastAsia="Arial" w:hAnsi="Arial" w:cs="Arial"/>
          <w:lang w:val="en-US"/>
        </w:rPr>
        <w:t>, and mortality not due to cancer or cardiovascular causes</w:t>
      </w:r>
      <w:r w:rsidR="004330AC" w:rsidRPr="004D4EF6">
        <w:rPr>
          <w:rFonts w:ascii="Arial" w:eastAsia="Arial" w:hAnsi="Arial" w:cs="Arial"/>
          <w:lang w:val="en-US"/>
        </w:rPr>
        <w:t xml:space="preserve">) </w:t>
      </w:r>
      <w:r w:rsidR="0078502F" w:rsidRPr="004D4EF6">
        <w:rPr>
          <w:rFonts w:ascii="Arial" w:eastAsia="Arial" w:hAnsi="Arial" w:cs="Arial"/>
          <w:lang w:val="en-US"/>
        </w:rPr>
        <w:t xml:space="preserve">and hospital admission (any, neurological, </w:t>
      </w:r>
      <w:proofErr w:type="gramStart"/>
      <w:r w:rsidR="0078502F" w:rsidRPr="004D4EF6">
        <w:rPr>
          <w:rFonts w:ascii="Arial" w:eastAsia="Arial" w:hAnsi="Arial" w:cs="Arial"/>
          <w:lang w:val="en-US"/>
        </w:rPr>
        <w:t>cardiovascular</w:t>
      </w:r>
      <w:proofErr w:type="gramEnd"/>
      <w:r w:rsidR="0078502F" w:rsidRPr="004D4EF6">
        <w:rPr>
          <w:rFonts w:ascii="Arial" w:eastAsia="Arial" w:hAnsi="Arial" w:cs="Arial"/>
          <w:lang w:val="en-US"/>
        </w:rPr>
        <w:t xml:space="preserve"> and respiratory) were examined </w:t>
      </w:r>
      <w:r w:rsidR="006D06A3" w:rsidRPr="004D4EF6">
        <w:rPr>
          <w:rFonts w:ascii="Arial" w:eastAsia="Arial" w:hAnsi="Arial" w:cs="Arial"/>
          <w:lang w:val="en-US"/>
        </w:rPr>
        <w:t xml:space="preserve">using </w:t>
      </w:r>
      <w:r w:rsidR="0078502F" w:rsidRPr="004D4EF6">
        <w:rPr>
          <w:rFonts w:ascii="Arial" w:eastAsia="Arial" w:hAnsi="Arial" w:cs="Arial"/>
          <w:lang w:val="en-US"/>
        </w:rPr>
        <w:t>time-to-first event Cox regression</w:t>
      </w:r>
      <w:bookmarkEnd w:id="14"/>
      <w:r w:rsidR="00FC5ADF" w:rsidRPr="004D4EF6">
        <w:rPr>
          <w:rFonts w:ascii="Arial" w:eastAsia="Arial" w:hAnsi="Arial" w:cs="Arial"/>
          <w:lang w:val="en-US"/>
        </w:rPr>
        <w:t xml:space="preserve">. </w:t>
      </w:r>
      <w:bookmarkStart w:id="16" w:name="_Hlk171405558"/>
      <w:bookmarkEnd w:id="15"/>
      <w:r w:rsidR="0060252D" w:rsidRPr="0060252D">
        <w:rPr>
          <w:rFonts w:ascii="Arial" w:eastAsia="Arial" w:hAnsi="Arial" w:cs="Arial"/>
          <w:lang w:val="en-US"/>
        </w:rPr>
        <w:t xml:space="preserve">The proportional hazards assumption for the Cox models was confirmed by plotting the scaled Schoenfeld residuals against time. </w:t>
      </w:r>
      <w:r w:rsidR="0078502F" w:rsidRPr="004D4EF6">
        <w:rPr>
          <w:rFonts w:ascii="Arial" w:eastAsia="Arial" w:hAnsi="Arial" w:cs="Arial"/>
          <w:lang w:val="en-US"/>
        </w:rPr>
        <w:t xml:space="preserve">Competing risk regression for the hospital admission events as a sensitivity analysis was performed </w:t>
      </w:r>
      <w:r w:rsidR="004330AC" w:rsidRPr="004D4EF6">
        <w:rPr>
          <w:rFonts w:ascii="Arial" w:eastAsia="Arial" w:hAnsi="Arial" w:cs="Arial"/>
          <w:lang w:val="en-US"/>
        </w:rPr>
        <w:t xml:space="preserve">using the Fine-Gray subdistribution hazards model with death as a competing </w:t>
      </w:r>
      <w:r w:rsidR="006D06A3" w:rsidRPr="004D4EF6">
        <w:rPr>
          <w:rFonts w:ascii="Arial" w:eastAsia="Arial" w:hAnsi="Arial" w:cs="Arial"/>
          <w:lang w:val="en-US"/>
        </w:rPr>
        <w:t>risk</w:t>
      </w:r>
      <w:r w:rsidR="004D0E6D">
        <w:rPr>
          <w:rFonts w:ascii="Arial" w:eastAsia="Arial" w:hAnsi="Arial" w:cs="Arial"/>
          <w:lang w:val="en-US"/>
        </w:rPr>
        <w:t xml:space="preserve"> </w:t>
      </w:r>
      <w:r w:rsidR="004D0E6D">
        <w:rPr>
          <w:rFonts w:ascii="Arial" w:eastAsia="Arial" w:hAnsi="Arial" w:cs="Arial"/>
          <w:lang w:val="en-US"/>
        </w:rPr>
        <w:fldChar w:fldCharType="begin"/>
      </w:r>
      <w:r w:rsidR="002D5ECA">
        <w:rPr>
          <w:rFonts w:ascii="Arial" w:eastAsia="Arial" w:hAnsi="Arial" w:cs="Arial"/>
          <w:lang w:val="en-US"/>
        </w:rPr>
        <w:instrText xml:space="preserve"> ADDIN EN.CITE &lt;EndNote&gt;&lt;Cite&gt;&lt;Author&gt;Fine&lt;/Author&gt;&lt;Year&gt;1999&lt;/Year&gt;&lt;RecNum&gt;422&lt;/RecNum&gt;&lt;DisplayText&gt;[25]&lt;/DisplayText&gt;&lt;record&gt;&lt;rec-number&gt;422&lt;/rec-number&gt;&lt;foreign-keys&gt;&lt;key app="EN" db-id="xp2sx5aahpsveaea2zq5s2xsef9d0fsxsxex" timestamp="1710152184"&gt;422&lt;/key&gt;&lt;/foreign-keys&gt;&lt;ref-type name="Journal Article"&gt;17&lt;/ref-type&gt;&lt;contributors&gt;&lt;authors&gt;&lt;author&gt;Fine, Jason P&lt;/author&gt;&lt;author&gt;Gray, Robert J&lt;/author&gt;&lt;/authors&gt;&lt;/contributors&gt;&lt;titles&gt;&lt;title&gt;A Proportional Hazards Model for the Subdistribution of a Competing Risk&lt;/title&gt;&lt;secondary-title&gt; J. Am. Stat. Assoc.&lt;/secondary-title&gt;&lt;/titles&gt;&lt;pages&gt;496-509&lt;/pages&gt;&lt;volume&gt;94&lt;/volume&gt;&lt;number&gt;446&lt;/number&gt;&lt;dates&gt;&lt;year&gt;1999&lt;/year&gt;&lt;/dates&gt;&lt;urls&gt;&lt;/urls&gt;&lt;electronic-resource-num&gt;https://doi.org/10.1080/01621459.1999.10474144&lt;/electronic-resource-num&gt;&lt;/record&gt;&lt;/Cite&gt;&lt;/EndNote&gt;</w:instrText>
      </w:r>
      <w:r w:rsidR="004D0E6D">
        <w:rPr>
          <w:rFonts w:ascii="Arial" w:eastAsia="Arial" w:hAnsi="Arial" w:cs="Arial"/>
          <w:lang w:val="en-US"/>
        </w:rPr>
        <w:fldChar w:fldCharType="separate"/>
      </w:r>
      <w:r w:rsidR="002D5ECA">
        <w:rPr>
          <w:rFonts w:ascii="Arial" w:eastAsia="Arial" w:hAnsi="Arial" w:cs="Arial"/>
          <w:noProof/>
          <w:lang w:val="en-US"/>
        </w:rPr>
        <w:t>[25]</w:t>
      </w:r>
      <w:r w:rsidR="004D0E6D">
        <w:rPr>
          <w:rFonts w:ascii="Arial" w:eastAsia="Arial" w:hAnsi="Arial" w:cs="Arial"/>
          <w:lang w:val="en-US"/>
        </w:rPr>
        <w:fldChar w:fldCharType="end"/>
      </w:r>
      <w:r w:rsidR="00ED2183" w:rsidRPr="004D4EF6">
        <w:rPr>
          <w:rFonts w:ascii="Arial" w:eastAsia="Arial" w:hAnsi="Arial" w:cs="Arial"/>
          <w:lang w:val="en-US"/>
        </w:rPr>
        <w:t>.</w:t>
      </w:r>
      <w:r w:rsidR="00A771A0" w:rsidRPr="004D4EF6">
        <w:rPr>
          <w:rFonts w:ascii="Arial" w:eastAsia="Arial" w:hAnsi="Arial" w:cs="Arial"/>
          <w:lang w:val="en-US"/>
        </w:rPr>
        <w:t xml:space="preserve"> </w:t>
      </w:r>
      <w:r w:rsidR="0060252D" w:rsidRPr="0060252D">
        <w:rPr>
          <w:rFonts w:ascii="Arial" w:eastAsia="Arial" w:hAnsi="Arial" w:cs="Arial"/>
          <w:lang w:val="en-US"/>
        </w:rPr>
        <w:t xml:space="preserve">For all survival analyses, follow-up time started from the HCS baseline clinic (ranging from 1998-2004, depending on each participant) and ended on 31st December 2018. </w:t>
      </w:r>
      <w:r w:rsidR="0078502F" w:rsidRPr="004D4EF6">
        <w:rPr>
          <w:rFonts w:ascii="Arial" w:eastAsia="Arial" w:hAnsi="Arial" w:cs="Arial"/>
          <w:lang w:val="en-US"/>
        </w:rPr>
        <w:t xml:space="preserve">Analyses were conducted using Stata, release 17.0; p&lt;0.05 was regarded as statistically significant. </w:t>
      </w:r>
      <w:r w:rsidR="00C570BB" w:rsidRPr="004D4EF6">
        <w:rPr>
          <w:rFonts w:ascii="Arial" w:eastAsia="Arial" w:hAnsi="Arial" w:cs="Arial"/>
          <w:lang w:val="en-US"/>
        </w:rPr>
        <w:t>All analyses were stratified by sex</w:t>
      </w:r>
      <w:r w:rsidR="0078502F" w:rsidRPr="004D4EF6">
        <w:rPr>
          <w:rFonts w:ascii="Arial" w:eastAsia="Arial" w:hAnsi="Arial" w:cs="Arial"/>
          <w:lang w:val="en-US"/>
        </w:rPr>
        <w:t>.</w:t>
      </w:r>
      <w:r w:rsidR="004D4EF6" w:rsidRPr="004D4EF6">
        <w:rPr>
          <w:rFonts w:ascii="Arial" w:hAnsi="Arial" w:cs="Arial"/>
        </w:rPr>
        <w:t xml:space="preserve"> </w:t>
      </w:r>
      <w:r w:rsidR="0060252D" w:rsidRPr="0060252D">
        <w:rPr>
          <w:rFonts w:ascii="Arial" w:hAnsi="Arial" w:cs="Arial"/>
        </w:rPr>
        <w:t>If an individual had missing values for variables required for the survival analysis of a particular outcome, for example, the follow-up time variable, then they were not included in the analysis of that particular outcome. However, the proportion of missing values for each adverse health outcome was very low and ranged from 0% to 0.13%.</w:t>
      </w:r>
      <w:bookmarkEnd w:id="16"/>
    </w:p>
    <w:p w14:paraId="23EE536A" w14:textId="77777777" w:rsidR="004D4EF6" w:rsidRPr="004D4EF6" w:rsidRDefault="004D4EF6" w:rsidP="004D4EF6">
      <w:pPr>
        <w:pStyle w:val="PlainText"/>
        <w:spacing w:line="360" w:lineRule="auto"/>
        <w:rPr>
          <w:rFonts w:ascii="Arial" w:hAnsi="Arial" w:cs="Arial"/>
        </w:rPr>
      </w:pPr>
    </w:p>
    <w:p w14:paraId="21475A11" w14:textId="126654A1" w:rsidR="00252AF0" w:rsidRPr="00B16F5F" w:rsidRDefault="00252AF0" w:rsidP="00FC17F5">
      <w:pPr>
        <w:spacing w:line="480" w:lineRule="auto"/>
        <w:rPr>
          <w:rFonts w:ascii="Arial" w:hAnsi="Arial" w:cs="Arial"/>
          <w:b/>
          <w:bCs/>
          <w:lang w:val="en-US"/>
        </w:rPr>
      </w:pPr>
      <w:r w:rsidRPr="009A3FC7">
        <w:rPr>
          <w:rFonts w:ascii="Arial" w:hAnsi="Arial" w:cs="Arial"/>
          <w:b/>
          <w:bCs/>
          <w:lang w:val="en-US"/>
        </w:rPr>
        <w:t>Results</w:t>
      </w:r>
      <w:r w:rsidRPr="009A3FC7">
        <w:rPr>
          <w:rFonts w:ascii="Arial" w:hAnsi="Arial" w:cs="Arial"/>
        </w:rPr>
        <w:t>  </w:t>
      </w:r>
    </w:p>
    <w:p w14:paraId="495712EB" w14:textId="77777777" w:rsidR="00252AF0" w:rsidRPr="009A3FC7" w:rsidRDefault="00252AF0" w:rsidP="00FC17F5">
      <w:pPr>
        <w:spacing w:line="480" w:lineRule="auto"/>
        <w:rPr>
          <w:rFonts w:ascii="Arial" w:hAnsi="Arial" w:cs="Arial"/>
        </w:rPr>
      </w:pPr>
      <w:r w:rsidRPr="009A3FC7">
        <w:rPr>
          <w:rFonts w:ascii="Arial" w:hAnsi="Arial" w:cs="Arial"/>
          <w:i/>
          <w:iCs/>
          <w:lang w:val="en-US"/>
        </w:rPr>
        <w:t>Descriptive statistics </w:t>
      </w:r>
      <w:r w:rsidRPr="009A3FC7">
        <w:rPr>
          <w:rFonts w:ascii="Arial" w:hAnsi="Arial" w:cs="Arial"/>
        </w:rPr>
        <w:t> </w:t>
      </w:r>
    </w:p>
    <w:p w14:paraId="6C393B72" w14:textId="4A47E04A" w:rsidR="00252AF0" w:rsidRDefault="00252AF0" w:rsidP="00FC17F5">
      <w:pPr>
        <w:spacing w:line="480" w:lineRule="auto"/>
        <w:jc w:val="both"/>
        <w:rPr>
          <w:rFonts w:ascii="Arial" w:hAnsi="Arial" w:cs="Arial"/>
          <w:lang w:val="en-US"/>
        </w:rPr>
      </w:pPr>
      <w:r>
        <w:rPr>
          <w:rFonts w:ascii="Arial" w:hAnsi="Arial" w:cs="Arial"/>
          <w:lang w:val="en-US"/>
        </w:rPr>
        <w:lastRenderedPageBreak/>
        <w:t xml:space="preserve">Table 1 presents descriptive statistics for the baseline participant characteristics and adverse health events during follow-up. Mean (SD) age at baseline was </w:t>
      </w:r>
      <w:r w:rsidRPr="009A3FC7">
        <w:rPr>
          <w:rFonts w:ascii="Arial" w:hAnsi="Arial" w:cs="Arial"/>
          <w:lang w:val="en-US"/>
        </w:rPr>
        <w:t>65.7 (2.9)</w:t>
      </w:r>
      <w:r>
        <w:rPr>
          <w:rFonts w:ascii="Arial" w:hAnsi="Arial" w:cs="Arial"/>
          <w:lang w:val="en-US"/>
        </w:rPr>
        <w:t xml:space="preserve"> among men and </w:t>
      </w:r>
      <w:r w:rsidRPr="009A3FC7">
        <w:rPr>
          <w:rFonts w:ascii="Arial" w:hAnsi="Arial" w:cs="Arial"/>
          <w:lang w:val="en-US"/>
        </w:rPr>
        <w:t>66.6 (2.7)</w:t>
      </w:r>
      <w:r>
        <w:rPr>
          <w:rFonts w:ascii="Arial" w:hAnsi="Arial" w:cs="Arial"/>
          <w:lang w:val="en-US"/>
        </w:rPr>
        <w:t xml:space="preserve"> among women. Overall, </w:t>
      </w:r>
      <w:r w:rsidRPr="009A3FC7">
        <w:rPr>
          <w:rFonts w:ascii="Arial" w:hAnsi="Arial" w:cs="Arial"/>
          <w:lang w:val="en-US"/>
        </w:rPr>
        <w:t>32%</w:t>
      </w:r>
      <w:r>
        <w:rPr>
          <w:rFonts w:ascii="Arial" w:hAnsi="Arial" w:cs="Arial"/>
          <w:lang w:val="en-US"/>
        </w:rPr>
        <w:t xml:space="preserve"> of men and </w:t>
      </w:r>
      <w:r w:rsidRPr="009A3FC7">
        <w:rPr>
          <w:rFonts w:ascii="Arial" w:hAnsi="Arial" w:cs="Arial"/>
          <w:lang w:val="en-US"/>
        </w:rPr>
        <w:t>24%</w:t>
      </w:r>
      <w:r>
        <w:rPr>
          <w:rFonts w:ascii="Arial" w:hAnsi="Arial" w:cs="Arial"/>
          <w:lang w:val="en-US"/>
        </w:rPr>
        <w:t xml:space="preserve"> of women ha</w:t>
      </w:r>
      <w:r w:rsidR="00E06B3E">
        <w:rPr>
          <w:rFonts w:ascii="Arial" w:hAnsi="Arial" w:cs="Arial"/>
          <w:lang w:val="en-US"/>
        </w:rPr>
        <w:t>d</w:t>
      </w:r>
      <w:r>
        <w:rPr>
          <w:rFonts w:ascii="Arial" w:hAnsi="Arial" w:cs="Arial"/>
          <w:lang w:val="en-US"/>
        </w:rPr>
        <w:t xml:space="preserve"> no systems medicated at baseline whereas 31% of men and 44% of women had two or more systems medicated. During follow-up, </w:t>
      </w:r>
      <w:r w:rsidRPr="009A3FC7">
        <w:rPr>
          <w:rFonts w:ascii="Arial" w:hAnsi="Arial" w:cs="Arial"/>
          <w:lang w:val="en-US"/>
        </w:rPr>
        <w:t xml:space="preserve">93% of men and 92% of women </w:t>
      </w:r>
      <w:r>
        <w:rPr>
          <w:rFonts w:ascii="Arial" w:hAnsi="Arial" w:cs="Arial"/>
          <w:lang w:val="en-US"/>
        </w:rPr>
        <w:t>had</w:t>
      </w:r>
      <w:r w:rsidRPr="009A3FC7">
        <w:rPr>
          <w:rFonts w:ascii="Arial" w:hAnsi="Arial" w:cs="Arial"/>
          <w:lang w:val="en-US"/>
        </w:rPr>
        <w:t xml:space="preserve"> at least one hospital admission</w:t>
      </w:r>
      <w:r>
        <w:rPr>
          <w:rFonts w:ascii="Arial" w:hAnsi="Arial" w:cs="Arial"/>
          <w:lang w:val="en-US"/>
        </w:rPr>
        <w:t xml:space="preserve">; </w:t>
      </w:r>
      <w:r w:rsidRPr="009A3FC7">
        <w:rPr>
          <w:rFonts w:ascii="Arial" w:hAnsi="Arial" w:cs="Arial"/>
          <w:lang w:val="en-US"/>
        </w:rPr>
        <w:t>36% of men and 26% of women died</w:t>
      </w:r>
      <w:r>
        <w:rPr>
          <w:rFonts w:ascii="Arial" w:hAnsi="Arial" w:cs="Arial"/>
          <w:lang w:val="en-US"/>
        </w:rPr>
        <w:t xml:space="preserve"> during follow-up.</w:t>
      </w:r>
    </w:p>
    <w:p w14:paraId="04D92FF9" w14:textId="77777777" w:rsidR="00D02298" w:rsidRDefault="00D02298" w:rsidP="00D02298">
      <w:pPr>
        <w:rPr>
          <w:rFonts w:ascii="Arial" w:hAnsi="Arial" w:cs="Arial"/>
          <w:b/>
          <w:bCs/>
          <w:noProof/>
          <w:sz w:val="20"/>
          <w:szCs w:val="20"/>
        </w:rPr>
      </w:pPr>
    </w:p>
    <w:p w14:paraId="6AAA85E3" w14:textId="55662AD6" w:rsidR="00252AF0" w:rsidRPr="009A3FC7" w:rsidRDefault="00252AF0" w:rsidP="00FC17F5">
      <w:pPr>
        <w:spacing w:line="480" w:lineRule="auto"/>
        <w:rPr>
          <w:rFonts w:ascii="Arial" w:hAnsi="Arial" w:cs="Arial"/>
        </w:rPr>
      </w:pPr>
      <w:r>
        <w:rPr>
          <w:rFonts w:ascii="Arial" w:hAnsi="Arial" w:cs="Arial"/>
          <w:i/>
          <w:iCs/>
          <w:lang w:val="en-US"/>
        </w:rPr>
        <w:t xml:space="preserve">Number of systems medicated in relation to adverse health </w:t>
      </w:r>
      <w:r w:rsidR="004B7FBA">
        <w:rPr>
          <w:rFonts w:ascii="Arial" w:hAnsi="Arial" w:cs="Arial"/>
          <w:i/>
          <w:iCs/>
          <w:lang w:val="en-US"/>
        </w:rPr>
        <w:t>events</w:t>
      </w:r>
    </w:p>
    <w:p w14:paraId="5C4F9623" w14:textId="20F49B1E" w:rsidR="00424D50" w:rsidRDefault="00752CFE" w:rsidP="00FC17F5">
      <w:pPr>
        <w:spacing w:line="480" w:lineRule="auto"/>
        <w:jc w:val="both"/>
        <w:rPr>
          <w:rFonts w:ascii="Arial" w:hAnsi="Arial" w:cs="Arial"/>
        </w:rPr>
      </w:pPr>
      <w:r w:rsidRPr="00752CFE">
        <w:rPr>
          <w:rFonts w:ascii="Arial" w:hAnsi="Arial" w:cs="Arial"/>
        </w:rPr>
        <w:t xml:space="preserve">Hazard ratios (95% CI) for adverse health </w:t>
      </w:r>
      <w:r w:rsidR="004B7FBA">
        <w:rPr>
          <w:rFonts w:ascii="Arial" w:hAnsi="Arial" w:cs="Arial"/>
        </w:rPr>
        <w:t>events</w:t>
      </w:r>
      <w:r w:rsidRPr="00752CFE">
        <w:rPr>
          <w:rFonts w:ascii="Arial" w:hAnsi="Arial" w:cs="Arial"/>
        </w:rPr>
        <w:t xml:space="preserve"> per </w:t>
      </w:r>
      <w:r w:rsidR="00E364C4">
        <w:rPr>
          <w:rFonts w:ascii="Arial" w:hAnsi="Arial" w:cs="Arial"/>
        </w:rPr>
        <w:t>additional system</w:t>
      </w:r>
      <w:r w:rsidRPr="00752CFE">
        <w:rPr>
          <w:rFonts w:ascii="Arial" w:hAnsi="Arial" w:cs="Arial"/>
        </w:rPr>
        <w:t xml:space="preserve"> medicated at baseline</w:t>
      </w:r>
      <w:r w:rsidR="004B7FBA">
        <w:rPr>
          <w:rFonts w:ascii="Arial" w:hAnsi="Arial" w:cs="Arial"/>
        </w:rPr>
        <w:t xml:space="preserve"> </w:t>
      </w:r>
      <w:r>
        <w:rPr>
          <w:rFonts w:ascii="Arial" w:hAnsi="Arial" w:cs="Arial"/>
        </w:rPr>
        <w:t>are presented in Table 2.</w:t>
      </w:r>
      <w:r w:rsidR="00E364C4">
        <w:rPr>
          <w:rFonts w:ascii="Arial" w:hAnsi="Arial" w:cs="Arial"/>
        </w:rPr>
        <w:t xml:space="preserve"> For some events, </w:t>
      </w:r>
      <w:r w:rsidR="00FB5DEC">
        <w:rPr>
          <w:rFonts w:ascii="Arial" w:hAnsi="Arial" w:cs="Arial"/>
        </w:rPr>
        <w:t xml:space="preserve">such as all-cause mortality, cardiovascular admissions and respiratory admissions, greater hazard ratios were observed among men compared to women. </w:t>
      </w:r>
      <w:r>
        <w:rPr>
          <w:rFonts w:ascii="Arial" w:hAnsi="Arial" w:cs="Arial"/>
        </w:rPr>
        <w:t xml:space="preserve">The </w:t>
      </w:r>
      <w:r w:rsidR="003D26F6">
        <w:rPr>
          <w:rFonts w:ascii="Arial" w:hAnsi="Arial" w:cs="Arial"/>
        </w:rPr>
        <w:t xml:space="preserve">relationship </w:t>
      </w:r>
      <w:r w:rsidR="00252AF0">
        <w:rPr>
          <w:rFonts w:ascii="Arial" w:hAnsi="Arial" w:cs="Arial"/>
        </w:rPr>
        <w:t xml:space="preserve">between number of systems medicated and risk of cancer-related mortality </w:t>
      </w:r>
      <w:r w:rsidR="006D06A3">
        <w:rPr>
          <w:rFonts w:ascii="Arial" w:hAnsi="Arial" w:cs="Arial"/>
        </w:rPr>
        <w:t xml:space="preserve">among women </w:t>
      </w:r>
      <w:r w:rsidR="00252AF0">
        <w:rPr>
          <w:rFonts w:ascii="Arial" w:hAnsi="Arial" w:cs="Arial"/>
        </w:rPr>
        <w:t>was weak (</w:t>
      </w:r>
      <w:r w:rsidR="004B7FBA">
        <w:rPr>
          <w:rFonts w:ascii="Arial" w:hAnsi="Arial" w:cs="Arial"/>
        </w:rPr>
        <w:t>p=</w:t>
      </w:r>
      <w:r w:rsidR="00252AF0">
        <w:rPr>
          <w:rFonts w:ascii="Arial" w:hAnsi="Arial" w:cs="Arial"/>
        </w:rPr>
        <w:t>0.5</w:t>
      </w:r>
      <w:r w:rsidR="00FB5DEC">
        <w:rPr>
          <w:rFonts w:ascii="Arial" w:hAnsi="Arial" w:cs="Arial"/>
        </w:rPr>
        <w:t>74</w:t>
      </w:r>
      <w:r w:rsidR="00252AF0">
        <w:rPr>
          <w:rFonts w:ascii="Arial" w:hAnsi="Arial" w:cs="Arial"/>
        </w:rPr>
        <w:t xml:space="preserve">). </w:t>
      </w:r>
      <w:bookmarkStart w:id="17" w:name="_Hlk146277227"/>
      <w:r w:rsidR="009D4D11">
        <w:rPr>
          <w:rFonts w:ascii="Arial" w:hAnsi="Arial" w:cs="Arial"/>
        </w:rPr>
        <w:t>However, f</w:t>
      </w:r>
      <w:r w:rsidRPr="00752CFE">
        <w:rPr>
          <w:rFonts w:ascii="Arial" w:hAnsi="Arial" w:cs="Arial"/>
        </w:rPr>
        <w:t xml:space="preserve">or </w:t>
      </w:r>
      <w:bookmarkStart w:id="18" w:name="_Hlk146013581"/>
      <w:r w:rsidRPr="00752CFE">
        <w:rPr>
          <w:rFonts w:ascii="Arial" w:hAnsi="Arial" w:cs="Arial"/>
        </w:rPr>
        <w:t xml:space="preserve">all other </w:t>
      </w:r>
      <w:r w:rsidR="004B7FBA">
        <w:rPr>
          <w:rFonts w:ascii="Arial" w:hAnsi="Arial" w:cs="Arial"/>
        </w:rPr>
        <w:t>events</w:t>
      </w:r>
      <w:r w:rsidRPr="00752CFE">
        <w:rPr>
          <w:rFonts w:ascii="Arial" w:hAnsi="Arial" w:cs="Arial"/>
        </w:rPr>
        <w:t xml:space="preserve">, a significant increase in risk </w:t>
      </w:r>
      <w:r w:rsidR="009D4D11">
        <w:rPr>
          <w:rFonts w:ascii="Arial" w:hAnsi="Arial" w:cs="Arial"/>
        </w:rPr>
        <w:t>was observed</w:t>
      </w:r>
      <w:r w:rsidRPr="00752CFE">
        <w:rPr>
          <w:rFonts w:ascii="Arial" w:hAnsi="Arial" w:cs="Arial"/>
        </w:rPr>
        <w:t xml:space="preserve"> </w:t>
      </w:r>
      <w:r w:rsidR="009D4D11">
        <w:rPr>
          <w:rFonts w:ascii="Arial" w:hAnsi="Arial" w:cs="Arial"/>
        </w:rPr>
        <w:t xml:space="preserve">for higher numbers of systems </w:t>
      </w:r>
      <w:r w:rsidRPr="00752CFE">
        <w:rPr>
          <w:rFonts w:ascii="Arial" w:hAnsi="Arial" w:cs="Arial"/>
        </w:rPr>
        <w:t>medicated</w:t>
      </w:r>
      <w:r w:rsidR="004B7FBA">
        <w:rPr>
          <w:rFonts w:ascii="Arial" w:hAnsi="Arial" w:cs="Arial"/>
        </w:rPr>
        <w:t xml:space="preserve"> (p≤0.001)</w:t>
      </w:r>
      <w:r>
        <w:rPr>
          <w:rFonts w:ascii="Arial" w:hAnsi="Arial" w:cs="Arial"/>
        </w:rPr>
        <w:t xml:space="preserve">; </w:t>
      </w:r>
      <w:r w:rsidR="00FB5DEC">
        <w:rPr>
          <w:rFonts w:ascii="Arial" w:hAnsi="Arial" w:cs="Arial"/>
        </w:rPr>
        <w:t>this was the case among men and women</w:t>
      </w:r>
      <w:r w:rsidRPr="00752CFE">
        <w:rPr>
          <w:rFonts w:ascii="Arial" w:hAnsi="Arial" w:cs="Arial"/>
        </w:rPr>
        <w:t>.</w:t>
      </w:r>
      <w:bookmarkEnd w:id="18"/>
      <w:r>
        <w:rPr>
          <w:rFonts w:ascii="Arial" w:hAnsi="Arial" w:cs="Arial"/>
        </w:rPr>
        <w:t xml:space="preserve"> </w:t>
      </w:r>
      <w:bookmarkEnd w:id="17"/>
      <w:r w:rsidR="00473554">
        <w:rPr>
          <w:rFonts w:ascii="Arial" w:hAnsi="Arial" w:cs="Arial"/>
        </w:rPr>
        <w:t xml:space="preserve">For example, the hazard ratio (95% CI) for a cardiovascular admission per </w:t>
      </w:r>
      <w:r w:rsidR="00FB5DEC">
        <w:rPr>
          <w:rFonts w:ascii="Arial" w:hAnsi="Arial" w:cs="Arial"/>
        </w:rPr>
        <w:t>additional system medicated</w:t>
      </w:r>
      <w:r w:rsidR="00473554">
        <w:rPr>
          <w:rFonts w:ascii="Arial" w:hAnsi="Arial" w:cs="Arial"/>
        </w:rPr>
        <w:t xml:space="preserve"> was </w:t>
      </w:r>
      <w:r w:rsidR="00FB5DEC" w:rsidRPr="00FB5DEC">
        <w:rPr>
          <w:rFonts w:ascii="Arial" w:hAnsi="Arial" w:cs="Arial"/>
        </w:rPr>
        <w:t>1.40 (1.34,</w:t>
      </w:r>
      <w:r w:rsidR="0000316A">
        <w:rPr>
          <w:rFonts w:ascii="Arial" w:hAnsi="Arial" w:cs="Arial"/>
        </w:rPr>
        <w:t xml:space="preserve"> </w:t>
      </w:r>
      <w:r w:rsidR="00FB5DEC" w:rsidRPr="00FB5DEC">
        <w:rPr>
          <w:rFonts w:ascii="Arial" w:hAnsi="Arial" w:cs="Arial"/>
        </w:rPr>
        <w:t>1.47)</w:t>
      </w:r>
      <w:r w:rsidR="00FB5DEC">
        <w:rPr>
          <w:rFonts w:ascii="Arial" w:hAnsi="Arial" w:cs="Arial"/>
        </w:rPr>
        <w:t xml:space="preserve"> among men and </w:t>
      </w:r>
      <w:r w:rsidR="00FB5DEC" w:rsidRPr="00FB5DEC">
        <w:rPr>
          <w:rFonts w:ascii="Arial" w:hAnsi="Arial" w:cs="Arial"/>
        </w:rPr>
        <w:t>1.33 (1.28,</w:t>
      </w:r>
      <w:r w:rsidR="0000316A">
        <w:rPr>
          <w:rFonts w:ascii="Arial" w:hAnsi="Arial" w:cs="Arial"/>
        </w:rPr>
        <w:t xml:space="preserve"> </w:t>
      </w:r>
      <w:r w:rsidR="00FB5DEC" w:rsidRPr="00FB5DEC">
        <w:rPr>
          <w:rFonts w:ascii="Arial" w:hAnsi="Arial" w:cs="Arial"/>
        </w:rPr>
        <w:t>1.39)</w:t>
      </w:r>
      <w:r w:rsidR="00FB5DEC">
        <w:rPr>
          <w:rFonts w:ascii="Arial" w:hAnsi="Arial" w:cs="Arial"/>
        </w:rPr>
        <w:t xml:space="preserve"> among women.</w:t>
      </w:r>
    </w:p>
    <w:p w14:paraId="2023CB03" w14:textId="77777777" w:rsidR="00D02298" w:rsidRDefault="00D02298" w:rsidP="00D02298">
      <w:pPr>
        <w:rPr>
          <w:rFonts w:ascii="Arial" w:hAnsi="Arial" w:cs="Arial"/>
          <w:b/>
          <w:bCs/>
          <w:noProof/>
          <w:sz w:val="20"/>
          <w:szCs w:val="20"/>
        </w:rPr>
      </w:pPr>
    </w:p>
    <w:p w14:paraId="542E5B12" w14:textId="2BB100ED" w:rsidR="00252AF0" w:rsidRDefault="00752CFE" w:rsidP="00FC17F5">
      <w:pPr>
        <w:spacing w:line="480" w:lineRule="auto"/>
        <w:jc w:val="both"/>
        <w:rPr>
          <w:rFonts w:ascii="Arial" w:hAnsi="Arial" w:cs="Arial"/>
        </w:rPr>
      </w:pPr>
      <w:r>
        <w:rPr>
          <w:rFonts w:ascii="Arial" w:hAnsi="Arial" w:cs="Arial"/>
        </w:rPr>
        <w:t>Figure 1 presents h</w:t>
      </w:r>
      <w:r w:rsidRPr="00752CFE">
        <w:rPr>
          <w:rFonts w:ascii="Arial" w:hAnsi="Arial" w:cs="Arial"/>
        </w:rPr>
        <w:t xml:space="preserve">azard ratios (95% CI) for adverse health events according to number of systems medicated at baseline </w:t>
      </w:r>
      <w:r>
        <w:rPr>
          <w:rFonts w:ascii="Arial" w:hAnsi="Arial" w:cs="Arial"/>
        </w:rPr>
        <w:t>compared to a reference category of no systems medicated</w:t>
      </w:r>
      <w:r w:rsidRPr="00752CFE">
        <w:rPr>
          <w:rFonts w:ascii="Arial" w:hAnsi="Arial" w:cs="Arial"/>
        </w:rPr>
        <w:t xml:space="preserve">. </w:t>
      </w:r>
      <w:bookmarkStart w:id="19" w:name="_Hlk146277321"/>
      <w:r w:rsidR="004B7FBA">
        <w:rPr>
          <w:rFonts w:ascii="Arial" w:hAnsi="Arial" w:cs="Arial"/>
        </w:rPr>
        <w:t>For</w:t>
      </w:r>
      <w:r w:rsidR="0000316A">
        <w:rPr>
          <w:rFonts w:ascii="Arial" w:hAnsi="Arial" w:cs="Arial"/>
        </w:rPr>
        <w:t xml:space="preserve"> several types of hospital admissions (any, cardiovascular admissions, and respiratory admissions), </w:t>
      </w:r>
      <w:r w:rsidRPr="008D6C97">
        <w:rPr>
          <w:rFonts w:ascii="Arial" w:hAnsi="Arial" w:cs="Arial"/>
        </w:rPr>
        <w:t>there were clear increases in risk for each higher category of number of systems medicated</w:t>
      </w:r>
      <w:r w:rsidR="00FB5DEC">
        <w:rPr>
          <w:rFonts w:ascii="Arial" w:hAnsi="Arial" w:cs="Arial"/>
        </w:rPr>
        <w:t xml:space="preserve"> (0, 1, 2, &gt;2)</w:t>
      </w:r>
      <w:r w:rsidRPr="008D6C97">
        <w:rPr>
          <w:rFonts w:ascii="Arial" w:hAnsi="Arial" w:cs="Arial"/>
        </w:rPr>
        <w:t xml:space="preserve"> with similar effect estimates among men and women. For these outcomes, there were no threshold effects where </w:t>
      </w:r>
      <w:r w:rsidR="00473554">
        <w:rPr>
          <w:rFonts w:ascii="Arial" w:hAnsi="Arial" w:cs="Arial"/>
        </w:rPr>
        <w:t xml:space="preserve">the risk of the </w:t>
      </w:r>
      <w:r w:rsidR="00FB5DEC">
        <w:rPr>
          <w:rFonts w:ascii="Arial" w:hAnsi="Arial" w:cs="Arial"/>
        </w:rPr>
        <w:t>event only increased when a certain number of systems medicated was reached</w:t>
      </w:r>
      <w:r w:rsidR="00473554">
        <w:rPr>
          <w:rFonts w:ascii="Arial" w:hAnsi="Arial" w:cs="Arial"/>
        </w:rPr>
        <w:t>.</w:t>
      </w:r>
      <w:r w:rsidR="00473554" w:rsidRPr="00473554">
        <w:rPr>
          <w:rFonts w:ascii="Arial" w:hAnsi="Arial" w:cs="Arial"/>
        </w:rPr>
        <w:t xml:space="preserve"> </w:t>
      </w:r>
      <w:r w:rsidR="00473554">
        <w:rPr>
          <w:rFonts w:ascii="Arial" w:hAnsi="Arial" w:cs="Arial"/>
        </w:rPr>
        <w:t>For example, compared to men with no systems medicated, those with 1, 2 and &gt;2 systems medicated had hazard ratios (95% CI)</w:t>
      </w:r>
      <w:r w:rsidR="00FB5DEC">
        <w:rPr>
          <w:rFonts w:ascii="Arial" w:hAnsi="Arial" w:cs="Arial"/>
        </w:rPr>
        <w:t xml:space="preserve"> for cardiovascular admissions</w:t>
      </w:r>
      <w:r w:rsidR="00473554">
        <w:rPr>
          <w:rFonts w:ascii="Arial" w:hAnsi="Arial" w:cs="Arial"/>
        </w:rPr>
        <w:t xml:space="preserve"> of </w:t>
      </w:r>
      <w:r w:rsidR="00473554" w:rsidRPr="00CD2435">
        <w:rPr>
          <w:rFonts w:ascii="Arial" w:hAnsi="Arial" w:cs="Arial"/>
        </w:rPr>
        <w:t>1.82 (1.57,</w:t>
      </w:r>
      <w:r w:rsidR="0000316A">
        <w:rPr>
          <w:rFonts w:ascii="Arial" w:hAnsi="Arial" w:cs="Arial"/>
        </w:rPr>
        <w:t xml:space="preserve"> </w:t>
      </w:r>
      <w:r w:rsidR="00473554" w:rsidRPr="00CD2435">
        <w:rPr>
          <w:rFonts w:ascii="Arial" w:hAnsi="Arial" w:cs="Arial"/>
        </w:rPr>
        <w:t>2.12)</w:t>
      </w:r>
      <w:r w:rsidR="00473554">
        <w:rPr>
          <w:rFonts w:ascii="Arial" w:hAnsi="Arial" w:cs="Arial"/>
        </w:rPr>
        <w:t xml:space="preserve">, </w:t>
      </w:r>
      <w:r w:rsidR="00473554" w:rsidRPr="00CD2435">
        <w:rPr>
          <w:rFonts w:ascii="Arial" w:hAnsi="Arial" w:cs="Arial"/>
        </w:rPr>
        <w:t>2.39 (2</w:t>
      </w:r>
      <w:r w:rsidR="00473554">
        <w:rPr>
          <w:rFonts w:ascii="Arial" w:hAnsi="Arial" w:cs="Arial"/>
        </w:rPr>
        <w:t>.00</w:t>
      </w:r>
      <w:r w:rsidR="00473554" w:rsidRPr="00CD2435">
        <w:rPr>
          <w:rFonts w:ascii="Arial" w:hAnsi="Arial" w:cs="Arial"/>
        </w:rPr>
        <w:t>,</w:t>
      </w:r>
      <w:r w:rsidR="0000316A">
        <w:rPr>
          <w:rFonts w:ascii="Arial" w:hAnsi="Arial" w:cs="Arial"/>
        </w:rPr>
        <w:t xml:space="preserve"> </w:t>
      </w:r>
      <w:r w:rsidR="00473554" w:rsidRPr="00CD2435">
        <w:rPr>
          <w:rFonts w:ascii="Arial" w:hAnsi="Arial" w:cs="Arial"/>
        </w:rPr>
        <w:t>2.84)</w:t>
      </w:r>
      <w:r w:rsidR="00473554">
        <w:rPr>
          <w:rFonts w:ascii="Arial" w:hAnsi="Arial" w:cs="Arial"/>
        </w:rPr>
        <w:t xml:space="preserve"> and </w:t>
      </w:r>
      <w:r w:rsidR="00473554" w:rsidRPr="00CD2435">
        <w:rPr>
          <w:rFonts w:ascii="Arial" w:hAnsi="Arial" w:cs="Arial"/>
        </w:rPr>
        <w:t>3.45 (2.84, 4.2</w:t>
      </w:r>
      <w:r w:rsidR="0018164A">
        <w:rPr>
          <w:rFonts w:ascii="Arial" w:hAnsi="Arial" w:cs="Arial"/>
        </w:rPr>
        <w:t>0</w:t>
      </w:r>
      <w:r w:rsidR="00473554" w:rsidRPr="00CD2435">
        <w:rPr>
          <w:rFonts w:ascii="Arial" w:hAnsi="Arial" w:cs="Arial"/>
        </w:rPr>
        <w:t>)</w:t>
      </w:r>
      <w:r w:rsidR="00473554">
        <w:rPr>
          <w:rFonts w:ascii="Arial" w:hAnsi="Arial" w:cs="Arial"/>
        </w:rPr>
        <w:t xml:space="preserve"> </w:t>
      </w:r>
      <w:r w:rsidR="00473554">
        <w:rPr>
          <w:rFonts w:ascii="Arial" w:hAnsi="Arial" w:cs="Arial"/>
        </w:rPr>
        <w:lastRenderedPageBreak/>
        <w:t xml:space="preserve">respectively; corresponding estimates among women were </w:t>
      </w:r>
      <w:r w:rsidR="00473554" w:rsidRPr="00CD2435">
        <w:rPr>
          <w:rFonts w:ascii="Arial" w:hAnsi="Arial" w:cs="Arial"/>
        </w:rPr>
        <w:t>1.74 (1.44,</w:t>
      </w:r>
      <w:r w:rsidR="0000316A">
        <w:rPr>
          <w:rFonts w:ascii="Arial" w:hAnsi="Arial" w:cs="Arial"/>
        </w:rPr>
        <w:t xml:space="preserve"> </w:t>
      </w:r>
      <w:r w:rsidR="00473554" w:rsidRPr="00CD2435">
        <w:rPr>
          <w:rFonts w:ascii="Arial" w:hAnsi="Arial" w:cs="Arial"/>
        </w:rPr>
        <w:t>2.11)</w:t>
      </w:r>
      <w:r w:rsidR="00473554">
        <w:rPr>
          <w:rFonts w:ascii="Arial" w:hAnsi="Arial" w:cs="Arial"/>
        </w:rPr>
        <w:t xml:space="preserve">, </w:t>
      </w:r>
      <w:r w:rsidR="00473554" w:rsidRPr="00CD2435">
        <w:rPr>
          <w:rFonts w:ascii="Arial" w:hAnsi="Arial" w:cs="Arial"/>
        </w:rPr>
        <w:t>2.35 (1.92, 2.88)</w:t>
      </w:r>
      <w:r w:rsidR="00473554">
        <w:rPr>
          <w:rFonts w:ascii="Arial" w:hAnsi="Arial" w:cs="Arial"/>
        </w:rPr>
        <w:t xml:space="preserve"> and </w:t>
      </w:r>
      <w:r w:rsidR="00473554" w:rsidRPr="00CD2435">
        <w:rPr>
          <w:rFonts w:ascii="Arial" w:hAnsi="Arial" w:cs="Arial"/>
        </w:rPr>
        <w:t>3.4</w:t>
      </w:r>
      <w:r w:rsidR="00473554">
        <w:rPr>
          <w:rFonts w:ascii="Arial" w:hAnsi="Arial" w:cs="Arial"/>
        </w:rPr>
        <w:t>0</w:t>
      </w:r>
      <w:r w:rsidR="00473554" w:rsidRPr="00CD2435">
        <w:rPr>
          <w:rFonts w:ascii="Arial" w:hAnsi="Arial" w:cs="Arial"/>
        </w:rPr>
        <w:t xml:space="preserve"> (2.79, 4.13)</w:t>
      </w:r>
      <w:r w:rsidR="00473554">
        <w:rPr>
          <w:rFonts w:ascii="Arial" w:hAnsi="Arial" w:cs="Arial"/>
        </w:rPr>
        <w:t>.</w:t>
      </w:r>
      <w:bookmarkEnd w:id="19"/>
    </w:p>
    <w:p w14:paraId="1D076180" w14:textId="77777777" w:rsidR="00E24EF6" w:rsidRDefault="00E24EF6" w:rsidP="00D0688F">
      <w:pPr>
        <w:rPr>
          <w:rFonts w:ascii="Arial" w:hAnsi="Arial" w:cs="Arial"/>
          <w:b/>
          <w:bCs/>
          <w:noProof/>
          <w:sz w:val="20"/>
          <w:szCs w:val="20"/>
        </w:rPr>
      </w:pPr>
    </w:p>
    <w:p w14:paraId="11689623" w14:textId="4867F60F" w:rsidR="00252AF0" w:rsidRPr="005A2D2A" w:rsidRDefault="00E24EF6" w:rsidP="00FC17F5">
      <w:pPr>
        <w:spacing w:line="480" w:lineRule="auto"/>
        <w:rPr>
          <w:rFonts w:ascii="Arial" w:hAnsi="Arial" w:cs="Arial"/>
          <w:i/>
          <w:iCs/>
          <w:lang w:val="en-US"/>
        </w:rPr>
      </w:pPr>
      <w:r>
        <w:rPr>
          <w:rFonts w:ascii="Arial" w:hAnsi="Arial" w:cs="Arial"/>
          <w:i/>
          <w:iCs/>
          <w:lang w:val="en-US"/>
        </w:rPr>
        <w:t>S</w:t>
      </w:r>
      <w:r w:rsidR="00252AF0" w:rsidRPr="009A3FC7">
        <w:rPr>
          <w:rFonts w:ascii="Arial" w:hAnsi="Arial" w:cs="Arial"/>
          <w:i/>
          <w:iCs/>
          <w:lang w:val="en-US"/>
        </w:rPr>
        <w:t>ensitivity analyses</w:t>
      </w:r>
      <w:r w:rsidR="00252AF0" w:rsidRPr="009A3FC7">
        <w:rPr>
          <w:rFonts w:ascii="Arial" w:hAnsi="Arial" w:cs="Arial"/>
        </w:rPr>
        <w:t> </w:t>
      </w:r>
    </w:p>
    <w:p w14:paraId="76366ED8" w14:textId="4E67F70B" w:rsidR="00252AF0" w:rsidRDefault="00252AF0" w:rsidP="00FC17F5">
      <w:pPr>
        <w:spacing w:line="480" w:lineRule="auto"/>
        <w:jc w:val="both"/>
        <w:rPr>
          <w:rFonts w:ascii="Arial" w:hAnsi="Arial" w:cs="Arial"/>
        </w:rPr>
      </w:pPr>
      <w:r w:rsidRPr="009A3FC7">
        <w:rPr>
          <w:rFonts w:ascii="Arial" w:hAnsi="Arial" w:cs="Arial"/>
        </w:rPr>
        <w:t>Supplementary Table 1</w:t>
      </w:r>
      <w:r>
        <w:rPr>
          <w:rFonts w:ascii="Arial" w:hAnsi="Arial" w:cs="Arial"/>
        </w:rPr>
        <w:t xml:space="preserve"> shows associations between number of systems medicated and risk of hospital admission events which have been examined using competing risk regression with death as a competing </w:t>
      </w:r>
      <w:r w:rsidR="006D06A3">
        <w:rPr>
          <w:rFonts w:ascii="Arial" w:hAnsi="Arial" w:cs="Arial"/>
        </w:rPr>
        <w:t>risk</w:t>
      </w:r>
      <w:r>
        <w:rPr>
          <w:rFonts w:ascii="Arial" w:hAnsi="Arial" w:cs="Arial"/>
        </w:rPr>
        <w:t xml:space="preserve">. These associations were </w:t>
      </w:r>
      <w:proofErr w:type="gramStart"/>
      <w:r>
        <w:rPr>
          <w:rFonts w:ascii="Arial" w:hAnsi="Arial" w:cs="Arial"/>
        </w:rPr>
        <w:t>similar to</w:t>
      </w:r>
      <w:proofErr w:type="gramEnd"/>
      <w:r>
        <w:rPr>
          <w:rFonts w:ascii="Arial" w:hAnsi="Arial" w:cs="Arial"/>
        </w:rPr>
        <w:t xml:space="preserve"> those estimated using time-to-first event Cox regression models</w:t>
      </w:r>
      <w:r w:rsidR="00EC2ABB">
        <w:rPr>
          <w:rFonts w:ascii="Arial" w:hAnsi="Arial" w:cs="Arial"/>
        </w:rPr>
        <w:t>.</w:t>
      </w:r>
    </w:p>
    <w:p w14:paraId="19DEEF5D" w14:textId="77777777" w:rsidR="009B5220" w:rsidRDefault="009B5220" w:rsidP="00FC17F5">
      <w:pPr>
        <w:spacing w:after="200" w:line="480" w:lineRule="auto"/>
        <w:jc w:val="both"/>
        <w:rPr>
          <w:rFonts w:ascii="Arial" w:eastAsia="Arial" w:hAnsi="Arial" w:cs="Arial"/>
          <w:b/>
          <w:bCs/>
          <w:lang w:val="en-US"/>
        </w:rPr>
      </w:pPr>
    </w:p>
    <w:p w14:paraId="7FBDFE0F" w14:textId="7F772BF9" w:rsidR="007C6926" w:rsidRPr="003D7D4E" w:rsidRDefault="007C6926" w:rsidP="00FC17F5">
      <w:pPr>
        <w:spacing w:after="200" w:line="480" w:lineRule="auto"/>
        <w:jc w:val="both"/>
        <w:rPr>
          <w:rFonts w:ascii="Arial" w:eastAsia="Arial" w:hAnsi="Arial" w:cs="Arial"/>
          <w:b/>
          <w:bCs/>
          <w:lang w:val="en-US"/>
        </w:rPr>
      </w:pPr>
      <w:r w:rsidRPr="003D7D4E">
        <w:rPr>
          <w:rFonts w:ascii="Arial" w:eastAsia="Arial" w:hAnsi="Arial" w:cs="Arial"/>
          <w:b/>
          <w:bCs/>
          <w:lang w:val="en-US"/>
        </w:rPr>
        <w:t>Discussion</w:t>
      </w:r>
    </w:p>
    <w:p w14:paraId="3C5E49EE" w14:textId="5C99AEA4" w:rsidR="00B82489" w:rsidRDefault="007C6926" w:rsidP="00FC17F5">
      <w:pPr>
        <w:spacing w:after="200" w:line="480" w:lineRule="auto"/>
        <w:jc w:val="both"/>
        <w:rPr>
          <w:rFonts w:ascii="Arial" w:eastAsia="Arial" w:hAnsi="Arial" w:cs="Arial"/>
          <w:lang w:val="en-US"/>
        </w:rPr>
      </w:pPr>
      <w:r w:rsidRPr="007C6926">
        <w:rPr>
          <w:rFonts w:ascii="Arial" w:eastAsia="Arial" w:hAnsi="Arial" w:cs="Arial"/>
          <w:lang w:val="en-US"/>
        </w:rPr>
        <w:t xml:space="preserve">Our results clearly link </w:t>
      </w:r>
      <w:r w:rsidR="0000316A">
        <w:rPr>
          <w:rFonts w:ascii="Arial" w:eastAsia="Arial" w:hAnsi="Arial" w:cs="Arial"/>
          <w:lang w:val="en-US"/>
        </w:rPr>
        <w:t xml:space="preserve">multimorbidity, measured using </w:t>
      </w:r>
      <w:r w:rsidR="00501648">
        <w:rPr>
          <w:rFonts w:ascii="Arial" w:eastAsia="Arial" w:hAnsi="Arial" w:cs="Arial"/>
          <w:lang w:val="en-US"/>
        </w:rPr>
        <w:t>number of systems medicated</w:t>
      </w:r>
      <w:r w:rsidR="0000316A">
        <w:rPr>
          <w:rFonts w:ascii="Arial" w:eastAsia="Arial" w:hAnsi="Arial" w:cs="Arial"/>
          <w:lang w:val="en-US"/>
        </w:rPr>
        <w:t xml:space="preserve">, with risk of </w:t>
      </w:r>
      <w:r w:rsidR="00501648">
        <w:rPr>
          <w:rFonts w:ascii="Arial" w:eastAsia="Arial" w:hAnsi="Arial" w:cs="Arial"/>
          <w:lang w:val="en-US"/>
        </w:rPr>
        <w:t xml:space="preserve">mortality and </w:t>
      </w:r>
      <w:r w:rsidR="0000316A">
        <w:rPr>
          <w:rFonts w:ascii="Arial" w:eastAsia="Arial" w:hAnsi="Arial" w:cs="Arial"/>
          <w:lang w:val="en-US"/>
        </w:rPr>
        <w:t>hospital admission</w:t>
      </w:r>
      <w:r w:rsidR="00501648">
        <w:rPr>
          <w:rFonts w:ascii="Arial" w:eastAsia="Arial" w:hAnsi="Arial" w:cs="Arial"/>
          <w:lang w:val="en-US"/>
        </w:rPr>
        <w:t xml:space="preserve"> events</w:t>
      </w:r>
      <w:r w:rsidRPr="007C6926">
        <w:rPr>
          <w:rFonts w:ascii="Arial" w:eastAsia="Arial" w:hAnsi="Arial" w:cs="Arial"/>
          <w:lang w:val="en-US"/>
        </w:rPr>
        <w:t xml:space="preserve">. </w:t>
      </w:r>
      <w:r w:rsidRPr="00473554">
        <w:rPr>
          <w:rFonts w:ascii="Arial" w:eastAsia="Arial" w:hAnsi="Arial" w:cs="Arial"/>
          <w:lang w:val="en-US"/>
        </w:rPr>
        <w:t xml:space="preserve">Except for carcinoma-related deaths, we observed </w:t>
      </w:r>
      <w:r w:rsidR="00473554">
        <w:rPr>
          <w:rFonts w:ascii="Arial" w:eastAsia="Arial" w:hAnsi="Arial" w:cs="Arial"/>
          <w:lang w:val="en-US"/>
        </w:rPr>
        <w:t>that</w:t>
      </w:r>
      <w:r w:rsidR="00473554" w:rsidRPr="00473554">
        <w:rPr>
          <w:rFonts w:ascii="Arial" w:eastAsia="Arial" w:hAnsi="Arial" w:cs="Arial"/>
          <w:lang w:val="en-US"/>
        </w:rPr>
        <w:t xml:space="preserve"> </w:t>
      </w:r>
      <w:r w:rsidR="00501648">
        <w:rPr>
          <w:rFonts w:ascii="Arial" w:eastAsia="Arial" w:hAnsi="Arial" w:cs="Arial"/>
          <w:lang w:val="en-US"/>
        </w:rPr>
        <w:t xml:space="preserve">greater </w:t>
      </w:r>
      <w:r w:rsidRPr="00473554">
        <w:rPr>
          <w:rFonts w:ascii="Arial" w:eastAsia="Arial" w:hAnsi="Arial" w:cs="Arial"/>
        </w:rPr>
        <w:t>number</w:t>
      </w:r>
      <w:r w:rsidR="00501648">
        <w:rPr>
          <w:rFonts w:ascii="Arial" w:eastAsia="Arial" w:hAnsi="Arial" w:cs="Arial"/>
        </w:rPr>
        <w:t>s</w:t>
      </w:r>
      <w:r w:rsidRPr="00473554">
        <w:rPr>
          <w:rFonts w:ascii="Arial" w:eastAsia="Arial" w:hAnsi="Arial" w:cs="Arial"/>
        </w:rPr>
        <w:t xml:space="preserve"> of systems medicated was strongly associated with </w:t>
      </w:r>
      <w:r w:rsidR="00501648">
        <w:rPr>
          <w:rFonts w:ascii="Arial" w:eastAsia="Arial" w:hAnsi="Arial" w:cs="Arial"/>
        </w:rPr>
        <w:t xml:space="preserve">increased risk of </w:t>
      </w:r>
      <w:r w:rsidRPr="00473554">
        <w:rPr>
          <w:rFonts w:ascii="Arial" w:eastAsia="Arial" w:hAnsi="Arial" w:cs="Arial"/>
        </w:rPr>
        <w:t>all other outcomes relating to mortality and hospital admission</w:t>
      </w:r>
      <w:r w:rsidR="003D7D4E" w:rsidRPr="00473554">
        <w:rPr>
          <w:rFonts w:ascii="Arial" w:eastAsia="Arial" w:hAnsi="Arial" w:cs="Arial"/>
        </w:rPr>
        <w:t>s</w:t>
      </w:r>
      <w:r w:rsidRPr="00473554">
        <w:rPr>
          <w:rFonts w:ascii="Arial" w:eastAsia="Arial" w:hAnsi="Arial" w:cs="Arial"/>
        </w:rPr>
        <w:t xml:space="preserve"> among both men and </w:t>
      </w:r>
      <w:r w:rsidRPr="00424D50">
        <w:rPr>
          <w:rFonts w:ascii="Arial" w:eastAsia="Arial" w:hAnsi="Arial" w:cs="Arial"/>
        </w:rPr>
        <w:t>women.</w:t>
      </w:r>
      <w:r w:rsidR="00424D50">
        <w:rPr>
          <w:rFonts w:ascii="Arial" w:eastAsia="Arial" w:hAnsi="Arial" w:cs="Arial"/>
        </w:rPr>
        <w:t xml:space="preserve"> </w:t>
      </w:r>
      <w:r w:rsidR="00EC435F">
        <w:rPr>
          <w:rFonts w:ascii="Arial" w:eastAsia="Arial" w:hAnsi="Arial" w:cs="Arial"/>
        </w:rPr>
        <w:t>Specifically, f</w:t>
      </w:r>
      <w:r w:rsidR="00501648">
        <w:rPr>
          <w:rFonts w:ascii="Arial" w:eastAsia="Arial" w:hAnsi="Arial" w:cs="Arial"/>
        </w:rPr>
        <w:t xml:space="preserve">or key hospital admission events (any admissions, cardiovascular </w:t>
      </w:r>
      <w:proofErr w:type="gramStart"/>
      <w:r w:rsidR="00501648">
        <w:rPr>
          <w:rFonts w:ascii="Arial" w:eastAsia="Arial" w:hAnsi="Arial" w:cs="Arial"/>
        </w:rPr>
        <w:t>admissions</w:t>
      </w:r>
      <w:proofErr w:type="gramEnd"/>
      <w:r w:rsidR="00501648">
        <w:rPr>
          <w:rFonts w:ascii="Arial" w:eastAsia="Arial" w:hAnsi="Arial" w:cs="Arial"/>
        </w:rPr>
        <w:t xml:space="preserve"> and respiratory admissions), </w:t>
      </w:r>
      <w:r w:rsidR="00501648" w:rsidRPr="008D6C97">
        <w:rPr>
          <w:rFonts w:ascii="Arial" w:hAnsi="Arial" w:cs="Arial"/>
        </w:rPr>
        <w:t xml:space="preserve">there were no threshold effects where </w:t>
      </w:r>
      <w:r w:rsidR="00501648">
        <w:rPr>
          <w:rFonts w:ascii="Arial" w:hAnsi="Arial" w:cs="Arial"/>
        </w:rPr>
        <w:t xml:space="preserve">the risk of the event only increased when a certain number of systems medicated was reached; instead, </w:t>
      </w:r>
      <w:r w:rsidR="00501648" w:rsidRPr="00501648">
        <w:rPr>
          <w:rFonts w:ascii="Arial" w:hAnsi="Arial" w:cs="Arial"/>
        </w:rPr>
        <w:t xml:space="preserve">increases in </w:t>
      </w:r>
      <w:r w:rsidR="00501648">
        <w:rPr>
          <w:rFonts w:ascii="Arial" w:hAnsi="Arial" w:cs="Arial"/>
        </w:rPr>
        <w:t>number of systems medicated</w:t>
      </w:r>
      <w:r w:rsidR="00501648" w:rsidRPr="00501648">
        <w:rPr>
          <w:rFonts w:ascii="Arial" w:hAnsi="Arial" w:cs="Arial"/>
        </w:rPr>
        <w:t>, even from a low base, confer</w:t>
      </w:r>
      <w:r w:rsidR="00501648">
        <w:rPr>
          <w:rFonts w:ascii="Arial" w:hAnsi="Arial" w:cs="Arial"/>
        </w:rPr>
        <w:t>red</w:t>
      </w:r>
      <w:r w:rsidR="00501648" w:rsidRPr="00501648">
        <w:rPr>
          <w:rFonts w:ascii="Arial" w:hAnsi="Arial" w:cs="Arial"/>
        </w:rPr>
        <w:t xml:space="preserve"> greater risks of these events</w:t>
      </w:r>
      <w:r w:rsidR="00501648">
        <w:rPr>
          <w:rFonts w:ascii="Arial" w:hAnsi="Arial" w:cs="Arial"/>
        </w:rPr>
        <w:t>.</w:t>
      </w:r>
      <w:r w:rsidR="00501648" w:rsidRPr="007C6926" w:rsidDel="00501648">
        <w:rPr>
          <w:rFonts w:ascii="Arial" w:eastAsia="Arial" w:hAnsi="Arial" w:cs="Arial"/>
          <w:lang w:val="en-US"/>
        </w:rPr>
        <w:t xml:space="preserve"> </w:t>
      </w:r>
      <w:r w:rsidR="0018164A">
        <w:rPr>
          <w:rFonts w:ascii="Arial" w:eastAsia="Arial" w:hAnsi="Arial" w:cs="Arial"/>
        </w:rPr>
        <w:t xml:space="preserve">Patterns of association were </w:t>
      </w:r>
      <w:r w:rsidR="00424D50">
        <w:rPr>
          <w:rFonts w:ascii="Arial" w:eastAsia="Arial" w:hAnsi="Arial" w:cs="Arial"/>
        </w:rPr>
        <w:t xml:space="preserve">again </w:t>
      </w:r>
      <w:r w:rsidR="0018164A">
        <w:rPr>
          <w:rFonts w:ascii="Arial" w:eastAsia="Arial" w:hAnsi="Arial" w:cs="Arial"/>
        </w:rPr>
        <w:t>similar among men and women.</w:t>
      </w:r>
      <w:r w:rsidR="00565CD3" w:rsidRPr="00565CD3">
        <w:t xml:space="preserve"> </w:t>
      </w:r>
      <w:r w:rsidR="00565CD3" w:rsidRPr="00565CD3">
        <w:rPr>
          <w:rFonts w:ascii="Arial" w:eastAsia="Arial" w:hAnsi="Arial" w:cs="Arial"/>
        </w:rPr>
        <w:t xml:space="preserve">More systems medicated was not associated with increased risk of cancer-related deaths among women. This could be due to </w:t>
      </w:r>
      <w:r w:rsidR="00493F25">
        <w:rPr>
          <w:rFonts w:ascii="Arial" w:eastAsia="Arial" w:hAnsi="Arial" w:cs="Arial"/>
        </w:rPr>
        <w:t xml:space="preserve">the </w:t>
      </w:r>
      <w:proofErr w:type="gramStart"/>
      <w:r w:rsidR="00493F25">
        <w:rPr>
          <w:rFonts w:ascii="Arial" w:eastAsia="Arial" w:hAnsi="Arial" w:cs="Arial"/>
        </w:rPr>
        <w:t>fairly small</w:t>
      </w:r>
      <w:proofErr w:type="gramEnd"/>
      <w:r w:rsidR="00493F25">
        <w:rPr>
          <w:rFonts w:ascii="Arial" w:eastAsia="Arial" w:hAnsi="Arial" w:cs="Arial"/>
        </w:rPr>
        <w:t xml:space="preserve"> </w:t>
      </w:r>
      <w:r w:rsidR="00565CD3" w:rsidRPr="00565CD3">
        <w:rPr>
          <w:rFonts w:ascii="Arial" w:eastAsia="Arial" w:hAnsi="Arial" w:cs="Arial"/>
        </w:rPr>
        <w:t>proportion of women who experienced this outcome</w:t>
      </w:r>
      <w:r w:rsidR="00493F25">
        <w:rPr>
          <w:rFonts w:ascii="Arial" w:eastAsia="Arial" w:hAnsi="Arial" w:cs="Arial"/>
        </w:rPr>
        <w:t>.</w:t>
      </w:r>
    </w:p>
    <w:p w14:paraId="5D556545" w14:textId="0DAC198E" w:rsidR="00147F19" w:rsidRPr="00E12029" w:rsidRDefault="00AF148A" w:rsidP="00FC17F5">
      <w:pPr>
        <w:spacing w:after="200" w:line="480" w:lineRule="auto"/>
        <w:jc w:val="both"/>
        <w:rPr>
          <w:rFonts w:ascii="Arial" w:hAnsi="Arial" w:cs="Arial"/>
          <w:shd w:val="clear" w:color="auto" w:fill="FFFFFF"/>
        </w:rPr>
      </w:pPr>
      <w:r w:rsidRPr="00AF148A">
        <w:rPr>
          <w:rFonts w:ascii="Arial" w:eastAsia="Arial" w:hAnsi="Arial" w:cs="Arial"/>
          <w:lang w:val="en-US"/>
        </w:rPr>
        <w:t xml:space="preserve"> </w:t>
      </w:r>
      <w:r w:rsidR="00147F19">
        <w:rPr>
          <w:rFonts w:ascii="Arial" w:hAnsi="Arial" w:cs="Arial"/>
        </w:rPr>
        <w:t>Our findings in this study accord with</w:t>
      </w:r>
      <w:r w:rsidR="00424D50">
        <w:rPr>
          <w:rFonts w:ascii="Arial" w:hAnsi="Arial" w:cs="Arial"/>
        </w:rPr>
        <w:t xml:space="preserve">, and extend, </w:t>
      </w:r>
      <w:r w:rsidR="00147F19">
        <w:rPr>
          <w:rFonts w:ascii="Arial" w:hAnsi="Arial" w:cs="Arial"/>
        </w:rPr>
        <w:t xml:space="preserve">previous work. </w:t>
      </w:r>
      <w:r w:rsidR="00147F19" w:rsidRPr="00215CE2">
        <w:rPr>
          <w:rFonts w:ascii="Arial" w:hAnsi="Arial" w:cs="Arial"/>
        </w:rPr>
        <w:t>A previous retrospective cohort study of 180815 patients</w:t>
      </w:r>
      <w:r w:rsidR="009E4E95">
        <w:rPr>
          <w:rFonts w:ascii="Arial" w:hAnsi="Arial" w:cs="Arial"/>
        </w:rPr>
        <w:t>,</w:t>
      </w:r>
      <w:r w:rsidR="00147F19" w:rsidRPr="00215CE2">
        <w:rPr>
          <w:rFonts w:ascii="Arial" w:hAnsi="Arial" w:cs="Arial"/>
        </w:rPr>
        <w:t xml:space="preserve"> aged 20 years and older based in Scotland</w:t>
      </w:r>
      <w:r w:rsidR="009E4E95">
        <w:rPr>
          <w:rFonts w:ascii="Arial" w:hAnsi="Arial" w:cs="Arial"/>
        </w:rPr>
        <w:t>,</w:t>
      </w:r>
      <w:r w:rsidR="00147F19" w:rsidRPr="00215CE2">
        <w:rPr>
          <w:rFonts w:ascii="Arial" w:hAnsi="Arial" w:cs="Arial"/>
        </w:rPr>
        <w:t xml:space="preserve"> found that </w:t>
      </w:r>
      <w:r w:rsidR="00147F19" w:rsidRPr="00424D50">
        <w:rPr>
          <w:rFonts w:ascii="Arial" w:hAnsi="Arial" w:cs="Arial"/>
          <w:shd w:val="clear" w:color="auto" w:fill="FFFFFF"/>
        </w:rPr>
        <w:t>unplanned and potentially preventable unplanned admissions were independently associated with increasing physical multimorbidity</w:t>
      </w:r>
      <w:r w:rsidR="001A6F61" w:rsidRPr="00424D50">
        <w:rPr>
          <w:rFonts w:ascii="Arial" w:hAnsi="Arial" w:cs="Arial"/>
          <w:shd w:val="clear" w:color="auto" w:fill="FFFFFF"/>
        </w:rPr>
        <w:t xml:space="preserve"> </w:t>
      </w:r>
      <w:r w:rsidR="004D0E6D">
        <w:rPr>
          <w:rFonts w:ascii="Arial" w:hAnsi="Arial" w:cs="Arial"/>
          <w:shd w:val="clear" w:color="auto" w:fill="FFFFFF"/>
        </w:rPr>
        <w:fldChar w:fldCharType="begin"/>
      </w:r>
      <w:r w:rsidR="002D5ECA">
        <w:rPr>
          <w:rFonts w:ascii="Arial" w:hAnsi="Arial" w:cs="Arial"/>
          <w:shd w:val="clear" w:color="auto" w:fill="FFFFFF"/>
        </w:rPr>
        <w:instrText xml:space="preserve"> ADDIN EN.CITE &lt;EndNote&gt;&lt;Cite&gt;&lt;Author&gt;Payne&lt;/Author&gt;&lt;Year&gt;2013&lt;/Year&gt;&lt;RecNum&gt;423&lt;/RecNum&gt;&lt;DisplayText&gt;[26]&lt;/DisplayText&gt;&lt;record&gt;&lt;rec-number&gt;423&lt;/rec-number&gt;&lt;foreign-keys&gt;&lt;key app="EN" db-id="xp2sx5aahpsveaea2zq5s2xsef9d0fsxsxex" timestamp="1710152399"&gt;423&lt;/key&gt;&lt;/foreign-keys&gt;&lt;ref-type name="Journal Article"&gt;17&lt;/ref-type&gt;&lt;contributors&gt;&lt;authors&gt;&lt;author&gt;Payne, Rupert A&lt;/author&gt;&lt;author&gt;Abel, Gary A&lt;/author&gt;&lt;author&gt;Guthrie, Bruce&lt;/author&gt;&lt;author&gt;Mercer, Stewart W&lt;/author&gt;&lt;/authors&gt;&lt;/contributors&gt;&lt;titles&gt;&lt;title&gt;The effect of physical multimorbidity, mental health conditions and socioeconomic deprivation on unplanned admissions to hospital: a retrospective cohort study&lt;/title&gt;&lt;secondary-title&gt;CMAJ.&lt;/secondary-title&gt;&lt;/titles&gt;&lt;periodical&gt;&lt;full-title&gt;CMAJ.&lt;/full-title&gt;&lt;/periodical&gt;&lt;pages&gt;E221-E228&lt;/pages&gt;&lt;volume&gt;185&lt;/volume&gt;&lt;number&gt;5&lt;/number&gt;&lt;dates&gt;&lt;year&gt;2013&lt;/year&gt;&lt;/dates&gt;&lt;urls&gt;&lt;/urls&gt;&lt;electronic-resource-num&gt;https://doi.org/10.1503/cmaj.121349&lt;/electronic-resource-num&gt;&lt;/record&gt;&lt;/Cite&gt;&lt;/EndNote&gt;</w:instrText>
      </w:r>
      <w:r w:rsidR="004D0E6D">
        <w:rPr>
          <w:rFonts w:ascii="Arial" w:hAnsi="Arial" w:cs="Arial"/>
          <w:shd w:val="clear" w:color="auto" w:fill="FFFFFF"/>
        </w:rPr>
        <w:fldChar w:fldCharType="separate"/>
      </w:r>
      <w:r w:rsidR="002D5ECA">
        <w:rPr>
          <w:rFonts w:ascii="Arial" w:hAnsi="Arial" w:cs="Arial"/>
          <w:noProof/>
          <w:shd w:val="clear" w:color="auto" w:fill="FFFFFF"/>
        </w:rPr>
        <w:t>[26]</w:t>
      </w:r>
      <w:r w:rsidR="004D0E6D">
        <w:rPr>
          <w:rFonts w:ascii="Arial" w:hAnsi="Arial" w:cs="Arial"/>
          <w:shd w:val="clear" w:color="auto" w:fill="FFFFFF"/>
        </w:rPr>
        <w:fldChar w:fldCharType="end"/>
      </w:r>
      <w:r w:rsidR="004D0E6D">
        <w:rPr>
          <w:rFonts w:ascii="Arial" w:hAnsi="Arial" w:cs="Arial"/>
          <w:shd w:val="clear" w:color="auto" w:fill="FFFFFF"/>
        </w:rPr>
        <w:t xml:space="preserve"> </w:t>
      </w:r>
      <w:r w:rsidR="00147F19" w:rsidRPr="00424D50">
        <w:rPr>
          <w:rFonts w:ascii="Arial" w:hAnsi="Arial" w:cs="Arial"/>
          <w:shd w:val="clear" w:color="auto" w:fill="FFFFFF"/>
        </w:rPr>
        <w:t xml:space="preserve">while another study that reported associations of </w:t>
      </w:r>
      <w:r w:rsidR="00147F19" w:rsidRPr="00424D50">
        <w:rPr>
          <w:rFonts w:ascii="Arial" w:hAnsi="Arial" w:cs="Arial"/>
          <w:shd w:val="clear" w:color="auto" w:fill="FFFFFF"/>
        </w:rPr>
        <w:lastRenderedPageBreak/>
        <w:t>multimorbidity and income with hospital admission in 3 widely differing health care systems</w:t>
      </w:r>
      <w:r w:rsidR="009E4E95">
        <w:rPr>
          <w:rFonts w:ascii="Arial" w:hAnsi="Arial" w:cs="Arial"/>
          <w:shd w:val="clear" w:color="auto" w:fill="FFFFFF"/>
        </w:rPr>
        <w:t xml:space="preserve"> (</w:t>
      </w:r>
      <w:r w:rsidR="00147F19" w:rsidRPr="00424D50">
        <w:rPr>
          <w:rFonts w:ascii="Arial" w:hAnsi="Arial" w:cs="Arial"/>
          <w:shd w:val="clear" w:color="auto" w:fill="FFFFFF"/>
        </w:rPr>
        <w:t>Scotland</w:t>
      </w:r>
      <w:r w:rsidR="00147F19" w:rsidRPr="00E12029">
        <w:rPr>
          <w:rFonts w:ascii="Arial" w:hAnsi="Arial" w:cs="Arial"/>
          <w:shd w:val="clear" w:color="auto" w:fill="FFFFFF"/>
        </w:rPr>
        <w:t>, China, and Hong Kong</w:t>
      </w:r>
      <w:r w:rsidR="009E4E95">
        <w:rPr>
          <w:rFonts w:ascii="Arial" w:hAnsi="Arial" w:cs="Arial"/>
          <w:shd w:val="clear" w:color="auto" w:fill="FFFFFF"/>
        </w:rPr>
        <w:t>)</w:t>
      </w:r>
      <w:r w:rsidR="00147F19" w:rsidRPr="00E12029">
        <w:rPr>
          <w:rFonts w:ascii="Arial" w:hAnsi="Arial" w:cs="Arial"/>
          <w:shd w:val="clear" w:color="auto" w:fill="FFFFFF"/>
        </w:rPr>
        <w:t xml:space="preserve"> found that multimorbidity increased odds of admissions in all 3 settings</w:t>
      </w:r>
      <w:r w:rsidR="004D0E6D">
        <w:rPr>
          <w:rFonts w:ascii="Arial" w:hAnsi="Arial" w:cs="Arial"/>
          <w:shd w:val="clear" w:color="auto" w:fill="FFFFFF"/>
        </w:rPr>
        <w:t xml:space="preserve"> </w:t>
      </w:r>
      <w:r w:rsidR="004D0E6D">
        <w:rPr>
          <w:rFonts w:ascii="Arial" w:hAnsi="Arial" w:cs="Arial"/>
          <w:shd w:val="clear" w:color="auto" w:fill="FFFFFF"/>
        </w:rPr>
        <w:fldChar w:fldCharType="begin"/>
      </w:r>
      <w:r w:rsidR="002D5ECA">
        <w:rPr>
          <w:rFonts w:ascii="Arial" w:hAnsi="Arial" w:cs="Arial"/>
          <w:shd w:val="clear" w:color="auto" w:fill="FFFFFF"/>
        </w:rPr>
        <w:instrText xml:space="preserve"> ADDIN EN.CITE &lt;EndNote&gt;&lt;Cite&gt;&lt;Author&gt;Wang&lt;/Author&gt;&lt;Year&gt;2015&lt;/Year&gt;&lt;RecNum&gt;421&lt;/RecNum&gt;&lt;DisplayText&gt;[13]&lt;/DisplayText&gt;&lt;record&gt;&lt;rec-number&gt;421&lt;/rec-number&gt;&lt;foreign-keys&gt;&lt;key app="EN" db-id="xp2sx5aahpsveaea2zq5s2xsef9d0fsxsxex" timestamp="1710151711"&gt;421&lt;/key&gt;&lt;/foreign-keys&gt;&lt;ref-type name="Journal Article"&gt;17&lt;/ref-type&gt;&lt;contributors&gt;&lt;authors&gt;&lt;author&gt;Wang, Harry HX&lt;/author&gt;&lt;author&gt;Wang, Jia Ji&lt;/author&gt;&lt;author&gt;Lawson, Kenny D&lt;/author&gt;&lt;author&gt;Wong, Samuel YS&lt;/author&gt;&lt;author&gt;Wong, Martin CS&lt;/author&gt;&lt;author&gt;Li, Fang Jian&lt;/author&gt;&lt;author&gt;Wang, Pei Xi&lt;/author&gt;&lt;author&gt;Zhou, Zhi Heng&lt;/author&gt;&lt;author&gt;Zhu, Chun Yan&lt;/author&gt;&lt;author&gt;Yeong, Yao Qun&lt;/author&gt;&lt;/authors&gt;&lt;/contributors&gt;&lt;titles&gt;&lt;title&gt;Relationships of multimorbidity and income with hospital admissions in 3 health care systems&lt;/title&gt;&lt;secondary-title&gt;Ann Fam Med.&lt;/secondary-title&gt;&lt;/titles&gt;&lt;periodical&gt;&lt;full-title&gt;Ann Fam Med.&lt;/full-title&gt;&lt;/periodical&gt;&lt;pages&gt;164-167&lt;/pages&gt;&lt;volume&gt;13&lt;/volume&gt;&lt;number&gt;2&lt;/number&gt;&lt;dates&gt;&lt;year&gt;2015&lt;/year&gt;&lt;/dates&gt;&lt;isbn&gt;1544-1709&lt;/isbn&gt;&lt;urls&gt;&lt;/urls&gt;&lt;electronic-resource-num&gt;https://doi.org/10.1370/afm.1757&lt;/electronic-resource-num&gt;&lt;/record&gt;&lt;/Cite&gt;&lt;/EndNote&gt;</w:instrText>
      </w:r>
      <w:r w:rsidR="004D0E6D">
        <w:rPr>
          <w:rFonts w:ascii="Arial" w:hAnsi="Arial" w:cs="Arial"/>
          <w:shd w:val="clear" w:color="auto" w:fill="FFFFFF"/>
        </w:rPr>
        <w:fldChar w:fldCharType="separate"/>
      </w:r>
      <w:r w:rsidR="002D5ECA">
        <w:rPr>
          <w:rFonts w:ascii="Arial" w:hAnsi="Arial" w:cs="Arial"/>
          <w:noProof/>
          <w:shd w:val="clear" w:color="auto" w:fill="FFFFFF"/>
        </w:rPr>
        <w:t>[13]</w:t>
      </w:r>
      <w:r w:rsidR="004D0E6D">
        <w:rPr>
          <w:rFonts w:ascii="Arial" w:hAnsi="Arial" w:cs="Arial"/>
          <w:shd w:val="clear" w:color="auto" w:fill="FFFFFF"/>
        </w:rPr>
        <w:fldChar w:fldCharType="end"/>
      </w:r>
      <w:r w:rsidR="00147F19" w:rsidRPr="00E12029">
        <w:rPr>
          <w:rFonts w:ascii="Arial" w:hAnsi="Arial" w:cs="Arial"/>
          <w:shd w:val="clear" w:color="auto" w:fill="FFFFFF"/>
        </w:rPr>
        <w:t>. Reed and colleagues performed a root cause analysis of causes of unplanned hospital admissions of patients with multimorbidity in Australia, reporting that there were 6 main causes; a consequence of minimal care, progression of disease, home care accessibility, high complexity, clinical error, and delayed care-seeking by the patient</w:t>
      </w:r>
      <w:r w:rsidR="004D0E6D">
        <w:rPr>
          <w:rFonts w:ascii="Arial" w:hAnsi="Arial" w:cs="Arial"/>
          <w:shd w:val="clear" w:color="auto" w:fill="FFFFFF"/>
        </w:rPr>
        <w:t xml:space="preserve"> </w:t>
      </w:r>
      <w:r w:rsidR="004D0E6D">
        <w:rPr>
          <w:rFonts w:ascii="Arial" w:hAnsi="Arial" w:cs="Arial"/>
          <w:shd w:val="clear" w:color="auto" w:fill="FFFFFF"/>
        </w:rPr>
        <w:fldChar w:fldCharType="begin"/>
      </w:r>
      <w:r w:rsidR="002D5ECA">
        <w:rPr>
          <w:rFonts w:ascii="Arial" w:hAnsi="Arial" w:cs="Arial"/>
          <w:shd w:val="clear" w:color="auto" w:fill="FFFFFF"/>
        </w:rPr>
        <w:instrText xml:space="preserve"> ADDIN EN.CITE &lt;EndNote&gt;&lt;Cite&gt;&lt;Author&gt;Reed&lt;/Author&gt;&lt;Year&gt;2015&lt;/Year&gt;&lt;RecNum&gt;424&lt;/RecNum&gt;&lt;DisplayText&gt;[27]&lt;/DisplayText&gt;&lt;record&gt;&lt;rec-number&gt;424&lt;/rec-number&gt;&lt;foreign-keys&gt;&lt;key app="EN" db-id="xp2sx5aahpsveaea2zq5s2xsef9d0fsxsxex" timestamp="1710152499"&gt;424&lt;/key&gt;&lt;/foreign-keys&gt;&lt;ref-type name="Journal Article"&gt;17&lt;/ref-type&gt;&lt;contributors&gt;&lt;authors&gt;&lt;author&gt;Reed, Richard L&lt;/author&gt;&lt;author&gt;Isherwood, Linda&lt;/author&gt;&lt;author&gt;Ben-Tovim, David&lt;/author&gt;&lt;/authors&gt;&lt;/contributors&gt;&lt;titles&gt;&lt;title&gt;Why do older people with multi-morbidity experience unplanned hospital admissions from the community: a root cause analysis&lt;/title&gt;&lt;secondary-title&gt;BMC Health Serv Res.&lt;/secondary-title&gt;&lt;/titles&gt;&lt;periodical&gt;&lt;full-title&gt;BMC Health Serv Res.&lt;/full-title&gt;&lt;/periodical&gt;&lt;pages&gt;525&lt;/pages&gt;&lt;volume&gt;15&lt;/volume&gt;&lt;dates&gt;&lt;year&gt;2015&lt;/year&gt;&lt;/dates&gt;&lt;urls&gt;&lt;/urls&gt;&lt;electronic-resource-num&gt;https://doi.org/10.1186/s12913-015-1170-z&lt;/electronic-resource-num&gt;&lt;/record&gt;&lt;/Cite&gt;&lt;/EndNote&gt;</w:instrText>
      </w:r>
      <w:r w:rsidR="004D0E6D">
        <w:rPr>
          <w:rFonts w:ascii="Arial" w:hAnsi="Arial" w:cs="Arial"/>
          <w:shd w:val="clear" w:color="auto" w:fill="FFFFFF"/>
        </w:rPr>
        <w:fldChar w:fldCharType="separate"/>
      </w:r>
      <w:r w:rsidR="002D5ECA">
        <w:rPr>
          <w:rFonts w:ascii="Arial" w:hAnsi="Arial" w:cs="Arial"/>
          <w:noProof/>
          <w:shd w:val="clear" w:color="auto" w:fill="FFFFFF"/>
        </w:rPr>
        <w:t>[27]</w:t>
      </w:r>
      <w:r w:rsidR="004D0E6D">
        <w:rPr>
          <w:rFonts w:ascii="Arial" w:hAnsi="Arial" w:cs="Arial"/>
          <w:shd w:val="clear" w:color="auto" w:fill="FFFFFF"/>
        </w:rPr>
        <w:fldChar w:fldCharType="end"/>
      </w:r>
      <w:r w:rsidR="00C00616" w:rsidRPr="00E12029">
        <w:rPr>
          <w:rFonts w:ascii="Arial" w:hAnsi="Arial" w:cs="Arial"/>
          <w:shd w:val="clear" w:color="auto" w:fill="FFFFFF"/>
        </w:rPr>
        <w:t>.</w:t>
      </w:r>
      <w:r w:rsidR="00E12029">
        <w:rPr>
          <w:rFonts w:ascii="Arial" w:hAnsi="Arial" w:cs="Arial"/>
          <w:shd w:val="clear" w:color="auto" w:fill="FFFFFF"/>
        </w:rPr>
        <w:t xml:space="preserve"> Public health interventions to reduce adverse clinical outcomes in patients with more than one comorbidity might consider how we can address these factors in the community. </w:t>
      </w:r>
    </w:p>
    <w:p w14:paraId="301B0101" w14:textId="4B9A7B9D" w:rsidR="00147F19" w:rsidRDefault="00147F19" w:rsidP="00FC17F5">
      <w:pPr>
        <w:spacing w:after="200" w:line="480" w:lineRule="auto"/>
        <w:jc w:val="both"/>
        <w:rPr>
          <w:rFonts w:ascii="Arial" w:hAnsi="Arial" w:cs="Arial"/>
          <w:shd w:val="clear" w:color="auto" w:fill="FFFFFF"/>
        </w:rPr>
      </w:pPr>
      <w:r w:rsidRPr="00E12029">
        <w:rPr>
          <w:rFonts w:ascii="Arial" w:hAnsi="Arial" w:cs="Arial"/>
          <w:shd w:val="clear" w:color="auto" w:fill="FFFFFF"/>
        </w:rPr>
        <w:t xml:space="preserve">We studied relationships between multimorbidity in late midlife and events over 20 years of follow-up; </w:t>
      </w:r>
      <w:r w:rsidR="00E12029">
        <w:rPr>
          <w:rFonts w:ascii="Arial" w:hAnsi="Arial" w:cs="Arial"/>
          <w:shd w:val="clear" w:color="auto" w:fill="FFFFFF"/>
        </w:rPr>
        <w:t xml:space="preserve">hence our findings add to the literature that has considered other </w:t>
      </w:r>
      <w:r w:rsidRPr="00E12029">
        <w:rPr>
          <w:rFonts w:ascii="Arial" w:hAnsi="Arial" w:cs="Arial"/>
          <w:shd w:val="clear" w:color="auto" w:fill="FFFFFF"/>
        </w:rPr>
        <w:t>stages of the life</w:t>
      </w:r>
      <w:r w:rsidR="00C00616" w:rsidRPr="00E12029">
        <w:rPr>
          <w:rFonts w:ascii="Arial" w:hAnsi="Arial" w:cs="Arial"/>
          <w:shd w:val="clear" w:color="auto" w:fill="FFFFFF"/>
        </w:rPr>
        <w:t xml:space="preserve"> </w:t>
      </w:r>
      <w:r w:rsidRPr="00E12029">
        <w:rPr>
          <w:rFonts w:ascii="Arial" w:hAnsi="Arial" w:cs="Arial"/>
          <w:shd w:val="clear" w:color="auto" w:fill="FFFFFF"/>
        </w:rPr>
        <w:t>course</w:t>
      </w:r>
      <w:r w:rsidR="003C6531">
        <w:rPr>
          <w:rFonts w:ascii="Arial" w:hAnsi="Arial" w:cs="Arial"/>
          <w:shd w:val="clear" w:color="auto" w:fill="FFFFFF"/>
        </w:rPr>
        <w:t>.</w:t>
      </w:r>
      <w:r w:rsidRPr="00E12029">
        <w:rPr>
          <w:rFonts w:ascii="Arial" w:hAnsi="Arial" w:cs="Arial"/>
          <w:shd w:val="clear" w:color="auto" w:fill="FFFFFF"/>
        </w:rPr>
        <w:t xml:space="preserve"> Lai and </w:t>
      </w:r>
      <w:r w:rsidR="00EE1C4C" w:rsidRPr="00E12029">
        <w:rPr>
          <w:rFonts w:ascii="Arial" w:hAnsi="Arial" w:cs="Arial"/>
          <w:shd w:val="clear" w:color="auto" w:fill="FFFFFF"/>
        </w:rPr>
        <w:t xml:space="preserve">colleagues </w:t>
      </w:r>
      <w:r w:rsidR="00EE1C4C" w:rsidRPr="00E12029">
        <w:rPr>
          <w:rStyle w:val="Strong"/>
          <w:rFonts w:ascii="Arial" w:hAnsi="Arial" w:cs="Arial"/>
          <w:b w:val="0"/>
          <w:bCs w:val="0"/>
          <w:shd w:val="clear" w:color="auto" w:fill="FFFFFF"/>
        </w:rPr>
        <w:t>examined</w:t>
      </w:r>
      <w:r w:rsidRPr="00E12029">
        <w:rPr>
          <w:rFonts w:ascii="Arial" w:hAnsi="Arial" w:cs="Arial"/>
          <w:shd w:val="clear" w:color="auto" w:fill="FFFFFF"/>
        </w:rPr>
        <w:t xml:space="preserve"> routine clinical records of all patients aged 45+ years with chronic conditions discharged from public general hospitals in Hong Kong. They studied patterns of annual frequencies of hospital admissions and number of hospitalized days over nine years and compared these according to multimorbidity status and age group. Interestingly they found that on interaction analysis, the effect of multimorbidity on hospitalization was stronger in younger groups</w:t>
      </w:r>
      <w:r w:rsidR="009E4E95">
        <w:rPr>
          <w:rFonts w:ascii="Arial" w:hAnsi="Arial" w:cs="Arial"/>
          <w:shd w:val="clear" w:color="auto" w:fill="FFFFFF"/>
        </w:rPr>
        <w:t>,</w:t>
      </w:r>
      <w:r w:rsidRPr="00E12029">
        <w:rPr>
          <w:rFonts w:ascii="Arial" w:hAnsi="Arial" w:cs="Arial"/>
          <w:shd w:val="clear" w:color="auto" w:fill="FFFFFF"/>
        </w:rPr>
        <w:t xml:space="preserve"> highlighting the need to consider the consequences of multimorbidity throughout the </w:t>
      </w:r>
      <w:r w:rsidR="003758BA" w:rsidRPr="00E12029">
        <w:rPr>
          <w:rFonts w:ascii="Arial" w:hAnsi="Arial" w:cs="Arial"/>
          <w:shd w:val="clear" w:color="auto" w:fill="FFFFFF"/>
        </w:rPr>
        <w:t>l</w:t>
      </w:r>
      <w:r w:rsidR="003F6F7D" w:rsidRPr="00E12029">
        <w:rPr>
          <w:rFonts w:ascii="Arial" w:hAnsi="Arial" w:cs="Arial"/>
          <w:shd w:val="clear" w:color="auto" w:fill="FFFFFF"/>
        </w:rPr>
        <w:t>ifecourse</w:t>
      </w:r>
      <w:r w:rsidR="004D0E6D">
        <w:rPr>
          <w:rFonts w:ascii="Arial" w:hAnsi="Arial" w:cs="Arial"/>
          <w:shd w:val="clear" w:color="auto" w:fill="FFFFFF"/>
        </w:rPr>
        <w:t xml:space="preserve"> </w:t>
      </w:r>
      <w:r w:rsidR="004D0E6D">
        <w:rPr>
          <w:rFonts w:ascii="Arial" w:hAnsi="Arial" w:cs="Arial"/>
          <w:shd w:val="clear" w:color="auto" w:fill="FFFFFF"/>
        </w:rPr>
        <w:fldChar w:fldCharType="begin"/>
      </w:r>
      <w:r w:rsidR="002D5ECA">
        <w:rPr>
          <w:rFonts w:ascii="Arial" w:hAnsi="Arial" w:cs="Arial"/>
          <w:shd w:val="clear" w:color="auto" w:fill="FFFFFF"/>
        </w:rPr>
        <w:instrText xml:space="preserve"> ADDIN EN.CITE &lt;EndNote&gt;&lt;Cite&gt;&lt;Author&gt;Lai&lt;/Author&gt;&lt;Year&gt;2019&lt;/Year&gt;&lt;RecNum&gt;420&lt;/RecNum&gt;&lt;DisplayText&gt;[12]&lt;/DisplayText&gt;&lt;record&gt;&lt;rec-number&gt;420&lt;/rec-number&gt;&lt;foreign-keys&gt;&lt;key app="EN" db-id="xp2sx5aahpsveaea2zq5s2xsef9d0fsxsxex" timestamp="1710151555"&gt;420&lt;/key&gt;&lt;/foreign-keys&gt;&lt;ref-type name="Journal Article"&gt;17&lt;/ref-type&gt;&lt;contributors&gt;&lt;authors&gt;&lt;author&gt;Lai, Francisco TT&lt;/author&gt;&lt;author&gt;Wong, Samuel YS&lt;/author&gt;&lt;author&gt;Yip, Benjamin HK&lt;/author&gt;&lt;author&gt;Guthrie, Bruce&lt;/author&gt;&lt;author&gt;Mercer, Stewart W&lt;/author&gt;&lt;author&gt;Chung, Roger Y&lt;/author&gt;&lt;author&gt;Chung, Gary KK&lt;/author&gt;&lt;author&gt;Chau, Patsy YK&lt;/author&gt;&lt;author&gt;Wong, Eliza LY&lt;/author&gt;&lt;author&gt;Woo, Jean&lt;/author&gt;&lt;/authors&gt;&lt;/contributors&gt;&lt;titles&gt;&lt;title&gt;Multimorbidity in middle age predicts more subsequent hospital admissions than in older age: a nine-year retrospective cohort study of 121,188 discharged in-patients&lt;/title&gt;&lt;secondary-title&gt;Eur J Intern Med.&lt;/secondary-title&gt;&lt;/titles&gt;&lt;periodical&gt;&lt;full-title&gt;Eur J Intern Med.&lt;/full-title&gt;&lt;/periodical&gt;&lt;pages&gt;103-111&lt;/pages&gt;&lt;volume&gt;61&lt;/volume&gt;&lt;dates&gt;&lt;year&gt;2019&lt;/year&gt;&lt;/dates&gt;&lt;urls&gt;&lt;/urls&gt;&lt;electronic-resource-num&gt;https://doi.org/10.1016/j.ejim.2018.12.001&lt;/electronic-resource-num&gt;&lt;/record&gt;&lt;/Cite&gt;&lt;/EndNote&gt;</w:instrText>
      </w:r>
      <w:r w:rsidR="004D0E6D">
        <w:rPr>
          <w:rFonts w:ascii="Arial" w:hAnsi="Arial" w:cs="Arial"/>
          <w:shd w:val="clear" w:color="auto" w:fill="FFFFFF"/>
        </w:rPr>
        <w:fldChar w:fldCharType="separate"/>
      </w:r>
      <w:r w:rsidR="002D5ECA">
        <w:rPr>
          <w:rFonts w:ascii="Arial" w:hAnsi="Arial" w:cs="Arial"/>
          <w:noProof/>
          <w:shd w:val="clear" w:color="auto" w:fill="FFFFFF"/>
        </w:rPr>
        <w:t>[12]</w:t>
      </w:r>
      <w:r w:rsidR="004D0E6D">
        <w:rPr>
          <w:rFonts w:ascii="Arial" w:hAnsi="Arial" w:cs="Arial"/>
          <w:shd w:val="clear" w:color="auto" w:fill="FFFFFF"/>
        </w:rPr>
        <w:fldChar w:fldCharType="end"/>
      </w:r>
      <w:r w:rsidRPr="00E12029">
        <w:rPr>
          <w:rFonts w:ascii="Arial" w:hAnsi="Arial" w:cs="Arial"/>
          <w:shd w:val="clear" w:color="auto" w:fill="FFFFFF"/>
        </w:rPr>
        <w:t xml:space="preserve">. </w:t>
      </w:r>
      <w:r w:rsidR="008818B7">
        <w:rPr>
          <w:rFonts w:ascii="Arial" w:hAnsi="Arial" w:cs="Arial"/>
          <w:shd w:val="clear" w:color="auto" w:fill="FFFFFF"/>
        </w:rPr>
        <w:t>W</w:t>
      </w:r>
      <w:r w:rsidRPr="00E12029">
        <w:rPr>
          <w:rFonts w:ascii="Arial" w:hAnsi="Arial" w:cs="Arial"/>
          <w:shd w:val="clear" w:color="auto" w:fill="FFFFFF"/>
        </w:rPr>
        <w:t xml:space="preserve">ork from the Newcastle 85+ study </w:t>
      </w:r>
      <w:r w:rsidR="00E5748A">
        <w:rPr>
          <w:rFonts w:ascii="Arial" w:hAnsi="Arial" w:cs="Arial"/>
          <w:shd w:val="clear" w:color="auto" w:fill="FFFFFF"/>
        </w:rPr>
        <w:t xml:space="preserve">found that </w:t>
      </w:r>
      <w:r w:rsidRPr="00E12029">
        <w:rPr>
          <w:rFonts w:ascii="Arial" w:hAnsi="Arial" w:cs="Arial"/>
          <w:shd w:val="clear" w:color="auto" w:fill="FFFFFF"/>
        </w:rPr>
        <w:t>morbidity load was related to medication burden and use of some, but not all, healthcare services</w:t>
      </w:r>
      <w:r w:rsidR="004D0E6D">
        <w:rPr>
          <w:rFonts w:ascii="Arial" w:hAnsi="Arial" w:cs="Arial"/>
          <w:shd w:val="clear" w:color="auto" w:fill="FFFFFF"/>
        </w:rPr>
        <w:t xml:space="preserve"> </w:t>
      </w:r>
      <w:r w:rsidR="004D0E6D">
        <w:rPr>
          <w:rFonts w:ascii="Arial" w:hAnsi="Arial" w:cs="Arial"/>
          <w:shd w:val="clear" w:color="auto" w:fill="FFFFFF"/>
        </w:rPr>
        <w:fldChar w:fldCharType="begin"/>
      </w:r>
      <w:r w:rsidR="004D0E6D">
        <w:rPr>
          <w:rFonts w:ascii="Arial" w:hAnsi="Arial" w:cs="Arial"/>
          <w:shd w:val="clear" w:color="auto" w:fill="FFFFFF"/>
        </w:rPr>
        <w:instrText xml:space="preserve"> ADDIN EN.CITE &lt;EndNote&gt;&lt;Cite&gt;&lt;Author&gt;Collerton&lt;/Author&gt;&lt;Year&gt;2016&lt;/Year&gt;&lt;RecNum&gt;411&lt;/RecNum&gt;&lt;DisplayText&gt;[3]&lt;/DisplayText&gt;&lt;record&gt;&lt;rec-number&gt;411&lt;/rec-number&gt;&lt;foreign-keys&gt;&lt;key app="EN" db-id="xp2sx5aahpsveaea2zq5s2xsef9d0fsxsxex" timestamp="1710149897"&gt;411&lt;/key&gt;&lt;/foreign-keys&gt;&lt;ref-type name="Journal Article"&gt;17&lt;/ref-type&gt;&lt;contributors&gt;&lt;authors&gt;&lt;author&gt;Collerton, Joanna&lt;/author&gt;&lt;author&gt;Jagger, Carol&lt;/author&gt;&lt;author&gt;Yadegarfar, Mohammad E&lt;/author&gt;&lt;author&gt;Davies, Karen&lt;/author&gt;&lt;author&gt;Parker, Stuart G&lt;/author&gt;&lt;author&gt;Robinson, Louise&lt;/author&gt;&lt;author&gt;Kirkwood, Thomas BL&lt;/author&gt;&lt;/authors&gt;&lt;/contributors&gt;&lt;titles&gt;&lt;title&gt;Deconstructing Complex Multimorbidity in the Very Old: Findings from the Newcastle 85+ Study&lt;/title&gt;&lt;secondary-title&gt;Biomed Res Int.&lt;/secondary-title&gt;&lt;/titles&gt;&lt;periodical&gt;&lt;full-title&gt;Biomed Res Int.&lt;/full-title&gt;&lt;/periodical&gt;&lt;pages&gt;8745670&lt;/pages&gt;&lt;volume&gt;2016&lt;/volume&gt;&lt;dates&gt;&lt;year&gt;2016&lt;/year&gt;&lt;/dates&gt;&lt;urls&gt;&lt;/urls&gt;&lt;electronic-resource-num&gt;https://doi.org/10.1155/2016/8745670&lt;/electronic-resource-num&gt;&lt;/record&gt;&lt;/Cite&gt;&lt;/EndNote&gt;</w:instrText>
      </w:r>
      <w:r w:rsidR="004D0E6D">
        <w:rPr>
          <w:rFonts w:ascii="Arial" w:hAnsi="Arial" w:cs="Arial"/>
          <w:shd w:val="clear" w:color="auto" w:fill="FFFFFF"/>
        </w:rPr>
        <w:fldChar w:fldCharType="separate"/>
      </w:r>
      <w:r w:rsidR="004D0E6D">
        <w:rPr>
          <w:rFonts w:ascii="Arial" w:hAnsi="Arial" w:cs="Arial"/>
          <w:noProof/>
          <w:shd w:val="clear" w:color="auto" w:fill="FFFFFF"/>
        </w:rPr>
        <w:t>[3]</w:t>
      </w:r>
      <w:r w:rsidR="004D0E6D">
        <w:rPr>
          <w:rFonts w:ascii="Arial" w:hAnsi="Arial" w:cs="Arial"/>
          <w:shd w:val="clear" w:color="auto" w:fill="FFFFFF"/>
        </w:rPr>
        <w:fldChar w:fldCharType="end"/>
      </w:r>
      <w:r w:rsidRPr="00E12029">
        <w:rPr>
          <w:rFonts w:ascii="Arial" w:hAnsi="Arial" w:cs="Arial"/>
          <w:shd w:val="clear" w:color="auto" w:fill="FFFFFF"/>
        </w:rPr>
        <w:t xml:space="preserve">. Although it has been suggested that </w:t>
      </w:r>
      <w:r w:rsidR="009E4E95">
        <w:rPr>
          <w:rFonts w:ascii="Arial" w:hAnsi="Arial" w:cs="Arial"/>
          <w:shd w:val="clear" w:color="auto" w:fill="FFFFFF"/>
        </w:rPr>
        <w:t>identifying</w:t>
      </w:r>
      <w:r w:rsidR="009E4E95" w:rsidRPr="00E12029">
        <w:rPr>
          <w:rFonts w:ascii="Arial" w:hAnsi="Arial" w:cs="Arial"/>
          <w:shd w:val="clear" w:color="auto" w:fill="FFFFFF"/>
        </w:rPr>
        <w:t xml:space="preserve"> </w:t>
      </w:r>
      <w:r w:rsidRPr="00E12029">
        <w:rPr>
          <w:rFonts w:ascii="Arial" w:hAnsi="Arial" w:cs="Arial"/>
          <w:shd w:val="clear" w:color="auto" w:fill="FFFFFF"/>
        </w:rPr>
        <w:t>participant clusters sharing similar morbidity profiles might help inform future healthcare provision and the identification of common underlying biological mechanisms</w:t>
      </w:r>
      <w:r w:rsidR="004D0E6D">
        <w:rPr>
          <w:rFonts w:ascii="Arial" w:hAnsi="Arial" w:cs="Arial"/>
          <w:shd w:val="clear" w:color="auto" w:fill="FFFFFF"/>
        </w:rPr>
        <w:t xml:space="preserve"> </w:t>
      </w:r>
      <w:r w:rsidR="004D0E6D">
        <w:rPr>
          <w:rFonts w:ascii="Arial" w:hAnsi="Arial" w:cs="Arial"/>
          <w:shd w:val="clear" w:color="auto" w:fill="FFFFFF"/>
        </w:rPr>
        <w:fldChar w:fldCharType="begin"/>
      </w:r>
      <w:r w:rsidR="004D0E6D">
        <w:rPr>
          <w:rFonts w:ascii="Arial" w:hAnsi="Arial" w:cs="Arial"/>
          <w:shd w:val="clear" w:color="auto" w:fill="FFFFFF"/>
        </w:rPr>
        <w:instrText xml:space="preserve"> ADDIN EN.CITE &lt;EndNote&gt;&lt;Cite&gt;&lt;Author&gt;Collerton&lt;/Author&gt;&lt;Year&gt;2016&lt;/Year&gt;&lt;RecNum&gt;411&lt;/RecNum&gt;&lt;DisplayText&gt;[3]&lt;/DisplayText&gt;&lt;record&gt;&lt;rec-number&gt;411&lt;/rec-number&gt;&lt;foreign-keys&gt;&lt;key app="EN" db-id="xp2sx5aahpsveaea2zq5s2xsef9d0fsxsxex" timestamp="1710149897"&gt;411&lt;/key&gt;&lt;/foreign-keys&gt;&lt;ref-type name="Journal Article"&gt;17&lt;/ref-type&gt;&lt;contributors&gt;&lt;authors&gt;&lt;author&gt;Collerton, Joanna&lt;/author&gt;&lt;author&gt;Jagger, Carol&lt;/author&gt;&lt;author&gt;Yadegarfar, Mohammad E&lt;/author&gt;&lt;author&gt;Davies, Karen&lt;/author&gt;&lt;author&gt;Parker, Stuart G&lt;/author&gt;&lt;author&gt;Robinson, Louise&lt;/author&gt;&lt;author&gt;Kirkwood, Thomas BL&lt;/author&gt;&lt;/authors&gt;&lt;/contributors&gt;&lt;titles&gt;&lt;title&gt;Deconstructing Complex Multimorbidity in the Very Old: Findings from the Newcastle 85+ Study&lt;/title&gt;&lt;secondary-title&gt;Biomed Res Int.&lt;/secondary-title&gt;&lt;/titles&gt;&lt;periodical&gt;&lt;full-title&gt;Biomed Res Int.&lt;/full-title&gt;&lt;/periodical&gt;&lt;pages&gt;8745670&lt;/pages&gt;&lt;volume&gt;2016&lt;/volume&gt;&lt;dates&gt;&lt;year&gt;2016&lt;/year&gt;&lt;/dates&gt;&lt;urls&gt;&lt;/urls&gt;&lt;electronic-resource-num&gt;https://doi.org/10.1155/2016/8745670&lt;/electronic-resource-num&gt;&lt;/record&gt;&lt;/Cite&gt;&lt;/EndNote&gt;</w:instrText>
      </w:r>
      <w:r w:rsidR="004D0E6D">
        <w:rPr>
          <w:rFonts w:ascii="Arial" w:hAnsi="Arial" w:cs="Arial"/>
          <w:shd w:val="clear" w:color="auto" w:fill="FFFFFF"/>
        </w:rPr>
        <w:fldChar w:fldCharType="separate"/>
      </w:r>
      <w:r w:rsidR="004D0E6D">
        <w:rPr>
          <w:rFonts w:ascii="Arial" w:hAnsi="Arial" w:cs="Arial"/>
          <w:noProof/>
          <w:shd w:val="clear" w:color="auto" w:fill="FFFFFF"/>
        </w:rPr>
        <w:t>[3]</w:t>
      </w:r>
      <w:r w:rsidR="004D0E6D">
        <w:rPr>
          <w:rFonts w:ascii="Arial" w:hAnsi="Arial" w:cs="Arial"/>
          <w:shd w:val="clear" w:color="auto" w:fill="FFFFFF"/>
        </w:rPr>
        <w:fldChar w:fldCharType="end"/>
      </w:r>
      <w:r w:rsidRPr="00E12029">
        <w:rPr>
          <w:rFonts w:ascii="Arial" w:hAnsi="Arial" w:cs="Arial"/>
          <w:shd w:val="clear" w:color="auto" w:fill="FFFFFF"/>
        </w:rPr>
        <w:t xml:space="preserve">, </w:t>
      </w:r>
      <w:r w:rsidR="009C0082">
        <w:rPr>
          <w:rFonts w:ascii="Arial" w:hAnsi="Arial" w:cs="Arial"/>
          <w:shd w:val="clear" w:color="auto" w:fill="FFFFFF"/>
        </w:rPr>
        <w:t>Stokes</w:t>
      </w:r>
      <w:r w:rsidRPr="00E12029">
        <w:rPr>
          <w:rFonts w:ascii="Arial" w:hAnsi="Arial" w:cs="Arial"/>
          <w:shd w:val="clear" w:color="auto" w:fill="FFFFFF"/>
        </w:rPr>
        <w:t xml:space="preserve"> et al</w:t>
      </w:r>
      <w:r w:rsidR="004D0E6D">
        <w:rPr>
          <w:rFonts w:ascii="Arial" w:hAnsi="Arial" w:cs="Arial"/>
          <w:shd w:val="clear" w:color="auto" w:fill="FFFFFF"/>
        </w:rPr>
        <w:t xml:space="preserve"> </w:t>
      </w:r>
      <w:r w:rsidR="009C0082">
        <w:rPr>
          <w:rFonts w:ascii="Arial" w:hAnsi="Arial" w:cs="Arial"/>
          <w:shd w:val="clear" w:color="auto" w:fill="FFFFFF"/>
        </w:rPr>
        <w:fldChar w:fldCharType="begin"/>
      </w:r>
      <w:r w:rsidR="009C0082">
        <w:rPr>
          <w:rFonts w:ascii="Arial" w:hAnsi="Arial" w:cs="Arial"/>
          <w:shd w:val="clear" w:color="auto" w:fill="FFFFFF"/>
        </w:rPr>
        <w:instrText xml:space="preserve"> ADDIN EN.CITE &lt;EndNote&gt;&lt;Cite&gt;&lt;Author&gt;Stokes&lt;/Author&gt;&lt;Year&gt;2021&lt;/Year&gt;&lt;RecNum&gt;418&lt;/RecNum&gt;&lt;DisplayText&gt;[10]&lt;/DisplayText&gt;&lt;record&gt;&lt;rec-number&gt;418&lt;/rec-number&gt;&lt;foreign-keys&gt;&lt;key app="EN" db-id="xp2sx5aahpsveaea2zq5s2xsef9d0fsxsxex" timestamp="1710150945"&gt;418&lt;/key&gt;&lt;/foreign-keys&gt;&lt;ref-type name="Journal Article"&gt;17&lt;/ref-type&gt;&lt;contributors&gt;&lt;authors&gt;&lt;author&gt;Stokes, Jonathan&lt;/author&gt;&lt;author&gt;Guthrie, Bruce&lt;/author&gt;&lt;author&gt;Mercer, Stewart W&lt;/author&gt;&lt;author&gt;Rice, Nigel&lt;/author&gt;&lt;author&gt;Sutton, Matt&lt;/author&gt;&lt;/authors&gt;&lt;/contributors&gt;&lt;titles&gt;&lt;title&gt;Multimorbidity combinations, costs of hospital care and potentially preventable emergency admissions in England: A cohort study&lt;/title&gt;&lt;secondary-title&gt;PLoS Med.&lt;/secondary-title&gt;&lt;/titles&gt;&lt;periodical&gt;&lt;full-title&gt;PLoS Medicine&lt;/full-title&gt;&lt;abbr-1&gt;PLoS Med.&lt;/abbr-1&gt;&lt;abbr-2&gt;PLoS Med&lt;/abbr-2&gt;&lt;/periodical&gt;&lt;pages&gt;e1003514&lt;/pages&gt;&lt;volume&gt;18&lt;/volume&gt;&lt;number&gt;1&lt;/number&gt;&lt;dates&gt;&lt;year&gt;2021&lt;/year&gt;&lt;/dates&gt;&lt;isbn&gt;1549-1277&lt;/isbn&gt;&lt;urls&gt;&lt;/urls&gt;&lt;electronic-resource-num&gt;https://doi.org/10.1371/journal.pmed.1003514&lt;/electronic-resource-num&gt;&lt;/record&gt;&lt;/Cite&gt;&lt;/EndNote&gt;</w:instrText>
      </w:r>
      <w:r w:rsidR="009C0082">
        <w:rPr>
          <w:rFonts w:ascii="Arial" w:hAnsi="Arial" w:cs="Arial"/>
          <w:shd w:val="clear" w:color="auto" w:fill="FFFFFF"/>
        </w:rPr>
        <w:fldChar w:fldCharType="separate"/>
      </w:r>
      <w:r w:rsidR="009C0082">
        <w:rPr>
          <w:rFonts w:ascii="Arial" w:hAnsi="Arial" w:cs="Arial"/>
          <w:noProof/>
          <w:shd w:val="clear" w:color="auto" w:fill="FFFFFF"/>
        </w:rPr>
        <w:t>[10]</w:t>
      </w:r>
      <w:r w:rsidR="009C0082">
        <w:rPr>
          <w:rFonts w:ascii="Arial" w:hAnsi="Arial" w:cs="Arial"/>
          <w:shd w:val="clear" w:color="auto" w:fill="FFFFFF"/>
        </w:rPr>
        <w:fldChar w:fldCharType="end"/>
      </w:r>
      <w:r w:rsidRPr="00E12029">
        <w:rPr>
          <w:rFonts w:ascii="Arial" w:hAnsi="Arial" w:cs="Arial"/>
          <w:shd w:val="clear" w:color="auto" w:fill="FFFFFF"/>
        </w:rPr>
        <w:t xml:space="preserve"> failed to </w:t>
      </w:r>
      <w:r w:rsidR="00EE1C4C" w:rsidRPr="00E12029">
        <w:rPr>
          <w:rFonts w:ascii="Arial" w:hAnsi="Arial" w:cs="Arial"/>
          <w:shd w:val="clear" w:color="auto" w:fill="FFFFFF"/>
        </w:rPr>
        <w:t>identify clear</w:t>
      </w:r>
      <w:r w:rsidRPr="00E12029">
        <w:rPr>
          <w:rFonts w:ascii="Arial" w:hAnsi="Arial" w:cs="Arial"/>
          <w:shd w:val="clear" w:color="auto" w:fill="FFFFFF"/>
        </w:rPr>
        <w:t xml:space="preserve"> </w:t>
      </w:r>
      <w:r w:rsidR="003F6F7D" w:rsidRPr="00E12029">
        <w:rPr>
          <w:rFonts w:ascii="Arial" w:hAnsi="Arial" w:cs="Arial"/>
          <w:shd w:val="clear" w:color="auto" w:fill="FFFFFF"/>
        </w:rPr>
        <w:t>“</w:t>
      </w:r>
      <w:r w:rsidRPr="00E12029">
        <w:rPr>
          <w:rFonts w:ascii="Arial" w:hAnsi="Arial" w:cs="Arial"/>
          <w:shd w:val="clear" w:color="auto" w:fill="FFFFFF"/>
        </w:rPr>
        <w:t>high cost</w:t>
      </w:r>
      <w:r w:rsidR="003F6F7D" w:rsidRPr="00E12029">
        <w:rPr>
          <w:rFonts w:ascii="Arial" w:hAnsi="Arial" w:cs="Arial"/>
          <w:shd w:val="clear" w:color="auto" w:fill="FFFFFF"/>
        </w:rPr>
        <w:t>”</w:t>
      </w:r>
      <w:r w:rsidRPr="00E12029">
        <w:rPr>
          <w:rFonts w:ascii="Arial" w:hAnsi="Arial" w:cs="Arial"/>
          <w:shd w:val="clear" w:color="auto" w:fill="FFFFFF"/>
        </w:rPr>
        <w:t xml:space="preserve"> combinations of multimorbidity as possible targets for intervention so further work is needed in this area.</w:t>
      </w:r>
      <w:r w:rsidR="00E12029">
        <w:rPr>
          <w:rFonts w:ascii="Arial" w:hAnsi="Arial" w:cs="Arial"/>
          <w:shd w:val="clear" w:color="auto" w:fill="FFFFFF"/>
        </w:rPr>
        <w:t xml:space="preserve"> We recognise that a limitation of our study was an inability to consider this aspect further.</w:t>
      </w:r>
      <w:r w:rsidRPr="00E12029">
        <w:rPr>
          <w:rFonts w:ascii="Arial" w:hAnsi="Arial" w:cs="Arial"/>
          <w:shd w:val="clear" w:color="auto" w:fill="FFFFFF"/>
        </w:rPr>
        <w:t xml:space="preserve">  </w:t>
      </w:r>
    </w:p>
    <w:p w14:paraId="43C2F4DD" w14:textId="67117C5A" w:rsidR="00E5552E" w:rsidRPr="00E12029" w:rsidRDefault="00E8712B" w:rsidP="00FC17F5">
      <w:pPr>
        <w:spacing w:after="200" w:line="480" w:lineRule="auto"/>
        <w:jc w:val="both"/>
        <w:rPr>
          <w:rFonts w:ascii="Arial" w:hAnsi="Arial" w:cs="Arial"/>
          <w:shd w:val="clear" w:color="auto" w:fill="FFFFFF"/>
        </w:rPr>
      </w:pPr>
      <w:r>
        <w:rPr>
          <w:rFonts w:ascii="Arial" w:hAnsi="Arial" w:cs="Arial"/>
          <w:shd w:val="clear" w:color="auto" w:fill="FFFFFF"/>
        </w:rPr>
        <w:t>Our findings highlight the importance of addressing the risk factors for chronic diseases in midlife to prevent adverse health events in later life. Since common chronic diseases</w:t>
      </w:r>
      <w:r w:rsidR="009E4E95">
        <w:rPr>
          <w:rFonts w:ascii="Arial" w:hAnsi="Arial" w:cs="Arial"/>
          <w:shd w:val="clear" w:color="auto" w:fill="FFFFFF"/>
        </w:rPr>
        <w:t>, including cardiovascular, respiratory and malignant conditions, and diseases such as diabetes</w:t>
      </w:r>
      <w:r w:rsidR="00DD1EBC">
        <w:rPr>
          <w:rFonts w:ascii="Arial" w:hAnsi="Arial" w:cs="Arial"/>
          <w:shd w:val="clear" w:color="auto" w:fill="FFFFFF"/>
        </w:rPr>
        <w:t xml:space="preserve"> </w:t>
      </w:r>
      <w:r>
        <w:rPr>
          <w:rFonts w:ascii="Arial" w:hAnsi="Arial" w:cs="Arial"/>
          <w:shd w:val="clear" w:color="auto" w:fill="FFFFFF"/>
        </w:rPr>
        <w:t xml:space="preserve">share </w:t>
      </w:r>
      <w:r>
        <w:rPr>
          <w:rFonts w:ascii="Arial" w:hAnsi="Arial" w:cs="Arial"/>
          <w:shd w:val="clear" w:color="auto" w:fill="FFFFFF"/>
        </w:rPr>
        <w:lastRenderedPageBreak/>
        <w:t xml:space="preserve">common </w:t>
      </w:r>
      <w:r w:rsidR="009E4E95">
        <w:rPr>
          <w:rFonts w:ascii="Arial" w:hAnsi="Arial" w:cs="Arial"/>
          <w:shd w:val="clear" w:color="auto" w:fill="FFFFFF"/>
        </w:rPr>
        <w:t xml:space="preserve">lifestyle </w:t>
      </w:r>
      <w:r>
        <w:rPr>
          <w:rFonts w:ascii="Arial" w:hAnsi="Arial" w:cs="Arial"/>
          <w:shd w:val="clear" w:color="auto" w:fill="FFFFFF"/>
        </w:rPr>
        <w:t xml:space="preserve">risk factors including smoking, </w:t>
      </w:r>
      <w:r w:rsidR="00DD1EBC">
        <w:rPr>
          <w:rFonts w:ascii="Arial" w:hAnsi="Arial" w:cs="Arial"/>
          <w:shd w:val="clear" w:color="auto" w:fill="FFFFFF"/>
        </w:rPr>
        <w:t xml:space="preserve">lack of </w:t>
      </w:r>
      <w:r>
        <w:rPr>
          <w:rFonts w:ascii="Arial" w:hAnsi="Arial" w:cs="Arial"/>
          <w:shd w:val="clear" w:color="auto" w:fill="FFFFFF"/>
        </w:rPr>
        <w:t>physical activity, high alcohol consumption and poor diet</w:t>
      </w:r>
      <w:r w:rsidR="009E4E95">
        <w:rPr>
          <w:rFonts w:ascii="Arial" w:hAnsi="Arial" w:cs="Arial"/>
          <w:shd w:val="clear" w:color="auto" w:fill="FFFFFF"/>
        </w:rPr>
        <w:t xml:space="preserve"> quality</w:t>
      </w:r>
      <w:r>
        <w:rPr>
          <w:rFonts w:ascii="Arial" w:hAnsi="Arial" w:cs="Arial"/>
          <w:shd w:val="clear" w:color="auto" w:fill="FFFFFF"/>
        </w:rPr>
        <w:t xml:space="preserve">, public health measures can be targeted to address them </w:t>
      </w:r>
      <w:r w:rsidR="009E4E95">
        <w:rPr>
          <w:rFonts w:ascii="Arial" w:hAnsi="Arial" w:cs="Arial"/>
          <w:shd w:val="clear" w:color="auto" w:fill="FFFFFF"/>
        </w:rPr>
        <w:t xml:space="preserve">especially </w:t>
      </w:r>
      <w:r>
        <w:rPr>
          <w:rFonts w:ascii="Arial" w:hAnsi="Arial" w:cs="Arial"/>
          <w:shd w:val="clear" w:color="auto" w:fill="FFFFFF"/>
        </w:rPr>
        <w:t>at primary care level</w:t>
      </w:r>
      <w:r w:rsidR="004D0E6D">
        <w:rPr>
          <w:rFonts w:ascii="Arial" w:hAnsi="Arial" w:cs="Arial"/>
          <w:shd w:val="clear" w:color="auto" w:fill="FFFFFF"/>
        </w:rPr>
        <w:t xml:space="preserve"> </w:t>
      </w:r>
      <w:r w:rsidR="004D0E6D">
        <w:rPr>
          <w:rFonts w:ascii="Arial" w:hAnsi="Arial" w:cs="Arial"/>
          <w:shd w:val="clear" w:color="auto" w:fill="FFFFFF"/>
        </w:rPr>
        <w:fldChar w:fldCharType="begin">
          <w:fldData xml:space="preserve">PEVuZE5vdGU+PENpdGU+PEF1dGhvcj5BcmVuYTwvQXV0aG9yPjxZZWFyPjIwMTU8L1llYXI+PFJl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</w:fldData>
        </w:fldChar>
      </w:r>
      <w:r w:rsidR="002D5ECA">
        <w:rPr>
          <w:rFonts w:ascii="Arial" w:hAnsi="Arial" w:cs="Arial"/>
          <w:shd w:val="clear" w:color="auto" w:fill="FFFFFF"/>
        </w:rPr>
        <w:instrText xml:space="preserve"> ADDIN EN.CITE </w:instrText>
      </w:r>
      <w:r w:rsidR="002D5ECA">
        <w:rPr>
          <w:rFonts w:ascii="Arial" w:hAnsi="Arial" w:cs="Arial"/>
          <w:shd w:val="clear" w:color="auto" w:fill="FFFFFF"/>
        </w:rPr>
        <w:fldChar w:fldCharType="begin">
          <w:fldData xml:space="preserve">PEVuZE5vdGU+PENpdGU+PEF1dGhvcj5BcmVuYTwvQXV0aG9yPjxZZWFyPjIwMTU8L1llYXI+PFJl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</w:fldData>
        </w:fldChar>
      </w:r>
      <w:r w:rsidR="002D5ECA">
        <w:rPr>
          <w:rFonts w:ascii="Arial" w:hAnsi="Arial" w:cs="Arial"/>
          <w:shd w:val="clear" w:color="auto" w:fill="FFFFFF"/>
        </w:rPr>
        <w:instrText xml:space="preserve"> ADDIN EN.CITE.DATA </w:instrText>
      </w:r>
      <w:r w:rsidR="002D5ECA">
        <w:rPr>
          <w:rFonts w:ascii="Arial" w:hAnsi="Arial" w:cs="Arial"/>
          <w:shd w:val="clear" w:color="auto" w:fill="FFFFFF"/>
        </w:rPr>
      </w:r>
      <w:r w:rsidR="002D5ECA">
        <w:rPr>
          <w:rFonts w:ascii="Arial" w:hAnsi="Arial" w:cs="Arial"/>
          <w:shd w:val="clear" w:color="auto" w:fill="FFFFFF"/>
        </w:rPr>
        <w:fldChar w:fldCharType="end"/>
      </w:r>
      <w:r w:rsidR="004D0E6D">
        <w:rPr>
          <w:rFonts w:ascii="Arial" w:hAnsi="Arial" w:cs="Arial"/>
          <w:shd w:val="clear" w:color="auto" w:fill="FFFFFF"/>
        </w:rPr>
      </w:r>
      <w:r w:rsidR="004D0E6D">
        <w:rPr>
          <w:rFonts w:ascii="Arial" w:hAnsi="Arial" w:cs="Arial"/>
          <w:shd w:val="clear" w:color="auto" w:fill="FFFFFF"/>
        </w:rPr>
        <w:fldChar w:fldCharType="separate"/>
      </w:r>
      <w:r w:rsidR="002D5ECA">
        <w:rPr>
          <w:rFonts w:ascii="Arial" w:hAnsi="Arial" w:cs="Arial"/>
          <w:noProof/>
          <w:shd w:val="clear" w:color="auto" w:fill="FFFFFF"/>
        </w:rPr>
        <w:t>[28, 29]</w:t>
      </w:r>
      <w:r w:rsidR="004D0E6D">
        <w:rPr>
          <w:rFonts w:ascii="Arial" w:hAnsi="Arial" w:cs="Arial"/>
          <w:shd w:val="clear" w:color="auto" w:fill="FFFFFF"/>
        </w:rPr>
        <w:fldChar w:fldCharType="end"/>
      </w:r>
      <w:r w:rsidR="00DD1EBC">
        <w:rPr>
          <w:rFonts w:ascii="Arial" w:hAnsi="Arial" w:cs="Arial"/>
          <w:shd w:val="clear" w:color="auto" w:fill="FFFFFF"/>
        </w:rPr>
        <w:t>.</w:t>
      </w:r>
      <w:r>
        <w:rPr>
          <w:rFonts w:ascii="Arial" w:hAnsi="Arial" w:cs="Arial"/>
          <w:shd w:val="clear" w:color="auto" w:fill="FFFFFF"/>
        </w:rPr>
        <w:t xml:space="preserve"> </w:t>
      </w:r>
      <w:r w:rsidR="00DD1EBC">
        <w:rPr>
          <w:rFonts w:ascii="Arial" w:hAnsi="Arial" w:cs="Arial"/>
          <w:shd w:val="clear" w:color="auto" w:fill="FFFFFF"/>
        </w:rPr>
        <w:t>This</w:t>
      </w:r>
      <w:r>
        <w:rPr>
          <w:rFonts w:ascii="Arial" w:hAnsi="Arial" w:cs="Arial"/>
          <w:shd w:val="clear" w:color="auto" w:fill="FFFFFF"/>
        </w:rPr>
        <w:t xml:space="preserve"> has been proven to be </w:t>
      </w:r>
      <w:r w:rsidR="00E80FDE">
        <w:rPr>
          <w:rFonts w:ascii="Arial" w:hAnsi="Arial" w:cs="Arial"/>
          <w:shd w:val="clear" w:color="auto" w:fill="FFFFFF"/>
        </w:rPr>
        <w:t>strategically effective in reducing adverse health events requiring hospitalization</w:t>
      </w:r>
      <w:r w:rsidR="00736E94">
        <w:rPr>
          <w:rFonts w:ascii="Arial" w:hAnsi="Arial" w:cs="Arial"/>
          <w:shd w:val="clear" w:color="auto" w:fill="FFFFFF"/>
        </w:rPr>
        <w:t xml:space="preserve"> </w:t>
      </w:r>
      <w:r w:rsidR="00736E94">
        <w:rPr>
          <w:rFonts w:ascii="Arial" w:hAnsi="Arial" w:cs="Arial"/>
          <w:shd w:val="clear" w:color="auto" w:fill="FFFFFF"/>
        </w:rPr>
        <w:fldChar w:fldCharType="begin"/>
      </w:r>
      <w:r w:rsidR="002D5ECA">
        <w:rPr>
          <w:rFonts w:ascii="Arial" w:hAnsi="Arial" w:cs="Arial"/>
          <w:shd w:val="clear" w:color="auto" w:fill="FFFFFF"/>
        </w:rPr>
        <w:instrText xml:space="preserve"> ADDIN EN.CITE &lt;EndNote&gt;&lt;Cite&gt;&lt;Author&gt;Varghese&lt;/Author&gt;&lt;Year&gt;2019&lt;/Year&gt;&lt;RecNum&gt;427&lt;/RecNum&gt;&lt;DisplayText&gt;[30]&lt;/DisplayText&gt;&lt;record&gt;&lt;rec-number&gt;427&lt;/rec-number&gt;&lt;foreign-keys&gt;&lt;key app="EN" db-id="xp2sx5aahpsveaea2zq5s2xsef9d0fsxsxex" timestamp="1710152871"&gt;427&lt;/key&gt;&lt;/foreign-keys&gt;&lt;ref-type name="Journal Article"&gt;17&lt;/ref-type&gt;&lt;contributors&gt;&lt;authors&gt;&lt;author&gt;Varghese, Cherian&lt;/author&gt;&lt;author&gt;Nongkynrih, Baridalyne&lt;/author&gt;&lt;author&gt;Onakpoya, Igho&lt;/author&gt;&lt;author&gt;McCall, Marcy&lt;/author&gt;&lt;author&gt;Barkley, Shannon&lt;/author&gt;&lt;author&gt;Collins, Téa E&lt;/author&gt;&lt;/authors&gt;&lt;/contributors&gt;&lt;titles&gt;&lt;title&gt;Better health and wellbeing for billion more people: integrating non-communicable diseases in primary care&lt;/title&gt;&lt;secondary-title&gt;BMJ.&lt;/secondary-title&gt;&lt;/titles&gt;&lt;periodical&gt;&lt;full-title&gt;BMJ.&lt;/full-title&gt;&lt;/periodical&gt;&lt;pages&gt;l327&lt;/pages&gt;&lt;volume&gt;364&lt;/volume&gt;&lt;dates&gt;&lt;year&gt;2019&lt;/year&gt;&lt;/dates&gt;&lt;urls&gt;&lt;/urls&gt;&lt;electronic-resource-num&gt;https://doi.org/10.1136/bmj.l327&lt;/electronic-resource-num&gt;&lt;/record&gt;&lt;/Cite&gt;&lt;/EndNote&gt;</w:instrText>
      </w:r>
      <w:r w:rsidR="00736E94">
        <w:rPr>
          <w:rFonts w:ascii="Arial" w:hAnsi="Arial" w:cs="Arial"/>
          <w:shd w:val="clear" w:color="auto" w:fill="FFFFFF"/>
        </w:rPr>
        <w:fldChar w:fldCharType="separate"/>
      </w:r>
      <w:r w:rsidR="002D5ECA">
        <w:rPr>
          <w:rFonts w:ascii="Arial" w:hAnsi="Arial" w:cs="Arial"/>
          <w:noProof/>
          <w:shd w:val="clear" w:color="auto" w:fill="FFFFFF"/>
        </w:rPr>
        <w:t>[30]</w:t>
      </w:r>
      <w:r w:rsidR="00736E94">
        <w:rPr>
          <w:rFonts w:ascii="Arial" w:hAnsi="Arial" w:cs="Arial"/>
          <w:shd w:val="clear" w:color="auto" w:fill="FFFFFF"/>
        </w:rPr>
        <w:fldChar w:fldCharType="end"/>
      </w:r>
      <w:r w:rsidR="00DD1EBC">
        <w:rPr>
          <w:rFonts w:ascii="Arial" w:hAnsi="Arial" w:cs="Arial"/>
          <w:shd w:val="clear" w:color="auto" w:fill="FFFFFF"/>
        </w:rPr>
        <w:t xml:space="preserve">. </w:t>
      </w:r>
    </w:p>
    <w:p w14:paraId="6CA14EF6" w14:textId="3BAF2A04" w:rsidR="00545FE5" w:rsidRDefault="00A950DC" w:rsidP="00FC17F5">
      <w:pPr>
        <w:spacing w:after="200" w:line="480" w:lineRule="auto"/>
        <w:jc w:val="both"/>
        <w:rPr>
          <w:rFonts w:ascii="Arial" w:hAnsi="Arial" w:cs="Arial"/>
          <w:shd w:val="clear" w:color="auto" w:fill="FFFFFF"/>
        </w:rPr>
      </w:pPr>
      <w:r>
        <w:rPr>
          <w:rFonts w:ascii="Arial" w:eastAsia="Arial" w:hAnsi="Arial" w:cs="Arial"/>
        </w:rPr>
        <w:t>Our study has several strengths and limitations</w:t>
      </w:r>
      <w:r w:rsidR="00545FE5" w:rsidRPr="00545FE5">
        <w:rPr>
          <w:rFonts w:ascii="Arial" w:eastAsia="Arial" w:hAnsi="Arial" w:cs="Arial"/>
        </w:rPr>
        <w:t xml:space="preserve">. </w:t>
      </w:r>
      <w:r w:rsidR="00A84085">
        <w:rPr>
          <w:rFonts w:ascii="Arial" w:eastAsia="Arial" w:hAnsi="Arial" w:cs="Arial"/>
        </w:rPr>
        <w:t xml:space="preserve">As we used </w:t>
      </w:r>
      <w:r w:rsidR="00545FE5" w:rsidRPr="00545FE5">
        <w:rPr>
          <w:rFonts w:ascii="Arial" w:eastAsia="Arial" w:hAnsi="Arial" w:cs="Arial"/>
        </w:rPr>
        <w:t xml:space="preserve">data </w:t>
      </w:r>
      <w:r w:rsidR="00A84085">
        <w:rPr>
          <w:rFonts w:ascii="Arial" w:eastAsia="Arial" w:hAnsi="Arial" w:cs="Arial"/>
        </w:rPr>
        <w:t xml:space="preserve">that were </w:t>
      </w:r>
      <w:r w:rsidR="00545FE5" w:rsidRPr="00545FE5">
        <w:rPr>
          <w:rFonts w:ascii="Arial" w:eastAsia="Arial" w:hAnsi="Arial" w:cs="Arial"/>
        </w:rPr>
        <w:t xml:space="preserve">routinely </w:t>
      </w:r>
      <w:r w:rsidR="00A84085">
        <w:rPr>
          <w:rFonts w:ascii="Arial" w:eastAsia="Arial" w:hAnsi="Arial" w:cs="Arial"/>
        </w:rPr>
        <w:t>collected</w:t>
      </w:r>
      <w:r w:rsidR="00545FE5" w:rsidRPr="00545FE5">
        <w:rPr>
          <w:rFonts w:ascii="Arial" w:eastAsia="Arial" w:hAnsi="Arial" w:cs="Arial"/>
        </w:rPr>
        <w:t xml:space="preserve"> by the HES service for England, </w:t>
      </w:r>
      <w:r w:rsidR="00D90495">
        <w:rPr>
          <w:rFonts w:ascii="Arial" w:eastAsia="Arial" w:hAnsi="Arial" w:cs="Arial"/>
        </w:rPr>
        <w:t xml:space="preserve">we had information on admissions </w:t>
      </w:r>
      <w:r w:rsidR="00545FE5" w:rsidRPr="00545FE5">
        <w:rPr>
          <w:rFonts w:ascii="Arial" w:eastAsia="Arial" w:hAnsi="Arial" w:cs="Arial"/>
        </w:rPr>
        <w:t xml:space="preserve">in NHS hospitals </w:t>
      </w:r>
      <w:r w:rsidR="00624FFA">
        <w:rPr>
          <w:rFonts w:ascii="Arial" w:eastAsia="Arial" w:hAnsi="Arial" w:cs="Arial"/>
        </w:rPr>
        <w:t>and NHS care in private hospitals</w:t>
      </w:r>
      <w:r w:rsidR="00545FE5" w:rsidRPr="00545FE5">
        <w:rPr>
          <w:rFonts w:ascii="Arial" w:eastAsia="Arial" w:hAnsi="Arial" w:cs="Arial"/>
        </w:rPr>
        <w:t xml:space="preserve">. </w:t>
      </w:r>
      <w:r w:rsidR="00624FFA">
        <w:rPr>
          <w:rFonts w:ascii="Arial" w:eastAsia="Arial" w:hAnsi="Arial" w:cs="Arial"/>
        </w:rPr>
        <w:t xml:space="preserve">A limitation of this approach is that </w:t>
      </w:r>
      <w:r w:rsidR="00E9487E">
        <w:rPr>
          <w:rFonts w:ascii="Arial" w:eastAsia="Arial" w:hAnsi="Arial" w:cs="Arial"/>
        </w:rPr>
        <w:t>we do no</w:t>
      </w:r>
      <w:r w:rsidR="007E39AF">
        <w:rPr>
          <w:rFonts w:ascii="Arial" w:eastAsia="Arial" w:hAnsi="Arial" w:cs="Arial"/>
        </w:rPr>
        <w:t>t</w:t>
      </w:r>
      <w:r w:rsidR="00E9487E">
        <w:rPr>
          <w:rFonts w:ascii="Arial" w:eastAsia="Arial" w:hAnsi="Arial" w:cs="Arial"/>
        </w:rPr>
        <w:t xml:space="preserve"> have any information on private health care. This approach </w:t>
      </w:r>
      <w:r w:rsidR="007E39AF">
        <w:rPr>
          <w:rFonts w:ascii="Arial" w:eastAsia="Arial" w:hAnsi="Arial" w:cs="Arial"/>
        </w:rPr>
        <w:t xml:space="preserve">did </w:t>
      </w:r>
      <w:r w:rsidR="00E9487E">
        <w:rPr>
          <w:rFonts w:ascii="Arial" w:eastAsia="Arial" w:hAnsi="Arial" w:cs="Arial"/>
        </w:rPr>
        <w:t xml:space="preserve">mean that we </w:t>
      </w:r>
      <w:r w:rsidR="003C6531">
        <w:rPr>
          <w:rFonts w:ascii="Arial" w:eastAsia="Arial" w:hAnsi="Arial" w:cs="Arial"/>
        </w:rPr>
        <w:t>have complete</w:t>
      </w:r>
      <w:r w:rsidR="00392385">
        <w:rPr>
          <w:rFonts w:ascii="Arial" w:eastAsia="Arial" w:hAnsi="Arial" w:cs="Arial"/>
        </w:rPr>
        <w:t xml:space="preserve"> follow up of our cohort, with the limitation previ</w:t>
      </w:r>
      <w:r w:rsidR="00E07601">
        <w:rPr>
          <w:rFonts w:ascii="Arial" w:eastAsia="Arial" w:hAnsi="Arial" w:cs="Arial"/>
        </w:rPr>
        <w:t>ousl</w:t>
      </w:r>
      <w:r w:rsidR="00392385">
        <w:rPr>
          <w:rFonts w:ascii="Arial" w:eastAsia="Arial" w:hAnsi="Arial" w:cs="Arial"/>
        </w:rPr>
        <w:t>y noted</w:t>
      </w:r>
      <w:r w:rsidR="00545FE5" w:rsidRPr="00545FE5">
        <w:rPr>
          <w:rFonts w:ascii="Arial" w:eastAsia="Arial" w:hAnsi="Arial" w:cs="Arial"/>
          <w:lang w:val="en-US"/>
        </w:rPr>
        <w:t xml:space="preserve">. </w:t>
      </w:r>
      <w:r w:rsidR="00E07601">
        <w:rPr>
          <w:rFonts w:ascii="Arial" w:eastAsia="Arial" w:hAnsi="Arial" w:cs="Arial"/>
          <w:lang w:val="en-US"/>
        </w:rPr>
        <w:t xml:space="preserve">The data available relate </w:t>
      </w:r>
      <w:r w:rsidR="009E469F">
        <w:rPr>
          <w:rFonts w:ascii="Arial" w:eastAsia="Arial" w:hAnsi="Arial" w:cs="Arial"/>
          <w:lang w:val="en-US"/>
        </w:rPr>
        <w:t xml:space="preserve">only to </w:t>
      </w:r>
      <w:r w:rsidR="00545FE5" w:rsidRPr="00545FE5">
        <w:rPr>
          <w:rFonts w:ascii="Arial" w:eastAsia="Arial" w:hAnsi="Arial" w:cs="Arial"/>
          <w:lang w:val="en-US"/>
        </w:rPr>
        <w:t>inpatient admissions</w:t>
      </w:r>
      <w:r w:rsidR="009E469F">
        <w:rPr>
          <w:rFonts w:ascii="Arial" w:eastAsia="Arial" w:hAnsi="Arial" w:cs="Arial"/>
          <w:lang w:val="en-US"/>
        </w:rPr>
        <w:t xml:space="preserve"> and we have no information on outpatient care where no admission was required</w:t>
      </w:r>
      <w:r w:rsidR="00815848">
        <w:rPr>
          <w:rFonts w:ascii="Arial" w:eastAsia="Arial" w:hAnsi="Arial" w:cs="Arial"/>
          <w:lang w:val="en-US"/>
        </w:rPr>
        <w:t>.</w:t>
      </w:r>
      <w:r w:rsidR="00545FE5" w:rsidRPr="00545FE5">
        <w:rPr>
          <w:rFonts w:ascii="Arial" w:eastAsia="Arial" w:hAnsi="Arial" w:cs="Arial"/>
          <w:lang w:val="en-US"/>
        </w:rPr>
        <w:t xml:space="preserve"> </w:t>
      </w:r>
      <w:bookmarkStart w:id="20" w:name="_Hlk171405970"/>
      <w:r w:rsidR="006D0315">
        <w:rPr>
          <w:rFonts w:ascii="Arial" w:eastAsia="Arial" w:hAnsi="Arial" w:cs="Arial"/>
          <w:lang w:val="en-US"/>
        </w:rPr>
        <w:t>Some selection bias may have occurred as o</w:t>
      </w:r>
      <w:r w:rsidR="00C65F24">
        <w:rPr>
          <w:rFonts w:ascii="Arial" w:eastAsia="Arial" w:hAnsi="Arial" w:cs="Arial"/>
          <w:lang w:val="en-US"/>
        </w:rPr>
        <w:t>ur</w:t>
      </w:r>
      <w:r w:rsidR="00545FE5" w:rsidRPr="00545FE5">
        <w:rPr>
          <w:rFonts w:ascii="Arial" w:eastAsia="Arial" w:hAnsi="Arial" w:cs="Arial"/>
          <w:lang w:val="en-US"/>
        </w:rPr>
        <w:t xml:space="preserve"> study was conducted in </w:t>
      </w:r>
      <w:r w:rsidR="00C65F24">
        <w:rPr>
          <w:rFonts w:ascii="Arial" w:eastAsia="Arial" w:hAnsi="Arial" w:cs="Arial"/>
          <w:lang w:val="en-US"/>
        </w:rPr>
        <w:t xml:space="preserve">a single county </w:t>
      </w:r>
      <w:r w:rsidR="006D0315">
        <w:rPr>
          <w:rFonts w:ascii="Arial" w:eastAsia="Arial" w:hAnsi="Arial" w:cs="Arial"/>
          <w:lang w:val="en-US"/>
        </w:rPr>
        <w:t>(</w:t>
      </w:r>
      <w:r w:rsidR="00C65F24">
        <w:rPr>
          <w:rFonts w:ascii="Arial" w:eastAsia="Arial" w:hAnsi="Arial" w:cs="Arial"/>
          <w:lang w:val="en-US"/>
        </w:rPr>
        <w:t>Hertfordshire</w:t>
      </w:r>
      <w:r w:rsidR="006D0315">
        <w:rPr>
          <w:rFonts w:ascii="Arial" w:eastAsia="Arial" w:hAnsi="Arial" w:cs="Arial"/>
          <w:lang w:val="en-US"/>
        </w:rPr>
        <w:t>)</w:t>
      </w:r>
      <w:r w:rsidR="003C6531">
        <w:rPr>
          <w:rFonts w:ascii="Arial" w:eastAsia="Arial" w:hAnsi="Arial" w:cs="Arial"/>
          <w:lang w:val="en-US"/>
        </w:rPr>
        <w:t xml:space="preserve"> </w:t>
      </w:r>
      <w:r w:rsidR="006D0315">
        <w:rPr>
          <w:rFonts w:ascii="Arial" w:eastAsia="Arial" w:hAnsi="Arial" w:cs="Arial"/>
          <w:lang w:val="en-US"/>
        </w:rPr>
        <w:t xml:space="preserve">with </w:t>
      </w:r>
      <w:proofErr w:type="gramStart"/>
      <w:r w:rsidR="006D0315">
        <w:rPr>
          <w:rFonts w:ascii="Arial" w:eastAsia="Arial" w:hAnsi="Arial" w:cs="Arial"/>
          <w:lang w:val="en-US"/>
        </w:rPr>
        <w:t>fairly low</w:t>
      </w:r>
      <w:proofErr w:type="gramEnd"/>
      <w:r w:rsidR="006D0315">
        <w:rPr>
          <w:rFonts w:ascii="Arial" w:eastAsia="Arial" w:hAnsi="Arial" w:cs="Arial"/>
          <w:lang w:val="en-US"/>
        </w:rPr>
        <w:t xml:space="preserve"> levels of deprivation </w:t>
      </w:r>
      <w:r w:rsidR="00545FE5" w:rsidRPr="00545FE5">
        <w:rPr>
          <w:rFonts w:ascii="Arial" w:eastAsia="Arial" w:hAnsi="Arial" w:cs="Arial"/>
          <w:lang w:val="en-US"/>
        </w:rPr>
        <w:t xml:space="preserve">and participants were </w:t>
      </w:r>
      <w:r w:rsidR="00F06E78">
        <w:rPr>
          <w:rFonts w:ascii="Arial" w:eastAsia="Arial" w:hAnsi="Arial" w:cs="Arial"/>
          <w:lang w:val="en-US"/>
        </w:rPr>
        <w:t xml:space="preserve">all </w:t>
      </w:r>
      <w:r w:rsidR="00545FE5" w:rsidRPr="00545FE5">
        <w:rPr>
          <w:rFonts w:ascii="Arial" w:eastAsia="Arial" w:hAnsi="Arial" w:cs="Arial"/>
          <w:lang w:val="en-US"/>
        </w:rPr>
        <w:t xml:space="preserve">White Caucasian so findings may be less generalizable to community-dwelling older people of other ethnic groups or </w:t>
      </w:r>
      <w:r w:rsidR="00F06E78">
        <w:rPr>
          <w:rFonts w:ascii="Arial" w:eastAsia="Arial" w:hAnsi="Arial" w:cs="Arial"/>
          <w:lang w:val="en-US"/>
        </w:rPr>
        <w:t>living elsewhere. However,</w:t>
      </w:r>
      <w:r w:rsidR="00545FE5" w:rsidRPr="00545FE5">
        <w:rPr>
          <w:rFonts w:ascii="Arial" w:eastAsia="Arial" w:hAnsi="Arial" w:cs="Arial"/>
        </w:rPr>
        <w:t xml:space="preserve"> characteristics of HCS participants have </w:t>
      </w:r>
      <w:r w:rsidR="002E06F1">
        <w:rPr>
          <w:rFonts w:ascii="Arial" w:eastAsia="Arial" w:hAnsi="Arial" w:cs="Arial"/>
        </w:rPr>
        <w:t xml:space="preserve">previously </w:t>
      </w:r>
      <w:r w:rsidR="00545FE5" w:rsidRPr="00545FE5">
        <w:rPr>
          <w:rFonts w:ascii="Arial" w:eastAsia="Arial" w:hAnsi="Arial" w:cs="Arial"/>
        </w:rPr>
        <w:t>been found to be broadly comparable to those in the Health Survey for Englan</w:t>
      </w:r>
      <w:r w:rsidR="003C6531">
        <w:rPr>
          <w:rFonts w:ascii="Arial" w:eastAsia="Arial" w:hAnsi="Arial" w:cs="Arial"/>
        </w:rPr>
        <w:t>d</w:t>
      </w:r>
      <w:r w:rsidR="00D20EDE">
        <w:rPr>
          <w:rFonts w:ascii="Arial" w:eastAsia="Arial" w:hAnsi="Arial" w:cs="Arial"/>
        </w:rPr>
        <w:t xml:space="preserve"> </w:t>
      </w:r>
      <w:r w:rsidR="00D20EDE">
        <w:rPr>
          <w:rFonts w:ascii="Arial" w:eastAsia="Arial" w:hAnsi="Arial" w:cs="Arial"/>
        </w:rPr>
        <w:fldChar w:fldCharType="begin"/>
      </w:r>
      <w:r w:rsidR="002D5ECA">
        <w:rPr>
          <w:rFonts w:ascii="Arial" w:eastAsia="Arial" w:hAnsi="Arial" w:cs="Arial"/>
        </w:rPr>
        <w:instrText xml:space="preserve"> ADDIN EN.CITE &lt;EndNote&gt;&lt;Cite&gt;&lt;Author&gt;Syddall&lt;/Author&gt;&lt;Year&gt;2005&lt;/Year&gt;&lt;RecNum&gt;436&lt;/RecNum&gt;&lt;DisplayText&gt;[31]&lt;/DisplayText&gt;&lt;record&gt;&lt;rec-number&gt;436&lt;/rec-number&gt;&lt;foreign-keys&gt;&lt;key app="EN" db-id="xp2sx5aahpsveaea2zq5s2xsef9d0fsxsxex" timestamp="1710174623"&gt;436&lt;/key&gt;&lt;/foreign-keys&gt;&lt;ref-type name="Journal Article"&gt;17&lt;/ref-type&gt;&lt;contributors&gt;&lt;authors&gt;&lt;author&gt;Syddall, HE&lt;/author&gt;&lt;author&gt;Aihie Sayer, A&lt;/author&gt;&lt;author&gt;Dennison, EM&lt;/author&gt;&lt;author&gt;Martin, HJ&lt;/author&gt;&lt;author&gt;Barker, DJP&lt;/author&gt;&lt;author&gt;Cooper, C&lt;/author&gt;&lt;/authors&gt;&lt;/contributors&gt;&lt;titles&gt;&lt;title&gt;Cohort profile: the Hertfordshire Cohort Study&lt;/title&gt;&lt;secondary-title&gt;Int J Epidemiol.&lt;/secondary-title&gt;&lt;/titles&gt;&lt;periodical&gt;&lt;full-title&gt;Int J Epidemiol.&lt;/full-title&gt;&lt;/periodical&gt;&lt;pages&gt;1234-1242&lt;/pages&gt;&lt;volume&gt;34&lt;/volume&gt;&lt;number&gt;6&lt;/number&gt;&lt;dates&gt;&lt;year&gt;2005&lt;/year&gt;&lt;/dates&gt;&lt;urls&gt;&lt;/urls&gt;&lt;electronic-resource-num&gt;https://doi.org/10.1093/ije/dyi127&lt;/electronic-resource-num&gt;&lt;/record&gt;&lt;/Cite&gt;&lt;/EndNote&gt;</w:instrText>
      </w:r>
      <w:r w:rsidR="00D20EDE">
        <w:rPr>
          <w:rFonts w:ascii="Arial" w:eastAsia="Arial" w:hAnsi="Arial" w:cs="Arial"/>
        </w:rPr>
        <w:fldChar w:fldCharType="separate"/>
      </w:r>
      <w:r w:rsidR="002D5ECA">
        <w:rPr>
          <w:rFonts w:ascii="Arial" w:eastAsia="Arial" w:hAnsi="Arial" w:cs="Arial"/>
          <w:noProof/>
        </w:rPr>
        <w:t>[31]</w:t>
      </w:r>
      <w:r w:rsidR="00D20EDE">
        <w:rPr>
          <w:rFonts w:ascii="Arial" w:eastAsia="Arial" w:hAnsi="Arial" w:cs="Arial"/>
        </w:rPr>
        <w:fldChar w:fldCharType="end"/>
      </w:r>
      <w:r w:rsidR="00545FE5" w:rsidRPr="00545FE5">
        <w:rPr>
          <w:rFonts w:ascii="Arial" w:eastAsia="Arial" w:hAnsi="Arial" w:cs="Arial"/>
          <w:lang w:val="en-US"/>
        </w:rPr>
        <w:t xml:space="preserve">. </w:t>
      </w:r>
      <w:bookmarkStart w:id="21" w:name="_Hlk171406081"/>
      <w:r w:rsidR="006D0315" w:rsidRPr="006D0315">
        <w:rPr>
          <w:rFonts w:ascii="Arial" w:eastAsia="Arial" w:hAnsi="Arial" w:cs="Arial"/>
          <w:lang w:val="en-US"/>
        </w:rPr>
        <w:t xml:space="preserve">Another limitation is that few individual comorbidities were ascertained at the baseline stage of HCS. Therefore, we used number of systems medicated as a marker of morbidity level. Although, measures of morbidity burden based on medications have been used in previous studies and are related to risk of adverse outcomes </w:t>
      </w:r>
      <w:r w:rsidR="006D0315">
        <w:rPr>
          <w:rFonts w:ascii="Arial" w:eastAsia="Arial" w:hAnsi="Arial" w:cs="Arial"/>
          <w:lang w:val="en-US"/>
        </w:rPr>
        <w:fldChar w:fldCharType="begin"/>
      </w:r>
      <w:r w:rsidR="002D5ECA">
        <w:rPr>
          <w:rFonts w:ascii="Arial" w:eastAsia="Arial" w:hAnsi="Arial" w:cs="Arial"/>
          <w:lang w:val="en-US"/>
        </w:rPr>
        <w:instrText xml:space="preserve"> ADDIN EN.CITE &lt;EndNote&gt;&lt;Cite&gt;&lt;Author&gt;Huntley&lt;/Author&gt;&lt;Year&gt;2012&lt;/Year&gt;&lt;RecNum&gt;435&lt;/RecNum&gt;&lt;DisplayText&gt;[23]&lt;/DisplayText&gt;&lt;record&gt;&lt;rec-number&gt;435&lt;/rec-number&gt;&lt;foreign-keys&gt;&lt;key app="EN" db-id="xp2sx5aahpsveaea2zq5s2xsef9d0fsxsxex" timestamp="1710173120"&gt;435&lt;/key&gt;&lt;/foreign-keys&gt;&lt;ref-type name="Journal Article"&gt;17&lt;/ref-type&gt;&lt;contributors&gt;&lt;authors&gt;&lt;author&gt;Huntley, Alyson L&lt;/author&gt;&lt;author&gt;Johnson, Rachel&lt;/author&gt;&lt;author&gt;Purdy, Sarah&lt;/author&gt;&lt;author&gt;Valderas, Jose M&lt;/author&gt;&lt;author&gt;Salisbury, Chris&lt;/author&gt;&lt;/authors&gt;&lt;/contributors&gt;&lt;titles&gt;&lt;title&gt;Measures of multimorbidity and morbidity burden for use in primary care and community settings: a systematic review and guide&lt;/title&gt;&lt;secondary-title&gt;Ann Fam Med.&lt;/secondary-title&gt;&lt;/titles&gt;&lt;periodical&gt;&lt;full-title&gt;Ann Fam Med.&lt;/full-title&gt;&lt;/periodical&gt;&lt;pages&gt;134-141&lt;/pages&gt;&lt;volume&gt;10&lt;/volume&gt;&lt;number&gt;2&lt;/number&gt;&lt;dates&gt;&lt;year&gt;2012&lt;/year&gt;&lt;/dates&gt;&lt;urls&gt;&lt;/urls&gt;&lt;electronic-resource-num&gt;https://doi.org/10.1370/afm.1363&lt;/electronic-resource-num&gt;&lt;/record&gt;&lt;/Cite&gt;&lt;/EndNote&gt;</w:instrText>
      </w:r>
      <w:r w:rsidR="006D0315">
        <w:rPr>
          <w:rFonts w:ascii="Arial" w:eastAsia="Arial" w:hAnsi="Arial" w:cs="Arial"/>
          <w:lang w:val="en-US"/>
        </w:rPr>
        <w:fldChar w:fldCharType="separate"/>
      </w:r>
      <w:r w:rsidR="002D5ECA">
        <w:rPr>
          <w:rFonts w:ascii="Arial" w:eastAsia="Arial" w:hAnsi="Arial" w:cs="Arial"/>
          <w:noProof/>
          <w:lang w:val="en-US"/>
        </w:rPr>
        <w:t>[23]</w:t>
      </w:r>
      <w:r w:rsidR="006D0315">
        <w:rPr>
          <w:rFonts w:ascii="Arial" w:eastAsia="Arial" w:hAnsi="Arial" w:cs="Arial"/>
          <w:lang w:val="en-US"/>
        </w:rPr>
        <w:fldChar w:fldCharType="end"/>
      </w:r>
      <w:r w:rsidR="006D0315" w:rsidRPr="006D0315">
        <w:rPr>
          <w:rFonts w:ascii="Arial" w:eastAsia="Arial" w:hAnsi="Arial" w:cs="Arial"/>
          <w:lang w:val="en-US"/>
        </w:rPr>
        <w:t>, these measures may be a poorer proxy of disease burden when defined at the system-level, rather than at the level of individual conditions, and may not capture conditions which are managed by non-pharmacological means.</w:t>
      </w:r>
      <w:bookmarkEnd w:id="21"/>
      <w:r w:rsidR="006D0315">
        <w:rPr>
          <w:rFonts w:ascii="Arial" w:eastAsia="Arial" w:hAnsi="Arial" w:cs="Arial"/>
          <w:lang w:val="en-US"/>
        </w:rPr>
        <w:t xml:space="preserve"> Furthermore,</w:t>
      </w:r>
      <w:r w:rsidR="00147F19" w:rsidRPr="00E12029">
        <w:rPr>
          <w:rFonts w:ascii="Arial" w:hAnsi="Arial" w:cs="Arial"/>
          <w:shd w:val="clear" w:color="auto" w:fill="FFFFFF"/>
        </w:rPr>
        <w:t xml:space="preserve"> our study </w:t>
      </w:r>
      <w:r w:rsidR="00BB241D">
        <w:rPr>
          <w:rFonts w:ascii="Arial" w:hAnsi="Arial" w:cs="Arial"/>
          <w:shd w:val="clear" w:color="auto" w:fill="FFFFFF"/>
        </w:rPr>
        <w:t>had</w:t>
      </w:r>
      <w:r w:rsidR="00BB241D" w:rsidRPr="00E12029">
        <w:rPr>
          <w:rFonts w:ascii="Arial" w:hAnsi="Arial" w:cs="Arial"/>
          <w:shd w:val="clear" w:color="auto" w:fill="FFFFFF"/>
        </w:rPr>
        <w:t xml:space="preserve"> </w:t>
      </w:r>
      <w:r w:rsidR="00147F19" w:rsidRPr="00E12029">
        <w:rPr>
          <w:rFonts w:ascii="Arial" w:hAnsi="Arial" w:cs="Arial"/>
          <w:shd w:val="clear" w:color="auto" w:fill="FFFFFF"/>
        </w:rPr>
        <w:t xml:space="preserve">a limited ability to </w:t>
      </w:r>
      <w:r w:rsidR="00BB241D">
        <w:rPr>
          <w:rFonts w:ascii="Arial" w:hAnsi="Arial" w:cs="Arial"/>
          <w:shd w:val="clear" w:color="auto" w:fill="FFFFFF"/>
        </w:rPr>
        <w:t>examine</w:t>
      </w:r>
      <w:r w:rsidR="00BB241D" w:rsidRPr="00E12029">
        <w:rPr>
          <w:rFonts w:ascii="Arial" w:hAnsi="Arial" w:cs="Arial"/>
          <w:shd w:val="clear" w:color="auto" w:fill="FFFFFF"/>
        </w:rPr>
        <w:t xml:space="preserve"> </w:t>
      </w:r>
      <w:r w:rsidR="00147F19" w:rsidRPr="00E12029">
        <w:rPr>
          <w:rFonts w:ascii="Arial" w:hAnsi="Arial" w:cs="Arial"/>
          <w:shd w:val="clear" w:color="auto" w:fill="FFFFFF"/>
        </w:rPr>
        <w:t>associations between specific clusters of morbidities and outcomes, as has been undertaken in one other study</w:t>
      </w:r>
      <w:r w:rsidR="00736E94">
        <w:rPr>
          <w:rFonts w:ascii="Arial" w:hAnsi="Arial" w:cs="Arial"/>
          <w:shd w:val="clear" w:color="auto" w:fill="FFFFFF"/>
        </w:rPr>
        <w:t xml:space="preserve"> </w:t>
      </w:r>
      <w:r w:rsidR="00736E94">
        <w:rPr>
          <w:rFonts w:ascii="Arial" w:hAnsi="Arial" w:cs="Arial"/>
          <w:shd w:val="clear" w:color="auto" w:fill="FFFFFF"/>
        </w:rPr>
        <w:fldChar w:fldCharType="begin"/>
      </w:r>
      <w:r w:rsidR="00736E94">
        <w:rPr>
          <w:rFonts w:ascii="Arial" w:hAnsi="Arial" w:cs="Arial"/>
          <w:shd w:val="clear" w:color="auto" w:fill="FFFFFF"/>
        </w:rPr>
        <w:instrText xml:space="preserve"> ADDIN EN.CITE &lt;EndNote&gt;&lt;Cite&gt;&lt;Author&gt;Buja&lt;/Author&gt;&lt;Year&gt;2020&lt;/Year&gt;&lt;RecNum&gt;417&lt;/RecNum&gt;&lt;DisplayText&gt;[9]&lt;/DisplayText&gt;&lt;record&gt;&lt;rec-number&gt;417&lt;/rec-number&gt;&lt;foreign-keys&gt;&lt;key app="EN" db-id="xp2sx5aahpsveaea2zq5s2xsef9d0fsxsxex" timestamp="1710150810"&gt;417&lt;/key&gt;&lt;/foreign-keys&gt;&lt;ref-type name="Journal Article"&gt;17&lt;/ref-type&gt;&lt;contributors&gt;&lt;authors&gt;&lt;author&gt;Buja, Alessandra&lt;/author&gt;&lt;author&gt;Rivera, Michele&lt;/author&gt;&lt;author&gt;De Battisti, Elisa&lt;/author&gt;&lt;author&gt;Corti, Maria Chiara&lt;/author&gt;&lt;author&gt;Avossa, Francesco&lt;/author&gt;&lt;author&gt;Schievano, Elena&lt;/author&gt;&lt;author&gt;Rigon, Stefano&lt;/author&gt;&lt;author&gt;Baldo, Vincenzo&lt;/author&gt;&lt;author&gt;Boccuzzo, Giovanna&lt;/author&gt;&lt;author&gt;Ebell, Mark H&lt;/author&gt;&lt;/authors&gt;&lt;/contributors&gt;&lt;titles&gt;&lt;title&gt;Multimorbidity and hospital admissions in high-need, high-cost elderly patients&lt;/title&gt;&lt;secondary-title&gt;J Aging Health.&lt;/secondary-title&gt;&lt;/titles&gt;&lt;periodical&gt;&lt;full-title&gt;J Aging Health.&lt;/full-title&gt;&lt;/periodical&gt;&lt;pages&gt;259-268&lt;/pages&gt;&lt;volume&gt;32&lt;/volume&gt;&lt;number&gt;5-6&lt;/number&gt;&lt;dates&gt;&lt;year&gt;2020&lt;/year&gt;&lt;/dates&gt;&lt;urls&gt;&lt;/urls&gt;&lt;electronic-resource-num&gt;https://doi.org/10.1177/0898264318817091&lt;/electronic-resource-num&gt;&lt;/record&gt;&lt;/Cite&gt;&lt;/EndNote&gt;</w:instrText>
      </w:r>
      <w:r w:rsidR="00736E94">
        <w:rPr>
          <w:rFonts w:ascii="Arial" w:hAnsi="Arial" w:cs="Arial"/>
          <w:shd w:val="clear" w:color="auto" w:fill="FFFFFF"/>
        </w:rPr>
        <w:fldChar w:fldCharType="separate"/>
      </w:r>
      <w:r w:rsidR="00736E94">
        <w:rPr>
          <w:rFonts w:ascii="Arial" w:hAnsi="Arial" w:cs="Arial"/>
          <w:noProof/>
          <w:shd w:val="clear" w:color="auto" w:fill="FFFFFF"/>
        </w:rPr>
        <w:t>[9]</w:t>
      </w:r>
      <w:r w:rsidR="00736E94">
        <w:rPr>
          <w:rFonts w:ascii="Arial" w:hAnsi="Arial" w:cs="Arial"/>
          <w:shd w:val="clear" w:color="auto" w:fill="FFFFFF"/>
        </w:rPr>
        <w:fldChar w:fldCharType="end"/>
      </w:r>
      <w:r w:rsidR="00147F19" w:rsidRPr="00E12029">
        <w:rPr>
          <w:rFonts w:ascii="Arial" w:hAnsi="Arial" w:cs="Arial"/>
          <w:shd w:val="clear" w:color="auto" w:fill="FFFFFF"/>
        </w:rPr>
        <w:t xml:space="preserve">. </w:t>
      </w:r>
      <w:r w:rsidR="006D0315" w:rsidRPr="006D0315">
        <w:rPr>
          <w:rFonts w:ascii="Arial" w:hAnsi="Arial" w:cs="Arial"/>
          <w:shd w:val="clear" w:color="auto" w:fill="FFFFFF"/>
        </w:rPr>
        <w:t>Finally, relationships reported may have been affected by residual confounding or confounding by indication as participants with many systems medicated may differ in other ways between those without, aside from simply having higher levels of comorbidity.</w:t>
      </w:r>
      <w:bookmarkEnd w:id="20"/>
    </w:p>
    <w:p w14:paraId="12E933EE" w14:textId="77777777" w:rsidR="00D20EDE" w:rsidRPr="00E12029" w:rsidRDefault="00D20EDE" w:rsidP="00FC17F5">
      <w:pPr>
        <w:spacing w:after="200" w:line="480" w:lineRule="auto"/>
        <w:jc w:val="both"/>
        <w:rPr>
          <w:rFonts w:ascii="Arial" w:eastAsia="Arial" w:hAnsi="Arial" w:cs="Arial"/>
          <w:lang w:val="en-US"/>
        </w:rPr>
      </w:pPr>
    </w:p>
    <w:p w14:paraId="77B2AB6A" w14:textId="77777777" w:rsidR="00FC17F5" w:rsidRPr="00FC17F5" w:rsidRDefault="00FC17F5" w:rsidP="00FC17F5">
      <w:pPr>
        <w:spacing w:after="200" w:line="480" w:lineRule="auto"/>
        <w:jc w:val="both"/>
        <w:rPr>
          <w:rFonts w:ascii="Arial" w:eastAsia="Arial" w:hAnsi="Arial" w:cs="Arial"/>
          <w:b/>
          <w:bCs/>
          <w:lang w:val="en-US"/>
        </w:rPr>
      </w:pPr>
      <w:r w:rsidRPr="00FC17F5">
        <w:rPr>
          <w:rFonts w:ascii="Arial" w:eastAsia="Arial" w:hAnsi="Arial" w:cs="Arial"/>
          <w:b/>
          <w:bCs/>
          <w:lang w:val="en-US"/>
        </w:rPr>
        <w:lastRenderedPageBreak/>
        <w:t>Conclusions</w:t>
      </w:r>
    </w:p>
    <w:p w14:paraId="1AB903C8" w14:textId="6CC8ECF3" w:rsidR="00E5552E" w:rsidRPr="00E12029" w:rsidRDefault="00151D8A" w:rsidP="00FC17F5">
      <w:pPr>
        <w:spacing w:after="200" w:line="480" w:lineRule="auto"/>
        <w:jc w:val="both"/>
        <w:rPr>
          <w:rFonts w:ascii="Arial" w:eastAsia="Arial" w:hAnsi="Arial" w:cs="Arial"/>
          <w:lang w:val="en-US"/>
        </w:rPr>
      </w:pPr>
      <w:r>
        <w:rPr>
          <w:rFonts w:ascii="Arial" w:eastAsia="Arial" w:hAnsi="Arial" w:cs="Arial"/>
          <w:lang w:val="en-US"/>
        </w:rPr>
        <w:t>O</w:t>
      </w:r>
      <w:r w:rsidR="00433D19" w:rsidRPr="00E12029">
        <w:rPr>
          <w:rFonts w:ascii="Arial" w:eastAsia="Arial" w:hAnsi="Arial" w:cs="Arial"/>
          <w:lang w:val="en-US"/>
        </w:rPr>
        <w:t xml:space="preserve">ur study sheds light on the issue of multimorbidity in older </w:t>
      </w:r>
      <w:r w:rsidR="00207539">
        <w:rPr>
          <w:rFonts w:ascii="Arial" w:eastAsia="Arial" w:hAnsi="Arial" w:cs="Arial"/>
          <w:lang w:val="en-US"/>
        </w:rPr>
        <w:t>people</w:t>
      </w:r>
      <w:r w:rsidR="00207539" w:rsidRPr="00E12029">
        <w:rPr>
          <w:rFonts w:ascii="Arial" w:eastAsia="Arial" w:hAnsi="Arial" w:cs="Arial"/>
          <w:lang w:val="en-US"/>
        </w:rPr>
        <w:t xml:space="preserve"> </w:t>
      </w:r>
      <w:r w:rsidR="00433D19" w:rsidRPr="00E12029">
        <w:rPr>
          <w:rFonts w:ascii="Arial" w:eastAsia="Arial" w:hAnsi="Arial" w:cs="Arial"/>
          <w:lang w:val="en-US"/>
        </w:rPr>
        <w:t xml:space="preserve">and its impact on hospital admissions. </w:t>
      </w:r>
      <w:r w:rsidR="00E2200E" w:rsidRPr="00E12029">
        <w:rPr>
          <w:rFonts w:ascii="Arial" w:eastAsia="Arial" w:hAnsi="Arial" w:cs="Arial"/>
          <w:lang w:val="en-US"/>
        </w:rPr>
        <w:t>It builds on previous work by allow</w:t>
      </w:r>
      <w:r>
        <w:rPr>
          <w:rFonts w:ascii="Arial" w:eastAsia="Arial" w:hAnsi="Arial" w:cs="Arial"/>
          <w:lang w:val="en-US"/>
        </w:rPr>
        <w:t>ing</w:t>
      </w:r>
      <w:r w:rsidR="00E2200E" w:rsidRPr="00E12029">
        <w:rPr>
          <w:rFonts w:ascii="Arial" w:eastAsia="Arial" w:hAnsi="Arial" w:cs="Arial"/>
          <w:lang w:val="en-US"/>
        </w:rPr>
        <w:t xml:space="preserve"> us to consider whether a threshold of systems medicated confers much higher risk for adverse clinical events if breached. </w:t>
      </w:r>
      <w:proofErr w:type="gramStart"/>
      <w:r w:rsidR="00D20EDE">
        <w:rPr>
          <w:rFonts w:ascii="Arial" w:eastAsia="Arial" w:hAnsi="Arial" w:cs="Arial"/>
          <w:lang w:val="en-US"/>
        </w:rPr>
        <w:t>Instead</w:t>
      </w:r>
      <w:proofErr w:type="gramEnd"/>
      <w:r w:rsidR="00E5552E" w:rsidRPr="00E12029">
        <w:rPr>
          <w:rFonts w:ascii="Arial" w:eastAsia="Arial" w:hAnsi="Arial" w:cs="Arial"/>
          <w:lang w:val="en-US"/>
        </w:rPr>
        <w:t xml:space="preserve"> we observed a </w:t>
      </w:r>
      <w:bookmarkStart w:id="22" w:name="_Hlk147824606"/>
      <w:r w:rsidR="00E5552E" w:rsidRPr="00E12029">
        <w:rPr>
          <w:rFonts w:ascii="Arial" w:eastAsia="Arial" w:hAnsi="Arial" w:cs="Arial"/>
          <w:lang w:val="en-US"/>
        </w:rPr>
        <w:t xml:space="preserve">graded relationship between number of systems medicated and risk of admission in </w:t>
      </w:r>
      <w:r w:rsidR="00A65BA3">
        <w:rPr>
          <w:rFonts w:ascii="Arial" w:eastAsia="Arial" w:hAnsi="Arial" w:cs="Arial"/>
          <w:lang w:val="en-US"/>
        </w:rPr>
        <w:t xml:space="preserve">both </w:t>
      </w:r>
      <w:r w:rsidR="00E5552E" w:rsidRPr="00E12029">
        <w:rPr>
          <w:rFonts w:ascii="Arial" w:eastAsia="Arial" w:hAnsi="Arial" w:cs="Arial"/>
          <w:lang w:val="en-US"/>
        </w:rPr>
        <w:t xml:space="preserve">men and women, highlighting the need </w:t>
      </w:r>
      <w:r w:rsidR="00207539">
        <w:rPr>
          <w:rFonts w:ascii="Arial" w:eastAsia="Arial" w:hAnsi="Arial" w:cs="Arial"/>
          <w:lang w:val="en-US"/>
        </w:rPr>
        <w:t xml:space="preserve">to implement public health measures earlier in life to reduce comorbidity level in mid-late adulthood. </w:t>
      </w:r>
      <w:bookmarkEnd w:id="22"/>
      <w:r w:rsidR="00207539">
        <w:rPr>
          <w:rFonts w:ascii="Arial" w:eastAsia="Arial" w:hAnsi="Arial" w:cs="Arial"/>
          <w:lang w:val="en-US"/>
        </w:rPr>
        <w:t xml:space="preserve">These could include interventions </w:t>
      </w:r>
      <w:r w:rsidR="00E5552E" w:rsidRPr="00E12029">
        <w:rPr>
          <w:rFonts w:ascii="Arial" w:eastAsia="Arial" w:hAnsi="Arial" w:cs="Arial"/>
          <w:lang w:val="en-US"/>
        </w:rPr>
        <w:t>that promote physical activity to reduce obesity and risk of diabetes and cardiovascular disease</w:t>
      </w:r>
      <w:r w:rsidR="00E5552E">
        <w:rPr>
          <w:rFonts w:ascii="Arial" w:eastAsia="Arial" w:hAnsi="Arial" w:cs="Arial"/>
          <w:lang w:val="en-US"/>
        </w:rPr>
        <w:t xml:space="preserve">, </w:t>
      </w:r>
      <w:bookmarkStart w:id="23" w:name="_Hlk147824651"/>
      <w:r w:rsidR="00E5552E">
        <w:rPr>
          <w:rFonts w:ascii="Arial" w:eastAsia="Arial" w:hAnsi="Arial" w:cs="Arial"/>
          <w:lang w:val="en-US"/>
        </w:rPr>
        <w:t>as there does not appear to be a ‘safe’ level of comorbidity.</w:t>
      </w:r>
    </w:p>
    <w:bookmarkEnd w:id="23"/>
    <w:p w14:paraId="73889664" w14:textId="77777777" w:rsidR="00207539" w:rsidRDefault="00207539" w:rsidP="0046151B">
      <w:pPr>
        <w:spacing w:after="200" w:line="480" w:lineRule="auto"/>
        <w:jc w:val="both"/>
        <w:rPr>
          <w:rFonts w:ascii="Arial" w:eastAsia="Arial" w:hAnsi="Arial" w:cs="Arial"/>
          <w:b/>
          <w:bCs/>
        </w:rPr>
      </w:pPr>
    </w:p>
    <w:p w14:paraId="7DB1EDAA" w14:textId="77777777" w:rsidR="00DA4D05" w:rsidRPr="00DA4D05" w:rsidRDefault="00DA4D05" w:rsidP="00DA4D05">
      <w:pPr>
        <w:spacing w:after="200" w:line="480" w:lineRule="auto"/>
        <w:jc w:val="both"/>
        <w:rPr>
          <w:rFonts w:ascii="Arial" w:eastAsia="Arial" w:hAnsi="Arial" w:cs="Arial"/>
          <w:b/>
          <w:bCs/>
        </w:rPr>
      </w:pPr>
      <w:r w:rsidRPr="00DA4D05">
        <w:rPr>
          <w:rFonts w:ascii="Arial" w:eastAsia="Arial" w:hAnsi="Arial" w:cs="Arial"/>
          <w:b/>
          <w:bCs/>
        </w:rPr>
        <w:t>Declarations</w:t>
      </w:r>
    </w:p>
    <w:p w14:paraId="2DF79762" w14:textId="77777777" w:rsidR="00DA4D05" w:rsidRPr="00DA4D05" w:rsidRDefault="00DA4D05" w:rsidP="00DA4D05">
      <w:pPr>
        <w:spacing w:after="200" w:line="480" w:lineRule="auto"/>
        <w:jc w:val="both"/>
        <w:rPr>
          <w:rFonts w:ascii="Arial" w:eastAsia="Arial" w:hAnsi="Arial" w:cs="Arial"/>
          <w:i/>
          <w:iCs/>
        </w:rPr>
      </w:pPr>
      <w:r w:rsidRPr="00DA4D05">
        <w:rPr>
          <w:rFonts w:ascii="Arial" w:eastAsia="Arial" w:hAnsi="Arial" w:cs="Arial"/>
          <w:i/>
          <w:iCs/>
        </w:rPr>
        <w:t>Funding and competing interests</w:t>
      </w:r>
    </w:p>
    <w:p w14:paraId="0E775190" w14:textId="494A7B67" w:rsidR="00DA4D05" w:rsidRPr="00DA4D05" w:rsidRDefault="00DA4D05" w:rsidP="00DA4D05">
      <w:pPr>
        <w:spacing w:after="200" w:line="480" w:lineRule="auto"/>
        <w:jc w:val="both"/>
        <w:rPr>
          <w:rFonts w:ascii="Arial" w:eastAsia="Arial" w:hAnsi="Arial" w:cs="Arial"/>
        </w:rPr>
      </w:pPr>
      <w:r w:rsidRPr="00DA4D05">
        <w:rPr>
          <w:rFonts w:ascii="Arial" w:eastAsia="Arial" w:hAnsi="Arial" w:cs="Arial"/>
        </w:rPr>
        <w:t>The Hertfordshire Cohort Study was supported by the Medical Research Council University Unit Partnership grant number MRC_MC_UP_A620_1014. CC, EMD</w:t>
      </w:r>
      <w:r w:rsidR="00747C6A">
        <w:rPr>
          <w:rFonts w:ascii="Arial" w:eastAsia="Arial" w:hAnsi="Arial" w:cs="Arial"/>
        </w:rPr>
        <w:t>,</w:t>
      </w:r>
      <w:r w:rsidRPr="00DA4D05">
        <w:rPr>
          <w:rFonts w:ascii="Arial" w:eastAsia="Arial" w:hAnsi="Arial" w:cs="Arial"/>
        </w:rPr>
        <w:t xml:space="preserve"> </w:t>
      </w:r>
      <w:r w:rsidR="00747C6A">
        <w:rPr>
          <w:rFonts w:ascii="Arial" w:eastAsia="Arial" w:hAnsi="Arial" w:cs="Arial"/>
        </w:rPr>
        <w:t xml:space="preserve">KAW, CP </w:t>
      </w:r>
      <w:r w:rsidRPr="00DA4D05">
        <w:rPr>
          <w:rFonts w:ascii="Arial" w:eastAsia="Arial" w:hAnsi="Arial" w:cs="Arial"/>
        </w:rPr>
        <w:t xml:space="preserve">and LDW are supported by </w:t>
      </w:r>
      <w:r w:rsidR="00D20EDE">
        <w:rPr>
          <w:rFonts w:ascii="Arial" w:eastAsia="Arial" w:hAnsi="Arial" w:cs="Arial"/>
        </w:rPr>
        <w:t xml:space="preserve">the </w:t>
      </w:r>
      <w:r w:rsidRPr="00DA4D05">
        <w:rPr>
          <w:rFonts w:ascii="Arial" w:eastAsia="Arial" w:hAnsi="Arial" w:cs="Arial"/>
        </w:rPr>
        <w:t xml:space="preserve">UK Medical Research Council [MC_PC_21003; MC_PC_21001]. The funders had no role in the study design, collection, </w:t>
      </w:r>
      <w:proofErr w:type="gramStart"/>
      <w:r w:rsidRPr="00DA4D05">
        <w:rPr>
          <w:rFonts w:ascii="Arial" w:eastAsia="Arial" w:hAnsi="Arial" w:cs="Arial"/>
        </w:rPr>
        <w:t>analysis</w:t>
      </w:r>
      <w:proofErr w:type="gramEnd"/>
      <w:r w:rsidRPr="00DA4D05">
        <w:rPr>
          <w:rFonts w:ascii="Arial" w:eastAsia="Arial" w:hAnsi="Arial" w:cs="Arial"/>
        </w:rPr>
        <w:t xml:space="preserve"> and interpretation of data; in the writing of the manuscript; or in the decision to submit the manuscript for publication. </w:t>
      </w:r>
      <w:proofErr w:type="gramStart"/>
      <w:r w:rsidRPr="00DA4D05">
        <w:rPr>
          <w:rFonts w:ascii="Arial" w:eastAsia="Arial" w:hAnsi="Arial" w:cs="Arial"/>
        </w:rPr>
        <w:t>For the purpose of</w:t>
      </w:r>
      <w:proofErr w:type="gramEnd"/>
      <w:r w:rsidRPr="00DA4D05">
        <w:rPr>
          <w:rFonts w:ascii="Arial" w:eastAsia="Arial" w:hAnsi="Arial" w:cs="Arial"/>
        </w:rPr>
        <w:t xml:space="preserve"> open access, the author has applied a Creative Commons attribution license (CC BY) to any Author Accepted Manuscript version arising from this submission.</w:t>
      </w:r>
    </w:p>
    <w:p w14:paraId="6EB89A26" w14:textId="421776C4" w:rsidR="00DA4D05" w:rsidRDefault="005A2D2A" w:rsidP="00DA4D05">
      <w:pPr>
        <w:spacing w:after="200" w:line="480" w:lineRule="auto"/>
        <w:jc w:val="both"/>
        <w:rPr>
          <w:rFonts w:ascii="Arial" w:eastAsia="Arial" w:hAnsi="Arial" w:cs="Arial"/>
        </w:rPr>
      </w:pPr>
      <w:r w:rsidRPr="005A2D2A">
        <w:rPr>
          <w:rFonts w:ascii="Arial" w:eastAsia="Arial" w:hAnsi="Arial" w:cs="Arial"/>
        </w:rPr>
        <w:t>EMD declares consultancy and speaker fees from Pfizer, UCB and Lilly. The remaining authors declare that they have no conflicts of interest.</w:t>
      </w:r>
    </w:p>
    <w:p w14:paraId="48FD2D3E" w14:textId="77777777" w:rsidR="005A2D2A" w:rsidRDefault="005A2D2A" w:rsidP="005A2D2A">
      <w:pPr>
        <w:spacing w:after="200" w:line="480" w:lineRule="auto"/>
        <w:jc w:val="both"/>
        <w:rPr>
          <w:rFonts w:ascii="Arial" w:eastAsia="Arial" w:hAnsi="Arial" w:cs="Arial"/>
          <w:b/>
          <w:bCs/>
        </w:rPr>
      </w:pPr>
    </w:p>
    <w:p w14:paraId="7085C625" w14:textId="14818CA4" w:rsidR="005A2D2A" w:rsidRPr="005A2D2A" w:rsidRDefault="005A2D2A" w:rsidP="005A2D2A">
      <w:pPr>
        <w:spacing w:after="200" w:line="480" w:lineRule="auto"/>
        <w:jc w:val="both"/>
        <w:rPr>
          <w:rFonts w:ascii="Arial" w:eastAsia="Arial" w:hAnsi="Arial" w:cs="Arial"/>
          <w:i/>
          <w:iCs/>
        </w:rPr>
      </w:pPr>
      <w:r w:rsidRPr="005A2D2A">
        <w:rPr>
          <w:rFonts w:ascii="Arial" w:eastAsia="Arial" w:hAnsi="Arial" w:cs="Arial"/>
          <w:i/>
          <w:iCs/>
        </w:rPr>
        <w:t xml:space="preserve">Ethical approval </w:t>
      </w:r>
    </w:p>
    <w:p w14:paraId="570F6C9B" w14:textId="2D8458B2" w:rsidR="005A2D2A" w:rsidRPr="004D4EF6" w:rsidRDefault="005A2D2A" w:rsidP="005A2D2A">
      <w:pPr>
        <w:pStyle w:val="PlainText"/>
        <w:spacing w:after="200" w:line="480" w:lineRule="auto"/>
        <w:jc w:val="both"/>
        <w:rPr>
          <w:rFonts w:ascii="Arial" w:hAnsi="Arial" w:cs="Arial"/>
        </w:rPr>
      </w:pPr>
      <w:r w:rsidRPr="000D12CE">
        <w:rPr>
          <w:rFonts w:ascii="Arial" w:eastAsia="Arial" w:hAnsi="Arial" w:cs="Arial"/>
        </w:rPr>
        <w:lastRenderedPageBreak/>
        <w:t xml:space="preserve">All procedures performed in studies involving human participants were in accordance with the ethical standards of the institutional and /or national research committee and with the 1964 Helsinki Declaration and its later amendments or comparable ethical standards. </w:t>
      </w:r>
      <w:r w:rsidR="00D20EDE">
        <w:rPr>
          <w:rFonts w:ascii="Arial" w:eastAsia="Arial" w:hAnsi="Arial" w:cs="Arial"/>
        </w:rPr>
        <w:t>E</w:t>
      </w:r>
      <w:r w:rsidRPr="000D12CE">
        <w:rPr>
          <w:rFonts w:ascii="Arial" w:eastAsia="Arial" w:hAnsi="Arial" w:cs="Arial"/>
        </w:rPr>
        <w:t xml:space="preserve">thical approval </w:t>
      </w:r>
      <w:r w:rsidR="00D20EDE">
        <w:rPr>
          <w:rFonts w:ascii="Arial" w:eastAsia="Arial" w:hAnsi="Arial" w:cs="Arial"/>
        </w:rPr>
        <w:t xml:space="preserve">for the baseline Hertfordshire Cohort Study </w:t>
      </w:r>
      <w:r w:rsidRPr="000D12CE">
        <w:rPr>
          <w:rFonts w:ascii="Arial" w:eastAsia="Arial" w:hAnsi="Arial" w:cs="Arial"/>
        </w:rPr>
        <w:t xml:space="preserve">was obtained from the </w:t>
      </w:r>
      <w:r w:rsidRPr="000D12CE">
        <w:rPr>
          <w:rFonts w:ascii="Arial" w:eastAsia="Arial" w:hAnsi="Arial" w:cs="Arial"/>
          <w:lang w:val="en-US"/>
        </w:rPr>
        <w:t>Hertfordshire and Bedfordshire Local Research Ethics Committee</w:t>
      </w:r>
      <w:r w:rsidRPr="000D12CE">
        <w:rPr>
          <w:rFonts w:ascii="Arial" w:eastAsia="Arial" w:hAnsi="Arial" w:cs="Arial"/>
        </w:rPr>
        <w:t xml:space="preserve">. </w:t>
      </w:r>
      <w:r w:rsidRPr="004D4EF6">
        <w:rPr>
          <w:rFonts w:ascii="Arial" w:hAnsi="Arial" w:cs="Arial"/>
        </w:rPr>
        <w:t xml:space="preserve">Permission to obtain a HES extract for HCS participants from 01/04/1998 to 31/12/2018 was granted by the Ethics and Confidentiality Committee of the National Information Governance Board and NHS Digital. </w:t>
      </w:r>
    </w:p>
    <w:p w14:paraId="20CB1132" w14:textId="77777777" w:rsidR="00DA4D05" w:rsidRDefault="00DA4D05" w:rsidP="00DA4D05">
      <w:pPr>
        <w:spacing w:after="200" w:line="480" w:lineRule="auto"/>
        <w:jc w:val="both"/>
        <w:rPr>
          <w:rFonts w:ascii="Arial" w:eastAsia="Arial" w:hAnsi="Arial" w:cs="Arial"/>
        </w:rPr>
      </w:pPr>
    </w:p>
    <w:p w14:paraId="295F805C" w14:textId="77777777" w:rsidR="00DA4D05" w:rsidRPr="00DA4D05" w:rsidRDefault="00DA4D05" w:rsidP="00DA4D05">
      <w:pPr>
        <w:spacing w:after="200" w:line="480" w:lineRule="auto"/>
        <w:jc w:val="both"/>
        <w:rPr>
          <w:rFonts w:ascii="Arial" w:eastAsia="Arial" w:hAnsi="Arial" w:cs="Arial"/>
          <w:i/>
          <w:iCs/>
        </w:rPr>
      </w:pPr>
      <w:r w:rsidRPr="00DA4D05">
        <w:rPr>
          <w:rFonts w:ascii="Arial" w:eastAsia="Arial" w:hAnsi="Arial" w:cs="Arial"/>
          <w:i/>
          <w:iCs/>
        </w:rPr>
        <w:t>Consent</w:t>
      </w:r>
    </w:p>
    <w:p w14:paraId="62B71270" w14:textId="2D59A438" w:rsidR="00DA4D05" w:rsidRDefault="00D20EDE" w:rsidP="00DA4D05">
      <w:pPr>
        <w:spacing w:after="200" w:line="480" w:lineRule="auto"/>
        <w:jc w:val="both"/>
        <w:rPr>
          <w:rFonts w:ascii="Arial" w:eastAsia="Arial" w:hAnsi="Arial" w:cs="Arial"/>
        </w:rPr>
      </w:pPr>
      <w:r w:rsidRPr="00D20EDE">
        <w:rPr>
          <w:rFonts w:ascii="Arial" w:eastAsia="Arial" w:hAnsi="Arial" w:cs="Arial"/>
        </w:rPr>
        <w:t>All study participants provided written informed consent for the investigations they underwent and researchers to access their medical records in the future</w:t>
      </w:r>
      <w:r>
        <w:rPr>
          <w:rFonts w:ascii="Arial" w:eastAsia="Arial" w:hAnsi="Arial" w:cs="Arial"/>
        </w:rPr>
        <w:t>.</w:t>
      </w:r>
    </w:p>
    <w:p w14:paraId="2849AE83" w14:textId="77777777" w:rsidR="00D20EDE" w:rsidRPr="00DA4D05" w:rsidRDefault="00D20EDE" w:rsidP="00DA4D05">
      <w:pPr>
        <w:spacing w:after="200" w:line="480" w:lineRule="auto"/>
        <w:jc w:val="both"/>
        <w:rPr>
          <w:rFonts w:ascii="Arial" w:eastAsia="Arial" w:hAnsi="Arial" w:cs="Arial"/>
        </w:rPr>
      </w:pPr>
    </w:p>
    <w:p w14:paraId="244B300D" w14:textId="77777777" w:rsidR="00DA4D05" w:rsidRPr="00DA4D05" w:rsidRDefault="00DA4D05" w:rsidP="00DA4D05">
      <w:pPr>
        <w:spacing w:after="200" w:line="480" w:lineRule="auto"/>
        <w:jc w:val="both"/>
        <w:rPr>
          <w:rFonts w:ascii="Arial" w:eastAsia="Arial" w:hAnsi="Arial" w:cs="Arial"/>
          <w:i/>
          <w:iCs/>
        </w:rPr>
      </w:pPr>
      <w:r w:rsidRPr="00DA4D05">
        <w:rPr>
          <w:rFonts w:ascii="Arial" w:eastAsia="Arial" w:hAnsi="Arial" w:cs="Arial"/>
          <w:i/>
          <w:iCs/>
        </w:rPr>
        <w:t>Availability of data and materials</w:t>
      </w:r>
    </w:p>
    <w:p w14:paraId="6F609EBB" w14:textId="71178CAC" w:rsidR="00DA4D05" w:rsidRDefault="005A2D2A" w:rsidP="00DA4D05">
      <w:pPr>
        <w:spacing w:after="200" w:line="480" w:lineRule="auto"/>
        <w:jc w:val="both"/>
        <w:rPr>
          <w:rFonts w:ascii="Arial" w:eastAsia="Arial" w:hAnsi="Arial" w:cs="Arial"/>
        </w:rPr>
      </w:pPr>
      <w:r w:rsidRPr="005A2D2A">
        <w:rPr>
          <w:rFonts w:ascii="Arial" w:eastAsia="Arial" w:hAnsi="Arial" w:cs="Arial"/>
        </w:rPr>
        <w:t>Data relating to this study cannot be shared due to consent restrictions.</w:t>
      </w:r>
    </w:p>
    <w:p w14:paraId="6862930C" w14:textId="77777777" w:rsidR="005A2D2A" w:rsidRPr="00DA4D05" w:rsidRDefault="005A2D2A" w:rsidP="00DA4D05">
      <w:pPr>
        <w:spacing w:after="200" w:line="480" w:lineRule="auto"/>
        <w:jc w:val="both"/>
        <w:rPr>
          <w:rFonts w:ascii="Arial" w:eastAsia="Arial" w:hAnsi="Arial" w:cs="Arial"/>
        </w:rPr>
      </w:pPr>
    </w:p>
    <w:p w14:paraId="68B64BC4" w14:textId="77777777" w:rsidR="00DA4D05" w:rsidRPr="00DA4D05" w:rsidRDefault="00DA4D05" w:rsidP="00DA4D05">
      <w:pPr>
        <w:spacing w:after="200" w:line="480" w:lineRule="auto"/>
        <w:jc w:val="both"/>
        <w:rPr>
          <w:rFonts w:ascii="Arial" w:eastAsia="Arial" w:hAnsi="Arial" w:cs="Arial"/>
          <w:i/>
          <w:iCs/>
        </w:rPr>
      </w:pPr>
      <w:r w:rsidRPr="00DA4D05">
        <w:rPr>
          <w:rFonts w:ascii="Arial" w:eastAsia="Arial" w:hAnsi="Arial" w:cs="Arial"/>
          <w:i/>
          <w:iCs/>
        </w:rPr>
        <w:t>Author contributions</w:t>
      </w:r>
    </w:p>
    <w:p w14:paraId="31A4EAF6" w14:textId="6558F4BD" w:rsidR="00FC17F5" w:rsidRPr="00747C6A" w:rsidRDefault="00DA4D05" w:rsidP="00747C6A">
      <w:pPr>
        <w:spacing w:after="200" w:line="480" w:lineRule="auto"/>
        <w:jc w:val="both"/>
        <w:rPr>
          <w:rFonts w:ascii="Arial" w:eastAsia="Arial" w:hAnsi="Arial" w:cs="Arial"/>
        </w:rPr>
      </w:pPr>
      <w:r w:rsidRPr="00DA4D05">
        <w:rPr>
          <w:rFonts w:ascii="Arial" w:eastAsia="Arial" w:hAnsi="Arial" w:cs="Arial"/>
        </w:rPr>
        <w:t>LDW conducted the statistical analysi</w:t>
      </w:r>
      <w:r w:rsidR="00747C6A">
        <w:rPr>
          <w:rFonts w:ascii="Arial" w:eastAsia="Arial" w:hAnsi="Arial" w:cs="Arial"/>
        </w:rPr>
        <w:t>s and drafted the Methods and Results</w:t>
      </w:r>
      <w:r w:rsidRPr="00DA4D05">
        <w:rPr>
          <w:rFonts w:ascii="Arial" w:eastAsia="Arial" w:hAnsi="Arial" w:cs="Arial"/>
        </w:rPr>
        <w:t xml:space="preserve">; </w:t>
      </w:r>
      <w:r w:rsidR="00747C6A">
        <w:rPr>
          <w:rFonts w:ascii="Arial" w:eastAsia="Arial" w:hAnsi="Arial" w:cs="Arial"/>
        </w:rPr>
        <w:t xml:space="preserve">RR drafted the Introduction and Discussion; CP contributed to the analysis strategy; KAW and CC revised the manuscript for important intellectual content; and EMD designed the study and made significant </w:t>
      </w:r>
      <w:r w:rsidR="00E81024">
        <w:rPr>
          <w:rFonts w:ascii="Arial" w:eastAsia="Arial" w:hAnsi="Arial" w:cs="Arial"/>
        </w:rPr>
        <w:t>contributions to the writing of the Introduction and Discussion</w:t>
      </w:r>
      <w:r w:rsidR="00747C6A">
        <w:rPr>
          <w:rFonts w:ascii="Arial" w:eastAsia="Arial" w:hAnsi="Arial" w:cs="Arial"/>
        </w:rPr>
        <w:t xml:space="preserve">; </w:t>
      </w:r>
      <w:r w:rsidRPr="00DA4D05">
        <w:rPr>
          <w:rFonts w:ascii="Arial" w:eastAsia="Arial" w:hAnsi="Arial" w:cs="Arial"/>
        </w:rPr>
        <w:t>All authors made substantial contributions to the drafting of the manuscript and approved the final version.</w:t>
      </w:r>
    </w:p>
    <w:p w14:paraId="34FAF94E" w14:textId="77777777" w:rsidR="00747C6A" w:rsidRDefault="00747C6A" w:rsidP="00FC17F5">
      <w:pPr>
        <w:spacing w:after="200" w:line="480" w:lineRule="auto"/>
        <w:jc w:val="both"/>
        <w:rPr>
          <w:rFonts w:ascii="Arial" w:eastAsia="Arial" w:hAnsi="Arial" w:cs="Arial"/>
          <w:b/>
          <w:bCs/>
        </w:rPr>
      </w:pPr>
    </w:p>
    <w:p w14:paraId="43F16F48" w14:textId="664E497D" w:rsidR="00C54D1F" w:rsidRPr="004C62C5" w:rsidRDefault="002337D4" w:rsidP="004837DE">
      <w:pPr>
        <w:spacing w:after="200" w:line="480" w:lineRule="auto"/>
        <w:rPr>
          <w:rFonts w:ascii="Arial" w:eastAsia="Arial" w:hAnsi="Arial" w:cs="Arial"/>
          <w:b/>
          <w:bCs/>
        </w:rPr>
      </w:pPr>
      <w:bookmarkStart w:id="24" w:name="_Hlk161041409"/>
      <w:bookmarkStart w:id="25" w:name="_Hlk171406813"/>
      <w:r w:rsidRPr="002337D4">
        <w:rPr>
          <w:rFonts w:ascii="Arial" w:eastAsia="Arial" w:hAnsi="Arial" w:cs="Arial"/>
          <w:b/>
          <w:bCs/>
        </w:rPr>
        <w:t xml:space="preserve">References </w:t>
      </w:r>
      <w:bookmarkEnd w:id="24"/>
    </w:p>
    <w:p w14:paraId="6E23BE1E" w14:textId="09636B3E" w:rsidR="002D5ECA" w:rsidRPr="002D5ECA" w:rsidRDefault="00C54D1F" w:rsidP="002D5ECA">
      <w:pPr>
        <w:pStyle w:val="EndNoteBibliography"/>
        <w:spacing w:after="0"/>
        <w:ind w:left="720" w:hanging="720"/>
      </w:pPr>
      <w:r>
        <w:rPr>
          <w:rFonts w:ascii="Arial" w:eastAsia="Arial" w:hAnsi="Arial" w:cs="Arial"/>
        </w:rPr>
        <w:lastRenderedPageBreak/>
        <w:fldChar w:fldCharType="begin"/>
      </w:r>
      <w:r>
        <w:rPr>
          <w:rFonts w:ascii="Arial" w:eastAsia="Arial" w:hAnsi="Arial" w:cs="Arial"/>
        </w:rPr>
        <w:instrText xml:space="preserve"> ADDIN EN.REFLIST </w:instrText>
      </w:r>
      <w:r>
        <w:rPr>
          <w:rFonts w:ascii="Arial" w:eastAsia="Arial" w:hAnsi="Arial" w:cs="Arial"/>
        </w:rPr>
        <w:fldChar w:fldCharType="separate"/>
      </w:r>
      <w:bookmarkStart w:id="26" w:name="_Hlk171407297"/>
      <w:r w:rsidR="002D5ECA" w:rsidRPr="002D5ECA">
        <w:t>1.</w:t>
      </w:r>
      <w:r w:rsidR="002D5ECA" w:rsidRPr="002D5ECA">
        <w:tab/>
        <w:t xml:space="preserve">Thanakiattiwibun C, Siriussawakul A, Virotjarumart T, Maneeon S, Tantai N, Srinonprasert V, Chaiwat O, Sriswasdi P (2023) Multimorbidity, healthcare utilization, and quality of life for older patients undergoing surgery: A prospective study. Medicine (Baltimore). 102(13):e33389. </w:t>
      </w:r>
      <w:hyperlink r:id="rId18" w:history="1">
        <w:r w:rsidR="002D5ECA" w:rsidRPr="002D5ECA">
          <w:rPr>
            <w:rStyle w:val="Hyperlink"/>
          </w:rPr>
          <w:t>https://doi.org/10.1097/MD.0000000000033389</w:t>
        </w:r>
      </w:hyperlink>
    </w:p>
    <w:p w14:paraId="245A4A1D" w14:textId="68727153" w:rsidR="002D5ECA" w:rsidRPr="002D5ECA" w:rsidRDefault="002D5ECA" w:rsidP="002D5ECA">
      <w:pPr>
        <w:pStyle w:val="EndNoteBibliography"/>
        <w:spacing w:after="0"/>
        <w:ind w:left="720" w:hanging="720"/>
      </w:pPr>
      <w:r w:rsidRPr="002D5ECA">
        <w:t>2.</w:t>
      </w:r>
      <w:r w:rsidRPr="002D5ECA">
        <w:tab/>
        <w:t xml:space="preserve">Stirland LE, González-Saavedra L, Mullin DS, Ritchie CW, Muniz-Terrera G, Russ TC (2020) Measuring multimorbidity beyond counting diseases: systematic review of community and population studies and guide to index choice. BMJ. 368:m160. </w:t>
      </w:r>
      <w:hyperlink r:id="rId19" w:history="1">
        <w:r w:rsidRPr="002D5ECA">
          <w:rPr>
            <w:rStyle w:val="Hyperlink"/>
          </w:rPr>
          <w:t>https://doi.org/10.1136/bmj.m160</w:t>
        </w:r>
      </w:hyperlink>
    </w:p>
    <w:p w14:paraId="25BB1069" w14:textId="241AF0F8" w:rsidR="002D5ECA" w:rsidRPr="002D5ECA" w:rsidRDefault="002D5ECA" w:rsidP="002D5ECA">
      <w:pPr>
        <w:pStyle w:val="EndNoteBibliography"/>
        <w:spacing w:after="0"/>
        <w:ind w:left="720" w:hanging="720"/>
      </w:pPr>
      <w:r w:rsidRPr="002D5ECA">
        <w:t>3.</w:t>
      </w:r>
      <w:r w:rsidRPr="002D5ECA">
        <w:tab/>
        <w:t xml:space="preserve">Collerton J, Jagger C, Yadegarfar ME, Davies K, Parker SG, Robinson L, Kirkwood TB (2016) Deconstructing Complex Multimorbidity in the Very Old: Findings from the Newcastle 85+ Study. Biomed Res Int. 2016:8745670. </w:t>
      </w:r>
      <w:hyperlink r:id="rId20" w:history="1">
        <w:r w:rsidRPr="002D5ECA">
          <w:rPr>
            <w:rStyle w:val="Hyperlink"/>
          </w:rPr>
          <w:t>https://doi.org/10.1155/2016/8745670</w:t>
        </w:r>
      </w:hyperlink>
    </w:p>
    <w:p w14:paraId="520E1B88" w14:textId="2D6327EC" w:rsidR="002D5ECA" w:rsidRPr="002D5ECA" w:rsidRDefault="002D5ECA" w:rsidP="002D5ECA">
      <w:pPr>
        <w:pStyle w:val="EndNoteBibliography"/>
        <w:spacing w:after="0"/>
        <w:ind w:left="720" w:hanging="720"/>
      </w:pPr>
      <w:r w:rsidRPr="002D5ECA">
        <w:t>4.</w:t>
      </w:r>
      <w:r w:rsidRPr="002D5ECA">
        <w:tab/>
        <w:t xml:space="preserve">McParland C, Cooper MA, Lowe DJ, Stanley B, Johnston B (2022) Multimorbidity, disease count, mortality and emergency care use in persons attending the emergency department: a cross-sectional data-linkage study. J Multimorb Comorb. 12:26335565221147417. </w:t>
      </w:r>
      <w:hyperlink r:id="rId21" w:history="1">
        <w:r w:rsidRPr="002D5ECA">
          <w:rPr>
            <w:rStyle w:val="Hyperlink"/>
          </w:rPr>
          <w:t>https://doi.org/10.1177/26335565221147417</w:t>
        </w:r>
      </w:hyperlink>
    </w:p>
    <w:p w14:paraId="6D1D4D5B" w14:textId="36BC32AB" w:rsidR="002D5ECA" w:rsidRPr="002D5ECA" w:rsidRDefault="002D5ECA" w:rsidP="002D5ECA">
      <w:pPr>
        <w:pStyle w:val="EndNoteBibliography"/>
        <w:spacing w:after="0"/>
        <w:ind w:left="720" w:hanging="720"/>
      </w:pPr>
      <w:r w:rsidRPr="002D5ECA">
        <w:t>5.</w:t>
      </w:r>
      <w:r w:rsidRPr="002D5ECA">
        <w:tab/>
        <w:t xml:space="preserve">Odland ML, Ismail S, Sepanlou SG, Poustchi H, Sadjadi A, Pourshams A, Marshall T, et al. (2022) Multimorbidity and associations with clinical outcomes in a middle-aged population in Iran: a longitudinal cohort study. BMJ Glob Health. 7(5):e007278. </w:t>
      </w:r>
      <w:hyperlink r:id="rId22" w:history="1">
        <w:r w:rsidRPr="002D5ECA">
          <w:rPr>
            <w:rStyle w:val="Hyperlink"/>
          </w:rPr>
          <w:t>https://doi.org/10.1136/bmjgh-2021-007278</w:t>
        </w:r>
      </w:hyperlink>
    </w:p>
    <w:p w14:paraId="0A5EC5F0" w14:textId="3079A464" w:rsidR="002D5ECA" w:rsidRPr="002D5ECA" w:rsidRDefault="002D5ECA" w:rsidP="002D5ECA">
      <w:pPr>
        <w:pStyle w:val="EndNoteBibliography"/>
        <w:spacing w:after="0"/>
        <w:ind w:left="720" w:hanging="720"/>
      </w:pPr>
      <w:r w:rsidRPr="002D5ECA">
        <w:t>6.</w:t>
      </w:r>
      <w:r w:rsidRPr="002D5ECA">
        <w:tab/>
        <w:t xml:space="preserve">Palladino R, Pennino F, Finbarr M, Millett C, Triassi M (2019) Multimorbidity and health outcomes in older adults in ten European health systems, 2006–15. Health Aff (Millwood). 38(4):613-623. </w:t>
      </w:r>
      <w:hyperlink r:id="rId23" w:history="1">
        <w:r w:rsidRPr="002D5ECA">
          <w:rPr>
            <w:rStyle w:val="Hyperlink"/>
          </w:rPr>
          <w:t>https://doi.org/10.1377/hlthaff.2018.05273</w:t>
        </w:r>
      </w:hyperlink>
    </w:p>
    <w:p w14:paraId="60E02190" w14:textId="6980FC6A" w:rsidR="002D5ECA" w:rsidRPr="002D5ECA" w:rsidRDefault="002D5ECA" w:rsidP="002D5ECA">
      <w:pPr>
        <w:pStyle w:val="EndNoteBibliography"/>
        <w:spacing w:after="0"/>
        <w:ind w:left="720" w:hanging="720"/>
      </w:pPr>
      <w:r w:rsidRPr="002D5ECA">
        <w:t>7.</w:t>
      </w:r>
      <w:r w:rsidRPr="002D5ECA">
        <w:tab/>
        <w:t xml:space="preserve">Violan C, Foguet-Boreu Q, Flores-Mateo G, Salisbury C, Blom J, Freitag M, Glynn L, et al. (2014) Prevalence, determinants and patterns of multimorbidity in primary care: a systematic review of observational studies. PLoS One. 9(7):e102149. </w:t>
      </w:r>
      <w:hyperlink r:id="rId24" w:history="1">
        <w:r w:rsidRPr="002D5ECA">
          <w:rPr>
            <w:rStyle w:val="Hyperlink"/>
          </w:rPr>
          <w:t>https://doi.org/10.1371/journal.pone.0102149</w:t>
        </w:r>
      </w:hyperlink>
    </w:p>
    <w:p w14:paraId="08AE0F8E" w14:textId="49239C5A" w:rsidR="002D5ECA" w:rsidRPr="002D5ECA" w:rsidRDefault="002D5ECA" w:rsidP="002D5ECA">
      <w:pPr>
        <w:pStyle w:val="EndNoteBibliography"/>
        <w:spacing w:after="0"/>
        <w:ind w:left="720" w:hanging="720"/>
      </w:pPr>
      <w:r w:rsidRPr="002D5ECA">
        <w:t>8.</w:t>
      </w:r>
      <w:r w:rsidRPr="002D5ECA">
        <w:tab/>
        <w:t xml:space="preserve">Zhao Y, Zhao S, Zhang L, Haregu TN, Wang H (2021) Impacts of multimorbidity on medication treatment, primary healthcare and hospitalization among middle-aged and older adults in China: evidence from a nationwide longitudinal study. BMC Public Health. 21(1):1380. </w:t>
      </w:r>
      <w:hyperlink r:id="rId25" w:history="1">
        <w:r w:rsidRPr="002D5ECA">
          <w:rPr>
            <w:rStyle w:val="Hyperlink"/>
          </w:rPr>
          <w:t>https://doi.org/10.1186/s12889-021-11456-7</w:t>
        </w:r>
      </w:hyperlink>
    </w:p>
    <w:p w14:paraId="2FD1089F" w14:textId="0518FB53" w:rsidR="002D5ECA" w:rsidRPr="002D5ECA" w:rsidRDefault="002D5ECA" w:rsidP="002D5ECA">
      <w:pPr>
        <w:pStyle w:val="EndNoteBibliography"/>
        <w:spacing w:after="0"/>
        <w:ind w:left="720" w:hanging="720"/>
      </w:pPr>
      <w:r w:rsidRPr="002D5ECA">
        <w:t>9.</w:t>
      </w:r>
      <w:r w:rsidRPr="002D5ECA">
        <w:tab/>
        <w:t xml:space="preserve">Buja A, Rivera M, De Battisti E, Corti MC, Avossa F, Schievano E, Rigon S, et al. (2020) Multimorbidity and hospital admissions in high-need, high-cost elderly patients. J Aging Health. 32(5-6):259-268. </w:t>
      </w:r>
      <w:hyperlink r:id="rId26" w:history="1">
        <w:r w:rsidRPr="002D5ECA">
          <w:rPr>
            <w:rStyle w:val="Hyperlink"/>
          </w:rPr>
          <w:t>https://doi.org/10.1177/0898264318817091</w:t>
        </w:r>
      </w:hyperlink>
    </w:p>
    <w:p w14:paraId="73B2A5AD" w14:textId="71BA6C61" w:rsidR="002D5ECA" w:rsidRPr="002D5ECA" w:rsidRDefault="002D5ECA" w:rsidP="002D5ECA">
      <w:pPr>
        <w:pStyle w:val="EndNoteBibliography"/>
        <w:spacing w:after="0"/>
        <w:ind w:left="720" w:hanging="720"/>
      </w:pPr>
      <w:r w:rsidRPr="002D5ECA">
        <w:t>10.</w:t>
      </w:r>
      <w:r w:rsidRPr="002D5ECA">
        <w:tab/>
        <w:t xml:space="preserve">Stokes J, Guthrie B, Mercer SW, Rice N, Sutton M (2021) Multimorbidity combinations, costs of hospital care and potentially preventable emergency admissions in England: A cohort study. PLoS Med. 18(1):e1003514. </w:t>
      </w:r>
      <w:hyperlink r:id="rId27" w:history="1">
        <w:r w:rsidRPr="002D5ECA">
          <w:rPr>
            <w:rStyle w:val="Hyperlink"/>
          </w:rPr>
          <w:t>https://doi.org/10.1371/journal.pmed.1003514</w:t>
        </w:r>
      </w:hyperlink>
    </w:p>
    <w:p w14:paraId="47541E7B" w14:textId="3F1A4B2A" w:rsidR="002D5ECA" w:rsidRPr="002D5ECA" w:rsidRDefault="002D5ECA" w:rsidP="002D5ECA">
      <w:pPr>
        <w:pStyle w:val="EndNoteBibliography"/>
        <w:spacing w:after="0"/>
        <w:ind w:left="720" w:hanging="720"/>
      </w:pPr>
      <w:r w:rsidRPr="002D5ECA">
        <w:t>11.</w:t>
      </w:r>
      <w:r w:rsidRPr="002D5ECA">
        <w:tab/>
        <w:t xml:space="preserve">Barnett K, Mercer SW, Norbury M, Watt G, Wyke S, Guthrie B (2012) Epidemiology of multimorbidity and implications for health care, research, and medical education: a cross-sectional study. Lancet. 380(9836):37-43. </w:t>
      </w:r>
      <w:hyperlink r:id="rId28" w:history="1">
        <w:r w:rsidRPr="002D5ECA">
          <w:rPr>
            <w:rStyle w:val="Hyperlink"/>
          </w:rPr>
          <w:t>https://doi.org/10.1016/S0140-6736(12)60240-2</w:t>
        </w:r>
      </w:hyperlink>
    </w:p>
    <w:p w14:paraId="3DA8E7DE" w14:textId="722C0016" w:rsidR="002D5ECA" w:rsidRPr="002D5ECA" w:rsidRDefault="002D5ECA" w:rsidP="002D5ECA">
      <w:pPr>
        <w:pStyle w:val="EndNoteBibliography"/>
        <w:spacing w:after="0"/>
        <w:ind w:left="720" w:hanging="720"/>
      </w:pPr>
      <w:r w:rsidRPr="002D5ECA">
        <w:t>12.</w:t>
      </w:r>
      <w:r w:rsidRPr="002D5ECA">
        <w:tab/>
        <w:t xml:space="preserve">Lai FT, Wong SY, Yip BH, Guthrie B, Mercer SW, Chung RY, Chung GK, et al. (2019) Multimorbidity in middle age predicts more subsequent hospital admissions than in older age: a nine-year retrospective cohort study of 121,188 discharged in-patients. Eur J Intern Med. 61:103-111. </w:t>
      </w:r>
      <w:hyperlink r:id="rId29" w:history="1">
        <w:r w:rsidRPr="002D5ECA">
          <w:rPr>
            <w:rStyle w:val="Hyperlink"/>
          </w:rPr>
          <w:t>https://doi.org/10.1016/j.ejim.2018.12.001</w:t>
        </w:r>
      </w:hyperlink>
    </w:p>
    <w:p w14:paraId="6DE498F9" w14:textId="33E64E47" w:rsidR="002D5ECA" w:rsidRPr="002D5ECA" w:rsidRDefault="002D5ECA" w:rsidP="002D5ECA">
      <w:pPr>
        <w:pStyle w:val="EndNoteBibliography"/>
        <w:spacing w:after="0"/>
        <w:ind w:left="720" w:hanging="720"/>
      </w:pPr>
      <w:r w:rsidRPr="002D5ECA">
        <w:t>13.</w:t>
      </w:r>
      <w:r w:rsidRPr="002D5ECA">
        <w:tab/>
        <w:t xml:space="preserve">Wang HH, Wang JJ, Lawson KD, Wong SY, Wong MC, Li FJ, Wang PX, et al. (2015) Relationships of multimorbidity and income with hospital admissions in 3 health care systems. Ann Fam Med. 13(2):164-167. </w:t>
      </w:r>
      <w:hyperlink r:id="rId30" w:history="1">
        <w:r w:rsidRPr="002D5ECA">
          <w:rPr>
            <w:rStyle w:val="Hyperlink"/>
          </w:rPr>
          <w:t>https://doi.org/10.1370/afm.1757</w:t>
        </w:r>
      </w:hyperlink>
    </w:p>
    <w:p w14:paraId="4DF265B4" w14:textId="3A48CB35" w:rsidR="002D5ECA" w:rsidRPr="002D5ECA" w:rsidRDefault="002D5ECA" w:rsidP="002D5ECA">
      <w:pPr>
        <w:pStyle w:val="EndNoteBibliography"/>
        <w:spacing w:after="0"/>
        <w:ind w:left="720" w:hanging="720"/>
      </w:pPr>
      <w:r w:rsidRPr="002D5ECA">
        <w:t>14.</w:t>
      </w:r>
      <w:r w:rsidRPr="002D5ECA">
        <w:tab/>
        <w:t xml:space="preserve">Bots SH, Peters SA, Woodward M (2017) Sex differences in coronary heart disease and stroke mortality: a global assessment of the effect of ageing between 1980 and 2010. BMJ Glob Health. 2(2):e000298. </w:t>
      </w:r>
      <w:hyperlink r:id="rId31" w:history="1">
        <w:r w:rsidRPr="002D5ECA">
          <w:rPr>
            <w:rStyle w:val="Hyperlink"/>
          </w:rPr>
          <w:t>https://doi.org/10.1136%2Fbmjgh-2017-000298</w:t>
        </w:r>
      </w:hyperlink>
    </w:p>
    <w:p w14:paraId="4CBF4C61" w14:textId="7870D99D" w:rsidR="002D5ECA" w:rsidRPr="002D5ECA" w:rsidRDefault="002D5ECA" w:rsidP="002D5ECA">
      <w:pPr>
        <w:pStyle w:val="EndNoteBibliography"/>
        <w:spacing w:after="0"/>
        <w:ind w:left="720" w:hanging="720"/>
      </w:pPr>
      <w:r w:rsidRPr="002D5ECA">
        <w:t>15.</w:t>
      </w:r>
      <w:r w:rsidRPr="002D5ECA">
        <w:tab/>
        <w:t xml:space="preserve">Salari N, Ghasemi H, Mohammadi L, Behzadi MH, Rabieenia E, Shohaimi S, Mohammadi M (2021) The global prevalence of osteoporosis in the world: a comprehensive systematic review </w:t>
      </w:r>
      <w:r w:rsidRPr="002D5ECA">
        <w:lastRenderedPageBreak/>
        <w:t xml:space="preserve">and meta-analysis. J Orthop Surg Res. 16(1):609. </w:t>
      </w:r>
      <w:hyperlink r:id="rId32" w:history="1">
        <w:r w:rsidRPr="002D5ECA">
          <w:rPr>
            <w:rStyle w:val="Hyperlink"/>
          </w:rPr>
          <w:t>https://doi.org/10.1186%2Fs13018-021-02772-0</w:t>
        </w:r>
      </w:hyperlink>
    </w:p>
    <w:p w14:paraId="216DC167" w14:textId="50484099" w:rsidR="002D5ECA" w:rsidRPr="002D5ECA" w:rsidRDefault="002D5ECA" w:rsidP="002D5ECA">
      <w:pPr>
        <w:pStyle w:val="EndNoteBibliography"/>
        <w:spacing w:after="0"/>
        <w:ind w:left="720" w:hanging="720"/>
      </w:pPr>
      <w:r w:rsidRPr="002D5ECA">
        <w:t>16.</w:t>
      </w:r>
      <w:r w:rsidRPr="002D5ECA">
        <w:tab/>
        <w:t xml:space="preserve">Tschon M, Contartese D, Pagani S, Borsari V, Fini M (2021) Gender and sex are key determinants in osteoarthritis not only confounding variables. A systematic review of clinical data. J Clin Med. 10(14):3178. </w:t>
      </w:r>
      <w:hyperlink r:id="rId33" w:history="1">
        <w:r w:rsidRPr="002D5ECA">
          <w:rPr>
            <w:rStyle w:val="Hyperlink"/>
          </w:rPr>
          <w:t>https://doi.org/10.3390%2Fjcm10143178</w:t>
        </w:r>
      </w:hyperlink>
    </w:p>
    <w:p w14:paraId="74BFECB2" w14:textId="7CE24B77" w:rsidR="002D5ECA" w:rsidRPr="002D5ECA" w:rsidRDefault="002D5ECA" w:rsidP="002D5ECA">
      <w:pPr>
        <w:pStyle w:val="EndNoteBibliography"/>
        <w:spacing w:after="0"/>
        <w:ind w:left="720" w:hanging="720"/>
      </w:pPr>
      <w:r w:rsidRPr="002D5ECA">
        <w:t>17.</w:t>
      </w:r>
      <w:r w:rsidRPr="002D5ECA">
        <w:tab/>
        <w:t xml:space="preserve">Lim MT, Lim YMF, Tong SF, Sivasampu S (2019) Age, sex and primary care setting differences in patients’ perception of community healthcare seeking behaviour towards health services. PLoS One. 14(10):e0224260. </w:t>
      </w:r>
      <w:hyperlink r:id="rId34" w:history="1">
        <w:r w:rsidRPr="002D5ECA">
          <w:rPr>
            <w:rStyle w:val="Hyperlink"/>
          </w:rPr>
          <w:t>https://doi.org/10.1371/journal.pone.0224260</w:t>
        </w:r>
      </w:hyperlink>
    </w:p>
    <w:p w14:paraId="4A17B4E6" w14:textId="1A6AB240" w:rsidR="002D5ECA" w:rsidRPr="002D5ECA" w:rsidRDefault="002D5ECA" w:rsidP="002D5ECA">
      <w:pPr>
        <w:pStyle w:val="EndNoteBibliography"/>
        <w:spacing w:after="0"/>
        <w:ind w:left="720" w:hanging="720"/>
      </w:pPr>
      <w:r w:rsidRPr="002D5ECA">
        <w:t>18.</w:t>
      </w:r>
      <w:r w:rsidRPr="002D5ECA">
        <w:tab/>
        <w:t xml:space="preserve">Syddall HE, Simmonds SJ, Carter SA, Robinson SM, Dennison EM, Cooper C (2019) The Hertfordshire Cohort Study: an overview. F1000Res. 8:82. </w:t>
      </w:r>
      <w:hyperlink r:id="rId35" w:history="1">
        <w:r w:rsidRPr="002D5ECA">
          <w:rPr>
            <w:rStyle w:val="Hyperlink"/>
          </w:rPr>
          <w:t>https://doi.org/10.12688/f1000research.17457.1</w:t>
        </w:r>
      </w:hyperlink>
    </w:p>
    <w:p w14:paraId="116FA43D" w14:textId="77777777" w:rsidR="002D5ECA" w:rsidRPr="002D5ECA" w:rsidRDefault="002D5ECA" w:rsidP="002D5ECA">
      <w:pPr>
        <w:pStyle w:val="EndNoteBibliography"/>
        <w:spacing w:after="0"/>
        <w:ind w:left="720" w:hanging="720"/>
      </w:pPr>
      <w:r w:rsidRPr="002D5ECA">
        <w:t>19.</w:t>
      </w:r>
      <w:r w:rsidRPr="002D5ECA">
        <w:tab/>
        <w:t xml:space="preserve">Office of Population Censuses and Surveys (1990) Standard occupational classification, Vol 1 Structure and definition of major, minor and unit groups. HMSO. London. </w:t>
      </w:r>
    </w:p>
    <w:p w14:paraId="0EF33154" w14:textId="402D65A2" w:rsidR="002D5ECA" w:rsidRPr="002D5ECA" w:rsidRDefault="002D5ECA" w:rsidP="002D5ECA">
      <w:pPr>
        <w:pStyle w:val="EndNoteBibliography"/>
        <w:spacing w:after="0"/>
        <w:ind w:left="720" w:hanging="720"/>
      </w:pPr>
      <w:r w:rsidRPr="002D5ECA">
        <w:t>20.</w:t>
      </w:r>
      <w:r w:rsidRPr="002D5ECA">
        <w:tab/>
        <w:t xml:space="preserve">Fuggle N, Westbury L, Syddall H, Duggal N, Shaw S, Maslin K, Dennison E, et al. (2018) Relationships between markers of inflammation and bone density: findings from the Hertfordshire Cohort Study. Osteoporos Int. 29(7):1581-1589. </w:t>
      </w:r>
      <w:hyperlink r:id="rId36" w:history="1">
        <w:r w:rsidRPr="002D5ECA">
          <w:rPr>
            <w:rStyle w:val="Hyperlink"/>
          </w:rPr>
          <w:t>https://doi.org/10.1007/s00198-018-4503-z</w:t>
        </w:r>
      </w:hyperlink>
    </w:p>
    <w:p w14:paraId="3FE9F408" w14:textId="107BAFB9" w:rsidR="002D5ECA" w:rsidRPr="002D5ECA" w:rsidRDefault="002D5ECA" w:rsidP="002D5ECA">
      <w:pPr>
        <w:pStyle w:val="EndNoteBibliography"/>
        <w:spacing w:after="0"/>
        <w:ind w:left="720" w:hanging="720"/>
      </w:pPr>
      <w:r w:rsidRPr="002D5ECA">
        <w:t>21.</w:t>
      </w:r>
      <w:r w:rsidRPr="002D5ECA">
        <w:tab/>
        <w:t xml:space="preserve">Westbury L, Fuggle N, Syddall HE, Duggal N, Shaw S, Maslin K, Dennison E, et al. (2018) Relationships between markers of inflammation and muscle mass, strength and function: findings from the Hertfordshire Cohort Study. Calcif Tissue Int. 102(3):287-295. </w:t>
      </w:r>
      <w:hyperlink r:id="rId37" w:history="1">
        <w:r w:rsidRPr="002D5ECA">
          <w:rPr>
            <w:rStyle w:val="Hyperlink"/>
          </w:rPr>
          <w:t>https://doi.org/10.1007/s00223-017-0354-4</w:t>
        </w:r>
      </w:hyperlink>
    </w:p>
    <w:p w14:paraId="19FDCB63" w14:textId="3B29D2E4" w:rsidR="002D5ECA" w:rsidRPr="002D5ECA" w:rsidRDefault="002D5ECA" w:rsidP="002D5ECA">
      <w:pPr>
        <w:pStyle w:val="EndNoteBibliography"/>
        <w:spacing w:after="0"/>
        <w:ind w:left="720" w:hanging="720"/>
      </w:pPr>
      <w:r w:rsidRPr="002D5ECA">
        <w:t>22.</w:t>
      </w:r>
      <w:r w:rsidRPr="002D5ECA">
        <w:tab/>
        <w:t xml:space="preserve">Laskou F, Westbury LD, Fuggle NR, Harvey NC, Patel HP, Cooper C, Ward KA, Dennison EM (2022) Determinants of muscle density and clinical outcomes: Findings from the Hertfordshire Cohort Study. Bone. 164:116521. </w:t>
      </w:r>
      <w:hyperlink r:id="rId38" w:history="1">
        <w:r w:rsidRPr="002D5ECA">
          <w:rPr>
            <w:rStyle w:val="Hyperlink"/>
          </w:rPr>
          <w:t>https://doi.org/10.1016/j.bone.2022.116521</w:t>
        </w:r>
      </w:hyperlink>
    </w:p>
    <w:p w14:paraId="7814D148" w14:textId="3842E92D" w:rsidR="002D5ECA" w:rsidRPr="002D5ECA" w:rsidRDefault="002D5ECA" w:rsidP="002D5ECA">
      <w:pPr>
        <w:pStyle w:val="EndNoteBibliography"/>
        <w:spacing w:after="0"/>
        <w:ind w:left="720" w:hanging="720"/>
      </w:pPr>
      <w:r w:rsidRPr="002D5ECA">
        <w:t>23.</w:t>
      </w:r>
      <w:r w:rsidRPr="002D5ECA">
        <w:tab/>
        <w:t xml:space="preserve">Huntley AL, Johnson R, Purdy S, Valderas JM, Salisbury C (2012) Measures of multimorbidity and morbidity burden for use in primary care and community settings: a systematic review and guide. Ann Fam Med. 10(2):134-141. </w:t>
      </w:r>
      <w:hyperlink r:id="rId39" w:history="1">
        <w:r w:rsidRPr="002D5ECA">
          <w:rPr>
            <w:rStyle w:val="Hyperlink"/>
          </w:rPr>
          <w:t>https://doi.org/10.1370/afm.1363</w:t>
        </w:r>
      </w:hyperlink>
    </w:p>
    <w:p w14:paraId="5D53ED22" w14:textId="7C814BE9" w:rsidR="002D5ECA" w:rsidRPr="002D5ECA" w:rsidRDefault="002D5ECA" w:rsidP="002D5ECA">
      <w:pPr>
        <w:pStyle w:val="EndNoteBibliography"/>
        <w:spacing w:after="0"/>
        <w:ind w:left="720" w:hanging="720"/>
      </w:pPr>
      <w:r w:rsidRPr="002D5ECA">
        <w:t>24.</w:t>
      </w:r>
      <w:r w:rsidRPr="002D5ECA">
        <w:tab/>
        <w:t xml:space="preserve">Simmonds SJ, Syddall HE, Walsh B, Evandrou M, Dennison EM, Cooper C, Aihie Sayer A (2014) Understanding NHS hospital admissions in England: linkage of Hospital Episode Statistics to the Hertfordshire Cohort Study. Age Ageing. 43(5):653-660. </w:t>
      </w:r>
      <w:hyperlink r:id="rId40" w:history="1">
        <w:r w:rsidRPr="002D5ECA">
          <w:rPr>
            <w:rStyle w:val="Hyperlink"/>
          </w:rPr>
          <w:t>https://doi.org/10.1093/ageing/afu020</w:t>
        </w:r>
      </w:hyperlink>
    </w:p>
    <w:p w14:paraId="2C6B7111" w14:textId="247D4B5C" w:rsidR="002D5ECA" w:rsidRPr="002D5ECA" w:rsidRDefault="002D5ECA" w:rsidP="002D5ECA">
      <w:pPr>
        <w:pStyle w:val="EndNoteBibliography"/>
        <w:spacing w:after="0"/>
        <w:ind w:left="720" w:hanging="720"/>
      </w:pPr>
      <w:r w:rsidRPr="002D5ECA">
        <w:t>25.</w:t>
      </w:r>
      <w:r w:rsidRPr="002D5ECA">
        <w:tab/>
        <w:t xml:space="preserve">Fine JP, Gray RJ (1999) A Proportional Hazards Model for the Subdistribution of a Competing Risk. J. Am. Stat. Assoc. 94(446):496-509. </w:t>
      </w:r>
      <w:hyperlink r:id="rId41" w:history="1">
        <w:r w:rsidRPr="002D5ECA">
          <w:rPr>
            <w:rStyle w:val="Hyperlink"/>
          </w:rPr>
          <w:t>https://doi.org/10.1080/01621459.1999.10474144</w:t>
        </w:r>
      </w:hyperlink>
    </w:p>
    <w:p w14:paraId="25C9D862" w14:textId="2F989AB3" w:rsidR="002D5ECA" w:rsidRPr="002D5ECA" w:rsidRDefault="002D5ECA" w:rsidP="002D5ECA">
      <w:pPr>
        <w:pStyle w:val="EndNoteBibliography"/>
        <w:spacing w:after="0"/>
        <w:ind w:left="720" w:hanging="720"/>
      </w:pPr>
      <w:r w:rsidRPr="002D5ECA">
        <w:t>26.</w:t>
      </w:r>
      <w:r w:rsidRPr="002D5ECA">
        <w:tab/>
        <w:t xml:space="preserve">Payne RA, Abel GA, Guthrie B, Mercer SW (2013) The effect of physical multimorbidity, mental health conditions and socioeconomic deprivation on unplanned admissions to hospital: a retrospective cohort study. CMAJ. 185(5):E221-E228. </w:t>
      </w:r>
      <w:hyperlink r:id="rId42" w:history="1">
        <w:r w:rsidRPr="002D5ECA">
          <w:rPr>
            <w:rStyle w:val="Hyperlink"/>
          </w:rPr>
          <w:t>https://doi.org/10.1503/cmaj.121349</w:t>
        </w:r>
      </w:hyperlink>
    </w:p>
    <w:p w14:paraId="4EE1BD6A" w14:textId="49106B38" w:rsidR="002D5ECA" w:rsidRPr="002D5ECA" w:rsidRDefault="002D5ECA" w:rsidP="002D5ECA">
      <w:pPr>
        <w:pStyle w:val="EndNoteBibliography"/>
        <w:spacing w:after="0"/>
        <w:ind w:left="720" w:hanging="720"/>
      </w:pPr>
      <w:r w:rsidRPr="002D5ECA">
        <w:t>27.</w:t>
      </w:r>
      <w:r w:rsidRPr="002D5ECA">
        <w:tab/>
        <w:t xml:space="preserve">Reed RL, Isherwood L, Ben-Tovim D (2015) Why do older people with multi-morbidity experience unplanned hospital admissions from the community: a root cause analysis. BMC Health Serv Res. 15:525. </w:t>
      </w:r>
      <w:hyperlink r:id="rId43" w:history="1">
        <w:r w:rsidRPr="002D5ECA">
          <w:rPr>
            <w:rStyle w:val="Hyperlink"/>
          </w:rPr>
          <w:t>https://doi.org/10.1186/s12913-015-1170-z</w:t>
        </w:r>
      </w:hyperlink>
    </w:p>
    <w:p w14:paraId="1F848F56" w14:textId="68DDCA01" w:rsidR="002D5ECA" w:rsidRPr="002D5ECA" w:rsidRDefault="002D5ECA" w:rsidP="002D5ECA">
      <w:pPr>
        <w:pStyle w:val="EndNoteBibliography"/>
        <w:spacing w:after="0"/>
        <w:ind w:left="720" w:hanging="720"/>
      </w:pPr>
      <w:r w:rsidRPr="002D5ECA">
        <w:t>28.</w:t>
      </w:r>
      <w:r w:rsidRPr="002D5ECA">
        <w:tab/>
        <w:t xml:space="preserve">Arena R, Guazzi M, Lianov L, Whitsel L, Berra K, Lavie CJ, Kaminsky L, et al. (2015) Healthy lifestyle interventions to combat noncommunicable disease—a novel nonhierarchical connectivity model for key stakeholders: a policy statement from the American Heart Association, European Society of Cardiology, European Association for Cardiovascular Prevention and Rehabilitation, and American College of Preventive Medicine. Eur Heart J. 36(31):2097-2109. </w:t>
      </w:r>
      <w:hyperlink r:id="rId44" w:history="1">
        <w:r w:rsidRPr="002D5ECA">
          <w:rPr>
            <w:rStyle w:val="Hyperlink"/>
          </w:rPr>
          <w:t>https://doi.org/10.1093/eurheartj/ehv207</w:t>
        </w:r>
      </w:hyperlink>
    </w:p>
    <w:p w14:paraId="7EBEB281" w14:textId="529D84F8" w:rsidR="002D5ECA" w:rsidRPr="002D5ECA" w:rsidRDefault="002D5ECA" w:rsidP="002D5ECA">
      <w:pPr>
        <w:pStyle w:val="EndNoteBibliography"/>
        <w:spacing w:after="0"/>
        <w:ind w:left="720" w:hanging="720"/>
      </w:pPr>
      <w:r w:rsidRPr="002D5ECA">
        <w:t>29.</w:t>
      </w:r>
      <w:r w:rsidRPr="002D5ECA">
        <w:tab/>
        <w:t xml:space="preserve">Ezzati M, Riboli E (2013) Behavioral and dietary risk factors for noncommunicable diseases. N Engl J Med. 369(10):954-964. </w:t>
      </w:r>
      <w:hyperlink r:id="rId45" w:history="1">
        <w:r w:rsidRPr="002D5ECA">
          <w:rPr>
            <w:rStyle w:val="Hyperlink"/>
          </w:rPr>
          <w:t>https://doi.org/10.1056/NEJMra1203528</w:t>
        </w:r>
      </w:hyperlink>
    </w:p>
    <w:p w14:paraId="22084DC5" w14:textId="307A8B20" w:rsidR="002D5ECA" w:rsidRPr="002D5ECA" w:rsidRDefault="002D5ECA" w:rsidP="002D5ECA">
      <w:pPr>
        <w:pStyle w:val="EndNoteBibliography"/>
        <w:spacing w:after="0"/>
        <w:ind w:left="720" w:hanging="720"/>
      </w:pPr>
      <w:r w:rsidRPr="002D5ECA">
        <w:t>30.</w:t>
      </w:r>
      <w:r w:rsidRPr="002D5ECA">
        <w:tab/>
        <w:t xml:space="preserve">Varghese C, Nongkynrih B, Onakpoya I, McCall M, Barkley S, Collins TE (2019) Better health and wellbeing for billion more people: integrating non-communicable diseases in primary care. BMJ. 364:l327. </w:t>
      </w:r>
      <w:hyperlink r:id="rId46" w:history="1">
        <w:r w:rsidRPr="002D5ECA">
          <w:rPr>
            <w:rStyle w:val="Hyperlink"/>
          </w:rPr>
          <w:t>https://doi.org/10.1136/bmj.l327</w:t>
        </w:r>
      </w:hyperlink>
    </w:p>
    <w:p w14:paraId="0B915004" w14:textId="37FF9B38" w:rsidR="002D5ECA" w:rsidRPr="002D5ECA" w:rsidRDefault="002D5ECA" w:rsidP="002D5ECA">
      <w:pPr>
        <w:pStyle w:val="EndNoteBibliography"/>
        <w:ind w:left="720" w:hanging="720"/>
      </w:pPr>
      <w:r w:rsidRPr="002D5ECA">
        <w:lastRenderedPageBreak/>
        <w:t>31.</w:t>
      </w:r>
      <w:r w:rsidRPr="002D5ECA">
        <w:tab/>
        <w:t xml:space="preserve">Syddall H, Aihie Sayer A, Dennison E, Martin H, Barker D, Cooper C (2005) Cohort profile: the Hertfordshire Cohort Study. Int J Epidemiol. 34(6):1234-1242. </w:t>
      </w:r>
      <w:hyperlink r:id="rId47" w:history="1">
        <w:r w:rsidRPr="002D5ECA">
          <w:rPr>
            <w:rStyle w:val="Hyperlink"/>
          </w:rPr>
          <w:t>https://doi.org/10.1093/ije/dyi127</w:t>
        </w:r>
      </w:hyperlink>
      <w:bookmarkEnd w:id="26"/>
    </w:p>
    <w:p w14:paraId="5E27F8FE" w14:textId="0ECA8D09" w:rsidR="00B16F5F" w:rsidRDefault="00C54D1F" w:rsidP="004837DE">
      <w:pPr>
        <w:spacing w:after="200" w:line="480" w:lineRule="auto"/>
        <w:rPr>
          <w:rFonts w:ascii="Arial" w:eastAsia="Arial" w:hAnsi="Arial" w:cs="Arial"/>
          <w:lang w:val="en-US"/>
        </w:rPr>
      </w:pPr>
      <w:r>
        <w:rPr>
          <w:rFonts w:ascii="Arial" w:eastAsia="Arial" w:hAnsi="Arial" w:cs="Arial"/>
          <w:lang w:val="en-US"/>
        </w:rPr>
        <w:fldChar w:fldCharType="end"/>
      </w:r>
      <w:bookmarkEnd w:id="25"/>
    </w:p>
    <w:p w14:paraId="0020B293" w14:textId="77777777" w:rsidR="00D20EDE" w:rsidRDefault="00D20EDE" w:rsidP="004837DE">
      <w:pPr>
        <w:spacing w:after="200" w:line="480" w:lineRule="auto"/>
        <w:rPr>
          <w:rFonts w:ascii="Arial" w:eastAsia="Arial" w:hAnsi="Arial" w:cs="Arial"/>
          <w:lang w:val="en-US"/>
        </w:rPr>
      </w:pPr>
    </w:p>
    <w:p w14:paraId="7178092F" w14:textId="77777777" w:rsidR="00D20EDE" w:rsidRDefault="00D20EDE" w:rsidP="004837DE">
      <w:pPr>
        <w:spacing w:after="200" w:line="480" w:lineRule="auto"/>
        <w:rPr>
          <w:rFonts w:ascii="Arial" w:eastAsia="Arial" w:hAnsi="Arial" w:cs="Arial"/>
          <w:lang w:val="en-US"/>
        </w:rPr>
      </w:pPr>
    </w:p>
    <w:p w14:paraId="73C4888F" w14:textId="77777777" w:rsidR="009C0082" w:rsidRDefault="009C0082" w:rsidP="004837DE">
      <w:pPr>
        <w:spacing w:after="200" w:line="480" w:lineRule="auto"/>
        <w:rPr>
          <w:rFonts w:ascii="Arial" w:eastAsia="Arial" w:hAnsi="Arial" w:cs="Arial"/>
          <w:lang w:val="en-US"/>
        </w:rPr>
      </w:pPr>
    </w:p>
    <w:p w14:paraId="2E18BECE" w14:textId="77777777" w:rsidR="009C0082" w:rsidRDefault="009C0082" w:rsidP="004837DE">
      <w:pPr>
        <w:spacing w:after="200" w:line="480" w:lineRule="auto"/>
        <w:rPr>
          <w:rFonts w:ascii="Arial" w:eastAsia="Arial" w:hAnsi="Arial" w:cs="Arial"/>
          <w:lang w:val="en-US"/>
        </w:rPr>
      </w:pPr>
    </w:p>
    <w:p w14:paraId="355B5185" w14:textId="77777777" w:rsidR="009C0082" w:rsidRDefault="009C0082" w:rsidP="004837DE">
      <w:pPr>
        <w:spacing w:after="200" w:line="480" w:lineRule="auto"/>
        <w:rPr>
          <w:rFonts w:ascii="Arial" w:eastAsia="Arial" w:hAnsi="Arial" w:cs="Arial"/>
          <w:lang w:val="en-US"/>
        </w:rPr>
      </w:pPr>
    </w:p>
    <w:p w14:paraId="33A2D777" w14:textId="77777777" w:rsidR="009C0082" w:rsidRDefault="009C0082" w:rsidP="004837DE">
      <w:pPr>
        <w:spacing w:after="200" w:line="480" w:lineRule="auto"/>
        <w:rPr>
          <w:rFonts w:ascii="Arial" w:eastAsia="Arial" w:hAnsi="Arial" w:cs="Arial"/>
          <w:lang w:val="en-US"/>
        </w:rPr>
      </w:pPr>
    </w:p>
    <w:p w14:paraId="798AC20C" w14:textId="77777777" w:rsidR="009C0082" w:rsidRDefault="009C0082" w:rsidP="004837DE">
      <w:pPr>
        <w:spacing w:after="200" w:line="480" w:lineRule="auto"/>
        <w:rPr>
          <w:rFonts w:ascii="Arial" w:eastAsia="Arial" w:hAnsi="Arial" w:cs="Arial"/>
          <w:lang w:val="en-US"/>
        </w:rPr>
      </w:pPr>
    </w:p>
    <w:p w14:paraId="0B796A4A" w14:textId="77777777" w:rsidR="009C0082" w:rsidRDefault="009C0082" w:rsidP="004837DE">
      <w:pPr>
        <w:spacing w:after="200" w:line="480" w:lineRule="auto"/>
        <w:rPr>
          <w:rFonts w:ascii="Arial" w:eastAsia="Arial" w:hAnsi="Arial" w:cs="Arial"/>
          <w:lang w:val="en-US"/>
        </w:rPr>
      </w:pPr>
    </w:p>
    <w:p w14:paraId="07417A80" w14:textId="77777777" w:rsidR="009C0082" w:rsidRDefault="009C0082" w:rsidP="004837DE">
      <w:pPr>
        <w:spacing w:after="200" w:line="480" w:lineRule="auto"/>
        <w:rPr>
          <w:rFonts w:ascii="Arial" w:eastAsia="Arial" w:hAnsi="Arial" w:cs="Arial"/>
          <w:lang w:val="en-US"/>
        </w:rPr>
      </w:pPr>
    </w:p>
    <w:p w14:paraId="67B50A63" w14:textId="77777777" w:rsidR="00340D4D" w:rsidRDefault="00340D4D" w:rsidP="004837DE">
      <w:pPr>
        <w:spacing w:after="200" w:line="480" w:lineRule="auto"/>
        <w:rPr>
          <w:rFonts w:ascii="Arial" w:eastAsia="Arial" w:hAnsi="Arial" w:cs="Arial"/>
          <w:lang w:val="en-US"/>
        </w:rPr>
      </w:pPr>
    </w:p>
    <w:p w14:paraId="681AFB5A" w14:textId="77777777" w:rsidR="00340D4D" w:rsidRDefault="00340D4D" w:rsidP="004837DE">
      <w:pPr>
        <w:spacing w:after="200" w:line="480" w:lineRule="auto"/>
        <w:rPr>
          <w:rFonts w:ascii="Arial" w:eastAsia="Arial" w:hAnsi="Arial" w:cs="Arial"/>
          <w:lang w:val="en-US"/>
        </w:rPr>
      </w:pPr>
    </w:p>
    <w:p w14:paraId="45504996" w14:textId="77777777" w:rsidR="00340D4D" w:rsidRDefault="00340D4D" w:rsidP="004837DE">
      <w:pPr>
        <w:spacing w:after="200" w:line="480" w:lineRule="auto"/>
        <w:rPr>
          <w:rFonts w:ascii="Arial" w:eastAsia="Arial" w:hAnsi="Arial" w:cs="Arial"/>
          <w:lang w:val="en-US"/>
        </w:rPr>
      </w:pPr>
    </w:p>
    <w:p w14:paraId="52507B26" w14:textId="77777777" w:rsidR="00340D4D" w:rsidRDefault="00340D4D" w:rsidP="004837DE">
      <w:pPr>
        <w:spacing w:after="200" w:line="480" w:lineRule="auto"/>
        <w:rPr>
          <w:rFonts w:ascii="Arial" w:eastAsia="Arial" w:hAnsi="Arial" w:cs="Arial"/>
          <w:lang w:val="en-US"/>
        </w:rPr>
      </w:pPr>
    </w:p>
    <w:p w14:paraId="7BD1A1D7" w14:textId="77777777" w:rsidR="00340D4D" w:rsidRDefault="00340D4D" w:rsidP="004837DE">
      <w:pPr>
        <w:spacing w:after="200" w:line="480" w:lineRule="auto"/>
        <w:rPr>
          <w:rFonts w:ascii="Arial" w:eastAsia="Arial" w:hAnsi="Arial" w:cs="Arial"/>
          <w:lang w:val="en-US"/>
        </w:rPr>
      </w:pPr>
    </w:p>
    <w:p w14:paraId="473B89D8" w14:textId="77777777" w:rsidR="00340D4D" w:rsidRDefault="00340D4D" w:rsidP="004837DE">
      <w:pPr>
        <w:spacing w:after="200" w:line="480" w:lineRule="auto"/>
        <w:rPr>
          <w:rFonts w:ascii="Arial" w:eastAsia="Arial" w:hAnsi="Arial" w:cs="Arial"/>
          <w:lang w:val="en-US"/>
        </w:rPr>
      </w:pPr>
    </w:p>
    <w:p w14:paraId="62B92874" w14:textId="77777777" w:rsidR="00340D4D" w:rsidRDefault="00340D4D" w:rsidP="004837DE">
      <w:pPr>
        <w:spacing w:after="200" w:line="480" w:lineRule="auto"/>
        <w:rPr>
          <w:rFonts w:ascii="Arial" w:eastAsia="Arial" w:hAnsi="Arial" w:cs="Arial"/>
          <w:lang w:val="en-US"/>
        </w:rPr>
      </w:pPr>
    </w:p>
    <w:p w14:paraId="09C85CE6" w14:textId="77777777" w:rsidR="009C0082" w:rsidRDefault="009C0082" w:rsidP="004837DE">
      <w:pPr>
        <w:spacing w:after="200" w:line="480" w:lineRule="auto"/>
        <w:rPr>
          <w:rFonts w:ascii="Arial" w:eastAsia="Arial" w:hAnsi="Arial" w:cs="Arial"/>
          <w:lang w:val="en-US"/>
        </w:rPr>
      </w:pPr>
    </w:p>
    <w:tbl>
      <w:tblPr>
        <w:tblW w:w="0" w:type="auto"/>
        <w:tblLayout w:type="fixed"/>
        <w:tblLook w:val="04A0" w:firstRow="1" w:lastRow="0" w:firstColumn="1" w:lastColumn="0" w:noHBand="0" w:noVBand="1"/>
      </w:tblPr>
      <w:tblGrid>
        <w:gridCol w:w="5357"/>
        <w:gridCol w:w="1786"/>
        <w:gridCol w:w="1873"/>
      </w:tblGrid>
      <w:tr w:rsidR="00D20EDE" w14:paraId="36C19D49" w14:textId="77777777" w:rsidTr="00336A67">
        <w:trPr>
          <w:trHeight w:val="255"/>
        </w:trPr>
        <w:tc>
          <w:tcPr>
            <w:tcW w:w="9016" w:type="dxa"/>
            <w:gridSpan w:val="3"/>
            <w:tcMar>
              <w:left w:w="108" w:type="dxa"/>
              <w:right w:w="108" w:type="dxa"/>
            </w:tcMar>
            <w:vAlign w:val="center"/>
          </w:tcPr>
          <w:p w14:paraId="26521A24" w14:textId="77777777" w:rsidR="00D20EDE" w:rsidRDefault="00D20EDE" w:rsidP="00336A67">
            <w:pPr>
              <w:spacing w:line="276" w:lineRule="auto"/>
            </w:pPr>
            <w:bookmarkStart w:id="27" w:name="_Hlk136600624"/>
            <w:r w:rsidRPr="70E0AE0E">
              <w:rPr>
                <w:rFonts w:ascii="Arial" w:eastAsia="Arial" w:hAnsi="Arial" w:cs="Arial"/>
                <w:b/>
                <w:bCs/>
                <w:color w:val="000000" w:themeColor="text1"/>
                <w:sz w:val="20"/>
                <w:szCs w:val="20"/>
              </w:rPr>
              <w:lastRenderedPageBreak/>
              <w:t xml:space="preserve">Table </w:t>
            </w:r>
            <w:r>
              <w:rPr>
                <w:rFonts w:ascii="Arial" w:eastAsia="Arial" w:hAnsi="Arial" w:cs="Arial"/>
                <w:b/>
                <w:bCs/>
                <w:color w:val="000000" w:themeColor="text1"/>
                <w:sz w:val="20"/>
                <w:szCs w:val="20"/>
              </w:rPr>
              <w:t>1</w:t>
            </w:r>
            <w:r w:rsidRPr="70E0AE0E">
              <w:rPr>
                <w:rFonts w:ascii="Arial" w:eastAsia="Arial" w:hAnsi="Arial" w:cs="Arial"/>
                <w:b/>
                <w:bCs/>
                <w:color w:val="000000" w:themeColor="text1"/>
                <w:sz w:val="20"/>
                <w:szCs w:val="20"/>
              </w:rPr>
              <w:t>: Baseline participant characteristics and adverse health events during follow-up</w:t>
            </w:r>
          </w:p>
        </w:tc>
      </w:tr>
      <w:tr w:rsidR="00D20EDE" w14:paraId="14E7E0E1" w14:textId="77777777" w:rsidTr="00336A67">
        <w:trPr>
          <w:trHeight w:val="255"/>
        </w:trPr>
        <w:tc>
          <w:tcPr>
            <w:tcW w:w="5357" w:type="dxa"/>
            <w:tcBorders>
              <w:top w:val="single" w:sz="8" w:space="0" w:color="auto"/>
              <w:left w:val="nil"/>
              <w:bottom w:val="single" w:sz="8" w:space="0" w:color="auto"/>
              <w:right w:val="nil"/>
            </w:tcBorders>
            <w:tcMar>
              <w:left w:w="108" w:type="dxa"/>
              <w:right w:w="108" w:type="dxa"/>
            </w:tcMar>
            <w:vAlign w:val="center"/>
          </w:tcPr>
          <w:p w14:paraId="3CBBDAED" w14:textId="77777777" w:rsidR="00D20EDE" w:rsidRDefault="00D20EDE" w:rsidP="00336A67">
            <w:pPr>
              <w:spacing w:line="276" w:lineRule="auto"/>
            </w:pPr>
            <w:r w:rsidRPr="70E0AE0E">
              <w:rPr>
                <w:rFonts w:ascii="Arial" w:eastAsia="Arial" w:hAnsi="Arial" w:cs="Arial"/>
                <w:b/>
                <w:bCs/>
                <w:color w:val="000000" w:themeColor="text1"/>
                <w:sz w:val="20"/>
                <w:szCs w:val="20"/>
              </w:rPr>
              <w:t>Participant characteristic [mean (SD), median (lower quartile, upper quartile), or %]</w:t>
            </w:r>
          </w:p>
        </w:tc>
        <w:tc>
          <w:tcPr>
            <w:tcW w:w="1786" w:type="dxa"/>
            <w:tcBorders>
              <w:top w:val="single" w:sz="8" w:space="0" w:color="auto"/>
              <w:left w:val="nil"/>
              <w:bottom w:val="single" w:sz="8" w:space="0" w:color="auto"/>
              <w:right w:val="nil"/>
            </w:tcBorders>
            <w:tcMar>
              <w:left w:w="108" w:type="dxa"/>
              <w:right w:w="108" w:type="dxa"/>
            </w:tcMar>
            <w:vAlign w:val="center"/>
          </w:tcPr>
          <w:p w14:paraId="0DCA9509" w14:textId="77777777" w:rsidR="00D20EDE" w:rsidRDefault="00D20EDE" w:rsidP="00336A67">
            <w:pPr>
              <w:spacing w:line="276" w:lineRule="auto"/>
            </w:pPr>
            <w:r w:rsidRPr="70E0AE0E">
              <w:rPr>
                <w:rFonts w:ascii="Arial" w:eastAsia="Arial" w:hAnsi="Arial" w:cs="Arial"/>
                <w:b/>
                <w:bCs/>
                <w:color w:val="000000" w:themeColor="text1"/>
                <w:sz w:val="20"/>
                <w:szCs w:val="20"/>
              </w:rPr>
              <w:t>Men (n=1579)</w:t>
            </w:r>
          </w:p>
        </w:tc>
        <w:tc>
          <w:tcPr>
            <w:tcW w:w="1873" w:type="dxa"/>
            <w:tcBorders>
              <w:top w:val="single" w:sz="8" w:space="0" w:color="auto"/>
              <w:left w:val="nil"/>
              <w:bottom w:val="single" w:sz="8" w:space="0" w:color="auto"/>
              <w:right w:val="nil"/>
            </w:tcBorders>
            <w:tcMar>
              <w:left w:w="108" w:type="dxa"/>
              <w:right w:w="108" w:type="dxa"/>
            </w:tcMar>
            <w:vAlign w:val="center"/>
          </w:tcPr>
          <w:p w14:paraId="2FC43311" w14:textId="77777777" w:rsidR="00D20EDE" w:rsidRDefault="00D20EDE" w:rsidP="00336A67">
            <w:pPr>
              <w:spacing w:line="276" w:lineRule="auto"/>
            </w:pPr>
            <w:r w:rsidRPr="70E0AE0E">
              <w:rPr>
                <w:rFonts w:ascii="Arial" w:eastAsia="Arial" w:hAnsi="Arial" w:cs="Arial"/>
                <w:b/>
                <w:bCs/>
                <w:color w:val="000000" w:themeColor="text1"/>
                <w:sz w:val="20"/>
                <w:szCs w:val="20"/>
              </w:rPr>
              <w:t>Women (n=1418)</w:t>
            </w:r>
          </w:p>
        </w:tc>
      </w:tr>
      <w:tr w:rsidR="00D20EDE" w14:paraId="52C1212F" w14:textId="77777777" w:rsidTr="00336A67">
        <w:trPr>
          <w:trHeight w:val="255"/>
        </w:trPr>
        <w:tc>
          <w:tcPr>
            <w:tcW w:w="5357" w:type="dxa"/>
            <w:tcBorders>
              <w:top w:val="single" w:sz="8" w:space="0" w:color="auto"/>
              <w:left w:val="nil"/>
              <w:bottom w:val="nil"/>
              <w:right w:val="nil"/>
            </w:tcBorders>
            <w:tcMar>
              <w:left w:w="108" w:type="dxa"/>
              <w:right w:w="108" w:type="dxa"/>
            </w:tcMar>
            <w:vAlign w:val="center"/>
          </w:tcPr>
          <w:p w14:paraId="1EAAD914" w14:textId="77777777" w:rsidR="00D20EDE" w:rsidRDefault="00D20EDE" w:rsidP="00336A67">
            <w:pPr>
              <w:spacing w:line="276" w:lineRule="auto"/>
            </w:pPr>
          </w:p>
        </w:tc>
        <w:tc>
          <w:tcPr>
            <w:tcW w:w="1786" w:type="dxa"/>
            <w:tcBorders>
              <w:top w:val="single" w:sz="8" w:space="0" w:color="auto"/>
              <w:left w:val="nil"/>
              <w:bottom w:val="nil"/>
              <w:right w:val="nil"/>
            </w:tcBorders>
            <w:tcMar>
              <w:left w:w="108" w:type="dxa"/>
              <w:right w:w="108" w:type="dxa"/>
            </w:tcMar>
            <w:vAlign w:val="center"/>
          </w:tcPr>
          <w:p w14:paraId="1B5696BB" w14:textId="77777777" w:rsidR="00D20EDE" w:rsidRDefault="00D20EDE" w:rsidP="00336A67">
            <w:pPr>
              <w:spacing w:line="276" w:lineRule="auto"/>
            </w:pPr>
          </w:p>
        </w:tc>
        <w:tc>
          <w:tcPr>
            <w:tcW w:w="1873" w:type="dxa"/>
            <w:tcBorders>
              <w:top w:val="single" w:sz="8" w:space="0" w:color="auto"/>
              <w:left w:val="nil"/>
              <w:bottom w:val="nil"/>
              <w:right w:val="nil"/>
            </w:tcBorders>
            <w:tcMar>
              <w:left w:w="108" w:type="dxa"/>
              <w:right w:w="108" w:type="dxa"/>
            </w:tcMar>
            <w:vAlign w:val="center"/>
          </w:tcPr>
          <w:p w14:paraId="63E13BD4" w14:textId="77777777" w:rsidR="00D20EDE" w:rsidRDefault="00D20EDE" w:rsidP="00336A67">
            <w:pPr>
              <w:spacing w:line="276" w:lineRule="auto"/>
            </w:pPr>
          </w:p>
        </w:tc>
      </w:tr>
      <w:tr w:rsidR="00D20EDE" w14:paraId="3B7CC8B1" w14:textId="77777777" w:rsidTr="00336A67">
        <w:trPr>
          <w:trHeight w:val="255"/>
        </w:trPr>
        <w:tc>
          <w:tcPr>
            <w:tcW w:w="5357" w:type="dxa"/>
            <w:tcMar>
              <w:left w:w="108" w:type="dxa"/>
              <w:right w:w="108" w:type="dxa"/>
            </w:tcMar>
            <w:vAlign w:val="center"/>
          </w:tcPr>
          <w:p w14:paraId="5622FADD" w14:textId="77777777" w:rsidR="00D20EDE" w:rsidRDefault="00D20EDE" w:rsidP="00336A67">
            <w:pPr>
              <w:spacing w:line="276" w:lineRule="auto"/>
            </w:pPr>
            <w:r w:rsidRPr="70E0AE0E">
              <w:rPr>
                <w:rFonts w:ascii="Arial" w:eastAsia="Arial" w:hAnsi="Arial" w:cs="Arial"/>
                <w:b/>
                <w:bCs/>
                <w:i/>
                <w:iCs/>
                <w:color w:val="000000" w:themeColor="text1"/>
                <w:sz w:val="20"/>
                <w:szCs w:val="20"/>
              </w:rPr>
              <w:t>Characteristics at baseline (1998-2004)</w:t>
            </w:r>
          </w:p>
        </w:tc>
        <w:tc>
          <w:tcPr>
            <w:tcW w:w="1786" w:type="dxa"/>
            <w:tcMar>
              <w:left w:w="108" w:type="dxa"/>
              <w:right w:w="108" w:type="dxa"/>
            </w:tcMar>
            <w:vAlign w:val="center"/>
          </w:tcPr>
          <w:p w14:paraId="16FED49E" w14:textId="77777777" w:rsidR="00D20EDE" w:rsidRDefault="00D20EDE" w:rsidP="00336A67">
            <w:pPr>
              <w:spacing w:line="276" w:lineRule="auto"/>
            </w:pPr>
          </w:p>
        </w:tc>
        <w:tc>
          <w:tcPr>
            <w:tcW w:w="1873" w:type="dxa"/>
            <w:tcMar>
              <w:left w:w="108" w:type="dxa"/>
              <w:right w:w="108" w:type="dxa"/>
            </w:tcMar>
            <w:vAlign w:val="center"/>
          </w:tcPr>
          <w:p w14:paraId="492F6D31" w14:textId="77777777" w:rsidR="00D20EDE" w:rsidRDefault="00D20EDE" w:rsidP="00336A67">
            <w:pPr>
              <w:spacing w:line="276" w:lineRule="auto"/>
            </w:pPr>
          </w:p>
        </w:tc>
      </w:tr>
      <w:tr w:rsidR="00D20EDE" w14:paraId="40E7DAFF" w14:textId="77777777" w:rsidTr="00336A67">
        <w:trPr>
          <w:trHeight w:val="255"/>
        </w:trPr>
        <w:tc>
          <w:tcPr>
            <w:tcW w:w="5357" w:type="dxa"/>
            <w:tcMar>
              <w:left w:w="108" w:type="dxa"/>
              <w:right w:w="108" w:type="dxa"/>
            </w:tcMar>
            <w:vAlign w:val="center"/>
          </w:tcPr>
          <w:p w14:paraId="3D2C0A9D" w14:textId="77777777" w:rsidR="00D20EDE" w:rsidRDefault="00D20EDE" w:rsidP="00336A67">
            <w:pPr>
              <w:spacing w:line="276" w:lineRule="auto"/>
            </w:pPr>
            <w:r w:rsidRPr="70E0AE0E">
              <w:rPr>
                <w:rFonts w:ascii="Arial" w:eastAsia="Arial" w:hAnsi="Arial" w:cs="Arial"/>
                <w:color w:val="000000" w:themeColor="text1"/>
                <w:sz w:val="20"/>
                <w:szCs w:val="20"/>
              </w:rPr>
              <w:t>Age (years)</w:t>
            </w:r>
          </w:p>
        </w:tc>
        <w:tc>
          <w:tcPr>
            <w:tcW w:w="1786" w:type="dxa"/>
            <w:tcMar>
              <w:left w:w="108" w:type="dxa"/>
              <w:right w:w="108" w:type="dxa"/>
            </w:tcMar>
            <w:vAlign w:val="center"/>
          </w:tcPr>
          <w:p w14:paraId="5D9FFA7B" w14:textId="77777777" w:rsidR="00D20EDE" w:rsidRDefault="00D20EDE" w:rsidP="00336A67">
            <w:pPr>
              <w:spacing w:line="276" w:lineRule="auto"/>
            </w:pPr>
            <w:r w:rsidRPr="70E0AE0E">
              <w:rPr>
                <w:rFonts w:ascii="Arial" w:eastAsia="Arial" w:hAnsi="Arial" w:cs="Arial"/>
                <w:color w:val="000000" w:themeColor="text1"/>
                <w:sz w:val="20"/>
                <w:szCs w:val="20"/>
              </w:rPr>
              <w:t>65.7 (2.9)</w:t>
            </w:r>
          </w:p>
        </w:tc>
        <w:tc>
          <w:tcPr>
            <w:tcW w:w="1873" w:type="dxa"/>
            <w:tcMar>
              <w:left w:w="108" w:type="dxa"/>
              <w:right w:w="108" w:type="dxa"/>
            </w:tcMar>
            <w:vAlign w:val="center"/>
          </w:tcPr>
          <w:p w14:paraId="5D592B88" w14:textId="77777777" w:rsidR="00D20EDE" w:rsidRDefault="00D20EDE" w:rsidP="00336A67">
            <w:pPr>
              <w:spacing w:line="276" w:lineRule="auto"/>
            </w:pPr>
            <w:r w:rsidRPr="70E0AE0E">
              <w:rPr>
                <w:rFonts w:ascii="Arial" w:eastAsia="Arial" w:hAnsi="Arial" w:cs="Arial"/>
                <w:color w:val="000000" w:themeColor="text1"/>
                <w:sz w:val="20"/>
                <w:szCs w:val="20"/>
              </w:rPr>
              <w:t>66.6 (2.7)</w:t>
            </w:r>
          </w:p>
        </w:tc>
      </w:tr>
      <w:tr w:rsidR="00D20EDE" w14:paraId="78153ED1" w14:textId="77777777" w:rsidTr="00336A67">
        <w:trPr>
          <w:trHeight w:val="255"/>
        </w:trPr>
        <w:tc>
          <w:tcPr>
            <w:tcW w:w="5357" w:type="dxa"/>
            <w:tcMar>
              <w:left w:w="108" w:type="dxa"/>
              <w:right w:w="108" w:type="dxa"/>
            </w:tcMar>
            <w:vAlign w:val="center"/>
          </w:tcPr>
          <w:p w14:paraId="19C93345" w14:textId="77777777" w:rsidR="00D20EDE" w:rsidRDefault="00D20EDE" w:rsidP="00336A67">
            <w:pPr>
              <w:spacing w:line="276" w:lineRule="auto"/>
            </w:pPr>
            <w:r w:rsidRPr="70E0AE0E">
              <w:rPr>
                <w:rFonts w:ascii="Arial" w:eastAsia="Arial" w:hAnsi="Arial" w:cs="Arial"/>
                <w:color w:val="000000" w:themeColor="text1"/>
                <w:sz w:val="20"/>
                <w:szCs w:val="20"/>
              </w:rPr>
              <w:t>BMI (kg/m</w:t>
            </w:r>
            <w:r w:rsidRPr="70E0AE0E">
              <w:rPr>
                <w:rFonts w:ascii="Arial" w:eastAsia="Arial" w:hAnsi="Arial" w:cs="Arial"/>
                <w:color w:val="000000" w:themeColor="text1"/>
                <w:sz w:val="20"/>
                <w:szCs w:val="20"/>
                <w:vertAlign w:val="superscript"/>
              </w:rPr>
              <w:t>2</w:t>
            </w:r>
            <w:r w:rsidRPr="70E0AE0E">
              <w:rPr>
                <w:rFonts w:ascii="Arial" w:eastAsia="Arial" w:hAnsi="Arial" w:cs="Arial"/>
                <w:color w:val="000000" w:themeColor="text1"/>
                <w:sz w:val="20"/>
                <w:szCs w:val="20"/>
              </w:rPr>
              <w:t>)</w:t>
            </w:r>
          </w:p>
        </w:tc>
        <w:tc>
          <w:tcPr>
            <w:tcW w:w="1786" w:type="dxa"/>
            <w:tcMar>
              <w:left w:w="108" w:type="dxa"/>
              <w:right w:w="108" w:type="dxa"/>
            </w:tcMar>
            <w:vAlign w:val="center"/>
          </w:tcPr>
          <w:p w14:paraId="56C08E3F" w14:textId="77777777" w:rsidR="00D20EDE" w:rsidRDefault="00D20EDE" w:rsidP="00336A67">
            <w:pPr>
              <w:spacing w:line="276" w:lineRule="auto"/>
            </w:pPr>
            <w:r w:rsidRPr="70E0AE0E">
              <w:rPr>
                <w:rFonts w:ascii="Arial" w:eastAsia="Arial" w:hAnsi="Arial" w:cs="Arial"/>
                <w:color w:val="000000" w:themeColor="text1"/>
                <w:sz w:val="20"/>
                <w:szCs w:val="20"/>
              </w:rPr>
              <w:t>27.2 (3.8)</w:t>
            </w:r>
          </w:p>
        </w:tc>
        <w:tc>
          <w:tcPr>
            <w:tcW w:w="1873" w:type="dxa"/>
            <w:tcMar>
              <w:left w:w="108" w:type="dxa"/>
              <w:right w:w="108" w:type="dxa"/>
            </w:tcMar>
            <w:vAlign w:val="center"/>
          </w:tcPr>
          <w:p w14:paraId="341DD8DC" w14:textId="77777777" w:rsidR="00D20EDE" w:rsidRDefault="00D20EDE" w:rsidP="00336A67">
            <w:pPr>
              <w:spacing w:line="276" w:lineRule="auto"/>
            </w:pPr>
            <w:r w:rsidRPr="70E0AE0E">
              <w:rPr>
                <w:rFonts w:ascii="Arial" w:eastAsia="Arial" w:hAnsi="Arial" w:cs="Arial"/>
                <w:color w:val="000000" w:themeColor="text1"/>
                <w:sz w:val="20"/>
                <w:szCs w:val="20"/>
              </w:rPr>
              <w:t>27.6 (4.9)</w:t>
            </w:r>
          </w:p>
        </w:tc>
      </w:tr>
      <w:tr w:rsidR="00D20EDE" w14:paraId="54882806" w14:textId="77777777" w:rsidTr="00336A67">
        <w:trPr>
          <w:trHeight w:val="255"/>
        </w:trPr>
        <w:tc>
          <w:tcPr>
            <w:tcW w:w="5357" w:type="dxa"/>
            <w:tcMar>
              <w:left w:w="108" w:type="dxa"/>
              <w:right w:w="108" w:type="dxa"/>
            </w:tcMar>
            <w:vAlign w:val="center"/>
          </w:tcPr>
          <w:p w14:paraId="6217E264" w14:textId="77777777" w:rsidR="00D20EDE" w:rsidRDefault="00D20EDE" w:rsidP="00336A67">
            <w:pPr>
              <w:spacing w:line="276" w:lineRule="auto"/>
            </w:pPr>
            <w:r w:rsidRPr="70E0AE0E">
              <w:rPr>
                <w:rFonts w:ascii="Arial" w:eastAsia="Arial" w:hAnsi="Arial" w:cs="Arial"/>
                <w:color w:val="000000" w:themeColor="text1"/>
                <w:sz w:val="20"/>
                <w:szCs w:val="20"/>
              </w:rPr>
              <w:t>Ever smoked regularly</w:t>
            </w:r>
          </w:p>
        </w:tc>
        <w:tc>
          <w:tcPr>
            <w:tcW w:w="1786" w:type="dxa"/>
            <w:tcMar>
              <w:left w:w="108" w:type="dxa"/>
              <w:right w:w="108" w:type="dxa"/>
            </w:tcMar>
            <w:vAlign w:val="center"/>
          </w:tcPr>
          <w:p w14:paraId="495509F1" w14:textId="77777777" w:rsidR="00D20EDE" w:rsidRDefault="00D20EDE" w:rsidP="00336A67">
            <w:pPr>
              <w:spacing w:line="276" w:lineRule="auto"/>
            </w:pPr>
            <w:r w:rsidRPr="70E0AE0E">
              <w:rPr>
                <w:rFonts w:ascii="Arial" w:eastAsia="Arial" w:hAnsi="Arial" w:cs="Arial"/>
                <w:color w:val="000000" w:themeColor="text1"/>
                <w:sz w:val="20"/>
                <w:szCs w:val="20"/>
              </w:rPr>
              <w:t>67%</w:t>
            </w:r>
          </w:p>
        </w:tc>
        <w:tc>
          <w:tcPr>
            <w:tcW w:w="1873" w:type="dxa"/>
            <w:tcMar>
              <w:left w:w="108" w:type="dxa"/>
              <w:right w:w="108" w:type="dxa"/>
            </w:tcMar>
            <w:vAlign w:val="center"/>
          </w:tcPr>
          <w:p w14:paraId="5E6B46CE" w14:textId="77777777" w:rsidR="00D20EDE" w:rsidRDefault="00D20EDE" w:rsidP="00336A67">
            <w:pPr>
              <w:spacing w:line="276" w:lineRule="auto"/>
            </w:pPr>
            <w:r w:rsidRPr="70E0AE0E">
              <w:rPr>
                <w:rFonts w:ascii="Arial" w:eastAsia="Arial" w:hAnsi="Arial" w:cs="Arial"/>
                <w:color w:val="000000" w:themeColor="text1"/>
                <w:sz w:val="20"/>
                <w:szCs w:val="20"/>
              </w:rPr>
              <w:t>39%</w:t>
            </w:r>
          </w:p>
        </w:tc>
      </w:tr>
      <w:tr w:rsidR="00D20EDE" w14:paraId="467AA194" w14:textId="77777777" w:rsidTr="00336A67">
        <w:trPr>
          <w:trHeight w:val="255"/>
        </w:trPr>
        <w:tc>
          <w:tcPr>
            <w:tcW w:w="5357" w:type="dxa"/>
            <w:tcMar>
              <w:left w:w="108" w:type="dxa"/>
              <w:right w:w="108" w:type="dxa"/>
            </w:tcMar>
            <w:vAlign w:val="center"/>
          </w:tcPr>
          <w:p w14:paraId="06744A32" w14:textId="77777777" w:rsidR="00D20EDE" w:rsidRDefault="00D20EDE" w:rsidP="00336A67">
            <w:pPr>
              <w:spacing w:line="276" w:lineRule="auto"/>
            </w:pPr>
            <w:r w:rsidRPr="70E0AE0E">
              <w:rPr>
                <w:rFonts w:ascii="Arial" w:eastAsia="Arial" w:hAnsi="Arial" w:cs="Arial"/>
                <w:color w:val="000000" w:themeColor="text1"/>
                <w:sz w:val="20"/>
                <w:szCs w:val="20"/>
              </w:rPr>
              <w:t>High alcohol intake (units per week: ≥22 men, ≥15 women)</w:t>
            </w:r>
          </w:p>
        </w:tc>
        <w:tc>
          <w:tcPr>
            <w:tcW w:w="1786" w:type="dxa"/>
            <w:tcMar>
              <w:left w:w="108" w:type="dxa"/>
              <w:right w:w="108" w:type="dxa"/>
            </w:tcMar>
            <w:vAlign w:val="center"/>
          </w:tcPr>
          <w:p w14:paraId="364F15BD" w14:textId="77777777" w:rsidR="00D20EDE" w:rsidRDefault="00D20EDE" w:rsidP="00336A67">
            <w:pPr>
              <w:spacing w:line="276" w:lineRule="auto"/>
            </w:pPr>
            <w:r w:rsidRPr="70E0AE0E">
              <w:rPr>
                <w:rFonts w:ascii="Arial" w:eastAsia="Arial" w:hAnsi="Arial" w:cs="Arial"/>
                <w:color w:val="000000" w:themeColor="text1"/>
                <w:sz w:val="20"/>
                <w:szCs w:val="20"/>
              </w:rPr>
              <w:t>22%</w:t>
            </w:r>
          </w:p>
        </w:tc>
        <w:tc>
          <w:tcPr>
            <w:tcW w:w="1873" w:type="dxa"/>
            <w:tcMar>
              <w:left w:w="108" w:type="dxa"/>
              <w:right w:w="108" w:type="dxa"/>
            </w:tcMar>
            <w:vAlign w:val="center"/>
          </w:tcPr>
          <w:p w14:paraId="1301C8A2" w14:textId="77777777" w:rsidR="00D20EDE" w:rsidRDefault="00D20EDE" w:rsidP="00336A67">
            <w:pPr>
              <w:spacing w:line="276" w:lineRule="auto"/>
            </w:pPr>
            <w:r w:rsidRPr="70E0AE0E">
              <w:rPr>
                <w:rFonts w:ascii="Arial" w:eastAsia="Arial" w:hAnsi="Arial" w:cs="Arial"/>
                <w:color w:val="000000" w:themeColor="text1"/>
                <w:sz w:val="20"/>
                <w:szCs w:val="20"/>
              </w:rPr>
              <w:t>5%</w:t>
            </w:r>
          </w:p>
        </w:tc>
      </w:tr>
      <w:tr w:rsidR="00D20EDE" w:rsidRPr="004E7899" w14:paraId="13FA3797" w14:textId="77777777" w:rsidTr="00336A67">
        <w:trPr>
          <w:trHeight w:val="255"/>
        </w:trPr>
        <w:tc>
          <w:tcPr>
            <w:tcW w:w="5357" w:type="dxa"/>
            <w:tcMar>
              <w:left w:w="108" w:type="dxa"/>
              <w:right w:w="108" w:type="dxa"/>
            </w:tcMar>
            <w:vAlign w:val="center"/>
          </w:tcPr>
          <w:p w14:paraId="6995837A" w14:textId="77777777" w:rsidR="00D20EDE" w:rsidRPr="004E7899" w:rsidRDefault="00D20EDE" w:rsidP="00336A67">
            <w:pPr>
              <w:spacing w:line="276" w:lineRule="auto"/>
            </w:pPr>
            <w:r w:rsidRPr="004E7899">
              <w:rPr>
                <w:rFonts w:ascii="Arial" w:eastAsia="Arial" w:hAnsi="Arial" w:cs="Arial"/>
                <w:color w:val="000000" w:themeColor="text1"/>
                <w:sz w:val="20"/>
                <w:szCs w:val="20"/>
              </w:rPr>
              <w:t>Social class (manual)</w:t>
            </w:r>
          </w:p>
        </w:tc>
        <w:tc>
          <w:tcPr>
            <w:tcW w:w="1786" w:type="dxa"/>
            <w:tcMar>
              <w:left w:w="108" w:type="dxa"/>
              <w:right w:w="108" w:type="dxa"/>
            </w:tcMar>
            <w:vAlign w:val="center"/>
          </w:tcPr>
          <w:p w14:paraId="27E1E1EC" w14:textId="77777777" w:rsidR="00D20EDE" w:rsidRPr="004E7899" w:rsidRDefault="00D20EDE" w:rsidP="00336A67">
            <w:pPr>
              <w:spacing w:line="276" w:lineRule="auto"/>
            </w:pPr>
            <w:r w:rsidRPr="004E7899">
              <w:rPr>
                <w:rFonts w:ascii="Arial" w:eastAsia="Arial" w:hAnsi="Arial" w:cs="Arial"/>
                <w:color w:val="000000" w:themeColor="text1"/>
                <w:sz w:val="20"/>
                <w:szCs w:val="20"/>
              </w:rPr>
              <w:t>59%</w:t>
            </w:r>
          </w:p>
        </w:tc>
        <w:tc>
          <w:tcPr>
            <w:tcW w:w="1873" w:type="dxa"/>
            <w:tcMar>
              <w:left w:w="108" w:type="dxa"/>
              <w:right w:w="108" w:type="dxa"/>
            </w:tcMar>
            <w:vAlign w:val="center"/>
          </w:tcPr>
          <w:p w14:paraId="1FA4E537" w14:textId="77777777" w:rsidR="00D20EDE" w:rsidRPr="004E7899" w:rsidRDefault="00D20EDE" w:rsidP="00336A67">
            <w:pPr>
              <w:spacing w:line="276" w:lineRule="auto"/>
            </w:pPr>
            <w:r w:rsidRPr="004E7899">
              <w:rPr>
                <w:rFonts w:ascii="Arial" w:eastAsia="Arial" w:hAnsi="Arial" w:cs="Arial"/>
                <w:color w:val="000000" w:themeColor="text1"/>
                <w:sz w:val="20"/>
                <w:szCs w:val="20"/>
              </w:rPr>
              <w:t>58%</w:t>
            </w:r>
          </w:p>
        </w:tc>
      </w:tr>
      <w:tr w:rsidR="00D20EDE" w:rsidRPr="004E7899" w14:paraId="61B4CCC6" w14:textId="77777777" w:rsidTr="00336A67">
        <w:trPr>
          <w:trHeight w:val="255"/>
        </w:trPr>
        <w:tc>
          <w:tcPr>
            <w:tcW w:w="5357" w:type="dxa"/>
            <w:tcMar>
              <w:left w:w="108" w:type="dxa"/>
              <w:right w:w="108" w:type="dxa"/>
            </w:tcMar>
            <w:vAlign w:val="center"/>
          </w:tcPr>
          <w:p w14:paraId="01334FB6" w14:textId="77777777" w:rsidR="00D20EDE" w:rsidRPr="004E7899"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Number of systems medicated</w:t>
            </w:r>
          </w:p>
        </w:tc>
        <w:tc>
          <w:tcPr>
            <w:tcW w:w="1786" w:type="dxa"/>
            <w:tcMar>
              <w:left w:w="108" w:type="dxa"/>
              <w:right w:w="108" w:type="dxa"/>
            </w:tcMar>
            <w:vAlign w:val="center"/>
          </w:tcPr>
          <w:p w14:paraId="2885A0E8" w14:textId="77777777" w:rsidR="00D20EDE" w:rsidRPr="004E7899" w:rsidRDefault="00D20EDE" w:rsidP="00336A67">
            <w:pPr>
              <w:spacing w:line="276" w:lineRule="auto"/>
              <w:rPr>
                <w:rFonts w:ascii="Arial" w:eastAsia="Arial" w:hAnsi="Arial" w:cs="Arial"/>
                <w:color w:val="000000" w:themeColor="text1"/>
                <w:sz w:val="20"/>
                <w:szCs w:val="20"/>
              </w:rPr>
            </w:pPr>
          </w:p>
        </w:tc>
        <w:tc>
          <w:tcPr>
            <w:tcW w:w="1873" w:type="dxa"/>
            <w:tcMar>
              <w:left w:w="108" w:type="dxa"/>
              <w:right w:w="108" w:type="dxa"/>
            </w:tcMar>
            <w:vAlign w:val="center"/>
          </w:tcPr>
          <w:p w14:paraId="297AA911" w14:textId="77777777" w:rsidR="00D20EDE" w:rsidRPr="004E7899" w:rsidRDefault="00D20EDE" w:rsidP="00336A67">
            <w:pPr>
              <w:spacing w:line="276" w:lineRule="auto"/>
              <w:rPr>
                <w:rFonts w:ascii="Arial" w:eastAsia="Arial" w:hAnsi="Arial" w:cs="Arial"/>
                <w:color w:val="000000" w:themeColor="text1"/>
                <w:sz w:val="20"/>
                <w:szCs w:val="20"/>
              </w:rPr>
            </w:pPr>
          </w:p>
        </w:tc>
      </w:tr>
      <w:tr w:rsidR="00D20EDE" w:rsidRPr="004E7899" w14:paraId="49BD3930" w14:textId="77777777" w:rsidTr="00336A67">
        <w:trPr>
          <w:trHeight w:val="255"/>
        </w:trPr>
        <w:tc>
          <w:tcPr>
            <w:tcW w:w="5357" w:type="dxa"/>
            <w:tcMar>
              <w:left w:w="108" w:type="dxa"/>
              <w:right w:w="108" w:type="dxa"/>
            </w:tcMar>
            <w:vAlign w:val="center"/>
          </w:tcPr>
          <w:p w14:paraId="7020B715" w14:textId="77777777" w:rsidR="00D20EDE" w:rsidRPr="004E7899"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4E7899">
              <w:rPr>
                <w:rFonts w:ascii="Arial" w:eastAsia="Arial" w:hAnsi="Arial" w:cs="Arial"/>
                <w:color w:val="000000" w:themeColor="text1"/>
                <w:sz w:val="20"/>
                <w:szCs w:val="20"/>
              </w:rPr>
              <w:t>0</w:t>
            </w:r>
          </w:p>
        </w:tc>
        <w:tc>
          <w:tcPr>
            <w:tcW w:w="1786" w:type="dxa"/>
            <w:tcMar>
              <w:left w:w="108" w:type="dxa"/>
              <w:right w:w="108" w:type="dxa"/>
            </w:tcMar>
            <w:vAlign w:val="center"/>
          </w:tcPr>
          <w:p w14:paraId="321C9F69" w14:textId="77777777" w:rsidR="00D20EDE" w:rsidRPr="004E7899"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32%</w:t>
            </w:r>
          </w:p>
        </w:tc>
        <w:tc>
          <w:tcPr>
            <w:tcW w:w="1873" w:type="dxa"/>
            <w:tcMar>
              <w:left w:w="108" w:type="dxa"/>
              <w:right w:w="108" w:type="dxa"/>
            </w:tcMar>
            <w:vAlign w:val="center"/>
          </w:tcPr>
          <w:p w14:paraId="0F1C3F83" w14:textId="77777777" w:rsidR="00D20EDE" w:rsidRPr="004E7899"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24%</w:t>
            </w:r>
          </w:p>
        </w:tc>
      </w:tr>
      <w:tr w:rsidR="00D20EDE" w:rsidRPr="004E7899" w14:paraId="7B6A8A1C" w14:textId="77777777" w:rsidTr="00336A67">
        <w:trPr>
          <w:trHeight w:val="255"/>
        </w:trPr>
        <w:tc>
          <w:tcPr>
            <w:tcW w:w="5357" w:type="dxa"/>
            <w:tcMar>
              <w:left w:w="108" w:type="dxa"/>
              <w:right w:w="108" w:type="dxa"/>
            </w:tcMar>
            <w:vAlign w:val="center"/>
          </w:tcPr>
          <w:p w14:paraId="7B47D3E8" w14:textId="77777777" w:rsidR="00D20EDE" w:rsidRPr="004E7899"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4E7899">
              <w:rPr>
                <w:rFonts w:ascii="Arial" w:eastAsia="Arial" w:hAnsi="Arial" w:cs="Arial"/>
                <w:color w:val="000000" w:themeColor="text1"/>
                <w:sz w:val="20"/>
                <w:szCs w:val="20"/>
              </w:rPr>
              <w:t>1</w:t>
            </w:r>
          </w:p>
        </w:tc>
        <w:tc>
          <w:tcPr>
            <w:tcW w:w="1786" w:type="dxa"/>
            <w:tcMar>
              <w:left w:w="108" w:type="dxa"/>
              <w:right w:w="108" w:type="dxa"/>
            </w:tcMar>
            <w:vAlign w:val="center"/>
          </w:tcPr>
          <w:p w14:paraId="0D995396" w14:textId="77777777" w:rsidR="00D20EDE" w:rsidRPr="004E7899"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37%</w:t>
            </w:r>
          </w:p>
        </w:tc>
        <w:tc>
          <w:tcPr>
            <w:tcW w:w="1873" w:type="dxa"/>
            <w:tcMar>
              <w:left w:w="108" w:type="dxa"/>
              <w:right w:w="108" w:type="dxa"/>
            </w:tcMar>
            <w:vAlign w:val="center"/>
          </w:tcPr>
          <w:p w14:paraId="4E284EF9" w14:textId="77777777" w:rsidR="00D20EDE" w:rsidRPr="004E7899"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32%</w:t>
            </w:r>
          </w:p>
        </w:tc>
      </w:tr>
      <w:tr w:rsidR="00D20EDE" w:rsidRPr="004E7899" w14:paraId="5DFA3FF9" w14:textId="77777777" w:rsidTr="00336A67">
        <w:trPr>
          <w:trHeight w:val="255"/>
        </w:trPr>
        <w:tc>
          <w:tcPr>
            <w:tcW w:w="5357" w:type="dxa"/>
            <w:tcMar>
              <w:left w:w="108" w:type="dxa"/>
              <w:right w:w="108" w:type="dxa"/>
            </w:tcMar>
            <w:vAlign w:val="center"/>
          </w:tcPr>
          <w:p w14:paraId="41414457" w14:textId="77777777" w:rsidR="00D20EDE" w:rsidRPr="004E7899"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4E7899">
              <w:rPr>
                <w:rFonts w:ascii="Arial" w:eastAsia="Arial" w:hAnsi="Arial" w:cs="Arial"/>
                <w:color w:val="000000" w:themeColor="text1"/>
                <w:sz w:val="20"/>
                <w:szCs w:val="20"/>
              </w:rPr>
              <w:t>2</w:t>
            </w:r>
          </w:p>
        </w:tc>
        <w:tc>
          <w:tcPr>
            <w:tcW w:w="1786" w:type="dxa"/>
            <w:tcMar>
              <w:left w:w="108" w:type="dxa"/>
              <w:right w:w="108" w:type="dxa"/>
            </w:tcMar>
            <w:vAlign w:val="center"/>
          </w:tcPr>
          <w:p w14:paraId="7FE7944B" w14:textId="77777777" w:rsidR="00D20EDE" w:rsidRPr="004E7899"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19%</w:t>
            </w:r>
          </w:p>
        </w:tc>
        <w:tc>
          <w:tcPr>
            <w:tcW w:w="1873" w:type="dxa"/>
            <w:tcMar>
              <w:left w:w="108" w:type="dxa"/>
              <w:right w:w="108" w:type="dxa"/>
            </w:tcMar>
            <w:vAlign w:val="center"/>
          </w:tcPr>
          <w:p w14:paraId="72310784" w14:textId="77777777" w:rsidR="00D20EDE" w:rsidRPr="004E7899"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21%</w:t>
            </w:r>
          </w:p>
        </w:tc>
      </w:tr>
      <w:tr w:rsidR="00D20EDE" w14:paraId="2C9C3C2C" w14:textId="77777777" w:rsidTr="00336A67">
        <w:trPr>
          <w:trHeight w:val="255"/>
        </w:trPr>
        <w:tc>
          <w:tcPr>
            <w:tcW w:w="5357" w:type="dxa"/>
            <w:tcMar>
              <w:left w:w="108" w:type="dxa"/>
              <w:right w:w="108" w:type="dxa"/>
            </w:tcMar>
            <w:vAlign w:val="center"/>
          </w:tcPr>
          <w:p w14:paraId="64751862" w14:textId="77777777" w:rsidR="00D20EDE" w:rsidRPr="004E7899"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4E7899">
              <w:rPr>
                <w:rFonts w:ascii="Arial" w:eastAsia="Arial" w:hAnsi="Arial" w:cs="Arial"/>
                <w:color w:val="000000" w:themeColor="text1"/>
                <w:sz w:val="20"/>
                <w:szCs w:val="20"/>
              </w:rPr>
              <w:t>3 or more</w:t>
            </w:r>
          </w:p>
        </w:tc>
        <w:tc>
          <w:tcPr>
            <w:tcW w:w="1786" w:type="dxa"/>
            <w:tcMar>
              <w:left w:w="108" w:type="dxa"/>
              <w:right w:w="108" w:type="dxa"/>
            </w:tcMar>
            <w:vAlign w:val="center"/>
          </w:tcPr>
          <w:p w14:paraId="7B355B23" w14:textId="77777777" w:rsidR="00D20EDE" w:rsidRPr="004E7899"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12%</w:t>
            </w:r>
          </w:p>
        </w:tc>
        <w:tc>
          <w:tcPr>
            <w:tcW w:w="1873" w:type="dxa"/>
            <w:tcMar>
              <w:left w:w="108" w:type="dxa"/>
              <w:right w:w="108" w:type="dxa"/>
            </w:tcMar>
            <w:vAlign w:val="center"/>
          </w:tcPr>
          <w:p w14:paraId="48F6515D" w14:textId="77777777" w:rsidR="00D20EDE" w:rsidRPr="70E0AE0E" w:rsidRDefault="00D20EDE" w:rsidP="00336A67">
            <w:pPr>
              <w:spacing w:line="276" w:lineRule="auto"/>
              <w:rPr>
                <w:rFonts w:ascii="Arial" w:eastAsia="Arial" w:hAnsi="Arial" w:cs="Arial"/>
                <w:color w:val="000000" w:themeColor="text1"/>
                <w:sz w:val="20"/>
                <w:szCs w:val="20"/>
              </w:rPr>
            </w:pPr>
            <w:r w:rsidRPr="004E7899">
              <w:rPr>
                <w:rFonts w:ascii="Arial" w:eastAsia="Arial" w:hAnsi="Arial" w:cs="Arial"/>
                <w:color w:val="000000" w:themeColor="text1"/>
                <w:sz w:val="20"/>
                <w:szCs w:val="20"/>
              </w:rPr>
              <w:t>23%</w:t>
            </w:r>
          </w:p>
        </w:tc>
      </w:tr>
      <w:tr w:rsidR="00D20EDE" w14:paraId="7455942A" w14:textId="77777777" w:rsidTr="00336A67">
        <w:trPr>
          <w:trHeight w:val="255"/>
        </w:trPr>
        <w:tc>
          <w:tcPr>
            <w:tcW w:w="5357" w:type="dxa"/>
            <w:tcMar>
              <w:left w:w="108" w:type="dxa"/>
              <w:right w:w="108" w:type="dxa"/>
            </w:tcMar>
            <w:vAlign w:val="center"/>
          </w:tcPr>
          <w:p w14:paraId="00BD203B" w14:textId="77777777" w:rsidR="00D20EDE" w:rsidRPr="70E0AE0E" w:rsidRDefault="00D20EDE" w:rsidP="00336A67">
            <w:pPr>
              <w:spacing w:line="276" w:lineRule="auto"/>
              <w:rPr>
                <w:rFonts w:ascii="Arial" w:eastAsia="Arial" w:hAnsi="Arial" w:cs="Arial"/>
                <w:color w:val="000000" w:themeColor="text1"/>
                <w:sz w:val="20"/>
                <w:szCs w:val="20"/>
              </w:rPr>
            </w:pPr>
          </w:p>
        </w:tc>
        <w:tc>
          <w:tcPr>
            <w:tcW w:w="1786" w:type="dxa"/>
            <w:tcMar>
              <w:left w:w="108" w:type="dxa"/>
              <w:right w:w="108" w:type="dxa"/>
            </w:tcMar>
            <w:vAlign w:val="center"/>
          </w:tcPr>
          <w:p w14:paraId="728A2C68" w14:textId="77777777" w:rsidR="00D20EDE" w:rsidRPr="70E0AE0E" w:rsidRDefault="00D20EDE" w:rsidP="00336A67">
            <w:pPr>
              <w:spacing w:line="276" w:lineRule="auto"/>
              <w:rPr>
                <w:rFonts w:ascii="Arial" w:eastAsia="Arial" w:hAnsi="Arial" w:cs="Arial"/>
                <w:color w:val="000000" w:themeColor="text1"/>
                <w:sz w:val="20"/>
                <w:szCs w:val="20"/>
              </w:rPr>
            </w:pPr>
          </w:p>
        </w:tc>
        <w:tc>
          <w:tcPr>
            <w:tcW w:w="1873" w:type="dxa"/>
            <w:tcMar>
              <w:left w:w="108" w:type="dxa"/>
              <w:right w:w="108" w:type="dxa"/>
            </w:tcMar>
            <w:vAlign w:val="center"/>
          </w:tcPr>
          <w:p w14:paraId="39D67BBB" w14:textId="77777777" w:rsidR="00D20EDE" w:rsidRPr="70E0AE0E" w:rsidRDefault="00D20EDE" w:rsidP="00336A67">
            <w:pPr>
              <w:spacing w:line="276" w:lineRule="auto"/>
              <w:rPr>
                <w:rFonts w:ascii="Arial" w:eastAsia="Arial" w:hAnsi="Arial" w:cs="Arial"/>
                <w:color w:val="000000" w:themeColor="text1"/>
                <w:sz w:val="20"/>
                <w:szCs w:val="20"/>
              </w:rPr>
            </w:pPr>
          </w:p>
        </w:tc>
      </w:tr>
      <w:tr w:rsidR="00D20EDE" w14:paraId="0C28EEB3" w14:textId="77777777" w:rsidTr="00336A67">
        <w:trPr>
          <w:trHeight w:val="255"/>
        </w:trPr>
        <w:tc>
          <w:tcPr>
            <w:tcW w:w="5357" w:type="dxa"/>
            <w:tcMar>
              <w:left w:w="108" w:type="dxa"/>
              <w:right w:w="108" w:type="dxa"/>
            </w:tcMar>
            <w:vAlign w:val="center"/>
          </w:tcPr>
          <w:p w14:paraId="12220A4B" w14:textId="77777777" w:rsidR="00D20EDE" w:rsidRDefault="00D20EDE" w:rsidP="00336A67">
            <w:pPr>
              <w:spacing w:line="276" w:lineRule="auto"/>
            </w:pPr>
            <w:r w:rsidRPr="70E0AE0E">
              <w:rPr>
                <w:rFonts w:ascii="Arial" w:eastAsia="Arial" w:hAnsi="Arial" w:cs="Arial"/>
                <w:b/>
                <w:bCs/>
                <w:color w:val="000000" w:themeColor="text1"/>
                <w:sz w:val="20"/>
                <w:szCs w:val="20"/>
              </w:rPr>
              <w:t>Events during follow-up (ever had)</w:t>
            </w:r>
          </w:p>
        </w:tc>
        <w:tc>
          <w:tcPr>
            <w:tcW w:w="1786" w:type="dxa"/>
            <w:tcMar>
              <w:left w:w="108" w:type="dxa"/>
              <w:right w:w="108" w:type="dxa"/>
            </w:tcMar>
            <w:vAlign w:val="center"/>
          </w:tcPr>
          <w:p w14:paraId="3EF19C9D" w14:textId="77777777" w:rsidR="00D20EDE" w:rsidRDefault="00D20EDE" w:rsidP="00336A67">
            <w:pPr>
              <w:spacing w:line="276" w:lineRule="auto"/>
            </w:pPr>
          </w:p>
        </w:tc>
        <w:tc>
          <w:tcPr>
            <w:tcW w:w="1873" w:type="dxa"/>
            <w:tcMar>
              <w:left w:w="108" w:type="dxa"/>
              <w:right w:w="108" w:type="dxa"/>
            </w:tcMar>
            <w:vAlign w:val="center"/>
          </w:tcPr>
          <w:p w14:paraId="561203CF" w14:textId="77777777" w:rsidR="00D20EDE" w:rsidRDefault="00D20EDE" w:rsidP="00336A67">
            <w:pPr>
              <w:spacing w:line="276" w:lineRule="auto"/>
            </w:pPr>
          </w:p>
        </w:tc>
      </w:tr>
      <w:tr w:rsidR="00D20EDE" w14:paraId="3570C0B4" w14:textId="77777777" w:rsidTr="00336A67">
        <w:trPr>
          <w:trHeight w:val="255"/>
        </w:trPr>
        <w:tc>
          <w:tcPr>
            <w:tcW w:w="5357" w:type="dxa"/>
            <w:tcMar>
              <w:left w:w="108" w:type="dxa"/>
              <w:right w:w="108" w:type="dxa"/>
            </w:tcMar>
            <w:vAlign w:val="center"/>
          </w:tcPr>
          <w:p w14:paraId="1959FBFB" w14:textId="77777777" w:rsidR="00D20EDE" w:rsidRDefault="00D20EDE" w:rsidP="00336A67">
            <w:pPr>
              <w:spacing w:line="276" w:lineRule="auto"/>
              <w:ind w:firstLine="400"/>
            </w:pPr>
            <w:r w:rsidRPr="70E0AE0E">
              <w:rPr>
                <w:rFonts w:ascii="Arial" w:eastAsia="Arial" w:hAnsi="Arial" w:cs="Arial"/>
                <w:color w:val="000000" w:themeColor="text1"/>
                <w:sz w:val="20"/>
                <w:szCs w:val="20"/>
              </w:rPr>
              <w:t>Death</w:t>
            </w:r>
            <w:r>
              <w:rPr>
                <w:rFonts w:ascii="Arial" w:eastAsia="Arial" w:hAnsi="Arial" w:cs="Arial"/>
                <w:color w:val="000000" w:themeColor="text1"/>
                <w:sz w:val="20"/>
                <w:szCs w:val="20"/>
              </w:rPr>
              <w:t xml:space="preserve"> (all-cause)</w:t>
            </w:r>
          </w:p>
        </w:tc>
        <w:tc>
          <w:tcPr>
            <w:tcW w:w="1786" w:type="dxa"/>
            <w:tcMar>
              <w:left w:w="108" w:type="dxa"/>
              <w:right w:w="108" w:type="dxa"/>
            </w:tcMar>
            <w:vAlign w:val="center"/>
          </w:tcPr>
          <w:p w14:paraId="2C249371" w14:textId="77777777" w:rsidR="00D20EDE" w:rsidRDefault="00D20EDE" w:rsidP="00336A67">
            <w:pPr>
              <w:spacing w:line="276" w:lineRule="auto"/>
            </w:pPr>
            <w:r w:rsidRPr="70E0AE0E">
              <w:rPr>
                <w:rFonts w:ascii="Arial" w:eastAsia="Arial" w:hAnsi="Arial" w:cs="Arial"/>
                <w:color w:val="000000" w:themeColor="text1"/>
                <w:sz w:val="20"/>
                <w:szCs w:val="20"/>
              </w:rPr>
              <w:t>36%</w:t>
            </w:r>
          </w:p>
        </w:tc>
        <w:tc>
          <w:tcPr>
            <w:tcW w:w="1873" w:type="dxa"/>
            <w:tcMar>
              <w:left w:w="108" w:type="dxa"/>
              <w:right w:w="108" w:type="dxa"/>
            </w:tcMar>
            <w:vAlign w:val="center"/>
          </w:tcPr>
          <w:p w14:paraId="123925ED" w14:textId="77777777" w:rsidR="00D20EDE" w:rsidRDefault="00D20EDE" w:rsidP="00336A67">
            <w:pPr>
              <w:spacing w:line="276" w:lineRule="auto"/>
            </w:pPr>
            <w:r w:rsidRPr="70E0AE0E">
              <w:rPr>
                <w:rFonts w:ascii="Arial" w:eastAsia="Arial" w:hAnsi="Arial" w:cs="Arial"/>
                <w:color w:val="000000" w:themeColor="text1"/>
                <w:sz w:val="20"/>
                <w:szCs w:val="20"/>
              </w:rPr>
              <w:t>26%</w:t>
            </w:r>
          </w:p>
        </w:tc>
      </w:tr>
      <w:tr w:rsidR="00D20EDE" w14:paraId="0F4FF888" w14:textId="77777777" w:rsidTr="00336A67">
        <w:trPr>
          <w:trHeight w:val="255"/>
        </w:trPr>
        <w:tc>
          <w:tcPr>
            <w:tcW w:w="5357" w:type="dxa"/>
            <w:tcMar>
              <w:left w:w="108" w:type="dxa"/>
              <w:right w:w="108" w:type="dxa"/>
            </w:tcMar>
            <w:vAlign w:val="center"/>
          </w:tcPr>
          <w:p w14:paraId="419D776E" w14:textId="77777777" w:rsidR="00D20EDE" w:rsidRPr="70E0AE0E" w:rsidRDefault="00D20EDE" w:rsidP="00336A67">
            <w:pPr>
              <w:spacing w:line="276" w:lineRule="auto"/>
              <w:ind w:firstLine="400"/>
              <w:rPr>
                <w:rFonts w:ascii="Arial" w:eastAsia="Arial" w:hAnsi="Arial" w:cs="Arial"/>
                <w:color w:val="000000" w:themeColor="text1"/>
                <w:sz w:val="20"/>
                <w:szCs w:val="20"/>
              </w:rPr>
            </w:pPr>
            <w:r>
              <w:rPr>
                <w:rFonts w:ascii="Arial" w:eastAsia="Arial" w:hAnsi="Arial" w:cs="Arial"/>
                <w:color w:val="000000" w:themeColor="text1"/>
                <w:sz w:val="20"/>
                <w:szCs w:val="20"/>
              </w:rPr>
              <w:t>Death (cancer-related)</w:t>
            </w:r>
          </w:p>
        </w:tc>
        <w:tc>
          <w:tcPr>
            <w:tcW w:w="1786" w:type="dxa"/>
            <w:tcMar>
              <w:left w:w="108" w:type="dxa"/>
              <w:right w:w="108" w:type="dxa"/>
            </w:tcMar>
            <w:vAlign w:val="center"/>
          </w:tcPr>
          <w:p w14:paraId="50FBA016" w14:textId="77777777" w:rsidR="00D20EDE" w:rsidRPr="70E0AE0E"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15%</w:t>
            </w:r>
          </w:p>
        </w:tc>
        <w:tc>
          <w:tcPr>
            <w:tcW w:w="1873" w:type="dxa"/>
            <w:tcMar>
              <w:left w:w="108" w:type="dxa"/>
              <w:right w:w="108" w:type="dxa"/>
            </w:tcMar>
            <w:vAlign w:val="center"/>
          </w:tcPr>
          <w:p w14:paraId="60393FC3" w14:textId="77777777" w:rsidR="00D20EDE" w:rsidRPr="70E0AE0E"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11%</w:t>
            </w:r>
          </w:p>
        </w:tc>
      </w:tr>
      <w:tr w:rsidR="00D20EDE" w14:paraId="2514DBED" w14:textId="77777777" w:rsidTr="00336A67">
        <w:trPr>
          <w:trHeight w:val="255"/>
        </w:trPr>
        <w:tc>
          <w:tcPr>
            <w:tcW w:w="5357" w:type="dxa"/>
            <w:tcMar>
              <w:left w:w="108" w:type="dxa"/>
              <w:right w:w="108" w:type="dxa"/>
            </w:tcMar>
            <w:vAlign w:val="center"/>
          </w:tcPr>
          <w:p w14:paraId="09FE20F9" w14:textId="77777777" w:rsidR="00D20EDE" w:rsidRPr="70E0AE0E" w:rsidRDefault="00D20EDE" w:rsidP="00336A67">
            <w:pPr>
              <w:spacing w:line="276" w:lineRule="auto"/>
              <w:ind w:firstLine="400"/>
              <w:rPr>
                <w:rFonts w:ascii="Arial" w:eastAsia="Arial" w:hAnsi="Arial" w:cs="Arial"/>
                <w:color w:val="000000" w:themeColor="text1"/>
                <w:sz w:val="20"/>
                <w:szCs w:val="20"/>
              </w:rPr>
            </w:pPr>
            <w:r>
              <w:rPr>
                <w:rFonts w:ascii="Arial" w:eastAsia="Arial" w:hAnsi="Arial" w:cs="Arial"/>
                <w:color w:val="000000" w:themeColor="text1"/>
                <w:sz w:val="20"/>
                <w:szCs w:val="20"/>
              </w:rPr>
              <w:t>Death (cardiovascular-related)</w:t>
            </w:r>
          </w:p>
        </w:tc>
        <w:tc>
          <w:tcPr>
            <w:tcW w:w="1786" w:type="dxa"/>
            <w:tcMar>
              <w:left w:w="108" w:type="dxa"/>
              <w:right w:w="108" w:type="dxa"/>
            </w:tcMar>
            <w:vAlign w:val="center"/>
          </w:tcPr>
          <w:p w14:paraId="7543A055" w14:textId="77777777" w:rsidR="00D20EDE" w:rsidRPr="70E0AE0E"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11%</w:t>
            </w:r>
          </w:p>
        </w:tc>
        <w:tc>
          <w:tcPr>
            <w:tcW w:w="1873" w:type="dxa"/>
            <w:tcMar>
              <w:left w:w="108" w:type="dxa"/>
              <w:right w:w="108" w:type="dxa"/>
            </w:tcMar>
            <w:vAlign w:val="center"/>
          </w:tcPr>
          <w:p w14:paraId="3E6ADFB4" w14:textId="77777777" w:rsidR="00D20EDE" w:rsidRPr="70E0AE0E"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5%</w:t>
            </w:r>
          </w:p>
        </w:tc>
      </w:tr>
      <w:tr w:rsidR="00D20EDE" w14:paraId="2D28E1E9" w14:textId="77777777" w:rsidTr="00336A67">
        <w:trPr>
          <w:trHeight w:val="255"/>
        </w:trPr>
        <w:tc>
          <w:tcPr>
            <w:tcW w:w="5357" w:type="dxa"/>
            <w:tcMar>
              <w:left w:w="108" w:type="dxa"/>
              <w:right w:w="108" w:type="dxa"/>
            </w:tcMar>
            <w:vAlign w:val="center"/>
          </w:tcPr>
          <w:p w14:paraId="2C45DD47" w14:textId="77777777" w:rsidR="00D20EDE" w:rsidRPr="70E0AE0E" w:rsidRDefault="00D20EDE" w:rsidP="00336A67">
            <w:pPr>
              <w:spacing w:line="276" w:lineRule="auto"/>
              <w:ind w:firstLine="400"/>
              <w:rPr>
                <w:rFonts w:ascii="Arial" w:eastAsia="Arial" w:hAnsi="Arial" w:cs="Arial"/>
                <w:color w:val="000000" w:themeColor="text1"/>
                <w:sz w:val="20"/>
                <w:szCs w:val="20"/>
              </w:rPr>
            </w:pPr>
            <w:r>
              <w:rPr>
                <w:rFonts w:ascii="Arial" w:eastAsia="Arial" w:hAnsi="Arial" w:cs="Arial"/>
                <w:color w:val="000000" w:themeColor="text1"/>
                <w:sz w:val="20"/>
                <w:szCs w:val="20"/>
              </w:rPr>
              <w:t>Death (other)</w:t>
            </w:r>
          </w:p>
        </w:tc>
        <w:tc>
          <w:tcPr>
            <w:tcW w:w="1786" w:type="dxa"/>
            <w:tcMar>
              <w:left w:w="108" w:type="dxa"/>
              <w:right w:w="108" w:type="dxa"/>
            </w:tcMar>
            <w:vAlign w:val="center"/>
          </w:tcPr>
          <w:p w14:paraId="0F46BFE4" w14:textId="77777777" w:rsidR="00D20EDE" w:rsidRPr="70E0AE0E"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11%</w:t>
            </w:r>
          </w:p>
        </w:tc>
        <w:tc>
          <w:tcPr>
            <w:tcW w:w="1873" w:type="dxa"/>
            <w:tcMar>
              <w:left w:w="108" w:type="dxa"/>
              <w:right w:w="108" w:type="dxa"/>
            </w:tcMar>
            <w:vAlign w:val="center"/>
          </w:tcPr>
          <w:p w14:paraId="283C522A" w14:textId="77777777" w:rsidR="00D20EDE" w:rsidRPr="70E0AE0E" w:rsidRDefault="00D20EDE" w:rsidP="00336A67">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10%</w:t>
            </w:r>
          </w:p>
        </w:tc>
      </w:tr>
      <w:tr w:rsidR="00D20EDE" w14:paraId="2FFE802B" w14:textId="77777777" w:rsidTr="00336A67">
        <w:trPr>
          <w:trHeight w:val="255"/>
        </w:trPr>
        <w:tc>
          <w:tcPr>
            <w:tcW w:w="5357" w:type="dxa"/>
            <w:tcMar>
              <w:left w:w="108" w:type="dxa"/>
              <w:right w:w="108" w:type="dxa"/>
            </w:tcMar>
            <w:vAlign w:val="center"/>
          </w:tcPr>
          <w:p w14:paraId="146F7A85" w14:textId="77777777" w:rsidR="00D20EDE" w:rsidRDefault="00D20EDE" w:rsidP="00336A67">
            <w:pPr>
              <w:spacing w:line="276" w:lineRule="auto"/>
              <w:ind w:firstLine="400"/>
            </w:pPr>
            <w:r w:rsidRPr="70E0AE0E">
              <w:rPr>
                <w:rFonts w:ascii="Arial" w:eastAsia="Arial" w:hAnsi="Arial" w:cs="Arial"/>
                <w:color w:val="000000" w:themeColor="text1"/>
                <w:sz w:val="20"/>
                <w:szCs w:val="20"/>
              </w:rPr>
              <w:t>Hospital admission</w:t>
            </w:r>
          </w:p>
        </w:tc>
        <w:tc>
          <w:tcPr>
            <w:tcW w:w="1786" w:type="dxa"/>
            <w:tcMar>
              <w:left w:w="108" w:type="dxa"/>
              <w:right w:w="108" w:type="dxa"/>
            </w:tcMar>
            <w:vAlign w:val="center"/>
          </w:tcPr>
          <w:p w14:paraId="13BBEFC0" w14:textId="77777777" w:rsidR="00D20EDE" w:rsidRDefault="00D20EDE" w:rsidP="00336A67">
            <w:pPr>
              <w:spacing w:line="276" w:lineRule="auto"/>
            </w:pPr>
            <w:r w:rsidRPr="70E0AE0E">
              <w:rPr>
                <w:rFonts w:ascii="Arial" w:eastAsia="Arial" w:hAnsi="Arial" w:cs="Arial"/>
                <w:color w:val="000000" w:themeColor="text1"/>
                <w:sz w:val="20"/>
                <w:szCs w:val="20"/>
              </w:rPr>
              <w:t>93%</w:t>
            </w:r>
          </w:p>
        </w:tc>
        <w:tc>
          <w:tcPr>
            <w:tcW w:w="1873" w:type="dxa"/>
            <w:tcMar>
              <w:left w:w="108" w:type="dxa"/>
              <w:right w:w="108" w:type="dxa"/>
            </w:tcMar>
            <w:vAlign w:val="center"/>
          </w:tcPr>
          <w:p w14:paraId="2BE94B67" w14:textId="77777777" w:rsidR="00D20EDE" w:rsidRDefault="00D20EDE" w:rsidP="00336A67">
            <w:pPr>
              <w:spacing w:line="276" w:lineRule="auto"/>
            </w:pPr>
            <w:r w:rsidRPr="70E0AE0E">
              <w:rPr>
                <w:rFonts w:ascii="Arial" w:eastAsia="Arial" w:hAnsi="Arial" w:cs="Arial"/>
                <w:color w:val="000000" w:themeColor="text1"/>
                <w:sz w:val="20"/>
                <w:szCs w:val="20"/>
              </w:rPr>
              <w:t>92%</w:t>
            </w:r>
          </w:p>
        </w:tc>
      </w:tr>
      <w:tr w:rsidR="00D20EDE" w14:paraId="45593EBB" w14:textId="77777777" w:rsidTr="00336A67">
        <w:trPr>
          <w:trHeight w:val="255"/>
        </w:trPr>
        <w:tc>
          <w:tcPr>
            <w:tcW w:w="5357" w:type="dxa"/>
            <w:tcMar>
              <w:left w:w="108" w:type="dxa"/>
              <w:right w:w="108" w:type="dxa"/>
            </w:tcMar>
            <w:vAlign w:val="center"/>
          </w:tcPr>
          <w:p w14:paraId="5187AB9D" w14:textId="77777777" w:rsidR="00D20EDE" w:rsidRDefault="00D20EDE" w:rsidP="00336A67">
            <w:pPr>
              <w:spacing w:line="276" w:lineRule="auto"/>
            </w:pPr>
          </w:p>
        </w:tc>
        <w:tc>
          <w:tcPr>
            <w:tcW w:w="1786" w:type="dxa"/>
            <w:tcMar>
              <w:left w:w="108" w:type="dxa"/>
              <w:right w:w="108" w:type="dxa"/>
            </w:tcMar>
            <w:vAlign w:val="center"/>
          </w:tcPr>
          <w:p w14:paraId="5CCF9680" w14:textId="77777777" w:rsidR="00D20EDE" w:rsidRDefault="00D20EDE" w:rsidP="00336A67">
            <w:pPr>
              <w:spacing w:line="276" w:lineRule="auto"/>
            </w:pPr>
          </w:p>
        </w:tc>
        <w:tc>
          <w:tcPr>
            <w:tcW w:w="1873" w:type="dxa"/>
            <w:tcMar>
              <w:left w:w="108" w:type="dxa"/>
              <w:right w:w="108" w:type="dxa"/>
            </w:tcMar>
            <w:vAlign w:val="center"/>
          </w:tcPr>
          <w:p w14:paraId="22CD9EFE" w14:textId="77777777" w:rsidR="00D20EDE" w:rsidRDefault="00D20EDE" w:rsidP="00336A67">
            <w:pPr>
              <w:spacing w:line="276" w:lineRule="auto"/>
            </w:pPr>
          </w:p>
        </w:tc>
      </w:tr>
      <w:tr w:rsidR="00D20EDE" w14:paraId="75D733C3" w14:textId="77777777" w:rsidTr="00336A67">
        <w:trPr>
          <w:trHeight w:val="255"/>
        </w:trPr>
        <w:tc>
          <w:tcPr>
            <w:tcW w:w="5357" w:type="dxa"/>
            <w:tcMar>
              <w:left w:w="108" w:type="dxa"/>
              <w:right w:w="108" w:type="dxa"/>
            </w:tcMar>
            <w:vAlign w:val="center"/>
          </w:tcPr>
          <w:p w14:paraId="0BC85837" w14:textId="77777777" w:rsidR="00D20EDE" w:rsidRDefault="00D20EDE" w:rsidP="00336A67">
            <w:pPr>
              <w:spacing w:line="276" w:lineRule="auto"/>
            </w:pPr>
            <w:r w:rsidRPr="70E0AE0E">
              <w:rPr>
                <w:rFonts w:ascii="Arial" w:eastAsia="Arial" w:hAnsi="Arial" w:cs="Arial"/>
                <w:b/>
                <w:bCs/>
                <w:color w:val="000000" w:themeColor="text1"/>
                <w:sz w:val="20"/>
                <w:szCs w:val="20"/>
              </w:rPr>
              <w:t>Types of admission during follow-up (ever had)</w:t>
            </w:r>
          </w:p>
        </w:tc>
        <w:tc>
          <w:tcPr>
            <w:tcW w:w="1786" w:type="dxa"/>
            <w:tcMar>
              <w:left w:w="108" w:type="dxa"/>
              <w:right w:w="108" w:type="dxa"/>
            </w:tcMar>
            <w:vAlign w:val="center"/>
          </w:tcPr>
          <w:p w14:paraId="1FECE603" w14:textId="77777777" w:rsidR="00D20EDE" w:rsidRDefault="00D20EDE" w:rsidP="00336A67">
            <w:pPr>
              <w:spacing w:line="276" w:lineRule="auto"/>
            </w:pPr>
          </w:p>
        </w:tc>
        <w:tc>
          <w:tcPr>
            <w:tcW w:w="1873" w:type="dxa"/>
            <w:tcMar>
              <w:left w:w="108" w:type="dxa"/>
              <w:right w:w="108" w:type="dxa"/>
            </w:tcMar>
            <w:vAlign w:val="center"/>
          </w:tcPr>
          <w:p w14:paraId="5E40C520" w14:textId="77777777" w:rsidR="00D20EDE" w:rsidRDefault="00D20EDE" w:rsidP="00336A67">
            <w:pPr>
              <w:spacing w:line="276" w:lineRule="auto"/>
            </w:pPr>
          </w:p>
        </w:tc>
      </w:tr>
      <w:tr w:rsidR="00D20EDE" w14:paraId="0C40315A" w14:textId="77777777" w:rsidTr="00336A67">
        <w:trPr>
          <w:trHeight w:val="255"/>
        </w:trPr>
        <w:tc>
          <w:tcPr>
            <w:tcW w:w="5357" w:type="dxa"/>
            <w:tcMar>
              <w:left w:w="108" w:type="dxa"/>
              <w:right w:w="108" w:type="dxa"/>
            </w:tcMar>
            <w:vAlign w:val="center"/>
          </w:tcPr>
          <w:p w14:paraId="5BE9C98F" w14:textId="77777777" w:rsidR="00D20EDE" w:rsidRDefault="00D20EDE" w:rsidP="00336A67">
            <w:pPr>
              <w:spacing w:line="276" w:lineRule="auto"/>
            </w:pPr>
            <w:r>
              <w:rPr>
                <w:rFonts w:ascii="Arial" w:eastAsia="Arial" w:hAnsi="Arial" w:cs="Arial"/>
                <w:color w:val="000000" w:themeColor="text1"/>
                <w:sz w:val="20"/>
                <w:szCs w:val="20"/>
              </w:rPr>
              <w:t xml:space="preserve">     </w:t>
            </w:r>
            <w:r w:rsidRPr="70E0AE0E">
              <w:rPr>
                <w:rFonts w:ascii="Arial" w:eastAsia="Arial" w:hAnsi="Arial" w:cs="Arial"/>
                <w:color w:val="000000" w:themeColor="text1"/>
                <w:sz w:val="20"/>
                <w:szCs w:val="20"/>
              </w:rPr>
              <w:t>Neurological</w:t>
            </w:r>
          </w:p>
        </w:tc>
        <w:tc>
          <w:tcPr>
            <w:tcW w:w="1786" w:type="dxa"/>
            <w:tcMar>
              <w:left w:w="108" w:type="dxa"/>
              <w:right w:w="108" w:type="dxa"/>
            </w:tcMar>
            <w:vAlign w:val="center"/>
          </w:tcPr>
          <w:p w14:paraId="32E64765" w14:textId="77777777" w:rsidR="00D20EDE" w:rsidRDefault="00D20EDE" w:rsidP="00336A67">
            <w:pPr>
              <w:spacing w:line="276" w:lineRule="auto"/>
            </w:pPr>
            <w:r w:rsidRPr="70E0AE0E">
              <w:rPr>
                <w:rFonts w:ascii="Arial" w:eastAsia="Arial" w:hAnsi="Arial" w:cs="Arial"/>
                <w:color w:val="000000" w:themeColor="text1"/>
                <w:sz w:val="20"/>
                <w:szCs w:val="20"/>
              </w:rPr>
              <w:t>23%</w:t>
            </w:r>
          </w:p>
        </w:tc>
        <w:tc>
          <w:tcPr>
            <w:tcW w:w="1873" w:type="dxa"/>
            <w:tcMar>
              <w:left w:w="108" w:type="dxa"/>
              <w:right w:w="108" w:type="dxa"/>
            </w:tcMar>
            <w:vAlign w:val="center"/>
          </w:tcPr>
          <w:p w14:paraId="474DBC5E" w14:textId="77777777" w:rsidR="00D20EDE" w:rsidRDefault="00D20EDE" w:rsidP="00336A67">
            <w:pPr>
              <w:spacing w:line="276" w:lineRule="auto"/>
            </w:pPr>
            <w:r w:rsidRPr="70E0AE0E">
              <w:rPr>
                <w:rFonts w:ascii="Arial" w:eastAsia="Arial" w:hAnsi="Arial" w:cs="Arial"/>
                <w:color w:val="000000" w:themeColor="text1"/>
                <w:sz w:val="20"/>
                <w:szCs w:val="20"/>
              </w:rPr>
              <w:t>20%</w:t>
            </w:r>
          </w:p>
        </w:tc>
      </w:tr>
      <w:tr w:rsidR="00D20EDE" w14:paraId="01D09CDB" w14:textId="77777777" w:rsidTr="00336A67">
        <w:trPr>
          <w:trHeight w:val="255"/>
        </w:trPr>
        <w:tc>
          <w:tcPr>
            <w:tcW w:w="5357" w:type="dxa"/>
            <w:tcMar>
              <w:left w:w="108" w:type="dxa"/>
              <w:right w:w="108" w:type="dxa"/>
            </w:tcMar>
            <w:vAlign w:val="center"/>
          </w:tcPr>
          <w:p w14:paraId="15B1FCF3" w14:textId="77777777" w:rsidR="00D20EDE" w:rsidRDefault="00D20EDE" w:rsidP="00336A67">
            <w:pPr>
              <w:spacing w:line="276" w:lineRule="auto"/>
            </w:pPr>
            <w:r>
              <w:rPr>
                <w:rFonts w:ascii="Arial" w:eastAsia="Arial" w:hAnsi="Arial" w:cs="Arial"/>
                <w:color w:val="000000" w:themeColor="text1"/>
                <w:sz w:val="20"/>
                <w:szCs w:val="20"/>
              </w:rPr>
              <w:t xml:space="preserve">     </w:t>
            </w:r>
            <w:r w:rsidRPr="70E0AE0E">
              <w:rPr>
                <w:rFonts w:ascii="Arial" w:eastAsia="Arial" w:hAnsi="Arial" w:cs="Arial"/>
                <w:color w:val="000000" w:themeColor="text1"/>
                <w:sz w:val="20"/>
                <w:szCs w:val="20"/>
              </w:rPr>
              <w:t>Cardiovascular</w:t>
            </w:r>
          </w:p>
        </w:tc>
        <w:tc>
          <w:tcPr>
            <w:tcW w:w="1786" w:type="dxa"/>
            <w:tcMar>
              <w:left w:w="108" w:type="dxa"/>
              <w:right w:w="108" w:type="dxa"/>
            </w:tcMar>
            <w:vAlign w:val="center"/>
          </w:tcPr>
          <w:p w14:paraId="6841B30B" w14:textId="77777777" w:rsidR="00D20EDE" w:rsidRDefault="00D20EDE" w:rsidP="00336A67">
            <w:pPr>
              <w:spacing w:line="276" w:lineRule="auto"/>
            </w:pPr>
            <w:r w:rsidRPr="70E0AE0E">
              <w:rPr>
                <w:rFonts w:ascii="Arial" w:eastAsia="Arial" w:hAnsi="Arial" w:cs="Arial"/>
                <w:color w:val="000000" w:themeColor="text1"/>
                <w:sz w:val="20"/>
                <w:szCs w:val="20"/>
              </w:rPr>
              <w:t>71%</w:t>
            </w:r>
          </w:p>
        </w:tc>
        <w:tc>
          <w:tcPr>
            <w:tcW w:w="1873" w:type="dxa"/>
            <w:tcMar>
              <w:left w:w="108" w:type="dxa"/>
              <w:right w:w="108" w:type="dxa"/>
            </w:tcMar>
            <w:vAlign w:val="center"/>
          </w:tcPr>
          <w:p w14:paraId="3B7E92C0" w14:textId="77777777" w:rsidR="00D20EDE" w:rsidRDefault="00D20EDE" w:rsidP="00336A67">
            <w:pPr>
              <w:spacing w:line="276" w:lineRule="auto"/>
            </w:pPr>
            <w:r w:rsidRPr="70E0AE0E">
              <w:rPr>
                <w:rFonts w:ascii="Arial" w:eastAsia="Arial" w:hAnsi="Arial" w:cs="Arial"/>
                <w:color w:val="000000" w:themeColor="text1"/>
                <w:sz w:val="20"/>
                <w:szCs w:val="20"/>
              </w:rPr>
              <w:t>68%</w:t>
            </w:r>
          </w:p>
        </w:tc>
      </w:tr>
      <w:tr w:rsidR="00D20EDE" w14:paraId="52EDF78B" w14:textId="77777777" w:rsidTr="00336A67">
        <w:trPr>
          <w:trHeight w:val="255"/>
        </w:trPr>
        <w:tc>
          <w:tcPr>
            <w:tcW w:w="5357" w:type="dxa"/>
            <w:tcMar>
              <w:left w:w="108" w:type="dxa"/>
              <w:right w:w="108" w:type="dxa"/>
            </w:tcMar>
            <w:vAlign w:val="center"/>
          </w:tcPr>
          <w:p w14:paraId="3B1E2D83" w14:textId="77777777" w:rsidR="00D20EDE" w:rsidRDefault="00D20EDE" w:rsidP="00336A67">
            <w:pPr>
              <w:spacing w:line="276" w:lineRule="auto"/>
            </w:pPr>
            <w:r>
              <w:rPr>
                <w:rFonts w:ascii="Arial" w:eastAsia="Arial" w:hAnsi="Arial" w:cs="Arial"/>
                <w:color w:val="000000" w:themeColor="text1"/>
                <w:sz w:val="20"/>
                <w:szCs w:val="20"/>
              </w:rPr>
              <w:t xml:space="preserve">     </w:t>
            </w:r>
            <w:r w:rsidRPr="70E0AE0E">
              <w:rPr>
                <w:rFonts w:ascii="Arial" w:eastAsia="Arial" w:hAnsi="Arial" w:cs="Arial"/>
                <w:color w:val="000000" w:themeColor="text1"/>
                <w:sz w:val="20"/>
                <w:szCs w:val="20"/>
              </w:rPr>
              <w:t>Respiratory</w:t>
            </w:r>
          </w:p>
        </w:tc>
        <w:tc>
          <w:tcPr>
            <w:tcW w:w="1786" w:type="dxa"/>
            <w:tcMar>
              <w:left w:w="108" w:type="dxa"/>
              <w:right w:w="108" w:type="dxa"/>
            </w:tcMar>
            <w:vAlign w:val="center"/>
          </w:tcPr>
          <w:p w14:paraId="0FC4DE06" w14:textId="77777777" w:rsidR="00D20EDE" w:rsidRDefault="00D20EDE" w:rsidP="00336A67">
            <w:pPr>
              <w:spacing w:line="276" w:lineRule="auto"/>
            </w:pPr>
            <w:r w:rsidRPr="70E0AE0E">
              <w:rPr>
                <w:rFonts w:ascii="Arial" w:eastAsia="Arial" w:hAnsi="Arial" w:cs="Arial"/>
                <w:color w:val="000000" w:themeColor="text1"/>
                <w:sz w:val="20"/>
                <w:szCs w:val="20"/>
              </w:rPr>
              <w:t>40%</w:t>
            </w:r>
          </w:p>
        </w:tc>
        <w:tc>
          <w:tcPr>
            <w:tcW w:w="1873" w:type="dxa"/>
            <w:tcMar>
              <w:left w:w="108" w:type="dxa"/>
              <w:right w:w="108" w:type="dxa"/>
            </w:tcMar>
            <w:vAlign w:val="center"/>
          </w:tcPr>
          <w:p w14:paraId="0E865816" w14:textId="77777777" w:rsidR="00D20EDE" w:rsidRDefault="00D20EDE" w:rsidP="00336A67">
            <w:pPr>
              <w:spacing w:line="276" w:lineRule="auto"/>
            </w:pPr>
            <w:r w:rsidRPr="70E0AE0E">
              <w:rPr>
                <w:rFonts w:ascii="Arial" w:eastAsia="Arial" w:hAnsi="Arial" w:cs="Arial"/>
                <w:color w:val="000000" w:themeColor="text1"/>
                <w:sz w:val="20"/>
                <w:szCs w:val="20"/>
              </w:rPr>
              <w:t>34%</w:t>
            </w:r>
          </w:p>
        </w:tc>
      </w:tr>
      <w:tr w:rsidR="00D20EDE" w14:paraId="04CD770A" w14:textId="77777777" w:rsidTr="00336A67">
        <w:trPr>
          <w:trHeight w:val="255"/>
        </w:trPr>
        <w:tc>
          <w:tcPr>
            <w:tcW w:w="5357" w:type="dxa"/>
            <w:tcBorders>
              <w:top w:val="single" w:sz="8" w:space="0" w:color="auto"/>
              <w:left w:val="nil"/>
              <w:bottom w:val="nil"/>
              <w:right w:val="nil"/>
            </w:tcBorders>
            <w:tcMar>
              <w:left w:w="108" w:type="dxa"/>
              <w:right w:w="108" w:type="dxa"/>
            </w:tcMar>
            <w:vAlign w:val="center"/>
          </w:tcPr>
          <w:p w14:paraId="0E3E6824" w14:textId="77777777" w:rsidR="00D20EDE" w:rsidRDefault="00D20EDE" w:rsidP="00336A67">
            <w:pPr>
              <w:spacing w:line="276" w:lineRule="auto"/>
            </w:pPr>
          </w:p>
        </w:tc>
        <w:tc>
          <w:tcPr>
            <w:tcW w:w="1786" w:type="dxa"/>
            <w:tcBorders>
              <w:top w:val="single" w:sz="8" w:space="0" w:color="auto"/>
              <w:left w:val="nil"/>
              <w:bottom w:val="nil"/>
              <w:right w:val="nil"/>
            </w:tcBorders>
            <w:tcMar>
              <w:left w:w="108" w:type="dxa"/>
              <w:right w:w="108" w:type="dxa"/>
            </w:tcMar>
            <w:vAlign w:val="center"/>
          </w:tcPr>
          <w:p w14:paraId="0B2DDBFD" w14:textId="77777777" w:rsidR="00D20EDE" w:rsidRDefault="00D20EDE" w:rsidP="00336A67">
            <w:pPr>
              <w:spacing w:line="276" w:lineRule="auto"/>
            </w:pPr>
          </w:p>
        </w:tc>
        <w:tc>
          <w:tcPr>
            <w:tcW w:w="1873" w:type="dxa"/>
            <w:tcBorders>
              <w:top w:val="single" w:sz="8" w:space="0" w:color="auto"/>
              <w:left w:val="nil"/>
              <w:bottom w:val="nil"/>
              <w:right w:val="nil"/>
            </w:tcBorders>
            <w:tcMar>
              <w:left w:w="108" w:type="dxa"/>
              <w:right w:w="108" w:type="dxa"/>
            </w:tcMar>
            <w:vAlign w:val="center"/>
          </w:tcPr>
          <w:p w14:paraId="795D2125" w14:textId="77777777" w:rsidR="00D20EDE" w:rsidRDefault="00D20EDE" w:rsidP="00336A67">
            <w:pPr>
              <w:spacing w:line="276" w:lineRule="auto"/>
            </w:pPr>
          </w:p>
        </w:tc>
      </w:tr>
      <w:tr w:rsidR="00D20EDE" w14:paraId="55E32F2C" w14:textId="77777777" w:rsidTr="00336A67">
        <w:trPr>
          <w:trHeight w:val="255"/>
        </w:trPr>
        <w:tc>
          <w:tcPr>
            <w:tcW w:w="7143" w:type="dxa"/>
            <w:gridSpan w:val="2"/>
            <w:tcMar>
              <w:left w:w="108" w:type="dxa"/>
              <w:right w:w="108" w:type="dxa"/>
            </w:tcMar>
            <w:vAlign w:val="center"/>
          </w:tcPr>
          <w:p w14:paraId="595C7201" w14:textId="77777777" w:rsidR="00D20EDE" w:rsidRDefault="00D20EDE" w:rsidP="00336A67">
            <w:pPr>
              <w:spacing w:line="276" w:lineRule="auto"/>
            </w:pPr>
            <w:r w:rsidRPr="70E0AE0E">
              <w:rPr>
                <w:rFonts w:ascii="Arial" w:eastAsia="Arial" w:hAnsi="Arial" w:cs="Arial"/>
                <w:color w:val="000000" w:themeColor="text1"/>
                <w:sz w:val="20"/>
                <w:szCs w:val="20"/>
              </w:rPr>
              <w:t>Follow-up period lasted from baseline (1998-2004) until 31st December 2018</w:t>
            </w:r>
          </w:p>
        </w:tc>
        <w:tc>
          <w:tcPr>
            <w:tcW w:w="1873" w:type="dxa"/>
            <w:tcMar>
              <w:left w:w="108" w:type="dxa"/>
              <w:right w:w="108" w:type="dxa"/>
            </w:tcMar>
            <w:vAlign w:val="center"/>
          </w:tcPr>
          <w:p w14:paraId="4A8E731E" w14:textId="77777777" w:rsidR="00D20EDE" w:rsidRDefault="00D20EDE" w:rsidP="00336A67">
            <w:pPr>
              <w:spacing w:line="276" w:lineRule="auto"/>
            </w:pPr>
          </w:p>
        </w:tc>
      </w:tr>
      <w:bookmarkEnd w:id="27"/>
    </w:tbl>
    <w:p w14:paraId="07958CB2" w14:textId="77777777" w:rsidR="00D20EDE" w:rsidRDefault="00D20EDE" w:rsidP="00D20EDE"/>
    <w:p w14:paraId="0F4336C0" w14:textId="77777777" w:rsidR="00D20EDE" w:rsidRDefault="00D20EDE" w:rsidP="00D20EDE"/>
    <w:p w14:paraId="20980C10" w14:textId="77777777" w:rsidR="00D20EDE" w:rsidRDefault="00D20EDE" w:rsidP="00D20EDE"/>
    <w:tbl>
      <w:tblPr>
        <w:tblW w:w="8080" w:type="dxa"/>
        <w:tblLayout w:type="fixed"/>
        <w:tblLook w:val="04A0" w:firstRow="1" w:lastRow="0" w:firstColumn="1" w:lastColumn="0" w:noHBand="0" w:noVBand="1"/>
      </w:tblPr>
      <w:tblGrid>
        <w:gridCol w:w="2694"/>
        <w:gridCol w:w="1701"/>
        <w:gridCol w:w="992"/>
        <w:gridCol w:w="1701"/>
        <w:gridCol w:w="992"/>
      </w:tblGrid>
      <w:tr w:rsidR="00D20EDE" w:rsidRPr="006D1266" w14:paraId="7DAEF9B3" w14:textId="77777777" w:rsidTr="00336A67">
        <w:trPr>
          <w:trHeight w:val="450"/>
        </w:trPr>
        <w:tc>
          <w:tcPr>
            <w:tcW w:w="8080" w:type="dxa"/>
            <w:gridSpan w:val="5"/>
            <w:vMerge w:val="restart"/>
            <w:shd w:val="clear" w:color="auto" w:fill="auto"/>
            <w:vAlign w:val="bottom"/>
            <w:hideMark/>
          </w:tcPr>
          <w:p w14:paraId="04139104" w14:textId="77777777" w:rsidR="00D20EDE" w:rsidRPr="006D1266" w:rsidRDefault="00D20EDE" w:rsidP="00336A67">
            <w:pPr>
              <w:spacing w:after="0" w:line="360" w:lineRule="auto"/>
              <w:rPr>
                <w:rFonts w:ascii="Arial" w:eastAsia="Times New Roman" w:hAnsi="Arial" w:cs="Arial"/>
                <w:b/>
                <w:bCs/>
                <w:color w:val="000000"/>
                <w:sz w:val="20"/>
                <w:szCs w:val="20"/>
                <w:lang w:eastAsia="en-GB"/>
              </w:rPr>
            </w:pPr>
            <w:bookmarkStart w:id="28" w:name="_Hlk136604945"/>
            <w:r w:rsidRPr="006D1266">
              <w:rPr>
                <w:rFonts w:ascii="Arial" w:eastAsia="Times New Roman" w:hAnsi="Arial" w:cs="Arial"/>
                <w:b/>
                <w:bCs/>
                <w:color w:val="000000"/>
                <w:sz w:val="20"/>
                <w:szCs w:val="20"/>
                <w:lang w:eastAsia="en-GB"/>
              </w:rPr>
              <w:lastRenderedPageBreak/>
              <w:t xml:space="preserve">Table 2: </w:t>
            </w:r>
            <w:bookmarkStart w:id="29" w:name="_Hlk145930691"/>
            <w:r w:rsidRPr="006D1266">
              <w:rPr>
                <w:rFonts w:ascii="Arial" w:eastAsia="Times New Roman" w:hAnsi="Arial" w:cs="Arial"/>
                <w:b/>
                <w:bCs/>
                <w:color w:val="000000"/>
                <w:sz w:val="20"/>
                <w:szCs w:val="20"/>
                <w:lang w:eastAsia="en-GB"/>
              </w:rPr>
              <w:t xml:space="preserve">Hazard ratios (95% CI) for adverse health </w:t>
            </w:r>
            <w:r>
              <w:rPr>
                <w:rFonts w:ascii="Arial" w:eastAsia="Times New Roman" w:hAnsi="Arial" w:cs="Arial"/>
                <w:b/>
                <w:bCs/>
                <w:color w:val="000000"/>
                <w:sz w:val="20"/>
                <w:szCs w:val="20"/>
                <w:lang w:eastAsia="en-GB"/>
              </w:rPr>
              <w:t>events</w:t>
            </w:r>
            <w:r w:rsidRPr="006D1266">
              <w:rPr>
                <w:rFonts w:ascii="Arial" w:eastAsia="Times New Roman" w:hAnsi="Arial" w:cs="Arial"/>
                <w:b/>
                <w:bCs/>
                <w:color w:val="000000"/>
                <w:sz w:val="20"/>
                <w:szCs w:val="20"/>
                <w:lang w:eastAsia="en-GB"/>
              </w:rPr>
              <w:t xml:space="preserve"> </w:t>
            </w:r>
            <w:r>
              <w:rPr>
                <w:rFonts w:ascii="Arial" w:eastAsia="Times New Roman" w:hAnsi="Arial" w:cs="Arial"/>
                <w:b/>
                <w:bCs/>
                <w:color w:val="000000"/>
                <w:sz w:val="20"/>
                <w:szCs w:val="20"/>
                <w:lang w:eastAsia="en-GB"/>
              </w:rPr>
              <w:t>per additional system medicated at baseline</w:t>
            </w:r>
            <w:bookmarkEnd w:id="29"/>
          </w:p>
        </w:tc>
      </w:tr>
      <w:tr w:rsidR="00D20EDE" w:rsidRPr="006D1266" w14:paraId="067A4126" w14:textId="77777777" w:rsidTr="00336A67">
        <w:trPr>
          <w:trHeight w:val="450"/>
        </w:trPr>
        <w:tc>
          <w:tcPr>
            <w:tcW w:w="8080" w:type="dxa"/>
            <w:gridSpan w:val="5"/>
            <w:vMerge/>
            <w:vAlign w:val="center"/>
            <w:hideMark/>
          </w:tcPr>
          <w:p w14:paraId="3CAE5185" w14:textId="77777777" w:rsidR="00D20EDE" w:rsidRPr="006D1266" w:rsidRDefault="00D20EDE" w:rsidP="00336A67">
            <w:pPr>
              <w:spacing w:after="0" w:line="360" w:lineRule="auto"/>
              <w:rPr>
                <w:rFonts w:ascii="Arial" w:eastAsia="Times New Roman" w:hAnsi="Arial" w:cs="Arial"/>
                <w:b/>
                <w:bCs/>
                <w:color w:val="000000"/>
                <w:sz w:val="20"/>
                <w:szCs w:val="20"/>
                <w:lang w:eastAsia="en-GB"/>
              </w:rPr>
            </w:pPr>
          </w:p>
        </w:tc>
      </w:tr>
      <w:tr w:rsidR="00D20EDE" w:rsidRPr="006D1266" w14:paraId="07254A2A" w14:textId="77777777" w:rsidTr="00336A67">
        <w:trPr>
          <w:trHeight w:val="250"/>
        </w:trPr>
        <w:tc>
          <w:tcPr>
            <w:tcW w:w="2694" w:type="dxa"/>
            <w:tcBorders>
              <w:bottom w:val="single" w:sz="4" w:space="0" w:color="auto"/>
            </w:tcBorders>
            <w:shd w:val="clear" w:color="auto" w:fill="auto"/>
            <w:noWrap/>
            <w:vAlign w:val="bottom"/>
            <w:hideMark/>
          </w:tcPr>
          <w:p w14:paraId="1B21FC83"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c>
          <w:tcPr>
            <w:tcW w:w="1701" w:type="dxa"/>
            <w:tcBorders>
              <w:bottom w:val="single" w:sz="4" w:space="0" w:color="auto"/>
            </w:tcBorders>
            <w:shd w:val="clear" w:color="auto" w:fill="auto"/>
            <w:noWrap/>
            <w:vAlign w:val="bottom"/>
            <w:hideMark/>
          </w:tcPr>
          <w:p w14:paraId="01E0FFCA"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c>
          <w:tcPr>
            <w:tcW w:w="992" w:type="dxa"/>
            <w:tcBorders>
              <w:bottom w:val="single" w:sz="4" w:space="0" w:color="auto"/>
            </w:tcBorders>
            <w:shd w:val="clear" w:color="auto" w:fill="auto"/>
            <w:noWrap/>
            <w:vAlign w:val="bottom"/>
            <w:hideMark/>
          </w:tcPr>
          <w:p w14:paraId="2FC1A5D3"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c>
          <w:tcPr>
            <w:tcW w:w="1701" w:type="dxa"/>
            <w:tcBorders>
              <w:bottom w:val="single" w:sz="4" w:space="0" w:color="auto"/>
            </w:tcBorders>
            <w:shd w:val="clear" w:color="auto" w:fill="auto"/>
            <w:noWrap/>
            <w:vAlign w:val="bottom"/>
            <w:hideMark/>
          </w:tcPr>
          <w:p w14:paraId="33036766"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c>
          <w:tcPr>
            <w:tcW w:w="992" w:type="dxa"/>
            <w:tcBorders>
              <w:bottom w:val="single" w:sz="4" w:space="0" w:color="auto"/>
            </w:tcBorders>
            <w:shd w:val="clear" w:color="auto" w:fill="auto"/>
            <w:noWrap/>
            <w:vAlign w:val="bottom"/>
            <w:hideMark/>
          </w:tcPr>
          <w:p w14:paraId="24A27312"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r>
      <w:tr w:rsidR="00D20EDE" w:rsidRPr="006D1266" w14:paraId="7FB1ED80" w14:textId="77777777" w:rsidTr="00336A67">
        <w:trPr>
          <w:trHeight w:val="290"/>
        </w:trPr>
        <w:tc>
          <w:tcPr>
            <w:tcW w:w="2694" w:type="dxa"/>
            <w:vMerge w:val="restart"/>
            <w:tcBorders>
              <w:top w:val="single" w:sz="4" w:space="0" w:color="auto"/>
            </w:tcBorders>
            <w:shd w:val="clear" w:color="auto" w:fill="auto"/>
            <w:vAlign w:val="center"/>
            <w:hideMark/>
          </w:tcPr>
          <w:p w14:paraId="3C9AF1D1" w14:textId="77777777" w:rsidR="00D20EDE" w:rsidRPr="006D1266" w:rsidRDefault="00D20EDE" w:rsidP="00336A67">
            <w:pPr>
              <w:spacing w:after="0" w:line="360" w:lineRule="auto"/>
              <w:rPr>
                <w:rFonts w:ascii="Arial" w:eastAsia="Times New Roman" w:hAnsi="Arial" w:cs="Arial"/>
                <w:b/>
                <w:bCs/>
                <w:color w:val="000000"/>
                <w:sz w:val="20"/>
                <w:szCs w:val="20"/>
                <w:lang w:eastAsia="en-GB"/>
              </w:rPr>
            </w:pPr>
            <w:r w:rsidRPr="006D1266">
              <w:rPr>
                <w:rFonts w:ascii="Arial" w:eastAsia="Times New Roman" w:hAnsi="Arial" w:cs="Arial"/>
                <w:b/>
                <w:bCs/>
                <w:color w:val="000000"/>
                <w:sz w:val="20"/>
                <w:szCs w:val="20"/>
                <w:lang w:eastAsia="en-GB"/>
              </w:rPr>
              <w:t xml:space="preserve">Health </w:t>
            </w:r>
            <w:r>
              <w:rPr>
                <w:rFonts w:ascii="Arial" w:eastAsia="Times New Roman" w:hAnsi="Arial" w:cs="Arial"/>
                <w:b/>
                <w:bCs/>
                <w:color w:val="000000"/>
                <w:sz w:val="20"/>
                <w:szCs w:val="20"/>
                <w:lang w:eastAsia="en-GB"/>
              </w:rPr>
              <w:t>event</w:t>
            </w:r>
          </w:p>
        </w:tc>
        <w:tc>
          <w:tcPr>
            <w:tcW w:w="2693" w:type="dxa"/>
            <w:gridSpan w:val="2"/>
            <w:tcBorders>
              <w:top w:val="single" w:sz="4" w:space="0" w:color="auto"/>
            </w:tcBorders>
            <w:shd w:val="clear" w:color="auto" w:fill="auto"/>
            <w:noWrap/>
            <w:vAlign w:val="bottom"/>
            <w:hideMark/>
          </w:tcPr>
          <w:p w14:paraId="1F3BC07C" w14:textId="77777777" w:rsidR="00D20EDE" w:rsidRPr="006D1266" w:rsidRDefault="00D20EDE" w:rsidP="00336A67">
            <w:pPr>
              <w:spacing w:after="0" w:line="360" w:lineRule="auto"/>
              <w:jc w:val="center"/>
              <w:rPr>
                <w:rFonts w:ascii="Arial" w:eastAsia="Times New Roman" w:hAnsi="Arial" w:cs="Arial"/>
                <w:b/>
                <w:bCs/>
                <w:color w:val="000000"/>
                <w:sz w:val="20"/>
                <w:szCs w:val="20"/>
                <w:lang w:eastAsia="en-GB"/>
              </w:rPr>
            </w:pPr>
            <w:r w:rsidRPr="006D1266">
              <w:rPr>
                <w:rFonts w:ascii="Arial" w:eastAsia="Times New Roman" w:hAnsi="Arial" w:cs="Arial"/>
                <w:b/>
                <w:bCs/>
                <w:color w:val="000000"/>
                <w:sz w:val="20"/>
                <w:szCs w:val="20"/>
                <w:lang w:eastAsia="en-GB"/>
              </w:rPr>
              <w:t>Men</w:t>
            </w:r>
          </w:p>
        </w:tc>
        <w:tc>
          <w:tcPr>
            <w:tcW w:w="2693" w:type="dxa"/>
            <w:gridSpan w:val="2"/>
            <w:tcBorders>
              <w:top w:val="single" w:sz="4" w:space="0" w:color="auto"/>
            </w:tcBorders>
            <w:shd w:val="clear" w:color="auto" w:fill="auto"/>
            <w:noWrap/>
            <w:vAlign w:val="bottom"/>
            <w:hideMark/>
          </w:tcPr>
          <w:p w14:paraId="52541B8E" w14:textId="77777777" w:rsidR="00D20EDE" w:rsidRPr="006D1266" w:rsidRDefault="00D20EDE" w:rsidP="00336A67">
            <w:pPr>
              <w:spacing w:after="0" w:line="360" w:lineRule="auto"/>
              <w:jc w:val="center"/>
              <w:rPr>
                <w:rFonts w:ascii="Arial" w:eastAsia="Times New Roman" w:hAnsi="Arial" w:cs="Arial"/>
                <w:b/>
                <w:bCs/>
                <w:color w:val="000000"/>
                <w:sz w:val="20"/>
                <w:szCs w:val="20"/>
                <w:lang w:eastAsia="en-GB"/>
              </w:rPr>
            </w:pPr>
            <w:r w:rsidRPr="006D1266">
              <w:rPr>
                <w:rFonts w:ascii="Arial" w:eastAsia="Times New Roman" w:hAnsi="Arial" w:cs="Arial"/>
                <w:b/>
                <w:bCs/>
                <w:color w:val="000000"/>
                <w:sz w:val="20"/>
                <w:szCs w:val="20"/>
                <w:lang w:eastAsia="en-GB"/>
              </w:rPr>
              <w:t>Women</w:t>
            </w:r>
          </w:p>
        </w:tc>
      </w:tr>
      <w:tr w:rsidR="00D20EDE" w:rsidRPr="006D1266" w14:paraId="413D7441" w14:textId="77777777" w:rsidTr="00336A67">
        <w:trPr>
          <w:trHeight w:val="260"/>
        </w:trPr>
        <w:tc>
          <w:tcPr>
            <w:tcW w:w="2694" w:type="dxa"/>
            <w:vMerge/>
            <w:tcBorders>
              <w:bottom w:val="single" w:sz="4" w:space="0" w:color="auto"/>
            </w:tcBorders>
            <w:vAlign w:val="center"/>
            <w:hideMark/>
          </w:tcPr>
          <w:p w14:paraId="67F13C50" w14:textId="77777777" w:rsidR="00D20EDE" w:rsidRPr="006D1266" w:rsidRDefault="00D20EDE" w:rsidP="00336A67">
            <w:pPr>
              <w:spacing w:after="0" w:line="360" w:lineRule="auto"/>
              <w:rPr>
                <w:rFonts w:ascii="Arial" w:eastAsia="Times New Roman" w:hAnsi="Arial" w:cs="Arial"/>
                <w:b/>
                <w:bCs/>
                <w:color w:val="000000"/>
                <w:sz w:val="20"/>
                <w:szCs w:val="20"/>
                <w:lang w:eastAsia="en-GB"/>
              </w:rPr>
            </w:pPr>
          </w:p>
        </w:tc>
        <w:tc>
          <w:tcPr>
            <w:tcW w:w="1701" w:type="dxa"/>
            <w:tcBorders>
              <w:bottom w:val="single" w:sz="4" w:space="0" w:color="auto"/>
            </w:tcBorders>
            <w:shd w:val="clear" w:color="auto" w:fill="auto"/>
            <w:noWrap/>
            <w:vAlign w:val="bottom"/>
            <w:hideMark/>
          </w:tcPr>
          <w:p w14:paraId="2CA3A9CC" w14:textId="77777777" w:rsidR="00D20EDE" w:rsidRDefault="00D20EDE" w:rsidP="00336A67">
            <w:pPr>
              <w:spacing w:after="0" w:line="360" w:lineRule="auto"/>
              <w:jc w:val="center"/>
              <w:rPr>
                <w:rFonts w:ascii="Arial" w:eastAsia="Times New Roman" w:hAnsi="Arial" w:cs="Arial"/>
                <w:b/>
                <w:bCs/>
                <w:color w:val="000000"/>
                <w:sz w:val="20"/>
                <w:szCs w:val="20"/>
                <w:lang w:eastAsia="en-GB"/>
              </w:rPr>
            </w:pPr>
            <w:r w:rsidRPr="006D1266">
              <w:rPr>
                <w:rFonts w:ascii="Arial" w:eastAsia="Times New Roman" w:hAnsi="Arial" w:cs="Arial"/>
                <w:b/>
                <w:bCs/>
                <w:color w:val="000000"/>
                <w:sz w:val="20"/>
                <w:szCs w:val="20"/>
                <w:lang w:eastAsia="en-GB"/>
              </w:rPr>
              <w:t>Hazard ratio</w:t>
            </w:r>
          </w:p>
          <w:p w14:paraId="1DB5BDB2" w14:textId="77777777" w:rsidR="00D20EDE" w:rsidRPr="006D1266" w:rsidRDefault="00D20EDE" w:rsidP="00336A67">
            <w:pPr>
              <w:spacing w:after="0" w:line="360" w:lineRule="auto"/>
              <w:jc w:val="center"/>
              <w:rPr>
                <w:rFonts w:ascii="Arial" w:eastAsia="Times New Roman" w:hAnsi="Arial" w:cs="Arial"/>
                <w:b/>
                <w:bCs/>
                <w:color w:val="000000"/>
                <w:sz w:val="20"/>
                <w:szCs w:val="20"/>
                <w:lang w:eastAsia="en-GB"/>
              </w:rPr>
            </w:pPr>
            <w:r w:rsidRPr="006D1266">
              <w:rPr>
                <w:rFonts w:ascii="Arial" w:eastAsia="Times New Roman" w:hAnsi="Arial" w:cs="Arial"/>
                <w:b/>
                <w:bCs/>
                <w:color w:val="000000"/>
                <w:sz w:val="20"/>
                <w:szCs w:val="20"/>
                <w:lang w:eastAsia="en-GB"/>
              </w:rPr>
              <w:t>(95% CI)</w:t>
            </w:r>
          </w:p>
        </w:tc>
        <w:tc>
          <w:tcPr>
            <w:tcW w:w="992" w:type="dxa"/>
            <w:tcBorders>
              <w:bottom w:val="single" w:sz="4" w:space="0" w:color="auto"/>
            </w:tcBorders>
            <w:shd w:val="clear" w:color="auto" w:fill="auto"/>
            <w:noWrap/>
            <w:vAlign w:val="bottom"/>
            <w:hideMark/>
          </w:tcPr>
          <w:p w14:paraId="603B0D2F" w14:textId="77777777" w:rsidR="00D20EDE" w:rsidRPr="006D1266" w:rsidRDefault="00D20EDE" w:rsidP="00336A67">
            <w:pPr>
              <w:spacing w:after="0" w:line="360" w:lineRule="auto"/>
              <w:jc w:val="center"/>
              <w:rPr>
                <w:rFonts w:ascii="Arial" w:eastAsia="Times New Roman" w:hAnsi="Arial" w:cs="Arial"/>
                <w:b/>
                <w:bCs/>
                <w:color w:val="000000"/>
                <w:sz w:val="20"/>
                <w:szCs w:val="20"/>
                <w:lang w:eastAsia="en-GB"/>
              </w:rPr>
            </w:pPr>
            <w:r w:rsidRPr="006D1266">
              <w:rPr>
                <w:rFonts w:ascii="Arial" w:eastAsia="Times New Roman" w:hAnsi="Arial" w:cs="Arial"/>
                <w:b/>
                <w:bCs/>
                <w:color w:val="000000"/>
                <w:sz w:val="20"/>
                <w:szCs w:val="20"/>
                <w:lang w:eastAsia="en-GB"/>
              </w:rPr>
              <w:t>P-value</w:t>
            </w:r>
          </w:p>
        </w:tc>
        <w:tc>
          <w:tcPr>
            <w:tcW w:w="1701" w:type="dxa"/>
            <w:tcBorders>
              <w:bottom w:val="single" w:sz="4" w:space="0" w:color="auto"/>
            </w:tcBorders>
            <w:shd w:val="clear" w:color="auto" w:fill="auto"/>
            <w:noWrap/>
            <w:vAlign w:val="bottom"/>
            <w:hideMark/>
          </w:tcPr>
          <w:p w14:paraId="5475B4C4" w14:textId="77777777" w:rsidR="00D20EDE" w:rsidRPr="006D1266" w:rsidRDefault="00D20EDE" w:rsidP="00336A67">
            <w:pPr>
              <w:spacing w:after="0" w:line="360" w:lineRule="auto"/>
              <w:jc w:val="center"/>
              <w:rPr>
                <w:rFonts w:ascii="Arial" w:eastAsia="Times New Roman" w:hAnsi="Arial" w:cs="Arial"/>
                <w:b/>
                <w:bCs/>
                <w:color w:val="000000"/>
                <w:sz w:val="20"/>
                <w:szCs w:val="20"/>
                <w:lang w:eastAsia="en-GB"/>
              </w:rPr>
            </w:pPr>
            <w:r w:rsidRPr="006D1266">
              <w:rPr>
                <w:rFonts w:ascii="Arial" w:eastAsia="Times New Roman" w:hAnsi="Arial" w:cs="Arial"/>
                <w:b/>
                <w:bCs/>
                <w:color w:val="000000"/>
                <w:sz w:val="20"/>
                <w:szCs w:val="20"/>
                <w:lang w:eastAsia="en-GB"/>
              </w:rPr>
              <w:t>Hazard ratio (95% CI)</w:t>
            </w:r>
          </w:p>
        </w:tc>
        <w:tc>
          <w:tcPr>
            <w:tcW w:w="992" w:type="dxa"/>
            <w:tcBorders>
              <w:bottom w:val="single" w:sz="4" w:space="0" w:color="auto"/>
            </w:tcBorders>
            <w:shd w:val="clear" w:color="auto" w:fill="auto"/>
            <w:noWrap/>
            <w:vAlign w:val="bottom"/>
            <w:hideMark/>
          </w:tcPr>
          <w:p w14:paraId="42A4A43C" w14:textId="77777777" w:rsidR="00D20EDE" w:rsidRPr="006D1266" w:rsidRDefault="00D20EDE" w:rsidP="00336A67">
            <w:pPr>
              <w:spacing w:after="0" w:line="360" w:lineRule="auto"/>
              <w:jc w:val="center"/>
              <w:rPr>
                <w:rFonts w:ascii="Arial" w:eastAsia="Times New Roman" w:hAnsi="Arial" w:cs="Arial"/>
                <w:b/>
                <w:bCs/>
                <w:color w:val="000000"/>
                <w:sz w:val="20"/>
                <w:szCs w:val="20"/>
                <w:lang w:eastAsia="en-GB"/>
              </w:rPr>
            </w:pPr>
            <w:r w:rsidRPr="006D1266">
              <w:rPr>
                <w:rFonts w:ascii="Arial" w:eastAsia="Times New Roman" w:hAnsi="Arial" w:cs="Arial"/>
                <w:b/>
                <w:bCs/>
                <w:color w:val="000000"/>
                <w:sz w:val="20"/>
                <w:szCs w:val="20"/>
                <w:lang w:eastAsia="en-GB"/>
              </w:rPr>
              <w:t>P-value</w:t>
            </w:r>
          </w:p>
        </w:tc>
      </w:tr>
      <w:tr w:rsidR="00D20EDE" w:rsidRPr="006D1266" w14:paraId="7A9196AF" w14:textId="77777777" w:rsidTr="00336A67">
        <w:trPr>
          <w:trHeight w:val="250"/>
        </w:trPr>
        <w:tc>
          <w:tcPr>
            <w:tcW w:w="2694" w:type="dxa"/>
            <w:tcBorders>
              <w:top w:val="single" w:sz="4" w:space="0" w:color="auto"/>
            </w:tcBorders>
            <w:shd w:val="clear" w:color="auto" w:fill="auto"/>
            <w:noWrap/>
            <w:vAlign w:val="bottom"/>
            <w:hideMark/>
          </w:tcPr>
          <w:p w14:paraId="6DA1AF03" w14:textId="77777777" w:rsidR="00D20EDE" w:rsidRPr="00D15DC9" w:rsidRDefault="00D20EDE" w:rsidP="00336A67">
            <w:pPr>
              <w:spacing w:after="0" w:line="360" w:lineRule="auto"/>
              <w:rPr>
                <w:rFonts w:ascii="Arial" w:eastAsia="Times New Roman" w:hAnsi="Arial" w:cs="Arial"/>
                <w:color w:val="000000"/>
                <w:sz w:val="20"/>
                <w:szCs w:val="20"/>
                <w:lang w:eastAsia="en-GB"/>
              </w:rPr>
            </w:pPr>
            <w:bookmarkStart w:id="30" w:name="_Hlk145930815"/>
            <w:r w:rsidRPr="00D15DC9">
              <w:rPr>
                <w:rFonts w:ascii="Arial" w:eastAsia="Times New Roman" w:hAnsi="Arial" w:cs="Arial"/>
                <w:color w:val="000000"/>
                <w:sz w:val="20"/>
                <w:szCs w:val="20"/>
                <w:lang w:eastAsia="en-GB"/>
              </w:rPr>
              <w:t>Death (all-cause)</w:t>
            </w:r>
          </w:p>
        </w:tc>
        <w:tc>
          <w:tcPr>
            <w:tcW w:w="1701" w:type="dxa"/>
            <w:tcBorders>
              <w:top w:val="single" w:sz="4" w:space="0" w:color="auto"/>
            </w:tcBorders>
            <w:shd w:val="clear" w:color="auto" w:fill="auto"/>
            <w:noWrap/>
          </w:tcPr>
          <w:p w14:paraId="6EC3F847"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1.37 (1.29,1.46)</w:t>
            </w:r>
          </w:p>
        </w:tc>
        <w:tc>
          <w:tcPr>
            <w:tcW w:w="992" w:type="dxa"/>
            <w:tcBorders>
              <w:top w:val="single" w:sz="4" w:space="0" w:color="auto"/>
            </w:tcBorders>
            <w:shd w:val="clear" w:color="auto" w:fill="auto"/>
            <w:noWrap/>
          </w:tcPr>
          <w:p w14:paraId="6F18B519"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c>
          <w:tcPr>
            <w:tcW w:w="1701" w:type="dxa"/>
            <w:tcBorders>
              <w:top w:val="single" w:sz="4" w:space="0" w:color="auto"/>
            </w:tcBorders>
            <w:shd w:val="clear" w:color="auto" w:fill="auto"/>
            <w:noWrap/>
          </w:tcPr>
          <w:p w14:paraId="21E88349"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1.18 (1.11,1.26)</w:t>
            </w:r>
          </w:p>
        </w:tc>
        <w:tc>
          <w:tcPr>
            <w:tcW w:w="992" w:type="dxa"/>
            <w:tcBorders>
              <w:top w:val="single" w:sz="4" w:space="0" w:color="auto"/>
            </w:tcBorders>
            <w:shd w:val="clear" w:color="auto" w:fill="auto"/>
            <w:noWrap/>
          </w:tcPr>
          <w:p w14:paraId="70013D17"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r>
      <w:bookmarkEnd w:id="30"/>
      <w:tr w:rsidR="00D20EDE" w:rsidRPr="006D1266" w14:paraId="6B72B001" w14:textId="77777777" w:rsidTr="00336A67">
        <w:trPr>
          <w:trHeight w:val="250"/>
        </w:trPr>
        <w:tc>
          <w:tcPr>
            <w:tcW w:w="2694" w:type="dxa"/>
            <w:shd w:val="clear" w:color="auto" w:fill="auto"/>
            <w:noWrap/>
            <w:vAlign w:val="bottom"/>
            <w:hideMark/>
          </w:tcPr>
          <w:p w14:paraId="3E4EB72D" w14:textId="77777777" w:rsidR="00D20EDE" w:rsidRPr="00D15DC9" w:rsidRDefault="00D20EDE" w:rsidP="00336A67">
            <w:pPr>
              <w:spacing w:after="0" w:line="360" w:lineRule="auto"/>
              <w:rPr>
                <w:rFonts w:ascii="Arial" w:eastAsia="Times New Roman" w:hAnsi="Arial" w:cs="Arial"/>
                <w:color w:val="000000"/>
                <w:sz w:val="20"/>
                <w:szCs w:val="20"/>
                <w:lang w:eastAsia="en-GB"/>
              </w:rPr>
            </w:pPr>
            <w:r w:rsidRPr="00D15DC9">
              <w:rPr>
                <w:rFonts w:ascii="Arial" w:eastAsia="Times New Roman" w:hAnsi="Arial" w:cs="Arial"/>
                <w:color w:val="000000"/>
                <w:sz w:val="20"/>
                <w:szCs w:val="20"/>
                <w:lang w:eastAsia="en-GB"/>
              </w:rPr>
              <w:t>Death (cancer)</w:t>
            </w:r>
          </w:p>
        </w:tc>
        <w:tc>
          <w:tcPr>
            <w:tcW w:w="1701" w:type="dxa"/>
            <w:shd w:val="clear" w:color="auto" w:fill="auto"/>
            <w:noWrap/>
          </w:tcPr>
          <w:p w14:paraId="6CD62012"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1.19 (1.07,1.33)</w:t>
            </w:r>
          </w:p>
        </w:tc>
        <w:tc>
          <w:tcPr>
            <w:tcW w:w="992" w:type="dxa"/>
            <w:shd w:val="clear" w:color="auto" w:fill="auto"/>
            <w:noWrap/>
          </w:tcPr>
          <w:p w14:paraId="6D9953DD"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0.001</w:t>
            </w:r>
          </w:p>
        </w:tc>
        <w:tc>
          <w:tcPr>
            <w:tcW w:w="1701" w:type="dxa"/>
            <w:shd w:val="clear" w:color="auto" w:fill="auto"/>
            <w:noWrap/>
          </w:tcPr>
          <w:p w14:paraId="2E3332E8"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1.03 (0.92,1.15)</w:t>
            </w:r>
          </w:p>
        </w:tc>
        <w:tc>
          <w:tcPr>
            <w:tcW w:w="992" w:type="dxa"/>
            <w:shd w:val="clear" w:color="auto" w:fill="auto"/>
            <w:noWrap/>
          </w:tcPr>
          <w:p w14:paraId="7D34BE3A"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0.574</w:t>
            </w:r>
          </w:p>
        </w:tc>
      </w:tr>
      <w:tr w:rsidR="00D20EDE" w:rsidRPr="006D1266" w14:paraId="52DE7348" w14:textId="77777777" w:rsidTr="00336A67">
        <w:trPr>
          <w:trHeight w:val="250"/>
        </w:trPr>
        <w:tc>
          <w:tcPr>
            <w:tcW w:w="2694" w:type="dxa"/>
            <w:shd w:val="clear" w:color="auto" w:fill="auto"/>
            <w:noWrap/>
            <w:vAlign w:val="bottom"/>
            <w:hideMark/>
          </w:tcPr>
          <w:p w14:paraId="29D6F6CC" w14:textId="77777777" w:rsidR="00D20EDE" w:rsidRPr="00D15DC9" w:rsidRDefault="00D20EDE" w:rsidP="00336A67">
            <w:pPr>
              <w:spacing w:after="0" w:line="360" w:lineRule="auto"/>
              <w:rPr>
                <w:rFonts w:ascii="Arial" w:eastAsia="Times New Roman" w:hAnsi="Arial" w:cs="Arial"/>
                <w:color w:val="000000"/>
                <w:sz w:val="20"/>
                <w:szCs w:val="20"/>
                <w:lang w:eastAsia="en-GB"/>
              </w:rPr>
            </w:pPr>
            <w:r w:rsidRPr="00D15DC9">
              <w:rPr>
                <w:rFonts w:ascii="Arial" w:eastAsia="Times New Roman" w:hAnsi="Arial" w:cs="Arial"/>
                <w:color w:val="000000"/>
                <w:sz w:val="20"/>
                <w:szCs w:val="20"/>
                <w:lang w:eastAsia="en-GB"/>
              </w:rPr>
              <w:t>Death (cardiovascular)</w:t>
            </w:r>
          </w:p>
        </w:tc>
        <w:tc>
          <w:tcPr>
            <w:tcW w:w="1701" w:type="dxa"/>
            <w:shd w:val="clear" w:color="auto" w:fill="auto"/>
            <w:noWrap/>
          </w:tcPr>
          <w:p w14:paraId="36C6C142"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1.55 (1.39,1.73)</w:t>
            </w:r>
          </w:p>
        </w:tc>
        <w:tc>
          <w:tcPr>
            <w:tcW w:w="992" w:type="dxa"/>
            <w:shd w:val="clear" w:color="auto" w:fill="auto"/>
            <w:noWrap/>
          </w:tcPr>
          <w:p w14:paraId="01F0CFF5"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c>
          <w:tcPr>
            <w:tcW w:w="1701" w:type="dxa"/>
            <w:shd w:val="clear" w:color="auto" w:fill="auto"/>
            <w:noWrap/>
          </w:tcPr>
          <w:p w14:paraId="0E66885A"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1.34 (1.17,1.55)</w:t>
            </w:r>
          </w:p>
        </w:tc>
        <w:tc>
          <w:tcPr>
            <w:tcW w:w="992" w:type="dxa"/>
            <w:shd w:val="clear" w:color="auto" w:fill="auto"/>
            <w:noWrap/>
          </w:tcPr>
          <w:p w14:paraId="0E89ADD5"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r>
      <w:tr w:rsidR="00D20EDE" w:rsidRPr="006D1266" w14:paraId="79C3E335" w14:textId="77777777" w:rsidTr="00336A67">
        <w:trPr>
          <w:trHeight w:val="250"/>
        </w:trPr>
        <w:tc>
          <w:tcPr>
            <w:tcW w:w="2694" w:type="dxa"/>
            <w:shd w:val="clear" w:color="auto" w:fill="auto"/>
            <w:noWrap/>
            <w:vAlign w:val="bottom"/>
            <w:hideMark/>
          </w:tcPr>
          <w:p w14:paraId="3AF9861F" w14:textId="77777777" w:rsidR="00D20EDE" w:rsidRPr="00D15DC9" w:rsidRDefault="00D20EDE" w:rsidP="00336A67">
            <w:pPr>
              <w:spacing w:after="0" w:line="360" w:lineRule="auto"/>
              <w:rPr>
                <w:rFonts w:ascii="Arial" w:eastAsia="Times New Roman" w:hAnsi="Arial" w:cs="Arial"/>
                <w:color w:val="000000"/>
                <w:sz w:val="20"/>
                <w:szCs w:val="20"/>
                <w:lang w:eastAsia="en-GB"/>
              </w:rPr>
            </w:pPr>
            <w:r w:rsidRPr="00D15DC9">
              <w:rPr>
                <w:rFonts w:ascii="Arial" w:eastAsia="Times New Roman" w:hAnsi="Arial" w:cs="Arial"/>
                <w:color w:val="000000"/>
                <w:sz w:val="20"/>
                <w:szCs w:val="20"/>
                <w:lang w:eastAsia="en-GB"/>
              </w:rPr>
              <w:t>Death (other)</w:t>
            </w:r>
          </w:p>
        </w:tc>
        <w:tc>
          <w:tcPr>
            <w:tcW w:w="1701" w:type="dxa"/>
            <w:shd w:val="clear" w:color="auto" w:fill="auto"/>
            <w:noWrap/>
          </w:tcPr>
          <w:p w14:paraId="119B1B7F"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1.44 (1.28,1.61)</w:t>
            </w:r>
          </w:p>
        </w:tc>
        <w:tc>
          <w:tcPr>
            <w:tcW w:w="992" w:type="dxa"/>
            <w:shd w:val="clear" w:color="auto" w:fill="auto"/>
            <w:noWrap/>
          </w:tcPr>
          <w:p w14:paraId="067A8E83"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c>
          <w:tcPr>
            <w:tcW w:w="1701" w:type="dxa"/>
            <w:shd w:val="clear" w:color="auto" w:fill="auto"/>
            <w:noWrap/>
          </w:tcPr>
          <w:p w14:paraId="26B9F3FC"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1.26 (1.14,1.40)</w:t>
            </w:r>
          </w:p>
        </w:tc>
        <w:tc>
          <w:tcPr>
            <w:tcW w:w="992" w:type="dxa"/>
            <w:shd w:val="clear" w:color="auto" w:fill="auto"/>
            <w:noWrap/>
          </w:tcPr>
          <w:p w14:paraId="46D1CD75"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r>
      <w:tr w:rsidR="00D20EDE" w:rsidRPr="006D1266" w14:paraId="4C58AB5F" w14:textId="77777777" w:rsidTr="00336A67">
        <w:trPr>
          <w:trHeight w:val="250"/>
        </w:trPr>
        <w:tc>
          <w:tcPr>
            <w:tcW w:w="2694" w:type="dxa"/>
            <w:shd w:val="clear" w:color="auto" w:fill="auto"/>
            <w:noWrap/>
            <w:vAlign w:val="bottom"/>
            <w:hideMark/>
          </w:tcPr>
          <w:p w14:paraId="6AF0630F" w14:textId="77777777" w:rsidR="00D20EDE" w:rsidRPr="00D15DC9" w:rsidRDefault="00D20EDE" w:rsidP="00336A67">
            <w:pPr>
              <w:spacing w:after="0" w:line="360" w:lineRule="auto"/>
              <w:rPr>
                <w:rFonts w:ascii="Arial" w:eastAsia="Times New Roman" w:hAnsi="Arial" w:cs="Arial"/>
                <w:color w:val="000000"/>
                <w:sz w:val="20"/>
                <w:szCs w:val="20"/>
                <w:lang w:eastAsia="en-GB"/>
              </w:rPr>
            </w:pPr>
            <w:r w:rsidRPr="00D15DC9">
              <w:rPr>
                <w:rFonts w:ascii="Arial" w:eastAsia="Times New Roman" w:hAnsi="Arial" w:cs="Arial"/>
                <w:color w:val="000000"/>
                <w:sz w:val="20"/>
                <w:szCs w:val="20"/>
                <w:lang w:eastAsia="en-GB"/>
              </w:rPr>
              <w:t>Admission (any)</w:t>
            </w:r>
          </w:p>
        </w:tc>
        <w:tc>
          <w:tcPr>
            <w:tcW w:w="1701" w:type="dxa"/>
            <w:shd w:val="clear" w:color="auto" w:fill="auto"/>
            <w:noWrap/>
          </w:tcPr>
          <w:p w14:paraId="23152B90"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1.23 (1.18,1.29)</w:t>
            </w:r>
          </w:p>
        </w:tc>
        <w:tc>
          <w:tcPr>
            <w:tcW w:w="992" w:type="dxa"/>
            <w:shd w:val="clear" w:color="auto" w:fill="auto"/>
            <w:noWrap/>
          </w:tcPr>
          <w:p w14:paraId="7E35098D"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c>
          <w:tcPr>
            <w:tcW w:w="1701" w:type="dxa"/>
            <w:shd w:val="clear" w:color="auto" w:fill="auto"/>
            <w:noWrap/>
          </w:tcPr>
          <w:p w14:paraId="53BC690C"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1.23 (1.19,1.28)</w:t>
            </w:r>
          </w:p>
        </w:tc>
        <w:tc>
          <w:tcPr>
            <w:tcW w:w="992" w:type="dxa"/>
            <w:shd w:val="clear" w:color="auto" w:fill="auto"/>
            <w:noWrap/>
          </w:tcPr>
          <w:p w14:paraId="7E16D0E4"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r>
      <w:tr w:rsidR="00D20EDE" w:rsidRPr="006D1266" w14:paraId="1D198E9D" w14:textId="77777777" w:rsidTr="00336A67">
        <w:trPr>
          <w:trHeight w:val="250"/>
        </w:trPr>
        <w:tc>
          <w:tcPr>
            <w:tcW w:w="2694" w:type="dxa"/>
            <w:shd w:val="clear" w:color="auto" w:fill="auto"/>
            <w:noWrap/>
            <w:vAlign w:val="bottom"/>
            <w:hideMark/>
          </w:tcPr>
          <w:p w14:paraId="00B32EC3" w14:textId="77777777" w:rsidR="00D20EDE" w:rsidRPr="00D15DC9" w:rsidRDefault="00D20EDE" w:rsidP="00336A67">
            <w:pPr>
              <w:spacing w:after="0" w:line="360" w:lineRule="auto"/>
              <w:rPr>
                <w:rFonts w:ascii="Arial" w:eastAsia="Times New Roman" w:hAnsi="Arial" w:cs="Arial"/>
                <w:color w:val="000000"/>
                <w:sz w:val="20"/>
                <w:szCs w:val="20"/>
                <w:lang w:eastAsia="en-GB"/>
              </w:rPr>
            </w:pPr>
            <w:r w:rsidRPr="00D15DC9">
              <w:rPr>
                <w:rFonts w:ascii="Arial" w:eastAsia="Times New Roman" w:hAnsi="Arial" w:cs="Arial"/>
                <w:color w:val="000000"/>
                <w:sz w:val="20"/>
                <w:szCs w:val="20"/>
                <w:lang w:eastAsia="en-GB"/>
              </w:rPr>
              <w:t>Admission (neurological)</w:t>
            </w:r>
          </w:p>
        </w:tc>
        <w:tc>
          <w:tcPr>
            <w:tcW w:w="1701" w:type="dxa"/>
            <w:shd w:val="clear" w:color="auto" w:fill="auto"/>
            <w:noWrap/>
          </w:tcPr>
          <w:p w14:paraId="75159ABF"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1.32 (1.22,1.44)</w:t>
            </w:r>
          </w:p>
        </w:tc>
        <w:tc>
          <w:tcPr>
            <w:tcW w:w="992" w:type="dxa"/>
            <w:shd w:val="clear" w:color="auto" w:fill="auto"/>
            <w:noWrap/>
          </w:tcPr>
          <w:p w14:paraId="58DE7C29"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c>
          <w:tcPr>
            <w:tcW w:w="1701" w:type="dxa"/>
            <w:shd w:val="clear" w:color="auto" w:fill="auto"/>
            <w:noWrap/>
          </w:tcPr>
          <w:p w14:paraId="6A4E1020"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1.23 (1.15,1.33)</w:t>
            </w:r>
          </w:p>
        </w:tc>
        <w:tc>
          <w:tcPr>
            <w:tcW w:w="992" w:type="dxa"/>
            <w:shd w:val="clear" w:color="auto" w:fill="auto"/>
            <w:noWrap/>
          </w:tcPr>
          <w:p w14:paraId="4FCD96A8"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r>
      <w:tr w:rsidR="00D20EDE" w:rsidRPr="006D1266" w14:paraId="026C6E8D" w14:textId="77777777" w:rsidTr="00336A67">
        <w:trPr>
          <w:trHeight w:val="250"/>
        </w:trPr>
        <w:tc>
          <w:tcPr>
            <w:tcW w:w="2694" w:type="dxa"/>
            <w:shd w:val="clear" w:color="auto" w:fill="auto"/>
            <w:noWrap/>
            <w:vAlign w:val="bottom"/>
            <w:hideMark/>
          </w:tcPr>
          <w:p w14:paraId="7880DFDE" w14:textId="77777777" w:rsidR="00D20EDE" w:rsidRPr="00D15DC9" w:rsidRDefault="00D20EDE" w:rsidP="00336A67">
            <w:pPr>
              <w:spacing w:after="0" w:line="360" w:lineRule="auto"/>
              <w:rPr>
                <w:rFonts w:ascii="Arial" w:eastAsia="Times New Roman" w:hAnsi="Arial" w:cs="Arial"/>
                <w:color w:val="000000"/>
                <w:sz w:val="20"/>
                <w:szCs w:val="20"/>
                <w:lang w:eastAsia="en-GB"/>
              </w:rPr>
            </w:pPr>
            <w:r w:rsidRPr="00D15DC9">
              <w:rPr>
                <w:rFonts w:ascii="Arial" w:eastAsia="Times New Roman" w:hAnsi="Arial" w:cs="Arial"/>
                <w:color w:val="000000"/>
                <w:sz w:val="20"/>
                <w:szCs w:val="20"/>
                <w:lang w:eastAsia="en-GB"/>
              </w:rPr>
              <w:t>Admission (cardiovascular)</w:t>
            </w:r>
          </w:p>
        </w:tc>
        <w:tc>
          <w:tcPr>
            <w:tcW w:w="1701" w:type="dxa"/>
            <w:shd w:val="clear" w:color="auto" w:fill="auto"/>
            <w:noWrap/>
          </w:tcPr>
          <w:p w14:paraId="031948C1"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1.40 (1.34,1.47)</w:t>
            </w:r>
          </w:p>
        </w:tc>
        <w:tc>
          <w:tcPr>
            <w:tcW w:w="992" w:type="dxa"/>
            <w:shd w:val="clear" w:color="auto" w:fill="auto"/>
            <w:noWrap/>
          </w:tcPr>
          <w:p w14:paraId="7C08C663"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c>
          <w:tcPr>
            <w:tcW w:w="1701" w:type="dxa"/>
            <w:shd w:val="clear" w:color="auto" w:fill="auto"/>
            <w:noWrap/>
          </w:tcPr>
          <w:p w14:paraId="77AFBF99"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1.33 (1.28,1.39)</w:t>
            </w:r>
          </w:p>
        </w:tc>
        <w:tc>
          <w:tcPr>
            <w:tcW w:w="992" w:type="dxa"/>
            <w:shd w:val="clear" w:color="auto" w:fill="auto"/>
            <w:noWrap/>
          </w:tcPr>
          <w:p w14:paraId="2C563643"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r>
      <w:tr w:rsidR="00D20EDE" w:rsidRPr="006D1266" w14:paraId="595EA485" w14:textId="77777777" w:rsidTr="00336A67">
        <w:trPr>
          <w:trHeight w:val="250"/>
        </w:trPr>
        <w:tc>
          <w:tcPr>
            <w:tcW w:w="2694" w:type="dxa"/>
            <w:tcBorders>
              <w:bottom w:val="single" w:sz="4" w:space="0" w:color="auto"/>
            </w:tcBorders>
            <w:shd w:val="clear" w:color="auto" w:fill="auto"/>
            <w:noWrap/>
            <w:vAlign w:val="bottom"/>
            <w:hideMark/>
          </w:tcPr>
          <w:p w14:paraId="14D9D245" w14:textId="77777777" w:rsidR="00D20EDE" w:rsidRPr="00D15DC9" w:rsidRDefault="00D20EDE" w:rsidP="00336A67">
            <w:pPr>
              <w:spacing w:after="0" w:line="360" w:lineRule="auto"/>
              <w:rPr>
                <w:rFonts w:ascii="Arial" w:eastAsia="Times New Roman" w:hAnsi="Arial" w:cs="Arial"/>
                <w:color w:val="000000"/>
                <w:sz w:val="20"/>
                <w:szCs w:val="20"/>
                <w:lang w:eastAsia="en-GB"/>
              </w:rPr>
            </w:pPr>
            <w:r w:rsidRPr="00D15DC9">
              <w:rPr>
                <w:rFonts w:ascii="Arial" w:eastAsia="Times New Roman" w:hAnsi="Arial" w:cs="Arial"/>
                <w:color w:val="000000"/>
                <w:sz w:val="20"/>
                <w:szCs w:val="20"/>
                <w:lang w:eastAsia="en-GB"/>
              </w:rPr>
              <w:t>Admission (respiratory)</w:t>
            </w:r>
          </w:p>
        </w:tc>
        <w:tc>
          <w:tcPr>
            <w:tcW w:w="1701" w:type="dxa"/>
            <w:tcBorders>
              <w:bottom w:val="single" w:sz="4" w:space="0" w:color="auto"/>
            </w:tcBorders>
            <w:shd w:val="clear" w:color="auto" w:fill="auto"/>
            <w:noWrap/>
          </w:tcPr>
          <w:p w14:paraId="036459A5"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1.46 (1.38,1.55)</w:t>
            </w:r>
          </w:p>
        </w:tc>
        <w:tc>
          <w:tcPr>
            <w:tcW w:w="992" w:type="dxa"/>
            <w:tcBorders>
              <w:bottom w:val="single" w:sz="4" w:space="0" w:color="auto"/>
            </w:tcBorders>
            <w:shd w:val="clear" w:color="auto" w:fill="auto"/>
            <w:noWrap/>
          </w:tcPr>
          <w:p w14:paraId="3BCFB861"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c>
          <w:tcPr>
            <w:tcW w:w="1701" w:type="dxa"/>
            <w:tcBorders>
              <w:bottom w:val="single" w:sz="4" w:space="0" w:color="auto"/>
            </w:tcBorders>
            <w:shd w:val="clear" w:color="auto" w:fill="auto"/>
            <w:noWrap/>
          </w:tcPr>
          <w:p w14:paraId="2AE125E0"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1.30 (1.24,1.38)</w:t>
            </w:r>
          </w:p>
        </w:tc>
        <w:tc>
          <w:tcPr>
            <w:tcW w:w="992" w:type="dxa"/>
            <w:tcBorders>
              <w:bottom w:val="single" w:sz="4" w:space="0" w:color="auto"/>
            </w:tcBorders>
            <w:shd w:val="clear" w:color="auto" w:fill="auto"/>
            <w:noWrap/>
          </w:tcPr>
          <w:p w14:paraId="1A76C48A" w14:textId="77777777" w:rsidR="00D20EDE" w:rsidRPr="00D15DC9" w:rsidRDefault="00D20EDE" w:rsidP="00336A67">
            <w:pPr>
              <w:spacing w:after="0" w:line="360" w:lineRule="auto"/>
              <w:jc w:val="center"/>
              <w:rPr>
                <w:rFonts w:ascii="Arial" w:eastAsia="Times New Roman" w:hAnsi="Arial" w:cs="Arial"/>
                <w:color w:val="000000"/>
                <w:sz w:val="20"/>
                <w:szCs w:val="20"/>
                <w:lang w:eastAsia="en-GB"/>
              </w:rPr>
            </w:pPr>
            <w:r w:rsidRPr="00D15DC9">
              <w:rPr>
                <w:rFonts w:ascii="Arial" w:hAnsi="Arial" w:cs="Arial"/>
                <w:sz w:val="20"/>
                <w:szCs w:val="20"/>
              </w:rPr>
              <w:t>&lt;0.001</w:t>
            </w:r>
          </w:p>
        </w:tc>
      </w:tr>
      <w:tr w:rsidR="00D20EDE" w:rsidRPr="006D1266" w14:paraId="76CBC34A" w14:textId="77777777" w:rsidTr="00336A67">
        <w:trPr>
          <w:trHeight w:val="250"/>
        </w:trPr>
        <w:tc>
          <w:tcPr>
            <w:tcW w:w="2694" w:type="dxa"/>
            <w:tcBorders>
              <w:top w:val="single" w:sz="4" w:space="0" w:color="auto"/>
            </w:tcBorders>
            <w:shd w:val="clear" w:color="auto" w:fill="auto"/>
            <w:noWrap/>
            <w:vAlign w:val="bottom"/>
            <w:hideMark/>
          </w:tcPr>
          <w:p w14:paraId="1EDA599C" w14:textId="77777777" w:rsidR="00D20EDE" w:rsidRPr="006D1266" w:rsidRDefault="00D20EDE" w:rsidP="00336A67">
            <w:pPr>
              <w:spacing w:after="0" w:line="360" w:lineRule="auto"/>
              <w:jc w:val="center"/>
              <w:rPr>
                <w:rFonts w:ascii="Arial" w:eastAsia="Times New Roman" w:hAnsi="Arial" w:cs="Arial"/>
                <w:color w:val="000000"/>
                <w:sz w:val="20"/>
                <w:szCs w:val="20"/>
                <w:lang w:eastAsia="en-GB"/>
              </w:rPr>
            </w:pPr>
          </w:p>
        </w:tc>
        <w:tc>
          <w:tcPr>
            <w:tcW w:w="1701" w:type="dxa"/>
            <w:tcBorders>
              <w:top w:val="single" w:sz="4" w:space="0" w:color="auto"/>
            </w:tcBorders>
            <w:shd w:val="clear" w:color="auto" w:fill="auto"/>
            <w:noWrap/>
            <w:vAlign w:val="bottom"/>
            <w:hideMark/>
          </w:tcPr>
          <w:p w14:paraId="39AC809A"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c>
          <w:tcPr>
            <w:tcW w:w="992" w:type="dxa"/>
            <w:tcBorders>
              <w:top w:val="single" w:sz="4" w:space="0" w:color="auto"/>
            </w:tcBorders>
            <w:shd w:val="clear" w:color="auto" w:fill="auto"/>
            <w:noWrap/>
            <w:vAlign w:val="bottom"/>
            <w:hideMark/>
          </w:tcPr>
          <w:p w14:paraId="29CE6000"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c>
          <w:tcPr>
            <w:tcW w:w="1701" w:type="dxa"/>
            <w:tcBorders>
              <w:top w:val="single" w:sz="4" w:space="0" w:color="auto"/>
            </w:tcBorders>
            <w:shd w:val="clear" w:color="auto" w:fill="auto"/>
            <w:noWrap/>
            <w:vAlign w:val="bottom"/>
            <w:hideMark/>
          </w:tcPr>
          <w:p w14:paraId="6D45A17C"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c>
          <w:tcPr>
            <w:tcW w:w="992" w:type="dxa"/>
            <w:tcBorders>
              <w:top w:val="single" w:sz="4" w:space="0" w:color="auto"/>
            </w:tcBorders>
            <w:shd w:val="clear" w:color="auto" w:fill="auto"/>
            <w:noWrap/>
            <w:vAlign w:val="bottom"/>
            <w:hideMark/>
          </w:tcPr>
          <w:p w14:paraId="235108CF" w14:textId="77777777" w:rsidR="00D20EDE" w:rsidRPr="006D1266" w:rsidRDefault="00D20EDE" w:rsidP="00336A67">
            <w:pPr>
              <w:spacing w:after="0" w:line="360" w:lineRule="auto"/>
              <w:rPr>
                <w:rFonts w:ascii="Times New Roman" w:eastAsia="Times New Roman" w:hAnsi="Times New Roman" w:cs="Times New Roman"/>
                <w:sz w:val="20"/>
                <w:szCs w:val="20"/>
                <w:lang w:eastAsia="en-GB"/>
              </w:rPr>
            </w:pPr>
          </w:p>
        </w:tc>
      </w:tr>
      <w:tr w:rsidR="00D20EDE" w:rsidRPr="006D1266" w14:paraId="367B8731" w14:textId="77777777" w:rsidTr="00336A67">
        <w:trPr>
          <w:trHeight w:val="250"/>
        </w:trPr>
        <w:tc>
          <w:tcPr>
            <w:tcW w:w="8080" w:type="dxa"/>
            <w:gridSpan w:val="5"/>
            <w:shd w:val="clear" w:color="auto" w:fill="auto"/>
            <w:noWrap/>
            <w:vAlign w:val="bottom"/>
            <w:hideMark/>
          </w:tcPr>
          <w:p w14:paraId="020FE2C6" w14:textId="77777777" w:rsidR="00D20EDE" w:rsidRPr="006D1266" w:rsidRDefault="00D20EDE" w:rsidP="00336A67">
            <w:pPr>
              <w:spacing w:after="0" w:line="360" w:lineRule="auto"/>
              <w:rPr>
                <w:rFonts w:ascii="Arial" w:eastAsia="Times New Roman" w:hAnsi="Arial" w:cs="Arial"/>
                <w:color w:val="000000"/>
                <w:sz w:val="20"/>
                <w:szCs w:val="20"/>
                <w:lang w:eastAsia="en-GB"/>
              </w:rPr>
            </w:pPr>
            <w:r w:rsidRPr="006D1266">
              <w:rPr>
                <w:rFonts w:ascii="Arial" w:eastAsia="Times New Roman" w:hAnsi="Arial" w:cs="Arial"/>
                <w:color w:val="000000"/>
                <w:sz w:val="20"/>
                <w:szCs w:val="20"/>
                <w:lang w:eastAsia="en-GB"/>
              </w:rPr>
              <w:t>Hazard ratios were derived from time-to-first event Cox regression models </w:t>
            </w:r>
          </w:p>
        </w:tc>
      </w:tr>
      <w:tr w:rsidR="00D20EDE" w:rsidRPr="006D1266" w14:paraId="249CDA6B" w14:textId="77777777" w:rsidTr="00336A67">
        <w:trPr>
          <w:trHeight w:val="250"/>
        </w:trPr>
        <w:tc>
          <w:tcPr>
            <w:tcW w:w="8080" w:type="dxa"/>
            <w:gridSpan w:val="5"/>
            <w:shd w:val="clear" w:color="auto" w:fill="auto"/>
            <w:noWrap/>
            <w:vAlign w:val="bottom"/>
            <w:hideMark/>
          </w:tcPr>
          <w:p w14:paraId="3BFE44A9" w14:textId="77777777" w:rsidR="00D20EDE" w:rsidRPr="006D1266" w:rsidRDefault="00D20EDE" w:rsidP="00336A67">
            <w:pPr>
              <w:spacing w:after="0" w:line="360" w:lineRule="auto"/>
              <w:rPr>
                <w:rFonts w:ascii="Arial" w:eastAsia="Times New Roman" w:hAnsi="Arial" w:cs="Arial"/>
                <w:color w:val="000000"/>
                <w:sz w:val="20"/>
                <w:szCs w:val="20"/>
                <w:lang w:eastAsia="en-GB"/>
              </w:rPr>
            </w:pPr>
            <w:r w:rsidRPr="006D1266">
              <w:rPr>
                <w:rFonts w:ascii="Arial" w:eastAsia="Times New Roman" w:hAnsi="Arial" w:cs="Arial"/>
                <w:color w:val="000000"/>
                <w:sz w:val="20"/>
                <w:szCs w:val="20"/>
                <w:lang w:eastAsia="en-GB"/>
              </w:rPr>
              <w:t xml:space="preserve">Death was regarded as a censoring event for hospital admission </w:t>
            </w:r>
            <w:r>
              <w:rPr>
                <w:rFonts w:ascii="Arial" w:eastAsia="Times New Roman" w:hAnsi="Arial" w:cs="Arial"/>
                <w:color w:val="000000"/>
                <w:sz w:val="20"/>
                <w:szCs w:val="20"/>
                <w:lang w:eastAsia="en-GB"/>
              </w:rPr>
              <w:t>events</w:t>
            </w:r>
          </w:p>
        </w:tc>
      </w:tr>
      <w:tr w:rsidR="00D20EDE" w:rsidRPr="006D1266" w14:paraId="6C070CEE" w14:textId="77777777" w:rsidTr="00336A67">
        <w:trPr>
          <w:trHeight w:val="250"/>
        </w:trPr>
        <w:tc>
          <w:tcPr>
            <w:tcW w:w="8080" w:type="dxa"/>
            <w:gridSpan w:val="5"/>
            <w:shd w:val="clear" w:color="auto" w:fill="auto"/>
            <w:vAlign w:val="center"/>
            <w:hideMark/>
          </w:tcPr>
          <w:p w14:paraId="3073F83D" w14:textId="77777777" w:rsidR="00D20EDE" w:rsidRPr="006D1266" w:rsidRDefault="00D20EDE" w:rsidP="00336A67">
            <w:pPr>
              <w:spacing w:after="0" w:line="360" w:lineRule="auto"/>
              <w:rPr>
                <w:rFonts w:ascii="Arial" w:eastAsia="Times New Roman" w:hAnsi="Arial" w:cs="Arial"/>
                <w:color w:val="000000"/>
                <w:sz w:val="20"/>
                <w:szCs w:val="20"/>
                <w:lang w:eastAsia="en-GB"/>
              </w:rPr>
            </w:pPr>
            <w:r w:rsidRPr="006D1266">
              <w:rPr>
                <w:rFonts w:ascii="Arial" w:eastAsia="Times New Roman" w:hAnsi="Arial" w:cs="Arial"/>
                <w:color w:val="000000"/>
                <w:sz w:val="20"/>
                <w:szCs w:val="20"/>
                <w:lang w:eastAsia="en-GB"/>
              </w:rPr>
              <w:t>Other causes of death were those that were not from cancer or cardiovascular causes </w:t>
            </w:r>
          </w:p>
        </w:tc>
      </w:tr>
      <w:bookmarkEnd w:id="28"/>
    </w:tbl>
    <w:p w14:paraId="6587FF51" w14:textId="77777777" w:rsidR="00D20EDE" w:rsidRDefault="00D20EDE" w:rsidP="00D20EDE"/>
    <w:p w14:paraId="2D5AC62E" w14:textId="77777777" w:rsidR="00D20EDE" w:rsidRDefault="00D20EDE" w:rsidP="00D20EDE"/>
    <w:p w14:paraId="0E71A0F0" w14:textId="77777777" w:rsidR="00D20EDE" w:rsidRDefault="00D20EDE" w:rsidP="00D20EDE"/>
    <w:p w14:paraId="3837E2F1" w14:textId="77777777" w:rsidR="00D20EDE" w:rsidRDefault="00D20EDE" w:rsidP="00D20EDE"/>
    <w:p w14:paraId="530A0387" w14:textId="77777777" w:rsidR="00D20EDE" w:rsidRDefault="00D20EDE" w:rsidP="00D20EDE"/>
    <w:p w14:paraId="423632ED" w14:textId="77777777" w:rsidR="00D20EDE" w:rsidRDefault="00D20EDE" w:rsidP="00D20EDE"/>
    <w:p w14:paraId="344C829E" w14:textId="77777777" w:rsidR="00D20EDE" w:rsidRDefault="00D20EDE" w:rsidP="00D20EDE"/>
    <w:p w14:paraId="763BBD0A" w14:textId="77777777" w:rsidR="00D20EDE" w:rsidRDefault="00D20EDE" w:rsidP="00D20EDE"/>
    <w:p w14:paraId="6CD01A12" w14:textId="77777777" w:rsidR="00D20EDE" w:rsidRDefault="00D20EDE" w:rsidP="00D20EDE"/>
    <w:p w14:paraId="0685250B" w14:textId="77777777" w:rsidR="00D20EDE" w:rsidRDefault="00D20EDE" w:rsidP="00D20EDE"/>
    <w:p w14:paraId="3CEADE41" w14:textId="77777777" w:rsidR="00D20EDE" w:rsidRDefault="00D20EDE" w:rsidP="00D20EDE"/>
    <w:p w14:paraId="195D337D" w14:textId="77777777" w:rsidR="00D20EDE" w:rsidRDefault="00D20EDE" w:rsidP="00D20EDE"/>
    <w:p w14:paraId="278D0E04" w14:textId="77777777" w:rsidR="00D20EDE" w:rsidRDefault="00D20EDE" w:rsidP="00D20EDE"/>
    <w:p w14:paraId="695F6D7E" w14:textId="77777777" w:rsidR="00D20EDE" w:rsidRDefault="00D20EDE" w:rsidP="00D20EDE"/>
    <w:p w14:paraId="0CF863E7" w14:textId="77777777" w:rsidR="00D20EDE" w:rsidRDefault="00D20EDE" w:rsidP="00D20EDE"/>
    <w:p w14:paraId="301D4253" w14:textId="77777777" w:rsidR="00D20EDE" w:rsidRDefault="00D20EDE" w:rsidP="00D20EDE"/>
    <w:p w14:paraId="6D8646D6" w14:textId="77777777" w:rsidR="00D20EDE" w:rsidRPr="0080764F" w:rsidRDefault="00D20EDE" w:rsidP="00D20EDE">
      <w:pPr>
        <w:rPr>
          <w:rFonts w:ascii="Arial" w:hAnsi="Arial" w:cs="Arial"/>
          <w:sz w:val="20"/>
          <w:szCs w:val="20"/>
        </w:rPr>
      </w:pPr>
      <w:r w:rsidRPr="00D8794B">
        <w:rPr>
          <w:rFonts w:ascii="Arial" w:hAnsi="Arial" w:cs="Arial"/>
          <w:b/>
          <w:bCs/>
          <w:noProof/>
          <w:sz w:val="20"/>
          <w:szCs w:val="20"/>
        </w:rPr>
        <w:t xml:space="preserve">Figure 1: </w:t>
      </w:r>
      <w:r>
        <w:rPr>
          <w:rFonts w:ascii="Arial" w:hAnsi="Arial" w:cs="Arial"/>
          <w:b/>
          <w:bCs/>
          <w:noProof/>
          <w:sz w:val="20"/>
          <w:szCs w:val="20"/>
        </w:rPr>
        <w:t>H</w:t>
      </w:r>
      <w:r w:rsidRPr="00D8794B">
        <w:rPr>
          <w:rFonts w:ascii="Arial" w:hAnsi="Arial" w:cs="Arial"/>
          <w:b/>
          <w:bCs/>
          <w:noProof/>
          <w:sz w:val="20"/>
          <w:szCs w:val="20"/>
        </w:rPr>
        <w:t>azard ratios (95% CI) for adverse health events according to number of systems medicated at baseline (reference category of no systems medicated)</w:t>
      </w:r>
      <w:r>
        <w:rPr>
          <w:rFonts w:ascii="Arial" w:hAnsi="Arial" w:cs="Arial"/>
          <w:b/>
          <w:bCs/>
          <w:noProof/>
          <w:sz w:val="20"/>
          <w:szCs w:val="20"/>
        </w:rPr>
        <w:t xml:space="preserve"> </w:t>
      </w:r>
    </w:p>
    <w:p w14:paraId="53587408" w14:textId="594BA885" w:rsidR="00D20EDE" w:rsidRDefault="00D20EDE" w:rsidP="00D20EDE">
      <w:pPr>
        <w:spacing w:line="480" w:lineRule="auto"/>
        <w:jc w:val="both"/>
        <w:rPr>
          <w:rFonts w:ascii="Arial" w:hAnsi="Arial" w:cs="Arial"/>
        </w:rPr>
      </w:pPr>
    </w:p>
    <w:p w14:paraId="03682D27" w14:textId="77777777" w:rsidR="00D20EDE" w:rsidRPr="00D8794B" w:rsidRDefault="00D20EDE" w:rsidP="00D20EDE">
      <w:pPr>
        <w:rPr>
          <w:rFonts w:ascii="Arial" w:hAnsi="Arial" w:cs="Arial"/>
        </w:rPr>
      </w:pPr>
      <w:r w:rsidRPr="00D8794B">
        <w:rPr>
          <w:rFonts w:ascii="Arial" w:hAnsi="Arial" w:cs="Arial"/>
          <w:sz w:val="20"/>
          <w:szCs w:val="20"/>
        </w:rPr>
        <w:t>Time-to-first event Cox regression was used; death was regarded as a censoring event for hospital admission outcomes</w:t>
      </w:r>
    </w:p>
    <w:p w14:paraId="51FE6915" w14:textId="4E5EED07" w:rsidR="00D20EDE" w:rsidRPr="00D20EDE" w:rsidRDefault="00D20EDE" w:rsidP="00D20EDE">
      <w:pPr>
        <w:spacing w:line="480" w:lineRule="auto"/>
        <w:rPr>
          <w:rFonts w:ascii="Arial" w:hAnsi="Arial" w:cs="Arial"/>
          <w:i/>
          <w:iCs/>
          <w:lang w:val="en-US"/>
        </w:rPr>
      </w:pPr>
      <w:r w:rsidRPr="00D8794B">
        <w:rPr>
          <w:rFonts w:ascii="Arial" w:hAnsi="Arial" w:cs="Arial"/>
          <w:sz w:val="20"/>
          <w:szCs w:val="20"/>
        </w:rPr>
        <w:t>Other causes of death were those that were not from cancer or cardiovascular causes</w:t>
      </w:r>
    </w:p>
    <w:sectPr w:rsidR="00D20EDE" w:rsidRPr="00D20EDE" w:rsidSect="003E5CF8">
      <w:footerReference w:type="default" r:id="rId4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38B8" w14:textId="77777777" w:rsidR="005D5BCC" w:rsidRDefault="005D5BCC" w:rsidP="005F0980">
      <w:pPr>
        <w:spacing w:after="0" w:line="240" w:lineRule="auto"/>
      </w:pPr>
      <w:r>
        <w:separator/>
      </w:r>
    </w:p>
  </w:endnote>
  <w:endnote w:type="continuationSeparator" w:id="0">
    <w:p w14:paraId="5612A9DE" w14:textId="77777777" w:rsidR="005D5BCC" w:rsidRDefault="005D5BCC" w:rsidP="005F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279494"/>
      <w:docPartObj>
        <w:docPartGallery w:val="Page Numbers (Bottom of Page)"/>
        <w:docPartUnique/>
      </w:docPartObj>
    </w:sdtPr>
    <w:sdtEndPr>
      <w:rPr>
        <w:noProof/>
      </w:rPr>
    </w:sdtEndPr>
    <w:sdtContent>
      <w:p w14:paraId="119553C2" w14:textId="2685B9CA" w:rsidR="005F0980" w:rsidRDefault="005F0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9F626" w14:textId="77777777" w:rsidR="005F0980" w:rsidRDefault="005F0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5478" w14:textId="77777777" w:rsidR="005D5BCC" w:rsidRDefault="005D5BCC" w:rsidP="005F0980">
      <w:pPr>
        <w:spacing w:after="0" w:line="240" w:lineRule="auto"/>
      </w:pPr>
      <w:r>
        <w:separator/>
      </w:r>
    </w:p>
  </w:footnote>
  <w:footnote w:type="continuationSeparator" w:id="0">
    <w:p w14:paraId="7FA948AA" w14:textId="77777777" w:rsidR="005D5BCC" w:rsidRDefault="005D5BCC" w:rsidP="005F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1281"/>
    <w:multiLevelType w:val="hybridMultilevel"/>
    <w:tmpl w:val="1624A066"/>
    <w:lvl w:ilvl="0" w:tplc="08F28B50">
      <w:start w:val="1"/>
      <w:numFmt w:val="bullet"/>
      <w:lvlText w:val="•"/>
      <w:lvlJc w:val="left"/>
      <w:pPr>
        <w:tabs>
          <w:tab w:val="num" w:pos="720"/>
        </w:tabs>
        <w:ind w:left="720" w:hanging="360"/>
      </w:pPr>
      <w:rPr>
        <w:rFonts w:ascii="Arial" w:hAnsi="Arial" w:hint="default"/>
      </w:rPr>
    </w:lvl>
    <w:lvl w:ilvl="1" w:tplc="109EED2C" w:tentative="1">
      <w:start w:val="1"/>
      <w:numFmt w:val="bullet"/>
      <w:lvlText w:val="•"/>
      <w:lvlJc w:val="left"/>
      <w:pPr>
        <w:tabs>
          <w:tab w:val="num" w:pos="1440"/>
        </w:tabs>
        <w:ind w:left="1440" w:hanging="360"/>
      </w:pPr>
      <w:rPr>
        <w:rFonts w:ascii="Arial" w:hAnsi="Arial" w:hint="default"/>
      </w:rPr>
    </w:lvl>
    <w:lvl w:ilvl="2" w:tplc="36421106" w:tentative="1">
      <w:start w:val="1"/>
      <w:numFmt w:val="bullet"/>
      <w:lvlText w:val="•"/>
      <w:lvlJc w:val="left"/>
      <w:pPr>
        <w:tabs>
          <w:tab w:val="num" w:pos="2160"/>
        </w:tabs>
        <w:ind w:left="2160" w:hanging="360"/>
      </w:pPr>
      <w:rPr>
        <w:rFonts w:ascii="Arial" w:hAnsi="Arial" w:hint="default"/>
      </w:rPr>
    </w:lvl>
    <w:lvl w:ilvl="3" w:tplc="52ECB910" w:tentative="1">
      <w:start w:val="1"/>
      <w:numFmt w:val="bullet"/>
      <w:lvlText w:val="•"/>
      <w:lvlJc w:val="left"/>
      <w:pPr>
        <w:tabs>
          <w:tab w:val="num" w:pos="2880"/>
        </w:tabs>
        <w:ind w:left="2880" w:hanging="360"/>
      </w:pPr>
      <w:rPr>
        <w:rFonts w:ascii="Arial" w:hAnsi="Arial" w:hint="default"/>
      </w:rPr>
    </w:lvl>
    <w:lvl w:ilvl="4" w:tplc="48647F16" w:tentative="1">
      <w:start w:val="1"/>
      <w:numFmt w:val="bullet"/>
      <w:lvlText w:val="•"/>
      <w:lvlJc w:val="left"/>
      <w:pPr>
        <w:tabs>
          <w:tab w:val="num" w:pos="3600"/>
        </w:tabs>
        <w:ind w:left="3600" w:hanging="360"/>
      </w:pPr>
      <w:rPr>
        <w:rFonts w:ascii="Arial" w:hAnsi="Arial" w:hint="default"/>
      </w:rPr>
    </w:lvl>
    <w:lvl w:ilvl="5" w:tplc="DFEACA30" w:tentative="1">
      <w:start w:val="1"/>
      <w:numFmt w:val="bullet"/>
      <w:lvlText w:val="•"/>
      <w:lvlJc w:val="left"/>
      <w:pPr>
        <w:tabs>
          <w:tab w:val="num" w:pos="4320"/>
        </w:tabs>
        <w:ind w:left="4320" w:hanging="360"/>
      </w:pPr>
      <w:rPr>
        <w:rFonts w:ascii="Arial" w:hAnsi="Arial" w:hint="default"/>
      </w:rPr>
    </w:lvl>
    <w:lvl w:ilvl="6" w:tplc="1D00D3B0" w:tentative="1">
      <w:start w:val="1"/>
      <w:numFmt w:val="bullet"/>
      <w:lvlText w:val="•"/>
      <w:lvlJc w:val="left"/>
      <w:pPr>
        <w:tabs>
          <w:tab w:val="num" w:pos="5040"/>
        </w:tabs>
        <w:ind w:left="5040" w:hanging="360"/>
      </w:pPr>
      <w:rPr>
        <w:rFonts w:ascii="Arial" w:hAnsi="Arial" w:hint="default"/>
      </w:rPr>
    </w:lvl>
    <w:lvl w:ilvl="7" w:tplc="A3F8DE20" w:tentative="1">
      <w:start w:val="1"/>
      <w:numFmt w:val="bullet"/>
      <w:lvlText w:val="•"/>
      <w:lvlJc w:val="left"/>
      <w:pPr>
        <w:tabs>
          <w:tab w:val="num" w:pos="5760"/>
        </w:tabs>
        <w:ind w:left="5760" w:hanging="360"/>
      </w:pPr>
      <w:rPr>
        <w:rFonts w:ascii="Arial" w:hAnsi="Arial" w:hint="default"/>
      </w:rPr>
    </w:lvl>
    <w:lvl w:ilvl="8" w:tplc="303252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A5153A"/>
    <w:multiLevelType w:val="hybridMultilevel"/>
    <w:tmpl w:val="0D7EEFAA"/>
    <w:lvl w:ilvl="0" w:tplc="D0CA7BA8">
      <w:start w:val="1"/>
      <w:numFmt w:val="bullet"/>
      <w:lvlText w:val="•"/>
      <w:lvlJc w:val="left"/>
      <w:pPr>
        <w:tabs>
          <w:tab w:val="num" w:pos="720"/>
        </w:tabs>
        <w:ind w:left="720" w:hanging="360"/>
      </w:pPr>
      <w:rPr>
        <w:rFonts w:ascii="Arial" w:hAnsi="Arial" w:hint="default"/>
      </w:rPr>
    </w:lvl>
    <w:lvl w:ilvl="1" w:tplc="44DAEC10" w:tentative="1">
      <w:start w:val="1"/>
      <w:numFmt w:val="bullet"/>
      <w:lvlText w:val="•"/>
      <w:lvlJc w:val="left"/>
      <w:pPr>
        <w:tabs>
          <w:tab w:val="num" w:pos="1440"/>
        </w:tabs>
        <w:ind w:left="1440" w:hanging="360"/>
      </w:pPr>
      <w:rPr>
        <w:rFonts w:ascii="Arial" w:hAnsi="Arial" w:hint="default"/>
      </w:rPr>
    </w:lvl>
    <w:lvl w:ilvl="2" w:tplc="D486A770" w:tentative="1">
      <w:start w:val="1"/>
      <w:numFmt w:val="bullet"/>
      <w:lvlText w:val="•"/>
      <w:lvlJc w:val="left"/>
      <w:pPr>
        <w:tabs>
          <w:tab w:val="num" w:pos="2160"/>
        </w:tabs>
        <w:ind w:left="2160" w:hanging="360"/>
      </w:pPr>
      <w:rPr>
        <w:rFonts w:ascii="Arial" w:hAnsi="Arial" w:hint="default"/>
      </w:rPr>
    </w:lvl>
    <w:lvl w:ilvl="3" w:tplc="EC62164E" w:tentative="1">
      <w:start w:val="1"/>
      <w:numFmt w:val="bullet"/>
      <w:lvlText w:val="•"/>
      <w:lvlJc w:val="left"/>
      <w:pPr>
        <w:tabs>
          <w:tab w:val="num" w:pos="2880"/>
        </w:tabs>
        <w:ind w:left="2880" w:hanging="360"/>
      </w:pPr>
      <w:rPr>
        <w:rFonts w:ascii="Arial" w:hAnsi="Arial" w:hint="default"/>
      </w:rPr>
    </w:lvl>
    <w:lvl w:ilvl="4" w:tplc="F6221E5E" w:tentative="1">
      <w:start w:val="1"/>
      <w:numFmt w:val="bullet"/>
      <w:lvlText w:val="•"/>
      <w:lvlJc w:val="left"/>
      <w:pPr>
        <w:tabs>
          <w:tab w:val="num" w:pos="3600"/>
        </w:tabs>
        <w:ind w:left="3600" w:hanging="360"/>
      </w:pPr>
      <w:rPr>
        <w:rFonts w:ascii="Arial" w:hAnsi="Arial" w:hint="default"/>
      </w:rPr>
    </w:lvl>
    <w:lvl w:ilvl="5" w:tplc="78E451FE" w:tentative="1">
      <w:start w:val="1"/>
      <w:numFmt w:val="bullet"/>
      <w:lvlText w:val="•"/>
      <w:lvlJc w:val="left"/>
      <w:pPr>
        <w:tabs>
          <w:tab w:val="num" w:pos="4320"/>
        </w:tabs>
        <w:ind w:left="4320" w:hanging="360"/>
      </w:pPr>
      <w:rPr>
        <w:rFonts w:ascii="Arial" w:hAnsi="Arial" w:hint="default"/>
      </w:rPr>
    </w:lvl>
    <w:lvl w:ilvl="6" w:tplc="0C56B99E" w:tentative="1">
      <w:start w:val="1"/>
      <w:numFmt w:val="bullet"/>
      <w:lvlText w:val="•"/>
      <w:lvlJc w:val="left"/>
      <w:pPr>
        <w:tabs>
          <w:tab w:val="num" w:pos="5040"/>
        </w:tabs>
        <w:ind w:left="5040" w:hanging="360"/>
      </w:pPr>
      <w:rPr>
        <w:rFonts w:ascii="Arial" w:hAnsi="Arial" w:hint="default"/>
      </w:rPr>
    </w:lvl>
    <w:lvl w:ilvl="7" w:tplc="5EF2E75C" w:tentative="1">
      <w:start w:val="1"/>
      <w:numFmt w:val="bullet"/>
      <w:lvlText w:val="•"/>
      <w:lvlJc w:val="left"/>
      <w:pPr>
        <w:tabs>
          <w:tab w:val="num" w:pos="5760"/>
        </w:tabs>
        <w:ind w:left="5760" w:hanging="360"/>
      </w:pPr>
      <w:rPr>
        <w:rFonts w:ascii="Arial" w:hAnsi="Arial" w:hint="default"/>
      </w:rPr>
    </w:lvl>
    <w:lvl w:ilvl="8" w:tplc="47340E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867372"/>
    <w:multiLevelType w:val="hybridMultilevel"/>
    <w:tmpl w:val="3B4425DA"/>
    <w:lvl w:ilvl="0" w:tplc="81424470">
      <w:start w:val="1"/>
      <w:numFmt w:val="bullet"/>
      <w:lvlText w:val="•"/>
      <w:lvlJc w:val="left"/>
      <w:pPr>
        <w:tabs>
          <w:tab w:val="num" w:pos="720"/>
        </w:tabs>
        <w:ind w:left="720" w:hanging="360"/>
      </w:pPr>
      <w:rPr>
        <w:rFonts w:ascii="Arial" w:hAnsi="Arial" w:hint="default"/>
      </w:rPr>
    </w:lvl>
    <w:lvl w:ilvl="1" w:tplc="DC30D044" w:tentative="1">
      <w:start w:val="1"/>
      <w:numFmt w:val="bullet"/>
      <w:lvlText w:val="•"/>
      <w:lvlJc w:val="left"/>
      <w:pPr>
        <w:tabs>
          <w:tab w:val="num" w:pos="1440"/>
        </w:tabs>
        <w:ind w:left="1440" w:hanging="360"/>
      </w:pPr>
      <w:rPr>
        <w:rFonts w:ascii="Arial" w:hAnsi="Arial" w:hint="default"/>
      </w:rPr>
    </w:lvl>
    <w:lvl w:ilvl="2" w:tplc="4DB6A688" w:tentative="1">
      <w:start w:val="1"/>
      <w:numFmt w:val="bullet"/>
      <w:lvlText w:val="•"/>
      <w:lvlJc w:val="left"/>
      <w:pPr>
        <w:tabs>
          <w:tab w:val="num" w:pos="2160"/>
        </w:tabs>
        <w:ind w:left="2160" w:hanging="360"/>
      </w:pPr>
      <w:rPr>
        <w:rFonts w:ascii="Arial" w:hAnsi="Arial" w:hint="default"/>
      </w:rPr>
    </w:lvl>
    <w:lvl w:ilvl="3" w:tplc="5B009A6E" w:tentative="1">
      <w:start w:val="1"/>
      <w:numFmt w:val="bullet"/>
      <w:lvlText w:val="•"/>
      <w:lvlJc w:val="left"/>
      <w:pPr>
        <w:tabs>
          <w:tab w:val="num" w:pos="2880"/>
        </w:tabs>
        <w:ind w:left="2880" w:hanging="360"/>
      </w:pPr>
      <w:rPr>
        <w:rFonts w:ascii="Arial" w:hAnsi="Arial" w:hint="default"/>
      </w:rPr>
    </w:lvl>
    <w:lvl w:ilvl="4" w:tplc="001A494E" w:tentative="1">
      <w:start w:val="1"/>
      <w:numFmt w:val="bullet"/>
      <w:lvlText w:val="•"/>
      <w:lvlJc w:val="left"/>
      <w:pPr>
        <w:tabs>
          <w:tab w:val="num" w:pos="3600"/>
        </w:tabs>
        <w:ind w:left="3600" w:hanging="360"/>
      </w:pPr>
      <w:rPr>
        <w:rFonts w:ascii="Arial" w:hAnsi="Arial" w:hint="default"/>
      </w:rPr>
    </w:lvl>
    <w:lvl w:ilvl="5" w:tplc="C25276D6" w:tentative="1">
      <w:start w:val="1"/>
      <w:numFmt w:val="bullet"/>
      <w:lvlText w:val="•"/>
      <w:lvlJc w:val="left"/>
      <w:pPr>
        <w:tabs>
          <w:tab w:val="num" w:pos="4320"/>
        </w:tabs>
        <w:ind w:left="4320" w:hanging="360"/>
      </w:pPr>
      <w:rPr>
        <w:rFonts w:ascii="Arial" w:hAnsi="Arial" w:hint="default"/>
      </w:rPr>
    </w:lvl>
    <w:lvl w:ilvl="6" w:tplc="8A74EAAE" w:tentative="1">
      <w:start w:val="1"/>
      <w:numFmt w:val="bullet"/>
      <w:lvlText w:val="•"/>
      <w:lvlJc w:val="left"/>
      <w:pPr>
        <w:tabs>
          <w:tab w:val="num" w:pos="5040"/>
        </w:tabs>
        <w:ind w:left="5040" w:hanging="360"/>
      </w:pPr>
      <w:rPr>
        <w:rFonts w:ascii="Arial" w:hAnsi="Arial" w:hint="default"/>
      </w:rPr>
    </w:lvl>
    <w:lvl w:ilvl="7" w:tplc="B7220DD6" w:tentative="1">
      <w:start w:val="1"/>
      <w:numFmt w:val="bullet"/>
      <w:lvlText w:val="•"/>
      <w:lvlJc w:val="left"/>
      <w:pPr>
        <w:tabs>
          <w:tab w:val="num" w:pos="5760"/>
        </w:tabs>
        <w:ind w:left="5760" w:hanging="360"/>
      </w:pPr>
      <w:rPr>
        <w:rFonts w:ascii="Arial" w:hAnsi="Arial" w:hint="default"/>
      </w:rPr>
    </w:lvl>
    <w:lvl w:ilvl="8" w:tplc="2FE82D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B63992"/>
    <w:multiLevelType w:val="hybridMultilevel"/>
    <w:tmpl w:val="8C86848C"/>
    <w:lvl w:ilvl="0" w:tplc="839EBAC2">
      <w:start w:val="1"/>
      <w:numFmt w:val="bullet"/>
      <w:lvlText w:val="•"/>
      <w:lvlJc w:val="left"/>
      <w:pPr>
        <w:tabs>
          <w:tab w:val="num" w:pos="720"/>
        </w:tabs>
        <w:ind w:left="720" w:hanging="360"/>
      </w:pPr>
      <w:rPr>
        <w:rFonts w:ascii="Arial" w:hAnsi="Arial" w:hint="default"/>
      </w:rPr>
    </w:lvl>
    <w:lvl w:ilvl="1" w:tplc="44AE1D1E" w:tentative="1">
      <w:start w:val="1"/>
      <w:numFmt w:val="bullet"/>
      <w:lvlText w:val="•"/>
      <w:lvlJc w:val="left"/>
      <w:pPr>
        <w:tabs>
          <w:tab w:val="num" w:pos="1440"/>
        </w:tabs>
        <w:ind w:left="1440" w:hanging="360"/>
      </w:pPr>
      <w:rPr>
        <w:rFonts w:ascii="Arial" w:hAnsi="Arial" w:hint="default"/>
      </w:rPr>
    </w:lvl>
    <w:lvl w:ilvl="2" w:tplc="537AE6D6" w:tentative="1">
      <w:start w:val="1"/>
      <w:numFmt w:val="bullet"/>
      <w:lvlText w:val="•"/>
      <w:lvlJc w:val="left"/>
      <w:pPr>
        <w:tabs>
          <w:tab w:val="num" w:pos="2160"/>
        </w:tabs>
        <w:ind w:left="2160" w:hanging="360"/>
      </w:pPr>
      <w:rPr>
        <w:rFonts w:ascii="Arial" w:hAnsi="Arial" w:hint="default"/>
      </w:rPr>
    </w:lvl>
    <w:lvl w:ilvl="3" w:tplc="3622213C" w:tentative="1">
      <w:start w:val="1"/>
      <w:numFmt w:val="bullet"/>
      <w:lvlText w:val="•"/>
      <w:lvlJc w:val="left"/>
      <w:pPr>
        <w:tabs>
          <w:tab w:val="num" w:pos="2880"/>
        </w:tabs>
        <w:ind w:left="2880" w:hanging="360"/>
      </w:pPr>
      <w:rPr>
        <w:rFonts w:ascii="Arial" w:hAnsi="Arial" w:hint="default"/>
      </w:rPr>
    </w:lvl>
    <w:lvl w:ilvl="4" w:tplc="3D14AC30" w:tentative="1">
      <w:start w:val="1"/>
      <w:numFmt w:val="bullet"/>
      <w:lvlText w:val="•"/>
      <w:lvlJc w:val="left"/>
      <w:pPr>
        <w:tabs>
          <w:tab w:val="num" w:pos="3600"/>
        </w:tabs>
        <w:ind w:left="3600" w:hanging="360"/>
      </w:pPr>
      <w:rPr>
        <w:rFonts w:ascii="Arial" w:hAnsi="Arial" w:hint="default"/>
      </w:rPr>
    </w:lvl>
    <w:lvl w:ilvl="5" w:tplc="3C90F410" w:tentative="1">
      <w:start w:val="1"/>
      <w:numFmt w:val="bullet"/>
      <w:lvlText w:val="•"/>
      <w:lvlJc w:val="left"/>
      <w:pPr>
        <w:tabs>
          <w:tab w:val="num" w:pos="4320"/>
        </w:tabs>
        <w:ind w:left="4320" w:hanging="360"/>
      </w:pPr>
      <w:rPr>
        <w:rFonts w:ascii="Arial" w:hAnsi="Arial" w:hint="default"/>
      </w:rPr>
    </w:lvl>
    <w:lvl w:ilvl="6" w:tplc="BF9A0BC2" w:tentative="1">
      <w:start w:val="1"/>
      <w:numFmt w:val="bullet"/>
      <w:lvlText w:val="•"/>
      <w:lvlJc w:val="left"/>
      <w:pPr>
        <w:tabs>
          <w:tab w:val="num" w:pos="5040"/>
        </w:tabs>
        <w:ind w:left="5040" w:hanging="360"/>
      </w:pPr>
      <w:rPr>
        <w:rFonts w:ascii="Arial" w:hAnsi="Arial" w:hint="default"/>
      </w:rPr>
    </w:lvl>
    <w:lvl w:ilvl="7" w:tplc="695C79CE" w:tentative="1">
      <w:start w:val="1"/>
      <w:numFmt w:val="bullet"/>
      <w:lvlText w:val="•"/>
      <w:lvlJc w:val="left"/>
      <w:pPr>
        <w:tabs>
          <w:tab w:val="num" w:pos="5760"/>
        </w:tabs>
        <w:ind w:left="5760" w:hanging="360"/>
      </w:pPr>
      <w:rPr>
        <w:rFonts w:ascii="Arial" w:hAnsi="Arial" w:hint="default"/>
      </w:rPr>
    </w:lvl>
    <w:lvl w:ilvl="8" w:tplc="392A76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6846AF7"/>
    <w:multiLevelType w:val="hybridMultilevel"/>
    <w:tmpl w:val="AB86B39E"/>
    <w:lvl w:ilvl="0" w:tplc="262846D6">
      <w:start w:val="1"/>
      <w:numFmt w:val="bullet"/>
      <w:lvlText w:val="•"/>
      <w:lvlJc w:val="left"/>
      <w:pPr>
        <w:tabs>
          <w:tab w:val="num" w:pos="720"/>
        </w:tabs>
        <w:ind w:left="720" w:hanging="360"/>
      </w:pPr>
      <w:rPr>
        <w:rFonts w:ascii="Arial" w:hAnsi="Arial" w:hint="default"/>
      </w:rPr>
    </w:lvl>
    <w:lvl w:ilvl="1" w:tplc="02D050C4" w:tentative="1">
      <w:start w:val="1"/>
      <w:numFmt w:val="bullet"/>
      <w:lvlText w:val="•"/>
      <w:lvlJc w:val="left"/>
      <w:pPr>
        <w:tabs>
          <w:tab w:val="num" w:pos="1440"/>
        </w:tabs>
        <w:ind w:left="1440" w:hanging="360"/>
      </w:pPr>
      <w:rPr>
        <w:rFonts w:ascii="Arial" w:hAnsi="Arial" w:hint="default"/>
      </w:rPr>
    </w:lvl>
    <w:lvl w:ilvl="2" w:tplc="0812E7B8" w:tentative="1">
      <w:start w:val="1"/>
      <w:numFmt w:val="bullet"/>
      <w:lvlText w:val="•"/>
      <w:lvlJc w:val="left"/>
      <w:pPr>
        <w:tabs>
          <w:tab w:val="num" w:pos="2160"/>
        </w:tabs>
        <w:ind w:left="2160" w:hanging="360"/>
      </w:pPr>
      <w:rPr>
        <w:rFonts w:ascii="Arial" w:hAnsi="Arial" w:hint="default"/>
      </w:rPr>
    </w:lvl>
    <w:lvl w:ilvl="3" w:tplc="125EF99E" w:tentative="1">
      <w:start w:val="1"/>
      <w:numFmt w:val="bullet"/>
      <w:lvlText w:val="•"/>
      <w:lvlJc w:val="left"/>
      <w:pPr>
        <w:tabs>
          <w:tab w:val="num" w:pos="2880"/>
        </w:tabs>
        <w:ind w:left="2880" w:hanging="360"/>
      </w:pPr>
      <w:rPr>
        <w:rFonts w:ascii="Arial" w:hAnsi="Arial" w:hint="default"/>
      </w:rPr>
    </w:lvl>
    <w:lvl w:ilvl="4" w:tplc="C2048F3E" w:tentative="1">
      <w:start w:val="1"/>
      <w:numFmt w:val="bullet"/>
      <w:lvlText w:val="•"/>
      <w:lvlJc w:val="left"/>
      <w:pPr>
        <w:tabs>
          <w:tab w:val="num" w:pos="3600"/>
        </w:tabs>
        <w:ind w:left="3600" w:hanging="360"/>
      </w:pPr>
      <w:rPr>
        <w:rFonts w:ascii="Arial" w:hAnsi="Arial" w:hint="default"/>
      </w:rPr>
    </w:lvl>
    <w:lvl w:ilvl="5" w:tplc="A3C2B194" w:tentative="1">
      <w:start w:val="1"/>
      <w:numFmt w:val="bullet"/>
      <w:lvlText w:val="•"/>
      <w:lvlJc w:val="left"/>
      <w:pPr>
        <w:tabs>
          <w:tab w:val="num" w:pos="4320"/>
        </w:tabs>
        <w:ind w:left="4320" w:hanging="360"/>
      </w:pPr>
      <w:rPr>
        <w:rFonts w:ascii="Arial" w:hAnsi="Arial" w:hint="default"/>
      </w:rPr>
    </w:lvl>
    <w:lvl w:ilvl="6" w:tplc="1136BA0A" w:tentative="1">
      <w:start w:val="1"/>
      <w:numFmt w:val="bullet"/>
      <w:lvlText w:val="•"/>
      <w:lvlJc w:val="left"/>
      <w:pPr>
        <w:tabs>
          <w:tab w:val="num" w:pos="5040"/>
        </w:tabs>
        <w:ind w:left="5040" w:hanging="360"/>
      </w:pPr>
      <w:rPr>
        <w:rFonts w:ascii="Arial" w:hAnsi="Arial" w:hint="default"/>
      </w:rPr>
    </w:lvl>
    <w:lvl w:ilvl="7" w:tplc="C1A44116" w:tentative="1">
      <w:start w:val="1"/>
      <w:numFmt w:val="bullet"/>
      <w:lvlText w:val="•"/>
      <w:lvlJc w:val="left"/>
      <w:pPr>
        <w:tabs>
          <w:tab w:val="num" w:pos="5760"/>
        </w:tabs>
        <w:ind w:left="5760" w:hanging="360"/>
      </w:pPr>
      <w:rPr>
        <w:rFonts w:ascii="Arial" w:hAnsi="Arial" w:hint="default"/>
      </w:rPr>
    </w:lvl>
    <w:lvl w:ilvl="8" w:tplc="340C408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alcified Tissue I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2sx5aahpsveaea2zq5s2xsef9d0fsxsxex&quot;&gt;Endnote library-Converted&lt;record-ids&gt;&lt;item&gt;8&lt;/item&gt;&lt;item&gt;185&lt;/item&gt;&lt;item&gt;288&lt;/item&gt;&lt;item&gt;409&lt;/item&gt;&lt;item&gt;410&lt;/item&gt;&lt;item&gt;411&lt;/item&gt;&lt;item&gt;412&lt;/item&gt;&lt;item&gt;413&lt;/item&gt;&lt;item&gt;414&lt;/item&gt;&lt;item&gt;415&lt;/item&gt;&lt;item&gt;416&lt;/item&gt;&lt;item&gt;417&lt;/item&gt;&lt;item&gt;418&lt;/item&gt;&lt;item&gt;419&lt;/item&gt;&lt;item&gt;420&lt;/item&gt;&lt;item&gt;421&lt;/item&gt;&lt;item&gt;422&lt;/item&gt;&lt;item&gt;423&lt;/item&gt;&lt;item&gt;424&lt;/item&gt;&lt;item&gt;425&lt;/item&gt;&lt;item&gt;426&lt;/item&gt;&lt;item&gt;427&lt;/item&gt;&lt;item&gt;431&lt;/item&gt;&lt;item&gt;432&lt;/item&gt;&lt;item&gt;433&lt;/item&gt;&lt;item&gt;434&lt;/item&gt;&lt;item&gt;435&lt;/item&gt;&lt;item&gt;436&lt;/item&gt;&lt;item&gt;482&lt;/item&gt;&lt;item&gt;483&lt;/item&gt;&lt;item&gt;484&lt;/item&gt;&lt;/record-ids&gt;&lt;/item&gt;&lt;/Libraries&gt;"/>
  </w:docVars>
  <w:rsids>
    <w:rsidRoot w:val="00ED2270"/>
    <w:rsid w:val="0000316A"/>
    <w:rsid w:val="0001068E"/>
    <w:rsid w:val="000272F9"/>
    <w:rsid w:val="0005568D"/>
    <w:rsid w:val="000B6DF8"/>
    <w:rsid w:val="000C2ECF"/>
    <w:rsid w:val="000D12CE"/>
    <w:rsid w:val="000D3702"/>
    <w:rsid w:val="0010255A"/>
    <w:rsid w:val="001107AE"/>
    <w:rsid w:val="00135F9E"/>
    <w:rsid w:val="0014043D"/>
    <w:rsid w:val="00140C59"/>
    <w:rsid w:val="00141AD1"/>
    <w:rsid w:val="00147F19"/>
    <w:rsid w:val="0015084E"/>
    <w:rsid w:val="00151D8A"/>
    <w:rsid w:val="0018164A"/>
    <w:rsid w:val="001A03BE"/>
    <w:rsid w:val="001A0D4D"/>
    <w:rsid w:val="001A6F61"/>
    <w:rsid w:val="001F254B"/>
    <w:rsid w:val="001F485F"/>
    <w:rsid w:val="00203C1C"/>
    <w:rsid w:val="00207539"/>
    <w:rsid w:val="00211335"/>
    <w:rsid w:val="00214E48"/>
    <w:rsid w:val="00232875"/>
    <w:rsid w:val="002337D4"/>
    <w:rsid w:val="00236D09"/>
    <w:rsid w:val="002407EF"/>
    <w:rsid w:val="002522A3"/>
    <w:rsid w:val="00252AF0"/>
    <w:rsid w:val="002548AB"/>
    <w:rsid w:val="00270F52"/>
    <w:rsid w:val="002746BD"/>
    <w:rsid w:val="0028153F"/>
    <w:rsid w:val="002C2357"/>
    <w:rsid w:val="002C4704"/>
    <w:rsid w:val="002D2EE4"/>
    <w:rsid w:val="002D5B3E"/>
    <w:rsid w:val="002D5ECA"/>
    <w:rsid w:val="002E06F1"/>
    <w:rsid w:val="0030129C"/>
    <w:rsid w:val="00333F17"/>
    <w:rsid w:val="00334950"/>
    <w:rsid w:val="003377E7"/>
    <w:rsid w:val="00340D4D"/>
    <w:rsid w:val="0036463A"/>
    <w:rsid w:val="00370623"/>
    <w:rsid w:val="003758BA"/>
    <w:rsid w:val="00377A6F"/>
    <w:rsid w:val="00385AD3"/>
    <w:rsid w:val="00392385"/>
    <w:rsid w:val="0039314F"/>
    <w:rsid w:val="0039565E"/>
    <w:rsid w:val="00396F7C"/>
    <w:rsid w:val="003A0EAA"/>
    <w:rsid w:val="003B26BB"/>
    <w:rsid w:val="003B2E35"/>
    <w:rsid w:val="003B30DA"/>
    <w:rsid w:val="003C6531"/>
    <w:rsid w:val="003D26F6"/>
    <w:rsid w:val="003D7D4E"/>
    <w:rsid w:val="003E0419"/>
    <w:rsid w:val="003E358E"/>
    <w:rsid w:val="003E5CF8"/>
    <w:rsid w:val="003F65BD"/>
    <w:rsid w:val="003F6F7D"/>
    <w:rsid w:val="004025E0"/>
    <w:rsid w:val="00416E50"/>
    <w:rsid w:val="004178FB"/>
    <w:rsid w:val="00424D50"/>
    <w:rsid w:val="004330AC"/>
    <w:rsid w:val="00433D19"/>
    <w:rsid w:val="00444ADF"/>
    <w:rsid w:val="0046151B"/>
    <w:rsid w:val="00473554"/>
    <w:rsid w:val="004837DE"/>
    <w:rsid w:val="00493F25"/>
    <w:rsid w:val="004B7FBA"/>
    <w:rsid w:val="004C62C5"/>
    <w:rsid w:val="004D0E6D"/>
    <w:rsid w:val="004D4EF6"/>
    <w:rsid w:val="004E7899"/>
    <w:rsid w:val="005014E3"/>
    <w:rsid w:val="00501648"/>
    <w:rsid w:val="0050310A"/>
    <w:rsid w:val="005042E3"/>
    <w:rsid w:val="005241ED"/>
    <w:rsid w:val="00525BA7"/>
    <w:rsid w:val="00545FE5"/>
    <w:rsid w:val="00565CD3"/>
    <w:rsid w:val="005841F8"/>
    <w:rsid w:val="005954C5"/>
    <w:rsid w:val="005A2D2A"/>
    <w:rsid w:val="005B2618"/>
    <w:rsid w:val="005B6F95"/>
    <w:rsid w:val="005D5BCC"/>
    <w:rsid w:val="005F0980"/>
    <w:rsid w:val="005F5132"/>
    <w:rsid w:val="0060252D"/>
    <w:rsid w:val="00621265"/>
    <w:rsid w:val="00623DE2"/>
    <w:rsid w:val="00624FFA"/>
    <w:rsid w:val="006445F3"/>
    <w:rsid w:val="006B20BA"/>
    <w:rsid w:val="006B44D8"/>
    <w:rsid w:val="006B5224"/>
    <w:rsid w:val="006D0315"/>
    <w:rsid w:val="006D0413"/>
    <w:rsid w:val="006D06A3"/>
    <w:rsid w:val="006D1266"/>
    <w:rsid w:val="006D54ED"/>
    <w:rsid w:val="00736E94"/>
    <w:rsid w:val="00747C6A"/>
    <w:rsid w:val="00750A02"/>
    <w:rsid w:val="00752CFE"/>
    <w:rsid w:val="0078502F"/>
    <w:rsid w:val="007A47A8"/>
    <w:rsid w:val="007C6926"/>
    <w:rsid w:val="007D2EEF"/>
    <w:rsid w:val="007D721F"/>
    <w:rsid w:val="007E2401"/>
    <w:rsid w:val="007E39AF"/>
    <w:rsid w:val="007E4A22"/>
    <w:rsid w:val="007E4C7D"/>
    <w:rsid w:val="007E6949"/>
    <w:rsid w:val="0080764F"/>
    <w:rsid w:val="00815848"/>
    <w:rsid w:val="00852688"/>
    <w:rsid w:val="00852AE0"/>
    <w:rsid w:val="00860DE2"/>
    <w:rsid w:val="00867744"/>
    <w:rsid w:val="008818B7"/>
    <w:rsid w:val="00881F45"/>
    <w:rsid w:val="0089575D"/>
    <w:rsid w:val="008A6A51"/>
    <w:rsid w:val="008B4588"/>
    <w:rsid w:val="008B4C89"/>
    <w:rsid w:val="008C6CB8"/>
    <w:rsid w:val="008D6088"/>
    <w:rsid w:val="008D6C97"/>
    <w:rsid w:val="008E0419"/>
    <w:rsid w:val="0095735C"/>
    <w:rsid w:val="0097271C"/>
    <w:rsid w:val="00981688"/>
    <w:rsid w:val="00996F0F"/>
    <w:rsid w:val="009B21D5"/>
    <w:rsid w:val="009B5220"/>
    <w:rsid w:val="009C0082"/>
    <w:rsid w:val="009C17E5"/>
    <w:rsid w:val="009D4D11"/>
    <w:rsid w:val="009E3361"/>
    <w:rsid w:val="009E469F"/>
    <w:rsid w:val="009E4E95"/>
    <w:rsid w:val="009F0795"/>
    <w:rsid w:val="00A1370C"/>
    <w:rsid w:val="00A13E88"/>
    <w:rsid w:val="00A17638"/>
    <w:rsid w:val="00A25F18"/>
    <w:rsid w:val="00A410C6"/>
    <w:rsid w:val="00A41144"/>
    <w:rsid w:val="00A420A4"/>
    <w:rsid w:val="00A62889"/>
    <w:rsid w:val="00A65BA3"/>
    <w:rsid w:val="00A72D34"/>
    <w:rsid w:val="00A771A0"/>
    <w:rsid w:val="00A84085"/>
    <w:rsid w:val="00A950DC"/>
    <w:rsid w:val="00A95EC1"/>
    <w:rsid w:val="00AA59B5"/>
    <w:rsid w:val="00AD750B"/>
    <w:rsid w:val="00AF00E9"/>
    <w:rsid w:val="00AF148A"/>
    <w:rsid w:val="00B03F5A"/>
    <w:rsid w:val="00B1573D"/>
    <w:rsid w:val="00B16F5F"/>
    <w:rsid w:val="00B369DB"/>
    <w:rsid w:val="00B3741A"/>
    <w:rsid w:val="00B636BC"/>
    <w:rsid w:val="00B80337"/>
    <w:rsid w:val="00B82489"/>
    <w:rsid w:val="00B83D67"/>
    <w:rsid w:val="00B8456D"/>
    <w:rsid w:val="00B95F6C"/>
    <w:rsid w:val="00BA6ACA"/>
    <w:rsid w:val="00BB241D"/>
    <w:rsid w:val="00BB7485"/>
    <w:rsid w:val="00C00616"/>
    <w:rsid w:val="00C53DE4"/>
    <w:rsid w:val="00C54BDB"/>
    <w:rsid w:val="00C54D1F"/>
    <w:rsid w:val="00C570BB"/>
    <w:rsid w:val="00C65F24"/>
    <w:rsid w:val="00C720D6"/>
    <w:rsid w:val="00C80F5B"/>
    <w:rsid w:val="00C91357"/>
    <w:rsid w:val="00C948AB"/>
    <w:rsid w:val="00C96DE9"/>
    <w:rsid w:val="00CC0AD0"/>
    <w:rsid w:val="00CE0DA1"/>
    <w:rsid w:val="00CF2914"/>
    <w:rsid w:val="00CF3B9F"/>
    <w:rsid w:val="00D02298"/>
    <w:rsid w:val="00D0688F"/>
    <w:rsid w:val="00D15DC9"/>
    <w:rsid w:val="00D20EDE"/>
    <w:rsid w:val="00D37DAA"/>
    <w:rsid w:val="00D4150A"/>
    <w:rsid w:val="00D53DA4"/>
    <w:rsid w:val="00D7395F"/>
    <w:rsid w:val="00D8794B"/>
    <w:rsid w:val="00D90495"/>
    <w:rsid w:val="00DA4D05"/>
    <w:rsid w:val="00DB04DF"/>
    <w:rsid w:val="00DB077D"/>
    <w:rsid w:val="00DB09D1"/>
    <w:rsid w:val="00DB0A55"/>
    <w:rsid w:val="00DC0703"/>
    <w:rsid w:val="00DD1EBC"/>
    <w:rsid w:val="00DF0751"/>
    <w:rsid w:val="00DF5CF7"/>
    <w:rsid w:val="00DF682F"/>
    <w:rsid w:val="00E06B3E"/>
    <w:rsid w:val="00E07601"/>
    <w:rsid w:val="00E12029"/>
    <w:rsid w:val="00E2200E"/>
    <w:rsid w:val="00E24EF6"/>
    <w:rsid w:val="00E364C4"/>
    <w:rsid w:val="00E5552E"/>
    <w:rsid w:val="00E55D27"/>
    <w:rsid w:val="00E56A34"/>
    <w:rsid w:val="00E5748A"/>
    <w:rsid w:val="00E64AAE"/>
    <w:rsid w:val="00E80FDE"/>
    <w:rsid w:val="00E81024"/>
    <w:rsid w:val="00E8448A"/>
    <w:rsid w:val="00E84932"/>
    <w:rsid w:val="00E8712B"/>
    <w:rsid w:val="00E90DE0"/>
    <w:rsid w:val="00E93D7E"/>
    <w:rsid w:val="00E9487E"/>
    <w:rsid w:val="00EA643D"/>
    <w:rsid w:val="00EB3F20"/>
    <w:rsid w:val="00EC2ABB"/>
    <w:rsid w:val="00EC435F"/>
    <w:rsid w:val="00EC53AA"/>
    <w:rsid w:val="00ED0ED9"/>
    <w:rsid w:val="00ED2183"/>
    <w:rsid w:val="00ED2270"/>
    <w:rsid w:val="00EE1C4C"/>
    <w:rsid w:val="00EF72C1"/>
    <w:rsid w:val="00EF7589"/>
    <w:rsid w:val="00F00BA4"/>
    <w:rsid w:val="00F06E78"/>
    <w:rsid w:val="00F17AC4"/>
    <w:rsid w:val="00F26AD4"/>
    <w:rsid w:val="00F301C0"/>
    <w:rsid w:val="00F4709D"/>
    <w:rsid w:val="00F52A1E"/>
    <w:rsid w:val="00F52C41"/>
    <w:rsid w:val="00F53AB9"/>
    <w:rsid w:val="00F627C9"/>
    <w:rsid w:val="00F8043B"/>
    <w:rsid w:val="00FA7ACA"/>
    <w:rsid w:val="00FB5DEC"/>
    <w:rsid w:val="00FB78F1"/>
    <w:rsid w:val="00FC17F5"/>
    <w:rsid w:val="00FC5ADF"/>
    <w:rsid w:val="00FC5FBC"/>
    <w:rsid w:val="00FF06F8"/>
    <w:rsid w:val="00FF12B1"/>
    <w:rsid w:val="00FF3CBE"/>
    <w:rsid w:val="00FF7C4E"/>
    <w:rsid w:val="042E05B2"/>
    <w:rsid w:val="06B7CD49"/>
    <w:rsid w:val="45AAC694"/>
    <w:rsid w:val="49E8BA33"/>
    <w:rsid w:val="4F8ED866"/>
    <w:rsid w:val="6364EE0F"/>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5443F"/>
  <w15:chartTrackingRefBased/>
  <w15:docId w15:val="{DEBC51D5-D371-402C-B74E-4C96EF54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570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7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0BB"/>
  </w:style>
  <w:style w:type="character" w:customStyle="1" w:styleId="eop">
    <w:name w:val="eop"/>
    <w:basedOn w:val="DefaultParagraphFont"/>
    <w:rsid w:val="00C570BB"/>
  </w:style>
  <w:style w:type="character" w:customStyle="1" w:styleId="Heading2Char">
    <w:name w:val="Heading 2 Char"/>
    <w:basedOn w:val="DefaultParagraphFont"/>
    <w:link w:val="Heading2"/>
    <w:uiPriority w:val="9"/>
    <w:rsid w:val="00C570BB"/>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2337D4"/>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3D26F6"/>
    <w:rPr>
      <w:sz w:val="16"/>
      <w:szCs w:val="16"/>
    </w:rPr>
  </w:style>
  <w:style w:type="paragraph" w:styleId="CommentText">
    <w:name w:val="annotation text"/>
    <w:basedOn w:val="Normal"/>
    <w:link w:val="CommentTextChar"/>
    <w:uiPriority w:val="99"/>
    <w:unhideWhenUsed/>
    <w:rsid w:val="003D26F6"/>
    <w:pPr>
      <w:spacing w:line="240" w:lineRule="auto"/>
    </w:pPr>
    <w:rPr>
      <w:sz w:val="20"/>
      <w:szCs w:val="20"/>
    </w:rPr>
  </w:style>
  <w:style w:type="character" w:customStyle="1" w:styleId="CommentTextChar">
    <w:name w:val="Comment Text Char"/>
    <w:basedOn w:val="DefaultParagraphFont"/>
    <w:link w:val="CommentText"/>
    <w:uiPriority w:val="99"/>
    <w:rsid w:val="003D26F6"/>
    <w:rPr>
      <w:sz w:val="20"/>
      <w:szCs w:val="20"/>
    </w:rPr>
  </w:style>
  <w:style w:type="paragraph" w:styleId="CommentSubject">
    <w:name w:val="annotation subject"/>
    <w:basedOn w:val="CommentText"/>
    <w:next w:val="CommentText"/>
    <w:link w:val="CommentSubjectChar"/>
    <w:uiPriority w:val="99"/>
    <w:semiHidden/>
    <w:unhideWhenUsed/>
    <w:rsid w:val="003D26F6"/>
    <w:rPr>
      <w:b/>
      <w:bCs/>
    </w:rPr>
  </w:style>
  <w:style w:type="character" w:customStyle="1" w:styleId="CommentSubjectChar">
    <w:name w:val="Comment Subject Char"/>
    <w:basedOn w:val="CommentTextChar"/>
    <w:link w:val="CommentSubject"/>
    <w:uiPriority w:val="99"/>
    <w:semiHidden/>
    <w:rsid w:val="003D26F6"/>
    <w:rPr>
      <w:b/>
      <w:bCs/>
      <w:sz w:val="20"/>
      <w:szCs w:val="20"/>
    </w:rPr>
  </w:style>
  <w:style w:type="paragraph" w:styleId="Revision">
    <w:name w:val="Revision"/>
    <w:hidden/>
    <w:uiPriority w:val="99"/>
    <w:semiHidden/>
    <w:rsid w:val="0089575D"/>
    <w:pPr>
      <w:spacing w:after="0" w:line="240" w:lineRule="auto"/>
    </w:pPr>
  </w:style>
  <w:style w:type="paragraph" w:styleId="ListParagraph">
    <w:name w:val="List Paragraph"/>
    <w:basedOn w:val="Normal"/>
    <w:uiPriority w:val="34"/>
    <w:qFormat/>
    <w:rsid w:val="00545FE5"/>
    <w:pPr>
      <w:ind w:left="720"/>
      <w:contextualSpacing/>
    </w:pPr>
  </w:style>
  <w:style w:type="character" w:styleId="Strong">
    <w:name w:val="Strong"/>
    <w:basedOn w:val="DefaultParagraphFont"/>
    <w:uiPriority w:val="22"/>
    <w:qFormat/>
    <w:rsid w:val="00147F19"/>
    <w:rPr>
      <w:b/>
      <w:bCs/>
    </w:rPr>
  </w:style>
  <w:style w:type="character" w:styleId="Hyperlink">
    <w:name w:val="Hyperlink"/>
    <w:basedOn w:val="DefaultParagraphFont"/>
    <w:uiPriority w:val="99"/>
    <w:unhideWhenUsed/>
    <w:rsid w:val="00396F7C"/>
    <w:rPr>
      <w:color w:val="0563C1" w:themeColor="hyperlink"/>
      <w:u w:val="single"/>
    </w:rPr>
  </w:style>
  <w:style w:type="character" w:styleId="UnresolvedMention">
    <w:name w:val="Unresolved Mention"/>
    <w:basedOn w:val="DefaultParagraphFont"/>
    <w:uiPriority w:val="99"/>
    <w:semiHidden/>
    <w:unhideWhenUsed/>
    <w:rsid w:val="00396F7C"/>
    <w:rPr>
      <w:color w:val="605E5C"/>
      <w:shd w:val="clear" w:color="auto" w:fill="E1DFDD"/>
    </w:rPr>
  </w:style>
  <w:style w:type="paragraph" w:styleId="Header">
    <w:name w:val="header"/>
    <w:basedOn w:val="Normal"/>
    <w:link w:val="HeaderChar"/>
    <w:uiPriority w:val="99"/>
    <w:unhideWhenUsed/>
    <w:rsid w:val="005F0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980"/>
  </w:style>
  <w:style w:type="paragraph" w:styleId="Footer">
    <w:name w:val="footer"/>
    <w:basedOn w:val="Normal"/>
    <w:link w:val="FooterChar"/>
    <w:uiPriority w:val="99"/>
    <w:unhideWhenUsed/>
    <w:rsid w:val="005F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980"/>
  </w:style>
  <w:style w:type="character" w:styleId="LineNumber">
    <w:name w:val="line number"/>
    <w:basedOn w:val="DefaultParagraphFont"/>
    <w:uiPriority w:val="99"/>
    <w:semiHidden/>
    <w:unhideWhenUsed/>
    <w:rsid w:val="003E5CF8"/>
  </w:style>
  <w:style w:type="paragraph" w:styleId="PlainText">
    <w:name w:val="Plain Text"/>
    <w:basedOn w:val="Normal"/>
    <w:link w:val="PlainTextChar"/>
    <w:uiPriority w:val="99"/>
    <w:semiHidden/>
    <w:unhideWhenUsed/>
    <w:rsid w:val="004D4EF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D4EF6"/>
    <w:rPr>
      <w:rFonts w:ascii="Calibri" w:hAnsi="Calibri" w:cs="Calibri"/>
    </w:rPr>
  </w:style>
  <w:style w:type="character" w:styleId="FollowedHyperlink">
    <w:name w:val="FollowedHyperlink"/>
    <w:basedOn w:val="DefaultParagraphFont"/>
    <w:uiPriority w:val="99"/>
    <w:semiHidden/>
    <w:unhideWhenUsed/>
    <w:rsid w:val="00852AE0"/>
    <w:rPr>
      <w:color w:val="954F72" w:themeColor="followedHyperlink"/>
      <w:u w:val="single"/>
    </w:rPr>
  </w:style>
  <w:style w:type="paragraph" w:customStyle="1" w:styleId="EndNoteBibliographyTitle">
    <w:name w:val="EndNote Bibliography Title"/>
    <w:basedOn w:val="Normal"/>
    <w:link w:val="EndNoteBibliographyTitleChar"/>
    <w:rsid w:val="00C54D1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54D1F"/>
    <w:rPr>
      <w:rFonts w:ascii="Calibri" w:hAnsi="Calibri" w:cs="Calibri"/>
      <w:noProof/>
      <w:lang w:val="en-US"/>
    </w:rPr>
  </w:style>
  <w:style w:type="paragraph" w:customStyle="1" w:styleId="EndNoteBibliography">
    <w:name w:val="EndNote Bibliography"/>
    <w:basedOn w:val="Normal"/>
    <w:link w:val="EndNoteBibliographyChar"/>
    <w:rsid w:val="00C54D1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C54D1F"/>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66870">
      <w:bodyDiv w:val="1"/>
      <w:marLeft w:val="0"/>
      <w:marRight w:val="0"/>
      <w:marTop w:val="0"/>
      <w:marBottom w:val="0"/>
      <w:divBdr>
        <w:top w:val="none" w:sz="0" w:space="0" w:color="auto"/>
        <w:left w:val="none" w:sz="0" w:space="0" w:color="auto"/>
        <w:bottom w:val="none" w:sz="0" w:space="0" w:color="auto"/>
        <w:right w:val="none" w:sz="0" w:space="0" w:color="auto"/>
      </w:divBdr>
      <w:divsChild>
        <w:div w:id="1280524970">
          <w:marLeft w:val="360"/>
          <w:marRight w:val="0"/>
          <w:marTop w:val="200"/>
          <w:marBottom w:val="0"/>
          <w:divBdr>
            <w:top w:val="none" w:sz="0" w:space="0" w:color="auto"/>
            <w:left w:val="none" w:sz="0" w:space="0" w:color="auto"/>
            <w:bottom w:val="none" w:sz="0" w:space="0" w:color="auto"/>
            <w:right w:val="none" w:sz="0" w:space="0" w:color="auto"/>
          </w:divBdr>
        </w:div>
      </w:divsChild>
    </w:div>
    <w:div w:id="460075073">
      <w:bodyDiv w:val="1"/>
      <w:marLeft w:val="0"/>
      <w:marRight w:val="0"/>
      <w:marTop w:val="0"/>
      <w:marBottom w:val="0"/>
      <w:divBdr>
        <w:top w:val="none" w:sz="0" w:space="0" w:color="auto"/>
        <w:left w:val="none" w:sz="0" w:space="0" w:color="auto"/>
        <w:bottom w:val="none" w:sz="0" w:space="0" w:color="auto"/>
        <w:right w:val="none" w:sz="0" w:space="0" w:color="auto"/>
      </w:divBdr>
      <w:divsChild>
        <w:div w:id="1094134724">
          <w:marLeft w:val="360"/>
          <w:marRight w:val="0"/>
          <w:marTop w:val="200"/>
          <w:marBottom w:val="0"/>
          <w:divBdr>
            <w:top w:val="none" w:sz="0" w:space="0" w:color="auto"/>
            <w:left w:val="none" w:sz="0" w:space="0" w:color="auto"/>
            <w:bottom w:val="none" w:sz="0" w:space="0" w:color="auto"/>
            <w:right w:val="none" w:sz="0" w:space="0" w:color="auto"/>
          </w:divBdr>
        </w:div>
      </w:divsChild>
    </w:div>
    <w:div w:id="518661572">
      <w:bodyDiv w:val="1"/>
      <w:marLeft w:val="0"/>
      <w:marRight w:val="0"/>
      <w:marTop w:val="0"/>
      <w:marBottom w:val="0"/>
      <w:divBdr>
        <w:top w:val="none" w:sz="0" w:space="0" w:color="auto"/>
        <w:left w:val="none" w:sz="0" w:space="0" w:color="auto"/>
        <w:bottom w:val="none" w:sz="0" w:space="0" w:color="auto"/>
        <w:right w:val="none" w:sz="0" w:space="0" w:color="auto"/>
      </w:divBdr>
      <w:divsChild>
        <w:div w:id="918709654">
          <w:marLeft w:val="0"/>
          <w:marRight w:val="0"/>
          <w:marTop w:val="0"/>
          <w:marBottom w:val="0"/>
          <w:divBdr>
            <w:top w:val="none" w:sz="0" w:space="0" w:color="auto"/>
            <w:left w:val="none" w:sz="0" w:space="0" w:color="auto"/>
            <w:bottom w:val="none" w:sz="0" w:space="0" w:color="auto"/>
            <w:right w:val="none" w:sz="0" w:space="0" w:color="auto"/>
          </w:divBdr>
          <w:divsChild>
            <w:div w:id="7129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4794">
      <w:bodyDiv w:val="1"/>
      <w:marLeft w:val="0"/>
      <w:marRight w:val="0"/>
      <w:marTop w:val="0"/>
      <w:marBottom w:val="0"/>
      <w:divBdr>
        <w:top w:val="none" w:sz="0" w:space="0" w:color="auto"/>
        <w:left w:val="none" w:sz="0" w:space="0" w:color="auto"/>
        <w:bottom w:val="none" w:sz="0" w:space="0" w:color="auto"/>
        <w:right w:val="none" w:sz="0" w:space="0" w:color="auto"/>
      </w:divBdr>
    </w:div>
    <w:div w:id="736442963">
      <w:bodyDiv w:val="1"/>
      <w:marLeft w:val="0"/>
      <w:marRight w:val="0"/>
      <w:marTop w:val="0"/>
      <w:marBottom w:val="0"/>
      <w:divBdr>
        <w:top w:val="none" w:sz="0" w:space="0" w:color="auto"/>
        <w:left w:val="none" w:sz="0" w:space="0" w:color="auto"/>
        <w:bottom w:val="none" w:sz="0" w:space="0" w:color="auto"/>
        <w:right w:val="none" w:sz="0" w:space="0" w:color="auto"/>
      </w:divBdr>
    </w:div>
    <w:div w:id="897519637">
      <w:bodyDiv w:val="1"/>
      <w:marLeft w:val="0"/>
      <w:marRight w:val="0"/>
      <w:marTop w:val="0"/>
      <w:marBottom w:val="0"/>
      <w:divBdr>
        <w:top w:val="none" w:sz="0" w:space="0" w:color="auto"/>
        <w:left w:val="none" w:sz="0" w:space="0" w:color="auto"/>
        <w:bottom w:val="none" w:sz="0" w:space="0" w:color="auto"/>
        <w:right w:val="none" w:sz="0" w:space="0" w:color="auto"/>
      </w:divBdr>
    </w:div>
    <w:div w:id="1087730702">
      <w:bodyDiv w:val="1"/>
      <w:marLeft w:val="0"/>
      <w:marRight w:val="0"/>
      <w:marTop w:val="0"/>
      <w:marBottom w:val="0"/>
      <w:divBdr>
        <w:top w:val="none" w:sz="0" w:space="0" w:color="auto"/>
        <w:left w:val="none" w:sz="0" w:space="0" w:color="auto"/>
        <w:bottom w:val="none" w:sz="0" w:space="0" w:color="auto"/>
        <w:right w:val="none" w:sz="0" w:space="0" w:color="auto"/>
      </w:divBdr>
      <w:divsChild>
        <w:div w:id="89159410">
          <w:marLeft w:val="360"/>
          <w:marRight w:val="0"/>
          <w:marTop w:val="200"/>
          <w:marBottom w:val="0"/>
          <w:divBdr>
            <w:top w:val="none" w:sz="0" w:space="0" w:color="auto"/>
            <w:left w:val="none" w:sz="0" w:space="0" w:color="auto"/>
            <w:bottom w:val="none" w:sz="0" w:space="0" w:color="auto"/>
            <w:right w:val="none" w:sz="0" w:space="0" w:color="auto"/>
          </w:divBdr>
        </w:div>
      </w:divsChild>
    </w:div>
    <w:div w:id="1540314455">
      <w:bodyDiv w:val="1"/>
      <w:marLeft w:val="0"/>
      <w:marRight w:val="0"/>
      <w:marTop w:val="0"/>
      <w:marBottom w:val="0"/>
      <w:divBdr>
        <w:top w:val="none" w:sz="0" w:space="0" w:color="auto"/>
        <w:left w:val="none" w:sz="0" w:space="0" w:color="auto"/>
        <w:bottom w:val="none" w:sz="0" w:space="0" w:color="auto"/>
        <w:right w:val="none" w:sz="0" w:space="0" w:color="auto"/>
      </w:divBdr>
      <w:divsChild>
        <w:div w:id="1720518876">
          <w:marLeft w:val="360"/>
          <w:marRight w:val="0"/>
          <w:marTop w:val="200"/>
          <w:marBottom w:val="0"/>
          <w:divBdr>
            <w:top w:val="none" w:sz="0" w:space="0" w:color="auto"/>
            <w:left w:val="none" w:sz="0" w:space="0" w:color="auto"/>
            <w:bottom w:val="none" w:sz="0" w:space="0" w:color="auto"/>
            <w:right w:val="none" w:sz="0" w:space="0" w:color="auto"/>
          </w:divBdr>
        </w:div>
      </w:divsChild>
    </w:div>
    <w:div w:id="1790666693">
      <w:bodyDiv w:val="1"/>
      <w:marLeft w:val="0"/>
      <w:marRight w:val="0"/>
      <w:marTop w:val="0"/>
      <w:marBottom w:val="0"/>
      <w:divBdr>
        <w:top w:val="none" w:sz="0" w:space="0" w:color="auto"/>
        <w:left w:val="none" w:sz="0" w:space="0" w:color="auto"/>
        <w:bottom w:val="none" w:sz="0" w:space="0" w:color="auto"/>
        <w:right w:val="none" w:sz="0" w:space="0" w:color="auto"/>
      </w:divBdr>
      <w:divsChild>
        <w:div w:id="15151479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mrc.soton.ac.uk" TargetMode="External"/><Relationship Id="rId18" Type="http://schemas.openxmlformats.org/officeDocument/2006/relationships/hyperlink" Target="https://doi.org/10.1097/MD.0000000000033389" TargetMode="External"/><Relationship Id="rId26" Type="http://schemas.openxmlformats.org/officeDocument/2006/relationships/hyperlink" Target="https://doi.org/10.1177/0898264318817091" TargetMode="External"/><Relationship Id="rId39" Type="http://schemas.openxmlformats.org/officeDocument/2006/relationships/hyperlink" Target="https://doi.org/10.1370/afm.1363" TargetMode="External"/><Relationship Id="rId3" Type="http://schemas.openxmlformats.org/officeDocument/2006/relationships/customXml" Target="../customXml/item3.xml"/><Relationship Id="rId21" Type="http://schemas.openxmlformats.org/officeDocument/2006/relationships/hyperlink" Target="https://doi.org/10.1177/26335565221147417" TargetMode="External"/><Relationship Id="rId34" Type="http://schemas.openxmlformats.org/officeDocument/2006/relationships/hyperlink" Target="https://doi.org/10.1371/journal.pone.0224260" TargetMode="External"/><Relationship Id="rId42" Type="http://schemas.openxmlformats.org/officeDocument/2006/relationships/hyperlink" Target="https://doi.org/10.1503/cmaj.121349" TargetMode="External"/><Relationship Id="rId47" Type="http://schemas.openxmlformats.org/officeDocument/2006/relationships/hyperlink" Target="https://doi.org/10.1093/ije/dyi127"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shanrambukwella1@gmail.com" TargetMode="External"/><Relationship Id="rId17" Type="http://schemas.openxmlformats.org/officeDocument/2006/relationships/hyperlink" Target="mailto:emd@mrc.soton.ac.uk" TargetMode="External"/><Relationship Id="rId25" Type="http://schemas.openxmlformats.org/officeDocument/2006/relationships/hyperlink" Target="https://doi.org/10.1186/s12889-021-11456-7" TargetMode="External"/><Relationship Id="rId33" Type="http://schemas.openxmlformats.org/officeDocument/2006/relationships/hyperlink" Target="https://doi.org/10.3390%2Fjcm10143178" TargetMode="External"/><Relationship Id="rId38" Type="http://schemas.openxmlformats.org/officeDocument/2006/relationships/hyperlink" Target="https://doi.org/10.1016/j.bone.2022.116521" TargetMode="External"/><Relationship Id="rId46" Type="http://schemas.openxmlformats.org/officeDocument/2006/relationships/hyperlink" Target="https://doi.org/10.1136/bmj.l327" TargetMode="External"/><Relationship Id="rId2" Type="http://schemas.openxmlformats.org/officeDocument/2006/relationships/customXml" Target="../customXml/item2.xml"/><Relationship Id="rId16" Type="http://schemas.openxmlformats.org/officeDocument/2006/relationships/hyperlink" Target="mailto:cc@mrc.soton.ac.uk" TargetMode="External"/><Relationship Id="rId20" Type="http://schemas.openxmlformats.org/officeDocument/2006/relationships/hyperlink" Target="https://doi.org/10.1155/2016/8745670" TargetMode="External"/><Relationship Id="rId29" Type="http://schemas.openxmlformats.org/officeDocument/2006/relationships/hyperlink" Target="https://doi.org/10.1016/j.ejim.2018.12.001" TargetMode="External"/><Relationship Id="rId41" Type="http://schemas.openxmlformats.org/officeDocument/2006/relationships/hyperlink" Target="https://doi.org/10.1080/01621459.1999.104741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w@mrc.soton.ac.uk" TargetMode="External"/><Relationship Id="rId24" Type="http://schemas.openxmlformats.org/officeDocument/2006/relationships/hyperlink" Target="https://doi.org/10.1371/journal.pone.0102149" TargetMode="External"/><Relationship Id="rId32" Type="http://schemas.openxmlformats.org/officeDocument/2006/relationships/hyperlink" Target="https://doi.org/10.1186%2Fs13018-021-02772-0" TargetMode="External"/><Relationship Id="rId37" Type="http://schemas.openxmlformats.org/officeDocument/2006/relationships/hyperlink" Target="https://doi.org/10.1007/s00223-017-0354-4" TargetMode="External"/><Relationship Id="rId40" Type="http://schemas.openxmlformats.org/officeDocument/2006/relationships/hyperlink" Target="https://doi.org/10.1093/ageing/afu020" TargetMode="External"/><Relationship Id="rId45" Type="http://schemas.openxmlformats.org/officeDocument/2006/relationships/hyperlink" Target="https://doi.org/10.1056/NEJMra1203528" TargetMode="External"/><Relationship Id="rId5" Type="http://schemas.openxmlformats.org/officeDocument/2006/relationships/numbering" Target="numbering.xml"/><Relationship Id="rId15" Type="http://schemas.openxmlformats.org/officeDocument/2006/relationships/hyperlink" Target="mailto:kw@mrc.soton.ac.uk" TargetMode="External"/><Relationship Id="rId23" Type="http://schemas.openxmlformats.org/officeDocument/2006/relationships/hyperlink" Target="https://doi.org/10.1377/hlthaff.2018.05273" TargetMode="External"/><Relationship Id="rId28" Type="http://schemas.openxmlformats.org/officeDocument/2006/relationships/hyperlink" Target="https://doi.org/10.1016/S0140-6736(12)60240-2" TargetMode="External"/><Relationship Id="rId36" Type="http://schemas.openxmlformats.org/officeDocument/2006/relationships/hyperlink" Target="https://doi.org/10.1007/s00198-018-4503-z"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36/bmj.m160" TargetMode="External"/><Relationship Id="rId31" Type="http://schemas.openxmlformats.org/officeDocument/2006/relationships/hyperlink" Target="https://doi.org/10.1136%2Fbmjgh-2017-000298" TargetMode="External"/><Relationship Id="rId44" Type="http://schemas.openxmlformats.org/officeDocument/2006/relationships/hyperlink" Target="https://doi.org/10.1093/eurheartj/ehv2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yperlink" Target="https://doi.org/10.1136/bmjgh-2021-007278" TargetMode="External"/><Relationship Id="rId27" Type="http://schemas.openxmlformats.org/officeDocument/2006/relationships/hyperlink" Target="https://doi.org/10.1371/journal.pmed.1003514" TargetMode="External"/><Relationship Id="rId30" Type="http://schemas.openxmlformats.org/officeDocument/2006/relationships/hyperlink" Target="https://doi.org/10.1370/afm.1757" TargetMode="External"/><Relationship Id="rId35" Type="http://schemas.openxmlformats.org/officeDocument/2006/relationships/hyperlink" Target="https://doi.org/10.12688/f1000research.17457.1" TargetMode="External"/><Relationship Id="rId43" Type="http://schemas.openxmlformats.org/officeDocument/2006/relationships/hyperlink" Target="https://doi.org/10.1186/s12913-015-1170-z" TargetMode="External"/><Relationship Id="rId48"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BD1D48DC6BC443BD85CCBAB2981EFF" ma:contentTypeVersion="4" ma:contentTypeDescription="Create a new document." ma:contentTypeScope="" ma:versionID="b289c631a8a502690b93dc111299332e">
  <xsd:schema xmlns:xsd="http://www.w3.org/2001/XMLSchema" xmlns:xs="http://www.w3.org/2001/XMLSchema" xmlns:p="http://schemas.microsoft.com/office/2006/metadata/properties" xmlns:ns2="e7186b6a-f95d-405e-bc80-ff828e244a08" targetNamespace="http://schemas.microsoft.com/office/2006/metadata/properties" ma:root="true" ma:fieldsID="9263ad648df0a02957b66d8181aa5d69" ns2:_="">
    <xsd:import namespace="e7186b6a-f95d-405e-bc80-ff828e244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6b6a-f95d-405e-bc80-ff828e244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D92B0-8371-484B-839E-3A469673C9B8}">
  <ds:schemaRefs>
    <ds:schemaRef ds:uri="http://schemas.openxmlformats.org/officeDocument/2006/bibliography"/>
  </ds:schemaRefs>
</ds:datastoreItem>
</file>

<file path=customXml/itemProps2.xml><?xml version="1.0" encoding="utf-8"?>
<ds:datastoreItem xmlns:ds="http://schemas.openxmlformats.org/officeDocument/2006/customXml" ds:itemID="{889D1C15-5FF9-4F09-ACFD-1ED99D5D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6b6a-f95d-405e-bc80-ff828e244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1F2EF-3108-4CBC-BC95-427CBBDDD5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C1737-0B12-4C3C-AE9E-9B82A8ABA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9344</Words>
  <Characters>53265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Westbury</dc:creator>
  <cp:keywords/>
  <dc:description/>
  <cp:lastModifiedBy>Karen Drake</cp:lastModifiedBy>
  <cp:revision>2</cp:revision>
  <dcterms:created xsi:type="dcterms:W3CDTF">2024-11-12T13:51:00Z</dcterms:created>
  <dcterms:modified xsi:type="dcterms:W3CDTF">2024-11-12T13:51:00Z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0x0101006FBD1D48DC6BC443BD85CCBAB2981EFF</vt:lpwstr>
  </property>
  <property fmtid="{D5CDD505-2E9C-101B-9397-08002B2CF9AE}" pid="3" name="GrammarlyDocumentId">
    <vt:lpwstr>1bb34a9bd5cd67a7a0e8e545565303ecaa7d3786b5382e9e5452eb314ba117f1</vt:lpwstr>
  </property>
  <property fmtid="{D5CDD505-2E9C-101B-9397-08002B2CF9AE}" pid="4" name="ZOTERO_PREF_1">
    <vt:lpwstr>&lt;data data-version="3" zotero-version="6.0.27"&gt;&lt;session id="DCM57djj"/&gt;&lt;style id="http://www.zotero.org/styles/vancouver" locale="en-US" hasBibliography="1" bibliographyStyleHasBeenSet="1"/&gt;&lt;prefs&gt;&lt;pref name="fieldType" value="Field"/&gt;&lt;/prefs&gt;&lt;/data&gt;</vt:lpwstr>
  </property>
</Properties>
</file>