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74BE4" w14:textId="77777777" w:rsidR="00A724EA" w:rsidRPr="00A724EA" w:rsidRDefault="00A724EA" w:rsidP="00A724EA">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F47C25">
        <w:rPr>
          <w:rFonts w:ascii="Arial" w:eastAsia="Times New Roman" w:hAnsi="Arial" w:cs="Arial"/>
          <w:b/>
          <w:bCs/>
          <w:color w:val="FF0000"/>
          <w:kern w:val="36"/>
          <w:sz w:val="48"/>
          <w:szCs w:val="48"/>
          <w:lang w:val="en-US" w:eastAsia="es-ES"/>
          <w14:ligatures w14:val="none"/>
        </w:rPr>
        <w:t xml:space="preserve">Global food security </w:t>
      </w:r>
      <w:r w:rsidRPr="00A724EA">
        <w:rPr>
          <w:rFonts w:ascii="Arial" w:eastAsia="Times New Roman" w:hAnsi="Arial" w:cs="Arial"/>
          <w:b/>
          <w:bCs/>
          <w:color w:val="0B0C0C"/>
          <w:kern w:val="36"/>
          <w:sz w:val="48"/>
          <w:szCs w:val="48"/>
          <w:lang w:val="en-US" w:eastAsia="es-ES"/>
          <w14:ligatures w14:val="none"/>
        </w:rPr>
        <w:t>and Russia sanctions: EU-US-UK joint statement, 14 November 2022</w:t>
      </w:r>
    </w:p>
    <w:p w14:paraId="3C273DC0" w14:textId="77777777" w:rsidR="00A724EA" w:rsidRPr="00A724EA" w:rsidRDefault="00A724EA" w:rsidP="00A724EA">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A724EA">
        <w:rPr>
          <w:rFonts w:ascii="Arial" w:eastAsia="Times New Roman" w:hAnsi="Arial" w:cs="Arial"/>
          <w:color w:val="0B0C0C"/>
          <w:kern w:val="0"/>
          <w:sz w:val="27"/>
          <w:szCs w:val="27"/>
          <w:lang w:val="en-US" w:eastAsia="es-ES"/>
          <w14:ligatures w14:val="none"/>
        </w:rPr>
        <w:t xml:space="preserve">The UK Foreign Secretary, High Representative of the European Union, and US Secretary of State gave a statement on </w:t>
      </w:r>
      <w:r w:rsidRPr="00F47C25">
        <w:rPr>
          <w:rFonts w:ascii="Arial" w:eastAsia="Times New Roman" w:hAnsi="Arial" w:cs="Arial"/>
          <w:color w:val="FF0000"/>
          <w:kern w:val="0"/>
          <w:sz w:val="27"/>
          <w:szCs w:val="27"/>
          <w:lang w:val="en-US" w:eastAsia="es-ES"/>
          <w14:ligatures w14:val="none"/>
        </w:rPr>
        <w:t>global food security</w:t>
      </w:r>
      <w:r w:rsidRPr="00A724EA">
        <w:rPr>
          <w:rFonts w:ascii="Arial" w:eastAsia="Times New Roman" w:hAnsi="Arial" w:cs="Arial"/>
          <w:color w:val="0B0C0C"/>
          <w:kern w:val="0"/>
          <w:sz w:val="27"/>
          <w:szCs w:val="27"/>
          <w:lang w:val="en-US" w:eastAsia="es-ES"/>
          <w14:ligatures w14:val="none"/>
        </w:rPr>
        <w:t xml:space="preserve"> and Russia sanctions.</w:t>
      </w:r>
    </w:p>
    <w:p w14:paraId="1E691055" w14:textId="77777777" w:rsidR="00A724EA" w:rsidRPr="00A724EA" w:rsidRDefault="00A724EA" w:rsidP="00A724EA">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A724EA">
        <w:rPr>
          <w:rFonts w:ascii="Arial" w:eastAsia="Times New Roman" w:hAnsi="Arial" w:cs="Arial"/>
          <w:color w:val="0B0C0C"/>
          <w:kern w:val="0"/>
          <w:sz w:val="27"/>
          <w:szCs w:val="27"/>
          <w:lang w:val="en-US" w:eastAsia="es-ES"/>
          <w14:ligatures w14:val="none"/>
        </w:rPr>
        <w:t xml:space="preserve">Statement by UK Foreign Secretary James Cleverly, High Representative of the European Union </w:t>
      </w:r>
      <w:proofErr w:type="spellStart"/>
      <w:r w:rsidRPr="00A724EA">
        <w:rPr>
          <w:rFonts w:ascii="Arial" w:eastAsia="Times New Roman" w:hAnsi="Arial" w:cs="Arial"/>
          <w:color w:val="0B0C0C"/>
          <w:kern w:val="0"/>
          <w:sz w:val="27"/>
          <w:szCs w:val="27"/>
          <w:lang w:val="en-US" w:eastAsia="es-ES"/>
          <w14:ligatures w14:val="none"/>
        </w:rPr>
        <w:t>Josep</w:t>
      </w:r>
      <w:proofErr w:type="spellEnd"/>
      <w:r w:rsidRPr="00A724EA">
        <w:rPr>
          <w:rFonts w:ascii="Arial" w:eastAsia="Times New Roman" w:hAnsi="Arial" w:cs="Arial"/>
          <w:color w:val="0B0C0C"/>
          <w:kern w:val="0"/>
          <w:sz w:val="27"/>
          <w:szCs w:val="27"/>
          <w:lang w:val="en-US" w:eastAsia="es-ES"/>
          <w14:ligatures w14:val="none"/>
        </w:rPr>
        <w:t xml:space="preserve"> Borrell, and US Secretary of State Anthony Blinken:</w:t>
      </w:r>
    </w:p>
    <w:p w14:paraId="3FA4618C" w14:textId="77777777" w:rsidR="00A724EA" w:rsidRPr="00A724EA" w:rsidRDefault="00A724EA" w:rsidP="00A724EA">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A724EA">
        <w:rPr>
          <w:rFonts w:ascii="Arial" w:eastAsia="Times New Roman" w:hAnsi="Arial" w:cs="Arial"/>
          <w:color w:val="0B0C0C"/>
          <w:kern w:val="0"/>
          <w:sz w:val="27"/>
          <w:szCs w:val="27"/>
          <w:lang w:val="en-US" w:eastAsia="es-ES"/>
          <w14:ligatures w14:val="none"/>
        </w:rPr>
        <w:t xml:space="preserve">The world faces </w:t>
      </w:r>
      <w:r w:rsidRPr="00B12EB4">
        <w:rPr>
          <w:rFonts w:ascii="Arial" w:eastAsia="Times New Roman" w:hAnsi="Arial" w:cs="Arial"/>
          <w:color w:val="0070C0"/>
          <w:kern w:val="0"/>
          <w:sz w:val="27"/>
          <w:szCs w:val="27"/>
          <w:lang w:val="en-US" w:eastAsia="es-ES"/>
          <w14:ligatures w14:val="none"/>
        </w:rPr>
        <w:t>acute food and nutrition challenge</w:t>
      </w:r>
      <w:r w:rsidRPr="00A724EA">
        <w:rPr>
          <w:rFonts w:ascii="Arial" w:eastAsia="Times New Roman" w:hAnsi="Arial" w:cs="Arial"/>
          <w:color w:val="0B0C0C"/>
          <w:kern w:val="0"/>
          <w:sz w:val="27"/>
          <w:szCs w:val="27"/>
          <w:lang w:val="en-US" w:eastAsia="es-ES"/>
          <w14:ligatures w14:val="none"/>
        </w:rPr>
        <w:t xml:space="preserve">s. </w:t>
      </w:r>
      <w:r w:rsidRPr="00B12EB4">
        <w:rPr>
          <w:rFonts w:ascii="Arial" w:eastAsia="Times New Roman" w:hAnsi="Arial" w:cs="Arial"/>
          <w:color w:val="0070C0"/>
          <w:kern w:val="0"/>
          <w:sz w:val="27"/>
          <w:szCs w:val="27"/>
          <w:lang w:val="en-US" w:eastAsia="es-ES"/>
          <w14:ligatures w14:val="none"/>
        </w:rPr>
        <w:t xml:space="preserve">Conflict, climate change and the lasting impacts of COVID-19 are having devastating effects on local and global food systems </w:t>
      </w:r>
      <w:r w:rsidRPr="00A724EA">
        <w:rPr>
          <w:rFonts w:ascii="Arial" w:eastAsia="Times New Roman" w:hAnsi="Arial" w:cs="Arial"/>
          <w:color w:val="0B0C0C"/>
          <w:kern w:val="0"/>
          <w:sz w:val="27"/>
          <w:szCs w:val="27"/>
          <w:lang w:val="en-US" w:eastAsia="es-ES"/>
          <w14:ligatures w14:val="none"/>
        </w:rPr>
        <w:t>and the people who rely on them. Russia’s unprovoked aggression against Ukraine has significantly worsened these challenges and vulnerabilities.</w:t>
      </w:r>
    </w:p>
    <w:p w14:paraId="203F1B71" w14:textId="77777777" w:rsidR="00A724EA" w:rsidRPr="00A724EA" w:rsidRDefault="00A724EA" w:rsidP="00A724E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24EA">
        <w:rPr>
          <w:rFonts w:ascii="Arial" w:eastAsia="Times New Roman" w:hAnsi="Arial" w:cs="Arial"/>
          <w:color w:val="0B0C0C"/>
          <w:kern w:val="0"/>
          <w:sz w:val="27"/>
          <w:szCs w:val="27"/>
          <w:lang w:val="en-US" w:eastAsia="es-ES"/>
          <w14:ligatures w14:val="none"/>
        </w:rPr>
        <w:t xml:space="preserve">The European Union, the United States of America and the United Kingdom, alongside other G7 members and our international partners, are at the forefront of global efforts to address </w:t>
      </w:r>
      <w:r w:rsidRPr="00F47C25">
        <w:rPr>
          <w:rFonts w:ascii="Arial" w:eastAsia="Times New Roman" w:hAnsi="Arial" w:cs="Arial"/>
          <w:color w:val="FF0000"/>
          <w:kern w:val="0"/>
          <w:sz w:val="27"/>
          <w:szCs w:val="27"/>
          <w:lang w:val="en-US" w:eastAsia="es-ES"/>
          <w14:ligatures w14:val="none"/>
        </w:rPr>
        <w:t>food insecurity that is affecting millions of vulnerable people in developing countries</w:t>
      </w:r>
      <w:r w:rsidRPr="00A724EA">
        <w:rPr>
          <w:rFonts w:ascii="Arial" w:eastAsia="Times New Roman" w:hAnsi="Arial" w:cs="Arial"/>
          <w:color w:val="0B0C0C"/>
          <w:kern w:val="0"/>
          <w:sz w:val="27"/>
          <w:szCs w:val="27"/>
          <w:lang w:val="en-US" w:eastAsia="es-ES"/>
          <w14:ligatures w14:val="none"/>
        </w:rPr>
        <w:t>, whilst also driving up living costs in our own countries.</w:t>
      </w:r>
    </w:p>
    <w:p w14:paraId="300C80E3" w14:textId="77777777" w:rsidR="00A724EA" w:rsidRPr="00A724EA" w:rsidRDefault="00A724EA" w:rsidP="00A724E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24EA">
        <w:rPr>
          <w:rFonts w:ascii="Arial" w:eastAsia="Times New Roman" w:hAnsi="Arial" w:cs="Arial"/>
          <w:color w:val="0B0C0C"/>
          <w:kern w:val="0"/>
          <w:sz w:val="27"/>
          <w:szCs w:val="27"/>
          <w:lang w:val="en-US" w:eastAsia="es-ES"/>
          <w14:ligatures w14:val="none"/>
        </w:rPr>
        <w:t xml:space="preserve">We have always been clear that the target of our sanctions is Russia’s war machine and not the food or </w:t>
      </w:r>
      <w:proofErr w:type="spellStart"/>
      <w:r w:rsidRPr="00A724EA">
        <w:rPr>
          <w:rFonts w:ascii="Arial" w:eastAsia="Times New Roman" w:hAnsi="Arial" w:cs="Arial"/>
          <w:color w:val="0B0C0C"/>
          <w:kern w:val="0"/>
          <w:sz w:val="27"/>
          <w:szCs w:val="27"/>
          <w:lang w:val="en-US" w:eastAsia="es-ES"/>
          <w14:ligatures w14:val="none"/>
        </w:rPr>
        <w:t>fertiliser</w:t>
      </w:r>
      <w:proofErr w:type="spellEnd"/>
      <w:r w:rsidRPr="00A724EA">
        <w:rPr>
          <w:rFonts w:ascii="Arial" w:eastAsia="Times New Roman" w:hAnsi="Arial" w:cs="Arial"/>
          <w:color w:val="0B0C0C"/>
          <w:kern w:val="0"/>
          <w:sz w:val="27"/>
          <w:szCs w:val="27"/>
          <w:lang w:val="en-US" w:eastAsia="es-ES"/>
          <w14:ligatures w14:val="none"/>
        </w:rPr>
        <w:t xml:space="preserve"> sectors. To that end, we have provided clarity to industry and partners. This includes: the </w:t>
      </w:r>
      <w:hyperlink r:id="rId4" w:history="1">
        <w:r w:rsidRPr="00A724EA">
          <w:rPr>
            <w:rFonts w:ascii="Arial" w:eastAsia="Times New Roman" w:hAnsi="Arial" w:cs="Arial"/>
            <w:color w:val="1D70B8"/>
            <w:kern w:val="0"/>
            <w:sz w:val="27"/>
            <w:szCs w:val="27"/>
            <w:u w:val="single"/>
            <w:lang w:val="en-US" w:eastAsia="es-ES"/>
            <w14:ligatures w14:val="none"/>
          </w:rPr>
          <w:t xml:space="preserve">UK’s publication of a General </w:t>
        </w:r>
        <w:proofErr w:type="spellStart"/>
        <w:r w:rsidRPr="00A724EA">
          <w:rPr>
            <w:rFonts w:ascii="Arial" w:eastAsia="Times New Roman" w:hAnsi="Arial" w:cs="Arial"/>
            <w:color w:val="1D70B8"/>
            <w:kern w:val="0"/>
            <w:sz w:val="27"/>
            <w:szCs w:val="27"/>
            <w:u w:val="single"/>
            <w:lang w:val="en-US" w:eastAsia="es-ES"/>
            <w14:ligatures w14:val="none"/>
          </w:rPr>
          <w:t>Licence</w:t>
        </w:r>
        <w:proofErr w:type="spellEnd"/>
      </w:hyperlink>
      <w:r w:rsidRPr="00A724EA">
        <w:rPr>
          <w:rFonts w:ascii="Arial" w:eastAsia="Times New Roman" w:hAnsi="Arial" w:cs="Arial"/>
          <w:color w:val="0B0C0C"/>
          <w:kern w:val="0"/>
          <w:sz w:val="27"/>
          <w:szCs w:val="27"/>
          <w:lang w:val="en-US" w:eastAsia="es-ES"/>
          <w14:ligatures w14:val="none"/>
        </w:rPr>
        <w:t>, the </w:t>
      </w:r>
      <w:hyperlink r:id="rId5" w:history="1">
        <w:r w:rsidRPr="00A724EA">
          <w:rPr>
            <w:rFonts w:ascii="Arial" w:eastAsia="Times New Roman" w:hAnsi="Arial" w:cs="Arial"/>
            <w:color w:val="1D70B8"/>
            <w:kern w:val="0"/>
            <w:sz w:val="27"/>
            <w:szCs w:val="27"/>
            <w:u w:val="single"/>
            <w:lang w:val="en-US" w:eastAsia="es-ES"/>
            <w14:ligatures w14:val="none"/>
          </w:rPr>
          <w:t xml:space="preserve">US General </w:t>
        </w:r>
        <w:proofErr w:type="spellStart"/>
        <w:r w:rsidRPr="00A724EA">
          <w:rPr>
            <w:rFonts w:ascii="Arial" w:eastAsia="Times New Roman" w:hAnsi="Arial" w:cs="Arial"/>
            <w:color w:val="1D70B8"/>
            <w:kern w:val="0"/>
            <w:sz w:val="27"/>
            <w:szCs w:val="27"/>
            <w:u w:val="single"/>
            <w:lang w:val="en-US" w:eastAsia="es-ES"/>
            <w14:ligatures w14:val="none"/>
          </w:rPr>
          <w:t>Licence</w:t>
        </w:r>
        <w:proofErr w:type="spellEnd"/>
        <w:r w:rsidRPr="00A724EA">
          <w:rPr>
            <w:rFonts w:ascii="Arial" w:eastAsia="Times New Roman" w:hAnsi="Arial" w:cs="Arial"/>
            <w:color w:val="1D70B8"/>
            <w:kern w:val="0"/>
            <w:sz w:val="27"/>
            <w:szCs w:val="27"/>
            <w:u w:val="single"/>
            <w:lang w:val="en-US" w:eastAsia="es-ES"/>
            <w14:ligatures w14:val="none"/>
          </w:rPr>
          <w:t xml:space="preserve"> 6B (PDF, 160KB)</w:t>
        </w:r>
      </w:hyperlink>
      <w:r w:rsidRPr="00A724EA">
        <w:rPr>
          <w:rFonts w:ascii="Arial" w:eastAsia="Times New Roman" w:hAnsi="Arial" w:cs="Arial"/>
          <w:color w:val="0B0C0C"/>
          <w:kern w:val="0"/>
          <w:sz w:val="27"/>
          <w:szCs w:val="27"/>
          <w:lang w:val="en-US" w:eastAsia="es-ES"/>
          <w14:ligatures w14:val="none"/>
        </w:rPr>
        <w:t>; as well as </w:t>
      </w:r>
      <w:hyperlink r:id="rId6" w:history="1">
        <w:r w:rsidRPr="00A724EA">
          <w:rPr>
            <w:rFonts w:ascii="Arial" w:eastAsia="Times New Roman" w:hAnsi="Arial" w:cs="Arial"/>
            <w:color w:val="1D70B8"/>
            <w:kern w:val="0"/>
            <w:sz w:val="27"/>
            <w:szCs w:val="27"/>
            <w:u w:val="single"/>
            <w:lang w:val="en-US" w:eastAsia="es-ES"/>
            <w14:ligatures w14:val="none"/>
          </w:rPr>
          <w:t>updated and detailed EU guidance (PDF, 473 KB)</w:t>
        </w:r>
      </w:hyperlink>
      <w:r w:rsidRPr="00A724EA">
        <w:rPr>
          <w:rFonts w:ascii="Arial" w:eastAsia="Times New Roman" w:hAnsi="Arial" w:cs="Arial"/>
          <w:color w:val="0B0C0C"/>
          <w:kern w:val="0"/>
          <w:sz w:val="27"/>
          <w:szCs w:val="27"/>
          <w:lang w:val="en-US" w:eastAsia="es-ES"/>
          <w14:ligatures w14:val="none"/>
        </w:rPr>
        <w:t xml:space="preserve">. These provisions make clear that banks, insurers, shippers, and other actors can continue to bring Russian food and </w:t>
      </w:r>
      <w:proofErr w:type="spellStart"/>
      <w:r w:rsidRPr="00A724EA">
        <w:rPr>
          <w:rFonts w:ascii="Arial" w:eastAsia="Times New Roman" w:hAnsi="Arial" w:cs="Arial"/>
          <w:color w:val="0B0C0C"/>
          <w:kern w:val="0"/>
          <w:sz w:val="27"/>
          <w:szCs w:val="27"/>
          <w:lang w:val="en-US" w:eastAsia="es-ES"/>
          <w14:ligatures w14:val="none"/>
        </w:rPr>
        <w:t>fertiliser</w:t>
      </w:r>
      <w:proofErr w:type="spellEnd"/>
      <w:r w:rsidRPr="00A724EA">
        <w:rPr>
          <w:rFonts w:ascii="Arial" w:eastAsia="Times New Roman" w:hAnsi="Arial" w:cs="Arial"/>
          <w:color w:val="0B0C0C"/>
          <w:kern w:val="0"/>
          <w:sz w:val="27"/>
          <w:szCs w:val="27"/>
          <w:lang w:val="en-US" w:eastAsia="es-ES"/>
          <w14:ligatures w14:val="none"/>
        </w:rPr>
        <w:t xml:space="preserve"> to the world.</w:t>
      </w:r>
    </w:p>
    <w:p w14:paraId="6AB95F33" w14:textId="77777777" w:rsidR="00A724EA" w:rsidRPr="00A724EA" w:rsidRDefault="00A724EA" w:rsidP="00A724E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24EA">
        <w:rPr>
          <w:rFonts w:ascii="Arial" w:eastAsia="Times New Roman" w:hAnsi="Arial" w:cs="Arial"/>
          <w:color w:val="0B0C0C"/>
          <w:kern w:val="0"/>
          <w:sz w:val="27"/>
          <w:szCs w:val="27"/>
          <w:lang w:val="en-US" w:eastAsia="es-ES"/>
          <w14:ligatures w14:val="none"/>
        </w:rPr>
        <w:t xml:space="preserve">We call on our global partners, and on the actors, industries and services involved in agricultural trade, to take note of these provisions; to act in accordance with them; to bring Ukrainian and Russian food and </w:t>
      </w:r>
      <w:proofErr w:type="spellStart"/>
      <w:r w:rsidRPr="00A724EA">
        <w:rPr>
          <w:rFonts w:ascii="Arial" w:eastAsia="Times New Roman" w:hAnsi="Arial" w:cs="Arial"/>
          <w:color w:val="0B0C0C"/>
          <w:kern w:val="0"/>
          <w:sz w:val="27"/>
          <w:szCs w:val="27"/>
          <w:lang w:val="en-US" w:eastAsia="es-ES"/>
          <w14:ligatures w14:val="none"/>
        </w:rPr>
        <w:t>fertiliser</w:t>
      </w:r>
      <w:proofErr w:type="spellEnd"/>
      <w:r w:rsidRPr="00A724EA">
        <w:rPr>
          <w:rFonts w:ascii="Arial" w:eastAsia="Times New Roman" w:hAnsi="Arial" w:cs="Arial"/>
          <w:color w:val="0B0C0C"/>
          <w:kern w:val="0"/>
          <w:sz w:val="27"/>
          <w:szCs w:val="27"/>
          <w:lang w:val="en-US" w:eastAsia="es-ES"/>
          <w14:ligatures w14:val="none"/>
        </w:rPr>
        <w:t xml:space="preserve"> to meet acute demand; and to continue to advance the accessibility of food to all.</w:t>
      </w:r>
    </w:p>
    <w:p w14:paraId="64862674" w14:textId="77777777" w:rsidR="00A724EA" w:rsidRPr="00A724EA" w:rsidRDefault="00A724EA" w:rsidP="00A724E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24EA">
        <w:rPr>
          <w:rFonts w:ascii="Arial" w:eastAsia="Times New Roman" w:hAnsi="Arial" w:cs="Arial"/>
          <w:color w:val="0B0C0C"/>
          <w:kern w:val="0"/>
          <w:sz w:val="27"/>
          <w:szCs w:val="27"/>
          <w:lang w:val="en-US" w:eastAsia="es-ES"/>
          <w14:ligatures w14:val="none"/>
        </w:rPr>
        <w:t xml:space="preserve">We reiterate our call on all countries to demonstrate their support for the Black Sea Grain Initiative. We call on the parties to the Initiative to extend its term and scale up its operations to meet the evident </w:t>
      </w:r>
      <w:r w:rsidRPr="00A724EA">
        <w:rPr>
          <w:rFonts w:ascii="Arial" w:eastAsia="Times New Roman" w:hAnsi="Arial" w:cs="Arial"/>
          <w:color w:val="0B0C0C"/>
          <w:kern w:val="0"/>
          <w:sz w:val="27"/>
          <w:szCs w:val="27"/>
          <w:lang w:val="en-US" w:eastAsia="es-ES"/>
          <w14:ligatures w14:val="none"/>
        </w:rPr>
        <w:lastRenderedPageBreak/>
        <w:t xml:space="preserve">demand. And we reiterate our support for other efforts by the United Nations to facilitate access to food and </w:t>
      </w:r>
      <w:proofErr w:type="spellStart"/>
      <w:r w:rsidRPr="00A724EA">
        <w:rPr>
          <w:rFonts w:ascii="Arial" w:eastAsia="Times New Roman" w:hAnsi="Arial" w:cs="Arial"/>
          <w:color w:val="0B0C0C"/>
          <w:kern w:val="0"/>
          <w:sz w:val="27"/>
          <w:szCs w:val="27"/>
          <w:lang w:val="en-US" w:eastAsia="es-ES"/>
          <w14:ligatures w14:val="none"/>
        </w:rPr>
        <w:t>fertiliser</w:t>
      </w:r>
      <w:proofErr w:type="spellEnd"/>
      <w:r w:rsidRPr="00A724EA">
        <w:rPr>
          <w:rFonts w:ascii="Arial" w:eastAsia="Times New Roman" w:hAnsi="Arial" w:cs="Arial"/>
          <w:color w:val="0B0C0C"/>
          <w:kern w:val="0"/>
          <w:sz w:val="27"/>
          <w:szCs w:val="27"/>
          <w:lang w:val="en-US" w:eastAsia="es-ES"/>
          <w14:ligatures w14:val="none"/>
        </w:rPr>
        <w:t xml:space="preserve"> in global markets.</w:t>
      </w:r>
    </w:p>
    <w:p w14:paraId="097E24CF" w14:textId="77777777" w:rsidR="00A724EA" w:rsidRPr="00A724EA" w:rsidRDefault="00A724EA" w:rsidP="00A724EA">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A724EA">
        <w:rPr>
          <w:rFonts w:ascii="Arial" w:eastAsia="Times New Roman" w:hAnsi="Arial" w:cs="Arial"/>
          <w:color w:val="0B0C0C"/>
          <w:kern w:val="0"/>
          <w:sz w:val="27"/>
          <w:szCs w:val="27"/>
          <w:lang w:val="en-US" w:eastAsia="es-ES"/>
          <w14:ligatures w14:val="none"/>
        </w:rPr>
        <w:t xml:space="preserve">Overall, we are united in our commitment and resolve to </w:t>
      </w:r>
      <w:r w:rsidRPr="00F47C25">
        <w:rPr>
          <w:rFonts w:ascii="Arial" w:eastAsia="Times New Roman" w:hAnsi="Arial" w:cs="Arial"/>
          <w:color w:val="FF0000"/>
          <w:kern w:val="0"/>
          <w:sz w:val="27"/>
          <w:szCs w:val="27"/>
          <w:lang w:val="en-US" w:eastAsia="es-ES"/>
          <w14:ligatures w14:val="none"/>
        </w:rPr>
        <w:t>address food insecurity</w:t>
      </w:r>
      <w:r w:rsidRPr="00A724EA">
        <w:rPr>
          <w:rFonts w:ascii="Arial" w:eastAsia="Times New Roman" w:hAnsi="Arial" w:cs="Arial"/>
          <w:color w:val="0B0C0C"/>
          <w:kern w:val="0"/>
          <w:sz w:val="27"/>
          <w:szCs w:val="27"/>
          <w:lang w:val="en-US" w:eastAsia="es-ES"/>
          <w14:ligatures w14:val="none"/>
        </w:rPr>
        <w:t xml:space="preserve">. We are working to meet humanitarian needs, keep food and </w:t>
      </w:r>
      <w:proofErr w:type="spellStart"/>
      <w:r w:rsidRPr="00A724EA">
        <w:rPr>
          <w:rFonts w:ascii="Arial" w:eastAsia="Times New Roman" w:hAnsi="Arial" w:cs="Arial"/>
          <w:color w:val="0B0C0C"/>
          <w:kern w:val="0"/>
          <w:sz w:val="27"/>
          <w:szCs w:val="27"/>
          <w:lang w:val="en-US" w:eastAsia="es-ES"/>
          <w14:ligatures w14:val="none"/>
        </w:rPr>
        <w:t>fertilisers</w:t>
      </w:r>
      <w:proofErr w:type="spellEnd"/>
      <w:r w:rsidRPr="00A724EA">
        <w:rPr>
          <w:rFonts w:ascii="Arial" w:eastAsia="Times New Roman" w:hAnsi="Arial" w:cs="Arial"/>
          <w:color w:val="0B0C0C"/>
          <w:kern w:val="0"/>
          <w:sz w:val="27"/>
          <w:szCs w:val="27"/>
          <w:lang w:val="en-US" w:eastAsia="es-ES"/>
          <w14:ligatures w14:val="none"/>
        </w:rPr>
        <w:t xml:space="preserve"> moving, provide emergency funding, </w:t>
      </w:r>
      <w:r w:rsidRPr="00F47C25">
        <w:rPr>
          <w:rFonts w:ascii="Arial" w:eastAsia="Times New Roman" w:hAnsi="Arial" w:cs="Arial"/>
          <w:color w:val="FF0000"/>
          <w:kern w:val="0"/>
          <w:sz w:val="27"/>
          <w:szCs w:val="27"/>
          <w:lang w:val="en-US" w:eastAsia="es-ES"/>
          <w14:ligatures w14:val="none"/>
        </w:rPr>
        <w:t>improve resilience</w:t>
      </w:r>
      <w:r w:rsidRPr="00A724EA">
        <w:rPr>
          <w:rFonts w:ascii="Arial" w:eastAsia="Times New Roman" w:hAnsi="Arial" w:cs="Arial"/>
          <w:color w:val="0B0C0C"/>
          <w:kern w:val="0"/>
          <w:sz w:val="27"/>
          <w:szCs w:val="27"/>
          <w:lang w:val="en-US" w:eastAsia="es-ES"/>
          <w14:ligatures w14:val="none"/>
        </w:rPr>
        <w:t xml:space="preserve">, and to </w:t>
      </w:r>
      <w:r w:rsidRPr="00F47C25">
        <w:rPr>
          <w:rFonts w:ascii="Arial" w:eastAsia="Times New Roman" w:hAnsi="Arial" w:cs="Arial"/>
          <w:color w:val="0070C0"/>
          <w:kern w:val="0"/>
          <w:sz w:val="27"/>
          <w:szCs w:val="27"/>
          <w:lang w:val="en-US" w:eastAsia="es-ES"/>
          <w14:ligatures w14:val="none"/>
        </w:rPr>
        <w:t xml:space="preserve">accelerate the transition to sustainable food systems </w:t>
      </w:r>
      <w:r w:rsidRPr="00A724EA">
        <w:rPr>
          <w:rFonts w:ascii="Arial" w:eastAsia="Times New Roman" w:hAnsi="Arial" w:cs="Arial"/>
          <w:color w:val="0B0C0C"/>
          <w:kern w:val="0"/>
          <w:sz w:val="27"/>
          <w:szCs w:val="27"/>
          <w:lang w:val="en-US" w:eastAsia="es-ES"/>
          <w14:ligatures w14:val="none"/>
        </w:rPr>
        <w:t xml:space="preserve">to withstand future challenges. We are taking action alongside partners to </w:t>
      </w:r>
      <w:proofErr w:type="spellStart"/>
      <w:r w:rsidRPr="00A724EA">
        <w:rPr>
          <w:rFonts w:ascii="Arial" w:eastAsia="Times New Roman" w:hAnsi="Arial" w:cs="Arial"/>
          <w:color w:val="0B0C0C"/>
          <w:kern w:val="0"/>
          <w:sz w:val="27"/>
          <w:szCs w:val="27"/>
          <w:lang w:val="en-US" w:eastAsia="es-ES"/>
          <w14:ligatures w14:val="none"/>
        </w:rPr>
        <w:t>mobilise</w:t>
      </w:r>
      <w:proofErr w:type="spellEnd"/>
      <w:r w:rsidRPr="00A724EA">
        <w:rPr>
          <w:rFonts w:ascii="Arial" w:eastAsia="Times New Roman" w:hAnsi="Arial" w:cs="Arial"/>
          <w:color w:val="0B0C0C"/>
          <w:kern w:val="0"/>
          <w:sz w:val="27"/>
          <w:szCs w:val="27"/>
          <w:lang w:val="en-US" w:eastAsia="es-ES"/>
          <w14:ligatures w14:val="none"/>
        </w:rPr>
        <w:t xml:space="preserve"> the international community, including through the UN-led Global Crisis Response Group (GCRG) on Food, Energy and Finance, the G7 </w:t>
      </w:r>
      <w:r w:rsidRPr="00F47C25">
        <w:rPr>
          <w:rFonts w:ascii="Arial" w:eastAsia="Times New Roman" w:hAnsi="Arial" w:cs="Arial"/>
          <w:color w:val="0070C0"/>
          <w:kern w:val="0"/>
          <w:sz w:val="27"/>
          <w:szCs w:val="27"/>
          <w:lang w:val="en-US" w:eastAsia="es-ES"/>
          <w14:ligatures w14:val="none"/>
        </w:rPr>
        <w:t>Global Alliance for Food Security (GAFS),</w:t>
      </w:r>
      <w:r w:rsidRPr="00A724EA">
        <w:rPr>
          <w:rFonts w:ascii="Arial" w:eastAsia="Times New Roman" w:hAnsi="Arial" w:cs="Arial"/>
          <w:color w:val="0B0C0C"/>
          <w:kern w:val="0"/>
          <w:sz w:val="27"/>
          <w:szCs w:val="27"/>
          <w:lang w:val="en-US" w:eastAsia="es-ES"/>
          <w14:ligatures w14:val="none"/>
        </w:rPr>
        <w:t xml:space="preserve"> the </w:t>
      </w:r>
      <w:proofErr w:type="gramStart"/>
      <w:r w:rsidRPr="00A724EA">
        <w:rPr>
          <w:rFonts w:ascii="Arial" w:eastAsia="Times New Roman" w:hAnsi="Arial" w:cs="Arial"/>
          <w:color w:val="0B0C0C"/>
          <w:kern w:val="0"/>
          <w:sz w:val="27"/>
          <w:szCs w:val="27"/>
          <w:lang w:val="en-US" w:eastAsia="es-ES"/>
          <w14:ligatures w14:val="none"/>
        </w:rPr>
        <w:t>Roadmap</w:t>
      </w:r>
      <w:proofErr w:type="gramEnd"/>
      <w:r w:rsidRPr="00A724EA">
        <w:rPr>
          <w:rFonts w:ascii="Arial" w:eastAsia="Times New Roman" w:hAnsi="Arial" w:cs="Arial"/>
          <w:color w:val="0B0C0C"/>
          <w:kern w:val="0"/>
          <w:sz w:val="27"/>
          <w:szCs w:val="27"/>
          <w:lang w:val="en-US" w:eastAsia="es-ES"/>
          <w14:ligatures w14:val="none"/>
        </w:rPr>
        <w:t xml:space="preserve"> - Call to Action and the EU-led Solidarity Lanes.</w:t>
      </w:r>
    </w:p>
    <w:p w14:paraId="12EB8E2A" w14:textId="77777777" w:rsidR="0046694C" w:rsidRPr="00A724EA" w:rsidRDefault="0046694C">
      <w:pPr>
        <w:rPr>
          <w:lang w:val="en-US"/>
        </w:rPr>
      </w:pPr>
    </w:p>
    <w:sectPr w:rsidR="0046694C" w:rsidRPr="00A724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4EA"/>
    <w:rsid w:val="0046694C"/>
    <w:rsid w:val="005E17A4"/>
    <w:rsid w:val="00A724EA"/>
    <w:rsid w:val="00B12EB4"/>
    <w:rsid w:val="00F47C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C1D3D"/>
  <w15:chartTrackingRefBased/>
  <w15:docId w15:val="{928D2FE7-8F81-4949-8FBD-69E71242B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A724E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724EA"/>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A724E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A724EA"/>
    <w:rPr>
      <w:color w:val="0000FF"/>
      <w:u w:val="single"/>
    </w:rPr>
  </w:style>
  <w:style w:type="paragraph" w:styleId="NormalWeb">
    <w:name w:val="Normal (Web)"/>
    <w:basedOn w:val="Normal"/>
    <w:uiPriority w:val="99"/>
    <w:semiHidden/>
    <w:unhideWhenUsed/>
    <w:rsid w:val="00A724E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A724E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149187">
      <w:bodyDiv w:val="1"/>
      <w:marLeft w:val="0"/>
      <w:marRight w:val="0"/>
      <w:marTop w:val="0"/>
      <w:marBottom w:val="0"/>
      <w:divBdr>
        <w:top w:val="none" w:sz="0" w:space="0" w:color="auto"/>
        <w:left w:val="none" w:sz="0" w:space="0" w:color="auto"/>
        <w:bottom w:val="none" w:sz="0" w:space="0" w:color="auto"/>
        <w:right w:val="none" w:sz="0" w:space="0" w:color="auto"/>
      </w:divBdr>
      <w:divsChild>
        <w:div w:id="1559239948">
          <w:marLeft w:val="-225"/>
          <w:marRight w:val="-225"/>
          <w:marTop w:val="0"/>
          <w:marBottom w:val="0"/>
          <w:divBdr>
            <w:top w:val="none" w:sz="0" w:space="0" w:color="auto"/>
            <w:left w:val="none" w:sz="0" w:space="0" w:color="auto"/>
            <w:bottom w:val="none" w:sz="0" w:space="0" w:color="auto"/>
            <w:right w:val="none" w:sz="0" w:space="0" w:color="auto"/>
          </w:divBdr>
          <w:divsChild>
            <w:div w:id="1091127779">
              <w:marLeft w:val="0"/>
              <w:marRight w:val="0"/>
              <w:marTop w:val="0"/>
              <w:marBottom w:val="0"/>
              <w:divBdr>
                <w:top w:val="none" w:sz="0" w:space="0" w:color="auto"/>
                <w:left w:val="none" w:sz="0" w:space="0" w:color="auto"/>
                <w:bottom w:val="none" w:sz="0" w:space="0" w:color="auto"/>
                <w:right w:val="none" w:sz="0" w:space="0" w:color="auto"/>
              </w:divBdr>
              <w:divsChild>
                <w:div w:id="1881934206">
                  <w:marLeft w:val="0"/>
                  <w:marRight w:val="0"/>
                  <w:marTop w:val="750"/>
                  <w:marBottom w:val="750"/>
                  <w:divBdr>
                    <w:top w:val="none" w:sz="0" w:space="0" w:color="auto"/>
                    <w:left w:val="none" w:sz="0" w:space="0" w:color="auto"/>
                    <w:bottom w:val="none" w:sz="0" w:space="0" w:color="auto"/>
                    <w:right w:val="none" w:sz="0" w:space="0" w:color="auto"/>
                  </w:divBdr>
                </w:div>
              </w:divsChild>
            </w:div>
            <w:div w:id="914362231">
              <w:marLeft w:val="0"/>
              <w:marRight w:val="0"/>
              <w:marTop w:val="0"/>
              <w:marBottom w:val="0"/>
              <w:divBdr>
                <w:top w:val="none" w:sz="0" w:space="0" w:color="auto"/>
                <w:left w:val="none" w:sz="0" w:space="0" w:color="auto"/>
                <w:bottom w:val="none" w:sz="0" w:space="0" w:color="auto"/>
                <w:right w:val="none" w:sz="0" w:space="0" w:color="auto"/>
              </w:divBdr>
            </w:div>
          </w:divsChild>
        </w:div>
        <w:div w:id="1378512492">
          <w:marLeft w:val="-225"/>
          <w:marRight w:val="-225"/>
          <w:marTop w:val="0"/>
          <w:marBottom w:val="0"/>
          <w:divBdr>
            <w:top w:val="none" w:sz="0" w:space="0" w:color="auto"/>
            <w:left w:val="none" w:sz="0" w:space="0" w:color="auto"/>
            <w:bottom w:val="none" w:sz="0" w:space="0" w:color="auto"/>
            <w:right w:val="none" w:sz="0" w:space="0" w:color="auto"/>
          </w:divBdr>
          <w:divsChild>
            <w:div w:id="862668660">
              <w:marLeft w:val="225"/>
              <w:marRight w:val="225"/>
              <w:marTop w:val="0"/>
              <w:marBottom w:val="0"/>
              <w:divBdr>
                <w:top w:val="single" w:sz="6" w:space="0" w:color="B1B4B6"/>
                <w:left w:val="none" w:sz="0" w:space="0" w:color="auto"/>
                <w:bottom w:val="none" w:sz="0" w:space="0" w:color="auto"/>
                <w:right w:val="none" w:sz="0" w:space="0" w:color="auto"/>
              </w:divBdr>
              <w:divsChild>
                <w:div w:id="1096946397">
                  <w:marLeft w:val="0"/>
                  <w:marRight w:val="0"/>
                  <w:marTop w:val="0"/>
                  <w:marBottom w:val="0"/>
                  <w:divBdr>
                    <w:top w:val="none" w:sz="0" w:space="0" w:color="auto"/>
                    <w:left w:val="none" w:sz="0" w:space="0" w:color="auto"/>
                    <w:bottom w:val="none" w:sz="0" w:space="0" w:color="auto"/>
                    <w:right w:val="none" w:sz="0" w:space="0" w:color="auto"/>
                  </w:divBdr>
                  <w:divsChild>
                    <w:div w:id="155970814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883319749">
          <w:marLeft w:val="-225"/>
          <w:marRight w:val="-225"/>
          <w:marTop w:val="0"/>
          <w:marBottom w:val="0"/>
          <w:divBdr>
            <w:top w:val="none" w:sz="0" w:space="0" w:color="auto"/>
            <w:left w:val="none" w:sz="0" w:space="0" w:color="auto"/>
            <w:bottom w:val="none" w:sz="0" w:space="0" w:color="auto"/>
            <w:right w:val="none" w:sz="0" w:space="0" w:color="auto"/>
          </w:divBdr>
          <w:divsChild>
            <w:div w:id="2108960501">
              <w:marLeft w:val="0"/>
              <w:marRight w:val="0"/>
              <w:marTop w:val="0"/>
              <w:marBottom w:val="0"/>
              <w:divBdr>
                <w:top w:val="none" w:sz="0" w:space="0" w:color="auto"/>
                <w:left w:val="none" w:sz="0" w:space="0" w:color="auto"/>
                <w:bottom w:val="none" w:sz="0" w:space="0" w:color="auto"/>
                <w:right w:val="none" w:sz="0" w:space="0" w:color="auto"/>
              </w:divBdr>
              <w:divsChild>
                <w:div w:id="351031745">
                  <w:marLeft w:val="0"/>
                  <w:marRight w:val="0"/>
                  <w:marTop w:val="0"/>
                  <w:marBottom w:val="750"/>
                  <w:divBdr>
                    <w:top w:val="none" w:sz="0" w:space="0" w:color="auto"/>
                    <w:left w:val="none" w:sz="0" w:space="0" w:color="auto"/>
                    <w:bottom w:val="none" w:sz="0" w:space="0" w:color="auto"/>
                    <w:right w:val="none" w:sz="0" w:space="0" w:color="auto"/>
                  </w:divBdr>
                  <w:divsChild>
                    <w:div w:id="1218013682">
                      <w:marLeft w:val="0"/>
                      <w:marRight w:val="0"/>
                      <w:marTop w:val="0"/>
                      <w:marBottom w:val="750"/>
                      <w:divBdr>
                        <w:top w:val="none" w:sz="0" w:space="0" w:color="auto"/>
                        <w:left w:val="none" w:sz="0" w:space="0" w:color="auto"/>
                        <w:bottom w:val="none" w:sz="0" w:space="0" w:color="auto"/>
                        <w:right w:val="none" w:sz="0" w:space="0" w:color="auto"/>
                      </w:divBdr>
                      <w:divsChild>
                        <w:div w:id="1138916943">
                          <w:marLeft w:val="0"/>
                          <w:marRight w:val="0"/>
                          <w:marTop w:val="0"/>
                          <w:marBottom w:val="0"/>
                          <w:divBdr>
                            <w:top w:val="none" w:sz="0" w:space="0" w:color="auto"/>
                            <w:left w:val="none" w:sz="0" w:space="0" w:color="auto"/>
                            <w:bottom w:val="none" w:sz="0" w:space="0" w:color="auto"/>
                            <w:right w:val="none" w:sz="0" w:space="0" w:color="auto"/>
                          </w:divBdr>
                          <w:divsChild>
                            <w:div w:id="1134106994">
                              <w:marLeft w:val="0"/>
                              <w:marRight w:val="0"/>
                              <w:marTop w:val="0"/>
                              <w:marBottom w:val="0"/>
                              <w:divBdr>
                                <w:top w:val="none" w:sz="0" w:space="0" w:color="auto"/>
                                <w:left w:val="none" w:sz="0" w:space="0" w:color="auto"/>
                                <w:bottom w:val="none" w:sz="0" w:space="0" w:color="auto"/>
                                <w:right w:val="none" w:sz="0" w:space="0" w:color="auto"/>
                              </w:divBdr>
                              <w:divsChild>
                                <w:div w:id="1466047295">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inance.ec.europa.eu/system/files/2022-10/faqs-sanctions-russia-listed-goods_en.pdf" TargetMode="External"/><Relationship Id="rId5" Type="http://schemas.openxmlformats.org/officeDocument/2006/relationships/hyperlink" Target="https://home.treasury.gov/system/files/126/russia_gl6b.pdf" TargetMode="External"/><Relationship Id="rId4" Type="http://schemas.openxmlformats.org/officeDocument/2006/relationships/hyperlink" Target="https://www.gov.uk/government/publications/ofsi-general-licence-int2022234995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469</Words>
  <Characters>2581</Characters>
  <Application>Microsoft Office Word</Application>
  <DocSecurity>0</DocSecurity>
  <Lines>21</Lines>
  <Paragraphs>6</Paragraphs>
  <ScaleCrop>false</ScaleCrop>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2023-07-07T10:56:00Z</dcterms:created>
  <dcterms:modified xsi:type="dcterms:W3CDTF">2023-07-07T10:56:00Z</dcterms:modified>
</cp:coreProperties>
</file>