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372C" w14:textId="7E5A6E42" w:rsidR="00807207" w:rsidRPr="00691B04" w:rsidRDefault="00362DA4" w:rsidP="008472E9">
      <w:pPr>
        <w:jc w:val="both"/>
        <w:rPr>
          <w:sz w:val="24"/>
          <w:szCs w:val="24"/>
        </w:rPr>
      </w:pPr>
      <w:bookmarkStart w:id="0" w:name="_Hlk163596576"/>
      <w:bookmarkStart w:id="1" w:name="_GoBack"/>
      <w:bookmarkEnd w:id="0"/>
      <w:bookmarkEnd w:id="1"/>
      <w:r>
        <w:rPr>
          <w:b/>
          <w:bCs/>
          <w:sz w:val="24"/>
          <w:szCs w:val="24"/>
        </w:rPr>
        <w:t xml:space="preserve">Title: </w:t>
      </w:r>
      <w:r w:rsidR="00807207" w:rsidRPr="00691B04">
        <w:rPr>
          <w:sz w:val="24"/>
          <w:szCs w:val="24"/>
        </w:rPr>
        <w:t xml:space="preserve">Trajectories of functional limitations, </w:t>
      </w:r>
      <w:r w:rsidR="00691B04">
        <w:rPr>
          <w:sz w:val="24"/>
          <w:szCs w:val="24"/>
        </w:rPr>
        <w:t xml:space="preserve">health-related </w:t>
      </w:r>
      <w:r w:rsidR="00807207" w:rsidRPr="00691B04">
        <w:rPr>
          <w:sz w:val="24"/>
          <w:szCs w:val="24"/>
        </w:rPr>
        <w:t xml:space="preserve">quality of life and </w:t>
      </w:r>
      <w:r w:rsidR="00D9383B">
        <w:rPr>
          <w:sz w:val="24"/>
          <w:szCs w:val="24"/>
        </w:rPr>
        <w:t xml:space="preserve">societal </w:t>
      </w:r>
      <w:r w:rsidR="00807207" w:rsidRPr="00691B04">
        <w:rPr>
          <w:sz w:val="24"/>
          <w:szCs w:val="24"/>
        </w:rPr>
        <w:t>costs</w:t>
      </w:r>
      <w:r w:rsidR="00D9383B">
        <w:rPr>
          <w:sz w:val="24"/>
          <w:szCs w:val="24"/>
        </w:rPr>
        <w:t xml:space="preserve"> in individuals</w:t>
      </w:r>
      <w:r w:rsidR="00807207" w:rsidRPr="00691B04">
        <w:rPr>
          <w:sz w:val="24"/>
          <w:szCs w:val="24"/>
        </w:rPr>
        <w:t xml:space="preserve"> with </w:t>
      </w:r>
      <w:r w:rsidR="005034CB" w:rsidRPr="00445A0F">
        <w:rPr>
          <w:sz w:val="24"/>
          <w:szCs w:val="24"/>
        </w:rPr>
        <w:t>Long COVID</w:t>
      </w:r>
      <w:r w:rsidR="00807207" w:rsidRPr="00445A0F">
        <w:rPr>
          <w:sz w:val="24"/>
          <w:szCs w:val="24"/>
        </w:rPr>
        <w:t>:</w:t>
      </w:r>
      <w:r w:rsidR="00807207" w:rsidRPr="00691B04">
        <w:rPr>
          <w:sz w:val="24"/>
          <w:szCs w:val="24"/>
        </w:rPr>
        <w:t xml:space="preserve"> a</w:t>
      </w:r>
      <w:r w:rsidR="002154F2">
        <w:rPr>
          <w:sz w:val="24"/>
          <w:szCs w:val="24"/>
        </w:rPr>
        <w:t xml:space="preserve"> population based</w:t>
      </w:r>
      <w:r w:rsidR="00807207" w:rsidRPr="00691B04">
        <w:rPr>
          <w:sz w:val="24"/>
          <w:szCs w:val="24"/>
        </w:rPr>
        <w:t xml:space="preserve"> longitudinal cohort study</w:t>
      </w:r>
    </w:p>
    <w:p w14:paraId="472A1CE5" w14:textId="77777777" w:rsidR="007173AF" w:rsidRDefault="007173AF" w:rsidP="009F0633">
      <w:pPr>
        <w:spacing w:line="240" w:lineRule="auto"/>
        <w:rPr>
          <w:rFonts w:cstheme="minorHAnsi"/>
          <w:sz w:val="24"/>
          <w:szCs w:val="24"/>
          <w:lang w:val="en-US"/>
        </w:rPr>
      </w:pPr>
    </w:p>
    <w:p w14:paraId="419903BF" w14:textId="01ED13D5" w:rsidR="00591A28" w:rsidRDefault="00AF4D44" w:rsidP="00AF4D44">
      <w:pPr>
        <w:spacing w:line="240" w:lineRule="auto"/>
        <w:rPr>
          <w:rFonts w:cstheme="minorHAnsi"/>
          <w:sz w:val="24"/>
          <w:szCs w:val="24"/>
          <w:lang w:val="en-US"/>
        </w:rPr>
      </w:pPr>
      <w:r>
        <w:rPr>
          <w:rFonts w:cstheme="minorHAnsi"/>
          <w:sz w:val="24"/>
          <w:szCs w:val="24"/>
          <w:lang w:val="en-US"/>
        </w:rPr>
        <w:t>Jiunn Wang</w:t>
      </w:r>
      <w:r w:rsidR="00591A28" w:rsidRPr="00B713C7">
        <w:rPr>
          <w:rFonts w:cstheme="minorHAnsi"/>
          <w:sz w:val="24"/>
          <w:szCs w:val="24"/>
          <w:vertAlign w:val="superscript"/>
          <w:lang w:val="en-US"/>
        </w:rPr>
        <w:t>1</w:t>
      </w:r>
      <w:r w:rsidR="00591A28">
        <w:rPr>
          <w:rFonts w:cstheme="minorHAnsi"/>
          <w:sz w:val="24"/>
          <w:szCs w:val="24"/>
          <w:lang w:val="en-US"/>
        </w:rPr>
        <w:t xml:space="preserve">, </w:t>
      </w:r>
      <w:r w:rsidR="00591A28" w:rsidRPr="008233EA">
        <w:rPr>
          <w:rFonts w:cstheme="minorHAnsi"/>
          <w:sz w:val="24"/>
          <w:szCs w:val="24"/>
          <w:lang w:val="en-US"/>
        </w:rPr>
        <w:t>Henry Goodfellow</w:t>
      </w:r>
      <w:r w:rsidR="00762223" w:rsidRPr="00B713C7">
        <w:rPr>
          <w:rFonts w:cstheme="minorHAnsi"/>
          <w:sz w:val="24"/>
          <w:szCs w:val="24"/>
          <w:vertAlign w:val="superscript"/>
          <w:lang w:val="en-US"/>
        </w:rPr>
        <w:t>1</w:t>
      </w:r>
      <w:r w:rsidR="00762223">
        <w:rPr>
          <w:rFonts w:cstheme="minorHAnsi"/>
          <w:sz w:val="24"/>
          <w:szCs w:val="24"/>
          <w:lang w:val="en-US"/>
        </w:rPr>
        <w:t>,</w:t>
      </w:r>
      <w:r w:rsidR="00762223" w:rsidRPr="00762223">
        <w:rPr>
          <w:rFonts w:cstheme="minorHAnsi"/>
          <w:sz w:val="24"/>
          <w:szCs w:val="24"/>
          <w:lang w:val="en-US"/>
        </w:rPr>
        <w:t xml:space="preserve"> </w:t>
      </w:r>
      <w:r w:rsidR="00762223" w:rsidRPr="00363842">
        <w:rPr>
          <w:rFonts w:cstheme="minorHAnsi"/>
          <w:sz w:val="24"/>
          <w:szCs w:val="24"/>
          <w:lang w:val="en-US"/>
        </w:rPr>
        <w:t>Sarah Walker</w:t>
      </w:r>
      <w:r w:rsidR="00762223" w:rsidRPr="00B713C7">
        <w:rPr>
          <w:rFonts w:cstheme="minorHAnsi"/>
          <w:sz w:val="24"/>
          <w:szCs w:val="24"/>
          <w:vertAlign w:val="superscript"/>
          <w:lang w:val="en-US"/>
        </w:rPr>
        <w:t>2</w:t>
      </w:r>
      <w:r w:rsidR="00762223">
        <w:rPr>
          <w:rFonts w:cstheme="minorHAnsi"/>
          <w:sz w:val="24"/>
          <w:szCs w:val="24"/>
          <w:lang w:val="en-US"/>
        </w:rPr>
        <w:t xml:space="preserve">, </w:t>
      </w:r>
      <w:r w:rsidR="00762223" w:rsidRPr="00D75209">
        <w:rPr>
          <w:sz w:val="24"/>
          <w:szCs w:val="24"/>
        </w:rPr>
        <w:t>Ann Blandford</w:t>
      </w:r>
      <w:r w:rsidR="00762223" w:rsidRPr="00B713C7">
        <w:rPr>
          <w:sz w:val="24"/>
          <w:szCs w:val="24"/>
          <w:vertAlign w:val="superscript"/>
        </w:rPr>
        <w:t>3</w:t>
      </w:r>
      <w:r w:rsidR="00762223">
        <w:rPr>
          <w:sz w:val="24"/>
          <w:szCs w:val="24"/>
        </w:rPr>
        <w:t xml:space="preserve">, </w:t>
      </w:r>
      <w:r w:rsidR="00762223" w:rsidRPr="00D75209">
        <w:rPr>
          <w:sz w:val="24"/>
          <w:szCs w:val="24"/>
        </w:rPr>
        <w:t>Paul E Pfeffer</w:t>
      </w:r>
      <w:r w:rsidR="00762223" w:rsidRPr="00B713C7">
        <w:rPr>
          <w:sz w:val="24"/>
          <w:szCs w:val="24"/>
          <w:vertAlign w:val="superscript"/>
        </w:rPr>
        <w:t>4</w:t>
      </w:r>
      <w:r w:rsidR="00762223">
        <w:rPr>
          <w:sz w:val="24"/>
          <w:szCs w:val="24"/>
        </w:rPr>
        <w:t xml:space="preserve">, </w:t>
      </w:r>
      <w:r w:rsidR="002137E1">
        <w:rPr>
          <w:sz w:val="24"/>
          <w:szCs w:val="24"/>
        </w:rPr>
        <w:t>John R Hurst</w:t>
      </w:r>
      <w:r w:rsidR="002137E1" w:rsidRPr="00B713C7">
        <w:rPr>
          <w:sz w:val="24"/>
          <w:szCs w:val="24"/>
          <w:vertAlign w:val="superscript"/>
        </w:rPr>
        <w:t>5</w:t>
      </w:r>
      <w:r w:rsidR="002137E1">
        <w:rPr>
          <w:sz w:val="24"/>
          <w:szCs w:val="24"/>
        </w:rPr>
        <w:t xml:space="preserve">, </w:t>
      </w:r>
      <w:r w:rsidR="002137E1" w:rsidRPr="006E02C7">
        <w:rPr>
          <w:sz w:val="24"/>
          <w:szCs w:val="24"/>
        </w:rPr>
        <w:t>David Sunkersing</w:t>
      </w:r>
      <w:r w:rsidR="002137E1" w:rsidRPr="00B713C7">
        <w:rPr>
          <w:sz w:val="24"/>
          <w:szCs w:val="24"/>
          <w:vertAlign w:val="superscript"/>
        </w:rPr>
        <w:t>6</w:t>
      </w:r>
      <w:r w:rsidR="002137E1">
        <w:rPr>
          <w:sz w:val="24"/>
          <w:szCs w:val="24"/>
        </w:rPr>
        <w:t xml:space="preserve">, </w:t>
      </w:r>
      <w:r w:rsidR="002137E1" w:rsidRPr="008233EA">
        <w:rPr>
          <w:rFonts w:cstheme="minorHAnsi"/>
          <w:sz w:val="24"/>
          <w:szCs w:val="24"/>
          <w:lang w:val="en-US"/>
        </w:rPr>
        <w:t>Katherine Bradbury</w:t>
      </w:r>
      <w:r w:rsidR="000622F2" w:rsidRPr="00B713C7">
        <w:rPr>
          <w:rFonts w:cstheme="minorHAnsi"/>
          <w:sz w:val="24"/>
          <w:szCs w:val="24"/>
          <w:vertAlign w:val="superscript"/>
          <w:lang w:val="en-US"/>
        </w:rPr>
        <w:t>7</w:t>
      </w:r>
      <w:r w:rsidR="000622F2">
        <w:rPr>
          <w:rFonts w:cstheme="minorHAnsi"/>
          <w:sz w:val="24"/>
          <w:szCs w:val="24"/>
          <w:lang w:val="en-US"/>
        </w:rPr>
        <w:t>,</w:t>
      </w:r>
      <w:r w:rsidR="001A1192">
        <w:rPr>
          <w:rFonts w:cstheme="minorHAnsi"/>
          <w:sz w:val="24"/>
          <w:szCs w:val="24"/>
          <w:lang w:val="en-US"/>
        </w:rPr>
        <w:t xml:space="preserve"> </w:t>
      </w:r>
      <w:r w:rsidR="001A1192" w:rsidRPr="00D24DFD">
        <w:rPr>
          <w:rFonts w:cstheme="minorHAnsi"/>
          <w:sz w:val="24"/>
          <w:szCs w:val="24"/>
          <w:lang w:val="en-US"/>
        </w:rPr>
        <w:t>Chris Robson</w:t>
      </w:r>
      <w:r w:rsidR="001A1192" w:rsidRPr="00B713C7">
        <w:rPr>
          <w:rFonts w:cstheme="minorHAnsi"/>
          <w:sz w:val="24"/>
          <w:szCs w:val="24"/>
          <w:vertAlign w:val="superscript"/>
          <w:lang w:val="en-US"/>
        </w:rPr>
        <w:t>8</w:t>
      </w:r>
      <w:r w:rsidR="001A1192" w:rsidRPr="00D24DFD">
        <w:rPr>
          <w:rFonts w:cstheme="minorHAnsi"/>
          <w:sz w:val="24"/>
          <w:szCs w:val="24"/>
          <w:lang w:val="en-US"/>
        </w:rPr>
        <w:t>,</w:t>
      </w:r>
      <w:r w:rsidR="00CD5020">
        <w:rPr>
          <w:rFonts w:cstheme="minorHAnsi"/>
          <w:sz w:val="24"/>
          <w:szCs w:val="24"/>
          <w:lang w:val="en-US"/>
        </w:rPr>
        <w:t xml:space="preserve"> </w:t>
      </w:r>
      <w:r w:rsidR="00CD5020" w:rsidRPr="00804E93">
        <w:rPr>
          <w:rFonts w:cstheme="minorHAnsi"/>
          <w:sz w:val="24"/>
          <w:szCs w:val="24"/>
          <w:lang w:val="en-US"/>
        </w:rPr>
        <w:t>William Henley</w:t>
      </w:r>
      <w:r w:rsidR="00CD5020" w:rsidRPr="00B713C7">
        <w:rPr>
          <w:rFonts w:cstheme="minorHAnsi"/>
          <w:sz w:val="24"/>
          <w:szCs w:val="24"/>
          <w:vertAlign w:val="superscript"/>
          <w:lang w:val="en-US"/>
        </w:rPr>
        <w:t>2</w:t>
      </w:r>
      <w:r w:rsidR="00CD5020">
        <w:rPr>
          <w:rFonts w:cstheme="minorHAnsi"/>
          <w:sz w:val="24"/>
          <w:szCs w:val="24"/>
          <w:lang w:val="en-US"/>
        </w:rPr>
        <w:t xml:space="preserve">, </w:t>
      </w:r>
      <w:r w:rsidR="00CD5020" w:rsidRPr="00D24DFD">
        <w:rPr>
          <w:rFonts w:cstheme="minorHAnsi"/>
          <w:sz w:val="24"/>
          <w:szCs w:val="24"/>
          <w:lang w:val="en-US"/>
        </w:rPr>
        <w:t>Manuel Gomes</w:t>
      </w:r>
      <w:r w:rsidR="002154F2" w:rsidRPr="00902591">
        <w:rPr>
          <w:rFonts w:cstheme="minorHAnsi"/>
          <w:sz w:val="24"/>
          <w:szCs w:val="24"/>
          <w:vertAlign w:val="superscript"/>
          <w:lang w:val="en-US"/>
        </w:rPr>
        <w:t>1</w:t>
      </w:r>
      <w:r w:rsidR="002154F2">
        <w:rPr>
          <w:rFonts w:cstheme="minorHAnsi"/>
          <w:sz w:val="24"/>
          <w:szCs w:val="24"/>
          <w:lang w:val="en-US"/>
        </w:rPr>
        <w:t>.</w:t>
      </w:r>
    </w:p>
    <w:p w14:paraId="7C0A1F71" w14:textId="77777777" w:rsidR="00C23947" w:rsidRPr="00762223" w:rsidRDefault="00C23947" w:rsidP="00AF4D44">
      <w:pPr>
        <w:spacing w:line="240" w:lineRule="auto"/>
      </w:pPr>
    </w:p>
    <w:p w14:paraId="0A84EFF7" w14:textId="5746C5E1" w:rsidR="00AF4D44" w:rsidRPr="009F0633" w:rsidRDefault="00762223" w:rsidP="00AF4D44">
      <w:pPr>
        <w:spacing w:line="240" w:lineRule="auto"/>
        <w:rPr>
          <w:rFonts w:cstheme="minorHAnsi"/>
          <w:sz w:val="24"/>
          <w:szCs w:val="24"/>
          <w:lang w:val="en-US"/>
        </w:rPr>
      </w:pPr>
      <w:r>
        <w:rPr>
          <w:rFonts w:cstheme="minorHAnsi"/>
          <w:sz w:val="24"/>
          <w:szCs w:val="24"/>
          <w:lang w:val="en-US"/>
        </w:rPr>
        <w:t xml:space="preserve">1. </w:t>
      </w:r>
      <w:r w:rsidR="00AF4D44">
        <w:rPr>
          <w:rFonts w:cstheme="minorHAnsi"/>
          <w:sz w:val="24"/>
          <w:szCs w:val="24"/>
          <w:lang w:val="en-US"/>
        </w:rPr>
        <w:t>Primary Care and Population</w:t>
      </w:r>
      <w:r w:rsidR="00AF4D44" w:rsidRPr="00D24DFD">
        <w:rPr>
          <w:rFonts w:cstheme="minorHAnsi"/>
          <w:sz w:val="24"/>
          <w:szCs w:val="24"/>
          <w:lang w:val="en-US"/>
        </w:rPr>
        <w:t xml:space="preserve"> Health, University College London, London, UK</w:t>
      </w:r>
    </w:p>
    <w:p w14:paraId="12DF1EEC" w14:textId="1953579E" w:rsidR="00AF4D44" w:rsidRPr="00C61088" w:rsidRDefault="00762223" w:rsidP="00AF4D44">
      <w:pPr>
        <w:spacing w:line="240" w:lineRule="auto"/>
        <w:rPr>
          <w:rFonts w:cstheme="minorHAnsi"/>
          <w:sz w:val="24"/>
          <w:szCs w:val="24"/>
          <w:lang w:val="en-US"/>
        </w:rPr>
      </w:pPr>
      <w:r>
        <w:rPr>
          <w:rFonts w:cstheme="minorHAnsi"/>
          <w:sz w:val="24"/>
          <w:szCs w:val="24"/>
          <w:lang w:val="en-US"/>
        </w:rPr>
        <w:t>2.</w:t>
      </w:r>
      <w:r w:rsidR="00AF4D44" w:rsidRPr="00363842">
        <w:rPr>
          <w:rFonts w:cstheme="minorHAnsi"/>
          <w:sz w:val="24"/>
          <w:szCs w:val="24"/>
          <w:lang w:val="en-US"/>
        </w:rPr>
        <w:t xml:space="preserve"> University of Exeter Medical School, University of Exeter, Exeter, </w:t>
      </w:r>
      <w:r w:rsidR="00AF4D44">
        <w:rPr>
          <w:rFonts w:cstheme="minorHAnsi"/>
          <w:sz w:val="24"/>
          <w:szCs w:val="24"/>
          <w:lang w:val="en-US"/>
        </w:rPr>
        <w:t>UK.</w:t>
      </w:r>
    </w:p>
    <w:p w14:paraId="5202F40D" w14:textId="45C12C8B" w:rsidR="00D75209" w:rsidRDefault="00762223">
      <w:pPr>
        <w:rPr>
          <w:sz w:val="24"/>
          <w:szCs w:val="24"/>
        </w:rPr>
      </w:pPr>
      <w:r>
        <w:rPr>
          <w:sz w:val="24"/>
          <w:szCs w:val="24"/>
          <w:lang w:val="en-US"/>
        </w:rPr>
        <w:t xml:space="preserve">3. </w:t>
      </w:r>
      <w:r w:rsidR="002137E1">
        <w:rPr>
          <w:sz w:val="24"/>
          <w:szCs w:val="24"/>
          <w:lang w:val="en-US"/>
        </w:rPr>
        <w:t xml:space="preserve">UCL </w:t>
      </w:r>
      <w:r w:rsidR="00D75209" w:rsidRPr="00D75209">
        <w:rPr>
          <w:sz w:val="24"/>
          <w:szCs w:val="24"/>
        </w:rPr>
        <w:t>Interaction Centre, University College London, London, UK</w:t>
      </w:r>
    </w:p>
    <w:p w14:paraId="22838CDE" w14:textId="0EFA1278" w:rsidR="00D75209" w:rsidRDefault="00762223">
      <w:pPr>
        <w:rPr>
          <w:sz w:val="24"/>
          <w:szCs w:val="24"/>
        </w:rPr>
      </w:pPr>
      <w:r>
        <w:rPr>
          <w:sz w:val="24"/>
          <w:szCs w:val="24"/>
        </w:rPr>
        <w:t>4.</w:t>
      </w:r>
      <w:r w:rsidR="00D75209" w:rsidRPr="00D75209">
        <w:rPr>
          <w:sz w:val="24"/>
          <w:szCs w:val="24"/>
        </w:rPr>
        <w:t xml:space="preserve"> </w:t>
      </w:r>
      <w:r w:rsidR="004E4387">
        <w:rPr>
          <w:sz w:val="24"/>
          <w:szCs w:val="24"/>
        </w:rPr>
        <w:t>Dep</w:t>
      </w:r>
      <w:r w:rsidR="00B2562A">
        <w:rPr>
          <w:sz w:val="24"/>
          <w:szCs w:val="24"/>
        </w:rPr>
        <w:t>ar</w:t>
      </w:r>
      <w:r w:rsidR="004E4387">
        <w:rPr>
          <w:sz w:val="24"/>
          <w:szCs w:val="24"/>
        </w:rPr>
        <w:t>t</w:t>
      </w:r>
      <w:r w:rsidR="00B2562A">
        <w:rPr>
          <w:sz w:val="24"/>
          <w:szCs w:val="24"/>
        </w:rPr>
        <w:t>ment</w:t>
      </w:r>
      <w:r w:rsidR="004E4387">
        <w:rPr>
          <w:sz w:val="24"/>
          <w:szCs w:val="24"/>
        </w:rPr>
        <w:t xml:space="preserve"> of Respiratory Medicine, </w:t>
      </w:r>
      <w:r w:rsidR="00D75209" w:rsidRPr="00D75209">
        <w:rPr>
          <w:sz w:val="24"/>
          <w:szCs w:val="24"/>
        </w:rPr>
        <w:t>Barts Health NHS Trust, London, UK.</w:t>
      </w:r>
    </w:p>
    <w:p w14:paraId="5CD0CBD6" w14:textId="372E85A3" w:rsidR="00E72D71" w:rsidRDefault="002137E1">
      <w:pPr>
        <w:rPr>
          <w:sz w:val="24"/>
          <w:szCs w:val="24"/>
        </w:rPr>
      </w:pPr>
      <w:r>
        <w:rPr>
          <w:sz w:val="24"/>
          <w:szCs w:val="24"/>
        </w:rPr>
        <w:t>5.</w:t>
      </w:r>
      <w:r w:rsidR="0088690E">
        <w:rPr>
          <w:sz w:val="24"/>
          <w:szCs w:val="24"/>
        </w:rPr>
        <w:t xml:space="preserve"> UCL Respiratory, University College London, London, UK</w:t>
      </w:r>
    </w:p>
    <w:p w14:paraId="536EF336" w14:textId="4DD57AB6" w:rsidR="00117F99" w:rsidRDefault="002137E1">
      <w:pPr>
        <w:rPr>
          <w:sz w:val="24"/>
          <w:szCs w:val="24"/>
        </w:rPr>
      </w:pPr>
      <w:r>
        <w:rPr>
          <w:sz w:val="24"/>
          <w:szCs w:val="24"/>
        </w:rPr>
        <w:t>6.</w:t>
      </w:r>
      <w:r w:rsidR="006173CD" w:rsidRPr="006E02C7">
        <w:rPr>
          <w:sz w:val="24"/>
          <w:szCs w:val="24"/>
        </w:rPr>
        <w:t xml:space="preserve"> </w:t>
      </w:r>
      <w:r w:rsidR="001D4A1B" w:rsidRPr="006E02C7">
        <w:rPr>
          <w:sz w:val="24"/>
          <w:szCs w:val="24"/>
        </w:rPr>
        <w:t>Institute of Health Informatics, University College London, London, UK</w:t>
      </w:r>
    </w:p>
    <w:p w14:paraId="261F6F86" w14:textId="3499AC1E" w:rsidR="00EF3953" w:rsidRDefault="002137E1" w:rsidP="00EF3953">
      <w:pPr>
        <w:spacing w:line="240" w:lineRule="auto"/>
        <w:rPr>
          <w:rFonts w:cstheme="minorHAnsi"/>
          <w:sz w:val="24"/>
          <w:szCs w:val="24"/>
          <w:lang w:val="en-US"/>
        </w:rPr>
      </w:pPr>
      <w:r>
        <w:rPr>
          <w:rFonts w:cstheme="minorHAnsi"/>
          <w:sz w:val="24"/>
          <w:szCs w:val="24"/>
          <w:lang w:val="en-US"/>
        </w:rPr>
        <w:t xml:space="preserve">7. </w:t>
      </w:r>
      <w:r w:rsidR="00EF3953" w:rsidRPr="00DF03B1">
        <w:rPr>
          <w:rFonts w:cstheme="minorHAnsi"/>
          <w:sz w:val="24"/>
          <w:szCs w:val="24"/>
          <w:lang w:val="en-US"/>
        </w:rPr>
        <w:t>Psychology, University of Southampton, Southampton, UK</w:t>
      </w:r>
    </w:p>
    <w:p w14:paraId="14F82923" w14:textId="4FA267C0" w:rsidR="009B214C" w:rsidRPr="00EF3953" w:rsidRDefault="001A1192" w:rsidP="00EF3953">
      <w:pPr>
        <w:spacing w:line="240" w:lineRule="auto"/>
        <w:rPr>
          <w:rFonts w:cstheme="minorHAnsi"/>
          <w:sz w:val="24"/>
          <w:szCs w:val="24"/>
          <w:lang w:val="en-US"/>
        </w:rPr>
      </w:pPr>
      <w:r>
        <w:rPr>
          <w:rFonts w:cstheme="minorHAnsi"/>
          <w:sz w:val="24"/>
          <w:szCs w:val="24"/>
          <w:lang w:val="en-US"/>
        </w:rPr>
        <w:t xml:space="preserve">8. </w:t>
      </w:r>
      <w:r w:rsidR="009B214C" w:rsidRPr="00D24DFD">
        <w:rPr>
          <w:rFonts w:cstheme="minorHAnsi"/>
          <w:sz w:val="24"/>
          <w:szCs w:val="24"/>
          <w:lang w:val="en-US"/>
        </w:rPr>
        <w:t>Living With, London, UK</w:t>
      </w:r>
    </w:p>
    <w:p w14:paraId="2B652285" w14:textId="77777777" w:rsidR="00C23947" w:rsidRDefault="00C23947" w:rsidP="00C23947">
      <w:pPr>
        <w:spacing w:line="240" w:lineRule="auto"/>
        <w:rPr>
          <w:rFonts w:cstheme="minorHAnsi"/>
          <w:b/>
          <w:bCs/>
          <w:sz w:val="24"/>
          <w:szCs w:val="24"/>
          <w:lang w:val="en-US"/>
        </w:rPr>
      </w:pPr>
    </w:p>
    <w:p w14:paraId="61EA1484" w14:textId="77777777" w:rsidR="00C23947" w:rsidRPr="009614AB" w:rsidRDefault="00C23947" w:rsidP="00C23947">
      <w:pPr>
        <w:spacing w:line="240" w:lineRule="auto"/>
        <w:rPr>
          <w:rFonts w:cstheme="minorHAnsi"/>
          <w:b/>
          <w:bCs/>
          <w:sz w:val="24"/>
          <w:szCs w:val="24"/>
          <w:lang w:val="en-US"/>
        </w:rPr>
      </w:pPr>
      <w:r w:rsidRPr="00363842">
        <w:rPr>
          <w:rFonts w:cstheme="minorHAnsi"/>
          <w:b/>
          <w:bCs/>
          <w:sz w:val="24"/>
          <w:szCs w:val="24"/>
          <w:lang w:val="en-US"/>
        </w:rPr>
        <w:t>Correspond</w:t>
      </w:r>
      <w:r>
        <w:rPr>
          <w:rFonts w:cstheme="minorHAnsi"/>
          <w:b/>
          <w:bCs/>
          <w:sz w:val="24"/>
          <w:szCs w:val="24"/>
          <w:lang w:val="en-US"/>
        </w:rPr>
        <w:t>ence to</w:t>
      </w:r>
      <w:r w:rsidRPr="00363842">
        <w:rPr>
          <w:rFonts w:cstheme="minorHAnsi"/>
          <w:b/>
          <w:bCs/>
          <w:sz w:val="24"/>
          <w:szCs w:val="24"/>
          <w:lang w:val="en-US"/>
        </w:rPr>
        <w:t xml:space="preserve">: </w:t>
      </w:r>
      <w:r>
        <w:rPr>
          <w:rFonts w:cstheme="minorHAnsi"/>
          <w:sz w:val="24"/>
          <w:szCs w:val="24"/>
          <w:lang w:val="en-US"/>
        </w:rPr>
        <w:t xml:space="preserve">Prof </w:t>
      </w:r>
      <w:r w:rsidRPr="00D24DFD">
        <w:rPr>
          <w:rFonts w:cstheme="minorHAnsi"/>
          <w:sz w:val="24"/>
          <w:szCs w:val="24"/>
          <w:lang w:val="en-US"/>
        </w:rPr>
        <w:t xml:space="preserve">Manuel Gomes, </w:t>
      </w:r>
      <w:r>
        <w:rPr>
          <w:rFonts w:cstheme="minorHAnsi"/>
          <w:sz w:val="24"/>
          <w:szCs w:val="24"/>
          <w:lang w:val="en-US"/>
        </w:rPr>
        <w:t>Department of Primary Care and Population</w:t>
      </w:r>
      <w:r w:rsidRPr="00D24DFD">
        <w:rPr>
          <w:rFonts w:cstheme="minorHAnsi"/>
          <w:sz w:val="24"/>
          <w:szCs w:val="24"/>
          <w:lang w:val="en-US"/>
        </w:rPr>
        <w:t xml:space="preserve"> Health, University College London, London</w:t>
      </w:r>
      <w:r>
        <w:rPr>
          <w:rFonts w:cstheme="minorHAnsi"/>
          <w:sz w:val="24"/>
          <w:szCs w:val="24"/>
          <w:lang w:val="en-US"/>
        </w:rPr>
        <w:t xml:space="preserve"> WC1E 7HB</w:t>
      </w:r>
      <w:r w:rsidRPr="00D24DFD">
        <w:rPr>
          <w:rFonts w:cstheme="minorHAnsi"/>
          <w:sz w:val="24"/>
          <w:szCs w:val="24"/>
          <w:lang w:val="en-US"/>
        </w:rPr>
        <w:t>, UK</w:t>
      </w:r>
    </w:p>
    <w:p w14:paraId="6C2201BD" w14:textId="77777777" w:rsidR="00C23947" w:rsidRPr="00286EF4" w:rsidRDefault="00C23947" w:rsidP="00C23947">
      <w:pPr>
        <w:spacing w:line="240" w:lineRule="auto"/>
        <w:rPr>
          <w:rFonts w:cstheme="minorHAnsi"/>
          <w:sz w:val="24"/>
          <w:szCs w:val="24"/>
          <w:lang w:val="fr-FR"/>
        </w:rPr>
      </w:pPr>
      <w:r w:rsidRPr="00286EF4">
        <w:rPr>
          <w:rFonts w:cstheme="minorHAnsi"/>
          <w:sz w:val="24"/>
          <w:szCs w:val="24"/>
          <w:lang w:val="fr-FR"/>
        </w:rPr>
        <w:t xml:space="preserve">Email: </w:t>
      </w:r>
      <w:hyperlink r:id="rId8" w:history="1">
        <w:r w:rsidRPr="00286EF4">
          <w:rPr>
            <w:rStyle w:val="Hyperlink"/>
            <w:rFonts w:cstheme="minorHAnsi"/>
            <w:sz w:val="24"/>
            <w:szCs w:val="24"/>
            <w:lang w:val="fr-FR"/>
          </w:rPr>
          <w:t>m.gomes@ucl.ac.uk</w:t>
        </w:r>
      </w:hyperlink>
    </w:p>
    <w:p w14:paraId="061E572B" w14:textId="77777777" w:rsidR="00CD5020" w:rsidRPr="00286EF4" w:rsidRDefault="00CD5020" w:rsidP="00B71D96">
      <w:pPr>
        <w:spacing w:line="240" w:lineRule="auto"/>
        <w:rPr>
          <w:rFonts w:cstheme="minorHAnsi"/>
          <w:sz w:val="24"/>
          <w:szCs w:val="24"/>
          <w:lang w:val="fr-FR"/>
        </w:rPr>
      </w:pPr>
    </w:p>
    <w:p w14:paraId="6DBEB6BD" w14:textId="77777777" w:rsidR="00117F99" w:rsidRPr="00286EF4" w:rsidRDefault="00117F99">
      <w:pPr>
        <w:rPr>
          <w:b/>
          <w:bCs/>
          <w:sz w:val="24"/>
          <w:szCs w:val="24"/>
          <w:lang w:val="fr-FR"/>
        </w:rPr>
      </w:pPr>
    </w:p>
    <w:p w14:paraId="1F99DC34" w14:textId="77777777" w:rsidR="00117F99" w:rsidRPr="00286EF4" w:rsidRDefault="00117F99">
      <w:pPr>
        <w:rPr>
          <w:b/>
          <w:bCs/>
          <w:sz w:val="24"/>
          <w:szCs w:val="24"/>
          <w:lang w:val="fr-FR"/>
        </w:rPr>
      </w:pPr>
    </w:p>
    <w:p w14:paraId="1DEC59DE" w14:textId="468220FA" w:rsidR="00362DA4" w:rsidRPr="000B3278" w:rsidRDefault="00362DA4" w:rsidP="00246475">
      <w:pPr>
        <w:rPr>
          <w:sz w:val="24"/>
          <w:szCs w:val="24"/>
          <w:lang w:val="fr-FR"/>
        </w:rPr>
      </w:pPr>
      <w:r w:rsidRPr="000B3278">
        <w:rPr>
          <w:sz w:val="24"/>
          <w:szCs w:val="24"/>
          <w:lang w:val="fr-FR"/>
        </w:rPr>
        <w:br w:type="page"/>
      </w:r>
    </w:p>
    <w:p w14:paraId="57ECBEC2" w14:textId="66177DFB" w:rsidR="00807207" w:rsidRPr="000F0AE5" w:rsidRDefault="000F4ECC" w:rsidP="008472E9">
      <w:pPr>
        <w:jc w:val="both"/>
        <w:rPr>
          <w:b/>
          <w:bCs/>
          <w:sz w:val="24"/>
          <w:szCs w:val="24"/>
        </w:rPr>
      </w:pPr>
      <w:r>
        <w:rPr>
          <w:b/>
          <w:bCs/>
          <w:sz w:val="24"/>
          <w:szCs w:val="24"/>
        </w:rPr>
        <w:lastRenderedPageBreak/>
        <w:t>ABSTRACT</w:t>
      </w:r>
    </w:p>
    <w:p w14:paraId="41D40129" w14:textId="22ACC72E" w:rsidR="00807207" w:rsidRPr="000F4ECC" w:rsidRDefault="00807207" w:rsidP="008472E9">
      <w:pPr>
        <w:jc w:val="both"/>
        <w:rPr>
          <w:b/>
          <w:bCs/>
          <w:sz w:val="24"/>
          <w:szCs w:val="24"/>
        </w:rPr>
      </w:pPr>
      <w:r w:rsidRPr="000F4ECC">
        <w:rPr>
          <w:b/>
          <w:bCs/>
          <w:sz w:val="24"/>
          <w:szCs w:val="24"/>
        </w:rPr>
        <w:t>Objectives</w:t>
      </w:r>
    </w:p>
    <w:p w14:paraId="1237FE92" w14:textId="2A949CA2" w:rsidR="001369B9" w:rsidRPr="00EF2574" w:rsidRDefault="001369B9" w:rsidP="008472E9">
      <w:pPr>
        <w:jc w:val="both"/>
        <w:rPr>
          <w:sz w:val="24"/>
          <w:szCs w:val="24"/>
        </w:rPr>
      </w:pPr>
      <w:r w:rsidRPr="000F0AE5">
        <w:rPr>
          <w:sz w:val="24"/>
          <w:szCs w:val="24"/>
        </w:rPr>
        <w:t xml:space="preserve">To examine trajectories of functional limitations, </w:t>
      </w:r>
      <w:r w:rsidR="00DC0E94">
        <w:rPr>
          <w:sz w:val="24"/>
          <w:szCs w:val="24"/>
        </w:rPr>
        <w:t xml:space="preserve">fatigue, </w:t>
      </w:r>
      <w:r w:rsidR="00597BD8" w:rsidRPr="000F0AE5">
        <w:rPr>
          <w:sz w:val="24"/>
          <w:szCs w:val="24"/>
        </w:rPr>
        <w:t xml:space="preserve">health-related </w:t>
      </w:r>
      <w:r w:rsidRPr="000F0AE5">
        <w:rPr>
          <w:sz w:val="24"/>
          <w:szCs w:val="24"/>
        </w:rPr>
        <w:t>quality of life</w:t>
      </w:r>
      <w:r w:rsidR="00B668C2">
        <w:rPr>
          <w:sz w:val="24"/>
          <w:szCs w:val="24"/>
        </w:rPr>
        <w:t xml:space="preserve"> (HRQL)</w:t>
      </w:r>
      <w:r w:rsidRPr="000F0AE5">
        <w:rPr>
          <w:sz w:val="24"/>
          <w:szCs w:val="24"/>
        </w:rPr>
        <w:t xml:space="preserve"> and </w:t>
      </w:r>
      <w:r w:rsidR="00C90A46">
        <w:rPr>
          <w:sz w:val="24"/>
          <w:szCs w:val="24"/>
        </w:rPr>
        <w:t>societal</w:t>
      </w:r>
      <w:r w:rsidR="00EE5B06">
        <w:rPr>
          <w:sz w:val="24"/>
          <w:szCs w:val="24"/>
        </w:rPr>
        <w:t xml:space="preserve"> </w:t>
      </w:r>
      <w:r w:rsidRPr="000F0AE5">
        <w:rPr>
          <w:sz w:val="24"/>
          <w:szCs w:val="24"/>
        </w:rPr>
        <w:t>costs</w:t>
      </w:r>
      <w:r w:rsidR="008979BD">
        <w:rPr>
          <w:sz w:val="24"/>
          <w:szCs w:val="24"/>
        </w:rPr>
        <w:t xml:space="preserve"> </w:t>
      </w:r>
      <w:r w:rsidRPr="000F0AE5">
        <w:rPr>
          <w:sz w:val="24"/>
          <w:szCs w:val="24"/>
        </w:rPr>
        <w:t xml:space="preserve">of patients </w:t>
      </w:r>
      <w:r w:rsidR="005034CB" w:rsidRPr="00EF2574">
        <w:rPr>
          <w:sz w:val="24"/>
          <w:szCs w:val="24"/>
        </w:rPr>
        <w:t xml:space="preserve">referred to </w:t>
      </w:r>
      <w:r w:rsidR="00B52AB6" w:rsidRPr="00EF2574">
        <w:rPr>
          <w:sz w:val="24"/>
          <w:szCs w:val="24"/>
        </w:rPr>
        <w:t>l</w:t>
      </w:r>
      <w:r w:rsidR="005034CB" w:rsidRPr="00EF2574">
        <w:rPr>
          <w:sz w:val="24"/>
          <w:szCs w:val="24"/>
        </w:rPr>
        <w:t>ong COVID</w:t>
      </w:r>
      <w:r w:rsidR="008B4DD3">
        <w:rPr>
          <w:sz w:val="24"/>
          <w:szCs w:val="24"/>
        </w:rPr>
        <w:t xml:space="preserve"> clinics</w:t>
      </w:r>
      <w:r w:rsidRPr="00EF2574">
        <w:rPr>
          <w:sz w:val="24"/>
          <w:szCs w:val="24"/>
        </w:rPr>
        <w:t>.</w:t>
      </w:r>
    </w:p>
    <w:p w14:paraId="1E1E5A0A" w14:textId="63432545" w:rsidR="00807207" w:rsidRPr="00EF2574" w:rsidRDefault="00807207" w:rsidP="008472E9">
      <w:pPr>
        <w:jc w:val="both"/>
        <w:rPr>
          <w:b/>
          <w:bCs/>
          <w:sz w:val="24"/>
          <w:szCs w:val="24"/>
        </w:rPr>
      </w:pPr>
      <w:r w:rsidRPr="00EF2574">
        <w:rPr>
          <w:b/>
          <w:bCs/>
          <w:sz w:val="24"/>
          <w:szCs w:val="24"/>
        </w:rPr>
        <w:t>Design</w:t>
      </w:r>
    </w:p>
    <w:p w14:paraId="4C08C74C" w14:textId="2AEB7C26" w:rsidR="001369B9" w:rsidRPr="00EF2574" w:rsidRDefault="00732D3A" w:rsidP="008472E9">
      <w:pPr>
        <w:jc w:val="both"/>
        <w:rPr>
          <w:sz w:val="24"/>
          <w:szCs w:val="24"/>
        </w:rPr>
      </w:pPr>
      <w:r w:rsidRPr="00EF2574">
        <w:rPr>
          <w:sz w:val="24"/>
          <w:szCs w:val="24"/>
        </w:rPr>
        <w:t>L</w:t>
      </w:r>
      <w:r w:rsidR="00A60A44" w:rsidRPr="00EF2574">
        <w:rPr>
          <w:sz w:val="24"/>
          <w:szCs w:val="24"/>
        </w:rPr>
        <w:t xml:space="preserve">ongitudinal single-arm service evaluation </w:t>
      </w:r>
      <w:r w:rsidR="00404197" w:rsidRPr="00EF2574">
        <w:rPr>
          <w:sz w:val="24"/>
          <w:szCs w:val="24"/>
        </w:rPr>
        <w:t>utilising</w:t>
      </w:r>
      <w:r w:rsidR="00A60A44" w:rsidRPr="00EF2574">
        <w:rPr>
          <w:sz w:val="24"/>
          <w:szCs w:val="24"/>
        </w:rPr>
        <w:t xml:space="preserve"> real-time user data</w:t>
      </w:r>
      <w:r w:rsidR="00B52AB6" w:rsidRPr="00EF2574">
        <w:rPr>
          <w:sz w:val="24"/>
          <w:szCs w:val="24"/>
        </w:rPr>
        <w:t>.</w:t>
      </w:r>
    </w:p>
    <w:p w14:paraId="05CCD905" w14:textId="70DF7CC1" w:rsidR="00807207" w:rsidRPr="00EF2574" w:rsidRDefault="00807207" w:rsidP="008472E9">
      <w:pPr>
        <w:jc w:val="both"/>
        <w:rPr>
          <w:b/>
          <w:bCs/>
          <w:sz w:val="24"/>
          <w:szCs w:val="24"/>
        </w:rPr>
      </w:pPr>
      <w:r w:rsidRPr="00EF2574">
        <w:rPr>
          <w:b/>
          <w:bCs/>
          <w:sz w:val="24"/>
          <w:szCs w:val="24"/>
        </w:rPr>
        <w:t>Setting</w:t>
      </w:r>
    </w:p>
    <w:p w14:paraId="580F9E22" w14:textId="4A33DCF0" w:rsidR="009529F2" w:rsidRPr="006D4B3E" w:rsidRDefault="00010455" w:rsidP="009529F2">
      <w:pPr>
        <w:rPr>
          <w:sz w:val="24"/>
          <w:szCs w:val="24"/>
          <w:lang w:val="en-US"/>
        </w:rPr>
      </w:pPr>
      <w:r w:rsidRPr="00EF2574">
        <w:rPr>
          <w:sz w:val="24"/>
          <w:szCs w:val="24"/>
        </w:rPr>
        <w:t>35 Long COVID</w:t>
      </w:r>
      <w:r w:rsidR="009529F2" w:rsidRPr="00EF2574">
        <w:rPr>
          <w:sz w:val="24"/>
          <w:szCs w:val="24"/>
        </w:rPr>
        <w:t xml:space="preserve"> clinics in the UK</w:t>
      </w:r>
      <w:r w:rsidR="00B52AB6" w:rsidRPr="00EF2574">
        <w:rPr>
          <w:sz w:val="24"/>
          <w:szCs w:val="24"/>
        </w:rPr>
        <w:t>.</w:t>
      </w:r>
    </w:p>
    <w:p w14:paraId="2F4FF543" w14:textId="77777777" w:rsidR="00A60A44" w:rsidRPr="00EF2574" w:rsidRDefault="00A60A44" w:rsidP="008472E9">
      <w:pPr>
        <w:jc w:val="both"/>
        <w:rPr>
          <w:b/>
          <w:bCs/>
          <w:sz w:val="24"/>
          <w:szCs w:val="24"/>
        </w:rPr>
      </w:pPr>
      <w:r w:rsidRPr="00EF2574">
        <w:rPr>
          <w:b/>
          <w:bCs/>
          <w:sz w:val="24"/>
          <w:szCs w:val="24"/>
        </w:rPr>
        <w:t>Participants</w:t>
      </w:r>
    </w:p>
    <w:p w14:paraId="590BA89A" w14:textId="4AC20976" w:rsidR="00A60A44" w:rsidRPr="00961BAC" w:rsidRDefault="00963126" w:rsidP="008472E9">
      <w:pPr>
        <w:jc w:val="both"/>
        <w:rPr>
          <w:sz w:val="24"/>
          <w:szCs w:val="24"/>
        </w:rPr>
      </w:pPr>
      <w:r w:rsidRPr="00EF2574">
        <w:rPr>
          <w:sz w:val="24"/>
          <w:szCs w:val="24"/>
        </w:rPr>
        <w:t>4087</w:t>
      </w:r>
      <w:r w:rsidR="00A60A44" w:rsidRPr="00EF2574">
        <w:rPr>
          <w:sz w:val="24"/>
          <w:szCs w:val="24"/>
        </w:rPr>
        <w:t xml:space="preserve"> </w:t>
      </w:r>
      <w:r w:rsidR="00A60A44" w:rsidRPr="00961BAC">
        <w:rPr>
          <w:sz w:val="24"/>
          <w:szCs w:val="24"/>
        </w:rPr>
        <w:t>adults diagnosed with</w:t>
      </w:r>
      <w:r w:rsidR="00B52AB6" w:rsidRPr="00961BAC">
        <w:rPr>
          <w:sz w:val="24"/>
          <w:szCs w:val="24"/>
        </w:rPr>
        <w:t xml:space="preserve"> long COVID</w:t>
      </w:r>
      <w:r w:rsidR="00D5050C" w:rsidRPr="00961BAC">
        <w:rPr>
          <w:sz w:val="24"/>
          <w:szCs w:val="24"/>
        </w:rPr>
        <w:t xml:space="preserve"> </w:t>
      </w:r>
      <w:r w:rsidR="00A60A44" w:rsidRPr="00961BAC">
        <w:rPr>
          <w:sz w:val="24"/>
          <w:szCs w:val="24"/>
        </w:rPr>
        <w:t xml:space="preserve">in primary or secondary care deemed suitable </w:t>
      </w:r>
      <w:r w:rsidR="007E65FE" w:rsidRPr="00961BAC">
        <w:rPr>
          <w:sz w:val="24"/>
          <w:szCs w:val="24"/>
        </w:rPr>
        <w:t>for rehabilitation</w:t>
      </w:r>
      <w:r w:rsidR="008924CF" w:rsidRPr="00961BAC">
        <w:rPr>
          <w:sz w:val="24"/>
          <w:szCs w:val="24"/>
        </w:rPr>
        <w:t xml:space="preserve">, and </w:t>
      </w:r>
      <w:r w:rsidR="00D119F0" w:rsidRPr="00961BAC">
        <w:rPr>
          <w:sz w:val="24"/>
          <w:szCs w:val="24"/>
        </w:rPr>
        <w:t>registered in the Living With Covid Recovery (LWCR) programme between 4 August 2020 and 5 August 2022.</w:t>
      </w:r>
    </w:p>
    <w:p w14:paraId="18C38FC6" w14:textId="4B7B169C" w:rsidR="00807207" w:rsidRPr="00961BAC" w:rsidRDefault="00807207" w:rsidP="008472E9">
      <w:pPr>
        <w:jc w:val="both"/>
        <w:rPr>
          <w:b/>
          <w:bCs/>
          <w:sz w:val="24"/>
          <w:szCs w:val="24"/>
        </w:rPr>
      </w:pPr>
      <w:r w:rsidRPr="00961BAC">
        <w:rPr>
          <w:b/>
          <w:bCs/>
          <w:sz w:val="24"/>
          <w:szCs w:val="24"/>
        </w:rPr>
        <w:t>Main Outcome Measures</w:t>
      </w:r>
    </w:p>
    <w:p w14:paraId="21932313" w14:textId="10DDD8F3" w:rsidR="007E65FE" w:rsidRPr="00961BAC" w:rsidRDefault="009C060E" w:rsidP="00AD689E">
      <w:pPr>
        <w:jc w:val="both"/>
        <w:rPr>
          <w:sz w:val="24"/>
          <w:szCs w:val="24"/>
        </w:rPr>
      </w:pPr>
      <w:r w:rsidRPr="00961BAC">
        <w:rPr>
          <w:sz w:val="24"/>
          <w:szCs w:val="24"/>
        </w:rPr>
        <w:t>Generalised linear mixed models were fitted to estimate t</w:t>
      </w:r>
      <w:r w:rsidR="00B600B3" w:rsidRPr="00961BAC">
        <w:rPr>
          <w:sz w:val="24"/>
          <w:szCs w:val="24"/>
        </w:rPr>
        <w:t xml:space="preserve">rajectories of </w:t>
      </w:r>
      <w:r w:rsidR="00312DAC" w:rsidRPr="00961BAC">
        <w:rPr>
          <w:sz w:val="24"/>
          <w:szCs w:val="24"/>
        </w:rPr>
        <w:t xml:space="preserve">functional limitations, </w:t>
      </w:r>
      <w:r w:rsidR="0069033B" w:rsidRPr="00961BAC">
        <w:rPr>
          <w:sz w:val="24"/>
          <w:szCs w:val="24"/>
        </w:rPr>
        <w:t xml:space="preserve">using the </w:t>
      </w:r>
      <w:r w:rsidR="00F6244D" w:rsidRPr="00961BAC">
        <w:rPr>
          <w:sz w:val="24"/>
          <w:szCs w:val="24"/>
        </w:rPr>
        <w:t>Work and Social Adjustment Scale (WSAS); scores of ≥20 indicate moderately severe limitations</w:t>
      </w:r>
      <w:r w:rsidR="0069033B" w:rsidRPr="00961BAC">
        <w:rPr>
          <w:sz w:val="24"/>
          <w:szCs w:val="24"/>
        </w:rPr>
        <w:t xml:space="preserve">. </w:t>
      </w:r>
      <w:r w:rsidR="00404197" w:rsidRPr="00961BAC">
        <w:rPr>
          <w:sz w:val="24"/>
          <w:szCs w:val="24"/>
        </w:rPr>
        <w:t>S</w:t>
      </w:r>
      <w:r w:rsidR="00597BD8" w:rsidRPr="00961BAC">
        <w:rPr>
          <w:sz w:val="24"/>
          <w:szCs w:val="24"/>
        </w:rPr>
        <w:t>econdary outcomes include</w:t>
      </w:r>
      <w:r w:rsidR="00404197" w:rsidRPr="00961BAC">
        <w:rPr>
          <w:sz w:val="24"/>
          <w:szCs w:val="24"/>
        </w:rPr>
        <w:t>d</w:t>
      </w:r>
      <w:r w:rsidR="00A60A44" w:rsidRPr="00961BAC">
        <w:rPr>
          <w:sz w:val="24"/>
          <w:szCs w:val="24"/>
        </w:rPr>
        <w:t xml:space="preserve"> </w:t>
      </w:r>
      <w:r w:rsidR="00DC2001" w:rsidRPr="00961BAC">
        <w:rPr>
          <w:sz w:val="24"/>
          <w:szCs w:val="24"/>
        </w:rPr>
        <w:t>f</w:t>
      </w:r>
      <w:r w:rsidR="000E5F1E" w:rsidRPr="00961BAC">
        <w:rPr>
          <w:sz w:val="24"/>
          <w:szCs w:val="24"/>
        </w:rPr>
        <w:t>atigue</w:t>
      </w:r>
      <w:r w:rsidR="00CF03C2" w:rsidRPr="00961BAC">
        <w:rPr>
          <w:sz w:val="24"/>
          <w:szCs w:val="24"/>
        </w:rPr>
        <w:t xml:space="preserve"> </w:t>
      </w:r>
      <w:r w:rsidR="0073207F" w:rsidRPr="00961BAC">
        <w:rPr>
          <w:sz w:val="24"/>
          <w:szCs w:val="24"/>
        </w:rPr>
        <w:t xml:space="preserve">using the </w:t>
      </w:r>
      <w:r w:rsidR="00CF03C2" w:rsidRPr="00961BAC">
        <w:rPr>
          <w:sz w:val="24"/>
          <w:szCs w:val="24"/>
        </w:rPr>
        <w:t>Functional Assessment of Chronic Illness Therapy</w:t>
      </w:r>
      <w:r w:rsidR="00B7500C" w:rsidRPr="00961BAC">
        <w:rPr>
          <w:sz w:val="24"/>
          <w:szCs w:val="24"/>
        </w:rPr>
        <w:t xml:space="preserve"> </w:t>
      </w:r>
      <w:r w:rsidR="0073207F" w:rsidRPr="00961BAC">
        <w:rPr>
          <w:sz w:val="24"/>
          <w:szCs w:val="24"/>
        </w:rPr>
        <w:t>–</w:t>
      </w:r>
      <w:r w:rsidR="00B7500C" w:rsidRPr="00961BAC">
        <w:rPr>
          <w:sz w:val="24"/>
          <w:szCs w:val="24"/>
        </w:rPr>
        <w:t xml:space="preserve"> </w:t>
      </w:r>
      <w:r w:rsidR="00CF03C2" w:rsidRPr="00961BAC">
        <w:rPr>
          <w:sz w:val="24"/>
          <w:szCs w:val="24"/>
        </w:rPr>
        <w:t>Fatigue</w:t>
      </w:r>
      <w:r w:rsidR="0073207F" w:rsidRPr="00961BAC">
        <w:rPr>
          <w:sz w:val="24"/>
          <w:szCs w:val="24"/>
        </w:rPr>
        <w:t xml:space="preserve"> (FACIT-F) </w:t>
      </w:r>
      <w:r w:rsidR="00960849" w:rsidRPr="00961BAC">
        <w:rPr>
          <w:sz w:val="24"/>
          <w:szCs w:val="24"/>
        </w:rPr>
        <w:t>reversed score</w:t>
      </w:r>
      <w:r w:rsidR="00F96AED" w:rsidRPr="00961BAC">
        <w:rPr>
          <w:sz w:val="24"/>
          <w:szCs w:val="24"/>
        </w:rPr>
        <w:t xml:space="preserve"> (scores of ≥</w:t>
      </w:r>
      <w:r w:rsidR="000D783E" w:rsidRPr="00961BAC">
        <w:rPr>
          <w:sz w:val="24"/>
          <w:szCs w:val="24"/>
        </w:rPr>
        <w:t>22</w:t>
      </w:r>
      <w:r w:rsidR="00F96AED" w:rsidRPr="00961BAC">
        <w:rPr>
          <w:sz w:val="24"/>
          <w:szCs w:val="24"/>
        </w:rPr>
        <w:t xml:space="preserve"> indicate </w:t>
      </w:r>
      <w:r w:rsidR="00D2370A" w:rsidRPr="00961BAC">
        <w:rPr>
          <w:sz w:val="24"/>
          <w:szCs w:val="24"/>
        </w:rPr>
        <w:t>impairment</w:t>
      </w:r>
      <w:r w:rsidR="00F96AED" w:rsidRPr="00961BAC">
        <w:rPr>
          <w:sz w:val="24"/>
          <w:szCs w:val="24"/>
        </w:rPr>
        <w:t>)</w:t>
      </w:r>
      <w:r w:rsidR="0073207F" w:rsidRPr="00961BAC">
        <w:rPr>
          <w:sz w:val="24"/>
          <w:szCs w:val="24"/>
        </w:rPr>
        <w:t>,</w:t>
      </w:r>
      <w:r w:rsidR="00C1284F" w:rsidRPr="00961BAC">
        <w:rPr>
          <w:sz w:val="24"/>
          <w:szCs w:val="24"/>
        </w:rPr>
        <w:t xml:space="preserve"> </w:t>
      </w:r>
      <w:r w:rsidR="00A316DD" w:rsidRPr="00961BAC">
        <w:rPr>
          <w:sz w:val="24"/>
          <w:szCs w:val="24"/>
        </w:rPr>
        <w:t>HRQL</w:t>
      </w:r>
      <w:r w:rsidR="00C47DB7" w:rsidRPr="00961BAC">
        <w:rPr>
          <w:sz w:val="24"/>
          <w:szCs w:val="24"/>
        </w:rPr>
        <w:t xml:space="preserve"> </w:t>
      </w:r>
      <w:r w:rsidR="00C03CED" w:rsidRPr="00961BAC">
        <w:rPr>
          <w:sz w:val="24"/>
          <w:szCs w:val="24"/>
        </w:rPr>
        <w:t>using the</w:t>
      </w:r>
      <w:r w:rsidR="006D35EF" w:rsidRPr="00961BAC">
        <w:rPr>
          <w:sz w:val="24"/>
          <w:szCs w:val="24"/>
        </w:rPr>
        <w:t xml:space="preserve"> </w:t>
      </w:r>
      <w:r w:rsidR="00A60A44" w:rsidRPr="00961BAC">
        <w:rPr>
          <w:sz w:val="24"/>
          <w:szCs w:val="24"/>
        </w:rPr>
        <w:t>EQ-5D</w:t>
      </w:r>
      <w:r w:rsidR="00065AA4" w:rsidRPr="00961BAC">
        <w:rPr>
          <w:sz w:val="24"/>
          <w:szCs w:val="24"/>
        </w:rPr>
        <w:t>-5L</w:t>
      </w:r>
      <w:r w:rsidR="00A60A44" w:rsidRPr="00961BAC">
        <w:rPr>
          <w:sz w:val="24"/>
          <w:szCs w:val="24"/>
        </w:rPr>
        <w:t>,</w:t>
      </w:r>
      <w:r w:rsidR="00597BD8" w:rsidRPr="00961BAC">
        <w:rPr>
          <w:sz w:val="24"/>
          <w:szCs w:val="24"/>
        </w:rPr>
        <w:t xml:space="preserve"> and</w:t>
      </w:r>
      <w:r w:rsidR="00DD0471" w:rsidRPr="00961BAC">
        <w:rPr>
          <w:sz w:val="24"/>
          <w:szCs w:val="24"/>
        </w:rPr>
        <w:t xml:space="preserve"> </w:t>
      </w:r>
      <w:r w:rsidR="00E85A21" w:rsidRPr="00961BAC">
        <w:rPr>
          <w:sz w:val="24"/>
          <w:szCs w:val="24"/>
        </w:rPr>
        <w:t>long COVID</w:t>
      </w:r>
      <w:r w:rsidR="000F0AE5" w:rsidRPr="00961BAC">
        <w:rPr>
          <w:sz w:val="24"/>
          <w:szCs w:val="24"/>
        </w:rPr>
        <w:t>-related societal</w:t>
      </w:r>
      <w:r w:rsidR="00597BD8" w:rsidRPr="00961BAC">
        <w:rPr>
          <w:sz w:val="24"/>
          <w:szCs w:val="24"/>
        </w:rPr>
        <w:t xml:space="preserve"> costs, </w:t>
      </w:r>
      <w:r w:rsidR="005930B7" w:rsidRPr="00961BAC">
        <w:rPr>
          <w:sz w:val="24"/>
          <w:szCs w:val="24"/>
        </w:rPr>
        <w:t xml:space="preserve">encompassing </w:t>
      </w:r>
      <w:r w:rsidR="00597BD8" w:rsidRPr="00961BAC">
        <w:rPr>
          <w:sz w:val="24"/>
          <w:szCs w:val="24"/>
        </w:rPr>
        <w:t xml:space="preserve">healthcare costs and </w:t>
      </w:r>
      <w:r w:rsidR="008A2C86" w:rsidRPr="00961BAC">
        <w:rPr>
          <w:sz w:val="24"/>
          <w:szCs w:val="24"/>
        </w:rPr>
        <w:t>productivity losses</w:t>
      </w:r>
      <w:r w:rsidR="00597BD8" w:rsidRPr="00961BAC">
        <w:rPr>
          <w:sz w:val="24"/>
          <w:szCs w:val="24"/>
        </w:rPr>
        <w:t>.</w:t>
      </w:r>
      <w:r w:rsidR="00FB04F3" w:rsidRPr="00961BAC">
        <w:rPr>
          <w:sz w:val="24"/>
          <w:szCs w:val="24"/>
        </w:rPr>
        <w:t xml:space="preserve"> </w:t>
      </w:r>
    </w:p>
    <w:p w14:paraId="67AA8A06" w14:textId="1D2988DB" w:rsidR="00807207" w:rsidRPr="00961BAC" w:rsidRDefault="00807207" w:rsidP="008472E9">
      <w:pPr>
        <w:jc w:val="both"/>
        <w:rPr>
          <w:b/>
          <w:bCs/>
          <w:sz w:val="24"/>
          <w:szCs w:val="24"/>
        </w:rPr>
      </w:pPr>
      <w:r w:rsidRPr="00961BAC">
        <w:rPr>
          <w:b/>
          <w:bCs/>
          <w:sz w:val="24"/>
          <w:szCs w:val="24"/>
        </w:rPr>
        <w:t>Results</w:t>
      </w:r>
    </w:p>
    <w:p w14:paraId="01DA1C25" w14:textId="7418954C" w:rsidR="00B0500D" w:rsidRPr="00961BAC" w:rsidRDefault="00017FD8" w:rsidP="008472E9">
      <w:pPr>
        <w:jc w:val="both"/>
        <w:rPr>
          <w:sz w:val="24"/>
          <w:szCs w:val="24"/>
        </w:rPr>
      </w:pPr>
      <w:r w:rsidRPr="00961BAC">
        <w:rPr>
          <w:sz w:val="24"/>
          <w:szCs w:val="24"/>
        </w:rPr>
        <w:t xml:space="preserve">The mean WSAS score at 6 months after registration in the LWCR was 19.1 (95% </w:t>
      </w:r>
      <w:r w:rsidR="00A404C6" w:rsidRPr="00961BAC">
        <w:rPr>
          <w:sz w:val="24"/>
          <w:szCs w:val="24"/>
        </w:rPr>
        <w:t>confidence interval (</w:t>
      </w:r>
      <w:r w:rsidRPr="00961BAC">
        <w:rPr>
          <w:sz w:val="24"/>
          <w:szCs w:val="24"/>
        </w:rPr>
        <w:t>CI</w:t>
      </w:r>
      <w:r w:rsidR="00A404C6" w:rsidRPr="00961BAC">
        <w:rPr>
          <w:sz w:val="24"/>
          <w:szCs w:val="24"/>
        </w:rPr>
        <w:t>)</w:t>
      </w:r>
      <w:r w:rsidRPr="00961BAC">
        <w:rPr>
          <w:sz w:val="24"/>
          <w:szCs w:val="24"/>
        </w:rPr>
        <w:t xml:space="preserve"> 18.6, 19.6), with </w:t>
      </w:r>
      <w:r w:rsidR="004F2DB2" w:rsidRPr="00961BAC">
        <w:rPr>
          <w:sz w:val="24"/>
          <w:szCs w:val="24"/>
        </w:rPr>
        <w:t>46%</w:t>
      </w:r>
      <w:r w:rsidRPr="00961BAC">
        <w:rPr>
          <w:sz w:val="24"/>
          <w:szCs w:val="24"/>
        </w:rPr>
        <w:t xml:space="preserve"> </w:t>
      </w:r>
      <w:r w:rsidR="004F2DB2" w:rsidRPr="00961BAC">
        <w:rPr>
          <w:sz w:val="24"/>
          <w:szCs w:val="24"/>
        </w:rPr>
        <w:t xml:space="preserve">of </w:t>
      </w:r>
      <w:r w:rsidRPr="00961BAC">
        <w:rPr>
          <w:sz w:val="24"/>
          <w:szCs w:val="24"/>
        </w:rPr>
        <w:t xml:space="preserve">the </w:t>
      </w:r>
      <w:r w:rsidR="00302327" w:rsidRPr="00961BAC">
        <w:rPr>
          <w:sz w:val="24"/>
          <w:szCs w:val="24"/>
        </w:rPr>
        <w:t>participants</w:t>
      </w:r>
      <w:r w:rsidRPr="00961BAC">
        <w:rPr>
          <w:sz w:val="24"/>
          <w:szCs w:val="24"/>
        </w:rPr>
        <w:t xml:space="preserve"> (95% CI 40.3%, 52.4%) </w:t>
      </w:r>
      <w:r w:rsidR="001C31C3" w:rsidRPr="00961BAC">
        <w:rPr>
          <w:sz w:val="24"/>
          <w:szCs w:val="24"/>
        </w:rPr>
        <w:t xml:space="preserve">reporting a </w:t>
      </w:r>
      <w:r w:rsidRPr="00961BAC">
        <w:rPr>
          <w:sz w:val="24"/>
          <w:szCs w:val="24"/>
        </w:rPr>
        <w:t xml:space="preserve">WSAS score above 20 (moderately severe or worse impairment). The mean change in the WSAS score over the 6-month period was -0.86 (95% </w:t>
      </w:r>
      <w:r w:rsidR="00182026" w:rsidRPr="00961BAC">
        <w:rPr>
          <w:sz w:val="24"/>
          <w:szCs w:val="24"/>
        </w:rPr>
        <w:t>CI</w:t>
      </w:r>
      <w:r w:rsidRPr="00961BAC">
        <w:rPr>
          <w:sz w:val="24"/>
          <w:szCs w:val="24"/>
        </w:rPr>
        <w:t xml:space="preserve"> -1.32, -0.41).</w:t>
      </w:r>
      <w:r w:rsidR="00345C6F" w:rsidRPr="00961BAC">
        <w:rPr>
          <w:sz w:val="24"/>
          <w:szCs w:val="24"/>
        </w:rPr>
        <w:t xml:space="preserve"> </w:t>
      </w:r>
      <w:r w:rsidR="006724BA" w:rsidRPr="00961BAC">
        <w:rPr>
          <w:sz w:val="24"/>
          <w:szCs w:val="24"/>
        </w:rPr>
        <w:t>The mean reversed FACIT-F score at 6 months was 29.1 (95% CI 22.7, 35.5) compared to 32.0 (95% CI 31.7, 32.3) at baseline</w:t>
      </w:r>
      <w:r w:rsidR="00756245" w:rsidRPr="00961BAC">
        <w:rPr>
          <w:sz w:val="24"/>
          <w:szCs w:val="24"/>
        </w:rPr>
        <w:t>.</w:t>
      </w:r>
      <w:r w:rsidR="00A86CA1" w:rsidRPr="00961BAC">
        <w:rPr>
          <w:sz w:val="24"/>
          <w:szCs w:val="24"/>
        </w:rPr>
        <w:t xml:space="preserve"> </w:t>
      </w:r>
      <w:r w:rsidR="007D0937" w:rsidRPr="00961BAC">
        <w:rPr>
          <w:sz w:val="24"/>
          <w:szCs w:val="24"/>
        </w:rPr>
        <w:t>The</w:t>
      </w:r>
      <w:r w:rsidR="00D9102C" w:rsidRPr="00961BAC">
        <w:rPr>
          <w:sz w:val="24"/>
          <w:szCs w:val="24"/>
        </w:rPr>
        <w:t xml:space="preserve"> </w:t>
      </w:r>
      <w:r w:rsidR="00A137DA" w:rsidRPr="00961BAC">
        <w:rPr>
          <w:sz w:val="24"/>
          <w:szCs w:val="24"/>
        </w:rPr>
        <w:t xml:space="preserve">mean EQ-5D-5L score </w:t>
      </w:r>
      <w:r w:rsidR="007D0937" w:rsidRPr="00961BAC">
        <w:rPr>
          <w:sz w:val="24"/>
          <w:szCs w:val="24"/>
        </w:rPr>
        <w:t xml:space="preserve">remained relatively </w:t>
      </w:r>
      <w:r w:rsidR="00756245" w:rsidRPr="00961BAC">
        <w:rPr>
          <w:sz w:val="24"/>
          <w:szCs w:val="24"/>
        </w:rPr>
        <w:t>constant</w:t>
      </w:r>
      <w:r w:rsidR="007D0937" w:rsidRPr="00961BAC">
        <w:rPr>
          <w:sz w:val="24"/>
          <w:szCs w:val="24"/>
        </w:rPr>
        <w:t xml:space="preserve"> between </w:t>
      </w:r>
      <w:r w:rsidR="006729C0" w:rsidRPr="00961BAC">
        <w:rPr>
          <w:sz w:val="24"/>
          <w:szCs w:val="24"/>
        </w:rPr>
        <w:t>baseline (</w:t>
      </w:r>
      <w:r w:rsidR="00090C89" w:rsidRPr="00961BAC">
        <w:rPr>
          <w:sz w:val="24"/>
          <w:szCs w:val="24"/>
        </w:rPr>
        <w:t>0.63</w:t>
      </w:r>
      <w:r w:rsidR="006729C0" w:rsidRPr="00961BAC">
        <w:rPr>
          <w:sz w:val="24"/>
          <w:szCs w:val="24"/>
        </w:rPr>
        <w:t xml:space="preserve">, </w:t>
      </w:r>
      <w:r w:rsidR="00090C89" w:rsidRPr="00961BAC">
        <w:rPr>
          <w:sz w:val="24"/>
          <w:szCs w:val="24"/>
        </w:rPr>
        <w:t>95% CI 0.62, 0.64)</w:t>
      </w:r>
      <w:r w:rsidR="009A4A60" w:rsidRPr="00961BAC">
        <w:rPr>
          <w:sz w:val="24"/>
          <w:szCs w:val="24"/>
        </w:rPr>
        <w:t xml:space="preserve"> and 6 months (0.64, 95% CI 0.59, 0.69)</w:t>
      </w:r>
      <w:r w:rsidR="00090C89" w:rsidRPr="00961BAC">
        <w:rPr>
          <w:sz w:val="24"/>
          <w:szCs w:val="24"/>
        </w:rPr>
        <w:t xml:space="preserve">. </w:t>
      </w:r>
      <w:r w:rsidR="00A86CA1" w:rsidRPr="00961BAC">
        <w:rPr>
          <w:sz w:val="24"/>
          <w:szCs w:val="24"/>
        </w:rPr>
        <w:t xml:space="preserve">The </w:t>
      </w:r>
      <w:r w:rsidR="00634517" w:rsidRPr="00961BAC">
        <w:rPr>
          <w:sz w:val="24"/>
          <w:szCs w:val="24"/>
        </w:rPr>
        <w:t xml:space="preserve">monthly </w:t>
      </w:r>
      <w:r w:rsidR="00A86CA1" w:rsidRPr="00961BAC">
        <w:rPr>
          <w:sz w:val="24"/>
          <w:szCs w:val="24"/>
        </w:rPr>
        <w:t>societal cost</w:t>
      </w:r>
      <w:r w:rsidR="00B9750C" w:rsidRPr="00961BAC">
        <w:rPr>
          <w:sz w:val="24"/>
          <w:szCs w:val="24"/>
        </w:rPr>
        <w:t xml:space="preserve"> per patient</w:t>
      </w:r>
      <w:r w:rsidR="00A86CA1" w:rsidRPr="00961BAC">
        <w:rPr>
          <w:sz w:val="24"/>
          <w:szCs w:val="24"/>
        </w:rPr>
        <w:t xml:space="preserve"> related to </w:t>
      </w:r>
      <w:r w:rsidR="00BB6C37" w:rsidRPr="00961BAC">
        <w:rPr>
          <w:sz w:val="24"/>
          <w:szCs w:val="24"/>
        </w:rPr>
        <w:t xml:space="preserve">long COVID at </w:t>
      </w:r>
      <w:r w:rsidR="006B7B54" w:rsidRPr="00961BAC">
        <w:rPr>
          <w:sz w:val="24"/>
          <w:szCs w:val="24"/>
        </w:rPr>
        <w:t>6</w:t>
      </w:r>
      <w:r w:rsidR="00BB6C37" w:rsidRPr="00961BAC">
        <w:rPr>
          <w:sz w:val="24"/>
          <w:szCs w:val="24"/>
        </w:rPr>
        <w:t xml:space="preserve"> months</w:t>
      </w:r>
      <w:r w:rsidR="00A86CA1" w:rsidRPr="00961BAC">
        <w:rPr>
          <w:sz w:val="24"/>
          <w:szCs w:val="24"/>
        </w:rPr>
        <w:t xml:space="preserve"> was £</w:t>
      </w:r>
      <w:r w:rsidR="00A137DA" w:rsidRPr="00961BAC">
        <w:rPr>
          <w:sz w:val="24"/>
          <w:szCs w:val="24"/>
        </w:rPr>
        <w:t>931</w:t>
      </w:r>
      <w:r w:rsidR="00A86CA1" w:rsidRPr="00961BAC">
        <w:rPr>
          <w:sz w:val="24"/>
          <w:szCs w:val="24"/>
        </w:rPr>
        <w:t>,</w:t>
      </w:r>
      <w:r w:rsidR="00497524" w:rsidRPr="00961BAC">
        <w:rPr>
          <w:sz w:val="24"/>
          <w:szCs w:val="24"/>
        </w:rPr>
        <w:t xml:space="preserve"> mostly driven by the costs associated with </w:t>
      </w:r>
      <w:r w:rsidR="00B66553" w:rsidRPr="00961BAC">
        <w:rPr>
          <w:sz w:val="24"/>
          <w:szCs w:val="24"/>
        </w:rPr>
        <w:t>working days lost</w:t>
      </w:r>
      <w:r w:rsidR="00497524" w:rsidRPr="00961BAC">
        <w:rPr>
          <w:sz w:val="24"/>
          <w:szCs w:val="24"/>
        </w:rPr>
        <w:t xml:space="preserve">. </w:t>
      </w:r>
    </w:p>
    <w:p w14:paraId="0E009104" w14:textId="77777777" w:rsidR="008979BD" w:rsidRPr="00961BAC" w:rsidRDefault="00807207" w:rsidP="008472E9">
      <w:pPr>
        <w:jc w:val="both"/>
        <w:rPr>
          <w:b/>
          <w:bCs/>
          <w:sz w:val="24"/>
          <w:szCs w:val="24"/>
        </w:rPr>
      </w:pPr>
      <w:r w:rsidRPr="00961BAC">
        <w:rPr>
          <w:b/>
          <w:bCs/>
          <w:sz w:val="24"/>
          <w:szCs w:val="24"/>
        </w:rPr>
        <w:t>Conclusions</w:t>
      </w:r>
    </w:p>
    <w:p w14:paraId="1BD8AE0C" w14:textId="1080FCC1" w:rsidR="008B0BB4" w:rsidRPr="00961BAC" w:rsidRDefault="00AB3B61" w:rsidP="008472E9">
      <w:pPr>
        <w:jc w:val="both"/>
        <w:rPr>
          <w:sz w:val="24"/>
          <w:szCs w:val="24"/>
          <w:u w:val="single"/>
        </w:rPr>
      </w:pPr>
      <w:r w:rsidRPr="00961BAC">
        <w:rPr>
          <w:sz w:val="24"/>
          <w:szCs w:val="24"/>
        </w:rPr>
        <w:t xml:space="preserve">Individuals referred to long COVID clinics in </w:t>
      </w:r>
      <w:r w:rsidR="005314A7" w:rsidRPr="00961BAC">
        <w:rPr>
          <w:sz w:val="24"/>
          <w:szCs w:val="24"/>
        </w:rPr>
        <w:t>the UK</w:t>
      </w:r>
      <w:r w:rsidRPr="00961BAC">
        <w:rPr>
          <w:sz w:val="24"/>
          <w:szCs w:val="24"/>
        </w:rPr>
        <w:t xml:space="preserve"> reported small improvements in functional limitations, fatigue</w:t>
      </w:r>
      <w:r w:rsidR="007D6821" w:rsidRPr="00961BAC">
        <w:rPr>
          <w:sz w:val="24"/>
          <w:szCs w:val="24"/>
        </w:rPr>
        <w:t xml:space="preserve">, </w:t>
      </w:r>
      <w:r w:rsidRPr="00961BAC">
        <w:rPr>
          <w:sz w:val="24"/>
          <w:szCs w:val="24"/>
        </w:rPr>
        <w:t xml:space="preserve">HRQL </w:t>
      </w:r>
      <w:r w:rsidR="007D6821" w:rsidRPr="00961BAC">
        <w:rPr>
          <w:sz w:val="24"/>
          <w:szCs w:val="24"/>
        </w:rPr>
        <w:t xml:space="preserve">and ability to work </w:t>
      </w:r>
      <w:r w:rsidR="0050165D" w:rsidRPr="00961BAC">
        <w:rPr>
          <w:sz w:val="24"/>
          <w:szCs w:val="24"/>
        </w:rPr>
        <w:t>within</w:t>
      </w:r>
      <w:r w:rsidRPr="00961BAC">
        <w:rPr>
          <w:sz w:val="24"/>
          <w:szCs w:val="24"/>
        </w:rPr>
        <w:t xml:space="preserve"> 6 months </w:t>
      </w:r>
      <w:r w:rsidR="005314A7" w:rsidRPr="00961BAC">
        <w:rPr>
          <w:sz w:val="24"/>
          <w:szCs w:val="24"/>
        </w:rPr>
        <w:t>of registering</w:t>
      </w:r>
      <w:r w:rsidRPr="00961BAC">
        <w:rPr>
          <w:sz w:val="24"/>
          <w:szCs w:val="24"/>
        </w:rPr>
        <w:t xml:space="preserve"> in the LWCR</w:t>
      </w:r>
      <w:r w:rsidR="005314A7" w:rsidRPr="00961BAC">
        <w:rPr>
          <w:sz w:val="24"/>
          <w:szCs w:val="24"/>
        </w:rPr>
        <w:t xml:space="preserve"> programme</w:t>
      </w:r>
      <w:r w:rsidR="007D6821" w:rsidRPr="00961BAC">
        <w:rPr>
          <w:sz w:val="24"/>
          <w:szCs w:val="24"/>
        </w:rPr>
        <w:t>.</w:t>
      </w:r>
    </w:p>
    <w:p w14:paraId="3E156216" w14:textId="77777777" w:rsidR="008B0BB4" w:rsidRPr="00961BAC" w:rsidRDefault="008B0BB4" w:rsidP="008472E9">
      <w:pPr>
        <w:jc w:val="both"/>
        <w:rPr>
          <w:sz w:val="24"/>
          <w:szCs w:val="24"/>
          <w:u w:val="single"/>
        </w:rPr>
      </w:pPr>
    </w:p>
    <w:p w14:paraId="21202677" w14:textId="77777777" w:rsidR="00F1704B" w:rsidRPr="00961BAC" w:rsidRDefault="00F1704B" w:rsidP="008472E9">
      <w:pPr>
        <w:jc w:val="both"/>
        <w:rPr>
          <w:sz w:val="24"/>
          <w:szCs w:val="24"/>
          <w:u w:val="single"/>
        </w:rPr>
      </w:pPr>
    </w:p>
    <w:p w14:paraId="22E9544F" w14:textId="0E747CB8" w:rsidR="00117F99" w:rsidRPr="00961BAC" w:rsidRDefault="00604D72" w:rsidP="008472E9">
      <w:pPr>
        <w:jc w:val="both"/>
        <w:rPr>
          <w:sz w:val="24"/>
          <w:szCs w:val="24"/>
        </w:rPr>
      </w:pPr>
      <w:r w:rsidRPr="00961BAC">
        <w:rPr>
          <w:b/>
          <w:bCs/>
          <w:sz w:val="24"/>
          <w:szCs w:val="24"/>
        </w:rPr>
        <w:lastRenderedPageBreak/>
        <w:t>Strengths and limitations of the study</w:t>
      </w:r>
    </w:p>
    <w:p w14:paraId="3A9E1653" w14:textId="4FB9D2B1" w:rsidR="00F517AA" w:rsidRPr="00961BAC" w:rsidRDefault="00D96638" w:rsidP="005E2521">
      <w:pPr>
        <w:pStyle w:val="ListParagraph"/>
        <w:numPr>
          <w:ilvl w:val="0"/>
          <w:numId w:val="4"/>
        </w:numPr>
        <w:jc w:val="both"/>
        <w:rPr>
          <w:sz w:val="24"/>
          <w:szCs w:val="24"/>
        </w:rPr>
      </w:pPr>
      <w:r w:rsidRPr="00961BAC">
        <w:rPr>
          <w:sz w:val="24"/>
          <w:szCs w:val="24"/>
        </w:rPr>
        <w:t>Pr</w:t>
      </w:r>
      <w:r w:rsidR="00A8183A" w:rsidRPr="00961BAC">
        <w:rPr>
          <w:sz w:val="24"/>
          <w:szCs w:val="24"/>
        </w:rPr>
        <w:t>ospective, longitudinal follow-up of a large population</w:t>
      </w:r>
      <w:r w:rsidR="005E2521" w:rsidRPr="00961BAC">
        <w:rPr>
          <w:sz w:val="24"/>
          <w:szCs w:val="24"/>
        </w:rPr>
        <w:t xml:space="preserve"> </w:t>
      </w:r>
      <w:r w:rsidR="00A8183A" w:rsidRPr="00961BAC">
        <w:rPr>
          <w:sz w:val="24"/>
          <w:szCs w:val="24"/>
        </w:rPr>
        <w:t>of individuals with a confirmed long COVID diagnosis and</w:t>
      </w:r>
      <w:r w:rsidRPr="00961BAC">
        <w:rPr>
          <w:sz w:val="24"/>
          <w:szCs w:val="24"/>
        </w:rPr>
        <w:t xml:space="preserve"> </w:t>
      </w:r>
      <w:r w:rsidR="00A8183A" w:rsidRPr="00961BAC">
        <w:rPr>
          <w:sz w:val="24"/>
          <w:szCs w:val="24"/>
        </w:rPr>
        <w:t xml:space="preserve">real-time </w:t>
      </w:r>
      <w:r w:rsidR="00176224" w:rsidRPr="00961BAC">
        <w:rPr>
          <w:sz w:val="24"/>
          <w:szCs w:val="24"/>
        </w:rPr>
        <w:t xml:space="preserve">outcome </w:t>
      </w:r>
      <w:r w:rsidR="00A8183A" w:rsidRPr="00961BAC">
        <w:rPr>
          <w:sz w:val="24"/>
          <w:szCs w:val="24"/>
        </w:rPr>
        <w:t>data collection</w:t>
      </w:r>
      <w:r w:rsidR="007A71D8" w:rsidRPr="00961BAC">
        <w:rPr>
          <w:sz w:val="24"/>
          <w:szCs w:val="24"/>
        </w:rPr>
        <w:t>.</w:t>
      </w:r>
    </w:p>
    <w:p w14:paraId="5C08F1D5" w14:textId="0FB81AA8" w:rsidR="005E2521" w:rsidRPr="00961BAC" w:rsidRDefault="00221073" w:rsidP="005E2521">
      <w:pPr>
        <w:pStyle w:val="ListParagraph"/>
        <w:numPr>
          <w:ilvl w:val="0"/>
          <w:numId w:val="4"/>
        </w:numPr>
        <w:jc w:val="both"/>
        <w:rPr>
          <w:sz w:val="24"/>
          <w:szCs w:val="24"/>
        </w:rPr>
      </w:pPr>
      <w:r w:rsidRPr="00961BAC">
        <w:rPr>
          <w:sz w:val="24"/>
          <w:szCs w:val="24"/>
        </w:rPr>
        <w:t>S</w:t>
      </w:r>
      <w:r w:rsidR="005E2521" w:rsidRPr="00961BAC">
        <w:rPr>
          <w:sz w:val="24"/>
          <w:szCs w:val="24"/>
        </w:rPr>
        <w:t>ample includes individuals referred to 35 long COVID clinics</w:t>
      </w:r>
      <w:r w:rsidR="0031068E" w:rsidRPr="00961BAC">
        <w:rPr>
          <w:sz w:val="24"/>
          <w:szCs w:val="24"/>
        </w:rPr>
        <w:t>,</w:t>
      </w:r>
      <w:r w:rsidR="005E2521" w:rsidRPr="00961BAC">
        <w:rPr>
          <w:sz w:val="24"/>
          <w:szCs w:val="24"/>
        </w:rPr>
        <w:t xml:space="preserve"> </w:t>
      </w:r>
      <w:r w:rsidR="0031068E" w:rsidRPr="00961BAC">
        <w:rPr>
          <w:sz w:val="24"/>
          <w:szCs w:val="24"/>
        </w:rPr>
        <w:t xml:space="preserve">geographically spread across the </w:t>
      </w:r>
      <w:r w:rsidR="005E2521" w:rsidRPr="00961BAC">
        <w:rPr>
          <w:sz w:val="24"/>
          <w:szCs w:val="24"/>
        </w:rPr>
        <w:t xml:space="preserve">UK, </w:t>
      </w:r>
      <w:r w:rsidR="0031068E" w:rsidRPr="00961BAC">
        <w:rPr>
          <w:sz w:val="24"/>
          <w:szCs w:val="24"/>
        </w:rPr>
        <w:t>enhancing the generalisability of the results</w:t>
      </w:r>
      <w:r w:rsidR="007A71D8" w:rsidRPr="00961BAC">
        <w:rPr>
          <w:sz w:val="24"/>
          <w:szCs w:val="24"/>
        </w:rPr>
        <w:t>.</w:t>
      </w:r>
    </w:p>
    <w:p w14:paraId="0B1726B5" w14:textId="157CDEC1" w:rsidR="005E2521" w:rsidRPr="00961BAC" w:rsidRDefault="00AD5840" w:rsidP="00885DB7">
      <w:pPr>
        <w:pStyle w:val="ListParagraph"/>
        <w:numPr>
          <w:ilvl w:val="0"/>
          <w:numId w:val="4"/>
        </w:numPr>
        <w:jc w:val="both"/>
        <w:rPr>
          <w:sz w:val="24"/>
          <w:szCs w:val="24"/>
        </w:rPr>
      </w:pPr>
      <w:r w:rsidRPr="00961BAC">
        <w:rPr>
          <w:sz w:val="24"/>
          <w:szCs w:val="24"/>
        </w:rPr>
        <w:t>Th</w:t>
      </w:r>
      <w:r w:rsidR="00885DB7" w:rsidRPr="00961BAC">
        <w:rPr>
          <w:sz w:val="24"/>
          <w:szCs w:val="24"/>
        </w:rPr>
        <w:t>e use of generic, validated measures</w:t>
      </w:r>
      <w:r w:rsidR="00BC6092" w:rsidRPr="00961BAC">
        <w:rPr>
          <w:sz w:val="24"/>
          <w:szCs w:val="24"/>
        </w:rPr>
        <w:t xml:space="preserve"> </w:t>
      </w:r>
      <w:r w:rsidR="00885DB7" w:rsidRPr="00961BAC">
        <w:rPr>
          <w:sz w:val="24"/>
          <w:szCs w:val="24"/>
        </w:rPr>
        <w:t>facilitates the interpretation of the long COVID burden compared with other diseases.</w:t>
      </w:r>
    </w:p>
    <w:p w14:paraId="73C66772" w14:textId="59F9AD0E" w:rsidR="00EC0F93" w:rsidRPr="00961BAC" w:rsidRDefault="009A6A2B" w:rsidP="00EC0F93">
      <w:pPr>
        <w:pStyle w:val="ListParagraph"/>
        <w:numPr>
          <w:ilvl w:val="0"/>
          <w:numId w:val="4"/>
        </w:numPr>
        <w:jc w:val="both"/>
        <w:rPr>
          <w:sz w:val="24"/>
          <w:szCs w:val="24"/>
        </w:rPr>
      </w:pPr>
      <w:r w:rsidRPr="00961BAC">
        <w:rPr>
          <w:sz w:val="24"/>
          <w:szCs w:val="24"/>
        </w:rPr>
        <w:t>All analyses were based on complete cases</w:t>
      </w:r>
      <w:r w:rsidR="008F7211" w:rsidRPr="00961BAC">
        <w:rPr>
          <w:sz w:val="24"/>
          <w:szCs w:val="24"/>
        </w:rPr>
        <w:t>; we acknowledge that</w:t>
      </w:r>
      <w:r w:rsidR="007A71D8" w:rsidRPr="00961BAC">
        <w:rPr>
          <w:sz w:val="24"/>
          <w:szCs w:val="24"/>
        </w:rPr>
        <w:t xml:space="preserve"> </w:t>
      </w:r>
      <w:r w:rsidR="00E8155F" w:rsidRPr="00961BAC">
        <w:rPr>
          <w:sz w:val="24"/>
          <w:szCs w:val="24"/>
        </w:rPr>
        <w:t xml:space="preserve">individual </w:t>
      </w:r>
      <w:r w:rsidR="00DD5053" w:rsidRPr="00961BAC">
        <w:rPr>
          <w:sz w:val="24"/>
          <w:szCs w:val="24"/>
        </w:rPr>
        <w:t>drop</w:t>
      </w:r>
      <w:r w:rsidR="00E8155F" w:rsidRPr="00961BAC">
        <w:rPr>
          <w:sz w:val="24"/>
          <w:szCs w:val="24"/>
        </w:rPr>
        <w:t>out</w:t>
      </w:r>
      <w:r w:rsidR="00314B5F" w:rsidRPr="00961BAC">
        <w:rPr>
          <w:sz w:val="24"/>
          <w:szCs w:val="24"/>
        </w:rPr>
        <w:t xml:space="preserve"> </w:t>
      </w:r>
      <w:r w:rsidR="001C77D8" w:rsidRPr="00961BAC">
        <w:rPr>
          <w:sz w:val="24"/>
          <w:szCs w:val="24"/>
        </w:rPr>
        <w:t>may have introduced bias.</w:t>
      </w:r>
      <w:r w:rsidR="00EC0F93" w:rsidRPr="00961BAC">
        <w:t xml:space="preserve"> </w:t>
      </w:r>
    </w:p>
    <w:p w14:paraId="1A57F894" w14:textId="2212B1A8" w:rsidR="00EC0F93" w:rsidRPr="00961BAC" w:rsidRDefault="002E4A93" w:rsidP="00EC0F93">
      <w:pPr>
        <w:pStyle w:val="ListParagraph"/>
        <w:numPr>
          <w:ilvl w:val="0"/>
          <w:numId w:val="4"/>
        </w:numPr>
        <w:jc w:val="both"/>
        <w:rPr>
          <w:sz w:val="24"/>
          <w:szCs w:val="24"/>
        </w:rPr>
      </w:pPr>
      <w:r w:rsidRPr="00961BAC">
        <w:rPr>
          <w:sz w:val="24"/>
          <w:szCs w:val="24"/>
        </w:rPr>
        <w:t>S</w:t>
      </w:r>
      <w:r w:rsidR="00EC0F93" w:rsidRPr="00961BAC">
        <w:rPr>
          <w:sz w:val="24"/>
          <w:szCs w:val="24"/>
        </w:rPr>
        <w:t xml:space="preserve">eparate trajectory models for individuals with different follow up periods </w:t>
      </w:r>
      <w:r w:rsidRPr="00961BAC">
        <w:rPr>
          <w:sz w:val="24"/>
          <w:szCs w:val="24"/>
        </w:rPr>
        <w:t xml:space="preserve">were conducted </w:t>
      </w:r>
      <w:r w:rsidR="00EC0F93" w:rsidRPr="00961BAC">
        <w:rPr>
          <w:sz w:val="24"/>
          <w:szCs w:val="24"/>
        </w:rPr>
        <w:t xml:space="preserve">to minimise </w:t>
      </w:r>
      <w:r w:rsidR="00F65096" w:rsidRPr="00961BAC">
        <w:rPr>
          <w:sz w:val="24"/>
          <w:szCs w:val="24"/>
        </w:rPr>
        <w:t xml:space="preserve">biases due to </w:t>
      </w:r>
      <w:r w:rsidR="00DD5053" w:rsidRPr="00961BAC">
        <w:rPr>
          <w:sz w:val="24"/>
          <w:szCs w:val="24"/>
        </w:rPr>
        <w:t>dropout</w:t>
      </w:r>
      <w:r w:rsidR="00221073" w:rsidRPr="00961BAC">
        <w:rPr>
          <w:sz w:val="24"/>
          <w:szCs w:val="24"/>
        </w:rPr>
        <w:t>.</w:t>
      </w:r>
    </w:p>
    <w:p w14:paraId="29DFB850" w14:textId="3B55AB81" w:rsidR="00807207" w:rsidRPr="00961BAC" w:rsidRDefault="00807207" w:rsidP="00165370">
      <w:pPr>
        <w:jc w:val="both"/>
        <w:rPr>
          <w:sz w:val="24"/>
          <w:szCs w:val="24"/>
        </w:rPr>
      </w:pPr>
    </w:p>
    <w:p w14:paraId="760B6A80" w14:textId="3FC0573D" w:rsidR="00807207" w:rsidRPr="00961BAC" w:rsidRDefault="000F4ECC" w:rsidP="008472E9">
      <w:pPr>
        <w:jc w:val="both"/>
        <w:rPr>
          <w:b/>
          <w:bCs/>
          <w:sz w:val="24"/>
          <w:szCs w:val="24"/>
        </w:rPr>
      </w:pPr>
      <w:r w:rsidRPr="00961BAC">
        <w:rPr>
          <w:b/>
          <w:bCs/>
          <w:sz w:val="24"/>
          <w:szCs w:val="24"/>
        </w:rPr>
        <w:t>INTRODUCTION</w:t>
      </w:r>
    </w:p>
    <w:p w14:paraId="76AA1EB2" w14:textId="78A47133" w:rsidR="00E64A8C" w:rsidRPr="00961BAC" w:rsidRDefault="00821630" w:rsidP="008472E9">
      <w:pPr>
        <w:jc w:val="both"/>
        <w:rPr>
          <w:sz w:val="24"/>
          <w:szCs w:val="24"/>
        </w:rPr>
      </w:pPr>
      <w:r w:rsidRPr="00961BAC">
        <w:rPr>
          <w:sz w:val="24"/>
          <w:szCs w:val="24"/>
        </w:rPr>
        <w:t>Long COVID</w:t>
      </w:r>
      <w:r w:rsidR="0001718D" w:rsidRPr="00961BAC">
        <w:rPr>
          <w:sz w:val="24"/>
          <w:szCs w:val="24"/>
        </w:rPr>
        <w:t>,</w:t>
      </w:r>
      <w:r w:rsidR="00785D5E" w:rsidRPr="00961BAC">
        <w:rPr>
          <w:sz w:val="24"/>
          <w:szCs w:val="24"/>
        </w:rPr>
        <w:t xml:space="preserve"> </w:t>
      </w:r>
      <w:r w:rsidR="0001718D" w:rsidRPr="00961BAC">
        <w:rPr>
          <w:sz w:val="24"/>
          <w:szCs w:val="24"/>
        </w:rPr>
        <w:t xml:space="preserve">as defined by </w:t>
      </w:r>
      <w:r w:rsidR="005002B6" w:rsidRPr="00961BAC">
        <w:rPr>
          <w:sz w:val="24"/>
          <w:szCs w:val="24"/>
        </w:rPr>
        <w:t>the National Institute of Health and Care Excellence</w:t>
      </w:r>
      <w:r w:rsidR="00617846" w:rsidRPr="00961BAC">
        <w:rPr>
          <w:sz w:val="24"/>
          <w:szCs w:val="24"/>
        </w:rPr>
        <w:t xml:space="preserve"> (NICE)</w:t>
      </w:r>
      <w:r w:rsidR="00BD099C" w:rsidRPr="00961BAC">
        <w:rPr>
          <w:sz w:val="24"/>
          <w:szCs w:val="24"/>
        </w:rPr>
        <w:t>,</w:t>
      </w:r>
      <w:r w:rsidR="008D3BB5" w:rsidRPr="00961BAC">
        <w:rPr>
          <w:sz w:val="24"/>
          <w:szCs w:val="24"/>
        </w:rPr>
        <w:t xml:space="preserve"> refers</w:t>
      </w:r>
      <w:r w:rsidR="00AB1375" w:rsidRPr="00961BAC">
        <w:rPr>
          <w:sz w:val="24"/>
          <w:szCs w:val="24"/>
        </w:rPr>
        <w:t xml:space="preserve"> to</w:t>
      </w:r>
      <w:r w:rsidR="008D3BB5" w:rsidRPr="00961BAC">
        <w:rPr>
          <w:sz w:val="24"/>
          <w:szCs w:val="24"/>
        </w:rPr>
        <w:t xml:space="preserve"> </w:t>
      </w:r>
      <w:r w:rsidR="005002B6" w:rsidRPr="00961BAC">
        <w:rPr>
          <w:sz w:val="24"/>
          <w:szCs w:val="24"/>
        </w:rPr>
        <w:t>the</w:t>
      </w:r>
      <w:r w:rsidR="0001718D" w:rsidRPr="00961BAC">
        <w:rPr>
          <w:sz w:val="24"/>
          <w:szCs w:val="24"/>
        </w:rPr>
        <w:t xml:space="preserve"> persistence of s</w:t>
      </w:r>
      <w:r w:rsidR="008D3BB5" w:rsidRPr="00961BAC">
        <w:rPr>
          <w:sz w:val="24"/>
          <w:szCs w:val="24"/>
        </w:rPr>
        <w:t>ymptoms</w:t>
      </w:r>
      <w:r w:rsidR="003717CA" w:rsidRPr="00961BAC">
        <w:rPr>
          <w:sz w:val="24"/>
          <w:szCs w:val="24"/>
        </w:rPr>
        <w:t xml:space="preserve"> </w:t>
      </w:r>
      <w:r w:rsidR="00502FBB" w:rsidRPr="00961BAC">
        <w:rPr>
          <w:sz w:val="24"/>
          <w:szCs w:val="24"/>
        </w:rPr>
        <w:t>lasting</w:t>
      </w:r>
      <w:r w:rsidR="00BD099C" w:rsidRPr="00961BAC">
        <w:rPr>
          <w:sz w:val="24"/>
          <w:szCs w:val="24"/>
        </w:rPr>
        <w:t xml:space="preserve"> </w:t>
      </w:r>
      <w:r w:rsidR="008D3BB5" w:rsidRPr="00961BAC">
        <w:rPr>
          <w:sz w:val="24"/>
          <w:szCs w:val="24"/>
        </w:rPr>
        <w:t xml:space="preserve">for </w:t>
      </w:r>
      <w:r w:rsidR="00BD099C" w:rsidRPr="00961BAC">
        <w:rPr>
          <w:sz w:val="24"/>
          <w:szCs w:val="24"/>
        </w:rPr>
        <w:t xml:space="preserve">at least </w:t>
      </w:r>
      <w:r w:rsidR="008D3BB5" w:rsidRPr="00961BAC">
        <w:rPr>
          <w:sz w:val="24"/>
          <w:szCs w:val="24"/>
        </w:rPr>
        <w:t>12 weeks</w:t>
      </w:r>
      <w:r w:rsidR="00BD099C" w:rsidRPr="00961BAC">
        <w:rPr>
          <w:sz w:val="24"/>
          <w:szCs w:val="24"/>
        </w:rPr>
        <w:t xml:space="preserve"> </w:t>
      </w:r>
      <w:r w:rsidR="0001718D" w:rsidRPr="00961BAC">
        <w:rPr>
          <w:sz w:val="24"/>
          <w:szCs w:val="24"/>
        </w:rPr>
        <w:t>following</w:t>
      </w:r>
      <w:r w:rsidR="00BD099C" w:rsidRPr="00961BAC">
        <w:rPr>
          <w:sz w:val="24"/>
          <w:szCs w:val="24"/>
        </w:rPr>
        <w:t xml:space="preserve"> COVID-19</w:t>
      </w:r>
      <w:r w:rsidR="0001718D" w:rsidRPr="00961BAC">
        <w:rPr>
          <w:sz w:val="24"/>
          <w:szCs w:val="24"/>
        </w:rPr>
        <w:t xml:space="preserve"> infection</w:t>
      </w:r>
      <w:r w:rsidR="00A065F0" w:rsidRPr="00961BAC">
        <w:rPr>
          <w:sz w:val="24"/>
          <w:szCs w:val="24"/>
        </w:rPr>
        <w:t xml:space="preserve"> </w:t>
      </w:r>
      <w:r w:rsidR="00A065F0" w:rsidRPr="00961BAC">
        <w:rPr>
          <w:sz w:val="24"/>
          <w:szCs w:val="24"/>
        </w:rPr>
        <w:fldChar w:fldCharType="begin"/>
      </w:r>
      <w:r w:rsidR="00FD4C2C" w:rsidRPr="00961BAC">
        <w:rPr>
          <w:sz w:val="24"/>
          <w:szCs w:val="24"/>
        </w:rPr>
        <w:instrText xml:space="preserve"> ADDIN EN.CITE &lt;EndNote&gt;&lt;Cite&gt;&lt;Author&gt;National Institute for Health and Care Excellence&lt;/Author&gt;&lt;Year&gt;2024&lt;/Year&gt;&lt;RecNum&gt;1&lt;/RecNum&gt;&lt;DisplayText&gt;&lt;style face="superscript"&gt;1&lt;/style&gt;&lt;/DisplayText&gt;&lt;record&gt;&lt;rec-number&gt;1&lt;/rec-number&gt;&lt;foreign-keys&gt;&lt;key app="EN" db-id="zfz9pe2xqf0rxiee9sbptsdssxaev52swxxa" timestamp="1709566938"&gt;1&lt;/key&gt;&lt;/foreign-keys&gt;&lt;ref-type name="Web Page"&gt;12&lt;/ref-type&gt;&lt;contributors&gt;&lt;authors&gt;&lt;author&gt;National Institute for Health and Care Excellence,&lt;/author&gt;&lt;/authors&gt;&lt;/contributors&gt;&lt;titles&gt;&lt;title&gt;COVID-19 rapid guideline: managing the long-term effects of COVID-19&lt;/title&gt;&lt;/titles&gt;&lt;dates&gt;&lt;year&gt;2024&lt;/year&gt;&lt;/dates&gt;&lt;urls&gt;&lt;related-urls&gt;&lt;url&gt;https://www.nice.org.uk/guidance/ng188&lt;/url&gt;&lt;/related-urls&gt;&lt;/urls&gt;&lt;/record&gt;&lt;/Cite&gt;&lt;/EndNote&gt;</w:instrText>
      </w:r>
      <w:r w:rsidR="00A065F0" w:rsidRPr="00961BAC">
        <w:rPr>
          <w:sz w:val="24"/>
          <w:szCs w:val="24"/>
        </w:rPr>
        <w:fldChar w:fldCharType="separate"/>
      </w:r>
      <w:r w:rsidR="00FD4C2C" w:rsidRPr="00961BAC">
        <w:rPr>
          <w:noProof/>
          <w:sz w:val="24"/>
          <w:szCs w:val="24"/>
          <w:vertAlign w:val="superscript"/>
        </w:rPr>
        <w:t>1</w:t>
      </w:r>
      <w:r w:rsidR="00A065F0" w:rsidRPr="00961BAC">
        <w:rPr>
          <w:sz w:val="24"/>
          <w:szCs w:val="24"/>
        </w:rPr>
        <w:fldChar w:fldCharType="end"/>
      </w:r>
      <w:r w:rsidR="008D3BB5" w:rsidRPr="00961BAC">
        <w:rPr>
          <w:sz w:val="24"/>
          <w:szCs w:val="24"/>
        </w:rPr>
        <w:t>. I</w:t>
      </w:r>
      <w:r w:rsidR="00D07268" w:rsidRPr="00961BAC">
        <w:rPr>
          <w:sz w:val="24"/>
          <w:szCs w:val="24"/>
        </w:rPr>
        <w:t xml:space="preserve">t has been </w:t>
      </w:r>
      <w:r w:rsidR="00FE000C" w:rsidRPr="00961BAC">
        <w:rPr>
          <w:sz w:val="24"/>
          <w:szCs w:val="24"/>
        </w:rPr>
        <w:t>suggested</w:t>
      </w:r>
      <w:r w:rsidR="00D07268" w:rsidRPr="00961BAC">
        <w:rPr>
          <w:sz w:val="24"/>
          <w:szCs w:val="24"/>
        </w:rPr>
        <w:t xml:space="preserve"> </w:t>
      </w:r>
      <w:r w:rsidR="008D3BB5" w:rsidRPr="00961BAC">
        <w:rPr>
          <w:sz w:val="24"/>
          <w:szCs w:val="24"/>
        </w:rPr>
        <w:t xml:space="preserve">that </w:t>
      </w:r>
      <w:r w:rsidR="00D07268" w:rsidRPr="00961BAC">
        <w:rPr>
          <w:sz w:val="24"/>
          <w:szCs w:val="24"/>
        </w:rPr>
        <w:t xml:space="preserve">at least </w:t>
      </w:r>
      <w:r w:rsidR="00E639F7" w:rsidRPr="00961BAC">
        <w:rPr>
          <w:sz w:val="24"/>
          <w:szCs w:val="24"/>
        </w:rPr>
        <w:t>1 in 10</w:t>
      </w:r>
      <w:r w:rsidR="00D07268" w:rsidRPr="00961BAC">
        <w:rPr>
          <w:sz w:val="24"/>
          <w:szCs w:val="24"/>
        </w:rPr>
        <w:t xml:space="preserve"> patients who had COVID-19 experience </w:t>
      </w:r>
      <w:r w:rsidR="00E639F7" w:rsidRPr="00961BAC">
        <w:rPr>
          <w:sz w:val="24"/>
          <w:szCs w:val="24"/>
        </w:rPr>
        <w:t>long COVID</w:t>
      </w:r>
      <w:r w:rsidR="00FE000C" w:rsidRPr="00961BAC">
        <w:rPr>
          <w:sz w:val="24"/>
          <w:szCs w:val="24"/>
        </w:rPr>
        <w:t xml:space="preserve"> symptoms</w:t>
      </w:r>
      <w:r w:rsidR="00BD099C" w:rsidRPr="00961BAC">
        <w:rPr>
          <w:sz w:val="24"/>
          <w:szCs w:val="24"/>
        </w:rPr>
        <w:t xml:space="preserve"> </w:t>
      </w:r>
      <w:r w:rsidR="00BD099C" w:rsidRPr="00961BAC">
        <w:rPr>
          <w:sz w:val="24"/>
          <w:szCs w:val="24"/>
        </w:rPr>
        <w:fldChar w:fldCharType="begin"/>
      </w:r>
      <w:r w:rsidR="00FD4C2C" w:rsidRPr="00961BAC">
        <w:rPr>
          <w:sz w:val="24"/>
          <w:szCs w:val="24"/>
        </w:rPr>
        <w:instrText xml:space="preserve"> ADDIN EN.CITE &lt;EndNote&gt;&lt;Cite&gt;&lt;Author&gt;Rajan&lt;/Author&gt;&lt;Year&gt;2021&lt;/Year&gt;&lt;RecNum&gt;2&lt;/RecNum&gt;&lt;DisplayText&gt;&lt;style face="superscript"&gt;2&lt;/style&gt;&lt;/DisplayText&gt;&lt;record&gt;&lt;rec-number&gt;2&lt;/rec-number&gt;&lt;foreign-keys&gt;&lt;key app="EN" db-id="zfz9pe2xqf0rxiee9sbptsdssxaev52swxxa" timestamp="1709567337"&gt;2&lt;/key&gt;&lt;/foreign-keys&gt;&lt;ref-type name="Journal Article"&gt;17&lt;/ref-type&gt;&lt;contributors&gt;&lt;authors&gt;&lt;author&gt;Rajan, Selina&lt;/author&gt;&lt;author&gt;Khunti, Kamlesh&lt;/author&gt;&lt;author&gt;Alwan, Nisreen&lt;/author&gt;&lt;author&gt;Steves, Claire&lt;/author&gt;&lt;author&gt;Greenhalgh, Trish&lt;/author&gt;&lt;author&gt;MacDermott, Nathalie&lt;/author&gt;&lt;author&gt;Sagan, Anna&lt;/author&gt;&lt;author&gt;McKee, Martin&lt;/author&gt;&lt;/authors&gt;&lt;/contributors&gt;&lt;titles&gt;&lt;title&gt;In the wake of the pandemic&lt;/title&gt;&lt;secondary-title&gt;Preparing for Long COVID Policy Brief&lt;/secondary-title&gt;&lt;/titles&gt;&lt;periodical&gt;&lt;full-title&gt;Preparing for Long COVID Policy Brief&lt;/full-title&gt;&lt;/periodical&gt;&lt;volume&gt;39&lt;/volume&gt;&lt;dates&gt;&lt;year&gt;2021&lt;/year&gt;&lt;/dates&gt;&lt;urls&gt;&lt;/urls&gt;&lt;/record&gt;&lt;/Cite&gt;&lt;/EndNote&gt;</w:instrText>
      </w:r>
      <w:r w:rsidR="00BD099C" w:rsidRPr="00961BAC">
        <w:rPr>
          <w:sz w:val="24"/>
          <w:szCs w:val="24"/>
        </w:rPr>
        <w:fldChar w:fldCharType="separate"/>
      </w:r>
      <w:r w:rsidR="00FD4C2C" w:rsidRPr="00961BAC">
        <w:rPr>
          <w:noProof/>
          <w:sz w:val="24"/>
          <w:szCs w:val="24"/>
          <w:vertAlign w:val="superscript"/>
        </w:rPr>
        <w:t>2</w:t>
      </w:r>
      <w:r w:rsidR="00BD099C" w:rsidRPr="00961BAC">
        <w:rPr>
          <w:sz w:val="24"/>
          <w:szCs w:val="24"/>
        </w:rPr>
        <w:fldChar w:fldCharType="end"/>
      </w:r>
      <w:r w:rsidR="00D07268" w:rsidRPr="00961BAC">
        <w:rPr>
          <w:sz w:val="24"/>
          <w:szCs w:val="24"/>
        </w:rPr>
        <w:t>.</w:t>
      </w:r>
      <w:r w:rsidR="005002B6" w:rsidRPr="00961BAC">
        <w:rPr>
          <w:sz w:val="24"/>
          <w:szCs w:val="24"/>
        </w:rPr>
        <w:t xml:space="preserve"> </w:t>
      </w:r>
      <w:r w:rsidR="0001718D" w:rsidRPr="00961BAC">
        <w:rPr>
          <w:sz w:val="24"/>
          <w:szCs w:val="24"/>
        </w:rPr>
        <w:t>By</w:t>
      </w:r>
      <w:r w:rsidR="00785D5E" w:rsidRPr="00961BAC">
        <w:rPr>
          <w:sz w:val="24"/>
          <w:szCs w:val="24"/>
        </w:rPr>
        <w:t xml:space="preserve"> March 202</w:t>
      </w:r>
      <w:r w:rsidR="00E55E33" w:rsidRPr="00961BAC">
        <w:rPr>
          <w:sz w:val="24"/>
          <w:szCs w:val="24"/>
        </w:rPr>
        <w:t>4</w:t>
      </w:r>
      <w:r w:rsidR="00B0500D" w:rsidRPr="00961BAC">
        <w:rPr>
          <w:sz w:val="24"/>
          <w:szCs w:val="24"/>
        </w:rPr>
        <w:t xml:space="preserve"> (</w:t>
      </w:r>
      <w:r w:rsidR="00FB4540" w:rsidRPr="00961BAC">
        <w:rPr>
          <w:sz w:val="24"/>
          <w:szCs w:val="24"/>
        </w:rPr>
        <w:t>latest figures made available</w:t>
      </w:r>
      <w:r w:rsidR="00B0500D" w:rsidRPr="00961BAC">
        <w:rPr>
          <w:sz w:val="24"/>
          <w:szCs w:val="24"/>
        </w:rPr>
        <w:t xml:space="preserve"> by the Office for National Statistics)</w:t>
      </w:r>
      <w:r w:rsidR="00FB4540" w:rsidRPr="00961BAC">
        <w:rPr>
          <w:sz w:val="24"/>
          <w:szCs w:val="24"/>
        </w:rPr>
        <w:t>,</w:t>
      </w:r>
      <w:r w:rsidR="00B0500D" w:rsidRPr="00961BAC">
        <w:rPr>
          <w:sz w:val="24"/>
          <w:szCs w:val="24"/>
        </w:rPr>
        <w:t xml:space="preserve"> </w:t>
      </w:r>
      <w:r w:rsidR="00785D5E" w:rsidRPr="00961BAC">
        <w:rPr>
          <w:sz w:val="24"/>
          <w:szCs w:val="24"/>
        </w:rPr>
        <w:t>a</w:t>
      </w:r>
      <w:r w:rsidR="00F324F9" w:rsidRPr="00961BAC">
        <w:rPr>
          <w:sz w:val="24"/>
          <w:szCs w:val="24"/>
        </w:rPr>
        <w:t xml:space="preserve">n estimated </w:t>
      </w:r>
      <w:r w:rsidR="00E55E33" w:rsidRPr="00961BAC">
        <w:rPr>
          <w:sz w:val="24"/>
          <w:szCs w:val="24"/>
        </w:rPr>
        <w:t>2</w:t>
      </w:r>
      <w:r w:rsidR="00B0500D" w:rsidRPr="00961BAC">
        <w:rPr>
          <w:sz w:val="24"/>
          <w:szCs w:val="24"/>
        </w:rPr>
        <w:t xml:space="preserve"> </w:t>
      </w:r>
      <w:r w:rsidR="00F324F9" w:rsidRPr="00961BAC">
        <w:rPr>
          <w:sz w:val="24"/>
          <w:szCs w:val="24"/>
        </w:rPr>
        <w:t>million people</w:t>
      </w:r>
      <w:r w:rsidR="00785D5E" w:rsidRPr="00961BAC">
        <w:rPr>
          <w:sz w:val="24"/>
          <w:szCs w:val="24"/>
        </w:rPr>
        <w:t xml:space="preserve"> in the UK</w:t>
      </w:r>
      <w:r w:rsidR="00B0500D" w:rsidRPr="00961BAC">
        <w:rPr>
          <w:sz w:val="24"/>
          <w:szCs w:val="24"/>
        </w:rPr>
        <w:t xml:space="preserve"> (</w:t>
      </w:r>
      <w:r w:rsidR="00E55E33" w:rsidRPr="00961BAC">
        <w:rPr>
          <w:sz w:val="24"/>
          <w:szCs w:val="24"/>
        </w:rPr>
        <w:t>3.3</w:t>
      </w:r>
      <w:r w:rsidR="00785D5E" w:rsidRPr="00961BAC">
        <w:rPr>
          <w:sz w:val="24"/>
          <w:szCs w:val="24"/>
        </w:rPr>
        <w:t>% of the population</w:t>
      </w:r>
      <w:r w:rsidR="00B0500D" w:rsidRPr="00961BAC">
        <w:rPr>
          <w:sz w:val="24"/>
          <w:szCs w:val="24"/>
        </w:rPr>
        <w:t>)</w:t>
      </w:r>
      <w:r w:rsidR="00785D5E" w:rsidRPr="00961BAC">
        <w:rPr>
          <w:sz w:val="24"/>
          <w:szCs w:val="24"/>
        </w:rPr>
        <w:t>,</w:t>
      </w:r>
      <w:r w:rsidR="00F324F9" w:rsidRPr="00961BAC">
        <w:rPr>
          <w:sz w:val="24"/>
          <w:szCs w:val="24"/>
        </w:rPr>
        <w:t xml:space="preserve"> </w:t>
      </w:r>
      <w:r w:rsidR="00785D5E" w:rsidRPr="00961BAC">
        <w:rPr>
          <w:sz w:val="24"/>
          <w:szCs w:val="24"/>
        </w:rPr>
        <w:t>reported experiencing symptoms consistent with</w:t>
      </w:r>
      <w:r w:rsidR="00F324F9" w:rsidRPr="00961BAC">
        <w:rPr>
          <w:sz w:val="24"/>
          <w:szCs w:val="24"/>
        </w:rPr>
        <w:t xml:space="preserve"> </w:t>
      </w:r>
      <w:r w:rsidR="00B0500D" w:rsidRPr="00961BAC">
        <w:rPr>
          <w:sz w:val="24"/>
          <w:szCs w:val="24"/>
        </w:rPr>
        <w:t>long COVID</w:t>
      </w:r>
      <w:r w:rsidR="00F324F9" w:rsidRPr="00961BAC">
        <w:rPr>
          <w:sz w:val="24"/>
          <w:szCs w:val="24"/>
        </w:rPr>
        <w:t xml:space="preserve"> </w:t>
      </w:r>
      <w:r w:rsidR="00F324F9" w:rsidRPr="00961BAC">
        <w:rPr>
          <w:sz w:val="24"/>
          <w:szCs w:val="24"/>
        </w:rPr>
        <w:fldChar w:fldCharType="begin"/>
      </w:r>
      <w:r w:rsidR="00FD4C2C" w:rsidRPr="00961BAC">
        <w:rPr>
          <w:sz w:val="24"/>
          <w:szCs w:val="24"/>
        </w:rPr>
        <w:instrText xml:space="preserve"> ADDIN EN.CITE &lt;EndNote&gt;&lt;Cite&gt;&lt;Author&gt;Office for National Statistics&lt;/Author&gt;&lt;Year&gt;2023&lt;/Year&gt;&lt;RecNum&gt;3&lt;/RecNum&gt;&lt;DisplayText&gt;&lt;style face="superscript"&gt;3&lt;/style&gt;&lt;/DisplayText&gt;&lt;record&gt;&lt;rec-number&gt;3&lt;/rec-number&gt;&lt;foreign-keys&gt;&lt;key app="EN" db-id="zfz9pe2xqf0rxiee9sbptsdssxaev52swxxa" timestamp="1709571126"&gt;3&lt;/key&gt;&lt;/foreign-keys&gt;&lt;ref-type name="Web Page"&gt;12&lt;/ref-type&gt;&lt;contributors&gt;&lt;authors&gt;&lt;author&gt;Office for National Statistics,&lt;/author&gt;&lt;/authors&gt;&lt;/contributors&gt;&lt;titles&gt;&lt;title&gt;Prevalence of ongoing symptoms following coronavirus (COVID-19) infection in the UK: 30 March 2023&lt;/title&gt;&lt;/titles&gt;&lt;dates&gt;&lt;year&gt;2023&lt;/year&gt;&lt;/dates&gt;&lt;urls&gt;&lt;related-urls&gt;&lt;url&gt;https://www.ons.gov.uk/peoplepopulationandcommunity/healthandsocialcare/conditionsanddiseases/bulletins/prevalenceofongoingsymptomsfollowingcoronaviruscovid19infectionintheuk/30march2023&lt;/url&gt;&lt;/related-urls&gt;&lt;/urls&gt;&lt;/record&gt;&lt;/Cite&gt;&lt;/EndNote&gt;</w:instrText>
      </w:r>
      <w:r w:rsidR="00F324F9" w:rsidRPr="00961BAC">
        <w:rPr>
          <w:sz w:val="24"/>
          <w:szCs w:val="24"/>
        </w:rPr>
        <w:fldChar w:fldCharType="separate"/>
      </w:r>
      <w:r w:rsidR="00FD4C2C" w:rsidRPr="00961BAC">
        <w:rPr>
          <w:noProof/>
          <w:sz w:val="24"/>
          <w:szCs w:val="24"/>
          <w:vertAlign w:val="superscript"/>
        </w:rPr>
        <w:t>3</w:t>
      </w:r>
      <w:r w:rsidR="00F324F9" w:rsidRPr="00961BAC">
        <w:rPr>
          <w:sz w:val="24"/>
          <w:szCs w:val="24"/>
        </w:rPr>
        <w:fldChar w:fldCharType="end"/>
      </w:r>
      <w:r w:rsidR="00F324F9" w:rsidRPr="00961BAC">
        <w:rPr>
          <w:sz w:val="24"/>
          <w:szCs w:val="24"/>
        </w:rPr>
        <w:t>.</w:t>
      </w:r>
      <w:r w:rsidR="008E11E9" w:rsidRPr="00961BAC">
        <w:rPr>
          <w:sz w:val="24"/>
          <w:szCs w:val="24"/>
        </w:rPr>
        <w:t xml:space="preserve"> </w:t>
      </w:r>
      <w:r w:rsidR="00827AF6" w:rsidRPr="00961BAC">
        <w:rPr>
          <w:sz w:val="24"/>
          <w:szCs w:val="24"/>
        </w:rPr>
        <w:t>These symptoms ha</w:t>
      </w:r>
      <w:r w:rsidR="00624A35" w:rsidRPr="00961BAC">
        <w:rPr>
          <w:sz w:val="24"/>
          <w:szCs w:val="24"/>
        </w:rPr>
        <w:t>ve a particularly significant impact</w:t>
      </w:r>
      <w:r w:rsidR="00E64A8C" w:rsidRPr="00961BAC">
        <w:rPr>
          <w:sz w:val="24"/>
          <w:szCs w:val="24"/>
        </w:rPr>
        <w:t xml:space="preserve"> </w:t>
      </w:r>
      <w:r w:rsidR="00624A35" w:rsidRPr="00961BAC">
        <w:rPr>
          <w:sz w:val="24"/>
          <w:szCs w:val="24"/>
        </w:rPr>
        <w:t xml:space="preserve">on </w:t>
      </w:r>
      <w:r w:rsidR="00E64A8C" w:rsidRPr="00961BAC">
        <w:rPr>
          <w:sz w:val="24"/>
          <w:szCs w:val="24"/>
        </w:rPr>
        <w:t xml:space="preserve">the working-age population, </w:t>
      </w:r>
      <w:r w:rsidR="00624A35" w:rsidRPr="00961BAC">
        <w:rPr>
          <w:sz w:val="24"/>
          <w:szCs w:val="24"/>
        </w:rPr>
        <w:t>leading to both</w:t>
      </w:r>
      <w:r w:rsidR="00E64A8C" w:rsidRPr="00961BAC">
        <w:rPr>
          <w:sz w:val="24"/>
          <w:szCs w:val="24"/>
        </w:rPr>
        <w:t xml:space="preserve"> absenteeism (productivity loss due to time off work) and presenteeism (lower productivity due to illness while working) </w:t>
      </w:r>
      <w:r w:rsidR="004D596E" w:rsidRPr="00961BAC">
        <w:rPr>
          <w:sz w:val="24"/>
          <w:szCs w:val="24"/>
        </w:rPr>
        <w:fldChar w:fldCharType="begin"/>
      </w:r>
      <w:r w:rsidR="00FD4C2C" w:rsidRPr="00961BAC">
        <w:rPr>
          <w:sz w:val="24"/>
          <w:szCs w:val="24"/>
        </w:rPr>
        <w:instrText xml:space="preserve"> ADDIN EN.CITE &lt;EndNote&gt;&lt;Cite&gt;&lt;Author&gt;Davis&lt;/Author&gt;&lt;Year&gt;2021&lt;/Year&gt;&lt;RecNum&gt;7&lt;/RecNum&gt;&lt;DisplayText&gt;&lt;style face="superscript"&gt;4&lt;/style&gt;&lt;/DisplayText&gt;&lt;record&gt;&lt;rec-number&gt;7&lt;/rec-number&gt;&lt;foreign-keys&gt;&lt;key app="EN" db-id="zfz9pe2xqf0rxiee9sbptsdssxaev52swxxa" timestamp="1710164746"&gt;7&lt;/key&gt;&lt;/foreign-keys&gt;&lt;ref-type name="Journal Article"&gt;17&lt;/ref-type&gt;&lt;contributors&gt;&lt;authors&gt;&lt;author&gt;Davis, Hannah E&lt;/author&gt;&lt;author&gt;Assaf, Gina S&lt;/author&gt;&lt;author&gt;McCorkell, Lisa&lt;/author&gt;&lt;author&gt;Wei, Hannah&lt;/author&gt;&lt;author&gt;Low, Ryan J&lt;/author&gt;&lt;author&gt;Re&amp;apos;em, Yochai&lt;/author&gt;&lt;author&gt;Redfield, Signe&lt;/author&gt;&lt;author&gt;Austin, Jared P&lt;/author&gt;&lt;author&gt;Akrami, Athena&lt;/author&gt;&lt;/authors&gt;&lt;/contributors&gt;&lt;titles&gt;&lt;title&gt;Characterizing long COVID in an international cohort: 7 months of symptoms and their impact&lt;/title&gt;&lt;secondary-title&gt;EClinicalMedicine&lt;/secondary-title&gt;&lt;/titles&gt;&lt;periodical&gt;&lt;full-title&gt;EClinicalMedicine&lt;/full-title&gt;&lt;/periodical&gt;&lt;volume&gt;38&lt;/volume&gt;&lt;dates&gt;&lt;year&gt;2021&lt;/year&gt;&lt;/dates&gt;&lt;isbn&gt;2589-5370&lt;/isbn&gt;&lt;urls&gt;&lt;/urls&gt;&lt;/record&gt;&lt;/Cite&gt;&lt;/EndNote&gt;</w:instrText>
      </w:r>
      <w:r w:rsidR="004D596E" w:rsidRPr="00961BAC">
        <w:rPr>
          <w:sz w:val="24"/>
          <w:szCs w:val="24"/>
        </w:rPr>
        <w:fldChar w:fldCharType="separate"/>
      </w:r>
      <w:r w:rsidR="00FD4C2C" w:rsidRPr="00961BAC">
        <w:rPr>
          <w:noProof/>
          <w:sz w:val="24"/>
          <w:szCs w:val="24"/>
          <w:vertAlign w:val="superscript"/>
        </w:rPr>
        <w:t>4</w:t>
      </w:r>
      <w:r w:rsidR="004D596E" w:rsidRPr="00961BAC">
        <w:rPr>
          <w:sz w:val="24"/>
          <w:szCs w:val="24"/>
        </w:rPr>
        <w:fldChar w:fldCharType="end"/>
      </w:r>
      <w:r w:rsidR="00E64A8C" w:rsidRPr="00961BAC">
        <w:rPr>
          <w:sz w:val="24"/>
          <w:szCs w:val="24"/>
        </w:rPr>
        <w:t xml:space="preserve">. It has been estimated that these productivity </w:t>
      </w:r>
      <w:r w:rsidR="00624A35" w:rsidRPr="00961BAC">
        <w:rPr>
          <w:sz w:val="24"/>
          <w:szCs w:val="24"/>
        </w:rPr>
        <w:t xml:space="preserve">losses </w:t>
      </w:r>
      <w:r w:rsidR="00E64A8C" w:rsidRPr="00961BAC">
        <w:rPr>
          <w:sz w:val="24"/>
          <w:szCs w:val="24"/>
        </w:rPr>
        <w:t xml:space="preserve">amounted to £5.7 billion in the UK between 2022 and 2023 </w:t>
      </w:r>
      <w:r w:rsidR="004D596E" w:rsidRPr="00961BAC">
        <w:rPr>
          <w:sz w:val="24"/>
          <w:szCs w:val="24"/>
        </w:rPr>
        <w:fldChar w:fldCharType="begin"/>
      </w:r>
      <w:r w:rsidR="00FD4C2C" w:rsidRPr="00961BAC">
        <w:rPr>
          <w:sz w:val="24"/>
          <w:szCs w:val="24"/>
        </w:rPr>
        <w:instrText xml:space="preserve"> ADDIN EN.CITE &lt;EndNote&gt;&lt;Cite&gt;&lt;Author&gt;Kwon&lt;/Author&gt;&lt;Year&gt;2023&lt;/Year&gt;&lt;RecNum&gt;8&lt;/RecNum&gt;&lt;DisplayText&gt;&lt;style face="superscript"&gt;5&lt;/style&gt;&lt;/DisplayText&gt;&lt;record&gt;&lt;rec-number&gt;8&lt;/rec-number&gt;&lt;foreign-keys&gt;&lt;key app="EN" db-id="zfz9pe2xqf0rxiee9sbptsdssxaev52swxxa" timestamp="1710168648"&gt;8&lt;/key&gt;&lt;/foreign-keys&gt;&lt;ref-type name="Journal Article"&gt;17&lt;/ref-type&gt;&lt;contributors&gt;&lt;authors&gt;&lt;author&gt;Kwon, Joseph&lt;/author&gt;&lt;author&gt;Milne, Ruairidh&lt;/author&gt;&lt;author&gt;Rayner, Clare&lt;/author&gt;&lt;author&gt;Rocha Lawrence, Román&lt;/author&gt;&lt;author&gt;Mullard, Jordan&lt;/author&gt;&lt;author&gt;Mir, Ghazala&lt;/author&gt;&lt;author&gt;Delaney, Brendan&lt;/author&gt;&lt;author&gt;Sivan, Manoj&lt;/author&gt;&lt;author&gt;Petrou, Stavros&lt;/author&gt;&lt;/authors&gt;&lt;/contributors&gt;&lt;titles&gt;&lt;title&gt;Impact of Long COVID on productivity and informal caregiving&lt;/title&gt;&lt;secondary-title&gt;The European Journal of Health Economics&lt;/secondary-title&gt;&lt;/titles&gt;&lt;periodical&gt;&lt;full-title&gt;The European Journal of Health Economics&lt;/full-title&gt;&lt;/periodical&gt;&lt;dates&gt;&lt;year&gt;2023&lt;/year&gt;&lt;/dates&gt;&lt;isbn&gt;1618-7598&lt;/isbn&gt;&lt;urls&gt;&lt;/urls&gt;&lt;/record&gt;&lt;/Cite&gt;&lt;/EndNote&gt;</w:instrText>
      </w:r>
      <w:r w:rsidR="004D596E" w:rsidRPr="00961BAC">
        <w:rPr>
          <w:sz w:val="24"/>
          <w:szCs w:val="24"/>
        </w:rPr>
        <w:fldChar w:fldCharType="separate"/>
      </w:r>
      <w:r w:rsidR="00FD4C2C" w:rsidRPr="00961BAC">
        <w:rPr>
          <w:noProof/>
          <w:sz w:val="24"/>
          <w:szCs w:val="24"/>
          <w:vertAlign w:val="superscript"/>
        </w:rPr>
        <w:t>5</w:t>
      </w:r>
      <w:r w:rsidR="004D596E" w:rsidRPr="00961BAC">
        <w:rPr>
          <w:sz w:val="24"/>
          <w:szCs w:val="24"/>
        </w:rPr>
        <w:fldChar w:fldCharType="end"/>
      </w:r>
      <w:r w:rsidR="00E64A8C" w:rsidRPr="00961BAC">
        <w:rPr>
          <w:sz w:val="24"/>
          <w:szCs w:val="24"/>
        </w:rPr>
        <w:t>.</w:t>
      </w:r>
    </w:p>
    <w:p w14:paraId="7F9AE608" w14:textId="6BF1CD46" w:rsidR="00E64A8C" w:rsidRPr="00961BAC" w:rsidRDefault="00D6629E" w:rsidP="008472E9">
      <w:pPr>
        <w:jc w:val="both"/>
        <w:rPr>
          <w:sz w:val="24"/>
          <w:szCs w:val="24"/>
        </w:rPr>
      </w:pPr>
      <w:r w:rsidRPr="00961BAC">
        <w:rPr>
          <w:sz w:val="24"/>
          <w:szCs w:val="24"/>
        </w:rPr>
        <w:t xml:space="preserve">The manifestations of </w:t>
      </w:r>
      <w:r w:rsidR="00B0500D" w:rsidRPr="00961BAC">
        <w:rPr>
          <w:sz w:val="24"/>
          <w:szCs w:val="24"/>
        </w:rPr>
        <w:t xml:space="preserve">long COVID </w:t>
      </w:r>
      <w:r w:rsidRPr="00961BAC">
        <w:rPr>
          <w:sz w:val="24"/>
          <w:szCs w:val="24"/>
        </w:rPr>
        <w:t>are diverse and var</w:t>
      </w:r>
      <w:r w:rsidR="0001718D" w:rsidRPr="00961BAC">
        <w:rPr>
          <w:sz w:val="24"/>
          <w:szCs w:val="24"/>
        </w:rPr>
        <w:t>y</w:t>
      </w:r>
      <w:r w:rsidRPr="00961BAC">
        <w:rPr>
          <w:sz w:val="24"/>
          <w:szCs w:val="24"/>
        </w:rPr>
        <w:t xml:space="preserve"> </w:t>
      </w:r>
      <w:r w:rsidR="00C952AB" w:rsidRPr="00961BAC">
        <w:rPr>
          <w:sz w:val="24"/>
          <w:szCs w:val="24"/>
        </w:rPr>
        <w:t xml:space="preserve">significantly </w:t>
      </w:r>
      <w:r w:rsidRPr="00961BAC">
        <w:rPr>
          <w:sz w:val="24"/>
          <w:szCs w:val="24"/>
        </w:rPr>
        <w:t>among individuals. Common</w:t>
      </w:r>
      <w:r w:rsidR="00B64AD3" w:rsidRPr="00961BAC">
        <w:rPr>
          <w:sz w:val="24"/>
          <w:szCs w:val="24"/>
        </w:rPr>
        <w:t xml:space="preserve"> symptoms include fatigue, cognitive </w:t>
      </w:r>
      <w:r w:rsidR="00AB1375" w:rsidRPr="00961BAC">
        <w:rPr>
          <w:sz w:val="24"/>
          <w:szCs w:val="24"/>
        </w:rPr>
        <w:t xml:space="preserve">impairment, </w:t>
      </w:r>
      <w:r w:rsidR="00611CB2" w:rsidRPr="00961BAC">
        <w:rPr>
          <w:sz w:val="24"/>
          <w:szCs w:val="24"/>
        </w:rPr>
        <w:t>breathlessness</w:t>
      </w:r>
      <w:r w:rsidR="00AB1375" w:rsidRPr="00961BAC">
        <w:rPr>
          <w:sz w:val="24"/>
          <w:szCs w:val="24"/>
        </w:rPr>
        <w:t xml:space="preserve">, anxiety and depression </w:t>
      </w:r>
      <w:r w:rsidR="00AB1375" w:rsidRPr="00961BAC">
        <w:rPr>
          <w:sz w:val="24"/>
          <w:szCs w:val="24"/>
        </w:rPr>
        <w:fldChar w:fldCharType="begin"/>
      </w:r>
      <w:r w:rsidR="00FD4C2C" w:rsidRPr="00961BAC">
        <w:rPr>
          <w:sz w:val="24"/>
          <w:szCs w:val="24"/>
        </w:rPr>
        <w:instrText xml:space="preserve"> ADDIN EN.CITE &lt;EndNote&gt;&lt;Cite&gt;&lt;Author&gt;Crook&lt;/Author&gt;&lt;Year&gt;2021&lt;/Year&gt;&lt;RecNum&gt;5&lt;/RecNum&gt;&lt;DisplayText&gt;&lt;style face="superscript"&gt;6&lt;/style&gt;&lt;/DisplayText&gt;&lt;record&gt;&lt;rec-number&gt;5&lt;/rec-number&gt;&lt;foreign-keys&gt;&lt;key app="EN" db-id="zfz9pe2xqf0rxiee9sbptsdssxaev52swxxa" timestamp="1710163501"&gt;5&lt;/key&gt;&lt;/foreign-keys&gt;&lt;ref-type name="Journal Article"&gt;17&lt;/ref-type&gt;&lt;contributors&gt;&lt;authors&gt;&lt;author&gt;Crook, Harry&lt;/author&gt;&lt;author&gt;Raza, Sanara&lt;/author&gt;&lt;author&gt;Nowell, Joseph&lt;/author&gt;&lt;author&gt;Young, Megan&lt;/author&gt;&lt;author&gt;Edison, Paul&lt;/author&gt;&lt;/authors&gt;&lt;/contributors&gt;&lt;titles&gt;&lt;title&gt;Long covid—mechanisms, risk factors, and management&lt;/title&gt;&lt;secondary-title&gt;bmj&lt;/secondary-title&gt;&lt;/titles&gt;&lt;periodical&gt;&lt;full-title&gt;bmj&lt;/full-title&gt;&lt;/periodical&gt;&lt;volume&gt;374&lt;/volume&gt;&lt;dates&gt;&lt;year&gt;2021&lt;/year&gt;&lt;/dates&gt;&lt;isbn&gt;1756-1833&lt;/isbn&gt;&lt;urls&gt;&lt;/urls&gt;&lt;/record&gt;&lt;/Cite&gt;&lt;/EndNote&gt;</w:instrText>
      </w:r>
      <w:r w:rsidR="00AB1375" w:rsidRPr="00961BAC">
        <w:rPr>
          <w:sz w:val="24"/>
          <w:szCs w:val="24"/>
        </w:rPr>
        <w:fldChar w:fldCharType="separate"/>
      </w:r>
      <w:r w:rsidR="00FD4C2C" w:rsidRPr="00961BAC">
        <w:rPr>
          <w:noProof/>
          <w:sz w:val="24"/>
          <w:szCs w:val="24"/>
          <w:vertAlign w:val="superscript"/>
        </w:rPr>
        <w:t>6</w:t>
      </w:r>
      <w:r w:rsidR="00AB1375" w:rsidRPr="00961BAC">
        <w:rPr>
          <w:sz w:val="24"/>
          <w:szCs w:val="24"/>
        </w:rPr>
        <w:fldChar w:fldCharType="end"/>
      </w:r>
      <w:r w:rsidR="00B64AD3" w:rsidRPr="00961BAC">
        <w:rPr>
          <w:sz w:val="24"/>
          <w:szCs w:val="24"/>
        </w:rPr>
        <w:t>.</w:t>
      </w:r>
      <w:r w:rsidR="006701EA" w:rsidRPr="00961BAC">
        <w:rPr>
          <w:sz w:val="24"/>
          <w:szCs w:val="24"/>
        </w:rPr>
        <w:t xml:space="preserve"> These symptoms </w:t>
      </w:r>
      <w:r w:rsidRPr="00961BAC">
        <w:rPr>
          <w:sz w:val="24"/>
          <w:szCs w:val="24"/>
        </w:rPr>
        <w:t xml:space="preserve">impair </w:t>
      </w:r>
      <w:r w:rsidR="00CD4818" w:rsidRPr="00961BAC">
        <w:rPr>
          <w:sz w:val="24"/>
          <w:szCs w:val="24"/>
        </w:rPr>
        <w:t xml:space="preserve">individuals’ daily </w:t>
      </w:r>
      <w:r w:rsidR="00B0500D" w:rsidRPr="00961BAC">
        <w:rPr>
          <w:sz w:val="24"/>
          <w:szCs w:val="24"/>
        </w:rPr>
        <w:t>functioning</w:t>
      </w:r>
      <w:r w:rsidR="00CD4818" w:rsidRPr="00961BAC">
        <w:rPr>
          <w:sz w:val="24"/>
          <w:szCs w:val="24"/>
        </w:rPr>
        <w:t>,</w:t>
      </w:r>
      <w:r w:rsidRPr="00961BAC">
        <w:rPr>
          <w:sz w:val="24"/>
          <w:szCs w:val="24"/>
        </w:rPr>
        <w:t xml:space="preserve"> </w:t>
      </w:r>
      <w:r w:rsidR="00B0500D" w:rsidRPr="00961BAC">
        <w:rPr>
          <w:sz w:val="24"/>
          <w:szCs w:val="24"/>
        </w:rPr>
        <w:t>including</w:t>
      </w:r>
      <w:r w:rsidRPr="00961BAC">
        <w:rPr>
          <w:sz w:val="24"/>
          <w:szCs w:val="24"/>
        </w:rPr>
        <w:t xml:space="preserve"> </w:t>
      </w:r>
      <w:r w:rsidR="00CD4818" w:rsidRPr="00961BAC">
        <w:rPr>
          <w:sz w:val="24"/>
          <w:szCs w:val="24"/>
        </w:rPr>
        <w:t>their</w:t>
      </w:r>
      <w:r w:rsidRPr="00961BAC">
        <w:rPr>
          <w:sz w:val="24"/>
          <w:szCs w:val="24"/>
        </w:rPr>
        <w:t xml:space="preserve"> ability to work</w:t>
      </w:r>
      <w:r w:rsidR="00B0500D" w:rsidRPr="00961BAC">
        <w:rPr>
          <w:sz w:val="24"/>
          <w:szCs w:val="24"/>
        </w:rPr>
        <w:t xml:space="preserve">, manage </w:t>
      </w:r>
      <w:r w:rsidR="00CD4818" w:rsidRPr="00961BAC">
        <w:rPr>
          <w:sz w:val="24"/>
          <w:szCs w:val="24"/>
        </w:rPr>
        <w:t xml:space="preserve">home </w:t>
      </w:r>
      <w:r w:rsidR="0001718D" w:rsidRPr="00961BAC">
        <w:rPr>
          <w:sz w:val="24"/>
          <w:szCs w:val="24"/>
        </w:rPr>
        <w:t>responsibilities</w:t>
      </w:r>
      <w:r w:rsidR="00CD4818" w:rsidRPr="00961BAC">
        <w:rPr>
          <w:sz w:val="24"/>
          <w:szCs w:val="24"/>
        </w:rPr>
        <w:t>,</w:t>
      </w:r>
      <w:r w:rsidR="0001718D" w:rsidRPr="00961BAC">
        <w:rPr>
          <w:sz w:val="24"/>
          <w:szCs w:val="24"/>
        </w:rPr>
        <w:t xml:space="preserve"> </w:t>
      </w:r>
      <w:r w:rsidR="00046CFF" w:rsidRPr="00961BAC">
        <w:rPr>
          <w:sz w:val="24"/>
          <w:szCs w:val="24"/>
        </w:rPr>
        <w:t>engage in</w:t>
      </w:r>
      <w:r w:rsidR="00CD4818" w:rsidRPr="00961BAC">
        <w:rPr>
          <w:sz w:val="24"/>
          <w:szCs w:val="24"/>
        </w:rPr>
        <w:t xml:space="preserve"> </w:t>
      </w:r>
      <w:r w:rsidR="00046CFF" w:rsidRPr="00961BAC">
        <w:rPr>
          <w:sz w:val="24"/>
          <w:szCs w:val="24"/>
        </w:rPr>
        <w:t>social and leisure activities</w:t>
      </w:r>
      <w:r w:rsidRPr="00961BAC">
        <w:rPr>
          <w:sz w:val="24"/>
          <w:szCs w:val="24"/>
        </w:rPr>
        <w:t>, and</w:t>
      </w:r>
      <w:r w:rsidR="00046CFF" w:rsidRPr="00961BAC">
        <w:rPr>
          <w:sz w:val="24"/>
          <w:szCs w:val="24"/>
        </w:rPr>
        <w:t xml:space="preserve"> maintain</w:t>
      </w:r>
      <w:r w:rsidRPr="00961BAC">
        <w:rPr>
          <w:sz w:val="24"/>
          <w:szCs w:val="24"/>
        </w:rPr>
        <w:t xml:space="preserve"> personal relationships</w:t>
      </w:r>
      <w:r w:rsidR="00CD4818" w:rsidRPr="00961BAC">
        <w:rPr>
          <w:sz w:val="24"/>
          <w:szCs w:val="24"/>
        </w:rPr>
        <w:t>.</w:t>
      </w:r>
      <w:r w:rsidR="00E64A8C" w:rsidRPr="00961BAC">
        <w:rPr>
          <w:sz w:val="24"/>
          <w:szCs w:val="24"/>
        </w:rPr>
        <w:t xml:space="preserve"> </w:t>
      </w:r>
      <w:r w:rsidR="00DD182F" w:rsidRPr="00961BAC">
        <w:rPr>
          <w:sz w:val="24"/>
          <w:szCs w:val="24"/>
        </w:rPr>
        <w:t xml:space="preserve">The </w:t>
      </w:r>
      <w:r w:rsidR="00930E0C" w:rsidRPr="00961BAC">
        <w:rPr>
          <w:sz w:val="24"/>
          <w:szCs w:val="24"/>
        </w:rPr>
        <w:t>high prevalence of long COVID, the diversity of the symptoms and rehabilitation pathways</w:t>
      </w:r>
      <w:r w:rsidR="00624A35" w:rsidRPr="00961BAC">
        <w:rPr>
          <w:sz w:val="24"/>
          <w:szCs w:val="24"/>
        </w:rPr>
        <w:t xml:space="preserve"> </w:t>
      </w:r>
      <w:r w:rsidR="00930E0C" w:rsidRPr="00961BAC">
        <w:rPr>
          <w:sz w:val="24"/>
          <w:szCs w:val="24"/>
        </w:rPr>
        <w:t>ha</w:t>
      </w:r>
      <w:r w:rsidR="005F0E31" w:rsidRPr="00961BAC">
        <w:rPr>
          <w:sz w:val="24"/>
          <w:szCs w:val="24"/>
        </w:rPr>
        <w:t>ve</w:t>
      </w:r>
      <w:r w:rsidR="00930E0C" w:rsidRPr="00961BAC">
        <w:rPr>
          <w:sz w:val="24"/>
          <w:szCs w:val="24"/>
        </w:rPr>
        <w:t xml:space="preserve"> added to the complexity of providing adequate care for long COVID</w:t>
      </w:r>
      <w:r w:rsidR="00FB783A" w:rsidRPr="00961BAC">
        <w:rPr>
          <w:sz w:val="24"/>
          <w:szCs w:val="24"/>
        </w:rPr>
        <w:t xml:space="preserve"> </w:t>
      </w:r>
      <w:r w:rsidR="00930E0C" w:rsidRPr="00961BAC">
        <w:rPr>
          <w:sz w:val="24"/>
          <w:szCs w:val="24"/>
        </w:rPr>
        <w:t>patients</w:t>
      </w:r>
      <w:r w:rsidR="00FB783A" w:rsidRPr="00961BAC">
        <w:rPr>
          <w:sz w:val="24"/>
          <w:szCs w:val="24"/>
        </w:rPr>
        <w:t xml:space="preserve"> in </w:t>
      </w:r>
      <w:r w:rsidR="001B6B9A" w:rsidRPr="00961BAC">
        <w:rPr>
          <w:sz w:val="24"/>
          <w:szCs w:val="24"/>
        </w:rPr>
        <w:t>the UK NHS</w:t>
      </w:r>
      <w:r w:rsidR="00624A35" w:rsidRPr="00961BAC">
        <w:rPr>
          <w:sz w:val="24"/>
          <w:szCs w:val="24"/>
        </w:rPr>
        <w:t xml:space="preserve"> </w:t>
      </w:r>
      <w:r w:rsidR="00821630" w:rsidRPr="00961BAC">
        <w:rPr>
          <w:sz w:val="24"/>
          <w:szCs w:val="24"/>
        </w:rPr>
        <w:fldChar w:fldCharType="begin"/>
      </w:r>
      <w:r w:rsidR="00FD4C2C" w:rsidRPr="00961BAC">
        <w:rPr>
          <w:sz w:val="24"/>
          <w:szCs w:val="24"/>
        </w:rPr>
        <w:instrText xml:space="preserve"> ADDIN EN.CITE &lt;EndNote&gt;&lt;Cite&gt;&lt;Author&gt;Office for National Statistics&lt;/Author&gt;&lt;Year&gt;2023&lt;/Year&gt;&lt;RecNum&gt;3&lt;/RecNum&gt;&lt;DisplayText&gt;&lt;style face="superscript"&gt;3&lt;/style&gt;&lt;/DisplayText&gt;&lt;record&gt;&lt;rec-number&gt;3&lt;/rec-number&gt;&lt;foreign-keys&gt;&lt;key app="EN" db-id="zfz9pe2xqf0rxiee9sbptsdssxaev52swxxa" timestamp="1709571126"&gt;3&lt;/key&gt;&lt;/foreign-keys&gt;&lt;ref-type name="Web Page"&gt;12&lt;/ref-type&gt;&lt;contributors&gt;&lt;authors&gt;&lt;author&gt;Office for National Statistics,&lt;/author&gt;&lt;/authors&gt;&lt;/contributors&gt;&lt;titles&gt;&lt;title&gt;Prevalence of ongoing symptoms following coronavirus (COVID-19) infection in the UK: 30 March 2023&lt;/title&gt;&lt;/titles&gt;&lt;dates&gt;&lt;year&gt;2023&lt;/year&gt;&lt;/dates&gt;&lt;urls&gt;&lt;related-urls&gt;&lt;url&gt;https://www.ons.gov.uk/peoplepopulationandcommunity/healthandsocialcare/conditionsanddiseases/bulletins/prevalenceofongoingsymptomsfollowingcoronaviruscovid19infectionintheuk/30march2023&lt;/url&gt;&lt;/related-urls&gt;&lt;/urls&gt;&lt;/record&gt;&lt;/Cite&gt;&lt;/EndNote&gt;</w:instrText>
      </w:r>
      <w:r w:rsidR="00821630" w:rsidRPr="00961BAC">
        <w:rPr>
          <w:sz w:val="24"/>
          <w:szCs w:val="24"/>
        </w:rPr>
        <w:fldChar w:fldCharType="separate"/>
      </w:r>
      <w:r w:rsidR="00FD4C2C" w:rsidRPr="00961BAC">
        <w:rPr>
          <w:noProof/>
          <w:sz w:val="24"/>
          <w:szCs w:val="24"/>
          <w:vertAlign w:val="superscript"/>
        </w:rPr>
        <w:t>3</w:t>
      </w:r>
      <w:r w:rsidR="00821630" w:rsidRPr="00961BAC">
        <w:rPr>
          <w:sz w:val="24"/>
          <w:szCs w:val="24"/>
        </w:rPr>
        <w:fldChar w:fldCharType="end"/>
      </w:r>
      <w:r w:rsidR="00DD182F" w:rsidRPr="00961BAC">
        <w:rPr>
          <w:sz w:val="24"/>
          <w:szCs w:val="24"/>
        </w:rPr>
        <w:t>.</w:t>
      </w:r>
      <w:r w:rsidR="001B6B9A" w:rsidRPr="00961BAC">
        <w:rPr>
          <w:sz w:val="24"/>
          <w:szCs w:val="24"/>
        </w:rPr>
        <w:t xml:space="preserve"> </w:t>
      </w:r>
    </w:p>
    <w:p w14:paraId="1EC2B2FA" w14:textId="29555920" w:rsidR="00212B0A" w:rsidRPr="00961BAC" w:rsidRDefault="00CD0F98" w:rsidP="008472E9">
      <w:pPr>
        <w:jc w:val="both"/>
        <w:rPr>
          <w:sz w:val="24"/>
          <w:szCs w:val="24"/>
        </w:rPr>
      </w:pPr>
      <w:r w:rsidRPr="00961BAC">
        <w:rPr>
          <w:sz w:val="24"/>
          <w:szCs w:val="24"/>
        </w:rPr>
        <w:t xml:space="preserve">To </w:t>
      </w:r>
      <w:r w:rsidR="001B6B9A" w:rsidRPr="00961BAC">
        <w:rPr>
          <w:sz w:val="24"/>
          <w:szCs w:val="24"/>
        </w:rPr>
        <w:t xml:space="preserve">help </w:t>
      </w:r>
      <w:r w:rsidR="00D718A7" w:rsidRPr="00961BAC">
        <w:rPr>
          <w:sz w:val="24"/>
          <w:szCs w:val="24"/>
        </w:rPr>
        <w:t>address</w:t>
      </w:r>
      <w:r w:rsidRPr="00961BAC">
        <w:rPr>
          <w:sz w:val="24"/>
          <w:szCs w:val="24"/>
        </w:rPr>
        <w:t xml:space="preserve"> </w:t>
      </w:r>
      <w:r w:rsidR="00D718A7" w:rsidRPr="00961BAC">
        <w:rPr>
          <w:sz w:val="24"/>
          <w:szCs w:val="24"/>
        </w:rPr>
        <w:t>th</w:t>
      </w:r>
      <w:r w:rsidR="00810D99" w:rsidRPr="00961BAC">
        <w:rPr>
          <w:sz w:val="24"/>
          <w:szCs w:val="24"/>
        </w:rPr>
        <w:t>ese</w:t>
      </w:r>
      <w:r w:rsidR="00D718A7" w:rsidRPr="00961BAC">
        <w:rPr>
          <w:sz w:val="24"/>
          <w:szCs w:val="24"/>
        </w:rPr>
        <w:t xml:space="preserve"> challenges</w:t>
      </w:r>
      <w:r w:rsidR="001B6B9A" w:rsidRPr="00961BAC">
        <w:rPr>
          <w:sz w:val="24"/>
          <w:szCs w:val="24"/>
        </w:rPr>
        <w:t>, a</w:t>
      </w:r>
      <w:r w:rsidR="004626D5" w:rsidRPr="00961BAC">
        <w:rPr>
          <w:sz w:val="24"/>
          <w:szCs w:val="24"/>
        </w:rPr>
        <w:t xml:space="preserve"> bespoke digital health intervention, Living With Covid Recovery (LWCR), </w:t>
      </w:r>
      <w:r w:rsidR="00611CB2" w:rsidRPr="00961BAC">
        <w:rPr>
          <w:sz w:val="24"/>
          <w:szCs w:val="24"/>
        </w:rPr>
        <w:t>was developed and</w:t>
      </w:r>
      <w:r w:rsidR="00B0025E" w:rsidRPr="00961BAC">
        <w:rPr>
          <w:sz w:val="24"/>
          <w:szCs w:val="24"/>
        </w:rPr>
        <w:t xml:space="preserve"> </w:t>
      </w:r>
      <w:r w:rsidR="009077AF" w:rsidRPr="00961BAC">
        <w:rPr>
          <w:sz w:val="24"/>
          <w:szCs w:val="24"/>
        </w:rPr>
        <w:t>implemented</w:t>
      </w:r>
      <w:r w:rsidR="004626D5" w:rsidRPr="00961BAC">
        <w:rPr>
          <w:sz w:val="24"/>
          <w:szCs w:val="24"/>
        </w:rPr>
        <w:t xml:space="preserve"> </w:t>
      </w:r>
      <w:r w:rsidR="009077AF" w:rsidRPr="00961BAC">
        <w:rPr>
          <w:sz w:val="24"/>
          <w:szCs w:val="24"/>
        </w:rPr>
        <w:t xml:space="preserve">across </w:t>
      </w:r>
      <w:r w:rsidR="00821630" w:rsidRPr="00961BAC">
        <w:rPr>
          <w:sz w:val="24"/>
          <w:szCs w:val="24"/>
        </w:rPr>
        <w:t>35</w:t>
      </w:r>
      <w:r w:rsidR="004626D5" w:rsidRPr="00961BAC">
        <w:rPr>
          <w:sz w:val="24"/>
          <w:szCs w:val="24"/>
        </w:rPr>
        <w:t xml:space="preserve"> </w:t>
      </w:r>
      <w:r w:rsidR="00B0500D" w:rsidRPr="00961BAC">
        <w:rPr>
          <w:sz w:val="24"/>
          <w:szCs w:val="24"/>
        </w:rPr>
        <w:t>long COVID</w:t>
      </w:r>
      <w:r w:rsidR="004626D5" w:rsidRPr="00961BAC">
        <w:rPr>
          <w:sz w:val="24"/>
          <w:szCs w:val="24"/>
        </w:rPr>
        <w:t xml:space="preserve"> clinics</w:t>
      </w:r>
      <w:r w:rsidR="009077AF" w:rsidRPr="00961BAC">
        <w:rPr>
          <w:sz w:val="24"/>
          <w:szCs w:val="24"/>
        </w:rPr>
        <w:t xml:space="preserve"> in </w:t>
      </w:r>
      <w:r w:rsidR="00600FD1" w:rsidRPr="00961BAC">
        <w:rPr>
          <w:sz w:val="24"/>
          <w:szCs w:val="24"/>
        </w:rPr>
        <w:t xml:space="preserve">the UK </w:t>
      </w:r>
      <w:r w:rsidR="004626D5" w:rsidRPr="00961BAC">
        <w:rPr>
          <w:sz w:val="24"/>
          <w:szCs w:val="24"/>
        </w:rPr>
        <w:fldChar w:fldCharType="begin"/>
      </w:r>
      <w:r w:rsidR="00FD4C2C" w:rsidRPr="00961BAC">
        <w:rPr>
          <w:sz w:val="24"/>
          <w:szCs w:val="24"/>
        </w:rPr>
        <w:instrText xml:space="preserve"> ADDIN EN.CITE &lt;EndNote&gt;&lt;Cite&gt;&lt;Author&gt;Walker&lt;/Author&gt;&lt;Year&gt;2023&lt;/Year&gt;&lt;RecNum&gt;6&lt;/RecNum&gt;&lt;DisplayText&gt;&lt;style face="superscript"&gt;7&lt;/style&gt;&lt;/DisplayText&gt;&lt;record&gt;&lt;rec-number&gt;6&lt;/rec-number&gt;&lt;foreign-keys&gt;&lt;key app="EN" db-id="zfz9pe2xqf0rxiee9sbptsdssxaev52swxxa" timestamp="1710163749"&gt;6&lt;/key&gt;&lt;/foreign-keys&gt;&lt;ref-type name="Journal Article"&gt;17&lt;/ref-type&gt;&lt;contributors&gt;&lt;authors&gt;&lt;author&gt;Walker, Sarah&lt;/author&gt;&lt;author&gt;Goodfellow, Henry&lt;/author&gt;&lt;author&gt;Pookarnjanamorakot, Patra&lt;/author&gt;&lt;author&gt;Murray, Elizabeth&lt;/author&gt;&lt;author&gt;Bindman, Julia&lt;/author&gt;&lt;author&gt;Blandford, Ann&lt;/author&gt;&lt;author&gt;Bradbury, Katherine&lt;/author&gt;&lt;author&gt;Cooper, Belinda&lt;/author&gt;&lt;author&gt;Hamilton, Fiona L&lt;/author&gt;&lt;author&gt;Hurst, John R&lt;/author&gt;&lt;/authors&gt;&lt;/contributors&gt;&lt;titles&gt;&lt;title&gt;Impact of fatigue as the primary determinant of functional limitations among patients with post-COVID-19 syndrome: a cross-sectional observational study&lt;/title&gt;&lt;secondary-title&gt;BMJ open&lt;/secondary-title&gt;&lt;/titles&gt;&lt;periodical&gt;&lt;full-title&gt;BMJ open&lt;/full-title&gt;&lt;/periodical&gt;&lt;pages&gt;e069217&lt;/pages&gt;&lt;volume&gt;13&lt;/volume&gt;&lt;number&gt;6&lt;/number&gt;&lt;dates&gt;&lt;year&gt;2023&lt;/year&gt;&lt;/dates&gt;&lt;isbn&gt;2044-6055&lt;/isbn&gt;&lt;urls&gt;&lt;/urls&gt;&lt;/record&gt;&lt;/Cite&gt;&lt;/EndNote&gt;</w:instrText>
      </w:r>
      <w:r w:rsidR="004626D5" w:rsidRPr="00961BAC">
        <w:rPr>
          <w:sz w:val="24"/>
          <w:szCs w:val="24"/>
        </w:rPr>
        <w:fldChar w:fldCharType="separate"/>
      </w:r>
      <w:r w:rsidR="00FD4C2C" w:rsidRPr="00961BAC">
        <w:rPr>
          <w:noProof/>
          <w:sz w:val="24"/>
          <w:szCs w:val="24"/>
          <w:vertAlign w:val="superscript"/>
        </w:rPr>
        <w:t>7</w:t>
      </w:r>
      <w:r w:rsidR="004626D5" w:rsidRPr="00961BAC">
        <w:rPr>
          <w:sz w:val="24"/>
          <w:szCs w:val="24"/>
        </w:rPr>
        <w:fldChar w:fldCharType="end"/>
      </w:r>
      <w:r w:rsidR="004626D5" w:rsidRPr="00961BAC">
        <w:rPr>
          <w:sz w:val="24"/>
          <w:szCs w:val="24"/>
        </w:rPr>
        <w:t xml:space="preserve">. </w:t>
      </w:r>
      <w:r w:rsidR="000E4F2B" w:rsidRPr="00961BAC">
        <w:rPr>
          <w:sz w:val="24"/>
          <w:szCs w:val="24"/>
        </w:rPr>
        <w:t xml:space="preserve">The </w:t>
      </w:r>
      <w:r w:rsidR="004626D5" w:rsidRPr="00961BAC">
        <w:rPr>
          <w:sz w:val="24"/>
          <w:szCs w:val="24"/>
        </w:rPr>
        <w:t>LWCR</w:t>
      </w:r>
      <w:r w:rsidR="000E4F2B" w:rsidRPr="00961BAC">
        <w:rPr>
          <w:sz w:val="24"/>
          <w:szCs w:val="24"/>
        </w:rPr>
        <w:t xml:space="preserve"> </w:t>
      </w:r>
      <w:r w:rsidR="009052C7" w:rsidRPr="00961BAC">
        <w:rPr>
          <w:sz w:val="24"/>
          <w:szCs w:val="24"/>
        </w:rPr>
        <w:t>intervention</w:t>
      </w:r>
      <w:r w:rsidR="00AA5D6A" w:rsidRPr="00961BAC">
        <w:rPr>
          <w:sz w:val="24"/>
          <w:szCs w:val="24"/>
        </w:rPr>
        <w:t xml:space="preserve"> </w:t>
      </w:r>
      <w:r w:rsidR="004626D5" w:rsidRPr="00961BAC">
        <w:rPr>
          <w:sz w:val="24"/>
          <w:szCs w:val="24"/>
        </w:rPr>
        <w:t xml:space="preserve">was designed to </w:t>
      </w:r>
      <w:r w:rsidR="00B712AE" w:rsidRPr="00961BAC">
        <w:rPr>
          <w:sz w:val="24"/>
          <w:szCs w:val="24"/>
        </w:rPr>
        <w:t xml:space="preserve">facilitate </w:t>
      </w:r>
      <w:r w:rsidR="004626D5" w:rsidRPr="00961BAC">
        <w:rPr>
          <w:sz w:val="24"/>
          <w:szCs w:val="24"/>
        </w:rPr>
        <w:t>remote rehabilitation</w:t>
      </w:r>
      <w:r w:rsidR="00C446AF" w:rsidRPr="00961BAC">
        <w:rPr>
          <w:sz w:val="24"/>
          <w:szCs w:val="24"/>
        </w:rPr>
        <w:t xml:space="preserve"> and to </w:t>
      </w:r>
      <w:r w:rsidR="009077AF" w:rsidRPr="00961BAC">
        <w:rPr>
          <w:sz w:val="24"/>
          <w:szCs w:val="24"/>
        </w:rPr>
        <w:t xml:space="preserve">support the </w:t>
      </w:r>
      <w:r w:rsidR="004626D5" w:rsidRPr="00961BAC">
        <w:rPr>
          <w:sz w:val="24"/>
          <w:szCs w:val="24"/>
        </w:rPr>
        <w:t xml:space="preserve">recovery </w:t>
      </w:r>
      <w:r w:rsidR="00AA5D6A" w:rsidRPr="00961BAC">
        <w:rPr>
          <w:sz w:val="24"/>
          <w:szCs w:val="24"/>
        </w:rPr>
        <w:t>of</w:t>
      </w:r>
      <w:r w:rsidR="004626D5" w:rsidRPr="00961BAC">
        <w:rPr>
          <w:sz w:val="24"/>
          <w:szCs w:val="24"/>
        </w:rPr>
        <w:t xml:space="preserve"> </w:t>
      </w:r>
      <w:r w:rsidR="000E6850" w:rsidRPr="00961BAC">
        <w:rPr>
          <w:sz w:val="24"/>
          <w:szCs w:val="24"/>
        </w:rPr>
        <w:t xml:space="preserve">people living with </w:t>
      </w:r>
      <w:r w:rsidR="00B0500D" w:rsidRPr="00961BAC">
        <w:rPr>
          <w:sz w:val="24"/>
          <w:szCs w:val="24"/>
        </w:rPr>
        <w:t>long COVID</w:t>
      </w:r>
      <w:r w:rsidR="00B30B6D" w:rsidRPr="00961BAC">
        <w:rPr>
          <w:sz w:val="24"/>
          <w:szCs w:val="24"/>
        </w:rPr>
        <w:t>.</w:t>
      </w:r>
      <w:r w:rsidR="001F2CB3" w:rsidRPr="00961BAC">
        <w:rPr>
          <w:sz w:val="24"/>
          <w:szCs w:val="24"/>
        </w:rPr>
        <w:t xml:space="preserve"> </w:t>
      </w:r>
      <w:r w:rsidR="00905DF8" w:rsidRPr="00961BAC">
        <w:rPr>
          <w:sz w:val="24"/>
          <w:szCs w:val="24"/>
        </w:rPr>
        <w:t>The LWCR</w:t>
      </w:r>
      <w:r w:rsidR="007B0D13" w:rsidRPr="00961BAC">
        <w:rPr>
          <w:sz w:val="24"/>
          <w:szCs w:val="24"/>
        </w:rPr>
        <w:t xml:space="preserve"> collect</w:t>
      </w:r>
      <w:r w:rsidR="00447F00" w:rsidRPr="00961BAC">
        <w:rPr>
          <w:sz w:val="24"/>
          <w:szCs w:val="24"/>
        </w:rPr>
        <w:t>ed</w:t>
      </w:r>
      <w:r w:rsidR="007B0D13" w:rsidRPr="00961BAC">
        <w:rPr>
          <w:sz w:val="24"/>
          <w:szCs w:val="24"/>
        </w:rPr>
        <w:t xml:space="preserve"> patient-reported outcome measures</w:t>
      </w:r>
      <w:r w:rsidR="000A148E" w:rsidRPr="00961BAC">
        <w:rPr>
          <w:sz w:val="24"/>
          <w:szCs w:val="24"/>
        </w:rPr>
        <w:t>,</w:t>
      </w:r>
      <w:r w:rsidR="00B30B6D" w:rsidRPr="00961BAC">
        <w:rPr>
          <w:sz w:val="24"/>
          <w:szCs w:val="24"/>
        </w:rPr>
        <w:t xml:space="preserve"> </w:t>
      </w:r>
      <w:r w:rsidR="00B712AE" w:rsidRPr="00961BAC">
        <w:rPr>
          <w:sz w:val="24"/>
          <w:szCs w:val="24"/>
        </w:rPr>
        <w:t>encompassing</w:t>
      </w:r>
      <w:r w:rsidR="00B30B6D" w:rsidRPr="00961BAC">
        <w:rPr>
          <w:sz w:val="24"/>
          <w:szCs w:val="24"/>
        </w:rPr>
        <w:t xml:space="preserve"> the aspect</w:t>
      </w:r>
      <w:r w:rsidR="000E6850" w:rsidRPr="00961BAC">
        <w:rPr>
          <w:sz w:val="24"/>
          <w:szCs w:val="24"/>
        </w:rPr>
        <w:t>s</w:t>
      </w:r>
      <w:r w:rsidR="00B30B6D" w:rsidRPr="00961BAC">
        <w:rPr>
          <w:sz w:val="24"/>
          <w:szCs w:val="24"/>
        </w:rPr>
        <w:t xml:space="preserve"> of breathlessness, fatigue, anxiety, cognition and depression, </w:t>
      </w:r>
      <w:r w:rsidR="00B712AE" w:rsidRPr="00961BAC">
        <w:rPr>
          <w:sz w:val="24"/>
          <w:szCs w:val="24"/>
        </w:rPr>
        <w:t>e</w:t>
      </w:r>
      <w:r w:rsidR="00B30B6D" w:rsidRPr="00961BAC">
        <w:rPr>
          <w:sz w:val="24"/>
          <w:szCs w:val="24"/>
        </w:rPr>
        <w:t>nabl</w:t>
      </w:r>
      <w:r w:rsidR="00B712AE" w:rsidRPr="00961BAC">
        <w:rPr>
          <w:sz w:val="24"/>
          <w:szCs w:val="24"/>
        </w:rPr>
        <w:t>ing</w:t>
      </w:r>
      <w:r w:rsidR="00B30B6D" w:rsidRPr="00961BAC">
        <w:rPr>
          <w:sz w:val="24"/>
          <w:szCs w:val="24"/>
        </w:rPr>
        <w:t xml:space="preserve"> clinicians to monitor and adjust the care provided to each patient</w:t>
      </w:r>
      <w:r w:rsidR="007B0D13" w:rsidRPr="00961BAC">
        <w:rPr>
          <w:sz w:val="24"/>
          <w:szCs w:val="24"/>
        </w:rPr>
        <w:t xml:space="preserve"> </w:t>
      </w:r>
      <w:r w:rsidR="007B0D13" w:rsidRPr="00961BAC">
        <w:rPr>
          <w:sz w:val="24"/>
          <w:szCs w:val="24"/>
        </w:rPr>
        <w:fldChar w:fldCharType="begin"/>
      </w:r>
      <w:r w:rsidR="00FD4C2C" w:rsidRPr="00961BAC">
        <w:rPr>
          <w:sz w:val="24"/>
          <w:szCs w:val="24"/>
        </w:rPr>
        <w:instrText xml:space="preserve"> ADDIN EN.CITE &lt;EndNote&gt;&lt;Cite&gt;&lt;Author&gt;Murray&lt;/Author&gt;&lt;Year&gt;2022&lt;/Year&gt;&lt;RecNum&gt;36&lt;/RecNum&gt;&lt;DisplayText&gt;&lt;style face="superscript"&gt;8&lt;/style&gt;&lt;/DisplayText&gt;&lt;record&gt;&lt;rec-number&gt;36&lt;/rec-number&gt;&lt;foreign-keys&gt;&lt;key app="EN" db-id="zfz9pe2xqf0rxiee9sbptsdssxaev52swxxa" timestamp="1711471070"&gt;36&lt;/key&gt;&lt;/foreign-keys&gt;&lt;ref-type name="Journal Article"&gt;17&lt;/ref-type&gt;&lt;contributors&gt;&lt;authors&gt;&lt;author&gt;Murray, Elizabeth&lt;/author&gt;&lt;author&gt;Goodfellow, Henry&lt;/author&gt;&lt;author&gt;Bindman, Julia&lt;/author&gt;&lt;author&gt;Blandford, Ann&lt;/author&gt;&lt;author&gt;Bradbury, Katherine&lt;/author&gt;&lt;author&gt;Chaudhry, Tahreem&lt;/author&gt;&lt;author&gt;Fernandez-Reyes, Delmiro&lt;/author&gt;&lt;author&gt;Gomes, Manuel&lt;/author&gt;&lt;author&gt;Hamilton, Fiona L&lt;/author&gt;&lt;author&gt;Heightman, Melissa&lt;/author&gt;&lt;/authors&gt;&lt;/contributors&gt;&lt;titles&gt;&lt;title&gt;Development, deployment and evaluation of digitally enabled, remote, supported rehabilitation for people with long COVID-19 (Living With COVID-19 Recovery): protocol for a mixed-methods study&lt;/title&gt;&lt;secondary-title&gt;BMJ open&lt;/secondary-title&gt;&lt;/titles&gt;&lt;periodical&gt;&lt;full-title&gt;BMJ open&lt;/full-title&gt;&lt;/periodical&gt;&lt;pages&gt;e057408&lt;/pages&gt;&lt;volume&gt;12&lt;/volume&gt;&lt;number&gt;2&lt;/number&gt;&lt;dates&gt;&lt;year&gt;2022&lt;/year&gt;&lt;/dates&gt;&lt;isbn&gt;2044-6055&lt;/isbn&gt;&lt;urls&gt;&lt;/urls&gt;&lt;/record&gt;&lt;/Cite&gt;&lt;/EndNote&gt;</w:instrText>
      </w:r>
      <w:r w:rsidR="007B0D13" w:rsidRPr="00961BAC">
        <w:rPr>
          <w:sz w:val="24"/>
          <w:szCs w:val="24"/>
        </w:rPr>
        <w:fldChar w:fldCharType="separate"/>
      </w:r>
      <w:r w:rsidR="00FD4C2C" w:rsidRPr="00961BAC">
        <w:rPr>
          <w:noProof/>
          <w:sz w:val="24"/>
          <w:szCs w:val="24"/>
          <w:vertAlign w:val="superscript"/>
        </w:rPr>
        <w:t>8</w:t>
      </w:r>
      <w:r w:rsidR="007B0D13" w:rsidRPr="00961BAC">
        <w:rPr>
          <w:sz w:val="24"/>
          <w:szCs w:val="24"/>
        </w:rPr>
        <w:fldChar w:fldCharType="end"/>
      </w:r>
      <w:r w:rsidR="007B0D13" w:rsidRPr="00961BAC">
        <w:rPr>
          <w:sz w:val="24"/>
          <w:szCs w:val="24"/>
        </w:rPr>
        <w:t>.</w:t>
      </w:r>
      <w:r w:rsidR="004626D5" w:rsidRPr="00961BAC">
        <w:rPr>
          <w:sz w:val="24"/>
          <w:szCs w:val="24"/>
        </w:rPr>
        <w:t xml:space="preserve"> </w:t>
      </w:r>
      <w:r w:rsidR="007804ED" w:rsidRPr="00961BAC" w:rsidDel="007804ED">
        <w:rPr>
          <w:sz w:val="24"/>
          <w:szCs w:val="24"/>
        </w:rPr>
        <w:t xml:space="preserve"> </w:t>
      </w:r>
    </w:p>
    <w:p w14:paraId="73236555" w14:textId="154B8C0D" w:rsidR="006C264D" w:rsidRPr="00961BAC" w:rsidRDefault="00212B0A" w:rsidP="00F47AA9">
      <w:pPr>
        <w:jc w:val="both"/>
        <w:rPr>
          <w:sz w:val="24"/>
          <w:szCs w:val="24"/>
        </w:rPr>
      </w:pPr>
      <w:r w:rsidRPr="00961BAC">
        <w:rPr>
          <w:sz w:val="24"/>
          <w:szCs w:val="24"/>
        </w:rPr>
        <w:t xml:space="preserve">In </w:t>
      </w:r>
      <w:r w:rsidR="00C032DA" w:rsidRPr="00961BAC">
        <w:rPr>
          <w:sz w:val="24"/>
          <w:szCs w:val="24"/>
        </w:rPr>
        <w:t>a</w:t>
      </w:r>
      <w:r w:rsidR="00943C0F" w:rsidRPr="00961BAC">
        <w:rPr>
          <w:sz w:val="24"/>
          <w:szCs w:val="24"/>
        </w:rPr>
        <w:t xml:space="preserve"> </w:t>
      </w:r>
      <w:r w:rsidRPr="00961BAC">
        <w:rPr>
          <w:sz w:val="24"/>
          <w:szCs w:val="24"/>
        </w:rPr>
        <w:t xml:space="preserve">recent </w:t>
      </w:r>
      <w:r w:rsidR="00943C0F" w:rsidRPr="00961BAC">
        <w:rPr>
          <w:sz w:val="24"/>
          <w:szCs w:val="24"/>
        </w:rPr>
        <w:t xml:space="preserve">cross-sectional </w:t>
      </w:r>
      <w:r w:rsidRPr="00961BAC">
        <w:rPr>
          <w:sz w:val="24"/>
          <w:szCs w:val="24"/>
        </w:rPr>
        <w:t>study</w:t>
      </w:r>
      <w:r w:rsidR="000A148E" w:rsidRPr="00961BAC">
        <w:rPr>
          <w:sz w:val="24"/>
          <w:szCs w:val="24"/>
        </w:rPr>
        <w:t xml:space="preserve"> </w:t>
      </w:r>
      <w:r w:rsidR="000A148E" w:rsidRPr="00961BAC">
        <w:rPr>
          <w:sz w:val="24"/>
          <w:szCs w:val="24"/>
        </w:rPr>
        <w:fldChar w:fldCharType="begin"/>
      </w:r>
      <w:r w:rsidR="00FD4C2C" w:rsidRPr="00961BAC">
        <w:rPr>
          <w:sz w:val="24"/>
          <w:szCs w:val="24"/>
        </w:rPr>
        <w:instrText xml:space="preserve"> ADDIN EN.CITE &lt;EndNote&gt;&lt;Cite&gt;&lt;Author&gt;Walker&lt;/Author&gt;&lt;Year&gt;2023&lt;/Year&gt;&lt;RecNum&gt;6&lt;/RecNum&gt;&lt;DisplayText&gt;&lt;style face="superscript"&gt;7&lt;/style&gt;&lt;/DisplayText&gt;&lt;record&gt;&lt;rec-number&gt;6&lt;/rec-number&gt;&lt;foreign-keys&gt;&lt;key app="EN" db-id="zfz9pe2xqf0rxiee9sbptsdssxaev52swxxa" timestamp="1710163749"&gt;6&lt;/key&gt;&lt;/foreign-keys&gt;&lt;ref-type name="Journal Article"&gt;17&lt;/ref-type&gt;&lt;contributors&gt;&lt;authors&gt;&lt;author&gt;Walker, Sarah&lt;/author&gt;&lt;author&gt;Goodfellow, Henry&lt;/author&gt;&lt;author&gt;Pookarnjanamorakot, Patra&lt;/author&gt;&lt;author&gt;Murray, Elizabeth&lt;/author&gt;&lt;author&gt;Bindman, Julia&lt;/author&gt;&lt;author&gt;Blandford, Ann&lt;/author&gt;&lt;author&gt;Bradbury, Katherine&lt;/author&gt;&lt;author&gt;Cooper, Belinda&lt;/author&gt;&lt;author&gt;Hamilton, Fiona L&lt;/author&gt;&lt;author&gt;Hurst, John R&lt;/author&gt;&lt;/authors&gt;&lt;/contributors&gt;&lt;titles&gt;&lt;title&gt;Impact of fatigue as the primary determinant of functional limitations among patients with post-COVID-19 syndrome: a cross-sectional observational study&lt;/title&gt;&lt;secondary-title&gt;BMJ open&lt;/secondary-title&gt;&lt;/titles&gt;&lt;periodical&gt;&lt;full-title&gt;BMJ open&lt;/full-title&gt;&lt;/periodical&gt;&lt;pages&gt;e069217&lt;/pages&gt;&lt;volume&gt;13&lt;/volume&gt;&lt;number&gt;6&lt;/number&gt;&lt;dates&gt;&lt;year&gt;2023&lt;/year&gt;&lt;/dates&gt;&lt;isbn&gt;2044-6055&lt;/isbn&gt;&lt;urls&gt;&lt;/urls&gt;&lt;/record&gt;&lt;/Cite&gt;&lt;/EndNote&gt;</w:instrText>
      </w:r>
      <w:r w:rsidR="000A148E" w:rsidRPr="00961BAC">
        <w:rPr>
          <w:sz w:val="24"/>
          <w:szCs w:val="24"/>
        </w:rPr>
        <w:fldChar w:fldCharType="separate"/>
      </w:r>
      <w:r w:rsidR="00FD4C2C" w:rsidRPr="00961BAC">
        <w:rPr>
          <w:noProof/>
          <w:sz w:val="24"/>
          <w:szCs w:val="24"/>
          <w:vertAlign w:val="superscript"/>
        </w:rPr>
        <w:t>7</w:t>
      </w:r>
      <w:r w:rsidR="000A148E" w:rsidRPr="00961BAC">
        <w:rPr>
          <w:sz w:val="24"/>
          <w:szCs w:val="24"/>
        </w:rPr>
        <w:fldChar w:fldCharType="end"/>
      </w:r>
      <w:r w:rsidRPr="00961BAC">
        <w:rPr>
          <w:sz w:val="24"/>
          <w:szCs w:val="24"/>
        </w:rPr>
        <w:t xml:space="preserve">, we described the characteristics and </w:t>
      </w:r>
      <w:r w:rsidR="008253B6" w:rsidRPr="00961BAC">
        <w:rPr>
          <w:sz w:val="24"/>
          <w:szCs w:val="24"/>
        </w:rPr>
        <w:t xml:space="preserve">self-reported </w:t>
      </w:r>
      <w:r w:rsidRPr="00961BAC">
        <w:rPr>
          <w:sz w:val="24"/>
          <w:szCs w:val="24"/>
        </w:rPr>
        <w:t>symptoms of a cohort</w:t>
      </w:r>
      <w:r w:rsidR="003F4C3E" w:rsidRPr="00961BAC">
        <w:rPr>
          <w:sz w:val="24"/>
          <w:szCs w:val="24"/>
        </w:rPr>
        <w:t xml:space="preserve"> of</w:t>
      </w:r>
      <w:r w:rsidRPr="00961BAC">
        <w:rPr>
          <w:sz w:val="24"/>
          <w:szCs w:val="24"/>
        </w:rPr>
        <w:t xml:space="preserve"> </w:t>
      </w:r>
      <w:r w:rsidR="008253B6" w:rsidRPr="00961BAC">
        <w:rPr>
          <w:sz w:val="24"/>
          <w:szCs w:val="24"/>
        </w:rPr>
        <w:t>patients referred to</w:t>
      </w:r>
      <w:r w:rsidRPr="00961BAC">
        <w:rPr>
          <w:sz w:val="24"/>
          <w:szCs w:val="24"/>
        </w:rPr>
        <w:t xml:space="preserve"> </w:t>
      </w:r>
      <w:r w:rsidR="00B0500D" w:rsidRPr="00961BAC">
        <w:rPr>
          <w:sz w:val="24"/>
          <w:szCs w:val="24"/>
        </w:rPr>
        <w:t>long COVID</w:t>
      </w:r>
      <w:r w:rsidR="008253B6" w:rsidRPr="00961BAC">
        <w:rPr>
          <w:sz w:val="24"/>
          <w:szCs w:val="24"/>
        </w:rPr>
        <w:t xml:space="preserve"> clinics in England</w:t>
      </w:r>
      <w:r w:rsidRPr="00961BAC">
        <w:rPr>
          <w:sz w:val="24"/>
          <w:szCs w:val="24"/>
        </w:rPr>
        <w:t>.</w:t>
      </w:r>
      <w:r w:rsidRPr="00961BAC">
        <w:t xml:space="preserve"> </w:t>
      </w:r>
      <w:r w:rsidRPr="00961BAC">
        <w:rPr>
          <w:sz w:val="24"/>
          <w:szCs w:val="24"/>
        </w:rPr>
        <w:t xml:space="preserve">We found that over half of this </w:t>
      </w:r>
      <w:bookmarkStart w:id="2" w:name="_Hlk162445180"/>
      <w:r w:rsidR="00C032DA" w:rsidRPr="00961BAC">
        <w:rPr>
          <w:sz w:val="24"/>
          <w:szCs w:val="24"/>
        </w:rPr>
        <w:t>care</w:t>
      </w:r>
      <w:r w:rsidRPr="00961BAC">
        <w:rPr>
          <w:sz w:val="24"/>
          <w:szCs w:val="24"/>
        </w:rPr>
        <w:t xml:space="preserve">-seeking </w:t>
      </w:r>
      <w:bookmarkEnd w:id="2"/>
      <w:r w:rsidRPr="00961BAC">
        <w:rPr>
          <w:sz w:val="24"/>
          <w:szCs w:val="24"/>
        </w:rPr>
        <w:t>population reported moderately severe or worse functional limitation</w:t>
      </w:r>
      <w:r w:rsidR="00590495" w:rsidRPr="00961BAC">
        <w:rPr>
          <w:sz w:val="24"/>
          <w:szCs w:val="24"/>
        </w:rPr>
        <w:t xml:space="preserve"> within the first month </w:t>
      </w:r>
      <w:r w:rsidR="00BC58FA" w:rsidRPr="00961BAC">
        <w:rPr>
          <w:sz w:val="24"/>
          <w:szCs w:val="24"/>
        </w:rPr>
        <w:t xml:space="preserve">(baseline) </w:t>
      </w:r>
      <w:r w:rsidR="00590495" w:rsidRPr="00961BAC">
        <w:rPr>
          <w:sz w:val="24"/>
          <w:szCs w:val="24"/>
        </w:rPr>
        <w:t>of registering in the LWCR</w:t>
      </w:r>
      <w:r w:rsidR="00BC58FA" w:rsidRPr="00961BAC">
        <w:rPr>
          <w:sz w:val="24"/>
          <w:szCs w:val="24"/>
        </w:rPr>
        <w:t xml:space="preserve"> programme</w:t>
      </w:r>
      <w:r w:rsidRPr="00961BAC">
        <w:rPr>
          <w:sz w:val="24"/>
          <w:szCs w:val="24"/>
        </w:rPr>
        <w:t xml:space="preserve">. Fatigue </w:t>
      </w:r>
      <w:r w:rsidRPr="00961BAC">
        <w:rPr>
          <w:sz w:val="24"/>
          <w:szCs w:val="24"/>
        </w:rPr>
        <w:lastRenderedPageBreak/>
        <w:t xml:space="preserve">seemed to be the dominant symptom explaining </w:t>
      </w:r>
      <w:r w:rsidR="00BC58FA" w:rsidRPr="00961BAC">
        <w:rPr>
          <w:sz w:val="24"/>
          <w:szCs w:val="24"/>
        </w:rPr>
        <w:t xml:space="preserve">the </w:t>
      </w:r>
      <w:r w:rsidRPr="00961BAC">
        <w:rPr>
          <w:sz w:val="24"/>
          <w:szCs w:val="24"/>
        </w:rPr>
        <w:t>variation in functional</w:t>
      </w:r>
      <w:r w:rsidR="00BC58FA" w:rsidRPr="00961BAC">
        <w:rPr>
          <w:sz w:val="24"/>
          <w:szCs w:val="24"/>
        </w:rPr>
        <w:t xml:space="preserve"> </w:t>
      </w:r>
      <w:r w:rsidR="00622347" w:rsidRPr="00961BAC">
        <w:rPr>
          <w:sz w:val="24"/>
          <w:szCs w:val="24"/>
        </w:rPr>
        <w:t>limitations</w:t>
      </w:r>
      <w:r w:rsidRPr="00961BAC">
        <w:rPr>
          <w:sz w:val="24"/>
          <w:szCs w:val="24"/>
        </w:rPr>
        <w:t xml:space="preserve">, with </w:t>
      </w:r>
      <w:r w:rsidR="00622347" w:rsidRPr="00961BAC">
        <w:rPr>
          <w:sz w:val="24"/>
          <w:szCs w:val="24"/>
        </w:rPr>
        <w:t xml:space="preserve">a </w:t>
      </w:r>
      <w:r w:rsidRPr="00961BAC">
        <w:rPr>
          <w:sz w:val="24"/>
          <w:szCs w:val="24"/>
        </w:rPr>
        <w:t xml:space="preserve">substantial impact on </w:t>
      </w:r>
      <w:r w:rsidR="00622347" w:rsidRPr="00961BAC">
        <w:rPr>
          <w:sz w:val="24"/>
          <w:szCs w:val="24"/>
        </w:rPr>
        <w:t xml:space="preserve">the individual’s </w:t>
      </w:r>
      <w:r w:rsidRPr="00961BAC">
        <w:rPr>
          <w:sz w:val="24"/>
          <w:szCs w:val="24"/>
        </w:rPr>
        <w:t>ability to work and activities of daily living.</w:t>
      </w:r>
      <w:r w:rsidR="00B0500D" w:rsidRPr="00961BAC">
        <w:rPr>
          <w:sz w:val="24"/>
          <w:szCs w:val="24"/>
        </w:rPr>
        <w:t xml:space="preserve"> </w:t>
      </w:r>
    </w:p>
    <w:p w14:paraId="0C594D36" w14:textId="35B89FE2" w:rsidR="00287653" w:rsidRPr="00961BAC" w:rsidRDefault="00D277C1" w:rsidP="008472E9">
      <w:pPr>
        <w:jc w:val="both"/>
        <w:rPr>
          <w:sz w:val="24"/>
          <w:szCs w:val="24"/>
        </w:rPr>
      </w:pPr>
      <w:r w:rsidRPr="00961BAC">
        <w:rPr>
          <w:sz w:val="24"/>
          <w:szCs w:val="24"/>
        </w:rPr>
        <w:t>A recent umbrella review</w:t>
      </w:r>
      <w:r w:rsidR="0075512A" w:rsidRPr="00961BAC">
        <w:rPr>
          <w:sz w:val="24"/>
          <w:szCs w:val="24"/>
        </w:rPr>
        <w:t xml:space="preserve"> suggested that long COVID </w:t>
      </w:r>
      <w:r w:rsidR="006F3733" w:rsidRPr="00961BAC">
        <w:rPr>
          <w:sz w:val="24"/>
          <w:szCs w:val="24"/>
        </w:rPr>
        <w:t>is likely to</w:t>
      </w:r>
      <w:r w:rsidR="0075512A" w:rsidRPr="00961BAC">
        <w:rPr>
          <w:sz w:val="24"/>
          <w:szCs w:val="24"/>
        </w:rPr>
        <w:t xml:space="preserve"> have an impact on family life, social functioning and mental health, but highlighted that the existing evidence is premature and insufficient to inform health care decision making</w:t>
      </w:r>
      <w:r w:rsidR="00F82BDA" w:rsidRPr="00961BAC">
        <w:rPr>
          <w:sz w:val="24"/>
          <w:szCs w:val="24"/>
        </w:rPr>
        <w:t xml:space="preserve"> </w:t>
      </w:r>
      <w:r w:rsidR="004D596E" w:rsidRPr="00961BAC">
        <w:rPr>
          <w:sz w:val="24"/>
          <w:szCs w:val="24"/>
        </w:rPr>
        <w:fldChar w:fldCharType="begin"/>
      </w:r>
      <w:r w:rsidR="00FD4C2C" w:rsidRPr="00961BAC">
        <w:rPr>
          <w:sz w:val="24"/>
          <w:szCs w:val="24"/>
        </w:rPr>
        <w:instrText xml:space="preserve"> ADDIN EN.CITE &lt;EndNote&gt;&lt;Cite&gt;&lt;Author&gt;Nittas&lt;/Author&gt;&lt;Year&gt;2022&lt;/Year&gt;&lt;RecNum&gt;26&lt;/RecNum&gt;&lt;DisplayText&gt;&lt;style face="superscript"&gt;9&lt;/style&gt;&lt;/DisplayText&gt;&lt;record&gt;&lt;rec-number&gt;26&lt;/rec-number&gt;&lt;foreign-keys&gt;&lt;key app="EN" db-id="zfz9pe2xqf0rxiee9sbptsdssxaev52swxxa" timestamp="1710513296"&gt;26&lt;/key&gt;&lt;/foreign-keys&gt;&lt;ref-type name="Journal Article"&gt;17&lt;/ref-type&gt;&lt;contributors&gt;&lt;authors&gt;&lt;author&gt;Nittas, Vasileios&lt;/author&gt;&lt;author&gt;Gao, Manqi&lt;/author&gt;&lt;author&gt;West, Erin A&lt;/author&gt;&lt;author&gt;Ballouz, Tala&lt;/author&gt;&lt;author&gt;Menges, Dominik&lt;/author&gt;&lt;author&gt;Wulf Hanson, Sarah&lt;/author&gt;&lt;author&gt;Puhan, Milo Alan&lt;/author&gt;&lt;/authors&gt;&lt;/contributors&gt;&lt;titles&gt;&lt;title&gt;Long COVID through a public health lens: an umbrella review&lt;/title&gt;&lt;secondary-title&gt;Public health reviews&lt;/secondary-title&gt;&lt;/titles&gt;&lt;periodical&gt;&lt;full-title&gt;Public health reviews&lt;/full-title&gt;&lt;/periodical&gt;&lt;pages&gt;1604501&lt;/pages&gt;&lt;volume&gt;43&lt;/volume&gt;&lt;dates&gt;&lt;year&gt;2022&lt;/year&gt;&lt;/dates&gt;&lt;isbn&gt;2107-6952&lt;/isbn&gt;&lt;urls&gt;&lt;/urls&gt;&lt;/record&gt;&lt;/Cite&gt;&lt;/EndNote&gt;</w:instrText>
      </w:r>
      <w:r w:rsidR="004D596E" w:rsidRPr="00961BAC">
        <w:rPr>
          <w:sz w:val="24"/>
          <w:szCs w:val="24"/>
        </w:rPr>
        <w:fldChar w:fldCharType="separate"/>
      </w:r>
      <w:r w:rsidR="00FD4C2C" w:rsidRPr="00961BAC">
        <w:rPr>
          <w:noProof/>
          <w:sz w:val="24"/>
          <w:szCs w:val="24"/>
          <w:vertAlign w:val="superscript"/>
        </w:rPr>
        <w:t>9</w:t>
      </w:r>
      <w:r w:rsidR="004D596E" w:rsidRPr="00961BAC">
        <w:rPr>
          <w:sz w:val="24"/>
          <w:szCs w:val="24"/>
        </w:rPr>
        <w:fldChar w:fldCharType="end"/>
      </w:r>
      <w:r w:rsidRPr="00961BAC">
        <w:rPr>
          <w:sz w:val="24"/>
          <w:szCs w:val="24"/>
        </w:rPr>
        <w:t>.</w:t>
      </w:r>
      <w:r w:rsidR="00167D6D" w:rsidRPr="00961BAC">
        <w:rPr>
          <w:sz w:val="24"/>
          <w:szCs w:val="24"/>
        </w:rPr>
        <w:t xml:space="preserve"> </w:t>
      </w:r>
      <w:r w:rsidR="000C411D" w:rsidRPr="00961BAC">
        <w:rPr>
          <w:sz w:val="24"/>
          <w:szCs w:val="24"/>
        </w:rPr>
        <w:t>They</w:t>
      </w:r>
      <w:r w:rsidR="00A65C1B" w:rsidRPr="00961BAC">
        <w:rPr>
          <w:sz w:val="24"/>
          <w:szCs w:val="24"/>
        </w:rPr>
        <w:t xml:space="preserve"> </w:t>
      </w:r>
      <w:r w:rsidR="006F616B" w:rsidRPr="00961BAC">
        <w:rPr>
          <w:sz w:val="24"/>
          <w:szCs w:val="24"/>
        </w:rPr>
        <w:t>emphasise</w:t>
      </w:r>
      <w:r w:rsidR="008E64D9" w:rsidRPr="00961BAC">
        <w:rPr>
          <w:sz w:val="24"/>
          <w:szCs w:val="24"/>
        </w:rPr>
        <w:t>d</w:t>
      </w:r>
      <w:r w:rsidR="006F616B" w:rsidRPr="00961BAC">
        <w:rPr>
          <w:sz w:val="24"/>
          <w:szCs w:val="24"/>
        </w:rPr>
        <w:t xml:space="preserve"> that representative</w:t>
      </w:r>
      <w:r w:rsidR="001042E5" w:rsidRPr="00961BAC">
        <w:rPr>
          <w:sz w:val="24"/>
          <w:szCs w:val="24"/>
        </w:rPr>
        <w:t>,</w:t>
      </w:r>
      <w:r w:rsidR="006F616B" w:rsidRPr="00961BAC">
        <w:rPr>
          <w:sz w:val="24"/>
          <w:szCs w:val="24"/>
        </w:rPr>
        <w:t xml:space="preserve"> </w:t>
      </w:r>
      <w:r w:rsidR="008E64D9" w:rsidRPr="00961BAC">
        <w:rPr>
          <w:sz w:val="24"/>
          <w:szCs w:val="24"/>
        </w:rPr>
        <w:t>prospective studies</w:t>
      </w:r>
      <w:r w:rsidR="006F616B" w:rsidRPr="00961BAC">
        <w:rPr>
          <w:sz w:val="24"/>
          <w:szCs w:val="24"/>
        </w:rPr>
        <w:t xml:space="preserve"> </w:t>
      </w:r>
      <w:r w:rsidR="00201CD1" w:rsidRPr="00961BAC">
        <w:rPr>
          <w:sz w:val="24"/>
          <w:szCs w:val="24"/>
        </w:rPr>
        <w:t>are vital to improve current understanding of</w:t>
      </w:r>
      <w:r w:rsidR="009D2210" w:rsidRPr="00961BAC">
        <w:rPr>
          <w:sz w:val="24"/>
          <w:szCs w:val="24"/>
        </w:rPr>
        <w:t xml:space="preserve"> the</w:t>
      </w:r>
      <w:r w:rsidR="006C264D" w:rsidRPr="00961BAC">
        <w:rPr>
          <w:sz w:val="24"/>
          <w:szCs w:val="24"/>
        </w:rPr>
        <w:t xml:space="preserve"> impact of long COVID on </w:t>
      </w:r>
      <w:r w:rsidR="00737B24" w:rsidRPr="00961BAC">
        <w:rPr>
          <w:sz w:val="24"/>
          <w:szCs w:val="24"/>
        </w:rPr>
        <w:t>functional impairment, health outcome</w:t>
      </w:r>
      <w:r w:rsidR="00C75087" w:rsidRPr="00961BAC">
        <w:rPr>
          <w:sz w:val="24"/>
          <w:szCs w:val="24"/>
        </w:rPr>
        <w:t>s</w:t>
      </w:r>
      <w:r w:rsidR="00737B24" w:rsidRPr="00961BAC">
        <w:rPr>
          <w:sz w:val="24"/>
          <w:szCs w:val="24"/>
        </w:rPr>
        <w:t xml:space="preserve"> and costs</w:t>
      </w:r>
      <w:r w:rsidR="009D2210" w:rsidRPr="00961BAC">
        <w:rPr>
          <w:sz w:val="24"/>
          <w:szCs w:val="24"/>
        </w:rPr>
        <w:t xml:space="preserve"> over time</w:t>
      </w:r>
      <w:r w:rsidR="005A1F49" w:rsidRPr="00961BAC">
        <w:rPr>
          <w:sz w:val="24"/>
          <w:szCs w:val="24"/>
        </w:rPr>
        <w:t>.</w:t>
      </w:r>
    </w:p>
    <w:p w14:paraId="5D9B0529" w14:textId="31BA13AD" w:rsidR="00674703" w:rsidRPr="00961BAC" w:rsidRDefault="005A1F49" w:rsidP="008472E9">
      <w:pPr>
        <w:jc w:val="both"/>
        <w:rPr>
          <w:sz w:val="24"/>
          <w:szCs w:val="24"/>
        </w:rPr>
      </w:pPr>
      <w:r w:rsidRPr="00961BAC">
        <w:rPr>
          <w:sz w:val="24"/>
          <w:szCs w:val="24"/>
        </w:rPr>
        <w:t>This paper</w:t>
      </w:r>
      <w:r w:rsidR="001A2B5A" w:rsidRPr="00961BAC">
        <w:rPr>
          <w:sz w:val="24"/>
          <w:szCs w:val="24"/>
        </w:rPr>
        <w:t xml:space="preserve"> </w:t>
      </w:r>
      <w:r w:rsidR="00D4546C" w:rsidRPr="00961BAC">
        <w:rPr>
          <w:sz w:val="24"/>
          <w:szCs w:val="24"/>
        </w:rPr>
        <w:t>report</w:t>
      </w:r>
      <w:r w:rsidRPr="00961BAC">
        <w:rPr>
          <w:sz w:val="24"/>
          <w:szCs w:val="24"/>
        </w:rPr>
        <w:t>s</w:t>
      </w:r>
      <w:r w:rsidR="001A2B5A" w:rsidRPr="00961BAC">
        <w:rPr>
          <w:sz w:val="24"/>
          <w:szCs w:val="24"/>
        </w:rPr>
        <w:t xml:space="preserve"> </w:t>
      </w:r>
      <w:r w:rsidR="00D419AB" w:rsidRPr="00961BAC">
        <w:rPr>
          <w:sz w:val="24"/>
          <w:szCs w:val="24"/>
        </w:rPr>
        <w:t xml:space="preserve">on </w:t>
      </w:r>
      <w:r w:rsidR="00046CFF" w:rsidRPr="00961BAC">
        <w:rPr>
          <w:sz w:val="24"/>
          <w:szCs w:val="24"/>
        </w:rPr>
        <w:t xml:space="preserve">the </w:t>
      </w:r>
      <w:r w:rsidR="00340AB8" w:rsidRPr="00961BAC">
        <w:rPr>
          <w:sz w:val="24"/>
          <w:szCs w:val="24"/>
        </w:rPr>
        <w:t xml:space="preserve">trajectories of functional limitations, fatigue, HRQL and societal costs within the first </w:t>
      </w:r>
      <w:r w:rsidR="00C75087" w:rsidRPr="00961BAC">
        <w:rPr>
          <w:sz w:val="24"/>
          <w:szCs w:val="24"/>
        </w:rPr>
        <w:t>6</w:t>
      </w:r>
      <w:r w:rsidR="00340AB8" w:rsidRPr="00961BAC">
        <w:rPr>
          <w:sz w:val="24"/>
          <w:szCs w:val="24"/>
        </w:rPr>
        <w:t xml:space="preserve"> months after registration in the LWCR</w:t>
      </w:r>
      <w:r w:rsidR="0058768E" w:rsidRPr="00961BAC">
        <w:rPr>
          <w:sz w:val="24"/>
          <w:szCs w:val="24"/>
        </w:rPr>
        <w:t xml:space="preserve">. In addition, we investigate whether </w:t>
      </w:r>
      <w:r w:rsidR="005E7497" w:rsidRPr="00961BAC">
        <w:rPr>
          <w:sz w:val="24"/>
          <w:szCs w:val="24"/>
        </w:rPr>
        <w:t>these trajectories differ according to</w:t>
      </w:r>
      <w:r w:rsidR="007E2332" w:rsidRPr="00961BAC">
        <w:rPr>
          <w:sz w:val="24"/>
          <w:szCs w:val="24"/>
        </w:rPr>
        <w:t xml:space="preserve"> patient characteristics or</w:t>
      </w:r>
      <w:r w:rsidR="005E7497" w:rsidRPr="00961BAC">
        <w:rPr>
          <w:sz w:val="24"/>
          <w:szCs w:val="24"/>
        </w:rPr>
        <w:t xml:space="preserve"> </w:t>
      </w:r>
      <w:r w:rsidR="00CF386F" w:rsidRPr="00961BAC">
        <w:rPr>
          <w:sz w:val="24"/>
          <w:szCs w:val="24"/>
        </w:rPr>
        <w:t xml:space="preserve">the </w:t>
      </w:r>
      <w:r w:rsidR="001B6C85" w:rsidRPr="00961BAC">
        <w:rPr>
          <w:sz w:val="24"/>
          <w:szCs w:val="24"/>
        </w:rPr>
        <w:t xml:space="preserve">extent of the individuals’ </w:t>
      </w:r>
      <w:r w:rsidR="006A74E6" w:rsidRPr="00961BAC">
        <w:rPr>
          <w:sz w:val="24"/>
          <w:szCs w:val="24"/>
        </w:rPr>
        <w:t>participation in the LWCR programme</w:t>
      </w:r>
      <w:r w:rsidR="009B6220" w:rsidRPr="00961BAC">
        <w:rPr>
          <w:sz w:val="24"/>
          <w:szCs w:val="24"/>
        </w:rPr>
        <w:t>.</w:t>
      </w:r>
    </w:p>
    <w:p w14:paraId="0F0DB909" w14:textId="77777777" w:rsidR="005339FF" w:rsidRPr="00961BAC" w:rsidRDefault="005339FF" w:rsidP="008472E9">
      <w:pPr>
        <w:jc w:val="both"/>
        <w:rPr>
          <w:b/>
          <w:bCs/>
          <w:sz w:val="24"/>
          <w:szCs w:val="24"/>
        </w:rPr>
      </w:pPr>
    </w:p>
    <w:p w14:paraId="3E8EEC43" w14:textId="00C48ACE" w:rsidR="00807207" w:rsidRPr="00961BAC" w:rsidRDefault="000F4ECC" w:rsidP="008472E9">
      <w:pPr>
        <w:jc w:val="both"/>
        <w:rPr>
          <w:b/>
          <w:bCs/>
          <w:sz w:val="24"/>
          <w:szCs w:val="24"/>
        </w:rPr>
      </w:pPr>
      <w:r w:rsidRPr="00961BAC">
        <w:rPr>
          <w:b/>
          <w:bCs/>
          <w:sz w:val="24"/>
          <w:szCs w:val="24"/>
        </w:rPr>
        <w:t>METHODS</w:t>
      </w:r>
    </w:p>
    <w:p w14:paraId="305B050B" w14:textId="74EE6264" w:rsidR="003239C4" w:rsidRPr="00961BAC" w:rsidRDefault="003239C4" w:rsidP="008472E9">
      <w:pPr>
        <w:jc w:val="both"/>
        <w:rPr>
          <w:b/>
          <w:bCs/>
          <w:sz w:val="24"/>
          <w:szCs w:val="24"/>
        </w:rPr>
      </w:pPr>
      <w:r w:rsidRPr="00961BAC">
        <w:rPr>
          <w:b/>
          <w:bCs/>
          <w:sz w:val="24"/>
          <w:szCs w:val="24"/>
        </w:rPr>
        <w:t>Design and setting</w:t>
      </w:r>
    </w:p>
    <w:p w14:paraId="73056C0B" w14:textId="1F2EA0BD" w:rsidR="00436198" w:rsidRPr="00961BAC" w:rsidRDefault="00C446AF" w:rsidP="008472E9">
      <w:pPr>
        <w:jc w:val="both"/>
        <w:rPr>
          <w:sz w:val="24"/>
          <w:szCs w:val="24"/>
        </w:rPr>
      </w:pPr>
      <w:r w:rsidRPr="00961BAC">
        <w:rPr>
          <w:sz w:val="24"/>
          <w:szCs w:val="24"/>
        </w:rPr>
        <w:t>This is a</w:t>
      </w:r>
      <w:r w:rsidR="00226B62" w:rsidRPr="00961BAC">
        <w:rPr>
          <w:sz w:val="24"/>
          <w:szCs w:val="24"/>
        </w:rPr>
        <w:t xml:space="preserve"> population-based,</w:t>
      </w:r>
      <w:r w:rsidRPr="00961BAC">
        <w:rPr>
          <w:sz w:val="24"/>
          <w:szCs w:val="24"/>
        </w:rPr>
        <w:t xml:space="preserve"> longitudinal </w:t>
      </w:r>
      <w:r w:rsidR="00226B62" w:rsidRPr="00961BAC">
        <w:rPr>
          <w:sz w:val="24"/>
          <w:szCs w:val="24"/>
        </w:rPr>
        <w:t>cohort</w:t>
      </w:r>
      <w:r w:rsidRPr="00961BAC">
        <w:rPr>
          <w:sz w:val="24"/>
          <w:szCs w:val="24"/>
        </w:rPr>
        <w:t xml:space="preserve"> study of patients</w:t>
      </w:r>
      <w:r w:rsidR="00CF06DA" w:rsidRPr="00961BAC">
        <w:rPr>
          <w:sz w:val="24"/>
          <w:szCs w:val="24"/>
        </w:rPr>
        <w:t xml:space="preserve"> with </w:t>
      </w:r>
      <w:r w:rsidR="00B0500D" w:rsidRPr="00961BAC">
        <w:rPr>
          <w:sz w:val="24"/>
          <w:szCs w:val="24"/>
        </w:rPr>
        <w:t>long COVID</w:t>
      </w:r>
      <w:r w:rsidR="005A1446" w:rsidRPr="00961BAC">
        <w:rPr>
          <w:sz w:val="24"/>
          <w:szCs w:val="24"/>
        </w:rPr>
        <w:t>,</w:t>
      </w:r>
      <w:r w:rsidR="00436198" w:rsidRPr="00961BAC">
        <w:rPr>
          <w:sz w:val="24"/>
          <w:szCs w:val="24"/>
        </w:rPr>
        <w:t xml:space="preserve"> who were</w:t>
      </w:r>
      <w:r w:rsidR="005A1446" w:rsidRPr="00961BAC">
        <w:rPr>
          <w:sz w:val="24"/>
          <w:szCs w:val="24"/>
        </w:rPr>
        <w:t xml:space="preserve"> referred to 35 </w:t>
      </w:r>
      <w:r w:rsidR="00436198" w:rsidRPr="00961BAC">
        <w:rPr>
          <w:sz w:val="24"/>
          <w:szCs w:val="24"/>
        </w:rPr>
        <w:t xml:space="preserve">specialised long COVID clinics in the UK and </w:t>
      </w:r>
      <w:r w:rsidR="007B7C76" w:rsidRPr="00961BAC">
        <w:rPr>
          <w:sz w:val="24"/>
          <w:szCs w:val="24"/>
        </w:rPr>
        <w:t>par</w:t>
      </w:r>
      <w:r w:rsidR="005A1446" w:rsidRPr="00961BAC">
        <w:rPr>
          <w:sz w:val="24"/>
          <w:szCs w:val="24"/>
        </w:rPr>
        <w:t>ticipated in the</w:t>
      </w:r>
      <w:r w:rsidRPr="00961BAC">
        <w:rPr>
          <w:sz w:val="24"/>
          <w:szCs w:val="24"/>
        </w:rPr>
        <w:t xml:space="preserve"> LWCR</w:t>
      </w:r>
      <w:r w:rsidR="005A1446" w:rsidRPr="00961BAC">
        <w:rPr>
          <w:sz w:val="24"/>
          <w:szCs w:val="24"/>
        </w:rPr>
        <w:t xml:space="preserve"> programme</w:t>
      </w:r>
      <w:r w:rsidRPr="00961BAC">
        <w:rPr>
          <w:sz w:val="24"/>
          <w:szCs w:val="24"/>
        </w:rPr>
        <w:t>.</w:t>
      </w:r>
    </w:p>
    <w:p w14:paraId="05DFC0AD" w14:textId="4AEFF7E2" w:rsidR="003239C4" w:rsidRPr="00961BAC" w:rsidRDefault="003239C4" w:rsidP="008472E9">
      <w:pPr>
        <w:jc w:val="both"/>
        <w:rPr>
          <w:sz w:val="24"/>
          <w:szCs w:val="24"/>
        </w:rPr>
      </w:pPr>
      <w:r w:rsidRPr="00961BAC">
        <w:rPr>
          <w:b/>
          <w:bCs/>
          <w:sz w:val="24"/>
          <w:szCs w:val="24"/>
        </w:rPr>
        <w:t>Intervention</w:t>
      </w:r>
    </w:p>
    <w:p w14:paraId="1AC2AAFA" w14:textId="4CB5DC94" w:rsidR="00A06C2B" w:rsidRPr="00961BAC" w:rsidRDefault="00DA1901" w:rsidP="008472E9">
      <w:pPr>
        <w:jc w:val="both"/>
        <w:rPr>
          <w:sz w:val="24"/>
          <w:szCs w:val="24"/>
        </w:rPr>
      </w:pPr>
      <w:r w:rsidRPr="00961BAC">
        <w:rPr>
          <w:sz w:val="24"/>
          <w:szCs w:val="24"/>
        </w:rPr>
        <w:t xml:space="preserve">The </w:t>
      </w:r>
      <w:r w:rsidR="009B51A1" w:rsidRPr="00961BAC">
        <w:rPr>
          <w:sz w:val="24"/>
          <w:szCs w:val="24"/>
        </w:rPr>
        <w:t xml:space="preserve">LWCR </w:t>
      </w:r>
      <w:r w:rsidRPr="00961BAC">
        <w:rPr>
          <w:sz w:val="24"/>
          <w:szCs w:val="24"/>
        </w:rPr>
        <w:t xml:space="preserve">was </w:t>
      </w:r>
      <w:r w:rsidR="002467E8" w:rsidRPr="00961BAC">
        <w:rPr>
          <w:sz w:val="24"/>
          <w:szCs w:val="24"/>
        </w:rPr>
        <w:t xml:space="preserve">a digital health intervention </w:t>
      </w:r>
      <w:r w:rsidRPr="00961BAC">
        <w:rPr>
          <w:sz w:val="24"/>
          <w:szCs w:val="24"/>
        </w:rPr>
        <w:t xml:space="preserve">designed to support the recovery of </w:t>
      </w:r>
      <w:r w:rsidR="00F275FF" w:rsidRPr="00961BAC">
        <w:rPr>
          <w:sz w:val="24"/>
          <w:szCs w:val="24"/>
        </w:rPr>
        <w:t>individuals</w:t>
      </w:r>
      <w:r w:rsidRPr="00961BAC">
        <w:rPr>
          <w:sz w:val="24"/>
          <w:szCs w:val="24"/>
        </w:rPr>
        <w:t xml:space="preserve"> living with long COVID </w:t>
      </w:r>
      <w:r w:rsidR="007607F9" w:rsidRPr="00961BAC">
        <w:rPr>
          <w:sz w:val="24"/>
          <w:szCs w:val="24"/>
        </w:rPr>
        <w:t>symptoms</w:t>
      </w:r>
      <w:r w:rsidR="009B51A1" w:rsidRPr="00961BAC">
        <w:rPr>
          <w:sz w:val="24"/>
          <w:szCs w:val="24"/>
        </w:rPr>
        <w:t xml:space="preserve">. </w:t>
      </w:r>
      <w:r w:rsidR="00436198" w:rsidRPr="00961BAC">
        <w:rPr>
          <w:sz w:val="24"/>
          <w:szCs w:val="24"/>
        </w:rPr>
        <w:t>The</w:t>
      </w:r>
      <w:r w:rsidR="009C6B73" w:rsidRPr="00961BAC">
        <w:rPr>
          <w:sz w:val="24"/>
          <w:szCs w:val="24"/>
        </w:rPr>
        <w:t xml:space="preserve"> </w:t>
      </w:r>
      <w:r w:rsidR="005052B7" w:rsidRPr="00961BAC">
        <w:rPr>
          <w:sz w:val="24"/>
          <w:szCs w:val="24"/>
        </w:rPr>
        <w:t>LWCR programme was developed collaboratively by a multidisciplinary team including clinicians, patient and public involvement representatives, academics and an industry partner</w:t>
      </w:r>
      <w:r w:rsidR="00BA3A72" w:rsidRPr="00961BAC">
        <w:rPr>
          <w:sz w:val="24"/>
          <w:szCs w:val="24"/>
        </w:rPr>
        <w:t>,</w:t>
      </w:r>
      <w:r w:rsidR="005052B7" w:rsidRPr="00961BAC">
        <w:rPr>
          <w:sz w:val="24"/>
          <w:szCs w:val="24"/>
        </w:rPr>
        <w:t xml:space="preserve"> and encompasses  </w:t>
      </w:r>
      <w:r w:rsidR="00436198" w:rsidRPr="00961BAC">
        <w:rPr>
          <w:sz w:val="24"/>
          <w:szCs w:val="24"/>
        </w:rPr>
        <w:t xml:space="preserve">three </w:t>
      </w:r>
      <w:r w:rsidR="00471EF6" w:rsidRPr="00961BAC">
        <w:rPr>
          <w:sz w:val="24"/>
          <w:szCs w:val="24"/>
        </w:rPr>
        <w:t xml:space="preserve">key components: </w:t>
      </w:r>
      <w:r w:rsidR="00436198" w:rsidRPr="00961BAC">
        <w:rPr>
          <w:sz w:val="24"/>
          <w:szCs w:val="24"/>
        </w:rPr>
        <w:t>1) a</w:t>
      </w:r>
      <w:r w:rsidR="00471EF6" w:rsidRPr="00961BAC">
        <w:rPr>
          <w:sz w:val="24"/>
          <w:szCs w:val="24"/>
        </w:rPr>
        <w:t xml:space="preserve"> mobile</w:t>
      </w:r>
      <w:r w:rsidR="00436198" w:rsidRPr="00961BAC">
        <w:rPr>
          <w:sz w:val="24"/>
          <w:szCs w:val="24"/>
        </w:rPr>
        <w:t xml:space="preserve"> app for patients</w:t>
      </w:r>
      <w:r w:rsidR="00471EF6" w:rsidRPr="00961BAC">
        <w:rPr>
          <w:sz w:val="24"/>
          <w:szCs w:val="24"/>
        </w:rPr>
        <w:t>,</w:t>
      </w:r>
      <w:r w:rsidR="00436198" w:rsidRPr="00961BAC">
        <w:rPr>
          <w:sz w:val="24"/>
          <w:szCs w:val="24"/>
        </w:rPr>
        <w:t xml:space="preserve"> which collects </w:t>
      </w:r>
      <w:r w:rsidR="00480D85" w:rsidRPr="00961BAC">
        <w:rPr>
          <w:sz w:val="24"/>
          <w:szCs w:val="24"/>
        </w:rPr>
        <w:t xml:space="preserve">their </w:t>
      </w:r>
      <w:r w:rsidR="00436198" w:rsidRPr="00961BAC">
        <w:rPr>
          <w:sz w:val="24"/>
          <w:szCs w:val="24"/>
        </w:rPr>
        <w:t>symptoms and uses th</w:t>
      </w:r>
      <w:r w:rsidR="006E685F" w:rsidRPr="00961BAC">
        <w:rPr>
          <w:sz w:val="24"/>
          <w:szCs w:val="24"/>
        </w:rPr>
        <w:t>at</w:t>
      </w:r>
      <w:r w:rsidR="00436198" w:rsidRPr="00961BAC">
        <w:rPr>
          <w:sz w:val="24"/>
          <w:szCs w:val="24"/>
        </w:rPr>
        <w:t xml:space="preserve"> information to deliver tailored, personalised</w:t>
      </w:r>
      <w:r w:rsidR="00471EF6" w:rsidRPr="00961BAC">
        <w:rPr>
          <w:sz w:val="24"/>
          <w:szCs w:val="24"/>
        </w:rPr>
        <w:t xml:space="preserve"> </w:t>
      </w:r>
      <w:r w:rsidR="00436198" w:rsidRPr="00961BAC">
        <w:rPr>
          <w:sz w:val="24"/>
          <w:szCs w:val="24"/>
        </w:rPr>
        <w:t>advice</w:t>
      </w:r>
      <w:r w:rsidR="00471EF6" w:rsidRPr="00961BAC">
        <w:rPr>
          <w:sz w:val="24"/>
          <w:szCs w:val="24"/>
        </w:rPr>
        <w:t xml:space="preserve">; </w:t>
      </w:r>
      <w:r w:rsidR="00436198" w:rsidRPr="00961BAC">
        <w:rPr>
          <w:sz w:val="24"/>
          <w:szCs w:val="24"/>
        </w:rPr>
        <w:t xml:space="preserve">2) a dashboard that allows clinicians to review </w:t>
      </w:r>
      <w:r w:rsidR="00F662D1" w:rsidRPr="00961BAC">
        <w:rPr>
          <w:sz w:val="24"/>
          <w:szCs w:val="24"/>
        </w:rPr>
        <w:t>patient’s</w:t>
      </w:r>
      <w:r w:rsidR="00436198" w:rsidRPr="00961BAC">
        <w:rPr>
          <w:sz w:val="24"/>
          <w:szCs w:val="24"/>
        </w:rPr>
        <w:t xml:space="preserve"> progress and communicate with </w:t>
      </w:r>
      <w:r w:rsidR="00F662D1" w:rsidRPr="00961BAC">
        <w:rPr>
          <w:sz w:val="24"/>
          <w:szCs w:val="24"/>
        </w:rPr>
        <w:t>them</w:t>
      </w:r>
      <w:r w:rsidR="00D4688F" w:rsidRPr="00961BAC">
        <w:rPr>
          <w:sz w:val="24"/>
          <w:szCs w:val="24"/>
        </w:rPr>
        <w:t>;</w:t>
      </w:r>
      <w:r w:rsidR="00436198" w:rsidRPr="00961BAC">
        <w:rPr>
          <w:sz w:val="24"/>
          <w:szCs w:val="24"/>
        </w:rPr>
        <w:t xml:space="preserve"> and 3) a</w:t>
      </w:r>
      <w:r w:rsidR="00D4688F" w:rsidRPr="00961BAC">
        <w:rPr>
          <w:sz w:val="24"/>
          <w:szCs w:val="24"/>
        </w:rPr>
        <w:t xml:space="preserve"> </w:t>
      </w:r>
      <w:r w:rsidR="00436198" w:rsidRPr="00961BAC">
        <w:rPr>
          <w:sz w:val="24"/>
          <w:szCs w:val="24"/>
        </w:rPr>
        <w:t>clinical pathway that specifies how patients can safely receive this remote supported care.</w:t>
      </w:r>
      <w:r w:rsidR="00F36A82" w:rsidRPr="00961BAC">
        <w:rPr>
          <w:sz w:val="24"/>
          <w:szCs w:val="24"/>
        </w:rPr>
        <w:t xml:space="preserve"> Patient information collected through the LWCR app</w:t>
      </w:r>
      <w:r w:rsidR="00200A87" w:rsidRPr="00961BAC">
        <w:rPr>
          <w:sz w:val="24"/>
          <w:szCs w:val="24"/>
        </w:rPr>
        <w:t xml:space="preserve"> enables </w:t>
      </w:r>
      <w:r w:rsidR="00F662D1" w:rsidRPr="00961BAC">
        <w:rPr>
          <w:sz w:val="24"/>
          <w:szCs w:val="24"/>
        </w:rPr>
        <w:t xml:space="preserve">the </w:t>
      </w:r>
      <w:r w:rsidR="00B0500D" w:rsidRPr="00961BAC">
        <w:rPr>
          <w:sz w:val="24"/>
          <w:szCs w:val="24"/>
        </w:rPr>
        <w:t>long COVID</w:t>
      </w:r>
      <w:r w:rsidR="00200A87" w:rsidRPr="00961BAC">
        <w:rPr>
          <w:sz w:val="24"/>
          <w:szCs w:val="24"/>
        </w:rPr>
        <w:t xml:space="preserve"> clinics to manage the high volume of patients and provide remote supported care. </w:t>
      </w:r>
      <w:r w:rsidR="004C1B23" w:rsidRPr="00961BAC">
        <w:rPr>
          <w:sz w:val="24"/>
          <w:szCs w:val="24"/>
        </w:rPr>
        <w:t>Further details about the development of th</w:t>
      </w:r>
      <w:r w:rsidR="00E526D0" w:rsidRPr="00961BAC">
        <w:rPr>
          <w:sz w:val="24"/>
          <w:szCs w:val="24"/>
        </w:rPr>
        <w:t xml:space="preserve">e LWCR </w:t>
      </w:r>
      <w:r w:rsidR="00B54FF6" w:rsidRPr="00961BAC">
        <w:rPr>
          <w:sz w:val="24"/>
          <w:szCs w:val="24"/>
        </w:rPr>
        <w:t>intervention</w:t>
      </w:r>
      <w:r w:rsidR="004C1B23" w:rsidRPr="00961BAC">
        <w:rPr>
          <w:sz w:val="24"/>
          <w:szCs w:val="24"/>
        </w:rPr>
        <w:t xml:space="preserve"> are reported elsewhere</w:t>
      </w:r>
      <w:r w:rsidR="006C4A12" w:rsidRPr="00961BAC">
        <w:rPr>
          <w:sz w:val="24"/>
          <w:szCs w:val="24"/>
        </w:rPr>
        <w:t xml:space="preserve"> </w:t>
      </w:r>
      <w:r w:rsidR="006C4A12" w:rsidRPr="00961BAC">
        <w:rPr>
          <w:sz w:val="24"/>
          <w:szCs w:val="24"/>
        </w:rPr>
        <w:fldChar w:fldCharType="begin">
          <w:fldData xml:space="preserve">PEVuZE5vdGU+PENpdGU+PEF1dGhvcj5NdXJyYXk8L0F1dGhvcj48WWVhcj4yMDIyPC9ZZWFyPjxS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</w:fldData>
        </w:fldChar>
      </w:r>
      <w:r w:rsidR="00FD4C2C" w:rsidRPr="00961BAC">
        <w:rPr>
          <w:sz w:val="24"/>
          <w:szCs w:val="24"/>
        </w:rPr>
        <w:instrText xml:space="preserve"> ADDIN EN.CITE </w:instrText>
      </w:r>
      <w:r w:rsidR="00FD4C2C" w:rsidRPr="00961BAC">
        <w:rPr>
          <w:sz w:val="24"/>
          <w:szCs w:val="24"/>
        </w:rPr>
        <w:fldChar w:fldCharType="begin">
          <w:fldData xml:space="preserve">PEVuZE5vdGU+PENpdGU+PEF1dGhvcj5NdXJyYXk8L0F1dGhvcj48WWVhcj4yMDIyPC9ZZWFyPjxS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</w:fldData>
        </w:fldChar>
      </w:r>
      <w:r w:rsidR="00FD4C2C" w:rsidRPr="00961BAC">
        <w:rPr>
          <w:sz w:val="24"/>
          <w:szCs w:val="24"/>
        </w:rPr>
        <w:instrText xml:space="preserve"> ADDIN EN.CITE.DATA </w:instrText>
      </w:r>
      <w:r w:rsidR="00FD4C2C" w:rsidRPr="00961BAC">
        <w:rPr>
          <w:sz w:val="24"/>
          <w:szCs w:val="24"/>
        </w:rPr>
      </w:r>
      <w:r w:rsidR="00FD4C2C" w:rsidRPr="00961BAC">
        <w:rPr>
          <w:sz w:val="24"/>
          <w:szCs w:val="24"/>
        </w:rPr>
        <w:fldChar w:fldCharType="end"/>
      </w:r>
      <w:r w:rsidR="006C4A12" w:rsidRPr="00961BAC">
        <w:rPr>
          <w:sz w:val="24"/>
          <w:szCs w:val="24"/>
        </w:rPr>
      </w:r>
      <w:r w:rsidR="006C4A12" w:rsidRPr="00961BAC">
        <w:rPr>
          <w:sz w:val="24"/>
          <w:szCs w:val="24"/>
        </w:rPr>
        <w:fldChar w:fldCharType="separate"/>
      </w:r>
      <w:r w:rsidR="00FD4C2C" w:rsidRPr="00961BAC">
        <w:rPr>
          <w:noProof/>
          <w:sz w:val="24"/>
          <w:szCs w:val="24"/>
          <w:vertAlign w:val="superscript"/>
        </w:rPr>
        <w:t>7 8</w:t>
      </w:r>
      <w:r w:rsidR="006C4A12" w:rsidRPr="00961BAC">
        <w:rPr>
          <w:sz w:val="24"/>
          <w:szCs w:val="24"/>
        </w:rPr>
        <w:fldChar w:fldCharType="end"/>
      </w:r>
      <w:r w:rsidR="006C4A12" w:rsidRPr="00961BAC">
        <w:rPr>
          <w:sz w:val="24"/>
          <w:szCs w:val="24"/>
        </w:rPr>
        <w:t>.</w:t>
      </w:r>
      <w:r w:rsidR="00267A9C" w:rsidRPr="00961BAC">
        <w:rPr>
          <w:sz w:val="24"/>
          <w:szCs w:val="24"/>
        </w:rPr>
        <w:t xml:space="preserve"> </w:t>
      </w:r>
    </w:p>
    <w:p w14:paraId="41BDE2DA" w14:textId="2E8D3074" w:rsidR="003239C4" w:rsidRPr="00961BAC" w:rsidRDefault="003239C4" w:rsidP="008472E9">
      <w:pPr>
        <w:jc w:val="both"/>
        <w:rPr>
          <w:sz w:val="24"/>
          <w:szCs w:val="24"/>
        </w:rPr>
      </w:pPr>
      <w:r w:rsidRPr="00961BAC">
        <w:rPr>
          <w:b/>
          <w:bCs/>
          <w:sz w:val="24"/>
          <w:szCs w:val="24"/>
        </w:rPr>
        <w:t>Population</w:t>
      </w:r>
    </w:p>
    <w:p w14:paraId="34FC13E2" w14:textId="3D103EEC" w:rsidR="00A06C2B" w:rsidRPr="00961BAC" w:rsidRDefault="00307363" w:rsidP="008472E9">
      <w:pPr>
        <w:jc w:val="both"/>
        <w:rPr>
          <w:sz w:val="24"/>
          <w:szCs w:val="24"/>
        </w:rPr>
      </w:pPr>
      <w:r w:rsidRPr="00961BAC">
        <w:rPr>
          <w:sz w:val="24"/>
          <w:szCs w:val="24"/>
        </w:rPr>
        <w:t>In</w:t>
      </w:r>
      <w:r w:rsidR="00631276" w:rsidRPr="00961BAC">
        <w:rPr>
          <w:sz w:val="24"/>
          <w:szCs w:val="24"/>
        </w:rPr>
        <w:t xml:space="preserve"> 2020 </w:t>
      </w:r>
      <w:r w:rsidR="000A52AD" w:rsidRPr="00961BAC">
        <w:rPr>
          <w:sz w:val="24"/>
          <w:szCs w:val="24"/>
        </w:rPr>
        <w:t>the UK</w:t>
      </w:r>
      <w:r w:rsidR="003A0E17" w:rsidRPr="00961BAC">
        <w:rPr>
          <w:sz w:val="24"/>
          <w:szCs w:val="24"/>
        </w:rPr>
        <w:t xml:space="preserve"> NHS</w:t>
      </w:r>
      <w:r w:rsidR="000A52AD" w:rsidRPr="00961BAC">
        <w:rPr>
          <w:sz w:val="24"/>
          <w:szCs w:val="24"/>
        </w:rPr>
        <w:t xml:space="preserve"> has established specialist clinics to provide multidisciplinary services for</w:t>
      </w:r>
      <w:r w:rsidR="00F01FBD" w:rsidRPr="00961BAC">
        <w:rPr>
          <w:sz w:val="24"/>
          <w:szCs w:val="24"/>
        </w:rPr>
        <w:t xml:space="preserve"> individuals with</w:t>
      </w:r>
      <w:r w:rsidR="00352441" w:rsidRPr="00961BAC">
        <w:rPr>
          <w:sz w:val="24"/>
          <w:szCs w:val="24"/>
        </w:rPr>
        <w:t xml:space="preserve"> a diagnosis of</w:t>
      </w:r>
      <w:r w:rsidR="000A52AD" w:rsidRPr="00961BAC">
        <w:rPr>
          <w:sz w:val="24"/>
          <w:szCs w:val="24"/>
        </w:rPr>
        <w:t xml:space="preserve"> </w:t>
      </w:r>
      <w:r w:rsidR="00B0500D" w:rsidRPr="00961BAC">
        <w:rPr>
          <w:sz w:val="24"/>
          <w:szCs w:val="24"/>
        </w:rPr>
        <w:t>long COVID</w:t>
      </w:r>
      <w:r w:rsidR="00A92D0E" w:rsidRPr="00961BAC">
        <w:rPr>
          <w:sz w:val="24"/>
          <w:szCs w:val="24"/>
        </w:rPr>
        <w:t xml:space="preserve"> </w:t>
      </w:r>
      <w:r w:rsidR="008979BD" w:rsidRPr="00961BAC">
        <w:rPr>
          <w:sz w:val="24"/>
          <w:szCs w:val="24"/>
        </w:rPr>
        <w:t xml:space="preserve">referred </w:t>
      </w:r>
      <w:r w:rsidR="00397B2B" w:rsidRPr="00961BAC">
        <w:rPr>
          <w:sz w:val="24"/>
          <w:szCs w:val="24"/>
        </w:rPr>
        <w:t xml:space="preserve">from </w:t>
      </w:r>
      <w:r w:rsidR="008979BD" w:rsidRPr="00961BAC">
        <w:rPr>
          <w:sz w:val="24"/>
          <w:szCs w:val="24"/>
        </w:rPr>
        <w:t xml:space="preserve">primary </w:t>
      </w:r>
      <w:r w:rsidR="00397B2B" w:rsidRPr="00961BAC">
        <w:rPr>
          <w:sz w:val="24"/>
          <w:szCs w:val="24"/>
        </w:rPr>
        <w:t>and</w:t>
      </w:r>
      <w:r w:rsidR="008979BD" w:rsidRPr="00961BAC">
        <w:rPr>
          <w:sz w:val="24"/>
          <w:szCs w:val="24"/>
        </w:rPr>
        <w:t xml:space="preserve"> secondary care.</w:t>
      </w:r>
      <w:r w:rsidR="009911F9" w:rsidRPr="00961BAC">
        <w:rPr>
          <w:sz w:val="24"/>
          <w:szCs w:val="24"/>
        </w:rPr>
        <w:t xml:space="preserve"> </w:t>
      </w:r>
      <w:r w:rsidR="00302043" w:rsidRPr="00961BAC">
        <w:rPr>
          <w:sz w:val="24"/>
          <w:szCs w:val="24"/>
        </w:rPr>
        <w:t xml:space="preserve">Eligible </w:t>
      </w:r>
      <w:r w:rsidR="00352441" w:rsidRPr="00961BAC">
        <w:rPr>
          <w:sz w:val="24"/>
          <w:szCs w:val="24"/>
        </w:rPr>
        <w:t>participants</w:t>
      </w:r>
      <w:r w:rsidR="00302043" w:rsidRPr="00961BAC">
        <w:rPr>
          <w:sz w:val="24"/>
          <w:szCs w:val="24"/>
        </w:rPr>
        <w:t xml:space="preserve"> were identified </w:t>
      </w:r>
      <w:r w:rsidR="00BF1CC4" w:rsidRPr="00961BAC">
        <w:rPr>
          <w:sz w:val="24"/>
          <w:szCs w:val="24"/>
        </w:rPr>
        <w:t xml:space="preserve">by the long COVID clinic </w:t>
      </w:r>
      <w:r w:rsidR="00302043" w:rsidRPr="00961BAC">
        <w:rPr>
          <w:sz w:val="24"/>
          <w:szCs w:val="24"/>
        </w:rPr>
        <w:t xml:space="preserve">as being suitable for the </w:t>
      </w:r>
      <w:r w:rsidR="0075759D" w:rsidRPr="00961BAC">
        <w:rPr>
          <w:sz w:val="24"/>
          <w:szCs w:val="24"/>
        </w:rPr>
        <w:t xml:space="preserve">LWCR </w:t>
      </w:r>
      <w:r w:rsidR="00BF1CC4" w:rsidRPr="00961BAC">
        <w:rPr>
          <w:sz w:val="24"/>
          <w:szCs w:val="24"/>
        </w:rPr>
        <w:t xml:space="preserve">programme </w:t>
      </w:r>
      <w:r w:rsidR="00302043" w:rsidRPr="00961BAC">
        <w:rPr>
          <w:sz w:val="24"/>
          <w:szCs w:val="24"/>
        </w:rPr>
        <w:t>if</w:t>
      </w:r>
      <w:r w:rsidR="00FE2C52" w:rsidRPr="00961BAC">
        <w:rPr>
          <w:sz w:val="24"/>
          <w:szCs w:val="24"/>
        </w:rPr>
        <w:t xml:space="preserve"> they were</w:t>
      </w:r>
      <w:r w:rsidR="0075759D" w:rsidRPr="00961BAC">
        <w:rPr>
          <w:sz w:val="24"/>
          <w:szCs w:val="24"/>
        </w:rPr>
        <w:t xml:space="preserve"> </w:t>
      </w:r>
      <w:r w:rsidR="008979BD" w:rsidRPr="00961BAC">
        <w:rPr>
          <w:sz w:val="24"/>
          <w:szCs w:val="24"/>
        </w:rPr>
        <w:t xml:space="preserve">aged 18 or over, </w:t>
      </w:r>
      <w:r w:rsidR="00FE2C52" w:rsidRPr="00961BAC">
        <w:rPr>
          <w:sz w:val="24"/>
          <w:szCs w:val="24"/>
        </w:rPr>
        <w:t xml:space="preserve">had </w:t>
      </w:r>
      <w:r w:rsidR="0075759D" w:rsidRPr="00961BAC">
        <w:rPr>
          <w:sz w:val="24"/>
          <w:szCs w:val="24"/>
        </w:rPr>
        <w:t>access to</w:t>
      </w:r>
      <w:r w:rsidR="008979BD" w:rsidRPr="00961BAC">
        <w:rPr>
          <w:sz w:val="24"/>
          <w:szCs w:val="24"/>
        </w:rPr>
        <w:t xml:space="preserve"> a smartphone, </w:t>
      </w:r>
      <w:r w:rsidR="00F4469E" w:rsidRPr="00961BAC">
        <w:rPr>
          <w:sz w:val="24"/>
          <w:szCs w:val="24"/>
        </w:rPr>
        <w:t xml:space="preserve">were considered </w:t>
      </w:r>
      <w:r w:rsidR="0075759D" w:rsidRPr="00961BAC">
        <w:rPr>
          <w:sz w:val="24"/>
          <w:szCs w:val="24"/>
        </w:rPr>
        <w:t>l</w:t>
      </w:r>
      <w:r w:rsidR="008979BD" w:rsidRPr="00961BAC">
        <w:rPr>
          <w:sz w:val="24"/>
          <w:szCs w:val="24"/>
        </w:rPr>
        <w:t xml:space="preserve">ikely </w:t>
      </w:r>
      <w:r w:rsidR="00FD5380" w:rsidRPr="00961BAC">
        <w:rPr>
          <w:sz w:val="24"/>
          <w:szCs w:val="24"/>
        </w:rPr>
        <w:t xml:space="preserve">to </w:t>
      </w:r>
      <w:r w:rsidR="008979BD" w:rsidRPr="00961BAC">
        <w:rPr>
          <w:sz w:val="24"/>
          <w:szCs w:val="24"/>
        </w:rPr>
        <w:t>benefit from the</w:t>
      </w:r>
      <w:r w:rsidR="00E61795" w:rsidRPr="00961BAC">
        <w:rPr>
          <w:sz w:val="24"/>
          <w:szCs w:val="24"/>
        </w:rPr>
        <w:t xml:space="preserve"> digital intervention</w:t>
      </w:r>
      <w:r w:rsidR="0075759D" w:rsidRPr="00961BAC">
        <w:rPr>
          <w:sz w:val="24"/>
          <w:szCs w:val="24"/>
        </w:rPr>
        <w:t>,</w:t>
      </w:r>
      <w:r w:rsidR="008979BD" w:rsidRPr="00961BAC">
        <w:rPr>
          <w:sz w:val="24"/>
          <w:szCs w:val="24"/>
        </w:rPr>
        <w:t xml:space="preserve"> </w:t>
      </w:r>
      <w:r w:rsidR="00FE2C52" w:rsidRPr="00961BAC">
        <w:rPr>
          <w:sz w:val="24"/>
          <w:szCs w:val="24"/>
        </w:rPr>
        <w:t xml:space="preserve">were </w:t>
      </w:r>
      <w:r w:rsidR="00EF6B22" w:rsidRPr="00961BAC">
        <w:rPr>
          <w:sz w:val="24"/>
          <w:szCs w:val="24"/>
        </w:rPr>
        <w:t xml:space="preserve">working, </w:t>
      </w:r>
      <w:r w:rsidR="00D44201" w:rsidRPr="00961BAC">
        <w:rPr>
          <w:sz w:val="24"/>
          <w:szCs w:val="24"/>
        </w:rPr>
        <w:t>fit for</w:t>
      </w:r>
      <w:r w:rsidR="008979BD" w:rsidRPr="00961BAC">
        <w:rPr>
          <w:sz w:val="24"/>
          <w:szCs w:val="24"/>
        </w:rPr>
        <w:t xml:space="preserve"> rehabilitation and able to read English. </w:t>
      </w:r>
      <w:r w:rsidR="0075759D" w:rsidRPr="00961BAC">
        <w:rPr>
          <w:sz w:val="24"/>
          <w:szCs w:val="24"/>
        </w:rPr>
        <w:t>This study included</w:t>
      </w:r>
      <w:r w:rsidR="00352441" w:rsidRPr="00961BAC">
        <w:rPr>
          <w:sz w:val="24"/>
          <w:szCs w:val="24"/>
        </w:rPr>
        <w:t xml:space="preserve"> individuals with </w:t>
      </w:r>
      <w:r w:rsidR="00B0500D" w:rsidRPr="00961BAC">
        <w:rPr>
          <w:sz w:val="24"/>
          <w:szCs w:val="24"/>
        </w:rPr>
        <w:t>long COVID</w:t>
      </w:r>
      <w:r w:rsidR="007C181F" w:rsidRPr="00961BAC">
        <w:rPr>
          <w:sz w:val="24"/>
          <w:szCs w:val="24"/>
        </w:rPr>
        <w:t xml:space="preserve"> </w:t>
      </w:r>
      <w:r w:rsidR="0075759D" w:rsidRPr="00961BAC">
        <w:rPr>
          <w:sz w:val="24"/>
          <w:szCs w:val="24"/>
        </w:rPr>
        <w:t xml:space="preserve">registered </w:t>
      </w:r>
      <w:r w:rsidR="00C61CCC" w:rsidRPr="00961BAC">
        <w:rPr>
          <w:sz w:val="24"/>
          <w:szCs w:val="24"/>
        </w:rPr>
        <w:t>i</w:t>
      </w:r>
      <w:r w:rsidR="0075759D" w:rsidRPr="00961BAC">
        <w:rPr>
          <w:sz w:val="24"/>
          <w:szCs w:val="24"/>
        </w:rPr>
        <w:t>n the</w:t>
      </w:r>
      <w:r w:rsidR="009B51A1" w:rsidRPr="00961BAC">
        <w:rPr>
          <w:sz w:val="24"/>
          <w:szCs w:val="24"/>
        </w:rPr>
        <w:t xml:space="preserve"> </w:t>
      </w:r>
      <w:r w:rsidR="00CA0E7A" w:rsidRPr="00961BAC">
        <w:rPr>
          <w:sz w:val="24"/>
          <w:szCs w:val="24"/>
        </w:rPr>
        <w:t xml:space="preserve">LWCR </w:t>
      </w:r>
      <w:r w:rsidR="001854AF" w:rsidRPr="00961BAC">
        <w:rPr>
          <w:sz w:val="24"/>
          <w:szCs w:val="24"/>
        </w:rPr>
        <w:t>programme</w:t>
      </w:r>
      <w:r w:rsidR="009B51A1" w:rsidRPr="00961BAC">
        <w:rPr>
          <w:sz w:val="24"/>
          <w:szCs w:val="24"/>
        </w:rPr>
        <w:t xml:space="preserve"> between </w:t>
      </w:r>
      <w:r w:rsidR="007C181F" w:rsidRPr="00961BAC">
        <w:rPr>
          <w:sz w:val="24"/>
          <w:szCs w:val="24"/>
        </w:rPr>
        <w:t>4 August</w:t>
      </w:r>
      <w:r w:rsidR="009B51A1" w:rsidRPr="00961BAC">
        <w:rPr>
          <w:sz w:val="24"/>
          <w:szCs w:val="24"/>
        </w:rPr>
        <w:t xml:space="preserve"> 2020 and </w:t>
      </w:r>
      <w:r w:rsidR="007C181F" w:rsidRPr="00961BAC">
        <w:rPr>
          <w:sz w:val="24"/>
          <w:szCs w:val="24"/>
        </w:rPr>
        <w:t>5 August</w:t>
      </w:r>
      <w:r w:rsidR="009B51A1" w:rsidRPr="00961BAC">
        <w:rPr>
          <w:sz w:val="24"/>
          <w:szCs w:val="24"/>
        </w:rPr>
        <w:t xml:space="preserve"> 2022</w:t>
      </w:r>
      <w:r w:rsidR="007C181F" w:rsidRPr="00961BAC">
        <w:rPr>
          <w:sz w:val="24"/>
          <w:szCs w:val="24"/>
        </w:rPr>
        <w:t xml:space="preserve">, who </w:t>
      </w:r>
      <w:r w:rsidR="00C80397" w:rsidRPr="00961BAC">
        <w:rPr>
          <w:sz w:val="24"/>
          <w:szCs w:val="24"/>
        </w:rPr>
        <w:t>completed the</w:t>
      </w:r>
      <w:r w:rsidR="007C181F" w:rsidRPr="00961BAC">
        <w:rPr>
          <w:sz w:val="24"/>
          <w:szCs w:val="24"/>
        </w:rPr>
        <w:t xml:space="preserve"> </w:t>
      </w:r>
      <w:r w:rsidR="00E12467" w:rsidRPr="00961BAC">
        <w:rPr>
          <w:sz w:val="24"/>
          <w:szCs w:val="24"/>
        </w:rPr>
        <w:t xml:space="preserve">baseline </w:t>
      </w:r>
      <w:r w:rsidR="007C181F" w:rsidRPr="00961BAC">
        <w:rPr>
          <w:sz w:val="24"/>
          <w:szCs w:val="24"/>
        </w:rPr>
        <w:t xml:space="preserve">questionnaires for </w:t>
      </w:r>
      <w:r w:rsidR="00A10994" w:rsidRPr="00961BAC">
        <w:rPr>
          <w:sz w:val="24"/>
          <w:szCs w:val="24"/>
        </w:rPr>
        <w:t xml:space="preserve">the </w:t>
      </w:r>
      <w:r w:rsidR="007C181F" w:rsidRPr="00961BAC">
        <w:rPr>
          <w:sz w:val="24"/>
          <w:szCs w:val="24"/>
        </w:rPr>
        <w:t>outcome</w:t>
      </w:r>
      <w:r w:rsidR="00C80397" w:rsidRPr="00961BAC">
        <w:rPr>
          <w:sz w:val="24"/>
          <w:szCs w:val="24"/>
        </w:rPr>
        <w:t>s of interest</w:t>
      </w:r>
      <w:r w:rsidR="008B185B" w:rsidRPr="00961BAC">
        <w:rPr>
          <w:sz w:val="24"/>
          <w:szCs w:val="24"/>
        </w:rPr>
        <w:t xml:space="preserve"> </w:t>
      </w:r>
      <w:r w:rsidR="00775836" w:rsidRPr="00961BAC">
        <w:rPr>
          <w:sz w:val="24"/>
          <w:szCs w:val="24"/>
        </w:rPr>
        <w:t>w</w:t>
      </w:r>
      <w:r w:rsidR="007C181F" w:rsidRPr="00961BAC">
        <w:rPr>
          <w:sz w:val="24"/>
          <w:szCs w:val="24"/>
        </w:rPr>
        <w:t xml:space="preserve">ithin one month </w:t>
      </w:r>
      <w:r w:rsidR="00E12467" w:rsidRPr="00961BAC">
        <w:rPr>
          <w:sz w:val="24"/>
          <w:szCs w:val="24"/>
        </w:rPr>
        <w:t>of</w:t>
      </w:r>
      <w:r w:rsidR="007C181F" w:rsidRPr="00961BAC">
        <w:rPr>
          <w:sz w:val="24"/>
          <w:szCs w:val="24"/>
        </w:rPr>
        <w:t xml:space="preserve"> registration</w:t>
      </w:r>
      <w:r w:rsidR="002C087A" w:rsidRPr="00961BAC">
        <w:rPr>
          <w:sz w:val="24"/>
          <w:szCs w:val="24"/>
        </w:rPr>
        <w:t xml:space="preserve"> (defined</w:t>
      </w:r>
      <w:r w:rsidR="00A10994" w:rsidRPr="00961BAC">
        <w:rPr>
          <w:sz w:val="24"/>
          <w:szCs w:val="24"/>
        </w:rPr>
        <w:t xml:space="preserve"> as ‘baseline’ in this study)</w:t>
      </w:r>
      <w:r w:rsidR="007C181F" w:rsidRPr="00961BAC">
        <w:rPr>
          <w:sz w:val="24"/>
          <w:szCs w:val="24"/>
        </w:rPr>
        <w:t xml:space="preserve">. </w:t>
      </w:r>
      <w:r w:rsidR="00EB6EF2" w:rsidRPr="00961BAC">
        <w:rPr>
          <w:sz w:val="24"/>
          <w:szCs w:val="24"/>
        </w:rPr>
        <w:t>Individuals</w:t>
      </w:r>
      <w:r w:rsidR="00DE3E9F" w:rsidRPr="00961BAC">
        <w:rPr>
          <w:sz w:val="24"/>
          <w:szCs w:val="24"/>
        </w:rPr>
        <w:t xml:space="preserve"> </w:t>
      </w:r>
      <w:r w:rsidR="00EB6EF2" w:rsidRPr="00961BAC">
        <w:rPr>
          <w:sz w:val="24"/>
          <w:szCs w:val="24"/>
        </w:rPr>
        <w:t>could</w:t>
      </w:r>
      <w:r w:rsidR="00DE3E9F" w:rsidRPr="00961BAC">
        <w:rPr>
          <w:sz w:val="24"/>
          <w:szCs w:val="24"/>
        </w:rPr>
        <w:t xml:space="preserve"> </w:t>
      </w:r>
      <w:r w:rsidR="00252B50" w:rsidRPr="00961BAC">
        <w:rPr>
          <w:sz w:val="24"/>
          <w:szCs w:val="24"/>
        </w:rPr>
        <w:t>complete</w:t>
      </w:r>
      <w:r w:rsidR="00DE3E9F" w:rsidRPr="00961BAC">
        <w:rPr>
          <w:sz w:val="24"/>
          <w:szCs w:val="24"/>
        </w:rPr>
        <w:t xml:space="preserve"> the questionnaires</w:t>
      </w:r>
      <w:r w:rsidR="00252B50" w:rsidRPr="00961BAC">
        <w:rPr>
          <w:sz w:val="24"/>
          <w:szCs w:val="24"/>
        </w:rPr>
        <w:t xml:space="preserve"> independently</w:t>
      </w:r>
      <w:r w:rsidR="00DE3E9F" w:rsidRPr="00961BAC">
        <w:rPr>
          <w:sz w:val="24"/>
          <w:szCs w:val="24"/>
        </w:rPr>
        <w:t xml:space="preserve"> or </w:t>
      </w:r>
      <w:r w:rsidR="009E3ED6" w:rsidRPr="00961BAC">
        <w:rPr>
          <w:sz w:val="24"/>
          <w:szCs w:val="24"/>
        </w:rPr>
        <w:t xml:space="preserve">supported by a health </w:t>
      </w:r>
      <w:r w:rsidR="009E3ED6" w:rsidRPr="00961BAC">
        <w:rPr>
          <w:sz w:val="24"/>
          <w:szCs w:val="24"/>
        </w:rPr>
        <w:lastRenderedPageBreak/>
        <w:t>professional in the long COVID clinic</w:t>
      </w:r>
      <w:r w:rsidR="00DE3E9F" w:rsidRPr="00961BAC">
        <w:rPr>
          <w:sz w:val="24"/>
          <w:szCs w:val="24"/>
        </w:rPr>
        <w:t>.</w:t>
      </w:r>
      <w:r w:rsidR="00560630" w:rsidRPr="00961BAC">
        <w:rPr>
          <w:sz w:val="24"/>
          <w:szCs w:val="24"/>
        </w:rPr>
        <w:t xml:space="preserve"> We also</w:t>
      </w:r>
      <w:r w:rsidR="00E243AA" w:rsidRPr="00961BAC">
        <w:rPr>
          <w:sz w:val="24"/>
          <w:szCs w:val="24"/>
        </w:rPr>
        <w:t xml:space="preserve"> </w:t>
      </w:r>
      <w:r w:rsidR="001D3130" w:rsidRPr="00961BAC">
        <w:rPr>
          <w:sz w:val="24"/>
          <w:szCs w:val="24"/>
        </w:rPr>
        <w:t>those individuals who are either retired or have chosen not to work for reasons unrelated to long COVID. The paper reported the results for those individuals who have not ticked this box.</w:t>
      </w:r>
    </w:p>
    <w:p w14:paraId="70DEDECF" w14:textId="1CFD1ADB" w:rsidR="00C37096" w:rsidRPr="00961BAC" w:rsidRDefault="00C37096" w:rsidP="008472E9">
      <w:pPr>
        <w:jc w:val="both"/>
        <w:rPr>
          <w:sz w:val="24"/>
          <w:szCs w:val="24"/>
        </w:rPr>
      </w:pPr>
      <w:r w:rsidRPr="00961BAC">
        <w:rPr>
          <w:b/>
          <w:bCs/>
          <w:sz w:val="24"/>
          <w:szCs w:val="24"/>
        </w:rPr>
        <w:t>Primary outcome</w:t>
      </w:r>
    </w:p>
    <w:p w14:paraId="13F0D020" w14:textId="3E10D42B" w:rsidR="00165370" w:rsidRPr="00961BAC" w:rsidRDefault="00C543D7" w:rsidP="008472E9">
      <w:pPr>
        <w:jc w:val="both"/>
        <w:rPr>
          <w:sz w:val="24"/>
          <w:szCs w:val="24"/>
        </w:rPr>
      </w:pPr>
      <w:r w:rsidRPr="00961BAC">
        <w:rPr>
          <w:sz w:val="24"/>
          <w:szCs w:val="24"/>
        </w:rPr>
        <w:t xml:space="preserve">The </w:t>
      </w:r>
      <w:r w:rsidR="00BD6CC8" w:rsidRPr="00961BAC">
        <w:rPr>
          <w:sz w:val="24"/>
          <w:szCs w:val="24"/>
        </w:rPr>
        <w:t xml:space="preserve">primary outcome was </w:t>
      </w:r>
      <w:r w:rsidRPr="00961BAC">
        <w:rPr>
          <w:sz w:val="24"/>
          <w:szCs w:val="24"/>
        </w:rPr>
        <w:t xml:space="preserve">the </w:t>
      </w:r>
      <w:r w:rsidR="00965FB2" w:rsidRPr="00961BAC">
        <w:rPr>
          <w:sz w:val="24"/>
          <w:szCs w:val="24"/>
        </w:rPr>
        <w:t>trajectory of</w:t>
      </w:r>
      <w:r w:rsidR="00C37096" w:rsidRPr="00961BAC">
        <w:rPr>
          <w:sz w:val="24"/>
          <w:szCs w:val="24"/>
        </w:rPr>
        <w:t xml:space="preserve"> </w:t>
      </w:r>
      <w:r w:rsidR="00640166" w:rsidRPr="00961BAC">
        <w:rPr>
          <w:sz w:val="24"/>
          <w:szCs w:val="24"/>
        </w:rPr>
        <w:t>Work and Social Adjustment Scale (</w:t>
      </w:r>
      <w:r w:rsidRPr="00961BAC">
        <w:rPr>
          <w:sz w:val="24"/>
          <w:szCs w:val="24"/>
        </w:rPr>
        <w:t>WSAS</w:t>
      </w:r>
      <w:r w:rsidR="00640166" w:rsidRPr="00961BAC">
        <w:rPr>
          <w:sz w:val="24"/>
          <w:szCs w:val="24"/>
        </w:rPr>
        <w:t>)</w:t>
      </w:r>
      <w:r w:rsidR="00924EAD" w:rsidRPr="00961BAC">
        <w:rPr>
          <w:sz w:val="24"/>
          <w:szCs w:val="24"/>
        </w:rPr>
        <w:t xml:space="preserve"> </w:t>
      </w:r>
      <w:r w:rsidR="00C13C44" w:rsidRPr="00961BAC">
        <w:rPr>
          <w:sz w:val="24"/>
          <w:szCs w:val="24"/>
        </w:rPr>
        <w:t xml:space="preserve">between baseline and </w:t>
      </w:r>
      <w:r w:rsidR="00095233" w:rsidRPr="00961BAC">
        <w:rPr>
          <w:sz w:val="24"/>
          <w:szCs w:val="24"/>
        </w:rPr>
        <w:t>6</w:t>
      </w:r>
      <w:r w:rsidR="00924EAD" w:rsidRPr="00961BAC">
        <w:rPr>
          <w:sz w:val="24"/>
          <w:szCs w:val="24"/>
        </w:rPr>
        <w:t xml:space="preserve"> months after </w:t>
      </w:r>
      <w:r w:rsidR="00095233" w:rsidRPr="00961BAC">
        <w:rPr>
          <w:sz w:val="24"/>
          <w:szCs w:val="24"/>
        </w:rPr>
        <w:t xml:space="preserve">registration </w:t>
      </w:r>
      <w:r w:rsidR="00965FB2" w:rsidRPr="00961BAC">
        <w:rPr>
          <w:sz w:val="24"/>
          <w:szCs w:val="24"/>
        </w:rPr>
        <w:t>in</w:t>
      </w:r>
      <w:r w:rsidR="00BD6CC8" w:rsidRPr="00961BAC">
        <w:rPr>
          <w:sz w:val="24"/>
          <w:szCs w:val="24"/>
        </w:rPr>
        <w:t xml:space="preserve"> </w:t>
      </w:r>
      <w:r w:rsidR="00924EAD" w:rsidRPr="00961BAC">
        <w:rPr>
          <w:sz w:val="24"/>
          <w:szCs w:val="24"/>
        </w:rPr>
        <w:t>the LWCR</w:t>
      </w:r>
      <w:r w:rsidRPr="00961BAC">
        <w:rPr>
          <w:sz w:val="24"/>
          <w:szCs w:val="24"/>
        </w:rPr>
        <w:t>.</w:t>
      </w:r>
      <w:r w:rsidR="00D04FFE" w:rsidRPr="00961BAC">
        <w:rPr>
          <w:sz w:val="24"/>
          <w:szCs w:val="24"/>
        </w:rPr>
        <w:t xml:space="preserve"> </w:t>
      </w:r>
      <w:r w:rsidR="00B96F85" w:rsidRPr="00961BAC">
        <w:rPr>
          <w:sz w:val="24"/>
          <w:szCs w:val="24"/>
        </w:rPr>
        <w:t xml:space="preserve">WSAS is a self-reported measurement </w:t>
      </w:r>
      <w:r w:rsidR="00F977D5" w:rsidRPr="00961BAC">
        <w:rPr>
          <w:sz w:val="24"/>
          <w:szCs w:val="24"/>
        </w:rPr>
        <w:t xml:space="preserve">of </w:t>
      </w:r>
      <w:r w:rsidR="00B96F85" w:rsidRPr="00961BAC">
        <w:rPr>
          <w:sz w:val="24"/>
          <w:szCs w:val="24"/>
        </w:rPr>
        <w:t>functional limitations</w:t>
      </w:r>
      <w:r w:rsidR="00CE7622" w:rsidRPr="00961BAC">
        <w:rPr>
          <w:sz w:val="24"/>
          <w:szCs w:val="24"/>
        </w:rPr>
        <w:t xml:space="preserve">, </w:t>
      </w:r>
      <w:r w:rsidR="0028615E" w:rsidRPr="00961BAC">
        <w:rPr>
          <w:sz w:val="24"/>
          <w:szCs w:val="24"/>
        </w:rPr>
        <w:t xml:space="preserve">evaluating </w:t>
      </w:r>
      <w:r w:rsidR="00CE7622" w:rsidRPr="00961BAC">
        <w:rPr>
          <w:sz w:val="24"/>
          <w:szCs w:val="24"/>
        </w:rPr>
        <w:t xml:space="preserve">how </w:t>
      </w:r>
      <w:r w:rsidR="00F977D5" w:rsidRPr="00961BAC">
        <w:rPr>
          <w:sz w:val="24"/>
          <w:szCs w:val="24"/>
        </w:rPr>
        <w:t xml:space="preserve">a specific condition </w:t>
      </w:r>
      <w:r w:rsidR="00CE7622" w:rsidRPr="00961BAC">
        <w:rPr>
          <w:sz w:val="24"/>
          <w:szCs w:val="24"/>
        </w:rPr>
        <w:t>affect</w:t>
      </w:r>
      <w:r w:rsidR="000C68E9" w:rsidRPr="00961BAC">
        <w:rPr>
          <w:sz w:val="24"/>
          <w:szCs w:val="24"/>
        </w:rPr>
        <w:t>s</w:t>
      </w:r>
      <w:r w:rsidR="0028615E" w:rsidRPr="00961BAC">
        <w:rPr>
          <w:sz w:val="24"/>
          <w:szCs w:val="24"/>
        </w:rPr>
        <w:t xml:space="preserve"> </w:t>
      </w:r>
      <w:r w:rsidR="000C68E9" w:rsidRPr="00961BAC">
        <w:rPr>
          <w:sz w:val="24"/>
          <w:szCs w:val="24"/>
        </w:rPr>
        <w:t xml:space="preserve"> </w:t>
      </w:r>
      <w:r w:rsidR="00667AD6" w:rsidRPr="00961BAC">
        <w:rPr>
          <w:sz w:val="24"/>
          <w:szCs w:val="24"/>
        </w:rPr>
        <w:t xml:space="preserve">a </w:t>
      </w:r>
      <w:r w:rsidR="00CE7622" w:rsidRPr="00961BAC">
        <w:rPr>
          <w:sz w:val="24"/>
          <w:szCs w:val="24"/>
        </w:rPr>
        <w:t xml:space="preserve">patient’s ability </w:t>
      </w:r>
      <w:r w:rsidR="004E3C04" w:rsidRPr="00961BAC">
        <w:rPr>
          <w:sz w:val="24"/>
          <w:szCs w:val="24"/>
        </w:rPr>
        <w:t xml:space="preserve"> to carry out activities across five dimensions: </w:t>
      </w:r>
      <w:r w:rsidR="00F05861" w:rsidRPr="00961BAC">
        <w:rPr>
          <w:sz w:val="24"/>
          <w:szCs w:val="24"/>
        </w:rPr>
        <w:t xml:space="preserve">1) </w:t>
      </w:r>
      <w:r w:rsidR="00CE7622" w:rsidRPr="00961BAC">
        <w:rPr>
          <w:sz w:val="24"/>
          <w:szCs w:val="24"/>
        </w:rPr>
        <w:t>work,</w:t>
      </w:r>
      <w:r w:rsidR="00F05861" w:rsidRPr="00961BAC">
        <w:rPr>
          <w:sz w:val="24"/>
          <w:szCs w:val="24"/>
        </w:rPr>
        <w:t xml:space="preserve"> 2)</w:t>
      </w:r>
      <w:r w:rsidR="00CE7622" w:rsidRPr="00961BAC">
        <w:rPr>
          <w:sz w:val="24"/>
          <w:szCs w:val="24"/>
        </w:rPr>
        <w:t xml:space="preserve"> home management,</w:t>
      </w:r>
      <w:r w:rsidR="00F05861" w:rsidRPr="00961BAC">
        <w:rPr>
          <w:sz w:val="24"/>
          <w:szCs w:val="24"/>
        </w:rPr>
        <w:t xml:space="preserve"> 3)</w:t>
      </w:r>
      <w:r w:rsidR="00CE7622" w:rsidRPr="00961BAC">
        <w:rPr>
          <w:sz w:val="24"/>
          <w:szCs w:val="24"/>
        </w:rPr>
        <w:t xml:space="preserve"> social leisure activities, </w:t>
      </w:r>
      <w:r w:rsidR="001966CC" w:rsidRPr="00961BAC">
        <w:rPr>
          <w:sz w:val="24"/>
          <w:szCs w:val="24"/>
        </w:rPr>
        <w:t>4) private</w:t>
      </w:r>
      <w:r w:rsidR="00CE7622" w:rsidRPr="00961BAC">
        <w:rPr>
          <w:sz w:val="24"/>
          <w:szCs w:val="24"/>
        </w:rPr>
        <w:t xml:space="preserve"> leisure activities and</w:t>
      </w:r>
      <w:r w:rsidR="001966CC" w:rsidRPr="00961BAC">
        <w:rPr>
          <w:sz w:val="24"/>
          <w:szCs w:val="24"/>
        </w:rPr>
        <w:t xml:space="preserve"> 5)</w:t>
      </w:r>
      <w:r w:rsidR="00CE7622" w:rsidRPr="00961BAC">
        <w:rPr>
          <w:sz w:val="24"/>
          <w:szCs w:val="24"/>
        </w:rPr>
        <w:t xml:space="preserve"> close relationships</w:t>
      </w:r>
      <w:r w:rsidR="00B96F85" w:rsidRPr="00961BAC">
        <w:rPr>
          <w:sz w:val="24"/>
          <w:szCs w:val="24"/>
        </w:rPr>
        <w:t xml:space="preserve"> </w:t>
      </w:r>
      <w:r w:rsidR="00B96F85" w:rsidRPr="00961BAC">
        <w:rPr>
          <w:sz w:val="24"/>
          <w:szCs w:val="24"/>
        </w:rPr>
        <w:fldChar w:fldCharType="begin"/>
      </w:r>
      <w:r w:rsidR="00FD4C2C" w:rsidRPr="00961BAC">
        <w:rPr>
          <w:sz w:val="24"/>
          <w:szCs w:val="24"/>
        </w:rPr>
        <w:instrText xml:space="preserve"> ADDIN EN.CITE &lt;EndNote&gt;&lt;Cite&gt;&lt;Author&gt;Mundt&lt;/Author&gt;&lt;Year&gt;2002&lt;/Year&gt;&lt;RecNum&gt;12&lt;/RecNum&gt;&lt;DisplayText&gt;&lt;style face="superscript"&gt;10&lt;/style&gt;&lt;/DisplayText&gt;&lt;record&gt;&lt;rec-number&gt;12&lt;/rec-number&gt;&lt;foreign-keys&gt;&lt;key app="EN" db-id="zfz9pe2xqf0rxiee9sbptsdssxaev52swxxa" timestamp="1710243099"&gt;12&lt;/key&gt;&lt;/foreign-keys&gt;&lt;ref-type name="Journal Article"&gt;17&lt;/ref-type&gt;&lt;contributors&gt;&lt;authors&gt;&lt;author&gt;Mundt, James C&lt;/author&gt;&lt;author&gt;Marks, Isaac M&lt;/author&gt;&lt;author&gt;Shear, M Katherine&lt;/author&gt;&lt;author&gt;Greist, John M&lt;/author&gt;&lt;/authors&gt;&lt;/contributors&gt;&lt;titles&gt;&lt;title&gt;The Work and Social Adjustment Scale: a simple measure of impairment in functioning&lt;/title&gt;&lt;secondary-title&gt;The British Journal of Psychiatry&lt;/secondary-title&gt;&lt;/titles&gt;&lt;periodical&gt;&lt;full-title&gt;The British Journal of Psychiatry&lt;/full-title&gt;&lt;/periodical&gt;&lt;pages&gt;461-464&lt;/pages&gt;&lt;volume&gt;180&lt;/volume&gt;&lt;number&gt;5&lt;/number&gt;&lt;dates&gt;&lt;year&gt;2002&lt;/year&gt;&lt;/dates&gt;&lt;isbn&gt;0007-1250&lt;/isbn&gt;&lt;urls&gt;&lt;/urls&gt;&lt;/record&gt;&lt;/Cite&gt;&lt;/EndNote&gt;</w:instrText>
      </w:r>
      <w:r w:rsidR="00B96F85" w:rsidRPr="00961BAC">
        <w:rPr>
          <w:sz w:val="24"/>
          <w:szCs w:val="24"/>
        </w:rPr>
        <w:fldChar w:fldCharType="separate"/>
      </w:r>
      <w:r w:rsidR="00FD4C2C" w:rsidRPr="00961BAC">
        <w:rPr>
          <w:noProof/>
          <w:sz w:val="24"/>
          <w:szCs w:val="24"/>
          <w:vertAlign w:val="superscript"/>
        </w:rPr>
        <w:t>10</w:t>
      </w:r>
      <w:r w:rsidR="00B96F85" w:rsidRPr="00961BAC">
        <w:rPr>
          <w:sz w:val="24"/>
          <w:szCs w:val="24"/>
        </w:rPr>
        <w:fldChar w:fldCharType="end"/>
      </w:r>
      <w:r w:rsidR="00B96F85" w:rsidRPr="00961BAC">
        <w:rPr>
          <w:sz w:val="24"/>
          <w:szCs w:val="24"/>
        </w:rPr>
        <w:t>.</w:t>
      </w:r>
      <w:r w:rsidR="00CE7622" w:rsidRPr="00961BAC">
        <w:rPr>
          <w:sz w:val="24"/>
          <w:szCs w:val="24"/>
        </w:rPr>
        <w:t xml:space="preserve"> Each domain is rated between 0 (not at all) and 8 (very severely), </w:t>
      </w:r>
      <w:r w:rsidR="000C68E9" w:rsidRPr="00961BAC">
        <w:rPr>
          <w:sz w:val="24"/>
          <w:szCs w:val="24"/>
        </w:rPr>
        <w:t xml:space="preserve">resulting in a </w:t>
      </w:r>
      <w:r w:rsidR="00CE7622" w:rsidRPr="00961BAC">
        <w:rPr>
          <w:sz w:val="24"/>
          <w:szCs w:val="24"/>
        </w:rPr>
        <w:t>total score rang</w:t>
      </w:r>
      <w:r w:rsidR="000C68E9" w:rsidRPr="00961BAC">
        <w:rPr>
          <w:sz w:val="24"/>
          <w:szCs w:val="24"/>
        </w:rPr>
        <w:t>ing</w:t>
      </w:r>
      <w:r w:rsidR="00CE7622" w:rsidRPr="00961BAC">
        <w:rPr>
          <w:sz w:val="24"/>
          <w:szCs w:val="24"/>
        </w:rPr>
        <w:t xml:space="preserve"> from 0 to 40, with higher scores indicating </w:t>
      </w:r>
      <w:r w:rsidR="000C68E9" w:rsidRPr="00961BAC">
        <w:rPr>
          <w:sz w:val="24"/>
          <w:szCs w:val="24"/>
        </w:rPr>
        <w:t>greater</w:t>
      </w:r>
      <w:r w:rsidR="00CE7622" w:rsidRPr="00961BAC">
        <w:rPr>
          <w:sz w:val="24"/>
          <w:szCs w:val="24"/>
        </w:rPr>
        <w:t xml:space="preserve"> </w:t>
      </w:r>
      <w:r w:rsidR="00F977D5" w:rsidRPr="00961BAC">
        <w:rPr>
          <w:sz w:val="24"/>
          <w:szCs w:val="24"/>
        </w:rPr>
        <w:t xml:space="preserve">functional </w:t>
      </w:r>
      <w:r w:rsidR="00CE7622" w:rsidRPr="00961BAC">
        <w:rPr>
          <w:sz w:val="24"/>
          <w:szCs w:val="24"/>
        </w:rPr>
        <w:t xml:space="preserve">impairment. </w:t>
      </w:r>
      <w:r w:rsidR="000C68E9" w:rsidRPr="00961BAC">
        <w:rPr>
          <w:sz w:val="24"/>
          <w:szCs w:val="24"/>
        </w:rPr>
        <w:t>A</w:t>
      </w:r>
      <w:r w:rsidR="00CE7622" w:rsidRPr="00961BAC">
        <w:rPr>
          <w:sz w:val="24"/>
          <w:szCs w:val="24"/>
        </w:rPr>
        <w:t xml:space="preserve"> WSAS score of 20 or more </w:t>
      </w:r>
      <w:r w:rsidR="0056133F" w:rsidRPr="00961BAC">
        <w:rPr>
          <w:sz w:val="24"/>
          <w:szCs w:val="24"/>
        </w:rPr>
        <w:t xml:space="preserve">has been considered to </w:t>
      </w:r>
      <w:r w:rsidR="00CE7622" w:rsidRPr="00961BAC">
        <w:rPr>
          <w:sz w:val="24"/>
          <w:szCs w:val="24"/>
        </w:rPr>
        <w:t>indicate</w:t>
      </w:r>
      <w:r w:rsidR="0056133F" w:rsidRPr="00961BAC">
        <w:rPr>
          <w:sz w:val="24"/>
          <w:szCs w:val="24"/>
        </w:rPr>
        <w:t xml:space="preserve"> </w:t>
      </w:r>
      <w:r w:rsidR="00B93592" w:rsidRPr="00961BAC">
        <w:rPr>
          <w:sz w:val="24"/>
          <w:szCs w:val="24"/>
        </w:rPr>
        <w:t>moderate</w:t>
      </w:r>
      <w:r w:rsidR="0056133F" w:rsidRPr="00961BAC">
        <w:rPr>
          <w:sz w:val="24"/>
          <w:szCs w:val="24"/>
        </w:rPr>
        <w:t>ly</w:t>
      </w:r>
      <w:r w:rsidR="00B93592" w:rsidRPr="00961BAC">
        <w:rPr>
          <w:sz w:val="24"/>
          <w:szCs w:val="24"/>
        </w:rPr>
        <w:t xml:space="preserve"> </w:t>
      </w:r>
      <w:r w:rsidR="00CE7622" w:rsidRPr="00961BAC">
        <w:rPr>
          <w:sz w:val="24"/>
          <w:szCs w:val="24"/>
        </w:rPr>
        <w:t>severe</w:t>
      </w:r>
      <w:r w:rsidR="0056133F" w:rsidRPr="00961BAC">
        <w:rPr>
          <w:sz w:val="24"/>
          <w:szCs w:val="24"/>
        </w:rPr>
        <w:t xml:space="preserve"> or worse</w:t>
      </w:r>
      <w:r w:rsidR="00CE7622" w:rsidRPr="00961BAC">
        <w:rPr>
          <w:sz w:val="24"/>
          <w:szCs w:val="24"/>
        </w:rPr>
        <w:t xml:space="preserve"> </w:t>
      </w:r>
      <w:r w:rsidR="00B93592" w:rsidRPr="00961BAC">
        <w:rPr>
          <w:sz w:val="24"/>
          <w:szCs w:val="24"/>
        </w:rPr>
        <w:t xml:space="preserve">functional </w:t>
      </w:r>
      <w:r w:rsidR="00CE7622" w:rsidRPr="00961BAC">
        <w:rPr>
          <w:sz w:val="24"/>
          <w:szCs w:val="24"/>
        </w:rPr>
        <w:t>impairment</w:t>
      </w:r>
      <w:r w:rsidR="0056133F" w:rsidRPr="00961BAC">
        <w:rPr>
          <w:sz w:val="24"/>
          <w:szCs w:val="24"/>
        </w:rPr>
        <w:t xml:space="preserve"> </w:t>
      </w:r>
      <w:r w:rsidR="0056133F" w:rsidRPr="00961BAC">
        <w:rPr>
          <w:sz w:val="24"/>
          <w:szCs w:val="24"/>
        </w:rPr>
        <w:fldChar w:fldCharType="begin"/>
      </w:r>
      <w:r w:rsidR="00FD4C2C" w:rsidRPr="00961BAC">
        <w:rPr>
          <w:sz w:val="24"/>
          <w:szCs w:val="24"/>
        </w:rPr>
        <w:instrText xml:space="preserve"> ADDIN EN.CITE &lt;EndNote&gt;&lt;Cite&gt;&lt;Author&gt;Cozza&lt;/Author&gt;&lt;Year&gt;2020&lt;/Year&gt;&lt;RecNum&gt;39&lt;/RecNum&gt;&lt;DisplayText&gt;&lt;style face="superscript"&gt;10 11&lt;/style&gt;&lt;/DisplayText&gt;&lt;record&gt;&lt;rec-number&gt;39&lt;/rec-number&gt;&lt;foreign-keys&gt;&lt;key app="EN" db-id="zfz9pe2xqf0rxiee9sbptsdssxaev52swxxa" timestamp="1713804733"&gt;39&lt;/key&gt;&lt;/foreign-keys&gt;&lt;ref-type name="Journal Article"&gt;17&lt;/ref-type&gt;&lt;contributors&gt;&lt;authors&gt;&lt;author&gt;Cozza, Stephen J&lt;/author&gt;&lt;author&gt;Shear, M Katherine&lt;/author&gt;&lt;author&gt;Reynolds, Charles F&lt;/author&gt;&lt;author&gt;Fisher, Joscelyn E&lt;/author&gt;&lt;author&gt;Zhou, Jing&lt;/author&gt;&lt;author&gt;Maercker, Andreas&lt;/author&gt;&lt;author&gt;Simon, Naomi&lt;/author&gt;&lt;author&gt;Mauro, Christine&lt;/author&gt;&lt;author&gt;Skritskaya, Natalia&lt;/author&gt;&lt;author&gt;Zisook, Sidney&lt;/author&gt;&lt;/authors&gt;&lt;/contributors&gt;&lt;titles&gt;&lt;title&gt;Optimizing the clinical utility of four proposed criteria for a persistent and impairing grief disorder by emphasizing core, rather than associated symptoms&lt;/title&gt;&lt;secondary-title&gt;Psychological Medicine&lt;/secondary-title&gt;&lt;/titles&gt;&lt;periodical&gt;&lt;full-title&gt;Psychological Medicine&lt;/full-title&gt;&lt;/periodical&gt;&lt;pages&gt;438-445&lt;/pages&gt;&lt;volume&gt;50&lt;/volume&gt;&lt;number&gt;3&lt;/number&gt;&lt;dates&gt;&lt;year&gt;2020&lt;/year&gt;&lt;/dates&gt;&lt;isbn&gt;0033-2917&lt;/isbn&gt;&lt;urls&gt;&lt;/urls&gt;&lt;/record&gt;&lt;/Cite&gt;&lt;Cite&gt;&lt;Author&gt;Mundt&lt;/Author&gt;&lt;Year&gt;2002&lt;/Year&gt;&lt;RecNum&gt;12&lt;/RecNum&gt;&lt;record&gt;&lt;rec-number&gt;12&lt;/rec-number&gt;&lt;foreign-keys&gt;&lt;key app="EN" db-id="zfz9pe2xqf0rxiee9sbptsdssxaev52swxxa" timestamp="1710243099"&gt;12&lt;/key&gt;&lt;/foreign-keys&gt;&lt;ref-type name="Journal Article"&gt;17&lt;/ref-type&gt;&lt;contributors&gt;&lt;authors&gt;&lt;author&gt;Mundt, James C&lt;/author&gt;&lt;author&gt;Marks, Isaac M&lt;/author&gt;&lt;author&gt;Shear, M Katherine&lt;/author&gt;&lt;author&gt;Greist, John M&lt;/author&gt;&lt;/authors&gt;&lt;/contributors&gt;&lt;titles&gt;&lt;title&gt;The Work and Social Adjustment Scale: a simple measure of impairment in functioning&lt;/title&gt;&lt;secondary-title&gt;The British Journal of Psychiatry&lt;/secondary-title&gt;&lt;/titles&gt;&lt;periodical&gt;&lt;full-title&gt;The British Journal of Psychiatry&lt;/full-title&gt;&lt;/periodical&gt;&lt;pages&gt;461-464&lt;/pages&gt;&lt;volume&gt;180&lt;/volume&gt;&lt;number&gt;5&lt;/number&gt;&lt;dates&gt;&lt;year&gt;2002&lt;/year&gt;&lt;/dates&gt;&lt;isbn&gt;0007-1250&lt;/isbn&gt;&lt;urls&gt;&lt;/urls&gt;&lt;/record&gt;&lt;/Cite&gt;&lt;/EndNote&gt;</w:instrText>
      </w:r>
      <w:r w:rsidR="0056133F" w:rsidRPr="00961BAC">
        <w:rPr>
          <w:sz w:val="24"/>
          <w:szCs w:val="24"/>
        </w:rPr>
        <w:fldChar w:fldCharType="separate"/>
      </w:r>
      <w:r w:rsidR="00FD4C2C" w:rsidRPr="00961BAC">
        <w:rPr>
          <w:noProof/>
          <w:sz w:val="24"/>
          <w:szCs w:val="24"/>
          <w:vertAlign w:val="superscript"/>
        </w:rPr>
        <w:t>10 11</w:t>
      </w:r>
      <w:r w:rsidR="0056133F" w:rsidRPr="00961BAC">
        <w:rPr>
          <w:sz w:val="24"/>
          <w:szCs w:val="24"/>
        </w:rPr>
        <w:fldChar w:fldCharType="end"/>
      </w:r>
      <w:r w:rsidR="00CE7622" w:rsidRPr="00961BAC">
        <w:rPr>
          <w:sz w:val="24"/>
          <w:szCs w:val="24"/>
        </w:rPr>
        <w:t xml:space="preserve">. </w:t>
      </w:r>
    </w:p>
    <w:p w14:paraId="59F62CD2" w14:textId="77777777" w:rsidR="001966CC" w:rsidRPr="00961BAC" w:rsidRDefault="003239C4" w:rsidP="008472E9">
      <w:pPr>
        <w:jc w:val="both"/>
        <w:rPr>
          <w:b/>
          <w:bCs/>
          <w:sz w:val="24"/>
          <w:szCs w:val="24"/>
        </w:rPr>
      </w:pPr>
      <w:r w:rsidRPr="00961BAC">
        <w:rPr>
          <w:b/>
          <w:bCs/>
          <w:sz w:val="24"/>
          <w:szCs w:val="24"/>
        </w:rPr>
        <w:t>Secondary outcome</w:t>
      </w:r>
      <w:r w:rsidR="001966CC" w:rsidRPr="00961BAC">
        <w:rPr>
          <w:b/>
          <w:bCs/>
          <w:sz w:val="24"/>
          <w:szCs w:val="24"/>
        </w:rPr>
        <w:t>s</w:t>
      </w:r>
    </w:p>
    <w:p w14:paraId="79C9464A" w14:textId="735316B1" w:rsidR="00924EAD" w:rsidRPr="00961BAC" w:rsidRDefault="00924EAD" w:rsidP="008472E9">
      <w:pPr>
        <w:jc w:val="both"/>
        <w:rPr>
          <w:sz w:val="24"/>
          <w:szCs w:val="24"/>
        </w:rPr>
      </w:pPr>
      <w:r w:rsidRPr="00961BAC">
        <w:rPr>
          <w:sz w:val="24"/>
          <w:szCs w:val="24"/>
        </w:rPr>
        <w:t>Secondary outcomes for this study include</w:t>
      </w:r>
      <w:r w:rsidR="00B93592" w:rsidRPr="00961BAC">
        <w:rPr>
          <w:sz w:val="24"/>
          <w:szCs w:val="24"/>
        </w:rPr>
        <w:t>d</w:t>
      </w:r>
      <w:r w:rsidRPr="00961BAC">
        <w:rPr>
          <w:sz w:val="24"/>
          <w:szCs w:val="24"/>
        </w:rPr>
        <w:t xml:space="preserve"> </w:t>
      </w:r>
      <w:r w:rsidR="001966CC" w:rsidRPr="00961BAC">
        <w:rPr>
          <w:sz w:val="24"/>
          <w:szCs w:val="24"/>
        </w:rPr>
        <w:t xml:space="preserve">trajectories of </w:t>
      </w:r>
      <w:r w:rsidR="001231A0" w:rsidRPr="00961BAC">
        <w:rPr>
          <w:sz w:val="24"/>
          <w:szCs w:val="24"/>
        </w:rPr>
        <w:t xml:space="preserve">fatigue, </w:t>
      </w:r>
      <w:r w:rsidR="00D54403" w:rsidRPr="00961BAC">
        <w:rPr>
          <w:sz w:val="24"/>
          <w:szCs w:val="24"/>
        </w:rPr>
        <w:t>HRQL</w:t>
      </w:r>
      <w:r w:rsidRPr="00961BAC">
        <w:rPr>
          <w:sz w:val="24"/>
          <w:szCs w:val="24"/>
        </w:rPr>
        <w:t xml:space="preserve"> and </w:t>
      </w:r>
      <w:r w:rsidR="00B0500D" w:rsidRPr="00961BAC">
        <w:rPr>
          <w:sz w:val="24"/>
          <w:szCs w:val="24"/>
        </w:rPr>
        <w:t>long COVID</w:t>
      </w:r>
      <w:r w:rsidRPr="00961BAC">
        <w:rPr>
          <w:sz w:val="24"/>
          <w:szCs w:val="24"/>
        </w:rPr>
        <w:t xml:space="preserve">-related </w:t>
      </w:r>
      <w:r w:rsidR="007018F3" w:rsidRPr="00961BAC">
        <w:rPr>
          <w:sz w:val="24"/>
          <w:szCs w:val="24"/>
        </w:rPr>
        <w:t xml:space="preserve">societal </w:t>
      </w:r>
      <w:r w:rsidRPr="00961BAC">
        <w:rPr>
          <w:sz w:val="24"/>
          <w:szCs w:val="24"/>
        </w:rPr>
        <w:t>costs.</w:t>
      </w:r>
    </w:p>
    <w:p w14:paraId="0F59EF9E" w14:textId="49BDAA27" w:rsidR="0079167A" w:rsidRPr="00961BAC" w:rsidRDefault="0079167A" w:rsidP="008472E9">
      <w:pPr>
        <w:jc w:val="both"/>
        <w:rPr>
          <w:sz w:val="24"/>
          <w:szCs w:val="24"/>
        </w:rPr>
      </w:pPr>
      <w:r w:rsidRPr="00961BAC">
        <w:rPr>
          <w:sz w:val="24"/>
          <w:szCs w:val="24"/>
        </w:rPr>
        <w:t>F</w:t>
      </w:r>
      <w:r w:rsidR="00917839" w:rsidRPr="00961BAC">
        <w:rPr>
          <w:sz w:val="24"/>
          <w:szCs w:val="24"/>
        </w:rPr>
        <w:t>ACIT-F</w:t>
      </w:r>
    </w:p>
    <w:p w14:paraId="1AB41879" w14:textId="0AA9C855" w:rsidR="00917839" w:rsidRPr="00961BAC" w:rsidRDefault="00917839" w:rsidP="00917839">
      <w:pPr>
        <w:jc w:val="both"/>
        <w:rPr>
          <w:sz w:val="24"/>
          <w:szCs w:val="24"/>
        </w:rPr>
      </w:pPr>
      <w:r w:rsidRPr="00961BAC">
        <w:rPr>
          <w:sz w:val="24"/>
          <w:szCs w:val="24"/>
        </w:rPr>
        <w:t xml:space="preserve">The </w:t>
      </w:r>
      <w:r w:rsidR="00E643F1" w:rsidRPr="00961BAC">
        <w:rPr>
          <w:sz w:val="24"/>
          <w:szCs w:val="24"/>
        </w:rPr>
        <w:t>Functional Assessment of Chronic Illness</w:t>
      </w:r>
      <w:r w:rsidRPr="00961BAC">
        <w:rPr>
          <w:sz w:val="24"/>
          <w:szCs w:val="24"/>
        </w:rPr>
        <w:t xml:space="preserve"> </w:t>
      </w:r>
      <w:r w:rsidR="00E643F1" w:rsidRPr="00961BAC">
        <w:rPr>
          <w:sz w:val="24"/>
          <w:szCs w:val="24"/>
        </w:rPr>
        <w:t>Therapy–Fatigue (FACIT-F)</w:t>
      </w:r>
      <w:r w:rsidR="00C84354" w:rsidRPr="00961BAC">
        <w:rPr>
          <w:sz w:val="24"/>
          <w:szCs w:val="24"/>
        </w:rPr>
        <w:t xml:space="preserve"> </w:t>
      </w:r>
      <w:r w:rsidR="00E643F1" w:rsidRPr="00961BAC">
        <w:rPr>
          <w:sz w:val="24"/>
          <w:szCs w:val="24"/>
        </w:rPr>
        <w:t>measures self-reported</w:t>
      </w:r>
      <w:r w:rsidR="00C84354" w:rsidRPr="00961BAC">
        <w:rPr>
          <w:sz w:val="24"/>
          <w:szCs w:val="24"/>
        </w:rPr>
        <w:t xml:space="preserve"> </w:t>
      </w:r>
      <w:r w:rsidR="00E643F1" w:rsidRPr="00961BAC">
        <w:rPr>
          <w:sz w:val="24"/>
          <w:szCs w:val="24"/>
        </w:rPr>
        <w:t>fatigue and its impact on daily activities and function.</w:t>
      </w:r>
      <w:r w:rsidR="007169B0" w:rsidRPr="00961BAC">
        <w:rPr>
          <w:sz w:val="24"/>
          <w:szCs w:val="24"/>
        </w:rPr>
        <w:t xml:space="preserve"> This measure consists of 13 items, with each item rated between 0 (very much fatigue) and 4 (not at all). The summary score ranges from 0 to 52, with lower scores indicating more severe levels of fatigue. </w:t>
      </w:r>
      <w:r w:rsidR="00E643F1" w:rsidRPr="00961BAC">
        <w:rPr>
          <w:sz w:val="24"/>
          <w:szCs w:val="24"/>
        </w:rPr>
        <w:t>A</w:t>
      </w:r>
      <w:r w:rsidR="00C84354" w:rsidRPr="00961BAC">
        <w:rPr>
          <w:sz w:val="24"/>
          <w:szCs w:val="24"/>
        </w:rPr>
        <w:t xml:space="preserve"> </w:t>
      </w:r>
      <w:r w:rsidR="00E643F1" w:rsidRPr="00961BAC">
        <w:rPr>
          <w:sz w:val="24"/>
          <w:szCs w:val="24"/>
        </w:rPr>
        <w:t xml:space="preserve">threshold value of 30 was chosen </w:t>
      </w:r>
      <w:r w:rsidR="00C63CE0" w:rsidRPr="00961BAC">
        <w:rPr>
          <w:sz w:val="24"/>
          <w:szCs w:val="24"/>
        </w:rPr>
        <w:t>to indicate impairment</w:t>
      </w:r>
      <w:r w:rsidR="00DC2845" w:rsidRPr="00961BAC">
        <w:rPr>
          <w:sz w:val="24"/>
          <w:szCs w:val="24"/>
        </w:rPr>
        <w:t>,</w:t>
      </w:r>
      <w:r w:rsidR="00C63CE0" w:rsidRPr="00961BAC">
        <w:rPr>
          <w:sz w:val="24"/>
          <w:szCs w:val="24"/>
        </w:rPr>
        <w:t xml:space="preserve"> </w:t>
      </w:r>
      <w:r w:rsidR="00E643F1" w:rsidRPr="00961BAC">
        <w:rPr>
          <w:sz w:val="24"/>
          <w:szCs w:val="24"/>
        </w:rPr>
        <w:t>in line with fatigue</w:t>
      </w:r>
      <w:r w:rsidR="00C84354" w:rsidRPr="00961BAC">
        <w:rPr>
          <w:sz w:val="24"/>
          <w:szCs w:val="24"/>
        </w:rPr>
        <w:t xml:space="preserve"> </w:t>
      </w:r>
      <w:r w:rsidR="00E643F1" w:rsidRPr="00961BAC">
        <w:rPr>
          <w:sz w:val="24"/>
          <w:szCs w:val="24"/>
        </w:rPr>
        <w:t>reported in a cancer population</w:t>
      </w:r>
      <w:r w:rsidR="00580EC5" w:rsidRPr="00961BAC">
        <w:rPr>
          <w:sz w:val="24"/>
          <w:szCs w:val="24"/>
        </w:rPr>
        <w:t xml:space="preserve"> </w:t>
      </w:r>
      <w:r w:rsidR="004D596E" w:rsidRPr="00961BAC">
        <w:rPr>
          <w:sz w:val="24"/>
          <w:szCs w:val="24"/>
        </w:rPr>
        <w:fldChar w:fldCharType="begin"/>
      </w:r>
      <w:r w:rsidR="00FD4C2C" w:rsidRPr="00961BAC">
        <w:rPr>
          <w:sz w:val="24"/>
          <w:szCs w:val="24"/>
        </w:rPr>
        <w:instrText xml:space="preserve"> ADDIN EN.CITE &lt;EndNote&gt;&lt;Cite&gt;&lt;Author&gt;Piper&lt;/Author&gt;&lt;Year&gt;2010&lt;/Year&gt;&lt;RecNum&gt;40&lt;/RecNum&gt;&lt;DisplayText&gt;&lt;style face="superscript"&gt;12&lt;/style&gt;&lt;/DisplayText&gt;&lt;record&gt;&lt;rec-number&gt;40&lt;/rec-number&gt;&lt;foreign-keys&gt;&lt;key app="EN" db-id="zfz9pe2xqf0rxiee9sbptsdssxaev52swxxa" timestamp="1713893780"&gt;40&lt;/key&gt;&lt;/foreign-keys&gt;&lt;ref-type name="Journal Article"&gt;17&lt;/ref-type&gt;&lt;contributors&gt;&lt;authors&gt;&lt;author&gt;Piper, Barbara F&lt;/author&gt;&lt;author&gt;Cella, David&lt;/author&gt;&lt;/authors&gt;&lt;/contributors&gt;&lt;titles&gt;&lt;title&gt;Cancer-related fatigue: definitions and clinical subtypes&lt;/title&gt;&lt;secondary-title&gt;Journal of the National Comprehensive Cancer Network&lt;/secondary-title&gt;&lt;/titles&gt;&lt;periodical&gt;&lt;full-title&gt;Journal of the National Comprehensive Cancer Network&lt;/full-title&gt;&lt;/periodical&gt;&lt;pages&gt;958-966&lt;/pages&gt;&lt;volume&gt;8&lt;/volume&gt;&lt;number&gt;8&lt;/number&gt;&lt;dates&gt;&lt;year&gt;2010&lt;/year&gt;&lt;/dates&gt;&lt;isbn&gt;1540-1405&lt;/isbn&gt;&lt;urls&gt;&lt;/urls&gt;&lt;/record&gt;&lt;/Cite&gt;&lt;/EndNote&gt;</w:instrText>
      </w:r>
      <w:r w:rsidR="004D596E" w:rsidRPr="00961BAC">
        <w:rPr>
          <w:sz w:val="24"/>
          <w:szCs w:val="24"/>
        </w:rPr>
        <w:fldChar w:fldCharType="separate"/>
      </w:r>
      <w:r w:rsidR="00FD4C2C" w:rsidRPr="00961BAC">
        <w:rPr>
          <w:noProof/>
          <w:sz w:val="24"/>
          <w:szCs w:val="24"/>
          <w:vertAlign w:val="superscript"/>
        </w:rPr>
        <w:t>12</w:t>
      </w:r>
      <w:r w:rsidR="004D596E" w:rsidRPr="00961BAC">
        <w:rPr>
          <w:sz w:val="24"/>
          <w:szCs w:val="24"/>
        </w:rPr>
        <w:fldChar w:fldCharType="end"/>
      </w:r>
      <w:r w:rsidR="00E643F1" w:rsidRPr="00961BAC">
        <w:rPr>
          <w:sz w:val="24"/>
          <w:szCs w:val="24"/>
        </w:rPr>
        <w:t>.</w:t>
      </w:r>
      <w:r w:rsidR="00EA66D3" w:rsidRPr="00961BAC">
        <w:rPr>
          <w:sz w:val="24"/>
          <w:szCs w:val="24"/>
        </w:rPr>
        <w:t xml:space="preserve"> </w:t>
      </w:r>
      <w:r w:rsidR="00DC2845" w:rsidRPr="00961BAC">
        <w:rPr>
          <w:sz w:val="24"/>
          <w:szCs w:val="24"/>
        </w:rPr>
        <w:t>In this study, we reversed the</w:t>
      </w:r>
      <w:r w:rsidRPr="00961BAC">
        <w:rPr>
          <w:sz w:val="24"/>
          <w:szCs w:val="24"/>
        </w:rPr>
        <w:t xml:space="preserve"> FACIT-F</w:t>
      </w:r>
      <w:r w:rsidR="00EA66D3" w:rsidRPr="00961BAC">
        <w:rPr>
          <w:sz w:val="24"/>
          <w:szCs w:val="24"/>
        </w:rPr>
        <w:t xml:space="preserve"> </w:t>
      </w:r>
      <w:r w:rsidRPr="00961BAC">
        <w:rPr>
          <w:sz w:val="24"/>
          <w:szCs w:val="24"/>
        </w:rPr>
        <w:t>score (calculated as 52 minus</w:t>
      </w:r>
      <w:r w:rsidR="00EA66D3" w:rsidRPr="00961BAC">
        <w:rPr>
          <w:sz w:val="24"/>
          <w:szCs w:val="24"/>
        </w:rPr>
        <w:t xml:space="preserve"> </w:t>
      </w:r>
      <w:r w:rsidRPr="00961BAC">
        <w:rPr>
          <w:sz w:val="24"/>
          <w:szCs w:val="24"/>
        </w:rPr>
        <w:t>the reported score) to align the direction of the score</w:t>
      </w:r>
      <w:r w:rsidR="00EA66D3" w:rsidRPr="00961BAC">
        <w:rPr>
          <w:sz w:val="24"/>
          <w:szCs w:val="24"/>
        </w:rPr>
        <w:t xml:space="preserve"> </w:t>
      </w:r>
      <w:r w:rsidR="004413C5" w:rsidRPr="00961BAC">
        <w:rPr>
          <w:sz w:val="24"/>
          <w:szCs w:val="24"/>
        </w:rPr>
        <w:t>with that of</w:t>
      </w:r>
      <w:r w:rsidRPr="00961BAC">
        <w:rPr>
          <w:sz w:val="24"/>
          <w:szCs w:val="24"/>
        </w:rPr>
        <w:t xml:space="preserve"> </w:t>
      </w:r>
      <w:r w:rsidR="00C71147" w:rsidRPr="00961BAC">
        <w:rPr>
          <w:sz w:val="24"/>
          <w:szCs w:val="24"/>
        </w:rPr>
        <w:t>the primary outcome</w:t>
      </w:r>
      <w:r w:rsidRPr="00961BAC">
        <w:rPr>
          <w:sz w:val="24"/>
          <w:szCs w:val="24"/>
        </w:rPr>
        <w:t xml:space="preserve">. </w:t>
      </w:r>
      <w:r w:rsidR="00C63CE0" w:rsidRPr="00961BAC">
        <w:rPr>
          <w:sz w:val="24"/>
          <w:szCs w:val="24"/>
        </w:rPr>
        <w:t xml:space="preserve">We refer to this as </w:t>
      </w:r>
      <w:r w:rsidR="00A96650" w:rsidRPr="00961BAC">
        <w:rPr>
          <w:sz w:val="24"/>
          <w:szCs w:val="24"/>
        </w:rPr>
        <w:t xml:space="preserve">Reversed </w:t>
      </w:r>
      <w:r w:rsidR="00C63CE0" w:rsidRPr="00961BAC">
        <w:rPr>
          <w:sz w:val="24"/>
          <w:szCs w:val="24"/>
        </w:rPr>
        <w:t>FACIT-F Sc</w:t>
      </w:r>
      <w:r w:rsidR="004B6919" w:rsidRPr="00961BAC">
        <w:rPr>
          <w:sz w:val="24"/>
          <w:szCs w:val="24"/>
        </w:rPr>
        <w:t>ale</w:t>
      </w:r>
      <w:r w:rsidR="00C2388D" w:rsidRPr="00961BAC">
        <w:rPr>
          <w:sz w:val="24"/>
          <w:szCs w:val="24"/>
        </w:rPr>
        <w:t>; h</w:t>
      </w:r>
      <w:r w:rsidRPr="00961BAC">
        <w:rPr>
          <w:sz w:val="24"/>
          <w:szCs w:val="24"/>
        </w:rPr>
        <w:t>igher values of the</w:t>
      </w:r>
      <w:r w:rsidR="00C71147" w:rsidRPr="00961BAC">
        <w:rPr>
          <w:sz w:val="24"/>
          <w:szCs w:val="24"/>
        </w:rPr>
        <w:t xml:space="preserve"> </w:t>
      </w:r>
      <w:r w:rsidR="00556AB3" w:rsidRPr="00961BAC">
        <w:rPr>
          <w:sz w:val="24"/>
          <w:szCs w:val="24"/>
        </w:rPr>
        <w:t>reversed scale</w:t>
      </w:r>
      <w:r w:rsidRPr="00961BAC">
        <w:rPr>
          <w:sz w:val="24"/>
          <w:szCs w:val="24"/>
        </w:rPr>
        <w:t xml:space="preserve"> represent greater fatigue</w:t>
      </w:r>
      <w:r w:rsidR="00A06C2B" w:rsidRPr="00961BAC">
        <w:rPr>
          <w:sz w:val="24"/>
          <w:szCs w:val="24"/>
        </w:rPr>
        <w:t>, with</w:t>
      </w:r>
      <w:r w:rsidR="00A06C2B" w:rsidRPr="00961BAC">
        <w:t xml:space="preserve"> </w:t>
      </w:r>
      <w:r w:rsidR="00A06C2B" w:rsidRPr="00961BAC">
        <w:rPr>
          <w:sz w:val="24"/>
          <w:szCs w:val="24"/>
        </w:rPr>
        <w:t xml:space="preserve">scores equal or above </w:t>
      </w:r>
      <w:r w:rsidR="00667AD6" w:rsidRPr="00961BAC">
        <w:rPr>
          <w:sz w:val="24"/>
          <w:szCs w:val="24"/>
        </w:rPr>
        <w:t xml:space="preserve">22 </w:t>
      </w:r>
      <w:r w:rsidR="00A06C2B" w:rsidRPr="00961BAC">
        <w:rPr>
          <w:sz w:val="24"/>
          <w:szCs w:val="24"/>
        </w:rPr>
        <w:t>indicating impairment</w:t>
      </w:r>
      <w:r w:rsidRPr="00961BAC">
        <w:rPr>
          <w:sz w:val="24"/>
          <w:szCs w:val="24"/>
        </w:rPr>
        <w:t xml:space="preserve">. </w:t>
      </w:r>
    </w:p>
    <w:p w14:paraId="0A5E3264" w14:textId="2C206A8F" w:rsidR="00A41466" w:rsidRPr="00961BAC" w:rsidRDefault="00A41466" w:rsidP="008472E9">
      <w:pPr>
        <w:jc w:val="both"/>
        <w:rPr>
          <w:sz w:val="24"/>
          <w:szCs w:val="24"/>
        </w:rPr>
      </w:pPr>
      <w:r w:rsidRPr="00961BAC">
        <w:rPr>
          <w:sz w:val="24"/>
          <w:szCs w:val="24"/>
        </w:rPr>
        <w:t>EQ-5D-5L</w:t>
      </w:r>
    </w:p>
    <w:p w14:paraId="755B4C7B" w14:textId="6A5D5B0E" w:rsidR="00924EAD" w:rsidRPr="00961BAC" w:rsidRDefault="007018F3" w:rsidP="008472E9">
      <w:pPr>
        <w:jc w:val="both"/>
        <w:rPr>
          <w:sz w:val="24"/>
          <w:szCs w:val="24"/>
        </w:rPr>
      </w:pPr>
      <w:r w:rsidRPr="00961BAC">
        <w:rPr>
          <w:sz w:val="24"/>
          <w:szCs w:val="24"/>
        </w:rPr>
        <w:t xml:space="preserve">The </w:t>
      </w:r>
      <w:r w:rsidR="00924EAD" w:rsidRPr="00961BAC">
        <w:rPr>
          <w:sz w:val="24"/>
          <w:szCs w:val="24"/>
        </w:rPr>
        <w:t>EQ-5D</w:t>
      </w:r>
      <w:r w:rsidR="00065AA4" w:rsidRPr="00961BAC">
        <w:rPr>
          <w:sz w:val="24"/>
          <w:szCs w:val="24"/>
        </w:rPr>
        <w:t xml:space="preserve">-5L is a self-reported </w:t>
      </w:r>
      <w:r w:rsidR="005F3A7D" w:rsidRPr="00961BAC">
        <w:rPr>
          <w:sz w:val="24"/>
          <w:szCs w:val="24"/>
        </w:rPr>
        <w:t xml:space="preserve">HRQL </w:t>
      </w:r>
      <w:r w:rsidR="00065AA4" w:rsidRPr="00961BAC">
        <w:rPr>
          <w:sz w:val="24"/>
          <w:szCs w:val="24"/>
        </w:rPr>
        <w:t xml:space="preserve">measure </w:t>
      </w:r>
      <w:r w:rsidR="00930F51" w:rsidRPr="00961BAC">
        <w:rPr>
          <w:sz w:val="24"/>
          <w:szCs w:val="24"/>
        </w:rPr>
        <w:t>consist</w:t>
      </w:r>
      <w:r w:rsidRPr="00961BAC">
        <w:rPr>
          <w:sz w:val="24"/>
          <w:szCs w:val="24"/>
        </w:rPr>
        <w:t>ing</w:t>
      </w:r>
      <w:r w:rsidR="00065AA4" w:rsidRPr="00961BAC">
        <w:rPr>
          <w:sz w:val="24"/>
          <w:szCs w:val="24"/>
        </w:rPr>
        <w:t xml:space="preserve"> of five domains: mobility, self-care, usual activities, pain/discomfort and anxiety/depression. Each domain </w:t>
      </w:r>
      <w:r w:rsidR="00930F51" w:rsidRPr="00961BAC">
        <w:rPr>
          <w:sz w:val="24"/>
          <w:szCs w:val="24"/>
        </w:rPr>
        <w:t>is</w:t>
      </w:r>
      <w:r w:rsidR="00065AA4" w:rsidRPr="00961BAC">
        <w:rPr>
          <w:sz w:val="24"/>
          <w:szCs w:val="24"/>
        </w:rPr>
        <w:t xml:space="preserve"> rated on a 5-level scale. Take mobility for example, patient</w:t>
      </w:r>
      <w:r w:rsidR="00930F51" w:rsidRPr="00961BAC">
        <w:rPr>
          <w:sz w:val="24"/>
          <w:szCs w:val="24"/>
        </w:rPr>
        <w:t>s</w:t>
      </w:r>
      <w:r w:rsidR="00065AA4" w:rsidRPr="00961BAC">
        <w:rPr>
          <w:sz w:val="24"/>
          <w:szCs w:val="24"/>
        </w:rPr>
        <w:t xml:space="preserve"> can choose from five options, </w:t>
      </w:r>
      <w:r w:rsidR="00930F51" w:rsidRPr="00961BAC">
        <w:rPr>
          <w:sz w:val="24"/>
          <w:szCs w:val="24"/>
        </w:rPr>
        <w:t xml:space="preserve">ranging from </w:t>
      </w:r>
      <w:r w:rsidR="00065AA4" w:rsidRPr="00961BAC">
        <w:rPr>
          <w:sz w:val="24"/>
          <w:szCs w:val="24"/>
        </w:rPr>
        <w:t xml:space="preserve">“no problems in walking about” </w:t>
      </w:r>
      <w:r w:rsidR="00930F51" w:rsidRPr="00961BAC">
        <w:rPr>
          <w:sz w:val="24"/>
          <w:szCs w:val="24"/>
        </w:rPr>
        <w:t xml:space="preserve">to “unable to walk </w:t>
      </w:r>
      <w:r w:rsidR="00065AA4" w:rsidRPr="00961BAC">
        <w:rPr>
          <w:sz w:val="24"/>
          <w:szCs w:val="24"/>
        </w:rPr>
        <w:t xml:space="preserve">about”. </w:t>
      </w:r>
      <w:r w:rsidR="00930F51" w:rsidRPr="00961BAC">
        <w:rPr>
          <w:sz w:val="24"/>
          <w:szCs w:val="24"/>
        </w:rPr>
        <w:t>Responses to the</w:t>
      </w:r>
      <w:r w:rsidR="00B801D6" w:rsidRPr="00961BAC">
        <w:rPr>
          <w:sz w:val="24"/>
          <w:szCs w:val="24"/>
        </w:rPr>
        <w:t>se</w:t>
      </w:r>
      <w:r w:rsidR="00930F51" w:rsidRPr="00961BAC">
        <w:rPr>
          <w:sz w:val="24"/>
          <w:szCs w:val="24"/>
        </w:rPr>
        <w:t xml:space="preserve"> questions </w:t>
      </w:r>
      <w:r w:rsidR="001C3619" w:rsidRPr="00961BAC">
        <w:rPr>
          <w:sz w:val="24"/>
          <w:szCs w:val="24"/>
        </w:rPr>
        <w:t>are</w:t>
      </w:r>
      <w:r w:rsidR="00B801D6" w:rsidRPr="00961BAC">
        <w:rPr>
          <w:sz w:val="24"/>
          <w:szCs w:val="24"/>
        </w:rPr>
        <w:t xml:space="preserve"> then </w:t>
      </w:r>
      <w:r w:rsidR="00930F51" w:rsidRPr="00961BAC">
        <w:rPr>
          <w:sz w:val="24"/>
          <w:szCs w:val="24"/>
        </w:rPr>
        <w:t xml:space="preserve">combined with </w:t>
      </w:r>
      <w:r w:rsidR="001C3619" w:rsidRPr="00961BAC">
        <w:rPr>
          <w:sz w:val="24"/>
          <w:szCs w:val="24"/>
        </w:rPr>
        <w:t xml:space="preserve">health-related </w:t>
      </w:r>
      <w:r w:rsidR="00930F51" w:rsidRPr="00961BAC">
        <w:rPr>
          <w:sz w:val="24"/>
          <w:szCs w:val="24"/>
        </w:rPr>
        <w:t xml:space="preserve">preference weights </w:t>
      </w:r>
      <w:r w:rsidR="001C3619" w:rsidRPr="00961BAC">
        <w:rPr>
          <w:sz w:val="24"/>
          <w:szCs w:val="24"/>
        </w:rPr>
        <w:t xml:space="preserve">from the UK population </w:t>
      </w:r>
      <w:r w:rsidR="00930F51" w:rsidRPr="00961BAC">
        <w:rPr>
          <w:sz w:val="24"/>
          <w:szCs w:val="24"/>
        </w:rPr>
        <w:t xml:space="preserve">to construct an index </w:t>
      </w:r>
      <w:r w:rsidR="001C3619" w:rsidRPr="00961BAC">
        <w:rPr>
          <w:sz w:val="24"/>
          <w:szCs w:val="24"/>
        </w:rPr>
        <w:t xml:space="preserve">EQ-5D-5L </w:t>
      </w:r>
      <w:r w:rsidR="00930F51" w:rsidRPr="00961BAC">
        <w:rPr>
          <w:sz w:val="24"/>
          <w:szCs w:val="24"/>
        </w:rPr>
        <w:t xml:space="preserve">score </w:t>
      </w:r>
      <w:r w:rsidR="00930F51" w:rsidRPr="00961BAC">
        <w:rPr>
          <w:sz w:val="24"/>
          <w:szCs w:val="24"/>
        </w:rPr>
        <w:fldChar w:fldCharType="begin"/>
      </w:r>
      <w:r w:rsidR="00FD4C2C" w:rsidRPr="00961BAC">
        <w:rPr>
          <w:sz w:val="24"/>
          <w:szCs w:val="24"/>
        </w:rPr>
        <w:instrText xml:space="preserve"> ADDIN EN.CITE &lt;EndNote&gt;&lt;Cite&gt;&lt;Author&gt;Devlin&lt;/Author&gt;&lt;Year&gt;2018&lt;/Year&gt;&lt;RecNum&gt;15&lt;/RecNum&gt;&lt;DisplayText&gt;&lt;style face="superscript"&gt;13&lt;/style&gt;&lt;/DisplayText&gt;&lt;record&gt;&lt;rec-number&gt;15&lt;/rec-number&gt;&lt;foreign-keys&gt;&lt;key app="EN" db-id="zfz9pe2xqf0rxiee9sbptsdssxaev52swxxa" timestamp="1710245487"&gt;15&lt;/key&gt;&lt;/foreign-keys&gt;&lt;ref-type name="Journal Article"&gt;17&lt;/ref-type&gt;&lt;contributors&gt;&lt;authors&gt;&lt;author&gt;Devlin, Nancy J&lt;/author&gt;&lt;author&gt;Shah, Koonal K&lt;/author&gt;&lt;author&gt;Feng, Yan&lt;/author&gt;&lt;author&gt;Mulhern, Brendan&lt;/author&gt;&lt;author&gt;Van Hout, Ben&lt;/author&gt;&lt;/authors&gt;&lt;/contributors&gt;&lt;titles&gt;&lt;title&gt;Valuing health‐related quality of life: An EQ‐5 D‐5 L value set for E ngland&lt;/title&gt;&lt;secondary-title&gt;Health economics&lt;/secondary-title&gt;&lt;/titles&gt;&lt;periodical&gt;&lt;full-title&gt;Health economics&lt;/full-title&gt;&lt;/periodical&gt;&lt;pages&gt;7-22&lt;/pages&gt;&lt;volume&gt;27&lt;/volume&gt;&lt;number&gt;1&lt;/number&gt;&lt;dates&gt;&lt;year&gt;2018&lt;/year&gt;&lt;/dates&gt;&lt;isbn&gt;1057-9230&lt;/isbn&gt;&lt;urls&gt;&lt;/urls&gt;&lt;/record&gt;&lt;/Cite&gt;&lt;/EndNote&gt;</w:instrText>
      </w:r>
      <w:r w:rsidR="00930F51" w:rsidRPr="00961BAC">
        <w:rPr>
          <w:sz w:val="24"/>
          <w:szCs w:val="24"/>
        </w:rPr>
        <w:fldChar w:fldCharType="separate"/>
      </w:r>
      <w:r w:rsidR="00FD4C2C" w:rsidRPr="00961BAC">
        <w:rPr>
          <w:noProof/>
          <w:sz w:val="24"/>
          <w:szCs w:val="24"/>
          <w:vertAlign w:val="superscript"/>
        </w:rPr>
        <w:t>13</w:t>
      </w:r>
      <w:r w:rsidR="00930F51" w:rsidRPr="00961BAC">
        <w:rPr>
          <w:sz w:val="24"/>
          <w:szCs w:val="24"/>
        </w:rPr>
        <w:fldChar w:fldCharType="end"/>
      </w:r>
      <w:r w:rsidR="00930F51" w:rsidRPr="00961BAC">
        <w:rPr>
          <w:sz w:val="24"/>
          <w:szCs w:val="24"/>
        </w:rPr>
        <w:t xml:space="preserve">. This score </w:t>
      </w:r>
      <w:r w:rsidR="00F046FB" w:rsidRPr="00961BAC">
        <w:rPr>
          <w:sz w:val="24"/>
          <w:szCs w:val="24"/>
        </w:rPr>
        <w:t xml:space="preserve">is </w:t>
      </w:r>
      <w:r w:rsidR="00930F51" w:rsidRPr="00961BAC">
        <w:rPr>
          <w:sz w:val="24"/>
          <w:szCs w:val="24"/>
        </w:rPr>
        <w:t>anchor</w:t>
      </w:r>
      <w:r w:rsidR="00F046FB" w:rsidRPr="00961BAC">
        <w:rPr>
          <w:sz w:val="24"/>
          <w:szCs w:val="24"/>
        </w:rPr>
        <w:t>ed</w:t>
      </w:r>
      <w:r w:rsidR="00930F51" w:rsidRPr="00961BAC">
        <w:rPr>
          <w:sz w:val="24"/>
          <w:szCs w:val="24"/>
        </w:rPr>
        <w:t xml:space="preserve"> at </w:t>
      </w:r>
      <w:r w:rsidR="00586767" w:rsidRPr="00961BAC">
        <w:rPr>
          <w:sz w:val="24"/>
          <w:szCs w:val="24"/>
        </w:rPr>
        <w:t>0</w:t>
      </w:r>
      <w:r w:rsidR="00F046FB" w:rsidRPr="00961BAC">
        <w:rPr>
          <w:sz w:val="24"/>
          <w:szCs w:val="24"/>
        </w:rPr>
        <w:t xml:space="preserve"> (death)</w:t>
      </w:r>
      <w:r w:rsidR="00930F51" w:rsidRPr="00961BAC">
        <w:rPr>
          <w:sz w:val="24"/>
          <w:szCs w:val="24"/>
        </w:rPr>
        <w:t xml:space="preserve"> </w:t>
      </w:r>
      <w:r w:rsidR="00F046FB" w:rsidRPr="00961BAC">
        <w:rPr>
          <w:sz w:val="24"/>
          <w:szCs w:val="24"/>
        </w:rPr>
        <w:t>and 1 (</w:t>
      </w:r>
      <w:r w:rsidR="00930F51" w:rsidRPr="00961BAC">
        <w:rPr>
          <w:sz w:val="24"/>
          <w:szCs w:val="24"/>
        </w:rPr>
        <w:t>full health</w:t>
      </w:r>
      <w:r w:rsidR="00F046FB" w:rsidRPr="00961BAC">
        <w:rPr>
          <w:sz w:val="24"/>
          <w:szCs w:val="24"/>
        </w:rPr>
        <w:t>)</w:t>
      </w:r>
      <w:r w:rsidR="00930F51" w:rsidRPr="00961BAC">
        <w:rPr>
          <w:sz w:val="24"/>
          <w:szCs w:val="24"/>
        </w:rPr>
        <w:t xml:space="preserve">, </w:t>
      </w:r>
      <w:r w:rsidR="00F046FB" w:rsidRPr="00961BAC">
        <w:rPr>
          <w:sz w:val="24"/>
          <w:szCs w:val="24"/>
        </w:rPr>
        <w:t xml:space="preserve">allowing for </w:t>
      </w:r>
      <w:r w:rsidR="00930F51" w:rsidRPr="00961BAC">
        <w:rPr>
          <w:sz w:val="24"/>
          <w:szCs w:val="24"/>
        </w:rPr>
        <w:t xml:space="preserve">negative values </w:t>
      </w:r>
      <w:r w:rsidR="00F046FB" w:rsidRPr="00961BAC">
        <w:rPr>
          <w:sz w:val="24"/>
          <w:szCs w:val="24"/>
        </w:rPr>
        <w:t xml:space="preserve">indicating health </w:t>
      </w:r>
      <w:r w:rsidR="00930F51" w:rsidRPr="00961BAC">
        <w:rPr>
          <w:sz w:val="24"/>
          <w:szCs w:val="24"/>
        </w:rPr>
        <w:t xml:space="preserve">states worse than </w:t>
      </w:r>
      <w:r w:rsidR="00F046FB" w:rsidRPr="00961BAC">
        <w:rPr>
          <w:sz w:val="24"/>
          <w:szCs w:val="24"/>
        </w:rPr>
        <w:t>death</w:t>
      </w:r>
      <w:r w:rsidR="00930F51" w:rsidRPr="00961BAC">
        <w:rPr>
          <w:sz w:val="24"/>
          <w:szCs w:val="24"/>
        </w:rPr>
        <w:t>.</w:t>
      </w:r>
    </w:p>
    <w:p w14:paraId="427083BE" w14:textId="61DC5C0D" w:rsidR="00556AB3" w:rsidRPr="00961BAC" w:rsidRDefault="0067334C" w:rsidP="008472E9">
      <w:pPr>
        <w:jc w:val="both"/>
        <w:rPr>
          <w:sz w:val="24"/>
          <w:szCs w:val="24"/>
        </w:rPr>
      </w:pPr>
      <w:r w:rsidRPr="00961BAC">
        <w:rPr>
          <w:sz w:val="24"/>
          <w:szCs w:val="24"/>
        </w:rPr>
        <w:t>C</w:t>
      </w:r>
      <w:r w:rsidR="00556AB3" w:rsidRPr="00961BAC">
        <w:rPr>
          <w:sz w:val="24"/>
          <w:szCs w:val="24"/>
        </w:rPr>
        <w:t>osts</w:t>
      </w:r>
    </w:p>
    <w:p w14:paraId="4A6E6748" w14:textId="3415369A" w:rsidR="005A0E0B" w:rsidRPr="00961BAC" w:rsidRDefault="0017770B" w:rsidP="008472E9">
      <w:pPr>
        <w:jc w:val="both"/>
        <w:rPr>
          <w:sz w:val="24"/>
          <w:szCs w:val="24"/>
        </w:rPr>
      </w:pPr>
      <w:r w:rsidRPr="00961BAC">
        <w:rPr>
          <w:sz w:val="24"/>
          <w:szCs w:val="24"/>
        </w:rPr>
        <w:t>The</w:t>
      </w:r>
      <w:r w:rsidR="005A0E0B" w:rsidRPr="00961BAC">
        <w:rPr>
          <w:sz w:val="24"/>
          <w:szCs w:val="24"/>
        </w:rPr>
        <w:t xml:space="preserve"> cost</w:t>
      </w:r>
      <w:r w:rsidRPr="00961BAC">
        <w:rPr>
          <w:sz w:val="24"/>
          <w:szCs w:val="24"/>
        </w:rPr>
        <w:t xml:space="preserve"> analysis took the societal perspective and</w:t>
      </w:r>
      <w:r w:rsidR="005A0E0B" w:rsidRPr="00961BAC">
        <w:rPr>
          <w:sz w:val="24"/>
          <w:szCs w:val="24"/>
        </w:rPr>
        <w:t xml:space="preserve"> </w:t>
      </w:r>
      <w:r w:rsidR="00924EAD" w:rsidRPr="00961BAC">
        <w:rPr>
          <w:sz w:val="24"/>
          <w:szCs w:val="24"/>
        </w:rPr>
        <w:t>includ</w:t>
      </w:r>
      <w:r w:rsidR="005A0E0B" w:rsidRPr="00961BAC">
        <w:rPr>
          <w:sz w:val="24"/>
          <w:szCs w:val="24"/>
        </w:rPr>
        <w:t>e</w:t>
      </w:r>
      <w:r w:rsidRPr="00961BAC">
        <w:rPr>
          <w:sz w:val="24"/>
          <w:szCs w:val="24"/>
        </w:rPr>
        <w:t>d</w:t>
      </w:r>
      <w:r w:rsidR="00924EAD" w:rsidRPr="00961BAC">
        <w:rPr>
          <w:sz w:val="24"/>
          <w:szCs w:val="24"/>
        </w:rPr>
        <w:t xml:space="preserve"> healthcare costs </w:t>
      </w:r>
      <w:r w:rsidRPr="00961BAC">
        <w:rPr>
          <w:sz w:val="24"/>
          <w:szCs w:val="24"/>
        </w:rPr>
        <w:t>ac</w:t>
      </w:r>
      <w:r w:rsidR="007553B0" w:rsidRPr="00961BAC">
        <w:rPr>
          <w:sz w:val="24"/>
          <w:szCs w:val="24"/>
        </w:rPr>
        <w:t xml:space="preserve">ross primary and secondary care settings, </w:t>
      </w:r>
      <w:r w:rsidR="00924EAD" w:rsidRPr="00961BAC">
        <w:rPr>
          <w:sz w:val="24"/>
          <w:szCs w:val="24"/>
        </w:rPr>
        <w:t>a</w:t>
      </w:r>
      <w:r w:rsidR="002808F3" w:rsidRPr="00961BAC">
        <w:rPr>
          <w:sz w:val="24"/>
          <w:szCs w:val="24"/>
        </w:rPr>
        <w:t>s well as</w:t>
      </w:r>
      <w:r w:rsidR="00924EAD" w:rsidRPr="00961BAC">
        <w:rPr>
          <w:sz w:val="24"/>
          <w:szCs w:val="24"/>
        </w:rPr>
        <w:t xml:space="preserve"> </w:t>
      </w:r>
      <w:r w:rsidR="00ED7F86" w:rsidRPr="00961BAC">
        <w:rPr>
          <w:sz w:val="24"/>
          <w:szCs w:val="24"/>
        </w:rPr>
        <w:t>costs associated with working days lost (</w:t>
      </w:r>
      <w:r w:rsidRPr="00961BAC">
        <w:rPr>
          <w:sz w:val="24"/>
          <w:szCs w:val="24"/>
        </w:rPr>
        <w:t>productivity losses</w:t>
      </w:r>
      <w:r w:rsidR="00ED7F86" w:rsidRPr="00961BAC">
        <w:rPr>
          <w:sz w:val="24"/>
          <w:szCs w:val="24"/>
        </w:rPr>
        <w:t>)</w:t>
      </w:r>
      <w:r w:rsidRPr="00961BAC">
        <w:rPr>
          <w:sz w:val="24"/>
          <w:szCs w:val="24"/>
        </w:rPr>
        <w:t xml:space="preserve"> due to </w:t>
      </w:r>
      <w:r w:rsidR="00B0500D" w:rsidRPr="00961BAC">
        <w:rPr>
          <w:sz w:val="24"/>
          <w:szCs w:val="24"/>
        </w:rPr>
        <w:t>long COVID</w:t>
      </w:r>
      <w:r w:rsidR="00924EAD" w:rsidRPr="00961BAC">
        <w:rPr>
          <w:sz w:val="24"/>
          <w:szCs w:val="24"/>
        </w:rPr>
        <w:t>.</w:t>
      </w:r>
      <w:r w:rsidR="005A0E0B" w:rsidRPr="00961BAC">
        <w:rPr>
          <w:sz w:val="24"/>
          <w:szCs w:val="24"/>
        </w:rPr>
        <w:t xml:space="preserve"> The</w:t>
      </w:r>
      <w:r w:rsidR="007553B0" w:rsidRPr="00961BAC">
        <w:rPr>
          <w:sz w:val="24"/>
          <w:szCs w:val="24"/>
        </w:rPr>
        <w:t xml:space="preserve"> </w:t>
      </w:r>
      <w:r w:rsidR="00085F4A" w:rsidRPr="00961BAC">
        <w:rPr>
          <w:sz w:val="24"/>
          <w:szCs w:val="24"/>
        </w:rPr>
        <w:t xml:space="preserve">health </w:t>
      </w:r>
      <w:r w:rsidR="007553B0" w:rsidRPr="00961BAC">
        <w:rPr>
          <w:sz w:val="24"/>
          <w:szCs w:val="24"/>
        </w:rPr>
        <w:t>service use questionnaire in the</w:t>
      </w:r>
      <w:r w:rsidR="005A0E0B" w:rsidRPr="00961BAC">
        <w:rPr>
          <w:sz w:val="24"/>
          <w:szCs w:val="24"/>
        </w:rPr>
        <w:t xml:space="preserve"> LWCR </w:t>
      </w:r>
      <w:r w:rsidR="007553B0" w:rsidRPr="00961BAC">
        <w:rPr>
          <w:sz w:val="24"/>
          <w:szCs w:val="24"/>
        </w:rPr>
        <w:t>app recorded</w:t>
      </w:r>
      <w:r w:rsidR="005A0E0B" w:rsidRPr="00961BAC">
        <w:rPr>
          <w:sz w:val="24"/>
          <w:szCs w:val="24"/>
        </w:rPr>
        <w:t xml:space="preserve"> </w:t>
      </w:r>
      <w:r w:rsidR="000E5B5F" w:rsidRPr="00961BAC">
        <w:rPr>
          <w:sz w:val="24"/>
          <w:szCs w:val="24"/>
        </w:rPr>
        <w:t xml:space="preserve">the </w:t>
      </w:r>
      <w:r w:rsidR="005A0E0B" w:rsidRPr="00961BAC">
        <w:rPr>
          <w:sz w:val="24"/>
          <w:szCs w:val="24"/>
        </w:rPr>
        <w:t>number of GP visit</w:t>
      </w:r>
      <w:r w:rsidR="000E5B5F" w:rsidRPr="00961BAC">
        <w:rPr>
          <w:sz w:val="24"/>
          <w:szCs w:val="24"/>
        </w:rPr>
        <w:t>s</w:t>
      </w:r>
      <w:r w:rsidR="005A0E0B" w:rsidRPr="00961BAC">
        <w:rPr>
          <w:sz w:val="24"/>
          <w:szCs w:val="24"/>
        </w:rPr>
        <w:t xml:space="preserve">, psychotherapy </w:t>
      </w:r>
      <w:r w:rsidR="007553B0" w:rsidRPr="00961BAC">
        <w:rPr>
          <w:sz w:val="24"/>
          <w:szCs w:val="24"/>
        </w:rPr>
        <w:t>and</w:t>
      </w:r>
      <w:r w:rsidR="005A0E0B" w:rsidRPr="00961BAC">
        <w:rPr>
          <w:sz w:val="24"/>
          <w:szCs w:val="24"/>
        </w:rPr>
        <w:t xml:space="preserve"> physiotherapy session</w:t>
      </w:r>
      <w:r w:rsidR="000E5B5F" w:rsidRPr="00961BAC">
        <w:rPr>
          <w:sz w:val="24"/>
          <w:szCs w:val="24"/>
        </w:rPr>
        <w:t>s</w:t>
      </w:r>
      <w:r w:rsidR="005A0E0B" w:rsidRPr="00961BAC">
        <w:rPr>
          <w:sz w:val="24"/>
          <w:szCs w:val="24"/>
        </w:rPr>
        <w:t xml:space="preserve">, </w:t>
      </w:r>
      <w:r w:rsidR="007553B0" w:rsidRPr="00961BAC">
        <w:rPr>
          <w:sz w:val="24"/>
          <w:szCs w:val="24"/>
        </w:rPr>
        <w:t xml:space="preserve">hospital </w:t>
      </w:r>
      <w:r w:rsidR="005A0E0B" w:rsidRPr="00961BAC">
        <w:rPr>
          <w:sz w:val="24"/>
          <w:szCs w:val="24"/>
        </w:rPr>
        <w:t>inpatient stay</w:t>
      </w:r>
      <w:r w:rsidR="005660F7" w:rsidRPr="00961BAC">
        <w:rPr>
          <w:sz w:val="24"/>
          <w:szCs w:val="24"/>
        </w:rPr>
        <w:t>s</w:t>
      </w:r>
      <w:r w:rsidR="002A0E41" w:rsidRPr="00961BAC">
        <w:rPr>
          <w:sz w:val="24"/>
          <w:szCs w:val="24"/>
        </w:rPr>
        <w:t>,</w:t>
      </w:r>
      <w:r w:rsidR="005A0E0B" w:rsidRPr="00961BAC">
        <w:rPr>
          <w:sz w:val="24"/>
          <w:szCs w:val="24"/>
        </w:rPr>
        <w:t xml:space="preserve"> and outpatient appointment</w:t>
      </w:r>
      <w:r w:rsidR="000E5B5F" w:rsidRPr="00961BAC">
        <w:rPr>
          <w:sz w:val="24"/>
          <w:szCs w:val="24"/>
        </w:rPr>
        <w:t>s</w:t>
      </w:r>
      <w:r w:rsidR="005A0E0B" w:rsidRPr="00961BAC">
        <w:rPr>
          <w:sz w:val="24"/>
          <w:szCs w:val="24"/>
        </w:rPr>
        <w:t xml:space="preserve"> in the past </w:t>
      </w:r>
      <w:r w:rsidR="007E624F" w:rsidRPr="00961BAC">
        <w:rPr>
          <w:sz w:val="24"/>
          <w:szCs w:val="24"/>
        </w:rPr>
        <w:t>four</w:t>
      </w:r>
      <w:r w:rsidR="005A0E0B" w:rsidRPr="00961BAC">
        <w:rPr>
          <w:sz w:val="24"/>
          <w:szCs w:val="24"/>
        </w:rPr>
        <w:t xml:space="preserve"> weeks</w:t>
      </w:r>
      <w:r w:rsidR="00A46273" w:rsidRPr="00961BAC">
        <w:rPr>
          <w:sz w:val="24"/>
          <w:szCs w:val="24"/>
        </w:rPr>
        <w:t xml:space="preserve"> (month)</w:t>
      </w:r>
      <w:r w:rsidR="005A0E0B" w:rsidRPr="00961BAC">
        <w:rPr>
          <w:sz w:val="24"/>
          <w:szCs w:val="24"/>
        </w:rPr>
        <w:t>.</w:t>
      </w:r>
      <w:r w:rsidR="00C75881" w:rsidRPr="00961BAC">
        <w:rPr>
          <w:sz w:val="24"/>
          <w:szCs w:val="24"/>
        </w:rPr>
        <w:t xml:space="preserve"> </w:t>
      </w:r>
      <w:r w:rsidR="000E5B5F" w:rsidRPr="00961BAC">
        <w:rPr>
          <w:sz w:val="24"/>
          <w:szCs w:val="24"/>
        </w:rPr>
        <w:t>To calculate healthcare costs, w</w:t>
      </w:r>
      <w:r w:rsidR="00C75881" w:rsidRPr="00961BAC">
        <w:rPr>
          <w:sz w:val="24"/>
          <w:szCs w:val="24"/>
        </w:rPr>
        <w:t xml:space="preserve">e </w:t>
      </w:r>
      <w:r w:rsidR="002A0E41" w:rsidRPr="00961BAC">
        <w:rPr>
          <w:sz w:val="24"/>
          <w:szCs w:val="24"/>
        </w:rPr>
        <w:lastRenderedPageBreak/>
        <w:t xml:space="preserve">combined the resource use with </w:t>
      </w:r>
      <w:r w:rsidR="00C75881" w:rsidRPr="00961BAC">
        <w:rPr>
          <w:sz w:val="24"/>
          <w:szCs w:val="24"/>
        </w:rPr>
        <w:t xml:space="preserve">unit costs </w:t>
      </w:r>
      <w:r w:rsidR="002A0E41" w:rsidRPr="00961BAC">
        <w:rPr>
          <w:sz w:val="24"/>
          <w:szCs w:val="24"/>
        </w:rPr>
        <w:t>from</w:t>
      </w:r>
      <w:r w:rsidR="00C75881" w:rsidRPr="00961BAC">
        <w:rPr>
          <w:sz w:val="24"/>
          <w:szCs w:val="24"/>
        </w:rPr>
        <w:t xml:space="preserve"> the </w:t>
      </w:r>
      <w:r w:rsidR="002A0E41" w:rsidRPr="00961BAC">
        <w:rPr>
          <w:sz w:val="24"/>
          <w:szCs w:val="24"/>
        </w:rPr>
        <w:t>Unit costs of Health and Social Care</w:t>
      </w:r>
      <w:r w:rsidR="00D06A22" w:rsidRPr="00961BAC">
        <w:rPr>
          <w:sz w:val="24"/>
          <w:szCs w:val="24"/>
        </w:rPr>
        <w:t xml:space="preserve"> </w:t>
      </w:r>
      <w:r w:rsidR="00C75881" w:rsidRPr="00961BAC">
        <w:rPr>
          <w:sz w:val="24"/>
          <w:szCs w:val="24"/>
        </w:rPr>
        <w:fldChar w:fldCharType="begin"/>
      </w:r>
      <w:r w:rsidR="00FD4C2C" w:rsidRPr="00961BAC">
        <w:rPr>
          <w:sz w:val="24"/>
          <w:szCs w:val="24"/>
        </w:rPr>
        <w:instrText xml:space="preserve"> ADDIN EN.CITE &lt;EndNote&gt;&lt;Cite&gt;&lt;Author&gt;Lesley A. Curtis&lt;/Author&gt;&lt;Year&gt;2021&lt;/Year&gt;&lt;RecNum&gt;16&lt;/RecNum&gt;&lt;DisplayText&gt;&lt;style face="superscript"&gt;14&lt;/style&gt;&lt;/DisplayText&gt;&lt;record&gt;&lt;rec-number&gt;16&lt;/rec-number&gt;&lt;foreign-keys&gt;&lt;key app="EN" db-id="zfz9pe2xqf0rxiee9sbptsdssxaev52swxxa" timestamp="1710246627"&gt;16&lt;/key&gt;&lt;/foreign-keys&gt;&lt;ref-type name="Book"&gt;6&lt;/ref-type&gt;&lt;contributors&gt;&lt;authors&gt;&lt;author&gt;Lesley A. Curtis, Amanda Burns&lt;/author&gt;&lt;/authors&gt;&lt;/contributors&gt;&lt;titles&gt;&lt;title&gt;Unit Costs of Health and Social Care 2020&lt;/title&gt;&lt;secondary-title&gt;Unit Costs of Health and Social Care&lt;/secondary-title&gt;&lt;/titles&gt;&lt;dates&gt;&lt;year&gt;2021&lt;/year&gt;&lt;/dates&gt;&lt;pub-location&gt;Personal Social Services Research Unit, University of Kent, Canterbury&lt;/pub-location&gt;&lt;urls&gt;&lt;related-urls&gt;&lt;url&gt;https://www.pssru.ac.uk/project-pages/unit-costs/unit-costs-2020/&lt;/url&gt;&lt;/related-urls&gt;&lt;/urls&gt;&lt;/record&gt;&lt;/Cite&gt;&lt;/EndNote&gt;</w:instrText>
      </w:r>
      <w:r w:rsidR="00C75881" w:rsidRPr="00961BAC">
        <w:rPr>
          <w:sz w:val="24"/>
          <w:szCs w:val="24"/>
        </w:rPr>
        <w:fldChar w:fldCharType="separate"/>
      </w:r>
      <w:r w:rsidR="00FD4C2C" w:rsidRPr="00961BAC">
        <w:rPr>
          <w:noProof/>
          <w:sz w:val="24"/>
          <w:szCs w:val="24"/>
          <w:vertAlign w:val="superscript"/>
        </w:rPr>
        <w:t>14</w:t>
      </w:r>
      <w:r w:rsidR="00C75881" w:rsidRPr="00961BAC">
        <w:rPr>
          <w:sz w:val="24"/>
          <w:szCs w:val="24"/>
        </w:rPr>
        <w:fldChar w:fldCharType="end"/>
      </w:r>
      <w:r w:rsidR="00C75881" w:rsidRPr="00961BAC">
        <w:rPr>
          <w:sz w:val="24"/>
          <w:szCs w:val="24"/>
        </w:rPr>
        <w:t xml:space="preserve"> and </w:t>
      </w:r>
      <w:r w:rsidR="002A0E41" w:rsidRPr="00961BAC">
        <w:rPr>
          <w:sz w:val="24"/>
          <w:szCs w:val="24"/>
        </w:rPr>
        <w:t xml:space="preserve">NHS </w:t>
      </w:r>
      <w:r w:rsidR="00C75881" w:rsidRPr="00961BAC">
        <w:rPr>
          <w:sz w:val="24"/>
          <w:szCs w:val="24"/>
        </w:rPr>
        <w:t>national tariff</w:t>
      </w:r>
      <w:r w:rsidR="002A0E41" w:rsidRPr="00961BAC">
        <w:rPr>
          <w:sz w:val="24"/>
          <w:szCs w:val="24"/>
        </w:rPr>
        <w:t>s</w:t>
      </w:r>
      <w:r w:rsidR="007E624F" w:rsidRPr="00961BAC">
        <w:rPr>
          <w:sz w:val="24"/>
          <w:szCs w:val="24"/>
        </w:rPr>
        <w:t xml:space="preserve"> </w:t>
      </w:r>
      <w:r w:rsidR="007E624F" w:rsidRPr="00961BAC">
        <w:rPr>
          <w:sz w:val="24"/>
          <w:szCs w:val="24"/>
        </w:rPr>
        <w:fldChar w:fldCharType="begin"/>
      </w:r>
      <w:r w:rsidR="00FD4C2C" w:rsidRPr="00961BAC">
        <w:rPr>
          <w:sz w:val="24"/>
          <w:szCs w:val="24"/>
        </w:rPr>
        <w:instrText xml:space="preserve"> ADDIN EN.CITE &lt;EndNote&gt;&lt;Cite&gt;&lt;Author&gt;National Health Service&lt;/Author&gt;&lt;Year&gt;2020&lt;/Year&gt;&lt;RecNum&gt;17&lt;/RecNum&gt;&lt;DisplayText&gt;&lt;style face="superscript"&gt;15&lt;/style&gt;&lt;/DisplayText&gt;&lt;record&gt;&lt;rec-number&gt;17&lt;/rec-number&gt;&lt;foreign-keys&gt;&lt;key app="EN" db-id="zfz9pe2xqf0rxiee9sbptsdssxaev52swxxa" timestamp="1710246924"&gt;17&lt;/key&gt;&lt;/foreign-keys&gt;&lt;ref-type name="Web Page"&gt;12&lt;/ref-type&gt;&lt;contributors&gt;&lt;authors&gt;&lt;author&gt;National Health Service,&lt;/author&gt;&lt;/authors&gt;&lt;/contributors&gt;&lt;titles&gt;&lt;title&gt;National Tariff&lt;/title&gt;&lt;/titles&gt;&lt;dates&gt;&lt;year&gt;2020&lt;/year&gt;&lt;/dates&gt;&lt;urls&gt;&lt;related-urls&gt;&lt;url&gt;https://www.england.nhs.uk/pay-syst/national-tariff/&lt;/url&gt;&lt;/related-urls&gt;&lt;/urls&gt;&lt;/record&gt;&lt;/Cite&gt;&lt;/EndNote&gt;</w:instrText>
      </w:r>
      <w:r w:rsidR="007E624F" w:rsidRPr="00961BAC">
        <w:rPr>
          <w:sz w:val="24"/>
          <w:szCs w:val="24"/>
        </w:rPr>
        <w:fldChar w:fldCharType="separate"/>
      </w:r>
      <w:r w:rsidR="00FD4C2C" w:rsidRPr="00961BAC">
        <w:rPr>
          <w:noProof/>
          <w:sz w:val="24"/>
          <w:szCs w:val="24"/>
          <w:vertAlign w:val="superscript"/>
        </w:rPr>
        <w:t>15</w:t>
      </w:r>
      <w:r w:rsidR="007E624F" w:rsidRPr="00961BAC">
        <w:rPr>
          <w:sz w:val="24"/>
          <w:szCs w:val="24"/>
        </w:rPr>
        <w:fldChar w:fldCharType="end"/>
      </w:r>
      <w:r w:rsidR="00C75881" w:rsidRPr="00961BAC">
        <w:rPr>
          <w:sz w:val="24"/>
          <w:szCs w:val="24"/>
        </w:rPr>
        <w:t xml:space="preserve">. </w:t>
      </w:r>
      <w:r w:rsidR="00E807C5" w:rsidRPr="00961BAC">
        <w:rPr>
          <w:sz w:val="24"/>
          <w:szCs w:val="24"/>
        </w:rPr>
        <w:t xml:space="preserve">The </w:t>
      </w:r>
      <w:r w:rsidR="00411F54" w:rsidRPr="00961BAC">
        <w:rPr>
          <w:sz w:val="24"/>
          <w:szCs w:val="24"/>
        </w:rPr>
        <w:t>health service use questionnaire</w:t>
      </w:r>
      <w:r w:rsidR="007804ED" w:rsidRPr="00961BAC">
        <w:rPr>
          <w:sz w:val="24"/>
          <w:szCs w:val="24"/>
        </w:rPr>
        <w:t xml:space="preserve"> </w:t>
      </w:r>
      <w:r w:rsidR="00411F54" w:rsidRPr="00961BAC">
        <w:rPr>
          <w:sz w:val="24"/>
          <w:szCs w:val="24"/>
        </w:rPr>
        <w:t xml:space="preserve">also asked </w:t>
      </w:r>
      <w:r w:rsidR="00E807C5" w:rsidRPr="00961BAC">
        <w:rPr>
          <w:sz w:val="24"/>
          <w:szCs w:val="24"/>
        </w:rPr>
        <w:t xml:space="preserve">patients to report </w:t>
      </w:r>
      <w:r w:rsidR="00411F54" w:rsidRPr="00961BAC">
        <w:rPr>
          <w:sz w:val="24"/>
          <w:szCs w:val="24"/>
        </w:rPr>
        <w:t>the number of</w:t>
      </w:r>
      <w:r w:rsidR="007E624F" w:rsidRPr="00961BAC">
        <w:rPr>
          <w:sz w:val="24"/>
          <w:szCs w:val="24"/>
        </w:rPr>
        <w:t xml:space="preserve"> </w:t>
      </w:r>
      <w:r w:rsidR="00E807C5" w:rsidRPr="00961BAC">
        <w:rPr>
          <w:sz w:val="24"/>
          <w:szCs w:val="24"/>
        </w:rPr>
        <w:t>days off work</w:t>
      </w:r>
      <w:r w:rsidR="00411F54" w:rsidRPr="00961BAC">
        <w:rPr>
          <w:sz w:val="24"/>
          <w:szCs w:val="24"/>
        </w:rPr>
        <w:t xml:space="preserve"> due to </w:t>
      </w:r>
      <w:r w:rsidR="00B0500D" w:rsidRPr="00961BAC">
        <w:rPr>
          <w:sz w:val="24"/>
          <w:szCs w:val="24"/>
        </w:rPr>
        <w:t>long COVID</w:t>
      </w:r>
      <w:r w:rsidR="007E624F" w:rsidRPr="00961BAC">
        <w:rPr>
          <w:sz w:val="24"/>
          <w:szCs w:val="24"/>
        </w:rPr>
        <w:t xml:space="preserve"> </w:t>
      </w:r>
      <w:r w:rsidR="00411F54" w:rsidRPr="00961BAC">
        <w:rPr>
          <w:sz w:val="24"/>
          <w:szCs w:val="24"/>
        </w:rPr>
        <w:t>in</w:t>
      </w:r>
      <w:r w:rsidR="007E624F" w:rsidRPr="00961BAC">
        <w:rPr>
          <w:sz w:val="24"/>
          <w:szCs w:val="24"/>
        </w:rPr>
        <w:t xml:space="preserve"> the past four weeks. </w:t>
      </w:r>
      <w:r w:rsidR="000E5B5F" w:rsidRPr="00961BAC">
        <w:rPr>
          <w:sz w:val="24"/>
          <w:szCs w:val="24"/>
        </w:rPr>
        <w:t>To calculate the</w:t>
      </w:r>
      <w:r w:rsidR="00E807C5" w:rsidRPr="00961BAC">
        <w:rPr>
          <w:sz w:val="24"/>
          <w:szCs w:val="24"/>
        </w:rPr>
        <w:t xml:space="preserve"> total cost associated with </w:t>
      </w:r>
      <w:r w:rsidR="00B65160" w:rsidRPr="00961BAC">
        <w:rPr>
          <w:sz w:val="24"/>
          <w:szCs w:val="24"/>
        </w:rPr>
        <w:t>working days lost</w:t>
      </w:r>
      <w:r w:rsidR="00D30A9B" w:rsidRPr="00961BAC">
        <w:rPr>
          <w:sz w:val="24"/>
          <w:szCs w:val="24"/>
        </w:rPr>
        <w:t xml:space="preserve">, we costed the </w:t>
      </w:r>
      <w:r w:rsidR="00A765BC" w:rsidRPr="00961BAC">
        <w:rPr>
          <w:sz w:val="24"/>
          <w:szCs w:val="24"/>
        </w:rPr>
        <w:t xml:space="preserve">number of days off work using the </w:t>
      </w:r>
      <w:r w:rsidR="00982D3A" w:rsidRPr="00961BAC">
        <w:rPr>
          <w:sz w:val="24"/>
          <w:szCs w:val="24"/>
        </w:rPr>
        <w:t xml:space="preserve">average </w:t>
      </w:r>
      <w:r w:rsidR="00A765BC" w:rsidRPr="00961BAC">
        <w:rPr>
          <w:sz w:val="24"/>
          <w:szCs w:val="24"/>
        </w:rPr>
        <w:t>national</w:t>
      </w:r>
      <w:r w:rsidR="000E5B5F" w:rsidRPr="00961BAC">
        <w:rPr>
          <w:sz w:val="24"/>
          <w:szCs w:val="24"/>
        </w:rPr>
        <w:t xml:space="preserve"> </w:t>
      </w:r>
      <w:r w:rsidR="00982D3A" w:rsidRPr="00961BAC">
        <w:rPr>
          <w:sz w:val="24"/>
          <w:szCs w:val="24"/>
        </w:rPr>
        <w:t>minimum wage hourly rate (</w:t>
      </w:r>
      <w:r w:rsidR="0056133F" w:rsidRPr="00961BAC">
        <w:rPr>
          <w:sz w:val="24"/>
          <w:szCs w:val="24"/>
        </w:rPr>
        <w:t>£</w:t>
      </w:r>
      <w:r w:rsidR="007E624F" w:rsidRPr="00961BAC">
        <w:rPr>
          <w:sz w:val="24"/>
          <w:szCs w:val="24"/>
        </w:rPr>
        <w:t xml:space="preserve">13.57) </w:t>
      </w:r>
      <w:r w:rsidR="000E5B5F" w:rsidRPr="00961BAC">
        <w:rPr>
          <w:sz w:val="24"/>
          <w:szCs w:val="24"/>
        </w:rPr>
        <w:t>and</w:t>
      </w:r>
      <w:r w:rsidR="007E624F" w:rsidRPr="00961BAC">
        <w:rPr>
          <w:sz w:val="24"/>
          <w:szCs w:val="24"/>
        </w:rPr>
        <w:t xml:space="preserve"> the average working hours per week (33.9 hours)</w:t>
      </w:r>
      <w:r w:rsidR="000E5B5F" w:rsidRPr="00961BAC">
        <w:rPr>
          <w:sz w:val="24"/>
          <w:szCs w:val="24"/>
        </w:rPr>
        <w:t xml:space="preserve"> </w:t>
      </w:r>
      <w:r w:rsidR="007E624F" w:rsidRPr="00961BAC">
        <w:rPr>
          <w:sz w:val="24"/>
          <w:szCs w:val="24"/>
        </w:rPr>
        <w:t xml:space="preserve">estimated by the Office for National Statistics </w:t>
      </w:r>
      <w:r w:rsidR="000E5B5F" w:rsidRPr="00961BAC">
        <w:rPr>
          <w:sz w:val="24"/>
          <w:szCs w:val="24"/>
        </w:rPr>
        <w:fldChar w:fldCharType="begin"/>
      </w:r>
      <w:r w:rsidR="00FD4C2C" w:rsidRPr="00961BAC">
        <w:rPr>
          <w:sz w:val="24"/>
          <w:szCs w:val="24"/>
        </w:rPr>
        <w:instrText xml:space="preserve"> ADDIN EN.CITE &lt;EndNote&gt;&lt;Cite&gt;&lt;Author&gt;Office for National Statistics&lt;/Author&gt;&lt;Year&gt;2021&lt;/Year&gt;&lt;RecNum&gt;18&lt;/RecNum&gt;&lt;DisplayText&gt;&lt;style face="superscript"&gt;16&lt;/style&gt;&lt;/DisplayText&gt;&lt;record&gt;&lt;rec-number&gt;18&lt;/rec-number&gt;&lt;foreign-keys&gt;&lt;key app="EN" db-id="zfz9pe2xqf0rxiee9sbptsdssxaev52swxxa" timestamp="1710247545"&gt;18&lt;/key&gt;&lt;/foreign-keys&gt;&lt;ref-type name="Web Page"&gt;12&lt;/ref-type&gt;&lt;contributors&gt;&lt;authors&gt;&lt;author&gt;Office for National Statistics,&lt;/author&gt;&lt;/authors&gt;&lt;/contributors&gt;&lt;titles&gt;&lt;title&gt;Average hourly pay&lt;/title&gt;&lt;/titles&gt;&lt;dates&gt;&lt;year&gt;2021&lt;/year&gt;&lt;/dates&gt;&lt;urls&gt;&lt;related-urls&gt;&lt;url&gt;https://www.ethnicity-facts-figures.service.gov.uk/work-pay-and-benefits/pay-and-income/average-hourly-pay/latest&lt;/url&gt;&lt;/related-urls&gt;&lt;/urls&gt;&lt;/record&gt;&lt;/Cite&gt;&lt;/EndNote&gt;</w:instrText>
      </w:r>
      <w:r w:rsidR="000E5B5F" w:rsidRPr="00961BAC">
        <w:rPr>
          <w:sz w:val="24"/>
          <w:szCs w:val="24"/>
        </w:rPr>
        <w:fldChar w:fldCharType="separate"/>
      </w:r>
      <w:r w:rsidR="00FD4C2C" w:rsidRPr="00961BAC">
        <w:rPr>
          <w:noProof/>
          <w:sz w:val="24"/>
          <w:szCs w:val="24"/>
          <w:vertAlign w:val="superscript"/>
        </w:rPr>
        <w:t>16</w:t>
      </w:r>
      <w:r w:rsidR="000E5B5F" w:rsidRPr="00961BAC">
        <w:rPr>
          <w:sz w:val="24"/>
          <w:szCs w:val="24"/>
        </w:rPr>
        <w:fldChar w:fldCharType="end"/>
      </w:r>
      <w:r w:rsidR="007E624F" w:rsidRPr="00961BAC">
        <w:rPr>
          <w:sz w:val="24"/>
          <w:szCs w:val="24"/>
        </w:rPr>
        <w:t xml:space="preserve">.  </w:t>
      </w:r>
    </w:p>
    <w:p w14:paraId="399F9B3F" w14:textId="4351B1CB" w:rsidR="000F4ECC" w:rsidRPr="00961BAC" w:rsidRDefault="000F4ECC" w:rsidP="008472E9">
      <w:pPr>
        <w:jc w:val="both"/>
        <w:rPr>
          <w:sz w:val="24"/>
          <w:szCs w:val="24"/>
        </w:rPr>
      </w:pPr>
      <w:r w:rsidRPr="00961BAC">
        <w:rPr>
          <w:sz w:val="24"/>
          <w:szCs w:val="24"/>
        </w:rPr>
        <w:t>Patient demographics</w:t>
      </w:r>
    </w:p>
    <w:p w14:paraId="29FA94DA" w14:textId="766BEBAB" w:rsidR="00165370" w:rsidRPr="00961BAC" w:rsidRDefault="00815D4D" w:rsidP="008472E9">
      <w:pPr>
        <w:jc w:val="both"/>
        <w:rPr>
          <w:sz w:val="24"/>
          <w:szCs w:val="24"/>
        </w:rPr>
      </w:pPr>
      <w:r w:rsidRPr="00961BAC">
        <w:rPr>
          <w:sz w:val="24"/>
          <w:szCs w:val="24"/>
        </w:rPr>
        <w:t>The LWCR</w:t>
      </w:r>
      <w:r w:rsidR="00D54EB1" w:rsidRPr="00961BAC">
        <w:rPr>
          <w:sz w:val="24"/>
          <w:szCs w:val="24"/>
        </w:rPr>
        <w:t xml:space="preserve"> also</w:t>
      </w:r>
      <w:r w:rsidRPr="00961BAC">
        <w:rPr>
          <w:sz w:val="24"/>
          <w:szCs w:val="24"/>
        </w:rPr>
        <w:t xml:space="preserve"> </w:t>
      </w:r>
      <w:r w:rsidR="006B5571" w:rsidRPr="00961BAC">
        <w:rPr>
          <w:sz w:val="24"/>
          <w:szCs w:val="24"/>
        </w:rPr>
        <w:t xml:space="preserve">included a Patient Demographic questionnaire, which </w:t>
      </w:r>
      <w:r w:rsidR="002A325C" w:rsidRPr="00961BAC">
        <w:rPr>
          <w:sz w:val="24"/>
          <w:szCs w:val="24"/>
        </w:rPr>
        <w:t>collected</w:t>
      </w:r>
      <w:r w:rsidRPr="00961BAC">
        <w:rPr>
          <w:sz w:val="24"/>
          <w:szCs w:val="24"/>
        </w:rPr>
        <w:t xml:space="preserve"> </w:t>
      </w:r>
      <w:r w:rsidR="006B5571" w:rsidRPr="00961BAC">
        <w:rPr>
          <w:sz w:val="24"/>
          <w:szCs w:val="24"/>
        </w:rPr>
        <w:t>socio-</w:t>
      </w:r>
      <w:r w:rsidRPr="00961BAC">
        <w:rPr>
          <w:sz w:val="24"/>
          <w:szCs w:val="24"/>
        </w:rPr>
        <w:t xml:space="preserve">demographic </w:t>
      </w:r>
      <w:r w:rsidR="006B5571" w:rsidRPr="00961BAC">
        <w:rPr>
          <w:sz w:val="24"/>
          <w:szCs w:val="24"/>
        </w:rPr>
        <w:t>data</w:t>
      </w:r>
      <w:r w:rsidRPr="00961BAC">
        <w:rPr>
          <w:sz w:val="24"/>
          <w:szCs w:val="24"/>
        </w:rPr>
        <w:t xml:space="preserve"> from patients, including age, gender, ethnicity</w:t>
      </w:r>
      <w:r w:rsidR="006244F6" w:rsidRPr="00961BAC">
        <w:rPr>
          <w:sz w:val="24"/>
          <w:szCs w:val="24"/>
        </w:rPr>
        <w:t xml:space="preserve"> and</w:t>
      </w:r>
      <w:r w:rsidR="00483DE9" w:rsidRPr="00961BAC">
        <w:rPr>
          <w:sz w:val="24"/>
          <w:szCs w:val="24"/>
        </w:rPr>
        <w:t xml:space="preserve"> </w:t>
      </w:r>
      <w:r w:rsidRPr="00961BAC">
        <w:rPr>
          <w:sz w:val="24"/>
          <w:szCs w:val="24"/>
        </w:rPr>
        <w:t>highest educational level</w:t>
      </w:r>
      <w:r w:rsidR="00483DE9" w:rsidRPr="00961BAC">
        <w:rPr>
          <w:sz w:val="24"/>
          <w:szCs w:val="24"/>
        </w:rPr>
        <w:t>.</w:t>
      </w:r>
      <w:r w:rsidR="006A7B7F" w:rsidRPr="00961BAC">
        <w:rPr>
          <w:sz w:val="24"/>
          <w:szCs w:val="24"/>
        </w:rPr>
        <w:t xml:space="preserve"> </w:t>
      </w:r>
      <w:r w:rsidR="00483DE9" w:rsidRPr="00961BAC">
        <w:rPr>
          <w:sz w:val="24"/>
          <w:szCs w:val="24"/>
        </w:rPr>
        <w:t>T</w:t>
      </w:r>
      <w:r w:rsidR="001360C1" w:rsidRPr="00961BAC">
        <w:rPr>
          <w:sz w:val="24"/>
          <w:szCs w:val="24"/>
        </w:rPr>
        <w:t xml:space="preserve">he </w:t>
      </w:r>
      <w:r w:rsidR="00A20CD8" w:rsidRPr="00961BAC">
        <w:rPr>
          <w:sz w:val="24"/>
          <w:szCs w:val="24"/>
        </w:rPr>
        <w:t>Index of Multiple Deprivation</w:t>
      </w:r>
      <w:r w:rsidR="006244F6" w:rsidRPr="00961BAC">
        <w:rPr>
          <w:sz w:val="24"/>
          <w:szCs w:val="24"/>
        </w:rPr>
        <w:t xml:space="preserve"> (IMD)</w:t>
      </w:r>
      <w:r w:rsidR="00D1464C" w:rsidRPr="00961BAC">
        <w:rPr>
          <w:sz w:val="24"/>
          <w:szCs w:val="24"/>
        </w:rPr>
        <w:t xml:space="preserve"> </w:t>
      </w:r>
      <w:r w:rsidR="00483DE9" w:rsidRPr="00961BAC">
        <w:rPr>
          <w:sz w:val="24"/>
          <w:szCs w:val="24"/>
        </w:rPr>
        <w:t xml:space="preserve">is derived from the </w:t>
      </w:r>
      <w:r w:rsidR="001360C1" w:rsidRPr="00961BAC">
        <w:rPr>
          <w:sz w:val="24"/>
          <w:szCs w:val="24"/>
        </w:rPr>
        <w:t>individual’s</w:t>
      </w:r>
      <w:r w:rsidR="00D1464C" w:rsidRPr="00961BAC">
        <w:rPr>
          <w:sz w:val="24"/>
          <w:szCs w:val="24"/>
        </w:rPr>
        <w:t xml:space="preserve"> postcode</w:t>
      </w:r>
      <w:r w:rsidR="001360C1" w:rsidRPr="00961BAC">
        <w:rPr>
          <w:sz w:val="24"/>
          <w:szCs w:val="24"/>
        </w:rPr>
        <w:t>.</w:t>
      </w:r>
    </w:p>
    <w:p w14:paraId="3596E9FC" w14:textId="77777777" w:rsidR="0003676A" w:rsidRPr="00961BAC" w:rsidRDefault="0003676A" w:rsidP="0003676A">
      <w:pPr>
        <w:jc w:val="both"/>
        <w:rPr>
          <w:b/>
          <w:bCs/>
          <w:sz w:val="24"/>
          <w:szCs w:val="24"/>
        </w:rPr>
      </w:pPr>
      <w:r w:rsidRPr="00961BAC">
        <w:rPr>
          <w:b/>
          <w:bCs/>
          <w:sz w:val="24"/>
          <w:szCs w:val="24"/>
        </w:rPr>
        <w:t>Patient and public involvement</w:t>
      </w:r>
    </w:p>
    <w:p w14:paraId="6A30218B" w14:textId="01D47842" w:rsidR="0003676A" w:rsidRPr="00961BAC" w:rsidRDefault="0003676A" w:rsidP="0003676A">
      <w:pPr>
        <w:jc w:val="both"/>
        <w:rPr>
          <w:sz w:val="24"/>
          <w:szCs w:val="24"/>
        </w:rPr>
      </w:pPr>
      <w:r w:rsidRPr="00961BAC">
        <w:rPr>
          <w:sz w:val="24"/>
          <w:szCs w:val="24"/>
        </w:rPr>
        <w:t xml:space="preserve">This study had substantial patient and public </w:t>
      </w:r>
      <w:r w:rsidR="00B434C9" w:rsidRPr="00961BAC">
        <w:rPr>
          <w:sz w:val="24"/>
          <w:szCs w:val="24"/>
        </w:rPr>
        <w:t>i</w:t>
      </w:r>
      <w:r w:rsidRPr="00961BAC">
        <w:rPr>
          <w:sz w:val="24"/>
          <w:szCs w:val="24"/>
        </w:rPr>
        <w:t xml:space="preserve">nvolvement </w:t>
      </w:r>
      <w:r w:rsidR="00B434C9" w:rsidRPr="00961BAC">
        <w:rPr>
          <w:sz w:val="24"/>
          <w:szCs w:val="24"/>
        </w:rPr>
        <w:t xml:space="preserve">(PPI) </w:t>
      </w:r>
      <w:r w:rsidRPr="00961BAC">
        <w:rPr>
          <w:sz w:val="24"/>
          <w:szCs w:val="24"/>
        </w:rPr>
        <w:t>with co-investigator (</w:t>
      </w:r>
      <w:r w:rsidR="00C2314C" w:rsidRPr="00961BAC">
        <w:rPr>
          <w:sz w:val="24"/>
          <w:szCs w:val="24"/>
        </w:rPr>
        <w:t>K</w:t>
      </w:r>
      <w:r w:rsidRPr="00961BAC">
        <w:rPr>
          <w:sz w:val="24"/>
          <w:szCs w:val="24"/>
        </w:rPr>
        <w:t xml:space="preserve">B), </w:t>
      </w:r>
      <w:r w:rsidR="00C2314C" w:rsidRPr="00961BAC">
        <w:rPr>
          <w:sz w:val="24"/>
          <w:szCs w:val="24"/>
        </w:rPr>
        <w:t xml:space="preserve">the </w:t>
      </w:r>
      <w:r w:rsidRPr="00961BAC">
        <w:rPr>
          <w:sz w:val="24"/>
          <w:szCs w:val="24"/>
        </w:rPr>
        <w:t>steering group, individual work package management groups and an overall PPI Advisory Group. The feedback from PPI was essential</w:t>
      </w:r>
      <w:r w:rsidR="00C2314C" w:rsidRPr="00961BAC">
        <w:rPr>
          <w:sz w:val="24"/>
          <w:szCs w:val="24"/>
        </w:rPr>
        <w:t xml:space="preserve"> at an early stage</w:t>
      </w:r>
      <w:r w:rsidRPr="00961BAC">
        <w:rPr>
          <w:sz w:val="24"/>
          <w:szCs w:val="24"/>
        </w:rPr>
        <w:t xml:space="preserve"> in determining the PROMs chosen in the study and the primary outcome measure of the WSAS</w:t>
      </w:r>
      <w:r w:rsidR="00C2314C" w:rsidRPr="00961BAC">
        <w:rPr>
          <w:sz w:val="24"/>
          <w:szCs w:val="24"/>
        </w:rPr>
        <w:t xml:space="preserve">, and at a later stage in interpreting the </w:t>
      </w:r>
      <w:r w:rsidR="001D4154" w:rsidRPr="00961BAC">
        <w:rPr>
          <w:sz w:val="24"/>
          <w:szCs w:val="24"/>
        </w:rPr>
        <w:t>findings of study and implications for practice.</w:t>
      </w:r>
    </w:p>
    <w:p w14:paraId="076750E8" w14:textId="21774F77" w:rsidR="006640C2" w:rsidRPr="00961BAC" w:rsidRDefault="003239C4" w:rsidP="008472E9">
      <w:pPr>
        <w:jc w:val="both"/>
        <w:rPr>
          <w:sz w:val="24"/>
          <w:szCs w:val="24"/>
        </w:rPr>
      </w:pPr>
      <w:r w:rsidRPr="00961BAC">
        <w:rPr>
          <w:b/>
          <w:bCs/>
          <w:sz w:val="24"/>
          <w:szCs w:val="24"/>
        </w:rPr>
        <w:t>Statistical analysis</w:t>
      </w:r>
    </w:p>
    <w:p w14:paraId="729977D8" w14:textId="2462FBA7" w:rsidR="007804ED" w:rsidRPr="00961BAC" w:rsidRDefault="00271315" w:rsidP="008472E9">
      <w:pPr>
        <w:jc w:val="both"/>
        <w:rPr>
          <w:sz w:val="24"/>
          <w:szCs w:val="24"/>
        </w:rPr>
      </w:pPr>
      <w:r w:rsidRPr="00961BAC">
        <w:rPr>
          <w:sz w:val="24"/>
          <w:szCs w:val="24"/>
        </w:rPr>
        <w:t xml:space="preserve">The </w:t>
      </w:r>
      <w:r w:rsidR="00B9490E" w:rsidRPr="00961BAC">
        <w:rPr>
          <w:sz w:val="24"/>
          <w:szCs w:val="24"/>
        </w:rPr>
        <w:t>WSAS</w:t>
      </w:r>
      <w:r w:rsidR="00573FF6" w:rsidRPr="00961BAC">
        <w:rPr>
          <w:sz w:val="24"/>
          <w:szCs w:val="24"/>
        </w:rPr>
        <w:t xml:space="preserve">, </w:t>
      </w:r>
      <w:r w:rsidRPr="00961BAC">
        <w:rPr>
          <w:sz w:val="24"/>
          <w:szCs w:val="24"/>
        </w:rPr>
        <w:t>fatigue and</w:t>
      </w:r>
      <w:r w:rsidR="00B9490E" w:rsidRPr="00961BAC">
        <w:rPr>
          <w:sz w:val="24"/>
          <w:szCs w:val="24"/>
        </w:rPr>
        <w:t xml:space="preserve"> EQ-5D-5L scores</w:t>
      </w:r>
      <w:r w:rsidR="00FF0D7D" w:rsidRPr="00961BAC">
        <w:rPr>
          <w:sz w:val="24"/>
          <w:szCs w:val="24"/>
        </w:rPr>
        <w:t xml:space="preserve"> were summarised as means for each month following registration </w:t>
      </w:r>
      <w:r w:rsidR="00E65FD6" w:rsidRPr="00961BAC">
        <w:rPr>
          <w:sz w:val="24"/>
          <w:szCs w:val="24"/>
        </w:rPr>
        <w:t>in</w:t>
      </w:r>
      <w:r w:rsidR="00FF0D7D" w:rsidRPr="00961BAC">
        <w:rPr>
          <w:sz w:val="24"/>
          <w:szCs w:val="24"/>
        </w:rPr>
        <w:t xml:space="preserve"> the LWCR </w:t>
      </w:r>
      <w:r w:rsidR="00B9490E" w:rsidRPr="00961BAC">
        <w:rPr>
          <w:sz w:val="24"/>
          <w:szCs w:val="24"/>
        </w:rPr>
        <w:t xml:space="preserve">over </w:t>
      </w:r>
      <w:r w:rsidR="009F43B9" w:rsidRPr="00961BAC">
        <w:rPr>
          <w:sz w:val="24"/>
          <w:szCs w:val="24"/>
        </w:rPr>
        <w:t>the</w:t>
      </w:r>
      <w:r w:rsidR="00B9490E" w:rsidRPr="00961BAC">
        <w:rPr>
          <w:sz w:val="24"/>
          <w:szCs w:val="24"/>
        </w:rPr>
        <w:t xml:space="preserve"> </w:t>
      </w:r>
      <w:r w:rsidR="004E12CF" w:rsidRPr="00961BAC">
        <w:rPr>
          <w:sz w:val="24"/>
          <w:szCs w:val="24"/>
        </w:rPr>
        <w:t>6</w:t>
      </w:r>
      <w:r w:rsidR="00B9490E" w:rsidRPr="00961BAC">
        <w:rPr>
          <w:sz w:val="24"/>
          <w:szCs w:val="24"/>
        </w:rPr>
        <w:t>-month follow-up</w:t>
      </w:r>
      <w:r w:rsidR="00FF0D7D" w:rsidRPr="00961BAC">
        <w:rPr>
          <w:sz w:val="24"/>
          <w:szCs w:val="24"/>
        </w:rPr>
        <w:t>.</w:t>
      </w:r>
      <w:r w:rsidR="00DA26E1" w:rsidRPr="00961BAC">
        <w:rPr>
          <w:sz w:val="24"/>
          <w:szCs w:val="24"/>
        </w:rPr>
        <w:t xml:space="preserve"> Trajectories were </w:t>
      </w:r>
      <w:r w:rsidR="009F43B9" w:rsidRPr="00961BAC">
        <w:rPr>
          <w:sz w:val="24"/>
          <w:szCs w:val="24"/>
        </w:rPr>
        <w:t xml:space="preserve">reported </w:t>
      </w:r>
      <w:r w:rsidR="00DA26E1" w:rsidRPr="00961BAC">
        <w:rPr>
          <w:sz w:val="24"/>
          <w:szCs w:val="24"/>
        </w:rPr>
        <w:t xml:space="preserve">by </w:t>
      </w:r>
      <w:r w:rsidR="00CB6580" w:rsidRPr="00961BAC">
        <w:rPr>
          <w:sz w:val="24"/>
          <w:szCs w:val="24"/>
        </w:rPr>
        <w:t>fitting</w:t>
      </w:r>
      <w:r w:rsidR="00DA26E1" w:rsidRPr="00961BAC">
        <w:rPr>
          <w:sz w:val="24"/>
          <w:szCs w:val="24"/>
        </w:rPr>
        <w:t xml:space="preserve"> </w:t>
      </w:r>
      <w:r w:rsidR="00DB6B6A" w:rsidRPr="00961BAC">
        <w:rPr>
          <w:sz w:val="24"/>
          <w:szCs w:val="24"/>
        </w:rPr>
        <w:t xml:space="preserve">linear mixed models </w:t>
      </w:r>
      <w:r w:rsidR="003A37C9" w:rsidRPr="00961BAC">
        <w:rPr>
          <w:sz w:val="24"/>
          <w:szCs w:val="24"/>
        </w:rPr>
        <w:t>of</w:t>
      </w:r>
      <w:r w:rsidR="00DB6B6A" w:rsidRPr="00961BAC">
        <w:rPr>
          <w:sz w:val="24"/>
          <w:szCs w:val="24"/>
        </w:rPr>
        <w:t xml:space="preserve"> </w:t>
      </w:r>
      <w:r w:rsidR="00DA26E1" w:rsidRPr="00961BAC">
        <w:rPr>
          <w:sz w:val="24"/>
          <w:szCs w:val="24"/>
        </w:rPr>
        <w:t xml:space="preserve">the monthly means </w:t>
      </w:r>
      <w:r w:rsidR="00C468DF" w:rsidRPr="00961BAC">
        <w:rPr>
          <w:sz w:val="24"/>
          <w:szCs w:val="24"/>
        </w:rPr>
        <w:t>on</w:t>
      </w:r>
      <w:r w:rsidR="00DA26E1" w:rsidRPr="00961BAC">
        <w:rPr>
          <w:sz w:val="24"/>
          <w:szCs w:val="24"/>
        </w:rPr>
        <w:t xml:space="preserve"> the</w:t>
      </w:r>
      <w:r w:rsidR="00CB6580" w:rsidRPr="00961BAC">
        <w:rPr>
          <w:sz w:val="24"/>
          <w:szCs w:val="24"/>
        </w:rPr>
        <w:t xml:space="preserve"> </w:t>
      </w:r>
      <w:r w:rsidR="00DA26E1" w:rsidRPr="00961BAC">
        <w:rPr>
          <w:sz w:val="24"/>
          <w:szCs w:val="24"/>
        </w:rPr>
        <w:t xml:space="preserve">month following registration </w:t>
      </w:r>
      <w:r w:rsidR="009F43B9" w:rsidRPr="00961BAC">
        <w:rPr>
          <w:sz w:val="24"/>
          <w:szCs w:val="24"/>
        </w:rPr>
        <w:t>in</w:t>
      </w:r>
      <w:r w:rsidR="00DA26E1" w:rsidRPr="00961BAC">
        <w:rPr>
          <w:sz w:val="24"/>
          <w:szCs w:val="24"/>
        </w:rPr>
        <w:t xml:space="preserve"> the </w:t>
      </w:r>
      <w:r w:rsidR="009F43B9" w:rsidRPr="00961BAC">
        <w:rPr>
          <w:sz w:val="24"/>
          <w:szCs w:val="24"/>
        </w:rPr>
        <w:t>LWCR</w:t>
      </w:r>
      <w:r w:rsidR="00DA26E1" w:rsidRPr="00961BAC">
        <w:rPr>
          <w:sz w:val="24"/>
          <w:szCs w:val="24"/>
        </w:rPr>
        <w:t xml:space="preserve">, assuming a quadratic relationship between </w:t>
      </w:r>
      <w:r w:rsidR="00886132" w:rsidRPr="00961BAC">
        <w:rPr>
          <w:sz w:val="24"/>
          <w:szCs w:val="24"/>
        </w:rPr>
        <w:t xml:space="preserve">the </w:t>
      </w:r>
      <w:r w:rsidR="00DA26E1" w:rsidRPr="00961BAC">
        <w:rPr>
          <w:sz w:val="24"/>
          <w:szCs w:val="24"/>
        </w:rPr>
        <w:t>outcome and time</w:t>
      </w:r>
      <w:r w:rsidR="00F6266E" w:rsidRPr="00961BAC">
        <w:rPr>
          <w:sz w:val="24"/>
          <w:szCs w:val="24"/>
        </w:rPr>
        <w:t>.</w:t>
      </w:r>
      <w:r w:rsidR="00C20B42" w:rsidRPr="00961BAC">
        <w:rPr>
          <w:sz w:val="24"/>
          <w:szCs w:val="24"/>
        </w:rPr>
        <w:t xml:space="preserve"> </w:t>
      </w:r>
      <w:r w:rsidR="0072534F" w:rsidRPr="00961BAC">
        <w:rPr>
          <w:sz w:val="24"/>
          <w:szCs w:val="24"/>
        </w:rPr>
        <w:t>Socio-d</w:t>
      </w:r>
      <w:r w:rsidR="00C20B42" w:rsidRPr="00961BAC">
        <w:rPr>
          <w:sz w:val="24"/>
          <w:szCs w:val="24"/>
        </w:rPr>
        <w:t>emographic variables, including age, gender, ethnicity, highest educational level, and IMD were</w:t>
      </w:r>
      <w:r w:rsidR="004A4C73" w:rsidRPr="00961BAC">
        <w:rPr>
          <w:sz w:val="24"/>
          <w:szCs w:val="24"/>
        </w:rPr>
        <w:t xml:space="preserve"> also</w:t>
      </w:r>
      <w:r w:rsidR="00C20B42" w:rsidRPr="00961BAC">
        <w:rPr>
          <w:sz w:val="24"/>
          <w:szCs w:val="24"/>
        </w:rPr>
        <w:t xml:space="preserve"> included in the models as control variables.</w:t>
      </w:r>
      <w:r w:rsidR="00B865D6" w:rsidRPr="00961BAC">
        <w:rPr>
          <w:sz w:val="24"/>
          <w:szCs w:val="24"/>
        </w:rPr>
        <w:t xml:space="preserve"> </w:t>
      </w:r>
      <w:r w:rsidR="009F31B2" w:rsidRPr="00961BAC">
        <w:rPr>
          <w:sz w:val="24"/>
          <w:szCs w:val="24"/>
        </w:rPr>
        <w:t xml:space="preserve">The mean change from baseline to 6 months </w:t>
      </w:r>
      <w:r w:rsidR="00724FBD" w:rsidRPr="00961BAC">
        <w:rPr>
          <w:sz w:val="24"/>
          <w:szCs w:val="24"/>
        </w:rPr>
        <w:t xml:space="preserve">in </w:t>
      </w:r>
      <w:r w:rsidR="009F31B2" w:rsidRPr="00961BAC">
        <w:rPr>
          <w:sz w:val="24"/>
          <w:szCs w:val="24"/>
        </w:rPr>
        <w:t>the WSAS s</w:t>
      </w:r>
      <w:r w:rsidR="00724FBD" w:rsidRPr="00961BAC">
        <w:rPr>
          <w:sz w:val="24"/>
          <w:szCs w:val="24"/>
        </w:rPr>
        <w:t xml:space="preserve">core was </w:t>
      </w:r>
      <w:r w:rsidR="009F31B2" w:rsidRPr="00961BAC">
        <w:rPr>
          <w:sz w:val="24"/>
          <w:szCs w:val="24"/>
        </w:rPr>
        <w:t xml:space="preserve">modelled </w:t>
      </w:r>
      <w:r w:rsidR="00724FBD" w:rsidRPr="00961BAC">
        <w:rPr>
          <w:sz w:val="24"/>
          <w:szCs w:val="24"/>
        </w:rPr>
        <w:t>using</w:t>
      </w:r>
      <w:r w:rsidR="00C63CD2" w:rsidRPr="00961BAC">
        <w:rPr>
          <w:sz w:val="24"/>
          <w:szCs w:val="24"/>
        </w:rPr>
        <w:t xml:space="preserve"> a</w:t>
      </w:r>
      <w:r w:rsidR="005D03E5" w:rsidRPr="00961BAC">
        <w:rPr>
          <w:sz w:val="24"/>
          <w:szCs w:val="24"/>
        </w:rPr>
        <w:t>n</w:t>
      </w:r>
      <w:r w:rsidR="00C63CD2" w:rsidRPr="00961BAC">
        <w:rPr>
          <w:sz w:val="24"/>
          <w:szCs w:val="24"/>
        </w:rPr>
        <w:t xml:space="preserve"> analysis of covariance</w:t>
      </w:r>
      <w:r w:rsidR="009F31B2" w:rsidRPr="00961BAC">
        <w:rPr>
          <w:sz w:val="24"/>
          <w:szCs w:val="24"/>
        </w:rPr>
        <w:t xml:space="preserve"> </w:t>
      </w:r>
      <w:r w:rsidR="00C63CD2" w:rsidRPr="00961BAC">
        <w:rPr>
          <w:sz w:val="24"/>
          <w:szCs w:val="24"/>
        </w:rPr>
        <w:t>(</w:t>
      </w:r>
      <w:r w:rsidR="009F31B2" w:rsidRPr="00961BAC">
        <w:rPr>
          <w:sz w:val="24"/>
          <w:szCs w:val="24"/>
        </w:rPr>
        <w:t>ANCOVA</w:t>
      </w:r>
      <w:r w:rsidR="00C63CD2" w:rsidRPr="00961BAC">
        <w:rPr>
          <w:sz w:val="24"/>
          <w:szCs w:val="24"/>
        </w:rPr>
        <w:t>)</w:t>
      </w:r>
      <w:r w:rsidR="00FB5FEC" w:rsidRPr="00961BAC">
        <w:rPr>
          <w:sz w:val="24"/>
          <w:szCs w:val="24"/>
        </w:rPr>
        <w:t>.</w:t>
      </w:r>
    </w:p>
    <w:p w14:paraId="76E71F36" w14:textId="6D626BFA" w:rsidR="007804ED" w:rsidRPr="00961BAC" w:rsidRDefault="00CF3F18" w:rsidP="008472E9">
      <w:pPr>
        <w:jc w:val="both"/>
        <w:rPr>
          <w:sz w:val="24"/>
          <w:szCs w:val="24"/>
        </w:rPr>
      </w:pPr>
      <w:r w:rsidRPr="00961BAC">
        <w:rPr>
          <w:sz w:val="24"/>
          <w:szCs w:val="24"/>
        </w:rPr>
        <w:t xml:space="preserve">We </w:t>
      </w:r>
      <w:r w:rsidR="00CA6D15" w:rsidRPr="00961BAC">
        <w:rPr>
          <w:sz w:val="24"/>
          <w:szCs w:val="24"/>
        </w:rPr>
        <w:t>report</w:t>
      </w:r>
      <w:r w:rsidR="004450E2" w:rsidRPr="00961BAC">
        <w:rPr>
          <w:sz w:val="24"/>
          <w:szCs w:val="24"/>
        </w:rPr>
        <w:t xml:space="preserve">ed </w:t>
      </w:r>
      <w:r w:rsidR="00BC2C91" w:rsidRPr="00961BAC">
        <w:rPr>
          <w:sz w:val="24"/>
          <w:szCs w:val="24"/>
        </w:rPr>
        <w:t>monthly</w:t>
      </w:r>
      <w:r w:rsidR="007F7928" w:rsidRPr="00961BAC">
        <w:rPr>
          <w:sz w:val="24"/>
          <w:szCs w:val="24"/>
        </w:rPr>
        <w:t xml:space="preserve"> mean</w:t>
      </w:r>
      <w:r w:rsidR="00AE5198" w:rsidRPr="00961BAC">
        <w:rPr>
          <w:sz w:val="24"/>
          <w:szCs w:val="24"/>
        </w:rPr>
        <w:t xml:space="preserve"> costs</w:t>
      </w:r>
      <w:r w:rsidR="007F7928" w:rsidRPr="00961BAC">
        <w:rPr>
          <w:sz w:val="24"/>
          <w:szCs w:val="24"/>
        </w:rPr>
        <w:t xml:space="preserve"> </w:t>
      </w:r>
      <w:r w:rsidR="00A86CA1" w:rsidRPr="00961BAC">
        <w:rPr>
          <w:sz w:val="24"/>
          <w:szCs w:val="24"/>
        </w:rPr>
        <w:t>up</w:t>
      </w:r>
      <w:r w:rsidR="007F7928" w:rsidRPr="00961BAC">
        <w:rPr>
          <w:sz w:val="24"/>
          <w:szCs w:val="24"/>
        </w:rPr>
        <w:t xml:space="preserve"> to </w:t>
      </w:r>
      <w:r w:rsidR="00155A35" w:rsidRPr="00961BAC">
        <w:rPr>
          <w:sz w:val="24"/>
          <w:szCs w:val="24"/>
        </w:rPr>
        <w:t>6 months</w:t>
      </w:r>
      <w:r w:rsidR="007F7928" w:rsidRPr="00961BAC">
        <w:rPr>
          <w:sz w:val="24"/>
          <w:szCs w:val="24"/>
        </w:rPr>
        <w:t xml:space="preserve"> following registration</w:t>
      </w:r>
      <w:r w:rsidR="00EA47BA" w:rsidRPr="00961BAC">
        <w:rPr>
          <w:sz w:val="24"/>
          <w:szCs w:val="24"/>
        </w:rPr>
        <w:t xml:space="preserve">, </w:t>
      </w:r>
      <w:r w:rsidRPr="00961BAC">
        <w:rPr>
          <w:sz w:val="24"/>
          <w:szCs w:val="24"/>
        </w:rPr>
        <w:t xml:space="preserve">based on the resource use reported </w:t>
      </w:r>
      <w:r w:rsidR="00CB6B7F" w:rsidRPr="00961BAC">
        <w:rPr>
          <w:sz w:val="24"/>
          <w:szCs w:val="24"/>
        </w:rPr>
        <w:t>on a monthly basis</w:t>
      </w:r>
      <w:r w:rsidRPr="00961BAC">
        <w:rPr>
          <w:sz w:val="24"/>
          <w:szCs w:val="24"/>
        </w:rPr>
        <w:t>.</w:t>
      </w:r>
      <w:r w:rsidR="007F7928" w:rsidRPr="00961BAC">
        <w:rPr>
          <w:sz w:val="24"/>
          <w:szCs w:val="24"/>
        </w:rPr>
        <w:t xml:space="preserve"> </w:t>
      </w:r>
      <w:r w:rsidR="00BC2C91" w:rsidRPr="00961BAC">
        <w:rPr>
          <w:sz w:val="24"/>
          <w:szCs w:val="24"/>
        </w:rPr>
        <w:t>Linear mixed effects models were</w:t>
      </w:r>
      <w:r w:rsidR="000E776C" w:rsidRPr="00961BAC">
        <w:rPr>
          <w:sz w:val="24"/>
          <w:szCs w:val="24"/>
        </w:rPr>
        <w:t xml:space="preserve"> also</w:t>
      </w:r>
      <w:r w:rsidR="00BC2C91" w:rsidRPr="00961BAC">
        <w:rPr>
          <w:sz w:val="24"/>
          <w:szCs w:val="24"/>
        </w:rPr>
        <w:t xml:space="preserve"> used to estimate the </w:t>
      </w:r>
      <w:r w:rsidR="003352A5" w:rsidRPr="00961BAC">
        <w:rPr>
          <w:sz w:val="24"/>
          <w:szCs w:val="24"/>
        </w:rPr>
        <w:t xml:space="preserve">cost </w:t>
      </w:r>
      <w:r w:rsidR="00BC2C91" w:rsidRPr="00961BAC">
        <w:rPr>
          <w:sz w:val="24"/>
          <w:szCs w:val="24"/>
        </w:rPr>
        <w:t>trajector</w:t>
      </w:r>
      <w:r w:rsidR="000E776C" w:rsidRPr="00961BAC">
        <w:rPr>
          <w:sz w:val="24"/>
          <w:szCs w:val="24"/>
        </w:rPr>
        <w:t xml:space="preserve">ies, </w:t>
      </w:r>
      <w:r w:rsidR="004662B5" w:rsidRPr="00961BAC">
        <w:rPr>
          <w:sz w:val="24"/>
          <w:szCs w:val="24"/>
        </w:rPr>
        <w:t>adjust</w:t>
      </w:r>
      <w:r w:rsidR="00475D0F" w:rsidRPr="00961BAC">
        <w:rPr>
          <w:sz w:val="24"/>
          <w:szCs w:val="24"/>
        </w:rPr>
        <w:t>ing for the same socio-demographic and time variables</w:t>
      </w:r>
      <w:r w:rsidR="004662B5" w:rsidRPr="00961BAC">
        <w:rPr>
          <w:sz w:val="24"/>
          <w:szCs w:val="24"/>
        </w:rPr>
        <w:t xml:space="preserve"> </w:t>
      </w:r>
      <w:r w:rsidR="001B16A0" w:rsidRPr="00961BAC">
        <w:rPr>
          <w:sz w:val="24"/>
          <w:szCs w:val="24"/>
        </w:rPr>
        <w:t xml:space="preserve">included in the </w:t>
      </w:r>
      <w:r w:rsidR="00D734CB" w:rsidRPr="00961BAC">
        <w:rPr>
          <w:sz w:val="24"/>
          <w:szCs w:val="24"/>
        </w:rPr>
        <w:t xml:space="preserve">outcome </w:t>
      </w:r>
      <w:r w:rsidR="00874D2E" w:rsidRPr="00961BAC">
        <w:rPr>
          <w:sz w:val="24"/>
          <w:szCs w:val="24"/>
        </w:rPr>
        <w:t xml:space="preserve">trajectory </w:t>
      </w:r>
      <w:r w:rsidR="001B16A0" w:rsidRPr="00961BAC">
        <w:rPr>
          <w:sz w:val="24"/>
          <w:szCs w:val="24"/>
        </w:rPr>
        <w:t>models</w:t>
      </w:r>
      <w:r w:rsidR="00BC2C91" w:rsidRPr="00961BAC">
        <w:rPr>
          <w:sz w:val="24"/>
          <w:szCs w:val="24"/>
        </w:rPr>
        <w:t>.</w:t>
      </w:r>
      <w:r w:rsidR="003352A5" w:rsidRPr="00961BAC">
        <w:rPr>
          <w:sz w:val="24"/>
          <w:szCs w:val="24"/>
        </w:rPr>
        <w:t xml:space="preserve"> In addition, we </w:t>
      </w:r>
      <w:r w:rsidR="00383489" w:rsidRPr="00961BAC">
        <w:rPr>
          <w:sz w:val="24"/>
          <w:szCs w:val="24"/>
        </w:rPr>
        <w:t xml:space="preserve">also investigated whether the probability of </w:t>
      </w:r>
      <w:r w:rsidR="00CE7684" w:rsidRPr="00961BAC">
        <w:rPr>
          <w:sz w:val="24"/>
          <w:szCs w:val="24"/>
        </w:rPr>
        <w:t>reporting any</w:t>
      </w:r>
      <w:r w:rsidR="003352A5" w:rsidRPr="00961BAC">
        <w:rPr>
          <w:sz w:val="24"/>
          <w:szCs w:val="24"/>
        </w:rPr>
        <w:t xml:space="preserve"> </w:t>
      </w:r>
      <w:r w:rsidR="00CE7684" w:rsidRPr="00961BAC">
        <w:rPr>
          <w:sz w:val="24"/>
          <w:szCs w:val="24"/>
        </w:rPr>
        <w:t xml:space="preserve">working days </w:t>
      </w:r>
      <w:r w:rsidR="000B66CB" w:rsidRPr="00961BAC">
        <w:rPr>
          <w:sz w:val="24"/>
          <w:szCs w:val="24"/>
        </w:rPr>
        <w:t>lost</w:t>
      </w:r>
      <w:r w:rsidR="00CB57E8" w:rsidRPr="00961BAC">
        <w:rPr>
          <w:sz w:val="24"/>
          <w:szCs w:val="24"/>
        </w:rPr>
        <w:t xml:space="preserve"> at 6 months</w:t>
      </w:r>
      <w:r w:rsidR="003352A5" w:rsidRPr="00961BAC">
        <w:rPr>
          <w:sz w:val="24"/>
          <w:szCs w:val="24"/>
        </w:rPr>
        <w:t xml:space="preserve"> </w:t>
      </w:r>
      <w:r w:rsidR="004D4491" w:rsidRPr="00961BAC">
        <w:rPr>
          <w:sz w:val="24"/>
          <w:szCs w:val="24"/>
        </w:rPr>
        <w:t xml:space="preserve">was associated with individual characteristics and </w:t>
      </w:r>
      <w:r w:rsidR="004C3023" w:rsidRPr="00961BAC">
        <w:rPr>
          <w:sz w:val="24"/>
          <w:szCs w:val="24"/>
        </w:rPr>
        <w:t xml:space="preserve">time off work </w:t>
      </w:r>
      <w:r w:rsidR="00DC77FD" w:rsidRPr="00961BAC">
        <w:rPr>
          <w:sz w:val="24"/>
          <w:szCs w:val="24"/>
        </w:rPr>
        <w:t>at</w:t>
      </w:r>
      <w:r w:rsidR="00E04457" w:rsidRPr="00961BAC">
        <w:rPr>
          <w:sz w:val="24"/>
          <w:szCs w:val="24"/>
        </w:rPr>
        <w:t xml:space="preserve"> baseline.</w:t>
      </w:r>
    </w:p>
    <w:p w14:paraId="75EE56D6" w14:textId="4516EF65" w:rsidR="00165370" w:rsidRPr="00961BAC" w:rsidRDefault="00A94433" w:rsidP="008472E9">
      <w:pPr>
        <w:jc w:val="both"/>
        <w:rPr>
          <w:sz w:val="24"/>
          <w:szCs w:val="24"/>
        </w:rPr>
      </w:pPr>
      <w:r w:rsidRPr="00961BAC">
        <w:rPr>
          <w:sz w:val="24"/>
          <w:szCs w:val="24"/>
        </w:rPr>
        <w:t>All our analyses were based on c</w:t>
      </w:r>
      <w:r w:rsidR="007804ED" w:rsidRPr="00961BAC">
        <w:rPr>
          <w:sz w:val="24"/>
          <w:szCs w:val="24"/>
        </w:rPr>
        <w:t>omplete cases</w:t>
      </w:r>
      <w:r w:rsidRPr="00961BAC">
        <w:rPr>
          <w:sz w:val="24"/>
          <w:szCs w:val="24"/>
        </w:rPr>
        <w:t xml:space="preserve"> assuming </w:t>
      </w:r>
      <w:r w:rsidR="00CA7142" w:rsidRPr="00961BAC">
        <w:rPr>
          <w:sz w:val="24"/>
          <w:szCs w:val="24"/>
        </w:rPr>
        <w:t xml:space="preserve">that the </w:t>
      </w:r>
      <w:r w:rsidRPr="00961BAC">
        <w:rPr>
          <w:sz w:val="24"/>
          <w:szCs w:val="24"/>
        </w:rPr>
        <w:t>drop out was at random conditional on the case mix</w:t>
      </w:r>
      <w:r w:rsidR="007804ED" w:rsidRPr="00961BAC">
        <w:rPr>
          <w:sz w:val="24"/>
          <w:szCs w:val="24"/>
        </w:rPr>
        <w:t xml:space="preserve">. </w:t>
      </w:r>
      <w:r w:rsidR="0047712E" w:rsidRPr="00961BAC">
        <w:rPr>
          <w:sz w:val="24"/>
          <w:szCs w:val="24"/>
        </w:rPr>
        <w:t>The frequency</w:t>
      </w:r>
      <w:r w:rsidR="00444FC8" w:rsidRPr="00961BAC">
        <w:rPr>
          <w:sz w:val="24"/>
          <w:szCs w:val="24"/>
        </w:rPr>
        <w:t xml:space="preserve"> </w:t>
      </w:r>
      <w:r w:rsidR="0047712E" w:rsidRPr="00961BAC">
        <w:rPr>
          <w:sz w:val="24"/>
          <w:szCs w:val="24"/>
        </w:rPr>
        <w:t xml:space="preserve">with which </w:t>
      </w:r>
      <w:r w:rsidR="005D6DBA" w:rsidRPr="00961BAC">
        <w:rPr>
          <w:sz w:val="24"/>
          <w:szCs w:val="24"/>
        </w:rPr>
        <w:t xml:space="preserve">each </w:t>
      </w:r>
      <w:r w:rsidR="00444FC8" w:rsidRPr="00961BAC">
        <w:rPr>
          <w:sz w:val="24"/>
          <w:szCs w:val="24"/>
        </w:rPr>
        <w:t>questionnaire</w:t>
      </w:r>
      <w:r w:rsidR="005D6DBA" w:rsidRPr="00961BAC">
        <w:rPr>
          <w:sz w:val="24"/>
          <w:szCs w:val="24"/>
        </w:rPr>
        <w:t xml:space="preserve"> (one for each endpoint)</w:t>
      </w:r>
      <w:r w:rsidR="00444FC8" w:rsidRPr="00961BAC">
        <w:rPr>
          <w:sz w:val="24"/>
          <w:szCs w:val="24"/>
        </w:rPr>
        <w:t xml:space="preserve"> </w:t>
      </w:r>
      <w:r w:rsidR="0047712E" w:rsidRPr="00961BAC">
        <w:rPr>
          <w:sz w:val="24"/>
          <w:szCs w:val="24"/>
        </w:rPr>
        <w:t>w</w:t>
      </w:r>
      <w:r w:rsidR="00601B30" w:rsidRPr="00961BAC">
        <w:rPr>
          <w:sz w:val="24"/>
          <w:szCs w:val="24"/>
        </w:rPr>
        <w:t>as</w:t>
      </w:r>
      <w:r w:rsidR="0047712E" w:rsidRPr="00961BAC">
        <w:rPr>
          <w:sz w:val="24"/>
          <w:szCs w:val="24"/>
        </w:rPr>
        <w:t xml:space="preserve"> completed differ</w:t>
      </w:r>
      <w:r w:rsidR="000810FE" w:rsidRPr="00961BAC">
        <w:rPr>
          <w:sz w:val="24"/>
          <w:szCs w:val="24"/>
        </w:rPr>
        <w:t xml:space="preserve">ed according to </w:t>
      </w:r>
      <w:r w:rsidR="0047712E" w:rsidRPr="00961BAC">
        <w:rPr>
          <w:sz w:val="24"/>
          <w:szCs w:val="24"/>
        </w:rPr>
        <w:t>endpoint</w:t>
      </w:r>
      <w:r w:rsidR="00444FC8" w:rsidRPr="00961BAC">
        <w:rPr>
          <w:sz w:val="24"/>
          <w:szCs w:val="24"/>
        </w:rPr>
        <w:t xml:space="preserve">, </w:t>
      </w:r>
      <w:r w:rsidR="0047712E" w:rsidRPr="00961BAC">
        <w:rPr>
          <w:sz w:val="24"/>
          <w:szCs w:val="24"/>
        </w:rPr>
        <w:t xml:space="preserve">and hence the </w:t>
      </w:r>
      <w:r w:rsidR="000E01A6" w:rsidRPr="00961BAC">
        <w:rPr>
          <w:sz w:val="24"/>
          <w:szCs w:val="24"/>
        </w:rPr>
        <w:t>sets of complete cases</w:t>
      </w:r>
      <w:r w:rsidR="00444FC8" w:rsidRPr="00961BAC">
        <w:rPr>
          <w:sz w:val="24"/>
          <w:szCs w:val="24"/>
        </w:rPr>
        <w:t xml:space="preserve"> varied </w:t>
      </w:r>
      <w:r w:rsidR="00811151" w:rsidRPr="00961BAC">
        <w:rPr>
          <w:sz w:val="24"/>
          <w:szCs w:val="24"/>
        </w:rPr>
        <w:t>across endpoints</w:t>
      </w:r>
      <w:r w:rsidR="00444FC8" w:rsidRPr="00961BAC">
        <w:rPr>
          <w:sz w:val="24"/>
          <w:szCs w:val="24"/>
        </w:rPr>
        <w:t xml:space="preserve">. </w:t>
      </w:r>
      <w:r w:rsidR="007A11DD" w:rsidRPr="00961BAC">
        <w:rPr>
          <w:sz w:val="24"/>
          <w:szCs w:val="24"/>
        </w:rPr>
        <w:t xml:space="preserve">We </w:t>
      </w:r>
      <w:r w:rsidR="002D1B1B" w:rsidRPr="00961BAC">
        <w:rPr>
          <w:sz w:val="24"/>
          <w:szCs w:val="24"/>
        </w:rPr>
        <w:t xml:space="preserve">reported </w:t>
      </w:r>
      <w:r w:rsidR="00EE57B6" w:rsidRPr="00961BAC">
        <w:rPr>
          <w:sz w:val="24"/>
          <w:szCs w:val="24"/>
        </w:rPr>
        <w:t xml:space="preserve">differences </w:t>
      </w:r>
      <w:r w:rsidR="002D1B1B" w:rsidRPr="00961BAC">
        <w:rPr>
          <w:sz w:val="24"/>
          <w:szCs w:val="24"/>
        </w:rPr>
        <w:t xml:space="preserve">in socio-demographic factors </w:t>
      </w:r>
      <w:r w:rsidR="00EE57B6" w:rsidRPr="00961BAC">
        <w:rPr>
          <w:sz w:val="24"/>
          <w:szCs w:val="24"/>
        </w:rPr>
        <w:t xml:space="preserve">between individuals </w:t>
      </w:r>
      <w:r w:rsidR="00D27FE0" w:rsidRPr="00961BAC">
        <w:rPr>
          <w:sz w:val="24"/>
          <w:szCs w:val="24"/>
        </w:rPr>
        <w:t>with</w:t>
      </w:r>
      <w:r w:rsidR="00C610E4" w:rsidRPr="00961BAC">
        <w:rPr>
          <w:sz w:val="24"/>
          <w:szCs w:val="24"/>
        </w:rPr>
        <w:t xml:space="preserve"> different</w:t>
      </w:r>
      <w:r w:rsidR="00D27FE0" w:rsidRPr="00961BAC">
        <w:rPr>
          <w:sz w:val="24"/>
          <w:szCs w:val="24"/>
        </w:rPr>
        <w:t xml:space="preserve"> follow up</w:t>
      </w:r>
      <w:r w:rsidR="00EE57B6" w:rsidRPr="00961BAC">
        <w:rPr>
          <w:sz w:val="24"/>
          <w:szCs w:val="24"/>
        </w:rPr>
        <w:t xml:space="preserve"> </w:t>
      </w:r>
      <w:r w:rsidR="00C610E4" w:rsidRPr="00961BAC">
        <w:rPr>
          <w:sz w:val="24"/>
          <w:szCs w:val="24"/>
        </w:rPr>
        <w:t>times</w:t>
      </w:r>
      <w:r w:rsidR="00435BD9" w:rsidRPr="00961BAC">
        <w:rPr>
          <w:sz w:val="24"/>
          <w:szCs w:val="24"/>
        </w:rPr>
        <w:t>.</w:t>
      </w:r>
      <w:r w:rsidR="007804ED" w:rsidRPr="00961BAC">
        <w:rPr>
          <w:sz w:val="24"/>
          <w:szCs w:val="24"/>
        </w:rPr>
        <w:t xml:space="preserve"> </w:t>
      </w:r>
      <w:r w:rsidR="00435BD9" w:rsidRPr="00961BAC">
        <w:rPr>
          <w:sz w:val="24"/>
          <w:szCs w:val="24"/>
        </w:rPr>
        <w:t xml:space="preserve">To address potential biases arising from these differences, </w:t>
      </w:r>
      <w:r w:rsidR="007804ED" w:rsidRPr="00961BAC">
        <w:rPr>
          <w:sz w:val="24"/>
          <w:szCs w:val="24"/>
        </w:rPr>
        <w:t>we</w:t>
      </w:r>
      <w:r w:rsidR="00B17776" w:rsidRPr="00961BAC">
        <w:rPr>
          <w:sz w:val="24"/>
          <w:szCs w:val="24"/>
        </w:rPr>
        <w:t xml:space="preserve"> </w:t>
      </w:r>
      <w:r w:rsidR="00A10D57" w:rsidRPr="00961BAC">
        <w:rPr>
          <w:sz w:val="24"/>
          <w:szCs w:val="24"/>
        </w:rPr>
        <w:t>reported separate trajectories for</w:t>
      </w:r>
      <w:r w:rsidR="006F65EA" w:rsidRPr="00961BAC">
        <w:rPr>
          <w:sz w:val="24"/>
          <w:szCs w:val="24"/>
        </w:rPr>
        <w:t xml:space="preserve"> three types of </w:t>
      </w:r>
      <w:r w:rsidR="004F5577" w:rsidRPr="00961BAC">
        <w:rPr>
          <w:sz w:val="24"/>
          <w:szCs w:val="24"/>
        </w:rPr>
        <w:t>participants</w:t>
      </w:r>
      <w:r w:rsidR="006F65EA" w:rsidRPr="00961BAC">
        <w:rPr>
          <w:sz w:val="24"/>
          <w:szCs w:val="24"/>
        </w:rPr>
        <w:t>: 1)</w:t>
      </w:r>
      <w:r w:rsidR="00A10D57" w:rsidRPr="00961BAC">
        <w:rPr>
          <w:sz w:val="24"/>
          <w:szCs w:val="24"/>
        </w:rPr>
        <w:t xml:space="preserve"> </w:t>
      </w:r>
      <w:r w:rsidR="00037106" w:rsidRPr="00961BAC">
        <w:rPr>
          <w:sz w:val="24"/>
          <w:szCs w:val="24"/>
        </w:rPr>
        <w:t>those who completed the questionnaire</w:t>
      </w:r>
      <w:r w:rsidR="00F96FF8" w:rsidRPr="00961BAC">
        <w:rPr>
          <w:sz w:val="24"/>
          <w:szCs w:val="24"/>
        </w:rPr>
        <w:t>s</w:t>
      </w:r>
      <w:r w:rsidR="00037106" w:rsidRPr="00961BAC">
        <w:rPr>
          <w:sz w:val="24"/>
          <w:szCs w:val="24"/>
        </w:rPr>
        <w:t xml:space="preserve"> only </w:t>
      </w:r>
      <w:r w:rsidR="004704D4" w:rsidRPr="00961BAC">
        <w:rPr>
          <w:sz w:val="24"/>
          <w:szCs w:val="24"/>
        </w:rPr>
        <w:t>within the first m</w:t>
      </w:r>
      <w:r w:rsidR="005322B4" w:rsidRPr="00961BAC">
        <w:rPr>
          <w:sz w:val="24"/>
          <w:szCs w:val="24"/>
        </w:rPr>
        <w:t>onth of registration (</w:t>
      </w:r>
      <w:r w:rsidR="00037106" w:rsidRPr="00961BAC">
        <w:rPr>
          <w:sz w:val="24"/>
          <w:szCs w:val="24"/>
        </w:rPr>
        <w:t>baseline</w:t>
      </w:r>
      <w:r w:rsidR="005322B4" w:rsidRPr="00961BAC">
        <w:rPr>
          <w:sz w:val="24"/>
          <w:szCs w:val="24"/>
        </w:rPr>
        <w:t>)</w:t>
      </w:r>
      <w:r w:rsidR="00096D0B" w:rsidRPr="00961BAC">
        <w:rPr>
          <w:sz w:val="24"/>
          <w:szCs w:val="24"/>
        </w:rPr>
        <w:t xml:space="preserve">, 2) </w:t>
      </w:r>
      <w:r w:rsidR="00037106" w:rsidRPr="00961BAC">
        <w:rPr>
          <w:sz w:val="24"/>
          <w:szCs w:val="24"/>
        </w:rPr>
        <w:t>those who</w:t>
      </w:r>
      <w:r w:rsidR="00E212DC" w:rsidRPr="00961BAC">
        <w:rPr>
          <w:sz w:val="24"/>
          <w:szCs w:val="24"/>
        </w:rPr>
        <w:t xml:space="preserve"> completed the questionnaire at baseline and follow up</w:t>
      </w:r>
      <w:r w:rsidR="00037106" w:rsidRPr="00961BAC">
        <w:rPr>
          <w:sz w:val="24"/>
          <w:szCs w:val="24"/>
        </w:rPr>
        <w:t xml:space="preserve"> between </w:t>
      </w:r>
      <w:r w:rsidR="00D642ED" w:rsidRPr="00961BAC">
        <w:rPr>
          <w:sz w:val="24"/>
          <w:szCs w:val="24"/>
        </w:rPr>
        <w:t>2</w:t>
      </w:r>
      <w:r w:rsidR="00556900" w:rsidRPr="00961BAC">
        <w:rPr>
          <w:sz w:val="24"/>
          <w:szCs w:val="24"/>
        </w:rPr>
        <w:t xml:space="preserve"> and </w:t>
      </w:r>
      <w:r w:rsidR="00D642ED" w:rsidRPr="00961BAC">
        <w:rPr>
          <w:sz w:val="24"/>
          <w:szCs w:val="24"/>
        </w:rPr>
        <w:t>5</w:t>
      </w:r>
      <w:r w:rsidR="00037106" w:rsidRPr="00961BAC">
        <w:rPr>
          <w:sz w:val="24"/>
          <w:szCs w:val="24"/>
        </w:rPr>
        <w:t xml:space="preserve"> month</w:t>
      </w:r>
      <w:r w:rsidR="00651A63" w:rsidRPr="00961BAC">
        <w:rPr>
          <w:sz w:val="24"/>
          <w:szCs w:val="24"/>
        </w:rPr>
        <w:t>s</w:t>
      </w:r>
      <w:r w:rsidR="00037106" w:rsidRPr="00961BAC">
        <w:rPr>
          <w:sz w:val="24"/>
          <w:szCs w:val="24"/>
        </w:rPr>
        <w:t xml:space="preserve"> </w:t>
      </w:r>
      <w:r w:rsidR="007862A6" w:rsidRPr="00961BAC">
        <w:rPr>
          <w:sz w:val="24"/>
          <w:szCs w:val="24"/>
        </w:rPr>
        <w:t>after regist</w:t>
      </w:r>
      <w:r w:rsidR="00D642ED" w:rsidRPr="00961BAC">
        <w:rPr>
          <w:sz w:val="24"/>
          <w:szCs w:val="24"/>
        </w:rPr>
        <w:t>ration</w:t>
      </w:r>
      <w:r w:rsidR="007862A6" w:rsidRPr="00961BAC">
        <w:rPr>
          <w:sz w:val="24"/>
          <w:szCs w:val="24"/>
        </w:rPr>
        <w:t xml:space="preserve"> in the LWCR</w:t>
      </w:r>
      <w:r w:rsidR="00037106" w:rsidRPr="00961BAC">
        <w:rPr>
          <w:sz w:val="24"/>
          <w:szCs w:val="24"/>
        </w:rPr>
        <w:t>, and</w:t>
      </w:r>
      <w:r w:rsidR="00096D0B" w:rsidRPr="00961BAC">
        <w:rPr>
          <w:sz w:val="24"/>
          <w:szCs w:val="24"/>
        </w:rPr>
        <w:t xml:space="preserve"> 3)</w:t>
      </w:r>
      <w:r w:rsidR="00037106" w:rsidRPr="00961BAC">
        <w:rPr>
          <w:sz w:val="24"/>
          <w:szCs w:val="24"/>
        </w:rPr>
        <w:t xml:space="preserve"> those </w:t>
      </w:r>
      <w:r w:rsidR="004F5577" w:rsidRPr="00961BAC">
        <w:rPr>
          <w:sz w:val="24"/>
          <w:szCs w:val="24"/>
        </w:rPr>
        <w:t xml:space="preserve">who </w:t>
      </w:r>
      <w:r w:rsidR="005A6379" w:rsidRPr="00961BAC">
        <w:rPr>
          <w:sz w:val="24"/>
          <w:szCs w:val="24"/>
        </w:rPr>
        <w:t xml:space="preserve">completed the questionnaire at baseline and follow up </w:t>
      </w:r>
      <w:r w:rsidR="00651A63" w:rsidRPr="00961BAC">
        <w:rPr>
          <w:sz w:val="24"/>
          <w:szCs w:val="24"/>
        </w:rPr>
        <w:t xml:space="preserve">until </w:t>
      </w:r>
      <w:r w:rsidR="005A6379" w:rsidRPr="00961BAC">
        <w:rPr>
          <w:sz w:val="24"/>
          <w:szCs w:val="24"/>
        </w:rPr>
        <w:t xml:space="preserve">at least </w:t>
      </w:r>
      <w:r w:rsidR="00D642ED" w:rsidRPr="00961BAC">
        <w:rPr>
          <w:sz w:val="24"/>
          <w:szCs w:val="24"/>
        </w:rPr>
        <w:t>6</w:t>
      </w:r>
      <w:r w:rsidR="005A6379" w:rsidRPr="00961BAC">
        <w:rPr>
          <w:sz w:val="24"/>
          <w:szCs w:val="24"/>
        </w:rPr>
        <w:t xml:space="preserve"> month</w:t>
      </w:r>
      <w:r w:rsidR="00AD5C74" w:rsidRPr="00961BAC">
        <w:rPr>
          <w:sz w:val="24"/>
          <w:szCs w:val="24"/>
        </w:rPr>
        <w:t>s</w:t>
      </w:r>
      <w:r w:rsidR="005A6379" w:rsidRPr="00961BAC">
        <w:rPr>
          <w:sz w:val="24"/>
          <w:szCs w:val="24"/>
        </w:rPr>
        <w:t xml:space="preserve"> after regist</w:t>
      </w:r>
      <w:r w:rsidR="00D642ED" w:rsidRPr="00961BAC">
        <w:rPr>
          <w:sz w:val="24"/>
          <w:szCs w:val="24"/>
        </w:rPr>
        <w:t>ration</w:t>
      </w:r>
      <w:r w:rsidR="005A6379" w:rsidRPr="00961BAC">
        <w:rPr>
          <w:sz w:val="24"/>
          <w:szCs w:val="24"/>
        </w:rPr>
        <w:t xml:space="preserve"> in the LWCR</w:t>
      </w:r>
      <w:r w:rsidR="00AD5C74" w:rsidRPr="00961BAC">
        <w:rPr>
          <w:sz w:val="24"/>
          <w:szCs w:val="24"/>
        </w:rPr>
        <w:t>.</w:t>
      </w:r>
    </w:p>
    <w:p w14:paraId="1A82AB17" w14:textId="7BC21B4E" w:rsidR="00807207" w:rsidRPr="00961BAC" w:rsidRDefault="005C5531" w:rsidP="008472E9">
      <w:pPr>
        <w:jc w:val="both"/>
        <w:rPr>
          <w:b/>
          <w:bCs/>
          <w:sz w:val="24"/>
          <w:szCs w:val="24"/>
        </w:rPr>
      </w:pPr>
      <w:r w:rsidRPr="00961BAC">
        <w:rPr>
          <w:b/>
          <w:bCs/>
          <w:sz w:val="24"/>
          <w:szCs w:val="24"/>
        </w:rPr>
        <w:t>RESULTS</w:t>
      </w:r>
    </w:p>
    <w:p w14:paraId="2E853F68" w14:textId="6FF87E74" w:rsidR="003239C4" w:rsidRPr="00961BAC" w:rsidRDefault="003239C4" w:rsidP="008472E9">
      <w:pPr>
        <w:jc w:val="both"/>
        <w:rPr>
          <w:b/>
          <w:bCs/>
          <w:sz w:val="24"/>
          <w:szCs w:val="24"/>
        </w:rPr>
      </w:pPr>
      <w:r w:rsidRPr="00961BAC">
        <w:rPr>
          <w:b/>
          <w:bCs/>
          <w:sz w:val="24"/>
          <w:szCs w:val="24"/>
        </w:rPr>
        <w:t>Patient demographics</w:t>
      </w:r>
    </w:p>
    <w:p w14:paraId="33F83C8A" w14:textId="683365C1" w:rsidR="00037106" w:rsidRPr="00961BAC" w:rsidRDefault="0097794D" w:rsidP="00DF5622">
      <w:pPr>
        <w:jc w:val="both"/>
        <w:rPr>
          <w:sz w:val="24"/>
          <w:szCs w:val="24"/>
        </w:rPr>
      </w:pPr>
      <w:r w:rsidRPr="00961BAC">
        <w:rPr>
          <w:sz w:val="24"/>
          <w:szCs w:val="24"/>
        </w:rPr>
        <w:t xml:space="preserve">The study included </w:t>
      </w:r>
      <w:r w:rsidR="00A92549" w:rsidRPr="00961BAC">
        <w:rPr>
          <w:sz w:val="24"/>
          <w:szCs w:val="24"/>
        </w:rPr>
        <w:t>4,0</w:t>
      </w:r>
      <w:r w:rsidR="00DF4820" w:rsidRPr="00961BAC">
        <w:rPr>
          <w:sz w:val="24"/>
          <w:szCs w:val="24"/>
        </w:rPr>
        <w:t>87</w:t>
      </w:r>
      <w:r w:rsidRPr="00961BAC">
        <w:rPr>
          <w:sz w:val="24"/>
          <w:szCs w:val="24"/>
        </w:rPr>
        <w:t xml:space="preserve"> </w:t>
      </w:r>
      <w:r w:rsidR="00576931" w:rsidRPr="00961BAC">
        <w:rPr>
          <w:sz w:val="24"/>
          <w:szCs w:val="24"/>
        </w:rPr>
        <w:t>individuals</w:t>
      </w:r>
      <w:r w:rsidRPr="00961BAC">
        <w:rPr>
          <w:sz w:val="24"/>
          <w:szCs w:val="24"/>
        </w:rPr>
        <w:t xml:space="preserve"> with </w:t>
      </w:r>
      <w:r w:rsidR="00B0500D" w:rsidRPr="00961BAC">
        <w:rPr>
          <w:sz w:val="24"/>
          <w:szCs w:val="24"/>
        </w:rPr>
        <w:t>long COVID</w:t>
      </w:r>
      <w:r w:rsidR="00576931" w:rsidRPr="00961BAC">
        <w:rPr>
          <w:sz w:val="24"/>
          <w:szCs w:val="24"/>
        </w:rPr>
        <w:t xml:space="preserve">, who completed </w:t>
      </w:r>
      <w:r w:rsidR="006B5571" w:rsidRPr="00961BAC">
        <w:rPr>
          <w:sz w:val="24"/>
          <w:szCs w:val="24"/>
        </w:rPr>
        <w:t xml:space="preserve">the </w:t>
      </w:r>
      <w:r w:rsidR="003D06FD" w:rsidRPr="00961BAC">
        <w:rPr>
          <w:sz w:val="24"/>
          <w:szCs w:val="24"/>
        </w:rPr>
        <w:t xml:space="preserve">baseline </w:t>
      </w:r>
      <w:r w:rsidR="006B5571" w:rsidRPr="00961BAC">
        <w:rPr>
          <w:sz w:val="24"/>
          <w:szCs w:val="24"/>
        </w:rPr>
        <w:t xml:space="preserve">Patient Demographic Questionnaire within the first month </w:t>
      </w:r>
      <w:r w:rsidR="00812A02" w:rsidRPr="00961BAC">
        <w:rPr>
          <w:sz w:val="24"/>
          <w:szCs w:val="24"/>
        </w:rPr>
        <w:t>of</w:t>
      </w:r>
      <w:r w:rsidR="006B5571" w:rsidRPr="00961BAC">
        <w:rPr>
          <w:sz w:val="24"/>
          <w:szCs w:val="24"/>
        </w:rPr>
        <w:t xml:space="preserve"> </w:t>
      </w:r>
      <w:r w:rsidR="00812A02" w:rsidRPr="00961BAC">
        <w:rPr>
          <w:sz w:val="24"/>
          <w:szCs w:val="24"/>
        </w:rPr>
        <w:t>registration in the LWCR</w:t>
      </w:r>
      <w:r w:rsidR="00934426" w:rsidRPr="00961BAC">
        <w:rPr>
          <w:sz w:val="24"/>
          <w:szCs w:val="24"/>
        </w:rPr>
        <w:t xml:space="preserve"> (Table 1)</w:t>
      </w:r>
      <w:r w:rsidR="00812A02" w:rsidRPr="00961BAC">
        <w:rPr>
          <w:sz w:val="24"/>
          <w:szCs w:val="24"/>
        </w:rPr>
        <w:t>.</w:t>
      </w:r>
      <w:r w:rsidR="006B5571" w:rsidRPr="00961BAC">
        <w:rPr>
          <w:sz w:val="24"/>
          <w:szCs w:val="24"/>
        </w:rPr>
        <w:t xml:space="preserve"> </w:t>
      </w:r>
      <w:r w:rsidR="008B0EB5" w:rsidRPr="00961BAC">
        <w:rPr>
          <w:sz w:val="24"/>
          <w:szCs w:val="24"/>
        </w:rPr>
        <w:t>There were missing data on education (n=272</w:t>
      </w:r>
      <w:r w:rsidR="009D5BF9" w:rsidRPr="00961BAC">
        <w:rPr>
          <w:sz w:val="24"/>
          <w:szCs w:val="24"/>
        </w:rPr>
        <w:t>, 6.7%</w:t>
      </w:r>
      <w:r w:rsidR="008B0EB5" w:rsidRPr="00961BAC">
        <w:rPr>
          <w:sz w:val="24"/>
          <w:szCs w:val="24"/>
        </w:rPr>
        <w:t>), ethnicity (n=</w:t>
      </w:r>
      <w:r w:rsidR="00FF3B84" w:rsidRPr="00961BAC">
        <w:rPr>
          <w:sz w:val="24"/>
          <w:szCs w:val="24"/>
        </w:rPr>
        <w:t>990</w:t>
      </w:r>
      <w:r w:rsidR="009D5BF9" w:rsidRPr="00961BAC">
        <w:rPr>
          <w:sz w:val="24"/>
          <w:szCs w:val="24"/>
        </w:rPr>
        <w:t>, 24%</w:t>
      </w:r>
      <w:r w:rsidR="00FF3B84" w:rsidRPr="00961BAC">
        <w:rPr>
          <w:sz w:val="24"/>
          <w:szCs w:val="24"/>
        </w:rPr>
        <w:t>) and IMD (n=316</w:t>
      </w:r>
      <w:r w:rsidR="00D52C83" w:rsidRPr="00961BAC">
        <w:rPr>
          <w:sz w:val="24"/>
          <w:szCs w:val="24"/>
        </w:rPr>
        <w:t>, 7.7%</w:t>
      </w:r>
      <w:r w:rsidR="00FF3B84" w:rsidRPr="00961BAC">
        <w:rPr>
          <w:sz w:val="24"/>
          <w:szCs w:val="24"/>
        </w:rPr>
        <w:t>).</w:t>
      </w:r>
      <w:r w:rsidR="008B0EB5" w:rsidRPr="00961BAC">
        <w:rPr>
          <w:sz w:val="24"/>
          <w:szCs w:val="24"/>
        </w:rPr>
        <w:t xml:space="preserve"> </w:t>
      </w:r>
      <w:r w:rsidR="00A70F1B" w:rsidRPr="00961BAC">
        <w:rPr>
          <w:sz w:val="24"/>
          <w:szCs w:val="24"/>
        </w:rPr>
        <w:t>The participants had a</w:t>
      </w:r>
      <w:r w:rsidRPr="00961BAC">
        <w:rPr>
          <w:sz w:val="24"/>
          <w:szCs w:val="24"/>
        </w:rPr>
        <w:t xml:space="preserve"> mean age of 47.</w:t>
      </w:r>
      <w:r w:rsidR="00DF4820" w:rsidRPr="00961BAC">
        <w:rPr>
          <w:sz w:val="24"/>
          <w:szCs w:val="24"/>
        </w:rPr>
        <w:t>3</w:t>
      </w:r>
      <w:r w:rsidRPr="00961BAC">
        <w:rPr>
          <w:sz w:val="24"/>
          <w:szCs w:val="24"/>
        </w:rPr>
        <w:t xml:space="preserve"> (12.</w:t>
      </w:r>
      <w:r w:rsidR="00DF4820" w:rsidRPr="00961BAC">
        <w:rPr>
          <w:sz w:val="24"/>
          <w:szCs w:val="24"/>
        </w:rPr>
        <w:t>2</w:t>
      </w:r>
      <w:r w:rsidRPr="00961BAC">
        <w:rPr>
          <w:sz w:val="24"/>
          <w:szCs w:val="24"/>
        </w:rPr>
        <w:t>) years, 3</w:t>
      </w:r>
      <w:r w:rsidR="00FC2DED" w:rsidRPr="00961BAC">
        <w:rPr>
          <w:sz w:val="24"/>
          <w:szCs w:val="24"/>
        </w:rPr>
        <w:t>,8</w:t>
      </w:r>
      <w:r w:rsidR="00F94A02" w:rsidRPr="00961BAC">
        <w:rPr>
          <w:sz w:val="24"/>
          <w:szCs w:val="24"/>
        </w:rPr>
        <w:t>59</w:t>
      </w:r>
      <w:r w:rsidR="00FC2DED" w:rsidRPr="00961BAC">
        <w:rPr>
          <w:sz w:val="24"/>
          <w:szCs w:val="24"/>
        </w:rPr>
        <w:t xml:space="preserve"> </w:t>
      </w:r>
      <w:r w:rsidRPr="00961BAC">
        <w:rPr>
          <w:sz w:val="24"/>
          <w:szCs w:val="24"/>
        </w:rPr>
        <w:t xml:space="preserve">(94%) </w:t>
      </w:r>
      <w:r w:rsidR="006622D2" w:rsidRPr="00961BAC">
        <w:rPr>
          <w:sz w:val="24"/>
          <w:szCs w:val="24"/>
        </w:rPr>
        <w:t>of whom were</w:t>
      </w:r>
      <w:r w:rsidRPr="00961BAC">
        <w:rPr>
          <w:sz w:val="24"/>
          <w:szCs w:val="24"/>
        </w:rPr>
        <w:t xml:space="preserve"> </w:t>
      </w:r>
      <w:r w:rsidR="00336502" w:rsidRPr="00961BAC">
        <w:rPr>
          <w:sz w:val="24"/>
          <w:szCs w:val="24"/>
        </w:rPr>
        <w:t xml:space="preserve">in the </w:t>
      </w:r>
      <w:r w:rsidRPr="00961BAC">
        <w:rPr>
          <w:sz w:val="24"/>
          <w:szCs w:val="24"/>
        </w:rPr>
        <w:t xml:space="preserve">working age </w:t>
      </w:r>
      <w:r w:rsidR="008D3672" w:rsidRPr="00961BAC">
        <w:rPr>
          <w:sz w:val="24"/>
          <w:szCs w:val="24"/>
        </w:rPr>
        <w:t>bracket</w:t>
      </w:r>
      <w:r w:rsidR="00336502" w:rsidRPr="00961BAC">
        <w:rPr>
          <w:sz w:val="24"/>
          <w:szCs w:val="24"/>
        </w:rPr>
        <w:t xml:space="preserve"> </w:t>
      </w:r>
      <w:r w:rsidRPr="00961BAC">
        <w:rPr>
          <w:sz w:val="24"/>
          <w:szCs w:val="24"/>
        </w:rPr>
        <w:t>(18</w:t>
      </w:r>
      <w:r w:rsidR="003D1AC5" w:rsidRPr="00961BAC">
        <w:rPr>
          <w:sz w:val="24"/>
          <w:szCs w:val="24"/>
        </w:rPr>
        <w:t>-</w:t>
      </w:r>
      <w:r w:rsidRPr="00961BAC">
        <w:rPr>
          <w:sz w:val="24"/>
          <w:szCs w:val="24"/>
        </w:rPr>
        <w:t>65)</w:t>
      </w:r>
      <w:r w:rsidR="00934426" w:rsidRPr="00961BAC">
        <w:rPr>
          <w:sz w:val="24"/>
          <w:szCs w:val="24"/>
        </w:rPr>
        <w:t xml:space="preserve">. </w:t>
      </w:r>
      <w:r w:rsidRPr="00961BAC">
        <w:rPr>
          <w:sz w:val="24"/>
          <w:szCs w:val="24"/>
        </w:rPr>
        <w:t xml:space="preserve">The </w:t>
      </w:r>
      <w:r w:rsidR="00834EB9" w:rsidRPr="00961BAC">
        <w:rPr>
          <w:sz w:val="24"/>
          <w:szCs w:val="24"/>
        </w:rPr>
        <w:t>participants</w:t>
      </w:r>
      <w:r w:rsidRPr="00961BAC">
        <w:rPr>
          <w:sz w:val="24"/>
          <w:szCs w:val="24"/>
        </w:rPr>
        <w:t xml:space="preserve"> were 71% (n=2</w:t>
      </w:r>
      <w:r w:rsidR="003E5442" w:rsidRPr="00961BAC">
        <w:rPr>
          <w:sz w:val="24"/>
          <w:szCs w:val="24"/>
        </w:rPr>
        <w:t>,920</w:t>
      </w:r>
      <w:r w:rsidRPr="00961BAC">
        <w:rPr>
          <w:sz w:val="24"/>
          <w:szCs w:val="24"/>
        </w:rPr>
        <w:t>) female</w:t>
      </w:r>
      <w:r w:rsidR="006622D2" w:rsidRPr="00961BAC">
        <w:rPr>
          <w:sz w:val="24"/>
          <w:szCs w:val="24"/>
        </w:rPr>
        <w:t>,</w:t>
      </w:r>
      <w:r w:rsidRPr="00961BAC">
        <w:rPr>
          <w:sz w:val="24"/>
          <w:szCs w:val="24"/>
        </w:rPr>
        <w:t xml:space="preserve"> 8</w:t>
      </w:r>
      <w:r w:rsidR="003E5442" w:rsidRPr="00961BAC">
        <w:rPr>
          <w:sz w:val="24"/>
          <w:szCs w:val="24"/>
        </w:rPr>
        <w:t>9</w:t>
      </w:r>
      <w:r w:rsidRPr="00961BAC">
        <w:rPr>
          <w:sz w:val="24"/>
          <w:szCs w:val="24"/>
        </w:rPr>
        <w:t>% (n=</w:t>
      </w:r>
      <w:r w:rsidR="003E5442" w:rsidRPr="00961BAC">
        <w:rPr>
          <w:sz w:val="24"/>
          <w:szCs w:val="24"/>
        </w:rPr>
        <w:t>3,365</w:t>
      </w:r>
      <w:r w:rsidRPr="00961BAC">
        <w:rPr>
          <w:sz w:val="24"/>
          <w:szCs w:val="24"/>
        </w:rPr>
        <w:t xml:space="preserve">) of </w:t>
      </w:r>
      <w:r w:rsidR="008B185B" w:rsidRPr="00961BAC">
        <w:rPr>
          <w:sz w:val="24"/>
          <w:szCs w:val="24"/>
        </w:rPr>
        <w:t>w</w:t>
      </w:r>
      <w:r w:rsidRPr="00961BAC">
        <w:rPr>
          <w:sz w:val="24"/>
          <w:szCs w:val="24"/>
        </w:rPr>
        <w:t>hite ethnicity</w:t>
      </w:r>
      <w:r w:rsidR="00B673D1" w:rsidRPr="00961BAC">
        <w:rPr>
          <w:sz w:val="24"/>
          <w:szCs w:val="24"/>
        </w:rPr>
        <w:t xml:space="preserve">, and </w:t>
      </w:r>
      <w:r w:rsidR="00CA7838" w:rsidRPr="00961BAC">
        <w:rPr>
          <w:sz w:val="24"/>
          <w:szCs w:val="24"/>
        </w:rPr>
        <w:t>about</w:t>
      </w:r>
      <w:r w:rsidRPr="00961BAC">
        <w:rPr>
          <w:sz w:val="24"/>
          <w:szCs w:val="24"/>
        </w:rPr>
        <w:t xml:space="preserve"> half (n=</w:t>
      </w:r>
      <w:r w:rsidR="00C7162C" w:rsidRPr="00961BAC">
        <w:rPr>
          <w:sz w:val="24"/>
          <w:szCs w:val="24"/>
        </w:rPr>
        <w:t>2,</w:t>
      </w:r>
      <w:r w:rsidR="00811EEB" w:rsidRPr="00961BAC">
        <w:rPr>
          <w:sz w:val="24"/>
          <w:szCs w:val="24"/>
        </w:rPr>
        <w:t>0</w:t>
      </w:r>
      <w:r w:rsidR="00C7162C" w:rsidRPr="00961BAC">
        <w:rPr>
          <w:sz w:val="24"/>
          <w:szCs w:val="24"/>
        </w:rPr>
        <w:t>01</w:t>
      </w:r>
      <w:r w:rsidRPr="00961BAC">
        <w:rPr>
          <w:sz w:val="24"/>
          <w:szCs w:val="24"/>
        </w:rPr>
        <w:t xml:space="preserve">, </w:t>
      </w:r>
      <w:r w:rsidR="00FB3003" w:rsidRPr="00961BAC">
        <w:rPr>
          <w:sz w:val="24"/>
          <w:szCs w:val="24"/>
        </w:rPr>
        <w:t>52</w:t>
      </w:r>
      <w:r w:rsidRPr="00961BAC">
        <w:rPr>
          <w:sz w:val="24"/>
          <w:szCs w:val="24"/>
        </w:rPr>
        <w:t xml:space="preserve">%) </w:t>
      </w:r>
      <w:r w:rsidR="00733B6D" w:rsidRPr="00961BAC">
        <w:rPr>
          <w:sz w:val="24"/>
          <w:szCs w:val="24"/>
        </w:rPr>
        <w:t>had</w:t>
      </w:r>
      <w:r w:rsidR="004B44CA" w:rsidRPr="00961BAC">
        <w:rPr>
          <w:sz w:val="24"/>
          <w:szCs w:val="24"/>
        </w:rPr>
        <w:t xml:space="preserve"> a</w:t>
      </w:r>
      <w:r w:rsidRPr="00961BAC">
        <w:rPr>
          <w:sz w:val="24"/>
          <w:szCs w:val="24"/>
        </w:rPr>
        <w:t xml:space="preserve"> degree or </w:t>
      </w:r>
      <w:r w:rsidR="00A51AF7" w:rsidRPr="00961BAC">
        <w:rPr>
          <w:sz w:val="24"/>
          <w:szCs w:val="24"/>
        </w:rPr>
        <w:t>postgraduate degree</w:t>
      </w:r>
      <w:r w:rsidRPr="00961BAC">
        <w:rPr>
          <w:sz w:val="24"/>
          <w:szCs w:val="24"/>
        </w:rPr>
        <w:t>.</w:t>
      </w:r>
      <w:r w:rsidR="00A51AF7" w:rsidRPr="00961BAC">
        <w:rPr>
          <w:sz w:val="24"/>
          <w:szCs w:val="24"/>
        </w:rPr>
        <w:t xml:space="preserve"> 10% (n=385) </w:t>
      </w:r>
      <w:r w:rsidR="00EB6841" w:rsidRPr="00961BAC">
        <w:rPr>
          <w:sz w:val="24"/>
          <w:szCs w:val="24"/>
        </w:rPr>
        <w:t xml:space="preserve">were </w:t>
      </w:r>
      <w:r w:rsidR="00A51AF7" w:rsidRPr="00961BAC">
        <w:rPr>
          <w:sz w:val="24"/>
          <w:szCs w:val="24"/>
        </w:rPr>
        <w:t>from the most deprived quintile and 24% (n=919) from the least deprived</w:t>
      </w:r>
      <w:r w:rsidR="00971AC5" w:rsidRPr="00961BAC">
        <w:rPr>
          <w:sz w:val="24"/>
          <w:szCs w:val="24"/>
        </w:rPr>
        <w:t>.</w:t>
      </w:r>
      <w:r w:rsidR="00206659" w:rsidRPr="00961BAC">
        <w:rPr>
          <w:sz w:val="24"/>
          <w:szCs w:val="24"/>
        </w:rPr>
        <w:t xml:space="preserve"> Similar patient characteristics were seen in those who completed the baseline WSAS, EQ-5D-5L and </w:t>
      </w:r>
      <w:r w:rsidR="00ED12E3" w:rsidRPr="00961BAC">
        <w:rPr>
          <w:sz w:val="24"/>
          <w:szCs w:val="24"/>
        </w:rPr>
        <w:t>resource</w:t>
      </w:r>
      <w:r w:rsidR="00206659" w:rsidRPr="00961BAC">
        <w:rPr>
          <w:sz w:val="24"/>
          <w:szCs w:val="24"/>
        </w:rPr>
        <w:t xml:space="preserve"> use questionnaires (</w:t>
      </w:r>
      <w:r w:rsidR="005900DA" w:rsidRPr="00961BAC">
        <w:rPr>
          <w:sz w:val="24"/>
          <w:szCs w:val="24"/>
        </w:rPr>
        <w:t>o</w:t>
      </w:r>
      <w:r w:rsidR="00693DAC" w:rsidRPr="00961BAC">
        <w:rPr>
          <w:sz w:val="24"/>
          <w:szCs w:val="24"/>
        </w:rPr>
        <w:t>nline supplemental material</w:t>
      </w:r>
      <w:r w:rsidR="005900DA" w:rsidRPr="00961BAC">
        <w:rPr>
          <w:sz w:val="24"/>
          <w:szCs w:val="24"/>
        </w:rPr>
        <w:t xml:space="preserve"> t</w:t>
      </w:r>
      <w:r w:rsidR="00206659" w:rsidRPr="00961BAC">
        <w:rPr>
          <w:sz w:val="24"/>
          <w:szCs w:val="24"/>
        </w:rPr>
        <w:t>able S1).</w:t>
      </w:r>
    </w:p>
    <w:p w14:paraId="32DA4CD3" w14:textId="69AFCAA5" w:rsidR="00C41803" w:rsidRPr="00961BAC" w:rsidRDefault="00B9490E" w:rsidP="001666DD">
      <w:pPr>
        <w:pStyle w:val="Caption"/>
        <w:jc w:val="both"/>
      </w:pPr>
      <w:r w:rsidRPr="00961BAC">
        <w:t xml:space="preserve">Table </w:t>
      </w:r>
      <w:r w:rsidR="00934426" w:rsidRPr="00961BAC">
        <w:t xml:space="preserve">1 </w:t>
      </w:r>
      <w:r w:rsidR="00483E95" w:rsidRPr="00961BAC">
        <w:t xml:space="preserve">contrasted </w:t>
      </w:r>
      <w:r w:rsidR="00F7408D" w:rsidRPr="00961BAC">
        <w:t>the characteristics of</w:t>
      </w:r>
      <w:r w:rsidR="00483E95" w:rsidRPr="00961BAC">
        <w:t xml:space="preserve"> the</w:t>
      </w:r>
      <w:r w:rsidR="00D30B80" w:rsidRPr="00961BAC">
        <w:t xml:space="preserve"> participants in the whole sample </w:t>
      </w:r>
      <w:r w:rsidR="001D0D29" w:rsidRPr="00961BAC">
        <w:t xml:space="preserve">(n=4,087) </w:t>
      </w:r>
      <w:r w:rsidR="00D30B80" w:rsidRPr="00961BAC">
        <w:t>with those</w:t>
      </w:r>
      <w:r w:rsidR="00483E95" w:rsidRPr="00961BAC">
        <w:t xml:space="preserve"> </w:t>
      </w:r>
      <w:r w:rsidR="00F7408D" w:rsidRPr="00961BAC">
        <w:t>w</w:t>
      </w:r>
      <w:r w:rsidR="00194728" w:rsidRPr="00961BAC">
        <w:t>ith</w:t>
      </w:r>
      <w:r w:rsidR="00F7408D" w:rsidRPr="00961BAC">
        <w:t xml:space="preserve"> </w:t>
      </w:r>
      <w:r w:rsidR="00194728" w:rsidRPr="00961BAC">
        <w:t xml:space="preserve">different completion status of the </w:t>
      </w:r>
      <w:r w:rsidRPr="00961BAC">
        <w:t xml:space="preserve">WSAS </w:t>
      </w:r>
      <w:r w:rsidR="00194728" w:rsidRPr="00961BAC">
        <w:t>questionnaire</w:t>
      </w:r>
      <w:r w:rsidR="00A328BA" w:rsidRPr="00961BAC">
        <w:t>. Among</w:t>
      </w:r>
      <w:r w:rsidR="00194728" w:rsidRPr="00961BAC">
        <w:t xml:space="preserve">st </w:t>
      </w:r>
      <w:r w:rsidR="00C06AA6" w:rsidRPr="00961BAC">
        <w:t>individuals</w:t>
      </w:r>
      <w:r w:rsidR="00A328BA" w:rsidRPr="00961BAC">
        <w:t xml:space="preserve"> who completed </w:t>
      </w:r>
      <w:r w:rsidR="00F7408D" w:rsidRPr="00961BAC">
        <w:t xml:space="preserve">the </w:t>
      </w:r>
      <w:r w:rsidR="0086704C" w:rsidRPr="00961BAC">
        <w:t xml:space="preserve">baseline </w:t>
      </w:r>
      <w:r w:rsidR="00A328BA" w:rsidRPr="00961BAC">
        <w:t>WSAS (n=</w:t>
      </w:r>
      <w:r w:rsidR="00F15215" w:rsidRPr="00961BAC">
        <w:t>3</w:t>
      </w:r>
      <w:r w:rsidR="00A328BA" w:rsidRPr="00961BAC">
        <w:t>,518)</w:t>
      </w:r>
      <w:r w:rsidR="00C06AA6" w:rsidRPr="00961BAC">
        <w:t xml:space="preserve"> within the first month of registration</w:t>
      </w:r>
      <w:r w:rsidR="00A328BA" w:rsidRPr="00961BAC">
        <w:t>, 63% (n = 2</w:t>
      </w:r>
      <w:r w:rsidR="0018300D" w:rsidRPr="00961BAC">
        <w:t>,</w:t>
      </w:r>
      <w:r w:rsidR="00A328BA" w:rsidRPr="00961BAC">
        <w:t xml:space="preserve">228) completed the questionnaire only at baseline, 27% (n = 949) completed it at baseline and follow-up </w:t>
      </w:r>
      <w:r w:rsidR="00C06AA6" w:rsidRPr="00961BAC">
        <w:t xml:space="preserve">between </w:t>
      </w:r>
      <w:r w:rsidR="0018300D" w:rsidRPr="00961BAC">
        <w:t>2</w:t>
      </w:r>
      <w:r w:rsidR="007F4901" w:rsidRPr="00961BAC">
        <w:t xml:space="preserve"> and </w:t>
      </w:r>
      <w:r w:rsidR="0018300D" w:rsidRPr="00961BAC">
        <w:t>5</w:t>
      </w:r>
      <w:r w:rsidR="00C06AA6" w:rsidRPr="00961BAC">
        <w:t xml:space="preserve"> months after registration</w:t>
      </w:r>
      <w:r w:rsidR="00A328BA" w:rsidRPr="00961BAC">
        <w:t xml:space="preserve">, and 10% (n = 341) completed it at baseline and </w:t>
      </w:r>
      <w:r w:rsidR="00F3019C" w:rsidRPr="00961BAC">
        <w:t xml:space="preserve">follow up until </w:t>
      </w:r>
      <w:r w:rsidR="007F4901" w:rsidRPr="00961BAC">
        <w:t>at least</w:t>
      </w:r>
      <w:r w:rsidR="00A328BA" w:rsidRPr="00961BAC">
        <w:t xml:space="preserve"> </w:t>
      </w:r>
      <w:r w:rsidR="007E3E67" w:rsidRPr="00961BAC">
        <w:t>6</w:t>
      </w:r>
      <w:r w:rsidR="00A328BA" w:rsidRPr="00961BAC">
        <w:t xml:space="preserve"> month</w:t>
      </w:r>
      <w:r w:rsidR="007F4901" w:rsidRPr="00961BAC">
        <w:t>s after registration</w:t>
      </w:r>
      <w:r w:rsidR="00FD531F" w:rsidRPr="00961BAC">
        <w:t xml:space="preserve">. </w:t>
      </w:r>
    </w:p>
    <w:p w14:paraId="2EEC62DD" w14:textId="77777777" w:rsidR="00CE1416" w:rsidRPr="00961BAC" w:rsidRDefault="00CE1416" w:rsidP="00CE1416">
      <w:pPr>
        <w:rPr>
          <w:lang w:eastAsia="en-GB" w:bidi="th-TH"/>
        </w:rPr>
      </w:pPr>
    </w:p>
    <w:p w14:paraId="39664100" w14:textId="6022D1DF" w:rsidR="00F57B62" w:rsidRPr="00961BAC" w:rsidRDefault="00F57B62" w:rsidP="001666DD">
      <w:pPr>
        <w:pStyle w:val="Caption"/>
        <w:jc w:val="both"/>
      </w:pPr>
      <w:r w:rsidRPr="00961BAC">
        <w:t xml:space="preserve">Table </w:t>
      </w:r>
      <w:r w:rsidR="00A654D7" w:rsidRPr="00961BAC">
        <w:t>1</w:t>
      </w:r>
      <w:r w:rsidRPr="00961BAC">
        <w:t xml:space="preserve">: </w:t>
      </w:r>
      <w:r w:rsidR="00CD0822" w:rsidRPr="00961BAC">
        <w:t>Baseline s</w:t>
      </w:r>
      <w:r w:rsidRPr="00961BAC">
        <w:t>ocio</w:t>
      </w:r>
      <w:r w:rsidR="00B8060A" w:rsidRPr="00961BAC">
        <w:t>-</w:t>
      </w:r>
      <w:r w:rsidRPr="00961BAC">
        <w:t>demographic characteristics of</w:t>
      </w:r>
      <w:r w:rsidR="00CD0822" w:rsidRPr="00961BAC">
        <w:t xml:space="preserve"> the</w:t>
      </w:r>
      <w:r w:rsidRPr="00961BAC">
        <w:t xml:space="preserve"> study</w:t>
      </w:r>
      <w:r w:rsidR="00E47297" w:rsidRPr="00961BAC">
        <w:t xml:space="preserve"> participants</w:t>
      </w:r>
      <w:r w:rsidR="00066BE8" w:rsidRPr="00961BAC">
        <w:t xml:space="preserve"> for the whole sample</w:t>
      </w:r>
      <w:r w:rsidRPr="00961BAC">
        <w:t xml:space="preserve">, </w:t>
      </w:r>
      <w:r w:rsidR="009F2508" w:rsidRPr="00961BAC">
        <w:t>and according to</w:t>
      </w:r>
      <w:r w:rsidRPr="00961BAC">
        <w:t xml:space="preserve"> completion status of the primary outcome.</w:t>
      </w:r>
    </w:p>
    <w:tbl>
      <w:tblPr>
        <w:tblW w:w="10201" w:type="dxa"/>
        <w:jc w:val="center"/>
        <w:tblLook w:val="04A0" w:firstRow="1" w:lastRow="0" w:firstColumn="1" w:lastColumn="0" w:noHBand="0" w:noVBand="1"/>
      </w:tblPr>
      <w:tblGrid>
        <w:gridCol w:w="2920"/>
        <w:gridCol w:w="1611"/>
        <w:gridCol w:w="1769"/>
        <w:gridCol w:w="1960"/>
        <w:gridCol w:w="1941"/>
      </w:tblGrid>
      <w:tr w:rsidR="00F57B62" w:rsidRPr="00961BAC" w14:paraId="38E599D8" w14:textId="77777777" w:rsidTr="00D62EB9">
        <w:trPr>
          <w:trHeight w:val="1200"/>
          <w:jc w:val="center"/>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0751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Patient characteristics</w:t>
            </w:r>
            <w:r w:rsidRPr="00961BAC">
              <w:rPr>
                <w:rFonts w:ascii="Calibri" w:eastAsia="Times New Roman" w:hAnsi="Calibri" w:cs="Calibri"/>
                <w:color w:val="000000"/>
                <w:kern w:val="0"/>
                <w14:ligatures w14:val="none"/>
              </w:rPr>
              <w:br/>
              <w:t>n(%), unless stated otherwise</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14:paraId="5EE79277" w14:textId="77777777" w:rsidR="0081680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Study population</w:t>
            </w:r>
            <w:r w:rsidRPr="00961BAC">
              <w:rPr>
                <w:rFonts w:ascii="Calibri" w:eastAsia="Times New Roman" w:hAnsi="Calibri" w:cs="Calibri"/>
                <w:color w:val="000000"/>
                <w:kern w:val="0"/>
                <w14:ligatures w14:val="none"/>
              </w:rPr>
              <w:br/>
            </w:r>
          </w:p>
          <w:p w14:paraId="703D05FF" w14:textId="77777777" w:rsidR="00816802" w:rsidRPr="00961BAC" w:rsidRDefault="00816802" w:rsidP="00921218">
            <w:pPr>
              <w:spacing w:after="0" w:line="240" w:lineRule="auto"/>
              <w:rPr>
                <w:rFonts w:ascii="Calibri" w:eastAsia="Times New Roman" w:hAnsi="Calibri" w:cs="Calibri"/>
                <w:color w:val="000000"/>
                <w:kern w:val="0"/>
                <w14:ligatures w14:val="none"/>
              </w:rPr>
            </w:pPr>
          </w:p>
          <w:p w14:paraId="7B40B90F" w14:textId="77777777" w:rsidR="00816802" w:rsidRPr="00961BAC" w:rsidRDefault="00816802" w:rsidP="00921218">
            <w:pPr>
              <w:spacing w:after="0" w:line="240" w:lineRule="auto"/>
              <w:rPr>
                <w:rFonts w:ascii="Calibri" w:eastAsia="Times New Roman" w:hAnsi="Calibri" w:cs="Calibri"/>
                <w:color w:val="000000"/>
                <w:kern w:val="0"/>
                <w14:ligatures w14:val="none"/>
              </w:rPr>
            </w:pPr>
          </w:p>
          <w:p w14:paraId="3EC938DE" w14:textId="701BF2DB"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n(%)</w:t>
            </w:r>
            <w:r w:rsidR="00A8783B" w:rsidRPr="00961BAC">
              <w:rPr>
                <w:rFonts w:ascii="Calibri" w:eastAsia="Times New Roman" w:hAnsi="Calibri" w:cs="Calibri"/>
                <w:color w:val="000000"/>
                <w:kern w:val="0"/>
                <w14:ligatures w14:val="none"/>
              </w:rPr>
              <w:t>*</w:t>
            </w:r>
            <w:r w:rsidRPr="00961BAC">
              <w:rPr>
                <w:rFonts w:ascii="Calibri" w:eastAsia="Times New Roman" w:hAnsi="Calibri" w:cs="Calibri"/>
                <w:color w:val="000000"/>
                <w:kern w:val="0"/>
                <w14:ligatures w14:val="none"/>
              </w:rPr>
              <w:br/>
              <w:t>(n = 4087)</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48976EFF" w14:textId="7381570C" w:rsidR="00F57B62" w:rsidRPr="00961BAC" w:rsidRDefault="00F57B62" w:rsidP="00921218">
            <w:pPr>
              <w:spacing w:after="0" w:line="240" w:lineRule="auto"/>
              <w:rPr>
                <w:rFonts w:ascii="Calibri" w:eastAsia="Times New Roman" w:hAnsi="Calibri" w:cs="Calibri"/>
                <w:color w:val="000000"/>
                <w:kern w:val="0"/>
                <w14:ligatures w14:val="none"/>
              </w:rPr>
            </w:pPr>
            <w:bookmarkStart w:id="3" w:name="_Hlk164893479"/>
            <w:r w:rsidRPr="00961BAC">
              <w:rPr>
                <w:rFonts w:ascii="Calibri" w:eastAsia="Times New Roman" w:hAnsi="Calibri" w:cs="Calibri"/>
                <w:color w:val="000000"/>
                <w:kern w:val="0"/>
                <w14:ligatures w14:val="none"/>
              </w:rPr>
              <w:t xml:space="preserve">WSAS completed </w:t>
            </w:r>
            <w:r w:rsidR="00493009" w:rsidRPr="00961BAC">
              <w:rPr>
                <w:rFonts w:ascii="Calibri" w:eastAsia="Times New Roman" w:hAnsi="Calibri" w:cs="Calibri"/>
                <w:color w:val="000000"/>
                <w:kern w:val="0"/>
                <w14:ligatures w14:val="none"/>
              </w:rPr>
              <w:t>within the first month of registration (baseline)</w:t>
            </w:r>
            <w:r w:rsidRPr="00961BAC">
              <w:rPr>
                <w:rFonts w:ascii="Calibri" w:eastAsia="Times New Roman" w:hAnsi="Calibri" w:cs="Calibri"/>
                <w:color w:val="000000"/>
                <w:kern w:val="0"/>
                <w14:ligatures w14:val="none"/>
              </w:rPr>
              <w:t xml:space="preserve"> only</w:t>
            </w:r>
            <w:bookmarkEnd w:id="3"/>
            <w:r w:rsidRPr="00961BAC">
              <w:rPr>
                <w:rFonts w:ascii="Calibri" w:eastAsia="Times New Roman" w:hAnsi="Calibri" w:cs="Calibri"/>
                <w:color w:val="000000"/>
                <w:kern w:val="0"/>
                <w14:ligatures w14:val="none"/>
              </w:rPr>
              <w:br/>
              <w:t>n(%)</w:t>
            </w:r>
            <w:r w:rsidR="00B8060A" w:rsidRPr="00961BAC">
              <w:rPr>
                <w:rFonts w:ascii="Calibri" w:eastAsia="Times New Roman" w:hAnsi="Calibri" w:cs="Calibri"/>
                <w:color w:val="000000"/>
                <w:kern w:val="0"/>
                <w14:ligatures w14:val="none"/>
              </w:rPr>
              <w:t>*</w:t>
            </w:r>
            <w:r w:rsidRPr="00961BAC">
              <w:rPr>
                <w:rFonts w:ascii="Calibri" w:eastAsia="Times New Roman" w:hAnsi="Calibri" w:cs="Calibri"/>
                <w:color w:val="000000"/>
                <w:kern w:val="0"/>
                <w14:ligatures w14:val="none"/>
              </w:rPr>
              <w:t xml:space="preserve"> </w:t>
            </w:r>
          </w:p>
          <w:p w14:paraId="7489F803" w14:textId="59EBF451"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(n=2228)</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BFC80F3" w14:textId="0F92F8D1" w:rsidR="00F57B62" w:rsidRPr="00961BAC" w:rsidRDefault="00F57B62" w:rsidP="00825005">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WSAS completed at baseline and </w:t>
            </w:r>
            <w:r w:rsidR="00825005" w:rsidRPr="00961BAC">
              <w:rPr>
                <w:rFonts w:ascii="Calibri" w:eastAsia="Times New Roman" w:hAnsi="Calibri" w:cs="Calibri"/>
                <w:color w:val="000000"/>
                <w:kern w:val="0"/>
                <w14:ligatures w14:val="none"/>
              </w:rPr>
              <w:t>follow-up</w:t>
            </w:r>
            <w:r w:rsidR="001B7C05" w:rsidRPr="00961BAC">
              <w:rPr>
                <w:rFonts w:ascii="Calibri" w:eastAsia="Times New Roman" w:hAnsi="Calibri" w:cs="Calibri"/>
                <w:color w:val="000000"/>
                <w:kern w:val="0"/>
                <w14:ligatures w14:val="none"/>
              </w:rPr>
              <w:t xml:space="preserve"> between</w:t>
            </w:r>
            <w:r w:rsidR="003F16FF" w:rsidRPr="00961BAC">
              <w:rPr>
                <w:rFonts w:ascii="Calibri" w:eastAsia="Times New Roman" w:hAnsi="Calibri" w:cs="Calibri"/>
                <w:color w:val="000000"/>
                <w:kern w:val="0"/>
                <w14:ligatures w14:val="none"/>
              </w:rPr>
              <w:t xml:space="preserve"> </w:t>
            </w:r>
            <w:r w:rsidR="004E286F" w:rsidRPr="00961BAC">
              <w:rPr>
                <w:rFonts w:ascii="Calibri" w:eastAsia="Times New Roman" w:hAnsi="Calibri" w:cs="Calibri"/>
                <w:color w:val="000000"/>
                <w:kern w:val="0"/>
                <w14:ligatures w14:val="none"/>
              </w:rPr>
              <w:t>2</w:t>
            </w:r>
            <w:r w:rsidR="00F10DD9" w:rsidRPr="00961BAC">
              <w:rPr>
                <w:rFonts w:ascii="Calibri" w:eastAsia="Times New Roman" w:hAnsi="Calibri" w:cs="Calibri"/>
                <w:color w:val="000000"/>
                <w:kern w:val="0"/>
                <w14:ligatures w14:val="none"/>
              </w:rPr>
              <w:t xml:space="preserve"> and </w:t>
            </w:r>
            <w:r w:rsidR="004E286F" w:rsidRPr="00961BAC">
              <w:rPr>
                <w:rFonts w:ascii="Calibri" w:eastAsia="Times New Roman" w:hAnsi="Calibri" w:cs="Calibri"/>
                <w:color w:val="000000"/>
                <w:kern w:val="0"/>
                <w14:ligatures w14:val="none"/>
              </w:rPr>
              <w:t>5</w:t>
            </w:r>
            <w:r w:rsidR="007F4901" w:rsidRPr="00961BAC">
              <w:rPr>
                <w:rFonts w:ascii="Calibri" w:eastAsia="Times New Roman" w:hAnsi="Calibri" w:cs="Calibri"/>
                <w:color w:val="000000"/>
                <w:kern w:val="0"/>
                <w14:ligatures w14:val="none"/>
              </w:rPr>
              <w:t xml:space="preserve"> </w:t>
            </w:r>
            <w:r w:rsidR="00825005" w:rsidRPr="00961BAC">
              <w:rPr>
                <w:rFonts w:ascii="Calibri" w:eastAsia="Times New Roman" w:hAnsi="Calibri" w:cs="Calibri"/>
                <w:color w:val="000000"/>
                <w:kern w:val="0"/>
                <w14:ligatures w14:val="none"/>
              </w:rPr>
              <w:t>months</w:t>
            </w:r>
            <w:r w:rsidR="003F16FF" w:rsidRPr="00961BAC">
              <w:rPr>
                <w:rFonts w:ascii="Calibri" w:eastAsia="Times New Roman" w:hAnsi="Calibri" w:cs="Calibri"/>
                <w:color w:val="000000"/>
                <w:kern w:val="0"/>
                <w14:ligatures w14:val="none"/>
              </w:rPr>
              <w:t xml:space="preserve"> </w:t>
            </w:r>
            <w:r w:rsidR="00AD5C74" w:rsidRPr="00961BAC">
              <w:rPr>
                <w:rFonts w:ascii="Calibri" w:eastAsia="Times New Roman" w:hAnsi="Calibri" w:cs="Calibri"/>
                <w:color w:val="000000"/>
                <w:kern w:val="0"/>
                <w14:ligatures w14:val="none"/>
              </w:rPr>
              <w:t>after registration</w:t>
            </w:r>
            <w:r w:rsidRPr="00961BAC">
              <w:rPr>
                <w:rFonts w:ascii="Calibri" w:eastAsia="Times New Roman" w:hAnsi="Calibri" w:cs="Calibri"/>
                <w:color w:val="000000"/>
                <w:kern w:val="0"/>
                <w14:ligatures w14:val="none"/>
              </w:rPr>
              <w:br/>
              <w:t>n(%)</w:t>
            </w:r>
            <w:r w:rsidR="00B8060A" w:rsidRPr="00961BAC">
              <w:rPr>
                <w:rFonts w:ascii="Calibri" w:eastAsia="Times New Roman" w:hAnsi="Calibri" w:cs="Calibri"/>
                <w:color w:val="000000"/>
                <w:kern w:val="0"/>
                <w14:ligatures w14:val="none"/>
              </w:rPr>
              <w:t>*</w:t>
            </w:r>
          </w:p>
          <w:p w14:paraId="50EBDFD7" w14:textId="53435A4C" w:rsidR="00F57B62" w:rsidRPr="00961BAC" w:rsidRDefault="00F57B62" w:rsidP="00921218">
            <w:pPr>
              <w:spacing w:after="0" w:line="240" w:lineRule="auto"/>
              <w:rPr>
                <w:rFonts w:ascii="Calibri" w:eastAsia="Times New Roman" w:hAnsi="Calibri" w:cs="Calibri"/>
                <w:color w:val="000000"/>
                <w:kern w:val="0"/>
                <w:lang w:val="pt-PT"/>
                <w14:ligatures w14:val="none"/>
              </w:rPr>
            </w:pPr>
            <w:r w:rsidRPr="00961BAC">
              <w:rPr>
                <w:rFonts w:ascii="Calibri" w:eastAsia="Times New Roman" w:hAnsi="Calibri" w:cs="Calibri"/>
                <w:color w:val="000000"/>
                <w:kern w:val="0"/>
                <w:lang w:val="pt-PT"/>
                <w14:ligatures w14:val="none"/>
              </w:rPr>
              <w:t>(n=949)</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03F714CC" w14:textId="45355706" w:rsidR="00F57B62" w:rsidRPr="00961BAC" w:rsidRDefault="00F57B62" w:rsidP="00921218">
            <w:pPr>
              <w:spacing w:after="0" w:line="240" w:lineRule="auto"/>
              <w:rPr>
                <w:rFonts w:ascii="Calibri" w:eastAsia="Times New Roman" w:hAnsi="Calibri" w:cs="Calibri"/>
                <w:color w:val="000000"/>
                <w:kern w:val="0"/>
                <w14:ligatures w14:val="none"/>
              </w:rPr>
            </w:pPr>
            <w:bookmarkStart w:id="4" w:name="_Hlk164893941"/>
            <w:r w:rsidRPr="00961BAC">
              <w:rPr>
                <w:rFonts w:ascii="Calibri" w:eastAsia="Times New Roman" w:hAnsi="Calibri" w:cs="Calibri"/>
                <w:color w:val="000000"/>
                <w:kern w:val="0"/>
                <w14:ligatures w14:val="none"/>
              </w:rPr>
              <w:t xml:space="preserve">WSAS completed at baseline and follow-up </w:t>
            </w:r>
            <w:r w:rsidR="007F4901" w:rsidRPr="00961BAC">
              <w:rPr>
                <w:rFonts w:ascii="Calibri" w:eastAsia="Times New Roman" w:hAnsi="Calibri" w:cs="Calibri"/>
                <w:color w:val="000000"/>
                <w:kern w:val="0"/>
                <w14:ligatures w14:val="none"/>
              </w:rPr>
              <w:t>until</w:t>
            </w:r>
            <w:r w:rsidR="00050018" w:rsidRPr="00961BAC">
              <w:rPr>
                <w:rFonts w:ascii="Calibri" w:eastAsia="Times New Roman" w:hAnsi="Calibri" w:cs="Calibri"/>
                <w:color w:val="000000"/>
                <w:kern w:val="0"/>
                <w14:ligatures w14:val="none"/>
              </w:rPr>
              <w:t xml:space="preserve"> </w:t>
            </w:r>
            <w:r w:rsidR="00825005" w:rsidRPr="00961BAC">
              <w:rPr>
                <w:rFonts w:ascii="Calibri" w:eastAsia="Times New Roman" w:hAnsi="Calibri" w:cs="Calibri"/>
                <w:color w:val="000000"/>
                <w:kern w:val="0"/>
                <w14:ligatures w14:val="none"/>
              </w:rPr>
              <w:t>at</w:t>
            </w:r>
            <w:r w:rsidR="00513A91" w:rsidRPr="00961BAC">
              <w:rPr>
                <w:rFonts w:ascii="Calibri" w:eastAsia="Times New Roman" w:hAnsi="Calibri" w:cs="Calibri"/>
                <w:color w:val="000000"/>
                <w:kern w:val="0"/>
                <w14:ligatures w14:val="none"/>
              </w:rPr>
              <w:t xml:space="preserve"> </w:t>
            </w:r>
            <w:r w:rsidR="00AD5C74" w:rsidRPr="00961BAC">
              <w:rPr>
                <w:rFonts w:ascii="Calibri" w:eastAsia="Times New Roman" w:hAnsi="Calibri" w:cs="Calibri"/>
                <w:color w:val="000000"/>
                <w:kern w:val="0"/>
                <w14:ligatures w14:val="none"/>
              </w:rPr>
              <w:t>least</w:t>
            </w:r>
            <w:r w:rsidR="00556900" w:rsidRPr="00961BAC">
              <w:rPr>
                <w:rFonts w:ascii="Calibri" w:eastAsia="Times New Roman" w:hAnsi="Calibri" w:cs="Calibri"/>
                <w:color w:val="000000"/>
                <w:kern w:val="0"/>
                <w14:ligatures w14:val="none"/>
              </w:rPr>
              <w:t xml:space="preserve"> </w:t>
            </w:r>
            <w:r w:rsidR="004E286F" w:rsidRPr="00961BAC">
              <w:rPr>
                <w:rFonts w:ascii="Calibri" w:eastAsia="Times New Roman" w:hAnsi="Calibri" w:cs="Calibri"/>
                <w:color w:val="000000"/>
                <w:kern w:val="0"/>
                <w14:ligatures w14:val="none"/>
              </w:rPr>
              <w:t>6</w:t>
            </w:r>
            <w:r w:rsidR="00F10DD9" w:rsidRPr="00961BAC">
              <w:rPr>
                <w:rFonts w:ascii="Calibri" w:eastAsia="Times New Roman" w:hAnsi="Calibri" w:cs="Calibri"/>
                <w:color w:val="000000"/>
                <w:kern w:val="0"/>
                <w14:ligatures w14:val="none"/>
              </w:rPr>
              <w:t xml:space="preserve"> </w:t>
            </w:r>
            <w:r w:rsidRPr="00961BAC">
              <w:rPr>
                <w:rFonts w:ascii="Calibri" w:eastAsia="Times New Roman" w:hAnsi="Calibri" w:cs="Calibri"/>
                <w:color w:val="000000"/>
                <w:kern w:val="0"/>
                <w14:ligatures w14:val="none"/>
              </w:rPr>
              <w:t>months</w:t>
            </w:r>
            <w:r w:rsidR="00AD5C74" w:rsidRPr="00961BAC">
              <w:rPr>
                <w:rFonts w:ascii="Calibri" w:eastAsia="Times New Roman" w:hAnsi="Calibri" w:cs="Calibri"/>
                <w:color w:val="000000"/>
                <w:kern w:val="0"/>
                <w14:ligatures w14:val="none"/>
              </w:rPr>
              <w:t xml:space="preserve"> after registration</w:t>
            </w:r>
            <w:bookmarkEnd w:id="4"/>
            <w:r w:rsidRPr="00961BAC">
              <w:rPr>
                <w:rFonts w:ascii="Calibri" w:eastAsia="Times New Roman" w:hAnsi="Calibri" w:cs="Calibri"/>
                <w:color w:val="000000"/>
                <w:kern w:val="0"/>
                <w14:ligatures w14:val="none"/>
              </w:rPr>
              <w:br/>
              <w:t>n(%)</w:t>
            </w:r>
            <w:r w:rsidR="00B8060A" w:rsidRPr="00961BAC">
              <w:rPr>
                <w:rFonts w:ascii="Calibri" w:eastAsia="Times New Roman" w:hAnsi="Calibri" w:cs="Calibri"/>
                <w:color w:val="000000"/>
                <w:kern w:val="0"/>
                <w14:ligatures w14:val="none"/>
              </w:rPr>
              <w:t>*</w:t>
            </w:r>
            <w:r w:rsidRPr="00961BAC">
              <w:rPr>
                <w:rFonts w:ascii="Calibri" w:eastAsia="Times New Roman" w:hAnsi="Calibri" w:cs="Calibri"/>
                <w:color w:val="000000"/>
                <w:kern w:val="0"/>
                <w14:ligatures w14:val="none"/>
              </w:rPr>
              <w:br/>
              <w:t>(n = 341)</w:t>
            </w:r>
          </w:p>
        </w:tc>
      </w:tr>
      <w:tr w:rsidR="00F57B62" w:rsidRPr="00961BAC" w14:paraId="118C44EA"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B4BD519"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Age (years), mean (SD)</w:t>
            </w:r>
          </w:p>
        </w:tc>
        <w:tc>
          <w:tcPr>
            <w:tcW w:w="1611" w:type="dxa"/>
            <w:tcBorders>
              <w:top w:val="nil"/>
              <w:left w:val="nil"/>
              <w:bottom w:val="single" w:sz="4" w:space="0" w:color="auto"/>
              <w:right w:val="single" w:sz="4" w:space="0" w:color="auto"/>
            </w:tcBorders>
            <w:shd w:val="clear" w:color="auto" w:fill="auto"/>
            <w:noWrap/>
            <w:vAlign w:val="center"/>
            <w:hideMark/>
          </w:tcPr>
          <w:p w14:paraId="073B13ED"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47.3 (12.2)</w:t>
            </w:r>
          </w:p>
        </w:tc>
        <w:tc>
          <w:tcPr>
            <w:tcW w:w="1769" w:type="dxa"/>
            <w:tcBorders>
              <w:top w:val="nil"/>
              <w:left w:val="nil"/>
              <w:bottom w:val="single" w:sz="4" w:space="0" w:color="auto"/>
              <w:right w:val="single" w:sz="4" w:space="0" w:color="auto"/>
            </w:tcBorders>
            <w:shd w:val="clear" w:color="auto" w:fill="auto"/>
            <w:noWrap/>
            <w:vAlign w:val="center"/>
          </w:tcPr>
          <w:p w14:paraId="00781789"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46.3 (12.3)</w:t>
            </w:r>
          </w:p>
        </w:tc>
        <w:tc>
          <w:tcPr>
            <w:tcW w:w="1960" w:type="dxa"/>
            <w:tcBorders>
              <w:top w:val="nil"/>
              <w:left w:val="nil"/>
              <w:bottom w:val="single" w:sz="4" w:space="0" w:color="auto"/>
              <w:right w:val="single" w:sz="4" w:space="0" w:color="auto"/>
            </w:tcBorders>
            <w:shd w:val="clear" w:color="auto" w:fill="auto"/>
            <w:noWrap/>
            <w:vAlign w:val="center"/>
          </w:tcPr>
          <w:p w14:paraId="1A2B8B3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48.5 (11.9)</w:t>
            </w:r>
          </w:p>
        </w:tc>
        <w:tc>
          <w:tcPr>
            <w:tcW w:w="1941" w:type="dxa"/>
            <w:tcBorders>
              <w:top w:val="nil"/>
              <w:left w:val="nil"/>
              <w:bottom w:val="single" w:sz="4" w:space="0" w:color="auto"/>
              <w:right w:val="single" w:sz="4" w:space="0" w:color="auto"/>
            </w:tcBorders>
            <w:shd w:val="clear" w:color="auto" w:fill="auto"/>
            <w:noWrap/>
            <w:vAlign w:val="center"/>
            <w:hideMark/>
          </w:tcPr>
          <w:p w14:paraId="1389339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49.7 (12.0)</w:t>
            </w:r>
          </w:p>
        </w:tc>
      </w:tr>
      <w:tr w:rsidR="00F57B62" w:rsidRPr="00961BAC" w14:paraId="279A241C" w14:textId="77777777" w:rsidTr="00921218">
        <w:trPr>
          <w:trHeight w:val="30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C912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Age category (years)</w:t>
            </w:r>
          </w:p>
        </w:tc>
      </w:tr>
      <w:tr w:rsidR="00F57B62" w:rsidRPr="00961BAC" w14:paraId="2B8E444A"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F67FD2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18 – 30</w:t>
            </w:r>
          </w:p>
        </w:tc>
        <w:tc>
          <w:tcPr>
            <w:tcW w:w="1611" w:type="dxa"/>
            <w:tcBorders>
              <w:top w:val="nil"/>
              <w:left w:val="nil"/>
              <w:bottom w:val="single" w:sz="4" w:space="0" w:color="auto"/>
              <w:right w:val="single" w:sz="4" w:space="0" w:color="auto"/>
            </w:tcBorders>
            <w:shd w:val="clear" w:color="auto" w:fill="auto"/>
            <w:noWrap/>
            <w:vAlign w:val="center"/>
            <w:hideMark/>
          </w:tcPr>
          <w:p w14:paraId="336840E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429 (10.5)</w:t>
            </w:r>
          </w:p>
        </w:tc>
        <w:tc>
          <w:tcPr>
            <w:tcW w:w="1769" w:type="dxa"/>
            <w:tcBorders>
              <w:top w:val="nil"/>
              <w:left w:val="nil"/>
              <w:bottom w:val="single" w:sz="4" w:space="0" w:color="auto"/>
              <w:right w:val="single" w:sz="4" w:space="0" w:color="auto"/>
            </w:tcBorders>
            <w:shd w:val="clear" w:color="auto" w:fill="auto"/>
            <w:noWrap/>
            <w:vAlign w:val="center"/>
          </w:tcPr>
          <w:p w14:paraId="418E8F1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262 (11.8)</w:t>
            </w:r>
          </w:p>
        </w:tc>
        <w:tc>
          <w:tcPr>
            <w:tcW w:w="1960" w:type="dxa"/>
            <w:tcBorders>
              <w:top w:val="nil"/>
              <w:left w:val="nil"/>
              <w:bottom w:val="single" w:sz="4" w:space="0" w:color="auto"/>
              <w:right w:val="single" w:sz="4" w:space="0" w:color="auto"/>
            </w:tcBorders>
            <w:shd w:val="clear" w:color="auto" w:fill="auto"/>
            <w:noWrap/>
            <w:vAlign w:val="center"/>
          </w:tcPr>
          <w:p w14:paraId="1513856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83 (8.7)</w:t>
            </w:r>
          </w:p>
        </w:tc>
        <w:tc>
          <w:tcPr>
            <w:tcW w:w="1941" w:type="dxa"/>
            <w:tcBorders>
              <w:top w:val="nil"/>
              <w:left w:val="nil"/>
              <w:bottom w:val="single" w:sz="4" w:space="0" w:color="auto"/>
              <w:right w:val="single" w:sz="4" w:space="0" w:color="auto"/>
            </w:tcBorders>
            <w:shd w:val="clear" w:color="auto" w:fill="auto"/>
            <w:noWrap/>
            <w:vAlign w:val="center"/>
            <w:hideMark/>
          </w:tcPr>
          <w:p w14:paraId="28F0739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26 (7.6)</w:t>
            </w:r>
          </w:p>
        </w:tc>
      </w:tr>
      <w:tr w:rsidR="00F57B62" w:rsidRPr="00961BAC" w14:paraId="24155C0A"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BDE90B8" w14:textId="6477B7D4"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30 </w:t>
            </w:r>
            <w:r w:rsidR="00EB346B" w:rsidRPr="00961BAC">
              <w:rPr>
                <w:rFonts w:ascii="Calibri" w:eastAsia="Times New Roman" w:hAnsi="Calibri" w:cs="Calibri"/>
                <w:color w:val="000000"/>
                <w:kern w:val="0"/>
                <w14:ligatures w14:val="none"/>
              </w:rPr>
              <w:t>–</w:t>
            </w:r>
            <w:r w:rsidRPr="00961BAC">
              <w:rPr>
                <w:rFonts w:ascii="Calibri" w:eastAsia="Times New Roman" w:hAnsi="Calibri" w:cs="Calibri"/>
                <w:color w:val="000000"/>
                <w:kern w:val="0"/>
                <w14:ligatures w14:val="none"/>
              </w:rPr>
              <w:t xml:space="preserve"> 50</w:t>
            </w:r>
          </w:p>
        </w:tc>
        <w:tc>
          <w:tcPr>
            <w:tcW w:w="1611" w:type="dxa"/>
            <w:tcBorders>
              <w:top w:val="nil"/>
              <w:left w:val="nil"/>
              <w:bottom w:val="single" w:sz="4" w:space="0" w:color="auto"/>
              <w:right w:val="single" w:sz="4" w:space="0" w:color="auto"/>
            </w:tcBorders>
            <w:shd w:val="clear" w:color="auto" w:fill="auto"/>
            <w:noWrap/>
            <w:vAlign w:val="center"/>
            <w:hideMark/>
          </w:tcPr>
          <w:p w14:paraId="7462A16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1960 (48.0)</w:t>
            </w:r>
          </w:p>
        </w:tc>
        <w:tc>
          <w:tcPr>
            <w:tcW w:w="1769" w:type="dxa"/>
            <w:tcBorders>
              <w:top w:val="nil"/>
              <w:left w:val="nil"/>
              <w:bottom w:val="single" w:sz="4" w:space="0" w:color="auto"/>
              <w:right w:val="single" w:sz="4" w:space="0" w:color="auto"/>
            </w:tcBorders>
            <w:shd w:val="clear" w:color="auto" w:fill="auto"/>
            <w:noWrap/>
            <w:vAlign w:val="center"/>
          </w:tcPr>
          <w:p w14:paraId="06D7065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1118 (50.2)</w:t>
            </w:r>
          </w:p>
        </w:tc>
        <w:tc>
          <w:tcPr>
            <w:tcW w:w="1960" w:type="dxa"/>
            <w:tcBorders>
              <w:top w:val="nil"/>
              <w:left w:val="nil"/>
              <w:bottom w:val="single" w:sz="4" w:space="0" w:color="auto"/>
              <w:right w:val="single" w:sz="4" w:space="0" w:color="auto"/>
            </w:tcBorders>
            <w:shd w:val="clear" w:color="auto" w:fill="auto"/>
            <w:noWrap/>
            <w:vAlign w:val="center"/>
          </w:tcPr>
          <w:p w14:paraId="021A553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431 (45.4)</w:t>
            </w:r>
          </w:p>
        </w:tc>
        <w:tc>
          <w:tcPr>
            <w:tcW w:w="1941" w:type="dxa"/>
            <w:tcBorders>
              <w:top w:val="nil"/>
              <w:left w:val="nil"/>
              <w:bottom w:val="single" w:sz="4" w:space="0" w:color="auto"/>
              <w:right w:val="single" w:sz="4" w:space="0" w:color="auto"/>
            </w:tcBorders>
            <w:shd w:val="clear" w:color="auto" w:fill="auto"/>
            <w:noWrap/>
            <w:vAlign w:val="center"/>
            <w:hideMark/>
          </w:tcPr>
          <w:p w14:paraId="474458F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142 (41.6)</w:t>
            </w:r>
          </w:p>
        </w:tc>
      </w:tr>
      <w:tr w:rsidR="00F57B62" w:rsidRPr="00961BAC" w14:paraId="397E4554"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6278BC7B" w14:textId="3A0D0038"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50 </w:t>
            </w:r>
            <w:r w:rsidR="00EB346B" w:rsidRPr="00961BAC">
              <w:rPr>
                <w:rFonts w:ascii="Calibri" w:eastAsia="Times New Roman" w:hAnsi="Calibri" w:cs="Calibri"/>
                <w:color w:val="000000"/>
                <w:kern w:val="0"/>
                <w14:ligatures w14:val="none"/>
              </w:rPr>
              <w:t>–</w:t>
            </w:r>
            <w:r w:rsidRPr="00961BAC">
              <w:rPr>
                <w:rFonts w:ascii="Calibri" w:eastAsia="Times New Roman" w:hAnsi="Calibri" w:cs="Calibri"/>
                <w:color w:val="000000"/>
                <w:kern w:val="0"/>
                <w14:ligatures w14:val="none"/>
              </w:rPr>
              <w:t xml:space="preserve"> 65</w:t>
            </w:r>
          </w:p>
        </w:tc>
        <w:tc>
          <w:tcPr>
            <w:tcW w:w="1611" w:type="dxa"/>
            <w:tcBorders>
              <w:top w:val="nil"/>
              <w:left w:val="nil"/>
              <w:bottom w:val="single" w:sz="4" w:space="0" w:color="auto"/>
              <w:right w:val="single" w:sz="4" w:space="0" w:color="auto"/>
            </w:tcBorders>
            <w:shd w:val="clear" w:color="auto" w:fill="auto"/>
            <w:noWrap/>
            <w:vAlign w:val="center"/>
            <w:hideMark/>
          </w:tcPr>
          <w:p w14:paraId="4CE3942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1470 (36.0)</w:t>
            </w:r>
          </w:p>
        </w:tc>
        <w:tc>
          <w:tcPr>
            <w:tcW w:w="1769" w:type="dxa"/>
            <w:tcBorders>
              <w:top w:val="nil"/>
              <w:left w:val="nil"/>
              <w:bottom w:val="single" w:sz="4" w:space="0" w:color="auto"/>
              <w:right w:val="single" w:sz="4" w:space="0" w:color="auto"/>
            </w:tcBorders>
            <w:shd w:val="clear" w:color="auto" w:fill="auto"/>
            <w:noWrap/>
            <w:vAlign w:val="center"/>
          </w:tcPr>
          <w:p w14:paraId="51B74AFF"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738 (33.1)</w:t>
            </w:r>
          </w:p>
        </w:tc>
        <w:tc>
          <w:tcPr>
            <w:tcW w:w="1960" w:type="dxa"/>
            <w:tcBorders>
              <w:top w:val="nil"/>
              <w:left w:val="nil"/>
              <w:bottom w:val="single" w:sz="4" w:space="0" w:color="auto"/>
              <w:right w:val="single" w:sz="4" w:space="0" w:color="auto"/>
            </w:tcBorders>
            <w:shd w:val="clear" w:color="auto" w:fill="auto"/>
            <w:noWrap/>
            <w:vAlign w:val="center"/>
          </w:tcPr>
          <w:p w14:paraId="7FC506A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383 (40.4)</w:t>
            </w:r>
          </w:p>
        </w:tc>
        <w:tc>
          <w:tcPr>
            <w:tcW w:w="1941" w:type="dxa"/>
            <w:tcBorders>
              <w:top w:val="nil"/>
              <w:left w:val="nil"/>
              <w:bottom w:val="single" w:sz="4" w:space="0" w:color="auto"/>
              <w:right w:val="single" w:sz="4" w:space="0" w:color="auto"/>
            </w:tcBorders>
            <w:shd w:val="clear" w:color="auto" w:fill="auto"/>
            <w:noWrap/>
            <w:vAlign w:val="center"/>
            <w:hideMark/>
          </w:tcPr>
          <w:p w14:paraId="449C413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146 (42.8)</w:t>
            </w:r>
          </w:p>
        </w:tc>
      </w:tr>
      <w:tr w:rsidR="00F57B62" w:rsidRPr="00961BAC" w14:paraId="1C9A6AEC"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C366E6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65 and over</w:t>
            </w:r>
          </w:p>
        </w:tc>
        <w:tc>
          <w:tcPr>
            <w:tcW w:w="1611" w:type="dxa"/>
            <w:tcBorders>
              <w:top w:val="nil"/>
              <w:left w:val="nil"/>
              <w:bottom w:val="single" w:sz="4" w:space="0" w:color="auto"/>
              <w:right w:val="single" w:sz="4" w:space="0" w:color="auto"/>
            </w:tcBorders>
            <w:shd w:val="clear" w:color="auto" w:fill="auto"/>
            <w:noWrap/>
            <w:vAlign w:val="center"/>
            <w:hideMark/>
          </w:tcPr>
          <w:p w14:paraId="0F36127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228 (5.6)</w:t>
            </w:r>
          </w:p>
        </w:tc>
        <w:tc>
          <w:tcPr>
            <w:tcW w:w="1769" w:type="dxa"/>
            <w:tcBorders>
              <w:top w:val="nil"/>
              <w:left w:val="nil"/>
              <w:bottom w:val="single" w:sz="4" w:space="0" w:color="auto"/>
              <w:right w:val="single" w:sz="4" w:space="0" w:color="auto"/>
            </w:tcBorders>
            <w:shd w:val="clear" w:color="auto" w:fill="auto"/>
            <w:noWrap/>
            <w:vAlign w:val="center"/>
          </w:tcPr>
          <w:p w14:paraId="286EA5FD"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110 (4.9)</w:t>
            </w:r>
          </w:p>
        </w:tc>
        <w:tc>
          <w:tcPr>
            <w:tcW w:w="1960" w:type="dxa"/>
            <w:tcBorders>
              <w:top w:val="nil"/>
              <w:left w:val="nil"/>
              <w:bottom w:val="single" w:sz="4" w:space="0" w:color="auto"/>
              <w:right w:val="single" w:sz="4" w:space="0" w:color="auto"/>
            </w:tcBorders>
            <w:shd w:val="clear" w:color="auto" w:fill="auto"/>
            <w:noWrap/>
            <w:vAlign w:val="center"/>
          </w:tcPr>
          <w:p w14:paraId="37E2971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52 (5.5)</w:t>
            </w:r>
          </w:p>
        </w:tc>
        <w:tc>
          <w:tcPr>
            <w:tcW w:w="1941" w:type="dxa"/>
            <w:tcBorders>
              <w:top w:val="nil"/>
              <w:left w:val="nil"/>
              <w:bottom w:val="single" w:sz="4" w:space="0" w:color="auto"/>
              <w:right w:val="single" w:sz="4" w:space="0" w:color="auto"/>
            </w:tcBorders>
            <w:shd w:val="clear" w:color="auto" w:fill="auto"/>
            <w:noWrap/>
            <w:vAlign w:val="center"/>
            <w:hideMark/>
          </w:tcPr>
          <w:p w14:paraId="0ACAAEA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27 (7.9)</w:t>
            </w:r>
          </w:p>
        </w:tc>
      </w:tr>
      <w:tr w:rsidR="00F57B62" w:rsidRPr="00961BAC" w14:paraId="2E55F954" w14:textId="77777777" w:rsidTr="00921218">
        <w:trPr>
          <w:trHeight w:val="30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4B30D"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Gender</w:t>
            </w:r>
          </w:p>
        </w:tc>
      </w:tr>
      <w:tr w:rsidR="00F57B62" w:rsidRPr="00961BAC" w14:paraId="312A4210"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34ACBE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Female</w:t>
            </w:r>
          </w:p>
        </w:tc>
        <w:tc>
          <w:tcPr>
            <w:tcW w:w="1611" w:type="dxa"/>
            <w:tcBorders>
              <w:top w:val="nil"/>
              <w:left w:val="nil"/>
              <w:bottom w:val="single" w:sz="4" w:space="0" w:color="auto"/>
              <w:right w:val="single" w:sz="4" w:space="0" w:color="auto"/>
            </w:tcBorders>
            <w:shd w:val="clear" w:color="auto" w:fill="auto"/>
            <w:noWrap/>
            <w:vAlign w:val="center"/>
            <w:hideMark/>
          </w:tcPr>
          <w:p w14:paraId="577C51B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2920 (71.4)</w:t>
            </w:r>
          </w:p>
        </w:tc>
        <w:tc>
          <w:tcPr>
            <w:tcW w:w="1769" w:type="dxa"/>
            <w:tcBorders>
              <w:top w:val="nil"/>
              <w:left w:val="nil"/>
              <w:bottom w:val="single" w:sz="4" w:space="0" w:color="auto"/>
              <w:right w:val="single" w:sz="4" w:space="0" w:color="auto"/>
            </w:tcBorders>
            <w:shd w:val="clear" w:color="auto" w:fill="auto"/>
            <w:noWrap/>
            <w:vAlign w:val="center"/>
          </w:tcPr>
          <w:p w14:paraId="57572D7F"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1584 (71.1)</w:t>
            </w:r>
          </w:p>
        </w:tc>
        <w:tc>
          <w:tcPr>
            <w:tcW w:w="1960" w:type="dxa"/>
            <w:tcBorders>
              <w:top w:val="nil"/>
              <w:left w:val="nil"/>
              <w:bottom w:val="single" w:sz="4" w:space="0" w:color="auto"/>
              <w:right w:val="single" w:sz="4" w:space="0" w:color="auto"/>
            </w:tcBorders>
            <w:shd w:val="clear" w:color="auto" w:fill="auto"/>
            <w:noWrap/>
            <w:vAlign w:val="center"/>
          </w:tcPr>
          <w:p w14:paraId="4679497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692 (72.9)</w:t>
            </w:r>
          </w:p>
        </w:tc>
        <w:tc>
          <w:tcPr>
            <w:tcW w:w="1941" w:type="dxa"/>
            <w:tcBorders>
              <w:top w:val="nil"/>
              <w:left w:val="nil"/>
              <w:bottom w:val="single" w:sz="4" w:space="0" w:color="auto"/>
              <w:right w:val="single" w:sz="4" w:space="0" w:color="auto"/>
            </w:tcBorders>
            <w:shd w:val="clear" w:color="auto" w:fill="auto"/>
            <w:noWrap/>
            <w:vAlign w:val="center"/>
            <w:hideMark/>
          </w:tcPr>
          <w:p w14:paraId="3603218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239 (70.1)</w:t>
            </w:r>
          </w:p>
        </w:tc>
      </w:tr>
      <w:tr w:rsidR="00F57B62" w:rsidRPr="00961BAC" w14:paraId="2EFF0AA2"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D35299E"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Male</w:t>
            </w:r>
          </w:p>
        </w:tc>
        <w:tc>
          <w:tcPr>
            <w:tcW w:w="1611" w:type="dxa"/>
            <w:tcBorders>
              <w:top w:val="nil"/>
              <w:left w:val="nil"/>
              <w:bottom w:val="single" w:sz="4" w:space="0" w:color="auto"/>
              <w:right w:val="single" w:sz="4" w:space="0" w:color="auto"/>
            </w:tcBorders>
            <w:shd w:val="clear" w:color="auto" w:fill="auto"/>
            <w:noWrap/>
            <w:vAlign w:val="center"/>
            <w:hideMark/>
          </w:tcPr>
          <w:p w14:paraId="3B8A690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1155 (28.3)</w:t>
            </w:r>
          </w:p>
        </w:tc>
        <w:tc>
          <w:tcPr>
            <w:tcW w:w="1769" w:type="dxa"/>
            <w:tcBorders>
              <w:top w:val="nil"/>
              <w:left w:val="nil"/>
              <w:bottom w:val="single" w:sz="4" w:space="0" w:color="auto"/>
              <w:right w:val="single" w:sz="4" w:space="0" w:color="auto"/>
            </w:tcBorders>
            <w:shd w:val="clear" w:color="auto" w:fill="auto"/>
            <w:noWrap/>
            <w:vAlign w:val="center"/>
          </w:tcPr>
          <w:p w14:paraId="47EB9765"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638 (28.6)</w:t>
            </w:r>
          </w:p>
        </w:tc>
        <w:tc>
          <w:tcPr>
            <w:tcW w:w="1960" w:type="dxa"/>
            <w:tcBorders>
              <w:top w:val="nil"/>
              <w:left w:val="nil"/>
              <w:bottom w:val="single" w:sz="4" w:space="0" w:color="auto"/>
              <w:right w:val="single" w:sz="4" w:space="0" w:color="auto"/>
            </w:tcBorders>
            <w:shd w:val="clear" w:color="auto" w:fill="auto"/>
            <w:noWrap/>
            <w:vAlign w:val="center"/>
          </w:tcPr>
          <w:p w14:paraId="341BC879"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253 (26.7)</w:t>
            </w:r>
          </w:p>
        </w:tc>
        <w:tc>
          <w:tcPr>
            <w:tcW w:w="1941" w:type="dxa"/>
            <w:tcBorders>
              <w:top w:val="nil"/>
              <w:left w:val="nil"/>
              <w:bottom w:val="single" w:sz="4" w:space="0" w:color="auto"/>
              <w:right w:val="single" w:sz="4" w:space="0" w:color="auto"/>
            </w:tcBorders>
            <w:shd w:val="clear" w:color="auto" w:fill="auto"/>
            <w:noWrap/>
            <w:vAlign w:val="center"/>
            <w:hideMark/>
          </w:tcPr>
          <w:p w14:paraId="28E6881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101 (29.6)</w:t>
            </w:r>
          </w:p>
        </w:tc>
      </w:tr>
      <w:tr w:rsidR="00F57B62" w:rsidRPr="00961BAC" w14:paraId="76BFA397"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947B88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Non-binary</w:t>
            </w:r>
          </w:p>
        </w:tc>
        <w:tc>
          <w:tcPr>
            <w:tcW w:w="1611" w:type="dxa"/>
            <w:tcBorders>
              <w:top w:val="nil"/>
              <w:left w:val="nil"/>
              <w:bottom w:val="single" w:sz="4" w:space="0" w:color="auto"/>
              <w:right w:val="single" w:sz="4" w:space="0" w:color="auto"/>
            </w:tcBorders>
            <w:shd w:val="clear" w:color="auto" w:fill="auto"/>
            <w:noWrap/>
            <w:vAlign w:val="center"/>
            <w:hideMark/>
          </w:tcPr>
          <w:p w14:paraId="1F7DE39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12 (0.2)</w:t>
            </w:r>
          </w:p>
        </w:tc>
        <w:tc>
          <w:tcPr>
            <w:tcW w:w="1769" w:type="dxa"/>
            <w:tcBorders>
              <w:top w:val="nil"/>
              <w:left w:val="nil"/>
              <w:bottom w:val="single" w:sz="4" w:space="0" w:color="auto"/>
              <w:right w:val="single" w:sz="4" w:space="0" w:color="auto"/>
            </w:tcBorders>
            <w:shd w:val="clear" w:color="auto" w:fill="auto"/>
            <w:noWrap/>
            <w:vAlign w:val="center"/>
          </w:tcPr>
          <w:p w14:paraId="3B8FD5B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5 (0.2)</w:t>
            </w:r>
          </w:p>
        </w:tc>
        <w:tc>
          <w:tcPr>
            <w:tcW w:w="1960" w:type="dxa"/>
            <w:tcBorders>
              <w:top w:val="nil"/>
              <w:left w:val="nil"/>
              <w:bottom w:val="single" w:sz="4" w:space="0" w:color="auto"/>
              <w:right w:val="single" w:sz="4" w:space="0" w:color="auto"/>
            </w:tcBorders>
            <w:shd w:val="clear" w:color="auto" w:fill="auto"/>
            <w:noWrap/>
            <w:vAlign w:val="center"/>
          </w:tcPr>
          <w:p w14:paraId="1806B57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 (0.4)</w:t>
            </w:r>
          </w:p>
        </w:tc>
        <w:tc>
          <w:tcPr>
            <w:tcW w:w="1941" w:type="dxa"/>
            <w:tcBorders>
              <w:top w:val="nil"/>
              <w:left w:val="nil"/>
              <w:bottom w:val="single" w:sz="4" w:space="0" w:color="auto"/>
              <w:right w:val="single" w:sz="4" w:space="0" w:color="auto"/>
            </w:tcBorders>
            <w:shd w:val="clear" w:color="auto" w:fill="auto"/>
            <w:noWrap/>
            <w:vAlign w:val="center"/>
            <w:hideMark/>
          </w:tcPr>
          <w:p w14:paraId="546D0E0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 (0.3)</w:t>
            </w:r>
          </w:p>
        </w:tc>
      </w:tr>
      <w:tr w:rsidR="00F57B62" w:rsidRPr="00961BAC" w14:paraId="1313E776" w14:textId="77777777" w:rsidTr="00921218">
        <w:trPr>
          <w:trHeight w:val="30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3C687"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Highest educational level</w:t>
            </w:r>
          </w:p>
        </w:tc>
      </w:tr>
      <w:tr w:rsidR="00F57B62" w:rsidRPr="00961BAC" w14:paraId="5C70F1E0"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DA3591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No education</w:t>
            </w:r>
          </w:p>
        </w:tc>
        <w:tc>
          <w:tcPr>
            <w:tcW w:w="1611" w:type="dxa"/>
            <w:tcBorders>
              <w:top w:val="nil"/>
              <w:left w:val="nil"/>
              <w:bottom w:val="single" w:sz="4" w:space="0" w:color="auto"/>
              <w:right w:val="single" w:sz="4" w:space="0" w:color="auto"/>
            </w:tcBorders>
            <w:shd w:val="clear" w:color="auto" w:fill="auto"/>
            <w:noWrap/>
            <w:vAlign w:val="center"/>
            <w:hideMark/>
          </w:tcPr>
          <w:p w14:paraId="7E9E4655"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151 (4.0)</w:t>
            </w:r>
          </w:p>
        </w:tc>
        <w:tc>
          <w:tcPr>
            <w:tcW w:w="1769" w:type="dxa"/>
            <w:tcBorders>
              <w:top w:val="nil"/>
              <w:left w:val="nil"/>
              <w:bottom w:val="single" w:sz="4" w:space="0" w:color="auto"/>
              <w:right w:val="single" w:sz="4" w:space="0" w:color="auto"/>
            </w:tcBorders>
            <w:shd w:val="clear" w:color="auto" w:fill="auto"/>
            <w:noWrap/>
            <w:vAlign w:val="center"/>
          </w:tcPr>
          <w:p w14:paraId="18FD2FE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90 (4.2)</w:t>
            </w:r>
          </w:p>
        </w:tc>
        <w:tc>
          <w:tcPr>
            <w:tcW w:w="1960" w:type="dxa"/>
            <w:tcBorders>
              <w:top w:val="nil"/>
              <w:left w:val="nil"/>
              <w:bottom w:val="single" w:sz="4" w:space="0" w:color="auto"/>
              <w:right w:val="single" w:sz="4" w:space="0" w:color="auto"/>
            </w:tcBorders>
            <w:shd w:val="clear" w:color="auto" w:fill="auto"/>
            <w:noWrap/>
            <w:vAlign w:val="center"/>
          </w:tcPr>
          <w:p w14:paraId="44228E19"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35 (3.7)</w:t>
            </w:r>
          </w:p>
        </w:tc>
        <w:tc>
          <w:tcPr>
            <w:tcW w:w="1941" w:type="dxa"/>
            <w:tcBorders>
              <w:top w:val="nil"/>
              <w:left w:val="nil"/>
              <w:bottom w:val="single" w:sz="4" w:space="0" w:color="auto"/>
              <w:right w:val="single" w:sz="4" w:space="0" w:color="auto"/>
            </w:tcBorders>
            <w:shd w:val="clear" w:color="auto" w:fill="auto"/>
            <w:noWrap/>
            <w:vAlign w:val="center"/>
            <w:hideMark/>
          </w:tcPr>
          <w:p w14:paraId="7CB23A3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 (4.1)</w:t>
            </w:r>
          </w:p>
        </w:tc>
      </w:tr>
      <w:tr w:rsidR="00F57B62" w:rsidRPr="00961BAC" w14:paraId="61AE1D0F"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3FC15B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School leaver (NVQ 1-2)</w:t>
            </w:r>
          </w:p>
        </w:tc>
        <w:tc>
          <w:tcPr>
            <w:tcW w:w="1611" w:type="dxa"/>
            <w:tcBorders>
              <w:top w:val="nil"/>
              <w:left w:val="nil"/>
              <w:bottom w:val="single" w:sz="4" w:space="0" w:color="auto"/>
              <w:right w:val="single" w:sz="4" w:space="0" w:color="auto"/>
            </w:tcBorders>
            <w:shd w:val="clear" w:color="auto" w:fill="auto"/>
            <w:noWrap/>
            <w:vAlign w:val="center"/>
            <w:hideMark/>
          </w:tcPr>
          <w:p w14:paraId="28DAB4B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847 (22.2)</w:t>
            </w:r>
          </w:p>
        </w:tc>
        <w:tc>
          <w:tcPr>
            <w:tcW w:w="1769" w:type="dxa"/>
            <w:tcBorders>
              <w:top w:val="nil"/>
              <w:left w:val="nil"/>
              <w:bottom w:val="single" w:sz="4" w:space="0" w:color="auto"/>
              <w:right w:val="single" w:sz="4" w:space="0" w:color="auto"/>
            </w:tcBorders>
            <w:shd w:val="clear" w:color="auto" w:fill="auto"/>
            <w:noWrap/>
            <w:vAlign w:val="center"/>
          </w:tcPr>
          <w:p w14:paraId="695303F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479 (22.1)</w:t>
            </w:r>
          </w:p>
        </w:tc>
        <w:tc>
          <w:tcPr>
            <w:tcW w:w="1960" w:type="dxa"/>
            <w:tcBorders>
              <w:top w:val="nil"/>
              <w:left w:val="nil"/>
              <w:bottom w:val="single" w:sz="4" w:space="0" w:color="auto"/>
              <w:right w:val="single" w:sz="4" w:space="0" w:color="auto"/>
            </w:tcBorders>
            <w:shd w:val="clear" w:color="auto" w:fill="auto"/>
            <w:noWrap/>
            <w:vAlign w:val="center"/>
          </w:tcPr>
          <w:p w14:paraId="30CC7C9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213 (22.5)</w:t>
            </w:r>
          </w:p>
        </w:tc>
        <w:tc>
          <w:tcPr>
            <w:tcW w:w="1941" w:type="dxa"/>
            <w:tcBorders>
              <w:top w:val="nil"/>
              <w:left w:val="nil"/>
              <w:bottom w:val="single" w:sz="4" w:space="0" w:color="auto"/>
              <w:right w:val="single" w:sz="4" w:space="0" w:color="auto"/>
            </w:tcBorders>
            <w:shd w:val="clear" w:color="auto" w:fill="auto"/>
            <w:noWrap/>
            <w:vAlign w:val="center"/>
            <w:hideMark/>
          </w:tcPr>
          <w:p w14:paraId="2FD38BF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85 (25.1)</w:t>
            </w:r>
          </w:p>
        </w:tc>
      </w:tr>
      <w:tr w:rsidR="00F57B62" w:rsidRPr="00961BAC" w14:paraId="2AAC5F74"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6F9DB27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A-level (NVQ-3)</w:t>
            </w:r>
          </w:p>
        </w:tc>
        <w:tc>
          <w:tcPr>
            <w:tcW w:w="1611" w:type="dxa"/>
            <w:tcBorders>
              <w:top w:val="nil"/>
              <w:left w:val="nil"/>
              <w:bottom w:val="single" w:sz="4" w:space="0" w:color="auto"/>
              <w:right w:val="single" w:sz="4" w:space="0" w:color="auto"/>
            </w:tcBorders>
            <w:shd w:val="clear" w:color="auto" w:fill="auto"/>
            <w:noWrap/>
            <w:vAlign w:val="center"/>
            <w:hideMark/>
          </w:tcPr>
          <w:p w14:paraId="0FD4A6A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816 (21.4)</w:t>
            </w:r>
          </w:p>
        </w:tc>
        <w:tc>
          <w:tcPr>
            <w:tcW w:w="1769" w:type="dxa"/>
            <w:tcBorders>
              <w:top w:val="nil"/>
              <w:left w:val="nil"/>
              <w:bottom w:val="single" w:sz="4" w:space="0" w:color="auto"/>
              <w:right w:val="single" w:sz="4" w:space="0" w:color="auto"/>
            </w:tcBorders>
            <w:shd w:val="clear" w:color="auto" w:fill="auto"/>
            <w:noWrap/>
            <w:vAlign w:val="center"/>
          </w:tcPr>
          <w:p w14:paraId="6C08F38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480 (22.1)</w:t>
            </w:r>
          </w:p>
        </w:tc>
        <w:tc>
          <w:tcPr>
            <w:tcW w:w="1960" w:type="dxa"/>
            <w:tcBorders>
              <w:top w:val="nil"/>
              <w:left w:val="nil"/>
              <w:bottom w:val="single" w:sz="4" w:space="0" w:color="auto"/>
              <w:right w:val="single" w:sz="4" w:space="0" w:color="auto"/>
            </w:tcBorders>
            <w:shd w:val="clear" w:color="auto" w:fill="auto"/>
            <w:noWrap/>
            <w:vAlign w:val="center"/>
          </w:tcPr>
          <w:p w14:paraId="2E72A29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179 (18.9)</w:t>
            </w:r>
          </w:p>
        </w:tc>
        <w:tc>
          <w:tcPr>
            <w:tcW w:w="1941" w:type="dxa"/>
            <w:tcBorders>
              <w:top w:val="nil"/>
              <w:left w:val="nil"/>
              <w:bottom w:val="single" w:sz="4" w:space="0" w:color="auto"/>
              <w:right w:val="single" w:sz="4" w:space="0" w:color="auto"/>
            </w:tcBorders>
            <w:shd w:val="clear" w:color="auto" w:fill="auto"/>
            <w:noWrap/>
            <w:vAlign w:val="center"/>
            <w:hideMark/>
          </w:tcPr>
          <w:p w14:paraId="7ED41EBE"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82 (24.2)</w:t>
            </w:r>
          </w:p>
        </w:tc>
      </w:tr>
      <w:tr w:rsidR="00F57B62" w:rsidRPr="00961BAC" w14:paraId="17343B30"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31D6A58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Degree (NVQ-4)</w:t>
            </w:r>
          </w:p>
        </w:tc>
        <w:tc>
          <w:tcPr>
            <w:tcW w:w="1611" w:type="dxa"/>
            <w:tcBorders>
              <w:top w:val="nil"/>
              <w:left w:val="nil"/>
              <w:bottom w:val="single" w:sz="4" w:space="0" w:color="auto"/>
              <w:right w:val="single" w:sz="4" w:space="0" w:color="auto"/>
            </w:tcBorders>
            <w:shd w:val="clear" w:color="auto" w:fill="auto"/>
            <w:noWrap/>
            <w:vAlign w:val="center"/>
            <w:hideMark/>
          </w:tcPr>
          <w:p w14:paraId="129820D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771 (20.2)</w:t>
            </w:r>
          </w:p>
        </w:tc>
        <w:tc>
          <w:tcPr>
            <w:tcW w:w="1769" w:type="dxa"/>
            <w:tcBorders>
              <w:top w:val="nil"/>
              <w:left w:val="nil"/>
              <w:bottom w:val="single" w:sz="4" w:space="0" w:color="auto"/>
              <w:right w:val="single" w:sz="4" w:space="0" w:color="auto"/>
            </w:tcBorders>
            <w:shd w:val="clear" w:color="auto" w:fill="auto"/>
            <w:noWrap/>
            <w:vAlign w:val="center"/>
          </w:tcPr>
          <w:p w14:paraId="71302C1F"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414 (19.1)</w:t>
            </w:r>
          </w:p>
        </w:tc>
        <w:tc>
          <w:tcPr>
            <w:tcW w:w="1960" w:type="dxa"/>
            <w:tcBorders>
              <w:top w:val="nil"/>
              <w:left w:val="nil"/>
              <w:bottom w:val="single" w:sz="4" w:space="0" w:color="auto"/>
              <w:right w:val="single" w:sz="4" w:space="0" w:color="auto"/>
            </w:tcBorders>
            <w:shd w:val="clear" w:color="auto" w:fill="auto"/>
            <w:noWrap/>
            <w:vAlign w:val="center"/>
          </w:tcPr>
          <w:p w14:paraId="6019898F"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206 (21.8)</w:t>
            </w:r>
          </w:p>
        </w:tc>
        <w:tc>
          <w:tcPr>
            <w:tcW w:w="1941" w:type="dxa"/>
            <w:tcBorders>
              <w:top w:val="nil"/>
              <w:left w:val="nil"/>
              <w:bottom w:val="single" w:sz="4" w:space="0" w:color="auto"/>
              <w:right w:val="single" w:sz="4" w:space="0" w:color="auto"/>
            </w:tcBorders>
            <w:shd w:val="clear" w:color="auto" w:fill="auto"/>
            <w:noWrap/>
            <w:vAlign w:val="center"/>
            <w:hideMark/>
          </w:tcPr>
          <w:p w14:paraId="4EBF2D2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62 (18.3)</w:t>
            </w:r>
          </w:p>
        </w:tc>
      </w:tr>
      <w:tr w:rsidR="00F57B62" w:rsidRPr="00961BAC" w14:paraId="2E025EC2"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49CF6A3E"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Postgraduate degree (NVQ-5)</w:t>
            </w:r>
          </w:p>
        </w:tc>
        <w:tc>
          <w:tcPr>
            <w:tcW w:w="1611" w:type="dxa"/>
            <w:tcBorders>
              <w:top w:val="nil"/>
              <w:left w:val="nil"/>
              <w:bottom w:val="single" w:sz="4" w:space="0" w:color="auto"/>
              <w:right w:val="single" w:sz="4" w:space="0" w:color="auto"/>
            </w:tcBorders>
            <w:shd w:val="clear" w:color="auto" w:fill="auto"/>
            <w:noWrap/>
            <w:vAlign w:val="center"/>
            <w:hideMark/>
          </w:tcPr>
          <w:p w14:paraId="352BA32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1230 (32.2)</w:t>
            </w:r>
          </w:p>
        </w:tc>
        <w:tc>
          <w:tcPr>
            <w:tcW w:w="1769" w:type="dxa"/>
            <w:tcBorders>
              <w:top w:val="nil"/>
              <w:left w:val="nil"/>
              <w:bottom w:val="single" w:sz="4" w:space="0" w:color="auto"/>
              <w:right w:val="single" w:sz="4" w:space="0" w:color="auto"/>
            </w:tcBorders>
            <w:shd w:val="clear" w:color="auto" w:fill="auto"/>
            <w:noWrap/>
            <w:vAlign w:val="center"/>
          </w:tcPr>
          <w:p w14:paraId="661E750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701 (32.4)</w:t>
            </w:r>
          </w:p>
        </w:tc>
        <w:tc>
          <w:tcPr>
            <w:tcW w:w="1960" w:type="dxa"/>
            <w:tcBorders>
              <w:top w:val="nil"/>
              <w:left w:val="nil"/>
              <w:bottom w:val="single" w:sz="4" w:space="0" w:color="auto"/>
              <w:right w:val="single" w:sz="4" w:space="0" w:color="auto"/>
            </w:tcBorders>
            <w:shd w:val="clear" w:color="auto" w:fill="auto"/>
            <w:noWrap/>
            <w:vAlign w:val="center"/>
          </w:tcPr>
          <w:p w14:paraId="397C0B9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313 (33.1)</w:t>
            </w:r>
          </w:p>
        </w:tc>
        <w:tc>
          <w:tcPr>
            <w:tcW w:w="1941" w:type="dxa"/>
            <w:tcBorders>
              <w:top w:val="nil"/>
              <w:left w:val="nil"/>
              <w:bottom w:val="single" w:sz="4" w:space="0" w:color="auto"/>
              <w:right w:val="single" w:sz="4" w:space="0" w:color="auto"/>
            </w:tcBorders>
            <w:shd w:val="clear" w:color="auto" w:fill="auto"/>
            <w:noWrap/>
            <w:vAlign w:val="center"/>
            <w:hideMark/>
          </w:tcPr>
          <w:p w14:paraId="66D5AAB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96 (28.3)</w:t>
            </w:r>
          </w:p>
        </w:tc>
      </w:tr>
      <w:tr w:rsidR="00F57B62" w:rsidRPr="00961BAC" w14:paraId="470CDAB8"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2BFA0820" w14:textId="054DAF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Missing</w:t>
            </w:r>
          </w:p>
        </w:tc>
        <w:tc>
          <w:tcPr>
            <w:tcW w:w="1611" w:type="dxa"/>
            <w:tcBorders>
              <w:top w:val="nil"/>
              <w:left w:val="nil"/>
              <w:bottom w:val="single" w:sz="4" w:space="0" w:color="auto"/>
              <w:right w:val="single" w:sz="4" w:space="0" w:color="auto"/>
            </w:tcBorders>
            <w:shd w:val="clear" w:color="auto" w:fill="auto"/>
            <w:noWrap/>
            <w:vAlign w:val="center"/>
            <w:hideMark/>
          </w:tcPr>
          <w:p w14:paraId="321690B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272</w:t>
            </w:r>
          </w:p>
        </w:tc>
        <w:tc>
          <w:tcPr>
            <w:tcW w:w="1769" w:type="dxa"/>
            <w:tcBorders>
              <w:top w:val="nil"/>
              <w:left w:val="nil"/>
              <w:bottom w:val="single" w:sz="4" w:space="0" w:color="auto"/>
              <w:right w:val="single" w:sz="4" w:space="0" w:color="auto"/>
            </w:tcBorders>
            <w:shd w:val="clear" w:color="auto" w:fill="auto"/>
            <w:noWrap/>
            <w:vAlign w:val="center"/>
          </w:tcPr>
          <w:p w14:paraId="26B97A5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64</w:t>
            </w:r>
          </w:p>
        </w:tc>
        <w:tc>
          <w:tcPr>
            <w:tcW w:w="1960" w:type="dxa"/>
            <w:tcBorders>
              <w:top w:val="nil"/>
              <w:left w:val="nil"/>
              <w:bottom w:val="single" w:sz="4" w:space="0" w:color="auto"/>
              <w:right w:val="single" w:sz="4" w:space="0" w:color="auto"/>
            </w:tcBorders>
            <w:shd w:val="clear" w:color="auto" w:fill="auto"/>
            <w:noWrap/>
            <w:vAlign w:val="center"/>
          </w:tcPr>
          <w:p w14:paraId="3497439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w:t>
            </w:r>
          </w:p>
        </w:tc>
        <w:tc>
          <w:tcPr>
            <w:tcW w:w="1941" w:type="dxa"/>
            <w:tcBorders>
              <w:top w:val="nil"/>
              <w:left w:val="nil"/>
              <w:bottom w:val="single" w:sz="4" w:space="0" w:color="auto"/>
              <w:right w:val="single" w:sz="4" w:space="0" w:color="auto"/>
            </w:tcBorders>
            <w:shd w:val="clear" w:color="auto" w:fill="auto"/>
            <w:noWrap/>
            <w:vAlign w:val="center"/>
            <w:hideMark/>
          </w:tcPr>
          <w:p w14:paraId="2A096FA5"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w:t>
            </w:r>
          </w:p>
        </w:tc>
      </w:tr>
      <w:tr w:rsidR="00F57B62" w:rsidRPr="00961BAC" w14:paraId="6246CF82" w14:textId="77777777" w:rsidTr="00921218">
        <w:trPr>
          <w:trHeight w:val="30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F8D2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Ethnicity</w:t>
            </w:r>
          </w:p>
        </w:tc>
      </w:tr>
      <w:tr w:rsidR="00F57B62" w:rsidRPr="00961BAC" w14:paraId="20FC22D5"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1938CD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White</w:t>
            </w:r>
          </w:p>
        </w:tc>
        <w:tc>
          <w:tcPr>
            <w:tcW w:w="1611" w:type="dxa"/>
            <w:tcBorders>
              <w:top w:val="nil"/>
              <w:left w:val="nil"/>
              <w:bottom w:val="single" w:sz="4" w:space="0" w:color="auto"/>
              <w:right w:val="single" w:sz="4" w:space="0" w:color="auto"/>
            </w:tcBorders>
            <w:shd w:val="clear" w:color="auto" w:fill="auto"/>
            <w:noWrap/>
            <w:vAlign w:val="center"/>
            <w:hideMark/>
          </w:tcPr>
          <w:p w14:paraId="248FBD9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3365 (88.8)</w:t>
            </w:r>
          </w:p>
        </w:tc>
        <w:tc>
          <w:tcPr>
            <w:tcW w:w="1769" w:type="dxa"/>
            <w:tcBorders>
              <w:top w:val="nil"/>
              <w:left w:val="nil"/>
              <w:bottom w:val="single" w:sz="4" w:space="0" w:color="auto"/>
              <w:right w:val="single" w:sz="4" w:space="0" w:color="auto"/>
            </w:tcBorders>
            <w:shd w:val="clear" w:color="auto" w:fill="auto"/>
            <w:noWrap/>
            <w:vAlign w:val="center"/>
          </w:tcPr>
          <w:p w14:paraId="3968683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1898 (88.4)</w:t>
            </w:r>
          </w:p>
        </w:tc>
        <w:tc>
          <w:tcPr>
            <w:tcW w:w="1960" w:type="dxa"/>
            <w:tcBorders>
              <w:top w:val="nil"/>
              <w:left w:val="nil"/>
              <w:bottom w:val="single" w:sz="4" w:space="0" w:color="auto"/>
              <w:right w:val="single" w:sz="4" w:space="0" w:color="auto"/>
            </w:tcBorders>
            <w:shd w:val="clear" w:color="auto" w:fill="auto"/>
            <w:noWrap/>
            <w:vAlign w:val="center"/>
          </w:tcPr>
          <w:p w14:paraId="757338E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846 (89.7)</w:t>
            </w:r>
          </w:p>
        </w:tc>
        <w:tc>
          <w:tcPr>
            <w:tcW w:w="1941" w:type="dxa"/>
            <w:tcBorders>
              <w:top w:val="nil"/>
              <w:left w:val="nil"/>
              <w:bottom w:val="single" w:sz="4" w:space="0" w:color="auto"/>
              <w:right w:val="single" w:sz="4" w:space="0" w:color="auto"/>
            </w:tcBorders>
            <w:shd w:val="clear" w:color="auto" w:fill="auto"/>
            <w:noWrap/>
            <w:vAlign w:val="center"/>
            <w:hideMark/>
          </w:tcPr>
          <w:p w14:paraId="605B133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313 (92.9)</w:t>
            </w:r>
          </w:p>
        </w:tc>
      </w:tr>
      <w:tr w:rsidR="00F57B62" w:rsidRPr="00961BAC" w14:paraId="18B0C545"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3D10BA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Non-white</w:t>
            </w:r>
          </w:p>
        </w:tc>
        <w:tc>
          <w:tcPr>
            <w:tcW w:w="1611" w:type="dxa"/>
            <w:tcBorders>
              <w:top w:val="nil"/>
              <w:left w:val="nil"/>
              <w:bottom w:val="single" w:sz="4" w:space="0" w:color="auto"/>
              <w:right w:val="single" w:sz="4" w:space="0" w:color="auto"/>
            </w:tcBorders>
            <w:shd w:val="clear" w:color="auto" w:fill="auto"/>
            <w:noWrap/>
            <w:vAlign w:val="center"/>
            <w:hideMark/>
          </w:tcPr>
          <w:p w14:paraId="05B93AC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426 (11.2)</w:t>
            </w:r>
          </w:p>
        </w:tc>
        <w:tc>
          <w:tcPr>
            <w:tcW w:w="1769" w:type="dxa"/>
            <w:tcBorders>
              <w:top w:val="nil"/>
              <w:left w:val="nil"/>
              <w:bottom w:val="single" w:sz="4" w:space="0" w:color="auto"/>
              <w:right w:val="single" w:sz="4" w:space="0" w:color="auto"/>
            </w:tcBorders>
            <w:shd w:val="clear" w:color="auto" w:fill="auto"/>
            <w:noWrap/>
            <w:vAlign w:val="center"/>
          </w:tcPr>
          <w:p w14:paraId="2E10726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249 (11.6)</w:t>
            </w:r>
          </w:p>
        </w:tc>
        <w:tc>
          <w:tcPr>
            <w:tcW w:w="1960" w:type="dxa"/>
            <w:tcBorders>
              <w:top w:val="nil"/>
              <w:left w:val="nil"/>
              <w:bottom w:val="single" w:sz="4" w:space="0" w:color="auto"/>
              <w:right w:val="single" w:sz="4" w:space="0" w:color="auto"/>
            </w:tcBorders>
            <w:shd w:val="clear" w:color="auto" w:fill="auto"/>
            <w:noWrap/>
            <w:vAlign w:val="center"/>
          </w:tcPr>
          <w:p w14:paraId="4800D2C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97 (10.3)</w:t>
            </w:r>
          </w:p>
        </w:tc>
        <w:tc>
          <w:tcPr>
            <w:tcW w:w="1941" w:type="dxa"/>
            <w:tcBorders>
              <w:top w:val="nil"/>
              <w:left w:val="nil"/>
              <w:bottom w:val="single" w:sz="4" w:space="0" w:color="auto"/>
              <w:right w:val="single" w:sz="4" w:space="0" w:color="auto"/>
            </w:tcBorders>
            <w:shd w:val="clear" w:color="auto" w:fill="auto"/>
            <w:noWrap/>
            <w:vAlign w:val="center"/>
            <w:hideMark/>
          </w:tcPr>
          <w:p w14:paraId="62A2C01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24 (7.1)</w:t>
            </w:r>
          </w:p>
        </w:tc>
      </w:tr>
      <w:tr w:rsidR="00F57B62" w:rsidRPr="00961BAC" w14:paraId="571CD6A3"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508CAC66" w14:textId="3224A87A"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Missing</w:t>
            </w:r>
          </w:p>
        </w:tc>
        <w:tc>
          <w:tcPr>
            <w:tcW w:w="1611" w:type="dxa"/>
            <w:tcBorders>
              <w:top w:val="nil"/>
              <w:left w:val="nil"/>
              <w:bottom w:val="single" w:sz="4" w:space="0" w:color="auto"/>
              <w:right w:val="single" w:sz="4" w:space="0" w:color="auto"/>
            </w:tcBorders>
            <w:shd w:val="clear" w:color="auto" w:fill="auto"/>
            <w:noWrap/>
            <w:vAlign w:val="center"/>
            <w:hideMark/>
          </w:tcPr>
          <w:p w14:paraId="3FBEB81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990</w:t>
            </w:r>
          </w:p>
        </w:tc>
        <w:tc>
          <w:tcPr>
            <w:tcW w:w="1769" w:type="dxa"/>
            <w:tcBorders>
              <w:top w:val="nil"/>
              <w:left w:val="nil"/>
              <w:bottom w:val="single" w:sz="4" w:space="0" w:color="auto"/>
              <w:right w:val="single" w:sz="4" w:space="0" w:color="auto"/>
            </w:tcBorders>
            <w:shd w:val="clear" w:color="auto" w:fill="auto"/>
            <w:noWrap/>
            <w:vAlign w:val="center"/>
          </w:tcPr>
          <w:p w14:paraId="12A85D6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81</w:t>
            </w:r>
          </w:p>
        </w:tc>
        <w:tc>
          <w:tcPr>
            <w:tcW w:w="1960" w:type="dxa"/>
            <w:tcBorders>
              <w:top w:val="nil"/>
              <w:left w:val="nil"/>
              <w:bottom w:val="single" w:sz="4" w:space="0" w:color="auto"/>
              <w:right w:val="single" w:sz="4" w:space="0" w:color="auto"/>
            </w:tcBorders>
            <w:shd w:val="clear" w:color="auto" w:fill="auto"/>
            <w:noWrap/>
            <w:vAlign w:val="center"/>
          </w:tcPr>
          <w:p w14:paraId="60145AF0"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w:t>
            </w:r>
          </w:p>
        </w:tc>
        <w:tc>
          <w:tcPr>
            <w:tcW w:w="1941" w:type="dxa"/>
            <w:tcBorders>
              <w:top w:val="nil"/>
              <w:left w:val="nil"/>
              <w:bottom w:val="single" w:sz="4" w:space="0" w:color="auto"/>
              <w:right w:val="single" w:sz="4" w:space="0" w:color="auto"/>
            </w:tcBorders>
            <w:shd w:val="clear" w:color="auto" w:fill="auto"/>
            <w:noWrap/>
            <w:vAlign w:val="center"/>
            <w:hideMark/>
          </w:tcPr>
          <w:p w14:paraId="07F18235"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w:t>
            </w:r>
          </w:p>
        </w:tc>
      </w:tr>
      <w:tr w:rsidR="00F57B62" w:rsidRPr="00961BAC" w14:paraId="5ABFD081" w14:textId="77777777" w:rsidTr="00921218">
        <w:trPr>
          <w:trHeight w:val="300"/>
          <w:jc w:val="center"/>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30B9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IMD quintile</w:t>
            </w:r>
          </w:p>
        </w:tc>
      </w:tr>
      <w:tr w:rsidR="00F57B62" w:rsidRPr="00961BAC" w14:paraId="5FF2ADDD"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BAED75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 to 2 (20% most deprived)</w:t>
            </w:r>
          </w:p>
        </w:tc>
        <w:tc>
          <w:tcPr>
            <w:tcW w:w="1611" w:type="dxa"/>
            <w:tcBorders>
              <w:top w:val="nil"/>
              <w:left w:val="nil"/>
              <w:bottom w:val="single" w:sz="4" w:space="0" w:color="auto"/>
              <w:right w:val="single" w:sz="4" w:space="0" w:color="auto"/>
            </w:tcBorders>
            <w:shd w:val="clear" w:color="auto" w:fill="auto"/>
            <w:noWrap/>
            <w:vAlign w:val="center"/>
            <w:hideMark/>
          </w:tcPr>
          <w:p w14:paraId="4D88868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385 (10.2)</w:t>
            </w:r>
          </w:p>
        </w:tc>
        <w:tc>
          <w:tcPr>
            <w:tcW w:w="1769" w:type="dxa"/>
            <w:tcBorders>
              <w:top w:val="nil"/>
              <w:left w:val="nil"/>
              <w:bottom w:val="single" w:sz="4" w:space="0" w:color="auto"/>
              <w:right w:val="single" w:sz="4" w:space="0" w:color="auto"/>
            </w:tcBorders>
            <w:shd w:val="clear" w:color="auto" w:fill="auto"/>
            <w:noWrap/>
            <w:vAlign w:val="center"/>
          </w:tcPr>
          <w:p w14:paraId="099D423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210 (9.8)</w:t>
            </w:r>
          </w:p>
        </w:tc>
        <w:tc>
          <w:tcPr>
            <w:tcW w:w="1960" w:type="dxa"/>
            <w:tcBorders>
              <w:top w:val="nil"/>
              <w:left w:val="nil"/>
              <w:bottom w:val="single" w:sz="4" w:space="0" w:color="auto"/>
              <w:right w:val="single" w:sz="4" w:space="0" w:color="auto"/>
            </w:tcBorders>
            <w:shd w:val="clear" w:color="auto" w:fill="auto"/>
            <w:noWrap/>
            <w:vAlign w:val="center"/>
          </w:tcPr>
          <w:p w14:paraId="7102A7D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114 (12.2)</w:t>
            </w:r>
          </w:p>
        </w:tc>
        <w:tc>
          <w:tcPr>
            <w:tcW w:w="1941" w:type="dxa"/>
            <w:tcBorders>
              <w:top w:val="nil"/>
              <w:left w:val="nil"/>
              <w:bottom w:val="single" w:sz="4" w:space="0" w:color="auto"/>
              <w:right w:val="single" w:sz="4" w:space="0" w:color="auto"/>
            </w:tcBorders>
            <w:shd w:val="clear" w:color="auto" w:fill="auto"/>
            <w:noWrap/>
            <w:vAlign w:val="center"/>
            <w:hideMark/>
          </w:tcPr>
          <w:p w14:paraId="0DED340E"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33 (9.9)</w:t>
            </w:r>
          </w:p>
        </w:tc>
      </w:tr>
      <w:tr w:rsidR="00F57B62" w:rsidRPr="00961BAC" w14:paraId="692C90F3"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C04DAA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 to 4</w:t>
            </w:r>
          </w:p>
        </w:tc>
        <w:tc>
          <w:tcPr>
            <w:tcW w:w="1611" w:type="dxa"/>
            <w:tcBorders>
              <w:top w:val="nil"/>
              <w:left w:val="nil"/>
              <w:bottom w:val="single" w:sz="4" w:space="0" w:color="auto"/>
              <w:right w:val="single" w:sz="4" w:space="0" w:color="auto"/>
            </w:tcBorders>
            <w:shd w:val="clear" w:color="auto" w:fill="auto"/>
            <w:noWrap/>
            <w:vAlign w:val="center"/>
            <w:hideMark/>
          </w:tcPr>
          <w:p w14:paraId="614499DF"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748 (19.8)</w:t>
            </w:r>
          </w:p>
        </w:tc>
        <w:tc>
          <w:tcPr>
            <w:tcW w:w="1769" w:type="dxa"/>
            <w:tcBorders>
              <w:top w:val="nil"/>
              <w:left w:val="nil"/>
              <w:bottom w:val="single" w:sz="4" w:space="0" w:color="auto"/>
              <w:right w:val="single" w:sz="4" w:space="0" w:color="auto"/>
            </w:tcBorders>
            <w:shd w:val="clear" w:color="auto" w:fill="auto"/>
            <w:noWrap/>
            <w:vAlign w:val="center"/>
          </w:tcPr>
          <w:p w14:paraId="1FCFE73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425 (19.9)</w:t>
            </w:r>
          </w:p>
        </w:tc>
        <w:tc>
          <w:tcPr>
            <w:tcW w:w="1960" w:type="dxa"/>
            <w:tcBorders>
              <w:top w:val="nil"/>
              <w:left w:val="nil"/>
              <w:bottom w:val="single" w:sz="4" w:space="0" w:color="auto"/>
              <w:right w:val="single" w:sz="4" w:space="0" w:color="auto"/>
            </w:tcBorders>
            <w:shd w:val="clear" w:color="auto" w:fill="auto"/>
            <w:noWrap/>
            <w:vAlign w:val="center"/>
          </w:tcPr>
          <w:p w14:paraId="05E4FAD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181 (19.4)</w:t>
            </w:r>
          </w:p>
        </w:tc>
        <w:tc>
          <w:tcPr>
            <w:tcW w:w="1941" w:type="dxa"/>
            <w:tcBorders>
              <w:top w:val="nil"/>
              <w:left w:val="nil"/>
              <w:bottom w:val="single" w:sz="4" w:space="0" w:color="auto"/>
              <w:right w:val="single" w:sz="4" w:space="0" w:color="auto"/>
            </w:tcBorders>
            <w:shd w:val="clear" w:color="auto" w:fill="auto"/>
            <w:noWrap/>
            <w:vAlign w:val="center"/>
            <w:hideMark/>
          </w:tcPr>
          <w:p w14:paraId="3C782B9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67 (20.1)</w:t>
            </w:r>
          </w:p>
        </w:tc>
      </w:tr>
      <w:tr w:rsidR="00F57B62" w:rsidRPr="00961BAC" w14:paraId="58A750BE"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6DC19F5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5 to 6</w:t>
            </w:r>
          </w:p>
        </w:tc>
        <w:tc>
          <w:tcPr>
            <w:tcW w:w="1611" w:type="dxa"/>
            <w:tcBorders>
              <w:top w:val="nil"/>
              <w:left w:val="nil"/>
              <w:bottom w:val="single" w:sz="4" w:space="0" w:color="auto"/>
              <w:right w:val="single" w:sz="4" w:space="0" w:color="auto"/>
            </w:tcBorders>
            <w:shd w:val="clear" w:color="auto" w:fill="auto"/>
            <w:noWrap/>
            <w:vAlign w:val="center"/>
            <w:hideMark/>
          </w:tcPr>
          <w:p w14:paraId="380B412C"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875 (23.2)</w:t>
            </w:r>
          </w:p>
        </w:tc>
        <w:tc>
          <w:tcPr>
            <w:tcW w:w="1769" w:type="dxa"/>
            <w:tcBorders>
              <w:top w:val="nil"/>
              <w:left w:val="nil"/>
              <w:bottom w:val="single" w:sz="4" w:space="0" w:color="auto"/>
              <w:right w:val="single" w:sz="4" w:space="0" w:color="auto"/>
            </w:tcBorders>
            <w:shd w:val="clear" w:color="auto" w:fill="auto"/>
            <w:noWrap/>
            <w:vAlign w:val="center"/>
          </w:tcPr>
          <w:p w14:paraId="22D00A0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488 (22.9)</w:t>
            </w:r>
          </w:p>
        </w:tc>
        <w:tc>
          <w:tcPr>
            <w:tcW w:w="1960" w:type="dxa"/>
            <w:tcBorders>
              <w:top w:val="nil"/>
              <w:left w:val="nil"/>
              <w:bottom w:val="single" w:sz="4" w:space="0" w:color="auto"/>
              <w:right w:val="single" w:sz="4" w:space="0" w:color="auto"/>
            </w:tcBorders>
            <w:shd w:val="clear" w:color="auto" w:fill="auto"/>
            <w:noWrap/>
            <w:vAlign w:val="center"/>
          </w:tcPr>
          <w:p w14:paraId="221D8E9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206 (22.0)</w:t>
            </w:r>
          </w:p>
        </w:tc>
        <w:tc>
          <w:tcPr>
            <w:tcW w:w="1941" w:type="dxa"/>
            <w:tcBorders>
              <w:top w:val="nil"/>
              <w:left w:val="nil"/>
              <w:bottom w:val="single" w:sz="4" w:space="0" w:color="auto"/>
              <w:right w:val="single" w:sz="4" w:space="0" w:color="auto"/>
            </w:tcBorders>
            <w:shd w:val="clear" w:color="auto" w:fill="auto"/>
            <w:noWrap/>
            <w:vAlign w:val="center"/>
            <w:hideMark/>
          </w:tcPr>
          <w:p w14:paraId="62F47E8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90 (27.0)</w:t>
            </w:r>
          </w:p>
        </w:tc>
      </w:tr>
      <w:tr w:rsidR="00F57B62" w:rsidRPr="00961BAC" w14:paraId="6A27252A"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25D17659"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 to 8</w:t>
            </w:r>
          </w:p>
        </w:tc>
        <w:tc>
          <w:tcPr>
            <w:tcW w:w="1611" w:type="dxa"/>
            <w:tcBorders>
              <w:top w:val="nil"/>
              <w:left w:val="nil"/>
              <w:bottom w:val="single" w:sz="4" w:space="0" w:color="auto"/>
              <w:right w:val="single" w:sz="4" w:space="0" w:color="auto"/>
            </w:tcBorders>
            <w:shd w:val="clear" w:color="auto" w:fill="auto"/>
            <w:noWrap/>
            <w:vAlign w:val="center"/>
            <w:hideMark/>
          </w:tcPr>
          <w:p w14:paraId="6FB5E854"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844 (22.4)</w:t>
            </w:r>
          </w:p>
        </w:tc>
        <w:tc>
          <w:tcPr>
            <w:tcW w:w="1769" w:type="dxa"/>
            <w:tcBorders>
              <w:top w:val="nil"/>
              <w:left w:val="nil"/>
              <w:bottom w:val="single" w:sz="4" w:space="0" w:color="auto"/>
              <w:right w:val="single" w:sz="4" w:space="0" w:color="auto"/>
            </w:tcBorders>
            <w:shd w:val="clear" w:color="auto" w:fill="auto"/>
            <w:noWrap/>
            <w:vAlign w:val="center"/>
          </w:tcPr>
          <w:p w14:paraId="309EE0F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489 (22.9)</w:t>
            </w:r>
          </w:p>
        </w:tc>
        <w:tc>
          <w:tcPr>
            <w:tcW w:w="1960" w:type="dxa"/>
            <w:tcBorders>
              <w:top w:val="nil"/>
              <w:left w:val="nil"/>
              <w:bottom w:val="single" w:sz="4" w:space="0" w:color="auto"/>
              <w:right w:val="single" w:sz="4" w:space="0" w:color="auto"/>
            </w:tcBorders>
            <w:shd w:val="clear" w:color="auto" w:fill="auto"/>
            <w:noWrap/>
            <w:vAlign w:val="center"/>
          </w:tcPr>
          <w:p w14:paraId="5A2946B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199 (21.3)</w:t>
            </w:r>
          </w:p>
        </w:tc>
        <w:tc>
          <w:tcPr>
            <w:tcW w:w="1941" w:type="dxa"/>
            <w:tcBorders>
              <w:top w:val="nil"/>
              <w:left w:val="nil"/>
              <w:bottom w:val="single" w:sz="4" w:space="0" w:color="auto"/>
              <w:right w:val="single" w:sz="4" w:space="0" w:color="auto"/>
            </w:tcBorders>
            <w:shd w:val="clear" w:color="auto" w:fill="auto"/>
            <w:noWrap/>
            <w:vAlign w:val="center"/>
            <w:hideMark/>
          </w:tcPr>
          <w:p w14:paraId="7C8A8BEE"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75 (22.5)</w:t>
            </w:r>
          </w:p>
        </w:tc>
      </w:tr>
      <w:tr w:rsidR="00F57B62" w:rsidRPr="00961BAC" w14:paraId="6EF9D3B5"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7AC9B84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 to 10 (20% least deprived)</w:t>
            </w:r>
          </w:p>
        </w:tc>
        <w:tc>
          <w:tcPr>
            <w:tcW w:w="1611" w:type="dxa"/>
            <w:tcBorders>
              <w:top w:val="nil"/>
              <w:left w:val="nil"/>
              <w:bottom w:val="single" w:sz="4" w:space="0" w:color="auto"/>
              <w:right w:val="single" w:sz="4" w:space="0" w:color="auto"/>
            </w:tcBorders>
            <w:shd w:val="clear" w:color="auto" w:fill="auto"/>
            <w:noWrap/>
            <w:vAlign w:val="center"/>
            <w:hideMark/>
          </w:tcPr>
          <w:p w14:paraId="27AED3C8"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919 (24.4)</w:t>
            </w:r>
          </w:p>
        </w:tc>
        <w:tc>
          <w:tcPr>
            <w:tcW w:w="1769" w:type="dxa"/>
            <w:tcBorders>
              <w:top w:val="nil"/>
              <w:left w:val="nil"/>
              <w:bottom w:val="single" w:sz="4" w:space="0" w:color="auto"/>
              <w:right w:val="single" w:sz="4" w:space="0" w:color="auto"/>
            </w:tcBorders>
            <w:shd w:val="clear" w:color="auto" w:fill="auto"/>
            <w:noWrap/>
            <w:vAlign w:val="center"/>
          </w:tcPr>
          <w:p w14:paraId="78FF79CB"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523 (24.5)</w:t>
            </w:r>
          </w:p>
        </w:tc>
        <w:tc>
          <w:tcPr>
            <w:tcW w:w="1960" w:type="dxa"/>
            <w:tcBorders>
              <w:top w:val="nil"/>
              <w:left w:val="nil"/>
              <w:bottom w:val="single" w:sz="4" w:space="0" w:color="auto"/>
              <w:right w:val="single" w:sz="4" w:space="0" w:color="auto"/>
            </w:tcBorders>
            <w:shd w:val="clear" w:color="auto" w:fill="auto"/>
            <w:noWrap/>
            <w:vAlign w:val="center"/>
          </w:tcPr>
          <w:p w14:paraId="7BF04E4A"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235 (25.1)</w:t>
            </w:r>
          </w:p>
        </w:tc>
        <w:tc>
          <w:tcPr>
            <w:tcW w:w="1941" w:type="dxa"/>
            <w:tcBorders>
              <w:top w:val="nil"/>
              <w:left w:val="nil"/>
              <w:bottom w:val="single" w:sz="4" w:space="0" w:color="auto"/>
              <w:right w:val="single" w:sz="4" w:space="0" w:color="auto"/>
            </w:tcBorders>
            <w:shd w:val="clear" w:color="auto" w:fill="auto"/>
            <w:noWrap/>
            <w:vAlign w:val="center"/>
            <w:hideMark/>
          </w:tcPr>
          <w:p w14:paraId="4CF85C4D"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68 (20.4)</w:t>
            </w:r>
          </w:p>
        </w:tc>
      </w:tr>
      <w:tr w:rsidR="00F57B62" w:rsidRPr="00961BAC" w14:paraId="27AF539A" w14:textId="77777777" w:rsidTr="00D62EB9">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14:paraId="013BA983" w14:textId="07CB6FCA"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Missing</w:t>
            </w:r>
          </w:p>
        </w:tc>
        <w:tc>
          <w:tcPr>
            <w:tcW w:w="1611" w:type="dxa"/>
            <w:tcBorders>
              <w:top w:val="nil"/>
              <w:left w:val="nil"/>
              <w:bottom w:val="single" w:sz="4" w:space="0" w:color="auto"/>
              <w:right w:val="single" w:sz="4" w:space="0" w:color="auto"/>
            </w:tcBorders>
            <w:shd w:val="clear" w:color="auto" w:fill="auto"/>
            <w:noWrap/>
            <w:vAlign w:val="center"/>
            <w:hideMark/>
          </w:tcPr>
          <w:p w14:paraId="68E2C9A6"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316</w:t>
            </w:r>
          </w:p>
        </w:tc>
        <w:tc>
          <w:tcPr>
            <w:tcW w:w="1769" w:type="dxa"/>
            <w:tcBorders>
              <w:top w:val="nil"/>
              <w:left w:val="nil"/>
              <w:bottom w:val="single" w:sz="4" w:space="0" w:color="auto"/>
              <w:right w:val="single" w:sz="4" w:space="0" w:color="auto"/>
            </w:tcBorders>
            <w:shd w:val="clear" w:color="auto" w:fill="auto"/>
            <w:noWrap/>
            <w:vAlign w:val="center"/>
          </w:tcPr>
          <w:p w14:paraId="5F5ED4F3"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93</w:t>
            </w:r>
          </w:p>
        </w:tc>
        <w:tc>
          <w:tcPr>
            <w:tcW w:w="1960" w:type="dxa"/>
            <w:tcBorders>
              <w:top w:val="nil"/>
              <w:left w:val="nil"/>
              <w:bottom w:val="single" w:sz="4" w:space="0" w:color="auto"/>
              <w:right w:val="single" w:sz="4" w:space="0" w:color="auto"/>
            </w:tcBorders>
            <w:shd w:val="clear" w:color="auto" w:fill="auto"/>
            <w:noWrap/>
            <w:vAlign w:val="center"/>
          </w:tcPr>
          <w:p w14:paraId="541C45F1"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w:t>
            </w:r>
          </w:p>
        </w:tc>
        <w:tc>
          <w:tcPr>
            <w:tcW w:w="1941" w:type="dxa"/>
            <w:tcBorders>
              <w:top w:val="nil"/>
              <w:left w:val="nil"/>
              <w:bottom w:val="single" w:sz="4" w:space="0" w:color="auto"/>
              <w:right w:val="single" w:sz="4" w:space="0" w:color="auto"/>
            </w:tcBorders>
            <w:shd w:val="clear" w:color="auto" w:fill="auto"/>
            <w:noWrap/>
            <w:vAlign w:val="center"/>
            <w:hideMark/>
          </w:tcPr>
          <w:p w14:paraId="5BB41C52" w14:textId="77777777" w:rsidR="00F57B62" w:rsidRPr="00961BAC" w:rsidRDefault="00F57B62" w:rsidP="00921218">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w:t>
            </w:r>
          </w:p>
        </w:tc>
      </w:tr>
    </w:tbl>
    <w:p w14:paraId="28B1B4FE" w14:textId="480405C3" w:rsidR="00F57B62" w:rsidRPr="00961BAC" w:rsidRDefault="00CE1416" w:rsidP="008472E9">
      <w:pPr>
        <w:jc w:val="both"/>
        <w:rPr>
          <w:sz w:val="20"/>
          <w:szCs w:val="20"/>
        </w:rPr>
      </w:pPr>
      <w:r w:rsidRPr="00961BAC">
        <w:rPr>
          <w:rFonts w:ascii="Calibri" w:eastAsia="Times New Roman" w:hAnsi="Calibri" w:cs="Calibri"/>
          <w:color w:val="000000"/>
          <w:kern w:val="0"/>
          <w14:ligatures w14:val="none"/>
        </w:rPr>
        <w:t xml:space="preserve">* </w:t>
      </w:r>
      <w:r w:rsidRPr="00961BAC">
        <w:rPr>
          <w:rFonts w:ascii="Calibri" w:eastAsia="Times New Roman" w:hAnsi="Calibri" w:cs="Calibri"/>
          <w:color w:val="000000"/>
          <w:kern w:val="0"/>
          <w:sz w:val="20"/>
          <w:szCs w:val="20"/>
          <w14:ligatures w14:val="none"/>
        </w:rPr>
        <w:t>Percentages are based on the complete cases within each variable.</w:t>
      </w:r>
      <w:r w:rsidR="0064468A" w:rsidRPr="00961BAC">
        <w:rPr>
          <w:rFonts w:ascii="Calibri" w:eastAsia="Times New Roman" w:hAnsi="Calibri" w:cs="Calibri"/>
          <w:color w:val="000000"/>
          <w:kern w:val="0"/>
          <w:sz w:val="20"/>
          <w:szCs w:val="20"/>
          <w14:ligatures w14:val="none"/>
        </w:rPr>
        <w:t xml:space="preserve"> </w:t>
      </w:r>
      <w:r w:rsidR="003242FD" w:rsidRPr="00961BAC">
        <w:rPr>
          <w:rFonts w:ascii="Calibri" w:eastAsia="Times New Roman" w:hAnsi="Calibri" w:cs="Calibri"/>
          <w:color w:val="000000"/>
          <w:kern w:val="0"/>
          <w:sz w:val="20"/>
          <w:szCs w:val="20"/>
          <w14:ligatures w14:val="none"/>
        </w:rPr>
        <w:t xml:space="preserve">WSAS: Work and social adjustment scale. </w:t>
      </w:r>
      <w:r w:rsidR="0064468A" w:rsidRPr="00961BAC">
        <w:rPr>
          <w:rFonts w:ascii="Calibri" w:eastAsia="Times New Roman" w:hAnsi="Calibri" w:cs="Calibri"/>
          <w:color w:val="000000"/>
          <w:kern w:val="0"/>
          <w:sz w:val="20"/>
          <w:szCs w:val="20"/>
          <w14:ligatures w14:val="none"/>
        </w:rPr>
        <w:t>SD</w:t>
      </w:r>
      <w:r w:rsidR="003242FD" w:rsidRPr="00961BAC">
        <w:rPr>
          <w:rFonts w:ascii="Calibri" w:eastAsia="Times New Roman" w:hAnsi="Calibri" w:cs="Calibri"/>
          <w:color w:val="000000"/>
          <w:kern w:val="0"/>
          <w:sz w:val="20"/>
          <w:szCs w:val="20"/>
          <w14:ligatures w14:val="none"/>
        </w:rPr>
        <w:t xml:space="preserve">: </w:t>
      </w:r>
      <w:r w:rsidR="0064468A" w:rsidRPr="00961BAC">
        <w:rPr>
          <w:rFonts w:ascii="Calibri" w:eastAsia="Times New Roman" w:hAnsi="Calibri" w:cs="Calibri"/>
          <w:color w:val="000000"/>
          <w:kern w:val="0"/>
          <w:sz w:val="20"/>
          <w:szCs w:val="20"/>
          <w14:ligatures w14:val="none"/>
        </w:rPr>
        <w:t>standard deviation</w:t>
      </w:r>
      <w:r w:rsidR="002C54AC" w:rsidRPr="00961BAC">
        <w:rPr>
          <w:rFonts w:ascii="Calibri" w:eastAsia="Times New Roman" w:hAnsi="Calibri" w:cs="Calibri"/>
          <w:color w:val="000000"/>
          <w:kern w:val="0"/>
          <w:sz w:val="20"/>
          <w:szCs w:val="20"/>
          <w14:ligatures w14:val="none"/>
        </w:rPr>
        <w:t>. NVQ</w:t>
      </w:r>
      <w:r w:rsidR="003242FD" w:rsidRPr="00961BAC">
        <w:rPr>
          <w:rFonts w:ascii="Calibri" w:eastAsia="Times New Roman" w:hAnsi="Calibri" w:cs="Calibri"/>
          <w:color w:val="000000"/>
          <w:kern w:val="0"/>
          <w:sz w:val="20"/>
          <w:szCs w:val="20"/>
          <w14:ligatures w14:val="none"/>
        </w:rPr>
        <w:t xml:space="preserve">: </w:t>
      </w:r>
      <w:r w:rsidR="002C54AC" w:rsidRPr="00961BAC">
        <w:rPr>
          <w:rFonts w:ascii="Calibri" w:eastAsia="Times New Roman" w:hAnsi="Calibri" w:cs="Calibri"/>
          <w:color w:val="000000"/>
          <w:kern w:val="0"/>
          <w:sz w:val="20"/>
          <w:szCs w:val="20"/>
          <w14:ligatures w14:val="none"/>
        </w:rPr>
        <w:t>National Vocational Qualification.</w:t>
      </w:r>
      <w:r w:rsidR="00EA0F64" w:rsidRPr="00961BAC">
        <w:rPr>
          <w:rFonts w:ascii="Calibri" w:eastAsia="Times New Roman" w:hAnsi="Calibri" w:cs="Calibri"/>
          <w:color w:val="000000"/>
          <w:kern w:val="0"/>
          <w:sz w:val="20"/>
          <w:szCs w:val="20"/>
          <w14:ligatures w14:val="none"/>
        </w:rPr>
        <w:t xml:space="preserve"> </w:t>
      </w:r>
      <w:r w:rsidR="00EA0F64" w:rsidRPr="00961BAC">
        <w:rPr>
          <w:sz w:val="20"/>
          <w:szCs w:val="20"/>
        </w:rPr>
        <w:t>IMD: Index of multiple deprivation</w:t>
      </w:r>
    </w:p>
    <w:p w14:paraId="0765AD54" w14:textId="4347FB7A" w:rsidR="00CE1416" w:rsidRPr="00961BAC" w:rsidRDefault="00CE1416" w:rsidP="00CE1416">
      <w:pPr>
        <w:pStyle w:val="Caption"/>
        <w:jc w:val="both"/>
      </w:pPr>
      <w:r w:rsidRPr="00961BAC">
        <w:t>Participants who completed WSAS questionnaire at baseline and follow-up between 2 and 5 months after registration, were on average older (48.5 vs 46.3), more likely to have a degree (54.9% vs 51.5%) and more likely to be female (72.9% vs 71.1%) compared to those who completed the WSAS questionnaire at baseline only. Participants with follow up until at least 6 months (versus those who completed the WSAS questionnaire at baseline only) were on average older (49.7 vs 46.3), less likely to have a degree (46.6% vs 51.5%), more likely to be white (92.9% vs 88.4%) and less likely to be in the least deprived quintile (20.4% vs 24.5%).</w:t>
      </w:r>
    </w:p>
    <w:p w14:paraId="775C5375" w14:textId="17FE072B" w:rsidR="009369EA" w:rsidRPr="00961BAC" w:rsidRDefault="009369EA" w:rsidP="00BF2074">
      <w:pPr>
        <w:jc w:val="both"/>
        <w:rPr>
          <w:b/>
          <w:bCs/>
          <w:sz w:val="24"/>
          <w:szCs w:val="24"/>
        </w:rPr>
      </w:pPr>
      <w:r w:rsidRPr="00961BAC">
        <w:rPr>
          <w:b/>
          <w:bCs/>
          <w:sz w:val="24"/>
          <w:szCs w:val="24"/>
        </w:rPr>
        <w:t xml:space="preserve">Functional </w:t>
      </w:r>
      <w:r w:rsidR="007770F8" w:rsidRPr="00961BAC">
        <w:rPr>
          <w:b/>
          <w:bCs/>
          <w:sz w:val="24"/>
          <w:szCs w:val="24"/>
        </w:rPr>
        <w:t>limitations</w:t>
      </w:r>
    </w:p>
    <w:p w14:paraId="372CBDDD" w14:textId="4271BDD0" w:rsidR="008C361B" w:rsidRPr="00961BAC" w:rsidRDefault="008C361B" w:rsidP="008C361B">
      <w:pPr>
        <w:jc w:val="both"/>
        <w:rPr>
          <w:sz w:val="24"/>
          <w:szCs w:val="24"/>
        </w:rPr>
      </w:pPr>
      <w:r w:rsidRPr="00961BAC">
        <w:rPr>
          <w:sz w:val="24"/>
          <w:szCs w:val="24"/>
        </w:rPr>
        <w:t xml:space="preserve">Figure 1 reports the trajectories of the functional limitations for all respondents, and according to the completion status of the WSAS questionnaire. The estimated mean WSAS score at 6 months after registration based on the complete case analysis (N=3,518; Figure 1, Panel A) was 19.1 (95% </w:t>
      </w:r>
      <w:r w:rsidR="007D7B01" w:rsidRPr="00961BAC">
        <w:rPr>
          <w:sz w:val="24"/>
          <w:szCs w:val="24"/>
        </w:rPr>
        <w:t>confidence interval (CI)</w:t>
      </w:r>
      <w:r w:rsidRPr="00961BAC">
        <w:rPr>
          <w:sz w:val="24"/>
          <w:szCs w:val="24"/>
        </w:rPr>
        <w:t xml:space="preserve"> 18.6, 19.6), with nearly half of the respondents (46.3%, 95% CI 40.3%, 52.4%) expected to have a WSAS score above 20 (moderately severe or worse impairment). This compares to </w:t>
      </w:r>
      <w:r w:rsidR="00634256" w:rsidRPr="00961BAC">
        <w:rPr>
          <w:sz w:val="24"/>
          <w:szCs w:val="24"/>
        </w:rPr>
        <w:t>a</w:t>
      </w:r>
      <w:r w:rsidRPr="00961BAC">
        <w:rPr>
          <w:sz w:val="24"/>
          <w:szCs w:val="24"/>
        </w:rPr>
        <w:t xml:space="preserve"> mean WSAS score of 20.5 (95% CI 20.2, 20.9) at baseline, at which point 54.9% (95% CI 51.7%, 58.0%) of the participants had a WSAS score above 20. The mean change in the WSAS score over the 6-month period was -0.86 (95% confidence interval -1.32, -0.41).</w:t>
      </w:r>
      <w:r w:rsidR="00534D7E" w:rsidRPr="00961BAC">
        <w:rPr>
          <w:sz w:val="24"/>
          <w:szCs w:val="24"/>
        </w:rPr>
        <w:t xml:space="preserve"> Similar trajectories were observed </w:t>
      </w:r>
      <w:r w:rsidR="001C7A44" w:rsidRPr="00961BAC">
        <w:rPr>
          <w:sz w:val="24"/>
          <w:szCs w:val="24"/>
        </w:rPr>
        <w:t>for each individual component of the WSAS (</w:t>
      </w:r>
      <w:r w:rsidR="005900DA" w:rsidRPr="00961BAC">
        <w:rPr>
          <w:sz w:val="24"/>
          <w:szCs w:val="24"/>
        </w:rPr>
        <w:t>o</w:t>
      </w:r>
      <w:r w:rsidR="00693DAC" w:rsidRPr="00961BAC">
        <w:rPr>
          <w:sz w:val="24"/>
          <w:szCs w:val="24"/>
        </w:rPr>
        <w:t>nline supplemental material</w:t>
      </w:r>
      <w:r w:rsidR="001C7A44" w:rsidRPr="00961BAC">
        <w:rPr>
          <w:sz w:val="24"/>
          <w:szCs w:val="24"/>
        </w:rPr>
        <w:t>, Figure S</w:t>
      </w:r>
      <w:r w:rsidR="002374A9" w:rsidRPr="00961BAC">
        <w:rPr>
          <w:sz w:val="24"/>
          <w:szCs w:val="24"/>
        </w:rPr>
        <w:t>2</w:t>
      </w:r>
      <w:r w:rsidR="001C7A44" w:rsidRPr="00961BAC">
        <w:rPr>
          <w:sz w:val="24"/>
          <w:szCs w:val="24"/>
        </w:rPr>
        <w:t>).</w:t>
      </w:r>
      <w:r w:rsidR="002374A9" w:rsidRPr="00961BAC">
        <w:rPr>
          <w:sz w:val="24"/>
          <w:szCs w:val="24"/>
        </w:rPr>
        <w:t xml:space="preserve"> In particular, </w:t>
      </w:r>
      <w:r w:rsidR="00DE5715" w:rsidRPr="00961BAC">
        <w:rPr>
          <w:sz w:val="24"/>
          <w:szCs w:val="24"/>
        </w:rPr>
        <w:t xml:space="preserve">functional impairment </w:t>
      </w:r>
      <w:r w:rsidR="0076780A" w:rsidRPr="00961BAC">
        <w:rPr>
          <w:sz w:val="24"/>
          <w:szCs w:val="24"/>
        </w:rPr>
        <w:t>in</w:t>
      </w:r>
      <w:r w:rsidR="00511E7D" w:rsidRPr="00961BAC">
        <w:rPr>
          <w:sz w:val="24"/>
          <w:szCs w:val="24"/>
        </w:rPr>
        <w:t xml:space="preserve"> the </w:t>
      </w:r>
      <w:r w:rsidR="00B179B9" w:rsidRPr="00961BAC">
        <w:rPr>
          <w:sz w:val="24"/>
          <w:szCs w:val="24"/>
        </w:rPr>
        <w:t>individual’s</w:t>
      </w:r>
      <w:r w:rsidR="006968C8" w:rsidRPr="00961BAC">
        <w:rPr>
          <w:sz w:val="24"/>
          <w:szCs w:val="24"/>
        </w:rPr>
        <w:t xml:space="preserve"> abilit</w:t>
      </w:r>
      <w:r w:rsidR="00B179B9" w:rsidRPr="00961BAC">
        <w:rPr>
          <w:sz w:val="24"/>
          <w:szCs w:val="24"/>
        </w:rPr>
        <w:t xml:space="preserve">y to work and </w:t>
      </w:r>
      <w:r w:rsidR="00511E7D" w:rsidRPr="00961BAC">
        <w:rPr>
          <w:sz w:val="24"/>
          <w:szCs w:val="24"/>
        </w:rPr>
        <w:t xml:space="preserve">enjoy </w:t>
      </w:r>
      <w:r w:rsidR="006968C8" w:rsidRPr="00961BAC">
        <w:rPr>
          <w:sz w:val="24"/>
          <w:szCs w:val="24"/>
        </w:rPr>
        <w:t xml:space="preserve">social leisure activities </w:t>
      </w:r>
      <w:r w:rsidR="00735EB5" w:rsidRPr="00961BAC">
        <w:rPr>
          <w:sz w:val="24"/>
          <w:szCs w:val="24"/>
        </w:rPr>
        <w:t>remains</w:t>
      </w:r>
      <w:r w:rsidR="0076780A" w:rsidRPr="00961BAC">
        <w:rPr>
          <w:sz w:val="24"/>
          <w:szCs w:val="24"/>
        </w:rPr>
        <w:t xml:space="preserve"> moderately severe or worse</w:t>
      </w:r>
      <w:r w:rsidR="00735EB5" w:rsidRPr="00961BAC">
        <w:rPr>
          <w:sz w:val="24"/>
          <w:szCs w:val="24"/>
        </w:rPr>
        <w:t xml:space="preserve"> </w:t>
      </w:r>
      <w:r w:rsidR="002138ED" w:rsidRPr="00961BAC">
        <w:rPr>
          <w:sz w:val="24"/>
          <w:szCs w:val="24"/>
        </w:rPr>
        <w:t xml:space="preserve">over the </w:t>
      </w:r>
      <w:r w:rsidR="00735EB5" w:rsidRPr="00961BAC">
        <w:rPr>
          <w:sz w:val="24"/>
          <w:szCs w:val="24"/>
        </w:rPr>
        <w:t>6-month follow up.</w:t>
      </w:r>
    </w:p>
    <w:p w14:paraId="3FEDB82B" w14:textId="77777777" w:rsidR="00595152" w:rsidRPr="00961BAC" w:rsidRDefault="00595152" w:rsidP="00595152">
      <w:pPr>
        <w:jc w:val="both"/>
        <w:rPr>
          <w:sz w:val="24"/>
          <w:szCs w:val="24"/>
        </w:rPr>
      </w:pPr>
      <w:r w:rsidRPr="00961BAC">
        <w:rPr>
          <w:sz w:val="24"/>
          <w:szCs w:val="24"/>
        </w:rPr>
        <w:t>The mean WSAS score over time was somewhat higher (greater impairment) for those participants who completed WSAS at baseline and follow-up until at least six months after registration, compared to those with shorter follow up (Figure 1, panel B). The observed mean (standard deviation-SD) baseline WSAS score for the participants who reported WSAS at baseline only was 19.8 (SD 10.1; n=2,228). This compared with a mean baseline WSAS score of 21.3 (SD=9.1; n=949) and 23.3 (SD=9.1; n=341) for those who reported WSAS at follow up between 2 and 5 months and at least 6 months after registration, respectively. The slope of the trajectories over time was relatively similar between individuals with follow up less than 6 months and those with at least 6 months follow up. Of the participants who completed WSAS at baseline and follow-up until at least six months (n=341), 203 (59.5%) reported functional limitations in the moderately severe or worse category (WSAS scores above 20).</w:t>
      </w:r>
    </w:p>
    <w:p w14:paraId="7869D331" w14:textId="77777777" w:rsidR="00D05AAF" w:rsidRPr="00961BAC" w:rsidRDefault="00D05AAF" w:rsidP="00D05AAF">
      <w:pPr>
        <w:jc w:val="both"/>
        <w:rPr>
          <w:sz w:val="24"/>
          <w:szCs w:val="24"/>
        </w:rPr>
      </w:pPr>
      <w:r w:rsidRPr="00961BAC">
        <w:rPr>
          <w:sz w:val="24"/>
          <w:szCs w:val="24"/>
        </w:rPr>
        <w:t>Table 2 reports associations between WSAS trajectories over the 6-month follow up and baseline socio-demographic characteristics. Individuals aged 50 and above reported lower functional impairment over time compared to younger adults. For example, patients aged 65 or above were associated with lower (-4.48, 95% CI -6.18, -2.78) average WSAS score compared to individuals aged 18 to 29. Men were also associated with a lower average WSAS score (-1.63, 95% CI -2.32, -0.93) over time compared to women. Individuals in the most deprived quintile were associated with a higher (1.41, 95% CI 0.40, 2.43) functional impairment compared to those in quintile 2 or above.</w:t>
      </w:r>
    </w:p>
    <w:p w14:paraId="05E59447" w14:textId="4F317D67" w:rsidR="008641A1" w:rsidRPr="00961BAC" w:rsidRDefault="001257C9" w:rsidP="001257C9">
      <w:pPr>
        <w:jc w:val="center"/>
        <w:rPr>
          <w:sz w:val="24"/>
          <w:szCs w:val="24"/>
        </w:rPr>
      </w:pPr>
      <w:r>
        <w:rPr>
          <w:sz w:val="24"/>
          <w:szCs w:val="24"/>
        </w:rPr>
        <w:t>&lt;&lt; Figure 1 here &gt;&gt;</w:t>
      </w:r>
    </w:p>
    <w:p w14:paraId="3222BF17" w14:textId="49C51D97" w:rsidR="00D05AAF" w:rsidRPr="00D02343" w:rsidRDefault="00D05AAF" w:rsidP="00D05AAF">
      <w:pPr>
        <w:jc w:val="both"/>
      </w:pPr>
      <w:r w:rsidRPr="00961BAC">
        <w:rPr>
          <w:b/>
          <w:bCs/>
          <w:sz w:val="24"/>
          <w:szCs w:val="24"/>
        </w:rPr>
        <w:t>Fatigue</w:t>
      </w:r>
    </w:p>
    <w:p w14:paraId="070ECC36" w14:textId="5D5FB599" w:rsidR="00D05AAF" w:rsidRPr="00961BAC" w:rsidRDefault="00D05AAF" w:rsidP="008A6934">
      <w:pPr>
        <w:jc w:val="both"/>
        <w:rPr>
          <w:sz w:val="24"/>
          <w:szCs w:val="24"/>
        </w:rPr>
      </w:pPr>
      <w:r w:rsidRPr="00961BAC">
        <w:rPr>
          <w:sz w:val="24"/>
          <w:szCs w:val="24"/>
        </w:rPr>
        <w:t>The trajectories of fatigue for all respondents, and according to the completion status of the FACIT-F questionnaire are reported in online supplemental material (Figure S1). Similar to the primary outcome, mean reversed FACIT-F scores slightly decreased (less impairment) over time; the estimated mean reversed FACIT-F score at 6 months was 29.1 (95% CI 22.7, 35.5) compared to 32.0 (95% CI 31.7, 32.3) at baseline. However, there were little differences in fatigue trajectories between individuals with different completion status of the FACIT-F questionnaire.</w:t>
      </w:r>
    </w:p>
    <w:p w14:paraId="4F3AB18E" w14:textId="77777777" w:rsidR="008A6934" w:rsidRPr="00961BAC" w:rsidRDefault="008A6934" w:rsidP="008A6934">
      <w:pPr>
        <w:jc w:val="both"/>
        <w:rPr>
          <w:sz w:val="24"/>
          <w:szCs w:val="24"/>
        </w:rPr>
      </w:pPr>
    </w:p>
    <w:p w14:paraId="3616984C" w14:textId="364819B4" w:rsidR="004220AA" w:rsidRPr="00961BAC" w:rsidRDefault="004220AA" w:rsidP="004220AA">
      <w:pPr>
        <w:rPr>
          <w:sz w:val="24"/>
          <w:szCs w:val="24"/>
        </w:rPr>
      </w:pPr>
      <w:r w:rsidRPr="00961BAC">
        <w:rPr>
          <w:sz w:val="24"/>
          <w:szCs w:val="24"/>
        </w:rPr>
        <w:t xml:space="preserve">Table 2: </w:t>
      </w:r>
      <w:r w:rsidR="00755671" w:rsidRPr="00961BAC">
        <w:rPr>
          <w:sz w:val="24"/>
          <w:szCs w:val="24"/>
        </w:rPr>
        <w:t xml:space="preserve">Associations between </w:t>
      </w:r>
      <w:r w:rsidR="00AC76F1" w:rsidRPr="00961BAC">
        <w:rPr>
          <w:sz w:val="24"/>
          <w:szCs w:val="24"/>
        </w:rPr>
        <w:t>the Work and Social Adjustment Scale (</w:t>
      </w:r>
      <w:r w:rsidR="00755671" w:rsidRPr="00961BAC">
        <w:rPr>
          <w:sz w:val="24"/>
          <w:szCs w:val="24"/>
        </w:rPr>
        <w:t>WSAS</w:t>
      </w:r>
      <w:r w:rsidR="00AC76F1" w:rsidRPr="00961BAC">
        <w:rPr>
          <w:sz w:val="24"/>
          <w:szCs w:val="24"/>
        </w:rPr>
        <w:t>)</w:t>
      </w:r>
      <w:r w:rsidR="0014199F" w:rsidRPr="00961BAC">
        <w:rPr>
          <w:sz w:val="24"/>
          <w:szCs w:val="24"/>
        </w:rPr>
        <w:t xml:space="preserve"> score</w:t>
      </w:r>
      <w:r w:rsidR="00755671" w:rsidRPr="00961BAC">
        <w:rPr>
          <w:sz w:val="24"/>
          <w:szCs w:val="24"/>
        </w:rPr>
        <w:t xml:space="preserve"> trajectories over the </w:t>
      </w:r>
      <w:r w:rsidR="00765AE0" w:rsidRPr="00961BAC">
        <w:rPr>
          <w:sz w:val="24"/>
          <w:szCs w:val="24"/>
        </w:rPr>
        <w:t>6-</w:t>
      </w:r>
      <w:r w:rsidR="00755671" w:rsidRPr="00961BAC">
        <w:rPr>
          <w:sz w:val="24"/>
          <w:szCs w:val="24"/>
        </w:rPr>
        <w:t>month follow up and baseline socio-demographic characteristics</w:t>
      </w:r>
    </w:p>
    <w:tbl>
      <w:tblPr>
        <w:tblStyle w:val="TableGrid"/>
        <w:tblW w:w="0" w:type="auto"/>
        <w:tblLook w:val="04A0" w:firstRow="1" w:lastRow="0" w:firstColumn="1" w:lastColumn="0" w:noHBand="0" w:noVBand="1"/>
      </w:tblPr>
      <w:tblGrid>
        <w:gridCol w:w="2972"/>
        <w:gridCol w:w="1559"/>
        <w:gridCol w:w="1560"/>
        <w:gridCol w:w="1559"/>
        <w:gridCol w:w="1366"/>
      </w:tblGrid>
      <w:tr w:rsidR="004220AA" w:rsidRPr="00961BAC" w14:paraId="145A189D" w14:textId="77777777" w:rsidTr="005311A3">
        <w:tc>
          <w:tcPr>
            <w:tcW w:w="2972" w:type="dxa"/>
          </w:tcPr>
          <w:p w14:paraId="1BDD7BBF" w14:textId="77777777" w:rsidR="004220AA" w:rsidRPr="00961BAC" w:rsidRDefault="004220AA" w:rsidP="00461ADD">
            <w:pPr>
              <w:jc w:val="both"/>
              <w:rPr>
                <w:sz w:val="24"/>
                <w:szCs w:val="24"/>
              </w:rPr>
            </w:pPr>
            <w:r w:rsidRPr="00961BAC">
              <w:rPr>
                <w:sz w:val="24"/>
                <w:szCs w:val="24"/>
              </w:rPr>
              <w:t>Patient characteristic</w:t>
            </w:r>
          </w:p>
        </w:tc>
        <w:tc>
          <w:tcPr>
            <w:tcW w:w="1559" w:type="dxa"/>
          </w:tcPr>
          <w:p w14:paraId="1AE10397" w14:textId="77777777" w:rsidR="004220AA" w:rsidRPr="00961BAC" w:rsidRDefault="004220AA" w:rsidP="00461ADD">
            <w:pPr>
              <w:jc w:val="both"/>
              <w:rPr>
                <w:sz w:val="24"/>
                <w:szCs w:val="24"/>
              </w:rPr>
            </w:pPr>
            <w:r w:rsidRPr="00961BAC">
              <w:rPr>
                <w:sz w:val="24"/>
                <w:szCs w:val="24"/>
              </w:rPr>
              <w:t>N (%)</w:t>
            </w:r>
          </w:p>
        </w:tc>
        <w:tc>
          <w:tcPr>
            <w:tcW w:w="1560" w:type="dxa"/>
          </w:tcPr>
          <w:p w14:paraId="455369FC" w14:textId="77777777" w:rsidR="004220AA" w:rsidRPr="00961BAC" w:rsidRDefault="004220AA" w:rsidP="00461ADD">
            <w:pPr>
              <w:jc w:val="both"/>
              <w:rPr>
                <w:sz w:val="24"/>
                <w:szCs w:val="24"/>
              </w:rPr>
            </w:pPr>
            <w:r w:rsidRPr="00961BAC">
              <w:rPr>
                <w:sz w:val="24"/>
                <w:szCs w:val="24"/>
              </w:rPr>
              <w:t>Estimate (SE)</w:t>
            </w:r>
          </w:p>
        </w:tc>
        <w:tc>
          <w:tcPr>
            <w:tcW w:w="1559" w:type="dxa"/>
          </w:tcPr>
          <w:p w14:paraId="2C15AFE1" w14:textId="77777777" w:rsidR="004220AA" w:rsidRPr="00961BAC" w:rsidRDefault="004220AA" w:rsidP="00461ADD">
            <w:pPr>
              <w:jc w:val="both"/>
              <w:rPr>
                <w:sz w:val="24"/>
                <w:szCs w:val="24"/>
              </w:rPr>
            </w:pPr>
            <w:r w:rsidRPr="00961BAC">
              <w:rPr>
                <w:sz w:val="24"/>
                <w:szCs w:val="24"/>
              </w:rPr>
              <w:t>95% CI</w:t>
            </w:r>
          </w:p>
        </w:tc>
        <w:tc>
          <w:tcPr>
            <w:tcW w:w="1366" w:type="dxa"/>
          </w:tcPr>
          <w:p w14:paraId="57092194" w14:textId="77777777" w:rsidR="004220AA" w:rsidRPr="00961BAC" w:rsidRDefault="004220AA" w:rsidP="00461ADD">
            <w:pPr>
              <w:jc w:val="both"/>
              <w:rPr>
                <w:sz w:val="24"/>
                <w:szCs w:val="24"/>
              </w:rPr>
            </w:pPr>
            <w:r w:rsidRPr="00961BAC">
              <w:rPr>
                <w:sz w:val="24"/>
                <w:szCs w:val="24"/>
              </w:rPr>
              <w:t>p-value</w:t>
            </w:r>
          </w:p>
        </w:tc>
      </w:tr>
      <w:tr w:rsidR="004220AA" w:rsidRPr="00961BAC" w14:paraId="4D14B37F" w14:textId="77777777" w:rsidTr="005311A3">
        <w:tc>
          <w:tcPr>
            <w:tcW w:w="2972" w:type="dxa"/>
          </w:tcPr>
          <w:p w14:paraId="3697BD97" w14:textId="77777777" w:rsidR="004220AA" w:rsidRPr="00961BAC" w:rsidRDefault="004220AA" w:rsidP="00461ADD">
            <w:pPr>
              <w:jc w:val="both"/>
              <w:rPr>
                <w:sz w:val="24"/>
                <w:szCs w:val="24"/>
              </w:rPr>
            </w:pPr>
            <w:r w:rsidRPr="00961BAC">
              <w:rPr>
                <w:sz w:val="24"/>
                <w:szCs w:val="24"/>
              </w:rPr>
              <w:t>Age (years)</w:t>
            </w:r>
          </w:p>
        </w:tc>
        <w:tc>
          <w:tcPr>
            <w:tcW w:w="1559" w:type="dxa"/>
          </w:tcPr>
          <w:p w14:paraId="76511DEC" w14:textId="77777777" w:rsidR="004220AA" w:rsidRPr="00961BAC" w:rsidRDefault="004220AA" w:rsidP="00461ADD">
            <w:pPr>
              <w:jc w:val="both"/>
              <w:rPr>
                <w:sz w:val="24"/>
                <w:szCs w:val="24"/>
              </w:rPr>
            </w:pPr>
          </w:p>
        </w:tc>
        <w:tc>
          <w:tcPr>
            <w:tcW w:w="1560" w:type="dxa"/>
          </w:tcPr>
          <w:p w14:paraId="20F5DF4C" w14:textId="77777777" w:rsidR="004220AA" w:rsidRPr="00961BAC" w:rsidRDefault="004220AA" w:rsidP="00461ADD">
            <w:pPr>
              <w:jc w:val="both"/>
              <w:rPr>
                <w:sz w:val="24"/>
                <w:szCs w:val="24"/>
              </w:rPr>
            </w:pPr>
          </w:p>
        </w:tc>
        <w:tc>
          <w:tcPr>
            <w:tcW w:w="1559" w:type="dxa"/>
          </w:tcPr>
          <w:p w14:paraId="13842421" w14:textId="77777777" w:rsidR="004220AA" w:rsidRPr="00961BAC" w:rsidRDefault="004220AA" w:rsidP="00461ADD">
            <w:pPr>
              <w:jc w:val="both"/>
              <w:rPr>
                <w:sz w:val="24"/>
                <w:szCs w:val="24"/>
              </w:rPr>
            </w:pPr>
          </w:p>
        </w:tc>
        <w:tc>
          <w:tcPr>
            <w:tcW w:w="1366" w:type="dxa"/>
          </w:tcPr>
          <w:p w14:paraId="4F6ABE55" w14:textId="77777777" w:rsidR="004220AA" w:rsidRPr="00961BAC" w:rsidRDefault="004220AA" w:rsidP="00461ADD">
            <w:pPr>
              <w:jc w:val="both"/>
              <w:rPr>
                <w:sz w:val="24"/>
                <w:szCs w:val="24"/>
              </w:rPr>
            </w:pPr>
          </w:p>
        </w:tc>
      </w:tr>
      <w:tr w:rsidR="004220AA" w:rsidRPr="00961BAC" w14:paraId="26680552" w14:textId="77777777" w:rsidTr="005311A3">
        <w:tc>
          <w:tcPr>
            <w:tcW w:w="2972" w:type="dxa"/>
          </w:tcPr>
          <w:p w14:paraId="2E36E934" w14:textId="77777777" w:rsidR="004220AA" w:rsidRPr="00961BAC" w:rsidRDefault="004220AA" w:rsidP="00461ADD">
            <w:pPr>
              <w:jc w:val="both"/>
              <w:rPr>
                <w:sz w:val="24"/>
                <w:szCs w:val="24"/>
              </w:rPr>
            </w:pPr>
            <w:r w:rsidRPr="00961BAC">
              <w:rPr>
                <w:sz w:val="24"/>
                <w:szCs w:val="24"/>
              </w:rPr>
              <w:t xml:space="preserve">  18-29</w:t>
            </w:r>
          </w:p>
        </w:tc>
        <w:tc>
          <w:tcPr>
            <w:tcW w:w="1559" w:type="dxa"/>
          </w:tcPr>
          <w:p w14:paraId="0B9D301C" w14:textId="77777777" w:rsidR="004220AA" w:rsidRPr="00961BAC" w:rsidRDefault="004220AA" w:rsidP="00461ADD">
            <w:pPr>
              <w:jc w:val="both"/>
              <w:rPr>
                <w:sz w:val="24"/>
                <w:szCs w:val="24"/>
              </w:rPr>
            </w:pPr>
            <w:r w:rsidRPr="00961BAC">
              <w:rPr>
                <w:sz w:val="24"/>
                <w:szCs w:val="24"/>
              </w:rPr>
              <w:t>426 (10.5%)</w:t>
            </w:r>
          </w:p>
        </w:tc>
        <w:tc>
          <w:tcPr>
            <w:tcW w:w="1560" w:type="dxa"/>
          </w:tcPr>
          <w:p w14:paraId="284B48D6" w14:textId="77777777" w:rsidR="004220AA" w:rsidRPr="00961BAC" w:rsidRDefault="004220AA" w:rsidP="00461ADD">
            <w:pPr>
              <w:jc w:val="center"/>
              <w:rPr>
                <w:sz w:val="24"/>
                <w:szCs w:val="24"/>
              </w:rPr>
            </w:pPr>
            <w:r w:rsidRPr="00961BAC">
              <w:rPr>
                <w:sz w:val="24"/>
                <w:szCs w:val="24"/>
              </w:rPr>
              <w:t>Reference</w:t>
            </w:r>
          </w:p>
        </w:tc>
        <w:tc>
          <w:tcPr>
            <w:tcW w:w="1559" w:type="dxa"/>
          </w:tcPr>
          <w:p w14:paraId="6B360917" w14:textId="77777777" w:rsidR="004220AA" w:rsidRPr="00961BAC" w:rsidRDefault="004220AA" w:rsidP="00461ADD">
            <w:pPr>
              <w:jc w:val="both"/>
              <w:rPr>
                <w:sz w:val="24"/>
                <w:szCs w:val="24"/>
              </w:rPr>
            </w:pPr>
          </w:p>
        </w:tc>
        <w:tc>
          <w:tcPr>
            <w:tcW w:w="1366" w:type="dxa"/>
          </w:tcPr>
          <w:p w14:paraId="13079EE9" w14:textId="77777777" w:rsidR="004220AA" w:rsidRPr="00961BAC" w:rsidRDefault="004220AA" w:rsidP="00461ADD">
            <w:pPr>
              <w:jc w:val="both"/>
              <w:rPr>
                <w:sz w:val="24"/>
                <w:szCs w:val="24"/>
              </w:rPr>
            </w:pPr>
          </w:p>
        </w:tc>
      </w:tr>
      <w:tr w:rsidR="004220AA" w:rsidRPr="00961BAC" w14:paraId="7C07F1F2" w14:textId="77777777" w:rsidTr="005311A3">
        <w:tc>
          <w:tcPr>
            <w:tcW w:w="2972" w:type="dxa"/>
          </w:tcPr>
          <w:p w14:paraId="7FA0E8DC" w14:textId="77777777" w:rsidR="004220AA" w:rsidRPr="00961BAC" w:rsidRDefault="004220AA" w:rsidP="00461ADD">
            <w:pPr>
              <w:jc w:val="both"/>
              <w:rPr>
                <w:sz w:val="24"/>
                <w:szCs w:val="24"/>
              </w:rPr>
            </w:pPr>
            <w:r w:rsidRPr="00961BAC">
              <w:rPr>
                <w:sz w:val="24"/>
                <w:szCs w:val="24"/>
              </w:rPr>
              <w:t xml:space="preserve">  30-49</w:t>
            </w:r>
          </w:p>
        </w:tc>
        <w:tc>
          <w:tcPr>
            <w:tcW w:w="1559" w:type="dxa"/>
          </w:tcPr>
          <w:p w14:paraId="5B124A77" w14:textId="77777777" w:rsidR="004220AA" w:rsidRPr="00961BAC" w:rsidRDefault="004220AA" w:rsidP="00461ADD">
            <w:pPr>
              <w:jc w:val="both"/>
              <w:rPr>
                <w:sz w:val="24"/>
                <w:szCs w:val="24"/>
              </w:rPr>
            </w:pPr>
            <w:r w:rsidRPr="00961BAC">
              <w:rPr>
                <w:sz w:val="24"/>
                <w:szCs w:val="24"/>
              </w:rPr>
              <w:t>1,945 (47.9%)</w:t>
            </w:r>
          </w:p>
        </w:tc>
        <w:tc>
          <w:tcPr>
            <w:tcW w:w="1560" w:type="dxa"/>
          </w:tcPr>
          <w:p w14:paraId="67BF8B86" w14:textId="77777777" w:rsidR="004220AA" w:rsidRPr="00961BAC" w:rsidRDefault="004220AA" w:rsidP="00461ADD">
            <w:pPr>
              <w:jc w:val="both"/>
              <w:rPr>
                <w:sz w:val="24"/>
                <w:szCs w:val="24"/>
              </w:rPr>
            </w:pPr>
            <w:r w:rsidRPr="00961BAC">
              <w:rPr>
                <w:sz w:val="24"/>
                <w:szCs w:val="24"/>
              </w:rPr>
              <w:t>-0.73 (0.56)</w:t>
            </w:r>
          </w:p>
        </w:tc>
        <w:tc>
          <w:tcPr>
            <w:tcW w:w="1559" w:type="dxa"/>
          </w:tcPr>
          <w:p w14:paraId="3A587AC8" w14:textId="77777777" w:rsidR="004220AA" w:rsidRPr="00961BAC" w:rsidRDefault="004220AA" w:rsidP="00461ADD">
            <w:pPr>
              <w:jc w:val="both"/>
              <w:rPr>
                <w:sz w:val="24"/>
                <w:szCs w:val="24"/>
              </w:rPr>
            </w:pPr>
            <w:r w:rsidRPr="00961BAC">
              <w:rPr>
                <w:sz w:val="24"/>
                <w:szCs w:val="24"/>
              </w:rPr>
              <w:t>(-1.82, 0.37)</w:t>
            </w:r>
          </w:p>
        </w:tc>
        <w:tc>
          <w:tcPr>
            <w:tcW w:w="1366" w:type="dxa"/>
          </w:tcPr>
          <w:p w14:paraId="6F6B2218" w14:textId="77777777" w:rsidR="004220AA" w:rsidRPr="00961BAC" w:rsidRDefault="004220AA" w:rsidP="00461ADD">
            <w:pPr>
              <w:jc w:val="both"/>
              <w:rPr>
                <w:sz w:val="24"/>
                <w:szCs w:val="24"/>
              </w:rPr>
            </w:pPr>
            <w:r w:rsidRPr="00961BAC">
              <w:rPr>
                <w:sz w:val="24"/>
                <w:szCs w:val="24"/>
              </w:rPr>
              <w:t>0.192</w:t>
            </w:r>
          </w:p>
        </w:tc>
      </w:tr>
      <w:tr w:rsidR="004220AA" w:rsidRPr="00961BAC" w14:paraId="59F7FC56" w14:textId="77777777" w:rsidTr="005311A3">
        <w:tc>
          <w:tcPr>
            <w:tcW w:w="2972" w:type="dxa"/>
          </w:tcPr>
          <w:p w14:paraId="57D9BB3C" w14:textId="77777777" w:rsidR="004220AA" w:rsidRPr="00961BAC" w:rsidRDefault="004220AA" w:rsidP="00461ADD">
            <w:pPr>
              <w:jc w:val="both"/>
              <w:rPr>
                <w:sz w:val="24"/>
                <w:szCs w:val="24"/>
              </w:rPr>
            </w:pPr>
            <w:r w:rsidRPr="00961BAC">
              <w:rPr>
                <w:sz w:val="24"/>
                <w:szCs w:val="24"/>
              </w:rPr>
              <w:t xml:space="preserve">  50-64</w:t>
            </w:r>
          </w:p>
        </w:tc>
        <w:tc>
          <w:tcPr>
            <w:tcW w:w="1559" w:type="dxa"/>
          </w:tcPr>
          <w:p w14:paraId="56F0E368" w14:textId="77777777" w:rsidR="004220AA" w:rsidRPr="00961BAC" w:rsidRDefault="004220AA" w:rsidP="00461ADD">
            <w:pPr>
              <w:jc w:val="both"/>
              <w:rPr>
                <w:sz w:val="24"/>
                <w:szCs w:val="24"/>
              </w:rPr>
            </w:pPr>
            <w:r w:rsidRPr="00961BAC">
              <w:rPr>
                <w:sz w:val="24"/>
                <w:szCs w:val="24"/>
              </w:rPr>
              <w:t>1,461 (36.0%)</w:t>
            </w:r>
          </w:p>
        </w:tc>
        <w:tc>
          <w:tcPr>
            <w:tcW w:w="1560" w:type="dxa"/>
          </w:tcPr>
          <w:p w14:paraId="7250FB39" w14:textId="77777777" w:rsidR="004220AA" w:rsidRPr="00961BAC" w:rsidRDefault="004220AA" w:rsidP="00461ADD">
            <w:pPr>
              <w:jc w:val="both"/>
              <w:rPr>
                <w:sz w:val="24"/>
                <w:szCs w:val="24"/>
              </w:rPr>
            </w:pPr>
            <w:r w:rsidRPr="00961BAC">
              <w:rPr>
                <w:sz w:val="24"/>
                <w:szCs w:val="24"/>
              </w:rPr>
              <w:t>-2.38 (0.57)</w:t>
            </w:r>
          </w:p>
        </w:tc>
        <w:tc>
          <w:tcPr>
            <w:tcW w:w="1559" w:type="dxa"/>
          </w:tcPr>
          <w:p w14:paraId="27C2AFDF" w14:textId="77777777" w:rsidR="004220AA" w:rsidRPr="00961BAC" w:rsidRDefault="004220AA" w:rsidP="00461ADD">
            <w:pPr>
              <w:jc w:val="both"/>
              <w:rPr>
                <w:sz w:val="24"/>
                <w:szCs w:val="24"/>
              </w:rPr>
            </w:pPr>
            <w:r w:rsidRPr="00961BAC">
              <w:rPr>
                <w:sz w:val="24"/>
                <w:szCs w:val="24"/>
              </w:rPr>
              <w:t>(-3.50, -1.25)</w:t>
            </w:r>
          </w:p>
        </w:tc>
        <w:tc>
          <w:tcPr>
            <w:tcW w:w="1366" w:type="dxa"/>
          </w:tcPr>
          <w:p w14:paraId="72E1C2B8" w14:textId="77777777" w:rsidR="004220AA" w:rsidRPr="00961BAC" w:rsidRDefault="004220AA" w:rsidP="00461ADD">
            <w:pPr>
              <w:jc w:val="both"/>
              <w:rPr>
                <w:sz w:val="24"/>
                <w:szCs w:val="24"/>
              </w:rPr>
            </w:pPr>
            <w:r w:rsidRPr="00961BAC">
              <w:rPr>
                <w:sz w:val="24"/>
                <w:szCs w:val="24"/>
              </w:rPr>
              <w:t>&lt;0.001</w:t>
            </w:r>
          </w:p>
        </w:tc>
      </w:tr>
      <w:tr w:rsidR="004220AA" w:rsidRPr="00961BAC" w14:paraId="1FCEABFA" w14:textId="77777777" w:rsidTr="005311A3">
        <w:tc>
          <w:tcPr>
            <w:tcW w:w="2972" w:type="dxa"/>
          </w:tcPr>
          <w:p w14:paraId="199853E0" w14:textId="77777777" w:rsidR="004220AA" w:rsidRPr="00961BAC" w:rsidRDefault="004220AA" w:rsidP="00461ADD">
            <w:pPr>
              <w:jc w:val="both"/>
              <w:rPr>
                <w:sz w:val="24"/>
                <w:szCs w:val="24"/>
              </w:rPr>
            </w:pPr>
            <w:r w:rsidRPr="00961BAC">
              <w:rPr>
                <w:sz w:val="24"/>
                <w:szCs w:val="24"/>
              </w:rPr>
              <w:t xml:space="preserve">  65+</w:t>
            </w:r>
          </w:p>
        </w:tc>
        <w:tc>
          <w:tcPr>
            <w:tcW w:w="1559" w:type="dxa"/>
          </w:tcPr>
          <w:p w14:paraId="03D669AF" w14:textId="77777777" w:rsidR="004220AA" w:rsidRPr="00961BAC" w:rsidRDefault="004220AA" w:rsidP="00461ADD">
            <w:pPr>
              <w:jc w:val="both"/>
              <w:rPr>
                <w:sz w:val="24"/>
                <w:szCs w:val="24"/>
              </w:rPr>
            </w:pPr>
            <w:r w:rsidRPr="00961BAC">
              <w:rPr>
                <w:sz w:val="24"/>
                <w:szCs w:val="24"/>
              </w:rPr>
              <w:t>227 (5.6%)</w:t>
            </w:r>
          </w:p>
        </w:tc>
        <w:tc>
          <w:tcPr>
            <w:tcW w:w="1560" w:type="dxa"/>
          </w:tcPr>
          <w:p w14:paraId="53A0FF9E" w14:textId="77777777" w:rsidR="004220AA" w:rsidRPr="00961BAC" w:rsidRDefault="004220AA" w:rsidP="00461ADD">
            <w:pPr>
              <w:jc w:val="both"/>
              <w:rPr>
                <w:sz w:val="24"/>
                <w:szCs w:val="24"/>
              </w:rPr>
            </w:pPr>
            <w:r w:rsidRPr="00961BAC">
              <w:rPr>
                <w:sz w:val="24"/>
                <w:szCs w:val="24"/>
              </w:rPr>
              <w:t>-4.48 (0.87)</w:t>
            </w:r>
          </w:p>
        </w:tc>
        <w:tc>
          <w:tcPr>
            <w:tcW w:w="1559" w:type="dxa"/>
          </w:tcPr>
          <w:p w14:paraId="627B2E35" w14:textId="77777777" w:rsidR="004220AA" w:rsidRPr="00961BAC" w:rsidRDefault="004220AA" w:rsidP="00461ADD">
            <w:pPr>
              <w:jc w:val="both"/>
              <w:rPr>
                <w:sz w:val="24"/>
                <w:szCs w:val="24"/>
              </w:rPr>
            </w:pPr>
            <w:r w:rsidRPr="00961BAC">
              <w:rPr>
                <w:sz w:val="24"/>
                <w:szCs w:val="24"/>
              </w:rPr>
              <w:t>(-6.18, -2.78)</w:t>
            </w:r>
          </w:p>
        </w:tc>
        <w:tc>
          <w:tcPr>
            <w:tcW w:w="1366" w:type="dxa"/>
          </w:tcPr>
          <w:p w14:paraId="2AA890FB" w14:textId="77777777" w:rsidR="004220AA" w:rsidRPr="00961BAC" w:rsidRDefault="004220AA" w:rsidP="00461ADD">
            <w:pPr>
              <w:jc w:val="both"/>
              <w:rPr>
                <w:sz w:val="24"/>
                <w:szCs w:val="24"/>
              </w:rPr>
            </w:pPr>
            <w:r w:rsidRPr="00961BAC">
              <w:rPr>
                <w:sz w:val="24"/>
                <w:szCs w:val="24"/>
              </w:rPr>
              <w:t>&lt;0.001</w:t>
            </w:r>
          </w:p>
        </w:tc>
      </w:tr>
      <w:tr w:rsidR="004220AA" w:rsidRPr="00961BAC" w14:paraId="12FC2A21" w14:textId="77777777" w:rsidTr="005311A3">
        <w:tc>
          <w:tcPr>
            <w:tcW w:w="2972" w:type="dxa"/>
          </w:tcPr>
          <w:p w14:paraId="653681A8" w14:textId="77777777" w:rsidR="004220AA" w:rsidRPr="00961BAC" w:rsidRDefault="004220AA" w:rsidP="00461ADD">
            <w:pPr>
              <w:jc w:val="both"/>
              <w:rPr>
                <w:sz w:val="24"/>
                <w:szCs w:val="24"/>
              </w:rPr>
            </w:pPr>
            <w:r w:rsidRPr="00961BAC">
              <w:rPr>
                <w:sz w:val="24"/>
                <w:szCs w:val="24"/>
              </w:rPr>
              <w:t>Gender</w:t>
            </w:r>
          </w:p>
        </w:tc>
        <w:tc>
          <w:tcPr>
            <w:tcW w:w="1559" w:type="dxa"/>
          </w:tcPr>
          <w:p w14:paraId="7718F22E" w14:textId="77777777" w:rsidR="004220AA" w:rsidRPr="00961BAC" w:rsidRDefault="004220AA" w:rsidP="00461ADD">
            <w:pPr>
              <w:jc w:val="both"/>
              <w:rPr>
                <w:sz w:val="24"/>
                <w:szCs w:val="24"/>
              </w:rPr>
            </w:pPr>
          </w:p>
        </w:tc>
        <w:tc>
          <w:tcPr>
            <w:tcW w:w="1560" w:type="dxa"/>
          </w:tcPr>
          <w:p w14:paraId="130FBAFC" w14:textId="77777777" w:rsidR="004220AA" w:rsidRPr="00961BAC" w:rsidRDefault="004220AA" w:rsidP="00461ADD">
            <w:pPr>
              <w:jc w:val="both"/>
              <w:rPr>
                <w:sz w:val="24"/>
                <w:szCs w:val="24"/>
              </w:rPr>
            </w:pPr>
          </w:p>
        </w:tc>
        <w:tc>
          <w:tcPr>
            <w:tcW w:w="1559" w:type="dxa"/>
          </w:tcPr>
          <w:p w14:paraId="5D851B27" w14:textId="77777777" w:rsidR="004220AA" w:rsidRPr="00961BAC" w:rsidRDefault="004220AA" w:rsidP="00461ADD">
            <w:pPr>
              <w:jc w:val="both"/>
              <w:rPr>
                <w:sz w:val="24"/>
                <w:szCs w:val="24"/>
              </w:rPr>
            </w:pPr>
          </w:p>
        </w:tc>
        <w:tc>
          <w:tcPr>
            <w:tcW w:w="1366" w:type="dxa"/>
          </w:tcPr>
          <w:p w14:paraId="566F9D8E" w14:textId="77777777" w:rsidR="004220AA" w:rsidRPr="00961BAC" w:rsidRDefault="004220AA" w:rsidP="00461ADD">
            <w:pPr>
              <w:jc w:val="both"/>
              <w:rPr>
                <w:sz w:val="24"/>
                <w:szCs w:val="24"/>
              </w:rPr>
            </w:pPr>
          </w:p>
        </w:tc>
      </w:tr>
      <w:tr w:rsidR="004220AA" w:rsidRPr="00961BAC" w14:paraId="54CC765D" w14:textId="77777777" w:rsidTr="005311A3">
        <w:tc>
          <w:tcPr>
            <w:tcW w:w="2972" w:type="dxa"/>
          </w:tcPr>
          <w:p w14:paraId="6EE8E9C9" w14:textId="77777777" w:rsidR="004220AA" w:rsidRPr="00961BAC" w:rsidRDefault="004220AA" w:rsidP="00461ADD">
            <w:pPr>
              <w:jc w:val="both"/>
              <w:rPr>
                <w:sz w:val="24"/>
                <w:szCs w:val="24"/>
              </w:rPr>
            </w:pPr>
            <w:r w:rsidRPr="00961BAC">
              <w:rPr>
                <w:sz w:val="24"/>
                <w:szCs w:val="24"/>
              </w:rPr>
              <w:t xml:space="preserve">  Female</w:t>
            </w:r>
          </w:p>
        </w:tc>
        <w:tc>
          <w:tcPr>
            <w:tcW w:w="1559" w:type="dxa"/>
          </w:tcPr>
          <w:p w14:paraId="785DADE4" w14:textId="77777777" w:rsidR="004220AA" w:rsidRPr="00961BAC" w:rsidRDefault="004220AA" w:rsidP="00461ADD">
            <w:pPr>
              <w:jc w:val="both"/>
              <w:rPr>
                <w:sz w:val="24"/>
                <w:szCs w:val="24"/>
              </w:rPr>
            </w:pPr>
            <w:r w:rsidRPr="00961BAC">
              <w:rPr>
                <w:sz w:val="24"/>
                <w:szCs w:val="24"/>
              </w:rPr>
              <w:t>2,900 (71.7%)</w:t>
            </w:r>
          </w:p>
        </w:tc>
        <w:tc>
          <w:tcPr>
            <w:tcW w:w="1560" w:type="dxa"/>
          </w:tcPr>
          <w:p w14:paraId="3CE4F6FE" w14:textId="77777777" w:rsidR="004220AA" w:rsidRPr="00961BAC" w:rsidRDefault="004220AA" w:rsidP="00461ADD">
            <w:pPr>
              <w:jc w:val="center"/>
              <w:rPr>
                <w:sz w:val="24"/>
                <w:szCs w:val="24"/>
              </w:rPr>
            </w:pPr>
            <w:r w:rsidRPr="00961BAC">
              <w:rPr>
                <w:sz w:val="24"/>
                <w:szCs w:val="24"/>
              </w:rPr>
              <w:t xml:space="preserve"> Reference</w:t>
            </w:r>
          </w:p>
        </w:tc>
        <w:tc>
          <w:tcPr>
            <w:tcW w:w="1559" w:type="dxa"/>
          </w:tcPr>
          <w:p w14:paraId="36E44F28" w14:textId="77777777" w:rsidR="004220AA" w:rsidRPr="00961BAC" w:rsidRDefault="004220AA" w:rsidP="00461ADD">
            <w:pPr>
              <w:jc w:val="both"/>
              <w:rPr>
                <w:sz w:val="24"/>
                <w:szCs w:val="24"/>
              </w:rPr>
            </w:pPr>
          </w:p>
        </w:tc>
        <w:tc>
          <w:tcPr>
            <w:tcW w:w="1366" w:type="dxa"/>
          </w:tcPr>
          <w:p w14:paraId="6FBD860C" w14:textId="77777777" w:rsidR="004220AA" w:rsidRPr="00961BAC" w:rsidRDefault="004220AA" w:rsidP="00461ADD">
            <w:pPr>
              <w:jc w:val="both"/>
              <w:rPr>
                <w:sz w:val="24"/>
                <w:szCs w:val="24"/>
              </w:rPr>
            </w:pPr>
          </w:p>
        </w:tc>
      </w:tr>
      <w:tr w:rsidR="004220AA" w:rsidRPr="00961BAC" w14:paraId="637EB2DC" w14:textId="77777777" w:rsidTr="005311A3">
        <w:tc>
          <w:tcPr>
            <w:tcW w:w="2972" w:type="dxa"/>
          </w:tcPr>
          <w:p w14:paraId="42E5BF4D" w14:textId="77777777" w:rsidR="004220AA" w:rsidRPr="00961BAC" w:rsidRDefault="004220AA" w:rsidP="00461ADD">
            <w:pPr>
              <w:jc w:val="both"/>
              <w:rPr>
                <w:sz w:val="24"/>
                <w:szCs w:val="24"/>
              </w:rPr>
            </w:pPr>
            <w:r w:rsidRPr="00961BAC">
              <w:rPr>
                <w:sz w:val="24"/>
                <w:szCs w:val="24"/>
              </w:rPr>
              <w:t xml:space="preserve">  Male</w:t>
            </w:r>
          </w:p>
        </w:tc>
        <w:tc>
          <w:tcPr>
            <w:tcW w:w="1559" w:type="dxa"/>
          </w:tcPr>
          <w:p w14:paraId="02E8CDEF" w14:textId="77777777" w:rsidR="004220AA" w:rsidRPr="00961BAC" w:rsidRDefault="004220AA" w:rsidP="00461ADD">
            <w:pPr>
              <w:jc w:val="both"/>
              <w:rPr>
                <w:sz w:val="24"/>
                <w:szCs w:val="24"/>
              </w:rPr>
            </w:pPr>
            <w:r w:rsidRPr="00961BAC">
              <w:rPr>
                <w:sz w:val="24"/>
                <w:szCs w:val="24"/>
              </w:rPr>
              <w:t>1,147 (28.3%)</w:t>
            </w:r>
          </w:p>
        </w:tc>
        <w:tc>
          <w:tcPr>
            <w:tcW w:w="1560" w:type="dxa"/>
          </w:tcPr>
          <w:p w14:paraId="3830FEF3" w14:textId="77777777" w:rsidR="004220AA" w:rsidRPr="00961BAC" w:rsidRDefault="004220AA" w:rsidP="00461ADD">
            <w:pPr>
              <w:jc w:val="both"/>
              <w:rPr>
                <w:sz w:val="24"/>
                <w:szCs w:val="24"/>
              </w:rPr>
            </w:pPr>
            <w:r w:rsidRPr="00961BAC">
              <w:rPr>
                <w:sz w:val="24"/>
                <w:szCs w:val="24"/>
              </w:rPr>
              <w:t>-1.63 (0.35)</w:t>
            </w:r>
          </w:p>
        </w:tc>
        <w:tc>
          <w:tcPr>
            <w:tcW w:w="1559" w:type="dxa"/>
          </w:tcPr>
          <w:p w14:paraId="4AB181CD" w14:textId="77777777" w:rsidR="004220AA" w:rsidRPr="00961BAC" w:rsidRDefault="004220AA" w:rsidP="00461ADD">
            <w:pPr>
              <w:jc w:val="both"/>
              <w:rPr>
                <w:sz w:val="24"/>
                <w:szCs w:val="24"/>
              </w:rPr>
            </w:pPr>
            <w:r w:rsidRPr="00961BAC">
              <w:rPr>
                <w:sz w:val="24"/>
                <w:szCs w:val="24"/>
              </w:rPr>
              <w:t>(-2.32, -0.93)</w:t>
            </w:r>
          </w:p>
        </w:tc>
        <w:tc>
          <w:tcPr>
            <w:tcW w:w="1366" w:type="dxa"/>
          </w:tcPr>
          <w:p w14:paraId="16CD77EE" w14:textId="77777777" w:rsidR="004220AA" w:rsidRPr="00961BAC" w:rsidRDefault="004220AA" w:rsidP="00461ADD">
            <w:pPr>
              <w:jc w:val="both"/>
              <w:rPr>
                <w:sz w:val="24"/>
                <w:szCs w:val="24"/>
              </w:rPr>
            </w:pPr>
            <w:r w:rsidRPr="00961BAC">
              <w:rPr>
                <w:sz w:val="24"/>
                <w:szCs w:val="24"/>
              </w:rPr>
              <w:t>&lt;0.001</w:t>
            </w:r>
          </w:p>
        </w:tc>
      </w:tr>
      <w:tr w:rsidR="004220AA" w:rsidRPr="00961BAC" w14:paraId="5C559275" w14:textId="77777777" w:rsidTr="005311A3">
        <w:tc>
          <w:tcPr>
            <w:tcW w:w="2972" w:type="dxa"/>
          </w:tcPr>
          <w:p w14:paraId="5DFAEA60" w14:textId="77777777" w:rsidR="004220AA" w:rsidRPr="00961BAC" w:rsidRDefault="004220AA" w:rsidP="00461ADD">
            <w:pPr>
              <w:jc w:val="both"/>
              <w:rPr>
                <w:sz w:val="24"/>
                <w:szCs w:val="24"/>
              </w:rPr>
            </w:pPr>
            <w:r w:rsidRPr="00961BAC">
              <w:rPr>
                <w:sz w:val="24"/>
                <w:szCs w:val="24"/>
              </w:rPr>
              <w:t>IMD</w:t>
            </w:r>
          </w:p>
        </w:tc>
        <w:tc>
          <w:tcPr>
            <w:tcW w:w="1559" w:type="dxa"/>
          </w:tcPr>
          <w:p w14:paraId="7DFE599C" w14:textId="77777777" w:rsidR="004220AA" w:rsidRPr="00961BAC" w:rsidRDefault="004220AA" w:rsidP="00461ADD">
            <w:pPr>
              <w:jc w:val="both"/>
              <w:rPr>
                <w:sz w:val="24"/>
                <w:szCs w:val="24"/>
              </w:rPr>
            </w:pPr>
          </w:p>
        </w:tc>
        <w:tc>
          <w:tcPr>
            <w:tcW w:w="1560" w:type="dxa"/>
          </w:tcPr>
          <w:p w14:paraId="21C0B5BA" w14:textId="77777777" w:rsidR="004220AA" w:rsidRPr="00961BAC" w:rsidRDefault="004220AA" w:rsidP="00461ADD">
            <w:pPr>
              <w:jc w:val="both"/>
              <w:rPr>
                <w:sz w:val="24"/>
                <w:szCs w:val="24"/>
              </w:rPr>
            </w:pPr>
          </w:p>
        </w:tc>
        <w:tc>
          <w:tcPr>
            <w:tcW w:w="1559" w:type="dxa"/>
          </w:tcPr>
          <w:p w14:paraId="79086461" w14:textId="77777777" w:rsidR="004220AA" w:rsidRPr="00961BAC" w:rsidRDefault="004220AA" w:rsidP="00461ADD">
            <w:pPr>
              <w:jc w:val="both"/>
              <w:rPr>
                <w:sz w:val="24"/>
                <w:szCs w:val="24"/>
              </w:rPr>
            </w:pPr>
          </w:p>
        </w:tc>
        <w:tc>
          <w:tcPr>
            <w:tcW w:w="1366" w:type="dxa"/>
          </w:tcPr>
          <w:p w14:paraId="51FFC5D6" w14:textId="77777777" w:rsidR="004220AA" w:rsidRPr="00961BAC" w:rsidRDefault="004220AA" w:rsidP="00461ADD">
            <w:pPr>
              <w:jc w:val="both"/>
              <w:rPr>
                <w:sz w:val="24"/>
                <w:szCs w:val="24"/>
              </w:rPr>
            </w:pPr>
          </w:p>
        </w:tc>
      </w:tr>
      <w:tr w:rsidR="004220AA" w:rsidRPr="00961BAC" w14:paraId="7E796FE5" w14:textId="77777777" w:rsidTr="005311A3">
        <w:tc>
          <w:tcPr>
            <w:tcW w:w="2972" w:type="dxa"/>
          </w:tcPr>
          <w:p w14:paraId="59E08C09" w14:textId="77777777" w:rsidR="004220AA" w:rsidRPr="00961BAC" w:rsidRDefault="004220AA" w:rsidP="00461ADD">
            <w:pPr>
              <w:jc w:val="both"/>
              <w:rPr>
                <w:sz w:val="24"/>
                <w:szCs w:val="24"/>
              </w:rPr>
            </w:pPr>
            <w:r w:rsidRPr="00961BAC">
              <w:rPr>
                <w:sz w:val="24"/>
                <w:szCs w:val="24"/>
              </w:rPr>
              <w:t xml:space="preserve">  Quintiles 2+</w:t>
            </w:r>
          </w:p>
        </w:tc>
        <w:tc>
          <w:tcPr>
            <w:tcW w:w="1559" w:type="dxa"/>
          </w:tcPr>
          <w:p w14:paraId="166926F0" w14:textId="77777777" w:rsidR="004220AA" w:rsidRPr="00961BAC" w:rsidRDefault="004220AA" w:rsidP="00461ADD">
            <w:pPr>
              <w:jc w:val="both"/>
              <w:rPr>
                <w:sz w:val="24"/>
                <w:szCs w:val="24"/>
              </w:rPr>
            </w:pPr>
            <w:r w:rsidRPr="00961BAC">
              <w:rPr>
                <w:sz w:val="24"/>
                <w:szCs w:val="24"/>
              </w:rPr>
              <w:t>3,369 (89.8%)</w:t>
            </w:r>
          </w:p>
        </w:tc>
        <w:tc>
          <w:tcPr>
            <w:tcW w:w="1560" w:type="dxa"/>
          </w:tcPr>
          <w:p w14:paraId="5B078DB7" w14:textId="77777777" w:rsidR="004220AA" w:rsidRPr="00961BAC" w:rsidRDefault="004220AA" w:rsidP="00461ADD">
            <w:pPr>
              <w:jc w:val="center"/>
              <w:rPr>
                <w:sz w:val="24"/>
                <w:szCs w:val="24"/>
              </w:rPr>
            </w:pPr>
            <w:r w:rsidRPr="00961BAC">
              <w:rPr>
                <w:sz w:val="24"/>
                <w:szCs w:val="24"/>
              </w:rPr>
              <w:t xml:space="preserve"> Reference</w:t>
            </w:r>
          </w:p>
        </w:tc>
        <w:tc>
          <w:tcPr>
            <w:tcW w:w="1559" w:type="dxa"/>
          </w:tcPr>
          <w:p w14:paraId="4BD49F17" w14:textId="77777777" w:rsidR="004220AA" w:rsidRPr="00961BAC" w:rsidRDefault="004220AA" w:rsidP="00461ADD">
            <w:pPr>
              <w:jc w:val="both"/>
              <w:rPr>
                <w:sz w:val="24"/>
                <w:szCs w:val="24"/>
              </w:rPr>
            </w:pPr>
          </w:p>
        </w:tc>
        <w:tc>
          <w:tcPr>
            <w:tcW w:w="1366" w:type="dxa"/>
          </w:tcPr>
          <w:p w14:paraId="36E807A1" w14:textId="77777777" w:rsidR="004220AA" w:rsidRPr="00961BAC" w:rsidRDefault="004220AA" w:rsidP="00461ADD">
            <w:pPr>
              <w:jc w:val="both"/>
              <w:rPr>
                <w:sz w:val="24"/>
                <w:szCs w:val="24"/>
              </w:rPr>
            </w:pPr>
          </w:p>
        </w:tc>
      </w:tr>
      <w:tr w:rsidR="004220AA" w:rsidRPr="00961BAC" w14:paraId="7C89D949" w14:textId="77777777" w:rsidTr="005311A3">
        <w:tc>
          <w:tcPr>
            <w:tcW w:w="2972" w:type="dxa"/>
          </w:tcPr>
          <w:p w14:paraId="13C69E2D" w14:textId="77777777" w:rsidR="004220AA" w:rsidRPr="00961BAC" w:rsidRDefault="004220AA" w:rsidP="00461ADD">
            <w:pPr>
              <w:jc w:val="both"/>
              <w:rPr>
                <w:sz w:val="24"/>
                <w:szCs w:val="24"/>
              </w:rPr>
            </w:pPr>
            <w:r w:rsidRPr="00961BAC">
              <w:rPr>
                <w:sz w:val="24"/>
                <w:szCs w:val="24"/>
              </w:rPr>
              <w:t xml:space="preserve">  Quintile 1 </w:t>
            </w:r>
          </w:p>
          <w:p w14:paraId="45AEF319" w14:textId="77777777" w:rsidR="004220AA" w:rsidRPr="00961BAC" w:rsidRDefault="004220AA" w:rsidP="00461ADD">
            <w:pPr>
              <w:jc w:val="both"/>
              <w:rPr>
                <w:sz w:val="24"/>
                <w:szCs w:val="24"/>
              </w:rPr>
            </w:pPr>
            <w:r w:rsidRPr="00961BAC">
              <w:rPr>
                <w:sz w:val="24"/>
                <w:szCs w:val="24"/>
              </w:rPr>
              <w:t>(most deprived)</w:t>
            </w:r>
          </w:p>
        </w:tc>
        <w:tc>
          <w:tcPr>
            <w:tcW w:w="1559" w:type="dxa"/>
          </w:tcPr>
          <w:p w14:paraId="63B0DC3F" w14:textId="77777777" w:rsidR="004220AA" w:rsidRPr="00961BAC" w:rsidRDefault="004220AA" w:rsidP="00461ADD">
            <w:pPr>
              <w:jc w:val="both"/>
              <w:rPr>
                <w:sz w:val="24"/>
                <w:szCs w:val="24"/>
              </w:rPr>
            </w:pPr>
            <w:r w:rsidRPr="00961BAC">
              <w:rPr>
                <w:sz w:val="24"/>
                <w:szCs w:val="24"/>
              </w:rPr>
              <w:t>383 (10.2%)</w:t>
            </w:r>
          </w:p>
        </w:tc>
        <w:tc>
          <w:tcPr>
            <w:tcW w:w="1560" w:type="dxa"/>
          </w:tcPr>
          <w:p w14:paraId="12FE58BF" w14:textId="77777777" w:rsidR="004220AA" w:rsidRPr="00961BAC" w:rsidRDefault="004220AA" w:rsidP="00461ADD">
            <w:pPr>
              <w:jc w:val="both"/>
              <w:rPr>
                <w:sz w:val="24"/>
                <w:szCs w:val="24"/>
              </w:rPr>
            </w:pPr>
            <w:r w:rsidRPr="00961BAC">
              <w:rPr>
                <w:sz w:val="24"/>
                <w:szCs w:val="24"/>
              </w:rPr>
              <w:t>1.41 (0.52)</w:t>
            </w:r>
          </w:p>
        </w:tc>
        <w:tc>
          <w:tcPr>
            <w:tcW w:w="1559" w:type="dxa"/>
          </w:tcPr>
          <w:p w14:paraId="429F5487" w14:textId="77777777" w:rsidR="004220AA" w:rsidRPr="00961BAC" w:rsidRDefault="004220AA" w:rsidP="00461ADD">
            <w:pPr>
              <w:jc w:val="both"/>
              <w:rPr>
                <w:sz w:val="24"/>
                <w:szCs w:val="24"/>
              </w:rPr>
            </w:pPr>
            <w:r w:rsidRPr="00961BAC">
              <w:rPr>
                <w:sz w:val="24"/>
                <w:szCs w:val="24"/>
              </w:rPr>
              <w:t>(0.40, 2.43)</w:t>
            </w:r>
          </w:p>
        </w:tc>
        <w:tc>
          <w:tcPr>
            <w:tcW w:w="1366" w:type="dxa"/>
          </w:tcPr>
          <w:p w14:paraId="757AA145" w14:textId="77777777" w:rsidR="004220AA" w:rsidRPr="00961BAC" w:rsidRDefault="004220AA" w:rsidP="00461ADD">
            <w:pPr>
              <w:jc w:val="both"/>
              <w:rPr>
                <w:sz w:val="24"/>
                <w:szCs w:val="24"/>
              </w:rPr>
            </w:pPr>
            <w:r w:rsidRPr="00961BAC">
              <w:rPr>
                <w:sz w:val="24"/>
                <w:szCs w:val="24"/>
              </w:rPr>
              <w:t>0.006</w:t>
            </w:r>
          </w:p>
        </w:tc>
      </w:tr>
      <w:tr w:rsidR="004220AA" w:rsidRPr="00961BAC" w14:paraId="65303C37" w14:textId="77777777" w:rsidTr="005311A3">
        <w:tc>
          <w:tcPr>
            <w:tcW w:w="2972" w:type="dxa"/>
          </w:tcPr>
          <w:p w14:paraId="33828789" w14:textId="269BCA51" w:rsidR="004220AA" w:rsidRPr="00961BAC" w:rsidRDefault="004220AA" w:rsidP="00461ADD">
            <w:pPr>
              <w:jc w:val="both"/>
              <w:rPr>
                <w:sz w:val="24"/>
                <w:szCs w:val="24"/>
              </w:rPr>
            </w:pPr>
            <w:r w:rsidRPr="00961BAC">
              <w:rPr>
                <w:sz w:val="24"/>
                <w:szCs w:val="24"/>
              </w:rPr>
              <w:t>Month</w:t>
            </w:r>
            <w:r w:rsidR="005311A3" w:rsidRPr="00961BAC">
              <w:rPr>
                <w:sz w:val="24"/>
                <w:szCs w:val="24"/>
              </w:rPr>
              <w:t>s</w:t>
            </w:r>
            <w:r w:rsidRPr="00961BAC">
              <w:rPr>
                <w:sz w:val="24"/>
                <w:szCs w:val="24"/>
              </w:rPr>
              <w:t xml:space="preserve"> since baseline</w:t>
            </w:r>
          </w:p>
        </w:tc>
        <w:tc>
          <w:tcPr>
            <w:tcW w:w="1559" w:type="dxa"/>
          </w:tcPr>
          <w:p w14:paraId="31966903" w14:textId="77777777" w:rsidR="004220AA" w:rsidRPr="00961BAC" w:rsidRDefault="004220AA" w:rsidP="00461ADD">
            <w:pPr>
              <w:jc w:val="both"/>
              <w:rPr>
                <w:sz w:val="24"/>
                <w:szCs w:val="24"/>
              </w:rPr>
            </w:pPr>
          </w:p>
        </w:tc>
        <w:tc>
          <w:tcPr>
            <w:tcW w:w="1560" w:type="dxa"/>
          </w:tcPr>
          <w:p w14:paraId="7247748C" w14:textId="77777777" w:rsidR="004220AA" w:rsidRPr="00961BAC" w:rsidRDefault="004220AA" w:rsidP="00461ADD">
            <w:pPr>
              <w:jc w:val="both"/>
              <w:rPr>
                <w:sz w:val="24"/>
                <w:szCs w:val="24"/>
              </w:rPr>
            </w:pPr>
            <w:r w:rsidRPr="00961BAC">
              <w:rPr>
                <w:sz w:val="24"/>
                <w:szCs w:val="24"/>
              </w:rPr>
              <w:t>-0.34 (0.17)</w:t>
            </w:r>
          </w:p>
        </w:tc>
        <w:tc>
          <w:tcPr>
            <w:tcW w:w="1559" w:type="dxa"/>
          </w:tcPr>
          <w:p w14:paraId="3A4F249B" w14:textId="77777777" w:rsidR="004220AA" w:rsidRPr="00961BAC" w:rsidRDefault="004220AA" w:rsidP="00461ADD">
            <w:pPr>
              <w:jc w:val="both"/>
              <w:rPr>
                <w:sz w:val="24"/>
                <w:szCs w:val="24"/>
              </w:rPr>
            </w:pPr>
            <w:r w:rsidRPr="00961BAC">
              <w:rPr>
                <w:sz w:val="24"/>
                <w:szCs w:val="24"/>
              </w:rPr>
              <w:t>(-0.67, -0.01)</w:t>
            </w:r>
          </w:p>
        </w:tc>
        <w:tc>
          <w:tcPr>
            <w:tcW w:w="1366" w:type="dxa"/>
          </w:tcPr>
          <w:p w14:paraId="093C30FE" w14:textId="77777777" w:rsidR="004220AA" w:rsidRPr="00961BAC" w:rsidRDefault="004220AA" w:rsidP="00461ADD">
            <w:pPr>
              <w:jc w:val="both"/>
              <w:rPr>
                <w:sz w:val="24"/>
                <w:szCs w:val="24"/>
              </w:rPr>
            </w:pPr>
            <w:r w:rsidRPr="00961BAC">
              <w:rPr>
                <w:sz w:val="24"/>
                <w:szCs w:val="24"/>
              </w:rPr>
              <w:t>0.041</w:t>
            </w:r>
          </w:p>
        </w:tc>
      </w:tr>
      <w:tr w:rsidR="004220AA" w:rsidRPr="00961BAC" w14:paraId="1E30E0D6" w14:textId="77777777" w:rsidTr="005311A3">
        <w:tc>
          <w:tcPr>
            <w:tcW w:w="2972" w:type="dxa"/>
          </w:tcPr>
          <w:p w14:paraId="48C80077" w14:textId="41AD59A5" w:rsidR="004220AA" w:rsidRPr="00961BAC" w:rsidRDefault="004220AA" w:rsidP="00461ADD">
            <w:pPr>
              <w:jc w:val="both"/>
              <w:rPr>
                <w:sz w:val="24"/>
                <w:szCs w:val="24"/>
              </w:rPr>
            </w:pPr>
            <w:r w:rsidRPr="00961BAC">
              <w:rPr>
                <w:sz w:val="24"/>
                <w:szCs w:val="24"/>
              </w:rPr>
              <w:t>Age</w:t>
            </w:r>
            <w:r w:rsidR="0060517F" w:rsidRPr="00961BAC">
              <w:rPr>
                <w:sz w:val="24"/>
                <w:szCs w:val="24"/>
              </w:rPr>
              <w:t>*Month</w:t>
            </w:r>
            <w:r w:rsidR="005311A3" w:rsidRPr="00961BAC">
              <w:rPr>
                <w:sz w:val="24"/>
                <w:szCs w:val="24"/>
              </w:rPr>
              <w:t>s</w:t>
            </w:r>
            <w:r w:rsidR="0060517F" w:rsidRPr="00961BAC">
              <w:rPr>
                <w:sz w:val="24"/>
                <w:szCs w:val="24"/>
              </w:rPr>
              <w:t xml:space="preserve"> since baseline</w:t>
            </w:r>
          </w:p>
        </w:tc>
        <w:tc>
          <w:tcPr>
            <w:tcW w:w="1559" w:type="dxa"/>
          </w:tcPr>
          <w:p w14:paraId="3BC6BF68" w14:textId="77777777" w:rsidR="004220AA" w:rsidRPr="00961BAC" w:rsidRDefault="004220AA" w:rsidP="00461ADD">
            <w:pPr>
              <w:jc w:val="both"/>
              <w:rPr>
                <w:sz w:val="24"/>
                <w:szCs w:val="24"/>
              </w:rPr>
            </w:pPr>
          </w:p>
        </w:tc>
        <w:tc>
          <w:tcPr>
            <w:tcW w:w="1560" w:type="dxa"/>
          </w:tcPr>
          <w:p w14:paraId="52A9BB04" w14:textId="77777777" w:rsidR="004220AA" w:rsidRPr="00961BAC" w:rsidRDefault="004220AA" w:rsidP="00461ADD">
            <w:pPr>
              <w:jc w:val="both"/>
              <w:rPr>
                <w:sz w:val="24"/>
                <w:szCs w:val="24"/>
              </w:rPr>
            </w:pPr>
          </w:p>
        </w:tc>
        <w:tc>
          <w:tcPr>
            <w:tcW w:w="1559" w:type="dxa"/>
          </w:tcPr>
          <w:p w14:paraId="5478782C" w14:textId="77777777" w:rsidR="004220AA" w:rsidRPr="00961BAC" w:rsidRDefault="004220AA" w:rsidP="00461ADD">
            <w:pPr>
              <w:jc w:val="both"/>
              <w:rPr>
                <w:sz w:val="24"/>
                <w:szCs w:val="24"/>
              </w:rPr>
            </w:pPr>
          </w:p>
        </w:tc>
        <w:tc>
          <w:tcPr>
            <w:tcW w:w="1366" w:type="dxa"/>
          </w:tcPr>
          <w:p w14:paraId="2CA70328" w14:textId="77777777" w:rsidR="004220AA" w:rsidRPr="00961BAC" w:rsidRDefault="004220AA" w:rsidP="00461ADD">
            <w:pPr>
              <w:jc w:val="both"/>
              <w:rPr>
                <w:sz w:val="24"/>
                <w:szCs w:val="24"/>
              </w:rPr>
            </w:pPr>
          </w:p>
        </w:tc>
      </w:tr>
      <w:tr w:rsidR="004220AA" w:rsidRPr="00961BAC" w14:paraId="2BB8FA8F" w14:textId="77777777" w:rsidTr="005311A3">
        <w:tc>
          <w:tcPr>
            <w:tcW w:w="2972" w:type="dxa"/>
          </w:tcPr>
          <w:p w14:paraId="542E3A46" w14:textId="77777777" w:rsidR="004220AA" w:rsidRPr="00961BAC" w:rsidRDefault="004220AA" w:rsidP="00461ADD">
            <w:pPr>
              <w:jc w:val="both"/>
              <w:rPr>
                <w:sz w:val="24"/>
                <w:szCs w:val="24"/>
              </w:rPr>
            </w:pPr>
            <w:r w:rsidRPr="00961BAC">
              <w:rPr>
                <w:sz w:val="24"/>
                <w:szCs w:val="24"/>
              </w:rPr>
              <w:t xml:space="preserve"> 18-29</w:t>
            </w:r>
          </w:p>
        </w:tc>
        <w:tc>
          <w:tcPr>
            <w:tcW w:w="1559" w:type="dxa"/>
          </w:tcPr>
          <w:p w14:paraId="0C7E62AE" w14:textId="77777777" w:rsidR="004220AA" w:rsidRPr="00961BAC" w:rsidRDefault="004220AA" w:rsidP="00461ADD">
            <w:pPr>
              <w:jc w:val="both"/>
              <w:rPr>
                <w:sz w:val="24"/>
                <w:szCs w:val="24"/>
              </w:rPr>
            </w:pPr>
          </w:p>
        </w:tc>
        <w:tc>
          <w:tcPr>
            <w:tcW w:w="1560" w:type="dxa"/>
          </w:tcPr>
          <w:p w14:paraId="679C591E" w14:textId="77777777" w:rsidR="004220AA" w:rsidRPr="00961BAC" w:rsidRDefault="004220AA" w:rsidP="00461ADD">
            <w:pPr>
              <w:jc w:val="center"/>
              <w:rPr>
                <w:sz w:val="24"/>
                <w:szCs w:val="24"/>
              </w:rPr>
            </w:pPr>
            <w:r w:rsidRPr="00961BAC">
              <w:rPr>
                <w:sz w:val="24"/>
                <w:szCs w:val="24"/>
              </w:rPr>
              <w:t>Reference</w:t>
            </w:r>
            <w:r w:rsidRPr="00961BAC" w:rsidDel="00862AD4">
              <w:rPr>
                <w:sz w:val="24"/>
                <w:szCs w:val="24"/>
              </w:rPr>
              <w:t xml:space="preserve"> </w:t>
            </w:r>
          </w:p>
        </w:tc>
        <w:tc>
          <w:tcPr>
            <w:tcW w:w="1559" w:type="dxa"/>
          </w:tcPr>
          <w:p w14:paraId="7413BEAB" w14:textId="77777777" w:rsidR="004220AA" w:rsidRPr="00961BAC" w:rsidRDefault="004220AA" w:rsidP="00461ADD">
            <w:pPr>
              <w:jc w:val="both"/>
              <w:rPr>
                <w:sz w:val="24"/>
                <w:szCs w:val="24"/>
              </w:rPr>
            </w:pPr>
          </w:p>
        </w:tc>
        <w:tc>
          <w:tcPr>
            <w:tcW w:w="1366" w:type="dxa"/>
          </w:tcPr>
          <w:p w14:paraId="3486A01B" w14:textId="77777777" w:rsidR="004220AA" w:rsidRPr="00961BAC" w:rsidRDefault="004220AA" w:rsidP="00461ADD">
            <w:pPr>
              <w:jc w:val="both"/>
              <w:rPr>
                <w:sz w:val="24"/>
                <w:szCs w:val="24"/>
              </w:rPr>
            </w:pPr>
          </w:p>
        </w:tc>
      </w:tr>
      <w:tr w:rsidR="004220AA" w:rsidRPr="00961BAC" w14:paraId="464D18B1" w14:textId="77777777" w:rsidTr="005311A3">
        <w:tc>
          <w:tcPr>
            <w:tcW w:w="2972" w:type="dxa"/>
          </w:tcPr>
          <w:p w14:paraId="7271161D" w14:textId="77777777" w:rsidR="004220AA" w:rsidRPr="00961BAC" w:rsidRDefault="004220AA" w:rsidP="00461ADD">
            <w:pPr>
              <w:jc w:val="both"/>
              <w:rPr>
                <w:sz w:val="24"/>
                <w:szCs w:val="24"/>
              </w:rPr>
            </w:pPr>
            <w:r w:rsidRPr="00961BAC">
              <w:rPr>
                <w:sz w:val="24"/>
                <w:szCs w:val="24"/>
              </w:rPr>
              <w:t xml:space="preserve">  30-49</w:t>
            </w:r>
          </w:p>
        </w:tc>
        <w:tc>
          <w:tcPr>
            <w:tcW w:w="1559" w:type="dxa"/>
          </w:tcPr>
          <w:p w14:paraId="776A5263" w14:textId="77777777" w:rsidR="004220AA" w:rsidRPr="00961BAC" w:rsidRDefault="004220AA" w:rsidP="00461ADD">
            <w:pPr>
              <w:jc w:val="both"/>
              <w:rPr>
                <w:sz w:val="24"/>
                <w:szCs w:val="24"/>
              </w:rPr>
            </w:pPr>
          </w:p>
        </w:tc>
        <w:tc>
          <w:tcPr>
            <w:tcW w:w="1560" w:type="dxa"/>
          </w:tcPr>
          <w:p w14:paraId="44E7A9E8" w14:textId="77777777" w:rsidR="004220AA" w:rsidRPr="00961BAC" w:rsidRDefault="004220AA" w:rsidP="00461ADD">
            <w:pPr>
              <w:jc w:val="both"/>
              <w:rPr>
                <w:sz w:val="24"/>
                <w:szCs w:val="24"/>
              </w:rPr>
            </w:pPr>
            <w:r w:rsidRPr="00961BAC">
              <w:rPr>
                <w:sz w:val="24"/>
                <w:szCs w:val="24"/>
              </w:rPr>
              <w:t>0.14 (0.18)</w:t>
            </w:r>
          </w:p>
        </w:tc>
        <w:tc>
          <w:tcPr>
            <w:tcW w:w="1559" w:type="dxa"/>
          </w:tcPr>
          <w:p w14:paraId="066E128F" w14:textId="77777777" w:rsidR="004220AA" w:rsidRPr="00961BAC" w:rsidRDefault="004220AA" w:rsidP="00461ADD">
            <w:pPr>
              <w:jc w:val="both"/>
              <w:rPr>
                <w:sz w:val="24"/>
                <w:szCs w:val="24"/>
              </w:rPr>
            </w:pPr>
            <w:r w:rsidRPr="00961BAC">
              <w:rPr>
                <w:sz w:val="24"/>
                <w:szCs w:val="24"/>
              </w:rPr>
              <w:t>(-0.21, 0.50)</w:t>
            </w:r>
          </w:p>
        </w:tc>
        <w:tc>
          <w:tcPr>
            <w:tcW w:w="1366" w:type="dxa"/>
          </w:tcPr>
          <w:p w14:paraId="47CAB34B" w14:textId="77777777" w:rsidR="004220AA" w:rsidRPr="00961BAC" w:rsidRDefault="004220AA" w:rsidP="00461ADD">
            <w:pPr>
              <w:jc w:val="both"/>
              <w:rPr>
                <w:sz w:val="24"/>
                <w:szCs w:val="24"/>
              </w:rPr>
            </w:pPr>
            <w:r w:rsidRPr="00961BAC">
              <w:rPr>
                <w:sz w:val="24"/>
                <w:szCs w:val="24"/>
              </w:rPr>
              <w:t>0.429</w:t>
            </w:r>
          </w:p>
        </w:tc>
      </w:tr>
      <w:tr w:rsidR="004220AA" w:rsidRPr="00961BAC" w14:paraId="3D64CD46" w14:textId="77777777" w:rsidTr="005311A3">
        <w:tc>
          <w:tcPr>
            <w:tcW w:w="2972" w:type="dxa"/>
          </w:tcPr>
          <w:p w14:paraId="16B90CFA" w14:textId="77777777" w:rsidR="004220AA" w:rsidRPr="00961BAC" w:rsidRDefault="004220AA" w:rsidP="00461ADD">
            <w:pPr>
              <w:jc w:val="both"/>
              <w:rPr>
                <w:sz w:val="24"/>
                <w:szCs w:val="24"/>
              </w:rPr>
            </w:pPr>
            <w:r w:rsidRPr="00961BAC">
              <w:rPr>
                <w:sz w:val="24"/>
                <w:szCs w:val="24"/>
              </w:rPr>
              <w:t xml:space="preserve">  50-64</w:t>
            </w:r>
          </w:p>
        </w:tc>
        <w:tc>
          <w:tcPr>
            <w:tcW w:w="1559" w:type="dxa"/>
          </w:tcPr>
          <w:p w14:paraId="5433A205" w14:textId="77777777" w:rsidR="004220AA" w:rsidRPr="00961BAC" w:rsidRDefault="004220AA" w:rsidP="00461ADD">
            <w:pPr>
              <w:jc w:val="both"/>
              <w:rPr>
                <w:sz w:val="24"/>
                <w:szCs w:val="24"/>
              </w:rPr>
            </w:pPr>
          </w:p>
        </w:tc>
        <w:tc>
          <w:tcPr>
            <w:tcW w:w="1560" w:type="dxa"/>
          </w:tcPr>
          <w:p w14:paraId="5BDB736E" w14:textId="77777777" w:rsidR="004220AA" w:rsidRPr="00961BAC" w:rsidRDefault="004220AA" w:rsidP="00461ADD">
            <w:pPr>
              <w:jc w:val="both"/>
              <w:rPr>
                <w:sz w:val="24"/>
                <w:szCs w:val="24"/>
              </w:rPr>
            </w:pPr>
            <w:r w:rsidRPr="00961BAC">
              <w:rPr>
                <w:sz w:val="24"/>
                <w:szCs w:val="24"/>
              </w:rPr>
              <w:t>-0.13 (0.18)</w:t>
            </w:r>
          </w:p>
        </w:tc>
        <w:tc>
          <w:tcPr>
            <w:tcW w:w="1559" w:type="dxa"/>
          </w:tcPr>
          <w:p w14:paraId="0CE82618" w14:textId="77777777" w:rsidR="004220AA" w:rsidRPr="00961BAC" w:rsidRDefault="004220AA" w:rsidP="00461ADD">
            <w:pPr>
              <w:jc w:val="both"/>
              <w:rPr>
                <w:sz w:val="24"/>
                <w:szCs w:val="24"/>
              </w:rPr>
            </w:pPr>
            <w:r w:rsidRPr="00961BAC">
              <w:rPr>
                <w:sz w:val="24"/>
                <w:szCs w:val="24"/>
              </w:rPr>
              <w:t>(-0.49, 0.22)</w:t>
            </w:r>
          </w:p>
        </w:tc>
        <w:tc>
          <w:tcPr>
            <w:tcW w:w="1366" w:type="dxa"/>
          </w:tcPr>
          <w:p w14:paraId="410A261C" w14:textId="77777777" w:rsidR="004220AA" w:rsidRPr="00961BAC" w:rsidRDefault="004220AA" w:rsidP="00461ADD">
            <w:pPr>
              <w:jc w:val="both"/>
              <w:rPr>
                <w:sz w:val="24"/>
                <w:szCs w:val="24"/>
              </w:rPr>
            </w:pPr>
            <w:r w:rsidRPr="00961BAC">
              <w:rPr>
                <w:sz w:val="24"/>
                <w:szCs w:val="24"/>
              </w:rPr>
              <w:t>0.461</w:t>
            </w:r>
          </w:p>
        </w:tc>
      </w:tr>
      <w:tr w:rsidR="004220AA" w:rsidRPr="00961BAC" w14:paraId="6425DC02" w14:textId="77777777" w:rsidTr="005311A3">
        <w:tc>
          <w:tcPr>
            <w:tcW w:w="2972" w:type="dxa"/>
          </w:tcPr>
          <w:p w14:paraId="5F23CCBF" w14:textId="77777777" w:rsidR="004220AA" w:rsidRPr="00961BAC" w:rsidRDefault="004220AA" w:rsidP="00461ADD">
            <w:pPr>
              <w:jc w:val="both"/>
              <w:rPr>
                <w:sz w:val="24"/>
                <w:szCs w:val="24"/>
              </w:rPr>
            </w:pPr>
            <w:r w:rsidRPr="00961BAC">
              <w:rPr>
                <w:sz w:val="24"/>
                <w:szCs w:val="24"/>
              </w:rPr>
              <w:t xml:space="preserve">  65+</w:t>
            </w:r>
          </w:p>
        </w:tc>
        <w:tc>
          <w:tcPr>
            <w:tcW w:w="1559" w:type="dxa"/>
          </w:tcPr>
          <w:p w14:paraId="7B729ED0" w14:textId="77777777" w:rsidR="004220AA" w:rsidRPr="00961BAC" w:rsidRDefault="004220AA" w:rsidP="00461ADD">
            <w:pPr>
              <w:jc w:val="both"/>
              <w:rPr>
                <w:sz w:val="24"/>
                <w:szCs w:val="24"/>
              </w:rPr>
            </w:pPr>
          </w:p>
        </w:tc>
        <w:tc>
          <w:tcPr>
            <w:tcW w:w="1560" w:type="dxa"/>
          </w:tcPr>
          <w:p w14:paraId="7743932F" w14:textId="77777777" w:rsidR="004220AA" w:rsidRPr="00961BAC" w:rsidRDefault="004220AA" w:rsidP="00461ADD">
            <w:pPr>
              <w:jc w:val="both"/>
              <w:rPr>
                <w:sz w:val="24"/>
                <w:szCs w:val="24"/>
              </w:rPr>
            </w:pPr>
            <w:r w:rsidRPr="00961BAC">
              <w:rPr>
                <w:sz w:val="24"/>
                <w:szCs w:val="24"/>
              </w:rPr>
              <w:t>-0.32 (0.25)</w:t>
            </w:r>
          </w:p>
        </w:tc>
        <w:tc>
          <w:tcPr>
            <w:tcW w:w="1559" w:type="dxa"/>
          </w:tcPr>
          <w:p w14:paraId="76727B91" w14:textId="77777777" w:rsidR="004220AA" w:rsidRPr="00961BAC" w:rsidRDefault="004220AA" w:rsidP="00461ADD">
            <w:pPr>
              <w:jc w:val="both"/>
              <w:rPr>
                <w:sz w:val="24"/>
                <w:szCs w:val="24"/>
              </w:rPr>
            </w:pPr>
            <w:r w:rsidRPr="00961BAC">
              <w:rPr>
                <w:sz w:val="24"/>
                <w:szCs w:val="24"/>
              </w:rPr>
              <w:t>(-0.80, 0.17)</w:t>
            </w:r>
          </w:p>
        </w:tc>
        <w:tc>
          <w:tcPr>
            <w:tcW w:w="1366" w:type="dxa"/>
          </w:tcPr>
          <w:p w14:paraId="20FB4F81" w14:textId="77777777" w:rsidR="004220AA" w:rsidRPr="00961BAC" w:rsidRDefault="004220AA" w:rsidP="00461ADD">
            <w:pPr>
              <w:jc w:val="both"/>
              <w:rPr>
                <w:sz w:val="24"/>
                <w:szCs w:val="24"/>
              </w:rPr>
            </w:pPr>
            <w:r w:rsidRPr="00961BAC">
              <w:rPr>
                <w:sz w:val="24"/>
                <w:szCs w:val="24"/>
              </w:rPr>
              <w:t>0.200</w:t>
            </w:r>
          </w:p>
        </w:tc>
      </w:tr>
    </w:tbl>
    <w:p w14:paraId="4661C8A1" w14:textId="69C3B795" w:rsidR="00DD5A1F" w:rsidRPr="00961BAC" w:rsidRDefault="00DD5A1F" w:rsidP="00647172">
      <w:pPr>
        <w:jc w:val="both"/>
        <w:rPr>
          <w:sz w:val="20"/>
          <w:szCs w:val="20"/>
        </w:rPr>
      </w:pPr>
      <w:r w:rsidRPr="00961BAC">
        <w:rPr>
          <w:sz w:val="20"/>
          <w:szCs w:val="20"/>
        </w:rPr>
        <w:t>IMD: Index of multiple deprivation</w:t>
      </w:r>
    </w:p>
    <w:p w14:paraId="747E8F30" w14:textId="77777777" w:rsidR="00D05AAF" w:rsidRPr="00961BAC" w:rsidRDefault="00D05AAF" w:rsidP="00316C4C">
      <w:pPr>
        <w:jc w:val="both"/>
        <w:rPr>
          <w:b/>
          <w:bCs/>
          <w:sz w:val="24"/>
          <w:szCs w:val="24"/>
        </w:rPr>
      </w:pPr>
    </w:p>
    <w:p w14:paraId="05B0B72D" w14:textId="406B6E98" w:rsidR="00466FC1" w:rsidRPr="00961BAC" w:rsidRDefault="00486209" w:rsidP="00316C4C">
      <w:pPr>
        <w:jc w:val="both"/>
        <w:rPr>
          <w:b/>
          <w:bCs/>
          <w:sz w:val="24"/>
          <w:szCs w:val="24"/>
        </w:rPr>
      </w:pPr>
      <w:r w:rsidRPr="00961BAC">
        <w:rPr>
          <w:b/>
          <w:bCs/>
          <w:sz w:val="24"/>
          <w:szCs w:val="24"/>
        </w:rPr>
        <w:t>Health-related quality of life</w:t>
      </w:r>
    </w:p>
    <w:p w14:paraId="733D1B6D" w14:textId="057DA22D" w:rsidR="0054380C" w:rsidRPr="00961BAC" w:rsidRDefault="00ED525E" w:rsidP="00316C4C">
      <w:pPr>
        <w:jc w:val="both"/>
        <w:rPr>
          <w:sz w:val="24"/>
          <w:szCs w:val="24"/>
        </w:rPr>
      </w:pPr>
      <w:r w:rsidRPr="00961BAC">
        <w:rPr>
          <w:sz w:val="24"/>
          <w:szCs w:val="24"/>
        </w:rPr>
        <w:t xml:space="preserve">Figure 2 reports the trajectories of the </w:t>
      </w:r>
      <w:r w:rsidR="00B0593F" w:rsidRPr="00961BAC">
        <w:rPr>
          <w:sz w:val="24"/>
          <w:szCs w:val="24"/>
        </w:rPr>
        <w:t>EQ</w:t>
      </w:r>
      <w:r w:rsidR="0009682A" w:rsidRPr="00961BAC">
        <w:rPr>
          <w:sz w:val="24"/>
          <w:szCs w:val="24"/>
        </w:rPr>
        <w:t>-5D-5L</w:t>
      </w:r>
      <w:r w:rsidRPr="00961BAC">
        <w:rPr>
          <w:sz w:val="24"/>
          <w:szCs w:val="24"/>
        </w:rPr>
        <w:t xml:space="preserve"> for all respondents, and according to the completion status of the EQ-5D-5L questionnaire. </w:t>
      </w:r>
      <w:r w:rsidR="00EB2A7C" w:rsidRPr="00961BAC">
        <w:rPr>
          <w:sz w:val="24"/>
          <w:szCs w:val="24"/>
        </w:rPr>
        <w:t>The estimated mean EQ-5D-5L based on the complete case analysis</w:t>
      </w:r>
      <w:r w:rsidR="001A157F" w:rsidRPr="00961BAC">
        <w:rPr>
          <w:sz w:val="24"/>
          <w:szCs w:val="24"/>
        </w:rPr>
        <w:t xml:space="preserve"> (n=3,523)</w:t>
      </w:r>
      <w:r w:rsidR="00EB2A7C" w:rsidRPr="00961BAC">
        <w:rPr>
          <w:sz w:val="24"/>
          <w:szCs w:val="24"/>
        </w:rPr>
        <w:t xml:space="preserve"> was 0.63 (95% CI 0.62, 0.64) at baseline and 0.64 (95% CI 0.59, 0.69) at 6 months after registration (Figure 2, Panel A). </w:t>
      </w:r>
      <w:r w:rsidR="00CA4207" w:rsidRPr="00961BAC">
        <w:rPr>
          <w:sz w:val="24"/>
          <w:szCs w:val="24"/>
        </w:rPr>
        <w:t>The d</w:t>
      </w:r>
      <w:r w:rsidR="002600A1" w:rsidRPr="00961BAC">
        <w:rPr>
          <w:sz w:val="24"/>
          <w:szCs w:val="24"/>
        </w:rPr>
        <w:t>ifferences in the trajectories of</w:t>
      </w:r>
      <w:r w:rsidR="00401875" w:rsidRPr="00961BAC">
        <w:rPr>
          <w:sz w:val="24"/>
          <w:szCs w:val="24"/>
        </w:rPr>
        <w:t xml:space="preserve"> EQ-5D-5L </w:t>
      </w:r>
      <w:r w:rsidR="002600A1" w:rsidRPr="00961BAC">
        <w:rPr>
          <w:sz w:val="24"/>
          <w:szCs w:val="24"/>
        </w:rPr>
        <w:t>between individuals</w:t>
      </w:r>
      <w:r w:rsidR="00AF3E43" w:rsidRPr="00961BAC">
        <w:rPr>
          <w:sz w:val="24"/>
          <w:szCs w:val="24"/>
        </w:rPr>
        <w:t xml:space="preserve"> with</w:t>
      </w:r>
      <w:r w:rsidR="002600A1" w:rsidRPr="00961BAC">
        <w:rPr>
          <w:sz w:val="24"/>
          <w:szCs w:val="24"/>
        </w:rPr>
        <w:t xml:space="preserve"> </w:t>
      </w:r>
      <w:r w:rsidR="00401875" w:rsidRPr="00961BAC">
        <w:rPr>
          <w:sz w:val="24"/>
          <w:szCs w:val="24"/>
        </w:rPr>
        <w:t xml:space="preserve">follow-up less than </w:t>
      </w:r>
      <w:r w:rsidR="00CF77DB" w:rsidRPr="00961BAC">
        <w:rPr>
          <w:sz w:val="24"/>
          <w:szCs w:val="24"/>
        </w:rPr>
        <w:t>6</w:t>
      </w:r>
      <w:r w:rsidR="00401875" w:rsidRPr="00961BAC">
        <w:rPr>
          <w:sz w:val="24"/>
          <w:szCs w:val="24"/>
        </w:rPr>
        <w:t xml:space="preserve"> months and </w:t>
      </w:r>
      <w:r w:rsidR="00CA41C2" w:rsidRPr="00961BAC">
        <w:rPr>
          <w:sz w:val="24"/>
          <w:szCs w:val="24"/>
        </w:rPr>
        <w:t xml:space="preserve">those with follow up until at least </w:t>
      </w:r>
      <w:r w:rsidR="00CF77DB" w:rsidRPr="00961BAC">
        <w:rPr>
          <w:sz w:val="24"/>
          <w:szCs w:val="24"/>
        </w:rPr>
        <w:t xml:space="preserve">6 </w:t>
      </w:r>
      <w:r w:rsidR="00CA41C2" w:rsidRPr="00961BAC">
        <w:rPr>
          <w:sz w:val="24"/>
          <w:szCs w:val="24"/>
        </w:rPr>
        <w:t>months were small (Figure 2, Panel B)</w:t>
      </w:r>
      <w:r w:rsidR="00AF3E43" w:rsidRPr="00961BAC">
        <w:rPr>
          <w:sz w:val="24"/>
          <w:szCs w:val="24"/>
        </w:rPr>
        <w:t>.</w:t>
      </w:r>
    </w:p>
    <w:p w14:paraId="128891C4" w14:textId="77777777" w:rsidR="008A6934" w:rsidRPr="00961BAC" w:rsidRDefault="00401875" w:rsidP="008A6934">
      <w:pPr>
        <w:tabs>
          <w:tab w:val="left" w:pos="463"/>
        </w:tabs>
        <w:rPr>
          <w:b/>
          <w:bCs/>
          <w:sz w:val="24"/>
          <w:szCs w:val="24"/>
        </w:rPr>
      </w:pPr>
      <w:r w:rsidRPr="00961BAC">
        <w:rPr>
          <w:sz w:val="24"/>
          <w:szCs w:val="24"/>
        </w:rPr>
        <w:t xml:space="preserve"> </w:t>
      </w:r>
      <w:r w:rsidR="008A6934" w:rsidRPr="00961BAC">
        <w:rPr>
          <w:b/>
          <w:bCs/>
          <w:sz w:val="24"/>
          <w:szCs w:val="24"/>
        </w:rPr>
        <w:t>Costs</w:t>
      </w:r>
    </w:p>
    <w:p w14:paraId="64F57F8A" w14:textId="71CCAD75" w:rsidR="00EB346B" w:rsidRPr="00961BAC" w:rsidRDefault="008A6934" w:rsidP="00316C4C">
      <w:pPr>
        <w:jc w:val="both"/>
        <w:rPr>
          <w:sz w:val="24"/>
          <w:szCs w:val="24"/>
        </w:rPr>
      </w:pPr>
      <w:r w:rsidRPr="00961BAC">
        <w:rPr>
          <w:sz w:val="24"/>
          <w:szCs w:val="24"/>
        </w:rPr>
        <w:t>Of the individuals who completed the baseline resource use questionnaire (n=3,422) within the first month of registration, 53% (n = 1,816) completed the questionnaire only at baseline, 39.4% (n = 1,347) completed it at baseline and follow-up between 2 and 5 months after registration, and 7.6% (n = 259) completed it at baseline and follow up until at least 6 months after registration (Online supplemental material, Table S2). Participants with follow up until at least 6 months (versus those who completed the resource use questionnaire at baseline only) were on average older (50.5 vs 45.8), less likely to have a degree (44.0% vs 52.7%), more likely to be white (93.4% vs 87.6%) and less likely to be in the least deprived quintile (19.5% vs 24.9%).</w:t>
      </w:r>
    </w:p>
    <w:p w14:paraId="06ED424B" w14:textId="6A5726E5" w:rsidR="008A6934" w:rsidRPr="00961BAC" w:rsidRDefault="00A14D65" w:rsidP="00A14D65">
      <w:pPr>
        <w:jc w:val="center"/>
        <w:rPr>
          <w:sz w:val="24"/>
          <w:szCs w:val="24"/>
        </w:rPr>
      </w:pPr>
      <w:r>
        <w:rPr>
          <w:sz w:val="24"/>
          <w:szCs w:val="24"/>
        </w:rPr>
        <w:t>&lt;&lt; Figure 2 here &gt;&gt;</w:t>
      </w:r>
    </w:p>
    <w:p w14:paraId="0547CE7B" w14:textId="158C2F15" w:rsidR="00D212CC" w:rsidRPr="00961BAC" w:rsidRDefault="000D2D6A" w:rsidP="001B044F">
      <w:pPr>
        <w:jc w:val="both"/>
        <w:rPr>
          <w:sz w:val="24"/>
          <w:szCs w:val="24"/>
        </w:rPr>
      </w:pPr>
      <w:r w:rsidRPr="00961BAC">
        <w:rPr>
          <w:sz w:val="24"/>
          <w:szCs w:val="24"/>
        </w:rPr>
        <w:t xml:space="preserve">Table 3 reports resource use and costs according to the completion status of the resource use questionnaire. Full results based on the complete case analysis over the 6-month period is reported in </w:t>
      </w:r>
      <w:r w:rsidR="006E558B" w:rsidRPr="00961BAC">
        <w:rPr>
          <w:sz w:val="24"/>
          <w:szCs w:val="24"/>
        </w:rPr>
        <w:t>o</w:t>
      </w:r>
      <w:r w:rsidR="00693DAC" w:rsidRPr="00961BAC">
        <w:rPr>
          <w:sz w:val="24"/>
          <w:szCs w:val="24"/>
        </w:rPr>
        <w:t>nline supplemental material</w:t>
      </w:r>
      <w:r w:rsidRPr="00961BAC">
        <w:rPr>
          <w:sz w:val="24"/>
          <w:szCs w:val="24"/>
        </w:rPr>
        <w:t xml:space="preserve"> (Table S3). </w:t>
      </w:r>
      <w:r w:rsidR="00D212CC" w:rsidRPr="00961BAC">
        <w:rPr>
          <w:sz w:val="24"/>
          <w:szCs w:val="24"/>
        </w:rPr>
        <w:t>The health care costs associated with hospital and primary care visits were small an</w:t>
      </w:r>
      <w:r w:rsidR="00CA5554" w:rsidRPr="00961BAC">
        <w:rPr>
          <w:sz w:val="24"/>
          <w:szCs w:val="24"/>
        </w:rPr>
        <w:t xml:space="preserve">d remained relatively constant </w:t>
      </w:r>
      <w:r w:rsidR="00D212CC" w:rsidRPr="00961BAC">
        <w:rPr>
          <w:sz w:val="24"/>
          <w:szCs w:val="24"/>
        </w:rPr>
        <w:t>over time (</w:t>
      </w:r>
      <w:r w:rsidR="00601EAE" w:rsidRPr="00961BAC">
        <w:rPr>
          <w:sz w:val="24"/>
          <w:szCs w:val="24"/>
        </w:rPr>
        <w:t>o</w:t>
      </w:r>
      <w:r w:rsidR="00693DAC" w:rsidRPr="00961BAC">
        <w:rPr>
          <w:sz w:val="24"/>
          <w:szCs w:val="24"/>
        </w:rPr>
        <w:t>nline supplemental material</w:t>
      </w:r>
      <w:r w:rsidR="00D212CC" w:rsidRPr="00961BAC">
        <w:rPr>
          <w:sz w:val="24"/>
          <w:szCs w:val="24"/>
        </w:rPr>
        <w:t>, Table S3)</w:t>
      </w:r>
      <w:r w:rsidR="009D58F1" w:rsidRPr="00961BAC">
        <w:rPr>
          <w:sz w:val="24"/>
          <w:szCs w:val="24"/>
        </w:rPr>
        <w:t>, and</w:t>
      </w:r>
      <w:r w:rsidR="00D212CC" w:rsidRPr="00961BAC">
        <w:rPr>
          <w:sz w:val="24"/>
          <w:szCs w:val="24"/>
        </w:rPr>
        <w:t xml:space="preserve"> </w:t>
      </w:r>
      <w:r w:rsidR="009D58F1" w:rsidRPr="00961BAC">
        <w:rPr>
          <w:sz w:val="24"/>
          <w:szCs w:val="24"/>
        </w:rPr>
        <w:t xml:space="preserve">did not differ </w:t>
      </w:r>
      <w:r w:rsidR="00D212CC" w:rsidRPr="00961BAC">
        <w:rPr>
          <w:sz w:val="24"/>
          <w:szCs w:val="24"/>
        </w:rPr>
        <w:t xml:space="preserve">according to the completion status of the resource use questionnaire (Table 3). </w:t>
      </w:r>
    </w:p>
    <w:p w14:paraId="7ACCD86B" w14:textId="77777777" w:rsidR="008A6934" w:rsidRPr="00961BAC" w:rsidRDefault="008A6934" w:rsidP="008A6934">
      <w:pPr>
        <w:jc w:val="both"/>
        <w:rPr>
          <w:sz w:val="24"/>
          <w:szCs w:val="24"/>
        </w:rPr>
      </w:pPr>
      <w:r w:rsidRPr="00961BAC">
        <w:rPr>
          <w:sz w:val="24"/>
          <w:szCs w:val="24"/>
        </w:rPr>
        <w:t xml:space="preserve">The participants who completed the questionnaire at baseline only (n = 1,816), reported on average 6.2 (SD 9.9) days off work due to long COVID within the first month of registration, corresponding to a mean (SD) productivity loss of £570 (908). Almost half of these participants (n = 834, 46%) reported at least one day off work (per month), and 18% (n = 324) reported 20 (or more) days off work at baseline. Individuals who completed the resource at both baseline and any follow up reported somewhat higher mean working days lost and associated costs. For example, participants who completed the resource use questionnaire at baseline and follow-up until six months (n=259), reported 7.7 (11.1) days off work six months after registration, which corresponded to a mean (SD) monthly productivity loss at 6 months of £712 (1,017). About half of these individuals (n = 131, 51%) reported at least one day off work, and 23% (n = 60) reported 20 or more working days lost at 6 months. </w:t>
      </w:r>
    </w:p>
    <w:p w14:paraId="722EE1B5" w14:textId="769775EE" w:rsidR="006B05B1" w:rsidRPr="00961BAC" w:rsidRDefault="00937EDD" w:rsidP="00691B04">
      <w:pPr>
        <w:rPr>
          <w:sz w:val="24"/>
          <w:szCs w:val="24"/>
        </w:rPr>
      </w:pPr>
      <w:r w:rsidRPr="00961BAC">
        <w:rPr>
          <w:sz w:val="24"/>
          <w:szCs w:val="24"/>
        </w:rPr>
        <w:t>Table 3. Mean</w:t>
      </w:r>
      <w:r w:rsidR="00362EB5" w:rsidRPr="00961BAC">
        <w:rPr>
          <w:sz w:val="24"/>
          <w:szCs w:val="24"/>
        </w:rPr>
        <w:t xml:space="preserve"> monthly</w:t>
      </w:r>
      <w:r w:rsidR="00C7583E" w:rsidRPr="00961BAC">
        <w:rPr>
          <w:sz w:val="24"/>
          <w:szCs w:val="24"/>
        </w:rPr>
        <w:t xml:space="preserve"> </w:t>
      </w:r>
      <w:r w:rsidR="004C4698" w:rsidRPr="00961BAC">
        <w:rPr>
          <w:sz w:val="24"/>
          <w:szCs w:val="24"/>
        </w:rPr>
        <w:t>resource</w:t>
      </w:r>
      <w:r w:rsidR="00C7583E" w:rsidRPr="00961BAC">
        <w:rPr>
          <w:sz w:val="24"/>
          <w:szCs w:val="24"/>
        </w:rPr>
        <w:t xml:space="preserve"> use and</w:t>
      </w:r>
      <w:r w:rsidRPr="00961BAC">
        <w:rPr>
          <w:sz w:val="24"/>
          <w:szCs w:val="24"/>
        </w:rPr>
        <w:t xml:space="preserve"> cost</w:t>
      </w:r>
      <w:r w:rsidR="00067BEC" w:rsidRPr="00961BAC">
        <w:rPr>
          <w:sz w:val="24"/>
          <w:szCs w:val="24"/>
        </w:rPr>
        <w:t xml:space="preserve"> </w:t>
      </w:r>
      <w:r w:rsidR="00EA158E" w:rsidRPr="00961BAC">
        <w:rPr>
          <w:sz w:val="24"/>
          <w:szCs w:val="24"/>
        </w:rPr>
        <w:t xml:space="preserve">according to completion status of </w:t>
      </w:r>
      <w:r w:rsidR="00EB3AFF" w:rsidRPr="00961BAC">
        <w:rPr>
          <w:sz w:val="24"/>
          <w:szCs w:val="24"/>
        </w:rPr>
        <w:t>the r</w:t>
      </w:r>
      <w:r w:rsidR="00EA158E" w:rsidRPr="00961BAC">
        <w:rPr>
          <w:sz w:val="24"/>
          <w:szCs w:val="24"/>
        </w:rPr>
        <w:t>esource use questionnaire:</w:t>
      </w:r>
      <w:r w:rsidR="004C4698" w:rsidRPr="00961BAC">
        <w:rPr>
          <w:sz w:val="24"/>
          <w:szCs w:val="24"/>
        </w:rPr>
        <w:t xml:space="preserve"> 1) </w:t>
      </w:r>
      <w:r w:rsidR="005E4D0D" w:rsidRPr="00961BAC">
        <w:rPr>
          <w:sz w:val="24"/>
          <w:szCs w:val="24"/>
        </w:rPr>
        <w:t>resource use</w:t>
      </w:r>
      <w:r w:rsidR="004C4698" w:rsidRPr="00961BAC">
        <w:rPr>
          <w:sz w:val="24"/>
          <w:szCs w:val="24"/>
        </w:rPr>
        <w:t xml:space="preserve"> completed within the first month of registration (baseline) only; 2) </w:t>
      </w:r>
      <w:r w:rsidR="005E4D0D" w:rsidRPr="00961BAC">
        <w:rPr>
          <w:sz w:val="24"/>
          <w:szCs w:val="24"/>
        </w:rPr>
        <w:t>resource use</w:t>
      </w:r>
      <w:r w:rsidR="004C4698" w:rsidRPr="00961BAC">
        <w:rPr>
          <w:sz w:val="24"/>
          <w:szCs w:val="24"/>
        </w:rPr>
        <w:t xml:space="preserve"> completed at baseline and follow-up between </w:t>
      </w:r>
      <w:r w:rsidR="00DC09B0" w:rsidRPr="00961BAC">
        <w:rPr>
          <w:sz w:val="24"/>
          <w:szCs w:val="24"/>
        </w:rPr>
        <w:t>2</w:t>
      </w:r>
      <w:r w:rsidR="004C4698" w:rsidRPr="00961BAC">
        <w:rPr>
          <w:sz w:val="24"/>
          <w:szCs w:val="24"/>
        </w:rPr>
        <w:t xml:space="preserve"> and</w:t>
      </w:r>
      <w:r w:rsidR="00DC09B0" w:rsidRPr="00961BAC">
        <w:rPr>
          <w:sz w:val="24"/>
          <w:szCs w:val="24"/>
        </w:rPr>
        <w:t xml:space="preserve"> 5</w:t>
      </w:r>
      <w:r w:rsidR="004C4698" w:rsidRPr="00961BAC">
        <w:rPr>
          <w:sz w:val="24"/>
          <w:szCs w:val="24"/>
        </w:rPr>
        <w:t xml:space="preserve"> months after registration c) </w:t>
      </w:r>
      <w:r w:rsidR="005E4D0D" w:rsidRPr="00961BAC">
        <w:rPr>
          <w:sz w:val="24"/>
          <w:szCs w:val="24"/>
        </w:rPr>
        <w:t>resource use</w:t>
      </w:r>
      <w:r w:rsidR="004C4698" w:rsidRPr="00961BAC">
        <w:rPr>
          <w:sz w:val="24"/>
          <w:szCs w:val="24"/>
        </w:rPr>
        <w:t xml:space="preserve"> completed at baseline and follow-up until at least </w:t>
      </w:r>
      <w:r w:rsidR="00DC09B0" w:rsidRPr="00961BAC">
        <w:rPr>
          <w:sz w:val="24"/>
          <w:szCs w:val="24"/>
        </w:rPr>
        <w:t>6</w:t>
      </w:r>
      <w:r w:rsidR="004C4698" w:rsidRPr="00961BAC">
        <w:rPr>
          <w:sz w:val="24"/>
          <w:szCs w:val="24"/>
        </w:rPr>
        <w:t xml:space="preserve"> months after registration</w:t>
      </w:r>
      <w:r w:rsidR="005D42F3" w:rsidRPr="00961BAC">
        <w:rPr>
          <w:sz w:val="24"/>
          <w:szCs w:val="24"/>
        </w:rPr>
        <w:t>.</w:t>
      </w:r>
    </w:p>
    <w:tbl>
      <w:tblPr>
        <w:tblW w:w="9634" w:type="dxa"/>
        <w:jc w:val="center"/>
        <w:tblLayout w:type="fixed"/>
        <w:tblLook w:val="04A0" w:firstRow="1" w:lastRow="0" w:firstColumn="1" w:lastColumn="0" w:noHBand="0" w:noVBand="1"/>
      </w:tblPr>
      <w:tblGrid>
        <w:gridCol w:w="1536"/>
        <w:gridCol w:w="1436"/>
        <w:gridCol w:w="1267"/>
        <w:gridCol w:w="15"/>
        <w:gridCol w:w="1411"/>
        <w:gridCol w:w="1276"/>
        <w:gridCol w:w="1418"/>
        <w:gridCol w:w="1275"/>
      </w:tblGrid>
      <w:tr w:rsidR="00610406" w:rsidRPr="00961BAC" w14:paraId="0A6C65D8" w14:textId="77777777" w:rsidTr="00523C80">
        <w:trPr>
          <w:trHeight w:val="1019"/>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8A858" w14:textId="77777777" w:rsidR="00610406" w:rsidRPr="00961BAC" w:rsidRDefault="00610406"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w:t>
            </w:r>
          </w:p>
        </w:tc>
        <w:tc>
          <w:tcPr>
            <w:tcW w:w="2718" w:type="dxa"/>
            <w:gridSpan w:val="3"/>
            <w:tcBorders>
              <w:top w:val="single" w:sz="4" w:space="0" w:color="auto"/>
              <w:left w:val="nil"/>
              <w:bottom w:val="single" w:sz="4" w:space="0" w:color="auto"/>
              <w:right w:val="single" w:sz="4" w:space="0" w:color="auto"/>
            </w:tcBorders>
            <w:shd w:val="clear" w:color="auto" w:fill="auto"/>
            <w:vAlign w:val="center"/>
            <w:hideMark/>
          </w:tcPr>
          <w:p w14:paraId="479F2CDB" w14:textId="00860F9F" w:rsidR="00610406" w:rsidRPr="00961BAC" w:rsidRDefault="003C5CB0"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Resource use</w:t>
            </w:r>
            <w:r w:rsidR="00610406" w:rsidRPr="00961BAC">
              <w:rPr>
                <w:rFonts w:ascii="Calibri" w:eastAsia="Times New Roman" w:hAnsi="Calibri" w:cs="Calibri"/>
                <w:color w:val="000000"/>
                <w:kern w:val="0"/>
                <w14:ligatures w14:val="none"/>
              </w:rPr>
              <w:t xml:space="preserve"> completed within the first month </w:t>
            </w:r>
            <w:r w:rsidR="004D484D" w:rsidRPr="00961BAC">
              <w:rPr>
                <w:rFonts w:ascii="Calibri" w:eastAsia="Times New Roman" w:hAnsi="Calibri" w:cs="Calibri"/>
                <w:color w:val="000000"/>
                <w:kern w:val="0"/>
                <w14:ligatures w14:val="none"/>
              </w:rPr>
              <w:t xml:space="preserve">of registration </w:t>
            </w:r>
            <w:r w:rsidRPr="00961BAC">
              <w:rPr>
                <w:rFonts w:ascii="Calibri" w:eastAsia="Times New Roman" w:hAnsi="Calibri" w:cs="Calibri"/>
                <w:color w:val="000000"/>
                <w:kern w:val="0"/>
                <w14:ligatures w14:val="none"/>
              </w:rPr>
              <w:t xml:space="preserve">(baseline) </w:t>
            </w:r>
            <w:r w:rsidR="00610406" w:rsidRPr="00961BAC">
              <w:rPr>
                <w:rFonts w:ascii="Calibri" w:eastAsia="Times New Roman" w:hAnsi="Calibri" w:cs="Calibri"/>
                <w:color w:val="000000"/>
                <w:kern w:val="0"/>
                <w14:ligatures w14:val="none"/>
              </w:rPr>
              <w:t>only</w:t>
            </w:r>
            <w:r w:rsidR="00610406" w:rsidRPr="00961BAC">
              <w:rPr>
                <w:rFonts w:ascii="Calibri" w:eastAsia="Times New Roman" w:hAnsi="Calibri" w:cs="Calibri"/>
                <w:color w:val="000000"/>
                <w:kern w:val="0"/>
                <w14:ligatures w14:val="none"/>
              </w:rPr>
              <w:br/>
              <w:t>(n = 1</w:t>
            </w:r>
            <w:r w:rsidR="008D72A2" w:rsidRPr="00961BAC">
              <w:rPr>
                <w:rFonts w:ascii="Calibri" w:eastAsia="Times New Roman" w:hAnsi="Calibri" w:cs="Calibri"/>
                <w:color w:val="000000"/>
                <w:kern w:val="0"/>
                <w14:ligatures w14:val="none"/>
              </w:rPr>
              <w:t>,</w:t>
            </w:r>
            <w:r w:rsidR="00610406" w:rsidRPr="00961BAC">
              <w:rPr>
                <w:rFonts w:ascii="Calibri" w:eastAsia="Times New Roman" w:hAnsi="Calibri" w:cs="Calibri"/>
                <w:color w:val="000000"/>
                <w:kern w:val="0"/>
                <w14:ligatures w14:val="none"/>
              </w:rPr>
              <w:t>816)</w:t>
            </w:r>
          </w:p>
        </w:tc>
        <w:tc>
          <w:tcPr>
            <w:tcW w:w="2687" w:type="dxa"/>
            <w:gridSpan w:val="2"/>
            <w:tcBorders>
              <w:top w:val="single" w:sz="4" w:space="0" w:color="auto"/>
              <w:left w:val="nil"/>
              <w:bottom w:val="single" w:sz="4" w:space="0" w:color="auto"/>
              <w:right w:val="single" w:sz="4" w:space="0" w:color="000000"/>
            </w:tcBorders>
            <w:shd w:val="clear" w:color="auto" w:fill="auto"/>
            <w:vAlign w:val="center"/>
            <w:hideMark/>
          </w:tcPr>
          <w:p w14:paraId="4088B52F" w14:textId="250B5D49" w:rsidR="00610406" w:rsidRPr="00961BAC" w:rsidRDefault="00D03EC8"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Resource use completed at baseline and follow-up between </w:t>
            </w:r>
            <w:r w:rsidR="00801BEF" w:rsidRPr="00961BAC">
              <w:rPr>
                <w:rFonts w:ascii="Calibri" w:eastAsia="Times New Roman" w:hAnsi="Calibri" w:cs="Calibri"/>
                <w:color w:val="000000"/>
                <w:kern w:val="0"/>
                <w14:ligatures w14:val="none"/>
              </w:rPr>
              <w:t>2</w:t>
            </w:r>
            <w:r w:rsidRPr="00961BAC">
              <w:rPr>
                <w:rFonts w:ascii="Calibri" w:eastAsia="Times New Roman" w:hAnsi="Calibri" w:cs="Calibri"/>
                <w:color w:val="000000"/>
                <w:kern w:val="0"/>
                <w14:ligatures w14:val="none"/>
              </w:rPr>
              <w:t xml:space="preserve"> and </w:t>
            </w:r>
            <w:r w:rsidR="00801BEF" w:rsidRPr="00961BAC">
              <w:rPr>
                <w:rFonts w:ascii="Calibri" w:eastAsia="Times New Roman" w:hAnsi="Calibri" w:cs="Calibri"/>
                <w:color w:val="000000"/>
                <w:kern w:val="0"/>
                <w14:ligatures w14:val="none"/>
              </w:rPr>
              <w:t>5</w:t>
            </w:r>
            <w:r w:rsidRPr="00961BAC">
              <w:rPr>
                <w:rFonts w:ascii="Calibri" w:eastAsia="Times New Roman" w:hAnsi="Calibri" w:cs="Calibri"/>
                <w:color w:val="000000"/>
                <w:kern w:val="0"/>
                <w14:ligatures w14:val="none"/>
              </w:rPr>
              <w:t xml:space="preserve"> months after registration</w:t>
            </w:r>
            <w:r w:rsidR="00610406" w:rsidRPr="00961BAC">
              <w:rPr>
                <w:rFonts w:ascii="Calibri" w:eastAsia="Times New Roman" w:hAnsi="Calibri" w:cs="Calibri"/>
                <w:color w:val="000000"/>
                <w:kern w:val="0"/>
                <w14:ligatures w14:val="none"/>
              </w:rPr>
              <w:br/>
              <w:t xml:space="preserve">(n = </w:t>
            </w:r>
            <w:r w:rsidR="006B05B1" w:rsidRPr="00961BAC">
              <w:rPr>
                <w:rFonts w:ascii="Calibri" w:eastAsia="Times New Roman" w:hAnsi="Calibri" w:cs="Calibri"/>
                <w:color w:val="000000"/>
                <w:kern w:val="0"/>
                <w14:ligatures w14:val="none"/>
              </w:rPr>
              <w:t>1,347</w:t>
            </w:r>
            <w:r w:rsidR="00610406" w:rsidRPr="00961BAC">
              <w:rPr>
                <w:rFonts w:ascii="Calibri" w:eastAsia="Times New Roman" w:hAnsi="Calibri" w:cs="Calibri"/>
                <w:color w:val="000000"/>
                <w:kern w:val="0"/>
                <w14:ligatures w14:val="none"/>
              </w:rPr>
              <w:t>)</w:t>
            </w:r>
            <w:r w:rsidR="007840A3" w:rsidRPr="00961BAC">
              <w:rPr>
                <w:rFonts w:ascii="Calibri" w:eastAsia="Times New Roman" w:hAnsi="Calibri" w:cs="Calibri"/>
                <w:color w:val="000000"/>
                <w:kern w:val="0"/>
                <w14:ligatures w14:val="none"/>
              </w:rPr>
              <w:t>*</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579BADEE" w14:textId="62B4FFDB" w:rsidR="00610406" w:rsidRPr="00961BAC" w:rsidRDefault="00D03EC8"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Resource use completed at baseline and follow-up until at least </w:t>
            </w:r>
            <w:r w:rsidR="00801BEF" w:rsidRPr="00961BAC">
              <w:rPr>
                <w:rFonts w:ascii="Calibri" w:eastAsia="Times New Roman" w:hAnsi="Calibri" w:cs="Calibri"/>
                <w:color w:val="000000"/>
                <w:kern w:val="0"/>
                <w14:ligatures w14:val="none"/>
              </w:rPr>
              <w:t>6</w:t>
            </w:r>
            <w:r w:rsidRPr="00961BAC">
              <w:rPr>
                <w:rFonts w:ascii="Calibri" w:eastAsia="Times New Roman" w:hAnsi="Calibri" w:cs="Calibri"/>
                <w:color w:val="000000"/>
                <w:kern w:val="0"/>
                <w14:ligatures w14:val="none"/>
              </w:rPr>
              <w:t xml:space="preserve"> months after registration</w:t>
            </w:r>
            <w:r w:rsidR="00610406" w:rsidRPr="00961BAC">
              <w:rPr>
                <w:rFonts w:ascii="Calibri" w:eastAsia="Times New Roman" w:hAnsi="Calibri" w:cs="Calibri"/>
                <w:color w:val="000000"/>
                <w:kern w:val="0"/>
                <w14:ligatures w14:val="none"/>
              </w:rPr>
              <w:br/>
              <w:t>(n = 259)</w:t>
            </w:r>
          </w:p>
        </w:tc>
      </w:tr>
      <w:tr w:rsidR="00610406" w:rsidRPr="00961BAC" w14:paraId="126D51B7" w14:textId="77777777" w:rsidTr="00523C80">
        <w:trPr>
          <w:trHeight w:val="643"/>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7B8BD5E6"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w:t>
            </w:r>
          </w:p>
        </w:tc>
        <w:tc>
          <w:tcPr>
            <w:tcW w:w="1436" w:type="dxa"/>
            <w:tcBorders>
              <w:top w:val="nil"/>
              <w:left w:val="nil"/>
              <w:bottom w:val="single" w:sz="4" w:space="0" w:color="auto"/>
              <w:right w:val="single" w:sz="4" w:space="0" w:color="auto"/>
            </w:tcBorders>
            <w:shd w:val="clear" w:color="auto" w:fill="auto"/>
            <w:vAlign w:val="center"/>
            <w:hideMark/>
          </w:tcPr>
          <w:p w14:paraId="3E99CEDE" w14:textId="29A34B37" w:rsidR="00610406" w:rsidRPr="00961BAC" w:rsidRDefault="0082292B"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Resource</w:t>
            </w:r>
            <w:r w:rsidR="00610406" w:rsidRPr="00961BAC">
              <w:rPr>
                <w:rFonts w:ascii="Calibri" w:eastAsia="Times New Roman" w:hAnsi="Calibri" w:cs="Calibri"/>
                <w:color w:val="000000"/>
                <w:kern w:val="0"/>
                <w14:ligatures w14:val="none"/>
              </w:rPr>
              <w:t xml:space="preserve"> use</w:t>
            </w:r>
            <w:r w:rsidR="00610406" w:rsidRPr="00961BAC">
              <w:rPr>
                <w:rFonts w:ascii="Calibri" w:eastAsia="Times New Roman" w:hAnsi="Calibri" w:cs="Calibri"/>
                <w:color w:val="000000"/>
                <w:kern w:val="0"/>
                <w14:ligatures w14:val="none"/>
              </w:rPr>
              <w:br/>
              <w:t>Mean (SD)</w:t>
            </w:r>
          </w:p>
        </w:tc>
        <w:tc>
          <w:tcPr>
            <w:tcW w:w="1267" w:type="dxa"/>
            <w:tcBorders>
              <w:top w:val="nil"/>
              <w:left w:val="nil"/>
              <w:bottom w:val="single" w:sz="4" w:space="0" w:color="auto"/>
              <w:right w:val="single" w:sz="4" w:space="0" w:color="auto"/>
            </w:tcBorders>
            <w:shd w:val="clear" w:color="auto" w:fill="auto"/>
            <w:vAlign w:val="center"/>
            <w:hideMark/>
          </w:tcPr>
          <w:p w14:paraId="2DA1ED4C" w14:textId="5A2300E5" w:rsidR="00610406" w:rsidRPr="00961BAC" w:rsidRDefault="00610406" w:rsidP="0082292B">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Cost (£)</w:t>
            </w:r>
            <w:r w:rsidRPr="00961BAC">
              <w:rPr>
                <w:rFonts w:ascii="Calibri" w:eastAsia="Times New Roman" w:hAnsi="Calibri" w:cs="Calibri"/>
                <w:color w:val="000000"/>
                <w:kern w:val="0"/>
                <w14:ligatures w14:val="none"/>
              </w:rPr>
              <w:br/>
              <w:t>Mean (SD)</w:t>
            </w:r>
          </w:p>
        </w:tc>
        <w:tc>
          <w:tcPr>
            <w:tcW w:w="1426" w:type="dxa"/>
            <w:gridSpan w:val="2"/>
            <w:tcBorders>
              <w:top w:val="nil"/>
              <w:left w:val="nil"/>
              <w:bottom w:val="single" w:sz="4" w:space="0" w:color="auto"/>
              <w:right w:val="single" w:sz="4" w:space="0" w:color="auto"/>
            </w:tcBorders>
            <w:shd w:val="clear" w:color="auto" w:fill="auto"/>
            <w:vAlign w:val="center"/>
            <w:hideMark/>
          </w:tcPr>
          <w:p w14:paraId="38193D80" w14:textId="1770B169" w:rsidR="00610406" w:rsidRPr="00961BAC" w:rsidRDefault="0082292B"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Resource </w:t>
            </w:r>
            <w:r w:rsidR="00610406" w:rsidRPr="00961BAC">
              <w:rPr>
                <w:rFonts w:ascii="Calibri" w:eastAsia="Times New Roman" w:hAnsi="Calibri" w:cs="Calibri"/>
                <w:color w:val="000000"/>
                <w:kern w:val="0"/>
                <w14:ligatures w14:val="none"/>
              </w:rPr>
              <w:t>use</w:t>
            </w:r>
            <w:r w:rsidR="00610406" w:rsidRPr="00961BAC">
              <w:rPr>
                <w:rFonts w:ascii="Calibri" w:eastAsia="Times New Roman" w:hAnsi="Calibri" w:cs="Calibri"/>
                <w:color w:val="000000"/>
                <w:kern w:val="0"/>
                <w14:ligatures w14:val="none"/>
              </w:rPr>
              <w:br/>
              <w:t>Mean (SD)</w:t>
            </w:r>
          </w:p>
        </w:tc>
        <w:tc>
          <w:tcPr>
            <w:tcW w:w="1276" w:type="dxa"/>
            <w:tcBorders>
              <w:top w:val="nil"/>
              <w:left w:val="nil"/>
              <w:bottom w:val="single" w:sz="4" w:space="0" w:color="auto"/>
              <w:right w:val="single" w:sz="4" w:space="0" w:color="auto"/>
            </w:tcBorders>
            <w:shd w:val="clear" w:color="auto" w:fill="auto"/>
            <w:vAlign w:val="center"/>
            <w:hideMark/>
          </w:tcPr>
          <w:p w14:paraId="3B591684" w14:textId="77777777" w:rsidR="00610406" w:rsidRPr="00961BAC" w:rsidRDefault="00610406"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Cost (£)</w:t>
            </w:r>
            <w:r w:rsidRPr="00961BAC">
              <w:rPr>
                <w:rFonts w:ascii="Calibri" w:eastAsia="Times New Roman" w:hAnsi="Calibri" w:cs="Calibri"/>
                <w:color w:val="000000"/>
                <w:kern w:val="0"/>
                <w14:ligatures w14:val="none"/>
              </w:rPr>
              <w:br/>
              <w:t>Mean (SD)</w:t>
            </w:r>
          </w:p>
        </w:tc>
        <w:tc>
          <w:tcPr>
            <w:tcW w:w="1418" w:type="dxa"/>
            <w:tcBorders>
              <w:top w:val="nil"/>
              <w:left w:val="nil"/>
              <w:bottom w:val="single" w:sz="4" w:space="0" w:color="auto"/>
              <w:right w:val="single" w:sz="4" w:space="0" w:color="auto"/>
            </w:tcBorders>
            <w:shd w:val="clear" w:color="auto" w:fill="auto"/>
            <w:vAlign w:val="center"/>
            <w:hideMark/>
          </w:tcPr>
          <w:p w14:paraId="63C19693" w14:textId="4CAF563B" w:rsidR="00610406" w:rsidRPr="00961BAC" w:rsidRDefault="0082292B"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Resource</w:t>
            </w:r>
            <w:r w:rsidR="00610406" w:rsidRPr="00961BAC">
              <w:rPr>
                <w:rFonts w:ascii="Calibri" w:eastAsia="Times New Roman" w:hAnsi="Calibri" w:cs="Calibri"/>
                <w:color w:val="000000"/>
                <w:kern w:val="0"/>
                <w14:ligatures w14:val="none"/>
              </w:rPr>
              <w:t xml:space="preserve"> use</w:t>
            </w:r>
            <w:r w:rsidR="00610406" w:rsidRPr="00961BAC">
              <w:rPr>
                <w:rFonts w:ascii="Calibri" w:eastAsia="Times New Roman" w:hAnsi="Calibri" w:cs="Calibri"/>
                <w:color w:val="000000"/>
                <w:kern w:val="0"/>
                <w14:ligatures w14:val="none"/>
              </w:rPr>
              <w:br/>
              <w:t>Mean (SD)</w:t>
            </w:r>
          </w:p>
        </w:tc>
        <w:tc>
          <w:tcPr>
            <w:tcW w:w="1275" w:type="dxa"/>
            <w:tcBorders>
              <w:top w:val="nil"/>
              <w:left w:val="nil"/>
              <w:bottom w:val="single" w:sz="4" w:space="0" w:color="auto"/>
              <w:right w:val="single" w:sz="4" w:space="0" w:color="auto"/>
            </w:tcBorders>
            <w:shd w:val="clear" w:color="auto" w:fill="auto"/>
            <w:vAlign w:val="center"/>
            <w:hideMark/>
          </w:tcPr>
          <w:p w14:paraId="14BA7054" w14:textId="77777777" w:rsidR="00610406" w:rsidRPr="00961BAC" w:rsidRDefault="00610406" w:rsidP="00610406">
            <w:pPr>
              <w:spacing w:after="0" w:line="240" w:lineRule="auto"/>
              <w:jc w:val="center"/>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Cost (£)</w:t>
            </w:r>
            <w:r w:rsidRPr="00961BAC">
              <w:rPr>
                <w:rFonts w:ascii="Calibri" w:eastAsia="Times New Roman" w:hAnsi="Calibri" w:cs="Calibri"/>
                <w:color w:val="000000"/>
                <w:kern w:val="0"/>
                <w14:ligatures w14:val="none"/>
              </w:rPr>
              <w:br/>
              <w:t>Mean (SD)</w:t>
            </w:r>
          </w:p>
        </w:tc>
      </w:tr>
      <w:tr w:rsidR="00610406" w:rsidRPr="00961BAC" w14:paraId="03A55AFA"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307269A0"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GP visits</w:t>
            </w:r>
          </w:p>
        </w:tc>
        <w:tc>
          <w:tcPr>
            <w:tcW w:w="1436" w:type="dxa"/>
            <w:tcBorders>
              <w:top w:val="nil"/>
              <w:left w:val="nil"/>
              <w:bottom w:val="single" w:sz="4" w:space="0" w:color="auto"/>
              <w:right w:val="single" w:sz="4" w:space="0" w:color="auto"/>
            </w:tcBorders>
            <w:shd w:val="clear" w:color="auto" w:fill="auto"/>
            <w:noWrap/>
            <w:vAlign w:val="center"/>
            <w:hideMark/>
          </w:tcPr>
          <w:p w14:paraId="304AF60B"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 (1.4)</w:t>
            </w:r>
          </w:p>
        </w:tc>
        <w:tc>
          <w:tcPr>
            <w:tcW w:w="1267" w:type="dxa"/>
            <w:tcBorders>
              <w:top w:val="nil"/>
              <w:left w:val="nil"/>
              <w:bottom w:val="single" w:sz="4" w:space="0" w:color="auto"/>
              <w:right w:val="single" w:sz="4" w:space="0" w:color="auto"/>
            </w:tcBorders>
            <w:shd w:val="clear" w:color="auto" w:fill="auto"/>
            <w:noWrap/>
            <w:vAlign w:val="center"/>
            <w:hideMark/>
          </w:tcPr>
          <w:p w14:paraId="46CDD27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42.5 (55.5)</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610F401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1.0 (1.3)</w:t>
            </w:r>
          </w:p>
        </w:tc>
        <w:tc>
          <w:tcPr>
            <w:tcW w:w="1276" w:type="dxa"/>
            <w:tcBorders>
              <w:top w:val="nil"/>
              <w:left w:val="nil"/>
              <w:bottom w:val="single" w:sz="4" w:space="0" w:color="auto"/>
              <w:right w:val="single" w:sz="4" w:space="0" w:color="auto"/>
            </w:tcBorders>
            <w:shd w:val="clear" w:color="auto" w:fill="auto"/>
            <w:noWrap/>
            <w:vAlign w:val="center"/>
            <w:hideMark/>
          </w:tcPr>
          <w:p w14:paraId="2119D88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39.6 (49.5)</w:t>
            </w:r>
          </w:p>
        </w:tc>
        <w:tc>
          <w:tcPr>
            <w:tcW w:w="1418" w:type="dxa"/>
            <w:tcBorders>
              <w:top w:val="nil"/>
              <w:left w:val="nil"/>
              <w:bottom w:val="single" w:sz="4" w:space="0" w:color="auto"/>
              <w:right w:val="single" w:sz="4" w:space="0" w:color="auto"/>
            </w:tcBorders>
            <w:shd w:val="clear" w:color="auto" w:fill="auto"/>
            <w:noWrap/>
            <w:vAlign w:val="center"/>
            <w:hideMark/>
          </w:tcPr>
          <w:p w14:paraId="779421F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0.9 (1.1)</w:t>
            </w:r>
          </w:p>
        </w:tc>
        <w:tc>
          <w:tcPr>
            <w:tcW w:w="1275" w:type="dxa"/>
            <w:tcBorders>
              <w:top w:val="nil"/>
              <w:left w:val="nil"/>
              <w:bottom w:val="single" w:sz="4" w:space="0" w:color="auto"/>
              <w:right w:val="single" w:sz="4" w:space="0" w:color="auto"/>
            </w:tcBorders>
            <w:shd w:val="clear" w:color="auto" w:fill="auto"/>
            <w:noWrap/>
            <w:vAlign w:val="center"/>
            <w:hideMark/>
          </w:tcPr>
          <w:p w14:paraId="08E7A453"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35.9 (42.2)</w:t>
            </w:r>
          </w:p>
        </w:tc>
      </w:tr>
      <w:tr w:rsidR="00610406" w:rsidRPr="00961BAC" w14:paraId="5AD0AC60"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0E0A5A8A"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Outpatient visits</w:t>
            </w:r>
          </w:p>
        </w:tc>
        <w:tc>
          <w:tcPr>
            <w:tcW w:w="1436" w:type="dxa"/>
            <w:tcBorders>
              <w:top w:val="nil"/>
              <w:left w:val="nil"/>
              <w:bottom w:val="single" w:sz="4" w:space="0" w:color="auto"/>
              <w:right w:val="single" w:sz="4" w:space="0" w:color="auto"/>
            </w:tcBorders>
            <w:shd w:val="clear" w:color="auto" w:fill="auto"/>
            <w:noWrap/>
            <w:vAlign w:val="center"/>
            <w:hideMark/>
          </w:tcPr>
          <w:p w14:paraId="3E40278A"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1.0 (1.7)</w:t>
            </w:r>
          </w:p>
        </w:tc>
        <w:tc>
          <w:tcPr>
            <w:tcW w:w="1267" w:type="dxa"/>
            <w:tcBorders>
              <w:top w:val="nil"/>
              <w:left w:val="nil"/>
              <w:bottom w:val="single" w:sz="4" w:space="0" w:color="auto"/>
              <w:right w:val="single" w:sz="4" w:space="0" w:color="auto"/>
            </w:tcBorders>
            <w:shd w:val="clear" w:color="auto" w:fill="auto"/>
            <w:noWrap/>
            <w:vAlign w:val="center"/>
            <w:hideMark/>
          </w:tcPr>
          <w:p w14:paraId="3E39B6F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141.9 (227.3)</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72C2546"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0.8 (1.3)</w:t>
            </w:r>
          </w:p>
        </w:tc>
        <w:tc>
          <w:tcPr>
            <w:tcW w:w="1276" w:type="dxa"/>
            <w:tcBorders>
              <w:top w:val="nil"/>
              <w:left w:val="nil"/>
              <w:bottom w:val="single" w:sz="4" w:space="0" w:color="auto"/>
              <w:right w:val="single" w:sz="4" w:space="0" w:color="auto"/>
            </w:tcBorders>
            <w:shd w:val="clear" w:color="auto" w:fill="auto"/>
            <w:noWrap/>
            <w:vAlign w:val="center"/>
            <w:hideMark/>
          </w:tcPr>
          <w:p w14:paraId="039ED396"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116.0 (182.0)</w:t>
            </w:r>
          </w:p>
        </w:tc>
        <w:tc>
          <w:tcPr>
            <w:tcW w:w="1418" w:type="dxa"/>
            <w:tcBorders>
              <w:top w:val="nil"/>
              <w:left w:val="nil"/>
              <w:bottom w:val="single" w:sz="4" w:space="0" w:color="auto"/>
              <w:right w:val="single" w:sz="4" w:space="0" w:color="auto"/>
            </w:tcBorders>
            <w:shd w:val="clear" w:color="auto" w:fill="auto"/>
            <w:noWrap/>
            <w:vAlign w:val="center"/>
            <w:hideMark/>
          </w:tcPr>
          <w:p w14:paraId="7F27DD3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0.8 (1.4)</w:t>
            </w:r>
          </w:p>
        </w:tc>
        <w:tc>
          <w:tcPr>
            <w:tcW w:w="1275" w:type="dxa"/>
            <w:tcBorders>
              <w:top w:val="nil"/>
              <w:left w:val="nil"/>
              <w:bottom w:val="single" w:sz="4" w:space="0" w:color="auto"/>
              <w:right w:val="single" w:sz="4" w:space="0" w:color="auto"/>
            </w:tcBorders>
            <w:shd w:val="clear" w:color="auto" w:fill="auto"/>
            <w:noWrap/>
            <w:vAlign w:val="center"/>
            <w:hideMark/>
          </w:tcPr>
          <w:p w14:paraId="375E318A"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113.2 (186.7)</w:t>
            </w:r>
          </w:p>
        </w:tc>
      </w:tr>
      <w:tr w:rsidR="00610406" w:rsidRPr="00961BAC" w14:paraId="059B5CD0"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03889AC1"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Physiotherapy sessions</w:t>
            </w:r>
          </w:p>
        </w:tc>
        <w:tc>
          <w:tcPr>
            <w:tcW w:w="1436" w:type="dxa"/>
            <w:tcBorders>
              <w:top w:val="nil"/>
              <w:left w:val="nil"/>
              <w:bottom w:val="single" w:sz="4" w:space="0" w:color="auto"/>
              <w:right w:val="single" w:sz="4" w:space="0" w:color="auto"/>
            </w:tcBorders>
            <w:shd w:val="clear" w:color="auto" w:fill="auto"/>
            <w:noWrap/>
            <w:vAlign w:val="center"/>
            <w:hideMark/>
          </w:tcPr>
          <w:p w14:paraId="2AA57FC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0.3 (0.8)</w:t>
            </w:r>
          </w:p>
        </w:tc>
        <w:tc>
          <w:tcPr>
            <w:tcW w:w="1267" w:type="dxa"/>
            <w:tcBorders>
              <w:top w:val="nil"/>
              <w:left w:val="nil"/>
              <w:bottom w:val="single" w:sz="4" w:space="0" w:color="auto"/>
              <w:right w:val="single" w:sz="4" w:space="0" w:color="auto"/>
            </w:tcBorders>
            <w:shd w:val="clear" w:color="auto" w:fill="auto"/>
            <w:noWrap/>
            <w:vAlign w:val="center"/>
            <w:hideMark/>
          </w:tcPr>
          <w:p w14:paraId="2A22FE4F"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21.2 (53.7)</w:t>
            </w:r>
          </w:p>
        </w:tc>
        <w:tc>
          <w:tcPr>
            <w:tcW w:w="1426" w:type="dxa"/>
            <w:gridSpan w:val="2"/>
            <w:tcBorders>
              <w:top w:val="nil"/>
              <w:left w:val="nil"/>
              <w:bottom w:val="nil"/>
              <w:right w:val="nil"/>
            </w:tcBorders>
            <w:shd w:val="clear" w:color="auto" w:fill="auto"/>
            <w:noWrap/>
            <w:vAlign w:val="center"/>
            <w:hideMark/>
          </w:tcPr>
          <w:p w14:paraId="1B82E57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0.3 (0.7)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7A97B4B"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20.7 (51.1)</w:t>
            </w:r>
          </w:p>
        </w:tc>
        <w:tc>
          <w:tcPr>
            <w:tcW w:w="1418" w:type="dxa"/>
            <w:tcBorders>
              <w:top w:val="nil"/>
              <w:left w:val="nil"/>
              <w:bottom w:val="single" w:sz="4" w:space="0" w:color="auto"/>
              <w:right w:val="single" w:sz="4" w:space="0" w:color="auto"/>
            </w:tcBorders>
            <w:shd w:val="clear" w:color="auto" w:fill="auto"/>
            <w:noWrap/>
            <w:vAlign w:val="center"/>
            <w:hideMark/>
          </w:tcPr>
          <w:p w14:paraId="0BEBB228"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0.4 (1.0)</w:t>
            </w:r>
          </w:p>
        </w:tc>
        <w:tc>
          <w:tcPr>
            <w:tcW w:w="1275" w:type="dxa"/>
            <w:tcBorders>
              <w:top w:val="nil"/>
              <w:left w:val="nil"/>
              <w:bottom w:val="single" w:sz="4" w:space="0" w:color="auto"/>
              <w:right w:val="single" w:sz="4" w:space="0" w:color="auto"/>
            </w:tcBorders>
            <w:shd w:val="clear" w:color="auto" w:fill="auto"/>
            <w:noWrap/>
            <w:vAlign w:val="center"/>
            <w:hideMark/>
          </w:tcPr>
          <w:p w14:paraId="6C1E6E10"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27.1 (67.1)</w:t>
            </w:r>
          </w:p>
        </w:tc>
      </w:tr>
      <w:tr w:rsidR="00610406" w:rsidRPr="00961BAC" w14:paraId="1DD9B232"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235FF42C"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Psychotherapy sessions</w:t>
            </w:r>
          </w:p>
        </w:tc>
        <w:tc>
          <w:tcPr>
            <w:tcW w:w="1436" w:type="dxa"/>
            <w:tcBorders>
              <w:top w:val="nil"/>
              <w:left w:val="nil"/>
              <w:bottom w:val="single" w:sz="4" w:space="0" w:color="auto"/>
              <w:right w:val="single" w:sz="4" w:space="0" w:color="auto"/>
            </w:tcBorders>
            <w:shd w:val="clear" w:color="auto" w:fill="auto"/>
            <w:noWrap/>
            <w:vAlign w:val="center"/>
            <w:hideMark/>
          </w:tcPr>
          <w:p w14:paraId="3326F861"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0.3 (1.0)</w:t>
            </w:r>
          </w:p>
        </w:tc>
        <w:tc>
          <w:tcPr>
            <w:tcW w:w="1267" w:type="dxa"/>
            <w:tcBorders>
              <w:top w:val="nil"/>
              <w:left w:val="nil"/>
              <w:bottom w:val="single" w:sz="4" w:space="0" w:color="auto"/>
              <w:right w:val="single" w:sz="4" w:space="0" w:color="auto"/>
            </w:tcBorders>
            <w:shd w:val="clear" w:color="auto" w:fill="auto"/>
            <w:noWrap/>
            <w:vAlign w:val="center"/>
            <w:hideMark/>
          </w:tcPr>
          <w:p w14:paraId="7913642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9.8 (31.2)</w:t>
            </w: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F5E78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0.3 (0.8)</w:t>
            </w:r>
          </w:p>
        </w:tc>
        <w:tc>
          <w:tcPr>
            <w:tcW w:w="1276" w:type="dxa"/>
            <w:tcBorders>
              <w:top w:val="nil"/>
              <w:left w:val="nil"/>
              <w:bottom w:val="single" w:sz="4" w:space="0" w:color="auto"/>
              <w:right w:val="single" w:sz="4" w:space="0" w:color="auto"/>
            </w:tcBorders>
            <w:shd w:val="clear" w:color="auto" w:fill="auto"/>
            <w:noWrap/>
            <w:vAlign w:val="center"/>
            <w:hideMark/>
          </w:tcPr>
          <w:p w14:paraId="2FBF6109"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8.6 (26.6)</w:t>
            </w:r>
          </w:p>
        </w:tc>
        <w:tc>
          <w:tcPr>
            <w:tcW w:w="1418" w:type="dxa"/>
            <w:tcBorders>
              <w:top w:val="nil"/>
              <w:left w:val="nil"/>
              <w:bottom w:val="single" w:sz="4" w:space="0" w:color="auto"/>
              <w:right w:val="single" w:sz="4" w:space="0" w:color="auto"/>
            </w:tcBorders>
            <w:shd w:val="clear" w:color="auto" w:fill="auto"/>
            <w:noWrap/>
            <w:vAlign w:val="center"/>
            <w:hideMark/>
          </w:tcPr>
          <w:p w14:paraId="5BFA650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0.3 (0.9)</w:t>
            </w:r>
          </w:p>
        </w:tc>
        <w:tc>
          <w:tcPr>
            <w:tcW w:w="1275" w:type="dxa"/>
            <w:tcBorders>
              <w:top w:val="nil"/>
              <w:left w:val="nil"/>
              <w:bottom w:val="single" w:sz="4" w:space="0" w:color="auto"/>
              <w:right w:val="single" w:sz="4" w:space="0" w:color="auto"/>
            </w:tcBorders>
            <w:shd w:val="clear" w:color="auto" w:fill="auto"/>
            <w:noWrap/>
            <w:vAlign w:val="center"/>
            <w:hideMark/>
          </w:tcPr>
          <w:p w14:paraId="300246FC"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10.9 (29.6)</w:t>
            </w:r>
          </w:p>
        </w:tc>
      </w:tr>
      <w:tr w:rsidR="00610406" w:rsidRPr="00961BAC" w14:paraId="4F134A41"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189CEE24"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Inpatient stay (days)</w:t>
            </w:r>
          </w:p>
        </w:tc>
        <w:tc>
          <w:tcPr>
            <w:tcW w:w="1436" w:type="dxa"/>
            <w:tcBorders>
              <w:top w:val="nil"/>
              <w:left w:val="nil"/>
              <w:bottom w:val="single" w:sz="4" w:space="0" w:color="auto"/>
              <w:right w:val="single" w:sz="4" w:space="0" w:color="auto"/>
            </w:tcBorders>
            <w:shd w:val="clear" w:color="auto" w:fill="auto"/>
            <w:noWrap/>
            <w:vAlign w:val="center"/>
            <w:hideMark/>
          </w:tcPr>
          <w:p w14:paraId="576896F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0.0 (0.5)</w:t>
            </w:r>
          </w:p>
        </w:tc>
        <w:tc>
          <w:tcPr>
            <w:tcW w:w="1267" w:type="dxa"/>
            <w:tcBorders>
              <w:top w:val="nil"/>
              <w:left w:val="nil"/>
              <w:bottom w:val="single" w:sz="4" w:space="0" w:color="auto"/>
              <w:right w:val="single" w:sz="4" w:space="0" w:color="auto"/>
            </w:tcBorders>
            <w:shd w:val="clear" w:color="auto" w:fill="auto"/>
            <w:noWrap/>
            <w:vAlign w:val="center"/>
            <w:hideMark/>
          </w:tcPr>
          <w:p w14:paraId="6273A0C6"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23.7 (240.1)</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08EBA420"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0.0 (0.5)</w:t>
            </w:r>
          </w:p>
        </w:tc>
        <w:tc>
          <w:tcPr>
            <w:tcW w:w="1276" w:type="dxa"/>
            <w:tcBorders>
              <w:top w:val="nil"/>
              <w:left w:val="nil"/>
              <w:bottom w:val="single" w:sz="4" w:space="0" w:color="auto"/>
              <w:right w:val="single" w:sz="4" w:space="0" w:color="auto"/>
            </w:tcBorders>
            <w:shd w:val="clear" w:color="auto" w:fill="auto"/>
            <w:noWrap/>
            <w:vAlign w:val="center"/>
            <w:hideMark/>
          </w:tcPr>
          <w:p w14:paraId="53040B15"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16.8 (240.4)</w:t>
            </w:r>
          </w:p>
        </w:tc>
        <w:tc>
          <w:tcPr>
            <w:tcW w:w="1418" w:type="dxa"/>
            <w:tcBorders>
              <w:top w:val="nil"/>
              <w:left w:val="nil"/>
              <w:bottom w:val="single" w:sz="4" w:space="0" w:color="auto"/>
              <w:right w:val="single" w:sz="4" w:space="0" w:color="auto"/>
            </w:tcBorders>
            <w:shd w:val="clear" w:color="auto" w:fill="auto"/>
            <w:noWrap/>
            <w:vAlign w:val="center"/>
            <w:hideMark/>
          </w:tcPr>
          <w:p w14:paraId="5D2A0BF4"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0.1 (0.5)</w:t>
            </w:r>
          </w:p>
        </w:tc>
        <w:tc>
          <w:tcPr>
            <w:tcW w:w="1275" w:type="dxa"/>
            <w:tcBorders>
              <w:top w:val="nil"/>
              <w:left w:val="nil"/>
              <w:bottom w:val="single" w:sz="4" w:space="0" w:color="auto"/>
              <w:right w:val="single" w:sz="4" w:space="0" w:color="auto"/>
            </w:tcBorders>
            <w:shd w:val="clear" w:color="auto" w:fill="auto"/>
            <w:noWrap/>
            <w:vAlign w:val="center"/>
            <w:hideMark/>
          </w:tcPr>
          <w:p w14:paraId="31197BFD"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31.7 (251.4)</w:t>
            </w:r>
          </w:p>
        </w:tc>
      </w:tr>
      <w:tr w:rsidR="00610406" w:rsidRPr="00961BAC" w14:paraId="357FE6E7"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255D587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Working day lost</w:t>
            </w:r>
          </w:p>
        </w:tc>
        <w:tc>
          <w:tcPr>
            <w:tcW w:w="1436" w:type="dxa"/>
            <w:tcBorders>
              <w:top w:val="nil"/>
              <w:left w:val="nil"/>
              <w:bottom w:val="single" w:sz="4" w:space="0" w:color="auto"/>
              <w:right w:val="single" w:sz="4" w:space="0" w:color="auto"/>
            </w:tcBorders>
            <w:shd w:val="clear" w:color="auto" w:fill="auto"/>
            <w:noWrap/>
            <w:vAlign w:val="center"/>
            <w:hideMark/>
          </w:tcPr>
          <w:p w14:paraId="0916C517"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6.2 (9.9)</w:t>
            </w:r>
          </w:p>
        </w:tc>
        <w:tc>
          <w:tcPr>
            <w:tcW w:w="1267" w:type="dxa"/>
            <w:tcBorders>
              <w:top w:val="nil"/>
              <w:left w:val="nil"/>
              <w:bottom w:val="single" w:sz="4" w:space="0" w:color="auto"/>
              <w:right w:val="single" w:sz="4" w:space="0" w:color="auto"/>
            </w:tcBorders>
            <w:shd w:val="clear" w:color="auto" w:fill="auto"/>
            <w:noWrap/>
            <w:vAlign w:val="center"/>
            <w:hideMark/>
          </w:tcPr>
          <w:p w14:paraId="4993B542"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569.6 (908.2)</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29D7DC4"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6.8 (10.2)</w:t>
            </w:r>
          </w:p>
        </w:tc>
        <w:tc>
          <w:tcPr>
            <w:tcW w:w="1276" w:type="dxa"/>
            <w:tcBorders>
              <w:top w:val="nil"/>
              <w:left w:val="nil"/>
              <w:bottom w:val="single" w:sz="4" w:space="0" w:color="auto"/>
              <w:right w:val="single" w:sz="4" w:space="0" w:color="auto"/>
            </w:tcBorders>
            <w:shd w:val="clear" w:color="auto" w:fill="auto"/>
            <w:noWrap/>
            <w:vAlign w:val="center"/>
            <w:hideMark/>
          </w:tcPr>
          <w:p w14:paraId="2EEEAB69"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629.3 (937.8)</w:t>
            </w:r>
          </w:p>
        </w:tc>
        <w:tc>
          <w:tcPr>
            <w:tcW w:w="1418" w:type="dxa"/>
            <w:tcBorders>
              <w:top w:val="nil"/>
              <w:left w:val="nil"/>
              <w:bottom w:val="single" w:sz="4" w:space="0" w:color="auto"/>
              <w:right w:val="single" w:sz="4" w:space="0" w:color="auto"/>
            </w:tcBorders>
            <w:shd w:val="clear" w:color="auto" w:fill="auto"/>
            <w:noWrap/>
            <w:vAlign w:val="center"/>
            <w:hideMark/>
          </w:tcPr>
          <w:p w14:paraId="1532A181"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7.7 (11.1)</w:t>
            </w:r>
          </w:p>
        </w:tc>
        <w:tc>
          <w:tcPr>
            <w:tcW w:w="1275" w:type="dxa"/>
            <w:tcBorders>
              <w:top w:val="nil"/>
              <w:left w:val="nil"/>
              <w:bottom w:val="single" w:sz="4" w:space="0" w:color="auto"/>
              <w:right w:val="single" w:sz="4" w:space="0" w:color="auto"/>
            </w:tcBorders>
            <w:shd w:val="clear" w:color="auto" w:fill="auto"/>
            <w:noWrap/>
            <w:vAlign w:val="center"/>
            <w:hideMark/>
          </w:tcPr>
          <w:p w14:paraId="526A9AD8"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712.2 (1016.9)</w:t>
            </w:r>
          </w:p>
        </w:tc>
      </w:tr>
      <w:tr w:rsidR="00610406" w:rsidRPr="00961BAC" w14:paraId="239C9802" w14:textId="77777777" w:rsidTr="00523C80">
        <w:trPr>
          <w:trHeight w:val="214"/>
          <w:jc w:val="center"/>
        </w:trPr>
        <w:tc>
          <w:tcPr>
            <w:tcW w:w="1536" w:type="dxa"/>
            <w:tcBorders>
              <w:top w:val="nil"/>
              <w:left w:val="single" w:sz="4" w:space="0" w:color="auto"/>
              <w:bottom w:val="single" w:sz="4" w:space="0" w:color="auto"/>
              <w:right w:val="single" w:sz="4" w:space="0" w:color="auto"/>
            </w:tcBorders>
            <w:shd w:val="clear" w:color="auto" w:fill="auto"/>
            <w:noWrap/>
            <w:vAlign w:val="center"/>
            <w:hideMark/>
          </w:tcPr>
          <w:p w14:paraId="7FC22FCD" w14:textId="02102FCB"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xml:space="preserve">Total </w:t>
            </w:r>
            <w:r w:rsidR="00DC09B0" w:rsidRPr="00961BAC">
              <w:rPr>
                <w:rFonts w:ascii="Calibri" w:eastAsia="Times New Roman" w:hAnsi="Calibri" w:cs="Calibri"/>
                <w:color w:val="000000"/>
                <w:kern w:val="0"/>
                <w14:ligatures w14:val="none"/>
              </w:rPr>
              <w:t xml:space="preserve">societal </w:t>
            </w:r>
            <w:r w:rsidRPr="00961BAC">
              <w:rPr>
                <w:rFonts w:ascii="Calibri" w:eastAsia="Times New Roman" w:hAnsi="Calibri" w:cs="Calibri"/>
                <w:color w:val="000000"/>
                <w:kern w:val="0"/>
                <w14:ligatures w14:val="none"/>
              </w:rPr>
              <w:t>cost</w:t>
            </w:r>
          </w:p>
        </w:tc>
        <w:tc>
          <w:tcPr>
            <w:tcW w:w="1436" w:type="dxa"/>
            <w:tcBorders>
              <w:top w:val="nil"/>
              <w:left w:val="nil"/>
              <w:bottom w:val="single" w:sz="4" w:space="0" w:color="auto"/>
              <w:right w:val="single" w:sz="4" w:space="0" w:color="auto"/>
            </w:tcBorders>
            <w:shd w:val="clear" w:color="auto" w:fill="auto"/>
            <w:noWrap/>
            <w:vAlign w:val="center"/>
            <w:hideMark/>
          </w:tcPr>
          <w:p w14:paraId="57B0B87E"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w:t>
            </w:r>
          </w:p>
        </w:tc>
        <w:tc>
          <w:tcPr>
            <w:tcW w:w="1267" w:type="dxa"/>
            <w:tcBorders>
              <w:top w:val="nil"/>
              <w:left w:val="nil"/>
              <w:bottom w:val="single" w:sz="4" w:space="0" w:color="auto"/>
              <w:right w:val="single" w:sz="4" w:space="0" w:color="auto"/>
            </w:tcBorders>
            <w:shd w:val="clear" w:color="auto" w:fill="auto"/>
            <w:noWrap/>
            <w:vAlign w:val="center"/>
            <w:hideMark/>
          </w:tcPr>
          <w:p w14:paraId="31A29EB4"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808.7 (1053.3)</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6AF2C91"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4D93F6"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831.0 (1034.4)</w:t>
            </w:r>
          </w:p>
        </w:tc>
        <w:tc>
          <w:tcPr>
            <w:tcW w:w="1418" w:type="dxa"/>
            <w:tcBorders>
              <w:top w:val="nil"/>
              <w:left w:val="nil"/>
              <w:bottom w:val="single" w:sz="4" w:space="0" w:color="auto"/>
              <w:right w:val="single" w:sz="4" w:space="0" w:color="auto"/>
            </w:tcBorders>
            <w:shd w:val="clear" w:color="auto" w:fill="auto"/>
            <w:noWrap/>
            <w:vAlign w:val="center"/>
            <w:hideMark/>
          </w:tcPr>
          <w:p w14:paraId="403223AD" w14:textId="77777777" w:rsidR="00610406" w:rsidRPr="00961BAC" w:rsidRDefault="00610406" w:rsidP="00610406">
            <w:pPr>
              <w:spacing w:after="0" w:line="240" w:lineRule="auto"/>
              <w:rPr>
                <w:rFonts w:ascii="Calibri" w:eastAsia="Times New Roman" w:hAnsi="Calibri" w:cs="Calibri"/>
                <w:color w:val="000000"/>
                <w:kern w:val="0"/>
                <w14:ligatures w14:val="none"/>
              </w:rPr>
            </w:pPr>
            <w:r w:rsidRPr="00961BAC">
              <w:rPr>
                <w:rFonts w:ascii="Calibri" w:eastAsia="Times New Roman" w:hAnsi="Calibri" w:cs="Calibri"/>
                <w:color w:val="000000"/>
                <w:kern w:val="0"/>
                <w14:ligatures w14:val="none"/>
              </w:rPr>
              <w:t> </w:t>
            </w:r>
          </w:p>
        </w:tc>
        <w:tc>
          <w:tcPr>
            <w:tcW w:w="1275" w:type="dxa"/>
            <w:tcBorders>
              <w:top w:val="nil"/>
              <w:left w:val="nil"/>
              <w:bottom w:val="single" w:sz="4" w:space="0" w:color="auto"/>
              <w:right w:val="single" w:sz="4" w:space="0" w:color="auto"/>
            </w:tcBorders>
            <w:shd w:val="clear" w:color="auto" w:fill="auto"/>
            <w:noWrap/>
            <w:vAlign w:val="center"/>
            <w:hideMark/>
          </w:tcPr>
          <w:p w14:paraId="5E8F7F7C" w14:textId="77777777" w:rsidR="00610406" w:rsidRPr="00961BAC" w:rsidRDefault="00610406" w:rsidP="00610406">
            <w:pPr>
              <w:spacing w:after="0" w:line="240" w:lineRule="auto"/>
              <w:rPr>
                <w:rFonts w:ascii="Calibri" w:eastAsia="Times New Roman" w:hAnsi="Calibri" w:cs="Calibri"/>
                <w:color w:val="000000"/>
                <w:kern w:val="0"/>
                <w14:ligatures w14:val="none"/>
              </w:rPr>
            </w:pPr>
            <w:bookmarkStart w:id="5" w:name="_Hlk164935034"/>
            <w:r w:rsidRPr="00961BAC">
              <w:rPr>
                <w:rFonts w:ascii="Calibri" w:eastAsia="Times New Roman" w:hAnsi="Calibri" w:cs="Calibri"/>
                <w:color w:val="000000"/>
                <w:kern w:val="0"/>
                <w14:ligatures w14:val="none"/>
              </w:rPr>
              <w:t>931.1 (1121.8)</w:t>
            </w:r>
            <w:bookmarkEnd w:id="5"/>
          </w:p>
        </w:tc>
      </w:tr>
    </w:tbl>
    <w:p w14:paraId="5A6E1BC3" w14:textId="480B7B51" w:rsidR="00B101C2" w:rsidRPr="00961BAC" w:rsidRDefault="007840A3">
      <w:pPr>
        <w:rPr>
          <w:sz w:val="20"/>
          <w:szCs w:val="20"/>
        </w:rPr>
      </w:pPr>
      <w:r w:rsidRPr="00961BAC">
        <w:rPr>
          <w:sz w:val="20"/>
          <w:szCs w:val="20"/>
        </w:rPr>
        <w:t>*</w:t>
      </w:r>
      <w:r w:rsidR="00FE3E44" w:rsidRPr="00961BAC">
        <w:rPr>
          <w:sz w:val="20"/>
          <w:szCs w:val="20"/>
        </w:rPr>
        <w:t xml:space="preserve">Results </w:t>
      </w:r>
      <w:r w:rsidR="00154310" w:rsidRPr="00961BAC">
        <w:rPr>
          <w:sz w:val="20"/>
          <w:szCs w:val="20"/>
        </w:rPr>
        <w:t xml:space="preserve">reported in this column </w:t>
      </w:r>
      <w:r w:rsidR="00DC09B0" w:rsidRPr="00961BAC">
        <w:rPr>
          <w:sz w:val="20"/>
          <w:szCs w:val="20"/>
        </w:rPr>
        <w:t>correspond to</w:t>
      </w:r>
      <w:r w:rsidR="00FE3E44" w:rsidRPr="00961BAC">
        <w:rPr>
          <w:sz w:val="20"/>
          <w:szCs w:val="20"/>
        </w:rPr>
        <w:t xml:space="preserve"> </w:t>
      </w:r>
      <w:r w:rsidR="00154310" w:rsidRPr="00961BAC">
        <w:rPr>
          <w:sz w:val="20"/>
          <w:szCs w:val="20"/>
        </w:rPr>
        <w:t>a weighted</w:t>
      </w:r>
      <w:r w:rsidR="00FE3E44" w:rsidRPr="00961BAC">
        <w:rPr>
          <w:sz w:val="20"/>
          <w:szCs w:val="20"/>
        </w:rPr>
        <w:t xml:space="preserve"> average</w:t>
      </w:r>
      <w:r w:rsidR="00FD0D25" w:rsidRPr="00961BAC">
        <w:rPr>
          <w:sz w:val="20"/>
          <w:szCs w:val="20"/>
        </w:rPr>
        <w:t xml:space="preserve"> of </w:t>
      </w:r>
      <w:r w:rsidR="00154310" w:rsidRPr="00961BAC">
        <w:rPr>
          <w:sz w:val="20"/>
          <w:szCs w:val="20"/>
        </w:rPr>
        <w:t xml:space="preserve">the </w:t>
      </w:r>
      <w:r w:rsidR="00FD0D25" w:rsidRPr="00961BAC">
        <w:rPr>
          <w:sz w:val="20"/>
          <w:szCs w:val="20"/>
        </w:rPr>
        <w:t>monthly</w:t>
      </w:r>
      <w:r w:rsidR="00154310" w:rsidRPr="00961BAC">
        <w:rPr>
          <w:sz w:val="20"/>
          <w:szCs w:val="20"/>
        </w:rPr>
        <w:t xml:space="preserve"> mean</w:t>
      </w:r>
      <w:r w:rsidR="005772D7" w:rsidRPr="00961BAC">
        <w:rPr>
          <w:sz w:val="20"/>
          <w:szCs w:val="20"/>
        </w:rPr>
        <w:t xml:space="preserve"> resource use and costs across months </w:t>
      </w:r>
      <w:r w:rsidR="001165F7" w:rsidRPr="00961BAC">
        <w:rPr>
          <w:sz w:val="20"/>
          <w:szCs w:val="20"/>
        </w:rPr>
        <w:t>2 to 5</w:t>
      </w:r>
      <w:r w:rsidR="00FD0D25" w:rsidRPr="00961BAC">
        <w:rPr>
          <w:sz w:val="20"/>
          <w:szCs w:val="20"/>
        </w:rPr>
        <w:t>.</w:t>
      </w:r>
      <w:r w:rsidR="00667F68" w:rsidRPr="00961BAC">
        <w:rPr>
          <w:sz w:val="20"/>
          <w:szCs w:val="20"/>
        </w:rPr>
        <w:t xml:space="preserve"> SD: standard deviation.</w:t>
      </w:r>
      <w:r w:rsidR="009A1736" w:rsidRPr="00961BAC">
        <w:rPr>
          <w:sz w:val="20"/>
          <w:szCs w:val="20"/>
        </w:rPr>
        <w:t xml:space="preserve"> GP: general practitioner.</w:t>
      </w:r>
    </w:p>
    <w:p w14:paraId="69F5FE57" w14:textId="77777777" w:rsidR="008A6934" w:rsidRPr="00961BAC" w:rsidRDefault="008A6934" w:rsidP="005E4D0D">
      <w:pPr>
        <w:jc w:val="both"/>
        <w:rPr>
          <w:sz w:val="24"/>
          <w:szCs w:val="24"/>
        </w:rPr>
      </w:pPr>
    </w:p>
    <w:p w14:paraId="37A61E15" w14:textId="68EA1033" w:rsidR="005E4D0D" w:rsidRPr="00961BAC" w:rsidRDefault="005E4D0D" w:rsidP="005E4D0D">
      <w:pPr>
        <w:jc w:val="both"/>
        <w:rPr>
          <w:sz w:val="24"/>
          <w:szCs w:val="24"/>
        </w:rPr>
      </w:pPr>
      <w:r w:rsidRPr="00961BAC">
        <w:rPr>
          <w:sz w:val="24"/>
          <w:szCs w:val="24"/>
        </w:rPr>
        <w:t xml:space="preserve">Of those individuals </w:t>
      </w:r>
      <w:r w:rsidR="001165F7" w:rsidRPr="00961BAC">
        <w:rPr>
          <w:sz w:val="24"/>
          <w:szCs w:val="24"/>
        </w:rPr>
        <w:t xml:space="preserve">(n = 141) </w:t>
      </w:r>
      <w:r w:rsidRPr="00961BAC">
        <w:rPr>
          <w:sz w:val="24"/>
          <w:szCs w:val="24"/>
        </w:rPr>
        <w:t xml:space="preserve">who reported at least one day off work </w:t>
      </w:r>
      <w:r w:rsidR="000634C0" w:rsidRPr="00961BAC">
        <w:rPr>
          <w:sz w:val="24"/>
          <w:szCs w:val="24"/>
        </w:rPr>
        <w:t xml:space="preserve">(per month) </w:t>
      </w:r>
      <w:r w:rsidRPr="00961BAC">
        <w:rPr>
          <w:sz w:val="24"/>
          <w:szCs w:val="24"/>
        </w:rPr>
        <w:t>at baseline and ha</w:t>
      </w:r>
      <w:r w:rsidR="00593F13" w:rsidRPr="00961BAC">
        <w:rPr>
          <w:sz w:val="24"/>
          <w:szCs w:val="24"/>
        </w:rPr>
        <w:t>d</w:t>
      </w:r>
      <w:r w:rsidRPr="00961BAC">
        <w:rPr>
          <w:sz w:val="24"/>
          <w:szCs w:val="24"/>
        </w:rPr>
        <w:t xml:space="preserve"> follow up until at least </w:t>
      </w:r>
      <w:r w:rsidR="001165F7" w:rsidRPr="00961BAC">
        <w:rPr>
          <w:sz w:val="24"/>
          <w:szCs w:val="24"/>
        </w:rPr>
        <w:t>6</w:t>
      </w:r>
      <w:r w:rsidRPr="00961BAC">
        <w:rPr>
          <w:sz w:val="24"/>
          <w:szCs w:val="24"/>
        </w:rPr>
        <w:t xml:space="preserve"> months</w:t>
      </w:r>
      <w:r w:rsidR="001165F7" w:rsidRPr="00961BAC">
        <w:rPr>
          <w:sz w:val="24"/>
          <w:szCs w:val="24"/>
        </w:rPr>
        <w:t>,</w:t>
      </w:r>
      <w:r w:rsidRPr="00961BAC">
        <w:rPr>
          <w:sz w:val="24"/>
          <w:szCs w:val="24"/>
        </w:rPr>
        <w:t xml:space="preserve"> 102 (72%) continued to report at least one day off work at </w:t>
      </w:r>
      <w:r w:rsidR="00DE4EA2" w:rsidRPr="00961BAC">
        <w:rPr>
          <w:sz w:val="24"/>
          <w:szCs w:val="24"/>
        </w:rPr>
        <w:t>6</w:t>
      </w:r>
      <w:r w:rsidRPr="00961BAC">
        <w:rPr>
          <w:sz w:val="24"/>
          <w:szCs w:val="24"/>
        </w:rPr>
        <w:t xml:space="preserve"> months</w:t>
      </w:r>
      <w:r w:rsidR="001165F7" w:rsidRPr="00961BAC">
        <w:rPr>
          <w:sz w:val="24"/>
          <w:szCs w:val="24"/>
        </w:rPr>
        <w:t xml:space="preserve">, and </w:t>
      </w:r>
      <w:r w:rsidR="00D26A9D" w:rsidRPr="00961BAC">
        <w:rPr>
          <w:sz w:val="24"/>
          <w:szCs w:val="24"/>
        </w:rPr>
        <w:t>51 (36%) reported 20 or more</w:t>
      </w:r>
      <w:r w:rsidR="00DE4EA2" w:rsidRPr="00961BAC">
        <w:rPr>
          <w:sz w:val="24"/>
          <w:szCs w:val="24"/>
        </w:rPr>
        <w:t xml:space="preserve"> working days lost</w:t>
      </w:r>
      <w:r w:rsidR="00271AAE" w:rsidRPr="00961BAC">
        <w:rPr>
          <w:sz w:val="24"/>
          <w:szCs w:val="24"/>
        </w:rPr>
        <w:t xml:space="preserve"> (</w:t>
      </w:r>
      <w:r w:rsidR="002B6C7C" w:rsidRPr="00961BAC">
        <w:rPr>
          <w:sz w:val="24"/>
          <w:szCs w:val="24"/>
        </w:rPr>
        <w:t>unable to work at all)</w:t>
      </w:r>
      <w:r w:rsidRPr="00961BAC">
        <w:rPr>
          <w:sz w:val="24"/>
          <w:szCs w:val="24"/>
        </w:rPr>
        <w:t xml:space="preserve">. </w:t>
      </w:r>
      <w:r w:rsidR="00FE4D63" w:rsidRPr="00961BAC">
        <w:rPr>
          <w:sz w:val="24"/>
          <w:szCs w:val="24"/>
        </w:rPr>
        <w:t xml:space="preserve">The latter group </w:t>
      </w:r>
      <w:r w:rsidR="00D25EA0" w:rsidRPr="00961BAC">
        <w:rPr>
          <w:sz w:val="24"/>
          <w:szCs w:val="24"/>
        </w:rPr>
        <w:t>was particularly worse off at 6 months compared to baseline (</w:t>
      </w:r>
      <w:r w:rsidR="006E558B" w:rsidRPr="00961BAC">
        <w:rPr>
          <w:sz w:val="24"/>
          <w:szCs w:val="24"/>
        </w:rPr>
        <w:t>o</w:t>
      </w:r>
      <w:r w:rsidR="00693DAC" w:rsidRPr="00961BAC">
        <w:rPr>
          <w:sz w:val="24"/>
          <w:szCs w:val="24"/>
        </w:rPr>
        <w:t>nline supplemental material t</w:t>
      </w:r>
      <w:r w:rsidR="00923BBD" w:rsidRPr="00961BAC">
        <w:rPr>
          <w:sz w:val="24"/>
          <w:szCs w:val="24"/>
        </w:rPr>
        <w:t>able S</w:t>
      </w:r>
      <w:r w:rsidR="0003713C" w:rsidRPr="00961BAC">
        <w:rPr>
          <w:sz w:val="24"/>
          <w:szCs w:val="24"/>
        </w:rPr>
        <w:t>4</w:t>
      </w:r>
      <w:r w:rsidR="00923BBD" w:rsidRPr="00961BAC">
        <w:rPr>
          <w:sz w:val="24"/>
          <w:szCs w:val="24"/>
        </w:rPr>
        <w:t>)</w:t>
      </w:r>
      <w:r w:rsidR="00501BD8" w:rsidRPr="00961BAC">
        <w:rPr>
          <w:sz w:val="24"/>
          <w:szCs w:val="24"/>
        </w:rPr>
        <w:t>.</w:t>
      </w:r>
      <w:r w:rsidR="0013223A" w:rsidRPr="00961BAC">
        <w:rPr>
          <w:sz w:val="24"/>
          <w:szCs w:val="24"/>
        </w:rPr>
        <w:t xml:space="preserve"> </w:t>
      </w:r>
      <w:r w:rsidRPr="00961BAC">
        <w:rPr>
          <w:sz w:val="24"/>
          <w:szCs w:val="24"/>
        </w:rPr>
        <w:t xml:space="preserve">Associations between the probability of reporting at least one day off work due to long COVID </w:t>
      </w:r>
      <w:r w:rsidR="00AB74D7" w:rsidRPr="00961BAC">
        <w:rPr>
          <w:sz w:val="24"/>
          <w:szCs w:val="24"/>
        </w:rPr>
        <w:t xml:space="preserve">at 6 months </w:t>
      </w:r>
      <w:r w:rsidRPr="00961BAC">
        <w:rPr>
          <w:sz w:val="24"/>
          <w:szCs w:val="24"/>
        </w:rPr>
        <w:t xml:space="preserve">and baseline socio-demographic variables are reported in </w:t>
      </w:r>
      <w:r w:rsidR="006E558B" w:rsidRPr="00961BAC">
        <w:rPr>
          <w:sz w:val="24"/>
          <w:szCs w:val="24"/>
        </w:rPr>
        <w:t>o</w:t>
      </w:r>
      <w:r w:rsidR="00693DAC" w:rsidRPr="00961BAC">
        <w:rPr>
          <w:sz w:val="24"/>
          <w:szCs w:val="24"/>
        </w:rPr>
        <w:t>nline supplemental material</w:t>
      </w:r>
      <w:r w:rsidRPr="00961BAC">
        <w:rPr>
          <w:sz w:val="24"/>
          <w:szCs w:val="24"/>
        </w:rPr>
        <w:t xml:space="preserve"> (Table S</w:t>
      </w:r>
      <w:r w:rsidR="0003713C" w:rsidRPr="00961BAC">
        <w:rPr>
          <w:sz w:val="24"/>
          <w:szCs w:val="24"/>
        </w:rPr>
        <w:t>5</w:t>
      </w:r>
      <w:r w:rsidRPr="00961BAC">
        <w:rPr>
          <w:sz w:val="24"/>
          <w:szCs w:val="24"/>
        </w:rPr>
        <w:t>).</w:t>
      </w:r>
    </w:p>
    <w:p w14:paraId="1070B01A" w14:textId="77777777" w:rsidR="005E567D" w:rsidRPr="00961BAC" w:rsidRDefault="005E567D" w:rsidP="00FF114D">
      <w:pPr>
        <w:rPr>
          <w:sz w:val="24"/>
          <w:szCs w:val="24"/>
        </w:rPr>
      </w:pPr>
    </w:p>
    <w:p w14:paraId="54F5ADB4" w14:textId="31D83572" w:rsidR="009C7D85" w:rsidRPr="00961BAC" w:rsidRDefault="000F4ECC" w:rsidP="008472E9">
      <w:pPr>
        <w:jc w:val="both"/>
        <w:rPr>
          <w:b/>
          <w:bCs/>
          <w:sz w:val="24"/>
          <w:szCs w:val="24"/>
        </w:rPr>
      </w:pPr>
      <w:r w:rsidRPr="00961BAC">
        <w:rPr>
          <w:b/>
          <w:bCs/>
          <w:sz w:val="24"/>
          <w:szCs w:val="24"/>
        </w:rPr>
        <w:t>D</w:t>
      </w:r>
      <w:r w:rsidR="00D33BD1" w:rsidRPr="00961BAC">
        <w:rPr>
          <w:b/>
          <w:bCs/>
          <w:sz w:val="24"/>
          <w:szCs w:val="24"/>
        </w:rPr>
        <w:t>iscussion</w:t>
      </w:r>
    </w:p>
    <w:p w14:paraId="52C8B74F" w14:textId="41437BEB" w:rsidR="00A471BD" w:rsidRPr="00961BAC" w:rsidRDefault="003239C4" w:rsidP="008472E9">
      <w:pPr>
        <w:jc w:val="both"/>
        <w:rPr>
          <w:b/>
          <w:bCs/>
          <w:sz w:val="24"/>
          <w:szCs w:val="24"/>
        </w:rPr>
      </w:pPr>
      <w:r w:rsidRPr="00961BAC">
        <w:rPr>
          <w:b/>
          <w:bCs/>
          <w:sz w:val="24"/>
          <w:szCs w:val="24"/>
        </w:rPr>
        <w:t>Main findings</w:t>
      </w:r>
      <w:r w:rsidR="00A471BD" w:rsidRPr="00961BAC">
        <w:rPr>
          <w:b/>
          <w:bCs/>
          <w:sz w:val="24"/>
          <w:szCs w:val="24"/>
        </w:rPr>
        <w:t xml:space="preserve">  </w:t>
      </w:r>
    </w:p>
    <w:p w14:paraId="639CEC62" w14:textId="75057428" w:rsidR="00C515A8" w:rsidRPr="00961BAC" w:rsidRDefault="00512133" w:rsidP="002E676D">
      <w:pPr>
        <w:jc w:val="both"/>
        <w:rPr>
          <w:sz w:val="24"/>
          <w:szCs w:val="24"/>
        </w:rPr>
      </w:pPr>
      <w:r w:rsidRPr="00961BAC">
        <w:rPr>
          <w:sz w:val="24"/>
          <w:szCs w:val="24"/>
        </w:rPr>
        <w:t xml:space="preserve">This study provides </w:t>
      </w:r>
      <w:r w:rsidR="00493511" w:rsidRPr="00961BAC">
        <w:rPr>
          <w:sz w:val="24"/>
          <w:szCs w:val="24"/>
        </w:rPr>
        <w:t xml:space="preserve">new </w:t>
      </w:r>
      <w:r w:rsidRPr="00961BAC">
        <w:rPr>
          <w:sz w:val="24"/>
          <w:szCs w:val="24"/>
        </w:rPr>
        <w:t>evidence on the recovery trajectory of care-seeking patients with long COVID</w:t>
      </w:r>
      <w:r w:rsidR="00DA19FB" w:rsidRPr="00961BAC">
        <w:rPr>
          <w:sz w:val="24"/>
          <w:szCs w:val="24"/>
        </w:rPr>
        <w:t xml:space="preserve"> and its impact on function, health outcomes and costs</w:t>
      </w:r>
      <w:r w:rsidRPr="00961BAC">
        <w:rPr>
          <w:sz w:val="24"/>
          <w:szCs w:val="24"/>
        </w:rPr>
        <w:t>.</w:t>
      </w:r>
      <w:r w:rsidR="00493511" w:rsidRPr="00961BAC">
        <w:rPr>
          <w:sz w:val="24"/>
          <w:szCs w:val="24"/>
        </w:rPr>
        <w:t xml:space="preserve"> </w:t>
      </w:r>
      <w:r w:rsidR="00EC4605" w:rsidRPr="00961BAC">
        <w:rPr>
          <w:sz w:val="24"/>
          <w:szCs w:val="24"/>
        </w:rPr>
        <w:t xml:space="preserve">Individuals referred to long COVID clinics in the UK reported </w:t>
      </w:r>
      <w:r w:rsidR="00722A13" w:rsidRPr="00961BAC">
        <w:rPr>
          <w:sz w:val="24"/>
          <w:szCs w:val="24"/>
        </w:rPr>
        <w:t xml:space="preserve">little </w:t>
      </w:r>
      <w:r w:rsidR="00EC4605" w:rsidRPr="00961BAC">
        <w:rPr>
          <w:sz w:val="24"/>
          <w:szCs w:val="24"/>
        </w:rPr>
        <w:t xml:space="preserve">improvements in functional limitations, fatigue and HRQL </w:t>
      </w:r>
      <w:r w:rsidR="00722A13" w:rsidRPr="00961BAC">
        <w:rPr>
          <w:sz w:val="24"/>
          <w:szCs w:val="24"/>
        </w:rPr>
        <w:t>over the first</w:t>
      </w:r>
      <w:r w:rsidR="00EC4605" w:rsidRPr="00961BAC">
        <w:rPr>
          <w:sz w:val="24"/>
          <w:szCs w:val="24"/>
        </w:rPr>
        <w:t xml:space="preserve"> 6 months </w:t>
      </w:r>
      <w:r w:rsidR="00722A13" w:rsidRPr="00961BAC">
        <w:rPr>
          <w:sz w:val="24"/>
          <w:szCs w:val="24"/>
        </w:rPr>
        <w:t>after registration</w:t>
      </w:r>
      <w:r w:rsidR="00EC4605" w:rsidRPr="00961BAC">
        <w:rPr>
          <w:sz w:val="24"/>
          <w:szCs w:val="24"/>
        </w:rPr>
        <w:t xml:space="preserve"> in the LWCR programme.</w:t>
      </w:r>
      <w:r w:rsidR="00722A13" w:rsidRPr="00961BAC">
        <w:rPr>
          <w:sz w:val="24"/>
          <w:szCs w:val="24"/>
        </w:rPr>
        <w:t xml:space="preserve"> </w:t>
      </w:r>
      <w:r w:rsidR="00453936" w:rsidRPr="00961BAC">
        <w:rPr>
          <w:sz w:val="24"/>
          <w:szCs w:val="24"/>
        </w:rPr>
        <w:t xml:space="preserve">Our </w:t>
      </w:r>
      <w:r w:rsidR="001175CD" w:rsidRPr="00961BAC">
        <w:rPr>
          <w:sz w:val="24"/>
          <w:szCs w:val="24"/>
        </w:rPr>
        <w:t xml:space="preserve">analysis suggested </w:t>
      </w:r>
      <w:r w:rsidR="00EE42DB" w:rsidRPr="00961BAC">
        <w:rPr>
          <w:sz w:val="24"/>
          <w:szCs w:val="24"/>
        </w:rPr>
        <w:t>that</w:t>
      </w:r>
      <w:r w:rsidR="00A44A37" w:rsidRPr="00961BAC">
        <w:rPr>
          <w:sz w:val="24"/>
          <w:szCs w:val="24"/>
        </w:rPr>
        <w:t xml:space="preserve"> </w:t>
      </w:r>
      <w:r w:rsidR="00DA5899" w:rsidRPr="00961BAC">
        <w:rPr>
          <w:sz w:val="24"/>
          <w:szCs w:val="24"/>
        </w:rPr>
        <w:t>almost half</w:t>
      </w:r>
      <w:r w:rsidR="00A44A37" w:rsidRPr="00961BAC">
        <w:rPr>
          <w:sz w:val="24"/>
          <w:szCs w:val="24"/>
        </w:rPr>
        <w:t xml:space="preserve"> of </w:t>
      </w:r>
      <w:r w:rsidR="001175CD" w:rsidRPr="00961BAC">
        <w:rPr>
          <w:sz w:val="24"/>
          <w:szCs w:val="24"/>
        </w:rPr>
        <w:t>long COVID patients were</w:t>
      </w:r>
      <w:r w:rsidR="00127DC2" w:rsidRPr="00961BAC">
        <w:rPr>
          <w:sz w:val="24"/>
          <w:szCs w:val="24"/>
        </w:rPr>
        <w:t xml:space="preserve"> </w:t>
      </w:r>
      <w:r w:rsidR="00453936" w:rsidRPr="00961BAC">
        <w:rPr>
          <w:sz w:val="24"/>
          <w:szCs w:val="24"/>
        </w:rPr>
        <w:t>expected to have</w:t>
      </w:r>
      <w:r w:rsidR="00A44A37" w:rsidRPr="00961BAC">
        <w:rPr>
          <w:sz w:val="24"/>
          <w:szCs w:val="24"/>
        </w:rPr>
        <w:t xml:space="preserve"> moderately severe or worse functional impairmen</w:t>
      </w:r>
      <w:r w:rsidR="00FE26A4" w:rsidRPr="00961BAC">
        <w:rPr>
          <w:sz w:val="24"/>
          <w:szCs w:val="24"/>
        </w:rPr>
        <w:t>t</w:t>
      </w:r>
      <w:r w:rsidR="0099126E" w:rsidRPr="00961BAC">
        <w:rPr>
          <w:sz w:val="24"/>
          <w:szCs w:val="24"/>
        </w:rPr>
        <w:t xml:space="preserve"> at 6 months</w:t>
      </w:r>
      <w:r w:rsidR="00A44A37" w:rsidRPr="00961BAC">
        <w:rPr>
          <w:sz w:val="24"/>
          <w:szCs w:val="24"/>
        </w:rPr>
        <w:t xml:space="preserve">, emphasising ongoing challenges in </w:t>
      </w:r>
      <w:r w:rsidR="00A60C5D" w:rsidRPr="00961BAC">
        <w:rPr>
          <w:sz w:val="24"/>
          <w:szCs w:val="24"/>
        </w:rPr>
        <w:t>long COVID</w:t>
      </w:r>
      <w:r w:rsidR="00A44A37" w:rsidRPr="00961BAC">
        <w:rPr>
          <w:sz w:val="24"/>
          <w:szCs w:val="24"/>
        </w:rPr>
        <w:t xml:space="preserve"> recovery.</w:t>
      </w:r>
      <w:r w:rsidR="001D2C7A" w:rsidRPr="00961BAC">
        <w:rPr>
          <w:sz w:val="24"/>
          <w:szCs w:val="24"/>
        </w:rPr>
        <w:t xml:space="preserve"> </w:t>
      </w:r>
      <w:r w:rsidR="008E34D3" w:rsidRPr="00961BAC">
        <w:rPr>
          <w:sz w:val="24"/>
          <w:szCs w:val="24"/>
        </w:rPr>
        <w:t>Individuals</w:t>
      </w:r>
      <w:r w:rsidR="00170C67" w:rsidRPr="00961BAC">
        <w:rPr>
          <w:sz w:val="24"/>
          <w:szCs w:val="24"/>
        </w:rPr>
        <w:t xml:space="preserve"> </w:t>
      </w:r>
      <w:r w:rsidR="00447380" w:rsidRPr="00961BAC">
        <w:rPr>
          <w:sz w:val="24"/>
          <w:szCs w:val="24"/>
        </w:rPr>
        <w:t xml:space="preserve">under the </w:t>
      </w:r>
      <w:r w:rsidR="001D11E4" w:rsidRPr="00961BAC">
        <w:rPr>
          <w:sz w:val="24"/>
          <w:szCs w:val="24"/>
        </w:rPr>
        <w:t>age</w:t>
      </w:r>
      <w:r w:rsidR="00447380" w:rsidRPr="00961BAC">
        <w:rPr>
          <w:sz w:val="24"/>
          <w:szCs w:val="24"/>
        </w:rPr>
        <w:t xml:space="preserve"> of </w:t>
      </w:r>
      <w:r w:rsidR="00C955E4" w:rsidRPr="00961BAC">
        <w:rPr>
          <w:sz w:val="24"/>
          <w:szCs w:val="24"/>
        </w:rPr>
        <w:t xml:space="preserve">50, </w:t>
      </w:r>
      <w:r w:rsidR="003359CA" w:rsidRPr="00961BAC">
        <w:rPr>
          <w:sz w:val="24"/>
          <w:szCs w:val="24"/>
        </w:rPr>
        <w:t>female</w:t>
      </w:r>
      <w:r w:rsidR="00C955E4" w:rsidRPr="00961BAC">
        <w:rPr>
          <w:sz w:val="24"/>
          <w:szCs w:val="24"/>
        </w:rPr>
        <w:t xml:space="preserve"> and </w:t>
      </w:r>
      <w:r w:rsidR="00992CF3" w:rsidRPr="00961BAC">
        <w:rPr>
          <w:sz w:val="24"/>
          <w:szCs w:val="24"/>
        </w:rPr>
        <w:t xml:space="preserve">those </w:t>
      </w:r>
      <w:r w:rsidR="003359CA" w:rsidRPr="00961BAC">
        <w:rPr>
          <w:sz w:val="24"/>
          <w:szCs w:val="24"/>
        </w:rPr>
        <w:t>more</w:t>
      </w:r>
      <w:r w:rsidR="009C515C" w:rsidRPr="00961BAC">
        <w:rPr>
          <w:sz w:val="24"/>
          <w:szCs w:val="24"/>
        </w:rPr>
        <w:t xml:space="preserve"> deprived appeared to report </w:t>
      </w:r>
      <w:r w:rsidR="00447380" w:rsidRPr="00961BAC">
        <w:rPr>
          <w:sz w:val="24"/>
          <w:szCs w:val="24"/>
        </w:rPr>
        <w:t>smaller</w:t>
      </w:r>
      <w:r w:rsidR="009C515C" w:rsidRPr="00961BAC">
        <w:rPr>
          <w:sz w:val="24"/>
          <w:szCs w:val="24"/>
        </w:rPr>
        <w:t xml:space="preserve"> </w:t>
      </w:r>
      <w:r w:rsidR="00303775" w:rsidRPr="00961BAC">
        <w:rPr>
          <w:sz w:val="24"/>
          <w:szCs w:val="24"/>
        </w:rPr>
        <w:t>improvements over time.</w:t>
      </w:r>
    </w:p>
    <w:p w14:paraId="57AC1F94" w14:textId="32A05F68" w:rsidR="00051406" w:rsidRPr="00961BAC" w:rsidRDefault="008B05CD" w:rsidP="002E676D">
      <w:pPr>
        <w:jc w:val="both"/>
        <w:rPr>
          <w:sz w:val="24"/>
          <w:szCs w:val="24"/>
        </w:rPr>
      </w:pPr>
      <w:r w:rsidRPr="00961BAC">
        <w:rPr>
          <w:sz w:val="24"/>
          <w:szCs w:val="24"/>
        </w:rPr>
        <w:t>S</w:t>
      </w:r>
      <w:r w:rsidR="00A6122D" w:rsidRPr="00961BAC">
        <w:rPr>
          <w:sz w:val="24"/>
          <w:szCs w:val="24"/>
        </w:rPr>
        <w:t xml:space="preserve">eparate analysis according to </w:t>
      </w:r>
      <w:r w:rsidR="0074226A" w:rsidRPr="00961BAC">
        <w:rPr>
          <w:sz w:val="24"/>
          <w:szCs w:val="24"/>
        </w:rPr>
        <w:t xml:space="preserve">level of engagement of the individuals in the LWCR </w:t>
      </w:r>
      <w:r w:rsidR="0043606C" w:rsidRPr="00961BAC">
        <w:rPr>
          <w:sz w:val="24"/>
          <w:szCs w:val="24"/>
        </w:rPr>
        <w:t>programme</w:t>
      </w:r>
      <w:r w:rsidRPr="00961BAC">
        <w:rPr>
          <w:sz w:val="24"/>
          <w:szCs w:val="24"/>
        </w:rPr>
        <w:t xml:space="preserve"> suggested </w:t>
      </w:r>
      <w:r w:rsidR="00FE26A4" w:rsidRPr="00961BAC">
        <w:rPr>
          <w:sz w:val="24"/>
          <w:szCs w:val="24"/>
        </w:rPr>
        <w:t xml:space="preserve">that </w:t>
      </w:r>
      <w:r w:rsidR="00443CB1" w:rsidRPr="00961BAC">
        <w:rPr>
          <w:sz w:val="24"/>
          <w:szCs w:val="24"/>
        </w:rPr>
        <w:t xml:space="preserve">individuals with </w:t>
      </w:r>
      <w:r w:rsidR="00753D17" w:rsidRPr="00961BAC">
        <w:rPr>
          <w:sz w:val="24"/>
          <w:szCs w:val="24"/>
        </w:rPr>
        <w:t>6 months</w:t>
      </w:r>
      <w:r w:rsidR="00FE26A4" w:rsidRPr="00961BAC">
        <w:rPr>
          <w:sz w:val="24"/>
          <w:szCs w:val="24"/>
        </w:rPr>
        <w:t xml:space="preserve"> or longer</w:t>
      </w:r>
      <w:r w:rsidR="002D7B04" w:rsidRPr="00961BAC">
        <w:rPr>
          <w:sz w:val="24"/>
          <w:szCs w:val="24"/>
        </w:rPr>
        <w:t xml:space="preserve"> follow up</w:t>
      </w:r>
      <w:r w:rsidR="00443CB1" w:rsidRPr="00961BAC">
        <w:rPr>
          <w:sz w:val="24"/>
          <w:szCs w:val="24"/>
        </w:rPr>
        <w:t xml:space="preserve"> report</w:t>
      </w:r>
      <w:r w:rsidR="002D7B04" w:rsidRPr="00961BAC">
        <w:rPr>
          <w:sz w:val="24"/>
          <w:szCs w:val="24"/>
        </w:rPr>
        <w:t>ed</w:t>
      </w:r>
      <w:r w:rsidR="00443CB1" w:rsidRPr="00961BAC">
        <w:rPr>
          <w:sz w:val="24"/>
          <w:szCs w:val="24"/>
        </w:rPr>
        <w:t xml:space="preserve"> some</w:t>
      </w:r>
      <w:r w:rsidR="00C8153B" w:rsidRPr="00961BAC">
        <w:rPr>
          <w:sz w:val="24"/>
          <w:szCs w:val="24"/>
        </w:rPr>
        <w:t xml:space="preserve">what </w:t>
      </w:r>
      <w:r w:rsidR="002D7B04" w:rsidRPr="00961BAC">
        <w:rPr>
          <w:sz w:val="24"/>
          <w:szCs w:val="24"/>
        </w:rPr>
        <w:t>higher</w:t>
      </w:r>
      <w:r w:rsidR="00F26D48" w:rsidRPr="00961BAC">
        <w:rPr>
          <w:sz w:val="24"/>
          <w:szCs w:val="24"/>
        </w:rPr>
        <w:t xml:space="preserve"> functional impairment </w:t>
      </w:r>
      <w:r w:rsidR="00753D17" w:rsidRPr="00961BAC">
        <w:rPr>
          <w:sz w:val="24"/>
          <w:szCs w:val="24"/>
        </w:rPr>
        <w:t>compared to participant</w:t>
      </w:r>
      <w:r w:rsidRPr="00961BAC">
        <w:rPr>
          <w:sz w:val="24"/>
          <w:szCs w:val="24"/>
        </w:rPr>
        <w:t>s</w:t>
      </w:r>
      <w:r w:rsidR="00753D17" w:rsidRPr="00961BAC">
        <w:rPr>
          <w:sz w:val="24"/>
          <w:szCs w:val="24"/>
        </w:rPr>
        <w:t xml:space="preserve"> with less than 6 months follow up</w:t>
      </w:r>
      <w:r w:rsidR="006608C1" w:rsidRPr="00961BAC">
        <w:rPr>
          <w:sz w:val="24"/>
          <w:szCs w:val="24"/>
        </w:rPr>
        <w:t>. However,</w:t>
      </w:r>
      <w:r w:rsidR="0048750F" w:rsidRPr="00961BAC">
        <w:rPr>
          <w:sz w:val="24"/>
          <w:szCs w:val="24"/>
        </w:rPr>
        <w:t xml:space="preserve"> we found that</w:t>
      </w:r>
      <w:r w:rsidR="006608C1" w:rsidRPr="00961BAC">
        <w:rPr>
          <w:sz w:val="24"/>
          <w:szCs w:val="24"/>
        </w:rPr>
        <w:t xml:space="preserve"> </w:t>
      </w:r>
      <w:r w:rsidR="00D35811" w:rsidRPr="00961BAC">
        <w:rPr>
          <w:sz w:val="24"/>
          <w:szCs w:val="24"/>
        </w:rPr>
        <w:t>both groups reported similar,</w:t>
      </w:r>
      <w:r w:rsidR="00753D17" w:rsidRPr="00961BAC">
        <w:rPr>
          <w:sz w:val="24"/>
          <w:szCs w:val="24"/>
        </w:rPr>
        <w:t xml:space="preserve"> modest improvements over time</w:t>
      </w:r>
      <w:r w:rsidR="00D35811" w:rsidRPr="00961BAC">
        <w:rPr>
          <w:sz w:val="24"/>
          <w:szCs w:val="24"/>
        </w:rPr>
        <w:t>.</w:t>
      </w:r>
      <w:r w:rsidR="00237664" w:rsidRPr="00961BAC">
        <w:rPr>
          <w:sz w:val="24"/>
          <w:szCs w:val="24"/>
        </w:rPr>
        <w:t xml:space="preserve"> </w:t>
      </w:r>
    </w:p>
    <w:p w14:paraId="29551089" w14:textId="04EDD8C8" w:rsidR="00485DB3" w:rsidRPr="00961BAC" w:rsidRDefault="00DE2697" w:rsidP="000D5D87">
      <w:pPr>
        <w:jc w:val="both"/>
        <w:rPr>
          <w:sz w:val="24"/>
          <w:szCs w:val="24"/>
        </w:rPr>
      </w:pPr>
      <w:r w:rsidRPr="00961BAC">
        <w:rPr>
          <w:sz w:val="24"/>
          <w:szCs w:val="24"/>
        </w:rPr>
        <w:t>While long</w:t>
      </w:r>
      <w:r w:rsidR="00C00B15" w:rsidRPr="00961BAC">
        <w:rPr>
          <w:sz w:val="24"/>
          <w:szCs w:val="24"/>
        </w:rPr>
        <w:t xml:space="preserve"> </w:t>
      </w:r>
      <w:r w:rsidRPr="00961BAC">
        <w:rPr>
          <w:sz w:val="24"/>
          <w:szCs w:val="24"/>
        </w:rPr>
        <w:t>COVID</w:t>
      </w:r>
      <w:r w:rsidR="00C00B15" w:rsidRPr="00961BAC">
        <w:rPr>
          <w:sz w:val="24"/>
          <w:szCs w:val="24"/>
        </w:rPr>
        <w:t>-related</w:t>
      </w:r>
      <w:r w:rsidRPr="00961BAC">
        <w:rPr>
          <w:sz w:val="24"/>
          <w:szCs w:val="24"/>
        </w:rPr>
        <w:t xml:space="preserve"> health care </w:t>
      </w:r>
      <w:r w:rsidR="000F5E15" w:rsidRPr="00961BAC">
        <w:rPr>
          <w:sz w:val="24"/>
          <w:szCs w:val="24"/>
        </w:rPr>
        <w:t xml:space="preserve">utilisation </w:t>
      </w:r>
      <w:r w:rsidRPr="00961BAC">
        <w:rPr>
          <w:sz w:val="24"/>
          <w:szCs w:val="24"/>
        </w:rPr>
        <w:t xml:space="preserve">remained relatively constant over the 6-month period, the average number of </w:t>
      </w:r>
      <w:r w:rsidR="00E15B83" w:rsidRPr="00961BAC">
        <w:rPr>
          <w:sz w:val="24"/>
          <w:szCs w:val="24"/>
        </w:rPr>
        <w:t>working days lost increased</w:t>
      </w:r>
      <w:r w:rsidR="000F2815" w:rsidRPr="00961BAC">
        <w:rPr>
          <w:sz w:val="24"/>
          <w:szCs w:val="24"/>
        </w:rPr>
        <w:t xml:space="preserve"> slightly</w:t>
      </w:r>
      <w:r w:rsidRPr="00961BAC">
        <w:rPr>
          <w:sz w:val="24"/>
          <w:szCs w:val="24"/>
        </w:rPr>
        <w:t xml:space="preserve"> over </w:t>
      </w:r>
      <w:r w:rsidR="00491E12" w:rsidRPr="00961BAC">
        <w:rPr>
          <w:sz w:val="24"/>
          <w:szCs w:val="24"/>
        </w:rPr>
        <w:t>time</w:t>
      </w:r>
      <w:r w:rsidR="000F5E15" w:rsidRPr="00961BAC">
        <w:rPr>
          <w:sz w:val="24"/>
          <w:szCs w:val="24"/>
        </w:rPr>
        <w:t>.</w:t>
      </w:r>
      <w:r w:rsidRPr="00961BAC">
        <w:rPr>
          <w:sz w:val="24"/>
          <w:szCs w:val="24"/>
        </w:rPr>
        <w:t xml:space="preserve"> </w:t>
      </w:r>
      <w:r w:rsidR="00C97797" w:rsidRPr="00961BAC">
        <w:rPr>
          <w:sz w:val="24"/>
          <w:szCs w:val="24"/>
        </w:rPr>
        <w:t>Almost three</w:t>
      </w:r>
      <w:r w:rsidR="009B73C2" w:rsidRPr="00961BAC">
        <w:rPr>
          <w:sz w:val="24"/>
          <w:szCs w:val="24"/>
        </w:rPr>
        <w:t xml:space="preserve"> quarters of</w:t>
      </w:r>
      <w:r w:rsidR="000D5D87" w:rsidRPr="00961BAC">
        <w:rPr>
          <w:sz w:val="24"/>
          <w:szCs w:val="24"/>
        </w:rPr>
        <w:t xml:space="preserve"> </w:t>
      </w:r>
      <w:r w:rsidR="00EA2DC3" w:rsidRPr="00961BAC">
        <w:rPr>
          <w:sz w:val="24"/>
          <w:szCs w:val="24"/>
        </w:rPr>
        <w:t>the participants</w:t>
      </w:r>
      <w:r w:rsidR="000D5D87" w:rsidRPr="00961BAC">
        <w:rPr>
          <w:sz w:val="24"/>
          <w:szCs w:val="24"/>
        </w:rPr>
        <w:t xml:space="preserve"> </w:t>
      </w:r>
      <w:r w:rsidR="009B73C2" w:rsidRPr="00961BAC">
        <w:rPr>
          <w:sz w:val="24"/>
          <w:szCs w:val="24"/>
        </w:rPr>
        <w:t>who reported</w:t>
      </w:r>
      <w:r w:rsidR="000D5D87" w:rsidRPr="00961BAC">
        <w:rPr>
          <w:sz w:val="24"/>
          <w:szCs w:val="24"/>
        </w:rPr>
        <w:t xml:space="preserve"> loss of working days at baseline</w:t>
      </w:r>
      <w:r w:rsidR="009B73C2" w:rsidRPr="00961BAC">
        <w:rPr>
          <w:sz w:val="24"/>
          <w:szCs w:val="24"/>
        </w:rPr>
        <w:t>, and remained engaged in the LWCR programme</w:t>
      </w:r>
      <w:r w:rsidR="000D5D87" w:rsidRPr="00961BAC">
        <w:rPr>
          <w:sz w:val="24"/>
          <w:szCs w:val="24"/>
        </w:rPr>
        <w:t xml:space="preserve">, continued to report working days lost at </w:t>
      </w:r>
      <w:r w:rsidR="00DA0316" w:rsidRPr="00961BAC">
        <w:rPr>
          <w:sz w:val="24"/>
          <w:szCs w:val="24"/>
        </w:rPr>
        <w:t xml:space="preserve">6 </w:t>
      </w:r>
      <w:r w:rsidR="000D5D87" w:rsidRPr="00961BAC">
        <w:rPr>
          <w:sz w:val="24"/>
          <w:szCs w:val="24"/>
        </w:rPr>
        <w:t>month</w:t>
      </w:r>
      <w:r w:rsidR="00DA0316" w:rsidRPr="00961BAC">
        <w:rPr>
          <w:sz w:val="24"/>
          <w:szCs w:val="24"/>
        </w:rPr>
        <w:t xml:space="preserve">s, </w:t>
      </w:r>
      <w:r w:rsidR="004D3DA4" w:rsidRPr="00961BAC">
        <w:rPr>
          <w:sz w:val="24"/>
          <w:szCs w:val="24"/>
        </w:rPr>
        <w:t xml:space="preserve">and over a third </w:t>
      </w:r>
      <w:r w:rsidR="00EA2DC3" w:rsidRPr="00961BAC">
        <w:rPr>
          <w:sz w:val="24"/>
          <w:szCs w:val="24"/>
        </w:rPr>
        <w:t xml:space="preserve">of these </w:t>
      </w:r>
      <w:r w:rsidR="004D3DA4" w:rsidRPr="00961BAC">
        <w:rPr>
          <w:sz w:val="24"/>
          <w:szCs w:val="24"/>
        </w:rPr>
        <w:t>were unable to work</w:t>
      </w:r>
      <w:r w:rsidR="00F66E71" w:rsidRPr="00961BAC">
        <w:rPr>
          <w:sz w:val="24"/>
          <w:szCs w:val="24"/>
        </w:rPr>
        <w:t xml:space="preserve"> at all</w:t>
      </w:r>
      <w:r w:rsidR="000D5D87" w:rsidRPr="00961BAC">
        <w:rPr>
          <w:sz w:val="24"/>
          <w:szCs w:val="24"/>
        </w:rPr>
        <w:t>.</w:t>
      </w:r>
      <w:r w:rsidR="00E36DDF" w:rsidRPr="00961BAC">
        <w:rPr>
          <w:sz w:val="24"/>
          <w:szCs w:val="24"/>
        </w:rPr>
        <w:t xml:space="preserve"> Societal costs</w:t>
      </w:r>
      <w:r w:rsidR="00D141A0" w:rsidRPr="00961BAC">
        <w:rPr>
          <w:sz w:val="24"/>
          <w:szCs w:val="24"/>
        </w:rPr>
        <w:t xml:space="preserve"> were</w:t>
      </w:r>
      <w:r w:rsidR="00E36DDF" w:rsidRPr="00961BAC">
        <w:rPr>
          <w:sz w:val="24"/>
          <w:szCs w:val="24"/>
        </w:rPr>
        <w:t xml:space="preserve"> primarily driven by productivity losses</w:t>
      </w:r>
      <w:r w:rsidR="00D141A0" w:rsidRPr="00961BAC">
        <w:rPr>
          <w:sz w:val="24"/>
          <w:szCs w:val="24"/>
        </w:rPr>
        <w:t xml:space="preserve"> and</w:t>
      </w:r>
      <w:r w:rsidR="00E36DDF" w:rsidRPr="00961BAC">
        <w:rPr>
          <w:sz w:val="24"/>
          <w:szCs w:val="24"/>
        </w:rPr>
        <w:t xml:space="preserve"> averaged £931 per individual per month </w:t>
      </w:r>
      <w:r w:rsidR="00485DB3" w:rsidRPr="00961BAC">
        <w:rPr>
          <w:sz w:val="24"/>
          <w:szCs w:val="24"/>
        </w:rPr>
        <w:t xml:space="preserve">at </w:t>
      </w:r>
      <w:r w:rsidR="00E36DDF" w:rsidRPr="00961BAC">
        <w:rPr>
          <w:sz w:val="24"/>
          <w:szCs w:val="24"/>
        </w:rPr>
        <w:t>6 months after registration.</w:t>
      </w:r>
    </w:p>
    <w:p w14:paraId="790D6303" w14:textId="771CF56C" w:rsidR="0022035A" w:rsidRPr="00961BAC" w:rsidRDefault="0022035A" w:rsidP="0022035A">
      <w:pPr>
        <w:jc w:val="both"/>
        <w:rPr>
          <w:sz w:val="24"/>
          <w:szCs w:val="24"/>
        </w:rPr>
      </w:pPr>
      <w:r w:rsidRPr="00961BAC">
        <w:rPr>
          <w:b/>
          <w:bCs/>
          <w:sz w:val="24"/>
          <w:szCs w:val="24"/>
        </w:rPr>
        <w:t xml:space="preserve">Comparisons with </w:t>
      </w:r>
      <w:r w:rsidR="005D066A" w:rsidRPr="00961BAC">
        <w:rPr>
          <w:b/>
          <w:bCs/>
          <w:sz w:val="24"/>
          <w:szCs w:val="24"/>
        </w:rPr>
        <w:t>previous studies</w:t>
      </w:r>
    </w:p>
    <w:p w14:paraId="0FE00A05" w14:textId="577CA3B3" w:rsidR="00FF0522" w:rsidRPr="00961BAC" w:rsidRDefault="000A244A" w:rsidP="0022035A">
      <w:pPr>
        <w:jc w:val="both"/>
        <w:rPr>
          <w:sz w:val="24"/>
          <w:szCs w:val="24"/>
        </w:rPr>
      </w:pPr>
      <w:bookmarkStart w:id="6" w:name="_Hlk165409191"/>
      <w:r w:rsidRPr="00961BAC">
        <w:rPr>
          <w:sz w:val="24"/>
          <w:szCs w:val="24"/>
        </w:rPr>
        <w:t xml:space="preserve">A </w:t>
      </w:r>
      <w:r w:rsidR="0011152C" w:rsidRPr="00961BAC">
        <w:rPr>
          <w:sz w:val="24"/>
          <w:szCs w:val="24"/>
        </w:rPr>
        <w:t>p</w:t>
      </w:r>
      <w:r w:rsidR="0022035A" w:rsidRPr="00961BAC">
        <w:rPr>
          <w:sz w:val="24"/>
          <w:szCs w:val="24"/>
        </w:rPr>
        <w:t xml:space="preserve">revious </w:t>
      </w:r>
      <w:r w:rsidR="00B01A93" w:rsidRPr="00961BAC">
        <w:rPr>
          <w:sz w:val="24"/>
          <w:szCs w:val="24"/>
        </w:rPr>
        <w:t xml:space="preserve">umbrella </w:t>
      </w:r>
      <w:r w:rsidR="0011152C" w:rsidRPr="00961BAC">
        <w:rPr>
          <w:sz w:val="24"/>
          <w:szCs w:val="24"/>
        </w:rPr>
        <w:t>review</w:t>
      </w:r>
      <w:r w:rsidR="00453AB5" w:rsidRPr="00961BAC">
        <w:rPr>
          <w:sz w:val="24"/>
          <w:szCs w:val="24"/>
        </w:rPr>
        <w:fldChar w:fldCharType="begin"/>
      </w:r>
      <w:r w:rsidR="00FD4C2C" w:rsidRPr="00961BAC">
        <w:rPr>
          <w:sz w:val="24"/>
          <w:szCs w:val="24"/>
        </w:rPr>
        <w:instrText xml:space="preserve"> ADDIN EN.CITE &lt;EndNote&gt;&lt;Cite&gt;&lt;Author&gt;Nittas&lt;/Author&gt;&lt;Year&gt;2022&lt;/Year&gt;&lt;RecNum&gt;26&lt;/RecNum&gt;&lt;DisplayText&gt;&lt;style face="superscript"&gt;9&lt;/style&gt;&lt;/DisplayText&gt;&lt;record&gt;&lt;rec-number&gt;26&lt;/rec-number&gt;&lt;foreign-keys&gt;&lt;key app="EN" db-id="zfz9pe2xqf0rxiee9sbptsdssxaev52swxxa" timestamp="1710513296"&gt;26&lt;/key&gt;&lt;/foreign-keys&gt;&lt;ref-type name="Journal Article"&gt;17&lt;/ref-type&gt;&lt;contributors&gt;&lt;authors&gt;&lt;author&gt;Nittas, Vasileios&lt;/author&gt;&lt;author&gt;Gao, Manqi&lt;/author&gt;&lt;author&gt;West, Erin A&lt;/author&gt;&lt;author&gt;Ballouz, Tala&lt;/author&gt;&lt;author&gt;Menges, Dominik&lt;/author&gt;&lt;author&gt;Wulf Hanson, Sarah&lt;/author&gt;&lt;author&gt;Puhan, Milo Alan&lt;/author&gt;&lt;/authors&gt;&lt;/contributors&gt;&lt;titles&gt;&lt;title&gt;Long COVID through a public health lens: an umbrella review&lt;/title&gt;&lt;secondary-title&gt;Public health reviews&lt;/secondary-title&gt;&lt;/titles&gt;&lt;periodical&gt;&lt;full-title&gt;Public health reviews&lt;/full-title&gt;&lt;/periodical&gt;&lt;pages&gt;1604501&lt;/pages&gt;&lt;volume&gt;43&lt;/volume&gt;&lt;dates&gt;&lt;year&gt;2022&lt;/year&gt;&lt;/dates&gt;&lt;isbn&gt;2107-6952&lt;/isbn&gt;&lt;urls&gt;&lt;/urls&gt;&lt;/record&gt;&lt;/Cite&gt;&lt;/EndNote&gt;</w:instrText>
      </w:r>
      <w:r w:rsidR="00453AB5" w:rsidRPr="00961BAC">
        <w:rPr>
          <w:sz w:val="24"/>
          <w:szCs w:val="24"/>
        </w:rPr>
        <w:fldChar w:fldCharType="separate"/>
      </w:r>
      <w:r w:rsidR="00FD4C2C" w:rsidRPr="00961BAC">
        <w:rPr>
          <w:noProof/>
          <w:sz w:val="24"/>
          <w:szCs w:val="24"/>
          <w:vertAlign w:val="superscript"/>
        </w:rPr>
        <w:t>9</w:t>
      </w:r>
      <w:r w:rsidR="00453AB5" w:rsidRPr="00961BAC">
        <w:rPr>
          <w:sz w:val="24"/>
          <w:szCs w:val="24"/>
        </w:rPr>
        <w:fldChar w:fldCharType="end"/>
      </w:r>
      <w:r w:rsidR="00453AB5" w:rsidRPr="00961BAC">
        <w:rPr>
          <w:sz w:val="24"/>
          <w:szCs w:val="24"/>
        </w:rPr>
        <w:t xml:space="preserve"> </w:t>
      </w:r>
      <w:r w:rsidR="00E84F7B" w:rsidRPr="00961BAC">
        <w:rPr>
          <w:sz w:val="24"/>
          <w:szCs w:val="24"/>
        </w:rPr>
        <w:t xml:space="preserve">found that </w:t>
      </w:r>
      <w:r w:rsidR="0022035A" w:rsidRPr="00961BAC">
        <w:rPr>
          <w:sz w:val="24"/>
          <w:szCs w:val="24"/>
        </w:rPr>
        <w:t xml:space="preserve">long COVID </w:t>
      </w:r>
      <w:r w:rsidR="00E84F7B" w:rsidRPr="00961BAC">
        <w:rPr>
          <w:sz w:val="24"/>
          <w:szCs w:val="24"/>
        </w:rPr>
        <w:t>i</w:t>
      </w:r>
      <w:r w:rsidR="004E485E" w:rsidRPr="00961BAC">
        <w:rPr>
          <w:sz w:val="24"/>
          <w:szCs w:val="24"/>
        </w:rPr>
        <w:t>s likely to have an impact on</w:t>
      </w:r>
      <w:r w:rsidR="00661B4C" w:rsidRPr="00961BAC">
        <w:rPr>
          <w:sz w:val="24"/>
          <w:szCs w:val="24"/>
        </w:rPr>
        <w:t xml:space="preserve"> </w:t>
      </w:r>
      <w:r w:rsidR="004E485E" w:rsidRPr="00961BAC">
        <w:rPr>
          <w:sz w:val="24"/>
          <w:szCs w:val="24"/>
        </w:rPr>
        <w:t xml:space="preserve">activities of daily living, social </w:t>
      </w:r>
      <w:r w:rsidR="00370ADA" w:rsidRPr="00961BAC">
        <w:rPr>
          <w:sz w:val="24"/>
          <w:szCs w:val="24"/>
        </w:rPr>
        <w:t xml:space="preserve">functioning </w:t>
      </w:r>
      <w:r w:rsidR="00190F2C" w:rsidRPr="00961BAC">
        <w:rPr>
          <w:sz w:val="24"/>
          <w:szCs w:val="24"/>
        </w:rPr>
        <w:t xml:space="preserve">and </w:t>
      </w:r>
      <w:bookmarkEnd w:id="6"/>
      <w:r w:rsidR="00897CE1" w:rsidRPr="00961BAC">
        <w:rPr>
          <w:sz w:val="24"/>
          <w:szCs w:val="24"/>
        </w:rPr>
        <w:t xml:space="preserve">employment. </w:t>
      </w:r>
      <w:r w:rsidR="0023207E" w:rsidRPr="00961BAC">
        <w:rPr>
          <w:sz w:val="24"/>
          <w:szCs w:val="24"/>
        </w:rPr>
        <w:t>However, the</w:t>
      </w:r>
      <w:r w:rsidR="001926B8" w:rsidRPr="00961BAC">
        <w:rPr>
          <w:sz w:val="24"/>
          <w:szCs w:val="24"/>
        </w:rPr>
        <w:t xml:space="preserve"> study </w:t>
      </w:r>
      <w:r w:rsidR="0023207E" w:rsidRPr="00961BAC">
        <w:rPr>
          <w:sz w:val="24"/>
          <w:szCs w:val="24"/>
        </w:rPr>
        <w:t xml:space="preserve">concluded that </w:t>
      </w:r>
      <w:r w:rsidR="00F62BBF" w:rsidRPr="00961BAC">
        <w:rPr>
          <w:sz w:val="24"/>
          <w:szCs w:val="24"/>
        </w:rPr>
        <w:t xml:space="preserve">the existing </w:t>
      </w:r>
      <w:r w:rsidR="0023207E" w:rsidRPr="00961BAC">
        <w:rPr>
          <w:sz w:val="24"/>
          <w:szCs w:val="24"/>
        </w:rPr>
        <w:t xml:space="preserve">literature provides a patchy, heterogeneous, and thus inconclusive picture of </w:t>
      </w:r>
      <w:r w:rsidR="00BE7D6D" w:rsidRPr="00961BAC">
        <w:rPr>
          <w:sz w:val="24"/>
          <w:szCs w:val="24"/>
        </w:rPr>
        <w:t>the health</w:t>
      </w:r>
      <w:r w:rsidR="0047451D" w:rsidRPr="00961BAC">
        <w:rPr>
          <w:sz w:val="24"/>
          <w:szCs w:val="24"/>
        </w:rPr>
        <w:t>, social and</w:t>
      </w:r>
      <w:r w:rsidR="00BE7D6D" w:rsidRPr="00961BAC">
        <w:rPr>
          <w:sz w:val="24"/>
          <w:szCs w:val="24"/>
        </w:rPr>
        <w:t xml:space="preserve"> economic</w:t>
      </w:r>
      <w:r w:rsidR="0023207E" w:rsidRPr="00961BAC">
        <w:rPr>
          <w:sz w:val="24"/>
          <w:szCs w:val="24"/>
        </w:rPr>
        <w:t xml:space="preserve"> burden</w:t>
      </w:r>
      <w:r w:rsidR="0047451D" w:rsidRPr="00961BAC">
        <w:rPr>
          <w:sz w:val="24"/>
          <w:szCs w:val="24"/>
        </w:rPr>
        <w:t xml:space="preserve"> of long COVID. </w:t>
      </w:r>
    </w:p>
    <w:p w14:paraId="68A7FD1F" w14:textId="6994BC13" w:rsidR="007A13EF" w:rsidRPr="00961BAC" w:rsidRDefault="00B77AC2" w:rsidP="0022035A">
      <w:pPr>
        <w:jc w:val="both"/>
        <w:rPr>
          <w:sz w:val="24"/>
          <w:szCs w:val="24"/>
        </w:rPr>
      </w:pPr>
      <w:r w:rsidRPr="00961BAC">
        <w:rPr>
          <w:sz w:val="24"/>
          <w:szCs w:val="24"/>
        </w:rPr>
        <w:t xml:space="preserve">This </w:t>
      </w:r>
      <w:r w:rsidR="002C06E6" w:rsidRPr="00961BAC">
        <w:rPr>
          <w:sz w:val="24"/>
          <w:szCs w:val="24"/>
        </w:rPr>
        <w:t xml:space="preserve">longitudinal </w:t>
      </w:r>
      <w:r w:rsidR="0022035A" w:rsidRPr="00961BAC">
        <w:rPr>
          <w:sz w:val="24"/>
          <w:szCs w:val="24"/>
        </w:rPr>
        <w:t xml:space="preserve">study </w:t>
      </w:r>
      <w:r w:rsidR="000A621B" w:rsidRPr="00961BAC">
        <w:rPr>
          <w:sz w:val="24"/>
          <w:szCs w:val="24"/>
        </w:rPr>
        <w:t xml:space="preserve">adds to </w:t>
      </w:r>
      <w:r w:rsidR="007A13EF" w:rsidRPr="00961BAC">
        <w:rPr>
          <w:sz w:val="24"/>
          <w:szCs w:val="24"/>
        </w:rPr>
        <w:t>our recent cross-sectional paper</w:t>
      </w:r>
      <w:r w:rsidR="007A13EF" w:rsidRPr="00961BAC">
        <w:rPr>
          <w:sz w:val="24"/>
          <w:szCs w:val="24"/>
        </w:rPr>
        <w:fldChar w:fldCharType="begin"/>
      </w:r>
      <w:r w:rsidR="00FD4C2C" w:rsidRPr="00961BAC">
        <w:rPr>
          <w:sz w:val="24"/>
          <w:szCs w:val="24"/>
        </w:rPr>
        <w:instrText xml:space="preserve"> ADDIN EN.CITE &lt;EndNote&gt;&lt;Cite&gt;&lt;Author&gt;Walker&lt;/Author&gt;&lt;Year&gt;2023&lt;/Year&gt;&lt;RecNum&gt;6&lt;/RecNum&gt;&lt;DisplayText&gt;&lt;style face="superscript"&gt;7&lt;/style&gt;&lt;/DisplayText&gt;&lt;record&gt;&lt;rec-number&gt;6&lt;/rec-number&gt;&lt;foreign-keys&gt;&lt;key app="EN" db-id="zfz9pe2xqf0rxiee9sbptsdssxaev52swxxa" timestamp="1710163749"&gt;6&lt;/key&gt;&lt;/foreign-keys&gt;&lt;ref-type name="Journal Article"&gt;17&lt;/ref-type&gt;&lt;contributors&gt;&lt;authors&gt;&lt;author&gt;Walker, Sarah&lt;/author&gt;&lt;author&gt;Goodfellow, Henry&lt;/author&gt;&lt;author&gt;Pookarnjanamorakot, Patra&lt;/author&gt;&lt;author&gt;Murray, Elizabeth&lt;/author&gt;&lt;author&gt;Bindman, Julia&lt;/author&gt;&lt;author&gt;Blandford, Ann&lt;/author&gt;&lt;author&gt;Bradbury, Katherine&lt;/author&gt;&lt;author&gt;Cooper, Belinda&lt;/author&gt;&lt;author&gt;Hamilton, Fiona L&lt;/author&gt;&lt;author&gt;Hurst, John R&lt;/author&gt;&lt;/authors&gt;&lt;/contributors&gt;&lt;titles&gt;&lt;title&gt;Impact of fatigue as the primary determinant of functional limitations among patients with post-COVID-19 syndrome: a cross-sectional observational study&lt;/title&gt;&lt;secondary-title&gt;BMJ open&lt;/secondary-title&gt;&lt;/titles&gt;&lt;periodical&gt;&lt;full-title&gt;BMJ open&lt;/full-title&gt;&lt;/periodical&gt;&lt;pages&gt;e069217&lt;/pages&gt;&lt;volume&gt;13&lt;/volume&gt;&lt;number&gt;6&lt;/number&gt;&lt;dates&gt;&lt;year&gt;2023&lt;/year&gt;&lt;/dates&gt;&lt;isbn&gt;2044-6055&lt;/isbn&gt;&lt;urls&gt;&lt;/urls&gt;&lt;/record&gt;&lt;/Cite&gt;&lt;/EndNote&gt;</w:instrText>
      </w:r>
      <w:r w:rsidR="007A13EF" w:rsidRPr="00961BAC">
        <w:rPr>
          <w:sz w:val="24"/>
          <w:szCs w:val="24"/>
        </w:rPr>
        <w:fldChar w:fldCharType="separate"/>
      </w:r>
      <w:r w:rsidR="00FD4C2C" w:rsidRPr="00961BAC">
        <w:rPr>
          <w:noProof/>
          <w:sz w:val="24"/>
          <w:szCs w:val="24"/>
          <w:vertAlign w:val="superscript"/>
        </w:rPr>
        <w:t>7</w:t>
      </w:r>
      <w:r w:rsidR="007A13EF" w:rsidRPr="00961BAC">
        <w:rPr>
          <w:sz w:val="24"/>
          <w:szCs w:val="24"/>
        </w:rPr>
        <w:fldChar w:fldCharType="end"/>
      </w:r>
      <w:r w:rsidR="007A13EF" w:rsidRPr="00961BAC">
        <w:rPr>
          <w:sz w:val="24"/>
          <w:szCs w:val="24"/>
        </w:rPr>
        <w:t xml:space="preserve"> </w:t>
      </w:r>
      <w:r w:rsidR="000A621B" w:rsidRPr="00961BAC">
        <w:rPr>
          <w:sz w:val="24"/>
          <w:szCs w:val="24"/>
        </w:rPr>
        <w:t>by showing</w:t>
      </w:r>
      <w:r w:rsidR="002C06E6" w:rsidRPr="00961BAC">
        <w:rPr>
          <w:sz w:val="24"/>
          <w:szCs w:val="24"/>
        </w:rPr>
        <w:t xml:space="preserve"> </w:t>
      </w:r>
      <w:r w:rsidR="00A6634C" w:rsidRPr="00961BAC">
        <w:rPr>
          <w:sz w:val="24"/>
          <w:szCs w:val="24"/>
        </w:rPr>
        <w:t>a persisting</w:t>
      </w:r>
      <w:r w:rsidR="002C06E6" w:rsidRPr="00961BAC">
        <w:rPr>
          <w:sz w:val="24"/>
          <w:szCs w:val="24"/>
        </w:rPr>
        <w:t xml:space="preserve"> </w:t>
      </w:r>
      <w:r w:rsidR="00895746" w:rsidRPr="00961BAC">
        <w:rPr>
          <w:sz w:val="24"/>
          <w:szCs w:val="24"/>
        </w:rPr>
        <w:t>functional impairment</w:t>
      </w:r>
      <w:r w:rsidR="00960178" w:rsidRPr="00961BAC">
        <w:rPr>
          <w:sz w:val="24"/>
          <w:szCs w:val="24"/>
        </w:rPr>
        <w:t xml:space="preserve"> </w:t>
      </w:r>
      <w:r w:rsidR="00A6634C" w:rsidRPr="00961BAC">
        <w:rPr>
          <w:sz w:val="24"/>
          <w:szCs w:val="24"/>
        </w:rPr>
        <w:t>over the</w:t>
      </w:r>
      <w:r w:rsidR="004079EB" w:rsidRPr="00961BAC">
        <w:rPr>
          <w:sz w:val="24"/>
          <w:szCs w:val="24"/>
        </w:rPr>
        <w:t xml:space="preserve"> </w:t>
      </w:r>
      <w:r w:rsidR="002C06E6" w:rsidRPr="00961BAC">
        <w:rPr>
          <w:sz w:val="24"/>
          <w:szCs w:val="24"/>
        </w:rPr>
        <w:t>6</w:t>
      </w:r>
      <w:r w:rsidR="00A6634C" w:rsidRPr="00961BAC">
        <w:rPr>
          <w:sz w:val="24"/>
          <w:szCs w:val="24"/>
        </w:rPr>
        <w:t>-</w:t>
      </w:r>
      <w:r w:rsidR="002C06E6" w:rsidRPr="00961BAC">
        <w:rPr>
          <w:sz w:val="24"/>
          <w:szCs w:val="24"/>
        </w:rPr>
        <w:t>month</w:t>
      </w:r>
      <w:r w:rsidR="00A6634C" w:rsidRPr="00961BAC">
        <w:rPr>
          <w:sz w:val="24"/>
          <w:szCs w:val="24"/>
        </w:rPr>
        <w:t xml:space="preserve"> period </w:t>
      </w:r>
      <w:r w:rsidR="004079EB" w:rsidRPr="00961BAC">
        <w:rPr>
          <w:sz w:val="24"/>
          <w:szCs w:val="24"/>
        </w:rPr>
        <w:t>after</w:t>
      </w:r>
      <w:r w:rsidR="002C06E6" w:rsidRPr="00961BAC">
        <w:rPr>
          <w:sz w:val="24"/>
          <w:szCs w:val="24"/>
        </w:rPr>
        <w:t xml:space="preserve"> registration </w:t>
      </w:r>
      <w:r w:rsidR="00B06B77" w:rsidRPr="00961BAC">
        <w:rPr>
          <w:sz w:val="24"/>
          <w:szCs w:val="24"/>
        </w:rPr>
        <w:t>i</w:t>
      </w:r>
      <w:r w:rsidR="002C06E6" w:rsidRPr="00961BAC">
        <w:rPr>
          <w:sz w:val="24"/>
          <w:szCs w:val="24"/>
        </w:rPr>
        <w:t>n the LWCR</w:t>
      </w:r>
      <w:r w:rsidR="00D817AB" w:rsidRPr="00961BAC">
        <w:rPr>
          <w:sz w:val="24"/>
          <w:szCs w:val="24"/>
        </w:rPr>
        <w:t xml:space="preserve">. </w:t>
      </w:r>
      <w:r w:rsidR="000B04AA" w:rsidRPr="00961BAC">
        <w:rPr>
          <w:sz w:val="24"/>
          <w:szCs w:val="24"/>
        </w:rPr>
        <w:t xml:space="preserve">The </w:t>
      </w:r>
      <w:r w:rsidR="00E066BD" w:rsidRPr="00961BAC">
        <w:rPr>
          <w:sz w:val="24"/>
          <w:szCs w:val="24"/>
        </w:rPr>
        <w:t xml:space="preserve">mean WSAS score </w:t>
      </w:r>
      <w:r w:rsidR="000B04AA" w:rsidRPr="00961BAC">
        <w:rPr>
          <w:sz w:val="24"/>
          <w:szCs w:val="24"/>
        </w:rPr>
        <w:t>was 19.1 (95% CI 18.6, 19.6)</w:t>
      </w:r>
      <w:r w:rsidR="00E066BD" w:rsidRPr="00961BAC">
        <w:rPr>
          <w:sz w:val="24"/>
          <w:szCs w:val="24"/>
        </w:rPr>
        <w:t xml:space="preserve"> at 6 months</w:t>
      </w:r>
      <w:r w:rsidR="008F3932" w:rsidRPr="00961BAC">
        <w:rPr>
          <w:sz w:val="24"/>
          <w:szCs w:val="24"/>
        </w:rPr>
        <w:t xml:space="preserve">, </w:t>
      </w:r>
      <w:r w:rsidR="00FE0D8B" w:rsidRPr="00961BAC">
        <w:rPr>
          <w:sz w:val="24"/>
          <w:szCs w:val="24"/>
        </w:rPr>
        <w:t>suggest</w:t>
      </w:r>
      <w:r w:rsidR="008F3932" w:rsidRPr="00961BAC">
        <w:rPr>
          <w:sz w:val="24"/>
          <w:szCs w:val="24"/>
        </w:rPr>
        <w:t>ing</w:t>
      </w:r>
      <w:r w:rsidR="00FE0D8B" w:rsidRPr="00961BAC">
        <w:rPr>
          <w:sz w:val="24"/>
          <w:szCs w:val="24"/>
        </w:rPr>
        <w:t xml:space="preserve"> that care-seeking long COVID patients ha</w:t>
      </w:r>
      <w:r w:rsidR="008F3932" w:rsidRPr="00961BAC">
        <w:rPr>
          <w:sz w:val="24"/>
          <w:szCs w:val="24"/>
        </w:rPr>
        <w:t>ve</w:t>
      </w:r>
      <w:r w:rsidR="00FE0D8B" w:rsidRPr="00961BAC">
        <w:rPr>
          <w:sz w:val="24"/>
          <w:szCs w:val="24"/>
        </w:rPr>
        <w:t xml:space="preserve">, on average worse functional </w:t>
      </w:r>
      <w:r w:rsidR="008F3932" w:rsidRPr="00961BAC">
        <w:rPr>
          <w:sz w:val="24"/>
          <w:szCs w:val="24"/>
        </w:rPr>
        <w:t>impairment</w:t>
      </w:r>
      <w:r w:rsidR="00FE0D8B" w:rsidRPr="00961BAC">
        <w:rPr>
          <w:sz w:val="24"/>
          <w:szCs w:val="24"/>
        </w:rPr>
        <w:t xml:space="preserve"> than individuals who had a stroke (mean WSAS score of 16)</w:t>
      </w:r>
      <w:r w:rsidR="00FE0D8B" w:rsidRPr="00961BAC">
        <w:rPr>
          <w:sz w:val="24"/>
          <w:szCs w:val="24"/>
        </w:rPr>
        <w:fldChar w:fldCharType="begin"/>
      </w:r>
      <w:r w:rsidR="00FD4C2C" w:rsidRPr="00961BAC">
        <w:rPr>
          <w:sz w:val="24"/>
          <w:szCs w:val="24"/>
        </w:rPr>
        <w:instrText xml:space="preserve"> ADDIN EN.CITE &lt;EndNote&gt;&lt;Cite&gt;&lt;Author&gt;Hommel&lt;/Author&gt;&lt;Year&gt;2009&lt;/Year&gt;&lt;RecNum&gt;9&lt;/RecNum&gt;&lt;DisplayText&gt;&lt;style face="superscript"&gt;17&lt;/style&gt;&lt;/DisplayText&gt;&lt;record&gt;&lt;rec-number&gt;9&lt;/rec-number&gt;&lt;foreign-keys&gt;&lt;key app="EN" db-id="zfz9pe2xqf0rxiee9sbptsdssxaev52swxxa" timestamp="1710232512"&gt;9&lt;/key&gt;&lt;/foreign-keys&gt;&lt;ref-type name="Journal Article"&gt;17&lt;/ref-type&gt;&lt;contributors&gt;&lt;authors&gt;&lt;author&gt;Hommel, Marc&lt;/author&gt;&lt;author&gt;Trabucco-Miguel, Sandra&lt;/author&gt;&lt;author&gt;Joray, Sabine&lt;/author&gt;&lt;author&gt;Naegele, Bernadette&lt;/author&gt;&lt;author&gt;Gonnet, Nicolas&lt;/author&gt;&lt;author&gt;Jaillard, Assia&lt;/author&gt;&lt;/authors&gt;&lt;/contributors&gt;&lt;titles&gt;&lt;title&gt;Social dysfunctioning after mild to moderate first-ever stroke at vocational age&lt;/title&gt;&lt;secondary-title&gt;Journal of Neurology, Neurosurgery &amp;amp; Psychiatry&lt;/secondary-title&gt;&lt;/titles&gt;&lt;periodical&gt;&lt;full-title&gt;Journal of Neurology, Neurosurgery &amp;amp; Psychiatry&lt;/full-title&gt;&lt;/periodical&gt;&lt;pages&gt;371-375&lt;/pages&gt;&lt;volume&gt;80&lt;/volume&gt;&lt;number&gt;4&lt;/number&gt;&lt;dates&gt;&lt;year&gt;2009&lt;/year&gt;&lt;/dates&gt;&lt;isbn&gt;0022-3050&lt;/isbn&gt;&lt;urls&gt;&lt;/urls&gt;&lt;/record&gt;&lt;/Cite&gt;&lt;/EndNote&gt;</w:instrText>
      </w:r>
      <w:r w:rsidR="00FE0D8B" w:rsidRPr="00961BAC">
        <w:rPr>
          <w:sz w:val="24"/>
          <w:szCs w:val="24"/>
        </w:rPr>
        <w:fldChar w:fldCharType="separate"/>
      </w:r>
      <w:r w:rsidR="00FD4C2C" w:rsidRPr="00961BAC">
        <w:rPr>
          <w:noProof/>
          <w:sz w:val="24"/>
          <w:szCs w:val="24"/>
          <w:vertAlign w:val="superscript"/>
        </w:rPr>
        <w:t>17</w:t>
      </w:r>
      <w:r w:rsidR="00FE0D8B" w:rsidRPr="00961BAC">
        <w:rPr>
          <w:sz w:val="24"/>
          <w:szCs w:val="24"/>
        </w:rPr>
        <w:fldChar w:fldCharType="end"/>
      </w:r>
      <w:r w:rsidR="00FE0D8B" w:rsidRPr="00961BAC">
        <w:rPr>
          <w:sz w:val="24"/>
          <w:szCs w:val="24"/>
        </w:rPr>
        <w:t>.</w:t>
      </w:r>
      <w:r w:rsidR="00205571" w:rsidRPr="00961BAC">
        <w:rPr>
          <w:sz w:val="24"/>
          <w:szCs w:val="24"/>
        </w:rPr>
        <w:t xml:space="preserve"> </w:t>
      </w:r>
      <w:r w:rsidR="00964CDF" w:rsidRPr="00961BAC">
        <w:rPr>
          <w:sz w:val="24"/>
          <w:szCs w:val="24"/>
        </w:rPr>
        <w:t>We found that t</w:t>
      </w:r>
      <w:r w:rsidR="00D817AB" w:rsidRPr="00961BAC">
        <w:rPr>
          <w:sz w:val="24"/>
          <w:szCs w:val="24"/>
        </w:rPr>
        <w:t>h</w:t>
      </w:r>
      <w:r w:rsidR="00A6634C" w:rsidRPr="00961BAC">
        <w:rPr>
          <w:sz w:val="24"/>
          <w:szCs w:val="24"/>
        </w:rPr>
        <w:t xml:space="preserve">ere was </w:t>
      </w:r>
      <w:r w:rsidR="00D01B94" w:rsidRPr="00961BAC">
        <w:rPr>
          <w:sz w:val="24"/>
          <w:szCs w:val="24"/>
        </w:rPr>
        <w:t>a small improvement</w:t>
      </w:r>
      <w:r w:rsidR="0022035A" w:rsidRPr="00961BAC">
        <w:rPr>
          <w:sz w:val="24"/>
          <w:szCs w:val="24"/>
        </w:rPr>
        <w:t xml:space="preserve"> in functi</w:t>
      </w:r>
      <w:r w:rsidR="00D46B02" w:rsidRPr="00961BAC">
        <w:rPr>
          <w:sz w:val="24"/>
          <w:szCs w:val="24"/>
        </w:rPr>
        <w:t>on</w:t>
      </w:r>
      <w:r w:rsidR="00205571" w:rsidRPr="00961BAC">
        <w:rPr>
          <w:sz w:val="24"/>
          <w:szCs w:val="24"/>
        </w:rPr>
        <w:t xml:space="preserve"> over time</w:t>
      </w:r>
      <w:r w:rsidR="00D46B02" w:rsidRPr="00961BAC">
        <w:rPr>
          <w:sz w:val="24"/>
          <w:szCs w:val="24"/>
        </w:rPr>
        <w:t xml:space="preserve"> </w:t>
      </w:r>
      <w:r w:rsidR="007B696F" w:rsidRPr="00961BAC">
        <w:rPr>
          <w:sz w:val="24"/>
          <w:szCs w:val="24"/>
        </w:rPr>
        <w:t>(mean change</w:t>
      </w:r>
      <w:r w:rsidR="00D46B02" w:rsidRPr="00961BAC">
        <w:rPr>
          <w:sz w:val="24"/>
          <w:szCs w:val="24"/>
        </w:rPr>
        <w:t xml:space="preserve"> in WSAS score</w:t>
      </w:r>
      <w:r w:rsidR="007B696F" w:rsidRPr="00961BAC">
        <w:rPr>
          <w:sz w:val="24"/>
          <w:szCs w:val="24"/>
        </w:rPr>
        <w:t xml:space="preserve"> was </w:t>
      </w:r>
      <w:r w:rsidR="00D7290D" w:rsidRPr="00961BAC">
        <w:rPr>
          <w:sz w:val="24"/>
          <w:szCs w:val="24"/>
        </w:rPr>
        <w:t>-0.86, 95% CI -1.32, -0.41), but</w:t>
      </w:r>
      <w:r w:rsidR="00FC0211" w:rsidRPr="00961BAC">
        <w:rPr>
          <w:sz w:val="24"/>
          <w:szCs w:val="24"/>
        </w:rPr>
        <w:t xml:space="preserve"> </w:t>
      </w:r>
      <w:r w:rsidR="00424B01" w:rsidRPr="00961BAC">
        <w:rPr>
          <w:sz w:val="24"/>
          <w:szCs w:val="24"/>
        </w:rPr>
        <w:t xml:space="preserve">this is </w:t>
      </w:r>
      <w:r w:rsidR="00FC0211" w:rsidRPr="00961BAC">
        <w:rPr>
          <w:sz w:val="24"/>
          <w:szCs w:val="24"/>
        </w:rPr>
        <w:t>unlikely to be</w:t>
      </w:r>
      <w:r w:rsidR="00D46B02" w:rsidRPr="00961BAC">
        <w:rPr>
          <w:sz w:val="24"/>
          <w:szCs w:val="24"/>
        </w:rPr>
        <w:t xml:space="preserve"> </w:t>
      </w:r>
      <w:r w:rsidR="00FC0211" w:rsidRPr="00961BAC">
        <w:rPr>
          <w:sz w:val="24"/>
          <w:szCs w:val="24"/>
        </w:rPr>
        <w:t>clinically relevant</w:t>
      </w:r>
      <w:r w:rsidR="00C81785" w:rsidRPr="00961BAC">
        <w:rPr>
          <w:sz w:val="24"/>
          <w:szCs w:val="24"/>
        </w:rPr>
        <w:t>. A</w:t>
      </w:r>
      <w:r w:rsidR="00FC0211" w:rsidRPr="00961BAC">
        <w:rPr>
          <w:sz w:val="24"/>
          <w:szCs w:val="24"/>
        </w:rPr>
        <w:t xml:space="preserve"> previous</w:t>
      </w:r>
      <w:r w:rsidR="0037597F" w:rsidRPr="00961BAC">
        <w:rPr>
          <w:sz w:val="24"/>
          <w:szCs w:val="24"/>
        </w:rPr>
        <w:t xml:space="preserve"> study</w:t>
      </w:r>
      <w:r w:rsidR="00453AB5" w:rsidRPr="00961BAC">
        <w:rPr>
          <w:sz w:val="24"/>
          <w:szCs w:val="24"/>
        </w:rPr>
        <w:fldChar w:fldCharType="begin"/>
      </w:r>
      <w:r w:rsidR="00FD4C2C" w:rsidRPr="00961BAC">
        <w:rPr>
          <w:sz w:val="24"/>
          <w:szCs w:val="24"/>
        </w:rPr>
        <w:instrText xml:space="preserve"> ADDIN EN.CITE &lt;EndNote&gt;&lt;Cite&gt;&lt;Author&gt;Zahra&lt;/Author&gt;&lt;Year&gt;2014&lt;/Year&gt;&lt;RecNum&gt;41&lt;/RecNum&gt;&lt;DisplayText&gt;&lt;style face="superscript"&gt;18&lt;/style&gt;&lt;/DisplayText&gt;&lt;record&gt;&lt;rec-number&gt;41&lt;/rec-number&gt;&lt;foreign-keys&gt;&lt;key app="EN" db-id="zfz9pe2xqf0rxiee9sbptsdssxaev52swxxa" timestamp="1714567176"&gt;41&lt;/key&gt;&lt;/foreign-keys&gt;&lt;ref-type name="Journal Article"&gt;17&lt;/ref-type&gt;&lt;contributors&gt;&lt;authors&gt;&lt;author&gt;Zahra, Daniel&lt;/author&gt;&lt;author&gt;Qureshi, Adam&lt;/author&gt;&lt;author&gt;Henley, William&lt;/author&gt;&lt;author&gt;Taylor, Rod&lt;/author&gt;&lt;author&gt;Quinn, Cath&lt;/author&gt;&lt;author&gt;Pooler, Jill&lt;/author&gt;&lt;author&gt;Hardy, Gillian&lt;/author&gt;&lt;author&gt;Newbold, Alexandra&lt;/author&gt;&lt;author&gt;Byng, Richard&lt;/author&gt;&lt;/authors&gt;&lt;/contributors&gt;&lt;titles&gt;&lt;title&gt;The work and social adjustment scale: reliability, sensitivity and value&lt;/title&gt;&lt;secondary-title&gt;International journal of psychiatry in clinical practice&lt;/secondary-title&gt;&lt;/titles&gt;&lt;periodical&gt;&lt;full-title&gt;International journal of psychiatry in clinical practice&lt;/full-title&gt;&lt;/periodical&gt;&lt;pages&gt;131-138&lt;/pages&gt;&lt;volume&gt;18&lt;/volume&gt;&lt;number&gt;2&lt;/number&gt;&lt;dates&gt;&lt;year&gt;2014&lt;/year&gt;&lt;/dates&gt;&lt;isbn&gt;1365-1501&lt;/isbn&gt;&lt;urls&gt;&lt;/urls&gt;&lt;/record&gt;&lt;/Cite&gt;&lt;/EndNote&gt;</w:instrText>
      </w:r>
      <w:r w:rsidR="00453AB5" w:rsidRPr="00961BAC">
        <w:rPr>
          <w:sz w:val="24"/>
          <w:szCs w:val="24"/>
        </w:rPr>
        <w:fldChar w:fldCharType="separate"/>
      </w:r>
      <w:r w:rsidR="00FD4C2C" w:rsidRPr="00961BAC">
        <w:rPr>
          <w:noProof/>
          <w:sz w:val="24"/>
          <w:szCs w:val="24"/>
          <w:vertAlign w:val="superscript"/>
        </w:rPr>
        <w:t>18</w:t>
      </w:r>
      <w:r w:rsidR="00453AB5" w:rsidRPr="00961BAC">
        <w:rPr>
          <w:sz w:val="24"/>
          <w:szCs w:val="24"/>
        </w:rPr>
        <w:fldChar w:fldCharType="end"/>
      </w:r>
      <w:r w:rsidR="00453AB5" w:rsidRPr="00961BAC">
        <w:rPr>
          <w:sz w:val="24"/>
          <w:szCs w:val="24"/>
        </w:rPr>
        <w:t xml:space="preserve"> </w:t>
      </w:r>
      <w:r w:rsidR="0037597F" w:rsidRPr="00961BAC">
        <w:rPr>
          <w:sz w:val="24"/>
          <w:szCs w:val="24"/>
        </w:rPr>
        <w:t xml:space="preserve">suggested </w:t>
      </w:r>
      <w:r w:rsidR="00CD2636" w:rsidRPr="00961BAC">
        <w:rPr>
          <w:sz w:val="24"/>
          <w:szCs w:val="24"/>
        </w:rPr>
        <w:t xml:space="preserve">that </w:t>
      </w:r>
      <w:r w:rsidR="00C81785" w:rsidRPr="00961BAC">
        <w:rPr>
          <w:sz w:val="24"/>
          <w:szCs w:val="24"/>
        </w:rPr>
        <w:t>a</w:t>
      </w:r>
      <w:r w:rsidR="00CD2636" w:rsidRPr="00961BAC">
        <w:rPr>
          <w:sz w:val="24"/>
          <w:szCs w:val="24"/>
        </w:rPr>
        <w:t xml:space="preserve"> </w:t>
      </w:r>
      <w:r w:rsidR="00E676AF" w:rsidRPr="00961BAC">
        <w:rPr>
          <w:sz w:val="24"/>
          <w:szCs w:val="24"/>
        </w:rPr>
        <w:t>minimal</w:t>
      </w:r>
      <w:r w:rsidR="000470DD" w:rsidRPr="00961BAC">
        <w:rPr>
          <w:sz w:val="24"/>
          <w:szCs w:val="24"/>
        </w:rPr>
        <w:t xml:space="preserve"> </w:t>
      </w:r>
      <w:r w:rsidR="00E676AF" w:rsidRPr="00961BAC">
        <w:rPr>
          <w:sz w:val="24"/>
          <w:szCs w:val="24"/>
        </w:rPr>
        <w:t>clinical</w:t>
      </w:r>
      <w:r w:rsidR="000470DD" w:rsidRPr="00961BAC">
        <w:rPr>
          <w:sz w:val="24"/>
          <w:szCs w:val="24"/>
        </w:rPr>
        <w:t>ly</w:t>
      </w:r>
      <w:r w:rsidR="00E676AF" w:rsidRPr="00961BAC">
        <w:rPr>
          <w:sz w:val="24"/>
          <w:szCs w:val="24"/>
        </w:rPr>
        <w:t xml:space="preserve"> </w:t>
      </w:r>
      <w:r w:rsidR="00CD2636" w:rsidRPr="00961BAC">
        <w:rPr>
          <w:sz w:val="24"/>
          <w:szCs w:val="24"/>
        </w:rPr>
        <w:t>important difference was expected to be</w:t>
      </w:r>
      <w:r w:rsidR="00EE0754" w:rsidRPr="00961BAC">
        <w:rPr>
          <w:sz w:val="24"/>
          <w:szCs w:val="24"/>
        </w:rPr>
        <w:t xml:space="preserve"> 8 points </w:t>
      </w:r>
      <w:r w:rsidR="00A1765C" w:rsidRPr="00961BAC">
        <w:rPr>
          <w:sz w:val="24"/>
          <w:szCs w:val="24"/>
        </w:rPr>
        <w:t xml:space="preserve">on the 0-40 </w:t>
      </w:r>
      <w:r w:rsidR="00C16E19" w:rsidRPr="00961BAC">
        <w:rPr>
          <w:sz w:val="24"/>
          <w:szCs w:val="24"/>
        </w:rPr>
        <w:t xml:space="preserve">WSAS </w:t>
      </w:r>
      <w:r w:rsidR="00A1765C" w:rsidRPr="00961BAC">
        <w:rPr>
          <w:sz w:val="24"/>
          <w:szCs w:val="24"/>
        </w:rPr>
        <w:t>scale.</w:t>
      </w:r>
      <w:r w:rsidR="00E676AF" w:rsidRPr="00961BAC">
        <w:rPr>
          <w:sz w:val="24"/>
          <w:szCs w:val="24"/>
        </w:rPr>
        <w:t xml:space="preserve"> </w:t>
      </w:r>
      <w:r w:rsidR="004A5270" w:rsidRPr="00961BAC">
        <w:rPr>
          <w:sz w:val="24"/>
          <w:szCs w:val="24"/>
        </w:rPr>
        <w:t>In addition</w:t>
      </w:r>
      <w:r w:rsidR="0022035A" w:rsidRPr="00961BAC">
        <w:rPr>
          <w:sz w:val="24"/>
          <w:szCs w:val="24"/>
        </w:rPr>
        <w:t xml:space="preserve">, </w:t>
      </w:r>
      <w:r w:rsidR="001A4FA9" w:rsidRPr="00961BAC">
        <w:rPr>
          <w:sz w:val="24"/>
          <w:szCs w:val="24"/>
        </w:rPr>
        <w:t xml:space="preserve">we found that </w:t>
      </w:r>
      <w:r w:rsidR="00C81785" w:rsidRPr="00961BAC">
        <w:rPr>
          <w:sz w:val="24"/>
          <w:szCs w:val="24"/>
        </w:rPr>
        <w:t>nearly</w:t>
      </w:r>
      <w:r w:rsidR="00BB01EE" w:rsidRPr="00961BAC">
        <w:rPr>
          <w:sz w:val="24"/>
          <w:szCs w:val="24"/>
        </w:rPr>
        <w:t xml:space="preserve"> </w:t>
      </w:r>
      <w:r w:rsidR="001A4FA9" w:rsidRPr="00961BAC">
        <w:rPr>
          <w:sz w:val="24"/>
          <w:szCs w:val="24"/>
        </w:rPr>
        <w:t xml:space="preserve">60% </w:t>
      </w:r>
      <w:r w:rsidR="0022035A" w:rsidRPr="00961BAC">
        <w:rPr>
          <w:sz w:val="24"/>
          <w:szCs w:val="24"/>
        </w:rPr>
        <w:t xml:space="preserve">of </w:t>
      </w:r>
      <w:r w:rsidR="00BB01EE" w:rsidRPr="00961BAC">
        <w:rPr>
          <w:sz w:val="24"/>
          <w:szCs w:val="24"/>
        </w:rPr>
        <w:t>the participants</w:t>
      </w:r>
      <w:r w:rsidR="001A4FA9" w:rsidRPr="00961BAC">
        <w:rPr>
          <w:sz w:val="24"/>
          <w:szCs w:val="24"/>
        </w:rPr>
        <w:t xml:space="preserve"> </w:t>
      </w:r>
      <w:r w:rsidR="00622CA3" w:rsidRPr="00961BAC">
        <w:rPr>
          <w:sz w:val="24"/>
          <w:szCs w:val="24"/>
        </w:rPr>
        <w:t>who remained engaged in the LWCR programme</w:t>
      </w:r>
      <w:r w:rsidR="0022035A" w:rsidRPr="00961BAC">
        <w:rPr>
          <w:sz w:val="24"/>
          <w:szCs w:val="24"/>
        </w:rPr>
        <w:t xml:space="preserve"> </w:t>
      </w:r>
      <w:r w:rsidR="001A4FA9" w:rsidRPr="00961BAC">
        <w:rPr>
          <w:sz w:val="24"/>
          <w:szCs w:val="24"/>
        </w:rPr>
        <w:t>still reported m</w:t>
      </w:r>
      <w:r w:rsidR="0022035A" w:rsidRPr="00961BAC">
        <w:rPr>
          <w:sz w:val="24"/>
          <w:szCs w:val="24"/>
        </w:rPr>
        <w:t>oderately severe or worse impairment</w:t>
      </w:r>
      <w:r w:rsidR="00622CA3" w:rsidRPr="00961BAC">
        <w:rPr>
          <w:sz w:val="24"/>
          <w:szCs w:val="24"/>
        </w:rPr>
        <w:t xml:space="preserve"> at 6 months.</w:t>
      </w:r>
      <w:r w:rsidR="00EA138A" w:rsidRPr="00961BAC">
        <w:rPr>
          <w:sz w:val="24"/>
          <w:szCs w:val="24"/>
        </w:rPr>
        <w:t xml:space="preserve"> </w:t>
      </w:r>
    </w:p>
    <w:p w14:paraId="18CF4731" w14:textId="3DDF450E" w:rsidR="002F417E" w:rsidRPr="00961BAC" w:rsidRDefault="00687AD2" w:rsidP="00F62198">
      <w:pPr>
        <w:jc w:val="both"/>
        <w:rPr>
          <w:sz w:val="24"/>
          <w:szCs w:val="24"/>
        </w:rPr>
      </w:pPr>
      <w:r w:rsidRPr="00961BAC">
        <w:rPr>
          <w:sz w:val="24"/>
          <w:szCs w:val="24"/>
        </w:rPr>
        <w:t>Th</w:t>
      </w:r>
      <w:r w:rsidR="000141E8" w:rsidRPr="00961BAC">
        <w:rPr>
          <w:sz w:val="24"/>
          <w:szCs w:val="24"/>
        </w:rPr>
        <w:t>is paper f</w:t>
      </w:r>
      <w:r w:rsidR="003C0BFF" w:rsidRPr="00961BAC">
        <w:rPr>
          <w:sz w:val="24"/>
          <w:szCs w:val="24"/>
        </w:rPr>
        <w:t xml:space="preserve">ound </w:t>
      </w:r>
      <w:r w:rsidR="000141E8" w:rsidRPr="00961BAC">
        <w:rPr>
          <w:sz w:val="24"/>
          <w:szCs w:val="24"/>
        </w:rPr>
        <w:t>that the</w:t>
      </w:r>
      <w:r w:rsidR="00B74A7E" w:rsidRPr="00961BAC">
        <w:rPr>
          <w:sz w:val="24"/>
          <w:szCs w:val="24"/>
        </w:rPr>
        <w:t xml:space="preserve"> </w:t>
      </w:r>
      <w:r w:rsidR="00DF6157" w:rsidRPr="00961BAC">
        <w:rPr>
          <w:sz w:val="24"/>
          <w:szCs w:val="24"/>
        </w:rPr>
        <w:t>trajectories</w:t>
      </w:r>
      <w:r w:rsidR="00C935CD" w:rsidRPr="00961BAC">
        <w:rPr>
          <w:sz w:val="24"/>
          <w:szCs w:val="24"/>
        </w:rPr>
        <w:t xml:space="preserve"> of</w:t>
      </w:r>
      <w:r w:rsidR="00DF6157" w:rsidRPr="00961BAC">
        <w:rPr>
          <w:sz w:val="24"/>
          <w:szCs w:val="24"/>
        </w:rPr>
        <w:t xml:space="preserve"> </w:t>
      </w:r>
      <w:r w:rsidR="00FC0E1D" w:rsidRPr="00961BAC">
        <w:rPr>
          <w:sz w:val="24"/>
          <w:szCs w:val="24"/>
        </w:rPr>
        <w:t xml:space="preserve">the </w:t>
      </w:r>
      <w:r w:rsidR="00DF6157" w:rsidRPr="00961BAC">
        <w:rPr>
          <w:sz w:val="24"/>
          <w:szCs w:val="24"/>
        </w:rPr>
        <w:t xml:space="preserve">WSAS </w:t>
      </w:r>
      <w:r w:rsidR="00670F08" w:rsidRPr="00961BAC">
        <w:rPr>
          <w:sz w:val="24"/>
          <w:szCs w:val="24"/>
        </w:rPr>
        <w:t xml:space="preserve">and FACIT-F </w:t>
      </w:r>
      <w:r w:rsidR="00C935CD" w:rsidRPr="00961BAC">
        <w:rPr>
          <w:sz w:val="24"/>
          <w:szCs w:val="24"/>
        </w:rPr>
        <w:t xml:space="preserve">scores </w:t>
      </w:r>
      <w:r w:rsidR="003C0BFF" w:rsidRPr="00961BAC">
        <w:rPr>
          <w:sz w:val="24"/>
          <w:szCs w:val="24"/>
        </w:rPr>
        <w:t>we</w:t>
      </w:r>
      <w:r w:rsidR="00670F08" w:rsidRPr="00961BAC">
        <w:rPr>
          <w:sz w:val="24"/>
          <w:szCs w:val="24"/>
        </w:rPr>
        <w:t xml:space="preserve">re </w:t>
      </w:r>
      <w:r w:rsidR="000127EA" w:rsidRPr="00961BAC">
        <w:rPr>
          <w:sz w:val="24"/>
          <w:szCs w:val="24"/>
        </w:rPr>
        <w:t>remarkably</w:t>
      </w:r>
      <w:r w:rsidR="00670F08" w:rsidRPr="00961BAC">
        <w:rPr>
          <w:sz w:val="24"/>
          <w:szCs w:val="24"/>
        </w:rPr>
        <w:t xml:space="preserve"> similar over time</w:t>
      </w:r>
      <w:r w:rsidR="009902F1" w:rsidRPr="00961BAC">
        <w:rPr>
          <w:sz w:val="24"/>
          <w:szCs w:val="24"/>
        </w:rPr>
        <w:t xml:space="preserve">. This </w:t>
      </w:r>
      <w:r w:rsidR="003C0BFF" w:rsidRPr="00961BAC">
        <w:rPr>
          <w:sz w:val="24"/>
          <w:szCs w:val="24"/>
        </w:rPr>
        <w:t>corroborates</w:t>
      </w:r>
      <w:r w:rsidR="00515D51" w:rsidRPr="00961BAC">
        <w:rPr>
          <w:sz w:val="24"/>
          <w:szCs w:val="24"/>
        </w:rPr>
        <w:t xml:space="preserve"> previous evidence from the cross-sectional study</w:t>
      </w:r>
      <w:r w:rsidR="00515D51" w:rsidRPr="00961BAC">
        <w:rPr>
          <w:sz w:val="24"/>
          <w:szCs w:val="24"/>
        </w:rPr>
        <w:fldChar w:fldCharType="begin"/>
      </w:r>
      <w:r w:rsidR="00FD4C2C" w:rsidRPr="00961BAC">
        <w:rPr>
          <w:sz w:val="24"/>
          <w:szCs w:val="24"/>
        </w:rPr>
        <w:instrText xml:space="preserve"> ADDIN EN.CITE &lt;EndNote&gt;&lt;Cite&gt;&lt;Author&gt;Walker&lt;/Author&gt;&lt;Year&gt;2023&lt;/Year&gt;&lt;RecNum&gt;6&lt;/RecNum&gt;&lt;DisplayText&gt;&lt;style face="superscript"&gt;7&lt;/style&gt;&lt;/DisplayText&gt;&lt;record&gt;&lt;rec-number&gt;6&lt;/rec-number&gt;&lt;foreign-keys&gt;&lt;key app="EN" db-id="zfz9pe2xqf0rxiee9sbptsdssxaev52swxxa" timestamp="1710163749"&gt;6&lt;/key&gt;&lt;/foreign-keys&gt;&lt;ref-type name="Journal Article"&gt;17&lt;/ref-type&gt;&lt;contributors&gt;&lt;authors&gt;&lt;author&gt;Walker, Sarah&lt;/author&gt;&lt;author&gt;Goodfellow, Henry&lt;/author&gt;&lt;author&gt;Pookarnjanamorakot, Patra&lt;/author&gt;&lt;author&gt;Murray, Elizabeth&lt;/author&gt;&lt;author&gt;Bindman, Julia&lt;/author&gt;&lt;author&gt;Blandford, Ann&lt;/author&gt;&lt;author&gt;Bradbury, Katherine&lt;/author&gt;&lt;author&gt;Cooper, Belinda&lt;/author&gt;&lt;author&gt;Hamilton, Fiona L&lt;/author&gt;&lt;author&gt;Hurst, John R&lt;/author&gt;&lt;/authors&gt;&lt;/contributors&gt;&lt;titles&gt;&lt;title&gt;Impact of fatigue as the primary determinant of functional limitations among patients with post-COVID-19 syndrome: a cross-sectional observational study&lt;/title&gt;&lt;secondary-title&gt;BMJ open&lt;/secondary-title&gt;&lt;/titles&gt;&lt;periodical&gt;&lt;full-title&gt;BMJ open&lt;/full-title&gt;&lt;/periodical&gt;&lt;pages&gt;e069217&lt;/pages&gt;&lt;volume&gt;13&lt;/volume&gt;&lt;number&gt;6&lt;/number&gt;&lt;dates&gt;&lt;year&gt;2023&lt;/year&gt;&lt;/dates&gt;&lt;isbn&gt;2044-6055&lt;/isbn&gt;&lt;urls&gt;&lt;/urls&gt;&lt;/record&gt;&lt;/Cite&gt;&lt;/EndNote&gt;</w:instrText>
      </w:r>
      <w:r w:rsidR="00515D51" w:rsidRPr="00961BAC">
        <w:rPr>
          <w:sz w:val="24"/>
          <w:szCs w:val="24"/>
        </w:rPr>
        <w:fldChar w:fldCharType="separate"/>
      </w:r>
      <w:r w:rsidR="00FD4C2C" w:rsidRPr="00961BAC">
        <w:rPr>
          <w:noProof/>
          <w:sz w:val="24"/>
          <w:szCs w:val="24"/>
          <w:vertAlign w:val="superscript"/>
        </w:rPr>
        <w:t>7</w:t>
      </w:r>
      <w:r w:rsidR="00515D51" w:rsidRPr="00961BAC">
        <w:rPr>
          <w:sz w:val="24"/>
          <w:szCs w:val="24"/>
        </w:rPr>
        <w:fldChar w:fldCharType="end"/>
      </w:r>
      <w:r w:rsidR="00515D51" w:rsidRPr="00961BAC">
        <w:rPr>
          <w:sz w:val="24"/>
          <w:szCs w:val="24"/>
        </w:rPr>
        <w:t xml:space="preserve">, which suggested that fatigue was </w:t>
      </w:r>
      <w:r w:rsidR="000127EA" w:rsidRPr="00961BAC">
        <w:rPr>
          <w:sz w:val="24"/>
          <w:szCs w:val="24"/>
        </w:rPr>
        <w:t>the</w:t>
      </w:r>
      <w:r w:rsidR="002E7533" w:rsidRPr="00961BAC">
        <w:rPr>
          <w:sz w:val="24"/>
          <w:szCs w:val="24"/>
        </w:rPr>
        <w:t xml:space="preserve"> major driver of</w:t>
      </w:r>
      <w:r w:rsidR="000127EA" w:rsidRPr="00961BAC">
        <w:rPr>
          <w:sz w:val="24"/>
          <w:szCs w:val="24"/>
        </w:rPr>
        <w:t xml:space="preserve"> the</w:t>
      </w:r>
      <w:r w:rsidR="00515D51" w:rsidRPr="00961BAC">
        <w:rPr>
          <w:sz w:val="24"/>
          <w:szCs w:val="24"/>
        </w:rPr>
        <w:t xml:space="preserve"> variation in functional limitations.</w:t>
      </w:r>
      <w:r w:rsidR="00C01A02" w:rsidRPr="00961BAC">
        <w:rPr>
          <w:sz w:val="24"/>
          <w:szCs w:val="24"/>
        </w:rPr>
        <w:t xml:space="preserve"> </w:t>
      </w:r>
      <w:r w:rsidR="00434334" w:rsidRPr="00961BAC">
        <w:rPr>
          <w:sz w:val="24"/>
          <w:szCs w:val="24"/>
        </w:rPr>
        <w:t xml:space="preserve">By looking at a much larger sample, </w:t>
      </w:r>
      <w:r w:rsidR="009902F1" w:rsidRPr="00961BAC">
        <w:rPr>
          <w:sz w:val="24"/>
          <w:szCs w:val="24"/>
        </w:rPr>
        <w:t>this</w:t>
      </w:r>
      <w:r w:rsidR="00434334" w:rsidRPr="00961BAC">
        <w:rPr>
          <w:sz w:val="24"/>
          <w:szCs w:val="24"/>
        </w:rPr>
        <w:t xml:space="preserve"> </w:t>
      </w:r>
      <w:r w:rsidR="0040767B" w:rsidRPr="00961BAC">
        <w:rPr>
          <w:sz w:val="24"/>
          <w:szCs w:val="24"/>
        </w:rPr>
        <w:t xml:space="preserve">longitudinal analysis </w:t>
      </w:r>
      <w:r w:rsidR="00B4372B" w:rsidRPr="00961BAC">
        <w:rPr>
          <w:sz w:val="24"/>
          <w:szCs w:val="24"/>
        </w:rPr>
        <w:t>finds</w:t>
      </w:r>
      <w:r w:rsidR="00434334" w:rsidRPr="00961BAC">
        <w:rPr>
          <w:sz w:val="24"/>
          <w:szCs w:val="24"/>
        </w:rPr>
        <w:t xml:space="preserve"> that</w:t>
      </w:r>
      <w:r w:rsidR="00162A00" w:rsidRPr="00961BAC">
        <w:rPr>
          <w:sz w:val="24"/>
          <w:szCs w:val="24"/>
        </w:rPr>
        <w:t xml:space="preserve"> HRQL of</w:t>
      </w:r>
      <w:r w:rsidR="00434334" w:rsidRPr="00961BAC">
        <w:rPr>
          <w:sz w:val="24"/>
          <w:szCs w:val="24"/>
        </w:rPr>
        <w:t xml:space="preserve"> </w:t>
      </w:r>
      <w:r w:rsidR="00162A00" w:rsidRPr="00961BAC">
        <w:rPr>
          <w:sz w:val="24"/>
          <w:szCs w:val="24"/>
        </w:rPr>
        <w:t xml:space="preserve">long COVID patients in the LWCR programme </w:t>
      </w:r>
      <w:r w:rsidR="00F8407D" w:rsidRPr="00961BAC">
        <w:rPr>
          <w:sz w:val="24"/>
          <w:szCs w:val="24"/>
        </w:rPr>
        <w:t xml:space="preserve">remained </w:t>
      </w:r>
      <w:r w:rsidR="00162A00" w:rsidRPr="00961BAC">
        <w:rPr>
          <w:sz w:val="24"/>
          <w:szCs w:val="24"/>
        </w:rPr>
        <w:t>persistently low</w:t>
      </w:r>
      <w:r w:rsidR="003703D8" w:rsidRPr="00961BAC">
        <w:rPr>
          <w:sz w:val="24"/>
          <w:szCs w:val="24"/>
        </w:rPr>
        <w:t xml:space="preserve"> </w:t>
      </w:r>
      <w:r w:rsidR="00162A00" w:rsidRPr="00961BAC">
        <w:rPr>
          <w:sz w:val="24"/>
          <w:szCs w:val="24"/>
        </w:rPr>
        <w:t>over</w:t>
      </w:r>
      <w:r w:rsidR="00F8407D" w:rsidRPr="00961BAC">
        <w:rPr>
          <w:sz w:val="24"/>
          <w:szCs w:val="24"/>
        </w:rPr>
        <w:t xml:space="preserve"> the 6-month follow up</w:t>
      </w:r>
      <w:r w:rsidR="003703D8" w:rsidRPr="00961BAC">
        <w:rPr>
          <w:sz w:val="24"/>
          <w:szCs w:val="24"/>
        </w:rPr>
        <w:t xml:space="preserve">. The mean EQ-5D-5L </w:t>
      </w:r>
      <w:r w:rsidR="00555019" w:rsidRPr="00961BAC">
        <w:rPr>
          <w:sz w:val="24"/>
          <w:szCs w:val="24"/>
        </w:rPr>
        <w:t>at 6 months was 0.64,</w:t>
      </w:r>
      <w:r w:rsidR="00EA5AE3" w:rsidRPr="00961BAC">
        <w:rPr>
          <w:sz w:val="24"/>
          <w:szCs w:val="24"/>
        </w:rPr>
        <w:t xml:space="preserve"> which </w:t>
      </w:r>
      <w:r w:rsidR="005671F6" w:rsidRPr="00961BAC">
        <w:rPr>
          <w:sz w:val="24"/>
          <w:szCs w:val="24"/>
        </w:rPr>
        <w:t xml:space="preserve">is on par with the </w:t>
      </w:r>
      <w:r w:rsidR="007C4B0E" w:rsidRPr="00961BAC">
        <w:rPr>
          <w:sz w:val="24"/>
          <w:szCs w:val="24"/>
        </w:rPr>
        <w:t>HRQL observed for</w:t>
      </w:r>
      <w:r w:rsidR="00555019" w:rsidRPr="00961BAC">
        <w:rPr>
          <w:sz w:val="24"/>
          <w:szCs w:val="24"/>
        </w:rPr>
        <w:t xml:space="preserve"> </w:t>
      </w:r>
      <w:r w:rsidR="00F62198" w:rsidRPr="00961BAC">
        <w:rPr>
          <w:sz w:val="24"/>
          <w:szCs w:val="24"/>
        </w:rPr>
        <w:t>patients with advanced cancers</w:t>
      </w:r>
      <w:r w:rsidR="00453AB5" w:rsidRPr="00961BAC">
        <w:rPr>
          <w:sz w:val="24"/>
          <w:szCs w:val="24"/>
        </w:rPr>
        <w:fldChar w:fldCharType="begin"/>
      </w:r>
      <w:r w:rsidR="00FD4C2C" w:rsidRPr="00961BAC">
        <w:rPr>
          <w:sz w:val="24"/>
          <w:szCs w:val="24"/>
        </w:rPr>
        <w:instrText xml:space="preserve"> ADDIN EN.CITE &lt;EndNote&gt;&lt;Cite&gt;&lt;Author&gt;Paracha&lt;/Author&gt;&lt;Year&gt;2018&lt;/Year&gt;&lt;RecNum&gt;43&lt;/RecNum&gt;&lt;DisplayText&gt;&lt;style face="superscript"&gt;19 20&lt;/style&gt;&lt;/DisplayText&gt;&lt;record&gt;&lt;rec-number&gt;43&lt;/rec-number&gt;&lt;foreign-keys&gt;&lt;key app="EN" db-id="zfz9pe2xqf0rxiee9sbptsdssxaev52swxxa" timestamp="1714567260"&gt;43&lt;/key&gt;&lt;/foreign-keys&gt;&lt;ref-type name="Journal Article"&gt;17&lt;/ref-type&gt;&lt;contributors&gt;&lt;authors&gt;&lt;author&gt;Paracha, Noman&lt;/author&gt;&lt;author&gt;Abdulla, Ahmed&lt;/author&gt;&lt;author&gt;MacGilchrist, Katherine S&lt;/author&gt;&lt;/authors&gt;&lt;/contributors&gt;&lt;titles&gt;&lt;title&gt;Systematic review of health state utility values in metastatic non-small cell lung cancer with a focus on previously treated patients&lt;/title&gt;&lt;secondary-title&gt;Health and quality of life outcomes&lt;/secondary-title&gt;&lt;/titles&gt;&lt;periodical&gt;&lt;full-title&gt;Health and quality of life outcomes&lt;/full-title&gt;&lt;/periodical&gt;&lt;pages&gt;1-30&lt;/pages&gt;&lt;volume&gt;16&lt;/volume&gt;&lt;dates&gt;&lt;year&gt;2018&lt;/year&gt;&lt;/dates&gt;&lt;urls&gt;&lt;/urls&gt;&lt;/record&gt;&lt;/Cite&gt;&lt;Cite&gt;&lt;Author&gt;Pourrahmat&lt;/Author&gt;&lt;Year&gt;2021&lt;/Year&gt;&lt;RecNum&gt;42&lt;/RecNum&gt;&lt;record&gt;&lt;rec-number&gt;42&lt;/rec-number&gt;&lt;foreign-keys&gt;&lt;key app="EN" db-id="zfz9pe2xqf0rxiee9sbptsdssxaev52swxxa" timestamp="1714567235"&gt;42&lt;/key&gt;&lt;/foreign-keys&gt;&lt;ref-type name="Journal Article"&gt;17&lt;/ref-type&gt;&lt;contributors&gt;&lt;authors&gt;&lt;author&gt;Pourrahmat, Mir-Masoud&lt;/author&gt;&lt;author&gt;Kim, Ashley&lt;/author&gt;&lt;author&gt;Kansal, Anuraag R&lt;/author&gt;&lt;author&gt;Hux, Marg&lt;/author&gt;&lt;author&gt;Pushkarna, Divya&lt;/author&gt;&lt;author&gt;Fazeli, Mir Sohail&lt;/author&gt;&lt;author&gt;Chung, Karen C&lt;/author&gt;&lt;/authors&gt;&lt;/contributors&gt;&lt;titles&gt;&lt;title&gt;Health state utility values by cancer stage: a systematic literature review&lt;/title&gt;&lt;secondary-title&gt;The European Journal of Health Economics&lt;/secondary-title&gt;&lt;/titles&gt;&lt;periodical&gt;&lt;full-title&gt;The European Journal of Health Economics&lt;/full-title&gt;&lt;/periodical&gt;&lt;pages&gt;1275-1288&lt;/pages&gt;&lt;volume&gt;22&lt;/volume&gt;&lt;number&gt;8&lt;/number&gt;&lt;dates&gt;&lt;year&gt;2021&lt;/year&gt;&lt;/dates&gt;&lt;isbn&gt;1618-7598&lt;/isbn&gt;&lt;urls&gt;&lt;/urls&gt;&lt;/record&gt;&lt;/Cite&gt;&lt;/EndNote&gt;</w:instrText>
      </w:r>
      <w:r w:rsidR="00453AB5" w:rsidRPr="00961BAC">
        <w:rPr>
          <w:sz w:val="24"/>
          <w:szCs w:val="24"/>
        </w:rPr>
        <w:fldChar w:fldCharType="separate"/>
      </w:r>
      <w:r w:rsidR="00FD4C2C" w:rsidRPr="00961BAC">
        <w:rPr>
          <w:noProof/>
          <w:sz w:val="24"/>
          <w:szCs w:val="24"/>
          <w:vertAlign w:val="superscript"/>
        </w:rPr>
        <w:t>19 20</w:t>
      </w:r>
      <w:r w:rsidR="00453AB5" w:rsidRPr="00961BAC">
        <w:rPr>
          <w:sz w:val="24"/>
          <w:szCs w:val="24"/>
        </w:rPr>
        <w:fldChar w:fldCharType="end"/>
      </w:r>
      <w:r w:rsidR="00162A00" w:rsidRPr="00961BAC">
        <w:rPr>
          <w:sz w:val="24"/>
          <w:szCs w:val="24"/>
        </w:rPr>
        <w:t>.</w:t>
      </w:r>
    </w:p>
    <w:p w14:paraId="4D6928D4" w14:textId="39691037" w:rsidR="00F72AE9" w:rsidRPr="00961BAC" w:rsidRDefault="00B20394" w:rsidP="00F72AE9">
      <w:pPr>
        <w:jc w:val="both"/>
        <w:rPr>
          <w:sz w:val="24"/>
          <w:szCs w:val="24"/>
        </w:rPr>
      </w:pPr>
      <w:r w:rsidRPr="00961BAC">
        <w:rPr>
          <w:sz w:val="24"/>
          <w:szCs w:val="24"/>
        </w:rPr>
        <w:t xml:space="preserve">A recent </w:t>
      </w:r>
      <w:r w:rsidR="002E37F4" w:rsidRPr="00961BAC">
        <w:rPr>
          <w:sz w:val="24"/>
          <w:szCs w:val="24"/>
        </w:rPr>
        <w:t xml:space="preserve">observational </w:t>
      </w:r>
      <w:r w:rsidR="00F9725B" w:rsidRPr="00961BAC">
        <w:rPr>
          <w:sz w:val="24"/>
          <w:szCs w:val="24"/>
        </w:rPr>
        <w:t xml:space="preserve">study </w:t>
      </w:r>
      <w:r w:rsidR="005032E0" w:rsidRPr="00961BAC">
        <w:rPr>
          <w:sz w:val="24"/>
          <w:szCs w:val="24"/>
        </w:rPr>
        <w:t xml:space="preserve">conducted </w:t>
      </w:r>
      <w:r w:rsidR="0022035A" w:rsidRPr="00961BAC">
        <w:rPr>
          <w:sz w:val="24"/>
          <w:szCs w:val="24"/>
        </w:rPr>
        <w:t xml:space="preserve">in Switzerland showed that </w:t>
      </w:r>
      <w:r w:rsidR="004613AC" w:rsidRPr="00961BAC">
        <w:rPr>
          <w:sz w:val="24"/>
          <w:szCs w:val="24"/>
        </w:rPr>
        <w:t>23</w:t>
      </w:r>
      <w:r w:rsidR="0022035A" w:rsidRPr="00961BAC">
        <w:rPr>
          <w:sz w:val="24"/>
          <w:szCs w:val="24"/>
        </w:rPr>
        <w:t xml:space="preserve">% </w:t>
      </w:r>
      <w:r w:rsidR="004613AC" w:rsidRPr="00961BAC">
        <w:rPr>
          <w:sz w:val="24"/>
          <w:szCs w:val="24"/>
        </w:rPr>
        <w:t xml:space="preserve">and 17% </w:t>
      </w:r>
      <w:r w:rsidR="0022035A" w:rsidRPr="00961BAC">
        <w:rPr>
          <w:sz w:val="24"/>
          <w:szCs w:val="24"/>
        </w:rPr>
        <w:t xml:space="preserve">of patients infected with COVID-19 did not fully recovery by </w:t>
      </w:r>
      <w:r w:rsidR="00D57512" w:rsidRPr="00961BAC">
        <w:rPr>
          <w:sz w:val="24"/>
          <w:szCs w:val="24"/>
        </w:rPr>
        <w:t>6</w:t>
      </w:r>
      <w:r w:rsidR="0022035A" w:rsidRPr="00961BAC">
        <w:rPr>
          <w:sz w:val="24"/>
          <w:szCs w:val="24"/>
        </w:rPr>
        <w:t xml:space="preserve"> </w:t>
      </w:r>
      <w:r w:rsidR="004613AC" w:rsidRPr="00961BAC">
        <w:rPr>
          <w:sz w:val="24"/>
          <w:szCs w:val="24"/>
        </w:rPr>
        <w:t xml:space="preserve">and 24 </w:t>
      </w:r>
      <w:r w:rsidR="0022035A" w:rsidRPr="00961BAC">
        <w:rPr>
          <w:sz w:val="24"/>
          <w:szCs w:val="24"/>
        </w:rPr>
        <w:t>months</w:t>
      </w:r>
      <w:r w:rsidR="004613AC" w:rsidRPr="00961BAC">
        <w:rPr>
          <w:sz w:val="24"/>
          <w:szCs w:val="24"/>
        </w:rPr>
        <w:t>, respectively</w:t>
      </w:r>
      <w:r w:rsidR="0022035A" w:rsidRPr="00961BAC">
        <w:rPr>
          <w:sz w:val="24"/>
          <w:szCs w:val="24"/>
        </w:rPr>
        <w:fldChar w:fldCharType="begin"/>
      </w:r>
      <w:r w:rsidR="00FD4C2C" w:rsidRPr="00961BAC">
        <w:rPr>
          <w:sz w:val="24"/>
          <w:szCs w:val="24"/>
        </w:rPr>
        <w:instrText xml:space="preserve"> ADDIN EN.CITE &lt;EndNote&gt;&lt;Cite&gt;&lt;Author&gt;Ballouz&lt;/Author&gt;&lt;Year&gt;2023&lt;/Year&gt;&lt;RecNum&gt;33&lt;/RecNum&gt;&lt;DisplayText&gt;&lt;style face="superscript"&gt;21&lt;/style&gt;&lt;/DisplayText&gt;&lt;record&gt;&lt;rec-number&gt;33&lt;/rec-number&gt;&lt;foreign-keys&gt;&lt;key app="EN" db-id="zfz9pe2xqf0rxiee9sbptsdssxaev52swxxa" timestamp="1710712363"&gt;33&lt;/key&gt;&lt;/foreign-keys&gt;&lt;ref-type name="Journal Article"&gt;17&lt;/ref-type&gt;&lt;contributors&gt;&lt;authors&gt;&lt;author&gt;Ballouz, Tala&lt;/author&gt;&lt;author&gt;Menges, Dominik&lt;/author&gt;&lt;author&gt;Anagnostopoulos, Alexia&lt;/author&gt;&lt;author&gt;Domenghino, Anja&lt;/author&gt;&lt;author&gt;Aschmann, Hélène E&lt;/author&gt;&lt;author&gt;Frei, Anja&lt;/author&gt;&lt;author&gt;Fehr, Jan S&lt;/author&gt;&lt;author&gt;Puhan, Milo A&lt;/author&gt;&lt;/authors&gt;&lt;/contributors&gt;&lt;titles&gt;&lt;title&gt;Recovery and symptom trajectories up to two years after SARS-CoV-2 infection: population based, longitudinal cohort study&lt;/title&gt;&lt;secondary-title&gt;bmj&lt;/secondary-title&gt;&lt;/titles&gt;&lt;periodical&gt;&lt;full-title&gt;bmj&lt;/full-title&gt;&lt;/periodical&gt;&lt;volume&gt;381&lt;/volume&gt;&lt;dates&gt;&lt;year&gt;2023&lt;/year&gt;&lt;/dates&gt;&lt;isbn&gt;1756-1833&lt;/isbn&gt;&lt;urls&gt;&lt;/urls&gt;&lt;/record&gt;&lt;/Cite&gt;&lt;/EndNote&gt;</w:instrText>
      </w:r>
      <w:r w:rsidR="0022035A" w:rsidRPr="00961BAC">
        <w:rPr>
          <w:sz w:val="24"/>
          <w:szCs w:val="24"/>
        </w:rPr>
        <w:fldChar w:fldCharType="separate"/>
      </w:r>
      <w:r w:rsidR="00FD4C2C" w:rsidRPr="00961BAC">
        <w:rPr>
          <w:noProof/>
          <w:sz w:val="24"/>
          <w:szCs w:val="24"/>
          <w:vertAlign w:val="superscript"/>
        </w:rPr>
        <w:t>21</w:t>
      </w:r>
      <w:r w:rsidR="0022035A" w:rsidRPr="00961BAC">
        <w:rPr>
          <w:sz w:val="24"/>
          <w:szCs w:val="24"/>
        </w:rPr>
        <w:fldChar w:fldCharType="end"/>
      </w:r>
      <w:r w:rsidR="0022035A" w:rsidRPr="00961BAC">
        <w:rPr>
          <w:sz w:val="24"/>
          <w:szCs w:val="24"/>
        </w:rPr>
        <w:t>.</w:t>
      </w:r>
      <w:r w:rsidR="004613AC" w:rsidRPr="00961BAC">
        <w:rPr>
          <w:sz w:val="24"/>
          <w:szCs w:val="24"/>
        </w:rPr>
        <w:t xml:space="preserve"> This </w:t>
      </w:r>
      <w:r w:rsidR="009B78D4" w:rsidRPr="00961BAC">
        <w:rPr>
          <w:sz w:val="24"/>
          <w:szCs w:val="24"/>
        </w:rPr>
        <w:t>contrasts with ou</w:t>
      </w:r>
      <w:r w:rsidR="00F4567C" w:rsidRPr="00961BAC">
        <w:rPr>
          <w:sz w:val="24"/>
          <w:szCs w:val="24"/>
        </w:rPr>
        <w:t>r findings, which suggested that about 4</w:t>
      </w:r>
      <w:r w:rsidR="009B78D4" w:rsidRPr="00961BAC">
        <w:rPr>
          <w:sz w:val="24"/>
          <w:szCs w:val="24"/>
        </w:rPr>
        <w:t>6</w:t>
      </w:r>
      <w:r w:rsidR="00F4567C" w:rsidRPr="00961BAC">
        <w:rPr>
          <w:sz w:val="24"/>
          <w:szCs w:val="24"/>
        </w:rPr>
        <w:t xml:space="preserve">% of participants </w:t>
      </w:r>
      <w:r w:rsidR="009621E4" w:rsidRPr="00961BAC">
        <w:rPr>
          <w:sz w:val="24"/>
          <w:szCs w:val="24"/>
        </w:rPr>
        <w:t xml:space="preserve">still </w:t>
      </w:r>
      <w:r w:rsidR="00F4567C" w:rsidRPr="00961BAC">
        <w:rPr>
          <w:sz w:val="24"/>
          <w:szCs w:val="24"/>
        </w:rPr>
        <w:t xml:space="preserve">had </w:t>
      </w:r>
      <w:r w:rsidR="00730698" w:rsidRPr="00961BAC">
        <w:rPr>
          <w:sz w:val="24"/>
          <w:szCs w:val="24"/>
        </w:rPr>
        <w:t xml:space="preserve">moderately severe or worse </w:t>
      </w:r>
      <w:r w:rsidR="00F4567C" w:rsidRPr="00961BAC">
        <w:rPr>
          <w:sz w:val="24"/>
          <w:szCs w:val="24"/>
        </w:rPr>
        <w:t>functional impairment</w:t>
      </w:r>
      <w:r w:rsidR="009621E4" w:rsidRPr="00961BAC">
        <w:rPr>
          <w:sz w:val="24"/>
          <w:szCs w:val="24"/>
        </w:rPr>
        <w:t xml:space="preserve"> at 6 months</w:t>
      </w:r>
      <w:r w:rsidR="00730698" w:rsidRPr="00961BAC">
        <w:rPr>
          <w:sz w:val="24"/>
          <w:szCs w:val="24"/>
        </w:rPr>
        <w:t xml:space="preserve">. </w:t>
      </w:r>
      <w:r w:rsidR="00AE6C8E" w:rsidRPr="00961BAC">
        <w:rPr>
          <w:sz w:val="24"/>
          <w:szCs w:val="24"/>
        </w:rPr>
        <w:t xml:space="preserve">The reasons for this difference </w:t>
      </w:r>
      <w:r w:rsidR="00EC5F78" w:rsidRPr="00961BAC">
        <w:rPr>
          <w:sz w:val="24"/>
          <w:szCs w:val="24"/>
        </w:rPr>
        <w:t xml:space="preserve">are </w:t>
      </w:r>
      <w:r w:rsidR="009621E4" w:rsidRPr="00961BAC">
        <w:rPr>
          <w:sz w:val="24"/>
          <w:szCs w:val="24"/>
        </w:rPr>
        <w:t>varied</w:t>
      </w:r>
      <w:r w:rsidR="000268A5" w:rsidRPr="00961BAC">
        <w:rPr>
          <w:sz w:val="24"/>
          <w:szCs w:val="24"/>
        </w:rPr>
        <w:t xml:space="preserve"> and</w:t>
      </w:r>
      <w:r w:rsidR="00EC5F78" w:rsidRPr="00961BAC">
        <w:rPr>
          <w:sz w:val="24"/>
          <w:szCs w:val="24"/>
        </w:rPr>
        <w:t xml:space="preserve"> related to</w:t>
      </w:r>
      <w:r w:rsidR="00F11024" w:rsidRPr="00961BAC">
        <w:rPr>
          <w:sz w:val="24"/>
          <w:szCs w:val="24"/>
        </w:rPr>
        <w:t xml:space="preserve"> differences in the study design and target population</w:t>
      </w:r>
      <w:r w:rsidR="00AE6C8E" w:rsidRPr="00961BAC">
        <w:rPr>
          <w:sz w:val="24"/>
          <w:szCs w:val="24"/>
        </w:rPr>
        <w:t xml:space="preserve">. </w:t>
      </w:r>
      <w:r w:rsidR="000268A5" w:rsidRPr="00961BAC">
        <w:rPr>
          <w:sz w:val="24"/>
          <w:szCs w:val="24"/>
        </w:rPr>
        <w:t>Firstly,</w:t>
      </w:r>
      <w:r w:rsidR="00AE6C8E" w:rsidRPr="00961BAC">
        <w:rPr>
          <w:sz w:val="24"/>
          <w:szCs w:val="24"/>
        </w:rPr>
        <w:t xml:space="preserve"> the Swiss study included</w:t>
      </w:r>
      <w:r w:rsidR="00F72AE9" w:rsidRPr="00961BAC">
        <w:rPr>
          <w:sz w:val="24"/>
          <w:szCs w:val="24"/>
        </w:rPr>
        <w:t xml:space="preserve"> </w:t>
      </w:r>
      <w:r w:rsidR="00F11024" w:rsidRPr="00961BAC">
        <w:rPr>
          <w:sz w:val="24"/>
          <w:szCs w:val="24"/>
        </w:rPr>
        <w:t xml:space="preserve">a </w:t>
      </w:r>
      <w:r w:rsidR="003215E5" w:rsidRPr="00961BAC">
        <w:rPr>
          <w:sz w:val="24"/>
          <w:szCs w:val="24"/>
        </w:rPr>
        <w:t xml:space="preserve">comparator group </w:t>
      </w:r>
      <w:r w:rsidR="006F0C8A" w:rsidRPr="00961BAC">
        <w:rPr>
          <w:sz w:val="24"/>
          <w:szCs w:val="24"/>
        </w:rPr>
        <w:t>(</w:t>
      </w:r>
      <w:r w:rsidR="0054308F" w:rsidRPr="00961BAC">
        <w:rPr>
          <w:sz w:val="24"/>
          <w:szCs w:val="24"/>
        </w:rPr>
        <w:t xml:space="preserve">with </w:t>
      </w:r>
      <w:r w:rsidR="00E757DB" w:rsidRPr="00961BAC">
        <w:rPr>
          <w:sz w:val="24"/>
          <w:szCs w:val="24"/>
        </w:rPr>
        <w:t>n</w:t>
      </w:r>
      <w:r w:rsidR="0054308F" w:rsidRPr="00961BAC">
        <w:rPr>
          <w:sz w:val="24"/>
          <w:szCs w:val="24"/>
        </w:rPr>
        <w:t xml:space="preserve">o COVID infection), which may </w:t>
      </w:r>
      <w:r w:rsidR="00600C64" w:rsidRPr="00961BAC">
        <w:rPr>
          <w:sz w:val="24"/>
          <w:szCs w:val="24"/>
        </w:rPr>
        <w:t xml:space="preserve">have </w:t>
      </w:r>
      <w:r w:rsidR="0054308F" w:rsidRPr="00961BAC">
        <w:rPr>
          <w:sz w:val="24"/>
          <w:szCs w:val="24"/>
        </w:rPr>
        <w:t xml:space="preserve">helped </w:t>
      </w:r>
      <w:r w:rsidR="007F60D4" w:rsidRPr="00961BAC">
        <w:rPr>
          <w:sz w:val="24"/>
          <w:szCs w:val="24"/>
        </w:rPr>
        <w:t>minimise selection biases</w:t>
      </w:r>
      <w:r w:rsidR="00B36040" w:rsidRPr="00961BAC">
        <w:rPr>
          <w:sz w:val="24"/>
          <w:szCs w:val="24"/>
        </w:rPr>
        <w:t>.</w:t>
      </w:r>
      <w:r w:rsidR="004B6DAC" w:rsidRPr="00961BAC">
        <w:rPr>
          <w:sz w:val="24"/>
          <w:szCs w:val="24"/>
        </w:rPr>
        <w:t xml:space="preserve"> </w:t>
      </w:r>
      <w:r w:rsidR="000268A5" w:rsidRPr="00961BAC">
        <w:rPr>
          <w:sz w:val="24"/>
          <w:szCs w:val="24"/>
        </w:rPr>
        <w:t xml:space="preserve">Secondly, </w:t>
      </w:r>
      <w:r w:rsidR="0004718C" w:rsidRPr="00961BAC">
        <w:rPr>
          <w:sz w:val="24"/>
          <w:szCs w:val="24"/>
        </w:rPr>
        <w:t>the primary outcome in that study was the EQ-VAS, which</w:t>
      </w:r>
      <w:r w:rsidR="00100CA3" w:rsidRPr="00961BAC">
        <w:rPr>
          <w:sz w:val="24"/>
          <w:szCs w:val="24"/>
        </w:rPr>
        <w:t xml:space="preserve"> </w:t>
      </w:r>
      <w:r w:rsidR="003B4CD7" w:rsidRPr="00961BAC">
        <w:rPr>
          <w:sz w:val="24"/>
          <w:szCs w:val="24"/>
        </w:rPr>
        <w:t xml:space="preserve">tends to have low sensitivity to small changes in health status </w:t>
      </w:r>
      <w:r w:rsidR="00100CA3" w:rsidRPr="00961BAC">
        <w:rPr>
          <w:sz w:val="24"/>
          <w:szCs w:val="24"/>
        </w:rPr>
        <w:t xml:space="preserve">and </w:t>
      </w:r>
      <w:r w:rsidR="003B4CD7" w:rsidRPr="00961BAC">
        <w:rPr>
          <w:sz w:val="24"/>
          <w:szCs w:val="24"/>
        </w:rPr>
        <w:t>be</w:t>
      </w:r>
      <w:r w:rsidR="006A6D4F" w:rsidRPr="00961BAC">
        <w:rPr>
          <w:sz w:val="24"/>
          <w:szCs w:val="24"/>
        </w:rPr>
        <w:t xml:space="preserve"> </w:t>
      </w:r>
      <w:r w:rsidR="00100CA3" w:rsidRPr="00961BAC">
        <w:rPr>
          <w:sz w:val="24"/>
          <w:szCs w:val="24"/>
        </w:rPr>
        <w:t>prone to ceiling effects.</w:t>
      </w:r>
      <w:r w:rsidR="007A0358" w:rsidRPr="00961BAC">
        <w:rPr>
          <w:sz w:val="24"/>
          <w:szCs w:val="24"/>
        </w:rPr>
        <w:t xml:space="preserve"> </w:t>
      </w:r>
      <w:r w:rsidR="006A6D4F" w:rsidRPr="00961BAC">
        <w:rPr>
          <w:sz w:val="24"/>
          <w:szCs w:val="24"/>
        </w:rPr>
        <w:t>Thirdly</w:t>
      </w:r>
      <w:r w:rsidR="00744EAC" w:rsidRPr="00961BAC">
        <w:rPr>
          <w:sz w:val="24"/>
          <w:szCs w:val="24"/>
        </w:rPr>
        <w:t>, t</w:t>
      </w:r>
      <w:r w:rsidR="004B6DAC" w:rsidRPr="00961BAC">
        <w:rPr>
          <w:sz w:val="24"/>
          <w:szCs w:val="24"/>
        </w:rPr>
        <w:t>h</w:t>
      </w:r>
      <w:r w:rsidR="006A6D4F" w:rsidRPr="00961BAC">
        <w:rPr>
          <w:sz w:val="24"/>
          <w:szCs w:val="24"/>
        </w:rPr>
        <w:t>e Swiss</w:t>
      </w:r>
      <w:r w:rsidR="004B6DAC" w:rsidRPr="00961BAC">
        <w:rPr>
          <w:sz w:val="24"/>
          <w:szCs w:val="24"/>
        </w:rPr>
        <w:t xml:space="preserve"> study included </w:t>
      </w:r>
      <w:r w:rsidR="00236AEE" w:rsidRPr="00961BAC">
        <w:rPr>
          <w:sz w:val="24"/>
          <w:szCs w:val="24"/>
        </w:rPr>
        <w:t xml:space="preserve">individuals </w:t>
      </w:r>
      <w:r w:rsidR="00202AF0" w:rsidRPr="00961BAC">
        <w:rPr>
          <w:sz w:val="24"/>
          <w:szCs w:val="24"/>
        </w:rPr>
        <w:t xml:space="preserve">living in </w:t>
      </w:r>
      <w:r w:rsidR="00DA71BF" w:rsidRPr="00961BAC">
        <w:rPr>
          <w:sz w:val="24"/>
          <w:szCs w:val="24"/>
        </w:rPr>
        <w:t>a single</w:t>
      </w:r>
      <w:r w:rsidR="00202AF0" w:rsidRPr="00961BAC">
        <w:rPr>
          <w:sz w:val="24"/>
          <w:szCs w:val="24"/>
        </w:rPr>
        <w:t xml:space="preserve"> canton (Zurich) in Switzerland and </w:t>
      </w:r>
      <w:r w:rsidR="00BC513F" w:rsidRPr="00961BAC">
        <w:rPr>
          <w:sz w:val="24"/>
          <w:szCs w:val="24"/>
        </w:rPr>
        <w:t xml:space="preserve">only those </w:t>
      </w:r>
      <w:r w:rsidR="00236AEE" w:rsidRPr="00961BAC">
        <w:rPr>
          <w:sz w:val="24"/>
          <w:szCs w:val="24"/>
        </w:rPr>
        <w:t>with</w:t>
      </w:r>
      <w:r w:rsidR="001A0B0E" w:rsidRPr="00961BAC">
        <w:rPr>
          <w:sz w:val="24"/>
          <w:szCs w:val="24"/>
        </w:rPr>
        <w:t xml:space="preserve"> the</w:t>
      </w:r>
      <w:r w:rsidR="00236AEE" w:rsidRPr="00961BAC">
        <w:rPr>
          <w:sz w:val="24"/>
          <w:szCs w:val="24"/>
        </w:rPr>
        <w:t xml:space="preserve"> </w:t>
      </w:r>
      <w:r w:rsidR="00B12370" w:rsidRPr="00961BAC">
        <w:rPr>
          <w:sz w:val="24"/>
          <w:szCs w:val="24"/>
        </w:rPr>
        <w:t>wild-type</w:t>
      </w:r>
      <w:r w:rsidR="00236AEE" w:rsidRPr="00961BAC">
        <w:rPr>
          <w:sz w:val="24"/>
          <w:szCs w:val="24"/>
        </w:rPr>
        <w:t xml:space="preserve"> COVID-19</w:t>
      </w:r>
      <w:r w:rsidR="00F72AE9" w:rsidRPr="00961BAC">
        <w:rPr>
          <w:sz w:val="24"/>
          <w:szCs w:val="24"/>
        </w:rPr>
        <w:t xml:space="preserve"> </w:t>
      </w:r>
      <w:r w:rsidR="001A0B0E" w:rsidRPr="00961BAC">
        <w:rPr>
          <w:sz w:val="24"/>
          <w:szCs w:val="24"/>
        </w:rPr>
        <w:t>alpha variant</w:t>
      </w:r>
      <w:r w:rsidR="00A358FA" w:rsidRPr="00961BAC">
        <w:rPr>
          <w:sz w:val="24"/>
          <w:szCs w:val="24"/>
        </w:rPr>
        <w:t xml:space="preserve">, </w:t>
      </w:r>
      <w:r w:rsidR="009C6EE4" w:rsidRPr="00961BAC">
        <w:rPr>
          <w:sz w:val="24"/>
          <w:szCs w:val="24"/>
        </w:rPr>
        <w:t>wh</w:t>
      </w:r>
      <w:r w:rsidR="001A0B0E" w:rsidRPr="00961BAC">
        <w:rPr>
          <w:sz w:val="24"/>
          <w:szCs w:val="24"/>
        </w:rPr>
        <w:t>o may</w:t>
      </w:r>
      <w:r w:rsidR="00984CBB" w:rsidRPr="00961BAC">
        <w:rPr>
          <w:sz w:val="24"/>
          <w:szCs w:val="24"/>
        </w:rPr>
        <w:t xml:space="preserve"> be</w:t>
      </w:r>
      <w:r w:rsidR="001A0B0E" w:rsidRPr="00961BAC">
        <w:rPr>
          <w:sz w:val="24"/>
          <w:szCs w:val="24"/>
        </w:rPr>
        <w:t xml:space="preserve"> </w:t>
      </w:r>
      <w:r w:rsidR="0001053A" w:rsidRPr="00961BAC">
        <w:rPr>
          <w:sz w:val="24"/>
          <w:szCs w:val="24"/>
        </w:rPr>
        <w:t>less likely to have prolonged effects</w:t>
      </w:r>
      <w:r w:rsidR="009C6EE4" w:rsidRPr="00961BAC">
        <w:rPr>
          <w:sz w:val="24"/>
          <w:szCs w:val="24"/>
        </w:rPr>
        <w:t xml:space="preserve"> over time</w:t>
      </w:r>
      <w:r w:rsidR="00453AB5" w:rsidRPr="00961BAC">
        <w:rPr>
          <w:sz w:val="24"/>
          <w:szCs w:val="24"/>
        </w:rPr>
        <w:fldChar w:fldCharType="begin"/>
      </w:r>
      <w:r w:rsidR="00FD4C2C" w:rsidRPr="00961BAC">
        <w:rPr>
          <w:sz w:val="24"/>
          <w:szCs w:val="24"/>
        </w:rPr>
        <w:instrText xml:space="preserve"> ADDIN EN.CITE &lt;EndNote&gt;&lt;Cite&gt;&lt;Author&gt;Canas&lt;/Author&gt;&lt;Year&gt;2023&lt;/Year&gt;&lt;RecNum&gt;44&lt;/RecNum&gt;&lt;DisplayText&gt;&lt;style face="superscript"&gt;22&lt;/style&gt;&lt;/DisplayText&gt;&lt;record&gt;&lt;rec-number&gt;44&lt;/rec-number&gt;&lt;foreign-keys&gt;&lt;key app="EN" db-id="zfz9pe2xqf0rxiee9sbptsdssxaev52swxxa" timestamp="1714567322"&gt;44&lt;/key&gt;&lt;/foreign-keys&gt;&lt;ref-type name="Journal Article"&gt;17&lt;/ref-type&gt;&lt;contributors&gt;&lt;authors&gt;&lt;author&gt;Canas, Liane S&lt;/author&gt;&lt;author&gt;Molteni, Erika&lt;/author&gt;&lt;author&gt;Deng, Jie&lt;/author&gt;&lt;author&gt;Sudre, Carole H&lt;/author&gt;&lt;author&gt;Murray, Benjamin&lt;/author&gt;&lt;author&gt;Kerfoot, Eric&lt;/author&gt;&lt;author&gt;Antonelli, Michela&lt;/author&gt;&lt;author&gt;Rjoob, Khaled&lt;/author&gt;&lt;author&gt;Pujol, Joan Capdevila&lt;/author&gt;&lt;author&gt;Polidori, Lorenzo&lt;/author&gt;&lt;/authors&gt;&lt;/contributors&gt;&lt;titles&gt;&lt;title&gt;Profiling post-COVID-19 condition across different variants of SARS-CoV-2: a prospective longitudinal study in unvaccinated wild-type, unvaccinated alpha-variant, and vaccinated delta-variant populations&lt;/title&gt;&lt;secondary-title&gt;The Lancet Digital Health&lt;/secondary-title&gt;&lt;/titles&gt;&lt;periodical&gt;&lt;full-title&gt;The Lancet Digital Health&lt;/full-title&gt;&lt;/periodical&gt;&lt;pages&gt;e421-e434&lt;/pages&gt;&lt;volume&gt;5&lt;/volume&gt;&lt;number&gt;7&lt;/number&gt;&lt;dates&gt;&lt;year&gt;2023&lt;/year&gt;&lt;/dates&gt;&lt;isbn&gt;2589-7500&lt;/isbn&gt;&lt;urls&gt;&lt;/urls&gt;&lt;/record&gt;&lt;/Cite&gt;&lt;/EndNote&gt;</w:instrText>
      </w:r>
      <w:r w:rsidR="00453AB5" w:rsidRPr="00961BAC">
        <w:rPr>
          <w:sz w:val="24"/>
          <w:szCs w:val="24"/>
        </w:rPr>
        <w:fldChar w:fldCharType="separate"/>
      </w:r>
      <w:r w:rsidR="00FD4C2C" w:rsidRPr="00961BAC">
        <w:rPr>
          <w:noProof/>
          <w:sz w:val="24"/>
          <w:szCs w:val="24"/>
          <w:vertAlign w:val="superscript"/>
        </w:rPr>
        <w:t>22</w:t>
      </w:r>
      <w:r w:rsidR="00453AB5" w:rsidRPr="00961BAC">
        <w:rPr>
          <w:sz w:val="24"/>
          <w:szCs w:val="24"/>
        </w:rPr>
        <w:fldChar w:fldCharType="end"/>
      </w:r>
      <w:r w:rsidR="00BC513F" w:rsidRPr="00961BAC">
        <w:rPr>
          <w:sz w:val="24"/>
          <w:szCs w:val="24"/>
        </w:rPr>
        <w:t>.</w:t>
      </w:r>
      <w:r w:rsidR="00744EAC" w:rsidRPr="00961BAC">
        <w:rPr>
          <w:sz w:val="24"/>
          <w:szCs w:val="24"/>
        </w:rPr>
        <w:t xml:space="preserve"> </w:t>
      </w:r>
    </w:p>
    <w:p w14:paraId="7DABA9D2" w14:textId="03658476" w:rsidR="006403C2" w:rsidRPr="00961BAC" w:rsidRDefault="00995F6D" w:rsidP="006403C2">
      <w:pPr>
        <w:jc w:val="both"/>
        <w:rPr>
          <w:sz w:val="24"/>
          <w:szCs w:val="24"/>
        </w:rPr>
      </w:pPr>
      <w:r w:rsidRPr="00961BAC">
        <w:rPr>
          <w:sz w:val="24"/>
          <w:szCs w:val="24"/>
        </w:rPr>
        <w:t>Our findings</w:t>
      </w:r>
      <w:r w:rsidR="00472D5A" w:rsidRPr="00961BAC">
        <w:rPr>
          <w:sz w:val="24"/>
          <w:szCs w:val="24"/>
        </w:rPr>
        <w:t xml:space="preserve"> </w:t>
      </w:r>
      <w:r w:rsidR="00E94B47" w:rsidRPr="00961BAC">
        <w:rPr>
          <w:sz w:val="24"/>
          <w:szCs w:val="24"/>
        </w:rPr>
        <w:t>about more modest levels of improvement</w:t>
      </w:r>
      <w:r w:rsidR="008D5897" w:rsidRPr="00961BAC">
        <w:rPr>
          <w:sz w:val="24"/>
          <w:szCs w:val="24"/>
        </w:rPr>
        <w:t xml:space="preserve"> over time</w:t>
      </w:r>
      <w:r w:rsidRPr="00961BAC">
        <w:rPr>
          <w:sz w:val="24"/>
          <w:szCs w:val="24"/>
        </w:rPr>
        <w:t xml:space="preserve"> align </w:t>
      </w:r>
      <w:r w:rsidR="00460A30" w:rsidRPr="00961BAC">
        <w:rPr>
          <w:sz w:val="24"/>
          <w:szCs w:val="24"/>
        </w:rPr>
        <w:t>well</w:t>
      </w:r>
      <w:r w:rsidRPr="00961BAC">
        <w:rPr>
          <w:sz w:val="24"/>
          <w:szCs w:val="24"/>
        </w:rPr>
        <w:t xml:space="preserve"> with other </w:t>
      </w:r>
      <w:r w:rsidR="00C67B41" w:rsidRPr="00961BAC">
        <w:rPr>
          <w:sz w:val="24"/>
          <w:szCs w:val="24"/>
        </w:rPr>
        <w:t xml:space="preserve">European </w:t>
      </w:r>
      <w:r w:rsidRPr="00961BAC">
        <w:rPr>
          <w:sz w:val="24"/>
          <w:szCs w:val="24"/>
        </w:rPr>
        <w:t xml:space="preserve">studies </w:t>
      </w:r>
      <w:r w:rsidR="00166CC5" w:rsidRPr="00961BAC">
        <w:rPr>
          <w:sz w:val="24"/>
          <w:szCs w:val="24"/>
        </w:rPr>
        <w:t>reporting on the recovery of long COVID patients</w:t>
      </w:r>
      <w:r w:rsidR="004D28EA" w:rsidRPr="00961BAC">
        <w:rPr>
          <w:sz w:val="24"/>
          <w:szCs w:val="24"/>
        </w:rPr>
        <w:fldChar w:fldCharType="begin">
          <w:fldData xml:space="preserve">PEVuZE5vdGU+PENpdGU+PEF1dGhvcj5NYXRldTwvQXV0aG9yPjxZZWFyPjIwMjM8L1llYXI+PFJl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</w:fldData>
        </w:fldChar>
      </w:r>
      <w:r w:rsidR="00FD4C2C" w:rsidRPr="00961BAC">
        <w:rPr>
          <w:sz w:val="24"/>
          <w:szCs w:val="24"/>
        </w:rPr>
        <w:instrText xml:space="preserve"> ADDIN EN.CITE </w:instrText>
      </w:r>
      <w:r w:rsidR="00FD4C2C" w:rsidRPr="00961BAC">
        <w:rPr>
          <w:sz w:val="24"/>
          <w:szCs w:val="24"/>
        </w:rPr>
        <w:fldChar w:fldCharType="begin">
          <w:fldData xml:space="preserve">PEVuZE5vdGU+PENpdGU+PEF1dGhvcj5NYXRldTwvQXV0aG9yPjxZZWFyPjIwMjM8L1llYXI+PFJl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</w:fldData>
        </w:fldChar>
      </w:r>
      <w:r w:rsidR="00FD4C2C" w:rsidRPr="00961BAC">
        <w:rPr>
          <w:sz w:val="24"/>
          <w:szCs w:val="24"/>
        </w:rPr>
        <w:instrText xml:space="preserve"> ADDIN EN.CITE.DATA </w:instrText>
      </w:r>
      <w:r w:rsidR="00FD4C2C" w:rsidRPr="00961BAC">
        <w:rPr>
          <w:sz w:val="24"/>
          <w:szCs w:val="24"/>
        </w:rPr>
      </w:r>
      <w:r w:rsidR="00FD4C2C" w:rsidRPr="00961BAC">
        <w:rPr>
          <w:sz w:val="24"/>
          <w:szCs w:val="24"/>
        </w:rPr>
        <w:fldChar w:fldCharType="end"/>
      </w:r>
      <w:r w:rsidR="004D28EA" w:rsidRPr="00961BAC">
        <w:rPr>
          <w:sz w:val="24"/>
          <w:szCs w:val="24"/>
        </w:rPr>
      </w:r>
      <w:r w:rsidR="004D28EA" w:rsidRPr="00961BAC">
        <w:rPr>
          <w:sz w:val="24"/>
          <w:szCs w:val="24"/>
        </w:rPr>
        <w:fldChar w:fldCharType="separate"/>
      </w:r>
      <w:r w:rsidR="00FD4C2C" w:rsidRPr="00961BAC">
        <w:rPr>
          <w:noProof/>
          <w:sz w:val="24"/>
          <w:szCs w:val="24"/>
          <w:vertAlign w:val="superscript"/>
        </w:rPr>
        <w:t>23-25</w:t>
      </w:r>
      <w:r w:rsidR="004D28EA" w:rsidRPr="00961BAC">
        <w:rPr>
          <w:sz w:val="24"/>
          <w:szCs w:val="24"/>
        </w:rPr>
        <w:fldChar w:fldCharType="end"/>
      </w:r>
      <w:r w:rsidR="00166CC5" w:rsidRPr="00961BAC">
        <w:rPr>
          <w:sz w:val="24"/>
          <w:szCs w:val="24"/>
        </w:rPr>
        <w:t xml:space="preserve">. A </w:t>
      </w:r>
      <w:r w:rsidR="00460A30" w:rsidRPr="00961BAC">
        <w:rPr>
          <w:sz w:val="24"/>
          <w:szCs w:val="24"/>
        </w:rPr>
        <w:t xml:space="preserve">cohort </w:t>
      </w:r>
      <w:r w:rsidR="00166CC5" w:rsidRPr="00961BAC">
        <w:rPr>
          <w:sz w:val="24"/>
          <w:szCs w:val="24"/>
        </w:rPr>
        <w:t>study conducted in the Catalan region</w:t>
      </w:r>
      <w:r w:rsidR="00E52011" w:rsidRPr="00961BAC">
        <w:rPr>
          <w:sz w:val="24"/>
          <w:szCs w:val="24"/>
        </w:rPr>
        <w:t xml:space="preserve"> followed long COVID patients </w:t>
      </w:r>
      <w:r w:rsidR="007E07C1" w:rsidRPr="00961BAC">
        <w:rPr>
          <w:sz w:val="24"/>
          <w:szCs w:val="24"/>
        </w:rPr>
        <w:t>for a median of 23 months and</w:t>
      </w:r>
      <w:r w:rsidR="00166CC5" w:rsidRPr="00961BAC">
        <w:rPr>
          <w:sz w:val="24"/>
          <w:szCs w:val="24"/>
        </w:rPr>
        <w:t xml:space="preserve"> found that only </w:t>
      </w:r>
      <w:r w:rsidR="007E07C1" w:rsidRPr="00961BAC">
        <w:rPr>
          <w:sz w:val="24"/>
          <w:szCs w:val="24"/>
        </w:rPr>
        <w:t>8</w:t>
      </w:r>
      <w:r w:rsidR="00166CC5" w:rsidRPr="00961BAC">
        <w:rPr>
          <w:sz w:val="24"/>
          <w:szCs w:val="24"/>
        </w:rPr>
        <w:t>% (</w:t>
      </w:r>
      <w:r w:rsidR="00E52011" w:rsidRPr="00961BAC">
        <w:rPr>
          <w:sz w:val="24"/>
          <w:szCs w:val="24"/>
        </w:rPr>
        <w:t>26 out of 34</w:t>
      </w:r>
      <w:r w:rsidR="007E07C1" w:rsidRPr="00961BAC">
        <w:rPr>
          <w:sz w:val="24"/>
          <w:szCs w:val="24"/>
        </w:rPr>
        <w:t>1) recovered</w:t>
      </w:r>
      <w:r w:rsidR="00472D5A" w:rsidRPr="00961BAC">
        <w:rPr>
          <w:sz w:val="24"/>
          <w:szCs w:val="24"/>
        </w:rPr>
        <w:t xml:space="preserve"> during follow up</w:t>
      </w:r>
      <w:r w:rsidR="004D28EA" w:rsidRPr="00961BAC">
        <w:rPr>
          <w:sz w:val="24"/>
          <w:szCs w:val="24"/>
        </w:rPr>
        <w:fldChar w:fldCharType="begin"/>
      </w:r>
      <w:r w:rsidR="00FD4C2C" w:rsidRPr="00961BAC">
        <w:rPr>
          <w:sz w:val="24"/>
          <w:szCs w:val="24"/>
        </w:rPr>
        <w:instrText xml:space="preserve"> ADDIN EN.CITE &lt;EndNote&gt;&lt;Cite&gt;&lt;Author&gt;Mateu&lt;/Author&gt;&lt;Year&gt;2023&lt;/Year&gt;&lt;RecNum&gt;45&lt;/RecNum&gt;&lt;DisplayText&gt;&lt;style face="superscript"&gt;23&lt;/style&gt;&lt;/DisplayText&gt;&lt;record&gt;&lt;rec-number&gt;45&lt;/rec-number&gt;&lt;foreign-keys&gt;&lt;key app="EN" db-id="zfz9pe2xqf0rxiee9sbptsdssxaev52swxxa" timestamp="1714567484"&gt;45&lt;/key&gt;&lt;/foreign-keys&gt;&lt;ref-type name="Journal Article"&gt;17&lt;/ref-type&gt;&lt;contributors&gt;&lt;authors&gt;&lt;author&gt;Mateu, Lourdes&lt;/author&gt;&lt;author&gt;Tebe, Cristian&lt;/author&gt;&lt;author&gt;Loste, Cora&lt;/author&gt;&lt;author&gt;Santos, José Ramón&lt;/author&gt;&lt;author&gt;Lladós, Gemma&lt;/author&gt;&lt;author&gt;López, Cristina&lt;/author&gt;&lt;author&gt;España-Cueto, Sergio&lt;/author&gt;&lt;author&gt;Toledo, Ruth&lt;/author&gt;&lt;author&gt;Font, Marta&lt;/author&gt;&lt;author&gt;Chamorro, Anna&lt;/author&gt;&lt;/authors&gt;&lt;/contributors&gt;&lt;titles&gt;&lt;title&gt;Determinants of the onset and prognosis of the post-COVID-19 condition: a 2-year prospective observational cohort study&lt;/title&gt;&lt;secondary-title&gt;The Lancet Regional Health–Europe&lt;/secondary-title&gt;&lt;/titles&gt;&lt;periodical&gt;&lt;full-title&gt;The Lancet Regional Health–Europe&lt;/full-title&gt;&lt;/periodical&gt;&lt;volume&gt;33&lt;/volume&gt;&lt;dates&gt;&lt;year&gt;2023&lt;/year&gt;&lt;/dates&gt;&lt;isbn&gt;2666-7762&lt;/isbn&gt;&lt;urls&gt;&lt;/urls&gt;&lt;/record&gt;&lt;/Cite&gt;&lt;/EndNote&gt;</w:instrText>
      </w:r>
      <w:r w:rsidR="004D28EA" w:rsidRPr="00961BAC">
        <w:rPr>
          <w:sz w:val="24"/>
          <w:szCs w:val="24"/>
        </w:rPr>
        <w:fldChar w:fldCharType="separate"/>
      </w:r>
      <w:r w:rsidR="00FD4C2C" w:rsidRPr="00961BAC">
        <w:rPr>
          <w:noProof/>
          <w:sz w:val="24"/>
          <w:szCs w:val="24"/>
          <w:vertAlign w:val="superscript"/>
        </w:rPr>
        <w:t>23</w:t>
      </w:r>
      <w:r w:rsidR="004D28EA" w:rsidRPr="00961BAC">
        <w:rPr>
          <w:sz w:val="24"/>
          <w:szCs w:val="24"/>
        </w:rPr>
        <w:fldChar w:fldCharType="end"/>
      </w:r>
      <w:r w:rsidR="00472D5A" w:rsidRPr="00961BAC">
        <w:rPr>
          <w:sz w:val="24"/>
          <w:szCs w:val="24"/>
        </w:rPr>
        <w:t>.</w:t>
      </w:r>
      <w:r w:rsidR="0050679F" w:rsidRPr="00961BAC">
        <w:rPr>
          <w:sz w:val="24"/>
          <w:szCs w:val="24"/>
        </w:rPr>
        <w:t xml:space="preserve"> </w:t>
      </w:r>
      <w:r w:rsidR="00950ABA" w:rsidRPr="00961BAC">
        <w:rPr>
          <w:sz w:val="24"/>
          <w:szCs w:val="24"/>
        </w:rPr>
        <w:t xml:space="preserve">Another study conducted in Southern Germany also found that about 29% (3289 out of 11 536) of long COVID patients </w:t>
      </w:r>
      <w:r w:rsidR="00F13372" w:rsidRPr="00961BAC">
        <w:rPr>
          <w:sz w:val="24"/>
          <w:szCs w:val="24"/>
        </w:rPr>
        <w:t>reported impair</w:t>
      </w:r>
      <w:r w:rsidR="00DE0E98" w:rsidRPr="00961BAC">
        <w:rPr>
          <w:sz w:val="24"/>
          <w:szCs w:val="24"/>
        </w:rPr>
        <w:t xml:space="preserve">ed general health and working capacity </w:t>
      </w:r>
      <w:r w:rsidR="0023443F" w:rsidRPr="00961BAC">
        <w:rPr>
          <w:sz w:val="24"/>
          <w:szCs w:val="24"/>
        </w:rPr>
        <w:t>between</w:t>
      </w:r>
      <w:r w:rsidR="00DE0E98" w:rsidRPr="00961BAC">
        <w:rPr>
          <w:sz w:val="24"/>
          <w:szCs w:val="24"/>
        </w:rPr>
        <w:t xml:space="preserve"> </w:t>
      </w:r>
      <w:r w:rsidR="005611F9" w:rsidRPr="00961BAC">
        <w:rPr>
          <w:sz w:val="24"/>
          <w:szCs w:val="24"/>
        </w:rPr>
        <w:t>6 to 12 months after COVID</w:t>
      </w:r>
      <w:r w:rsidR="00FB4FFE" w:rsidRPr="00961BAC">
        <w:rPr>
          <w:sz w:val="24"/>
          <w:szCs w:val="24"/>
        </w:rPr>
        <w:t>-19</w:t>
      </w:r>
      <w:r w:rsidR="005611F9" w:rsidRPr="00961BAC">
        <w:rPr>
          <w:sz w:val="24"/>
          <w:szCs w:val="24"/>
        </w:rPr>
        <w:t xml:space="preserve"> infection</w:t>
      </w:r>
      <w:r w:rsidR="004D28EA" w:rsidRPr="00961BAC">
        <w:rPr>
          <w:sz w:val="24"/>
          <w:szCs w:val="24"/>
        </w:rPr>
        <w:fldChar w:fldCharType="begin"/>
      </w:r>
      <w:r w:rsidR="00FD4C2C" w:rsidRPr="00961BAC">
        <w:rPr>
          <w:sz w:val="24"/>
          <w:szCs w:val="24"/>
        </w:rPr>
        <w:instrText xml:space="preserve"> ADDIN EN.CITE &lt;EndNote&gt;&lt;Cite&gt;&lt;Author&gt;Peter&lt;/Author&gt;&lt;Year&gt;2022&lt;/Year&gt;&lt;RecNum&gt;47&lt;/RecNum&gt;&lt;DisplayText&gt;&lt;style face="superscript"&gt;24&lt;/style&gt;&lt;/DisplayText&gt;&lt;record&gt;&lt;rec-number&gt;47&lt;/rec-number&gt;&lt;foreign-keys&gt;&lt;key app="EN" db-id="zfz9pe2xqf0rxiee9sbptsdssxaev52swxxa" timestamp="1714567533"&gt;47&lt;/key&gt;&lt;/foreign-keys&gt;&lt;ref-type name="Journal Article"&gt;17&lt;/ref-type&gt;&lt;contributors&gt;&lt;authors&gt;&lt;author&gt;Peter, Raphael S&lt;/author&gt;&lt;author&gt;Nieters, Alexandra&lt;/author&gt;&lt;author&gt;Kräusslich, Hans-Georg&lt;/author&gt;&lt;author&gt;Brockmann, Stefan O&lt;/author&gt;&lt;author&gt;Göpel, Siri&lt;/author&gt;&lt;author&gt;Kindle, Gerhard&lt;/author&gt;&lt;author&gt;Merle, Uta&lt;/author&gt;&lt;author&gt;Steinacker, Jürgen M&lt;/author&gt;&lt;author&gt;Rothenbacher, Dietrich&lt;/author&gt;&lt;author&gt;Kern, Winfried V&lt;/author&gt;&lt;/authors&gt;&lt;/contributors&gt;&lt;titles&gt;&lt;title&gt;Post-acute sequelae of covid-19 six to 12 months after infection: population based study&lt;/title&gt;&lt;secondary-title&gt;Bmj&lt;/secondary-title&gt;&lt;/titles&gt;&lt;periodical&gt;&lt;full-title&gt;bmj&lt;/full-title&gt;&lt;/periodical&gt;&lt;volume&gt;379&lt;/volume&gt;&lt;dates&gt;&lt;year&gt;2022&lt;/year&gt;&lt;/dates&gt;&lt;isbn&gt;1756-1833&lt;/isbn&gt;&lt;urls&gt;&lt;/urls&gt;&lt;/record&gt;&lt;/Cite&gt;&lt;/EndNote&gt;</w:instrText>
      </w:r>
      <w:r w:rsidR="004D28EA" w:rsidRPr="00961BAC">
        <w:rPr>
          <w:sz w:val="24"/>
          <w:szCs w:val="24"/>
        </w:rPr>
        <w:fldChar w:fldCharType="separate"/>
      </w:r>
      <w:r w:rsidR="00FD4C2C" w:rsidRPr="00961BAC">
        <w:rPr>
          <w:noProof/>
          <w:sz w:val="24"/>
          <w:szCs w:val="24"/>
          <w:vertAlign w:val="superscript"/>
        </w:rPr>
        <w:t>24</w:t>
      </w:r>
      <w:r w:rsidR="004D28EA" w:rsidRPr="00961BAC">
        <w:rPr>
          <w:sz w:val="24"/>
          <w:szCs w:val="24"/>
        </w:rPr>
        <w:fldChar w:fldCharType="end"/>
      </w:r>
      <w:r w:rsidR="00FB4FFE" w:rsidRPr="00961BAC">
        <w:rPr>
          <w:sz w:val="24"/>
          <w:szCs w:val="24"/>
        </w:rPr>
        <w:t>.</w:t>
      </w:r>
      <w:r w:rsidR="00DD503C" w:rsidRPr="00961BAC">
        <w:rPr>
          <w:sz w:val="24"/>
          <w:szCs w:val="24"/>
        </w:rPr>
        <w:t xml:space="preserve"> </w:t>
      </w:r>
    </w:p>
    <w:p w14:paraId="488A7279" w14:textId="1470FE06" w:rsidR="001C08C3" w:rsidRPr="00961BAC" w:rsidRDefault="004575CF" w:rsidP="001C08C3">
      <w:pPr>
        <w:jc w:val="both"/>
        <w:rPr>
          <w:sz w:val="24"/>
          <w:szCs w:val="24"/>
        </w:rPr>
      </w:pPr>
      <w:r w:rsidRPr="00961BAC">
        <w:rPr>
          <w:sz w:val="24"/>
          <w:szCs w:val="24"/>
        </w:rPr>
        <w:t>Most treatment-seeking long COVID patients in our study sample were under</w:t>
      </w:r>
      <w:r w:rsidR="00DD7BD0" w:rsidRPr="00961BAC">
        <w:rPr>
          <w:sz w:val="24"/>
          <w:szCs w:val="24"/>
        </w:rPr>
        <w:t xml:space="preserve"> the age of</w:t>
      </w:r>
      <w:r w:rsidRPr="00961BAC">
        <w:rPr>
          <w:sz w:val="24"/>
          <w:szCs w:val="24"/>
        </w:rPr>
        <w:t xml:space="preserve"> 65 (94%), consistent with existing findings that </w:t>
      </w:r>
      <w:r w:rsidR="00DD7BD0" w:rsidRPr="00961BAC">
        <w:rPr>
          <w:sz w:val="24"/>
          <w:szCs w:val="24"/>
        </w:rPr>
        <w:t xml:space="preserve">the </w:t>
      </w:r>
      <w:r w:rsidRPr="00961BAC">
        <w:rPr>
          <w:sz w:val="24"/>
          <w:szCs w:val="24"/>
        </w:rPr>
        <w:t>prevalence of long COVID was highest among the working-age population</w:t>
      </w:r>
      <w:r w:rsidRPr="00961BAC">
        <w:rPr>
          <w:sz w:val="24"/>
          <w:szCs w:val="24"/>
        </w:rPr>
        <w:fldChar w:fldCharType="begin">
          <w:fldData xml:space="preserve">PEVuZE5vdGU+PENpdGU+PEF1dGhvcj5HdWFsYW5vPC9BdXRob3I+PFllYXI+MjAyMjwvWWVhcj48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</w:fldData>
        </w:fldChar>
      </w:r>
      <w:r w:rsidR="00FD4C2C" w:rsidRPr="00961BAC">
        <w:rPr>
          <w:sz w:val="24"/>
          <w:szCs w:val="24"/>
        </w:rPr>
        <w:instrText xml:space="preserve"> ADDIN EN.CITE </w:instrText>
      </w:r>
      <w:r w:rsidR="00FD4C2C" w:rsidRPr="00961BAC">
        <w:rPr>
          <w:sz w:val="24"/>
          <w:szCs w:val="24"/>
        </w:rPr>
        <w:fldChar w:fldCharType="begin">
          <w:fldData xml:space="preserve">PEVuZE5vdGU+PENpdGU+PEF1dGhvcj5HdWFsYW5vPC9BdXRob3I+PFllYXI+MjAyMjwvWWVhcj48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</w:fldData>
        </w:fldChar>
      </w:r>
      <w:r w:rsidR="00FD4C2C" w:rsidRPr="00961BAC">
        <w:rPr>
          <w:sz w:val="24"/>
          <w:szCs w:val="24"/>
        </w:rPr>
        <w:instrText xml:space="preserve"> ADDIN EN.CITE.DATA </w:instrText>
      </w:r>
      <w:r w:rsidR="00FD4C2C" w:rsidRPr="00961BAC">
        <w:rPr>
          <w:sz w:val="24"/>
          <w:szCs w:val="24"/>
        </w:rPr>
      </w:r>
      <w:r w:rsidR="00FD4C2C" w:rsidRPr="00961BAC">
        <w:rPr>
          <w:sz w:val="24"/>
          <w:szCs w:val="24"/>
        </w:rPr>
        <w:fldChar w:fldCharType="end"/>
      </w:r>
      <w:r w:rsidRPr="00961BAC">
        <w:rPr>
          <w:sz w:val="24"/>
          <w:szCs w:val="24"/>
        </w:rPr>
      </w:r>
      <w:r w:rsidRPr="00961BAC">
        <w:rPr>
          <w:sz w:val="24"/>
          <w:szCs w:val="24"/>
        </w:rPr>
        <w:fldChar w:fldCharType="separate"/>
      </w:r>
      <w:r w:rsidR="00FD4C2C" w:rsidRPr="00961BAC">
        <w:rPr>
          <w:noProof/>
          <w:sz w:val="24"/>
          <w:szCs w:val="24"/>
          <w:vertAlign w:val="superscript"/>
        </w:rPr>
        <w:t>26 27</w:t>
      </w:r>
      <w:r w:rsidRPr="00961BAC">
        <w:rPr>
          <w:sz w:val="24"/>
          <w:szCs w:val="24"/>
        </w:rPr>
        <w:fldChar w:fldCharType="end"/>
      </w:r>
      <w:r w:rsidRPr="00961BAC">
        <w:rPr>
          <w:sz w:val="24"/>
          <w:szCs w:val="24"/>
        </w:rPr>
        <w:t>. Previous studies indicate between 13% and 43% of COVID-19 affected individuals do not return to work six months after infection</w:t>
      </w:r>
      <w:r w:rsidRPr="00961BAC">
        <w:rPr>
          <w:sz w:val="24"/>
          <w:szCs w:val="24"/>
        </w:rPr>
        <w:fldChar w:fldCharType="begin">
          <w:fldData xml:space="preserve">PEVuZE5vdGU+PENpdGU+PEF1dGhvcj5HdWFsYW5vPC9BdXRob3I+PFllYXI+MjAyMjwvWWVhcj48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</w:fldData>
        </w:fldChar>
      </w:r>
      <w:r w:rsidR="00FD4C2C" w:rsidRPr="00961BAC">
        <w:rPr>
          <w:sz w:val="24"/>
          <w:szCs w:val="24"/>
        </w:rPr>
        <w:instrText xml:space="preserve"> ADDIN EN.CITE </w:instrText>
      </w:r>
      <w:r w:rsidR="00FD4C2C" w:rsidRPr="00961BAC">
        <w:rPr>
          <w:sz w:val="24"/>
          <w:szCs w:val="24"/>
        </w:rPr>
        <w:fldChar w:fldCharType="begin">
          <w:fldData xml:space="preserve">PEVuZE5vdGU+PENpdGU+PEF1dGhvcj5HdWFsYW5vPC9BdXRob3I+PFllYXI+MjAyMjwvWWVhcj48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</w:fldData>
        </w:fldChar>
      </w:r>
      <w:r w:rsidR="00FD4C2C" w:rsidRPr="00961BAC">
        <w:rPr>
          <w:sz w:val="24"/>
          <w:szCs w:val="24"/>
        </w:rPr>
        <w:instrText xml:space="preserve"> ADDIN EN.CITE.DATA </w:instrText>
      </w:r>
      <w:r w:rsidR="00FD4C2C" w:rsidRPr="00961BAC">
        <w:rPr>
          <w:sz w:val="24"/>
          <w:szCs w:val="24"/>
        </w:rPr>
      </w:r>
      <w:r w:rsidR="00FD4C2C" w:rsidRPr="00961BAC">
        <w:rPr>
          <w:sz w:val="24"/>
          <w:szCs w:val="24"/>
        </w:rPr>
        <w:fldChar w:fldCharType="end"/>
      </w:r>
      <w:r w:rsidRPr="00961BAC">
        <w:rPr>
          <w:sz w:val="24"/>
          <w:szCs w:val="24"/>
        </w:rPr>
      </w:r>
      <w:r w:rsidRPr="00961BAC">
        <w:rPr>
          <w:sz w:val="24"/>
          <w:szCs w:val="24"/>
        </w:rPr>
        <w:fldChar w:fldCharType="separate"/>
      </w:r>
      <w:r w:rsidR="00FD4C2C" w:rsidRPr="00961BAC">
        <w:rPr>
          <w:noProof/>
          <w:sz w:val="24"/>
          <w:szCs w:val="24"/>
          <w:vertAlign w:val="superscript"/>
        </w:rPr>
        <w:t>26 28</w:t>
      </w:r>
      <w:r w:rsidRPr="00961BAC">
        <w:rPr>
          <w:sz w:val="24"/>
          <w:szCs w:val="24"/>
        </w:rPr>
        <w:fldChar w:fldCharType="end"/>
      </w:r>
      <w:r w:rsidRPr="00961BAC">
        <w:rPr>
          <w:sz w:val="24"/>
          <w:szCs w:val="24"/>
        </w:rPr>
        <w:t>. Our study shows an average of 7.7 days off work</w:t>
      </w:r>
      <w:r w:rsidR="00826634" w:rsidRPr="00961BAC">
        <w:rPr>
          <w:sz w:val="24"/>
          <w:szCs w:val="24"/>
        </w:rPr>
        <w:t xml:space="preserve"> (per month)</w:t>
      </w:r>
      <w:r w:rsidRPr="00961BAC">
        <w:rPr>
          <w:sz w:val="24"/>
          <w:szCs w:val="24"/>
        </w:rPr>
        <w:t xml:space="preserve"> at </w:t>
      </w:r>
      <w:r w:rsidR="00576364" w:rsidRPr="00961BAC">
        <w:rPr>
          <w:sz w:val="24"/>
          <w:szCs w:val="24"/>
        </w:rPr>
        <w:t>6</w:t>
      </w:r>
      <w:r w:rsidRPr="00961BAC">
        <w:rPr>
          <w:sz w:val="24"/>
          <w:szCs w:val="24"/>
        </w:rPr>
        <w:t xml:space="preserve"> month</w:t>
      </w:r>
      <w:r w:rsidR="00576364" w:rsidRPr="00961BAC">
        <w:rPr>
          <w:sz w:val="24"/>
          <w:szCs w:val="24"/>
        </w:rPr>
        <w:t>s</w:t>
      </w:r>
      <w:r w:rsidRPr="00961BAC">
        <w:rPr>
          <w:sz w:val="24"/>
          <w:szCs w:val="24"/>
        </w:rPr>
        <w:t xml:space="preserve">, equivalent to </w:t>
      </w:r>
      <w:r w:rsidR="00C16FA6" w:rsidRPr="00961BAC">
        <w:rPr>
          <w:sz w:val="24"/>
          <w:szCs w:val="24"/>
        </w:rPr>
        <w:t>a t</w:t>
      </w:r>
      <w:r w:rsidR="00655812" w:rsidRPr="00961BAC">
        <w:rPr>
          <w:sz w:val="24"/>
          <w:szCs w:val="24"/>
        </w:rPr>
        <w:t>hird of</w:t>
      </w:r>
      <w:r w:rsidRPr="00961BAC">
        <w:rPr>
          <w:sz w:val="24"/>
          <w:szCs w:val="24"/>
        </w:rPr>
        <w:t xml:space="preserve"> working days lost. </w:t>
      </w:r>
      <w:r w:rsidR="00307052" w:rsidRPr="00961BAC">
        <w:rPr>
          <w:sz w:val="24"/>
          <w:szCs w:val="24"/>
        </w:rPr>
        <w:t>Our study also finds that</w:t>
      </w:r>
      <w:r w:rsidRPr="00961BAC">
        <w:rPr>
          <w:sz w:val="24"/>
          <w:szCs w:val="24"/>
        </w:rPr>
        <w:t xml:space="preserve"> </w:t>
      </w:r>
      <w:r w:rsidR="00AF6937" w:rsidRPr="00961BAC">
        <w:rPr>
          <w:sz w:val="24"/>
          <w:szCs w:val="24"/>
        </w:rPr>
        <w:t xml:space="preserve">almost three quarters of individuals who reported </w:t>
      </w:r>
      <w:r w:rsidR="00793F3E" w:rsidRPr="00961BAC">
        <w:rPr>
          <w:sz w:val="24"/>
          <w:szCs w:val="24"/>
        </w:rPr>
        <w:t>working days lost</w:t>
      </w:r>
      <w:r w:rsidR="00AF6937" w:rsidRPr="00961BAC">
        <w:rPr>
          <w:sz w:val="24"/>
          <w:szCs w:val="24"/>
        </w:rPr>
        <w:t xml:space="preserve"> at baseline</w:t>
      </w:r>
      <w:r w:rsidR="00793F3E" w:rsidRPr="00961BAC">
        <w:rPr>
          <w:sz w:val="24"/>
          <w:szCs w:val="24"/>
        </w:rPr>
        <w:t xml:space="preserve"> </w:t>
      </w:r>
      <w:r w:rsidR="00AF6937" w:rsidRPr="00961BAC">
        <w:rPr>
          <w:sz w:val="24"/>
          <w:szCs w:val="24"/>
        </w:rPr>
        <w:t>continued to report</w:t>
      </w:r>
      <w:r w:rsidR="00793F3E" w:rsidRPr="00961BAC">
        <w:rPr>
          <w:sz w:val="24"/>
          <w:szCs w:val="24"/>
        </w:rPr>
        <w:t xml:space="preserve"> absenteeism</w:t>
      </w:r>
      <w:r w:rsidR="00AF6937" w:rsidRPr="00961BAC">
        <w:rPr>
          <w:sz w:val="24"/>
          <w:szCs w:val="24"/>
        </w:rPr>
        <w:t xml:space="preserve"> at 6 months due to long COVID</w:t>
      </w:r>
      <w:r w:rsidR="00BD163C" w:rsidRPr="00961BAC">
        <w:rPr>
          <w:sz w:val="24"/>
          <w:szCs w:val="24"/>
        </w:rPr>
        <w:t xml:space="preserve">. This </w:t>
      </w:r>
      <w:r w:rsidRPr="00961BAC">
        <w:rPr>
          <w:sz w:val="24"/>
          <w:szCs w:val="24"/>
        </w:rPr>
        <w:t xml:space="preserve">is likely related to symptoms such as fatigue, dyspnoea, cognition and </w:t>
      </w:r>
      <w:r w:rsidR="00697551" w:rsidRPr="00961BAC">
        <w:rPr>
          <w:sz w:val="24"/>
          <w:szCs w:val="24"/>
        </w:rPr>
        <w:t>mental health</w:t>
      </w:r>
      <w:r w:rsidRPr="00961BAC">
        <w:rPr>
          <w:sz w:val="24"/>
          <w:szCs w:val="24"/>
        </w:rPr>
        <w:t xml:space="preserve"> symptoms, as reported elsewhere</w:t>
      </w:r>
      <w:r w:rsidRPr="00961BAC">
        <w:rPr>
          <w:sz w:val="24"/>
          <w:szCs w:val="24"/>
        </w:rPr>
        <w:fldChar w:fldCharType="begin">
          <w:fldData xml:space="preserve">PEVuZE5vdGU+PENpdGU+PEF1dGhvcj5Bd2FuPC9BdXRob3I+PFllYXI+MjAyMjwvWWVhcj48UmVj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</w:fldData>
        </w:fldChar>
      </w:r>
      <w:r w:rsidR="00FD4C2C" w:rsidRPr="00961BAC">
        <w:rPr>
          <w:sz w:val="24"/>
          <w:szCs w:val="24"/>
        </w:rPr>
        <w:instrText xml:space="preserve"> ADDIN EN.CITE </w:instrText>
      </w:r>
      <w:r w:rsidR="00FD4C2C" w:rsidRPr="00961BAC">
        <w:rPr>
          <w:sz w:val="24"/>
          <w:szCs w:val="24"/>
        </w:rPr>
        <w:fldChar w:fldCharType="begin">
          <w:fldData xml:space="preserve">PEVuZE5vdGU+PENpdGU+PEF1dGhvcj5Bd2FuPC9BdXRob3I+PFllYXI+MjAyMjwvWWVhcj48UmVj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</w:fldData>
        </w:fldChar>
      </w:r>
      <w:r w:rsidR="00FD4C2C" w:rsidRPr="00961BAC">
        <w:rPr>
          <w:sz w:val="24"/>
          <w:szCs w:val="24"/>
        </w:rPr>
        <w:instrText xml:space="preserve"> ADDIN EN.CITE.DATA </w:instrText>
      </w:r>
      <w:r w:rsidR="00FD4C2C" w:rsidRPr="00961BAC">
        <w:rPr>
          <w:sz w:val="24"/>
          <w:szCs w:val="24"/>
        </w:rPr>
      </w:r>
      <w:r w:rsidR="00FD4C2C" w:rsidRPr="00961BAC">
        <w:rPr>
          <w:sz w:val="24"/>
          <w:szCs w:val="24"/>
        </w:rPr>
        <w:fldChar w:fldCharType="end"/>
      </w:r>
      <w:r w:rsidRPr="00961BAC">
        <w:rPr>
          <w:sz w:val="24"/>
          <w:szCs w:val="24"/>
        </w:rPr>
      </w:r>
      <w:r w:rsidRPr="00961BAC">
        <w:rPr>
          <w:sz w:val="24"/>
          <w:szCs w:val="24"/>
        </w:rPr>
        <w:fldChar w:fldCharType="separate"/>
      </w:r>
      <w:r w:rsidR="00FD4C2C" w:rsidRPr="00961BAC">
        <w:rPr>
          <w:noProof/>
          <w:sz w:val="24"/>
          <w:szCs w:val="24"/>
          <w:vertAlign w:val="superscript"/>
        </w:rPr>
        <w:t>28-30</w:t>
      </w:r>
      <w:r w:rsidRPr="00961BAC">
        <w:rPr>
          <w:sz w:val="24"/>
          <w:szCs w:val="24"/>
        </w:rPr>
        <w:fldChar w:fldCharType="end"/>
      </w:r>
      <w:r w:rsidRPr="00961BAC">
        <w:rPr>
          <w:sz w:val="24"/>
          <w:szCs w:val="24"/>
        </w:rPr>
        <w:t xml:space="preserve">. </w:t>
      </w:r>
      <w:r w:rsidR="0049300E" w:rsidRPr="00961BAC">
        <w:rPr>
          <w:sz w:val="24"/>
          <w:szCs w:val="24"/>
        </w:rPr>
        <w:t xml:space="preserve">It is worth noting that </w:t>
      </w:r>
      <w:r w:rsidR="001A7831" w:rsidRPr="00961BAC">
        <w:rPr>
          <w:sz w:val="24"/>
          <w:szCs w:val="24"/>
        </w:rPr>
        <w:t xml:space="preserve">we </w:t>
      </w:r>
      <w:r w:rsidR="008A6934" w:rsidRPr="00961BAC">
        <w:rPr>
          <w:sz w:val="24"/>
          <w:szCs w:val="24"/>
        </w:rPr>
        <w:t>we</w:t>
      </w:r>
      <w:r w:rsidR="001A7831" w:rsidRPr="00961BAC">
        <w:rPr>
          <w:sz w:val="24"/>
          <w:szCs w:val="24"/>
        </w:rPr>
        <w:t xml:space="preserve">re not able to distinguish between individuals in different types of job arrangements (part-time, full-time, self-employed), but our PPI </w:t>
      </w:r>
      <w:r w:rsidR="00F319A8" w:rsidRPr="00961BAC">
        <w:rPr>
          <w:sz w:val="24"/>
          <w:szCs w:val="24"/>
        </w:rPr>
        <w:t>work</w:t>
      </w:r>
      <w:r w:rsidR="001A7831" w:rsidRPr="00961BAC">
        <w:rPr>
          <w:sz w:val="24"/>
          <w:szCs w:val="24"/>
        </w:rPr>
        <w:t xml:space="preserve"> suggest</w:t>
      </w:r>
      <w:r w:rsidR="008A6934" w:rsidRPr="00961BAC">
        <w:rPr>
          <w:sz w:val="24"/>
          <w:szCs w:val="24"/>
        </w:rPr>
        <w:t>ed</w:t>
      </w:r>
      <w:r w:rsidR="001A7831" w:rsidRPr="00961BAC">
        <w:rPr>
          <w:sz w:val="24"/>
          <w:szCs w:val="24"/>
        </w:rPr>
        <w:t xml:space="preserve"> that our sample includes a mix of employment types and hence</w:t>
      </w:r>
      <w:r w:rsidR="00686263" w:rsidRPr="00961BAC">
        <w:rPr>
          <w:sz w:val="24"/>
          <w:szCs w:val="24"/>
        </w:rPr>
        <w:t>, it is likely to be</w:t>
      </w:r>
      <w:r w:rsidR="001A7831" w:rsidRPr="00961BAC">
        <w:rPr>
          <w:sz w:val="24"/>
          <w:szCs w:val="24"/>
        </w:rPr>
        <w:t xml:space="preserve"> representative of the working-age population.</w:t>
      </w:r>
    </w:p>
    <w:p w14:paraId="6AA601FC" w14:textId="715DF461" w:rsidR="009C7D85" w:rsidRPr="00961BAC" w:rsidRDefault="001C08C3" w:rsidP="008472E9">
      <w:pPr>
        <w:jc w:val="both"/>
        <w:rPr>
          <w:sz w:val="24"/>
          <w:szCs w:val="24"/>
        </w:rPr>
      </w:pPr>
      <w:r w:rsidRPr="00961BAC">
        <w:rPr>
          <w:sz w:val="24"/>
          <w:szCs w:val="24"/>
        </w:rPr>
        <w:t>An Australian study suggested that, even for those who returned to work at 6 months, 34% of patients had new problems with mobility, 34% with pain and 43% with usual activities</w:t>
      </w:r>
      <w:r w:rsidRPr="00961BAC">
        <w:rPr>
          <w:sz w:val="24"/>
          <w:szCs w:val="24"/>
        </w:rPr>
        <w:fldChar w:fldCharType="begin"/>
      </w:r>
      <w:r w:rsidR="00FD4C2C" w:rsidRPr="00961BAC">
        <w:rPr>
          <w:sz w:val="24"/>
          <w:szCs w:val="24"/>
        </w:rPr>
        <w:instrText xml:space="preserve"> ADDIN EN.CITE &lt;EndNote&gt;&lt;Cite&gt;&lt;Author&gt;Hodgson&lt;/Author&gt;&lt;Year&gt;2021&lt;/Year&gt;&lt;RecNum&gt;29&lt;/RecNum&gt;&lt;DisplayText&gt;&lt;style face="superscript"&gt;31&lt;/style&gt;&lt;/DisplayText&gt;&lt;record&gt;&lt;rec-number&gt;29&lt;/rec-number&gt;&lt;foreign-keys&gt;&lt;key app="EN" db-id="zfz9pe2xqf0rxiee9sbptsdssxaev52swxxa" timestamp="1710693307"&gt;29&lt;/key&gt;&lt;/foreign-keys&gt;&lt;ref-type name="Journal Article"&gt;17&lt;/ref-type&gt;&lt;contributors&gt;&lt;authors&gt;&lt;author&gt;Hodgson, Carol L&lt;/author&gt;&lt;author&gt;Higgins, Alisa M&lt;/author&gt;&lt;author&gt;Bailey, Michael J&lt;/author&gt;&lt;author&gt;Mather, Anne M&lt;/author&gt;&lt;author&gt;Beach, Lisa&lt;/author&gt;&lt;author&gt;Bellomo, Rinaldo&lt;/author&gt;&lt;author&gt;Bissett, Bernie&lt;/author&gt;&lt;author&gt;Boden, Ianthe J&lt;/author&gt;&lt;author&gt;Bradley, Scott&lt;/author&gt;&lt;author&gt;Burrell, Aidan&lt;/author&gt;&lt;/authors&gt;&lt;/contributors&gt;&lt;titles&gt;&lt;title&gt;The impact of COVID-19 critical illness on new disability, functional outcomes and return to work at 6 months: a prospective cohort study&lt;/title&gt;&lt;secondary-title&gt;Critical Care&lt;/secondary-title&gt;&lt;/titles&gt;&lt;periodical&gt;&lt;full-title&gt;Critical Care&lt;/full-title&gt;&lt;/periodical&gt;&lt;pages&gt;1-12&lt;/pages&gt;&lt;volume&gt;25&lt;/volume&gt;&lt;dates&gt;&lt;year&gt;2021&lt;/year&gt;&lt;/dates&gt;&lt;urls&gt;&lt;/urls&gt;&lt;/record&gt;&lt;/Cite&gt;&lt;/EndNote&gt;</w:instrText>
      </w:r>
      <w:r w:rsidRPr="00961BAC">
        <w:rPr>
          <w:sz w:val="24"/>
          <w:szCs w:val="24"/>
        </w:rPr>
        <w:fldChar w:fldCharType="separate"/>
      </w:r>
      <w:r w:rsidR="00FD4C2C" w:rsidRPr="00961BAC">
        <w:rPr>
          <w:noProof/>
          <w:sz w:val="24"/>
          <w:szCs w:val="24"/>
          <w:vertAlign w:val="superscript"/>
        </w:rPr>
        <w:t>31</w:t>
      </w:r>
      <w:r w:rsidRPr="00961BAC">
        <w:rPr>
          <w:sz w:val="24"/>
          <w:szCs w:val="24"/>
        </w:rPr>
        <w:fldChar w:fldCharType="end"/>
      </w:r>
      <w:r w:rsidRPr="00961BAC">
        <w:rPr>
          <w:sz w:val="24"/>
          <w:szCs w:val="24"/>
        </w:rPr>
        <w:t xml:space="preserve">. </w:t>
      </w:r>
      <w:r w:rsidR="00636340" w:rsidRPr="00961BAC">
        <w:rPr>
          <w:sz w:val="24"/>
          <w:szCs w:val="24"/>
        </w:rPr>
        <w:t xml:space="preserve">This is in line with the </w:t>
      </w:r>
      <w:r w:rsidR="006E4408" w:rsidRPr="00961BAC">
        <w:rPr>
          <w:sz w:val="24"/>
          <w:szCs w:val="24"/>
        </w:rPr>
        <w:t>findings</w:t>
      </w:r>
      <w:r w:rsidR="00636340" w:rsidRPr="00961BAC">
        <w:rPr>
          <w:sz w:val="24"/>
          <w:szCs w:val="24"/>
        </w:rPr>
        <w:t xml:space="preserve"> of a</w:t>
      </w:r>
      <w:r w:rsidR="006E4408" w:rsidRPr="00961BAC">
        <w:rPr>
          <w:sz w:val="24"/>
          <w:szCs w:val="24"/>
        </w:rPr>
        <w:t xml:space="preserve"> </w:t>
      </w:r>
      <w:r w:rsidR="00636340" w:rsidRPr="00961BAC">
        <w:rPr>
          <w:sz w:val="24"/>
          <w:szCs w:val="24"/>
        </w:rPr>
        <w:t xml:space="preserve">survey conducted by Living With </w:t>
      </w:r>
      <w:r w:rsidR="00ED4BF1" w:rsidRPr="00961BAC">
        <w:rPr>
          <w:sz w:val="24"/>
          <w:szCs w:val="24"/>
        </w:rPr>
        <w:fldChar w:fldCharType="begin"/>
      </w:r>
      <w:r w:rsidR="00FD4C2C" w:rsidRPr="00961BAC">
        <w:rPr>
          <w:sz w:val="24"/>
          <w:szCs w:val="24"/>
        </w:rPr>
        <w:instrText xml:space="preserve"> ADDIN EN.CITE &lt;EndNote&gt;&lt;Cite&gt;&lt;Author&gt;Robson C.&lt;/Author&gt;&lt;Year&gt;2023&lt;/Year&gt;&lt;RecNum&gt;48&lt;/RecNum&gt;&lt;DisplayText&gt;&lt;style face="superscript"&gt;32&lt;/style&gt;&lt;/DisplayText&gt;&lt;record&gt;&lt;rec-number&gt;48&lt;/rec-number&gt;&lt;foreign-keys&gt;&lt;key app="EN" db-id="zfz9pe2xqf0rxiee9sbptsdssxaev52swxxa" timestamp="1714570778"&gt;48&lt;/key&gt;&lt;/foreign-keys&gt;&lt;ref-type name="Conference Paper"&gt;47&lt;/ref-type&gt;&lt;contributors&gt;&lt;authors&gt;&lt;author&gt;Robson C., Waywell J.&lt;/author&gt;&lt;/authors&gt;&lt;/contributors&gt;&lt;titles&gt;&lt;title&gt;Living With Covid Recovery Survey [Conference presentation]&lt;/title&gt;&lt;secondary-title&gt;NHS England Long COVID Meeting&lt;/secondary-title&gt;&lt;/titles&gt;&lt;dates&gt;&lt;year&gt;2023&lt;/year&gt;&lt;/dates&gt;&lt;pub-location&gt;London, UK&lt;/pub-location&gt;&lt;urls&gt;&lt;/urls&gt;&lt;/record&gt;&lt;/Cite&gt;&lt;/EndNote&gt;</w:instrText>
      </w:r>
      <w:r w:rsidR="00ED4BF1" w:rsidRPr="00961BAC">
        <w:rPr>
          <w:sz w:val="24"/>
          <w:szCs w:val="24"/>
        </w:rPr>
        <w:fldChar w:fldCharType="separate"/>
      </w:r>
      <w:r w:rsidR="00FD4C2C" w:rsidRPr="00961BAC">
        <w:rPr>
          <w:noProof/>
          <w:sz w:val="24"/>
          <w:szCs w:val="24"/>
          <w:vertAlign w:val="superscript"/>
        </w:rPr>
        <w:t>32</w:t>
      </w:r>
      <w:r w:rsidR="00ED4BF1" w:rsidRPr="00961BAC">
        <w:rPr>
          <w:sz w:val="24"/>
          <w:szCs w:val="24"/>
        </w:rPr>
        <w:fldChar w:fldCharType="end"/>
      </w:r>
      <w:r w:rsidR="0045614C" w:rsidRPr="00961BAC">
        <w:rPr>
          <w:sz w:val="24"/>
          <w:szCs w:val="24"/>
        </w:rPr>
        <w:t xml:space="preserve">, </w:t>
      </w:r>
      <w:r w:rsidR="009B61BF" w:rsidRPr="00961BAC">
        <w:rPr>
          <w:sz w:val="24"/>
          <w:szCs w:val="24"/>
        </w:rPr>
        <w:t>which collected feedback from 1</w:t>
      </w:r>
      <w:r w:rsidR="0040337B" w:rsidRPr="00961BAC">
        <w:rPr>
          <w:sz w:val="24"/>
          <w:szCs w:val="24"/>
        </w:rPr>
        <w:t>,</w:t>
      </w:r>
      <w:r w:rsidR="009B61BF" w:rsidRPr="00961BAC">
        <w:rPr>
          <w:sz w:val="24"/>
          <w:szCs w:val="24"/>
        </w:rPr>
        <w:t xml:space="preserve">874 LWCR participants </w:t>
      </w:r>
      <w:r w:rsidR="00555563" w:rsidRPr="00961BAC">
        <w:rPr>
          <w:sz w:val="24"/>
          <w:szCs w:val="24"/>
        </w:rPr>
        <w:t>between</w:t>
      </w:r>
      <w:r w:rsidR="009B61BF" w:rsidRPr="00961BAC">
        <w:rPr>
          <w:sz w:val="24"/>
          <w:szCs w:val="24"/>
        </w:rPr>
        <w:t xml:space="preserve"> </w:t>
      </w:r>
      <w:r w:rsidR="0062163B" w:rsidRPr="00961BAC">
        <w:rPr>
          <w:sz w:val="24"/>
          <w:szCs w:val="24"/>
        </w:rPr>
        <w:t xml:space="preserve">March </w:t>
      </w:r>
      <w:r w:rsidR="009B61BF" w:rsidRPr="00961BAC">
        <w:rPr>
          <w:sz w:val="24"/>
          <w:szCs w:val="24"/>
        </w:rPr>
        <w:t xml:space="preserve">2023 and </w:t>
      </w:r>
      <w:r w:rsidR="00DC3A8B" w:rsidRPr="00961BAC">
        <w:rPr>
          <w:sz w:val="24"/>
          <w:szCs w:val="24"/>
        </w:rPr>
        <w:t xml:space="preserve">March </w:t>
      </w:r>
      <w:r w:rsidR="009B61BF" w:rsidRPr="00961BAC">
        <w:rPr>
          <w:sz w:val="24"/>
          <w:szCs w:val="24"/>
        </w:rPr>
        <w:t>2024</w:t>
      </w:r>
      <w:r w:rsidR="002716D4" w:rsidRPr="00961BAC">
        <w:rPr>
          <w:sz w:val="24"/>
          <w:szCs w:val="24"/>
        </w:rPr>
        <w:t>.</w:t>
      </w:r>
      <w:r w:rsidR="00282775" w:rsidRPr="00961BAC">
        <w:rPr>
          <w:sz w:val="24"/>
          <w:szCs w:val="24"/>
        </w:rPr>
        <w:t xml:space="preserve"> </w:t>
      </w:r>
      <w:r w:rsidR="00555563" w:rsidRPr="00961BAC">
        <w:rPr>
          <w:sz w:val="24"/>
          <w:szCs w:val="24"/>
        </w:rPr>
        <w:t>This survey</w:t>
      </w:r>
      <w:r w:rsidR="00636340" w:rsidRPr="00961BAC">
        <w:rPr>
          <w:sz w:val="24"/>
          <w:szCs w:val="24"/>
        </w:rPr>
        <w:t xml:space="preserve"> found that </w:t>
      </w:r>
      <w:r w:rsidR="00CC2685" w:rsidRPr="00961BAC">
        <w:rPr>
          <w:sz w:val="24"/>
          <w:szCs w:val="24"/>
        </w:rPr>
        <w:t>over</w:t>
      </w:r>
      <w:r w:rsidR="00636340" w:rsidRPr="00961BAC">
        <w:rPr>
          <w:sz w:val="24"/>
          <w:szCs w:val="24"/>
        </w:rPr>
        <w:t xml:space="preserve"> half </w:t>
      </w:r>
      <w:r w:rsidR="00BE071C" w:rsidRPr="00961BAC">
        <w:rPr>
          <w:sz w:val="24"/>
          <w:szCs w:val="24"/>
        </w:rPr>
        <w:t xml:space="preserve">(1100 </w:t>
      </w:r>
      <w:r w:rsidR="00BF6D6E" w:rsidRPr="00961BAC">
        <w:rPr>
          <w:sz w:val="24"/>
          <w:szCs w:val="24"/>
        </w:rPr>
        <w:t xml:space="preserve">out of 1874) </w:t>
      </w:r>
      <w:r w:rsidR="00636340" w:rsidRPr="00961BAC">
        <w:rPr>
          <w:sz w:val="24"/>
          <w:szCs w:val="24"/>
        </w:rPr>
        <w:t>of th</w:t>
      </w:r>
      <w:r w:rsidR="00282775" w:rsidRPr="00961BAC">
        <w:rPr>
          <w:sz w:val="24"/>
          <w:szCs w:val="24"/>
        </w:rPr>
        <w:t>e</w:t>
      </w:r>
      <w:r w:rsidR="00636340" w:rsidRPr="00961BAC">
        <w:rPr>
          <w:sz w:val="24"/>
          <w:szCs w:val="24"/>
        </w:rPr>
        <w:t xml:space="preserve"> individuals who returned to work have struggled at the workplace</w:t>
      </w:r>
      <w:r w:rsidR="004111AE" w:rsidRPr="00961BAC">
        <w:rPr>
          <w:sz w:val="24"/>
          <w:szCs w:val="24"/>
        </w:rPr>
        <w:t>, and over a third (650 out of 1874)</w:t>
      </w:r>
      <w:r w:rsidR="007F4E52" w:rsidRPr="00961BAC">
        <w:rPr>
          <w:sz w:val="24"/>
          <w:szCs w:val="24"/>
        </w:rPr>
        <w:t xml:space="preserve"> required adjustment at work.</w:t>
      </w:r>
      <w:r w:rsidR="007D6931" w:rsidRPr="00961BAC">
        <w:rPr>
          <w:sz w:val="24"/>
          <w:szCs w:val="24"/>
        </w:rPr>
        <w:t xml:space="preserve"> </w:t>
      </w:r>
      <w:r w:rsidRPr="00961BAC">
        <w:rPr>
          <w:sz w:val="24"/>
          <w:szCs w:val="24"/>
        </w:rPr>
        <w:t xml:space="preserve">This highlights the prolonged impact of long COVID on </w:t>
      </w:r>
      <w:r w:rsidR="009C31FA" w:rsidRPr="00961BAC">
        <w:rPr>
          <w:sz w:val="24"/>
          <w:szCs w:val="24"/>
        </w:rPr>
        <w:t xml:space="preserve">the individual’s </w:t>
      </w:r>
      <w:r w:rsidRPr="00961BAC">
        <w:rPr>
          <w:sz w:val="24"/>
          <w:szCs w:val="24"/>
        </w:rPr>
        <w:t xml:space="preserve">working ability </w:t>
      </w:r>
      <w:r w:rsidRPr="00961BAC">
        <w:rPr>
          <w:sz w:val="24"/>
          <w:szCs w:val="24"/>
        </w:rPr>
        <w:fldChar w:fldCharType="begin"/>
      </w:r>
      <w:r w:rsidR="00FD4C2C" w:rsidRPr="00961BAC">
        <w:rPr>
          <w:sz w:val="24"/>
          <w:szCs w:val="24"/>
        </w:rPr>
        <w:instrText xml:space="preserve"> ADDIN EN.CITE &lt;EndNote&gt;&lt;Cite&gt;&lt;Author&gt;Kerksieck&lt;/Author&gt;&lt;Year&gt;2023&lt;/Year&gt;&lt;RecNum&gt;24&lt;/RecNum&gt;&lt;DisplayText&gt;&lt;style face="superscript"&gt;28&lt;/style&gt;&lt;/DisplayText&gt;&lt;record&gt;&lt;rec-number&gt;24&lt;/rec-number&gt;&lt;foreign-keys&gt;&lt;key app="EN" db-id="zfz9pe2xqf0rxiee9sbptsdssxaev52swxxa" timestamp="1710439733"&gt;24&lt;/key&gt;&lt;/foreign-keys&gt;&lt;ref-type name="Journal Article"&gt;17&lt;/ref-type&gt;&lt;contributors&gt;&lt;authors&gt;&lt;author&gt;Kerksieck, Philipp&lt;/author&gt;&lt;author&gt;Ballouz, Tala&lt;/author&gt;&lt;author&gt;Haile, Sarah R&lt;/author&gt;&lt;author&gt;Schumacher, Celine&lt;/author&gt;&lt;author&gt;Lacy, Joanne&lt;/author&gt;&lt;author&gt;Domenghino, Anja&lt;/author&gt;&lt;author&gt;Fehr, Jan S&lt;/author&gt;&lt;author&gt;Bauer, Georg F&lt;/author&gt;&lt;author&gt;Dressel, Holger&lt;/author&gt;&lt;author&gt;Puhan, Milo A&lt;/author&gt;&lt;/authors&gt;&lt;/contributors&gt;&lt;titles&gt;&lt;title&gt;Post COVID-19 condition, work ability and occupational changes in a population-based cohort&lt;/title&gt;&lt;secondary-title&gt;The Lancet Regional Health–Europe&lt;/secondary-title&gt;&lt;/titles&gt;&lt;periodical&gt;&lt;full-title&gt;The Lancet Regional Health–Europe&lt;/full-title&gt;&lt;/periodical&gt;&lt;volume&gt;31&lt;/volume&gt;&lt;dates&gt;&lt;year&gt;2023&lt;/year&gt;&lt;/dates&gt;&lt;isbn&gt;2666-7762&lt;/isbn&gt;&lt;urls&gt;&lt;/urls&gt;&lt;/record&gt;&lt;/Cite&gt;&lt;/EndNote&gt;</w:instrText>
      </w:r>
      <w:r w:rsidRPr="00961BAC">
        <w:rPr>
          <w:sz w:val="24"/>
          <w:szCs w:val="24"/>
        </w:rPr>
        <w:fldChar w:fldCharType="separate"/>
      </w:r>
      <w:r w:rsidR="00FD4C2C" w:rsidRPr="00961BAC">
        <w:rPr>
          <w:noProof/>
          <w:sz w:val="24"/>
          <w:szCs w:val="24"/>
          <w:vertAlign w:val="superscript"/>
        </w:rPr>
        <w:t>28</w:t>
      </w:r>
      <w:r w:rsidRPr="00961BAC">
        <w:rPr>
          <w:sz w:val="24"/>
          <w:szCs w:val="24"/>
        </w:rPr>
        <w:fldChar w:fldCharType="end"/>
      </w:r>
      <w:r w:rsidRPr="00961BAC">
        <w:rPr>
          <w:sz w:val="24"/>
          <w:szCs w:val="24"/>
        </w:rPr>
        <w:t xml:space="preserve">, suggesting challenges in job performance even for those returning to work. </w:t>
      </w:r>
      <w:r w:rsidR="00613308" w:rsidRPr="00961BAC">
        <w:rPr>
          <w:sz w:val="24"/>
          <w:szCs w:val="24"/>
        </w:rPr>
        <w:t xml:space="preserve">As </w:t>
      </w:r>
      <w:r w:rsidR="00D93F6D" w:rsidRPr="00961BAC">
        <w:rPr>
          <w:sz w:val="24"/>
          <w:szCs w:val="24"/>
        </w:rPr>
        <w:t>a result, o</w:t>
      </w:r>
      <w:r w:rsidR="00D84F97" w:rsidRPr="00961BAC">
        <w:rPr>
          <w:sz w:val="24"/>
          <w:szCs w:val="24"/>
        </w:rPr>
        <w:t xml:space="preserve">ur </w:t>
      </w:r>
      <w:r w:rsidR="00D93F6D" w:rsidRPr="00961BAC">
        <w:rPr>
          <w:sz w:val="24"/>
          <w:szCs w:val="24"/>
        </w:rPr>
        <w:t>estimated</w:t>
      </w:r>
      <w:r w:rsidR="00C5081B" w:rsidRPr="00961BAC">
        <w:rPr>
          <w:sz w:val="24"/>
          <w:szCs w:val="24"/>
        </w:rPr>
        <w:t xml:space="preserve"> </w:t>
      </w:r>
      <w:r w:rsidR="00BB51FF" w:rsidRPr="00961BAC">
        <w:rPr>
          <w:sz w:val="24"/>
          <w:szCs w:val="24"/>
        </w:rPr>
        <w:t>cost associated with working days lost</w:t>
      </w:r>
      <w:r w:rsidR="00D84F97" w:rsidRPr="00961BAC">
        <w:rPr>
          <w:sz w:val="24"/>
          <w:szCs w:val="24"/>
        </w:rPr>
        <w:t xml:space="preserve"> might be an underestimate of the </w:t>
      </w:r>
      <w:r w:rsidR="00B55E22" w:rsidRPr="00961BAC">
        <w:rPr>
          <w:sz w:val="24"/>
          <w:szCs w:val="24"/>
        </w:rPr>
        <w:t>productivity losses due to</w:t>
      </w:r>
      <w:r w:rsidR="007F457B" w:rsidRPr="00961BAC">
        <w:rPr>
          <w:sz w:val="24"/>
          <w:szCs w:val="24"/>
        </w:rPr>
        <w:t xml:space="preserve"> long COVID</w:t>
      </w:r>
      <w:r w:rsidR="00BB51FF" w:rsidRPr="00961BAC">
        <w:rPr>
          <w:sz w:val="24"/>
          <w:szCs w:val="24"/>
        </w:rPr>
        <w:t xml:space="preserve"> as it excludes costs associated with </w:t>
      </w:r>
      <w:r w:rsidR="0064069C" w:rsidRPr="00961BAC">
        <w:rPr>
          <w:sz w:val="24"/>
          <w:szCs w:val="24"/>
        </w:rPr>
        <w:t>reduced</w:t>
      </w:r>
      <w:r w:rsidR="00041D44" w:rsidRPr="00961BAC">
        <w:rPr>
          <w:sz w:val="24"/>
          <w:szCs w:val="24"/>
        </w:rPr>
        <w:t xml:space="preserve"> productivity at work</w:t>
      </w:r>
      <w:r w:rsidR="00B55E22" w:rsidRPr="00961BAC">
        <w:rPr>
          <w:sz w:val="24"/>
          <w:szCs w:val="24"/>
        </w:rPr>
        <w:t xml:space="preserve"> (presenteeism)</w:t>
      </w:r>
      <w:r w:rsidR="00BB51FF" w:rsidRPr="00961BAC">
        <w:rPr>
          <w:sz w:val="24"/>
          <w:szCs w:val="24"/>
        </w:rPr>
        <w:t>.</w:t>
      </w:r>
      <w:r w:rsidR="00D84F97" w:rsidRPr="00961BAC">
        <w:rPr>
          <w:sz w:val="24"/>
          <w:szCs w:val="24"/>
        </w:rPr>
        <w:t xml:space="preserve"> </w:t>
      </w:r>
    </w:p>
    <w:p w14:paraId="11E8CEC6" w14:textId="79D651E3" w:rsidR="003239C4" w:rsidRPr="00961BAC" w:rsidRDefault="00BC2D0B" w:rsidP="008472E9">
      <w:pPr>
        <w:jc w:val="both"/>
        <w:rPr>
          <w:b/>
          <w:bCs/>
          <w:sz w:val="24"/>
          <w:szCs w:val="24"/>
        </w:rPr>
      </w:pPr>
      <w:r w:rsidRPr="00961BAC">
        <w:rPr>
          <w:b/>
          <w:bCs/>
          <w:sz w:val="24"/>
          <w:szCs w:val="24"/>
        </w:rPr>
        <w:t>Strengths and l</w:t>
      </w:r>
      <w:r w:rsidR="003239C4" w:rsidRPr="00961BAC">
        <w:rPr>
          <w:b/>
          <w:bCs/>
          <w:sz w:val="24"/>
          <w:szCs w:val="24"/>
        </w:rPr>
        <w:t>imitations</w:t>
      </w:r>
    </w:p>
    <w:p w14:paraId="78ECCC25" w14:textId="5C2A2E45" w:rsidR="00210B9E" w:rsidRPr="00961BAC" w:rsidRDefault="00210B9E" w:rsidP="00BD0296">
      <w:pPr>
        <w:jc w:val="both"/>
        <w:rPr>
          <w:sz w:val="24"/>
          <w:szCs w:val="24"/>
        </w:rPr>
      </w:pPr>
      <w:r w:rsidRPr="00961BAC">
        <w:rPr>
          <w:sz w:val="24"/>
          <w:szCs w:val="24"/>
        </w:rPr>
        <w:t>One s</w:t>
      </w:r>
      <w:r w:rsidR="00BC2D0B" w:rsidRPr="00961BAC">
        <w:rPr>
          <w:sz w:val="24"/>
          <w:szCs w:val="24"/>
        </w:rPr>
        <w:t>trength of this study lie</w:t>
      </w:r>
      <w:r w:rsidRPr="00961BAC">
        <w:rPr>
          <w:sz w:val="24"/>
          <w:szCs w:val="24"/>
        </w:rPr>
        <w:t>s</w:t>
      </w:r>
      <w:r w:rsidR="00BC2D0B" w:rsidRPr="00961BAC">
        <w:rPr>
          <w:sz w:val="24"/>
          <w:szCs w:val="24"/>
        </w:rPr>
        <w:t xml:space="preserve"> in </w:t>
      </w:r>
      <w:r w:rsidR="004C1BBA" w:rsidRPr="00961BAC">
        <w:rPr>
          <w:sz w:val="24"/>
          <w:szCs w:val="24"/>
        </w:rPr>
        <w:t>the prospective, longitudinal</w:t>
      </w:r>
      <w:r w:rsidR="00BC2D0B" w:rsidRPr="00961BAC">
        <w:rPr>
          <w:sz w:val="24"/>
          <w:szCs w:val="24"/>
        </w:rPr>
        <w:t xml:space="preserve"> follow-up of a large population of </w:t>
      </w:r>
      <w:r w:rsidRPr="00961BAC">
        <w:rPr>
          <w:sz w:val="24"/>
          <w:szCs w:val="24"/>
        </w:rPr>
        <w:t>in</w:t>
      </w:r>
      <w:r w:rsidR="004C1BBA" w:rsidRPr="00961BAC">
        <w:rPr>
          <w:sz w:val="24"/>
          <w:szCs w:val="24"/>
        </w:rPr>
        <w:t>dividuals</w:t>
      </w:r>
      <w:r w:rsidR="00BC2D0B" w:rsidRPr="00961BAC">
        <w:rPr>
          <w:sz w:val="24"/>
          <w:szCs w:val="24"/>
        </w:rPr>
        <w:t xml:space="preserve"> with a confirmed </w:t>
      </w:r>
      <w:r w:rsidR="004C1BBA" w:rsidRPr="00961BAC">
        <w:rPr>
          <w:sz w:val="24"/>
          <w:szCs w:val="24"/>
        </w:rPr>
        <w:t xml:space="preserve">long </w:t>
      </w:r>
      <w:r w:rsidR="00BC2D0B" w:rsidRPr="00961BAC">
        <w:rPr>
          <w:sz w:val="24"/>
          <w:szCs w:val="24"/>
        </w:rPr>
        <w:t>COVID</w:t>
      </w:r>
      <w:r w:rsidR="004C1BBA" w:rsidRPr="00961BAC">
        <w:rPr>
          <w:sz w:val="24"/>
          <w:szCs w:val="24"/>
        </w:rPr>
        <w:t xml:space="preserve"> diagnosis</w:t>
      </w:r>
      <w:r w:rsidR="00BC2D0B" w:rsidRPr="00961BAC">
        <w:rPr>
          <w:sz w:val="24"/>
          <w:szCs w:val="24"/>
        </w:rPr>
        <w:t xml:space="preserve"> and the</w:t>
      </w:r>
      <w:r w:rsidR="00AE3FDA" w:rsidRPr="00961BAC">
        <w:rPr>
          <w:sz w:val="24"/>
          <w:szCs w:val="24"/>
        </w:rPr>
        <w:t xml:space="preserve"> real-time </w:t>
      </w:r>
      <w:r w:rsidR="001526E1" w:rsidRPr="00961BAC">
        <w:rPr>
          <w:sz w:val="24"/>
          <w:szCs w:val="24"/>
        </w:rPr>
        <w:t xml:space="preserve">data </w:t>
      </w:r>
      <w:r w:rsidR="00AE3FDA" w:rsidRPr="00961BAC">
        <w:rPr>
          <w:sz w:val="24"/>
          <w:szCs w:val="24"/>
        </w:rPr>
        <w:t xml:space="preserve">collection </w:t>
      </w:r>
      <w:r w:rsidR="001526E1" w:rsidRPr="00961BAC">
        <w:rPr>
          <w:sz w:val="24"/>
          <w:szCs w:val="24"/>
        </w:rPr>
        <w:t>on</w:t>
      </w:r>
      <w:r w:rsidR="00BC2D0B" w:rsidRPr="00961BAC">
        <w:rPr>
          <w:sz w:val="24"/>
          <w:szCs w:val="24"/>
        </w:rPr>
        <w:t xml:space="preserve"> </w:t>
      </w:r>
      <w:r w:rsidR="001526E1" w:rsidRPr="00961BAC">
        <w:rPr>
          <w:sz w:val="24"/>
          <w:szCs w:val="24"/>
        </w:rPr>
        <w:t xml:space="preserve">functional impairment, symptoms, HRQL and </w:t>
      </w:r>
      <w:r w:rsidR="00E94703" w:rsidRPr="00961BAC">
        <w:rPr>
          <w:sz w:val="24"/>
          <w:szCs w:val="24"/>
        </w:rPr>
        <w:t>resource use.</w:t>
      </w:r>
      <w:r w:rsidR="00954406" w:rsidRPr="00961BAC">
        <w:rPr>
          <w:sz w:val="24"/>
          <w:szCs w:val="24"/>
        </w:rPr>
        <w:t xml:space="preserve"> The </w:t>
      </w:r>
      <w:r w:rsidR="005C27BE" w:rsidRPr="00961BAC">
        <w:rPr>
          <w:sz w:val="24"/>
          <w:szCs w:val="24"/>
        </w:rPr>
        <w:t>sample includes</w:t>
      </w:r>
      <w:r w:rsidR="004E7D7F" w:rsidRPr="00961BAC">
        <w:rPr>
          <w:sz w:val="24"/>
          <w:szCs w:val="24"/>
        </w:rPr>
        <w:t xml:space="preserve"> individuals</w:t>
      </w:r>
      <w:r w:rsidR="00D031EF" w:rsidRPr="00961BAC">
        <w:rPr>
          <w:sz w:val="24"/>
          <w:szCs w:val="24"/>
        </w:rPr>
        <w:t xml:space="preserve"> referred </w:t>
      </w:r>
      <w:r w:rsidR="004E7D7F" w:rsidRPr="00961BAC">
        <w:rPr>
          <w:sz w:val="24"/>
          <w:szCs w:val="24"/>
        </w:rPr>
        <w:t>to</w:t>
      </w:r>
      <w:r w:rsidR="00D031EF" w:rsidRPr="00961BAC">
        <w:rPr>
          <w:sz w:val="24"/>
          <w:szCs w:val="24"/>
        </w:rPr>
        <w:t xml:space="preserve"> 35 long COVID clinics</w:t>
      </w:r>
      <w:r w:rsidR="004E7D7F" w:rsidRPr="00961BAC">
        <w:rPr>
          <w:sz w:val="24"/>
          <w:szCs w:val="24"/>
        </w:rPr>
        <w:t xml:space="preserve"> in the UK</w:t>
      </w:r>
      <w:r w:rsidR="00D031EF" w:rsidRPr="00961BAC">
        <w:rPr>
          <w:sz w:val="24"/>
          <w:szCs w:val="24"/>
        </w:rPr>
        <w:t xml:space="preserve">, which have a good geographical </w:t>
      </w:r>
      <w:r w:rsidR="00084CE2" w:rsidRPr="00961BAC">
        <w:rPr>
          <w:sz w:val="24"/>
          <w:szCs w:val="24"/>
        </w:rPr>
        <w:t>representation</w:t>
      </w:r>
      <w:r w:rsidR="005C27BE" w:rsidRPr="00961BAC">
        <w:rPr>
          <w:sz w:val="24"/>
          <w:szCs w:val="24"/>
        </w:rPr>
        <w:t xml:space="preserve"> across </w:t>
      </w:r>
      <w:r w:rsidR="004E7D7F" w:rsidRPr="00961BAC">
        <w:rPr>
          <w:sz w:val="24"/>
          <w:szCs w:val="24"/>
        </w:rPr>
        <w:t>the country</w:t>
      </w:r>
      <w:r w:rsidR="005C27BE" w:rsidRPr="00961BAC">
        <w:rPr>
          <w:sz w:val="24"/>
          <w:szCs w:val="24"/>
        </w:rPr>
        <w:t xml:space="preserve">. </w:t>
      </w:r>
      <w:r w:rsidRPr="00961BAC">
        <w:rPr>
          <w:sz w:val="24"/>
          <w:szCs w:val="24"/>
        </w:rPr>
        <w:t xml:space="preserve">In addition, the </w:t>
      </w:r>
      <w:r w:rsidR="0091159E" w:rsidRPr="00961BAC">
        <w:rPr>
          <w:sz w:val="24"/>
          <w:szCs w:val="24"/>
        </w:rPr>
        <w:t>use of</w:t>
      </w:r>
      <w:r w:rsidR="00BF57E2" w:rsidRPr="00961BAC">
        <w:rPr>
          <w:sz w:val="24"/>
          <w:szCs w:val="24"/>
        </w:rPr>
        <w:t xml:space="preserve"> generic, validated measures</w:t>
      </w:r>
      <w:r w:rsidRPr="00961BAC">
        <w:rPr>
          <w:sz w:val="24"/>
          <w:szCs w:val="24"/>
        </w:rPr>
        <w:t xml:space="preserve">, </w:t>
      </w:r>
      <w:r w:rsidR="00BF57E2" w:rsidRPr="00961BAC">
        <w:rPr>
          <w:sz w:val="24"/>
          <w:szCs w:val="24"/>
        </w:rPr>
        <w:t xml:space="preserve">such as </w:t>
      </w:r>
      <w:r w:rsidRPr="00961BAC">
        <w:rPr>
          <w:sz w:val="24"/>
          <w:szCs w:val="24"/>
        </w:rPr>
        <w:t xml:space="preserve">WSAS and EQ-5D-5L, facilitates </w:t>
      </w:r>
      <w:r w:rsidR="00D47C19" w:rsidRPr="00961BAC">
        <w:rPr>
          <w:sz w:val="24"/>
          <w:szCs w:val="24"/>
        </w:rPr>
        <w:t xml:space="preserve">the interpretation of </w:t>
      </w:r>
      <w:r w:rsidR="00365D51" w:rsidRPr="00961BAC">
        <w:rPr>
          <w:sz w:val="24"/>
          <w:szCs w:val="24"/>
        </w:rPr>
        <w:t xml:space="preserve">the </w:t>
      </w:r>
      <w:r w:rsidRPr="00961BAC">
        <w:rPr>
          <w:sz w:val="24"/>
          <w:szCs w:val="24"/>
        </w:rPr>
        <w:t xml:space="preserve">long COVID </w:t>
      </w:r>
      <w:r w:rsidR="00F41F04" w:rsidRPr="00961BAC">
        <w:rPr>
          <w:sz w:val="24"/>
          <w:szCs w:val="24"/>
        </w:rPr>
        <w:t xml:space="preserve">burden </w:t>
      </w:r>
      <w:r w:rsidRPr="00961BAC">
        <w:rPr>
          <w:sz w:val="24"/>
          <w:szCs w:val="24"/>
        </w:rPr>
        <w:t>compar</w:t>
      </w:r>
      <w:r w:rsidR="00D47C19" w:rsidRPr="00961BAC">
        <w:rPr>
          <w:sz w:val="24"/>
          <w:szCs w:val="24"/>
        </w:rPr>
        <w:t>ed</w:t>
      </w:r>
      <w:r w:rsidRPr="00961BAC">
        <w:rPr>
          <w:sz w:val="24"/>
          <w:szCs w:val="24"/>
        </w:rPr>
        <w:t xml:space="preserve"> with </w:t>
      </w:r>
      <w:r w:rsidR="00D47C19" w:rsidRPr="00961BAC">
        <w:rPr>
          <w:sz w:val="24"/>
          <w:szCs w:val="24"/>
        </w:rPr>
        <w:t>other</w:t>
      </w:r>
      <w:r w:rsidRPr="00961BAC">
        <w:rPr>
          <w:sz w:val="24"/>
          <w:szCs w:val="24"/>
        </w:rPr>
        <w:t xml:space="preserve"> diseases. </w:t>
      </w:r>
    </w:p>
    <w:p w14:paraId="0303992A" w14:textId="5D8278D8" w:rsidR="00B76272" w:rsidRPr="00961BAC" w:rsidRDefault="00F56B66" w:rsidP="009A33C7">
      <w:pPr>
        <w:spacing w:line="276" w:lineRule="auto"/>
        <w:jc w:val="both"/>
        <w:rPr>
          <w:sz w:val="24"/>
          <w:szCs w:val="24"/>
        </w:rPr>
      </w:pPr>
      <w:r w:rsidRPr="00961BAC">
        <w:rPr>
          <w:sz w:val="24"/>
          <w:szCs w:val="24"/>
        </w:rPr>
        <w:t>A</w:t>
      </w:r>
      <w:r w:rsidR="00EA2B71" w:rsidRPr="00961BAC">
        <w:rPr>
          <w:sz w:val="24"/>
          <w:szCs w:val="24"/>
        </w:rPr>
        <w:t xml:space="preserve"> </w:t>
      </w:r>
      <w:r w:rsidRPr="00961BAC">
        <w:rPr>
          <w:sz w:val="24"/>
          <w:szCs w:val="24"/>
        </w:rPr>
        <w:t xml:space="preserve">limitation </w:t>
      </w:r>
      <w:r w:rsidR="00EA2B71" w:rsidRPr="00961BAC">
        <w:rPr>
          <w:sz w:val="24"/>
          <w:szCs w:val="24"/>
        </w:rPr>
        <w:t xml:space="preserve">of our study </w:t>
      </w:r>
      <w:r w:rsidRPr="00961BAC">
        <w:rPr>
          <w:sz w:val="24"/>
          <w:szCs w:val="24"/>
        </w:rPr>
        <w:t xml:space="preserve">was the loss </w:t>
      </w:r>
      <w:r w:rsidR="00F674B0" w:rsidRPr="00961BAC">
        <w:rPr>
          <w:sz w:val="24"/>
          <w:szCs w:val="24"/>
        </w:rPr>
        <w:t>to</w:t>
      </w:r>
      <w:r w:rsidR="00DC2D88" w:rsidRPr="00961BAC">
        <w:rPr>
          <w:sz w:val="24"/>
          <w:szCs w:val="24"/>
        </w:rPr>
        <w:t xml:space="preserve"> </w:t>
      </w:r>
      <w:r w:rsidRPr="00961BAC">
        <w:rPr>
          <w:sz w:val="24"/>
          <w:szCs w:val="24"/>
        </w:rPr>
        <w:t xml:space="preserve">follow-up. </w:t>
      </w:r>
      <w:r w:rsidR="0063105F" w:rsidRPr="00961BAC">
        <w:rPr>
          <w:sz w:val="24"/>
          <w:szCs w:val="24"/>
        </w:rPr>
        <w:t xml:space="preserve">We </w:t>
      </w:r>
      <w:r w:rsidR="00DC2D88" w:rsidRPr="00961BAC">
        <w:rPr>
          <w:sz w:val="24"/>
          <w:szCs w:val="24"/>
        </w:rPr>
        <w:t>observed</w:t>
      </w:r>
      <w:r w:rsidR="0063105F" w:rsidRPr="00961BAC">
        <w:rPr>
          <w:sz w:val="24"/>
          <w:szCs w:val="24"/>
        </w:rPr>
        <w:t xml:space="preserve"> </w:t>
      </w:r>
      <w:r w:rsidR="00365D51" w:rsidRPr="00961BAC">
        <w:rPr>
          <w:sz w:val="24"/>
          <w:szCs w:val="24"/>
        </w:rPr>
        <w:t xml:space="preserve">that </w:t>
      </w:r>
      <w:r w:rsidR="0063105F" w:rsidRPr="00961BAC">
        <w:rPr>
          <w:sz w:val="24"/>
          <w:szCs w:val="24"/>
        </w:rPr>
        <w:t xml:space="preserve">a high proportion of patients </w:t>
      </w:r>
      <w:r w:rsidR="009040D9" w:rsidRPr="00961BAC">
        <w:rPr>
          <w:sz w:val="24"/>
          <w:szCs w:val="24"/>
        </w:rPr>
        <w:t>disengaged with</w:t>
      </w:r>
      <w:r w:rsidR="0063105F" w:rsidRPr="00961BAC">
        <w:rPr>
          <w:sz w:val="24"/>
          <w:szCs w:val="24"/>
        </w:rPr>
        <w:t xml:space="preserve"> </w:t>
      </w:r>
      <w:r w:rsidR="009040D9" w:rsidRPr="00961BAC">
        <w:rPr>
          <w:sz w:val="24"/>
          <w:szCs w:val="24"/>
        </w:rPr>
        <w:t xml:space="preserve">the </w:t>
      </w:r>
      <w:r w:rsidR="00365D51" w:rsidRPr="00961BAC">
        <w:rPr>
          <w:sz w:val="24"/>
          <w:szCs w:val="24"/>
        </w:rPr>
        <w:t>LWCR</w:t>
      </w:r>
      <w:r w:rsidR="0063105F" w:rsidRPr="00961BAC">
        <w:rPr>
          <w:sz w:val="24"/>
          <w:szCs w:val="24"/>
        </w:rPr>
        <w:t xml:space="preserve"> </w:t>
      </w:r>
      <w:r w:rsidR="009040D9" w:rsidRPr="00961BAC">
        <w:rPr>
          <w:sz w:val="24"/>
          <w:szCs w:val="24"/>
        </w:rPr>
        <w:t>app</w:t>
      </w:r>
      <w:r w:rsidR="0063105F" w:rsidRPr="00961BAC">
        <w:rPr>
          <w:sz w:val="24"/>
          <w:szCs w:val="24"/>
        </w:rPr>
        <w:t xml:space="preserve">. As patients had full control </w:t>
      </w:r>
      <w:r w:rsidR="00DC2D88" w:rsidRPr="00961BAC">
        <w:rPr>
          <w:sz w:val="24"/>
          <w:szCs w:val="24"/>
        </w:rPr>
        <w:t>over</w:t>
      </w:r>
      <w:r w:rsidR="0063105F" w:rsidRPr="00961BAC">
        <w:rPr>
          <w:sz w:val="24"/>
          <w:szCs w:val="24"/>
        </w:rPr>
        <w:t xml:space="preserve"> the </w:t>
      </w:r>
      <w:r w:rsidR="00DC2D88" w:rsidRPr="00961BAC">
        <w:rPr>
          <w:sz w:val="24"/>
          <w:szCs w:val="24"/>
        </w:rPr>
        <w:t xml:space="preserve">utilisation </w:t>
      </w:r>
      <w:r w:rsidR="0063105F" w:rsidRPr="00961BAC">
        <w:rPr>
          <w:sz w:val="24"/>
          <w:szCs w:val="24"/>
        </w:rPr>
        <w:t>of the</w:t>
      </w:r>
      <w:r w:rsidR="00365D51" w:rsidRPr="00961BAC">
        <w:rPr>
          <w:sz w:val="24"/>
          <w:szCs w:val="24"/>
        </w:rPr>
        <w:t xml:space="preserve"> </w:t>
      </w:r>
      <w:r w:rsidR="00F674B0" w:rsidRPr="00961BAC">
        <w:rPr>
          <w:sz w:val="24"/>
          <w:szCs w:val="24"/>
        </w:rPr>
        <w:t>app</w:t>
      </w:r>
      <w:r w:rsidR="0063105F" w:rsidRPr="00961BAC">
        <w:rPr>
          <w:sz w:val="24"/>
          <w:szCs w:val="24"/>
        </w:rPr>
        <w:t>, dropout could be</w:t>
      </w:r>
      <w:r w:rsidR="00DC2D88" w:rsidRPr="00961BAC">
        <w:rPr>
          <w:sz w:val="24"/>
          <w:szCs w:val="24"/>
        </w:rPr>
        <w:t xml:space="preserve"> attributed</w:t>
      </w:r>
      <w:r w:rsidR="0063105F" w:rsidRPr="00961BAC">
        <w:rPr>
          <w:sz w:val="24"/>
          <w:szCs w:val="24"/>
        </w:rPr>
        <w:t xml:space="preserve"> to</w:t>
      </w:r>
      <w:r w:rsidR="00F24118" w:rsidRPr="00961BAC">
        <w:rPr>
          <w:sz w:val="24"/>
          <w:szCs w:val="24"/>
        </w:rPr>
        <w:t xml:space="preserve"> many reasons. </w:t>
      </w:r>
      <w:r w:rsidR="00A001CD" w:rsidRPr="00961BAC">
        <w:rPr>
          <w:sz w:val="24"/>
          <w:szCs w:val="24"/>
        </w:rPr>
        <w:t>A potential concern is that disengagement with the app could</w:t>
      </w:r>
      <w:r w:rsidR="003900CE" w:rsidRPr="00961BAC">
        <w:rPr>
          <w:sz w:val="24"/>
          <w:szCs w:val="24"/>
        </w:rPr>
        <w:t xml:space="preserve"> be strongly associated with patient’s recovery</w:t>
      </w:r>
      <w:r w:rsidR="00A001CD" w:rsidRPr="00961BAC">
        <w:rPr>
          <w:sz w:val="24"/>
          <w:szCs w:val="24"/>
        </w:rPr>
        <w:t xml:space="preserve">, in which case, our results would be an overestimate of the overall long COVID burden as </w:t>
      </w:r>
      <w:r w:rsidR="007F5080" w:rsidRPr="00961BAC">
        <w:rPr>
          <w:sz w:val="24"/>
          <w:szCs w:val="24"/>
        </w:rPr>
        <w:t>they</w:t>
      </w:r>
      <w:r w:rsidR="00A001CD" w:rsidRPr="00961BAC">
        <w:rPr>
          <w:sz w:val="24"/>
          <w:szCs w:val="24"/>
        </w:rPr>
        <w:t xml:space="preserve"> speak to those still needing help.</w:t>
      </w:r>
      <w:r w:rsidR="007F5080" w:rsidRPr="00961BAC">
        <w:rPr>
          <w:sz w:val="24"/>
          <w:szCs w:val="24"/>
        </w:rPr>
        <w:t xml:space="preserve"> However, t</w:t>
      </w:r>
      <w:r w:rsidR="00120EFE" w:rsidRPr="00961BAC">
        <w:rPr>
          <w:sz w:val="24"/>
          <w:szCs w:val="24"/>
        </w:rPr>
        <w:t>he Living With survey</w:t>
      </w:r>
      <w:r w:rsidR="00AD583C" w:rsidRPr="00961BAC">
        <w:rPr>
          <w:sz w:val="24"/>
          <w:szCs w:val="24"/>
        </w:rPr>
        <w:t xml:space="preserve"> </w:t>
      </w:r>
      <w:r w:rsidR="00AD583C" w:rsidRPr="00961BAC">
        <w:rPr>
          <w:sz w:val="24"/>
          <w:szCs w:val="24"/>
        </w:rPr>
        <w:fldChar w:fldCharType="begin"/>
      </w:r>
      <w:r w:rsidR="00FD4C2C" w:rsidRPr="00961BAC">
        <w:rPr>
          <w:sz w:val="24"/>
          <w:szCs w:val="24"/>
        </w:rPr>
        <w:instrText xml:space="preserve"> ADDIN EN.CITE &lt;EndNote&gt;&lt;Cite&gt;&lt;Author&gt;Robson C.&lt;/Author&gt;&lt;Year&gt;2023&lt;/Year&gt;&lt;RecNum&gt;48&lt;/RecNum&gt;&lt;DisplayText&gt;&lt;style face="superscript"&gt;32&lt;/style&gt;&lt;/DisplayText&gt;&lt;record&gt;&lt;rec-number&gt;48&lt;/rec-number&gt;&lt;foreign-keys&gt;&lt;key app="EN" db-id="zfz9pe2xqf0rxiee9sbptsdssxaev52swxxa" timestamp="1714570778"&gt;48&lt;/key&gt;&lt;/foreign-keys&gt;&lt;ref-type name="Conference Paper"&gt;47&lt;/ref-type&gt;&lt;contributors&gt;&lt;authors&gt;&lt;author&gt;Robson C., Waywell J.&lt;/author&gt;&lt;/authors&gt;&lt;/contributors&gt;&lt;titles&gt;&lt;title&gt;Living With Covid Recovery Survey [Conference presentation]&lt;/title&gt;&lt;secondary-title&gt;NHS England Long COVID Meeting&lt;/secondary-title&gt;&lt;/titles&gt;&lt;dates&gt;&lt;year&gt;2023&lt;/year&gt;&lt;/dates&gt;&lt;pub-location&gt;London, UK&lt;/pub-location&gt;&lt;urls&gt;&lt;/urls&gt;&lt;/record&gt;&lt;/Cite&gt;&lt;/EndNote&gt;</w:instrText>
      </w:r>
      <w:r w:rsidR="00AD583C" w:rsidRPr="00961BAC">
        <w:rPr>
          <w:sz w:val="24"/>
          <w:szCs w:val="24"/>
        </w:rPr>
        <w:fldChar w:fldCharType="separate"/>
      </w:r>
      <w:r w:rsidR="00FD4C2C" w:rsidRPr="00961BAC">
        <w:rPr>
          <w:noProof/>
          <w:sz w:val="24"/>
          <w:szCs w:val="24"/>
          <w:vertAlign w:val="superscript"/>
        </w:rPr>
        <w:t>32</w:t>
      </w:r>
      <w:r w:rsidR="00AD583C" w:rsidRPr="00961BAC">
        <w:rPr>
          <w:sz w:val="24"/>
          <w:szCs w:val="24"/>
        </w:rPr>
        <w:fldChar w:fldCharType="end"/>
      </w:r>
      <w:r w:rsidR="00120EFE" w:rsidRPr="00961BAC">
        <w:rPr>
          <w:sz w:val="24"/>
          <w:szCs w:val="24"/>
        </w:rPr>
        <w:t xml:space="preserve"> </w:t>
      </w:r>
      <w:r w:rsidR="00AD583C" w:rsidRPr="00961BAC">
        <w:rPr>
          <w:sz w:val="24"/>
          <w:szCs w:val="24"/>
        </w:rPr>
        <w:t>found</w:t>
      </w:r>
      <w:r w:rsidR="00120EFE" w:rsidRPr="00961BAC">
        <w:rPr>
          <w:sz w:val="24"/>
          <w:szCs w:val="24"/>
        </w:rPr>
        <w:t xml:space="preserve"> that only 5% (110 out of 1874) of the respondents </w:t>
      </w:r>
      <w:r w:rsidR="00AD583C" w:rsidRPr="00961BAC">
        <w:rPr>
          <w:sz w:val="24"/>
          <w:szCs w:val="24"/>
        </w:rPr>
        <w:t>reported</w:t>
      </w:r>
      <w:r w:rsidR="00120EFE" w:rsidRPr="00961BAC">
        <w:rPr>
          <w:sz w:val="24"/>
          <w:szCs w:val="24"/>
        </w:rPr>
        <w:t xml:space="preserve"> </w:t>
      </w:r>
      <w:r w:rsidR="00AD583C" w:rsidRPr="00961BAC">
        <w:rPr>
          <w:sz w:val="24"/>
          <w:szCs w:val="24"/>
        </w:rPr>
        <w:t xml:space="preserve">having stopped </w:t>
      </w:r>
      <w:r w:rsidR="00120EFE" w:rsidRPr="00961BAC">
        <w:rPr>
          <w:sz w:val="24"/>
          <w:szCs w:val="24"/>
        </w:rPr>
        <w:t xml:space="preserve">using the app because they </w:t>
      </w:r>
      <w:r w:rsidR="00CC6461" w:rsidRPr="00961BAC">
        <w:rPr>
          <w:sz w:val="24"/>
          <w:szCs w:val="24"/>
        </w:rPr>
        <w:t>‘</w:t>
      </w:r>
      <w:r w:rsidR="00120EFE" w:rsidRPr="00961BAC">
        <w:rPr>
          <w:sz w:val="24"/>
          <w:szCs w:val="24"/>
        </w:rPr>
        <w:t>got better</w:t>
      </w:r>
      <w:r w:rsidR="00CC6461" w:rsidRPr="00961BAC">
        <w:rPr>
          <w:sz w:val="24"/>
          <w:szCs w:val="24"/>
        </w:rPr>
        <w:t>’</w:t>
      </w:r>
      <w:r w:rsidR="00120EFE" w:rsidRPr="00961BAC">
        <w:rPr>
          <w:sz w:val="24"/>
          <w:szCs w:val="24"/>
        </w:rPr>
        <w:t xml:space="preserve">. </w:t>
      </w:r>
      <w:r w:rsidR="007F5080" w:rsidRPr="00961BAC">
        <w:rPr>
          <w:sz w:val="24"/>
          <w:szCs w:val="24"/>
        </w:rPr>
        <w:t>In fact</w:t>
      </w:r>
      <w:r w:rsidR="00120EFE" w:rsidRPr="00961BAC">
        <w:rPr>
          <w:sz w:val="24"/>
          <w:szCs w:val="24"/>
        </w:rPr>
        <w:t>, many individuals (</w:t>
      </w:r>
      <w:r w:rsidR="00CC6461" w:rsidRPr="00961BAC">
        <w:rPr>
          <w:sz w:val="24"/>
          <w:szCs w:val="24"/>
        </w:rPr>
        <w:t xml:space="preserve">nearly </w:t>
      </w:r>
      <w:r w:rsidR="00120EFE" w:rsidRPr="00961BAC">
        <w:rPr>
          <w:sz w:val="24"/>
          <w:szCs w:val="24"/>
        </w:rPr>
        <w:t xml:space="preserve">20%) reported that they disengaged with the LWCR app because </w:t>
      </w:r>
      <w:r w:rsidR="00CC6461" w:rsidRPr="00961BAC">
        <w:rPr>
          <w:sz w:val="24"/>
          <w:szCs w:val="24"/>
        </w:rPr>
        <w:t>‘</w:t>
      </w:r>
      <w:r w:rsidR="00120EFE" w:rsidRPr="00961BAC">
        <w:rPr>
          <w:sz w:val="24"/>
          <w:szCs w:val="24"/>
        </w:rPr>
        <w:t>their symptoms were not improving</w:t>
      </w:r>
      <w:r w:rsidR="00CC6461" w:rsidRPr="00961BAC">
        <w:rPr>
          <w:sz w:val="24"/>
          <w:szCs w:val="24"/>
        </w:rPr>
        <w:t>’</w:t>
      </w:r>
      <w:r w:rsidR="00120EFE" w:rsidRPr="00961BAC">
        <w:rPr>
          <w:sz w:val="24"/>
          <w:szCs w:val="24"/>
        </w:rPr>
        <w:t xml:space="preserve">. </w:t>
      </w:r>
      <w:r w:rsidR="00F1012E" w:rsidRPr="00961BAC">
        <w:rPr>
          <w:sz w:val="24"/>
          <w:szCs w:val="24"/>
        </w:rPr>
        <w:t>Moreover</w:t>
      </w:r>
      <w:r w:rsidR="00B76272" w:rsidRPr="00961BAC">
        <w:rPr>
          <w:sz w:val="24"/>
          <w:szCs w:val="24"/>
        </w:rPr>
        <w:t xml:space="preserve">, </w:t>
      </w:r>
      <w:r w:rsidR="00074A63" w:rsidRPr="00961BAC">
        <w:rPr>
          <w:sz w:val="24"/>
          <w:szCs w:val="24"/>
        </w:rPr>
        <w:t>this study</w:t>
      </w:r>
      <w:r w:rsidR="00B76272" w:rsidRPr="00961BAC">
        <w:rPr>
          <w:sz w:val="24"/>
          <w:szCs w:val="24"/>
        </w:rPr>
        <w:t xml:space="preserve"> </w:t>
      </w:r>
      <w:r w:rsidR="006A40DE" w:rsidRPr="00961BAC">
        <w:rPr>
          <w:sz w:val="24"/>
          <w:szCs w:val="24"/>
        </w:rPr>
        <w:t xml:space="preserve">conducted separate trajectory models </w:t>
      </w:r>
      <w:r w:rsidR="00BA5A8E" w:rsidRPr="00961BAC">
        <w:rPr>
          <w:sz w:val="24"/>
          <w:szCs w:val="24"/>
        </w:rPr>
        <w:t xml:space="preserve">for </w:t>
      </w:r>
      <w:r w:rsidR="00007B94" w:rsidRPr="00961BAC">
        <w:rPr>
          <w:sz w:val="24"/>
          <w:szCs w:val="24"/>
        </w:rPr>
        <w:t>individuals with different follow up periods</w:t>
      </w:r>
      <w:r w:rsidR="00C14DAE" w:rsidRPr="00961BAC">
        <w:rPr>
          <w:sz w:val="24"/>
          <w:szCs w:val="24"/>
        </w:rPr>
        <w:t xml:space="preserve"> and did not find </w:t>
      </w:r>
      <w:r w:rsidR="00473701" w:rsidRPr="00961BAC">
        <w:rPr>
          <w:sz w:val="24"/>
          <w:szCs w:val="24"/>
        </w:rPr>
        <w:t>meaningful differences</w:t>
      </w:r>
      <w:r w:rsidR="003A58E5" w:rsidRPr="00961BAC">
        <w:rPr>
          <w:sz w:val="24"/>
          <w:szCs w:val="24"/>
        </w:rPr>
        <w:t xml:space="preserve"> in the trajectories</w:t>
      </w:r>
      <w:r w:rsidR="00473701" w:rsidRPr="00961BAC">
        <w:rPr>
          <w:sz w:val="24"/>
          <w:szCs w:val="24"/>
        </w:rPr>
        <w:t xml:space="preserve"> between the</w:t>
      </w:r>
      <w:r w:rsidR="009629F6" w:rsidRPr="00961BAC">
        <w:rPr>
          <w:sz w:val="24"/>
          <w:szCs w:val="24"/>
        </w:rPr>
        <w:t>m</w:t>
      </w:r>
      <w:r w:rsidR="00473701" w:rsidRPr="00961BAC">
        <w:rPr>
          <w:sz w:val="24"/>
          <w:szCs w:val="24"/>
        </w:rPr>
        <w:t xml:space="preserve">. </w:t>
      </w:r>
    </w:p>
    <w:p w14:paraId="0ECA33EE" w14:textId="59023703" w:rsidR="00511E4E" w:rsidRPr="00961BAC" w:rsidRDefault="00BA0F35" w:rsidP="008472E9">
      <w:pPr>
        <w:jc w:val="both"/>
        <w:rPr>
          <w:sz w:val="24"/>
          <w:szCs w:val="24"/>
        </w:rPr>
      </w:pPr>
      <w:r w:rsidRPr="00961BAC">
        <w:rPr>
          <w:sz w:val="24"/>
          <w:szCs w:val="24"/>
        </w:rPr>
        <w:t>A related</w:t>
      </w:r>
      <w:r w:rsidR="00BD0296" w:rsidRPr="00961BAC">
        <w:rPr>
          <w:sz w:val="24"/>
          <w:szCs w:val="24"/>
        </w:rPr>
        <w:t xml:space="preserve"> </w:t>
      </w:r>
      <w:r w:rsidRPr="00961BAC">
        <w:rPr>
          <w:sz w:val="24"/>
          <w:szCs w:val="24"/>
        </w:rPr>
        <w:t xml:space="preserve">limitation is the </w:t>
      </w:r>
      <w:r w:rsidR="00BD0296" w:rsidRPr="00961BAC">
        <w:rPr>
          <w:sz w:val="24"/>
          <w:szCs w:val="24"/>
        </w:rPr>
        <w:t xml:space="preserve">potential bias </w:t>
      </w:r>
      <w:r w:rsidRPr="00961BAC">
        <w:rPr>
          <w:sz w:val="24"/>
          <w:szCs w:val="24"/>
        </w:rPr>
        <w:t xml:space="preserve">introduced by </w:t>
      </w:r>
      <w:r w:rsidR="00BD0296" w:rsidRPr="00961BAC">
        <w:rPr>
          <w:sz w:val="24"/>
          <w:szCs w:val="24"/>
        </w:rPr>
        <w:t xml:space="preserve">missing data </w:t>
      </w:r>
      <w:r w:rsidRPr="00961BAC">
        <w:rPr>
          <w:sz w:val="24"/>
          <w:szCs w:val="24"/>
        </w:rPr>
        <w:t>in the socio-demographic variables</w:t>
      </w:r>
      <w:r w:rsidR="00BD0296" w:rsidRPr="00961BAC">
        <w:rPr>
          <w:sz w:val="24"/>
          <w:szCs w:val="24"/>
        </w:rPr>
        <w:t xml:space="preserve">. Nevertheless, complete case analysis has been recommended as the primary analysis when low levels of missing data in the explanatory variables were observed compared to dependent variables </w:t>
      </w:r>
      <w:r w:rsidR="00BD0296" w:rsidRPr="00961BAC">
        <w:rPr>
          <w:sz w:val="24"/>
          <w:szCs w:val="24"/>
        </w:rPr>
        <w:fldChar w:fldCharType="begin"/>
      </w:r>
      <w:r w:rsidR="00FD4C2C" w:rsidRPr="00961BAC">
        <w:rPr>
          <w:sz w:val="24"/>
          <w:szCs w:val="24"/>
        </w:rPr>
        <w:instrText xml:space="preserve"> ADDIN EN.CITE &lt;EndNote&gt;&lt;Cite&gt;&lt;Author&gt;Jakobsen&lt;/Author&gt;&lt;Year&gt;2017&lt;/Year&gt;&lt;RecNum&gt;34&lt;/RecNum&gt;&lt;DisplayText&gt;&lt;style face="superscript"&gt;33&lt;/style&gt;&lt;/DisplayText&gt;&lt;record&gt;&lt;rec-number&gt;34&lt;/rec-number&gt;&lt;foreign-keys&gt;&lt;key app="EN" db-id="zfz9pe2xqf0rxiee9sbptsdssxaev52swxxa" timestamp="1710713322"&gt;34&lt;/key&gt;&lt;/foreign-keys&gt;&lt;ref-type name="Journal Article"&gt;17&lt;/ref-type&gt;&lt;contributors&gt;&lt;authors&gt;&lt;author&gt;Jakobsen, Janus Christian&lt;/author&gt;&lt;author&gt;Gluud, Christian&lt;/author&gt;&lt;author&gt;Wetterslev, Jørn&lt;/author&gt;&lt;author&gt;Winkel, Per&lt;/author&gt;&lt;/authors&gt;&lt;/contributors&gt;&lt;titles&gt;&lt;title&gt;When and how should multiple imputation be used for handling missing data in randomised clinical trials–a practical guide with flowcharts&lt;/title&gt;&lt;secondary-title&gt;BMC medical research methodology&lt;/secondary-title&gt;&lt;/titles&gt;&lt;periodical&gt;&lt;full-title&gt;BMC medical research methodology&lt;/full-title&gt;&lt;/periodical&gt;&lt;pages&gt;1-10&lt;/pages&gt;&lt;volume&gt;17&lt;/volume&gt;&lt;dates&gt;&lt;year&gt;2017&lt;/year&gt;&lt;/dates&gt;&lt;urls&gt;&lt;/urls&gt;&lt;/record&gt;&lt;/Cite&gt;&lt;/EndNote&gt;</w:instrText>
      </w:r>
      <w:r w:rsidR="00BD0296" w:rsidRPr="00961BAC">
        <w:rPr>
          <w:sz w:val="24"/>
          <w:szCs w:val="24"/>
        </w:rPr>
        <w:fldChar w:fldCharType="separate"/>
      </w:r>
      <w:r w:rsidR="00FD4C2C" w:rsidRPr="00961BAC">
        <w:rPr>
          <w:noProof/>
          <w:sz w:val="24"/>
          <w:szCs w:val="24"/>
          <w:vertAlign w:val="superscript"/>
        </w:rPr>
        <w:t>33</w:t>
      </w:r>
      <w:r w:rsidR="00BD0296" w:rsidRPr="00961BAC">
        <w:rPr>
          <w:sz w:val="24"/>
          <w:szCs w:val="24"/>
        </w:rPr>
        <w:fldChar w:fldCharType="end"/>
      </w:r>
      <w:r w:rsidR="00BD0296" w:rsidRPr="00961BAC">
        <w:rPr>
          <w:sz w:val="24"/>
          <w:szCs w:val="24"/>
        </w:rPr>
        <w:t xml:space="preserve">. </w:t>
      </w:r>
    </w:p>
    <w:p w14:paraId="10AA41B7" w14:textId="4ABB57A5" w:rsidR="008B1740" w:rsidRPr="00961BAC" w:rsidRDefault="0062248D" w:rsidP="008472E9">
      <w:pPr>
        <w:jc w:val="both"/>
        <w:rPr>
          <w:sz w:val="24"/>
          <w:szCs w:val="24"/>
        </w:rPr>
      </w:pPr>
      <w:r w:rsidRPr="00961BAC">
        <w:rPr>
          <w:sz w:val="24"/>
          <w:szCs w:val="24"/>
        </w:rPr>
        <w:t>Despite the large and geographically representative sample</w:t>
      </w:r>
      <w:r w:rsidR="006B2744" w:rsidRPr="00961BAC">
        <w:rPr>
          <w:sz w:val="24"/>
          <w:szCs w:val="24"/>
        </w:rPr>
        <w:t xml:space="preserve">, </w:t>
      </w:r>
      <w:r w:rsidR="006818C5" w:rsidRPr="00961BAC">
        <w:rPr>
          <w:sz w:val="24"/>
          <w:szCs w:val="24"/>
        </w:rPr>
        <w:t>individuals</w:t>
      </w:r>
      <w:r w:rsidR="00B22E4E" w:rsidRPr="00961BAC">
        <w:rPr>
          <w:sz w:val="24"/>
          <w:szCs w:val="24"/>
        </w:rPr>
        <w:t xml:space="preserve"> recruited </w:t>
      </w:r>
      <w:r w:rsidR="006818C5" w:rsidRPr="00961BAC">
        <w:rPr>
          <w:sz w:val="24"/>
          <w:szCs w:val="24"/>
        </w:rPr>
        <w:t>to</w:t>
      </w:r>
      <w:r w:rsidR="00B22E4E" w:rsidRPr="00961BAC">
        <w:rPr>
          <w:sz w:val="24"/>
          <w:szCs w:val="24"/>
        </w:rPr>
        <w:t xml:space="preserve"> this study were referred </w:t>
      </w:r>
      <w:r w:rsidR="006818C5" w:rsidRPr="00961BAC">
        <w:rPr>
          <w:sz w:val="24"/>
          <w:szCs w:val="24"/>
        </w:rPr>
        <w:t>by</w:t>
      </w:r>
      <w:r w:rsidR="00B22E4E" w:rsidRPr="00961BAC">
        <w:rPr>
          <w:sz w:val="24"/>
          <w:szCs w:val="24"/>
        </w:rPr>
        <w:t xml:space="preserve"> </w:t>
      </w:r>
      <w:r w:rsidR="00B0500D" w:rsidRPr="00961BAC">
        <w:rPr>
          <w:sz w:val="24"/>
          <w:szCs w:val="24"/>
        </w:rPr>
        <w:t>long COVID</w:t>
      </w:r>
      <w:r w:rsidR="00B22E4E" w:rsidRPr="00961BAC">
        <w:rPr>
          <w:sz w:val="24"/>
          <w:szCs w:val="24"/>
        </w:rPr>
        <w:t xml:space="preserve"> clinics and needed to meet </w:t>
      </w:r>
      <w:r w:rsidR="006B2744" w:rsidRPr="00961BAC">
        <w:rPr>
          <w:sz w:val="24"/>
          <w:szCs w:val="24"/>
        </w:rPr>
        <w:t>specific</w:t>
      </w:r>
      <w:r w:rsidR="00B22E4E" w:rsidRPr="00961BAC">
        <w:rPr>
          <w:sz w:val="24"/>
          <w:szCs w:val="24"/>
        </w:rPr>
        <w:t xml:space="preserve"> criteria to be </w:t>
      </w:r>
      <w:r w:rsidR="006B2744" w:rsidRPr="00961BAC">
        <w:rPr>
          <w:sz w:val="24"/>
          <w:szCs w:val="24"/>
        </w:rPr>
        <w:t>eligible</w:t>
      </w:r>
      <w:r w:rsidR="00B22E4E" w:rsidRPr="00961BAC">
        <w:rPr>
          <w:sz w:val="24"/>
          <w:szCs w:val="24"/>
        </w:rPr>
        <w:t xml:space="preserve"> to register </w:t>
      </w:r>
      <w:r w:rsidR="00436DB8" w:rsidRPr="00961BAC">
        <w:rPr>
          <w:sz w:val="24"/>
          <w:szCs w:val="24"/>
        </w:rPr>
        <w:t>i</w:t>
      </w:r>
      <w:r w:rsidR="00B22E4E" w:rsidRPr="00961BAC">
        <w:rPr>
          <w:sz w:val="24"/>
          <w:szCs w:val="24"/>
        </w:rPr>
        <w:t xml:space="preserve">n the LWCR </w:t>
      </w:r>
      <w:r w:rsidR="00436DB8" w:rsidRPr="00961BAC">
        <w:rPr>
          <w:sz w:val="24"/>
          <w:szCs w:val="24"/>
        </w:rPr>
        <w:t>app</w:t>
      </w:r>
      <w:r w:rsidR="00B22E4E" w:rsidRPr="00961BAC">
        <w:rPr>
          <w:sz w:val="24"/>
          <w:szCs w:val="24"/>
        </w:rPr>
        <w:t>.</w:t>
      </w:r>
      <w:r w:rsidR="006818C5" w:rsidRPr="00961BAC">
        <w:rPr>
          <w:sz w:val="24"/>
          <w:szCs w:val="24"/>
        </w:rPr>
        <w:t xml:space="preserve"> In particular, </w:t>
      </w:r>
      <w:r w:rsidR="008002F5" w:rsidRPr="00961BAC">
        <w:rPr>
          <w:sz w:val="24"/>
          <w:szCs w:val="24"/>
        </w:rPr>
        <w:t xml:space="preserve">our sample </w:t>
      </w:r>
      <w:r w:rsidR="00E11082" w:rsidRPr="00961BAC">
        <w:rPr>
          <w:sz w:val="24"/>
          <w:szCs w:val="24"/>
        </w:rPr>
        <w:t xml:space="preserve">included </w:t>
      </w:r>
      <w:r w:rsidR="00A50542" w:rsidRPr="00961BAC">
        <w:rPr>
          <w:sz w:val="24"/>
          <w:szCs w:val="24"/>
        </w:rPr>
        <w:t>individua</w:t>
      </w:r>
      <w:r w:rsidR="0035125A" w:rsidRPr="00961BAC">
        <w:rPr>
          <w:sz w:val="24"/>
          <w:szCs w:val="24"/>
        </w:rPr>
        <w:t xml:space="preserve">ls who were </w:t>
      </w:r>
      <w:r w:rsidR="00CB0B1F" w:rsidRPr="00961BAC">
        <w:rPr>
          <w:sz w:val="24"/>
          <w:szCs w:val="24"/>
        </w:rPr>
        <w:t>considered likely to benefit from the LWCR intervention and were fit for rehabilitation</w:t>
      </w:r>
      <w:r w:rsidR="00E11082" w:rsidRPr="00961BAC">
        <w:rPr>
          <w:sz w:val="24"/>
          <w:szCs w:val="24"/>
        </w:rPr>
        <w:t>.</w:t>
      </w:r>
      <w:r w:rsidR="00A50542" w:rsidRPr="00961BAC">
        <w:rPr>
          <w:sz w:val="24"/>
          <w:szCs w:val="24"/>
        </w:rPr>
        <w:t xml:space="preserve"> </w:t>
      </w:r>
      <w:r w:rsidR="00E730B6" w:rsidRPr="00961BAC">
        <w:rPr>
          <w:sz w:val="24"/>
          <w:szCs w:val="24"/>
        </w:rPr>
        <w:t>Consequently</w:t>
      </w:r>
      <w:r w:rsidR="004F70AC" w:rsidRPr="00961BAC">
        <w:rPr>
          <w:sz w:val="24"/>
          <w:szCs w:val="24"/>
        </w:rPr>
        <w:t xml:space="preserve">, our </w:t>
      </w:r>
      <w:r w:rsidR="00B27AB3" w:rsidRPr="00961BAC">
        <w:rPr>
          <w:sz w:val="24"/>
          <w:szCs w:val="24"/>
        </w:rPr>
        <w:t>estimates may be somewhat conservative as</w:t>
      </w:r>
      <w:r w:rsidR="00A4412B" w:rsidRPr="00961BAC">
        <w:rPr>
          <w:sz w:val="24"/>
          <w:szCs w:val="24"/>
        </w:rPr>
        <w:t xml:space="preserve"> </w:t>
      </w:r>
      <w:r w:rsidR="00E730B6" w:rsidRPr="00961BAC">
        <w:rPr>
          <w:sz w:val="24"/>
          <w:szCs w:val="24"/>
        </w:rPr>
        <w:t>we</w:t>
      </w:r>
      <w:r w:rsidR="00A4412B" w:rsidRPr="00961BAC">
        <w:rPr>
          <w:sz w:val="24"/>
          <w:szCs w:val="24"/>
        </w:rPr>
        <w:t xml:space="preserve"> </w:t>
      </w:r>
      <w:r w:rsidR="00100B22" w:rsidRPr="00961BAC">
        <w:rPr>
          <w:sz w:val="24"/>
          <w:szCs w:val="24"/>
        </w:rPr>
        <w:t>potential</w:t>
      </w:r>
      <w:r w:rsidR="00A4412B" w:rsidRPr="00961BAC">
        <w:rPr>
          <w:sz w:val="24"/>
          <w:szCs w:val="24"/>
        </w:rPr>
        <w:t>ly</w:t>
      </w:r>
      <w:r w:rsidR="00100B22" w:rsidRPr="00961BAC">
        <w:rPr>
          <w:sz w:val="24"/>
          <w:szCs w:val="24"/>
        </w:rPr>
        <w:t xml:space="preserve"> exclude</w:t>
      </w:r>
      <w:r w:rsidR="00E730B6" w:rsidRPr="00961BAC">
        <w:rPr>
          <w:sz w:val="24"/>
          <w:szCs w:val="24"/>
        </w:rPr>
        <w:t>d</w:t>
      </w:r>
      <w:r w:rsidR="00100B22" w:rsidRPr="00961BAC">
        <w:rPr>
          <w:sz w:val="24"/>
          <w:szCs w:val="24"/>
        </w:rPr>
        <w:t xml:space="preserve"> in</w:t>
      </w:r>
      <w:r w:rsidR="00FD3098" w:rsidRPr="00961BAC">
        <w:rPr>
          <w:sz w:val="24"/>
          <w:szCs w:val="24"/>
        </w:rPr>
        <w:t xml:space="preserve">dividuals less fit and </w:t>
      </w:r>
      <w:r w:rsidR="00F36F7F" w:rsidRPr="00961BAC">
        <w:rPr>
          <w:sz w:val="24"/>
          <w:szCs w:val="24"/>
        </w:rPr>
        <w:t xml:space="preserve">less (digitally) </w:t>
      </w:r>
      <w:r w:rsidR="00FD3098" w:rsidRPr="00961BAC">
        <w:rPr>
          <w:sz w:val="24"/>
          <w:szCs w:val="24"/>
        </w:rPr>
        <w:t>educated than</w:t>
      </w:r>
      <w:r w:rsidR="008C55E3" w:rsidRPr="00961BAC">
        <w:rPr>
          <w:sz w:val="24"/>
          <w:szCs w:val="24"/>
        </w:rPr>
        <w:t xml:space="preserve"> the ‘average’ long COVID patient.</w:t>
      </w:r>
      <w:r w:rsidR="00AC0EC5" w:rsidRPr="00961BAC">
        <w:rPr>
          <w:sz w:val="24"/>
          <w:szCs w:val="24"/>
        </w:rPr>
        <w:t xml:space="preserve"> </w:t>
      </w:r>
      <w:r w:rsidR="008B1740" w:rsidRPr="00961BAC">
        <w:rPr>
          <w:sz w:val="24"/>
          <w:szCs w:val="24"/>
        </w:rPr>
        <w:t xml:space="preserve">In addition, </w:t>
      </w:r>
      <w:r w:rsidR="00A068DC" w:rsidRPr="00961BAC">
        <w:rPr>
          <w:sz w:val="24"/>
          <w:szCs w:val="24"/>
        </w:rPr>
        <w:t xml:space="preserve">some clinical information, </w:t>
      </w:r>
      <w:r w:rsidR="008B1740" w:rsidRPr="00961BAC">
        <w:rPr>
          <w:sz w:val="24"/>
          <w:szCs w:val="24"/>
        </w:rPr>
        <w:t>such as</w:t>
      </w:r>
      <w:r w:rsidR="00A52BC8" w:rsidRPr="00961BAC">
        <w:rPr>
          <w:sz w:val="24"/>
          <w:szCs w:val="24"/>
        </w:rPr>
        <w:t xml:space="preserve"> the </w:t>
      </w:r>
      <w:r w:rsidR="008B1740" w:rsidRPr="00961BAC">
        <w:rPr>
          <w:sz w:val="24"/>
          <w:szCs w:val="24"/>
        </w:rPr>
        <w:t xml:space="preserve">date </w:t>
      </w:r>
      <w:r w:rsidR="00C01564" w:rsidRPr="00961BAC">
        <w:rPr>
          <w:sz w:val="24"/>
          <w:szCs w:val="24"/>
        </w:rPr>
        <w:t xml:space="preserve">and severity </w:t>
      </w:r>
      <w:r w:rsidR="008B1740" w:rsidRPr="00961BAC">
        <w:rPr>
          <w:sz w:val="24"/>
          <w:szCs w:val="24"/>
        </w:rPr>
        <w:t xml:space="preserve">of </w:t>
      </w:r>
      <w:r w:rsidR="00A52BC8" w:rsidRPr="00961BAC">
        <w:rPr>
          <w:sz w:val="24"/>
          <w:szCs w:val="24"/>
        </w:rPr>
        <w:t>the index</w:t>
      </w:r>
      <w:r w:rsidR="008B1740" w:rsidRPr="00961BAC">
        <w:rPr>
          <w:sz w:val="24"/>
          <w:szCs w:val="24"/>
        </w:rPr>
        <w:t xml:space="preserve"> COVID infection</w:t>
      </w:r>
      <w:r w:rsidR="00C01564" w:rsidRPr="00961BAC">
        <w:rPr>
          <w:sz w:val="24"/>
          <w:szCs w:val="24"/>
        </w:rPr>
        <w:t xml:space="preserve">, </w:t>
      </w:r>
      <w:r w:rsidR="00A52BC8" w:rsidRPr="00961BAC">
        <w:rPr>
          <w:sz w:val="24"/>
          <w:szCs w:val="24"/>
        </w:rPr>
        <w:t>vaccination status</w:t>
      </w:r>
      <w:r w:rsidR="00C01564" w:rsidRPr="00961BAC">
        <w:rPr>
          <w:sz w:val="24"/>
          <w:szCs w:val="24"/>
        </w:rPr>
        <w:t xml:space="preserve"> and virus variant</w:t>
      </w:r>
      <w:r w:rsidR="00F44E05" w:rsidRPr="00961BAC">
        <w:rPr>
          <w:sz w:val="24"/>
          <w:szCs w:val="24"/>
        </w:rPr>
        <w:t>,</w:t>
      </w:r>
      <w:r w:rsidR="008B1740" w:rsidRPr="00961BAC">
        <w:rPr>
          <w:sz w:val="24"/>
          <w:szCs w:val="24"/>
        </w:rPr>
        <w:t xml:space="preserve"> </w:t>
      </w:r>
      <w:r w:rsidR="00A52BC8" w:rsidRPr="00961BAC">
        <w:rPr>
          <w:sz w:val="24"/>
          <w:szCs w:val="24"/>
        </w:rPr>
        <w:t>were</w:t>
      </w:r>
      <w:r w:rsidR="008B1740" w:rsidRPr="00961BAC">
        <w:rPr>
          <w:sz w:val="24"/>
          <w:szCs w:val="24"/>
        </w:rPr>
        <w:t xml:space="preserve"> not available in our study, and hence we </w:t>
      </w:r>
      <w:r w:rsidR="00256720" w:rsidRPr="00961BAC">
        <w:rPr>
          <w:sz w:val="24"/>
          <w:szCs w:val="24"/>
        </w:rPr>
        <w:t>we</w:t>
      </w:r>
      <w:r w:rsidR="008B1740" w:rsidRPr="00961BAC">
        <w:rPr>
          <w:sz w:val="24"/>
          <w:szCs w:val="24"/>
        </w:rPr>
        <w:t xml:space="preserve">re unable to evaluate </w:t>
      </w:r>
      <w:r w:rsidR="00F44E05" w:rsidRPr="00961BAC">
        <w:rPr>
          <w:sz w:val="24"/>
          <w:szCs w:val="24"/>
        </w:rPr>
        <w:t>the extent to which</w:t>
      </w:r>
      <w:r w:rsidR="008B1740" w:rsidRPr="00961BAC">
        <w:rPr>
          <w:sz w:val="24"/>
          <w:szCs w:val="24"/>
        </w:rPr>
        <w:t xml:space="preserve"> </w:t>
      </w:r>
      <w:r w:rsidR="00A52BC8" w:rsidRPr="00961BAC">
        <w:rPr>
          <w:sz w:val="24"/>
          <w:szCs w:val="24"/>
        </w:rPr>
        <w:t>these factors</w:t>
      </w:r>
      <w:r w:rsidR="008B1740" w:rsidRPr="00961BAC">
        <w:rPr>
          <w:sz w:val="24"/>
          <w:szCs w:val="24"/>
        </w:rPr>
        <w:t xml:space="preserve"> </w:t>
      </w:r>
      <w:r w:rsidR="00256720" w:rsidRPr="00961BAC">
        <w:rPr>
          <w:sz w:val="24"/>
          <w:szCs w:val="24"/>
        </w:rPr>
        <w:t xml:space="preserve">have </w:t>
      </w:r>
      <w:r w:rsidR="008B1740" w:rsidRPr="00961BAC">
        <w:rPr>
          <w:sz w:val="24"/>
          <w:szCs w:val="24"/>
        </w:rPr>
        <w:t>had an impact on long COVID recovery.</w:t>
      </w:r>
    </w:p>
    <w:p w14:paraId="1EF96533" w14:textId="77777777" w:rsidR="007239F3" w:rsidRPr="00961BAC" w:rsidRDefault="007239F3" w:rsidP="008472E9">
      <w:pPr>
        <w:jc w:val="both"/>
        <w:rPr>
          <w:b/>
          <w:bCs/>
          <w:sz w:val="24"/>
          <w:szCs w:val="24"/>
        </w:rPr>
      </w:pPr>
    </w:p>
    <w:p w14:paraId="07CE7929" w14:textId="404E82B6" w:rsidR="00A065F0" w:rsidRPr="00961BAC" w:rsidRDefault="000F4ECC" w:rsidP="008472E9">
      <w:pPr>
        <w:jc w:val="both"/>
        <w:rPr>
          <w:b/>
          <w:bCs/>
          <w:sz w:val="24"/>
          <w:szCs w:val="24"/>
        </w:rPr>
      </w:pPr>
      <w:r w:rsidRPr="00961BAC">
        <w:rPr>
          <w:b/>
          <w:bCs/>
          <w:sz w:val="24"/>
          <w:szCs w:val="24"/>
        </w:rPr>
        <w:t>C</w:t>
      </w:r>
      <w:r w:rsidR="00955291" w:rsidRPr="00961BAC">
        <w:rPr>
          <w:b/>
          <w:bCs/>
          <w:sz w:val="24"/>
          <w:szCs w:val="24"/>
        </w:rPr>
        <w:t>onclusion</w:t>
      </w:r>
    </w:p>
    <w:p w14:paraId="0DD9ED08" w14:textId="77777777" w:rsidR="00B205F4" w:rsidRPr="00961BAC" w:rsidRDefault="00445E7B" w:rsidP="008472E9">
      <w:pPr>
        <w:jc w:val="both"/>
        <w:rPr>
          <w:sz w:val="24"/>
          <w:szCs w:val="24"/>
        </w:rPr>
      </w:pPr>
      <w:r w:rsidRPr="00961BAC">
        <w:rPr>
          <w:sz w:val="24"/>
          <w:szCs w:val="24"/>
        </w:rPr>
        <w:t>Individuals referred to long COVID clinics in the UK reported little improvement in functional limitations</w:t>
      </w:r>
      <w:r w:rsidR="00334230" w:rsidRPr="00961BAC">
        <w:rPr>
          <w:sz w:val="24"/>
          <w:szCs w:val="24"/>
        </w:rPr>
        <w:t xml:space="preserve">, fatigue and HRQL </w:t>
      </w:r>
      <w:r w:rsidR="00C8172C" w:rsidRPr="00961BAC">
        <w:rPr>
          <w:sz w:val="24"/>
          <w:szCs w:val="24"/>
        </w:rPr>
        <w:t xml:space="preserve">over </w:t>
      </w:r>
      <w:r w:rsidR="000E11D9" w:rsidRPr="00961BAC">
        <w:rPr>
          <w:sz w:val="24"/>
          <w:szCs w:val="24"/>
        </w:rPr>
        <w:t xml:space="preserve">the first </w:t>
      </w:r>
      <w:r w:rsidRPr="00961BAC">
        <w:rPr>
          <w:sz w:val="24"/>
          <w:szCs w:val="24"/>
        </w:rPr>
        <w:t xml:space="preserve">6 months </w:t>
      </w:r>
      <w:r w:rsidR="00795B88" w:rsidRPr="00961BAC">
        <w:rPr>
          <w:sz w:val="24"/>
          <w:szCs w:val="24"/>
        </w:rPr>
        <w:t>after</w:t>
      </w:r>
      <w:r w:rsidRPr="00961BAC">
        <w:rPr>
          <w:sz w:val="24"/>
          <w:szCs w:val="24"/>
        </w:rPr>
        <w:t xml:space="preserve"> registration in the LWCR</w:t>
      </w:r>
      <w:r w:rsidR="00253FF8" w:rsidRPr="00961BAC">
        <w:rPr>
          <w:sz w:val="24"/>
          <w:szCs w:val="24"/>
        </w:rPr>
        <w:t>, irrespective</w:t>
      </w:r>
      <w:r w:rsidR="006F05AD" w:rsidRPr="00961BAC">
        <w:rPr>
          <w:sz w:val="24"/>
          <w:szCs w:val="24"/>
        </w:rPr>
        <w:t xml:space="preserve"> of </w:t>
      </w:r>
      <w:r w:rsidR="009132DC" w:rsidRPr="00961BAC">
        <w:rPr>
          <w:sz w:val="24"/>
          <w:szCs w:val="24"/>
        </w:rPr>
        <w:t xml:space="preserve">the </w:t>
      </w:r>
      <w:r w:rsidR="002F6753" w:rsidRPr="00961BAC">
        <w:rPr>
          <w:sz w:val="24"/>
          <w:szCs w:val="24"/>
        </w:rPr>
        <w:t>period</w:t>
      </w:r>
      <w:r w:rsidR="009132DC" w:rsidRPr="00961BAC">
        <w:rPr>
          <w:sz w:val="24"/>
          <w:szCs w:val="24"/>
        </w:rPr>
        <w:t xml:space="preserve"> </w:t>
      </w:r>
      <w:r w:rsidR="00A108FE" w:rsidRPr="00961BAC">
        <w:rPr>
          <w:sz w:val="24"/>
          <w:szCs w:val="24"/>
        </w:rPr>
        <w:t>that participants</w:t>
      </w:r>
      <w:r w:rsidR="00E8541C" w:rsidRPr="00961BAC">
        <w:rPr>
          <w:sz w:val="24"/>
          <w:szCs w:val="24"/>
        </w:rPr>
        <w:t xml:space="preserve"> remained engaged in the</w:t>
      </w:r>
      <w:r w:rsidR="002B73C8" w:rsidRPr="00961BAC">
        <w:rPr>
          <w:sz w:val="24"/>
          <w:szCs w:val="24"/>
        </w:rPr>
        <w:t xml:space="preserve"> programme</w:t>
      </w:r>
      <w:r w:rsidR="002F6753" w:rsidRPr="00961BAC">
        <w:rPr>
          <w:sz w:val="24"/>
          <w:szCs w:val="24"/>
        </w:rPr>
        <w:t>.</w:t>
      </w:r>
      <w:r w:rsidR="003A2248" w:rsidRPr="00961BAC">
        <w:rPr>
          <w:sz w:val="24"/>
          <w:szCs w:val="24"/>
        </w:rPr>
        <w:t xml:space="preserve"> </w:t>
      </w:r>
      <w:r w:rsidR="003C7DC7" w:rsidRPr="00961BAC">
        <w:rPr>
          <w:sz w:val="24"/>
          <w:szCs w:val="24"/>
        </w:rPr>
        <w:t>Th</w:t>
      </w:r>
      <w:r w:rsidR="006006D0" w:rsidRPr="00961BAC">
        <w:rPr>
          <w:sz w:val="24"/>
          <w:szCs w:val="24"/>
        </w:rPr>
        <w:t>is</w:t>
      </w:r>
      <w:r w:rsidR="003A3DAB" w:rsidRPr="00961BAC">
        <w:rPr>
          <w:sz w:val="24"/>
          <w:szCs w:val="24"/>
        </w:rPr>
        <w:t xml:space="preserve"> </w:t>
      </w:r>
      <w:r w:rsidR="000879A3" w:rsidRPr="00961BAC">
        <w:rPr>
          <w:sz w:val="24"/>
          <w:szCs w:val="24"/>
        </w:rPr>
        <w:t>persistent</w:t>
      </w:r>
      <w:r w:rsidR="00CB67CE" w:rsidRPr="00961BAC">
        <w:rPr>
          <w:sz w:val="24"/>
          <w:szCs w:val="24"/>
        </w:rPr>
        <w:t xml:space="preserve"> function</w:t>
      </w:r>
      <w:r w:rsidR="003A3DAB" w:rsidRPr="00961BAC">
        <w:rPr>
          <w:sz w:val="24"/>
          <w:szCs w:val="24"/>
        </w:rPr>
        <w:t xml:space="preserve">al </w:t>
      </w:r>
      <w:r w:rsidR="00BC62BB" w:rsidRPr="00961BAC">
        <w:rPr>
          <w:sz w:val="24"/>
          <w:szCs w:val="24"/>
        </w:rPr>
        <w:t>impairment</w:t>
      </w:r>
      <w:r w:rsidR="003A3DAB" w:rsidRPr="00961BAC">
        <w:rPr>
          <w:sz w:val="24"/>
          <w:szCs w:val="24"/>
        </w:rPr>
        <w:t xml:space="preserve"> and poor</w:t>
      </w:r>
      <w:r w:rsidR="00CB67CE" w:rsidRPr="00961BAC">
        <w:rPr>
          <w:sz w:val="24"/>
          <w:szCs w:val="24"/>
        </w:rPr>
        <w:t xml:space="preserve"> </w:t>
      </w:r>
      <w:r w:rsidR="000D6AEE" w:rsidRPr="00961BAC">
        <w:rPr>
          <w:sz w:val="24"/>
          <w:szCs w:val="24"/>
        </w:rPr>
        <w:t>quality of life</w:t>
      </w:r>
      <w:r w:rsidR="006006D0" w:rsidRPr="00961BAC">
        <w:rPr>
          <w:sz w:val="24"/>
          <w:szCs w:val="24"/>
        </w:rPr>
        <w:t xml:space="preserve"> over time </w:t>
      </w:r>
      <w:r w:rsidR="0092408B" w:rsidRPr="00961BAC">
        <w:rPr>
          <w:sz w:val="24"/>
          <w:szCs w:val="24"/>
        </w:rPr>
        <w:t>significantly</w:t>
      </w:r>
      <w:r w:rsidR="003A3DAB" w:rsidRPr="00961BAC">
        <w:rPr>
          <w:sz w:val="24"/>
          <w:szCs w:val="24"/>
        </w:rPr>
        <w:t xml:space="preserve"> affects </w:t>
      </w:r>
      <w:r w:rsidR="00EB0B11" w:rsidRPr="00961BAC">
        <w:rPr>
          <w:sz w:val="24"/>
          <w:szCs w:val="24"/>
        </w:rPr>
        <w:t>the</w:t>
      </w:r>
      <w:r w:rsidR="00BC62BB" w:rsidRPr="00961BAC">
        <w:rPr>
          <w:sz w:val="24"/>
          <w:szCs w:val="24"/>
        </w:rPr>
        <w:t xml:space="preserve"> individual’s</w:t>
      </w:r>
      <w:r w:rsidR="009843F8" w:rsidRPr="00961BAC">
        <w:rPr>
          <w:sz w:val="24"/>
          <w:szCs w:val="24"/>
        </w:rPr>
        <w:t xml:space="preserve"> ability to work </w:t>
      </w:r>
      <w:r w:rsidR="0092408B" w:rsidRPr="00961BAC">
        <w:rPr>
          <w:sz w:val="24"/>
          <w:szCs w:val="24"/>
        </w:rPr>
        <w:t>and</w:t>
      </w:r>
      <w:r w:rsidRPr="00961BAC">
        <w:rPr>
          <w:sz w:val="24"/>
          <w:szCs w:val="24"/>
        </w:rPr>
        <w:t xml:space="preserve"> presents a significant economic burden to the individuals themselves as well as to </w:t>
      </w:r>
      <w:r w:rsidR="004D0BC8" w:rsidRPr="00961BAC">
        <w:rPr>
          <w:sz w:val="24"/>
          <w:szCs w:val="24"/>
        </w:rPr>
        <w:t>the economy</w:t>
      </w:r>
      <w:r w:rsidRPr="00961BAC">
        <w:rPr>
          <w:sz w:val="24"/>
          <w:szCs w:val="24"/>
        </w:rPr>
        <w:t xml:space="preserve">. Addressing ongoing challenges related to fatigue </w:t>
      </w:r>
      <w:r w:rsidR="00194036" w:rsidRPr="00961BAC">
        <w:rPr>
          <w:sz w:val="24"/>
          <w:szCs w:val="24"/>
        </w:rPr>
        <w:t>and its impact on</w:t>
      </w:r>
      <w:r w:rsidRPr="00961BAC">
        <w:rPr>
          <w:sz w:val="24"/>
          <w:szCs w:val="24"/>
        </w:rPr>
        <w:t xml:space="preserve"> work absenteeism should be a priority for future health care interventions aimed at supporting recovery of individuals with long COVID.</w:t>
      </w:r>
      <w:r w:rsidR="008C1FA6" w:rsidRPr="00961BAC">
        <w:rPr>
          <w:sz w:val="24"/>
          <w:szCs w:val="24"/>
        </w:rPr>
        <w:t xml:space="preserve"> </w:t>
      </w:r>
      <w:r w:rsidR="00E51598" w:rsidRPr="00961BAC">
        <w:rPr>
          <w:sz w:val="24"/>
          <w:szCs w:val="24"/>
        </w:rPr>
        <w:t xml:space="preserve">Important </w:t>
      </w:r>
      <w:r w:rsidR="00701718" w:rsidRPr="00961BAC">
        <w:rPr>
          <w:sz w:val="24"/>
          <w:szCs w:val="24"/>
        </w:rPr>
        <w:t xml:space="preserve">dimensions of </w:t>
      </w:r>
      <w:r w:rsidR="00724311" w:rsidRPr="00961BAC">
        <w:rPr>
          <w:sz w:val="24"/>
          <w:szCs w:val="24"/>
        </w:rPr>
        <w:t xml:space="preserve">health </w:t>
      </w:r>
      <w:r w:rsidR="00701718" w:rsidRPr="00961BAC">
        <w:rPr>
          <w:sz w:val="24"/>
          <w:szCs w:val="24"/>
        </w:rPr>
        <w:t>inequality, such as gender and deprivation should</w:t>
      </w:r>
      <w:r w:rsidR="00592D5D" w:rsidRPr="00961BAC">
        <w:rPr>
          <w:sz w:val="24"/>
          <w:szCs w:val="24"/>
        </w:rPr>
        <w:t xml:space="preserve"> </w:t>
      </w:r>
      <w:r w:rsidR="00701718" w:rsidRPr="00961BAC">
        <w:rPr>
          <w:sz w:val="24"/>
          <w:szCs w:val="24"/>
        </w:rPr>
        <w:t xml:space="preserve">be considered </w:t>
      </w:r>
      <w:r w:rsidR="009F6FC2" w:rsidRPr="00961BAC">
        <w:rPr>
          <w:sz w:val="24"/>
          <w:szCs w:val="24"/>
        </w:rPr>
        <w:t xml:space="preserve">when devising </w:t>
      </w:r>
      <w:r w:rsidR="00E47077" w:rsidRPr="00961BAC">
        <w:rPr>
          <w:sz w:val="24"/>
          <w:szCs w:val="24"/>
        </w:rPr>
        <w:t xml:space="preserve">health </w:t>
      </w:r>
      <w:r w:rsidR="009F6FC2" w:rsidRPr="00961BAC">
        <w:rPr>
          <w:sz w:val="24"/>
          <w:szCs w:val="24"/>
        </w:rPr>
        <w:t>policy recommendations for the</w:t>
      </w:r>
      <w:r w:rsidR="00795572" w:rsidRPr="00961BAC">
        <w:rPr>
          <w:sz w:val="24"/>
          <w:szCs w:val="24"/>
        </w:rPr>
        <w:t xml:space="preserve"> </w:t>
      </w:r>
      <w:r w:rsidR="003D6652" w:rsidRPr="00961BAC">
        <w:rPr>
          <w:sz w:val="24"/>
          <w:szCs w:val="24"/>
        </w:rPr>
        <w:t>treatment and management of long COVID.</w:t>
      </w:r>
    </w:p>
    <w:p w14:paraId="18710C7B" w14:textId="77777777" w:rsidR="00B205F4" w:rsidRPr="00961BAC" w:rsidRDefault="00B205F4" w:rsidP="008472E9">
      <w:pPr>
        <w:jc w:val="both"/>
        <w:rPr>
          <w:sz w:val="24"/>
          <w:szCs w:val="24"/>
        </w:rPr>
      </w:pPr>
    </w:p>
    <w:p w14:paraId="305A2D91" w14:textId="61DB37F4" w:rsidR="00B205F4" w:rsidRPr="00961BAC" w:rsidRDefault="000B6D1F" w:rsidP="000B6D1F">
      <w:pPr>
        <w:rPr>
          <w:sz w:val="24"/>
          <w:szCs w:val="24"/>
        </w:rPr>
      </w:pPr>
      <w:r w:rsidRPr="00961BAC">
        <w:rPr>
          <w:b/>
          <w:bCs/>
          <w:sz w:val="24"/>
          <w:szCs w:val="24"/>
        </w:rPr>
        <w:t>Contributors</w:t>
      </w:r>
      <w:r w:rsidRPr="00961BAC">
        <w:rPr>
          <w:sz w:val="24"/>
          <w:szCs w:val="24"/>
        </w:rPr>
        <w:t>: HG, WH and MG</w:t>
      </w:r>
      <w:r w:rsidRPr="00961BAC">
        <w:t xml:space="preserve"> </w:t>
      </w:r>
      <w:r w:rsidRPr="00961BAC">
        <w:rPr>
          <w:sz w:val="24"/>
          <w:szCs w:val="24"/>
        </w:rPr>
        <w:t>conceived and designed the study. JW</w:t>
      </w:r>
      <w:r w:rsidR="00E20887" w:rsidRPr="00961BAC">
        <w:rPr>
          <w:sz w:val="24"/>
          <w:szCs w:val="24"/>
        </w:rPr>
        <w:t>, SW</w:t>
      </w:r>
      <w:r w:rsidRPr="00961BAC">
        <w:rPr>
          <w:sz w:val="24"/>
          <w:szCs w:val="24"/>
        </w:rPr>
        <w:t xml:space="preserve"> and WH analysed the data. JW </w:t>
      </w:r>
      <w:r w:rsidR="00360122" w:rsidRPr="00961BAC">
        <w:rPr>
          <w:sz w:val="24"/>
          <w:szCs w:val="24"/>
        </w:rPr>
        <w:t xml:space="preserve">and MG </w:t>
      </w:r>
      <w:r w:rsidRPr="00961BAC">
        <w:rPr>
          <w:sz w:val="24"/>
          <w:szCs w:val="24"/>
        </w:rPr>
        <w:t xml:space="preserve">drafted the first draft of paper. </w:t>
      </w:r>
      <w:r w:rsidR="00E20887" w:rsidRPr="00961BAC">
        <w:rPr>
          <w:sz w:val="24"/>
          <w:szCs w:val="24"/>
        </w:rPr>
        <w:t xml:space="preserve">JW, </w:t>
      </w:r>
      <w:r w:rsidR="009365DD" w:rsidRPr="00961BAC">
        <w:rPr>
          <w:sz w:val="24"/>
          <w:szCs w:val="24"/>
        </w:rPr>
        <w:t xml:space="preserve">HG, SW, AB, PF, JH, DS, KB, CR, WH and MG </w:t>
      </w:r>
      <w:r w:rsidR="00C717E3" w:rsidRPr="00961BAC">
        <w:rPr>
          <w:sz w:val="24"/>
          <w:szCs w:val="24"/>
        </w:rPr>
        <w:t>provided critical comments</w:t>
      </w:r>
      <w:r w:rsidRPr="00961BAC">
        <w:rPr>
          <w:sz w:val="24"/>
          <w:szCs w:val="24"/>
        </w:rPr>
        <w:t xml:space="preserve"> and approved the submitted manuscript. </w:t>
      </w:r>
      <w:r w:rsidR="0052127A" w:rsidRPr="00961BAC">
        <w:rPr>
          <w:sz w:val="24"/>
          <w:szCs w:val="24"/>
        </w:rPr>
        <w:t>HG</w:t>
      </w:r>
      <w:r w:rsidRPr="00961BAC">
        <w:rPr>
          <w:sz w:val="24"/>
          <w:szCs w:val="24"/>
        </w:rPr>
        <w:t xml:space="preserve"> is guarantor for the overall content.</w:t>
      </w:r>
    </w:p>
    <w:p w14:paraId="7899F6A0" w14:textId="765AD86A" w:rsidR="00DC532C" w:rsidRPr="00961BAC" w:rsidRDefault="00B205F4" w:rsidP="00B205F4">
      <w:pPr>
        <w:rPr>
          <w:sz w:val="24"/>
          <w:szCs w:val="24"/>
        </w:rPr>
      </w:pPr>
      <w:r w:rsidRPr="00961BAC">
        <w:rPr>
          <w:b/>
          <w:bCs/>
          <w:sz w:val="24"/>
          <w:szCs w:val="24"/>
        </w:rPr>
        <w:t xml:space="preserve">Funding: </w:t>
      </w:r>
      <w:r w:rsidRPr="00961BAC">
        <w:rPr>
          <w:sz w:val="24"/>
          <w:szCs w:val="24"/>
        </w:rPr>
        <w:t>This study is funded by the National Institute for Health and Care</w:t>
      </w:r>
      <w:r w:rsidRPr="00961BAC">
        <w:rPr>
          <w:b/>
          <w:bCs/>
          <w:sz w:val="24"/>
          <w:szCs w:val="24"/>
        </w:rPr>
        <w:t xml:space="preserve"> </w:t>
      </w:r>
      <w:r w:rsidRPr="00961BAC">
        <w:rPr>
          <w:sz w:val="24"/>
          <w:szCs w:val="24"/>
        </w:rPr>
        <w:t>Research (NIHR) Cross-programme (HS and DR) COVID-19 (project reference</w:t>
      </w:r>
      <w:r w:rsidRPr="00961BAC">
        <w:rPr>
          <w:b/>
          <w:bCs/>
          <w:sz w:val="24"/>
          <w:szCs w:val="24"/>
        </w:rPr>
        <w:t xml:space="preserve"> </w:t>
      </w:r>
      <w:r w:rsidRPr="00961BAC">
        <w:rPr>
          <w:sz w:val="24"/>
          <w:szCs w:val="24"/>
        </w:rPr>
        <w:t>NIHR132243). The views expressed are those of the authors and not necessarily</w:t>
      </w:r>
      <w:r w:rsidRPr="00961BAC">
        <w:rPr>
          <w:b/>
          <w:bCs/>
          <w:sz w:val="24"/>
          <w:szCs w:val="24"/>
        </w:rPr>
        <w:t xml:space="preserve"> </w:t>
      </w:r>
      <w:r w:rsidRPr="00961BAC">
        <w:rPr>
          <w:sz w:val="24"/>
          <w:szCs w:val="24"/>
        </w:rPr>
        <w:t>those of the NIHR or the Department of Health and Social Care. This report is</w:t>
      </w:r>
      <w:r w:rsidRPr="00961BAC">
        <w:rPr>
          <w:b/>
          <w:bCs/>
          <w:sz w:val="24"/>
          <w:szCs w:val="24"/>
        </w:rPr>
        <w:t xml:space="preserve"> </w:t>
      </w:r>
      <w:r w:rsidRPr="00961BAC">
        <w:rPr>
          <w:sz w:val="24"/>
          <w:szCs w:val="24"/>
        </w:rPr>
        <w:t>independent research supported by the NIHR ARC North Thames, NIHR ARC Wessex</w:t>
      </w:r>
      <w:r w:rsidRPr="00961BAC">
        <w:rPr>
          <w:b/>
          <w:bCs/>
          <w:sz w:val="24"/>
          <w:szCs w:val="24"/>
        </w:rPr>
        <w:t xml:space="preserve"> </w:t>
      </w:r>
      <w:r w:rsidRPr="00961BAC">
        <w:rPr>
          <w:sz w:val="24"/>
          <w:szCs w:val="24"/>
        </w:rPr>
        <w:t xml:space="preserve">and NIHR ARC West. </w:t>
      </w:r>
    </w:p>
    <w:p w14:paraId="6376DB73" w14:textId="5234981D" w:rsidR="000B6D1F" w:rsidRPr="00961BAC" w:rsidRDefault="000B6D1F" w:rsidP="000B6D1F">
      <w:pPr>
        <w:rPr>
          <w:sz w:val="24"/>
          <w:szCs w:val="24"/>
        </w:rPr>
      </w:pPr>
      <w:r w:rsidRPr="00961BAC">
        <w:rPr>
          <w:b/>
          <w:bCs/>
          <w:sz w:val="24"/>
          <w:szCs w:val="24"/>
        </w:rPr>
        <w:t>Competing interests</w:t>
      </w:r>
      <w:r w:rsidRPr="00961BAC">
        <w:rPr>
          <w:sz w:val="24"/>
          <w:szCs w:val="24"/>
        </w:rPr>
        <w:t>: KB's research portfolio is partly funded</w:t>
      </w:r>
      <w:r w:rsidR="002078F4" w:rsidRPr="00961BAC">
        <w:rPr>
          <w:sz w:val="24"/>
          <w:szCs w:val="24"/>
        </w:rPr>
        <w:t xml:space="preserve"> </w:t>
      </w:r>
      <w:r w:rsidRPr="00961BAC">
        <w:rPr>
          <w:sz w:val="24"/>
          <w:szCs w:val="24"/>
        </w:rPr>
        <w:t>by National Institute for Health &amp;</w:t>
      </w:r>
      <w:r w:rsidR="002078F4" w:rsidRPr="00961BAC">
        <w:rPr>
          <w:sz w:val="24"/>
          <w:szCs w:val="24"/>
        </w:rPr>
        <w:t xml:space="preserve"> </w:t>
      </w:r>
      <w:r w:rsidRPr="00961BAC">
        <w:rPr>
          <w:sz w:val="24"/>
          <w:szCs w:val="24"/>
        </w:rPr>
        <w:t>and Care Research (NIHR) Applied Research</w:t>
      </w:r>
      <w:r w:rsidR="002078F4" w:rsidRPr="00961BAC">
        <w:rPr>
          <w:sz w:val="24"/>
          <w:szCs w:val="24"/>
        </w:rPr>
        <w:t xml:space="preserve"> </w:t>
      </w:r>
      <w:r w:rsidRPr="00961BAC">
        <w:rPr>
          <w:sz w:val="24"/>
          <w:szCs w:val="24"/>
        </w:rPr>
        <w:t>Collaboration Wessex. HG reports working as a clinical safety officer for Living With</w:t>
      </w:r>
      <w:r w:rsidR="002078F4" w:rsidRPr="00961BAC">
        <w:rPr>
          <w:sz w:val="24"/>
          <w:szCs w:val="24"/>
        </w:rPr>
        <w:t xml:space="preserve"> </w:t>
      </w:r>
      <w:r w:rsidRPr="00961BAC">
        <w:rPr>
          <w:sz w:val="24"/>
          <w:szCs w:val="24"/>
        </w:rPr>
        <w:t>Ltd. JRH reports receiving personal fees and fees to institution for honorariums</w:t>
      </w:r>
      <w:r w:rsidR="00A320D6" w:rsidRPr="00961BAC">
        <w:rPr>
          <w:sz w:val="24"/>
          <w:szCs w:val="24"/>
        </w:rPr>
        <w:t xml:space="preserve"> </w:t>
      </w:r>
      <w:r w:rsidRPr="00961BAC">
        <w:rPr>
          <w:sz w:val="24"/>
          <w:szCs w:val="24"/>
        </w:rPr>
        <w:t>and consultancy payments from AstraZeneca, Boehringer Ingelheim, Chiesi,</w:t>
      </w:r>
      <w:r w:rsidR="00A320D6" w:rsidRPr="00961BAC">
        <w:rPr>
          <w:sz w:val="24"/>
          <w:szCs w:val="24"/>
        </w:rPr>
        <w:t xml:space="preserve"> </w:t>
      </w:r>
      <w:r w:rsidRPr="00961BAC">
        <w:rPr>
          <w:sz w:val="24"/>
          <w:szCs w:val="24"/>
        </w:rPr>
        <w:t>GlaxoSmithKline and Takeda, and also sponsorship for attending meetings from</w:t>
      </w:r>
      <w:r w:rsidR="00A320D6" w:rsidRPr="00961BAC">
        <w:rPr>
          <w:sz w:val="24"/>
          <w:szCs w:val="24"/>
        </w:rPr>
        <w:t xml:space="preserve"> </w:t>
      </w:r>
      <w:r w:rsidRPr="00961BAC">
        <w:rPr>
          <w:sz w:val="24"/>
          <w:szCs w:val="24"/>
        </w:rPr>
        <w:t>AstraZeneca and GlaxoSmithKline. PEP reports</w:t>
      </w:r>
      <w:r w:rsidR="00E64A64" w:rsidRPr="00961BAC">
        <w:rPr>
          <w:sz w:val="24"/>
          <w:szCs w:val="24"/>
        </w:rPr>
        <w:t xml:space="preserve"> </w:t>
      </w:r>
      <w:r w:rsidRPr="00961BAC">
        <w:rPr>
          <w:sz w:val="24"/>
          <w:szCs w:val="24"/>
        </w:rPr>
        <w:t>grants from the Medical Research Council and NIHR outside the submitted work. All</w:t>
      </w:r>
      <w:r w:rsidR="00E64A64" w:rsidRPr="00961BAC">
        <w:rPr>
          <w:sz w:val="24"/>
          <w:szCs w:val="24"/>
        </w:rPr>
        <w:t xml:space="preserve"> </w:t>
      </w:r>
      <w:r w:rsidRPr="00961BAC">
        <w:rPr>
          <w:sz w:val="24"/>
          <w:szCs w:val="24"/>
        </w:rPr>
        <w:t>other authors declare no competing interests.</w:t>
      </w:r>
    </w:p>
    <w:p w14:paraId="4CCC5C58" w14:textId="6FBCA317" w:rsidR="00817DF6" w:rsidRPr="00961BAC" w:rsidRDefault="00817DF6" w:rsidP="00817DF6">
      <w:pPr>
        <w:rPr>
          <w:sz w:val="24"/>
          <w:szCs w:val="24"/>
        </w:rPr>
      </w:pPr>
      <w:r w:rsidRPr="00961BAC">
        <w:rPr>
          <w:b/>
          <w:bCs/>
          <w:sz w:val="24"/>
          <w:szCs w:val="24"/>
        </w:rPr>
        <w:t>Ethics approval</w:t>
      </w:r>
      <w:r w:rsidRPr="00961BAC">
        <w:rPr>
          <w:sz w:val="24"/>
          <w:szCs w:val="24"/>
        </w:rPr>
        <w:t>: This study involves human participants and was approved by the East Midlands–Derby Research Ethics Committee (reference 288199). Data were routinely collected in the Living With Digital Health Interface as part of clinical care. Patient consent was not required.</w:t>
      </w:r>
    </w:p>
    <w:p w14:paraId="4C3E8DD0" w14:textId="3755FDC6" w:rsidR="00292A0F" w:rsidRPr="00961BAC" w:rsidRDefault="00292A0F" w:rsidP="00292A0F">
      <w:pPr>
        <w:rPr>
          <w:sz w:val="24"/>
          <w:szCs w:val="24"/>
        </w:rPr>
      </w:pPr>
      <w:r w:rsidRPr="00961BAC">
        <w:rPr>
          <w:b/>
          <w:bCs/>
          <w:sz w:val="24"/>
          <w:szCs w:val="24"/>
        </w:rPr>
        <w:t>Data availability statement:</w:t>
      </w:r>
      <w:r w:rsidRPr="00961BAC">
        <w:rPr>
          <w:sz w:val="24"/>
          <w:szCs w:val="24"/>
        </w:rPr>
        <w:t xml:space="preserve"> Data are available upon reasonable request. To request access to the underlying research data, please contact </w:t>
      </w:r>
      <w:r w:rsidR="00E46F35" w:rsidRPr="00961BAC">
        <w:rPr>
          <w:sz w:val="24"/>
          <w:szCs w:val="24"/>
        </w:rPr>
        <w:t>Dr Henry Goodfellow: henry.goodfellow@nhs.net.</w:t>
      </w:r>
    </w:p>
    <w:p w14:paraId="63547E81" w14:textId="77777777" w:rsidR="00DC532C" w:rsidRDefault="00DC532C" w:rsidP="00B205F4">
      <w:pPr>
        <w:rPr>
          <w:b/>
          <w:bCs/>
          <w:sz w:val="24"/>
          <w:szCs w:val="24"/>
        </w:rPr>
      </w:pPr>
    </w:p>
    <w:p w14:paraId="19F53637" w14:textId="2B0FB9D7" w:rsidR="001257C9" w:rsidRPr="002506FA" w:rsidRDefault="001257C9" w:rsidP="002506FA">
      <w:pPr>
        <w:rPr>
          <w:b/>
          <w:bCs/>
          <w:sz w:val="24"/>
          <w:szCs w:val="24"/>
        </w:rPr>
      </w:pPr>
      <w:r>
        <w:rPr>
          <w:b/>
          <w:bCs/>
          <w:sz w:val="24"/>
          <w:szCs w:val="24"/>
        </w:rPr>
        <w:t>FIGURES</w:t>
      </w:r>
    </w:p>
    <w:p w14:paraId="2EBC576F" w14:textId="42A47AAB" w:rsidR="001257C9" w:rsidRDefault="001257C9" w:rsidP="001257C9">
      <w:pPr>
        <w:jc w:val="both"/>
        <w:rPr>
          <w:sz w:val="24"/>
          <w:szCs w:val="24"/>
        </w:rPr>
      </w:pPr>
      <w:r w:rsidRPr="001257C9">
        <w:rPr>
          <w:b/>
          <w:bCs/>
          <w:sz w:val="24"/>
          <w:szCs w:val="24"/>
        </w:rPr>
        <w:t>Figure 1</w:t>
      </w:r>
      <w:r w:rsidR="002506FA">
        <w:rPr>
          <w:b/>
          <w:bCs/>
          <w:sz w:val="24"/>
          <w:szCs w:val="24"/>
        </w:rPr>
        <w:t>:</w:t>
      </w:r>
      <w:r w:rsidRPr="00961BAC">
        <w:rPr>
          <w:sz w:val="24"/>
          <w:szCs w:val="24"/>
        </w:rPr>
        <w:t xml:space="preserve"> (A) Estimated trajectories of the Work and Social Adjustment Scale (WSAS) over the 6-month follow up (FU). (B) Observed trajectories according to completion status of the WSAS questionnaire: 1) WSAS completed within the first month of registration (baseline) only; 2) WSAS completed at baseline and follow-up between 2 and 5 months after registration 3) WSAS completed at baseline and follow-up until at least 6 months after registration. A WSAS score of 20 (dashed line) or more is considered to indicate moderately severe or worse functional impairment.</w:t>
      </w:r>
    </w:p>
    <w:p w14:paraId="50199D91" w14:textId="77777777" w:rsidR="001257C9" w:rsidRDefault="001257C9" w:rsidP="001257C9">
      <w:pPr>
        <w:jc w:val="both"/>
        <w:rPr>
          <w:sz w:val="24"/>
          <w:szCs w:val="24"/>
        </w:rPr>
      </w:pPr>
    </w:p>
    <w:p w14:paraId="0AEF68A2" w14:textId="5BB3DCAB" w:rsidR="001257C9" w:rsidRPr="00961BAC" w:rsidRDefault="002506FA" w:rsidP="001257C9">
      <w:pPr>
        <w:jc w:val="both"/>
        <w:rPr>
          <w:sz w:val="24"/>
          <w:szCs w:val="24"/>
        </w:rPr>
      </w:pPr>
      <w:r w:rsidRPr="002506FA">
        <w:rPr>
          <w:b/>
          <w:bCs/>
          <w:sz w:val="24"/>
          <w:szCs w:val="24"/>
        </w:rPr>
        <w:t>Figure 2:</w:t>
      </w:r>
      <w:r w:rsidRPr="00961BAC">
        <w:rPr>
          <w:sz w:val="24"/>
          <w:szCs w:val="24"/>
        </w:rPr>
        <w:t xml:space="preserve"> (A) Estimated trajectories of the EQ-5D-5L over the 6-month follow up (FU). (B) Observed trajectories according to completion status of the EQ-5D-5L questionnaire: 1) EQ-5D-5L completed within the first month of registration (baseline) only; 2) EQ-5D-5L completed at baseline and follow-up between 2 and 5 months after registration 3) EQ-5D-5L completed at baseline and follow-up until at least 6 months after registration</w:t>
      </w:r>
    </w:p>
    <w:p w14:paraId="741E44D3" w14:textId="038EC41A" w:rsidR="00A065F0" w:rsidRPr="00961BAC" w:rsidRDefault="000F4ECC" w:rsidP="008472E9">
      <w:pPr>
        <w:jc w:val="both"/>
        <w:rPr>
          <w:b/>
          <w:bCs/>
          <w:sz w:val="24"/>
          <w:szCs w:val="24"/>
        </w:rPr>
      </w:pPr>
      <w:r w:rsidRPr="00961BAC">
        <w:rPr>
          <w:b/>
          <w:bCs/>
          <w:sz w:val="24"/>
          <w:szCs w:val="24"/>
        </w:rPr>
        <w:t>REFERENCES</w:t>
      </w:r>
    </w:p>
    <w:p w14:paraId="54B7A7B8" w14:textId="640087A1" w:rsidR="00FD4C2C" w:rsidRPr="00961BAC" w:rsidRDefault="00A065F0" w:rsidP="00FD4C2C">
      <w:pPr>
        <w:pStyle w:val="EndNoteBibliography"/>
        <w:spacing w:after="0"/>
        <w:ind w:left="720" w:hanging="720"/>
      </w:pPr>
      <w:r w:rsidRPr="00961BAC">
        <w:rPr>
          <w:b/>
          <w:bCs/>
          <w:sz w:val="24"/>
          <w:szCs w:val="24"/>
        </w:rPr>
        <w:fldChar w:fldCharType="begin"/>
      </w:r>
      <w:r w:rsidRPr="00961BAC">
        <w:rPr>
          <w:b/>
          <w:bCs/>
          <w:sz w:val="24"/>
          <w:szCs w:val="24"/>
        </w:rPr>
        <w:instrText xml:space="preserve"> ADDIN EN.REFLIST </w:instrText>
      </w:r>
      <w:r w:rsidRPr="00961BAC">
        <w:rPr>
          <w:b/>
          <w:bCs/>
          <w:sz w:val="24"/>
          <w:szCs w:val="24"/>
        </w:rPr>
        <w:fldChar w:fldCharType="separate"/>
      </w:r>
      <w:r w:rsidR="00FD4C2C" w:rsidRPr="00961BAC">
        <w:t xml:space="preserve">1. National Institute for Health and Care Excellence. COVID-19 rapid guideline: managing the long-term effects of COVID-19 2024 [Available from: </w:t>
      </w:r>
      <w:hyperlink r:id="rId9" w:history="1">
        <w:r w:rsidR="00FD4C2C" w:rsidRPr="00961BAC">
          <w:rPr>
            <w:rStyle w:val="Hyperlink"/>
          </w:rPr>
          <w:t>https://www.nice.org.uk/guidance/ng188</w:t>
        </w:r>
      </w:hyperlink>
      <w:r w:rsidR="00FD4C2C" w:rsidRPr="00961BAC">
        <w:t>.</w:t>
      </w:r>
    </w:p>
    <w:p w14:paraId="4CBFABFA" w14:textId="77777777" w:rsidR="00FD4C2C" w:rsidRPr="00961BAC" w:rsidRDefault="00FD4C2C" w:rsidP="00FD4C2C">
      <w:pPr>
        <w:pStyle w:val="EndNoteBibliography"/>
        <w:spacing w:after="0"/>
        <w:ind w:left="720" w:hanging="720"/>
      </w:pPr>
      <w:r w:rsidRPr="00961BAC">
        <w:rPr>
          <w:lang w:val="nl-NL"/>
        </w:rPr>
        <w:t xml:space="preserve">2. Rajan S, Khunti K, Alwan N, et al. </w:t>
      </w:r>
      <w:r w:rsidRPr="00961BAC">
        <w:t xml:space="preserve">In the wake of the pandemic. </w:t>
      </w:r>
      <w:r w:rsidRPr="00961BAC">
        <w:rPr>
          <w:i/>
        </w:rPr>
        <w:t>Preparing for Long COVID Policy Brief</w:t>
      </w:r>
      <w:r w:rsidRPr="00961BAC">
        <w:t xml:space="preserve"> 2021;39</w:t>
      </w:r>
    </w:p>
    <w:p w14:paraId="24C92B08" w14:textId="3792BEC4" w:rsidR="00FD4C2C" w:rsidRPr="00961BAC" w:rsidRDefault="00FD4C2C" w:rsidP="00FD4C2C">
      <w:pPr>
        <w:pStyle w:val="EndNoteBibliography"/>
        <w:spacing w:after="0"/>
        <w:ind w:left="720" w:hanging="720"/>
      </w:pPr>
      <w:r w:rsidRPr="00961BAC">
        <w:t xml:space="preserve">3. Office for National Statistics. Prevalence of ongoing symptoms following coronavirus (COVID-19) infection in the UK: 30 March 2023 2023 [Available from: </w:t>
      </w:r>
      <w:hyperlink r:id="rId10" w:history="1">
        <w:r w:rsidRPr="00961BAC">
          <w:rPr>
            <w:rStyle w:val="Hyperlink"/>
          </w:rPr>
          <w:t>https://www.ons.gov.uk/peoplepopulationandcommunity/healthandsocialcare/conditionsanddiseases/bulletins/prevalenceofongoingsymptomsfollowingcoronaviruscovid19infectionintheuk/30march2023</w:t>
        </w:r>
      </w:hyperlink>
      <w:r w:rsidRPr="00961BAC">
        <w:t>.</w:t>
      </w:r>
    </w:p>
    <w:p w14:paraId="099CA692" w14:textId="77777777" w:rsidR="00FD4C2C" w:rsidRPr="00961BAC" w:rsidRDefault="00FD4C2C" w:rsidP="00FD4C2C">
      <w:pPr>
        <w:pStyle w:val="EndNoteBibliography"/>
        <w:spacing w:after="0"/>
        <w:ind w:left="720" w:hanging="720"/>
      </w:pPr>
      <w:r w:rsidRPr="00961BAC">
        <w:t xml:space="preserve">4. Davis HE, Assaf GS, McCorkell L, et al. Characterizing long COVID in an international cohort: 7 months of symptoms and their impact. </w:t>
      </w:r>
      <w:r w:rsidRPr="00961BAC">
        <w:rPr>
          <w:i/>
        </w:rPr>
        <w:t>EClinicalMedicine</w:t>
      </w:r>
      <w:r w:rsidRPr="00961BAC">
        <w:t xml:space="preserve"> 2021;38</w:t>
      </w:r>
    </w:p>
    <w:p w14:paraId="22C7CF90" w14:textId="77777777" w:rsidR="00FD4C2C" w:rsidRPr="00961BAC" w:rsidRDefault="00FD4C2C" w:rsidP="00FD4C2C">
      <w:pPr>
        <w:pStyle w:val="EndNoteBibliography"/>
        <w:spacing w:after="0"/>
        <w:ind w:left="720" w:hanging="720"/>
      </w:pPr>
      <w:r w:rsidRPr="00961BAC">
        <w:t xml:space="preserve">5. Kwon J, Milne R, Rayner C, et al. Impact of Long COVID on productivity and informal caregiving. </w:t>
      </w:r>
      <w:r w:rsidRPr="00961BAC">
        <w:rPr>
          <w:i/>
        </w:rPr>
        <w:t>The European Journal of Health Economics</w:t>
      </w:r>
      <w:r w:rsidRPr="00961BAC">
        <w:t xml:space="preserve"> 2023</w:t>
      </w:r>
    </w:p>
    <w:p w14:paraId="1008A0C3" w14:textId="77777777" w:rsidR="00FD4C2C" w:rsidRPr="00961BAC" w:rsidRDefault="00FD4C2C" w:rsidP="00FD4C2C">
      <w:pPr>
        <w:pStyle w:val="EndNoteBibliography"/>
        <w:spacing w:after="0"/>
        <w:ind w:left="720" w:hanging="720"/>
      </w:pPr>
      <w:r w:rsidRPr="00961BAC">
        <w:t xml:space="preserve">6. Crook H, Raza S, Nowell J, et al. Long covid—mechanisms, risk factors, and management. </w:t>
      </w:r>
      <w:r w:rsidRPr="00961BAC">
        <w:rPr>
          <w:i/>
        </w:rPr>
        <w:t>bmj</w:t>
      </w:r>
      <w:r w:rsidRPr="00961BAC">
        <w:t xml:space="preserve"> 2021;374</w:t>
      </w:r>
    </w:p>
    <w:p w14:paraId="3DF596D8" w14:textId="77777777" w:rsidR="00FD4C2C" w:rsidRPr="00961BAC" w:rsidRDefault="00FD4C2C" w:rsidP="00FD4C2C">
      <w:pPr>
        <w:pStyle w:val="EndNoteBibliography"/>
        <w:spacing w:after="0"/>
        <w:ind w:left="720" w:hanging="720"/>
      </w:pPr>
      <w:r w:rsidRPr="00961BAC">
        <w:t xml:space="preserve">7. Walker S, Goodfellow H, Pookarnjanamorakot P, et al. Impact of fatigue as the primary determinant of functional limitations among patients with post-COVID-19 syndrome: a cross-sectional observational study. </w:t>
      </w:r>
      <w:r w:rsidRPr="00961BAC">
        <w:rPr>
          <w:i/>
        </w:rPr>
        <w:t>BMJ open</w:t>
      </w:r>
      <w:r w:rsidRPr="00961BAC">
        <w:t xml:space="preserve"> 2023;13(6):e069217.</w:t>
      </w:r>
    </w:p>
    <w:p w14:paraId="6D6E65A6" w14:textId="77777777" w:rsidR="00FD4C2C" w:rsidRPr="00961BAC" w:rsidRDefault="00FD4C2C" w:rsidP="00FD4C2C">
      <w:pPr>
        <w:pStyle w:val="EndNoteBibliography"/>
        <w:spacing w:after="0"/>
        <w:ind w:left="720" w:hanging="720"/>
      </w:pPr>
      <w:r w:rsidRPr="00961BAC">
        <w:t xml:space="preserve">8. Murray E, Goodfellow H, Bindman J, et al. Development, deployment and evaluation of digitally enabled, remote, supported rehabilitation for people with long COVID-19 (Living With COVID-19 Recovery): protocol for a mixed-methods study. </w:t>
      </w:r>
      <w:r w:rsidRPr="00961BAC">
        <w:rPr>
          <w:i/>
        </w:rPr>
        <w:t>BMJ open</w:t>
      </w:r>
      <w:r w:rsidRPr="00961BAC">
        <w:t xml:space="preserve"> 2022;12(2):e057408.</w:t>
      </w:r>
    </w:p>
    <w:p w14:paraId="5BBD784A" w14:textId="77777777" w:rsidR="00FD4C2C" w:rsidRPr="00961BAC" w:rsidRDefault="00FD4C2C" w:rsidP="00FD4C2C">
      <w:pPr>
        <w:pStyle w:val="EndNoteBibliography"/>
        <w:spacing w:after="0"/>
        <w:ind w:left="720" w:hanging="720"/>
      </w:pPr>
      <w:r w:rsidRPr="00961BAC">
        <w:t xml:space="preserve">9. Nittas V, Gao M, West EA, et al. Long COVID through a public health lens: an umbrella review. </w:t>
      </w:r>
      <w:r w:rsidRPr="00961BAC">
        <w:rPr>
          <w:i/>
        </w:rPr>
        <w:t>Public health reviews</w:t>
      </w:r>
      <w:r w:rsidRPr="00961BAC">
        <w:t xml:space="preserve"> 2022;43:1604501.</w:t>
      </w:r>
    </w:p>
    <w:p w14:paraId="7A8EB41D" w14:textId="77777777" w:rsidR="00FD4C2C" w:rsidRPr="00961BAC" w:rsidRDefault="00FD4C2C" w:rsidP="00FD4C2C">
      <w:pPr>
        <w:pStyle w:val="EndNoteBibliography"/>
        <w:spacing w:after="0"/>
        <w:ind w:left="720" w:hanging="720"/>
      </w:pPr>
      <w:r w:rsidRPr="00961BAC">
        <w:t xml:space="preserve">10. Mundt JC, Marks IM, Shear MK, et al. The Work and Social Adjustment Scale: a simple measure of impairment in functioning. </w:t>
      </w:r>
      <w:r w:rsidRPr="00961BAC">
        <w:rPr>
          <w:i/>
        </w:rPr>
        <w:t>The British Journal of Psychiatry</w:t>
      </w:r>
      <w:r w:rsidRPr="00961BAC">
        <w:t xml:space="preserve"> 2002;180(5):461-64.</w:t>
      </w:r>
    </w:p>
    <w:p w14:paraId="04985E04" w14:textId="77777777" w:rsidR="00FD4C2C" w:rsidRPr="00961BAC" w:rsidRDefault="00FD4C2C" w:rsidP="00FD4C2C">
      <w:pPr>
        <w:pStyle w:val="EndNoteBibliography"/>
        <w:spacing w:after="0"/>
        <w:ind w:left="720" w:hanging="720"/>
      </w:pPr>
      <w:r w:rsidRPr="00961BAC">
        <w:t xml:space="preserve">11. Cozza SJ, Shear MK, Reynolds CF, et al. Optimizing the clinical utility of four proposed criteria for a persistent and impairing grief disorder by emphasizing core, rather than associated symptoms. </w:t>
      </w:r>
      <w:r w:rsidRPr="00961BAC">
        <w:rPr>
          <w:i/>
        </w:rPr>
        <w:t>Psychological Medicine</w:t>
      </w:r>
      <w:r w:rsidRPr="00961BAC">
        <w:t xml:space="preserve"> 2020;50(3):438-45.</w:t>
      </w:r>
    </w:p>
    <w:p w14:paraId="22AE2DA3" w14:textId="77777777" w:rsidR="00FD4C2C" w:rsidRPr="00961BAC" w:rsidRDefault="00FD4C2C" w:rsidP="00FD4C2C">
      <w:pPr>
        <w:pStyle w:val="EndNoteBibliography"/>
        <w:spacing w:after="0"/>
        <w:ind w:left="720" w:hanging="720"/>
      </w:pPr>
      <w:r w:rsidRPr="00961BAC">
        <w:t xml:space="preserve">12. Piper BF, Cella D. Cancer-related fatigue: definitions and clinical subtypes. </w:t>
      </w:r>
      <w:r w:rsidRPr="00961BAC">
        <w:rPr>
          <w:i/>
        </w:rPr>
        <w:t>Journal of the National Comprehensive Cancer Network</w:t>
      </w:r>
      <w:r w:rsidRPr="00961BAC">
        <w:t xml:space="preserve"> 2010;8(8):958-66.</w:t>
      </w:r>
    </w:p>
    <w:p w14:paraId="7E8A1999" w14:textId="77777777" w:rsidR="00FD4C2C" w:rsidRPr="00961BAC" w:rsidRDefault="00FD4C2C" w:rsidP="00FD4C2C">
      <w:pPr>
        <w:pStyle w:val="EndNoteBibliography"/>
        <w:spacing w:after="0"/>
        <w:ind w:left="720" w:hanging="720"/>
      </w:pPr>
      <w:r w:rsidRPr="00961BAC">
        <w:rPr>
          <w:lang w:val="fr-FR"/>
        </w:rPr>
        <w:t xml:space="preserve">13. Devlin NJ, Shah KK, Feng Y, et al. </w:t>
      </w:r>
      <w:r w:rsidRPr="00961BAC">
        <w:t xml:space="preserve">Valuing health‐related quality of life: An EQ‐5 D‐5 L value set for E ngland. </w:t>
      </w:r>
      <w:r w:rsidRPr="00961BAC">
        <w:rPr>
          <w:i/>
        </w:rPr>
        <w:t>Health economics</w:t>
      </w:r>
      <w:r w:rsidRPr="00961BAC">
        <w:t xml:space="preserve"> 2018;27(1):7-22.</w:t>
      </w:r>
    </w:p>
    <w:p w14:paraId="615ADF63" w14:textId="77777777" w:rsidR="00FD4C2C" w:rsidRPr="00961BAC" w:rsidRDefault="00FD4C2C" w:rsidP="00FD4C2C">
      <w:pPr>
        <w:pStyle w:val="EndNoteBibliography"/>
        <w:spacing w:after="0"/>
        <w:ind w:left="720" w:hanging="720"/>
      </w:pPr>
      <w:r w:rsidRPr="00961BAC">
        <w:t>14. Lesley A. Curtis AB. Unit Costs of Health and Social Care 2020. Personal Social Services Research Unit, University of Kent, Canterbury2021.</w:t>
      </w:r>
    </w:p>
    <w:p w14:paraId="7BF06F4F" w14:textId="152B55C3" w:rsidR="00FD4C2C" w:rsidRPr="00961BAC" w:rsidRDefault="00FD4C2C" w:rsidP="00FD4C2C">
      <w:pPr>
        <w:pStyle w:val="EndNoteBibliography"/>
        <w:spacing w:after="0"/>
        <w:ind w:left="720" w:hanging="720"/>
      </w:pPr>
      <w:r w:rsidRPr="00961BAC">
        <w:t xml:space="preserve">15. National Health Service. National Tariff 2020 [Available from: </w:t>
      </w:r>
      <w:hyperlink r:id="rId11" w:history="1">
        <w:r w:rsidRPr="00961BAC">
          <w:rPr>
            <w:rStyle w:val="Hyperlink"/>
          </w:rPr>
          <w:t>https://www.england.nhs.uk/pay-syst/national-tariff/</w:t>
        </w:r>
      </w:hyperlink>
      <w:r w:rsidRPr="00961BAC">
        <w:t>.</w:t>
      </w:r>
    </w:p>
    <w:p w14:paraId="2B2B07FF" w14:textId="571CF778" w:rsidR="00FD4C2C" w:rsidRPr="00961BAC" w:rsidRDefault="00FD4C2C" w:rsidP="00FD4C2C">
      <w:pPr>
        <w:pStyle w:val="EndNoteBibliography"/>
        <w:spacing w:after="0"/>
        <w:ind w:left="720" w:hanging="720"/>
      </w:pPr>
      <w:r w:rsidRPr="00961BAC">
        <w:t xml:space="preserve">16. Office for National Statistics. Average hourly pay 2021 [Available from: </w:t>
      </w:r>
      <w:hyperlink r:id="rId12" w:history="1">
        <w:r w:rsidRPr="00961BAC">
          <w:rPr>
            <w:rStyle w:val="Hyperlink"/>
          </w:rPr>
          <w:t>https://www.ethnicity-facts-figures.service.gov.uk/work-pay-and-benefits/pay-and-income/average-hourly-pay/latest</w:t>
        </w:r>
      </w:hyperlink>
      <w:r w:rsidRPr="00961BAC">
        <w:t>.</w:t>
      </w:r>
    </w:p>
    <w:p w14:paraId="65D8DDFD" w14:textId="77777777" w:rsidR="00FD4C2C" w:rsidRPr="00961BAC" w:rsidRDefault="00FD4C2C" w:rsidP="00FD4C2C">
      <w:pPr>
        <w:pStyle w:val="EndNoteBibliography"/>
        <w:spacing w:after="0"/>
        <w:ind w:left="720" w:hanging="720"/>
      </w:pPr>
      <w:r w:rsidRPr="0079068F">
        <w:t xml:space="preserve">17. Hommel M, Trabucco-Miguel S, Joray S, et al. </w:t>
      </w:r>
      <w:r w:rsidRPr="00961BAC">
        <w:t xml:space="preserve">Social dysfunctioning after mild to moderate first-ever stroke at vocational age. </w:t>
      </w:r>
      <w:r w:rsidRPr="00961BAC">
        <w:rPr>
          <w:i/>
        </w:rPr>
        <w:t>Journal of Neurology, Neurosurgery &amp; Psychiatry</w:t>
      </w:r>
      <w:r w:rsidRPr="00961BAC">
        <w:t xml:space="preserve"> 2009;80(4):371-75.</w:t>
      </w:r>
    </w:p>
    <w:p w14:paraId="7D2E5A12" w14:textId="77777777" w:rsidR="00FD4C2C" w:rsidRPr="00961BAC" w:rsidRDefault="00FD4C2C" w:rsidP="00FD4C2C">
      <w:pPr>
        <w:pStyle w:val="EndNoteBibliography"/>
        <w:spacing w:after="0"/>
        <w:ind w:left="720" w:hanging="720"/>
      </w:pPr>
      <w:r w:rsidRPr="00961BAC">
        <w:t xml:space="preserve">18. Zahra D, Qureshi A, Henley W, et al. The work and social adjustment scale: reliability, sensitivity and value. </w:t>
      </w:r>
      <w:r w:rsidRPr="00961BAC">
        <w:rPr>
          <w:i/>
        </w:rPr>
        <w:t>International journal of psychiatry in clinical practice</w:t>
      </w:r>
      <w:r w:rsidRPr="00961BAC">
        <w:t xml:space="preserve"> 2014;18(2):131-38.</w:t>
      </w:r>
    </w:p>
    <w:p w14:paraId="6EC0BBB7" w14:textId="77777777" w:rsidR="00FD4C2C" w:rsidRPr="00961BAC" w:rsidRDefault="00FD4C2C" w:rsidP="00FD4C2C">
      <w:pPr>
        <w:pStyle w:val="EndNoteBibliography"/>
        <w:spacing w:after="0"/>
        <w:ind w:left="720" w:hanging="720"/>
      </w:pPr>
      <w:r w:rsidRPr="00961BAC">
        <w:t xml:space="preserve">19. Paracha N, Abdulla A, MacGilchrist KS. Systematic review of health state utility values in metastatic non-small cell lung cancer with a focus on previously treated patients. </w:t>
      </w:r>
      <w:r w:rsidRPr="00961BAC">
        <w:rPr>
          <w:i/>
        </w:rPr>
        <w:t>Health and quality of life outcomes</w:t>
      </w:r>
      <w:r w:rsidRPr="00961BAC">
        <w:t xml:space="preserve"> 2018;16:1-30.</w:t>
      </w:r>
    </w:p>
    <w:p w14:paraId="2C944F7E" w14:textId="77777777" w:rsidR="00FD4C2C" w:rsidRPr="00961BAC" w:rsidRDefault="00FD4C2C" w:rsidP="00FD4C2C">
      <w:pPr>
        <w:pStyle w:val="EndNoteBibliography"/>
        <w:spacing w:after="0"/>
        <w:ind w:left="720" w:hanging="720"/>
      </w:pPr>
      <w:r w:rsidRPr="00961BAC">
        <w:t xml:space="preserve">20. Pourrahmat M-M, Kim A, Kansal AR, et al. Health state utility values by cancer stage: a systematic literature review. </w:t>
      </w:r>
      <w:r w:rsidRPr="00961BAC">
        <w:rPr>
          <w:i/>
        </w:rPr>
        <w:t>The European Journal of Health Economics</w:t>
      </w:r>
      <w:r w:rsidRPr="00961BAC">
        <w:t xml:space="preserve"> 2021;22(8):1275-88.</w:t>
      </w:r>
    </w:p>
    <w:p w14:paraId="36FBC259" w14:textId="77777777" w:rsidR="00FD4C2C" w:rsidRPr="00961BAC" w:rsidRDefault="00FD4C2C" w:rsidP="00FD4C2C">
      <w:pPr>
        <w:pStyle w:val="EndNoteBibliography"/>
        <w:spacing w:after="0"/>
        <w:ind w:left="720" w:hanging="720"/>
      </w:pPr>
      <w:r w:rsidRPr="00961BAC">
        <w:t xml:space="preserve">21. Ballouz T, Menges D, Anagnostopoulos A, et al. Recovery and symptom trajectories up to two years after SARS-CoV-2 infection: population based, longitudinal cohort study. </w:t>
      </w:r>
      <w:r w:rsidRPr="00961BAC">
        <w:rPr>
          <w:i/>
        </w:rPr>
        <w:t>bmj</w:t>
      </w:r>
      <w:r w:rsidRPr="00961BAC">
        <w:t xml:space="preserve"> 2023;381</w:t>
      </w:r>
    </w:p>
    <w:p w14:paraId="7280C861" w14:textId="77777777" w:rsidR="00FD4C2C" w:rsidRPr="00961BAC" w:rsidRDefault="00FD4C2C" w:rsidP="00FD4C2C">
      <w:pPr>
        <w:pStyle w:val="EndNoteBibliography"/>
        <w:spacing w:after="0"/>
        <w:ind w:left="720" w:hanging="720"/>
      </w:pPr>
      <w:r w:rsidRPr="00961BAC">
        <w:rPr>
          <w:lang w:val="it-IT"/>
        </w:rPr>
        <w:t xml:space="preserve">22. Canas LS, Molteni E, Deng J, et al. </w:t>
      </w:r>
      <w:r w:rsidRPr="00961BAC">
        <w:t xml:space="preserve">Profiling post-COVID-19 condition across different variants of SARS-CoV-2: a prospective longitudinal study in unvaccinated wild-type, unvaccinated alpha-variant, and vaccinated delta-variant populations. </w:t>
      </w:r>
      <w:r w:rsidRPr="00961BAC">
        <w:rPr>
          <w:i/>
        </w:rPr>
        <w:t>The Lancet Digital Health</w:t>
      </w:r>
      <w:r w:rsidRPr="00961BAC">
        <w:t xml:space="preserve"> 2023;5(7):e421-e34.</w:t>
      </w:r>
    </w:p>
    <w:p w14:paraId="6C3BAD20" w14:textId="77777777" w:rsidR="00FD4C2C" w:rsidRPr="00961BAC" w:rsidRDefault="00FD4C2C" w:rsidP="00FD4C2C">
      <w:pPr>
        <w:pStyle w:val="EndNoteBibliography"/>
        <w:spacing w:after="0"/>
        <w:ind w:left="720" w:hanging="720"/>
      </w:pPr>
      <w:r w:rsidRPr="00961BAC">
        <w:t xml:space="preserve">23. Mateu L, Tebe C, Loste C, et al. Determinants of the onset and prognosis of the post-COVID-19 condition: a 2-year prospective observational cohort study. </w:t>
      </w:r>
      <w:r w:rsidRPr="00961BAC">
        <w:rPr>
          <w:i/>
        </w:rPr>
        <w:t>The Lancet Regional Health–Europe</w:t>
      </w:r>
      <w:r w:rsidRPr="00961BAC">
        <w:t xml:space="preserve"> 2023;33</w:t>
      </w:r>
    </w:p>
    <w:p w14:paraId="2FB57DA5" w14:textId="77777777" w:rsidR="00FD4C2C" w:rsidRPr="00961BAC" w:rsidRDefault="00FD4C2C" w:rsidP="00FD4C2C">
      <w:pPr>
        <w:pStyle w:val="EndNoteBibliography"/>
        <w:spacing w:after="0"/>
        <w:ind w:left="720" w:hanging="720"/>
        <w:rPr>
          <w:lang w:val="fr-FR"/>
        </w:rPr>
      </w:pPr>
      <w:r w:rsidRPr="00961BAC">
        <w:t xml:space="preserve">24. Peter RS, Nieters A, Kräusslich H-G, et al. Post-acute sequelae of covid-19 six to 12 months after infection: population based study. </w:t>
      </w:r>
      <w:r w:rsidRPr="00961BAC">
        <w:rPr>
          <w:i/>
          <w:lang w:val="fr-FR"/>
        </w:rPr>
        <w:t>Bmj</w:t>
      </w:r>
      <w:r w:rsidRPr="00961BAC">
        <w:rPr>
          <w:lang w:val="fr-FR"/>
        </w:rPr>
        <w:t xml:space="preserve"> 2022;379</w:t>
      </w:r>
    </w:p>
    <w:p w14:paraId="7F3AA81A" w14:textId="77777777" w:rsidR="00FD4C2C" w:rsidRPr="00961BAC" w:rsidRDefault="00FD4C2C" w:rsidP="00FD4C2C">
      <w:pPr>
        <w:pStyle w:val="EndNoteBibliography"/>
        <w:spacing w:after="0"/>
        <w:ind w:left="720" w:hanging="720"/>
      </w:pPr>
      <w:r w:rsidRPr="00961BAC">
        <w:rPr>
          <w:lang w:val="fr-FR"/>
        </w:rPr>
        <w:t xml:space="preserve">25. Tran V-T, Porcher R, Pane I, et al. </w:t>
      </w:r>
      <w:r w:rsidRPr="00961BAC">
        <w:t xml:space="preserve">Course of post COVID-19 disease symptoms over time in the ComPaRe long COVID prospective e-cohort. </w:t>
      </w:r>
      <w:r w:rsidRPr="00961BAC">
        <w:rPr>
          <w:i/>
        </w:rPr>
        <w:t>Nature communications</w:t>
      </w:r>
      <w:r w:rsidRPr="00961BAC">
        <w:t xml:space="preserve"> 2022;13(1):1812.</w:t>
      </w:r>
    </w:p>
    <w:p w14:paraId="7D290D60" w14:textId="77777777" w:rsidR="00FD4C2C" w:rsidRPr="00961BAC" w:rsidRDefault="00FD4C2C" w:rsidP="00FD4C2C">
      <w:pPr>
        <w:pStyle w:val="EndNoteBibliography"/>
        <w:spacing w:after="0"/>
        <w:ind w:left="720" w:hanging="720"/>
      </w:pPr>
      <w:r w:rsidRPr="00961BAC">
        <w:t xml:space="preserve">26. Gualano MR, Rossi MF, Borrelli I, et al. Returning to work and the impact of post COVID-19 condition: A systematic review. </w:t>
      </w:r>
      <w:r w:rsidRPr="00961BAC">
        <w:rPr>
          <w:i/>
        </w:rPr>
        <w:t>Work</w:t>
      </w:r>
      <w:r w:rsidRPr="00961BAC">
        <w:t xml:space="preserve"> 2022;73(2):405-13.</w:t>
      </w:r>
    </w:p>
    <w:p w14:paraId="35F048C8" w14:textId="77777777" w:rsidR="00FD4C2C" w:rsidRPr="00961BAC" w:rsidRDefault="00FD4C2C" w:rsidP="00FD4C2C">
      <w:pPr>
        <w:pStyle w:val="EndNoteBibliography"/>
        <w:spacing w:after="0"/>
        <w:ind w:left="720" w:hanging="720"/>
        <w:rPr>
          <w:lang w:val="fr-FR"/>
        </w:rPr>
      </w:pPr>
      <w:r w:rsidRPr="00961BAC">
        <w:t xml:space="preserve">27. Thompson EJ, Williams DM, Walker AJ, et al. Long COVID burden and risk factors in 10 UK longitudinal studies and electronic health records. </w:t>
      </w:r>
      <w:r w:rsidRPr="00961BAC">
        <w:rPr>
          <w:i/>
          <w:lang w:val="fr-FR"/>
        </w:rPr>
        <w:t>Nature communications</w:t>
      </w:r>
      <w:r w:rsidRPr="00961BAC">
        <w:rPr>
          <w:lang w:val="fr-FR"/>
        </w:rPr>
        <w:t xml:space="preserve"> 2022;13(1):3528.</w:t>
      </w:r>
    </w:p>
    <w:p w14:paraId="4FCF7D90" w14:textId="77777777" w:rsidR="00FD4C2C" w:rsidRPr="00961BAC" w:rsidRDefault="00FD4C2C" w:rsidP="00FD4C2C">
      <w:pPr>
        <w:pStyle w:val="EndNoteBibliography"/>
        <w:spacing w:after="0"/>
        <w:ind w:left="720" w:hanging="720"/>
      </w:pPr>
      <w:r w:rsidRPr="00961BAC">
        <w:rPr>
          <w:lang w:val="fr-FR"/>
        </w:rPr>
        <w:t xml:space="preserve">28. Kerksieck P, Ballouz T, Haile SR, et al. </w:t>
      </w:r>
      <w:r w:rsidRPr="00961BAC">
        <w:t xml:space="preserve">Post COVID-19 condition, work ability and occupational changes in a population-based cohort. </w:t>
      </w:r>
      <w:r w:rsidRPr="00961BAC">
        <w:rPr>
          <w:i/>
        </w:rPr>
        <w:t>The Lancet Regional Health–Europe</w:t>
      </w:r>
      <w:r w:rsidRPr="00961BAC">
        <w:t xml:space="preserve"> 2023;31</w:t>
      </w:r>
    </w:p>
    <w:p w14:paraId="4ACFE049" w14:textId="77777777" w:rsidR="00FD4C2C" w:rsidRPr="00961BAC" w:rsidRDefault="00FD4C2C" w:rsidP="00FD4C2C">
      <w:pPr>
        <w:pStyle w:val="EndNoteBibliography"/>
        <w:spacing w:after="0"/>
        <w:ind w:left="720" w:hanging="720"/>
      </w:pPr>
      <w:r w:rsidRPr="00961BAC">
        <w:t xml:space="preserve">29. Awan I, Balouch AH, Juseja AK, et al. Long Term Impact of COVID-19 Infection on Sleep and Mental Health. </w:t>
      </w:r>
      <w:r w:rsidRPr="00961BAC">
        <w:rPr>
          <w:i/>
        </w:rPr>
        <w:t>Pakistan Journal of Medical &amp; Health Sciences</w:t>
      </w:r>
      <w:r w:rsidRPr="00961BAC">
        <w:t xml:space="preserve"> 2022;16(04):102-02.</w:t>
      </w:r>
    </w:p>
    <w:p w14:paraId="5382385D" w14:textId="77777777" w:rsidR="00FD4C2C" w:rsidRPr="00961BAC" w:rsidRDefault="00FD4C2C" w:rsidP="00FD4C2C">
      <w:pPr>
        <w:pStyle w:val="EndNoteBibliography"/>
        <w:spacing w:after="0"/>
        <w:ind w:left="720" w:hanging="720"/>
        <w:rPr>
          <w:lang w:val="fr-FR"/>
        </w:rPr>
      </w:pPr>
      <w:r w:rsidRPr="00961BAC">
        <w:t xml:space="preserve">30. Chaumont H, Meppiel E, Roze E, et al. Long-term outcomes after NeuroCOVID: A 6-month follow-up study on 60 patients. </w:t>
      </w:r>
      <w:r w:rsidRPr="00961BAC">
        <w:rPr>
          <w:i/>
          <w:lang w:val="fr-FR"/>
        </w:rPr>
        <w:t>Revue Neurologique</w:t>
      </w:r>
      <w:r w:rsidRPr="00961BAC">
        <w:rPr>
          <w:lang w:val="fr-FR"/>
        </w:rPr>
        <w:t xml:space="preserve"> 2022;178(1-2):137-43.</w:t>
      </w:r>
    </w:p>
    <w:p w14:paraId="700CD499" w14:textId="77777777" w:rsidR="00FD4C2C" w:rsidRPr="00961BAC" w:rsidRDefault="00FD4C2C" w:rsidP="00FD4C2C">
      <w:pPr>
        <w:pStyle w:val="EndNoteBibliography"/>
        <w:spacing w:after="0"/>
        <w:ind w:left="720" w:hanging="720"/>
      </w:pPr>
      <w:r w:rsidRPr="00961BAC">
        <w:rPr>
          <w:lang w:val="fr-FR"/>
        </w:rPr>
        <w:t xml:space="preserve">31. Hodgson CL, Higgins AM, Bailey MJ, et al. </w:t>
      </w:r>
      <w:r w:rsidRPr="00961BAC">
        <w:t xml:space="preserve">The impact of COVID-19 critical illness on new disability, functional outcomes and return to work at 6 months: a prospective cohort study. </w:t>
      </w:r>
      <w:r w:rsidRPr="00961BAC">
        <w:rPr>
          <w:i/>
        </w:rPr>
        <w:t>Critical Care</w:t>
      </w:r>
      <w:r w:rsidRPr="00961BAC">
        <w:t xml:space="preserve"> 2021;25:1-12.</w:t>
      </w:r>
    </w:p>
    <w:p w14:paraId="59BF2AE0" w14:textId="77777777" w:rsidR="00FD4C2C" w:rsidRPr="00961BAC" w:rsidRDefault="00FD4C2C" w:rsidP="00FD4C2C">
      <w:pPr>
        <w:pStyle w:val="EndNoteBibliography"/>
        <w:spacing w:after="0"/>
        <w:ind w:left="720" w:hanging="720"/>
      </w:pPr>
      <w:r w:rsidRPr="00961BAC">
        <w:t>32. Robson C. WJ. Living With Covid Recovery Survey [Conference presentation]. NHS England Long COVID Meeting. London, UK, 2023.</w:t>
      </w:r>
    </w:p>
    <w:p w14:paraId="4E8361ED" w14:textId="77777777" w:rsidR="00FD4C2C" w:rsidRPr="00961BAC" w:rsidRDefault="00FD4C2C" w:rsidP="00FD4C2C">
      <w:pPr>
        <w:pStyle w:val="EndNoteBibliography"/>
        <w:ind w:left="720" w:hanging="720"/>
      </w:pPr>
      <w:r w:rsidRPr="00961BAC">
        <w:t xml:space="preserve">33. Jakobsen JC, Gluud C, Wetterslev J, et al. When and how should multiple imputation be used for handling missing data in randomised clinical trials–a practical guide with flowcharts. </w:t>
      </w:r>
      <w:r w:rsidRPr="00961BAC">
        <w:rPr>
          <w:i/>
        </w:rPr>
        <w:t>BMC medical research methodology</w:t>
      </w:r>
      <w:r w:rsidRPr="00961BAC">
        <w:t xml:space="preserve"> 2017;17:1-10.</w:t>
      </w:r>
    </w:p>
    <w:p w14:paraId="70A10626" w14:textId="15DCB11D" w:rsidR="00D24008" w:rsidRDefault="00A065F0" w:rsidP="008472E9">
      <w:pPr>
        <w:jc w:val="both"/>
        <w:rPr>
          <w:b/>
          <w:bCs/>
          <w:sz w:val="24"/>
          <w:szCs w:val="24"/>
        </w:rPr>
      </w:pPr>
      <w:r w:rsidRPr="00961BAC">
        <w:rPr>
          <w:b/>
          <w:bCs/>
          <w:sz w:val="24"/>
          <w:szCs w:val="24"/>
        </w:rPr>
        <w:fldChar w:fldCharType="end"/>
      </w:r>
    </w:p>
    <w:p w14:paraId="699CA5E7" w14:textId="1DF78AB4" w:rsidR="00D24008" w:rsidRDefault="00D24008">
      <w:pPr>
        <w:rPr>
          <w:b/>
          <w:bCs/>
          <w:sz w:val="24"/>
          <w:szCs w:val="24"/>
        </w:rPr>
      </w:pPr>
    </w:p>
    <w:sectPr w:rsidR="00D2400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E7EE" w14:textId="77777777" w:rsidR="00F135E9" w:rsidRDefault="00F135E9" w:rsidP="008C2AC3">
      <w:pPr>
        <w:spacing w:after="0" w:line="240" w:lineRule="auto"/>
      </w:pPr>
      <w:r>
        <w:separator/>
      </w:r>
    </w:p>
  </w:endnote>
  <w:endnote w:type="continuationSeparator" w:id="0">
    <w:p w14:paraId="7CAB58B6" w14:textId="77777777" w:rsidR="00F135E9" w:rsidRDefault="00F135E9" w:rsidP="008C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420701"/>
      <w:docPartObj>
        <w:docPartGallery w:val="Page Numbers (Bottom of Page)"/>
        <w:docPartUnique/>
      </w:docPartObj>
    </w:sdtPr>
    <w:sdtEndPr>
      <w:rPr>
        <w:noProof/>
      </w:rPr>
    </w:sdtEndPr>
    <w:sdtContent>
      <w:p w14:paraId="2C84FAC2" w14:textId="7748F495" w:rsidR="008C2AC3" w:rsidRDefault="008C2AC3">
        <w:pPr>
          <w:pStyle w:val="Footer"/>
          <w:jc w:val="right"/>
        </w:pPr>
        <w:r>
          <w:fldChar w:fldCharType="begin"/>
        </w:r>
        <w:r>
          <w:instrText xml:space="preserve"> PAGE   \* MERGEFORMAT </w:instrText>
        </w:r>
        <w:r>
          <w:fldChar w:fldCharType="separate"/>
        </w:r>
        <w:r w:rsidR="00480A18">
          <w:rPr>
            <w:noProof/>
          </w:rPr>
          <w:t>2</w:t>
        </w:r>
        <w:r>
          <w:rPr>
            <w:noProof/>
          </w:rPr>
          <w:fldChar w:fldCharType="end"/>
        </w:r>
      </w:p>
    </w:sdtContent>
  </w:sdt>
  <w:p w14:paraId="763D1B13" w14:textId="77777777" w:rsidR="008C2AC3" w:rsidRDefault="008C2A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8F4D2" w14:textId="77777777" w:rsidR="00F135E9" w:rsidRDefault="00F135E9" w:rsidP="008C2AC3">
      <w:pPr>
        <w:spacing w:after="0" w:line="240" w:lineRule="auto"/>
      </w:pPr>
      <w:r>
        <w:separator/>
      </w:r>
    </w:p>
  </w:footnote>
  <w:footnote w:type="continuationSeparator" w:id="0">
    <w:p w14:paraId="377005CD" w14:textId="77777777" w:rsidR="00F135E9" w:rsidRDefault="00F135E9" w:rsidP="008C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946"/>
    <w:multiLevelType w:val="hybridMultilevel"/>
    <w:tmpl w:val="C34E1C6C"/>
    <w:lvl w:ilvl="0" w:tplc="EFBEE3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65FE"/>
    <w:multiLevelType w:val="hybridMultilevel"/>
    <w:tmpl w:val="E4845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A14992"/>
    <w:multiLevelType w:val="hybridMultilevel"/>
    <w:tmpl w:val="B734FB88"/>
    <w:lvl w:ilvl="0" w:tplc="172C494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41343C"/>
    <w:multiLevelType w:val="hybridMultilevel"/>
    <w:tmpl w:val="727EB4CC"/>
    <w:lvl w:ilvl="0" w:tplc="C64E1A0A">
      <w:start w:val="408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3836B9"/>
    <w:multiLevelType w:val="hybridMultilevel"/>
    <w:tmpl w:val="BE5699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842056"/>
    <w:multiLevelType w:val="hybridMultilevel"/>
    <w:tmpl w:val="7660BB08"/>
    <w:lvl w:ilvl="0" w:tplc="B966EFBE">
      <w:start w:val="1"/>
      <w:numFmt w:val="decimal"/>
      <w:lvlText w:val="%1)"/>
      <w:lvlJc w:val="left"/>
      <w:pPr>
        <w:ind w:left="1020" w:hanging="360"/>
      </w:pPr>
    </w:lvl>
    <w:lvl w:ilvl="1" w:tplc="D98ED762">
      <w:start w:val="1"/>
      <w:numFmt w:val="decimal"/>
      <w:lvlText w:val="%2)"/>
      <w:lvlJc w:val="left"/>
      <w:pPr>
        <w:ind w:left="1020" w:hanging="360"/>
      </w:pPr>
    </w:lvl>
    <w:lvl w:ilvl="2" w:tplc="44EA4B86">
      <w:start w:val="1"/>
      <w:numFmt w:val="decimal"/>
      <w:lvlText w:val="%3)"/>
      <w:lvlJc w:val="left"/>
      <w:pPr>
        <w:ind w:left="1020" w:hanging="360"/>
      </w:pPr>
    </w:lvl>
    <w:lvl w:ilvl="3" w:tplc="BACEE764">
      <w:start w:val="1"/>
      <w:numFmt w:val="decimal"/>
      <w:lvlText w:val="%4)"/>
      <w:lvlJc w:val="left"/>
      <w:pPr>
        <w:ind w:left="1020" w:hanging="360"/>
      </w:pPr>
    </w:lvl>
    <w:lvl w:ilvl="4" w:tplc="76FACEF8">
      <w:start w:val="1"/>
      <w:numFmt w:val="decimal"/>
      <w:lvlText w:val="%5)"/>
      <w:lvlJc w:val="left"/>
      <w:pPr>
        <w:ind w:left="1020" w:hanging="360"/>
      </w:pPr>
    </w:lvl>
    <w:lvl w:ilvl="5" w:tplc="8A7C2A54">
      <w:start w:val="1"/>
      <w:numFmt w:val="decimal"/>
      <w:lvlText w:val="%6)"/>
      <w:lvlJc w:val="left"/>
      <w:pPr>
        <w:ind w:left="1020" w:hanging="360"/>
      </w:pPr>
    </w:lvl>
    <w:lvl w:ilvl="6" w:tplc="3C805BAA">
      <w:start w:val="1"/>
      <w:numFmt w:val="decimal"/>
      <w:lvlText w:val="%7)"/>
      <w:lvlJc w:val="left"/>
      <w:pPr>
        <w:ind w:left="1020" w:hanging="360"/>
      </w:pPr>
    </w:lvl>
    <w:lvl w:ilvl="7" w:tplc="F84895AC">
      <w:start w:val="1"/>
      <w:numFmt w:val="decimal"/>
      <w:lvlText w:val="%8)"/>
      <w:lvlJc w:val="left"/>
      <w:pPr>
        <w:ind w:left="1020" w:hanging="360"/>
      </w:pPr>
    </w:lvl>
    <w:lvl w:ilvl="8" w:tplc="853A686A">
      <w:start w:val="1"/>
      <w:numFmt w:val="decimal"/>
      <w:lvlText w:val="%9)"/>
      <w:lvlJc w:val="left"/>
      <w:pPr>
        <w:ind w:left="1020" w:hanging="360"/>
      </w:pPr>
    </w:lvl>
  </w:abstractNum>
  <w:abstractNum w:abstractNumId="6" w15:restartNumberingAfterBreak="0">
    <w:nsid w:val="5C6C75F4"/>
    <w:multiLevelType w:val="hybridMultilevel"/>
    <w:tmpl w:val="4A262040"/>
    <w:lvl w:ilvl="0" w:tplc="30467BA8">
      <w:start w:val="1"/>
      <w:numFmt w:val="upperLetter"/>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z9pe2xqf0rxiee9sbptsdssxaev52swxxa&quot;&gt;LWCR trajectories&lt;record-ids&gt;&lt;item&gt;1&lt;/item&gt;&lt;item&gt;2&lt;/item&gt;&lt;item&gt;3&lt;/item&gt;&lt;item&gt;5&lt;/item&gt;&lt;item&gt;6&lt;/item&gt;&lt;item&gt;7&lt;/item&gt;&lt;item&gt;8&lt;/item&gt;&lt;item&gt;9&lt;/item&gt;&lt;item&gt;12&lt;/item&gt;&lt;item&gt;15&lt;/item&gt;&lt;item&gt;16&lt;/item&gt;&lt;item&gt;17&lt;/item&gt;&lt;item&gt;18&lt;/item&gt;&lt;item&gt;24&lt;/item&gt;&lt;item&gt;25&lt;/item&gt;&lt;item&gt;26&lt;/item&gt;&lt;item&gt;27&lt;/item&gt;&lt;item&gt;29&lt;/item&gt;&lt;item&gt;30&lt;/item&gt;&lt;item&gt;32&lt;/item&gt;&lt;item&gt;33&lt;/item&gt;&lt;item&gt;34&lt;/item&gt;&lt;item&gt;36&lt;/item&gt;&lt;item&gt;39&lt;/item&gt;&lt;item&gt;40&lt;/item&gt;&lt;item&gt;41&lt;/item&gt;&lt;item&gt;42&lt;/item&gt;&lt;item&gt;43&lt;/item&gt;&lt;item&gt;44&lt;/item&gt;&lt;item&gt;45&lt;/item&gt;&lt;item&gt;46&lt;/item&gt;&lt;item&gt;47&lt;/item&gt;&lt;item&gt;48&lt;/item&gt;&lt;/record-ids&gt;&lt;/item&gt;&lt;/Libraries&gt;"/>
  </w:docVars>
  <w:rsids>
    <w:rsidRoot w:val="00701ABD"/>
    <w:rsid w:val="000000BF"/>
    <w:rsid w:val="00004F1E"/>
    <w:rsid w:val="00005A1A"/>
    <w:rsid w:val="00005AC5"/>
    <w:rsid w:val="00005B46"/>
    <w:rsid w:val="00005C03"/>
    <w:rsid w:val="00005E8D"/>
    <w:rsid w:val="00007B94"/>
    <w:rsid w:val="000100C9"/>
    <w:rsid w:val="00010455"/>
    <w:rsid w:val="0001053A"/>
    <w:rsid w:val="000126DB"/>
    <w:rsid w:val="000127EA"/>
    <w:rsid w:val="0001324C"/>
    <w:rsid w:val="00013D66"/>
    <w:rsid w:val="000141E8"/>
    <w:rsid w:val="00015989"/>
    <w:rsid w:val="0001718D"/>
    <w:rsid w:val="00017FD8"/>
    <w:rsid w:val="00020820"/>
    <w:rsid w:val="000235A5"/>
    <w:rsid w:val="00023FB1"/>
    <w:rsid w:val="000268A5"/>
    <w:rsid w:val="00030C37"/>
    <w:rsid w:val="00030D24"/>
    <w:rsid w:val="00031289"/>
    <w:rsid w:val="00031E5A"/>
    <w:rsid w:val="00033625"/>
    <w:rsid w:val="00034A3A"/>
    <w:rsid w:val="000358B9"/>
    <w:rsid w:val="00035D3A"/>
    <w:rsid w:val="0003676A"/>
    <w:rsid w:val="00037106"/>
    <w:rsid w:val="0003713C"/>
    <w:rsid w:val="0004063F"/>
    <w:rsid w:val="00040CE2"/>
    <w:rsid w:val="00041D44"/>
    <w:rsid w:val="00046CFF"/>
    <w:rsid w:val="000470DD"/>
    <w:rsid w:val="0004718C"/>
    <w:rsid w:val="00047CCF"/>
    <w:rsid w:val="00050018"/>
    <w:rsid w:val="00050B13"/>
    <w:rsid w:val="00051406"/>
    <w:rsid w:val="00052CB5"/>
    <w:rsid w:val="0005403E"/>
    <w:rsid w:val="000544BC"/>
    <w:rsid w:val="00056641"/>
    <w:rsid w:val="000622F2"/>
    <w:rsid w:val="000624EA"/>
    <w:rsid w:val="000627D6"/>
    <w:rsid w:val="00063211"/>
    <w:rsid w:val="000634C0"/>
    <w:rsid w:val="00064D2B"/>
    <w:rsid w:val="00065AA4"/>
    <w:rsid w:val="00065C03"/>
    <w:rsid w:val="00066BE8"/>
    <w:rsid w:val="00067BEC"/>
    <w:rsid w:val="00071208"/>
    <w:rsid w:val="00071864"/>
    <w:rsid w:val="00071943"/>
    <w:rsid w:val="00072B43"/>
    <w:rsid w:val="000736CB"/>
    <w:rsid w:val="00074A63"/>
    <w:rsid w:val="0007552B"/>
    <w:rsid w:val="00076845"/>
    <w:rsid w:val="00076F5C"/>
    <w:rsid w:val="000773B8"/>
    <w:rsid w:val="00077B94"/>
    <w:rsid w:val="00077CCE"/>
    <w:rsid w:val="000810FE"/>
    <w:rsid w:val="00082526"/>
    <w:rsid w:val="0008294B"/>
    <w:rsid w:val="00084CE2"/>
    <w:rsid w:val="00085714"/>
    <w:rsid w:val="00085F4A"/>
    <w:rsid w:val="000879A3"/>
    <w:rsid w:val="00090C89"/>
    <w:rsid w:val="00091DF6"/>
    <w:rsid w:val="0009314C"/>
    <w:rsid w:val="000932E3"/>
    <w:rsid w:val="00095049"/>
    <w:rsid w:val="00095233"/>
    <w:rsid w:val="00096620"/>
    <w:rsid w:val="0009682A"/>
    <w:rsid w:val="00096B96"/>
    <w:rsid w:val="00096D0B"/>
    <w:rsid w:val="00096FD9"/>
    <w:rsid w:val="00097925"/>
    <w:rsid w:val="00097A78"/>
    <w:rsid w:val="000A148E"/>
    <w:rsid w:val="000A1E04"/>
    <w:rsid w:val="000A244A"/>
    <w:rsid w:val="000A3262"/>
    <w:rsid w:val="000A377B"/>
    <w:rsid w:val="000A52AD"/>
    <w:rsid w:val="000A621B"/>
    <w:rsid w:val="000A6B73"/>
    <w:rsid w:val="000A72E3"/>
    <w:rsid w:val="000A7C32"/>
    <w:rsid w:val="000B04AA"/>
    <w:rsid w:val="000B25F3"/>
    <w:rsid w:val="000B3278"/>
    <w:rsid w:val="000B3974"/>
    <w:rsid w:val="000B517B"/>
    <w:rsid w:val="000B617F"/>
    <w:rsid w:val="000B66CB"/>
    <w:rsid w:val="000B68CA"/>
    <w:rsid w:val="000B6AF5"/>
    <w:rsid w:val="000B6D1F"/>
    <w:rsid w:val="000B6EF9"/>
    <w:rsid w:val="000C04B6"/>
    <w:rsid w:val="000C3209"/>
    <w:rsid w:val="000C3EA2"/>
    <w:rsid w:val="000C411D"/>
    <w:rsid w:val="000C49D4"/>
    <w:rsid w:val="000C5398"/>
    <w:rsid w:val="000C68E9"/>
    <w:rsid w:val="000C7236"/>
    <w:rsid w:val="000C7AB6"/>
    <w:rsid w:val="000D0C4B"/>
    <w:rsid w:val="000D0E2A"/>
    <w:rsid w:val="000D15C0"/>
    <w:rsid w:val="000D18E5"/>
    <w:rsid w:val="000D2D6A"/>
    <w:rsid w:val="000D5D87"/>
    <w:rsid w:val="000D5E72"/>
    <w:rsid w:val="000D6AEE"/>
    <w:rsid w:val="000D6B0D"/>
    <w:rsid w:val="000D783E"/>
    <w:rsid w:val="000D7CF0"/>
    <w:rsid w:val="000D7D45"/>
    <w:rsid w:val="000E01A6"/>
    <w:rsid w:val="000E0230"/>
    <w:rsid w:val="000E059B"/>
    <w:rsid w:val="000E07E2"/>
    <w:rsid w:val="000E116F"/>
    <w:rsid w:val="000E11D9"/>
    <w:rsid w:val="000E3858"/>
    <w:rsid w:val="000E3DFE"/>
    <w:rsid w:val="000E3E4E"/>
    <w:rsid w:val="000E4F2B"/>
    <w:rsid w:val="000E56FE"/>
    <w:rsid w:val="000E59D2"/>
    <w:rsid w:val="000E5B5F"/>
    <w:rsid w:val="000E5F1E"/>
    <w:rsid w:val="000E6850"/>
    <w:rsid w:val="000E776C"/>
    <w:rsid w:val="000F01DC"/>
    <w:rsid w:val="000F0AE5"/>
    <w:rsid w:val="000F2266"/>
    <w:rsid w:val="000F2815"/>
    <w:rsid w:val="000F319A"/>
    <w:rsid w:val="000F40BA"/>
    <w:rsid w:val="000F4ECC"/>
    <w:rsid w:val="000F5E15"/>
    <w:rsid w:val="000F68A4"/>
    <w:rsid w:val="000F796F"/>
    <w:rsid w:val="00100B22"/>
    <w:rsid w:val="00100CA3"/>
    <w:rsid w:val="00100F99"/>
    <w:rsid w:val="001016B9"/>
    <w:rsid w:val="00103F08"/>
    <w:rsid w:val="001042E5"/>
    <w:rsid w:val="00104735"/>
    <w:rsid w:val="00105A81"/>
    <w:rsid w:val="00107444"/>
    <w:rsid w:val="0011152C"/>
    <w:rsid w:val="00112908"/>
    <w:rsid w:val="00113BCE"/>
    <w:rsid w:val="001157E8"/>
    <w:rsid w:val="00115AD0"/>
    <w:rsid w:val="00115BF7"/>
    <w:rsid w:val="001165F7"/>
    <w:rsid w:val="00116849"/>
    <w:rsid w:val="00116CF5"/>
    <w:rsid w:val="00116FB6"/>
    <w:rsid w:val="001170CB"/>
    <w:rsid w:val="001175CD"/>
    <w:rsid w:val="00117F99"/>
    <w:rsid w:val="001205A9"/>
    <w:rsid w:val="00120A78"/>
    <w:rsid w:val="00120EFE"/>
    <w:rsid w:val="00123036"/>
    <w:rsid w:val="001231A0"/>
    <w:rsid w:val="001257C9"/>
    <w:rsid w:val="00126556"/>
    <w:rsid w:val="00127325"/>
    <w:rsid w:val="00127DC2"/>
    <w:rsid w:val="001309CD"/>
    <w:rsid w:val="0013223A"/>
    <w:rsid w:val="00132333"/>
    <w:rsid w:val="00133487"/>
    <w:rsid w:val="001360C1"/>
    <w:rsid w:val="001369B9"/>
    <w:rsid w:val="00137198"/>
    <w:rsid w:val="00137AFF"/>
    <w:rsid w:val="001401E0"/>
    <w:rsid w:val="0014079B"/>
    <w:rsid w:val="0014199F"/>
    <w:rsid w:val="00145672"/>
    <w:rsid w:val="00147AE8"/>
    <w:rsid w:val="00151F73"/>
    <w:rsid w:val="001526E1"/>
    <w:rsid w:val="001533BE"/>
    <w:rsid w:val="001538F2"/>
    <w:rsid w:val="00154310"/>
    <w:rsid w:val="00155A35"/>
    <w:rsid w:val="00157080"/>
    <w:rsid w:val="00157564"/>
    <w:rsid w:val="00161084"/>
    <w:rsid w:val="00162A00"/>
    <w:rsid w:val="00163A6C"/>
    <w:rsid w:val="00165370"/>
    <w:rsid w:val="00165BAE"/>
    <w:rsid w:val="001666DD"/>
    <w:rsid w:val="00166CC5"/>
    <w:rsid w:val="00166DCF"/>
    <w:rsid w:val="0016775B"/>
    <w:rsid w:val="00167D6D"/>
    <w:rsid w:val="00170C67"/>
    <w:rsid w:val="00172104"/>
    <w:rsid w:val="00172230"/>
    <w:rsid w:val="001728EC"/>
    <w:rsid w:val="00174983"/>
    <w:rsid w:val="00174AB8"/>
    <w:rsid w:val="00174EA5"/>
    <w:rsid w:val="001751C0"/>
    <w:rsid w:val="001752E8"/>
    <w:rsid w:val="001759D2"/>
    <w:rsid w:val="00175F8B"/>
    <w:rsid w:val="00176224"/>
    <w:rsid w:val="001774FD"/>
    <w:rsid w:val="0017770B"/>
    <w:rsid w:val="00180631"/>
    <w:rsid w:val="00180D4E"/>
    <w:rsid w:val="00181133"/>
    <w:rsid w:val="001819EE"/>
    <w:rsid w:val="00182026"/>
    <w:rsid w:val="001821D7"/>
    <w:rsid w:val="00182629"/>
    <w:rsid w:val="0018300D"/>
    <w:rsid w:val="00184D44"/>
    <w:rsid w:val="00184DF5"/>
    <w:rsid w:val="00184FA0"/>
    <w:rsid w:val="00185052"/>
    <w:rsid w:val="001854AF"/>
    <w:rsid w:val="00185704"/>
    <w:rsid w:val="001860D0"/>
    <w:rsid w:val="00186356"/>
    <w:rsid w:val="001868BD"/>
    <w:rsid w:val="0019069A"/>
    <w:rsid w:val="00190F2C"/>
    <w:rsid w:val="001919C4"/>
    <w:rsid w:val="00192566"/>
    <w:rsid w:val="001926B8"/>
    <w:rsid w:val="001928AC"/>
    <w:rsid w:val="00194036"/>
    <w:rsid w:val="00194728"/>
    <w:rsid w:val="0019472A"/>
    <w:rsid w:val="0019626B"/>
    <w:rsid w:val="001966CC"/>
    <w:rsid w:val="001966F8"/>
    <w:rsid w:val="0019682A"/>
    <w:rsid w:val="00197539"/>
    <w:rsid w:val="00197FFD"/>
    <w:rsid w:val="001A0B0E"/>
    <w:rsid w:val="001A0FAB"/>
    <w:rsid w:val="001A1192"/>
    <w:rsid w:val="001A157F"/>
    <w:rsid w:val="001A1866"/>
    <w:rsid w:val="001A1AC3"/>
    <w:rsid w:val="001A2B5A"/>
    <w:rsid w:val="001A4842"/>
    <w:rsid w:val="001A4BFE"/>
    <w:rsid w:val="001A4FA9"/>
    <w:rsid w:val="001A563F"/>
    <w:rsid w:val="001A6B89"/>
    <w:rsid w:val="001A7107"/>
    <w:rsid w:val="001A7831"/>
    <w:rsid w:val="001B044F"/>
    <w:rsid w:val="001B0A59"/>
    <w:rsid w:val="001B16A0"/>
    <w:rsid w:val="001B2547"/>
    <w:rsid w:val="001B4570"/>
    <w:rsid w:val="001B5110"/>
    <w:rsid w:val="001B57D5"/>
    <w:rsid w:val="001B5931"/>
    <w:rsid w:val="001B6B9A"/>
    <w:rsid w:val="001B6C85"/>
    <w:rsid w:val="001B7C05"/>
    <w:rsid w:val="001C0497"/>
    <w:rsid w:val="001C08C3"/>
    <w:rsid w:val="001C1F90"/>
    <w:rsid w:val="001C3008"/>
    <w:rsid w:val="001C31C3"/>
    <w:rsid w:val="001C3619"/>
    <w:rsid w:val="001C5633"/>
    <w:rsid w:val="001C5A61"/>
    <w:rsid w:val="001C64AE"/>
    <w:rsid w:val="001C6614"/>
    <w:rsid w:val="001C77D8"/>
    <w:rsid w:val="001C7A44"/>
    <w:rsid w:val="001D0D29"/>
    <w:rsid w:val="001D11E4"/>
    <w:rsid w:val="001D23A7"/>
    <w:rsid w:val="001D2C7A"/>
    <w:rsid w:val="001D3130"/>
    <w:rsid w:val="001D3ABD"/>
    <w:rsid w:val="001D3D5E"/>
    <w:rsid w:val="001D4154"/>
    <w:rsid w:val="001D4344"/>
    <w:rsid w:val="001D4A1B"/>
    <w:rsid w:val="001D5F73"/>
    <w:rsid w:val="001E01F3"/>
    <w:rsid w:val="001E2CD9"/>
    <w:rsid w:val="001E3236"/>
    <w:rsid w:val="001E37A6"/>
    <w:rsid w:val="001E3FF9"/>
    <w:rsid w:val="001E42A1"/>
    <w:rsid w:val="001E592E"/>
    <w:rsid w:val="001E5FA2"/>
    <w:rsid w:val="001E6654"/>
    <w:rsid w:val="001E72D1"/>
    <w:rsid w:val="001F0674"/>
    <w:rsid w:val="001F1462"/>
    <w:rsid w:val="001F2CB3"/>
    <w:rsid w:val="001F3ECB"/>
    <w:rsid w:val="001F4B8F"/>
    <w:rsid w:val="001F7FDD"/>
    <w:rsid w:val="0020030D"/>
    <w:rsid w:val="00200A87"/>
    <w:rsid w:val="00200C5D"/>
    <w:rsid w:val="0020173E"/>
    <w:rsid w:val="00201CD1"/>
    <w:rsid w:val="002028D2"/>
    <w:rsid w:val="00202AF0"/>
    <w:rsid w:val="0020376B"/>
    <w:rsid w:val="00203BE7"/>
    <w:rsid w:val="00204FC0"/>
    <w:rsid w:val="002051C9"/>
    <w:rsid w:val="00205571"/>
    <w:rsid w:val="00206659"/>
    <w:rsid w:val="002078F4"/>
    <w:rsid w:val="00210B9E"/>
    <w:rsid w:val="002120D0"/>
    <w:rsid w:val="00212B0A"/>
    <w:rsid w:val="00212F64"/>
    <w:rsid w:val="002137E1"/>
    <w:rsid w:val="002138ED"/>
    <w:rsid w:val="00213C8D"/>
    <w:rsid w:val="002154F2"/>
    <w:rsid w:val="00216EAA"/>
    <w:rsid w:val="0022035A"/>
    <w:rsid w:val="0022082D"/>
    <w:rsid w:val="00221073"/>
    <w:rsid w:val="00221594"/>
    <w:rsid w:val="00222E44"/>
    <w:rsid w:val="002232BA"/>
    <w:rsid w:val="00223FB5"/>
    <w:rsid w:val="002253E7"/>
    <w:rsid w:val="002255A3"/>
    <w:rsid w:val="00226B62"/>
    <w:rsid w:val="002279C1"/>
    <w:rsid w:val="002307F2"/>
    <w:rsid w:val="00231143"/>
    <w:rsid w:val="002319A5"/>
    <w:rsid w:val="0023207E"/>
    <w:rsid w:val="0023443F"/>
    <w:rsid w:val="0023533B"/>
    <w:rsid w:val="0023563A"/>
    <w:rsid w:val="00236AEE"/>
    <w:rsid w:val="002374A9"/>
    <w:rsid w:val="00237664"/>
    <w:rsid w:val="00237B50"/>
    <w:rsid w:val="002404F4"/>
    <w:rsid w:val="002448D5"/>
    <w:rsid w:val="00245EF5"/>
    <w:rsid w:val="00246475"/>
    <w:rsid w:val="002467E8"/>
    <w:rsid w:val="002506FA"/>
    <w:rsid w:val="002518B3"/>
    <w:rsid w:val="00251A9C"/>
    <w:rsid w:val="00252649"/>
    <w:rsid w:val="00252B50"/>
    <w:rsid w:val="00252DD1"/>
    <w:rsid w:val="00253282"/>
    <w:rsid w:val="00253C22"/>
    <w:rsid w:val="00253D2A"/>
    <w:rsid w:val="00253FF8"/>
    <w:rsid w:val="002542C6"/>
    <w:rsid w:val="00254838"/>
    <w:rsid w:val="00255C43"/>
    <w:rsid w:val="00256720"/>
    <w:rsid w:val="002568F5"/>
    <w:rsid w:val="00256A3C"/>
    <w:rsid w:val="00256E3B"/>
    <w:rsid w:val="0025756D"/>
    <w:rsid w:val="00257BBE"/>
    <w:rsid w:val="002600A1"/>
    <w:rsid w:val="00261492"/>
    <w:rsid w:val="00263704"/>
    <w:rsid w:val="002637E4"/>
    <w:rsid w:val="002671F4"/>
    <w:rsid w:val="00267A9C"/>
    <w:rsid w:val="002709C0"/>
    <w:rsid w:val="00271315"/>
    <w:rsid w:val="002716D4"/>
    <w:rsid w:val="00271AAE"/>
    <w:rsid w:val="0027210E"/>
    <w:rsid w:val="0027279C"/>
    <w:rsid w:val="00272BA4"/>
    <w:rsid w:val="002731ED"/>
    <w:rsid w:val="00275D3C"/>
    <w:rsid w:val="00277991"/>
    <w:rsid w:val="002808F3"/>
    <w:rsid w:val="00282775"/>
    <w:rsid w:val="00283696"/>
    <w:rsid w:val="002856E9"/>
    <w:rsid w:val="0028615E"/>
    <w:rsid w:val="00286EF4"/>
    <w:rsid w:val="00287653"/>
    <w:rsid w:val="00287DC4"/>
    <w:rsid w:val="00291AD9"/>
    <w:rsid w:val="00292A0F"/>
    <w:rsid w:val="00292D07"/>
    <w:rsid w:val="00296520"/>
    <w:rsid w:val="0029724E"/>
    <w:rsid w:val="00297A5E"/>
    <w:rsid w:val="002A0189"/>
    <w:rsid w:val="002A0624"/>
    <w:rsid w:val="002A081D"/>
    <w:rsid w:val="002A0E41"/>
    <w:rsid w:val="002A21DC"/>
    <w:rsid w:val="002A325C"/>
    <w:rsid w:val="002A7A12"/>
    <w:rsid w:val="002B0192"/>
    <w:rsid w:val="002B24D1"/>
    <w:rsid w:val="002B45C7"/>
    <w:rsid w:val="002B5932"/>
    <w:rsid w:val="002B6C7C"/>
    <w:rsid w:val="002B72BA"/>
    <w:rsid w:val="002B73C8"/>
    <w:rsid w:val="002C06E6"/>
    <w:rsid w:val="002C087A"/>
    <w:rsid w:val="002C2D2A"/>
    <w:rsid w:val="002C32A1"/>
    <w:rsid w:val="002C4BF6"/>
    <w:rsid w:val="002C54AC"/>
    <w:rsid w:val="002C592B"/>
    <w:rsid w:val="002C5CBF"/>
    <w:rsid w:val="002C63B1"/>
    <w:rsid w:val="002C7953"/>
    <w:rsid w:val="002D0210"/>
    <w:rsid w:val="002D1B1B"/>
    <w:rsid w:val="002D33BA"/>
    <w:rsid w:val="002D3C15"/>
    <w:rsid w:val="002D3D25"/>
    <w:rsid w:val="002D465B"/>
    <w:rsid w:val="002D7B04"/>
    <w:rsid w:val="002D7D32"/>
    <w:rsid w:val="002E37F4"/>
    <w:rsid w:val="002E381F"/>
    <w:rsid w:val="002E4A93"/>
    <w:rsid w:val="002E5244"/>
    <w:rsid w:val="002E6710"/>
    <w:rsid w:val="002E676D"/>
    <w:rsid w:val="002E6812"/>
    <w:rsid w:val="002E6C45"/>
    <w:rsid w:val="002E7533"/>
    <w:rsid w:val="002E77EF"/>
    <w:rsid w:val="002F013D"/>
    <w:rsid w:val="002F0BF1"/>
    <w:rsid w:val="002F3366"/>
    <w:rsid w:val="002F3393"/>
    <w:rsid w:val="002F417E"/>
    <w:rsid w:val="002F4CB1"/>
    <w:rsid w:val="002F4D65"/>
    <w:rsid w:val="002F6753"/>
    <w:rsid w:val="003015A1"/>
    <w:rsid w:val="00302043"/>
    <w:rsid w:val="00302327"/>
    <w:rsid w:val="003023B2"/>
    <w:rsid w:val="00302C0A"/>
    <w:rsid w:val="00303775"/>
    <w:rsid w:val="00304B2E"/>
    <w:rsid w:val="00304C39"/>
    <w:rsid w:val="00305315"/>
    <w:rsid w:val="00305B94"/>
    <w:rsid w:val="00307052"/>
    <w:rsid w:val="00307363"/>
    <w:rsid w:val="00307D9B"/>
    <w:rsid w:val="0031068E"/>
    <w:rsid w:val="00310E33"/>
    <w:rsid w:val="00311AD0"/>
    <w:rsid w:val="003122BD"/>
    <w:rsid w:val="00312DAC"/>
    <w:rsid w:val="00312E45"/>
    <w:rsid w:val="00314668"/>
    <w:rsid w:val="003146A4"/>
    <w:rsid w:val="00314B5F"/>
    <w:rsid w:val="00314FA8"/>
    <w:rsid w:val="0031504A"/>
    <w:rsid w:val="003157FF"/>
    <w:rsid w:val="00316C4C"/>
    <w:rsid w:val="0032013F"/>
    <w:rsid w:val="003203AF"/>
    <w:rsid w:val="003215E5"/>
    <w:rsid w:val="003239C4"/>
    <w:rsid w:val="003242FD"/>
    <w:rsid w:val="0032441A"/>
    <w:rsid w:val="00324DAC"/>
    <w:rsid w:val="00325C55"/>
    <w:rsid w:val="00326846"/>
    <w:rsid w:val="00327085"/>
    <w:rsid w:val="003306FF"/>
    <w:rsid w:val="0033356E"/>
    <w:rsid w:val="00333B9A"/>
    <w:rsid w:val="00334230"/>
    <w:rsid w:val="0033500B"/>
    <w:rsid w:val="003352A5"/>
    <w:rsid w:val="003359CA"/>
    <w:rsid w:val="00335D26"/>
    <w:rsid w:val="0033616E"/>
    <w:rsid w:val="00336502"/>
    <w:rsid w:val="0033668E"/>
    <w:rsid w:val="00336BD7"/>
    <w:rsid w:val="00340AB8"/>
    <w:rsid w:val="00340E64"/>
    <w:rsid w:val="00341329"/>
    <w:rsid w:val="00341811"/>
    <w:rsid w:val="00341A29"/>
    <w:rsid w:val="003428E4"/>
    <w:rsid w:val="003441A6"/>
    <w:rsid w:val="003445D5"/>
    <w:rsid w:val="00344F0F"/>
    <w:rsid w:val="00345C6F"/>
    <w:rsid w:val="003463D5"/>
    <w:rsid w:val="0034746E"/>
    <w:rsid w:val="003479CD"/>
    <w:rsid w:val="00350971"/>
    <w:rsid w:val="00350D2E"/>
    <w:rsid w:val="0035125A"/>
    <w:rsid w:val="00351575"/>
    <w:rsid w:val="00352441"/>
    <w:rsid w:val="00353496"/>
    <w:rsid w:val="00356C44"/>
    <w:rsid w:val="00357B79"/>
    <w:rsid w:val="00360122"/>
    <w:rsid w:val="00362A26"/>
    <w:rsid w:val="00362B1B"/>
    <w:rsid w:val="00362DA4"/>
    <w:rsid w:val="00362EB5"/>
    <w:rsid w:val="00363131"/>
    <w:rsid w:val="00365D51"/>
    <w:rsid w:val="003703D8"/>
    <w:rsid w:val="00370ADA"/>
    <w:rsid w:val="00371104"/>
    <w:rsid w:val="003717CA"/>
    <w:rsid w:val="0037262A"/>
    <w:rsid w:val="0037597F"/>
    <w:rsid w:val="003764D8"/>
    <w:rsid w:val="003768B6"/>
    <w:rsid w:val="00376EE5"/>
    <w:rsid w:val="003800E1"/>
    <w:rsid w:val="00381024"/>
    <w:rsid w:val="00383489"/>
    <w:rsid w:val="00383AD0"/>
    <w:rsid w:val="00385044"/>
    <w:rsid w:val="00387C41"/>
    <w:rsid w:val="003900CE"/>
    <w:rsid w:val="00390864"/>
    <w:rsid w:val="00391923"/>
    <w:rsid w:val="0039256F"/>
    <w:rsid w:val="00392952"/>
    <w:rsid w:val="003935B2"/>
    <w:rsid w:val="0039578F"/>
    <w:rsid w:val="003958E3"/>
    <w:rsid w:val="00396928"/>
    <w:rsid w:val="00396BDB"/>
    <w:rsid w:val="00396E7C"/>
    <w:rsid w:val="00397B2B"/>
    <w:rsid w:val="003A0E17"/>
    <w:rsid w:val="003A1A29"/>
    <w:rsid w:val="003A2248"/>
    <w:rsid w:val="003A286B"/>
    <w:rsid w:val="003A37C9"/>
    <w:rsid w:val="003A3DAB"/>
    <w:rsid w:val="003A45B8"/>
    <w:rsid w:val="003A5514"/>
    <w:rsid w:val="003A58E5"/>
    <w:rsid w:val="003A76F1"/>
    <w:rsid w:val="003B1AE2"/>
    <w:rsid w:val="003B31A4"/>
    <w:rsid w:val="003B4168"/>
    <w:rsid w:val="003B4CD7"/>
    <w:rsid w:val="003B52C0"/>
    <w:rsid w:val="003B5FC1"/>
    <w:rsid w:val="003B698C"/>
    <w:rsid w:val="003C0BFF"/>
    <w:rsid w:val="003C1710"/>
    <w:rsid w:val="003C1E73"/>
    <w:rsid w:val="003C4A24"/>
    <w:rsid w:val="003C5CB0"/>
    <w:rsid w:val="003C7DC7"/>
    <w:rsid w:val="003C7E74"/>
    <w:rsid w:val="003D042E"/>
    <w:rsid w:val="003D06FD"/>
    <w:rsid w:val="003D098C"/>
    <w:rsid w:val="003D1AC5"/>
    <w:rsid w:val="003D415A"/>
    <w:rsid w:val="003D43C7"/>
    <w:rsid w:val="003D51C2"/>
    <w:rsid w:val="003D6652"/>
    <w:rsid w:val="003D6B66"/>
    <w:rsid w:val="003D6BD2"/>
    <w:rsid w:val="003D6CE1"/>
    <w:rsid w:val="003D6E8D"/>
    <w:rsid w:val="003D75D8"/>
    <w:rsid w:val="003E1E0C"/>
    <w:rsid w:val="003E1E84"/>
    <w:rsid w:val="003E5442"/>
    <w:rsid w:val="003E5502"/>
    <w:rsid w:val="003E6E2C"/>
    <w:rsid w:val="003F16FF"/>
    <w:rsid w:val="003F4588"/>
    <w:rsid w:val="003F4C3E"/>
    <w:rsid w:val="003F6811"/>
    <w:rsid w:val="004004DB"/>
    <w:rsid w:val="00400CFF"/>
    <w:rsid w:val="00401786"/>
    <w:rsid w:val="00401875"/>
    <w:rsid w:val="00401E74"/>
    <w:rsid w:val="0040337B"/>
    <w:rsid w:val="00404197"/>
    <w:rsid w:val="00405343"/>
    <w:rsid w:val="00405A30"/>
    <w:rsid w:val="0040637D"/>
    <w:rsid w:val="0040767B"/>
    <w:rsid w:val="004079EB"/>
    <w:rsid w:val="00410621"/>
    <w:rsid w:val="004111AE"/>
    <w:rsid w:val="00411F54"/>
    <w:rsid w:val="004149D8"/>
    <w:rsid w:val="00415EE6"/>
    <w:rsid w:val="0041608B"/>
    <w:rsid w:val="00416982"/>
    <w:rsid w:val="00416BAC"/>
    <w:rsid w:val="00417837"/>
    <w:rsid w:val="00420238"/>
    <w:rsid w:val="00420278"/>
    <w:rsid w:val="00420B90"/>
    <w:rsid w:val="004220AA"/>
    <w:rsid w:val="00422D72"/>
    <w:rsid w:val="004232FF"/>
    <w:rsid w:val="00424B01"/>
    <w:rsid w:val="00425A77"/>
    <w:rsid w:val="00425E39"/>
    <w:rsid w:val="004264A3"/>
    <w:rsid w:val="0043069A"/>
    <w:rsid w:val="00430CA1"/>
    <w:rsid w:val="00431B75"/>
    <w:rsid w:val="00434334"/>
    <w:rsid w:val="0043515B"/>
    <w:rsid w:val="00435BD9"/>
    <w:rsid w:val="0043606C"/>
    <w:rsid w:val="00436198"/>
    <w:rsid w:val="00436D19"/>
    <w:rsid w:val="00436DB8"/>
    <w:rsid w:val="0044029B"/>
    <w:rsid w:val="004413C5"/>
    <w:rsid w:val="00441785"/>
    <w:rsid w:val="00441C2F"/>
    <w:rsid w:val="00441FA3"/>
    <w:rsid w:val="00442E0E"/>
    <w:rsid w:val="0044320C"/>
    <w:rsid w:val="00443CB1"/>
    <w:rsid w:val="004445BB"/>
    <w:rsid w:val="00444991"/>
    <w:rsid w:val="00444FC8"/>
    <w:rsid w:val="004450E2"/>
    <w:rsid w:val="00445A0F"/>
    <w:rsid w:val="00445B05"/>
    <w:rsid w:val="00445E7B"/>
    <w:rsid w:val="00445EE3"/>
    <w:rsid w:val="00447380"/>
    <w:rsid w:val="00447F00"/>
    <w:rsid w:val="004502DC"/>
    <w:rsid w:val="00450A50"/>
    <w:rsid w:val="004536CD"/>
    <w:rsid w:val="00453936"/>
    <w:rsid w:val="00453AB5"/>
    <w:rsid w:val="00454883"/>
    <w:rsid w:val="00455E03"/>
    <w:rsid w:val="0045614C"/>
    <w:rsid w:val="00456E4A"/>
    <w:rsid w:val="004570A6"/>
    <w:rsid w:val="004575CF"/>
    <w:rsid w:val="00457C2A"/>
    <w:rsid w:val="00457FC7"/>
    <w:rsid w:val="00460A30"/>
    <w:rsid w:val="004613AC"/>
    <w:rsid w:val="0046261A"/>
    <w:rsid w:val="004626D5"/>
    <w:rsid w:val="00462A43"/>
    <w:rsid w:val="004662B5"/>
    <w:rsid w:val="00466774"/>
    <w:rsid w:val="004669FB"/>
    <w:rsid w:val="00466FC1"/>
    <w:rsid w:val="004704D4"/>
    <w:rsid w:val="00470B73"/>
    <w:rsid w:val="004717ED"/>
    <w:rsid w:val="00471EF6"/>
    <w:rsid w:val="00472622"/>
    <w:rsid w:val="00472D5A"/>
    <w:rsid w:val="00473701"/>
    <w:rsid w:val="0047451D"/>
    <w:rsid w:val="00475D0F"/>
    <w:rsid w:val="00476199"/>
    <w:rsid w:val="004766A0"/>
    <w:rsid w:val="0047712E"/>
    <w:rsid w:val="00477CE6"/>
    <w:rsid w:val="004809E5"/>
    <w:rsid w:val="00480A18"/>
    <w:rsid w:val="00480D85"/>
    <w:rsid w:val="00480ECD"/>
    <w:rsid w:val="004823AF"/>
    <w:rsid w:val="004834BB"/>
    <w:rsid w:val="00483DE9"/>
    <w:rsid w:val="00483E95"/>
    <w:rsid w:val="004843EC"/>
    <w:rsid w:val="004849A6"/>
    <w:rsid w:val="00485DB3"/>
    <w:rsid w:val="00486209"/>
    <w:rsid w:val="00486EBB"/>
    <w:rsid w:val="0048750F"/>
    <w:rsid w:val="00487F6F"/>
    <w:rsid w:val="00490355"/>
    <w:rsid w:val="00491077"/>
    <w:rsid w:val="00491E12"/>
    <w:rsid w:val="00492271"/>
    <w:rsid w:val="00492D1C"/>
    <w:rsid w:val="00493009"/>
    <w:rsid w:val="0049300E"/>
    <w:rsid w:val="00493511"/>
    <w:rsid w:val="00494850"/>
    <w:rsid w:val="00495F5C"/>
    <w:rsid w:val="00496061"/>
    <w:rsid w:val="00496513"/>
    <w:rsid w:val="00497524"/>
    <w:rsid w:val="00497836"/>
    <w:rsid w:val="004A115F"/>
    <w:rsid w:val="004A4C73"/>
    <w:rsid w:val="004A5270"/>
    <w:rsid w:val="004A6EB1"/>
    <w:rsid w:val="004A77FC"/>
    <w:rsid w:val="004B0865"/>
    <w:rsid w:val="004B12B3"/>
    <w:rsid w:val="004B44CA"/>
    <w:rsid w:val="004B6919"/>
    <w:rsid w:val="004B6DAC"/>
    <w:rsid w:val="004C0D4B"/>
    <w:rsid w:val="004C1B23"/>
    <w:rsid w:val="004C1BBA"/>
    <w:rsid w:val="004C21DD"/>
    <w:rsid w:val="004C3023"/>
    <w:rsid w:val="004C4698"/>
    <w:rsid w:val="004C52DD"/>
    <w:rsid w:val="004D0243"/>
    <w:rsid w:val="004D0BC8"/>
    <w:rsid w:val="004D1801"/>
    <w:rsid w:val="004D200B"/>
    <w:rsid w:val="004D2311"/>
    <w:rsid w:val="004D245D"/>
    <w:rsid w:val="004D28EA"/>
    <w:rsid w:val="004D3DA4"/>
    <w:rsid w:val="004D4491"/>
    <w:rsid w:val="004D484D"/>
    <w:rsid w:val="004D5908"/>
    <w:rsid w:val="004D596E"/>
    <w:rsid w:val="004D5CA2"/>
    <w:rsid w:val="004E02F9"/>
    <w:rsid w:val="004E0411"/>
    <w:rsid w:val="004E089F"/>
    <w:rsid w:val="004E12CF"/>
    <w:rsid w:val="004E286F"/>
    <w:rsid w:val="004E33BF"/>
    <w:rsid w:val="004E37CF"/>
    <w:rsid w:val="004E3C04"/>
    <w:rsid w:val="004E4387"/>
    <w:rsid w:val="004E485E"/>
    <w:rsid w:val="004E7D7F"/>
    <w:rsid w:val="004E7FE3"/>
    <w:rsid w:val="004F014B"/>
    <w:rsid w:val="004F1A54"/>
    <w:rsid w:val="004F1D6E"/>
    <w:rsid w:val="004F2DB2"/>
    <w:rsid w:val="004F38DC"/>
    <w:rsid w:val="004F3D87"/>
    <w:rsid w:val="004F422E"/>
    <w:rsid w:val="004F5577"/>
    <w:rsid w:val="004F62C8"/>
    <w:rsid w:val="004F68DA"/>
    <w:rsid w:val="004F70AC"/>
    <w:rsid w:val="004F73AA"/>
    <w:rsid w:val="005002B6"/>
    <w:rsid w:val="00501314"/>
    <w:rsid w:val="0050165D"/>
    <w:rsid w:val="00501BD8"/>
    <w:rsid w:val="00501C57"/>
    <w:rsid w:val="00502FBB"/>
    <w:rsid w:val="005032E0"/>
    <w:rsid w:val="005034CB"/>
    <w:rsid w:val="00503804"/>
    <w:rsid w:val="00504528"/>
    <w:rsid w:val="005052B7"/>
    <w:rsid w:val="00505976"/>
    <w:rsid w:val="0050679F"/>
    <w:rsid w:val="0051031F"/>
    <w:rsid w:val="0051039F"/>
    <w:rsid w:val="00510F35"/>
    <w:rsid w:val="00511E4E"/>
    <w:rsid w:val="00511E7D"/>
    <w:rsid w:val="00512133"/>
    <w:rsid w:val="005130FC"/>
    <w:rsid w:val="00513A91"/>
    <w:rsid w:val="005155B7"/>
    <w:rsid w:val="00515D51"/>
    <w:rsid w:val="00517914"/>
    <w:rsid w:val="00517C6B"/>
    <w:rsid w:val="005201EA"/>
    <w:rsid w:val="0052127A"/>
    <w:rsid w:val="0052166F"/>
    <w:rsid w:val="005225CC"/>
    <w:rsid w:val="00522FBF"/>
    <w:rsid w:val="00523C80"/>
    <w:rsid w:val="00527384"/>
    <w:rsid w:val="00527394"/>
    <w:rsid w:val="005278CC"/>
    <w:rsid w:val="00531030"/>
    <w:rsid w:val="005311A3"/>
    <w:rsid w:val="005314A7"/>
    <w:rsid w:val="005322B4"/>
    <w:rsid w:val="00532C7E"/>
    <w:rsid w:val="005334A1"/>
    <w:rsid w:val="005335DB"/>
    <w:rsid w:val="005339FF"/>
    <w:rsid w:val="00534057"/>
    <w:rsid w:val="00534D7E"/>
    <w:rsid w:val="00535F12"/>
    <w:rsid w:val="005376B6"/>
    <w:rsid w:val="00537FAA"/>
    <w:rsid w:val="00541B16"/>
    <w:rsid w:val="00542756"/>
    <w:rsid w:val="005428B9"/>
    <w:rsid w:val="0054308F"/>
    <w:rsid w:val="0054380C"/>
    <w:rsid w:val="00543D13"/>
    <w:rsid w:val="00545397"/>
    <w:rsid w:val="005454E1"/>
    <w:rsid w:val="005464C8"/>
    <w:rsid w:val="00547E6B"/>
    <w:rsid w:val="00551DF9"/>
    <w:rsid w:val="005531C1"/>
    <w:rsid w:val="005536D9"/>
    <w:rsid w:val="00555019"/>
    <w:rsid w:val="005551E9"/>
    <w:rsid w:val="00555563"/>
    <w:rsid w:val="00556900"/>
    <w:rsid w:val="00556AB3"/>
    <w:rsid w:val="00557719"/>
    <w:rsid w:val="00560630"/>
    <w:rsid w:val="0056071F"/>
    <w:rsid w:val="005611F9"/>
    <w:rsid w:val="0056133F"/>
    <w:rsid w:val="00561AD8"/>
    <w:rsid w:val="00561FD4"/>
    <w:rsid w:val="00562E7A"/>
    <w:rsid w:val="00562F1D"/>
    <w:rsid w:val="00564FBC"/>
    <w:rsid w:val="005660F7"/>
    <w:rsid w:val="005671F6"/>
    <w:rsid w:val="0056752F"/>
    <w:rsid w:val="00570A39"/>
    <w:rsid w:val="005717D5"/>
    <w:rsid w:val="00573FF6"/>
    <w:rsid w:val="00574366"/>
    <w:rsid w:val="0057528A"/>
    <w:rsid w:val="00575C61"/>
    <w:rsid w:val="00576364"/>
    <w:rsid w:val="00576931"/>
    <w:rsid w:val="00576D9E"/>
    <w:rsid w:val="005772D7"/>
    <w:rsid w:val="00580EC5"/>
    <w:rsid w:val="00583FEF"/>
    <w:rsid w:val="005844EE"/>
    <w:rsid w:val="00586767"/>
    <w:rsid w:val="0058768E"/>
    <w:rsid w:val="005900DA"/>
    <w:rsid w:val="00590495"/>
    <w:rsid w:val="00591461"/>
    <w:rsid w:val="00591A28"/>
    <w:rsid w:val="005923C2"/>
    <w:rsid w:val="00592514"/>
    <w:rsid w:val="00592D5D"/>
    <w:rsid w:val="005930B7"/>
    <w:rsid w:val="0059389F"/>
    <w:rsid w:val="00593F13"/>
    <w:rsid w:val="00595152"/>
    <w:rsid w:val="00595459"/>
    <w:rsid w:val="00597BD8"/>
    <w:rsid w:val="00597ECA"/>
    <w:rsid w:val="00597F2D"/>
    <w:rsid w:val="005A0988"/>
    <w:rsid w:val="005A0E0B"/>
    <w:rsid w:val="005A1446"/>
    <w:rsid w:val="005A1F49"/>
    <w:rsid w:val="005A2203"/>
    <w:rsid w:val="005A61EF"/>
    <w:rsid w:val="005A6379"/>
    <w:rsid w:val="005B19D7"/>
    <w:rsid w:val="005B2181"/>
    <w:rsid w:val="005B2B8D"/>
    <w:rsid w:val="005B39F2"/>
    <w:rsid w:val="005B4427"/>
    <w:rsid w:val="005B4C25"/>
    <w:rsid w:val="005B7CFD"/>
    <w:rsid w:val="005C13D7"/>
    <w:rsid w:val="005C27BE"/>
    <w:rsid w:val="005C28D8"/>
    <w:rsid w:val="005C2A14"/>
    <w:rsid w:val="005C32BB"/>
    <w:rsid w:val="005C5531"/>
    <w:rsid w:val="005C557D"/>
    <w:rsid w:val="005C5616"/>
    <w:rsid w:val="005C5876"/>
    <w:rsid w:val="005C6074"/>
    <w:rsid w:val="005C66CD"/>
    <w:rsid w:val="005C6B57"/>
    <w:rsid w:val="005C7951"/>
    <w:rsid w:val="005C7DD8"/>
    <w:rsid w:val="005D03E5"/>
    <w:rsid w:val="005D066A"/>
    <w:rsid w:val="005D09DC"/>
    <w:rsid w:val="005D2CB6"/>
    <w:rsid w:val="005D31E5"/>
    <w:rsid w:val="005D39EC"/>
    <w:rsid w:val="005D42F3"/>
    <w:rsid w:val="005D6DBA"/>
    <w:rsid w:val="005E20F6"/>
    <w:rsid w:val="005E2521"/>
    <w:rsid w:val="005E2995"/>
    <w:rsid w:val="005E4D0D"/>
    <w:rsid w:val="005E52BB"/>
    <w:rsid w:val="005E567D"/>
    <w:rsid w:val="005E6253"/>
    <w:rsid w:val="005E683A"/>
    <w:rsid w:val="005E7497"/>
    <w:rsid w:val="005F09D1"/>
    <w:rsid w:val="005F0E31"/>
    <w:rsid w:val="005F23B3"/>
    <w:rsid w:val="005F2957"/>
    <w:rsid w:val="005F3A7D"/>
    <w:rsid w:val="005F5826"/>
    <w:rsid w:val="005F5ABB"/>
    <w:rsid w:val="005F5CF7"/>
    <w:rsid w:val="005F6316"/>
    <w:rsid w:val="005F6969"/>
    <w:rsid w:val="005F71F7"/>
    <w:rsid w:val="005F7AF4"/>
    <w:rsid w:val="006006D0"/>
    <w:rsid w:val="00600C64"/>
    <w:rsid w:val="00600FD1"/>
    <w:rsid w:val="0060120C"/>
    <w:rsid w:val="00601B30"/>
    <w:rsid w:val="00601EAE"/>
    <w:rsid w:val="006021C2"/>
    <w:rsid w:val="00602218"/>
    <w:rsid w:val="0060221A"/>
    <w:rsid w:val="006025C4"/>
    <w:rsid w:val="006026DA"/>
    <w:rsid w:val="00603D8B"/>
    <w:rsid w:val="00604D72"/>
    <w:rsid w:val="0060517F"/>
    <w:rsid w:val="00607038"/>
    <w:rsid w:val="00607670"/>
    <w:rsid w:val="00610406"/>
    <w:rsid w:val="00610608"/>
    <w:rsid w:val="00610665"/>
    <w:rsid w:val="00611CB2"/>
    <w:rsid w:val="006126F5"/>
    <w:rsid w:val="00613294"/>
    <w:rsid w:val="00613308"/>
    <w:rsid w:val="0061364F"/>
    <w:rsid w:val="00613E6E"/>
    <w:rsid w:val="00614112"/>
    <w:rsid w:val="00616114"/>
    <w:rsid w:val="006165EC"/>
    <w:rsid w:val="006173CD"/>
    <w:rsid w:val="00617846"/>
    <w:rsid w:val="006204C0"/>
    <w:rsid w:val="0062163B"/>
    <w:rsid w:val="00622347"/>
    <w:rsid w:val="0062248D"/>
    <w:rsid w:val="00622CA3"/>
    <w:rsid w:val="0062343C"/>
    <w:rsid w:val="00623FAE"/>
    <w:rsid w:val="006244F6"/>
    <w:rsid w:val="00624685"/>
    <w:rsid w:val="00624A35"/>
    <w:rsid w:val="006252D9"/>
    <w:rsid w:val="00625714"/>
    <w:rsid w:val="00625991"/>
    <w:rsid w:val="006260C3"/>
    <w:rsid w:val="006267A6"/>
    <w:rsid w:val="006276DD"/>
    <w:rsid w:val="006276E5"/>
    <w:rsid w:val="0063105F"/>
    <w:rsid w:val="00631276"/>
    <w:rsid w:val="006341B4"/>
    <w:rsid w:val="00634256"/>
    <w:rsid w:val="00634517"/>
    <w:rsid w:val="00634804"/>
    <w:rsid w:val="00635D2D"/>
    <w:rsid w:val="00636340"/>
    <w:rsid w:val="006366B5"/>
    <w:rsid w:val="00636B20"/>
    <w:rsid w:val="00636CE9"/>
    <w:rsid w:val="00637ABB"/>
    <w:rsid w:val="00640166"/>
    <w:rsid w:val="006403C2"/>
    <w:rsid w:val="006403EE"/>
    <w:rsid w:val="006405D8"/>
    <w:rsid w:val="0064069C"/>
    <w:rsid w:val="00643B68"/>
    <w:rsid w:val="00643E61"/>
    <w:rsid w:val="0064466C"/>
    <w:rsid w:val="0064468A"/>
    <w:rsid w:val="00644977"/>
    <w:rsid w:val="00645AA8"/>
    <w:rsid w:val="00645FE0"/>
    <w:rsid w:val="00647172"/>
    <w:rsid w:val="006474A8"/>
    <w:rsid w:val="006475AF"/>
    <w:rsid w:val="00647FB0"/>
    <w:rsid w:val="006508AE"/>
    <w:rsid w:val="00650AFF"/>
    <w:rsid w:val="00651A63"/>
    <w:rsid w:val="00652AA1"/>
    <w:rsid w:val="00652C8F"/>
    <w:rsid w:val="00654997"/>
    <w:rsid w:val="00654FC0"/>
    <w:rsid w:val="00655812"/>
    <w:rsid w:val="00655C0D"/>
    <w:rsid w:val="006577C6"/>
    <w:rsid w:val="006579F5"/>
    <w:rsid w:val="00657BCC"/>
    <w:rsid w:val="00657D77"/>
    <w:rsid w:val="006608C1"/>
    <w:rsid w:val="00660AD5"/>
    <w:rsid w:val="00661B4C"/>
    <w:rsid w:val="006622D2"/>
    <w:rsid w:val="00662C62"/>
    <w:rsid w:val="00662F3F"/>
    <w:rsid w:val="006640C2"/>
    <w:rsid w:val="00666FE3"/>
    <w:rsid w:val="006675D4"/>
    <w:rsid w:val="00667AD6"/>
    <w:rsid w:val="00667F68"/>
    <w:rsid w:val="006701EA"/>
    <w:rsid w:val="00670A29"/>
    <w:rsid w:val="00670D0F"/>
    <w:rsid w:val="00670F08"/>
    <w:rsid w:val="0067136B"/>
    <w:rsid w:val="006715C2"/>
    <w:rsid w:val="006724BA"/>
    <w:rsid w:val="0067294D"/>
    <w:rsid w:val="006729C0"/>
    <w:rsid w:val="0067334C"/>
    <w:rsid w:val="006740DB"/>
    <w:rsid w:val="00674703"/>
    <w:rsid w:val="00674845"/>
    <w:rsid w:val="0067518D"/>
    <w:rsid w:val="006777E5"/>
    <w:rsid w:val="00677D3B"/>
    <w:rsid w:val="00680F01"/>
    <w:rsid w:val="006818C5"/>
    <w:rsid w:val="00682971"/>
    <w:rsid w:val="00686263"/>
    <w:rsid w:val="00687AD2"/>
    <w:rsid w:val="0069033B"/>
    <w:rsid w:val="00691B04"/>
    <w:rsid w:val="0069355D"/>
    <w:rsid w:val="00693DAC"/>
    <w:rsid w:val="00694005"/>
    <w:rsid w:val="00694D80"/>
    <w:rsid w:val="006951CA"/>
    <w:rsid w:val="00696785"/>
    <w:rsid w:val="006968C8"/>
    <w:rsid w:val="00697551"/>
    <w:rsid w:val="006A132A"/>
    <w:rsid w:val="006A15D8"/>
    <w:rsid w:val="006A293E"/>
    <w:rsid w:val="006A40DE"/>
    <w:rsid w:val="006A6891"/>
    <w:rsid w:val="006A6D4F"/>
    <w:rsid w:val="006A74E6"/>
    <w:rsid w:val="006A7B7F"/>
    <w:rsid w:val="006B05B1"/>
    <w:rsid w:val="006B078D"/>
    <w:rsid w:val="006B10FB"/>
    <w:rsid w:val="006B2744"/>
    <w:rsid w:val="006B2DF2"/>
    <w:rsid w:val="006B4ACE"/>
    <w:rsid w:val="006B5571"/>
    <w:rsid w:val="006B6008"/>
    <w:rsid w:val="006B795B"/>
    <w:rsid w:val="006B7B54"/>
    <w:rsid w:val="006C0C77"/>
    <w:rsid w:val="006C264D"/>
    <w:rsid w:val="006C4A12"/>
    <w:rsid w:val="006C53ED"/>
    <w:rsid w:val="006C5BB2"/>
    <w:rsid w:val="006C6AD4"/>
    <w:rsid w:val="006D052C"/>
    <w:rsid w:val="006D0912"/>
    <w:rsid w:val="006D32DB"/>
    <w:rsid w:val="006D35EF"/>
    <w:rsid w:val="006D4B3E"/>
    <w:rsid w:val="006D4CBE"/>
    <w:rsid w:val="006D6800"/>
    <w:rsid w:val="006E02C7"/>
    <w:rsid w:val="006E0319"/>
    <w:rsid w:val="006E1223"/>
    <w:rsid w:val="006E1358"/>
    <w:rsid w:val="006E1375"/>
    <w:rsid w:val="006E21C9"/>
    <w:rsid w:val="006E32A7"/>
    <w:rsid w:val="006E33A8"/>
    <w:rsid w:val="006E3EDC"/>
    <w:rsid w:val="006E4408"/>
    <w:rsid w:val="006E4F12"/>
    <w:rsid w:val="006E53E8"/>
    <w:rsid w:val="006E558B"/>
    <w:rsid w:val="006E5633"/>
    <w:rsid w:val="006E5C70"/>
    <w:rsid w:val="006E685F"/>
    <w:rsid w:val="006E702C"/>
    <w:rsid w:val="006F05AD"/>
    <w:rsid w:val="006F0C8A"/>
    <w:rsid w:val="006F1168"/>
    <w:rsid w:val="006F17CE"/>
    <w:rsid w:val="006F3733"/>
    <w:rsid w:val="006F375D"/>
    <w:rsid w:val="006F3EDA"/>
    <w:rsid w:val="006F4A37"/>
    <w:rsid w:val="006F616B"/>
    <w:rsid w:val="006F65EA"/>
    <w:rsid w:val="00700B15"/>
    <w:rsid w:val="00700D4A"/>
    <w:rsid w:val="00701718"/>
    <w:rsid w:val="007018F3"/>
    <w:rsid w:val="00701ABD"/>
    <w:rsid w:val="00702449"/>
    <w:rsid w:val="0070405F"/>
    <w:rsid w:val="00704138"/>
    <w:rsid w:val="00705C1F"/>
    <w:rsid w:val="00705CC9"/>
    <w:rsid w:val="00707B77"/>
    <w:rsid w:val="00711092"/>
    <w:rsid w:val="0071126A"/>
    <w:rsid w:val="00712ACD"/>
    <w:rsid w:val="007149E7"/>
    <w:rsid w:val="007154A2"/>
    <w:rsid w:val="007163FF"/>
    <w:rsid w:val="007169B0"/>
    <w:rsid w:val="0071706E"/>
    <w:rsid w:val="007173AF"/>
    <w:rsid w:val="007227D7"/>
    <w:rsid w:val="00722A13"/>
    <w:rsid w:val="0072339D"/>
    <w:rsid w:val="007238A4"/>
    <w:rsid w:val="007239F3"/>
    <w:rsid w:val="00723D71"/>
    <w:rsid w:val="00724311"/>
    <w:rsid w:val="00724AEC"/>
    <w:rsid w:val="00724FBD"/>
    <w:rsid w:val="0072534F"/>
    <w:rsid w:val="00730698"/>
    <w:rsid w:val="0073207F"/>
    <w:rsid w:val="00732D3A"/>
    <w:rsid w:val="00733B6D"/>
    <w:rsid w:val="00733B70"/>
    <w:rsid w:val="0073548A"/>
    <w:rsid w:val="00735966"/>
    <w:rsid w:val="00735EB5"/>
    <w:rsid w:val="0073605C"/>
    <w:rsid w:val="007368EC"/>
    <w:rsid w:val="00737B24"/>
    <w:rsid w:val="00737C5A"/>
    <w:rsid w:val="00741AAF"/>
    <w:rsid w:val="00741BAB"/>
    <w:rsid w:val="00742189"/>
    <w:rsid w:val="0074226A"/>
    <w:rsid w:val="0074245A"/>
    <w:rsid w:val="00744EAC"/>
    <w:rsid w:val="0074625D"/>
    <w:rsid w:val="00750E2D"/>
    <w:rsid w:val="00750E6E"/>
    <w:rsid w:val="00752BAA"/>
    <w:rsid w:val="007538FD"/>
    <w:rsid w:val="00753D17"/>
    <w:rsid w:val="00754EE8"/>
    <w:rsid w:val="0075512A"/>
    <w:rsid w:val="007553B0"/>
    <w:rsid w:val="00755671"/>
    <w:rsid w:val="00755869"/>
    <w:rsid w:val="00755D2D"/>
    <w:rsid w:val="00756245"/>
    <w:rsid w:val="0075736C"/>
    <w:rsid w:val="0075759D"/>
    <w:rsid w:val="00757C64"/>
    <w:rsid w:val="007607E1"/>
    <w:rsid w:val="007607F9"/>
    <w:rsid w:val="00762223"/>
    <w:rsid w:val="00763385"/>
    <w:rsid w:val="00763860"/>
    <w:rsid w:val="00765AE0"/>
    <w:rsid w:val="00765ED9"/>
    <w:rsid w:val="00766415"/>
    <w:rsid w:val="007666DD"/>
    <w:rsid w:val="0076780A"/>
    <w:rsid w:val="00771A43"/>
    <w:rsid w:val="00772538"/>
    <w:rsid w:val="00775836"/>
    <w:rsid w:val="007770F8"/>
    <w:rsid w:val="00777222"/>
    <w:rsid w:val="00777589"/>
    <w:rsid w:val="007801E4"/>
    <w:rsid w:val="007804ED"/>
    <w:rsid w:val="0078205C"/>
    <w:rsid w:val="0078210B"/>
    <w:rsid w:val="00782FC9"/>
    <w:rsid w:val="0078314D"/>
    <w:rsid w:val="00783EB0"/>
    <w:rsid w:val="007840A3"/>
    <w:rsid w:val="00785D5E"/>
    <w:rsid w:val="00785D7C"/>
    <w:rsid w:val="00786123"/>
    <w:rsid w:val="007862A6"/>
    <w:rsid w:val="0079068F"/>
    <w:rsid w:val="00790AD3"/>
    <w:rsid w:val="007914E8"/>
    <w:rsid w:val="0079167A"/>
    <w:rsid w:val="00791AD5"/>
    <w:rsid w:val="00791E48"/>
    <w:rsid w:val="007931E5"/>
    <w:rsid w:val="00793258"/>
    <w:rsid w:val="00793A70"/>
    <w:rsid w:val="00793F3E"/>
    <w:rsid w:val="0079412B"/>
    <w:rsid w:val="00795572"/>
    <w:rsid w:val="00795804"/>
    <w:rsid w:val="0079598A"/>
    <w:rsid w:val="00795B88"/>
    <w:rsid w:val="0079793B"/>
    <w:rsid w:val="007A0358"/>
    <w:rsid w:val="007A08CA"/>
    <w:rsid w:val="007A11DD"/>
    <w:rsid w:val="007A13EF"/>
    <w:rsid w:val="007A2383"/>
    <w:rsid w:val="007A23BC"/>
    <w:rsid w:val="007A3483"/>
    <w:rsid w:val="007A351C"/>
    <w:rsid w:val="007A479B"/>
    <w:rsid w:val="007A4C13"/>
    <w:rsid w:val="007A71D8"/>
    <w:rsid w:val="007A7543"/>
    <w:rsid w:val="007B07FD"/>
    <w:rsid w:val="007B0D13"/>
    <w:rsid w:val="007B1912"/>
    <w:rsid w:val="007B3C83"/>
    <w:rsid w:val="007B696F"/>
    <w:rsid w:val="007B7637"/>
    <w:rsid w:val="007B76C6"/>
    <w:rsid w:val="007B7C76"/>
    <w:rsid w:val="007C0955"/>
    <w:rsid w:val="007C181F"/>
    <w:rsid w:val="007C1CA5"/>
    <w:rsid w:val="007C2205"/>
    <w:rsid w:val="007C2D3D"/>
    <w:rsid w:val="007C47C4"/>
    <w:rsid w:val="007C4B0E"/>
    <w:rsid w:val="007C5739"/>
    <w:rsid w:val="007C720F"/>
    <w:rsid w:val="007C7837"/>
    <w:rsid w:val="007D0937"/>
    <w:rsid w:val="007D09E2"/>
    <w:rsid w:val="007D2CCB"/>
    <w:rsid w:val="007D59BD"/>
    <w:rsid w:val="007D5C7E"/>
    <w:rsid w:val="007D6821"/>
    <w:rsid w:val="007D6931"/>
    <w:rsid w:val="007D6B7A"/>
    <w:rsid w:val="007D7B01"/>
    <w:rsid w:val="007E07C1"/>
    <w:rsid w:val="007E1B45"/>
    <w:rsid w:val="007E1BC3"/>
    <w:rsid w:val="007E2332"/>
    <w:rsid w:val="007E2601"/>
    <w:rsid w:val="007E3E67"/>
    <w:rsid w:val="007E42D9"/>
    <w:rsid w:val="007E4770"/>
    <w:rsid w:val="007E5068"/>
    <w:rsid w:val="007E5298"/>
    <w:rsid w:val="007E624F"/>
    <w:rsid w:val="007E64ED"/>
    <w:rsid w:val="007E64F3"/>
    <w:rsid w:val="007E65FE"/>
    <w:rsid w:val="007F0BBD"/>
    <w:rsid w:val="007F0EEE"/>
    <w:rsid w:val="007F19FE"/>
    <w:rsid w:val="007F1C5E"/>
    <w:rsid w:val="007F3744"/>
    <w:rsid w:val="007F457B"/>
    <w:rsid w:val="007F4901"/>
    <w:rsid w:val="007F4A3B"/>
    <w:rsid w:val="007F4E52"/>
    <w:rsid w:val="007F5080"/>
    <w:rsid w:val="007F60D4"/>
    <w:rsid w:val="007F75E0"/>
    <w:rsid w:val="007F7928"/>
    <w:rsid w:val="008002F5"/>
    <w:rsid w:val="00801BEF"/>
    <w:rsid w:val="00803D82"/>
    <w:rsid w:val="00806918"/>
    <w:rsid w:val="00807207"/>
    <w:rsid w:val="008077CE"/>
    <w:rsid w:val="00810D99"/>
    <w:rsid w:val="00811151"/>
    <w:rsid w:val="00811EEB"/>
    <w:rsid w:val="00812A02"/>
    <w:rsid w:val="00815724"/>
    <w:rsid w:val="00815D4D"/>
    <w:rsid w:val="00816802"/>
    <w:rsid w:val="00816BC0"/>
    <w:rsid w:val="00817DF6"/>
    <w:rsid w:val="00821630"/>
    <w:rsid w:val="0082292B"/>
    <w:rsid w:val="00823162"/>
    <w:rsid w:val="00825005"/>
    <w:rsid w:val="008253B6"/>
    <w:rsid w:val="00826634"/>
    <w:rsid w:val="00827710"/>
    <w:rsid w:val="00827AF6"/>
    <w:rsid w:val="0083065A"/>
    <w:rsid w:val="00832C2C"/>
    <w:rsid w:val="0083327D"/>
    <w:rsid w:val="00833C2D"/>
    <w:rsid w:val="00834240"/>
    <w:rsid w:val="0083452D"/>
    <w:rsid w:val="00834EB9"/>
    <w:rsid w:val="0083506D"/>
    <w:rsid w:val="008367FF"/>
    <w:rsid w:val="00843F3F"/>
    <w:rsid w:val="00844176"/>
    <w:rsid w:val="00845E22"/>
    <w:rsid w:val="0084686D"/>
    <w:rsid w:val="0084720F"/>
    <w:rsid w:val="008472E9"/>
    <w:rsid w:val="00852ABC"/>
    <w:rsid w:val="00853544"/>
    <w:rsid w:val="0085594B"/>
    <w:rsid w:val="008559B7"/>
    <w:rsid w:val="00855EE9"/>
    <w:rsid w:val="0085660D"/>
    <w:rsid w:val="008607B3"/>
    <w:rsid w:val="00860D2B"/>
    <w:rsid w:val="00862AD4"/>
    <w:rsid w:val="008641A1"/>
    <w:rsid w:val="00866434"/>
    <w:rsid w:val="0086704C"/>
    <w:rsid w:val="00867F2F"/>
    <w:rsid w:val="008701BC"/>
    <w:rsid w:val="00870A84"/>
    <w:rsid w:val="008748DA"/>
    <w:rsid w:val="00874D2E"/>
    <w:rsid w:val="00877899"/>
    <w:rsid w:val="00880E13"/>
    <w:rsid w:val="0088455C"/>
    <w:rsid w:val="00884BAF"/>
    <w:rsid w:val="00885768"/>
    <w:rsid w:val="00885DB7"/>
    <w:rsid w:val="00886132"/>
    <w:rsid w:val="008861F3"/>
    <w:rsid w:val="0088664F"/>
    <w:rsid w:val="0088690E"/>
    <w:rsid w:val="008874AE"/>
    <w:rsid w:val="008911EF"/>
    <w:rsid w:val="00891792"/>
    <w:rsid w:val="008924CF"/>
    <w:rsid w:val="00892C35"/>
    <w:rsid w:val="00893907"/>
    <w:rsid w:val="00893D63"/>
    <w:rsid w:val="008941A1"/>
    <w:rsid w:val="00894500"/>
    <w:rsid w:val="0089494E"/>
    <w:rsid w:val="00895746"/>
    <w:rsid w:val="008976FE"/>
    <w:rsid w:val="008979BD"/>
    <w:rsid w:val="00897B85"/>
    <w:rsid w:val="00897CE1"/>
    <w:rsid w:val="008A04CA"/>
    <w:rsid w:val="008A12E1"/>
    <w:rsid w:val="008A2139"/>
    <w:rsid w:val="008A24B0"/>
    <w:rsid w:val="008A2C86"/>
    <w:rsid w:val="008A30FC"/>
    <w:rsid w:val="008A313C"/>
    <w:rsid w:val="008A4020"/>
    <w:rsid w:val="008A621F"/>
    <w:rsid w:val="008A6934"/>
    <w:rsid w:val="008A6D43"/>
    <w:rsid w:val="008B05CD"/>
    <w:rsid w:val="008B06F6"/>
    <w:rsid w:val="008B0BB4"/>
    <w:rsid w:val="008B0CF6"/>
    <w:rsid w:val="008B0DAC"/>
    <w:rsid w:val="008B0EB5"/>
    <w:rsid w:val="008B101F"/>
    <w:rsid w:val="008B1305"/>
    <w:rsid w:val="008B1740"/>
    <w:rsid w:val="008B185B"/>
    <w:rsid w:val="008B1CF9"/>
    <w:rsid w:val="008B32B2"/>
    <w:rsid w:val="008B4DD3"/>
    <w:rsid w:val="008B519D"/>
    <w:rsid w:val="008B555A"/>
    <w:rsid w:val="008B67FC"/>
    <w:rsid w:val="008C1130"/>
    <w:rsid w:val="008C1A1D"/>
    <w:rsid w:val="008C1FA6"/>
    <w:rsid w:val="008C2AC3"/>
    <w:rsid w:val="008C361B"/>
    <w:rsid w:val="008C4D78"/>
    <w:rsid w:val="008C54BF"/>
    <w:rsid w:val="008C55E3"/>
    <w:rsid w:val="008D033F"/>
    <w:rsid w:val="008D1835"/>
    <w:rsid w:val="008D2EDE"/>
    <w:rsid w:val="008D3672"/>
    <w:rsid w:val="008D3795"/>
    <w:rsid w:val="008D3BB5"/>
    <w:rsid w:val="008D4AB1"/>
    <w:rsid w:val="008D5097"/>
    <w:rsid w:val="008D5261"/>
    <w:rsid w:val="008D5897"/>
    <w:rsid w:val="008D72A2"/>
    <w:rsid w:val="008D7A12"/>
    <w:rsid w:val="008E09BB"/>
    <w:rsid w:val="008E0D3D"/>
    <w:rsid w:val="008E11E9"/>
    <w:rsid w:val="008E1961"/>
    <w:rsid w:val="008E34D3"/>
    <w:rsid w:val="008E48CD"/>
    <w:rsid w:val="008E491D"/>
    <w:rsid w:val="008E64D9"/>
    <w:rsid w:val="008E64F9"/>
    <w:rsid w:val="008F09FC"/>
    <w:rsid w:val="008F12CD"/>
    <w:rsid w:val="008F2B78"/>
    <w:rsid w:val="008F2BF6"/>
    <w:rsid w:val="008F3932"/>
    <w:rsid w:val="008F4D7D"/>
    <w:rsid w:val="008F6940"/>
    <w:rsid w:val="008F6EE7"/>
    <w:rsid w:val="008F7085"/>
    <w:rsid w:val="008F7211"/>
    <w:rsid w:val="0090144C"/>
    <w:rsid w:val="009014AD"/>
    <w:rsid w:val="009022FC"/>
    <w:rsid w:val="00902591"/>
    <w:rsid w:val="009030D1"/>
    <w:rsid w:val="009040D9"/>
    <w:rsid w:val="00904A73"/>
    <w:rsid w:val="009052C7"/>
    <w:rsid w:val="00905DF8"/>
    <w:rsid w:val="00906300"/>
    <w:rsid w:val="009077AF"/>
    <w:rsid w:val="0091159E"/>
    <w:rsid w:val="0091215B"/>
    <w:rsid w:val="00912934"/>
    <w:rsid w:val="009129DE"/>
    <w:rsid w:val="00912D2C"/>
    <w:rsid w:val="009132DC"/>
    <w:rsid w:val="00913819"/>
    <w:rsid w:val="00915267"/>
    <w:rsid w:val="00915366"/>
    <w:rsid w:val="009153FF"/>
    <w:rsid w:val="00915EA6"/>
    <w:rsid w:val="00916595"/>
    <w:rsid w:val="009172EF"/>
    <w:rsid w:val="00917373"/>
    <w:rsid w:val="00917839"/>
    <w:rsid w:val="00917B72"/>
    <w:rsid w:val="009208B2"/>
    <w:rsid w:val="00921965"/>
    <w:rsid w:val="00922412"/>
    <w:rsid w:val="00923BBD"/>
    <w:rsid w:val="0092408B"/>
    <w:rsid w:val="0092462D"/>
    <w:rsid w:val="00924EAD"/>
    <w:rsid w:val="00924EEB"/>
    <w:rsid w:val="00925D93"/>
    <w:rsid w:val="00926E2C"/>
    <w:rsid w:val="00927B56"/>
    <w:rsid w:val="0093065D"/>
    <w:rsid w:val="00930E0C"/>
    <w:rsid w:val="00930F51"/>
    <w:rsid w:val="00932AC0"/>
    <w:rsid w:val="00934076"/>
    <w:rsid w:val="0093411D"/>
    <w:rsid w:val="00934426"/>
    <w:rsid w:val="009348A4"/>
    <w:rsid w:val="00934FD0"/>
    <w:rsid w:val="00935BDC"/>
    <w:rsid w:val="009365DD"/>
    <w:rsid w:val="009369EA"/>
    <w:rsid w:val="00937EDD"/>
    <w:rsid w:val="00940BE2"/>
    <w:rsid w:val="00942D4F"/>
    <w:rsid w:val="00943C0F"/>
    <w:rsid w:val="00944BC9"/>
    <w:rsid w:val="00945FF3"/>
    <w:rsid w:val="009465A0"/>
    <w:rsid w:val="00947198"/>
    <w:rsid w:val="00947F7A"/>
    <w:rsid w:val="00950815"/>
    <w:rsid w:val="00950ABA"/>
    <w:rsid w:val="00950DB4"/>
    <w:rsid w:val="00950DCC"/>
    <w:rsid w:val="00951E01"/>
    <w:rsid w:val="00952001"/>
    <w:rsid w:val="009529F2"/>
    <w:rsid w:val="00954336"/>
    <w:rsid w:val="00954406"/>
    <w:rsid w:val="009545FE"/>
    <w:rsid w:val="00955291"/>
    <w:rsid w:val="00960178"/>
    <w:rsid w:val="0096045F"/>
    <w:rsid w:val="00960849"/>
    <w:rsid w:val="00960E2D"/>
    <w:rsid w:val="009614AB"/>
    <w:rsid w:val="00961882"/>
    <w:rsid w:val="00961BAC"/>
    <w:rsid w:val="00962193"/>
    <w:rsid w:val="009621E4"/>
    <w:rsid w:val="009629F6"/>
    <w:rsid w:val="00963126"/>
    <w:rsid w:val="00964CDF"/>
    <w:rsid w:val="00965FB2"/>
    <w:rsid w:val="00966137"/>
    <w:rsid w:val="00971AC5"/>
    <w:rsid w:val="00971E65"/>
    <w:rsid w:val="00974815"/>
    <w:rsid w:val="00975BD0"/>
    <w:rsid w:val="0097794D"/>
    <w:rsid w:val="00980892"/>
    <w:rsid w:val="00980DCB"/>
    <w:rsid w:val="009819FD"/>
    <w:rsid w:val="00982D3A"/>
    <w:rsid w:val="00983CE4"/>
    <w:rsid w:val="00983EBC"/>
    <w:rsid w:val="009843F8"/>
    <w:rsid w:val="009845D1"/>
    <w:rsid w:val="00984CBB"/>
    <w:rsid w:val="00984E8E"/>
    <w:rsid w:val="00985DCF"/>
    <w:rsid w:val="009860DC"/>
    <w:rsid w:val="009867FD"/>
    <w:rsid w:val="00987D54"/>
    <w:rsid w:val="009900BF"/>
    <w:rsid w:val="009902F1"/>
    <w:rsid w:val="00990FDE"/>
    <w:rsid w:val="009911F9"/>
    <w:rsid w:val="0099126E"/>
    <w:rsid w:val="009918C4"/>
    <w:rsid w:val="00991F44"/>
    <w:rsid w:val="009921B2"/>
    <w:rsid w:val="00992CF3"/>
    <w:rsid w:val="00993D8F"/>
    <w:rsid w:val="00995F6D"/>
    <w:rsid w:val="00997450"/>
    <w:rsid w:val="009A1736"/>
    <w:rsid w:val="009A33C7"/>
    <w:rsid w:val="009A33E7"/>
    <w:rsid w:val="009A3464"/>
    <w:rsid w:val="009A37E5"/>
    <w:rsid w:val="009A4A60"/>
    <w:rsid w:val="009A5DE2"/>
    <w:rsid w:val="009A6A2B"/>
    <w:rsid w:val="009A6C01"/>
    <w:rsid w:val="009A740B"/>
    <w:rsid w:val="009B11C5"/>
    <w:rsid w:val="009B214C"/>
    <w:rsid w:val="009B3FE3"/>
    <w:rsid w:val="009B51A1"/>
    <w:rsid w:val="009B5596"/>
    <w:rsid w:val="009B61BF"/>
    <w:rsid w:val="009B6220"/>
    <w:rsid w:val="009B73C2"/>
    <w:rsid w:val="009B781D"/>
    <w:rsid w:val="009B78D4"/>
    <w:rsid w:val="009C060E"/>
    <w:rsid w:val="009C07A4"/>
    <w:rsid w:val="009C0816"/>
    <w:rsid w:val="009C2EC0"/>
    <w:rsid w:val="009C31FA"/>
    <w:rsid w:val="009C330B"/>
    <w:rsid w:val="009C3F3F"/>
    <w:rsid w:val="009C4341"/>
    <w:rsid w:val="009C515C"/>
    <w:rsid w:val="009C528B"/>
    <w:rsid w:val="009C6B73"/>
    <w:rsid w:val="009C6EE4"/>
    <w:rsid w:val="009C703E"/>
    <w:rsid w:val="009C7AE1"/>
    <w:rsid w:val="009C7D85"/>
    <w:rsid w:val="009D0EE1"/>
    <w:rsid w:val="009D2210"/>
    <w:rsid w:val="009D5258"/>
    <w:rsid w:val="009D58F1"/>
    <w:rsid w:val="009D5BF9"/>
    <w:rsid w:val="009D6AAA"/>
    <w:rsid w:val="009E08DE"/>
    <w:rsid w:val="009E0FCD"/>
    <w:rsid w:val="009E1116"/>
    <w:rsid w:val="009E225F"/>
    <w:rsid w:val="009E2428"/>
    <w:rsid w:val="009E2965"/>
    <w:rsid w:val="009E2C80"/>
    <w:rsid w:val="009E3ED6"/>
    <w:rsid w:val="009E5748"/>
    <w:rsid w:val="009E5E87"/>
    <w:rsid w:val="009E7974"/>
    <w:rsid w:val="009F0633"/>
    <w:rsid w:val="009F0CCC"/>
    <w:rsid w:val="009F2508"/>
    <w:rsid w:val="009F31B2"/>
    <w:rsid w:val="009F43B9"/>
    <w:rsid w:val="009F547F"/>
    <w:rsid w:val="009F6FC2"/>
    <w:rsid w:val="00A001CD"/>
    <w:rsid w:val="00A00D7D"/>
    <w:rsid w:val="00A020F7"/>
    <w:rsid w:val="00A03921"/>
    <w:rsid w:val="00A03BBE"/>
    <w:rsid w:val="00A040E5"/>
    <w:rsid w:val="00A053B2"/>
    <w:rsid w:val="00A065F0"/>
    <w:rsid w:val="00A068D8"/>
    <w:rsid w:val="00A068DC"/>
    <w:rsid w:val="00A06C2B"/>
    <w:rsid w:val="00A103D8"/>
    <w:rsid w:val="00A108FE"/>
    <w:rsid w:val="00A10994"/>
    <w:rsid w:val="00A10D57"/>
    <w:rsid w:val="00A12E95"/>
    <w:rsid w:val="00A1316A"/>
    <w:rsid w:val="00A137DA"/>
    <w:rsid w:val="00A14D65"/>
    <w:rsid w:val="00A1765C"/>
    <w:rsid w:val="00A176AC"/>
    <w:rsid w:val="00A20355"/>
    <w:rsid w:val="00A208C5"/>
    <w:rsid w:val="00A20CD8"/>
    <w:rsid w:val="00A21ABD"/>
    <w:rsid w:val="00A24AEA"/>
    <w:rsid w:val="00A25051"/>
    <w:rsid w:val="00A27F59"/>
    <w:rsid w:val="00A316DD"/>
    <w:rsid w:val="00A31E9A"/>
    <w:rsid w:val="00A320D6"/>
    <w:rsid w:val="00A328BA"/>
    <w:rsid w:val="00A34016"/>
    <w:rsid w:val="00A3556D"/>
    <w:rsid w:val="00A358FA"/>
    <w:rsid w:val="00A36272"/>
    <w:rsid w:val="00A36662"/>
    <w:rsid w:val="00A36B11"/>
    <w:rsid w:val="00A36C53"/>
    <w:rsid w:val="00A3704F"/>
    <w:rsid w:val="00A404C6"/>
    <w:rsid w:val="00A40E4F"/>
    <w:rsid w:val="00A41466"/>
    <w:rsid w:val="00A4374D"/>
    <w:rsid w:val="00A4412B"/>
    <w:rsid w:val="00A4418E"/>
    <w:rsid w:val="00A445DD"/>
    <w:rsid w:val="00A44A37"/>
    <w:rsid w:val="00A46273"/>
    <w:rsid w:val="00A471BD"/>
    <w:rsid w:val="00A50542"/>
    <w:rsid w:val="00A50FC5"/>
    <w:rsid w:val="00A513A2"/>
    <w:rsid w:val="00A51AF7"/>
    <w:rsid w:val="00A52731"/>
    <w:rsid w:val="00A52BC8"/>
    <w:rsid w:val="00A53F85"/>
    <w:rsid w:val="00A56086"/>
    <w:rsid w:val="00A5732B"/>
    <w:rsid w:val="00A604A1"/>
    <w:rsid w:val="00A60A44"/>
    <w:rsid w:val="00A60C5D"/>
    <w:rsid w:val="00A6122D"/>
    <w:rsid w:val="00A6172B"/>
    <w:rsid w:val="00A6179D"/>
    <w:rsid w:val="00A62ED7"/>
    <w:rsid w:val="00A631DC"/>
    <w:rsid w:val="00A648A4"/>
    <w:rsid w:val="00A64FC3"/>
    <w:rsid w:val="00A654D7"/>
    <w:rsid w:val="00A65C1B"/>
    <w:rsid w:val="00A65EB0"/>
    <w:rsid w:val="00A6634C"/>
    <w:rsid w:val="00A67FE9"/>
    <w:rsid w:val="00A70A98"/>
    <w:rsid w:val="00A70F1B"/>
    <w:rsid w:val="00A71049"/>
    <w:rsid w:val="00A71F9F"/>
    <w:rsid w:val="00A73B09"/>
    <w:rsid w:val="00A765BC"/>
    <w:rsid w:val="00A76E89"/>
    <w:rsid w:val="00A804BB"/>
    <w:rsid w:val="00A8183A"/>
    <w:rsid w:val="00A8198C"/>
    <w:rsid w:val="00A82496"/>
    <w:rsid w:val="00A83898"/>
    <w:rsid w:val="00A83BFF"/>
    <w:rsid w:val="00A86CA1"/>
    <w:rsid w:val="00A873F9"/>
    <w:rsid w:val="00A8783B"/>
    <w:rsid w:val="00A87D7F"/>
    <w:rsid w:val="00A87E6A"/>
    <w:rsid w:val="00A90798"/>
    <w:rsid w:val="00A92549"/>
    <w:rsid w:val="00A92CEE"/>
    <w:rsid w:val="00A92D0E"/>
    <w:rsid w:val="00A93F62"/>
    <w:rsid w:val="00A94433"/>
    <w:rsid w:val="00A9524B"/>
    <w:rsid w:val="00A9526F"/>
    <w:rsid w:val="00A959DD"/>
    <w:rsid w:val="00A95F93"/>
    <w:rsid w:val="00A96650"/>
    <w:rsid w:val="00A97011"/>
    <w:rsid w:val="00A97982"/>
    <w:rsid w:val="00AA2B66"/>
    <w:rsid w:val="00AA4DA7"/>
    <w:rsid w:val="00AA5D6A"/>
    <w:rsid w:val="00AB125F"/>
    <w:rsid w:val="00AB1375"/>
    <w:rsid w:val="00AB222F"/>
    <w:rsid w:val="00AB3A85"/>
    <w:rsid w:val="00AB3B61"/>
    <w:rsid w:val="00AB4118"/>
    <w:rsid w:val="00AB584C"/>
    <w:rsid w:val="00AB73B8"/>
    <w:rsid w:val="00AB74D7"/>
    <w:rsid w:val="00AC0EC5"/>
    <w:rsid w:val="00AC1CD9"/>
    <w:rsid w:val="00AC423A"/>
    <w:rsid w:val="00AC5166"/>
    <w:rsid w:val="00AC686D"/>
    <w:rsid w:val="00AC76F1"/>
    <w:rsid w:val="00AD5244"/>
    <w:rsid w:val="00AD583C"/>
    <w:rsid w:val="00AD5840"/>
    <w:rsid w:val="00AD5C74"/>
    <w:rsid w:val="00AD62FB"/>
    <w:rsid w:val="00AD689E"/>
    <w:rsid w:val="00AD6E8E"/>
    <w:rsid w:val="00AE066E"/>
    <w:rsid w:val="00AE3468"/>
    <w:rsid w:val="00AE3B49"/>
    <w:rsid w:val="00AE3C80"/>
    <w:rsid w:val="00AE3FDA"/>
    <w:rsid w:val="00AE5198"/>
    <w:rsid w:val="00AE59E7"/>
    <w:rsid w:val="00AE6482"/>
    <w:rsid w:val="00AE6C8E"/>
    <w:rsid w:val="00AE7513"/>
    <w:rsid w:val="00AE7B35"/>
    <w:rsid w:val="00AF1E79"/>
    <w:rsid w:val="00AF24E4"/>
    <w:rsid w:val="00AF31B9"/>
    <w:rsid w:val="00AF340E"/>
    <w:rsid w:val="00AF3E43"/>
    <w:rsid w:val="00AF4D44"/>
    <w:rsid w:val="00AF4F96"/>
    <w:rsid w:val="00AF5365"/>
    <w:rsid w:val="00AF5458"/>
    <w:rsid w:val="00AF676C"/>
    <w:rsid w:val="00AF6937"/>
    <w:rsid w:val="00AF7C7B"/>
    <w:rsid w:val="00B0025E"/>
    <w:rsid w:val="00B00ACD"/>
    <w:rsid w:val="00B0104A"/>
    <w:rsid w:val="00B01669"/>
    <w:rsid w:val="00B01A93"/>
    <w:rsid w:val="00B04981"/>
    <w:rsid w:val="00B0500D"/>
    <w:rsid w:val="00B0593F"/>
    <w:rsid w:val="00B067AD"/>
    <w:rsid w:val="00B06B77"/>
    <w:rsid w:val="00B0796E"/>
    <w:rsid w:val="00B07C7B"/>
    <w:rsid w:val="00B07FF7"/>
    <w:rsid w:val="00B101C2"/>
    <w:rsid w:val="00B12370"/>
    <w:rsid w:val="00B13C32"/>
    <w:rsid w:val="00B142A8"/>
    <w:rsid w:val="00B16475"/>
    <w:rsid w:val="00B17776"/>
    <w:rsid w:val="00B179B9"/>
    <w:rsid w:val="00B20394"/>
    <w:rsid w:val="00B205F4"/>
    <w:rsid w:val="00B224C0"/>
    <w:rsid w:val="00B22E4E"/>
    <w:rsid w:val="00B23AD5"/>
    <w:rsid w:val="00B24C3C"/>
    <w:rsid w:val="00B2562A"/>
    <w:rsid w:val="00B26A02"/>
    <w:rsid w:val="00B27AB3"/>
    <w:rsid w:val="00B30387"/>
    <w:rsid w:val="00B30AA6"/>
    <w:rsid w:val="00B30B6D"/>
    <w:rsid w:val="00B3103A"/>
    <w:rsid w:val="00B336AD"/>
    <w:rsid w:val="00B36040"/>
    <w:rsid w:val="00B422F6"/>
    <w:rsid w:val="00B42D0C"/>
    <w:rsid w:val="00B43161"/>
    <w:rsid w:val="00B434C9"/>
    <w:rsid w:val="00B4372B"/>
    <w:rsid w:val="00B43A6A"/>
    <w:rsid w:val="00B47892"/>
    <w:rsid w:val="00B47C7F"/>
    <w:rsid w:val="00B50D23"/>
    <w:rsid w:val="00B51107"/>
    <w:rsid w:val="00B52AB6"/>
    <w:rsid w:val="00B53397"/>
    <w:rsid w:val="00B5383D"/>
    <w:rsid w:val="00B54E6F"/>
    <w:rsid w:val="00B54FF6"/>
    <w:rsid w:val="00B55E22"/>
    <w:rsid w:val="00B56064"/>
    <w:rsid w:val="00B5745C"/>
    <w:rsid w:val="00B600B3"/>
    <w:rsid w:val="00B60BE4"/>
    <w:rsid w:val="00B60DA3"/>
    <w:rsid w:val="00B61305"/>
    <w:rsid w:val="00B62A7C"/>
    <w:rsid w:val="00B62C24"/>
    <w:rsid w:val="00B630CD"/>
    <w:rsid w:val="00B64AD3"/>
    <w:rsid w:val="00B65160"/>
    <w:rsid w:val="00B66029"/>
    <w:rsid w:val="00B663EA"/>
    <w:rsid w:val="00B66553"/>
    <w:rsid w:val="00B668C2"/>
    <w:rsid w:val="00B66CCF"/>
    <w:rsid w:val="00B673D1"/>
    <w:rsid w:val="00B67B8C"/>
    <w:rsid w:val="00B712AE"/>
    <w:rsid w:val="00B713C7"/>
    <w:rsid w:val="00B71C5E"/>
    <w:rsid w:val="00B71D96"/>
    <w:rsid w:val="00B72CD9"/>
    <w:rsid w:val="00B74A7E"/>
    <w:rsid w:val="00B7500C"/>
    <w:rsid w:val="00B75551"/>
    <w:rsid w:val="00B75BCA"/>
    <w:rsid w:val="00B76272"/>
    <w:rsid w:val="00B762CF"/>
    <w:rsid w:val="00B7791F"/>
    <w:rsid w:val="00B77AC2"/>
    <w:rsid w:val="00B801D6"/>
    <w:rsid w:val="00B8060A"/>
    <w:rsid w:val="00B81057"/>
    <w:rsid w:val="00B81886"/>
    <w:rsid w:val="00B8197F"/>
    <w:rsid w:val="00B81A0D"/>
    <w:rsid w:val="00B82058"/>
    <w:rsid w:val="00B8413F"/>
    <w:rsid w:val="00B847BA"/>
    <w:rsid w:val="00B85681"/>
    <w:rsid w:val="00B865D6"/>
    <w:rsid w:val="00B9119F"/>
    <w:rsid w:val="00B9167D"/>
    <w:rsid w:val="00B91A78"/>
    <w:rsid w:val="00B92AE7"/>
    <w:rsid w:val="00B93592"/>
    <w:rsid w:val="00B93EB6"/>
    <w:rsid w:val="00B9490E"/>
    <w:rsid w:val="00B94D70"/>
    <w:rsid w:val="00B955EB"/>
    <w:rsid w:val="00B95792"/>
    <w:rsid w:val="00B95DA2"/>
    <w:rsid w:val="00B96225"/>
    <w:rsid w:val="00B965CF"/>
    <w:rsid w:val="00B96F85"/>
    <w:rsid w:val="00B9750C"/>
    <w:rsid w:val="00B97E0F"/>
    <w:rsid w:val="00BA0075"/>
    <w:rsid w:val="00BA0F35"/>
    <w:rsid w:val="00BA2C2D"/>
    <w:rsid w:val="00BA2E1D"/>
    <w:rsid w:val="00BA3A72"/>
    <w:rsid w:val="00BA508F"/>
    <w:rsid w:val="00BA577B"/>
    <w:rsid w:val="00BA5A8E"/>
    <w:rsid w:val="00BA7B48"/>
    <w:rsid w:val="00BB01EE"/>
    <w:rsid w:val="00BB1778"/>
    <w:rsid w:val="00BB3FCF"/>
    <w:rsid w:val="00BB4007"/>
    <w:rsid w:val="00BB51FF"/>
    <w:rsid w:val="00BB6C37"/>
    <w:rsid w:val="00BB7C9A"/>
    <w:rsid w:val="00BC1D75"/>
    <w:rsid w:val="00BC2521"/>
    <w:rsid w:val="00BC2C91"/>
    <w:rsid w:val="00BC2D0B"/>
    <w:rsid w:val="00BC338D"/>
    <w:rsid w:val="00BC513F"/>
    <w:rsid w:val="00BC58FA"/>
    <w:rsid w:val="00BC6092"/>
    <w:rsid w:val="00BC62BB"/>
    <w:rsid w:val="00BC658C"/>
    <w:rsid w:val="00BC74CA"/>
    <w:rsid w:val="00BC76D4"/>
    <w:rsid w:val="00BD0296"/>
    <w:rsid w:val="00BD099C"/>
    <w:rsid w:val="00BD163C"/>
    <w:rsid w:val="00BD176F"/>
    <w:rsid w:val="00BD6733"/>
    <w:rsid w:val="00BD6CC8"/>
    <w:rsid w:val="00BE029A"/>
    <w:rsid w:val="00BE071C"/>
    <w:rsid w:val="00BE0999"/>
    <w:rsid w:val="00BE1116"/>
    <w:rsid w:val="00BE125D"/>
    <w:rsid w:val="00BE2DD0"/>
    <w:rsid w:val="00BE41D2"/>
    <w:rsid w:val="00BE48F7"/>
    <w:rsid w:val="00BE4B84"/>
    <w:rsid w:val="00BE7D6D"/>
    <w:rsid w:val="00BF06E9"/>
    <w:rsid w:val="00BF1CC4"/>
    <w:rsid w:val="00BF2074"/>
    <w:rsid w:val="00BF3B95"/>
    <w:rsid w:val="00BF4643"/>
    <w:rsid w:val="00BF5682"/>
    <w:rsid w:val="00BF57E2"/>
    <w:rsid w:val="00BF5A77"/>
    <w:rsid w:val="00BF6D6E"/>
    <w:rsid w:val="00C00B15"/>
    <w:rsid w:val="00C01564"/>
    <w:rsid w:val="00C01A02"/>
    <w:rsid w:val="00C02CB1"/>
    <w:rsid w:val="00C03014"/>
    <w:rsid w:val="00C032DA"/>
    <w:rsid w:val="00C03CED"/>
    <w:rsid w:val="00C03F42"/>
    <w:rsid w:val="00C06AA6"/>
    <w:rsid w:val="00C07A30"/>
    <w:rsid w:val="00C1284F"/>
    <w:rsid w:val="00C13C44"/>
    <w:rsid w:val="00C14230"/>
    <w:rsid w:val="00C14CAA"/>
    <w:rsid w:val="00C14DAE"/>
    <w:rsid w:val="00C15706"/>
    <w:rsid w:val="00C15EAA"/>
    <w:rsid w:val="00C16E19"/>
    <w:rsid w:val="00C16FA6"/>
    <w:rsid w:val="00C20B42"/>
    <w:rsid w:val="00C21833"/>
    <w:rsid w:val="00C2314C"/>
    <w:rsid w:val="00C2365E"/>
    <w:rsid w:val="00C2388D"/>
    <w:rsid w:val="00C23947"/>
    <w:rsid w:val="00C2458F"/>
    <w:rsid w:val="00C3096D"/>
    <w:rsid w:val="00C31AEA"/>
    <w:rsid w:val="00C33A2C"/>
    <w:rsid w:val="00C33D06"/>
    <w:rsid w:val="00C37096"/>
    <w:rsid w:val="00C41803"/>
    <w:rsid w:val="00C425E1"/>
    <w:rsid w:val="00C42DB5"/>
    <w:rsid w:val="00C439C7"/>
    <w:rsid w:val="00C446AF"/>
    <w:rsid w:val="00C449C2"/>
    <w:rsid w:val="00C44ECF"/>
    <w:rsid w:val="00C463C3"/>
    <w:rsid w:val="00C468DF"/>
    <w:rsid w:val="00C47DB7"/>
    <w:rsid w:val="00C501F1"/>
    <w:rsid w:val="00C5081B"/>
    <w:rsid w:val="00C515A8"/>
    <w:rsid w:val="00C52FD0"/>
    <w:rsid w:val="00C543D7"/>
    <w:rsid w:val="00C5617D"/>
    <w:rsid w:val="00C5644A"/>
    <w:rsid w:val="00C57F11"/>
    <w:rsid w:val="00C60AED"/>
    <w:rsid w:val="00C61088"/>
    <w:rsid w:val="00C610E4"/>
    <w:rsid w:val="00C61CCC"/>
    <w:rsid w:val="00C62246"/>
    <w:rsid w:val="00C633EA"/>
    <w:rsid w:val="00C63CD2"/>
    <w:rsid w:val="00C63CE0"/>
    <w:rsid w:val="00C64062"/>
    <w:rsid w:val="00C64F3A"/>
    <w:rsid w:val="00C64FE6"/>
    <w:rsid w:val="00C658D4"/>
    <w:rsid w:val="00C67B41"/>
    <w:rsid w:val="00C71085"/>
    <w:rsid w:val="00C71147"/>
    <w:rsid w:val="00C711A9"/>
    <w:rsid w:val="00C7162C"/>
    <w:rsid w:val="00C717E3"/>
    <w:rsid w:val="00C73A49"/>
    <w:rsid w:val="00C74776"/>
    <w:rsid w:val="00C74CF3"/>
    <w:rsid w:val="00C75087"/>
    <w:rsid w:val="00C753E3"/>
    <w:rsid w:val="00C7583E"/>
    <w:rsid w:val="00C75881"/>
    <w:rsid w:val="00C76637"/>
    <w:rsid w:val="00C76EC0"/>
    <w:rsid w:val="00C80397"/>
    <w:rsid w:val="00C8153B"/>
    <w:rsid w:val="00C8172C"/>
    <w:rsid w:val="00C81785"/>
    <w:rsid w:val="00C8209A"/>
    <w:rsid w:val="00C828BC"/>
    <w:rsid w:val="00C83519"/>
    <w:rsid w:val="00C838AE"/>
    <w:rsid w:val="00C83D1A"/>
    <w:rsid w:val="00C83EFC"/>
    <w:rsid w:val="00C842A8"/>
    <w:rsid w:val="00C84354"/>
    <w:rsid w:val="00C86D69"/>
    <w:rsid w:val="00C90A46"/>
    <w:rsid w:val="00C90E9B"/>
    <w:rsid w:val="00C92061"/>
    <w:rsid w:val="00C935CD"/>
    <w:rsid w:val="00C952AB"/>
    <w:rsid w:val="00C955E4"/>
    <w:rsid w:val="00C9601B"/>
    <w:rsid w:val="00C96AFF"/>
    <w:rsid w:val="00C97797"/>
    <w:rsid w:val="00C97A2E"/>
    <w:rsid w:val="00CA0E7A"/>
    <w:rsid w:val="00CA2738"/>
    <w:rsid w:val="00CA284C"/>
    <w:rsid w:val="00CA41C2"/>
    <w:rsid w:val="00CA4207"/>
    <w:rsid w:val="00CA4AB1"/>
    <w:rsid w:val="00CA5554"/>
    <w:rsid w:val="00CA6D15"/>
    <w:rsid w:val="00CA7142"/>
    <w:rsid w:val="00CA7838"/>
    <w:rsid w:val="00CB0B1F"/>
    <w:rsid w:val="00CB0B28"/>
    <w:rsid w:val="00CB10D1"/>
    <w:rsid w:val="00CB1C74"/>
    <w:rsid w:val="00CB57E8"/>
    <w:rsid w:val="00CB6580"/>
    <w:rsid w:val="00CB67CE"/>
    <w:rsid w:val="00CB6813"/>
    <w:rsid w:val="00CB6B7F"/>
    <w:rsid w:val="00CB6D6E"/>
    <w:rsid w:val="00CC2685"/>
    <w:rsid w:val="00CC27DF"/>
    <w:rsid w:val="00CC2B44"/>
    <w:rsid w:val="00CC61A2"/>
    <w:rsid w:val="00CC6461"/>
    <w:rsid w:val="00CC6EDC"/>
    <w:rsid w:val="00CD0373"/>
    <w:rsid w:val="00CD0822"/>
    <w:rsid w:val="00CD0F98"/>
    <w:rsid w:val="00CD103C"/>
    <w:rsid w:val="00CD171F"/>
    <w:rsid w:val="00CD1789"/>
    <w:rsid w:val="00CD2636"/>
    <w:rsid w:val="00CD337B"/>
    <w:rsid w:val="00CD3A31"/>
    <w:rsid w:val="00CD3EB7"/>
    <w:rsid w:val="00CD4194"/>
    <w:rsid w:val="00CD4818"/>
    <w:rsid w:val="00CD5020"/>
    <w:rsid w:val="00CD58A0"/>
    <w:rsid w:val="00CD63F3"/>
    <w:rsid w:val="00CE0DC8"/>
    <w:rsid w:val="00CE1416"/>
    <w:rsid w:val="00CE1C03"/>
    <w:rsid w:val="00CE21BD"/>
    <w:rsid w:val="00CE2493"/>
    <w:rsid w:val="00CE34A4"/>
    <w:rsid w:val="00CE39C6"/>
    <w:rsid w:val="00CE468B"/>
    <w:rsid w:val="00CE5A21"/>
    <w:rsid w:val="00CE7622"/>
    <w:rsid w:val="00CE7684"/>
    <w:rsid w:val="00CE770F"/>
    <w:rsid w:val="00CE7B88"/>
    <w:rsid w:val="00CF03C2"/>
    <w:rsid w:val="00CF06DA"/>
    <w:rsid w:val="00CF260A"/>
    <w:rsid w:val="00CF2B31"/>
    <w:rsid w:val="00CF386F"/>
    <w:rsid w:val="00CF3F18"/>
    <w:rsid w:val="00CF72FE"/>
    <w:rsid w:val="00CF77DB"/>
    <w:rsid w:val="00D01B94"/>
    <w:rsid w:val="00D02343"/>
    <w:rsid w:val="00D0264F"/>
    <w:rsid w:val="00D031EF"/>
    <w:rsid w:val="00D03EC8"/>
    <w:rsid w:val="00D04FFE"/>
    <w:rsid w:val="00D051C4"/>
    <w:rsid w:val="00D05AAF"/>
    <w:rsid w:val="00D05F01"/>
    <w:rsid w:val="00D0656F"/>
    <w:rsid w:val="00D069F1"/>
    <w:rsid w:val="00D06A22"/>
    <w:rsid w:val="00D06B86"/>
    <w:rsid w:val="00D07268"/>
    <w:rsid w:val="00D07540"/>
    <w:rsid w:val="00D077AD"/>
    <w:rsid w:val="00D07EE9"/>
    <w:rsid w:val="00D103EE"/>
    <w:rsid w:val="00D119F0"/>
    <w:rsid w:val="00D11A0A"/>
    <w:rsid w:val="00D1239C"/>
    <w:rsid w:val="00D13F51"/>
    <w:rsid w:val="00D141A0"/>
    <w:rsid w:val="00D1464C"/>
    <w:rsid w:val="00D158B6"/>
    <w:rsid w:val="00D16005"/>
    <w:rsid w:val="00D16D38"/>
    <w:rsid w:val="00D17CD8"/>
    <w:rsid w:val="00D212CC"/>
    <w:rsid w:val="00D22B3D"/>
    <w:rsid w:val="00D22CDA"/>
    <w:rsid w:val="00D2370A"/>
    <w:rsid w:val="00D24008"/>
    <w:rsid w:val="00D243B1"/>
    <w:rsid w:val="00D25AF4"/>
    <w:rsid w:val="00D25EA0"/>
    <w:rsid w:val="00D26A9D"/>
    <w:rsid w:val="00D277C1"/>
    <w:rsid w:val="00D27FE0"/>
    <w:rsid w:val="00D304A1"/>
    <w:rsid w:val="00D30A9B"/>
    <w:rsid w:val="00D30B80"/>
    <w:rsid w:val="00D3293A"/>
    <w:rsid w:val="00D33BD1"/>
    <w:rsid w:val="00D35811"/>
    <w:rsid w:val="00D37FE0"/>
    <w:rsid w:val="00D406F3"/>
    <w:rsid w:val="00D419AB"/>
    <w:rsid w:val="00D43DDE"/>
    <w:rsid w:val="00D44201"/>
    <w:rsid w:val="00D44947"/>
    <w:rsid w:val="00D4546C"/>
    <w:rsid w:val="00D454AB"/>
    <w:rsid w:val="00D4688F"/>
    <w:rsid w:val="00D46B02"/>
    <w:rsid w:val="00D47C19"/>
    <w:rsid w:val="00D5050C"/>
    <w:rsid w:val="00D52C83"/>
    <w:rsid w:val="00D52EAD"/>
    <w:rsid w:val="00D54403"/>
    <w:rsid w:val="00D54EB1"/>
    <w:rsid w:val="00D55139"/>
    <w:rsid w:val="00D57512"/>
    <w:rsid w:val="00D57B83"/>
    <w:rsid w:val="00D57D72"/>
    <w:rsid w:val="00D60D71"/>
    <w:rsid w:val="00D61B58"/>
    <w:rsid w:val="00D62EB9"/>
    <w:rsid w:val="00D6331F"/>
    <w:rsid w:val="00D63DCB"/>
    <w:rsid w:val="00D642ED"/>
    <w:rsid w:val="00D6431D"/>
    <w:rsid w:val="00D6629E"/>
    <w:rsid w:val="00D667D8"/>
    <w:rsid w:val="00D67CE1"/>
    <w:rsid w:val="00D70A3B"/>
    <w:rsid w:val="00D71640"/>
    <w:rsid w:val="00D718A7"/>
    <w:rsid w:val="00D71ECD"/>
    <w:rsid w:val="00D7239A"/>
    <w:rsid w:val="00D7290D"/>
    <w:rsid w:val="00D734CB"/>
    <w:rsid w:val="00D7493C"/>
    <w:rsid w:val="00D75209"/>
    <w:rsid w:val="00D75AAE"/>
    <w:rsid w:val="00D77091"/>
    <w:rsid w:val="00D772F3"/>
    <w:rsid w:val="00D80EF9"/>
    <w:rsid w:val="00D817AB"/>
    <w:rsid w:val="00D826F2"/>
    <w:rsid w:val="00D82E5D"/>
    <w:rsid w:val="00D84F97"/>
    <w:rsid w:val="00D85AB0"/>
    <w:rsid w:val="00D86BE2"/>
    <w:rsid w:val="00D9102C"/>
    <w:rsid w:val="00D9130A"/>
    <w:rsid w:val="00D92BC8"/>
    <w:rsid w:val="00D9383B"/>
    <w:rsid w:val="00D93F0E"/>
    <w:rsid w:val="00D93F6D"/>
    <w:rsid w:val="00D95E66"/>
    <w:rsid w:val="00D96171"/>
    <w:rsid w:val="00D96638"/>
    <w:rsid w:val="00DA0123"/>
    <w:rsid w:val="00DA0241"/>
    <w:rsid w:val="00DA0316"/>
    <w:rsid w:val="00DA0963"/>
    <w:rsid w:val="00DA11D8"/>
    <w:rsid w:val="00DA14FE"/>
    <w:rsid w:val="00DA152F"/>
    <w:rsid w:val="00DA1901"/>
    <w:rsid w:val="00DA19FB"/>
    <w:rsid w:val="00DA1C97"/>
    <w:rsid w:val="00DA258B"/>
    <w:rsid w:val="00DA26E1"/>
    <w:rsid w:val="00DA4329"/>
    <w:rsid w:val="00DA44DB"/>
    <w:rsid w:val="00DA5899"/>
    <w:rsid w:val="00DA6637"/>
    <w:rsid w:val="00DA71BF"/>
    <w:rsid w:val="00DA7CF4"/>
    <w:rsid w:val="00DB150F"/>
    <w:rsid w:val="00DB1D07"/>
    <w:rsid w:val="00DB1D9C"/>
    <w:rsid w:val="00DB2C66"/>
    <w:rsid w:val="00DB3198"/>
    <w:rsid w:val="00DB46BA"/>
    <w:rsid w:val="00DB49EE"/>
    <w:rsid w:val="00DB5648"/>
    <w:rsid w:val="00DB6B6A"/>
    <w:rsid w:val="00DC0135"/>
    <w:rsid w:val="00DC07A5"/>
    <w:rsid w:val="00DC09B0"/>
    <w:rsid w:val="00DC0E94"/>
    <w:rsid w:val="00DC2001"/>
    <w:rsid w:val="00DC2845"/>
    <w:rsid w:val="00DC2B06"/>
    <w:rsid w:val="00DC2D88"/>
    <w:rsid w:val="00DC2F35"/>
    <w:rsid w:val="00DC3019"/>
    <w:rsid w:val="00DC3A8B"/>
    <w:rsid w:val="00DC4B13"/>
    <w:rsid w:val="00DC4D75"/>
    <w:rsid w:val="00DC532C"/>
    <w:rsid w:val="00DC5F28"/>
    <w:rsid w:val="00DC64CF"/>
    <w:rsid w:val="00DC77FD"/>
    <w:rsid w:val="00DD02AF"/>
    <w:rsid w:val="00DD0471"/>
    <w:rsid w:val="00DD087A"/>
    <w:rsid w:val="00DD182F"/>
    <w:rsid w:val="00DD1834"/>
    <w:rsid w:val="00DD1BFA"/>
    <w:rsid w:val="00DD32C4"/>
    <w:rsid w:val="00DD3DB4"/>
    <w:rsid w:val="00DD408A"/>
    <w:rsid w:val="00DD4636"/>
    <w:rsid w:val="00DD503C"/>
    <w:rsid w:val="00DD5053"/>
    <w:rsid w:val="00DD5A1F"/>
    <w:rsid w:val="00DD699E"/>
    <w:rsid w:val="00DD7474"/>
    <w:rsid w:val="00DD7BD0"/>
    <w:rsid w:val="00DE0142"/>
    <w:rsid w:val="00DE08C0"/>
    <w:rsid w:val="00DE0E98"/>
    <w:rsid w:val="00DE1673"/>
    <w:rsid w:val="00DE2697"/>
    <w:rsid w:val="00DE2D19"/>
    <w:rsid w:val="00DE3E9F"/>
    <w:rsid w:val="00DE4884"/>
    <w:rsid w:val="00DE4EA2"/>
    <w:rsid w:val="00DE5715"/>
    <w:rsid w:val="00DE583A"/>
    <w:rsid w:val="00DE7FFC"/>
    <w:rsid w:val="00DF4820"/>
    <w:rsid w:val="00DF4F4F"/>
    <w:rsid w:val="00DF53E7"/>
    <w:rsid w:val="00DF5622"/>
    <w:rsid w:val="00DF6157"/>
    <w:rsid w:val="00DF61F7"/>
    <w:rsid w:val="00E00908"/>
    <w:rsid w:val="00E011C3"/>
    <w:rsid w:val="00E01836"/>
    <w:rsid w:val="00E0260E"/>
    <w:rsid w:val="00E0271A"/>
    <w:rsid w:val="00E04457"/>
    <w:rsid w:val="00E06185"/>
    <w:rsid w:val="00E066BD"/>
    <w:rsid w:val="00E11082"/>
    <w:rsid w:val="00E11A35"/>
    <w:rsid w:val="00E12467"/>
    <w:rsid w:val="00E14A2D"/>
    <w:rsid w:val="00E14EDD"/>
    <w:rsid w:val="00E15B83"/>
    <w:rsid w:val="00E15BC7"/>
    <w:rsid w:val="00E16DAC"/>
    <w:rsid w:val="00E1703C"/>
    <w:rsid w:val="00E1725A"/>
    <w:rsid w:val="00E17384"/>
    <w:rsid w:val="00E173C0"/>
    <w:rsid w:val="00E20887"/>
    <w:rsid w:val="00E212DC"/>
    <w:rsid w:val="00E2286E"/>
    <w:rsid w:val="00E23984"/>
    <w:rsid w:val="00E243AA"/>
    <w:rsid w:val="00E25E28"/>
    <w:rsid w:val="00E306E2"/>
    <w:rsid w:val="00E30942"/>
    <w:rsid w:val="00E30B00"/>
    <w:rsid w:val="00E31398"/>
    <w:rsid w:val="00E32835"/>
    <w:rsid w:val="00E32F49"/>
    <w:rsid w:val="00E33557"/>
    <w:rsid w:val="00E33B7B"/>
    <w:rsid w:val="00E34696"/>
    <w:rsid w:val="00E36DDF"/>
    <w:rsid w:val="00E37EEB"/>
    <w:rsid w:val="00E41177"/>
    <w:rsid w:val="00E42241"/>
    <w:rsid w:val="00E441FA"/>
    <w:rsid w:val="00E44B55"/>
    <w:rsid w:val="00E46577"/>
    <w:rsid w:val="00E46F35"/>
    <w:rsid w:val="00E47077"/>
    <w:rsid w:val="00E47297"/>
    <w:rsid w:val="00E5096A"/>
    <w:rsid w:val="00E510E5"/>
    <w:rsid w:val="00E51598"/>
    <w:rsid w:val="00E51E46"/>
    <w:rsid w:val="00E52011"/>
    <w:rsid w:val="00E52322"/>
    <w:rsid w:val="00E52687"/>
    <w:rsid w:val="00E526D0"/>
    <w:rsid w:val="00E52B50"/>
    <w:rsid w:val="00E52E57"/>
    <w:rsid w:val="00E541DB"/>
    <w:rsid w:val="00E55127"/>
    <w:rsid w:val="00E55E33"/>
    <w:rsid w:val="00E56636"/>
    <w:rsid w:val="00E57600"/>
    <w:rsid w:val="00E57691"/>
    <w:rsid w:val="00E60036"/>
    <w:rsid w:val="00E61795"/>
    <w:rsid w:val="00E61EF1"/>
    <w:rsid w:val="00E639F7"/>
    <w:rsid w:val="00E63A31"/>
    <w:rsid w:val="00E63B53"/>
    <w:rsid w:val="00E643F1"/>
    <w:rsid w:val="00E64A64"/>
    <w:rsid w:val="00E64A8C"/>
    <w:rsid w:val="00E65FD6"/>
    <w:rsid w:val="00E6653E"/>
    <w:rsid w:val="00E66DA8"/>
    <w:rsid w:val="00E676AF"/>
    <w:rsid w:val="00E7071F"/>
    <w:rsid w:val="00E72C6B"/>
    <w:rsid w:val="00E72D71"/>
    <w:rsid w:val="00E730B6"/>
    <w:rsid w:val="00E75035"/>
    <w:rsid w:val="00E752E6"/>
    <w:rsid w:val="00E757DB"/>
    <w:rsid w:val="00E76B0E"/>
    <w:rsid w:val="00E807C5"/>
    <w:rsid w:val="00E80A71"/>
    <w:rsid w:val="00E81023"/>
    <w:rsid w:val="00E8155F"/>
    <w:rsid w:val="00E8228F"/>
    <w:rsid w:val="00E83DA3"/>
    <w:rsid w:val="00E84F7B"/>
    <w:rsid w:val="00E8541C"/>
    <w:rsid w:val="00E85A21"/>
    <w:rsid w:val="00E85F4E"/>
    <w:rsid w:val="00E8625A"/>
    <w:rsid w:val="00E865DE"/>
    <w:rsid w:val="00E86728"/>
    <w:rsid w:val="00E90455"/>
    <w:rsid w:val="00E94703"/>
    <w:rsid w:val="00E9499C"/>
    <w:rsid w:val="00E94B47"/>
    <w:rsid w:val="00E96BCB"/>
    <w:rsid w:val="00EA0F64"/>
    <w:rsid w:val="00EA138A"/>
    <w:rsid w:val="00EA158E"/>
    <w:rsid w:val="00EA171B"/>
    <w:rsid w:val="00EA24F3"/>
    <w:rsid w:val="00EA2B71"/>
    <w:rsid w:val="00EA2BE1"/>
    <w:rsid w:val="00EA2DC3"/>
    <w:rsid w:val="00EA47BA"/>
    <w:rsid w:val="00EA4E64"/>
    <w:rsid w:val="00EA5AE3"/>
    <w:rsid w:val="00EA66D3"/>
    <w:rsid w:val="00EA69DA"/>
    <w:rsid w:val="00EA7B49"/>
    <w:rsid w:val="00EB0B11"/>
    <w:rsid w:val="00EB21AF"/>
    <w:rsid w:val="00EB2665"/>
    <w:rsid w:val="00EB2852"/>
    <w:rsid w:val="00EB2A7C"/>
    <w:rsid w:val="00EB2B8A"/>
    <w:rsid w:val="00EB346B"/>
    <w:rsid w:val="00EB37C3"/>
    <w:rsid w:val="00EB3AFF"/>
    <w:rsid w:val="00EB4390"/>
    <w:rsid w:val="00EB56B1"/>
    <w:rsid w:val="00EB5F05"/>
    <w:rsid w:val="00EB6375"/>
    <w:rsid w:val="00EB67F5"/>
    <w:rsid w:val="00EB6841"/>
    <w:rsid w:val="00EB6EF2"/>
    <w:rsid w:val="00EB7B28"/>
    <w:rsid w:val="00EC0077"/>
    <w:rsid w:val="00EC0F93"/>
    <w:rsid w:val="00EC4185"/>
    <w:rsid w:val="00EC4605"/>
    <w:rsid w:val="00EC5F78"/>
    <w:rsid w:val="00ED12E3"/>
    <w:rsid w:val="00ED1B7C"/>
    <w:rsid w:val="00ED2B13"/>
    <w:rsid w:val="00ED2E6F"/>
    <w:rsid w:val="00ED3D13"/>
    <w:rsid w:val="00ED4BF1"/>
    <w:rsid w:val="00ED525E"/>
    <w:rsid w:val="00ED6027"/>
    <w:rsid w:val="00ED6B6F"/>
    <w:rsid w:val="00ED74F4"/>
    <w:rsid w:val="00ED78CB"/>
    <w:rsid w:val="00ED7F86"/>
    <w:rsid w:val="00EE0754"/>
    <w:rsid w:val="00EE401F"/>
    <w:rsid w:val="00EE42DB"/>
    <w:rsid w:val="00EE454C"/>
    <w:rsid w:val="00EE4AE1"/>
    <w:rsid w:val="00EE57B6"/>
    <w:rsid w:val="00EE5B06"/>
    <w:rsid w:val="00EE6158"/>
    <w:rsid w:val="00EF0C27"/>
    <w:rsid w:val="00EF0E20"/>
    <w:rsid w:val="00EF16BF"/>
    <w:rsid w:val="00EF1C30"/>
    <w:rsid w:val="00EF23F8"/>
    <w:rsid w:val="00EF2574"/>
    <w:rsid w:val="00EF3953"/>
    <w:rsid w:val="00EF6592"/>
    <w:rsid w:val="00EF6B22"/>
    <w:rsid w:val="00EF6BBC"/>
    <w:rsid w:val="00EF7049"/>
    <w:rsid w:val="00EF70CA"/>
    <w:rsid w:val="00EF799E"/>
    <w:rsid w:val="00EF7C0C"/>
    <w:rsid w:val="00EF7E29"/>
    <w:rsid w:val="00F01FBD"/>
    <w:rsid w:val="00F02F77"/>
    <w:rsid w:val="00F04598"/>
    <w:rsid w:val="00F046FB"/>
    <w:rsid w:val="00F05861"/>
    <w:rsid w:val="00F07C37"/>
    <w:rsid w:val="00F1012E"/>
    <w:rsid w:val="00F10D65"/>
    <w:rsid w:val="00F10DD9"/>
    <w:rsid w:val="00F11024"/>
    <w:rsid w:val="00F11AEA"/>
    <w:rsid w:val="00F12B37"/>
    <w:rsid w:val="00F13372"/>
    <w:rsid w:val="00F135E9"/>
    <w:rsid w:val="00F15215"/>
    <w:rsid w:val="00F1587E"/>
    <w:rsid w:val="00F1704B"/>
    <w:rsid w:val="00F17282"/>
    <w:rsid w:val="00F20EB4"/>
    <w:rsid w:val="00F21A28"/>
    <w:rsid w:val="00F22E51"/>
    <w:rsid w:val="00F24118"/>
    <w:rsid w:val="00F269BD"/>
    <w:rsid w:val="00F26D48"/>
    <w:rsid w:val="00F275FF"/>
    <w:rsid w:val="00F3019C"/>
    <w:rsid w:val="00F319A8"/>
    <w:rsid w:val="00F324F9"/>
    <w:rsid w:val="00F32BBE"/>
    <w:rsid w:val="00F3309C"/>
    <w:rsid w:val="00F3456E"/>
    <w:rsid w:val="00F35307"/>
    <w:rsid w:val="00F35A18"/>
    <w:rsid w:val="00F36784"/>
    <w:rsid w:val="00F36A82"/>
    <w:rsid w:val="00F36F7F"/>
    <w:rsid w:val="00F37099"/>
    <w:rsid w:val="00F37143"/>
    <w:rsid w:val="00F41F04"/>
    <w:rsid w:val="00F438C1"/>
    <w:rsid w:val="00F44580"/>
    <w:rsid w:val="00F4469E"/>
    <w:rsid w:val="00F44E05"/>
    <w:rsid w:val="00F44EBE"/>
    <w:rsid w:val="00F45575"/>
    <w:rsid w:val="00F4567C"/>
    <w:rsid w:val="00F457D1"/>
    <w:rsid w:val="00F45F2A"/>
    <w:rsid w:val="00F4691D"/>
    <w:rsid w:val="00F4766D"/>
    <w:rsid w:val="00F47AA9"/>
    <w:rsid w:val="00F517AA"/>
    <w:rsid w:val="00F520E7"/>
    <w:rsid w:val="00F52942"/>
    <w:rsid w:val="00F52C2B"/>
    <w:rsid w:val="00F5327A"/>
    <w:rsid w:val="00F537D0"/>
    <w:rsid w:val="00F54844"/>
    <w:rsid w:val="00F54EDC"/>
    <w:rsid w:val="00F55FDB"/>
    <w:rsid w:val="00F56B66"/>
    <w:rsid w:val="00F57B62"/>
    <w:rsid w:val="00F57EB9"/>
    <w:rsid w:val="00F6117A"/>
    <w:rsid w:val="00F62181"/>
    <w:rsid w:val="00F62198"/>
    <w:rsid w:val="00F6244D"/>
    <w:rsid w:val="00F6266E"/>
    <w:rsid w:val="00F62BBF"/>
    <w:rsid w:val="00F63539"/>
    <w:rsid w:val="00F635A5"/>
    <w:rsid w:val="00F6426E"/>
    <w:rsid w:val="00F65096"/>
    <w:rsid w:val="00F662D1"/>
    <w:rsid w:val="00F6659A"/>
    <w:rsid w:val="00F66E71"/>
    <w:rsid w:val="00F674B0"/>
    <w:rsid w:val="00F676FE"/>
    <w:rsid w:val="00F70262"/>
    <w:rsid w:val="00F705E5"/>
    <w:rsid w:val="00F72AE9"/>
    <w:rsid w:val="00F7319D"/>
    <w:rsid w:val="00F7408D"/>
    <w:rsid w:val="00F74199"/>
    <w:rsid w:val="00F746B9"/>
    <w:rsid w:val="00F74A1A"/>
    <w:rsid w:val="00F74CED"/>
    <w:rsid w:val="00F759B7"/>
    <w:rsid w:val="00F816AD"/>
    <w:rsid w:val="00F82BDA"/>
    <w:rsid w:val="00F83177"/>
    <w:rsid w:val="00F83499"/>
    <w:rsid w:val="00F8407D"/>
    <w:rsid w:val="00F85882"/>
    <w:rsid w:val="00F8713C"/>
    <w:rsid w:val="00F8747F"/>
    <w:rsid w:val="00F904E5"/>
    <w:rsid w:val="00F9094E"/>
    <w:rsid w:val="00F91FA2"/>
    <w:rsid w:val="00F920B4"/>
    <w:rsid w:val="00F92BFC"/>
    <w:rsid w:val="00F935A7"/>
    <w:rsid w:val="00F942F8"/>
    <w:rsid w:val="00F94A02"/>
    <w:rsid w:val="00F96094"/>
    <w:rsid w:val="00F96AED"/>
    <w:rsid w:val="00F96C01"/>
    <w:rsid w:val="00F96E78"/>
    <w:rsid w:val="00F96FF8"/>
    <w:rsid w:val="00F9725B"/>
    <w:rsid w:val="00F97658"/>
    <w:rsid w:val="00F977D5"/>
    <w:rsid w:val="00FA09A1"/>
    <w:rsid w:val="00FA0ADA"/>
    <w:rsid w:val="00FA19EF"/>
    <w:rsid w:val="00FA2A4B"/>
    <w:rsid w:val="00FA2ED6"/>
    <w:rsid w:val="00FA3A1E"/>
    <w:rsid w:val="00FA473F"/>
    <w:rsid w:val="00FA4DD8"/>
    <w:rsid w:val="00FA5410"/>
    <w:rsid w:val="00FA76E2"/>
    <w:rsid w:val="00FA7CCE"/>
    <w:rsid w:val="00FB0463"/>
    <w:rsid w:val="00FB04F3"/>
    <w:rsid w:val="00FB0B77"/>
    <w:rsid w:val="00FB0B93"/>
    <w:rsid w:val="00FB1BCA"/>
    <w:rsid w:val="00FB1E58"/>
    <w:rsid w:val="00FB1EFE"/>
    <w:rsid w:val="00FB3003"/>
    <w:rsid w:val="00FB343A"/>
    <w:rsid w:val="00FB4436"/>
    <w:rsid w:val="00FB4540"/>
    <w:rsid w:val="00FB4FFE"/>
    <w:rsid w:val="00FB5435"/>
    <w:rsid w:val="00FB5748"/>
    <w:rsid w:val="00FB5FEC"/>
    <w:rsid w:val="00FB6CF7"/>
    <w:rsid w:val="00FB6EBA"/>
    <w:rsid w:val="00FB783A"/>
    <w:rsid w:val="00FC0211"/>
    <w:rsid w:val="00FC0E1D"/>
    <w:rsid w:val="00FC224F"/>
    <w:rsid w:val="00FC24F3"/>
    <w:rsid w:val="00FC2848"/>
    <w:rsid w:val="00FC2DED"/>
    <w:rsid w:val="00FC48D7"/>
    <w:rsid w:val="00FC552E"/>
    <w:rsid w:val="00FC5DEC"/>
    <w:rsid w:val="00FC64CE"/>
    <w:rsid w:val="00FC6DE7"/>
    <w:rsid w:val="00FD034E"/>
    <w:rsid w:val="00FD05B4"/>
    <w:rsid w:val="00FD09CC"/>
    <w:rsid w:val="00FD0D25"/>
    <w:rsid w:val="00FD1ACE"/>
    <w:rsid w:val="00FD2A5B"/>
    <w:rsid w:val="00FD2B02"/>
    <w:rsid w:val="00FD2D80"/>
    <w:rsid w:val="00FD3098"/>
    <w:rsid w:val="00FD4C2C"/>
    <w:rsid w:val="00FD50EE"/>
    <w:rsid w:val="00FD517C"/>
    <w:rsid w:val="00FD531F"/>
    <w:rsid w:val="00FD5380"/>
    <w:rsid w:val="00FD62A4"/>
    <w:rsid w:val="00FD6548"/>
    <w:rsid w:val="00FD6B76"/>
    <w:rsid w:val="00FD6DD9"/>
    <w:rsid w:val="00FD710D"/>
    <w:rsid w:val="00FD78A1"/>
    <w:rsid w:val="00FD7FB0"/>
    <w:rsid w:val="00FE000C"/>
    <w:rsid w:val="00FE0D8B"/>
    <w:rsid w:val="00FE1445"/>
    <w:rsid w:val="00FE1B87"/>
    <w:rsid w:val="00FE26A4"/>
    <w:rsid w:val="00FE2B77"/>
    <w:rsid w:val="00FE2C52"/>
    <w:rsid w:val="00FE3E44"/>
    <w:rsid w:val="00FE4D63"/>
    <w:rsid w:val="00FF030B"/>
    <w:rsid w:val="00FF0522"/>
    <w:rsid w:val="00FF0D7D"/>
    <w:rsid w:val="00FF114D"/>
    <w:rsid w:val="00FF2874"/>
    <w:rsid w:val="00FF3318"/>
    <w:rsid w:val="00FF3665"/>
    <w:rsid w:val="00FF3B84"/>
    <w:rsid w:val="00FF4312"/>
    <w:rsid w:val="00FF4D09"/>
    <w:rsid w:val="00FF515B"/>
    <w:rsid w:val="00FF6C5E"/>
    <w:rsid w:val="00FF6F5C"/>
    <w:rsid w:val="00FF74E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F7D5"/>
  <w15:chartTrackingRefBased/>
  <w15:docId w15:val="{D24B95BE-946A-44C6-A480-18B3370B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zh-TW"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F0A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703"/>
    <w:pPr>
      <w:ind w:left="720"/>
      <w:contextualSpacing/>
    </w:pPr>
  </w:style>
  <w:style w:type="character" w:styleId="CommentReference">
    <w:name w:val="annotation reference"/>
    <w:basedOn w:val="DefaultParagraphFont"/>
    <w:uiPriority w:val="99"/>
    <w:semiHidden/>
    <w:unhideWhenUsed/>
    <w:rsid w:val="000F0AE5"/>
    <w:rPr>
      <w:sz w:val="16"/>
      <w:szCs w:val="16"/>
    </w:rPr>
  </w:style>
  <w:style w:type="paragraph" w:styleId="Caption">
    <w:name w:val="caption"/>
    <w:basedOn w:val="Heading3"/>
    <w:next w:val="Normal"/>
    <w:uiPriority w:val="35"/>
    <w:unhideWhenUsed/>
    <w:qFormat/>
    <w:rsid w:val="000F0AE5"/>
    <w:pPr>
      <w:keepNext w:val="0"/>
      <w:keepLines w:val="0"/>
      <w:spacing w:before="0" w:after="160" w:line="240" w:lineRule="auto"/>
    </w:pPr>
    <w:rPr>
      <w:rFonts w:asciiTheme="minorHAnsi" w:eastAsiaTheme="minorHAnsi" w:hAnsiTheme="minorHAnsi" w:cstheme="minorHAnsi"/>
      <w:color w:val="auto"/>
      <w:kern w:val="0"/>
      <w:lang w:eastAsia="en-GB" w:bidi="th-TH"/>
      <w14:ligatures w14:val="none"/>
    </w:rPr>
  </w:style>
  <w:style w:type="character" w:customStyle="1" w:styleId="Heading3Char">
    <w:name w:val="Heading 3 Char"/>
    <w:basedOn w:val="DefaultParagraphFont"/>
    <w:link w:val="Heading3"/>
    <w:uiPriority w:val="9"/>
    <w:semiHidden/>
    <w:rsid w:val="000F0A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F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065F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065F0"/>
    <w:rPr>
      <w:rFonts w:ascii="Calibri" w:hAnsi="Calibri" w:cs="Calibri"/>
      <w:noProof/>
    </w:rPr>
  </w:style>
  <w:style w:type="paragraph" w:customStyle="1" w:styleId="EndNoteBibliography">
    <w:name w:val="EndNote Bibliography"/>
    <w:basedOn w:val="Normal"/>
    <w:link w:val="EndNoteBibliographyChar"/>
    <w:rsid w:val="00A065F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065F0"/>
    <w:rPr>
      <w:rFonts w:ascii="Calibri" w:hAnsi="Calibri" w:cs="Calibri"/>
      <w:noProof/>
    </w:rPr>
  </w:style>
  <w:style w:type="character" w:styleId="Hyperlink">
    <w:name w:val="Hyperlink"/>
    <w:basedOn w:val="DefaultParagraphFont"/>
    <w:uiPriority w:val="99"/>
    <w:unhideWhenUsed/>
    <w:rsid w:val="00A065F0"/>
    <w:rPr>
      <w:color w:val="0563C1" w:themeColor="hyperlink"/>
      <w:u w:val="single"/>
    </w:rPr>
  </w:style>
  <w:style w:type="character" w:customStyle="1" w:styleId="UnresolvedMention1">
    <w:name w:val="Unresolved Mention1"/>
    <w:basedOn w:val="DefaultParagraphFont"/>
    <w:uiPriority w:val="99"/>
    <w:semiHidden/>
    <w:unhideWhenUsed/>
    <w:rsid w:val="00A065F0"/>
    <w:rPr>
      <w:color w:val="605E5C"/>
      <w:shd w:val="clear" w:color="auto" w:fill="E1DFDD"/>
    </w:rPr>
  </w:style>
  <w:style w:type="paragraph" w:styleId="CommentText">
    <w:name w:val="annotation text"/>
    <w:basedOn w:val="Normal"/>
    <w:link w:val="CommentTextChar"/>
    <w:uiPriority w:val="99"/>
    <w:unhideWhenUsed/>
    <w:rsid w:val="00FE2B77"/>
    <w:pPr>
      <w:spacing w:line="240" w:lineRule="auto"/>
    </w:pPr>
    <w:rPr>
      <w:sz w:val="20"/>
      <w:szCs w:val="20"/>
    </w:rPr>
  </w:style>
  <w:style w:type="character" w:customStyle="1" w:styleId="CommentTextChar">
    <w:name w:val="Comment Text Char"/>
    <w:basedOn w:val="DefaultParagraphFont"/>
    <w:link w:val="CommentText"/>
    <w:uiPriority w:val="99"/>
    <w:rsid w:val="00FE2B77"/>
    <w:rPr>
      <w:sz w:val="20"/>
      <w:szCs w:val="20"/>
    </w:rPr>
  </w:style>
  <w:style w:type="paragraph" w:styleId="CommentSubject">
    <w:name w:val="annotation subject"/>
    <w:basedOn w:val="CommentText"/>
    <w:next w:val="CommentText"/>
    <w:link w:val="CommentSubjectChar"/>
    <w:uiPriority w:val="99"/>
    <w:semiHidden/>
    <w:unhideWhenUsed/>
    <w:rsid w:val="00FE2B77"/>
    <w:rPr>
      <w:b/>
      <w:bCs/>
    </w:rPr>
  </w:style>
  <w:style w:type="character" w:customStyle="1" w:styleId="CommentSubjectChar">
    <w:name w:val="Comment Subject Char"/>
    <w:basedOn w:val="CommentTextChar"/>
    <w:link w:val="CommentSubject"/>
    <w:uiPriority w:val="99"/>
    <w:semiHidden/>
    <w:rsid w:val="00FE2B77"/>
    <w:rPr>
      <w:b/>
      <w:bCs/>
      <w:sz w:val="20"/>
      <w:szCs w:val="20"/>
    </w:rPr>
  </w:style>
  <w:style w:type="paragraph" w:styleId="Revision">
    <w:name w:val="Revision"/>
    <w:hidden/>
    <w:uiPriority w:val="99"/>
    <w:semiHidden/>
    <w:rsid w:val="00705C1F"/>
    <w:pPr>
      <w:spacing w:after="0" w:line="240" w:lineRule="auto"/>
    </w:pPr>
  </w:style>
  <w:style w:type="character" w:styleId="FollowedHyperlink">
    <w:name w:val="FollowedHyperlink"/>
    <w:basedOn w:val="DefaultParagraphFont"/>
    <w:uiPriority w:val="99"/>
    <w:semiHidden/>
    <w:unhideWhenUsed/>
    <w:rsid w:val="00FB4540"/>
    <w:rPr>
      <w:color w:val="954F72" w:themeColor="followed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customStyle="1" w:styleId="UnresolvedMention">
    <w:name w:val="Unresolved Mention"/>
    <w:basedOn w:val="DefaultParagraphFont"/>
    <w:uiPriority w:val="99"/>
    <w:semiHidden/>
    <w:unhideWhenUsed/>
    <w:rsid w:val="00821630"/>
    <w:rPr>
      <w:color w:val="605E5C"/>
      <w:shd w:val="clear" w:color="auto" w:fill="E1DFDD"/>
    </w:rPr>
  </w:style>
  <w:style w:type="paragraph" w:styleId="Header">
    <w:name w:val="header"/>
    <w:basedOn w:val="Normal"/>
    <w:link w:val="HeaderChar"/>
    <w:uiPriority w:val="99"/>
    <w:unhideWhenUsed/>
    <w:rsid w:val="008C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AC3"/>
  </w:style>
  <w:style w:type="paragraph" w:styleId="Footer">
    <w:name w:val="footer"/>
    <w:basedOn w:val="Normal"/>
    <w:link w:val="FooterChar"/>
    <w:uiPriority w:val="99"/>
    <w:unhideWhenUsed/>
    <w:rsid w:val="008C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871">
      <w:bodyDiv w:val="1"/>
      <w:marLeft w:val="0"/>
      <w:marRight w:val="0"/>
      <w:marTop w:val="0"/>
      <w:marBottom w:val="0"/>
      <w:divBdr>
        <w:top w:val="none" w:sz="0" w:space="0" w:color="auto"/>
        <w:left w:val="none" w:sz="0" w:space="0" w:color="auto"/>
        <w:bottom w:val="none" w:sz="0" w:space="0" w:color="auto"/>
        <w:right w:val="none" w:sz="0" w:space="0" w:color="auto"/>
      </w:divBdr>
    </w:div>
    <w:div w:id="110629672">
      <w:bodyDiv w:val="1"/>
      <w:marLeft w:val="0"/>
      <w:marRight w:val="0"/>
      <w:marTop w:val="0"/>
      <w:marBottom w:val="0"/>
      <w:divBdr>
        <w:top w:val="none" w:sz="0" w:space="0" w:color="auto"/>
        <w:left w:val="none" w:sz="0" w:space="0" w:color="auto"/>
        <w:bottom w:val="none" w:sz="0" w:space="0" w:color="auto"/>
        <w:right w:val="none" w:sz="0" w:space="0" w:color="auto"/>
      </w:divBdr>
    </w:div>
    <w:div w:id="184025129">
      <w:bodyDiv w:val="1"/>
      <w:marLeft w:val="0"/>
      <w:marRight w:val="0"/>
      <w:marTop w:val="0"/>
      <w:marBottom w:val="0"/>
      <w:divBdr>
        <w:top w:val="none" w:sz="0" w:space="0" w:color="auto"/>
        <w:left w:val="none" w:sz="0" w:space="0" w:color="auto"/>
        <w:bottom w:val="none" w:sz="0" w:space="0" w:color="auto"/>
        <w:right w:val="none" w:sz="0" w:space="0" w:color="auto"/>
      </w:divBdr>
    </w:div>
    <w:div w:id="184902168">
      <w:bodyDiv w:val="1"/>
      <w:marLeft w:val="0"/>
      <w:marRight w:val="0"/>
      <w:marTop w:val="0"/>
      <w:marBottom w:val="0"/>
      <w:divBdr>
        <w:top w:val="none" w:sz="0" w:space="0" w:color="auto"/>
        <w:left w:val="none" w:sz="0" w:space="0" w:color="auto"/>
        <w:bottom w:val="none" w:sz="0" w:space="0" w:color="auto"/>
        <w:right w:val="none" w:sz="0" w:space="0" w:color="auto"/>
      </w:divBdr>
    </w:div>
    <w:div w:id="189419538">
      <w:bodyDiv w:val="1"/>
      <w:marLeft w:val="0"/>
      <w:marRight w:val="0"/>
      <w:marTop w:val="0"/>
      <w:marBottom w:val="0"/>
      <w:divBdr>
        <w:top w:val="none" w:sz="0" w:space="0" w:color="auto"/>
        <w:left w:val="none" w:sz="0" w:space="0" w:color="auto"/>
        <w:bottom w:val="none" w:sz="0" w:space="0" w:color="auto"/>
        <w:right w:val="none" w:sz="0" w:space="0" w:color="auto"/>
      </w:divBdr>
    </w:div>
    <w:div w:id="214588999">
      <w:bodyDiv w:val="1"/>
      <w:marLeft w:val="0"/>
      <w:marRight w:val="0"/>
      <w:marTop w:val="0"/>
      <w:marBottom w:val="0"/>
      <w:divBdr>
        <w:top w:val="none" w:sz="0" w:space="0" w:color="auto"/>
        <w:left w:val="none" w:sz="0" w:space="0" w:color="auto"/>
        <w:bottom w:val="none" w:sz="0" w:space="0" w:color="auto"/>
        <w:right w:val="none" w:sz="0" w:space="0" w:color="auto"/>
      </w:divBdr>
    </w:div>
    <w:div w:id="298611044">
      <w:bodyDiv w:val="1"/>
      <w:marLeft w:val="0"/>
      <w:marRight w:val="0"/>
      <w:marTop w:val="0"/>
      <w:marBottom w:val="0"/>
      <w:divBdr>
        <w:top w:val="none" w:sz="0" w:space="0" w:color="auto"/>
        <w:left w:val="none" w:sz="0" w:space="0" w:color="auto"/>
        <w:bottom w:val="none" w:sz="0" w:space="0" w:color="auto"/>
        <w:right w:val="none" w:sz="0" w:space="0" w:color="auto"/>
      </w:divBdr>
    </w:div>
    <w:div w:id="396785552">
      <w:bodyDiv w:val="1"/>
      <w:marLeft w:val="0"/>
      <w:marRight w:val="0"/>
      <w:marTop w:val="0"/>
      <w:marBottom w:val="0"/>
      <w:divBdr>
        <w:top w:val="none" w:sz="0" w:space="0" w:color="auto"/>
        <w:left w:val="none" w:sz="0" w:space="0" w:color="auto"/>
        <w:bottom w:val="none" w:sz="0" w:space="0" w:color="auto"/>
        <w:right w:val="none" w:sz="0" w:space="0" w:color="auto"/>
      </w:divBdr>
    </w:div>
    <w:div w:id="423962173">
      <w:bodyDiv w:val="1"/>
      <w:marLeft w:val="0"/>
      <w:marRight w:val="0"/>
      <w:marTop w:val="0"/>
      <w:marBottom w:val="0"/>
      <w:divBdr>
        <w:top w:val="none" w:sz="0" w:space="0" w:color="auto"/>
        <w:left w:val="none" w:sz="0" w:space="0" w:color="auto"/>
        <w:bottom w:val="none" w:sz="0" w:space="0" w:color="auto"/>
        <w:right w:val="none" w:sz="0" w:space="0" w:color="auto"/>
      </w:divBdr>
    </w:div>
    <w:div w:id="486432906">
      <w:bodyDiv w:val="1"/>
      <w:marLeft w:val="0"/>
      <w:marRight w:val="0"/>
      <w:marTop w:val="0"/>
      <w:marBottom w:val="0"/>
      <w:divBdr>
        <w:top w:val="none" w:sz="0" w:space="0" w:color="auto"/>
        <w:left w:val="none" w:sz="0" w:space="0" w:color="auto"/>
        <w:bottom w:val="none" w:sz="0" w:space="0" w:color="auto"/>
        <w:right w:val="none" w:sz="0" w:space="0" w:color="auto"/>
      </w:divBdr>
    </w:div>
    <w:div w:id="548609406">
      <w:bodyDiv w:val="1"/>
      <w:marLeft w:val="0"/>
      <w:marRight w:val="0"/>
      <w:marTop w:val="0"/>
      <w:marBottom w:val="0"/>
      <w:divBdr>
        <w:top w:val="none" w:sz="0" w:space="0" w:color="auto"/>
        <w:left w:val="none" w:sz="0" w:space="0" w:color="auto"/>
        <w:bottom w:val="none" w:sz="0" w:space="0" w:color="auto"/>
        <w:right w:val="none" w:sz="0" w:space="0" w:color="auto"/>
      </w:divBdr>
    </w:div>
    <w:div w:id="660280017">
      <w:bodyDiv w:val="1"/>
      <w:marLeft w:val="0"/>
      <w:marRight w:val="0"/>
      <w:marTop w:val="0"/>
      <w:marBottom w:val="0"/>
      <w:divBdr>
        <w:top w:val="none" w:sz="0" w:space="0" w:color="auto"/>
        <w:left w:val="none" w:sz="0" w:space="0" w:color="auto"/>
        <w:bottom w:val="none" w:sz="0" w:space="0" w:color="auto"/>
        <w:right w:val="none" w:sz="0" w:space="0" w:color="auto"/>
      </w:divBdr>
    </w:div>
    <w:div w:id="674528989">
      <w:bodyDiv w:val="1"/>
      <w:marLeft w:val="0"/>
      <w:marRight w:val="0"/>
      <w:marTop w:val="0"/>
      <w:marBottom w:val="0"/>
      <w:divBdr>
        <w:top w:val="none" w:sz="0" w:space="0" w:color="auto"/>
        <w:left w:val="none" w:sz="0" w:space="0" w:color="auto"/>
        <w:bottom w:val="none" w:sz="0" w:space="0" w:color="auto"/>
        <w:right w:val="none" w:sz="0" w:space="0" w:color="auto"/>
      </w:divBdr>
    </w:div>
    <w:div w:id="770012010">
      <w:bodyDiv w:val="1"/>
      <w:marLeft w:val="0"/>
      <w:marRight w:val="0"/>
      <w:marTop w:val="0"/>
      <w:marBottom w:val="0"/>
      <w:divBdr>
        <w:top w:val="none" w:sz="0" w:space="0" w:color="auto"/>
        <w:left w:val="none" w:sz="0" w:space="0" w:color="auto"/>
        <w:bottom w:val="none" w:sz="0" w:space="0" w:color="auto"/>
        <w:right w:val="none" w:sz="0" w:space="0" w:color="auto"/>
      </w:divBdr>
    </w:div>
    <w:div w:id="836113541">
      <w:bodyDiv w:val="1"/>
      <w:marLeft w:val="0"/>
      <w:marRight w:val="0"/>
      <w:marTop w:val="0"/>
      <w:marBottom w:val="0"/>
      <w:divBdr>
        <w:top w:val="none" w:sz="0" w:space="0" w:color="auto"/>
        <w:left w:val="none" w:sz="0" w:space="0" w:color="auto"/>
        <w:bottom w:val="none" w:sz="0" w:space="0" w:color="auto"/>
        <w:right w:val="none" w:sz="0" w:space="0" w:color="auto"/>
      </w:divBdr>
    </w:div>
    <w:div w:id="898131705">
      <w:bodyDiv w:val="1"/>
      <w:marLeft w:val="0"/>
      <w:marRight w:val="0"/>
      <w:marTop w:val="0"/>
      <w:marBottom w:val="0"/>
      <w:divBdr>
        <w:top w:val="none" w:sz="0" w:space="0" w:color="auto"/>
        <w:left w:val="none" w:sz="0" w:space="0" w:color="auto"/>
        <w:bottom w:val="none" w:sz="0" w:space="0" w:color="auto"/>
        <w:right w:val="none" w:sz="0" w:space="0" w:color="auto"/>
      </w:divBdr>
    </w:div>
    <w:div w:id="1011958035">
      <w:bodyDiv w:val="1"/>
      <w:marLeft w:val="0"/>
      <w:marRight w:val="0"/>
      <w:marTop w:val="0"/>
      <w:marBottom w:val="0"/>
      <w:divBdr>
        <w:top w:val="none" w:sz="0" w:space="0" w:color="auto"/>
        <w:left w:val="none" w:sz="0" w:space="0" w:color="auto"/>
        <w:bottom w:val="none" w:sz="0" w:space="0" w:color="auto"/>
        <w:right w:val="none" w:sz="0" w:space="0" w:color="auto"/>
      </w:divBdr>
    </w:div>
    <w:div w:id="1074161068">
      <w:bodyDiv w:val="1"/>
      <w:marLeft w:val="0"/>
      <w:marRight w:val="0"/>
      <w:marTop w:val="0"/>
      <w:marBottom w:val="0"/>
      <w:divBdr>
        <w:top w:val="none" w:sz="0" w:space="0" w:color="auto"/>
        <w:left w:val="none" w:sz="0" w:space="0" w:color="auto"/>
        <w:bottom w:val="none" w:sz="0" w:space="0" w:color="auto"/>
        <w:right w:val="none" w:sz="0" w:space="0" w:color="auto"/>
      </w:divBdr>
    </w:div>
    <w:div w:id="1247762738">
      <w:bodyDiv w:val="1"/>
      <w:marLeft w:val="0"/>
      <w:marRight w:val="0"/>
      <w:marTop w:val="0"/>
      <w:marBottom w:val="0"/>
      <w:divBdr>
        <w:top w:val="none" w:sz="0" w:space="0" w:color="auto"/>
        <w:left w:val="none" w:sz="0" w:space="0" w:color="auto"/>
        <w:bottom w:val="none" w:sz="0" w:space="0" w:color="auto"/>
        <w:right w:val="none" w:sz="0" w:space="0" w:color="auto"/>
      </w:divBdr>
    </w:div>
    <w:div w:id="1342851484">
      <w:bodyDiv w:val="1"/>
      <w:marLeft w:val="0"/>
      <w:marRight w:val="0"/>
      <w:marTop w:val="0"/>
      <w:marBottom w:val="0"/>
      <w:divBdr>
        <w:top w:val="none" w:sz="0" w:space="0" w:color="auto"/>
        <w:left w:val="none" w:sz="0" w:space="0" w:color="auto"/>
        <w:bottom w:val="none" w:sz="0" w:space="0" w:color="auto"/>
        <w:right w:val="none" w:sz="0" w:space="0" w:color="auto"/>
      </w:divBdr>
    </w:div>
    <w:div w:id="1351640747">
      <w:bodyDiv w:val="1"/>
      <w:marLeft w:val="0"/>
      <w:marRight w:val="0"/>
      <w:marTop w:val="0"/>
      <w:marBottom w:val="0"/>
      <w:divBdr>
        <w:top w:val="none" w:sz="0" w:space="0" w:color="auto"/>
        <w:left w:val="none" w:sz="0" w:space="0" w:color="auto"/>
        <w:bottom w:val="none" w:sz="0" w:space="0" w:color="auto"/>
        <w:right w:val="none" w:sz="0" w:space="0" w:color="auto"/>
      </w:divBdr>
    </w:div>
    <w:div w:id="1513717717">
      <w:bodyDiv w:val="1"/>
      <w:marLeft w:val="0"/>
      <w:marRight w:val="0"/>
      <w:marTop w:val="0"/>
      <w:marBottom w:val="0"/>
      <w:divBdr>
        <w:top w:val="none" w:sz="0" w:space="0" w:color="auto"/>
        <w:left w:val="none" w:sz="0" w:space="0" w:color="auto"/>
        <w:bottom w:val="none" w:sz="0" w:space="0" w:color="auto"/>
        <w:right w:val="none" w:sz="0" w:space="0" w:color="auto"/>
      </w:divBdr>
    </w:div>
    <w:div w:id="1564172644">
      <w:bodyDiv w:val="1"/>
      <w:marLeft w:val="0"/>
      <w:marRight w:val="0"/>
      <w:marTop w:val="0"/>
      <w:marBottom w:val="0"/>
      <w:divBdr>
        <w:top w:val="none" w:sz="0" w:space="0" w:color="auto"/>
        <w:left w:val="none" w:sz="0" w:space="0" w:color="auto"/>
        <w:bottom w:val="none" w:sz="0" w:space="0" w:color="auto"/>
        <w:right w:val="none" w:sz="0" w:space="0" w:color="auto"/>
      </w:divBdr>
    </w:div>
    <w:div w:id="1593859146">
      <w:bodyDiv w:val="1"/>
      <w:marLeft w:val="0"/>
      <w:marRight w:val="0"/>
      <w:marTop w:val="0"/>
      <w:marBottom w:val="0"/>
      <w:divBdr>
        <w:top w:val="none" w:sz="0" w:space="0" w:color="auto"/>
        <w:left w:val="none" w:sz="0" w:space="0" w:color="auto"/>
        <w:bottom w:val="none" w:sz="0" w:space="0" w:color="auto"/>
        <w:right w:val="none" w:sz="0" w:space="0" w:color="auto"/>
      </w:divBdr>
    </w:div>
    <w:div w:id="1676496382">
      <w:bodyDiv w:val="1"/>
      <w:marLeft w:val="0"/>
      <w:marRight w:val="0"/>
      <w:marTop w:val="0"/>
      <w:marBottom w:val="0"/>
      <w:divBdr>
        <w:top w:val="none" w:sz="0" w:space="0" w:color="auto"/>
        <w:left w:val="none" w:sz="0" w:space="0" w:color="auto"/>
        <w:bottom w:val="none" w:sz="0" w:space="0" w:color="auto"/>
        <w:right w:val="none" w:sz="0" w:space="0" w:color="auto"/>
      </w:divBdr>
    </w:div>
    <w:div w:id="1729258181">
      <w:bodyDiv w:val="1"/>
      <w:marLeft w:val="0"/>
      <w:marRight w:val="0"/>
      <w:marTop w:val="0"/>
      <w:marBottom w:val="0"/>
      <w:divBdr>
        <w:top w:val="none" w:sz="0" w:space="0" w:color="auto"/>
        <w:left w:val="none" w:sz="0" w:space="0" w:color="auto"/>
        <w:bottom w:val="none" w:sz="0" w:space="0" w:color="auto"/>
        <w:right w:val="none" w:sz="0" w:space="0" w:color="auto"/>
      </w:divBdr>
    </w:div>
    <w:div w:id="1824933041">
      <w:bodyDiv w:val="1"/>
      <w:marLeft w:val="0"/>
      <w:marRight w:val="0"/>
      <w:marTop w:val="0"/>
      <w:marBottom w:val="0"/>
      <w:divBdr>
        <w:top w:val="none" w:sz="0" w:space="0" w:color="auto"/>
        <w:left w:val="none" w:sz="0" w:space="0" w:color="auto"/>
        <w:bottom w:val="none" w:sz="0" w:space="0" w:color="auto"/>
        <w:right w:val="none" w:sz="0" w:space="0" w:color="auto"/>
      </w:divBdr>
    </w:div>
    <w:div w:id="1872330203">
      <w:bodyDiv w:val="1"/>
      <w:marLeft w:val="0"/>
      <w:marRight w:val="0"/>
      <w:marTop w:val="0"/>
      <w:marBottom w:val="0"/>
      <w:divBdr>
        <w:top w:val="none" w:sz="0" w:space="0" w:color="auto"/>
        <w:left w:val="none" w:sz="0" w:space="0" w:color="auto"/>
        <w:bottom w:val="none" w:sz="0" w:space="0" w:color="auto"/>
        <w:right w:val="none" w:sz="0" w:space="0" w:color="auto"/>
      </w:divBdr>
    </w:div>
    <w:div w:id="1914968931">
      <w:bodyDiv w:val="1"/>
      <w:marLeft w:val="0"/>
      <w:marRight w:val="0"/>
      <w:marTop w:val="0"/>
      <w:marBottom w:val="0"/>
      <w:divBdr>
        <w:top w:val="none" w:sz="0" w:space="0" w:color="auto"/>
        <w:left w:val="none" w:sz="0" w:space="0" w:color="auto"/>
        <w:bottom w:val="none" w:sz="0" w:space="0" w:color="auto"/>
        <w:right w:val="none" w:sz="0" w:space="0" w:color="auto"/>
      </w:divBdr>
    </w:div>
    <w:div w:id="20587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mes@uc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nicity-facts-figures.service.gov.uk/work-pay-and-benefits/pay-and-income/average-hourly-pay/lat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ay-syst/national-tarif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ns.gov.uk/peoplepopulationandcommunity/healthandsocialcare/conditionsanddiseases/bulletins/prevalenceofongoingsymptomsfollowingcoronaviruscovid19infectionintheuk/30march2023" TargetMode="External"/><Relationship Id="rId4" Type="http://schemas.openxmlformats.org/officeDocument/2006/relationships/settings" Target="settings.xml"/><Relationship Id="rId9" Type="http://schemas.openxmlformats.org/officeDocument/2006/relationships/hyperlink" Target="https://www.nice.org.uk/guidance/ng1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7C1E-A9BF-4819-8090-5DE2B97D5FCC}">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12383</Words>
  <Characters>70588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Jiunn</dc:creator>
  <cp:keywords/>
  <dc:description/>
  <cp:lastModifiedBy>Jonathan Cantrell</cp:lastModifiedBy>
  <cp:revision>2</cp:revision>
  <dcterms:created xsi:type="dcterms:W3CDTF">2024-11-13T12:02:00Z</dcterms:created>
  <dcterms:modified xsi:type="dcterms:W3CDTF">2024-11-13T12:02:00Z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45c6c0cb72fe71b5f8ef2eddff4a9caf19ee201acf2de4a00935722f181755da</vt:lpwstr>
  </property>
</Properties>
</file>