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F0C81" w14:textId="596E7E3B" w:rsidR="00FD2F31" w:rsidRDefault="00A558DA" w:rsidP="00A558DA">
      <w:pPr>
        <w:jc w:val="both"/>
        <w:rPr>
          <w:rFonts w:eastAsia="Times New Roman" w:cstheme="minorHAnsi"/>
          <w:b/>
          <w:bCs/>
          <w:kern w:val="36"/>
          <w:lang w:eastAsia="en-GB"/>
        </w:rPr>
      </w:pPr>
      <w:r>
        <w:rPr>
          <w:rFonts w:eastAsia="Times New Roman" w:cstheme="minorHAnsi"/>
          <w:b/>
          <w:bCs/>
          <w:kern w:val="36"/>
          <w:lang w:eastAsia="en-GB"/>
        </w:rPr>
        <w:t xml:space="preserve">Landscapes Revealed: Geophysical survey in the heart of Neolithic Orkney World Heritage Area 2002-2011. Amanda </w:t>
      </w:r>
      <w:proofErr w:type="spellStart"/>
      <w:r>
        <w:rPr>
          <w:rFonts w:eastAsia="Times New Roman" w:cstheme="minorHAnsi"/>
          <w:b/>
          <w:bCs/>
          <w:kern w:val="36"/>
          <w:lang w:eastAsia="en-GB"/>
        </w:rPr>
        <w:t>Brend</w:t>
      </w:r>
      <w:proofErr w:type="spellEnd"/>
      <w:r>
        <w:rPr>
          <w:rFonts w:eastAsia="Times New Roman" w:cstheme="minorHAnsi"/>
          <w:b/>
          <w:bCs/>
          <w:kern w:val="36"/>
          <w:lang w:eastAsia="en-GB"/>
        </w:rPr>
        <w:t>, Nick Card, Jane Downes, Mark Edmonds and James Moore. 2020, 263pp., ISBN 978-1-78925-506-5 (Hardback); ISBN 978-1-78925-507-2 (</w:t>
      </w:r>
      <w:proofErr w:type="spellStart"/>
      <w:r>
        <w:rPr>
          <w:rFonts w:eastAsia="Times New Roman" w:cstheme="minorHAnsi"/>
          <w:b/>
          <w:bCs/>
          <w:kern w:val="36"/>
          <w:lang w:eastAsia="en-GB"/>
        </w:rPr>
        <w:t>epub</w:t>
      </w:r>
      <w:proofErr w:type="spellEnd"/>
      <w:r>
        <w:rPr>
          <w:rFonts w:eastAsia="Times New Roman" w:cstheme="minorHAnsi"/>
          <w:b/>
          <w:bCs/>
          <w:kern w:val="36"/>
          <w:lang w:eastAsia="en-GB"/>
        </w:rPr>
        <w:t>)</w:t>
      </w:r>
    </w:p>
    <w:p w14:paraId="036C2CFA" w14:textId="680625C5" w:rsidR="00A558DA" w:rsidRDefault="00A558DA" w:rsidP="00A558DA">
      <w:pPr>
        <w:jc w:val="both"/>
        <w:rPr>
          <w:rFonts w:eastAsia="Times New Roman" w:cstheme="minorHAnsi"/>
          <w:b/>
          <w:bCs/>
          <w:kern w:val="36"/>
          <w:lang w:eastAsia="en-GB"/>
        </w:rPr>
      </w:pPr>
    </w:p>
    <w:p w14:paraId="4EE3E430" w14:textId="24E44E16" w:rsidR="00A558DA" w:rsidRDefault="00A558DA" w:rsidP="00A558DA">
      <w:pPr>
        <w:jc w:val="both"/>
        <w:rPr>
          <w:rFonts w:eastAsia="Times New Roman" w:cstheme="minorHAnsi"/>
          <w:b/>
          <w:bCs/>
          <w:kern w:val="36"/>
          <w:lang w:eastAsia="en-GB"/>
        </w:rPr>
      </w:pPr>
      <w:r>
        <w:rPr>
          <w:rFonts w:eastAsia="Times New Roman" w:cstheme="minorHAnsi"/>
          <w:b/>
          <w:bCs/>
          <w:kern w:val="36"/>
          <w:lang w:eastAsia="en-GB"/>
        </w:rPr>
        <w:t>Kristian Strutt</w:t>
      </w:r>
    </w:p>
    <w:p w14:paraId="65945757" w14:textId="3572D66C"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Department of Archaeology</w:t>
      </w:r>
    </w:p>
    <w:p w14:paraId="1198BAA3" w14:textId="11D08FC6"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University of Southampton</w:t>
      </w:r>
    </w:p>
    <w:p w14:paraId="092859D4" w14:textId="4E18DB20"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Highfield</w:t>
      </w:r>
    </w:p>
    <w:p w14:paraId="2A9B3D9B" w14:textId="581BC847"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Southampton</w:t>
      </w:r>
    </w:p>
    <w:p w14:paraId="3CDF1E84" w14:textId="5CDDD765"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SO17 1BF</w:t>
      </w:r>
    </w:p>
    <w:p w14:paraId="459D191B" w14:textId="1926DD1A"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United Kingdom</w:t>
      </w:r>
    </w:p>
    <w:p w14:paraId="02FCF2B6" w14:textId="2188BA9E"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Tel: +44 (0)2380 596866</w:t>
      </w:r>
    </w:p>
    <w:p w14:paraId="09DDD2AF" w14:textId="2C2699EB" w:rsidR="00EF16FD" w:rsidRPr="00EF16FD" w:rsidRDefault="00EF16FD" w:rsidP="00A558DA">
      <w:pPr>
        <w:jc w:val="both"/>
        <w:rPr>
          <w:rFonts w:eastAsia="Times New Roman" w:cstheme="minorHAnsi"/>
          <w:kern w:val="36"/>
          <w:lang w:eastAsia="en-GB"/>
        </w:rPr>
      </w:pPr>
      <w:r w:rsidRPr="00EF16FD">
        <w:rPr>
          <w:rFonts w:eastAsia="Times New Roman" w:cstheme="minorHAnsi"/>
          <w:kern w:val="36"/>
          <w:lang w:eastAsia="en-GB"/>
        </w:rPr>
        <w:t>Email: kds@soton.ac.uk</w:t>
      </w:r>
    </w:p>
    <w:p w14:paraId="4E6B246F" w14:textId="7F6195B4" w:rsidR="00A558DA" w:rsidRPr="00EF16FD" w:rsidRDefault="00A558DA" w:rsidP="00A558DA">
      <w:pPr>
        <w:jc w:val="both"/>
        <w:rPr>
          <w:rFonts w:eastAsia="Times New Roman" w:cstheme="minorHAnsi"/>
          <w:kern w:val="36"/>
          <w:lang w:eastAsia="en-GB"/>
        </w:rPr>
      </w:pPr>
    </w:p>
    <w:p w14:paraId="5DB9235C" w14:textId="26293129" w:rsidR="00A558DA" w:rsidRDefault="00B267F2" w:rsidP="00A558DA">
      <w:pPr>
        <w:jc w:val="both"/>
        <w:rPr>
          <w:rFonts w:cstheme="minorHAnsi"/>
        </w:rPr>
      </w:pPr>
      <w:r>
        <w:rPr>
          <w:rFonts w:cstheme="minorHAnsi"/>
        </w:rPr>
        <w:t>The scope and application of geophysical methods for landscape archaeology have developed immensely over the last twenty years, from the application of single sensor instruments, to more recent</w:t>
      </w:r>
      <w:r w:rsidR="00325637">
        <w:rPr>
          <w:rFonts w:cstheme="minorHAnsi"/>
        </w:rPr>
        <w:t>,</w:t>
      </w:r>
      <w:r>
        <w:rPr>
          <w:rFonts w:cstheme="minorHAnsi"/>
        </w:rPr>
        <w:t xml:space="preserve"> multi-sensor, high resolution geophysical surveys covering significant areas of landscape. This wonderful book marks the culmination of a decade of work in the Heart of Neolithic Orkney World Heritage Site </w:t>
      </w:r>
      <w:r w:rsidR="00893934">
        <w:rPr>
          <w:rFonts w:cstheme="minorHAnsi"/>
        </w:rPr>
        <w:t>(HONO WHS)</w:t>
      </w:r>
      <w:r w:rsidR="00325637">
        <w:rPr>
          <w:rFonts w:cstheme="minorHAnsi"/>
        </w:rPr>
        <w:t>,</w:t>
      </w:r>
      <w:r w:rsidR="00893934">
        <w:rPr>
          <w:rFonts w:cstheme="minorHAnsi"/>
        </w:rPr>
        <w:t xml:space="preserve"> </w:t>
      </w:r>
      <w:r>
        <w:rPr>
          <w:rFonts w:cstheme="minorHAnsi"/>
        </w:rPr>
        <w:t>spanning this period of rapid development and showing what can be achieved through an integrated approach involving both large-scale survey, and targeted geophysics</w:t>
      </w:r>
      <w:r w:rsidR="00325637">
        <w:rPr>
          <w:rFonts w:cstheme="minorHAnsi"/>
        </w:rPr>
        <w:t>,</w:t>
      </w:r>
      <w:r>
        <w:rPr>
          <w:rFonts w:cstheme="minorHAnsi"/>
        </w:rPr>
        <w:t xml:space="preserve"> in one of the most impressive but least understood landscapes in the British Isles.</w:t>
      </w:r>
    </w:p>
    <w:p w14:paraId="01264DAE" w14:textId="4B5E8DD7" w:rsidR="00B267F2" w:rsidRDefault="00B267F2" w:rsidP="00A558DA">
      <w:pPr>
        <w:jc w:val="both"/>
        <w:rPr>
          <w:rFonts w:cstheme="minorHAnsi"/>
        </w:rPr>
      </w:pPr>
      <w:r>
        <w:rPr>
          <w:rFonts w:cstheme="minorHAnsi"/>
        </w:rPr>
        <w:t xml:space="preserve">The volume is edited by </w:t>
      </w:r>
      <w:proofErr w:type="spellStart"/>
      <w:r>
        <w:rPr>
          <w:rFonts w:cstheme="minorHAnsi"/>
        </w:rPr>
        <w:t>Brend</w:t>
      </w:r>
      <w:proofErr w:type="spellEnd"/>
      <w:r>
        <w:rPr>
          <w:rFonts w:cstheme="minorHAnsi"/>
        </w:rPr>
        <w:t>, Card, Downes, Edmonds and Moore, but includes the contributions of 15 other scholars, and a legion of other colleagues from a range of institutions and archives. Its style is that of a final report or monograph on the results of geophysical survey over an extensive land</w:t>
      </w:r>
      <w:r w:rsidR="008A2022">
        <w:rPr>
          <w:rFonts w:cstheme="minorHAnsi"/>
        </w:rPr>
        <w:t>s</w:t>
      </w:r>
      <w:r>
        <w:rPr>
          <w:rFonts w:cstheme="minorHAnsi"/>
        </w:rPr>
        <w:t>cape, but the volume covers so much more in its scope and handling of the survey results, and the broader documentary and archaeological evidence for the HONO</w:t>
      </w:r>
      <w:r w:rsidR="009540E9">
        <w:rPr>
          <w:rFonts w:cstheme="minorHAnsi"/>
        </w:rPr>
        <w:t xml:space="preserve"> WHS</w:t>
      </w:r>
      <w:r>
        <w:rPr>
          <w:rFonts w:cstheme="minorHAnsi"/>
        </w:rPr>
        <w:t>.</w:t>
      </w:r>
      <w:r w:rsidR="008A2022">
        <w:rPr>
          <w:rFonts w:cstheme="minorHAnsi"/>
        </w:rPr>
        <w:t xml:space="preserve"> The account of the research is beautifully written, descriptive, erudite, and with a consummate grasp of the material. The figures, of the geophysical survey results, interpretation plots, but also the historic maps and air photos of the landscape </w:t>
      </w:r>
      <w:r w:rsidR="00674F40">
        <w:rPr>
          <w:rFonts w:cstheme="minorHAnsi"/>
        </w:rPr>
        <w:t>a</w:t>
      </w:r>
      <w:r w:rsidR="008A2022">
        <w:rPr>
          <w:rFonts w:cstheme="minorHAnsi"/>
        </w:rPr>
        <w:t xml:space="preserve">re incredible and immerse the reader in an almost fantastical landscape. </w:t>
      </w:r>
    </w:p>
    <w:p w14:paraId="0F728044" w14:textId="03A90AF4" w:rsidR="00B267F2" w:rsidRDefault="00C163B3" w:rsidP="00A558DA">
      <w:pPr>
        <w:jc w:val="both"/>
        <w:rPr>
          <w:rFonts w:cstheme="minorHAnsi"/>
        </w:rPr>
      </w:pPr>
      <w:r>
        <w:rPr>
          <w:rFonts w:cstheme="minorHAnsi"/>
        </w:rPr>
        <w:t xml:space="preserve">The first chapter sets the scene of the project, indicating the sensitive area straddling Orkney and Hoy, and within this the inner and outer buffer zones of the HONO WHS, incorporating the Stones of </w:t>
      </w:r>
      <w:proofErr w:type="spellStart"/>
      <w:r>
        <w:rPr>
          <w:rFonts w:cstheme="minorHAnsi"/>
        </w:rPr>
        <w:t>Stenness</w:t>
      </w:r>
      <w:proofErr w:type="spellEnd"/>
      <w:r>
        <w:rPr>
          <w:rFonts w:cstheme="minorHAnsi"/>
        </w:rPr>
        <w:t>, Ring of Brodgar and Maes</w:t>
      </w:r>
      <w:r w:rsidR="00325637">
        <w:rPr>
          <w:rFonts w:cstheme="minorHAnsi"/>
        </w:rPr>
        <w:t>h</w:t>
      </w:r>
      <w:r>
        <w:rPr>
          <w:rFonts w:cstheme="minorHAnsi"/>
        </w:rPr>
        <w:t>owe among others. The landscape is illustrated through detailed maps, lavish photographs of some of the monuments, but also draws on engravings and plans from historic depictions of the area in the 18</w:t>
      </w:r>
      <w:r w:rsidRPr="00C163B3">
        <w:rPr>
          <w:rFonts w:cstheme="minorHAnsi"/>
          <w:vertAlign w:val="superscript"/>
        </w:rPr>
        <w:t>th</w:t>
      </w:r>
      <w:r>
        <w:rPr>
          <w:rFonts w:cstheme="minorHAnsi"/>
        </w:rPr>
        <w:t xml:space="preserve"> and 19</w:t>
      </w:r>
      <w:r w:rsidRPr="00C163B3">
        <w:rPr>
          <w:rFonts w:cstheme="minorHAnsi"/>
          <w:vertAlign w:val="superscript"/>
        </w:rPr>
        <w:t>th</w:t>
      </w:r>
      <w:r>
        <w:rPr>
          <w:rFonts w:cstheme="minorHAnsi"/>
        </w:rPr>
        <w:t xml:space="preserve"> centuries. Broadly, the summary is very well-referenced, particularly to the extensive work of Downes, Edmonds, Card and Richards in this landscape. Some contextual aspects could do with citations in support of assertions (the observation of sites being viewed synchronically</w:t>
      </w:r>
      <w:r w:rsidR="0035621F">
        <w:rPr>
          <w:rFonts w:cstheme="minorHAnsi"/>
        </w:rPr>
        <w:t>,</w:t>
      </w:r>
      <w:r>
        <w:rPr>
          <w:rFonts w:cstheme="minorHAnsi"/>
        </w:rPr>
        <w:t xml:space="preserve"> and as ritual landscapes only </w:t>
      </w:r>
      <w:r>
        <w:rPr>
          <w:rFonts w:cstheme="minorHAnsi"/>
        </w:rPr>
        <w:lastRenderedPageBreak/>
        <w:t>is a statement of fact that could do with backing up; p4)</w:t>
      </w:r>
      <w:r w:rsidR="00570DD1">
        <w:rPr>
          <w:rFonts w:cstheme="minorHAnsi"/>
        </w:rPr>
        <w:t>, but this is only to allow the lay reader to perhaps investigate further some of these ideas. Otherwise</w:t>
      </w:r>
      <w:r w:rsidR="0035621F">
        <w:rPr>
          <w:rFonts w:cstheme="minorHAnsi"/>
        </w:rPr>
        <w:t>,</w:t>
      </w:r>
      <w:r w:rsidR="00570DD1">
        <w:rPr>
          <w:rFonts w:cstheme="minorHAnsi"/>
        </w:rPr>
        <w:t xml:space="preserve"> the chapter is well-balanced, providing an excellent synthesis of the archaeology of the HONO WHS and the approaches to that archaeology, including crucially the examples of early geophysical survey work conducted by GSB Prospection. Reference is also made to other landscape-based geophysical research, in the form of the </w:t>
      </w:r>
      <w:proofErr w:type="spellStart"/>
      <w:r w:rsidR="00570DD1">
        <w:rPr>
          <w:rFonts w:cstheme="minorHAnsi"/>
        </w:rPr>
        <w:t>Wroxeter</w:t>
      </w:r>
      <w:proofErr w:type="spellEnd"/>
      <w:r w:rsidR="00570DD1">
        <w:rPr>
          <w:rFonts w:cstheme="minorHAnsi"/>
        </w:rPr>
        <w:t xml:space="preserve"> Hinterland Project, the Stonehenge Hidden Landscapes Project and </w:t>
      </w:r>
      <w:proofErr w:type="spellStart"/>
      <w:r w:rsidR="00570DD1">
        <w:rPr>
          <w:rFonts w:cstheme="minorHAnsi"/>
        </w:rPr>
        <w:t>Powlesland’s</w:t>
      </w:r>
      <w:proofErr w:type="spellEnd"/>
      <w:r w:rsidR="00570DD1">
        <w:rPr>
          <w:rFonts w:cstheme="minorHAnsi"/>
        </w:rPr>
        <w:t xml:space="preserve"> work at West </w:t>
      </w:r>
      <w:proofErr w:type="spellStart"/>
      <w:r w:rsidR="00570DD1">
        <w:rPr>
          <w:rFonts w:cstheme="minorHAnsi"/>
        </w:rPr>
        <w:t>Heslerton</w:t>
      </w:r>
      <w:proofErr w:type="spellEnd"/>
      <w:r w:rsidR="00570DD1">
        <w:rPr>
          <w:rFonts w:cstheme="minorHAnsi"/>
        </w:rPr>
        <w:t xml:space="preserve"> (p5).</w:t>
      </w:r>
    </w:p>
    <w:p w14:paraId="1CD6E528" w14:textId="0715E31F" w:rsidR="00570DD1" w:rsidRDefault="00570DD1" w:rsidP="00A558DA">
      <w:pPr>
        <w:jc w:val="both"/>
        <w:rPr>
          <w:rFonts w:cstheme="minorHAnsi"/>
        </w:rPr>
      </w:pPr>
      <w:r>
        <w:rPr>
          <w:rFonts w:cstheme="minorHAnsi"/>
        </w:rPr>
        <w:t>With the scene set, the authors move on to an appraisal of their approach to the landscape, and the geological and topographic setting of the research. Chapter 2 establishes the form of the geology, land use</w:t>
      </w:r>
      <w:r w:rsidR="000061CB">
        <w:rPr>
          <w:rFonts w:cstheme="minorHAnsi"/>
        </w:rPr>
        <w:t>, and the integrated methodology applied as part of the research. Descriptions of the area are detailed, with excellent maps (p14), and while it may have been benefici</w:t>
      </w:r>
      <w:r w:rsidR="00565C11">
        <w:rPr>
          <w:rFonts w:cstheme="minorHAnsi"/>
        </w:rPr>
        <w:t>a</w:t>
      </w:r>
      <w:r w:rsidR="000061CB">
        <w:rPr>
          <w:rFonts w:cstheme="minorHAnsi"/>
        </w:rPr>
        <w:t xml:space="preserve">l for the reader to have more simplified maps to illustrate the geology, there is a limit to how one can simplify these complex forms. The sections on the organisation of the study areas and the ground-based surveys of the landscape are excellent, bringing together different strands of past and present research. The ground-based survey material is particularly fulfilling, </w:t>
      </w:r>
      <w:r w:rsidR="008B55D1">
        <w:rPr>
          <w:rFonts w:cstheme="minorHAnsi"/>
        </w:rPr>
        <w:t xml:space="preserve">starting with early fieldwork undertaken </w:t>
      </w:r>
      <w:r w:rsidR="00893934">
        <w:rPr>
          <w:rFonts w:cstheme="minorHAnsi"/>
        </w:rPr>
        <w:t>b</w:t>
      </w:r>
      <w:r w:rsidR="008B55D1">
        <w:rPr>
          <w:rFonts w:cstheme="minorHAnsi"/>
        </w:rPr>
        <w:t>y Walden and Stanley in the 18</w:t>
      </w:r>
      <w:r w:rsidR="008B55D1" w:rsidRPr="008B55D1">
        <w:rPr>
          <w:rFonts w:cstheme="minorHAnsi"/>
          <w:vertAlign w:val="superscript"/>
        </w:rPr>
        <w:t>th</w:t>
      </w:r>
      <w:r w:rsidR="008B55D1">
        <w:rPr>
          <w:rFonts w:cstheme="minorHAnsi"/>
        </w:rPr>
        <w:t xml:space="preserve"> century, and Thomas’s 1852 plan of the </w:t>
      </w:r>
      <w:proofErr w:type="spellStart"/>
      <w:r w:rsidR="008B55D1">
        <w:rPr>
          <w:rFonts w:cstheme="minorHAnsi"/>
        </w:rPr>
        <w:t>Stenness</w:t>
      </w:r>
      <w:proofErr w:type="spellEnd"/>
      <w:r w:rsidR="008B55D1">
        <w:rPr>
          <w:rFonts w:cstheme="minorHAnsi"/>
        </w:rPr>
        <w:t xml:space="preserve"> and Brodgar area (Fig. 2.9), but bringing this up to date with the work of the RCHMAS, and </w:t>
      </w:r>
      <w:r w:rsidR="000061CB">
        <w:rPr>
          <w:rFonts w:cstheme="minorHAnsi"/>
        </w:rPr>
        <w:t>drawing on the early work of the AML (p18)</w:t>
      </w:r>
      <w:r w:rsidR="008B55D1">
        <w:rPr>
          <w:rFonts w:cstheme="minorHAnsi"/>
        </w:rPr>
        <w:t xml:space="preserve"> </w:t>
      </w:r>
      <w:r w:rsidR="000061CB">
        <w:rPr>
          <w:rFonts w:cstheme="minorHAnsi"/>
        </w:rPr>
        <w:t xml:space="preserve">and Clark’s work with a Plessey fluxgate gradiometer at the Stones of </w:t>
      </w:r>
      <w:proofErr w:type="spellStart"/>
      <w:r w:rsidR="000061CB">
        <w:rPr>
          <w:rFonts w:cstheme="minorHAnsi"/>
        </w:rPr>
        <w:t>Stenness</w:t>
      </w:r>
      <w:proofErr w:type="spellEnd"/>
      <w:r w:rsidR="000061CB">
        <w:rPr>
          <w:rFonts w:cstheme="minorHAnsi"/>
        </w:rPr>
        <w:t xml:space="preserve"> (p19). </w:t>
      </w:r>
      <w:r w:rsidR="008B55D1">
        <w:rPr>
          <w:rFonts w:cstheme="minorHAnsi"/>
        </w:rPr>
        <w:t>On one level this section acts as a simple chronology of the archaeological work conducted in the landscape, but it does so much more, interleaving all aspects of the approach to these sites</w:t>
      </w:r>
      <w:r w:rsidR="00325637">
        <w:rPr>
          <w:rFonts w:cstheme="minorHAnsi"/>
        </w:rPr>
        <w:t>,</w:t>
      </w:r>
      <w:r w:rsidR="008B55D1">
        <w:rPr>
          <w:rFonts w:cstheme="minorHAnsi"/>
        </w:rPr>
        <w:t xml:space="preserve"> always with an eye to the broader landscape that is so critical to the overall outlook of the volume. </w:t>
      </w:r>
      <w:r w:rsidR="00500D02">
        <w:rPr>
          <w:rFonts w:cstheme="minorHAnsi"/>
        </w:rPr>
        <w:t xml:space="preserve">The chapter concludes with a summary of the techniques utilised for the fieldwork in the volume, comprising the technical specification of the geophysical surveys, airborne survey, use of historic aerial photographs and Airborne Laser Scanning (ALS). </w:t>
      </w:r>
    </w:p>
    <w:p w14:paraId="2396C188" w14:textId="1AD2F57C" w:rsidR="0035621F" w:rsidRDefault="00500D02" w:rsidP="00A558DA">
      <w:pPr>
        <w:jc w:val="both"/>
        <w:rPr>
          <w:rFonts w:cstheme="minorHAnsi"/>
        </w:rPr>
      </w:pPr>
      <w:r>
        <w:rPr>
          <w:rFonts w:cstheme="minorHAnsi"/>
        </w:rPr>
        <w:t xml:space="preserve">Chapters 3, 4, 5 and 6 form </w:t>
      </w:r>
      <w:r w:rsidR="002F526B">
        <w:rPr>
          <w:rFonts w:cstheme="minorHAnsi"/>
        </w:rPr>
        <w:t xml:space="preserve">the </w:t>
      </w:r>
      <w:r w:rsidR="009540E9">
        <w:rPr>
          <w:rFonts w:cstheme="minorHAnsi"/>
        </w:rPr>
        <w:t>main content</w:t>
      </w:r>
      <w:r>
        <w:rPr>
          <w:rFonts w:cstheme="minorHAnsi"/>
        </w:rPr>
        <w:t xml:space="preserve"> of the volume, each highlighting the fieldwork and results for the individual study areas of the project in detail. Chapter 3 commences with the Bay of </w:t>
      </w:r>
      <w:proofErr w:type="spellStart"/>
      <w:r>
        <w:rPr>
          <w:rFonts w:cstheme="minorHAnsi"/>
        </w:rPr>
        <w:t>Skaill</w:t>
      </w:r>
      <w:proofErr w:type="spellEnd"/>
      <w:r>
        <w:rPr>
          <w:rFonts w:cstheme="minorHAnsi"/>
        </w:rPr>
        <w:t xml:space="preserve">, giving a detailed backdrop to the landscape, environment and conditions of this area, that is somewhat removed from the central focus of the study. The </w:t>
      </w:r>
      <w:r w:rsidR="002F526B">
        <w:rPr>
          <w:rFonts w:cstheme="minorHAnsi"/>
        </w:rPr>
        <w:t>chapter</w:t>
      </w:r>
      <w:r>
        <w:rPr>
          <w:rFonts w:cstheme="minorHAnsi"/>
        </w:rPr>
        <w:t xml:space="preserve"> provides a compelling study</w:t>
      </w:r>
      <w:r w:rsidR="002F526B">
        <w:rPr>
          <w:rFonts w:cstheme="minorHAnsi"/>
        </w:rPr>
        <w:t xml:space="preserve"> of the bay</w:t>
      </w:r>
      <w:r>
        <w:rPr>
          <w:rFonts w:cstheme="minorHAnsi"/>
        </w:rPr>
        <w:t>, an area battered by wind and waves on the western coast of Orkney, and the chapter references useful detail of the maritime environment as part of the landscape character section (p35), drawing on evidence from this and other areas of the island to assess the environmental changes, particularly of the Late Bronze Age and Early Iron Age. Pride of place is given to the extensi</w:t>
      </w:r>
      <w:r w:rsidR="00674F40">
        <w:rPr>
          <w:rFonts w:cstheme="minorHAnsi"/>
        </w:rPr>
        <w:t>v</w:t>
      </w:r>
      <w:r>
        <w:rPr>
          <w:rFonts w:cstheme="minorHAnsi"/>
        </w:rPr>
        <w:t xml:space="preserve">e fluxgate gradiometer survey results </w:t>
      </w:r>
      <w:r w:rsidR="00674F40">
        <w:rPr>
          <w:rFonts w:cstheme="minorHAnsi"/>
        </w:rPr>
        <w:t>(Fig. 3.2) and a detailed interpretation plot of the results (Fig. 3.5)</w:t>
      </w:r>
      <w:r w:rsidR="002F526B">
        <w:rPr>
          <w:rFonts w:cstheme="minorHAnsi"/>
        </w:rPr>
        <w:t>. T</w:t>
      </w:r>
      <w:r w:rsidR="00674F40">
        <w:rPr>
          <w:rFonts w:cstheme="minorHAnsi"/>
        </w:rPr>
        <w:t>hese</w:t>
      </w:r>
      <w:r w:rsidR="002F526B">
        <w:rPr>
          <w:rFonts w:cstheme="minorHAnsi"/>
        </w:rPr>
        <w:t>,</w:t>
      </w:r>
      <w:r w:rsidR="00674F40">
        <w:rPr>
          <w:rFonts w:cstheme="minorHAnsi"/>
        </w:rPr>
        <w:t xml:space="preserve"> and results of </w:t>
      </w:r>
      <w:r w:rsidR="002F526B">
        <w:rPr>
          <w:rFonts w:cstheme="minorHAnsi"/>
        </w:rPr>
        <w:t xml:space="preserve">the data </w:t>
      </w:r>
      <w:r w:rsidR="00674F40">
        <w:rPr>
          <w:rFonts w:cstheme="minorHAnsi"/>
        </w:rPr>
        <w:t>analysis</w:t>
      </w:r>
      <w:r w:rsidR="002F526B">
        <w:rPr>
          <w:rFonts w:cstheme="minorHAnsi"/>
        </w:rPr>
        <w:t>,</w:t>
      </w:r>
      <w:r w:rsidR="00674F40">
        <w:rPr>
          <w:rFonts w:cstheme="minorHAnsi"/>
        </w:rPr>
        <w:t xml:space="preserve"> sit alongside the ALS plots for the bay (Fig. 3.6), providing exquisite topographic relief data and interpretation for comparison with the sub-surface survey. Results of the recent fieldwork are presented alongside wonderful detail of antiquarian work, including Walden’s 1772 map, and the 1930 plan of Skara Brae (Fig. 3.18). The concluding part of the chapter demonstrates some of the integrated geophysical survey results, including earth resistance and GPR, the latter including clearly annotated slices through the data, and comparison with the radargrams from the survey. Results of the campaign of borehole survey in the area, together with EM conductivity facilitates an evaluation of the deeper stratigraphic context </w:t>
      </w:r>
      <w:r w:rsidR="002F526B">
        <w:rPr>
          <w:rFonts w:cstheme="minorHAnsi"/>
        </w:rPr>
        <w:t>a</w:t>
      </w:r>
      <w:r w:rsidR="00674F40">
        <w:rPr>
          <w:rFonts w:cstheme="minorHAnsi"/>
        </w:rPr>
        <w:t>cross the site. This is all drawn togeth</w:t>
      </w:r>
      <w:r w:rsidR="0035621F">
        <w:rPr>
          <w:rFonts w:cstheme="minorHAnsi"/>
        </w:rPr>
        <w:t>er</w:t>
      </w:r>
      <w:r w:rsidR="00674F40">
        <w:rPr>
          <w:rFonts w:cstheme="minorHAnsi"/>
        </w:rPr>
        <w:t xml:space="preserve"> with </w:t>
      </w:r>
      <w:r w:rsidR="0035621F">
        <w:rPr>
          <w:rFonts w:cstheme="minorHAnsi"/>
        </w:rPr>
        <w:t xml:space="preserve">a concise discussion, highlighting the settlement pattern across the bay (p65), but also comparison of the results with evidence from other locations. Comparative </w:t>
      </w:r>
      <w:r w:rsidR="0035621F">
        <w:rPr>
          <w:rFonts w:cstheme="minorHAnsi"/>
        </w:rPr>
        <w:lastRenderedPageBreak/>
        <w:t xml:space="preserve">double house plans from across the islands (Fig. 3.26), and results of previous fluxgate </w:t>
      </w:r>
      <w:proofErr w:type="spellStart"/>
      <w:r w:rsidR="0035621F">
        <w:rPr>
          <w:rFonts w:cstheme="minorHAnsi"/>
        </w:rPr>
        <w:t>gradiometry</w:t>
      </w:r>
      <w:proofErr w:type="spellEnd"/>
      <w:r w:rsidR="0035621F">
        <w:rPr>
          <w:rFonts w:cstheme="minorHAnsi"/>
        </w:rPr>
        <w:t xml:space="preserve"> (p69) are used, albeit at different scales of reproduction, to illustrate the presence of other forms of settlement further afield.</w:t>
      </w:r>
    </w:p>
    <w:p w14:paraId="28E3F87D" w14:textId="3B5345C8" w:rsidR="00500D02" w:rsidRDefault="0035621F" w:rsidP="00A558DA">
      <w:pPr>
        <w:jc w:val="both"/>
        <w:rPr>
          <w:rFonts w:cstheme="minorHAnsi"/>
        </w:rPr>
      </w:pPr>
      <w:r>
        <w:rPr>
          <w:rFonts w:cstheme="minorHAnsi"/>
        </w:rPr>
        <w:t xml:space="preserve"> Chapter 4 moves the focus to the North of </w:t>
      </w:r>
      <w:proofErr w:type="spellStart"/>
      <w:r>
        <w:rPr>
          <w:rFonts w:cstheme="minorHAnsi"/>
        </w:rPr>
        <w:t>Bookan</w:t>
      </w:r>
      <w:proofErr w:type="spellEnd"/>
      <w:r>
        <w:rPr>
          <w:rFonts w:cstheme="minorHAnsi"/>
        </w:rPr>
        <w:t>, starting with a statement of the size and scale of the survey. The nuts and bolts information of the project and study area</w:t>
      </w:r>
      <w:r w:rsidR="00483ECC">
        <w:rPr>
          <w:rFonts w:cstheme="minorHAnsi"/>
        </w:rPr>
        <w:t>, however,</w:t>
      </w:r>
      <w:r>
        <w:rPr>
          <w:rFonts w:cstheme="minorHAnsi"/>
        </w:rPr>
        <w:t xml:space="preserve"> </w:t>
      </w:r>
      <w:r w:rsidR="00483ECC">
        <w:rPr>
          <w:rFonts w:cstheme="minorHAnsi"/>
        </w:rPr>
        <w:t xml:space="preserve">belie the depth and intricacy of this study. As the authors state ‘…some of the monuments and other legacies of prehistoric communities have evidently played their own part in shaping the lives of much later generations.’ (p71). Such a bold statement in the introductory section of the chapter at a stroke confronts the reader with the very human core of the HONO WHS landscape, a complex and enduring lived experience for communities, and the efforts of this project to use the evidence to bring this to life. The statement also paves the way for the results of the area of North of </w:t>
      </w:r>
      <w:proofErr w:type="spellStart"/>
      <w:r w:rsidR="00483ECC">
        <w:rPr>
          <w:rFonts w:cstheme="minorHAnsi"/>
        </w:rPr>
        <w:t>Bookan</w:t>
      </w:r>
      <w:proofErr w:type="spellEnd"/>
      <w:r w:rsidR="00483ECC">
        <w:rPr>
          <w:rFonts w:cstheme="minorHAnsi"/>
        </w:rPr>
        <w:t xml:space="preserve">, a case study that is heavily influenced by post-medieval and modern </w:t>
      </w:r>
      <w:r w:rsidR="00076711">
        <w:rPr>
          <w:rFonts w:cstheme="minorHAnsi"/>
        </w:rPr>
        <w:t xml:space="preserve">settlement and agriculture. </w:t>
      </w:r>
      <w:r w:rsidR="00F7370A">
        <w:rPr>
          <w:rFonts w:cstheme="minorHAnsi"/>
        </w:rPr>
        <w:t>Th</w:t>
      </w:r>
      <w:r w:rsidR="00076711">
        <w:rPr>
          <w:rFonts w:cstheme="minorHAnsi"/>
        </w:rPr>
        <w:t xml:space="preserve">e same plots of the fluxgate </w:t>
      </w:r>
      <w:proofErr w:type="spellStart"/>
      <w:r w:rsidR="00076711">
        <w:rPr>
          <w:rFonts w:cstheme="minorHAnsi"/>
        </w:rPr>
        <w:t>gradiometry</w:t>
      </w:r>
      <w:proofErr w:type="spellEnd"/>
      <w:r w:rsidR="00076711">
        <w:rPr>
          <w:rFonts w:cstheme="minorHAnsi"/>
        </w:rPr>
        <w:t xml:space="preserve"> and ALS data are presented, and as ever are beautifully styled with clear conventions (p. 76-78), and the fluxgate plots are dominated by evidence of extensive rig and furrow ploughing across the area. </w:t>
      </w:r>
      <w:r w:rsidR="002F526B">
        <w:rPr>
          <w:rFonts w:cstheme="minorHAnsi"/>
        </w:rPr>
        <w:t>Th</w:t>
      </w:r>
      <w:r w:rsidR="00076711">
        <w:rPr>
          <w:rFonts w:cstheme="minorHAnsi"/>
        </w:rPr>
        <w:t xml:space="preserve">e relatively late date of features in the results provides an excellent opportunity for comparison with estate and early Ordnance Survey </w:t>
      </w:r>
      <w:r w:rsidR="002F526B">
        <w:rPr>
          <w:rFonts w:cstheme="minorHAnsi"/>
        </w:rPr>
        <w:t xml:space="preserve">(OS) </w:t>
      </w:r>
      <w:r w:rsidR="00076711">
        <w:rPr>
          <w:rFonts w:cstheme="minorHAnsi"/>
        </w:rPr>
        <w:t xml:space="preserve">maps, and the authors duly oblige with integrated figures of interpretation plots from the geophysics superimposed on the </w:t>
      </w:r>
      <w:proofErr w:type="spellStart"/>
      <w:r w:rsidR="00076711">
        <w:rPr>
          <w:rFonts w:cstheme="minorHAnsi"/>
        </w:rPr>
        <w:t>Wasbister</w:t>
      </w:r>
      <w:proofErr w:type="spellEnd"/>
      <w:r w:rsidR="00076711">
        <w:rPr>
          <w:rFonts w:cstheme="minorHAnsi"/>
        </w:rPr>
        <w:t xml:space="preserve"> township map of 1834, and illustrations of the 1</w:t>
      </w:r>
      <w:r w:rsidR="00076711" w:rsidRPr="00076711">
        <w:rPr>
          <w:rFonts w:cstheme="minorHAnsi"/>
          <w:vertAlign w:val="superscript"/>
        </w:rPr>
        <w:t>st</w:t>
      </w:r>
      <w:r w:rsidR="00076711">
        <w:rPr>
          <w:rFonts w:cstheme="minorHAnsi"/>
        </w:rPr>
        <w:t xml:space="preserve"> and revised edition OS maps. With the broad nature of the landscape established, the chapter then produces deeper analysis of vignettes of landscape; </w:t>
      </w:r>
      <w:proofErr w:type="spellStart"/>
      <w:r w:rsidR="00076711">
        <w:rPr>
          <w:rFonts w:cstheme="minorHAnsi"/>
        </w:rPr>
        <w:t>Buckan</w:t>
      </w:r>
      <w:proofErr w:type="spellEnd"/>
      <w:r w:rsidR="00076711">
        <w:rPr>
          <w:rFonts w:cstheme="minorHAnsi"/>
        </w:rPr>
        <w:t xml:space="preserve"> Farm, </w:t>
      </w:r>
      <w:proofErr w:type="spellStart"/>
      <w:r w:rsidR="00076711">
        <w:rPr>
          <w:rFonts w:cstheme="minorHAnsi"/>
        </w:rPr>
        <w:t>Burrian</w:t>
      </w:r>
      <w:proofErr w:type="spellEnd"/>
      <w:r w:rsidR="00076711">
        <w:rPr>
          <w:rFonts w:cstheme="minorHAnsi"/>
        </w:rPr>
        <w:t xml:space="preserve"> Broch, </w:t>
      </w:r>
      <w:r w:rsidR="00001F1F">
        <w:rPr>
          <w:rFonts w:cstheme="minorHAnsi"/>
        </w:rPr>
        <w:t xml:space="preserve">and further comparison of broch and enclosure sites, and with results of fluxgate </w:t>
      </w:r>
      <w:proofErr w:type="spellStart"/>
      <w:r w:rsidR="00001F1F">
        <w:rPr>
          <w:rFonts w:cstheme="minorHAnsi"/>
        </w:rPr>
        <w:t>gradiometry</w:t>
      </w:r>
      <w:proofErr w:type="spellEnd"/>
      <w:r w:rsidR="00001F1F">
        <w:rPr>
          <w:rFonts w:cstheme="minorHAnsi"/>
        </w:rPr>
        <w:t xml:space="preserve"> elsewhere. Comparison of fluxgate and earth resistance data provide complementary analysis (p102), together with an excellent discussion and schematic illustrating the differences in magnetic responses from the rig and furrow (p104). The only criticism that could possibl</w:t>
      </w:r>
      <w:r w:rsidR="002F526B">
        <w:rPr>
          <w:rFonts w:cstheme="minorHAnsi"/>
        </w:rPr>
        <w:t>y</w:t>
      </w:r>
      <w:r w:rsidR="00001F1F">
        <w:rPr>
          <w:rFonts w:cstheme="minorHAnsi"/>
        </w:rPr>
        <w:t xml:space="preserve"> be levelled at all of this is that there is so much data on such a significant landscape. At time here, and elsewhere in the volume, it can be difficult to trace the reference labels between the figures and the text, and there is much to-ing and fro-ing between description and interpretation plots. </w:t>
      </w:r>
    </w:p>
    <w:p w14:paraId="7A7EC367" w14:textId="19756FA9" w:rsidR="00001F1F" w:rsidRDefault="00001F1F" w:rsidP="00A558DA">
      <w:pPr>
        <w:jc w:val="both"/>
        <w:rPr>
          <w:rFonts w:cstheme="minorHAnsi"/>
        </w:rPr>
      </w:pPr>
      <w:r>
        <w:rPr>
          <w:rFonts w:cstheme="minorHAnsi"/>
        </w:rPr>
        <w:t xml:space="preserve">Chapter 5 </w:t>
      </w:r>
      <w:r w:rsidR="00E2779D">
        <w:rPr>
          <w:rFonts w:cstheme="minorHAnsi"/>
        </w:rPr>
        <w:t>relates the results of survey from the largest area of coverage in the landscape</w:t>
      </w:r>
      <w:r w:rsidR="002F526B">
        <w:rPr>
          <w:rFonts w:cstheme="minorHAnsi"/>
        </w:rPr>
        <w:t>,</w:t>
      </w:r>
      <w:r w:rsidR="00E2779D">
        <w:rPr>
          <w:rFonts w:cstheme="minorHAnsi"/>
        </w:rPr>
        <w:t xml:space="preserve"> from </w:t>
      </w:r>
      <w:proofErr w:type="spellStart"/>
      <w:r w:rsidR="00E2779D">
        <w:rPr>
          <w:rFonts w:cstheme="minorHAnsi"/>
        </w:rPr>
        <w:t>Brookan</w:t>
      </w:r>
      <w:proofErr w:type="spellEnd"/>
      <w:r w:rsidR="00E2779D">
        <w:rPr>
          <w:rFonts w:cstheme="minorHAnsi"/>
        </w:rPr>
        <w:t xml:space="preserve"> to Brodgar. As with Chapter 4</w:t>
      </w:r>
      <w:r w:rsidR="002F526B">
        <w:rPr>
          <w:rFonts w:cstheme="minorHAnsi"/>
        </w:rPr>
        <w:t>,</w:t>
      </w:r>
      <w:r w:rsidR="00E2779D">
        <w:rPr>
          <w:rFonts w:cstheme="minorHAnsi"/>
        </w:rPr>
        <w:t xml:space="preserve"> there is a lot of moving back and forth for the reader to relate the labels in the text and the images, but this is engagingly written material, from authors who are familiar with the archaeological record of the area. The maps and plans are as ever superb, and the AL</w:t>
      </w:r>
      <w:r w:rsidR="002F526B">
        <w:rPr>
          <w:rFonts w:cstheme="minorHAnsi"/>
        </w:rPr>
        <w:t>S</w:t>
      </w:r>
      <w:r w:rsidR="00E2779D">
        <w:rPr>
          <w:rFonts w:cstheme="minorHAnsi"/>
        </w:rPr>
        <w:t xml:space="preserve"> and fluxgate</w:t>
      </w:r>
      <w:r w:rsidR="00C64343">
        <w:rPr>
          <w:rFonts w:cstheme="minorHAnsi"/>
        </w:rPr>
        <w:t xml:space="preserve"> </w:t>
      </w:r>
      <w:proofErr w:type="spellStart"/>
      <w:r w:rsidR="00C64343">
        <w:rPr>
          <w:rFonts w:cstheme="minorHAnsi"/>
        </w:rPr>
        <w:t>gradiometry</w:t>
      </w:r>
      <w:proofErr w:type="spellEnd"/>
      <w:r w:rsidR="00E2779D">
        <w:rPr>
          <w:rFonts w:cstheme="minorHAnsi"/>
        </w:rPr>
        <w:t xml:space="preserve"> images show just enough of the archaeological evidence for each area</w:t>
      </w:r>
      <w:r w:rsidR="002F526B">
        <w:rPr>
          <w:rFonts w:cstheme="minorHAnsi"/>
        </w:rPr>
        <w:t>,</w:t>
      </w:r>
      <w:r w:rsidR="00E2779D">
        <w:rPr>
          <w:rFonts w:cstheme="minorHAnsi"/>
        </w:rPr>
        <w:t xml:space="preserve"> </w:t>
      </w:r>
      <w:r w:rsidR="002F526B">
        <w:rPr>
          <w:rFonts w:cstheme="minorHAnsi"/>
        </w:rPr>
        <w:t xml:space="preserve">and at a decent scale, </w:t>
      </w:r>
      <w:r w:rsidR="00E2779D">
        <w:rPr>
          <w:rFonts w:cstheme="minorHAnsi"/>
        </w:rPr>
        <w:t>to relate the topographic material and the results of the geophysics</w:t>
      </w:r>
      <w:r w:rsidR="002F526B">
        <w:rPr>
          <w:rFonts w:cstheme="minorHAnsi"/>
        </w:rPr>
        <w:t xml:space="preserve"> clearly</w:t>
      </w:r>
      <w:r w:rsidR="00E2779D">
        <w:rPr>
          <w:rFonts w:cstheme="minorHAnsi"/>
        </w:rPr>
        <w:t xml:space="preserve">. The detailed study of the Ring of Brodgar is superb, building on Dryden and Petrie’s 1851 plan to present complementary results of fluxgate </w:t>
      </w:r>
      <w:proofErr w:type="spellStart"/>
      <w:r w:rsidR="00E2779D">
        <w:rPr>
          <w:rFonts w:cstheme="minorHAnsi"/>
        </w:rPr>
        <w:t>gradiometry</w:t>
      </w:r>
      <w:proofErr w:type="spellEnd"/>
      <w:r w:rsidR="00E2779D">
        <w:rPr>
          <w:rFonts w:cstheme="minorHAnsi"/>
        </w:rPr>
        <w:t xml:space="preserve">, earth resistance and ERT, together with results of GPR. The lack of a colour shade scale for the results of the earth resistance survey in Figure 5.27 caught my attention for a second, before being </w:t>
      </w:r>
      <w:r w:rsidR="002F526B">
        <w:rPr>
          <w:rFonts w:cstheme="minorHAnsi"/>
        </w:rPr>
        <w:t xml:space="preserve">fully engaged </w:t>
      </w:r>
      <w:r w:rsidR="00E2779D">
        <w:rPr>
          <w:rFonts w:cstheme="minorHAnsi"/>
        </w:rPr>
        <w:t xml:space="preserve">by the photograph on the opposite page of the Gordon Highlanders driving through the Ring of Brodgar in </w:t>
      </w:r>
      <w:proofErr w:type="spellStart"/>
      <w:r w:rsidR="00E2779D">
        <w:rPr>
          <w:rFonts w:cstheme="minorHAnsi"/>
        </w:rPr>
        <w:t>bren</w:t>
      </w:r>
      <w:proofErr w:type="spellEnd"/>
      <w:r w:rsidR="00E2779D">
        <w:rPr>
          <w:rFonts w:cstheme="minorHAnsi"/>
        </w:rPr>
        <w:t xml:space="preserve"> carriers</w:t>
      </w:r>
      <w:r w:rsidR="00921CFA">
        <w:rPr>
          <w:rFonts w:cstheme="minorHAnsi"/>
        </w:rPr>
        <w:t xml:space="preserve"> (p138)</w:t>
      </w:r>
      <w:r w:rsidR="00E2779D">
        <w:rPr>
          <w:rFonts w:cstheme="minorHAnsi"/>
        </w:rPr>
        <w:t xml:space="preserve">. This is the </w:t>
      </w:r>
      <w:r w:rsidR="00921CFA">
        <w:rPr>
          <w:rFonts w:cstheme="minorHAnsi"/>
        </w:rPr>
        <w:t>wonderful nature of the volume. Everywhere there is juxtaposition of the results of excellent geophysical survey, interwoven into the story of the archaeology of this landscape, an approach for which the authors should be applauded.</w:t>
      </w:r>
    </w:p>
    <w:p w14:paraId="0405306B" w14:textId="7D027473" w:rsidR="00921CFA" w:rsidRDefault="00921CFA" w:rsidP="00A558DA">
      <w:pPr>
        <w:jc w:val="both"/>
        <w:rPr>
          <w:rFonts w:cstheme="minorHAnsi"/>
        </w:rPr>
      </w:pPr>
      <w:r>
        <w:rPr>
          <w:rFonts w:cstheme="minorHAnsi"/>
        </w:rPr>
        <w:lastRenderedPageBreak/>
        <w:t xml:space="preserve">The results of ERT and GPR (pp141-143) provide a further pair of techniques used in locating stones and socket holes at the site. While more information for the ERT in terms of interpretation, and details of RMS errors from the data, would be preferred, the GPR results give the opportunity for interpretation of the radargrams for the area, locating a stump of one of the stones, and comparing this with conductivity data. The results of this integrated approach are then brought together in a final plan of stone and socket locations and compared with the results of excavation. </w:t>
      </w:r>
    </w:p>
    <w:p w14:paraId="1AE1876B" w14:textId="618A554C" w:rsidR="00921CFA" w:rsidRDefault="00921CFA" w:rsidP="00A558DA">
      <w:pPr>
        <w:jc w:val="both"/>
        <w:rPr>
          <w:rFonts w:cstheme="minorHAnsi"/>
        </w:rPr>
      </w:pPr>
      <w:r>
        <w:rPr>
          <w:rFonts w:cstheme="minorHAnsi"/>
        </w:rPr>
        <w:t xml:space="preserve">A similar treatment is given to the Ness of Brodgar, integrating early survey results from GSB Prospection for the enclosure (pp.148-149) with results of fluxgate </w:t>
      </w:r>
      <w:proofErr w:type="spellStart"/>
      <w:r>
        <w:rPr>
          <w:rFonts w:cstheme="minorHAnsi"/>
        </w:rPr>
        <w:t>gradiometry</w:t>
      </w:r>
      <w:proofErr w:type="spellEnd"/>
      <w:r>
        <w:rPr>
          <w:rFonts w:cstheme="minorHAnsi"/>
        </w:rPr>
        <w:t xml:space="preserve">, earth resistance and GPR for the area. </w:t>
      </w:r>
      <w:r w:rsidR="0064250A">
        <w:rPr>
          <w:rFonts w:cstheme="minorHAnsi"/>
        </w:rPr>
        <w:t>In this instance the results of the non-intrusive geophysics are compared with summary results of excavation of the enclosure site. Vertical photographs of the excavated structures sit side by side with the results of the geophysics</w:t>
      </w:r>
      <w:r w:rsidR="00C40C17">
        <w:rPr>
          <w:rFonts w:cstheme="minorHAnsi"/>
        </w:rPr>
        <w:t>. T</w:t>
      </w:r>
      <w:r w:rsidR="0064250A">
        <w:rPr>
          <w:rFonts w:cstheme="minorHAnsi"/>
        </w:rPr>
        <w:t>his gives the authors scope to discuss the archaeological remains in more detail</w:t>
      </w:r>
      <w:r w:rsidR="00C40C17">
        <w:rPr>
          <w:rFonts w:cstheme="minorHAnsi"/>
        </w:rPr>
        <w:t>,</w:t>
      </w:r>
      <w:r w:rsidR="0064250A">
        <w:rPr>
          <w:rFonts w:cstheme="minorHAnsi"/>
        </w:rPr>
        <w:t xml:space="preserve"> relating </w:t>
      </w:r>
      <w:r w:rsidR="00C40C17">
        <w:rPr>
          <w:rFonts w:cstheme="minorHAnsi"/>
        </w:rPr>
        <w:t xml:space="preserve">more </w:t>
      </w:r>
      <w:r w:rsidR="0064250A">
        <w:rPr>
          <w:rFonts w:cstheme="minorHAnsi"/>
        </w:rPr>
        <w:t>to phasing and stratigraphic sequence</w:t>
      </w:r>
      <w:r w:rsidR="00C40C17">
        <w:rPr>
          <w:rFonts w:cstheme="minorHAnsi"/>
        </w:rPr>
        <w:t>s</w:t>
      </w:r>
      <w:r w:rsidR="0064250A">
        <w:rPr>
          <w:rFonts w:cstheme="minorHAnsi"/>
        </w:rPr>
        <w:t xml:space="preserve"> than elsewhere</w:t>
      </w:r>
      <w:r w:rsidR="00C40C17">
        <w:rPr>
          <w:rFonts w:cstheme="minorHAnsi"/>
        </w:rPr>
        <w:t xml:space="preserve"> in the volume</w:t>
      </w:r>
      <w:r w:rsidR="0064250A">
        <w:rPr>
          <w:rFonts w:cstheme="minorHAnsi"/>
        </w:rPr>
        <w:t xml:space="preserve"> (p161). The chapter concludes with a discussion of the complex landscape and its features.</w:t>
      </w:r>
    </w:p>
    <w:p w14:paraId="4CB204E0" w14:textId="2BBD37F5" w:rsidR="0064250A" w:rsidRDefault="0064250A" w:rsidP="00A558DA">
      <w:pPr>
        <w:jc w:val="both"/>
        <w:rPr>
          <w:rFonts w:cstheme="minorHAnsi"/>
        </w:rPr>
      </w:pPr>
      <w:r>
        <w:rPr>
          <w:rFonts w:cstheme="minorHAnsi"/>
        </w:rPr>
        <w:t xml:space="preserve">Chapter 6 deals with the landscape from </w:t>
      </w:r>
      <w:proofErr w:type="spellStart"/>
      <w:r>
        <w:rPr>
          <w:rFonts w:cstheme="minorHAnsi"/>
        </w:rPr>
        <w:t>Stenness</w:t>
      </w:r>
      <w:proofErr w:type="spellEnd"/>
      <w:r>
        <w:rPr>
          <w:rFonts w:cstheme="minorHAnsi"/>
        </w:rPr>
        <w:t xml:space="preserve"> to Maeshowe, and a summary of sites listed in </w:t>
      </w:r>
      <w:r w:rsidR="00E15DAA">
        <w:rPr>
          <w:rFonts w:cstheme="minorHAnsi"/>
        </w:rPr>
        <w:t xml:space="preserve">the </w:t>
      </w:r>
      <w:r>
        <w:rPr>
          <w:rFonts w:cstheme="minorHAnsi"/>
        </w:rPr>
        <w:t>CANMORE</w:t>
      </w:r>
      <w:r w:rsidR="00E15DAA">
        <w:rPr>
          <w:rFonts w:cstheme="minorHAnsi"/>
        </w:rPr>
        <w:t xml:space="preserve"> database</w:t>
      </w:r>
      <w:r>
        <w:rPr>
          <w:rFonts w:cstheme="minorHAnsi"/>
        </w:rPr>
        <w:t>. Data and air photographs from the project are compared to 1</w:t>
      </w:r>
      <w:r w:rsidRPr="0064250A">
        <w:rPr>
          <w:rFonts w:cstheme="minorHAnsi"/>
          <w:vertAlign w:val="superscript"/>
        </w:rPr>
        <w:t>st</w:t>
      </w:r>
      <w:r>
        <w:rPr>
          <w:rFonts w:cstheme="minorHAnsi"/>
        </w:rPr>
        <w:t xml:space="preserve"> edition OS maps and Miller’s 1855 map of the </w:t>
      </w:r>
      <w:proofErr w:type="spellStart"/>
      <w:r>
        <w:rPr>
          <w:rFonts w:cstheme="minorHAnsi"/>
        </w:rPr>
        <w:t>Stenness</w:t>
      </w:r>
      <w:proofErr w:type="spellEnd"/>
      <w:r>
        <w:rPr>
          <w:rFonts w:cstheme="minorHAnsi"/>
        </w:rPr>
        <w:t xml:space="preserve"> area. </w:t>
      </w:r>
      <w:r w:rsidR="000A3A94">
        <w:rPr>
          <w:rFonts w:cstheme="minorHAnsi"/>
        </w:rPr>
        <w:t>Re</w:t>
      </w:r>
      <w:r>
        <w:rPr>
          <w:rFonts w:cstheme="minorHAnsi"/>
        </w:rPr>
        <w:t>sults here are, as ever, described and discussed in a high</w:t>
      </w:r>
      <w:r w:rsidR="00F7370A">
        <w:rPr>
          <w:rFonts w:cstheme="minorHAnsi"/>
        </w:rPr>
        <w:t>ly</w:t>
      </w:r>
      <w:r>
        <w:rPr>
          <w:rFonts w:cstheme="minorHAnsi"/>
        </w:rPr>
        <w:t xml:space="preserve"> accomplished fashion, drawing on resources as diverse as 19</w:t>
      </w:r>
      <w:r w:rsidRPr="0064250A">
        <w:rPr>
          <w:rFonts w:cstheme="minorHAnsi"/>
          <w:vertAlign w:val="superscript"/>
        </w:rPr>
        <w:t>th</w:t>
      </w:r>
      <w:r>
        <w:rPr>
          <w:rFonts w:cstheme="minorHAnsi"/>
        </w:rPr>
        <w:t xml:space="preserve"> century maps and photographic evidence of the Seaforth and Gordon Highlanders (Fig. 6.14) to relate the story of a landscape with both Neolithic and post-medieval features of interest. </w:t>
      </w:r>
      <w:r w:rsidR="00650CFB">
        <w:rPr>
          <w:rFonts w:cstheme="minorHAnsi"/>
        </w:rPr>
        <w:t xml:space="preserve">Highlights include the air photo and ALS data from </w:t>
      </w:r>
      <w:proofErr w:type="spellStart"/>
      <w:r w:rsidR="00650CFB">
        <w:rPr>
          <w:rFonts w:cstheme="minorHAnsi"/>
        </w:rPr>
        <w:t>Overbigging</w:t>
      </w:r>
      <w:proofErr w:type="spellEnd"/>
      <w:r w:rsidR="00650CFB">
        <w:rPr>
          <w:rFonts w:cstheme="minorHAnsi"/>
        </w:rPr>
        <w:t xml:space="preserve"> (p208) and </w:t>
      </w:r>
      <w:proofErr w:type="spellStart"/>
      <w:r w:rsidR="00650CFB">
        <w:rPr>
          <w:rFonts w:cstheme="minorHAnsi"/>
        </w:rPr>
        <w:t>gradiometry</w:t>
      </w:r>
      <w:proofErr w:type="spellEnd"/>
      <w:r w:rsidR="00650CFB">
        <w:rPr>
          <w:rFonts w:cstheme="minorHAnsi"/>
        </w:rPr>
        <w:t xml:space="preserve"> from the Point of </w:t>
      </w:r>
      <w:proofErr w:type="spellStart"/>
      <w:r w:rsidR="00650CFB">
        <w:rPr>
          <w:rFonts w:cstheme="minorHAnsi"/>
        </w:rPr>
        <w:t>Onstan</w:t>
      </w:r>
      <w:proofErr w:type="spellEnd"/>
      <w:r w:rsidR="00650CFB">
        <w:rPr>
          <w:rFonts w:cstheme="minorHAnsi"/>
        </w:rPr>
        <w:t xml:space="preserve">. However, it is the results of the submerged landscape survey that provide a wonderful counterpoint to the terrestrial geophysics, ALS and air photography (pp. 216-220). This offers new insights into the loch environment as part of the Rising Tide Project, and comparison of terrestrial geophysical survey results with bathymetry, showing a long mound and other submerged features. Analysis of the seismic data from the project has also provided evidence for the Holocene development of the loch. This deep time archaeological analysis is followed by a discussion of the rig and furrow and the later settlement and enclosure of the landscape around Maeshowe, a fascinating analysis of the area from </w:t>
      </w:r>
      <w:r w:rsidR="00E15DAA">
        <w:rPr>
          <w:rFonts w:cstheme="minorHAnsi"/>
        </w:rPr>
        <w:t xml:space="preserve">the </w:t>
      </w:r>
      <w:r w:rsidR="00650CFB">
        <w:rPr>
          <w:rFonts w:cstheme="minorHAnsi"/>
        </w:rPr>
        <w:t>4</w:t>
      </w:r>
      <w:r w:rsidR="00650CFB" w:rsidRPr="00650CFB">
        <w:rPr>
          <w:rFonts w:cstheme="minorHAnsi"/>
          <w:vertAlign w:val="superscript"/>
        </w:rPr>
        <w:t>th</w:t>
      </w:r>
      <w:r w:rsidR="00650CFB">
        <w:rPr>
          <w:rFonts w:cstheme="minorHAnsi"/>
        </w:rPr>
        <w:t xml:space="preserve"> millennium BC to the present day.</w:t>
      </w:r>
    </w:p>
    <w:p w14:paraId="56B3FB45" w14:textId="7F623E5B" w:rsidR="00650CFB" w:rsidRDefault="00650CFB" w:rsidP="00A558DA">
      <w:pPr>
        <w:jc w:val="both"/>
        <w:rPr>
          <w:rFonts w:cstheme="minorHAnsi"/>
        </w:rPr>
      </w:pPr>
      <w:r>
        <w:rPr>
          <w:rFonts w:cstheme="minorHAnsi"/>
        </w:rPr>
        <w:t xml:space="preserve">The final chapter has the unenviable task of drawing together the results for this complex landscape. It weaves together a compelling narrative of 6000 years of </w:t>
      </w:r>
      <w:r w:rsidR="00E15DAA">
        <w:rPr>
          <w:rFonts w:cstheme="minorHAnsi"/>
        </w:rPr>
        <w:t>settlement</w:t>
      </w:r>
      <w:r>
        <w:rPr>
          <w:rFonts w:cstheme="minorHAnsi"/>
        </w:rPr>
        <w:t xml:space="preserve">, including development in the Mesolithic, through the Neolithic to the present day. </w:t>
      </w:r>
      <w:r w:rsidR="00E960C0">
        <w:rPr>
          <w:rFonts w:cstheme="minorHAnsi"/>
        </w:rPr>
        <w:t>Moreover</w:t>
      </w:r>
      <w:r w:rsidR="003A6A73">
        <w:rPr>
          <w:rFonts w:cstheme="minorHAnsi"/>
        </w:rPr>
        <w:t>,</w:t>
      </w:r>
      <w:r w:rsidR="00E960C0">
        <w:rPr>
          <w:rFonts w:cstheme="minorHAnsi"/>
        </w:rPr>
        <w:t xml:space="preserve"> the conclusion is honest and forthright </w:t>
      </w:r>
      <w:r w:rsidR="00E15DAA">
        <w:rPr>
          <w:rFonts w:cstheme="minorHAnsi"/>
        </w:rPr>
        <w:t xml:space="preserve">with </w:t>
      </w:r>
      <w:r w:rsidR="00E960C0">
        <w:rPr>
          <w:rFonts w:cstheme="minorHAnsi"/>
        </w:rPr>
        <w:t xml:space="preserve">caveats </w:t>
      </w:r>
      <w:r w:rsidR="00E15DAA">
        <w:rPr>
          <w:rFonts w:cstheme="minorHAnsi"/>
        </w:rPr>
        <w:t>relating to</w:t>
      </w:r>
      <w:r w:rsidR="00E960C0">
        <w:rPr>
          <w:rFonts w:cstheme="minorHAnsi"/>
        </w:rPr>
        <w:t xml:space="preserve"> the methodology and where results still indicate limitations of knowledge of the landscape, for instance the span of occupation for settlements (p231) and the overall contribution of the geophysics (p232</w:t>
      </w:r>
      <w:r w:rsidR="003A6A73">
        <w:rPr>
          <w:rFonts w:cstheme="minorHAnsi"/>
        </w:rPr>
        <w:t xml:space="preserve"> and p238</w:t>
      </w:r>
      <w:r w:rsidR="00E960C0">
        <w:rPr>
          <w:rFonts w:cstheme="minorHAnsi"/>
        </w:rPr>
        <w:t xml:space="preserve">). </w:t>
      </w:r>
    </w:p>
    <w:p w14:paraId="1C0AD8B3" w14:textId="028CAA26" w:rsidR="00921CFA" w:rsidRPr="00A558DA" w:rsidRDefault="00E960C0" w:rsidP="00A558DA">
      <w:pPr>
        <w:jc w:val="both"/>
        <w:rPr>
          <w:rFonts w:cstheme="minorHAnsi"/>
        </w:rPr>
      </w:pPr>
      <w:r>
        <w:rPr>
          <w:rFonts w:cstheme="minorHAnsi"/>
        </w:rPr>
        <w:t>So</w:t>
      </w:r>
      <w:r w:rsidR="003A6A73">
        <w:rPr>
          <w:rFonts w:cstheme="minorHAnsi"/>
        </w:rPr>
        <w:t>,</w:t>
      </w:r>
      <w:r>
        <w:rPr>
          <w:rFonts w:cstheme="minorHAnsi"/>
        </w:rPr>
        <w:t xml:space="preserve"> what does the reader take away from this rather excellent volume? At one level it represents a work that could be addressed as a standard report on the results of geophysics, ALS interpretation and air photographic imagery</w:t>
      </w:r>
      <w:r w:rsidR="003A6A73">
        <w:rPr>
          <w:rFonts w:cstheme="minorHAnsi"/>
        </w:rPr>
        <w:t>. T</w:t>
      </w:r>
      <w:r>
        <w:rPr>
          <w:rFonts w:cstheme="minorHAnsi"/>
        </w:rPr>
        <w:t>he technical aspects of the survey, data processing and interpretation are all dealt with in a professional and objective manner. This work represents so much more than th</w:t>
      </w:r>
      <w:r w:rsidR="003A6A73">
        <w:rPr>
          <w:rFonts w:cstheme="minorHAnsi"/>
        </w:rPr>
        <w:t>at</w:t>
      </w:r>
      <w:r>
        <w:rPr>
          <w:rFonts w:cstheme="minorHAnsi"/>
        </w:rPr>
        <w:t xml:space="preserve">. It marks an incisive and revealing account of the development of one of the most nationally and internationally important landscapes. Furthermore, it translates complex archaeological data and ideas in an accessible fashion. At </w:t>
      </w:r>
      <w:r>
        <w:rPr>
          <w:rFonts w:cstheme="minorHAnsi"/>
        </w:rPr>
        <w:lastRenderedPageBreak/>
        <w:t>times</w:t>
      </w:r>
      <w:r w:rsidR="003A6A73">
        <w:rPr>
          <w:rFonts w:cstheme="minorHAnsi"/>
        </w:rPr>
        <w:t>,</w:t>
      </w:r>
      <w:r>
        <w:rPr>
          <w:rFonts w:cstheme="minorHAnsi"/>
        </w:rPr>
        <w:t xml:space="preserve"> geophysical survey results and interpretation can seem far removed from the human story of our sites and landscapes. </w:t>
      </w:r>
      <w:r w:rsidR="003A6A73">
        <w:rPr>
          <w:rFonts w:cstheme="minorHAnsi"/>
        </w:rPr>
        <w:t>This work successfully interleaves scientific data and analysis with a story about humans, both those who settled and farmed this landscape over 6 millennia, and those who through skill and care documented the remains of those ancestors, right up to the 21</w:t>
      </w:r>
      <w:r w:rsidR="003A6A73" w:rsidRPr="003A6A73">
        <w:rPr>
          <w:rFonts w:cstheme="minorHAnsi"/>
          <w:vertAlign w:val="superscript"/>
        </w:rPr>
        <w:t>st</w:t>
      </w:r>
      <w:r w:rsidR="003A6A73">
        <w:rPr>
          <w:rFonts w:cstheme="minorHAnsi"/>
        </w:rPr>
        <w:t xml:space="preserve"> century. This is a tremendously accomplished volume, and a true work of scholarship on a number of levels. One is left wondering (as the authors note at the end) what future investigation of the monuments and features in this landscape will reveal</w:t>
      </w:r>
      <w:r w:rsidR="00F7370A">
        <w:rPr>
          <w:rFonts w:cstheme="minorHAnsi"/>
        </w:rPr>
        <w:t>?</w:t>
      </w:r>
    </w:p>
    <w:sectPr w:rsidR="00921CFA" w:rsidRPr="00A558DA" w:rsidSect="006F035E">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DA"/>
    <w:rsid w:val="00001F1F"/>
    <w:rsid w:val="000061CB"/>
    <w:rsid w:val="00076711"/>
    <w:rsid w:val="000A3A94"/>
    <w:rsid w:val="000B0AB7"/>
    <w:rsid w:val="00233C06"/>
    <w:rsid w:val="00246BB3"/>
    <w:rsid w:val="002A74D5"/>
    <w:rsid w:val="002F526B"/>
    <w:rsid w:val="00325637"/>
    <w:rsid w:val="0035621F"/>
    <w:rsid w:val="003A6A73"/>
    <w:rsid w:val="00480837"/>
    <w:rsid w:val="00483ECC"/>
    <w:rsid w:val="00500D02"/>
    <w:rsid w:val="00565C11"/>
    <w:rsid w:val="00570DD1"/>
    <w:rsid w:val="006038D5"/>
    <w:rsid w:val="0064250A"/>
    <w:rsid w:val="00650CFB"/>
    <w:rsid w:val="00674F40"/>
    <w:rsid w:val="006F035E"/>
    <w:rsid w:val="00893934"/>
    <w:rsid w:val="008A2022"/>
    <w:rsid w:val="008B55D1"/>
    <w:rsid w:val="009215DA"/>
    <w:rsid w:val="00921CFA"/>
    <w:rsid w:val="009540E9"/>
    <w:rsid w:val="00A558DA"/>
    <w:rsid w:val="00B267F2"/>
    <w:rsid w:val="00C163B3"/>
    <w:rsid w:val="00C40C17"/>
    <w:rsid w:val="00C64343"/>
    <w:rsid w:val="00CE6351"/>
    <w:rsid w:val="00D35D0F"/>
    <w:rsid w:val="00E15DAA"/>
    <w:rsid w:val="00E2779D"/>
    <w:rsid w:val="00E960C0"/>
    <w:rsid w:val="00EF16FD"/>
    <w:rsid w:val="00F73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EDFC"/>
  <w15:chartTrackingRefBased/>
  <w15:docId w15:val="{745D0B9B-6BF7-499F-90D4-2B862809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58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DA"/>
    <w:rPr>
      <w:rFonts w:ascii="Times New Roman" w:eastAsia="Times New Roman" w:hAnsi="Times New Roman" w:cs="Times New Roman"/>
      <w:b/>
      <w:bCs/>
      <w:kern w:val="36"/>
      <w:sz w:val="48"/>
      <w:szCs w:val="48"/>
      <w:lang w:eastAsia="en-GB"/>
    </w:rPr>
  </w:style>
  <w:style w:type="character" w:customStyle="1" w:styleId="booktitle">
    <w:name w:val="booktitle"/>
    <w:basedOn w:val="DefaultParagraphFont"/>
    <w:rsid w:val="00A558DA"/>
  </w:style>
  <w:style w:type="character" w:styleId="CommentReference">
    <w:name w:val="annotation reference"/>
    <w:basedOn w:val="DefaultParagraphFont"/>
    <w:uiPriority w:val="99"/>
    <w:semiHidden/>
    <w:unhideWhenUsed/>
    <w:rsid w:val="009215DA"/>
    <w:rPr>
      <w:sz w:val="16"/>
      <w:szCs w:val="16"/>
    </w:rPr>
  </w:style>
  <w:style w:type="paragraph" w:styleId="CommentText">
    <w:name w:val="annotation text"/>
    <w:basedOn w:val="Normal"/>
    <w:link w:val="CommentTextChar"/>
    <w:uiPriority w:val="99"/>
    <w:semiHidden/>
    <w:unhideWhenUsed/>
    <w:rsid w:val="009215DA"/>
    <w:pPr>
      <w:spacing w:line="240" w:lineRule="auto"/>
    </w:pPr>
    <w:rPr>
      <w:sz w:val="20"/>
      <w:szCs w:val="20"/>
    </w:rPr>
  </w:style>
  <w:style w:type="character" w:customStyle="1" w:styleId="CommentTextChar">
    <w:name w:val="Comment Text Char"/>
    <w:basedOn w:val="DefaultParagraphFont"/>
    <w:link w:val="CommentText"/>
    <w:uiPriority w:val="99"/>
    <w:semiHidden/>
    <w:rsid w:val="009215DA"/>
    <w:rPr>
      <w:sz w:val="20"/>
      <w:szCs w:val="20"/>
    </w:rPr>
  </w:style>
  <w:style w:type="paragraph" w:styleId="CommentSubject">
    <w:name w:val="annotation subject"/>
    <w:basedOn w:val="CommentText"/>
    <w:next w:val="CommentText"/>
    <w:link w:val="CommentSubjectChar"/>
    <w:uiPriority w:val="99"/>
    <w:semiHidden/>
    <w:unhideWhenUsed/>
    <w:rsid w:val="009215DA"/>
    <w:rPr>
      <w:b/>
      <w:bCs/>
    </w:rPr>
  </w:style>
  <w:style w:type="character" w:customStyle="1" w:styleId="CommentSubjectChar">
    <w:name w:val="Comment Subject Char"/>
    <w:basedOn w:val="CommentTextChar"/>
    <w:link w:val="CommentSubject"/>
    <w:uiPriority w:val="99"/>
    <w:semiHidden/>
    <w:rsid w:val="009215DA"/>
    <w:rPr>
      <w:b/>
      <w:bCs/>
      <w:sz w:val="20"/>
      <w:szCs w:val="20"/>
    </w:rPr>
  </w:style>
  <w:style w:type="paragraph" w:styleId="BalloonText">
    <w:name w:val="Balloon Text"/>
    <w:basedOn w:val="Normal"/>
    <w:link w:val="BalloonTextChar"/>
    <w:uiPriority w:val="99"/>
    <w:semiHidden/>
    <w:unhideWhenUsed/>
    <w:rsid w:val="0092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0A83EACFF314D8A0134C3E5DD7F42" ma:contentTypeVersion="13" ma:contentTypeDescription="Create a new document." ma:contentTypeScope="" ma:versionID="5d0ef3a4e75ecf5d8683d5f584410b24">
  <xsd:schema xmlns:xsd="http://www.w3.org/2001/XMLSchema" xmlns:xs="http://www.w3.org/2001/XMLSchema" xmlns:p="http://schemas.microsoft.com/office/2006/metadata/properties" xmlns:ns3="8ecdf1a8-905a-4ba1-823c-8f5c081cc739" xmlns:ns4="e9f4fc66-8679-4e6d-adb8-b5482ff6e129" targetNamespace="http://schemas.microsoft.com/office/2006/metadata/properties" ma:root="true" ma:fieldsID="76a57e81c40ed7109618c26ee47deec0" ns3:_="" ns4:_="">
    <xsd:import namespace="8ecdf1a8-905a-4ba1-823c-8f5c081cc739"/>
    <xsd:import namespace="e9f4fc66-8679-4e6d-adb8-b5482ff6e1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f1a8-905a-4ba1-823c-8f5c081cc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4fc66-8679-4e6d-adb8-b5482ff6e1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559FA-2051-4B33-9574-F68E0CF77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f1a8-905a-4ba1-823c-8f5c081cc739"/>
    <ds:schemaRef ds:uri="e9f4fc66-8679-4e6d-adb8-b5482ff6e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0C581-605A-4E09-A63B-D6E61ADCC7AE}">
  <ds:schemaRefs>
    <ds:schemaRef ds:uri="http://schemas.microsoft.com/sharepoint/v3/contenttype/forms"/>
  </ds:schemaRefs>
</ds:datastoreItem>
</file>

<file path=customXml/itemProps3.xml><?xml version="1.0" encoding="utf-8"?>
<ds:datastoreItem xmlns:ds="http://schemas.openxmlformats.org/officeDocument/2006/customXml" ds:itemID="{6CB14E5C-82FB-42D8-AD72-7FD095EA6F5B}">
  <ds:schemaRefs>
    <ds:schemaRef ds:uri="e9f4fc66-8679-4e6d-adb8-b5482ff6e129"/>
    <ds:schemaRef ds:uri="8ecdf1a8-905a-4ba1-823c-8f5c081cc739"/>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Strutt</dc:creator>
  <cp:keywords/>
  <dc:description/>
  <cp:lastModifiedBy>Kristian Strutt</cp:lastModifiedBy>
  <cp:revision>10</cp:revision>
  <dcterms:created xsi:type="dcterms:W3CDTF">2021-10-11T08:25:00Z</dcterms:created>
  <dcterms:modified xsi:type="dcterms:W3CDTF">2021-10-11T11:09:00Z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0x0101005D20A83EACFF314D8A0134C3E5DD7F42</vt:lpwstr>
  </property>
</Properties>
</file>