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BCEA9" w14:textId="77777777" w:rsidR="007A5044" w:rsidRPr="005A44CE" w:rsidRDefault="007A5044" w:rsidP="006259EC">
      <w:pPr>
        <w:spacing w:line="480" w:lineRule="auto"/>
        <w:rPr>
          <w:rFonts w:ascii="Times New Roman" w:hAnsi="Times New Roman"/>
          <w:color w:val="FF9900"/>
          <w:sz w:val="24"/>
        </w:rPr>
      </w:pPr>
    </w:p>
    <w:p w14:paraId="55ABCEAC" w14:textId="77777777" w:rsidR="006F4050" w:rsidRPr="005A44CE" w:rsidRDefault="006F4050" w:rsidP="00E54CA8">
      <w:pPr>
        <w:spacing w:line="480" w:lineRule="auto"/>
        <w:rPr>
          <w:rFonts w:ascii="Times New Roman" w:hAnsi="Times New Roman"/>
          <w:sz w:val="24"/>
        </w:rPr>
      </w:pPr>
    </w:p>
    <w:p w14:paraId="55ABCEAD" w14:textId="77777777" w:rsidR="006F4050" w:rsidRPr="005A44CE" w:rsidRDefault="006F4050" w:rsidP="006259EC">
      <w:pPr>
        <w:spacing w:line="480" w:lineRule="auto"/>
        <w:jc w:val="center"/>
        <w:rPr>
          <w:rFonts w:ascii="Times New Roman" w:hAnsi="Times New Roman"/>
          <w:sz w:val="24"/>
        </w:rPr>
      </w:pPr>
    </w:p>
    <w:p w14:paraId="55ABCEAE" w14:textId="77777777" w:rsidR="006F4050" w:rsidRPr="005A44CE" w:rsidRDefault="006F4050" w:rsidP="006259EC">
      <w:pPr>
        <w:spacing w:line="480" w:lineRule="auto"/>
        <w:rPr>
          <w:rFonts w:ascii="Times New Roman" w:hAnsi="Times New Roman"/>
          <w:sz w:val="24"/>
        </w:rPr>
      </w:pPr>
    </w:p>
    <w:p w14:paraId="55ABCEAF" w14:textId="77777777" w:rsidR="006F4050" w:rsidRPr="005A44CE" w:rsidRDefault="006F4050" w:rsidP="006259EC">
      <w:pPr>
        <w:spacing w:line="480" w:lineRule="auto"/>
        <w:rPr>
          <w:rFonts w:ascii="Times New Roman" w:hAnsi="Times New Roman"/>
          <w:sz w:val="24"/>
        </w:rPr>
      </w:pPr>
    </w:p>
    <w:p w14:paraId="3D699ECC" w14:textId="77777777" w:rsidR="00F92A02" w:rsidRPr="005A44CE" w:rsidRDefault="00F92A02" w:rsidP="006259EC">
      <w:pPr>
        <w:spacing w:line="480" w:lineRule="auto"/>
        <w:rPr>
          <w:rFonts w:ascii="Times New Roman" w:hAnsi="Times New Roman"/>
          <w:sz w:val="24"/>
        </w:rPr>
      </w:pPr>
    </w:p>
    <w:p w14:paraId="445B1A07" w14:textId="182B0C2A" w:rsidR="00410E07" w:rsidRPr="005A44CE" w:rsidRDefault="009A6C05" w:rsidP="004B08B4">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rFonts w:ascii="Times New Roman" w:hAnsi="Times New Roman"/>
          <w:sz w:val="24"/>
        </w:rPr>
      </w:pPr>
      <w:r w:rsidRPr="005A44CE">
        <w:rPr>
          <w:rFonts w:ascii="Times New Roman" w:hAnsi="Times New Roman"/>
          <w:b/>
          <w:color w:val="000000" w:themeColor="text1"/>
          <w:sz w:val="24"/>
          <w:lang w:val="en-US"/>
        </w:rPr>
        <w:t xml:space="preserve">Relationship Status and </w:t>
      </w:r>
      <w:r w:rsidR="00410E07" w:rsidRPr="005A44CE">
        <w:rPr>
          <w:rFonts w:ascii="Times New Roman" w:hAnsi="Times New Roman"/>
          <w:b/>
          <w:color w:val="000000" w:themeColor="text1"/>
          <w:sz w:val="24"/>
          <w:lang w:val="en-US"/>
        </w:rPr>
        <w:t xml:space="preserve">Sexual Health </w:t>
      </w:r>
      <w:r w:rsidRPr="005A44CE">
        <w:rPr>
          <w:rFonts w:ascii="Times New Roman" w:hAnsi="Times New Roman"/>
          <w:b/>
          <w:color w:val="000000" w:themeColor="text1"/>
          <w:sz w:val="24"/>
          <w:lang w:val="en-US"/>
        </w:rPr>
        <w:t xml:space="preserve">Service </w:t>
      </w:r>
      <w:r w:rsidR="00410E07" w:rsidRPr="005A44CE">
        <w:rPr>
          <w:rFonts w:ascii="Times New Roman" w:hAnsi="Times New Roman"/>
          <w:b/>
          <w:color w:val="000000" w:themeColor="text1"/>
          <w:sz w:val="24"/>
          <w:lang w:val="en-US"/>
        </w:rPr>
        <w:t xml:space="preserve">Engagement </w:t>
      </w:r>
      <w:r w:rsidRPr="005A44CE">
        <w:rPr>
          <w:rFonts w:ascii="Times New Roman" w:hAnsi="Times New Roman"/>
          <w:b/>
          <w:color w:val="000000" w:themeColor="text1"/>
          <w:sz w:val="24"/>
          <w:lang w:val="en-US"/>
        </w:rPr>
        <w:t>among Young People in the United Kingdom</w:t>
      </w:r>
      <w:r w:rsidR="00876A96">
        <w:rPr>
          <w:rFonts w:ascii="Times New Roman" w:hAnsi="Times New Roman"/>
          <w:b/>
          <w:color w:val="000000" w:themeColor="text1"/>
          <w:sz w:val="24"/>
          <w:lang w:val="en-US"/>
        </w:rPr>
        <w:t>: A Cross-Sectional Survey Study</w:t>
      </w:r>
    </w:p>
    <w:p w14:paraId="53FCAE27" w14:textId="77777777" w:rsidR="00410E07" w:rsidRPr="005A44CE" w:rsidRDefault="00410E07" w:rsidP="004B08B4">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rFonts w:ascii="Times New Roman" w:hAnsi="Times New Roman"/>
          <w:sz w:val="24"/>
        </w:rPr>
      </w:pPr>
    </w:p>
    <w:p w14:paraId="05AE76F5" w14:textId="77777777" w:rsidR="00410E07" w:rsidRPr="005A44CE" w:rsidRDefault="00410E07" w:rsidP="004B08B4">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rFonts w:ascii="Times New Roman" w:hAnsi="Times New Roman"/>
          <w:sz w:val="24"/>
        </w:rPr>
      </w:pPr>
    </w:p>
    <w:p w14:paraId="269C27FD" w14:textId="3FE0BD73" w:rsidR="00F92A02" w:rsidRPr="005A44CE" w:rsidRDefault="00410E07" w:rsidP="004B08B4">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rFonts w:ascii="Times New Roman" w:hAnsi="Times New Roman"/>
          <w:sz w:val="24"/>
        </w:rPr>
      </w:pPr>
      <w:r w:rsidRPr="005A44CE">
        <w:rPr>
          <w:rFonts w:ascii="Times New Roman" w:hAnsi="Times New Roman"/>
          <w:sz w:val="24"/>
        </w:rPr>
        <w:t>Jack Large</w:t>
      </w:r>
      <w:r w:rsidR="00F92A02" w:rsidRPr="005A44CE">
        <w:rPr>
          <w:rFonts w:ascii="Times New Roman" w:hAnsi="Times New Roman"/>
          <w:sz w:val="24"/>
          <w:vertAlign w:val="superscript"/>
        </w:rPr>
        <w:t>1</w:t>
      </w:r>
      <w:r w:rsidRPr="005A44CE">
        <w:rPr>
          <w:rFonts w:ascii="Times New Roman" w:hAnsi="Times New Roman"/>
          <w:sz w:val="24"/>
        </w:rPr>
        <w:t>, Selma Vie</w:t>
      </w:r>
      <w:r w:rsidR="00710D8B">
        <w:rPr>
          <w:rFonts w:ascii="Times New Roman" w:hAnsi="Times New Roman"/>
          <w:sz w:val="24"/>
        </w:rPr>
        <w:t>i</w:t>
      </w:r>
      <w:r w:rsidRPr="005A44CE">
        <w:rPr>
          <w:rFonts w:ascii="Times New Roman" w:hAnsi="Times New Roman"/>
          <w:sz w:val="24"/>
        </w:rPr>
        <w:t>ra</w:t>
      </w:r>
      <w:r w:rsidR="00F92A02" w:rsidRPr="005A44CE">
        <w:rPr>
          <w:rFonts w:ascii="Times New Roman" w:hAnsi="Times New Roman"/>
          <w:sz w:val="24"/>
          <w:vertAlign w:val="superscript"/>
        </w:rPr>
        <w:t>1</w:t>
      </w:r>
      <w:r w:rsidRPr="005A44CE">
        <w:rPr>
          <w:rFonts w:ascii="Times New Roman" w:hAnsi="Times New Roman"/>
          <w:sz w:val="24"/>
        </w:rPr>
        <w:t xml:space="preserve">, </w:t>
      </w:r>
      <w:r w:rsidR="00F92A02" w:rsidRPr="005A44CE">
        <w:rPr>
          <w:rFonts w:ascii="Times New Roman" w:hAnsi="Times New Roman"/>
          <w:sz w:val="24"/>
        </w:rPr>
        <w:t>Cora Sarge</w:t>
      </w:r>
      <w:r w:rsidR="00E83F32" w:rsidRPr="005A44CE">
        <w:rPr>
          <w:rFonts w:ascii="Times New Roman" w:hAnsi="Times New Roman"/>
          <w:sz w:val="24"/>
        </w:rPr>
        <w:t>a</w:t>
      </w:r>
      <w:r w:rsidR="00F92A02" w:rsidRPr="005A44CE">
        <w:rPr>
          <w:rFonts w:ascii="Times New Roman" w:hAnsi="Times New Roman"/>
          <w:sz w:val="24"/>
        </w:rPr>
        <w:t>nt</w:t>
      </w:r>
      <w:r w:rsidR="00F92A02" w:rsidRPr="005A44CE">
        <w:rPr>
          <w:rFonts w:ascii="Times New Roman" w:hAnsi="Times New Roman"/>
          <w:sz w:val="24"/>
          <w:vertAlign w:val="superscript"/>
        </w:rPr>
        <w:t>1</w:t>
      </w:r>
      <w:r w:rsidR="00F92A02" w:rsidRPr="005A44CE">
        <w:rPr>
          <w:rFonts w:ascii="Times New Roman" w:hAnsi="Times New Roman"/>
          <w:sz w:val="24"/>
        </w:rPr>
        <w:t xml:space="preserve">, </w:t>
      </w:r>
      <w:r w:rsidR="009C4414" w:rsidRPr="005A44CE">
        <w:rPr>
          <w:rFonts w:ascii="Times New Roman" w:hAnsi="Times New Roman"/>
          <w:sz w:val="24"/>
        </w:rPr>
        <w:t>Clare Scholfield</w:t>
      </w:r>
      <w:r w:rsidR="009C4414" w:rsidRPr="005A44CE">
        <w:rPr>
          <w:rFonts w:ascii="Times New Roman" w:hAnsi="Times New Roman"/>
          <w:sz w:val="24"/>
          <w:vertAlign w:val="superscript"/>
        </w:rPr>
        <w:t>2</w:t>
      </w:r>
      <w:r w:rsidR="009C4414" w:rsidRPr="005A44CE">
        <w:rPr>
          <w:rFonts w:ascii="Times New Roman" w:hAnsi="Times New Roman"/>
          <w:sz w:val="24"/>
        </w:rPr>
        <w:t xml:space="preserve">, </w:t>
      </w:r>
      <w:r w:rsidR="00F92A02" w:rsidRPr="005A44CE">
        <w:rPr>
          <w:rFonts w:ascii="Times New Roman" w:hAnsi="Times New Roman"/>
          <w:sz w:val="24"/>
        </w:rPr>
        <w:t>Heather L. Armstrong</w:t>
      </w:r>
      <w:r w:rsidR="00F92A02" w:rsidRPr="005A44CE">
        <w:rPr>
          <w:rFonts w:ascii="Times New Roman" w:hAnsi="Times New Roman"/>
          <w:sz w:val="24"/>
          <w:vertAlign w:val="superscript"/>
        </w:rPr>
        <w:t>1</w:t>
      </w:r>
    </w:p>
    <w:p w14:paraId="32940B3E" w14:textId="77777777" w:rsidR="00F92A02" w:rsidRPr="005A44CE" w:rsidRDefault="00F92A02" w:rsidP="004B08B4">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rFonts w:ascii="Times New Roman" w:hAnsi="Times New Roman"/>
          <w:sz w:val="24"/>
        </w:rPr>
      </w:pPr>
    </w:p>
    <w:p w14:paraId="65266306" w14:textId="77777777" w:rsidR="00F92A02" w:rsidRPr="005A44CE" w:rsidRDefault="00F92A02" w:rsidP="00F92A0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sz w:val="24"/>
        </w:rPr>
      </w:pPr>
      <w:r w:rsidRPr="005A44CE">
        <w:rPr>
          <w:rFonts w:ascii="Times New Roman" w:hAnsi="Times New Roman"/>
          <w:sz w:val="24"/>
        </w:rPr>
        <w:t>1. School of Psychology, University of Southampton, Southampton, United Kingdom</w:t>
      </w:r>
    </w:p>
    <w:p w14:paraId="1FBABACB" w14:textId="77777777" w:rsidR="00F92A02" w:rsidRPr="005A44CE" w:rsidRDefault="00F92A02" w:rsidP="00F92A0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sz w:val="24"/>
        </w:rPr>
      </w:pPr>
      <w:r w:rsidRPr="005A44CE">
        <w:rPr>
          <w:rFonts w:ascii="Times New Roman" w:hAnsi="Times New Roman"/>
          <w:sz w:val="24"/>
        </w:rPr>
        <w:t>2. NHS Solent Sexual Health Services, Southampton, United Kingdom</w:t>
      </w:r>
    </w:p>
    <w:p w14:paraId="6F6C59A8" w14:textId="77777777" w:rsidR="00F92A02" w:rsidRPr="005A44CE" w:rsidRDefault="00F92A02" w:rsidP="00F92A0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sz w:val="24"/>
        </w:rPr>
      </w:pPr>
    </w:p>
    <w:p w14:paraId="20801B7C" w14:textId="77777777" w:rsidR="00F92A02" w:rsidRPr="005A44CE" w:rsidRDefault="00F92A02" w:rsidP="00F92A0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sz w:val="24"/>
        </w:rPr>
      </w:pPr>
      <w:r w:rsidRPr="005A44CE">
        <w:rPr>
          <w:rFonts w:ascii="Times New Roman" w:hAnsi="Times New Roman"/>
          <w:sz w:val="24"/>
        </w:rPr>
        <w:t xml:space="preserve">Corresponding Author: </w:t>
      </w:r>
    </w:p>
    <w:p w14:paraId="15369CE1" w14:textId="77777777" w:rsidR="00F92A02" w:rsidRPr="005A44CE" w:rsidRDefault="00F92A02" w:rsidP="0004295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sz w:val="24"/>
        </w:rPr>
      </w:pPr>
      <w:r w:rsidRPr="005A44CE">
        <w:rPr>
          <w:rFonts w:ascii="Times New Roman" w:hAnsi="Times New Roman"/>
          <w:sz w:val="24"/>
        </w:rPr>
        <w:t>Heather L. Armstrong</w:t>
      </w:r>
    </w:p>
    <w:p w14:paraId="4495CA07" w14:textId="5955B6A4" w:rsidR="00F92A02" w:rsidRPr="005A44CE" w:rsidRDefault="00F92A02" w:rsidP="0004295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sz w:val="24"/>
        </w:rPr>
      </w:pPr>
      <w:r w:rsidRPr="005A44CE">
        <w:rPr>
          <w:rFonts w:ascii="Times New Roman" w:hAnsi="Times New Roman"/>
          <w:sz w:val="24"/>
        </w:rPr>
        <w:t>Shackleton Building</w:t>
      </w:r>
    </w:p>
    <w:p w14:paraId="3A768617" w14:textId="5163DE46" w:rsidR="00F92A02" w:rsidRPr="005A44CE" w:rsidRDefault="00F92A02" w:rsidP="0004295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sz w:val="24"/>
        </w:rPr>
      </w:pPr>
      <w:r w:rsidRPr="005A44CE">
        <w:rPr>
          <w:rFonts w:ascii="Times New Roman" w:hAnsi="Times New Roman"/>
          <w:sz w:val="24"/>
        </w:rPr>
        <w:t>School of Psychology</w:t>
      </w:r>
    </w:p>
    <w:p w14:paraId="2CFC1B0D" w14:textId="5821C6D8" w:rsidR="00F92A02" w:rsidRPr="005A44CE" w:rsidRDefault="00F92A02" w:rsidP="0004295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sz w:val="24"/>
        </w:rPr>
      </w:pPr>
      <w:r w:rsidRPr="005A44CE">
        <w:rPr>
          <w:rFonts w:ascii="Times New Roman" w:hAnsi="Times New Roman"/>
          <w:sz w:val="24"/>
        </w:rPr>
        <w:t>University of Southampton</w:t>
      </w:r>
    </w:p>
    <w:p w14:paraId="0FB311E8" w14:textId="674F5A2B" w:rsidR="00F92A02" w:rsidRPr="005A44CE" w:rsidRDefault="00F92A02" w:rsidP="0004295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sz w:val="24"/>
        </w:rPr>
      </w:pPr>
      <w:r w:rsidRPr="005A44CE">
        <w:rPr>
          <w:rFonts w:ascii="Times New Roman" w:hAnsi="Times New Roman"/>
          <w:sz w:val="24"/>
        </w:rPr>
        <w:t>Southampton, United Kingdom</w:t>
      </w:r>
    </w:p>
    <w:p w14:paraId="2919117C" w14:textId="5D296C6A" w:rsidR="00F92A02" w:rsidRPr="005A44CE" w:rsidRDefault="00F92A02" w:rsidP="0004295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sz w:val="24"/>
        </w:rPr>
      </w:pPr>
      <w:r w:rsidRPr="005A44CE">
        <w:rPr>
          <w:rFonts w:ascii="Times New Roman" w:hAnsi="Times New Roman"/>
          <w:sz w:val="24"/>
        </w:rPr>
        <w:t>SO17 1BJ</w:t>
      </w:r>
    </w:p>
    <w:p w14:paraId="0D078300" w14:textId="5F600DF3" w:rsidR="0049162C" w:rsidRDefault="0049162C" w:rsidP="0004295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sz w:val="24"/>
        </w:rPr>
      </w:pPr>
      <w:hyperlink r:id="rId8" w:history="1">
        <w:r w:rsidRPr="00297E8D">
          <w:rPr>
            <w:rStyle w:val="Hyperlink"/>
            <w:rFonts w:ascii="Times New Roman" w:hAnsi="Times New Roman"/>
            <w:sz w:val="24"/>
          </w:rPr>
          <w:t>h.armstrong@soton.ac.uk</w:t>
        </w:r>
      </w:hyperlink>
    </w:p>
    <w:p w14:paraId="4ADE7BE6" w14:textId="77777777" w:rsidR="0049162C" w:rsidRDefault="0049162C" w:rsidP="0004295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sz w:val="24"/>
        </w:rPr>
      </w:pPr>
    </w:p>
    <w:p w14:paraId="01CB3590" w14:textId="0BE65739" w:rsidR="004B08B4" w:rsidRPr="005A44CE" w:rsidRDefault="0049162C" w:rsidP="0004295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sz w:val="24"/>
          <w:lang w:val="en-US"/>
        </w:rPr>
      </w:pPr>
      <w:r>
        <w:rPr>
          <w:rFonts w:ascii="Times New Roman" w:hAnsi="Times New Roman"/>
          <w:sz w:val="24"/>
        </w:rPr>
        <w:t>Word Count: 3</w:t>
      </w:r>
      <w:r w:rsidR="00CF1A8C">
        <w:rPr>
          <w:rFonts w:ascii="Times New Roman" w:hAnsi="Times New Roman"/>
          <w:sz w:val="24"/>
        </w:rPr>
        <w:t>526</w:t>
      </w:r>
      <w:r w:rsidR="006F4050" w:rsidRPr="005A44CE">
        <w:rPr>
          <w:rFonts w:ascii="Times New Roman" w:hAnsi="Times New Roman"/>
          <w:sz w:val="24"/>
        </w:rPr>
        <w:br w:type="page"/>
      </w:r>
    </w:p>
    <w:p w14:paraId="55ABCEE1" w14:textId="77777777" w:rsidR="006C2670" w:rsidRPr="005A44CE" w:rsidRDefault="006C2670" w:rsidP="006259EC">
      <w:pPr>
        <w:spacing w:line="480" w:lineRule="auto"/>
        <w:jc w:val="center"/>
        <w:rPr>
          <w:rFonts w:ascii="Times New Roman" w:hAnsi="Times New Roman"/>
          <w:bCs/>
          <w:color w:val="FF9900"/>
          <w:sz w:val="24"/>
          <w:lang w:val="en-US"/>
        </w:rPr>
      </w:pPr>
    </w:p>
    <w:p w14:paraId="55ABCEEE" w14:textId="468D3C79" w:rsidR="006F4050" w:rsidRPr="005A44CE" w:rsidRDefault="006F4050" w:rsidP="006259EC">
      <w:pPr>
        <w:spacing w:line="480" w:lineRule="auto"/>
        <w:jc w:val="center"/>
        <w:rPr>
          <w:rFonts w:ascii="Times New Roman" w:hAnsi="Times New Roman"/>
          <w:b/>
          <w:bCs/>
          <w:color w:val="FF9900"/>
          <w:sz w:val="24"/>
        </w:rPr>
      </w:pPr>
      <w:r w:rsidRPr="005A44CE">
        <w:rPr>
          <w:rFonts w:ascii="Times New Roman" w:hAnsi="Times New Roman"/>
          <w:b/>
          <w:bCs/>
          <w:sz w:val="24"/>
        </w:rPr>
        <w:t>Abstract</w:t>
      </w:r>
    </w:p>
    <w:p w14:paraId="14A0B7B8" w14:textId="77777777" w:rsidR="001055BB" w:rsidRDefault="001055BB" w:rsidP="007901F4">
      <w:pPr>
        <w:spacing w:line="480" w:lineRule="auto"/>
        <w:rPr>
          <w:rFonts w:ascii="Times New Roman" w:hAnsi="Times New Roman"/>
          <w:color w:val="000000" w:themeColor="text1"/>
          <w:sz w:val="24"/>
        </w:rPr>
      </w:pPr>
      <w:r>
        <w:rPr>
          <w:rFonts w:ascii="Times New Roman" w:hAnsi="Times New Roman"/>
          <w:b/>
          <w:bCs/>
          <w:color w:val="000000" w:themeColor="text1"/>
          <w:sz w:val="24"/>
        </w:rPr>
        <w:t xml:space="preserve">Background: </w:t>
      </w:r>
      <w:r w:rsidR="007901F4" w:rsidRPr="005A44CE">
        <w:rPr>
          <w:rFonts w:ascii="Times New Roman" w:hAnsi="Times New Roman"/>
          <w:color w:val="000000" w:themeColor="text1"/>
          <w:sz w:val="24"/>
        </w:rPr>
        <w:t xml:space="preserve">Sexual health service engagement is important for the healthy sexual development of young people. Further, as later adolescence and early adulthood are critical periods for relationship development, sexual health needs may vary across this period and be associated with relationship status. </w:t>
      </w:r>
    </w:p>
    <w:p w14:paraId="6517F448" w14:textId="77777777" w:rsidR="001055BB" w:rsidRDefault="001055BB" w:rsidP="007901F4">
      <w:pPr>
        <w:spacing w:line="480" w:lineRule="auto"/>
        <w:rPr>
          <w:rFonts w:ascii="Times New Roman" w:hAnsi="Times New Roman"/>
          <w:color w:val="000000" w:themeColor="text1"/>
          <w:sz w:val="24"/>
        </w:rPr>
      </w:pPr>
      <w:r>
        <w:rPr>
          <w:rFonts w:ascii="Times New Roman" w:hAnsi="Times New Roman"/>
          <w:b/>
          <w:bCs/>
          <w:color w:val="000000" w:themeColor="text1"/>
          <w:sz w:val="24"/>
        </w:rPr>
        <w:t xml:space="preserve">Methods: </w:t>
      </w:r>
      <w:r w:rsidR="007901F4" w:rsidRPr="005A44CE">
        <w:rPr>
          <w:rFonts w:ascii="Times New Roman" w:hAnsi="Times New Roman"/>
          <w:color w:val="000000" w:themeColor="text1"/>
          <w:sz w:val="24"/>
        </w:rPr>
        <w:t xml:space="preserve">468 participants, aged 16-25 years (mean age: 19.7 years) and living in the UK, completed an anonymous, online survey about their sexual health service use. To explore how relationship status is associated with engagement for 5 different sexual health services, we conducted chi-squared and multivariable logistic regression analyses. </w:t>
      </w:r>
    </w:p>
    <w:p w14:paraId="459EB0BB" w14:textId="4C8B30DC" w:rsidR="007901F4" w:rsidRPr="005A44CE" w:rsidRDefault="001055BB" w:rsidP="007901F4">
      <w:pPr>
        <w:spacing w:line="480" w:lineRule="auto"/>
        <w:rPr>
          <w:rFonts w:ascii="Times New Roman" w:hAnsi="Times New Roman"/>
          <w:color w:val="000000" w:themeColor="text1"/>
          <w:sz w:val="24"/>
        </w:rPr>
      </w:pPr>
      <w:r>
        <w:rPr>
          <w:rFonts w:ascii="Times New Roman" w:hAnsi="Times New Roman"/>
          <w:b/>
          <w:bCs/>
          <w:color w:val="000000" w:themeColor="text1"/>
          <w:sz w:val="24"/>
        </w:rPr>
        <w:t xml:space="preserve">Results: </w:t>
      </w:r>
      <w:r w:rsidR="007901F4" w:rsidRPr="005A44CE">
        <w:rPr>
          <w:rFonts w:ascii="Times New Roman" w:hAnsi="Times New Roman"/>
          <w:color w:val="000000" w:themeColor="text1"/>
          <w:sz w:val="24"/>
        </w:rPr>
        <w:t xml:space="preserve">In general, engagement with sexual health services was low: 28.2% reported accessing free condoms, 21.4% reported STI testing, and 9.4% had used relationship advice services. Among women only, 57.2% had accessed services to start the pill and 19.6% </w:t>
      </w:r>
      <w:r w:rsidR="007901F4">
        <w:rPr>
          <w:rFonts w:ascii="Times New Roman" w:hAnsi="Times New Roman"/>
          <w:color w:val="000000" w:themeColor="text1"/>
          <w:sz w:val="24"/>
        </w:rPr>
        <w:t>h</w:t>
      </w:r>
      <w:r w:rsidR="007901F4" w:rsidRPr="005A44CE">
        <w:rPr>
          <w:rFonts w:ascii="Times New Roman" w:hAnsi="Times New Roman"/>
          <w:color w:val="000000" w:themeColor="text1"/>
          <w:sz w:val="24"/>
        </w:rPr>
        <w:t>ad done so for pregnancy testing. Among all participants, those in relationships were more likely to have accessed sexual health services for free condoms (</w:t>
      </w:r>
      <w:proofErr w:type="spellStart"/>
      <w:r w:rsidR="007901F4" w:rsidRPr="005A44CE">
        <w:rPr>
          <w:rFonts w:ascii="Times New Roman" w:hAnsi="Times New Roman"/>
          <w:color w:val="000000" w:themeColor="text1"/>
          <w:sz w:val="24"/>
        </w:rPr>
        <w:t>aOR</w:t>
      </w:r>
      <w:proofErr w:type="spellEnd"/>
      <w:r w:rsidR="007901F4" w:rsidRPr="005A44CE">
        <w:rPr>
          <w:rFonts w:ascii="Times New Roman" w:hAnsi="Times New Roman"/>
          <w:color w:val="000000" w:themeColor="text1"/>
          <w:sz w:val="24"/>
        </w:rPr>
        <w:t>: 1.71, 95%CI: 1.13,2.59). Among female participants, those in relationships were more likely to have accessed sexual health services to start the pill (</w:t>
      </w:r>
      <w:proofErr w:type="spellStart"/>
      <w:r w:rsidR="007901F4" w:rsidRPr="005A44CE">
        <w:rPr>
          <w:rFonts w:ascii="Times New Roman" w:hAnsi="Times New Roman"/>
          <w:color w:val="000000" w:themeColor="text1"/>
          <w:sz w:val="24"/>
        </w:rPr>
        <w:t>aOR</w:t>
      </w:r>
      <w:proofErr w:type="spellEnd"/>
      <w:r w:rsidR="007901F4" w:rsidRPr="005A44CE">
        <w:rPr>
          <w:rFonts w:ascii="Times New Roman" w:hAnsi="Times New Roman"/>
          <w:color w:val="000000" w:themeColor="text1"/>
          <w:sz w:val="24"/>
        </w:rPr>
        <w:t>: 2.21, 95%CI: 1.45,3.36) and for pregnancy testing (</w:t>
      </w:r>
      <w:proofErr w:type="spellStart"/>
      <w:r w:rsidR="007901F4" w:rsidRPr="005A44CE">
        <w:rPr>
          <w:rFonts w:ascii="Times New Roman" w:hAnsi="Times New Roman"/>
          <w:color w:val="000000" w:themeColor="text1"/>
          <w:sz w:val="24"/>
        </w:rPr>
        <w:t>aOR</w:t>
      </w:r>
      <w:proofErr w:type="spellEnd"/>
      <w:r w:rsidR="007901F4" w:rsidRPr="005A44CE">
        <w:rPr>
          <w:rFonts w:ascii="Times New Roman" w:hAnsi="Times New Roman"/>
          <w:color w:val="000000" w:themeColor="text1"/>
          <w:sz w:val="24"/>
        </w:rPr>
        <w:t xml:space="preserve">: 3.86, 95%CI: 2.20,6.78). There were no differences by relationship status for accessing sexual health services for STI testing or relationship advice. </w:t>
      </w:r>
    </w:p>
    <w:p w14:paraId="73EEC368" w14:textId="17EA8FDB" w:rsidR="007901F4" w:rsidRPr="005A44CE" w:rsidRDefault="001055BB" w:rsidP="007901F4">
      <w:pPr>
        <w:spacing w:line="480" w:lineRule="auto"/>
        <w:rPr>
          <w:rFonts w:ascii="Times New Roman" w:hAnsi="Times New Roman"/>
          <w:color w:val="000000" w:themeColor="text1"/>
          <w:sz w:val="24"/>
          <w:lang w:val="en-US"/>
        </w:rPr>
      </w:pPr>
      <w:r>
        <w:rPr>
          <w:rFonts w:ascii="Times New Roman" w:hAnsi="Times New Roman"/>
          <w:b/>
          <w:bCs/>
          <w:color w:val="000000" w:themeColor="text1"/>
          <w:sz w:val="24"/>
        </w:rPr>
        <w:t xml:space="preserve">Conclusions: </w:t>
      </w:r>
      <w:r w:rsidR="007901F4" w:rsidRPr="005A44CE">
        <w:rPr>
          <w:rFonts w:ascii="Times New Roman" w:hAnsi="Times New Roman"/>
          <w:color w:val="000000" w:themeColor="text1"/>
          <w:sz w:val="24"/>
        </w:rPr>
        <w:t xml:space="preserve">Health care providers and relationship and sexual education providers should encourage all young people to engage with sexual health services, while also recognising that sexual health needs are likely to vary depending on relationship status. </w:t>
      </w:r>
    </w:p>
    <w:p w14:paraId="09EEE56B" w14:textId="77777777" w:rsidR="00FD5C75" w:rsidRPr="005A44CE" w:rsidRDefault="00FD5C75" w:rsidP="006259EC">
      <w:pPr>
        <w:spacing w:line="480" w:lineRule="auto"/>
        <w:rPr>
          <w:rFonts w:ascii="Times New Roman" w:hAnsi="Times New Roman"/>
          <w:color w:val="4F81BD" w:themeColor="accent1"/>
          <w:sz w:val="24"/>
        </w:rPr>
      </w:pPr>
    </w:p>
    <w:p w14:paraId="631E6C9F" w14:textId="41533573" w:rsidR="00EF76C2" w:rsidRDefault="00EF76C2" w:rsidP="00F72049">
      <w:pPr>
        <w:spacing w:line="480" w:lineRule="auto"/>
        <w:rPr>
          <w:rFonts w:ascii="Times New Roman" w:hAnsi="Times New Roman"/>
          <w:color w:val="000000" w:themeColor="text1"/>
          <w:sz w:val="24"/>
        </w:rPr>
      </w:pPr>
      <w:r w:rsidRPr="005A44CE">
        <w:rPr>
          <w:rFonts w:ascii="Times New Roman" w:hAnsi="Times New Roman"/>
          <w:i/>
          <w:iCs/>
          <w:color w:val="000000" w:themeColor="text1"/>
          <w:sz w:val="24"/>
        </w:rPr>
        <w:lastRenderedPageBreak/>
        <w:t xml:space="preserve">Keywords: </w:t>
      </w:r>
      <w:r w:rsidRPr="005A44CE">
        <w:rPr>
          <w:rFonts w:ascii="Times New Roman" w:hAnsi="Times New Roman"/>
          <w:color w:val="000000" w:themeColor="text1"/>
          <w:sz w:val="24"/>
        </w:rPr>
        <w:t>sexual health engagement, service use, young people</w:t>
      </w:r>
      <w:r w:rsidR="00FD5C75" w:rsidRPr="005A44CE">
        <w:rPr>
          <w:rFonts w:ascii="Times New Roman" w:hAnsi="Times New Roman"/>
          <w:color w:val="000000" w:themeColor="text1"/>
          <w:sz w:val="24"/>
        </w:rPr>
        <w:t>, contraception, STI testing</w:t>
      </w:r>
      <w:r w:rsidR="00876A96">
        <w:rPr>
          <w:rFonts w:ascii="Times New Roman" w:hAnsi="Times New Roman"/>
          <w:color w:val="000000" w:themeColor="text1"/>
          <w:sz w:val="24"/>
        </w:rPr>
        <w:t xml:space="preserve">, condoms, </w:t>
      </w:r>
      <w:r w:rsidR="00E65A02">
        <w:rPr>
          <w:rFonts w:ascii="Times New Roman" w:hAnsi="Times New Roman"/>
          <w:color w:val="000000" w:themeColor="text1"/>
          <w:sz w:val="24"/>
        </w:rPr>
        <w:t>pregnancy testing, relationships</w:t>
      </w:r>
    </w:p>
    <w:p w14:paraId="764A0FFE" w14:textId="77777777" w:rsidR="00E65A02" w:rsidRDefault="00E65A02" w:rsidP="00F72049">
      <w:pPr>
        <w:spacing w:line="480" w:lineRule="auto"/>
        <w:rPr>
          <w:rFonts w:ascii="Times New Roman" w:hAnsi="Times New Roman"/>
          <w:color w:val="000000" w:themeColor="text1"/>
          <w:sz w:val="24"/>
        </w:rPr>
      </w:pPr>
    </w:p>
    <w:p w14:paraId="6E0FAE96" w14:textId="38641BE1" w:rsidR="00E65A02" w:rsidRDefault="00E65A02" w:rsidP="00F72049">
      <w:pPr>
        <w:spacing w:line="480" w:lineRule="auto"/>
        <w:rPr>
          <w:rFonts w:ascii="Times New Roman" w:hAnsi="Times New Roman"/>
          <w:b/>
          <w:bCs/>
          <w:color w:val="000000" w:themeColor="text1"/>
          <w:sz w:val="24"/>
        </w:rPr>
      </w:pPr>
      <w:r>
        <w:rPr>
          <w:rFonts w:ascii="Times New Roman" w:hAnsi="Times New Roman"/>
          <w:b/>
          <w:bCs/>
          <w:color w:val="000000" w:themeColor="text1"/>
          <w:sz w:val="24"/>
        </w:rPr>
        <w:t xml:space="preserve">Summary Text: </w:t>
      </w:r>
    </w:p>
    <w:p w14:paraId="0B5D2446" w14:textId="702A08B4" w:rsidR="00E65A02" w:rsidRPr="005A44CE" w:rsidRDefault="00E65A02" w:rsidP="00E65A02">
      <w:pPr>
        <w:spacing w:line="480" w:lineRule="auto"/>
        <w:rPr>
          <w:rFonts w:ascii="Times New Roman" w:hAnsi="Times New Roman"/>
          <w:color w:val="000000" w:themeColor="text1"/>
          <w:sz w:val="24"/>
        </w:rPr>
      </w:pPr>
      <w:r w:rsidRPr="005A44CE">
        <w:rPr>
          <w:rFonts w:ascii="Times New Roman" w:hAnsi="Times New Roman"/>
          <w:color w:val="000000" w:themeColor="text1"/>
          <w:sz w:val="24"/>
        </w:rPr>
        <w:t>Sexual health service engagement</w:t>
      </w:r>
      <w:r>
        <w:rPr>
          <w:rFonts w:ascii="Times New Roman" w:hAnsi="Times New Roman"/>
          <w:color w:val="000000" w:themeColor="text1"/>
          <w:sz w:val="24"/>
        </w:rPr>
        <w:t xml:space="preserve"> among young people</w:t>
      </w:r>
      <w:r w:rsidRPr="005A44CE">
        <w:rPr>
          <w:rFonts w:ascii="Times New Roman" w:hAnsi="Times New Roman"/>
          <w:color w:val="000000" w:themeColor="text1"/>
          <w:sz w:val="24"/>
        </w:rPr>
        <w:t xml:space="preserve"> is important for healthy sexual development </w:t>
      </w:r>
      <w:r>
        <w:rPr>
          <w:rFonts w:ascii="Times New Roman" w:hAnsi="Times New Roman"/>
          <w:color w:val="000000" w:themeColor="text1"/>
          <w:sz w:val="24"/>
        </w:rPr>
        <w:t>and</w:t>
      </w:r>
      <w:r w:rsidRPr="005A44CE">
        <w:rPr>
          <w:rFonts w:ascii="Times New Roman" w:hAnsi="Times New Roman"/>
          <w:color w:val="000000" w:themeColor="text1"/>
          <w:sz w:val="24"/>
        </w:rPr>
        <w:t xml:space="preserve"> needs may vary </w:t>
      </w:r>
      <w:r>
        <w:rPr>
          <w:rFonts w:ascii="Times New Roman" w:hAnsi="Times New Roman"/>
          <w:color w:val="000000" w:themeColor="text1"/>
          <w:sz w:val="24"/>
        </w:rPr>
        <w:t>depending on</w:t>
      </w:r>
      <w:r w:rsidRPr="005A44CE">
        <w:rPr>
          <w:rFonts w:ascii="Times New Roman" w:hAnsi="Times New Roman"/>
          <w:color w:val="000000" w:themeColor="text1"/>
          <w:sz w:val="24"/>
        </w:rPr>
        <w:t xml:space="preserve"> relationship status.</w:t>
      </w:r>
      <w:r>
        <w:rPr>
          <w:rFonts w:ascii="Times New Roman" w:hAnsi="Times New Roman"/>
          <w:color w:val="000000" w:themeColor="text1"/>
          <w:sz w:val="24"/>
        </w:rPr>
        <w:t xml:space="preserve"> We explored </w:t>
      </w:r>
      <w:r w:rsidRPr="005A44CE">
        <w:rPr>
          <w:rFonts w:ascii="Times New Roman" w:hAnsi="Times New Roman"/>
          <w:color w:val="000000" w:themeColor="text1"/>
          <w:sz w:val="24"/>
        </w:rPr>
        <w:t xml:space="preserve">how relationship status is associated with </w:t>
      </w:r>
      <w:r w:rsidR="002D6A5B">
        <w:rPr>
          <w:rFonts w:ascii="Times New Roman" w:hAnsi="Times New Roman"/>
          <w:color w:val="000000" w:themeColor="text1"/>
          <w:sz w:val="24"/>
        </w:rPr>
        <w:t>use of</w:t>
      </w:r>
      <w:r w:rsidRPr="005A44CE">
        <w:rPr>
          <w:rFonts w:ascii="Times New Roman" w:hAnsi="Times New Roman"/>
          <w:color w:val="000000" w:themeColor="text1"/>
          <w:sz w:val="24"/>
        </w:rPr>
        <w:t xml:space="preserve"> 5 different sexual health services</w:t>
      </w:r>
      <w:r w:rsidR="002D6A5B">
        <w:rPr>
          <w:rFonts w:ascii="Times New Roman" w:hAnsi="Times New Roman"/>
          <w:color w:val="000000" w:themeColor="text1"/>
          <w:sz w:val="24"/>
        </w:rPr>
        <w:t xml:space="preserve"> and found that in gener</w:t>
      </w:r>
      <w:r w:rsidR="00063B50">
        <w:rPr>
          <w:rFonts w:ascii="Times New Roman" w:hAnsi="Times New Roman"/>
          <w:color w:val="000000" w:themeColor="text1"/>
          <w:sz w:val="24"/>
        </w:rPr>
        <w:t>al</w:t>
      </w:r>
      <w:r w:rsidR="002D6A5B">
        <w:rPr>
          <w:rFonts w:ascii="Times New Roman" w:hAnsi="Times New Roman"/>
          <w:color w:val="000000" w:themeColor="text1"/>
          <w:sz w:val="24"/>
        </w:rPr>
        <w:t xml:space="preserve">, </w:t>
      </w:r>
      <w:r w:rsidRPr="005A44CE">
        <w:rPr>
          <w:rFonts w:ascii="Times New Roman" w:hAnsi="Times New Roman"/>
          <w:color w:val="000000" w:themeColor="text1"/>
          <w:sz w:val="24"/>
        </w:rPr>
        <w:t>engagement with sexual health services was low</w:t>
      </w:r>
      <w:r w:rsidR="002D6A5B">
        <w:rPr>
          <w:rFonts w:ascii="Times New Roman" w:hAnsi="Times New Roman"/>
          <w:color w:val="000000" w:themeColor="text1"/>
          <w:sz w:val="24"/>
        </w:rPr>
        <w:t xml:space="preserve"> and that </w:t>
      </w:r>
      <w:r w:rsidRPr="005A44CE">
        <w:rPr>
          <w:rFonts w:ascii="Times New Roman" w:hAnsi="Times New Roman"/>
          <w:color w:val="000000" w:themeColor="text1"/>
          <w:sz w:val="24"/>
        </w:rPr>
        <w:t>those in relationships were more likely to have accessed sexual health services for free condoms</w:t>
      </w:r>
      <w:r w:rsidR="002D6A5B">
        <w:rPr>
          <w:rFonts w:ascii="Times New Roman" w:hAnsi="Times New Roman"/>
          <w:color w:val="000000" w:themeColor="text1"/>
          <w:sz w:val="24"/>
        </w:rPr>
        <w:t xml:space="preserve">, </w:t>
      </w:r>
      <w:r w:rsidRPr="005A44CE">
        <w:rPr>
          <w:rFonts w:ascii="Times New Roman" w:hAnsi="Times New Roman"/>
          <w:color w:val="000000" w:themeColor="text1"/>
          <w:sz w:val="24"/>
        </w:rPr>
        <w:t>to start the pill</w:t>
      </w:r>
      <w:r w:rsidR="002D6A5B">
        <w:rPr>
          <w:rFonts w:ascii="Times New Roman" w:hAnsi="Times New Roman"/>
          <w:color w:val="000000" w:themeColor="text1"/>
          <w:sz w:val="24"/>
        </w:rPr>
        <w:t>,</w:t>
      </w:r>
      <w:r w:rsidRPr="005A44CE">
        <w:rPr>
          <w:rFonts w:ascii="Times New Roman" w:hAnsi="Times New Roman"/>
          <w:color w:val="000000" w:themeColor="text1"/>
          <w:sz w:val="24"/>
        </w:rPr>
        <w:t xml:space="preserve"> and for pregnancy testing. </w:t>
      </w:r>
      <w:r w:rsidR="002D6A5B" w:rsidRPr="005A44CE">
        <w:rPr>
          <w:rFonts w:ascii="Times New Roman" w:hAnsi="Times New Roman"/>
          <w:color w:val="000000" w:themeColor="text1"/>
          <w:sz w:val="24"/>
        </w:rPr>
        <w:t>Health care providers and relationship and sexual education providers should encourage all young people to engage with sexual health services</w:t>
      </w:r>
      <w:r w:rsidR="002D6A5B">
        <w:rPr>
          <w:rFonts w:ascii="Times New Roman" w:hAnsi="Times New Roman"/>
          <w:color w:val="000000" w:themeColor="text1"/>
          <w:sz w:val="24"/>
        </w:rPr>
        <w:t>, whatever their relationship status.</w:t>
      </w:r>
    </w:p>
    <w:p w14:paraId="11808AE5" w14:textId="77777777" w:rsidR="00E65A02" w:rsidRPr="00E65A02" w:rsidRDefault="00E65A02" w:rsidP="00F72049">
      <w:pPr>
        <w:spacing w:line="480" w:lineRule="auto"/>
        <w:rPr>
          <w:rFonts w:ascii="Times New Roman" w:hAnsi="Times New Roman"/>
          <w:b/>
          <w:bCs/>
          <w:color w:val="FF9900"/>
          <w:sz w:val="24"/>
        </w:rPr>
      </w:pPr>
    </w:p>
    <w:p w14:paraId="55ABCEF2" w14:textId="77777777" w:rsidR="006F4050" w:rsidRPr="005A44CE" w:rsidRDefault="006F4050" w:rsidP="006259EC">
      <w:pPr>
        <w:spacing w:line="480" w:lineRule="auto"/>
        <w:rPr>
          <w:rFonts w:ascii="Times New Roman" w:hAnsi="Times New Roman"/>
          <w:sz w:val="24"/>
        </w:rPr>
      </w:pPr>
    </w:p>
    <w:p w14:paraId="5F990CCB" w14:textId="0D8CAF3A" w:rsidR="00B04980" w:rsidRDefault="002D6A5B" w:rsidP="00B04980">
      <w:pPr>
        <w:rPr>
          <w:lang w:val="en-US"/>
        </w:rPr>
      </w:pPr>
      <w:r>
        <w:rPr>
          <w:lang w:val="en-US"/>
        </w:rPr>
        <w:br w:type="page"/>
      </w:r>
    </w:p>
    <w:p w14:paraId="3FD048BD" w14:textId="77777777" w:rsidR="00B04980" w:rsidRPr="00B04980" w:rsidRDefault="00B04980" w:rsidP="00B04980">
      <w:pPr>
        <w:rPr>
          <w:lang w:val="en-US"/>
        </w:rPr>
      </w:pPr>
    </w:p>
    <w:p w14:paraId="5DB583FD" w14:textId="16A8E489" w:rsidR="00E06F5C" w:rsidRPr="005A44CE" w:rsidRDefault="00B40E87" w:rsidP="00E63F41">
      <w:pPr>
        <w:spacing w:line="480" w:lineRule="auto"/>
        <w:rPr>
          <w:rFonts w:ascii="Times New Roman" w:hAnsi="Times New Roman"/>
          <w:color w:val="000000"/>
        </w:rPr>
      </w:pPr>
      <w:r w:rsidRPr="005A44CE">
        <w:rPr>
          <w:rFonts w:ascii="Times New Roman" w:hAnsi="Times New Roman"/>
          <w:sz w:val="24"/>
        </w:rPr>
        <w:tab/>
      </w:r>
      <w:r w:rsidR="00974613" w:rsidRPr="005A44CE">
        <w:rPr>
          <w:rFonts w:ascii="Times New Roman" w:hAnsi="Times New Roman"/>
          <w:sz w:val="24"/>
        </w:rPr>
        <w:t>Sexual health is a state of physical, social, mental, and emotional well-being regarding an individual’s sexuality</w:t>
      </w:r>
      <w:r w:rsidR="00FD5C75" w:rsidRPr="005A44CE">
        <w:rPr>
          <w:rFonts w:ascii="Times New Roman" w:hAnsi="Times New Roman"/>
          <w:sz w:val="24"/>
        </w:rPr>
        <w:t>, not merely the absence of disease or dysfunction</w:t>
      </w:r>
      <w:r w:rsidR="004B4AF8">
        <w:rPr>
          <w:rFonts w:ascii="Times New Roman" w:hAnsi="Times New Roman"/>
          <w:sz w:val="24"/>
        </w:rPr>
        <w:t>.</w:t>
      </w:r>
      <w:r w:rsidR="004B4AF8" w:rsidRPr="004B4AF8">
        <w:rPr>
          <w:rFonts w:ascii="Times New Roman" w:hAnsi="Times New Roman"/>
          <w:sz w:val="24"/>
          <w:vertAlign w:val="superscript"/>
        </w:rPr>
        <w:t>1</w:t>
      </w:r>
      <w:r w:rsidR="00430340" w:rsidRPr="005A44CE">
        <w:rPr>
          <w:rFonts w:ascii="Times New Roman" w:hAnsi="Times New Roman"/>
          <w:color w:val="000000"/>
          <w:sz w:val="24"/>
        </w:rPr>
        <w:t xml:space="preserve"> </w:t>
      </w:r>
      <w:bookmarkStart w:id="0" w:name="_Hlk54111104"/>
      <w:r w:rsidR="00FD5C75" w:rsidRPr="005A44CE">
        <w:rPr>
          <w:rFonts w:ascii="Times New Roman" w:hAnsi="Times New Roman"/>
          <w:color w:val="000000"/>
          <w:sz w:val="24"/>
        </w:rPr>
        <w:t>B</w:t>
      </w:r>
      <w:r w:rsidR="00430340" w:rsidRPr="005A44CE">
        <w:rPr>
          <w:rFonts w:ascii="Times New Roman" w:hAnsi="Times New Roman"/>
          <w:color w:val="000000"/>
          <w:sz w:val="24"/>
        </w:rPr>
        <w:t>eing knowledgeable about sex,</w:t>
      </w:r>
      <w:r w:rsidR="007571BB" w:rsidRPr="005A44CE">
        <w:rPr>
          <w:rFonts w:ascii="Times New Roman" w:hAnsi="Times New Roman"/>
          <w:color w:val="000000"/>
          <w:sz w:val="24"/>
        </w:rPr>
        <w:t xml:space="preserve"> practicing safe</w:t>
      </w:r>
      <w:r w:rsidR="00FD5C75" w:rsidRPr="005A44CE">
        <w:rPr>
          <w:rFonts w:ascii="Times New Roman" w:hAnsi="Times New Roman"/>
          <w:color w:val="000000"/>
          <w:sz w:val="24"/>
        </w:rPr>
        <w:t>r</w:t>
      </w:r>
      <w:r w:rsidR="007571BB" w:rsidRPr="005A44CE">
        <w:rPr>
          <w:rFonts w:ascii="Times New Roman" w:hAnsi="Times New Roman"/>
          <w:color w:val="000000"/>
          <w:sz w:val="24"/>
        </w:rPr>
        <w:t xml:space="preserve"> sex, </w:t>
      </w:r>
      <w:r w:rsidR="00430340" w:rsidRPr="005A44CE">
        <w:rPr>
          <w:rFonts w:ascii="Times New Roman" w:hAnsi="Times New Roman"/>
          <w:color w:val="000000"/>
          <w:sz w:val="24"/>
        </w:rPr>
        <w:t xml:space="preserve">and sexual pleasure </w:t>
      </w:r>
      <w:r w:rsidR="00FD5C75" w:rsidRPr="005A44CE">
        <w:rPr>
          <w:rFonts w:ascii="Times New Roman" w:hAnsi="Times New Roman"/>
          <w:color w:val="000000"/>
          <w:sz w:val="24"/>
        </w:rPr>
        <w:t>are known to be associated with better sexual health</w:t>
      </w:r>
      <w:r w:rsidR="00F97DBD">
        <w:rPr>
          <w:rFonts w:ascii="Times New Roman" w:hAnsi="Times New Roman"/>
          <w:color w:val="000000"/>
          <w:sz w:val="24"/>
        </w:rPr>
        <w:t>.</w:t>
      </w:r>
      <w:r w:rsidR="00F97DBD" w:rsidRPr="00F97DBD">
        <w:rPr>
          <w:rFonts w:ascii="Times New Roman" w:hAnsi="Times New Roman"/>
          <w:color w:val="000000"/>
          <w:sz w:val="24"/>
          <w:vertAlign w:val="superscript"/>
        </w:rPr>
        <w:t>2-4</w:t>
      </w:r>
      <w:r w:rsidR="0051615C" w:rsidRPr="005A44CE">
        <w:rPr>
          <w:rFonts w:ascii="Times New Roman" w:hAnsi="Times New Roman"/>
          <w:color w:val="000000"/>
          <w:sz w:val="24"/>
        </w:rPr>
        <w:t xml:space="preserve"> </w:t>
      </w:r>
      <w:r w:rsidR="00FD5C75" w:rsidRPr="005A44CE">
        <w:rPr>
          <w:rFonts w:ascii="Times New Roman" w:hAnsi="Times New Roman"/>
          <w:color w:val="000000"/>
          <w:sz w:val="24"/>
        </w:rPr>
        <w:t>In the United Kingdom</w:t>
      </w:r>
      <w:r w:rsidR="00353BCB">
        <w:rPr>
          <w:rFonts w:ascii="Times New Roman" w:hAnsi="Times New Roman"/>
          <w:color w:val="000000"/>
          <w:sz w:val="24"/>
        </w:rPr>
        <w:t xml:space="preserve"> (UK)</w:t>
      </w:r>
      <w:r w:rsidR="00FD5C75" w:rsidRPr="005A44CE">
        <w:rPr>
          <w:rFonts w:ascii="Times New Roman" w:hAnsi="Times New Roman"/>
          <w:color w:val="000000"/>
          <w:sz w:val="24"/>
        </w:rPr>
        <w:t>, the National Health Service (NHS) has bespoke s</w:t>
      </w:r>
      <w:r w:rsidR="00E06F5C" w:rsidRPr="005A44CE">
        <w:rPr>
          <w:rFonts w:ascii="Times New Roman" w:hAnsi="Times New Roman"/>
          <w:color w:val="000000"/>
          <w:sz w:val="24"/>
        </w:rPr>
        <w:t xml:space="preserve">exual health services </w:t>
      </w:r>
      <w:r w:rsidR="00FD5C75" w:rsidRPr="005A44CE">
        <w:rPr>
          <w:rFonts w:ascii="Times New Roman" w:hAnsi="Times New Roman"/>
          <w:color w:val="000000"/>
          <w:sz w:val="24"/>
        </w:rPr>
        <w:t xml:space="preserve">which are accessible free of charge to all residents. </w:t>
      </w:r>
      <w:r w:rsidR="00AB4A20" w:rsidRPr="005A44CE">
        <w:rPr>
          <w:rFonts w:ascii="Times New Roman" w:hAnsi="Times New Roman"/>
          <w:color w:val="000000"/>
          <w:sz w:val="24"/>
        </w:rPr>
        <w:t xml:space="preserve">These services include but are not limited </w:t>
      </w:r>
      <w:proofErr w:type="gramStart"/>
      <w:r w:rsidR="00AB4A20" w:rsidRPr="005A44CE">
        <w:rPr>
          <w:rFonts w:ascii="Times New Roman" w:hAnsi="Times New Roman"/>
          <w:color w:val="000000"/>
          <w:sz w:val="24"/>
        </w:rPr>
        <w:t>to:</w:t>
      </w:r>
      <w:proofErr w:type="gramEnd"/>
      <w:r w:rsidR="00AB4A20" w:rsidRPr="005A44CE">
        <w:rPr>
          <w:rFonts w:ascii="Times New Roman" w:hAnsi="Times New Roman"/>
          <w:color w:val="000000"/>
          <w:sz w:val="24"/>
        </w:rPr>
        <w:t xml:space="preserve"> </w:t>
      </w:r>
      <w:r w:rsidR="00FD5C75" w:rsidRPr="005A44CE">
        <w:rPr>
          <w:rFonts w:ascii="Times New Roman" w:hAnsi="Times New Roman"/>
          <w:color w:val="000000"/>
          <w:sz w:val="24"/>
        </w:rPr>
        <w:t xml:space="preserve">specialized </w:t>
      </w:r>
      <w:r w:rsidR="00AB4A20" w:rsidRPr="005A44CE">
        <w:rPr>
          <w:rFonts w:ascii="Times New Roman" w:hAnsi="Times New Roman"/>
          <w:color w:val="000000"/>
          <w:sz w:val="24"/>
        </w:rPr>
        <w:t>clinics, sexually transmitted infection (STI) testing and treatment, contraceptive services, health</w:t>
      </w:r>
      <w:r w:rsidR="00FD5C75" w:rsidRPr="005A44CE">
        <w:rPr>
          <w:rFonts w:ascii="Times New Roman" w:hAnsi="Times New Roman"/>
          <w:color w:val="000000"/>
          <w:sz w:val="24"/>
        </w:rPr>
        <w:t xml:space="preserve"> and relationship</w:t>
      </w:r>
      <w:r w:rsidR="00AB4A20" w:rsidRPr="005A44CE">
        <w:rPr>
          <w:rFonts w:ascii="Times New Roman" w:hAnsi="Times New Roman"/>
          <w:color w:val="000000"/>
          <w:sz w:val="24"/>
        </w:rPr>
        <w:t xml:space="preserve"> guidance</w:t>
      </w:r>
      <w:r w:rsidR="00FD5C75" w:rsidRPr="005A44CE">
        <w:rPr>
          <w:rFonts w:ascii="Times New Roman" w:hAnsi="Times New Roman"/>
          <w:color w:val="000000"/>
          <w:sz w:val="24"/>
        </w:rPr>
        <w:t>,</w:t>
      </w:r>
      <w:r w:rsidR="00AB4A20" w:rsidRPr="005A44CE">
        <w:rPr>
          <w:rFonts w:ascii="Times New Roman" w:hAnsi="Times New Roman"/>
          <w:color w:val="000000"/>
          <w:sz w:val="24"/>
        </w:rPr>
        <w:t xml:space="preserve"> and counselling.</w:t>
      </w:r>
      <w:r w:rsidR="00E06F5C" w:rsidRPr="005A44CE">
        <w:rPr>
          <w:rFonts w:ascii="Times New Roman" w:hAnsi="Times New Roman"/>
          <w:color w:val="000000"/>
          <w:sz w:val="24"/>
        </w:rPr>
        <w:t xml:space="preserve"> </w:t>
      </w:r>
      <w:r w:rsidR="00FD5C75" w:rsidRPr="005A44CE">
        <w:rPr>
          <w:rFonts w:ascii="Times New Roman" w:hAnsi="Times New Roman"/>
          <w:color w:val="000000"/>
          <w:sz w:val="24"/>
        </w:rPr>
        <w:t xml:space="preserve">Services may be offered in person or digitally, which may </w:t>
      </w:r>
      <w:r w:rsidR="00E1459F" w:rsidRPr="005A44CE">
        <w:rPr>
          <w:rFonts w:ascii="Times New Roman" w:hAnsi="Times New Roman"/>
          <w:color w:val="000000"/>
          <w:sz w:val="24"/>
        </w:rPr>
        <w:t>increa</w:t>
      </w:r>
      <w:r w:rsidR="00FF7B6C" w:rsidRPr="005A44CE">
        <w:rPr>
          <w:rFonts w:ascii="Times New Roman" w:hAnsi="Times New Roman"/>
          <w:color w:val="000000"/>
          <w:sz w:val="24"/>
        </w:rPr>
        <w:t>s</w:t>
      </w:r>
      <w:r w:rsidR="00FD5C75" w:rsidRPr="005A44CE">
        <w:rPr>
          <w:rFonts w:ascii="Times New Roman" w:hAnsi="Times New Roman"/>
          <w:color w:val="000000"/>
          <w:sz w:val="24"/>
        </w:rPr>
        <w:t>e</w:t>
      </w:r>
      <w:r w:rsidR="00E1459F" w:rsidRPr="005A44CE">
        <w:rPr>
          <w:rFonts w:ascii="Times New Roman" w:hAnsi="Times New Roman"/>
          <w:color w:val="000000"/>
          <w:sz w:val="24"/>
        </w:rPr>
        <w:t xml:space="preserve"> accessibility</w:t>
      </w:r>
      <w:r w:rsidR="00FF7B6C" w:rsidRPr="005A44CE">
        <w:rPr>
          <w:rFonts w:ascii="Times New Roman" w:hAnsi="Times New Roman"/>
          <w:color w:val="000000"/>
          <w:sz w:val="24"/>
        </w:rPr>
        <w:t>.</w:t>
      </w:r>
      <w:r w:rsidR="003234A7" w:rsidRPr="003234A7">
        <w:rPr>
          <w:rFonts w:ascii="Times New Roman" w:hAnsi="Times New Roman"/>
          <w:color w:val="000000"/>
          <w:sz w:val="24"/>
          <w:vertAlign w:val="superscript"/>
        </w:rPr>
        <w:t>5</w:t>
      </w:r>
      <w:r w:rsidR="00AB4A20" w:rsidRPr="005A44CE">
        <w:rPr>
          <w:rFonts w:ascii="Times New Roman" w:hAnsi="Times New Roman"/>
          <w:color w:val="000000"/>
          <w:sz w:val="24"/>
        </w:rPr>
        <w:t xml:space="preserve"> </w:t>
      </w:r>
    </w:p>
    <w:p w14:paraId="61494482" w14:textId="0CD2784F" w:rsidR="00FD5C75" w:rsidRPr="005A44CE" w:rsidRDefault="00FD5C75" w:rsidP="00B40E87">
      <w:pPr>
        <w:pStyle w:val="BodyText3"/>
        <w:tabs>
          <w:tab w:val="left" w:pos="540"/>
        </w:tabs>
        <w:ind w:right="0"/>
        <w:rPr>
          <w:rFonts w:ascii="Times New Roman" w:hAnsi="Times New Roman"/>
          <w:color w:val="000000"/>
          <w:szCs w:val="24"/>
        </w:rPr>
      </w:pPr>
      <w:r w:rsidRPr="005A44CE">
        <w:rPr>
          <w:rFonts w:ascii="Times New Roman" w:hAnsi="Times New Roman"/>
          <w:color w:val="000000"/>
          <w:szCs w:val="24"/>
        </w:rPr>
        <w:tab/>
        <w:t>Later adolescence and young adulthood are periods associated with identity and relationship development. During this time, people beg</w:t>
      </w:r>
      <w:r w:rsidR="0051615C" w:rsidRPr="005A44CE">
        <w:rPr>
          <w:rFonts w:ascii="Times New Roman" w:hAnsi="Times New Roman"/>
          <w:color w:val="000000"/>
          <w:szCs w:val="24"/>
        </w:rPr>
        <w:t>i</w:t>
      </w:r>
      <w:r w:rsidRPr="005A44CE">
        <w:rPr>
          <w:rFonts w:ascii="Times New Roman" w:hAnsi="Times New Roman"/>
          <w:color w:val="000000"/>
          <w:szCs w:val="24"/>
        </w:rPr>
        <w:t>n to explore and understand more about who they are as sexual beings and they typically begin to engage in partnered sexual activity.</w:t>
      </w:r>
      <w:r w:rsidR="003234A7" w:rsidRPr="003234A7">
        <w:rPr>
          <w:rFonts w:ascii="Times New Roman" w:hAnsi="Times New Roman"/>
          <w:color w:val="000000"/>
          <w:szCs w:val="24"/>
          <w:vertAlign w:val="superscript"/>
        </w:rPr>
        <w:t>6</w:t>
      </w:r>
      <w:r w:rsidRPr="005A44CE">
        <w:rPr>
          <w:rFonts w:ascii="Times New Roman" w:hAnsi="Times New Roman"/>
          <w:color w:val="000000"/>
          <w:szCs w:val="24"/>
        </w:rPr>
        <w:t xml:space="preserve"> </w:t>
      </w:r>
      <w:r w:rsidR="00CA3F72">
        <w:rPr>
          <w:rFonts w:ascii="Times New Roman" w:hAnsi="Times New Roman"/>
          <w:color w:val="000000"/>
          <w:szCs w:val="24"/>
        </w:rPr>
        <w:t>In the UK, average age of first mixed-sex intercourse for both men and women is now 16</w:t>
      </w:r>
      <w:r w:rsidR="00436C65">
        <w:rPr>
          <w:rFonts w:ascii="Times New Roman" w:hAnsi="Times New Roman"/>
          <w:color w:val="000000"/>
          <w:szCs w:val="24"/>
        </w:rPr>
        <w:t xml:space="preserve"> year old</w:t>
      </w:r>
      <w:r w:rsidR="00CA3F72">
        <w:rPr>
          <w:rFonts w:ascii="Times New Roman" w:hAnsi="Times New Roman"/>
          <w:color w:val="000000"/>
          <w:szCs w:val="24"/>
        </w:rPr>
        <w:t>.</w:t>
      </w:r>
      <w:r w:rsidR="00CA3F72" w:rsidRPr="00903CF6">
        <w:rPr>
          <w:rFonts w:ascii="Times New Roman" w:hAnsi="Times New Roman"/>
          <w:color w:val="000000"/>
          <w:szCs w:val="24"/>
          <w:vertAlign w:val="superscript"/>
        </w:rPr>
        <w:t>7</w:t>
      </w:r>
      <w:r w:rsidR="00CA3F72">
        <w:rPr>
          <w:rFonts w:ascii="Times New Roman" w:hAnsi="Times New Roman"/>
          <w:color w:val="000000"/>
          <w:szCs w:val="24"/>
          <w:vertAlign w:val="superscript"/>
        </w:rPr>
        <w:t xml:space="preserve"> </w:t>
      </w:r>
      <w:r w:rsidRPr="005A44CE">
        <w:rPr>
          <w:rFonts w:ascii="Times New Roman" w:hAnsi="Times New Roman"/>
          <w:color w:val="000000"/>
          <w:szCs w:val="24"/>
        </w:rPr>
        <w:t xml:space="preserve">Further, young people </w:t>
      </w:r>
      <w:r w:rsidR="00CA3F72">
        <w:rPr>
          <w:rFonts w:ascii="Times New Roman" w:hAnsi="Times New Roman"/>
          <w:color w:val="000000"/>
          <w:szCs w:val="24"/>
        </w:rPr>
        <w:t xml:space="preserve">in the UK </w:t>
      </w:r>
      <w:r w:rsidRPr="005A44CE">
        <w:rPr>
          <w:rFonts w:ascii="Times New Roman" w:hAnsi="Times New Roman"/>
          <w:color w:val="000000"/>
          <w:szCs w:val="24"/>
        </w:rPr>
        <w:t>experience the highest rates of STI diagnosis which may be associated with having more new sexual partners.</w:t>
      </w:r>
      <w:r w:rsidR="00D472E5">
        <w:rPr>
          <w:rFonts w:ascii="Times New Roman" w:hAnsi="Times New Roman"/>
          <w:color w:val="000000"/>
          <w:szCs w:val="24"/>
          <w:vertAlign w:val="superscript"/>
        </w:rPr>
        <w:t>8</w:t>
      </w:r>
      <w:r w:rsidRPr="005A44CE">
        <w:rPr>
          <w:rFonts w:ascii="Times New Roman" w:hAnsi="Times New Roman"/>
          <w:color w:val="000000"/>
          <w:szCs w:val="24"/>
        </w:rPr>
        <w:t xml:space="preserve"> As such, NHS s</w:t>
      </w:r>
      <w:r w:rsidR="006857B5" w:rsidRPr="005A44CE">
        <w:rPr>
          <w:rFonts w:ascii="Times New Roman" w:hAnsi="Times New Roman"/>
          <w:color w:val="000000"/>
          <w:szCs w:val="24"/>
        </w:rPr>
        <w:t xml:space="preserve">exual health </w:t>
      </w:r>
      <w:r w:rsidR="006857B5" w:rsidRPr="005A44CE">
        <w:rPr>
          <w:rFonts w:ascii="Times New Roman" w:hAnsi="Times New Roman"/>
          <w:color w:val="000000" w:themeColor="text1"/>
          <w:szCs w:val="24"/>
        </w:rPr>
        <w:t>services</w:t>
      </w:r>
      <w:r w:rsidRPr="005A44CE">
        <w:rPr>
          <w:rFonts w:ascii="Times New Roman" w:hAnsi="Times New Roman"/>
          <w:color w:val="000000" w:themeColor="text1"/>
          <w:szCs w:val="24"/>
        </w:rPr>
        <w:t xml:space="preserve"> are </w:t>
      </w:r>
      <w:r w:rsidR="00571A4A" w:rsidRPr="005A44CE">
        <w:rPr>
          <w:rFonts w:ascii="Times New Roman" w:hAnsi="Times New Roman"/>
          <w:color w:val="000000" w:themeColor="text1"/>
          <w:szCs w:val="24"/>
        </w:rPr>
        <w:t>well positioned</w:t>
      </w:r>
      <w:r w:rsidRPr="005A44CE">
        <w:rPr>
          <w:rFonts w:ascii="Times New Roman" w:hAnsi="Times New Roman"/>
          <w:color w:val="000000" w:themeColor="text1"/>
          <w:szCs w:val="24"/>
        </w:rPr>
        <w:t xml:space="preserve"> to provide ongoing support for the sexual health needs of young people in the UK</w:t>
      </w:r>
      <w:r w:rsidR="00436C65">
        <w:rPr>
          <w:rFonts w:ascii="Times New Roman" w:hAnsi="Times New Roman"/>
          <w:color w:val="000000" w:themeColor="text1"/>
          <w:szCs w:val="24"/>
        </w:rPr>
        <w:t>, both</w:t>
      </w:r>
      <w:r w:rsidR="00CA3F72">
        <w:rPr>
          <w:rFonts w:ascii="Times New Roman" w:hAnsi="Times New Roman"/>
          <w:color w:val="000000" w:themeColor="text1"/>
          <w:szCs w:val="24"/>
        </w:rPr>
        <w:t xml:space="preserve"> prior</w:t>
      </w:r>
      <w:r w:rsidR="00436C65">
        <w:rPr>
          <w:rFonts w:ascii="Times New Roman" w:hAnsi="Times New Roman"/>
          <w:color w:val="000000" w:themeColor="text1"/>
          <w:szCs w:val="24"/>
        </w:rPr>
        <w:t xml:space="preserve"> to and after </w:t>
      </w:r>
      <w:r w:rsidR="00CA3F72">
        <w:rPr>
          <w:rFonts w:ascii="Times New Roman" w:hAnsi="Times New Roman"/>
          <w:color w:val="000000" w:themeColor="text1"/>
          <w:szCs w:val="24"/>
        </w:rPr>
        <w:t>sexual activity.</w:t>
      </w:r>
      <w:r w:rsidRPr="005A44CE">
        <w:rPr>
          <w:rFonts w:ascii="Times New Roman" w:hAnsi="Times New Roman"/>
          <w:color w:val="000000" w:themeColor="text1"/>
          <w:szCs w:val="24"/>
        </w:rPr>
        <w:t xml:space="preserve"> </w:t>
      </w:r>
      <w:r w:rsidR="00CA3F72">
        <w:rPr>
          <w:rFonts w:ascii="Times New Roman" w:hAnsi="Times New Roman"/>
          <w:color w:val="000000" w:themeColor="text1"/>
          <w:szCs w:val="24"/>
        </w:rPr>
        <w:t>H</w:t>
      </w:r>
      <w:r w:rsidRPr="005A44CE">
        <w:rPr>
          <w:rFonts w:ascii="Times New Roman" w:hAnsi="Times New Roman"/>
          <w:color w:val="000000" w:themeColor="text1"/>
          <w:szCs w:val="24"/>
        </w:rPr>
        <w:t>owever</w:t>
      </w:r>
      <w:r w:rsidR="00571A4A" w:rsidRPr="005A44CE">
        <w:rPr>
          <w:rFonts w:ascii="Times New Roman" w:hAnsi="Times New Roman"/>
          <w:color w:val="000000" w:themeColor="text1"/>
          <w:szCs w:val="24"/>
        </w:rPr>
        <w:t>,</w:t>
      </w:r>
      <w:r w:rsidRPr="005A44CE">
        <w:rPr>
          <w:rFonts w:ascii="Times New Roman" w:hAnsi="Times New Roman"/>
          <w:color w:val="000000" w:themeColor="text1"/>
          <w:szCs w:val="24"/>
        </w:rPr>
        <w:t xml:space="preserve"> service </w:t>
      </w:r>
      <w:r w:rsidRPr="005A44CE">
        <w:rPr>
          <w:rFonts w:ascii="Times New Roman" w:hAnsi="Times New Roman"/>
          <w:color w:val="000000"/>
          <w:szCs w:val="24"/>
        </w:rPr>
        <w:t xml:space="preserve">use is often </w:t>
      </w:r>
      <w:proofErr w:type="gramStart"/>
      <w:r w:rsidRPr="005A44CE">
        <w:rPr>
          <w:rFonts w:ascii="Times New Roman" w:hAnsi="Times New Roman"/>
          <w:color w:val="000000"/>
          <w:szCs w:val="24"/>
        </w:rPr>
        <w:t>suboptimal</w:t>
      </w:r>
      <w:proofErr w:type="gramEnd"/>
      <w:r w:rsidRPr="005A44CE">
        <w:rPr>
          <w:rFonts w:ascii="Times New Roman" w:hAnsi="Times New Roman"/>
          <w:color w:val="000000"/>
          <w:szCs w:val="24"/>
        </w:rPr>
        <w:t xml:space="preserve"> and engagement is higher when the specific sexual health needs of young people are better understood </w:t>
      </w:r>
      <w:r w:rsidR="00C90F32">
        <w:rPr>
          <w:rFonts w:ascii="Times New Roman" w:hAnsi="Times New Roman"/>
          <w:color w:val="000000"/>
          <w:szCs w:val="24"/>
        </w:rPr>
        <w:t>and considered</w:t>
      </w:r>
      <w:r w:rsidRPr="005A44CE">
        <w:rPr>
          <w:rFonts w:ascii="Times New Roman" w:hAnsi="Times New Roman"/>
          <w:color w:val="000000"/>
          <w:szCs w:val="24"/>
        </w:rPr>
        <w:t>.</w:t>
      </w:r>
      <w:r w:rsidR="00D472E5">
        <w:rPr>
          <w:rFonts w:ascii="Times New Roman" w:hAnsi="Times New Roman"/>
          <w:color w:val="000000"/>
          <w:szCs w:val="24"/>
          <w:vertAlign w:val="superscript"/>
        </w:rPr>
        <w:t>9</w:t>
      </w:r>
      <w:r w:rsidRPr="003234A7">
        <w:rPr>
          <w:rFonts w:ascii="Times New Roman" w:hAnsi="Times New Roman"/>
          <w:color w:val="000000"/>
          <w:szCs w:val="24"/>
          <w:vertAlign w:val="superscript"/>
        </w:rPr>
        <w:t xml:space="preserve"> </w:t>
      </w:r>
    </w:p>
    <w:p w14:paraId="05E9B8FC" w14:textId="3389EDE9" w:rsidR="00025C65" w:rsidRPr="005A44CE" w:rsidRDefault="00025C65" w:rsidP="00B40E87">
      <w:pPr>
        <w:pStyle w:val="BodyText3"/>
        <w:tabs>
          <w:tab w:val="left" w:pos="540"/>
        </w:tabs>
        <w:ind w:right="0"/>
        <w:rPr>
          <w:rFonts w:ascii="Times New Roman" w:hAnsi="Times New Roman"/>
          <w:b/>
          <w:bCs/>
          <w:color w:val="000000"/>
          <w:szCs w:val="24"/>
        </w:rPr>
      </w:pPr>
      <w:r w:rsidRPr="005A44CE">
        <w:rPr>
          <w:rFonts w:ascii="Times New Roman" w:hAnsi="Times New Roman"/>
          <w:b/>
          <w:bCs/>
          <w:color w:val="000000"/>
          <w:szCs w:val="24"/>
        </w:rPr>
        <w:t xml:space="preserve">Sexual Health Engagement </w:t>
      </w:r>
    </w:p>
    <w:p w14:paraId="25F8EC29" w14:textId="240D67D8" w:rsidR="00717518" w:rsidRPr="005A44CE" w:rsidRDefault="00025C65" w:rsidP="00B40E87">
      <w:pPr>
        <w:pStyle w:val="BodyText3"/>
        <w:tabs>
          <w:tab w:val="left" w:pos="540"/>
        </w:tabs>
        <w:ind w:right="0"/>
        <w:rPr>
          <w:rFonts w:ascii="Times New Roman" w:hAnsi="Times New Roman"/>
          <w:color w:val="000000"/>
          <w:szCs w:val="24"/>
        </w:rPr>
      </w:pPr>
      <w:r w:rsidRPr="005A44CE">
        <w:rPr>
          <w:rFonts w:ascii="Times New Roman" w:hAnsi="Times New Roman"/>
          <w:color w:val="000000"/>
          <w:szCs w:val="24"/>
        </w:rPr>
        <w:tab/>
      </w:r>
      <w:r w:rsidR="00FD5C75" w:rsidRPr="005A44CE">
        <w:rPr>
          <w:rFonts w:ascii="Times New Roman" w:hAnsi="Times New Roman"/>
          <w:color w:val="000000"/>
          <w:szCs w:val="24"/>
        </w:rPr>
        <w:t xml:space="preserve">A variety of factors, including age, gender, and sexual orientation are known to be associated with sexual health engagement. </w:t>
      </w:r>
      <w:proofErr w:type="spellStart"/>
      <w:r w:rsidR="00A95D0C" w:rsidRPr="005A44CE">
        <w:rPr>
          <w:rFonts w:ascii="Times New Roman" w:hAnsi="Times New Roman"/>
          <w:color w:val="000000"/>
          <w:szCs w:val="24"/>
        </w:rPr>
        <w:t>Litras</w:t>
      </w:r>
      <w:proofErr w:type="spellEnd"/>
      <w:r w:rsidR="00A95D0C" w:rsidRPr="005A44CE">
        <w:rPr>
          <w:rFonts w:ascii="Times New Roman" w:hAnsi="Times New Roman"/>
          <w:color w:val="000000"/>
          <w:szCs w:val="24"/>
        </w:rPr>
        <w:t xml:space="preserve"> et al. </w:t>
      </w:r>
      <w:r w:rsidR="001C349C" w:rsidRPr="005A44CE">
        <w:rPr>
          <w:rFonts w:ascii="Times New Roman" w:hAnsi="Times New Roman"/>
          <w:color w:val="000000"/>
          <w:szCs w:val="24"/>
        </w:rPr>
        <w:t xml:space="preserve">conducted a study </w:t>
      </w:r>
      <w:r w:rsidR="00FD5C75" w:rsidRPr="005A44CE">
        <w:rPr>
          <w:rFonts w:ascii="Times New Roman" w:hAnsi="Times New Roman"/>
          <w:color w:val="000000"/>
          <w:szCs w:val="24"/>
        </w:rPr>
        <w:t xml:space="preserve">with </w:t>
      </w:r>
      <w:r w:rsidR="001C349C" w:rsidRPr="005A44CE">
        <w:rPr>
          <w:rFonts w:ascii="Times New Roman" w:hAnsi="Times New Roman"/>
          <w:color w:val="000000"/>
          <w:szCs w:val="24"/>
        </w:rPr>
        <w:t>35 male students aged 16-19 years old</w:t>
      </w:r>
      <w:r w:rsidR="00ED50EC" w:rsidRPr="005A44CE">
        <w:rPr>
          <w:rFonts w:ascii="Times New Roman" w:hAnsi="Times New Roman"/>
          <w:color w:val="000000"/>
          <w:szCs w:val="24"/>
        </w:rPr>
        <w:t xml:space="preserve"> </w:t>
      </w:r>
      <w:r w:rsidR="00FD5C75" w:rsidRPr="005A44CE">
        <w:rPr>
          <w:rFonts w:ascii="Times New Roman" w:hAnsi="Times New Roman"/>
          <w:color w:val="000000"/>
          <w:szCs w:val="24"/>
        </w:rPr>
        <w:t>and found that</w:t>
      </w:r>
      <w:r w:rsidR="00A95D0C" w:rsidRPr="005A44CE">
        <w:rPr>
          <w:rFonts w:ascii="Times New Roman" w:hAnsi="Times New Roman"/>
          <w:color w:val="000000"/>
          <w:szCs w:val="24"/>
        </w:rPr>
        <w:t xml:space="preserve"> </w:t>
      </w:r>
      <w:r w:rsidR="00FD5C75" w:rsidRPr="005A44CE">
        <w:rPr>
          <w:rFonts w:ascii="Times New Roman" w:hAnsi="Times New Roman"/>
          <w:color w:val="000000"/>
          <w:szCs w:val="24"/>
        </w:rPr>
        <w:t xml:space="preserve">to access sexual health information, </w:t>
      </w:r>
      <w:r w:rsidR="00A95D0C" w:rsidRPr="005A44CE">
        <w:rPr>
          <w:rFonts w:ascii="Times New Roman" w:hAnsi="Times New Roman"/>
          <w:color w:val="000000"/>
          <w:szCs w:val="24"/>
        </w:rPr>
        <w:t>young men typically engaged with friends, family, pornography, and the internet.</w:t>
      </w:r>
      <w:r w:rsidR="00D472E5">
        <w:rPr>
          <w:rFonts w:ascii="Times New Roman" w:hAnsi="Times New Roman"/>
          <w:color w:val="000000"/>
          <w:szCs w:val="24"/>
          <w:vertAlign w:val="superscript"/>
        </w:rPr>
        <w:t>10</w:t>
      </w:r>
      <w:r w:rsidR="00C540DC" w:rsidRPr="005A44CE">
        <w:rPr>
          <w:rFonts w:ascii="Times New Roman" w:hAnsi="Times New Roman"/>
          <w:color w:val="000000"/>
          <w:szCs w:val="24"/>
        </w:rPr>
        <w:t xml:space="preserve"> </w:t>
      </w:r>
      <w:r w:rsidR="00FD5C75" w:rsidRPr="005A44CE">
        <w:rPr>
          <w:rFonts w:ascii="Times New Roman" w:hAnsi="Times New Roman"/>
          <w:color w:val="000000"/>
          <w:szCs w:val="24"/>
        </w:rPr>
        <w:t xml:space="preserve">Unfortunately, these may not </w:t>
      </w:r>
      <w:r w:rsidR="00FD5C75" w:rsidRPr="005A44CE">
        <w:rPr>
          <w:rFonts w:ascii="Times New Roman" w:hAnsi="Times New Roman"/>
          <w:color w:val="000000"/>
          <w:szCs w:val="24"/>
        </w:rPr>
        <w:lastRenderedPageBreak/>
        <w:t>always be the most accurate sources of information which</w:t>
      </w:r>
      <w:r w:rsidR="00C540DC" w:rsidRPr="005A44CE">
        <w:rPr>
          <w:rFonts w:ascii="Times New Roman" w:hAnsi="Times New Roman"/>
          <w:color w:val="000000"/>
          <w:szCs w:val="24"/>
        </w:rPr>
        <w:t xml:space="preserve"> can </w:t>
      </w:r>
      <w:r w:rsidR="00FD5C75" w:rsidRPr="005A44CE">
        <w:rPr>
          <w:rFonts w:ascii="Times New Roman" w:hAnsi="Times New Roman"/>
          <w:color w:val="000000"/>
          <w:szCs w:val="24"/>
        </w:rPr>
        <w:t xml:space="preserve">subsequently </w:t>
      </w:r>
      <w:r w:rsidR="00C540DC" w:rsidRPr="005A44CE">
        <w:rPr>
          <w:rFonts w:ascii="Times New Roman" w:hAnsi="Times New Roman"/>
          <w:color w:val="000000"/>
          <w:szCs w:val="24"/>
        </w:rPr>
        <w:t xml:space="preserve">have a negative </w:t>
      </w:r>
      <w:r w:rsidR="002B0EED" w:rsidRPr="005A44CE">
        <w:rPr>
          <w:rFonts w:ascii="Times New Roman" w:hAnsi="Times New Roman"/>
          <w:color w:val="000000"/>
          <w:szCs w:val="24"/>
        </w:rPr>
        <w:t>impact</w:t>
      </w:r>
      <w:r w:rsidR="00C540DC" w:rsidRPr="005A44CE">
        <w:rPr>
          <w:rFonts w:ascii="Times New Roman" w:hAnsi="Times New Roman"/>
          <w:color w:val="000000"/>
          <w:szCs w:val="24"/>
        </w:rPr>
        <w:t xml:space="preserve"> upon </w:t>
      </w:r>
      <w:r w:rsidR="00FD5C75" w:rsidRPr="005A44CE">
        <w:rPr>
          <w:rFonts w:ascii="Times New Roman" w:hAnsi="Times New Roman"/>
          <w:color w:val="000000"/>
          <w:szCs w:val="24"/>
        </w:rPr>
        <w:t xml:space="preserve">sexual </w:t>
      </w:r>
      <w:r w:rsidR="00C540DC" w:rsidRPr="005A44CE">
        <w:rPr>
          <w:rFonts w:ascii="Times New Roman" w:hAnsi="Times New Roman"/>
          <w:color w:val="000000"/>
          <w:szCs w:val="24"/>
        </w:rPr>
        <w:t xml:space="preserve">knowledge due to the </w:t>
      </w:r>
      <w:r w:rsidR="00FE560C" w:rsidRPr="005A44CE">
        <w:rPr>
          <w:rFonts w:ascii="Times New Roman" w:hAnsi="Times New Roman"/>
          <w:color w:val="000000"/>
          <w:szCs w:val="24"/>
        </w:rPr>
        <w:t>inaccuracies</w:t>
      </w:r>
      <w:r w:rsidR="00C540DC" w:rsidRPr="005A44CE">
        <w:rPr>
          <w:rFonts w:ascii="Times New Roman" w:hAnsi="Times New Roman"/>
          <w:color w:val="000000"/>
          <w:szCs w:val="24"/>
        </w:rPr>
        <w:t xml:space="preserve"> </w:t>
      </w:r>
      <w:r w:rsidR="00555FF7" w:rsidRPr="005A44CE">
        <w:rPr>
          <w:rFonts w:ascii="Times New Roman" w:hAnsi="Times New Roman"/>
          <w:color w:val="000000"/>
          <w:szCs w:val="24"/>
        </w:rPr>
        <w:t xml:space="preserve">of </w:t>
      </w:r>
      <w:r w:rsidR="00C540DC" w:rsidRPr="005A44CE">
        <w:rPr>
          <w:rFonts w:ascii="Times New Roman" w:hAnsi="Times New Roman"/>
          <w:color w:val="000000"/>
          <w:szCs w:val="24"/>
        </w:rPr>
        <w:t>online information.</w:t>
      </w:r>
      <w:r w:rsidR="0092178B" w:rsidRPr="0092178B">
        <w:rPr>
          <w:rFonts w:ascii="Times New Roman" w:hAnsi="Times New Roman"/>
          <w:color w:val="000000"/>
          <w:szCs w:val="24"/>
          <w:vertAlign w:val="superscript"/>
        </w:rPr>
        <w:t>1</w:t>
      </w:r>
      <w:r w:rsidR="003A7285">
        <w:rPr>
          <w:rFonts w:ascii="Times New Roman" w:hAnsi="Times New Roman"/>
          <w:color w:val="000000"/>
          <w:szCs w:val="24"/>
          <w:vertAlign w:val="superscript"/>
        </w:rPr>
        <w:t>1</w:t>
      </w:r>
      <w:r w:rsidR="0092178B" w:rsidRPr="0092178B">
        <w:rPr>
          <w:rFonts w:ascii="Times New Roman" w:hAnsi="Times New Roman"/>
          <w:color w:val="000000"/>
          <w:szCs w:val="24"/>
          <w:vertAlign w:val="superscript"/>
        </w:rPr>
        <w:t>,1</w:t>
      </w:r>
      <w:r w:rsidR="003A7285">
        <w:rPr>
          <w:rFonts w:ascii="Times New Roman" w:hAnsi="Times New Roman"/>
          <w:color w:val="000000"/>
          <w:szCs w:val="24"/>
          <w:vertAlign w:val="superscript"/>
        </w:rPr>
        <w:t>2</w:t>
      </w:r>
      <w:r w:rsidR="00ED50EC" w:rsidRPr="005A44CE">
        <w:rPr>
          <w:rFonts w:ascii="Times New Roman" w:hAnsi="Times New Roman"/>
          <w:color w:val="000000"/>
          <w:szCs w:val="24"/>
        </w:rPr>
        <w:t xml:space="preserve"> A</w:t>
      </w:r>
      <w:r w:rsidR="00FD5C75" w:rsidRPr="005A44CE">
        <w:rPr>
          <w:rFonts w:ascii="Times New Roman" w:hAnsi="Times New Roman"/>
          <w:color w:val="000000"/>
          <w:szCs w:val="24"/>
        </w:rPr>
        <w:t>dditionally</w:t>
      </w:r>
      <w:r w:rsidR="00C540DC" w:rsidRPr="005A44CE">
        <w:rPr>
          <w:rFonts w:ascii="Times New Roman" w:hAnsi="Times New Roman"/>
          <w:color w:val="000000"/>
          <w:szCs w:val="24"/>
        </w:rPr>
        <w:t>,</w:t>
      </w:r>
      <w:r w:rsidR="00FD5C75" w:rsidRPr="005A44CE">
        <w:rPr>
          <w:rFonts w:ascii="Times New Roman" w:hAnsi="Times New Roman"/>
          <w:color w:val="000000"/>
          <w:szCs w:val="24"/>
        </w:rPr>
        <w:t xml:space="preserve"> young men may be less likely than young women to engage with STI testing services because of a</w:t>
      </w:r>
      <w:r w:rsidR="00CF58D9" w:rsidRPr="005A44CE">
        <w:rPr>
          <w:rFonts w:ascii="Times New Roman" w:hAnsi="Times New Roman"/>
          <w:color w:val="000000"/>
          <w:szCs w:val="24"/>
        </w:rPr>
        <w:t xml:space="preserve"> </w:t>
      </w:r>
      <w:r w:rsidR="00FE560C" w:rsidRPr="005A44CE">
        <w:rPr>
          <w:rFonts w:ascii="Times New Roman" w:hAnsi="Times New Roman"/>
          <w:color w:val="000000"/>
          <w:szCs w:val="24"/>
        </w:rPr>
        <w:t xml:space="preserve">fear of </w:t>
      </w:r>
      <w:r w:rsidR="00FD5C75" w:rsidRPr="005A44CE">
        <w:rPr>
          <w:rFonts w:ascii="Times New Roman" w:hAnsi="Times New Roman"/>
          <w:color w:val="000000"/>
          <w:szCs w:val="24"/>
        </w:rPr>
        <w:t>testing</w:t>
      </w:r>
      <w:r w:rsidR="00FE560C" w:rsidRPr="005A44CE">
        <w:rPr>
          <w:rFonts w:ascii="Times New Roman" w:hAnsi="Times New Roman"/>
          <w:color w:val="000000"/>
          <w:szCs w:val="24"/>
        </w:rPr>
        <w:t xml:space="preserve"> procedures</w:t>
      </w:r>
      <w:r w:rsidR="005025A0" w:rsidRPr="005A44CE">
        <w:rPr>
          <w:rFonts w:ascii="Times New Roman" w:hAnsi="Times New Roman"/>
          <w:color w:val="000000"/>
          <w:szCs w:val="24"/>
        </w:rPr>
        <w:t xml:space="preserve"> and</w:t>
      </w:r>
      <w:r w:rsidR="00FD5C75" w:rsidRPr="005A44CE">
        <w:rPr>
          <w:rFonts w:ascii="Times New Roman" w:hAnsi="Times New Roman"/>
          <w:color w:val="000000"/>
          <w:szCs w:val="24"/>
        </w:rPr>
        <w:t xml:space="preserve"> a perception that clinics and clinic</w:t>
      </w:r>
      <w:r w:rsidR="005025A0" w:rsidRPr="005A44CE">
        <w:rPr>
          <w:rFonts w:ascii="Times New Roman" w:hAnsi="Times New Roman"/>
          <w:color w:val="000000"/>
          <w:szCs w:val="24"/>
        </w:rPr>
        <w:t xml:space="preserve"> décor</w:t>
      </w:r>
      <w:r w:rsidR="00FD5C75" w:rsidRPr="005A44CE">
        <w:rPr>
          <w:rFonts w:ascii="Times New Roman" w:hAnsi="Times New Roman"/>
          <w:color w:val="000000"/>
          <w:szCs w:val="24"/>
        </w:rPr>
        <w:t xml:space="preserve"> are</w:t>
      </w:r>
      <w:r w:rsidR="005025A0" w:rsidRPr="005A44CE">
        <w:rPr>
          <w:rFonts w:ascii="Times New Roman" w:hAnsi="Times New Roman"/>
          <w:color w:val="000000"/>
          <w:szCs w:val="24"/>
        </w:rPr>
        <w:t xml:space="preserve"> </w:t>
      </w:r>
      <w:r w:rsidR="00FD5C75" w:rsidRPr="005A44CE">
        <w:rPr>
          <w:rFonts w:ascii="Times New Roman" w:hAnsi="Times New Roman"/>
          <w:color w:val="000000"/>
          <w:szCs w:val="24"/>
        </w:rPr>
        <w:t>primarily</w:t>
      </w:r>
      <w:r w:rsidR="005025A0" w:rsidRPr="005A44CE">
        <w:rPr>
          <w:rFonts w:ascii="Times New Roman" w:hAnsi="Times New Roman"/>
          <w:color w:val="000000"/>
          <w:szCs w:val="24"/>
        </w:rPr>
        <w:t xml:space="preserve"> tailored towards women.</w:t>
      </w:r>
      <w:r w:rsidR="0092178B" w:rsidRPr="0092178B">
        <w:rPr>
          <w:rFonts w:ascii="Times New Roman" w:hAnsi="Times New Roman"/>
          <w:color w:val="000000"/>
          <w:szCs w:val="24"/>
          <w:vertAlign w:val="superscript"/>
        </w:rPr>
        <w:t>1</w:t>
      </w:r>
      <w:r w:rsidR="003A7285">
        <w:rPr>
          <w:rFonts w:ascii="Times New Roman" w:hAnsi="Times New Roman"/>
          <w:color w:val="000000"/>
          <w:szCs w:val="24"/>
          <w:vertAlign w:val="superscript"/>
        </w:rPr>
        <w:t>3</w:t>
      </w:r>
      <w:r w:rsidR="005025A0" w:rsidRPr="005A44CE">
        <w:rPr>
          <w:rFonts w:ascii="Times New Roman" w:hAnsi="Times New Roman"/>
          <w:color w:val="000000"/>
          <w:szCs w:val="24"/>
        </w:rPr>
        <w:t xml:space="preserve"> </w:t>
      </w:r>
      <w:r w:rsidR="00FD5C75" w:rsidRPr="005A44CE">
        <w:rPr>
          <w:rFonts w:ascii="Times New Roman" w:hAnsi="Times New Roman"/>
          <w:color w:val="000000"/>
          <w:szCs w:val="24"/>
        </w:rPr>
        <w:t xml:space="preserve">However, others have suggested that </w:t>
      </w:r>
      <w:r w:rsidR="00FE560C" w:rsidRPr="005A44CE">
        <w:rPr>
          <w:rFonts w:ascii="Times New Roman" w:hAnsi="Times New Roman"/>
          <w:color w:val="000000"/>
          <w:szCs w:val="24"/>
        </w:rPr>
        <w:t xml:space="preserve">women </w:t>
      </w:r>
      <w:r w:rsidR="00FD5C75" w:rsidRPr="005A44CE">
        <w:rPr>
          <w:rFonts w:ascii="Times New Roman" w:hAnsi="Times New Roman"/>
          <w:color w:val="000000"/>
          <w:szCs w:val="24"/>
        </w:rPr>
        <w:t xml:space="preserve">may be less likely to </w:t>
      </w:r>
      <w:r w:rsidR="00FE560C" w:rsidRPr="005A44CE">
        <w:rPr>
          <w:rFonts w:ascii="Times New Roman" w:hAnsi="Times New Roman"/>
          <w:color w:val="000000"/>
          <w:szCs w:val="24"/>
        </w:rPr>
        <w:t xml:space="preserve">engage with </w:t>
      </w:r>
      <w:r w:rsidR="00FD5C75" w:rsidRPr="005A44CE">
        <w:rPr>
          <w:rFonts w:ascii="Times New Roman" w:hAnsi="Times New Roman"/>
          <w:color w:val="000000"/>
          <w:szCs w:val="24"/>
        </w:rPr>
        <w:t xml:space="preserve">sexual health information </w:t>
      </w:r>
      <w:r w:rsidR="005025A0" w:rsidRPr="005A44CE">
        <w:rPr>
          <w:rFonts w:ascii="Times New Roman" w:hAnsi="Times New Roman"/>
          <w:color w:val="000000"/>
          <w:szCs w:val="24"/>
        </w:rPr>
        <w:t>compared to men</w:t>
      </w:r>
      <w:r w:rsidR="00FE560C" w:rsidRPr="005A44CE">
        <w:rPr>
          <w:rFonts w:ascii="Times New Roman" w:hAnsi="Times New Roman"/>
          <w:color w:val="000000"/>
          <w:szCs w:val="24"/>
        </w:rPr>
        <w:t xml:space="preserve"> as traditionally they are seen as passive gatekeepers of sex.</w:t>
      </w:r>
      <w:r w:rsidR="0092178B" w:rsidRPr="0092178B">
        <w:rPr>
          <w:rFonts w:ascii="Times New Roman" w:hAnsi="Times New Roman"/>
          <w:color w:val="000000"/>
          <w:szCs w:val="24"/>
          <w:vertAlign w:val="superscript"/>
        </w:rPr>
        <w:t>1</w:t>
      </w:r>
      <w:r w:rsidR="003A7285">
        <w:rPr>
          <w:rFonts w:ascii="Times New Roman" w:hAnsi="Times New Roman"/>
          <w:color w:val="000000"/>
          <w:szCs w:val="24"/>
          <w:vertAlign w:val="superscript"/>
        </w:rPr>
        <w:t>4</w:t>
      </w:r>
      <w:r w:rsidR="005025A0" w:rsidRPr="005A44CE">
        <w:rPr>
          <w:rFonts w:ascii="Times New Roman" w:hAnsi="Times New Roman"/>
          <w:color w:val="000000"/>
          <w:szCs w:val="24"/>
        </w:rPr>
        <w:t xml:space="preserve"> Women also may engage less</w:t>
      </w:r>
      <w:r w:rsidR="00FD5C75" w:rsidRPr="005A44CE">
        <w:rPr>
          <w:rFonts w:ascii="Times New Roman" w:hAnsi="Times New Roman"/>
          <w:color w:val="000000"/>
          <w:szCs w:val="24"/>
        </w:rPr>
        <w:t xml:space="preserve"> with sexual health services</w:t>
      </w:r>
      <w:r w:rsidR="005025A0" w:rsidRPr="005A44CE">
        <w:rPr>
          <w:rFonts w:ascii="Times New Roman" w:hAnsi="Times New Roman"/>
          <w:color w:val="000000"/>
          <w:szCs w:val="24"/>
        </w:rPr>
        <w:t xml:space="preserve"> due to sexual double standard</w:t>
      </w:r>
      <w:r w:rsidR="00FD5C75" w:rsidRPr="005A44CE">
        <w:rPr>
          <w:rFonts w:ascii="Times New Roman" w:hAnsi="Times New Roman"/>
          <w:color w:val="000000"/>
          <w:szCs w:val="24"/>
        </w:rPr>
        <w:t>s</w:t>
      </w:r>
      <w:r w:rsidR="005025A0" w:rsidRPr="005A44CE">
        <w:rPr>
          <w:rFonts w:ascii="Times New Roman" w:hAnsi="Times New Roman"/>
          <w:color w:val="000000"/>
          <w:szCs w:val="24"/>
        </w:rPr>
        <w:t xml:space="preserve"> whereby if women </w:t>
      </w:r>
      <w:r w:rsidR="00FD5C75" w:rsidRPr="005A44CE">
        <w:rPr>
          <w:rFonts w:ascii="Times New Roman" w:hAnsi="Times New Roman"/>
          <w:color w:val="000000"/>
          <w:szCs w:val="24"/>
        </w:rPr>
        <w:t xml:space="preserve">behave in </w:t>
      </w:r>
      <w:r w:rsidR="005025A0" w:rsidRPr="005A44CE">
        <w:rPr>
          <w:rFonts w:ascii="Times New Roman" w:hAnsi="Times New Roman"/>
          <w:color w:val="000000"/>
          <w:szCs w:val="24"/>
        </w:rPr>
        <w:t xml:space="preserve">similar </w:t>
      </w:r>
      <w:r w:rsidR="00FD5C75" w:rsidRPr="005A44CE">
        <w:rPr>
          <w:rFonts w:ascii="Times New Roman" w:hAnsi="Times New Roman"/>
          <w:color w:val="000000"/>
          <w:szCs w:val="24"/>
        </w:rPr>
        <w:t>ways as</w:t>
      </w:r>
      <w:r w:rsidR="005025A0" w:rsidRPr="005A44CE">
        <w:rPr>
          <w:rFonts w:ascii="Times New Roman" w:hAnsi="Times New Roman"/>
          <w:color w:val="000000"/>
          <w:szCs w:val="24"/>
        </w:rPr>
        <w:t xml:space="preserve"> men</w:t>
      </w:r>
      <w:r w:rsidR="00FD5C75" w:rsidRPr="005A44CE">
        <w:rPr>
          <w:rFonts w:ascii="Times New Roman" w:hAnsi="Times New Roman"/>
          <w:color w:val="000000"/>
          <w:szCs w:val="24"/>
        </w:rPr>
        <w:t>, such as having casual sex or buying condoms</w:t>
      </w:r>
      <w:r w:rsidR="005025A0" w:rsidRPr="005A44CE">
        <w:rPr>
          <w:rFonts w:ascii="Times New Roman" w:hAnsi="Times New Roman"/>
          <w:color w:val="000000"/>
          <w:szCs w:val="24"/>
        </w:rPr>
        <w:t xml:space="preserve">, they are </w:t>
      </w:r>
      <w:r w:rsidR="00FD5C75" w:rsidRPr="005A44CE">
        <w:rPr>
          <w:rFonts w:ascii="Times New Roman" w:hAnsi="Times New Roman"/>
          <w:color w:val="000000"/>
          <w:szCs w:val="24"/>
        </w:rPr>
        <w:t>judged more harshly</w:t>
      </w:r>
      <w:r w:rsidR="005025A0" w:rsidRPr="005A44CE">
        <w:rPr>
          <w:rFonts w:ascii="Times New Roman" w:hAnsi="Times New Roman"/>
          <w:color w:val="000000"/>
          <w:szCs w:val="24"/>
        </w:rPr>
        <w:t>.</w:t>
      </w:r>
      <w:r w:rsidR="0092178B" w:rsidRPr="0092178B">
        <w:rPr>
          <w:rFonts w:ascii="Times New Roman" w:hAnsi="Times New Roman"/>
          <w:color w:val="000000"/>
          <w:szCs w:val="24"/>
          <w:vertAlign w:val="superscript"/>
        </w:rPr>
        <w:t>1</w:t>
      </w:r>
      <w:r w:rsidR="003A7285">
        <w:rPr>
          <w:rFonts w:ascii="Times New Roman" w:hAnsi="Times New Roman"/>
          <w:color w:val="000000"/>
          <w:szCs w:val="24"/>
          <w:vertAlign w:val="superscript"/>
        </w:rPr>
        <w:t>5</w:t>
      </w:r>
      <w:r w:rsidR="00FE560C" w:rsidRPr="005A44CE">
        <w:rPr>
          <w:rFonts w:ascii="Times New Roman" w:hAnsi="Times New Roman"/>
          <w:color w:val="000000"/>
          <w:szCs w:val="24"/>
        </w:rPr>
        <w:t xml:space="preserve"> Therefore, some young women may </w:t>
      </w:r>
      <w:r w:rsidR="00FD5C75" w:rsidRPr="005A44CE">
        <w:rPr>
          <w:rFonts w:ascii="Times New Roman" w:hAnsi="Times New Roman"/>
          <w:color w:val="000000"/>
          <w:szCs w:val="24"/>
        </w:rPr>
        <w:t>be hesitant or may think it</w:t>
      </w:r>
      <w:r w:rsidR="00FE560C" w:rsidRPr="005A44CE">
        <w:rPr>
          <w:rFonts w:ascii="Times New Roman" w:hAnsi="Times New Roman"/>
          <w:color w:val="000000"/>
          <w:szCs w:val="24"/>
        </w:rPr>
        <w:t xml:space="preserve"> </w:t>
      </w:r>
      <w:r w:rsidR="00FD5C75" w:rsidRPr="005A44CE">
        <w:rPr>
          <w:rFonts w:ascii="Times New Roman" w:hAnsi="Times New Roman"/>
          <w:color w:val="000000"/>
          <w:szCs w:val="24"/>
        </w:rPr>
        <w:t>un</w:t>
      </w:r>
      <w:r w:rsidR="00FE560C" w:rsidRPr="005A44CE">
        <w:rPr>
          <w:rFonts w:ascii="Times New Roman" w:hAnsi="Times New Roman"/>
          <w:color w:val="000000"/>
          <w:szCs w:val="24"/>
        </w:rPr>
        <w:t>ne</w:t>
      </w:r>
      <w:r w:rsidR="00FD5C75" w:rsidRPr="005A44CE">
        <w:rPr>
          <w:rFonts w:ascii="Times New Roman" w:hAnsi="Times New Roman"/>
          <w:color w:val="000000"/>
          <w:szCs w:val="24"/>
        </w:rPr>
        <w:t>cessary or inappropriate</w:t>
      </w:r>
      <w:r w:rsidR="00FE560C" w:rsidRPr="005A44CE">
        <w:rPr>
          <w:rFonts w:ascii="Times New Roman" w:hAnsi="Times New Roman"/>
          <w:color w:val="000000"/>
          <w:szCs w:val="24"/>
        </w:rPr>
        <w:t xml:space="preserve"> to </w:t>
      </w:r>
      <w:r w:rsidR="00FD5C75" w:rsidRPr="005A44CE">
        <w:rPr>
          <w:rFonts w:ascii="Times New Roman" w:hAnsi="Times New Roman"/>
          <w:color w:val="000000"/>
          <w:szCs w:val="24"/>
        </w:rPr>
        <w:t xml:space="preserve">proactively </w:t>
      </w:r>
      <w:r w:rsidR="00FE560C" w:rsidRPr="005A44CE">
        <w:rPr>
          <w:rFonts w:ascii="Times New Roman" w:hAnsi="Times New Roman"/>
          <w:color w:val="000000"/>
          <w:szCs w:val="24"/>
        </w:rPr>
        <w:t>learn about sexual health</w:t>
      </w:r>
      <w:r w:rsidR="00592612" w:rsidRPr="005A44CE">
        <w:rPr>
          <w:rFonts w:ascii="Times New Roman" w:hAnsi="Times New Roman"/>
          <w:color w:val="000000"/>
          <w:szCs w:val="24"/>
        </w:rPr>
        <w:t xml:space="preserve"> </w:t>
      </w:r>
      <w:r w:rsidR="00FD5C75" w:rsidRPr="005A44CE">
        <w:rPr>
          <w:rFonts w:ascii="Times New Roman" w:hAnsi="Times New Roman"/>
          <w:color w:val="000000"/>
          <w:szCs w:val="24"/>
        </w:rPr>
        <w:t>and</w:t>
      </w:r>
      <w:r w:rsidR="00592612" w:rsidRPr="005A44CE">
        <w:rPr>
          <w:rFonts w:ascii="Times New Roman" w:hAnsi="Times New Roman"/>
          <w:color w:val="000000"/>
          <w:szCs w:val="24"/>
        </w:rPr>
        <w:t xml:space="preserve"> instead </w:t>
      </w:r>
      <w:r w:rsidR="00415B11" w:rsidRPr="005A44CE">
        <w:rPr>
          <w:rFonts w:ascii="Times New Roman" w:hAnsi="Times New Roman"/>
          <w:color w:val="000000"/>
          <w:szCs w:val="24"/>
        </w:rPr>
        <w:t>may</w:t>
      </w:r>
      <w:r w:rsidR="00592612" w:rsidRPr="005A44CE">
        <w:rPr>
          <w:rFonts w:ascii="Times New Roman" w:hAnsi="Times New Roman"/>
          <w:color w:val="000000"/>
          <w:szCs w:val="24"/>
        </w:rPr>
        <w:t xml:space="preserve"> seek out help from clinics </w:t>
      </w:r>
      <w:r w:rsidR="00FD5C75" w:rsidRPr="005A44CE">
        <w:rPr>
          <w:rFonts w:ascii="Times New Roman" w:hAnsi="Times New Roman"/>
          <w:color w:val="000000"/>
          <w:szCs w:val="24"/>
        </w:rPr>
        <w:t xml:space="preserve">only </w:t>
      </w:r>
      <w:r w:rsidR="00592612" w:rsidRPr="005A44CE">
        <w:rPr>
          <w:rFonts w:ascii="Times New Roman" w:hAnsi="Times New Roman"/>
          <w:color w:val="000000"/>
          <w:szCs w:val="24"/>
        </w:rPr>
        <w:t xml:space="preserve">when they become sexually </w:t>
      </w:r>
      <w:r w:rsidR="00ED50EC" w:rsidRPr="005A44CE">
        <w:rPr>
          <w:rFonts w:ascii="Times New Roman" w:hAnsi="Times New Roman"/>
          <w:color w:val="000000"/>
          <w:szCs w:val="24"/>
        </w:rPr>
        <w:t>active</w:t>
      </w:r>
      <w:r w:rsidR="00B30D08" w:rsidRPr="005A44CE">
        <w:rPr>
          <w:rFonts w:ascii="Times New Roman" w:hAnsi="Times New Roman"/>
          <w:color w:val="000000"/>
          <w:szCs w:val="24"/>
        </w:rPr>
        <w:t>.</w:t>
      </w:r>
      <w:r w:rsidR="0092178B" w:rsidRPr="0092178B">
        <w:rPr>
          <w:rFonts w:ascii="Times New Roman" w:hAnsi="Times New Roman"/>
          <w:color w:val="000000"/>
          <w:szCs w:val="24"/>
          <w:vertAlign w:val="superscript"/>
        </w:rPr>
        <w:t>1</w:t>
      </w:r>
      <w:r w:rsidR="003A7285">
        <w:rPr>
          <w:rFonts w:ascii="Times New Roman" w:hAnsi="Times New Roman"/>
          <w:color w:val="000000"/>
          <w:szCs w:val="24"/>
          <w:vertAlign w:val="superscript"/>
        </w:rPr>
        <w:t>6</w:t>
      </w:r>
    </w:p>
    <w:p w14:paraId="4E0B30C0" w14:textId="44FC4E6C" w:rsidR="00717518" w:rsidRPr="005A44CE" w:rsidRDefault="00717518" w:rsidP="00B40E87">
      <w:pPr>
        <w:pStyle w:val="BodyText3"/>
        <w:tabs>
          <w:tab w:val="left" w:pos="540"/>
        </w:tabs>
        <w:ind w:right="0"/>
        <w:rPr>
          <w:rFonts w:ascii="Times New Roman" w:hAnsi="Times New Roman"/>
          <w:color w:val="000000"/>
          <w:szCs w:val="24"/>
        </w:rPr>
      </w:pPr>
      <w:r w:rsidRPr="005A44CE">
        <w:rPr>
          <w:rFonts w:ascii="Times New Roman" w:hAnsi="Times New Roman"/>
          <w:color w:val="000000"/>
          <w:szCs w:val="24"/>
        </w:rPr>
        <w:tab/>
      </w:r>
      <w:r w:rsidR="005F3E4C" w:rsidRPr="005A44CE">
        <w:rPr>
          <w:rFonts w:ascii="Times New Roman" w:hAnsi="Times New Roman"/>
          <w:color w:val="000000"/>
          <w:szCs w:val="24"/>
        </w:rPr>
        <w:t xml:space="preserve">People with various sexual orientations may also engage differently with sexual health services. </w:t>
      </w:r>
      <w:r w:rsidR="00FD5C75" w:rsidRPr="005A44CE">
        <w:rPr>
          <w:rFonts w:ascii="Times New Roman" w:hAnsi="Times New Roman"/>
          <w:color w:val="000000"/>
          <w:szCs w:val="24"/>
        </w:rPr>
        <w:t>For example, due to long-standing heteronormative sociocultural norms,</w:t>
      </w:r>
      <w:r w:rsidR="00A671B3" w:rsidRPr="005A44CE">
        <w:rPr>
          <w:rFonts w:ascii="Times New Roman" w:hAnsi="Times New Roman"/>
          <w:color w:val="000000"/>
          <w:szCs w:val="24"/>
        </w:rPr>
        <w:t xml:space="preserve"> heterosexual individuals </w:t>
      </w:r>
      <w:r w:rsidR="00FD5C75" w:rsidRPr="005A44CE">
        <w:rPr>
          <w:rFonts w:ascii="Times New Roman" w:hAnsi="Times New Roman"/>
          <w:color w:val="000000"/>
          <w:szCs w:val="24"/>
        </w:rPr>
        <w:t>may</w:t>
      </w:r>
      <w:r w:rsidR="00A671B3" w:rsidRPr="005A44CE">
        <w:rPr>
          <w:rFonts w:ascii="Times New Roman" w:hAnsi="Times New Roman"/>
          <w:color w:val="000000"/>
          <w:szCs w:val="24"/>
        </w:rPr>
        <w:t xml:space="preserve"> have eas</w:t>
      </w:r>
      <w:r w:rsidR="00FD5C75" w:rsidRPr="005A44CE">
        <w:rPr>
          <w:rFonts w:ascii="Times New Roman" w:hAnsi="Times New Roman"/>
          <w:color w:val="000000"/>
          <w:szCs w:val="24"/>
        </w:rPr>
        <w:t>ier</w:t>
      </w:r>
      <w:r w:rsidR="00A671B3" w:rsidRPr="005A44CE">
        <w:rPr>
          <w:rFonts w:ascii="Times New Roman" w:hAnsi="Times New Roman"/>
          <w:color w:val="000000"/>
          <w:szCs w:val="24"/>
        </w:rPr>
        <w:t xml:space="preserve"> access to information about sexual health through</w:t>
      </w:r>
      <w:r w:rsidR="00A956E9" w:rsidRPr="005A44CE">
        <w:rPr>
          <w:rFonts w:ascii="Times New Roman" w:hAnsi="Times New Roman"/>
          <w:color w:val="000000"/>
          <w:szCs w:val="24"/>
        </w:rPr>
        <w:t xml:space="preserve"> clinics, school education, or contact with more knowledgeable others</w:t>
      </w:r>
      <w:r w:rsidR="00936237" w:rsidRPr="00936237">
        <w:rPr>
          <w:rFonts w:ascii="Times New Roman" w:hAnsi="Times New Roman"/>
          <w:color w:val="000000"/>
          <w:szCs w:val="24"/>
          <w:vertAlign w:val="superscript"/>
        </w:rPr>
        <w:t>1</w:t>
      </w:r>
      <w:r w:rsidR="003A7285">
        <w:rPr>
          <w:rFonts w:ascii="Times New Roman" w:hAnsi="Times New Roman"/>
          <w:color w:val="000000"/>
          <w:szCs w:val="24"/>
          <w:vertAlign w:val="superscript"/>
        </w:rPr>
        <w:t>7</w:t>
      </w:r>
      <w:r w:rsidR="00FD5C75" w:rsidRPr="005A44CE">
        <w:rPr>
          <w:rFonts w:ascii="Times New Roman" w:hAnsi="Times New Roman"/>
          <w:color w:val="000000"/>
          <w:szCs w:val="24"/>
        </w:rPr>
        <w:t xml:space="preserve"> and</w:t>
      </w:r>
      <w:r w:rsidR="00A671B3" w:rsidRPr="005A44CE">
        <w:rPr>
          <w:rFonts w:ascii="Times New Roman" w:hAnsi="Times New Roman"/>
          <w:color w:val="000000"/>
          <w:szCs w:val="24"/>
        </w:rPr>
        <w:t xml:space="preserve"> studies </w:t>
      </w:r>
      <w:r w:rsidR="00FD5C75" w:rsidRPr="005A44CE">
        <w:rPr>
          <w:rFonts w:ascii="Times New Roman" w:hAnsi="Times New Roman"/>
          <w:color w:val="000000"/>
          <w:szCs w:val="24"/>
        </w:rPr>
        <w:t xml:space="preserve">with </w:t>
      </w:r>
      <w:r w:rsidR="00A671B3" w:rsidRPr="005A44CE">
        <w:rPr>
          <w:rFonts w:ascii="Times New Roman" w:hAnsi="Times New Roman"/>
          <w:color w:val="000000"/>
          <w:szCs w:val="24"/>
        </w:rPr>
        <w:t xml:space="preserve">LGBTQ+ </w:t>
      </w:r>
      <w:r w:rsidR="00ED50EC" w:rsidRPr="005A44CE">
        <w:rPr>
          <w:rFonts w:ascii="Times New Roman" w:hAnsi="Times New Roman"/>
          <w:color w:val="000000"/>
          <w:szCs w:val="24"/>
        </w:rPr>
        <w:t xml:space="preserve">individuals </w:t>
      </w:r>
      <w:r w:rsidR="007016A5" w:rsidRPr="005A44CE">
        <w:rPr>
          <w:rFonts w:ascii="Times New Roman" w:hAnsi="Times New Roman"/>
          <w:color w:val="000000"/>
          <w:szCs w:val="24"/>
        </w:rPr>
        <w:t>have</w:t>
      </w:r>
      <w:r w:rsidR="00A671B3" w:rsidRPr="005A44CE">
        <w:rPr>
          <w:rFonts w:ascii="Times New Roman" w:hAnsi="Times New Roman"/>
          <w:color w:val="000000"/>
          <w:szCs w:val="24"/>
        </w:rPr>
        <w:t xml:space="preserve"> found that </w:t>
      </w:r>
      <w:r w:rsidR="00A75682" w:rsidRPr="005A44CE">
        <w:rPr>
          <w:rFonts w:ascii="Times New Roman" w:hAnsi="Times New Roman"/>
          <w:color w:val="000000"/>
          <w:szCs w:val="24"/>
        </w:rPr>
        <w:t xml:space="preserve">this population </w:t>
      </w:r>
      <w:r w:rsidR="00FD5C75" w:rsidRPr="005A44CE">
        <w:rPr>
          <w:rFonts w:ascii="Times New Roman" w:hAnsi="Times New Roman"/>
          <w:color w:val="000000"/>
          <w:szCs w:val="24"/>
        </w:rPr>
        <w:t xml:space="preserve">often </w:t>
      </w:r>
      <w:r w:rsidR="00A671B3" w:rsidRPr="005A44CE">
        <w:rPr>
          <w:rFonts w:ascii="Times New Roman" w:hAnsi="Times New Roman"/>
          <w:color w:val="000000"/>
          <w:szCs w:val="24"/>
        </w:rPr>
        <w:t>struggle</w:t>
      </w:r>
      <w:r w:rsidR="00FD5C75" w:rsidRPr="005A44CE">
        <w:rPr>
          <w:rFonts w:ascii="Times New Roman" w:hAnsi="Times New Roman"/>
          <w:color w:val="000000"/>
          <w:szCs w:val="24"/>
        </w:rPr>
        <w:t>s</w:t>
      </w:r>
      <w:r w:rsidR="00A671B3" w:rsidRPr="005A44CE">
        <w:rPr>
          <w:rFonts w:ascii="Times New Roman" w:hAnsi="Times New Roman"/>
          <w:color w:val="000000"/>
          <w:szCs w:val="24"/>
        </w:rPr>
        <w:t xml:space="preserve"> to access </w:t>
      </w:r>
      <w:r w:rsidR="00FD5C75" w:rsidRPr="005A44CE">
        <w:rPr>
          <w:rFonts w:ascii="Times New Roman" w:hAnsi="Times New Roman"/>
          <w:color w:val="000000"/>
          <w:szCs w:val="24"/>
        </w:rPr>
        <w:t>appropriate sexual health information and services relevant</w:t>
      </w:r>
      <w:r w:rsidR="00A671B3" w:rsidRPr="005A44CE">
        <w:rPr>
          <w:rFonts w:ascii="Times New Roman" w:hAnsi="Times New Roman"/>
          <w:color w:val="000000"/>
          <w:szCs w:val="24"/>
        </w:rPr>
        <w:t xml:space="preserve"> to their specific needs.</w:t>
      </w:r>
      <w:r w:rsidR="00936237" w:rsidRPr="00936237">
        <w:rPr>
          <w:rFonts w:ascii="Times New Roman" w:hAnsi="Times New Roman"/>
          <w:color w:val="000000"/>
          <w:szCs w:val="24"/>
          <w:vertAlign w:val="superscript"/>
        </w:rPr>
        <w:t>1</w:t>
      </w:r>
      <w:r w:rsidR="003A7285">
        <w:rPr>
          <w:rFonts w:ascii="Times New Roman" w:hAnsi="Times New Roman"/>
          <w:color w:val="000000"/>
          <w:szCs w:val="24"/>
          <w:vertAlign w:val="superscript"/>
        </w:rPr>
        <w:t>8</w:t>
      </w:r>
      <w:r w:rsidR="00936237" w:rsidRPr="00936237">
        <w:rPr>
          <w:rFonts w:ascii="Times New Roman" w:hAnsi="Times New Roman"/>
          <w:color w:val="000000"/>
          <w:szCs w:val="24"/>
          <w:vertAlign w:val="superscript"/>
        </w:rPr>
        <w:t>,1</w:t>
      </w:r>
      <w:r w:rsidR="003A7285">
        <w:rPr>
          <w:rFonts w:ascii="Times New Roman" w:hAnsi="Times New Roman"/>
          <w:color w:val="000000"/>
          <w:szCs w:val="24"/>
          <w:vertAlign w:val="superscript"/>
        </w:rPr>
        <w:t>9</w:t>
      </w:r>
      <w:r w:rsidR="00A671B3" w:rsidRPr="005A44CE">
        <w:rPr>
          <w:rFonts w:ascii="Times New Roman" w:hAnsi="Times New Roman"/>
          <w:color w:val="000000"/>
          <w:szCs w:val="24"/>
        </w:rPr>
        <w:t xml:space="preserve"> This</w:t>
      </w:r>
      <w:r w:rsidR="00FD5C75" w:rsidRPr="005A44CE">
        <w:rPr>
          <w:rFonts w:ascii="Times New Roman" w:hAnsi="Times New Roman"/>
          <w:color w:val="000000"/>
          <w:szCs w:val="24"/>
        </w:rPr>
        <w:t xml:space="preserve"> may be </w:t>
      </w:r>
      <w:r w:rsidR="00A671B3" w:rsidRPr="005A44CE">
        <w:rPr>
          <w:rFonts w:ascii="Times New Roman" w:hAnsi="Times New Roman"/>
          <w:color w:val="000000"/>
          <w:szCs w:val="24"/>
        </w:rPr>
        <w:t>primarily because schools</w:t>
      </w:r>
      <w:r w:rsidR="00FD5C75" w:rsidRPr="005A44CE">
        <w:rPr>
          <w:rFonts w:ascii="Times New Roman" w:hAnsi="Times New Roman"/>
          <w:color w:val="000000"/>
          <w:szCs w:val="24"/>
        </w:rPr>
        <w:t xml:space="preserve"> in the UK have</w:t>
      </w:r>
      <w:r w:rsidR="00A75682" w:rsidRPr="005A44CE">
        <w:rPr>
          <w:rFonts w:ascii="Times New Roman" w:hAnsi="Times New Roman"/>
          <w:color w:val="000000"/>
          <w:szCs w:val="24"/>
        </w:rPr>
        <w:t xml:space="preserve"> historically not included LGBTQ+ matters in the</w:t>
      </w:r>
      <w:r w:rsidR="00FD5C75" w:rsidRPr="005A44CE">
        <w:rPr>
          <w:rFonts w:ascii="Times New Roman" w:hAnsi="Times New Roman"/>
          <w:color w:val="000000"/>
          <w:szCs w:val="24"/>
        </w:rPr>
        <w:t xml:space="preserve"> sex education</w:t>
      </w:r>
      <w:r w:rsidR="00A75682" w:rsidRPr="005A44CE">
        <w:rPr>
          <w:rFonts w:ascii="Times New Roman" w:hAnsi="Times New Roman"/>
          <w:color w:val="000000"/>
          <w:szCs w:val="24"/>
        </w:rPr>
        <w:t xml:space="preserve"> curriculum</w:t>
      </w:r>
      <w:r w:rsidR="00A671B3" w:rsidRPr="005A44CE">
        <w:rPr>
          <w:rFonts w:ascii="Times New Roman" w:hAnsi="Times New Roman"/>
          <w:color w:val="000000"/>
          <w:szCs w:val="24"/>
        </w:rPr>
        <w:t xml:space="preserve"> and healthcare professionals </w:t>
      </w:r>
      <w:r w:rsidR="00A75682" w:rsidRPr="005A44CE">
        <w:rPr>
          <w:rFonts w:ascii="Times New Roman" w:hAnsi="Times New Roman"/>
          <w:color w:val="000000"/>
          <w:szCs w:val="24"/>
        </w:rPr>
        <w:t xml:space="preserve">do not have </w:t>
      </w:r>
      <w:r w:rsidR="00FD5C75" w:rsidRPr="005A44CE">
        <w:rPr>
          <w:rFonts w:ascii="Times New Roman" w:hAnsi="Times New Roman"/>
          <w:color w:val="000000"/>
          <w:szCs w:val="24"/>
        </w:rPr>
        <w:t xml:space="preserve">adequate </w:t>
      </w:r>
      <w:r w:rsidR="00A75682" w:rsidRPr="005A44CE">
        <w:rPr>
          <w:rFonts w:ascii="Times New Roman" w:hAnsi="Times New Roman"/>
          <w:color w:val="000000"/>
          <w:szCs w:val="24"/>
        </w:rPr>
        <w:t xml:space="preserve">training regarding </w:t>
      </w:r>
      <w:r w:rsidR="00FD5C75" w:rsidRPr="005A44CE">
        <w:rPr>
          <w:rFonts w:ascii="Times New Roman" w:hAnsi="Times New Roman"/>
          <w:color w:val="000000"/>
          <w:szCs w:val="24"/>
        </w:rPr>
        <w:t xml:space="preserve">the sexual health needs of </w:t>
      </w:r>
      <w:r w:rsidR="00A671B3" w:rsidRPr="005A44CE">
        <w:rPr>
          <w:rFonts w:ascii="Times New Roman" w:hAnsi="Times New Roman"/>
          <w:color w:val="000000"/>
          <w:szCs w:val="24"/>
        </w:rPr>
        <w:t xml:space="preserve">LGBTQ+ </w:t>
      </w:r>
      <w:r w:rsidR="00FD5C75" w:rsidRPr="005A44CE">
        <w:rPr>
          <w:rFonts w:ascii="Times New Roman" w:hAnsi="Times New Roman"/>
          <w:color w:val="000000"/>
          <w:szCs w:val="24"/>
        </w:rPr>
        <w:t>individuals</w:t>
      </w:r>
      <w:r w:rsidR="00A671B3" w:rsidRPr="005A44CE">
        <w:rPr>
          <w:rFonts w:ascii="Times New Roman" w:hAnsi="Times New Roman"/>
          <w:color w:val="000000"/>
          <w:szCs w:val="24"/>
        </w:rPr>
        <w:t>.</w:t>
      </w:r>
      <w:r w:rsidR="003A7285">
        <w:rPr>
          <w:rFonts w:ascii="Times New Roman" w:hAnsi="Times New Roman"/>
          <w:color w:val="000000"/>
          <w:szCs w:val="24"/>
          <w:vertAlign w:val="superscript"/>
        </w:rPr>
        <w:t>20</w:t>
      </w:r>
      <w:r w:rsidR="00A671B3" w:rsidRPr="005A44CE">
        <w:rPr>
          <w:rFonts w:ascii="Times New Roman" w:hAnsi="Times New Roman"/>
          <w:color w:val="000000"/>
          <w:szCs w:val="24"/>
        </w:rPr>
        <w:t xml:space="preserve"> As a result, LGBTQ+ people</w:t>
      </w:r>
      <w:r w:rsidR="00FD5C75" w:rsidRPr="005A44CE">
        <w:rPr>
          <w:rFonts w:ascii="Times New Roman" w:hAnsi="Times New Roman"/>
          <w:color w:val="000000"/>
          <w:szCs w:val="24"/>
        </w:rPr>
        <w:t xml:space="preserve"> may</w:t>
      </w:r>
      <w:r w:rsidR="00A671B3" w:rsidRPr="005A44CE">
        <w:rPr>
          <w:rFonts w:ascii="Times New Roman" w:hAnsi="Times New Roman"/>
          <w:color w:val="000000"/>
          <w:szCs w:val="24"/>
        </w:rPr>
        <w:t xml:space="preserve"> </w:t>
      </w:r>
      <w:r w:rsidR="00FD5C75" w:rsidRPr="005A44CE">
        <w:rPr>
          <w:rFonts w:ascii="Times New Roman" w:hAnsi="Times New Roman"/>
          <w:color w:val="000000"/>
          <w:szCs w:val="24"/>
        </w:rPr>
        <w:t>feel it necessary to</w:t>
      </w:r>
      <w:r w:rsidR="00A671B3" w:rsidRPr="005A44CE">
        <w:rPr>
          <w:rFonts w:ascii="Times New Roman" w:hAnsi="Times New Roman"/>
          <w:color w:val="000000"/>
          <w:szCs w:val="24"/>
        </w:rPr>
        <w:t xml:space="preserve"> engag</w:t>
      </w:r>
      <w:r w:rsidR="00FD5C75" w:rsidRPr="005A44CE">
        <w:rPr>
          <w:rFonts w:ascii="Times New Roman" w:hAnsi="Times New Roman"/>
          <w:color w:val="000000"/>
          <w:szCs w:val="24"/>
        </w:rPr>
        <w:t>e</w:t>
      </w:r>
      <w:r w:rsidR="00A671B3" w:rsidRPr="005A44CE">
        <w:rPr>
          <w:rFonts w:ascii="Times New Roman" w:hAnsi="Times New Roman"/>
          <w:color w:val="000000"/>
          <w:szCs w:val="24"/>
        </w:rPr>
        <w:t xml:space="preserve"> with their sexual health online</w:t>
      </w:r>
      <w:r w:rsidR="00A75682" w:rsidRPr="005A44CE">
        <w:rPr>
          <w:rFonts w:ascii="Times New Roman" w:hAnsi="Times New Roman"/>
          <w:color w:val="000000"/>
          <w:szCs w:val="24"/>
        </w:rPr>
        <w:t xml:space="preserve"> as </w:t>
      </w:r>
      <w:r w:rsidR="00A671B3" w:rsidRPr="005A44CE">
        <w:rPr>
          <w:rFonts w:ascii="Times New Roman" w:hAnsi="Times New Roman"/>
          <w:color w:val="000000"/>
          <w:szCs w:val="24"/>
        </w:rPr>
        <w:t>they can find a wider array of informatio</w:t>
      </w:r>
      <w:r w:rsidR="007016A5" w:rsidRPr="005A44CE">
        <w:rPr>
          <w:rFonts w:ascii="Times New Roman" w:hAnsi="Times New Roman"/>
          <w:color w:val="000000"/>
          <w:szCs w:val="24"/>
        </w:rPr>
        <w:t>n</w:t>
      </w:r>
      <w:r w:rsidR="00A671B3" w:rsidRPr="005A44CE">
        <w:rPr>
          <w:rFonts w:ascii="Times New Roman" w:hAnsi="Times New Roman"/>
          <w:color w:val="000000"/>
          <w:szCs w:val="24"/>
        </w:rPr>
        <w:t xml:space="preserve">, and most report feeling more comfortable searching for </w:t>
      </w:r>
      <w:r w:rsidR="00FD5C75" w:rsidRPr="005A44CE">
        <w:rPr>
          <w:rFonts w:ascii="Times New Roman" w:hAnsi="Times New Roman"/>
          <w:color w:val="000000"/>
          <w:szCs w:val="24"/>
        </w:rPr>
        <w:t xml:space="preserve">sexual health information </w:t>
      </w:r>
      <w:r w:rsidR="00A671B3" w:rsidRPr="005A44CE">
        <w:rPr>
          <w:rFonts w:ascii="Times New Roman" w:hAnsi="Times New Roman"/>
          <w:color w:val="000000"/>
          <w:szCs w:val="24"/>
        </w:rPr>
        <w:t>online.</w:t>
      </w:r>
      <w:r w:rsidR="00936237" w:rsidRPr="00936237">
        <w:rPr>
          <w:rFonts w:ascii="Times New Roman" w:hAnsi="Times New Roman"/>
          <w:color w:val="000000"/>
          <w:szCs w:val="24"/>
          <w:vertAlign w:val="superscript"/>
        </w:rPr>
        <w:t>2</w:t>
      </w:r>
      <w:r w:rsidR="003A7285">
        <w:rPr>
          <w:rFonts w:ascii="Times New Roman" w:hAnsi="Times New Roman"/>
          <w:color w:val="000000"/>
          <w:szCs w:val="24"/>
          <w:vertAlign w:val="superscript"/>
        </w:rPr>
        <w:t>1</w:t>
      </w:r>
      <w:r w:rsidR="00A671B3" w:rsidRPr="00936237">
        <w:rPr>
          <w:rFonts w:ascii="Times New Roman" w:hAnsi="Times New Roman"/>
          <w:color w:val="000000"/>
          <w:szCs w:val="24"/>
          <w:vertAlign w:val="superscript"/>
        </w:rPr>
        <w:t xml:space="preserve"> </w:t>
      </w:r>
    </w:p>
    <w:p w14:paraId="1F93A45C" w14:textId="0449629F" w:rsidR="00824572" w:rsidRPr="005A44CE" w:rsidRDefault="00717518" w:rsidP="00B40E87">
      <w:pPr>
        <w:pStyle w:val="BodyText3"/>
        <w:tabs>
          <w:tab w:val="left" w:pos="540"/>
        </w:tabs>
        <w:ind w:right="0"/>
        <w:rPr>
          <w:rFonts w:ascii="Times New Roman" w:hAnsi="Times New Roman"/>
          <w:b/>
          <w:bCs/>
          <w:color w:val="000000"/>
          <w:szCs w:val="24"/>
        </w:rPr>
      </w:pPr>
      <w:r w:rsidRPr="005A44CE">
        <w:rPr>
          <w:rFonts w:ascii="Times New Roman" w:hAnsi="Times New Roman"/>
          <w:b/>
          <w:bCs/>
          <w:color w:val="000000"/>
          <w:szCs w:val="24"/>
        </w:rPr>
        <w:t xml:space="preserve">Differing Sexual Health Needs by Relationship Status </w:t>
      </w:r>
    </w:p>
    <w:p w14:paraId="73FD5021" w14:textId="146F2569" w:rsidR="006D0318" w:rsidRPr="005A44CE" w:rsidRDefault="00824572" w:rsidP="00B40E87">
      <w:pPr>
        <w:pStyle w:val="BodyText3"/>
        <w:tabs>
          <w:tab w:val="left" w:pos="540"/>
        </w:tabs>
        <w:ind w:right="0"/>
        <w:rPr>
          <w:rFonts w:ascii="Times New Roman" w:hAnsi="Times New Roman"/>
          <w:color w:val="000000"/>
          <w:szCs w:val="24"/>
        </w:rPr>
      </w:pPr>
      <w:r w:rsidRPr="005A44CE">
        <w:rPr>
          <w:rFonts w:ascii="Times New Roman" w:hAnsi="Times New Roman"/>
          <w:color w:val="000000"/>
          <w:szCs w:val="24"/>
        </w:rPr>
        <w:lastRenderedPageBreak/>
        <w:tab/>
      </w:r>
      <w:r w:rsidR="00FD5C75" w:rsidRPr="005A44CE">
        <w:rPr>
          <w:rFonts w:ascii="Times New Roman" w:hAnsi="Times New Roman"/>
          <w:color w:val="000000"/>
          <w:szCs w:val="24"/>
        </w:rPr>
        <w:t xml:space="preserve">Limited research </w:t>
      </w:r>
      <w:r w:rsidRPr="005A44CE">
        <w:rPr>
          <w:rFonts w:ascii="Times New Roman" w:hAnsi="Times New Roman"/>
          <w:color w:val="000000"/>
          <w:szCs w:val="24"/>
        </w:rPr>
        <w:t>also</w:t>
      </w:r>
      <w:r w:rsidR="00FD5C75" w:rsidRPr="005A44CE">
        <w:rPr>
          <w:rFonts w:ascii="Times New Roman" w:hAnsi="Times New Roman"/>
          <w:color w:val="000000"/>
          <w:szCs w:val="24"/>
        </w:rPr>
        <w:t xml:space="preserve"> suggests that</w:t>
      </w:r>
      <w:r w:rsidRPr="005A44CE">
        <w:rPr>
          <w:rFonts w:ascii="Times New Roman" w:hAnsi="Times New Roman"/>
          <w:color w:val="000000"/>
          <w:szCs w:val="24"/>
        </w:rPr>
        <w:t xml:space="preserve"> people </w:t>
      </w:r>
      <w:r w:rsidR="00FD5C75" w:rsidRPr="005A44CE">
        <w:rPr>
          <w:rFonts w:ascii="Times New Roman" w:hAnsi="Times New Roman"/>
          <w:color w:val="000000"/>
          <w:szCs w:val="24"/>
        </w:rPr>
        <w:t xml:space="preserve">may </w:t>
      </w:r>
      <w:r w:rsidRPr="005A44CE">
        <w:rPr>
          <w:rFonts w:ascii="Times New Roman" w:hAnsi="Times New Roman"/>
          <w:color w:val="000000"/>
          <w:szCs w:val="24"/>
        </w:rPr>
        <w:t xml:space="preserve">engage </w:t>
      </w:r>
      <w:r w:rsidR="007016A5" w:rsidRPr="005A44CE">
        <w:rPr>
          <w:rFonts w:ascii="Times New Roman" w:hAnsi="Times New Roman"/>
          <w:color w:val="000000"/>
          <w:szCs w:val="24"/>
        </w:rPr>
        <w:t>with sexual health</w:t>
      </w:r>
      <w:r w:rsidR="00FD5C75" w:rsidRPr="005A44CE">
        <w:rPr>
          <w:rFonts w:ascii="Times New Roman" w:hAnsi="Times New Roman"/>
          <w:color w:val="000000"/>
          <w:szCs w:val="24"/>
        </w:rPr>
        <w:t xml:space="preserve"> services</w:t>
      </w:r>
      <w:r w:rsidR="007016A5" w:rsidRPr="005A44CE">
        <w:rPr>
          <w:rFonts w:ascii="Times New Roman" w:hAnsi="Times New Roman"/>
          <w:color w:val="000000"/>
          <w:szCs w:val="24"/>
        </w:rPr>
        <w:t xml:space="preserve"> </w:t>
      </w:r>
      <w:r w:rsidRPr="005A44CE">
        <w:rPr>
          <w:rFonts w:ascii="Times New Roman" w:hAnsi="Times New Roman"/>
          <w:color w:val="000000"/>
          <w:szCs w:val="24"/>
        </w:rPr>
        <w:t>differently based</w:t>
      </w:r>
      <w:r w:rsidRPr="005A44CE">
        <w:rPr>
          <w:rFonts w:ascii="Times New Roman" w:hAnsi="Times New Roman"/>
          <w:color w:val="000000" w:themeColor="text1"/>
          <w:szCs w:val="24"/>
        </w:rPr>
        <w:t xml:space="preserve"> upon their </w:t>
      </w:r>
      <w:r w:rsidR="00FD5C75" w:rsidRPr="005A44CE">
        <w:rPr>
          <w:rFonts w:ascii="Times New Roman" w:hAnsi="Times New Roman"/>
          <w:color w:val="000000" w:themeColor="text1"/>
          <w:szCs w:val="24"/>
        </w:rPr>
        <w:t>relationship status</w:t>
      </w:r>
      <w:r w:rsidRPr="005A44CE">
        <w:rPr>
          <w:rFonts w:ascii="Times New Roman" w:hAnsi="Times New Roman"/>
          <w:color w:val="000000" w:themeColor="text1"/>
          <w:szCs w:val="24"/>
        </w:rPr>
        <w:t xml:space="preserve">. </w:t>
      </w:r>
      <w:r w:rsidR="00FD5C75" w:rsidRPr="005A44CE">
        <w:rPr>
          <w:rFonts w:ascii="Times New Roman" w:hAnsi="Times New Roman"/>
          <w:color w:val="000000" w:themeColor="text1"/>
          <w:szCs w:val="24"/>
        </w:rPr>
        <w:t xml:space="preserve">As individuals who are not in relationships may have more new sexual partners, STI testing is recommended at least annually, and young women and others with a womb and ovaries are </w:t>
      </w:r>
      <w:r w:rsidR="00FD5C75" w:rsidRPr="00914E0C">
        <w:rPr>
          <w:rFonts w:ascii="Times New Roman" w:hAnsi="Times New Roman"/>
          <w:color w:val="000000" w:themeColor="text1"/>
          <w:szCs w:val="24"/>
        </w:rPr>
        <w:t xml:space="preserve">recommended to screen for chlamydia </w:t>
      </w:r>
      <w:r w:rsidR="00FD5C75" w:rsidRPr="005A44CE">
        <w:rPr>
          <w:rFonts w:ascii="Times New Roman" w:hAnsi="Times New Roman"/>
          <w:color w:val="000000" w:themeColor="text1"/>
          <w:szCs w:val="24"/>
        </w:rPr>
        <w:t>on change of sexual partner</w:t>
      </w:r>
      <w:r w:rsidR="00FD5C75" w:rsidRPr="005A44CE">
        <w:rPr>
          <w:rFonts w:ascii="Times New Roman" w:hAnsi="Times New Roman"/>
          <w:color w:val="000000"/>
          <w:szCs w:val="24"/>
        </w:rPr>
        <w:t>.</w:t>
      </w:r>
      <w:r w:rsidR="003A7285">
        <w:rPr>
          <w:rFonts w:ascii="Times New Roman" w:hAnsi="Times New Roman"/>
          <w:color w:val="000000"/>
          <w:szCs w:val="24"/>
          <w:vertAlign w:val="superscript"/>
        </w:rPr>
        <w:t>8</w:t>
      </w:r>
      <w:r w:rsidR="00FD5C75" w:rsidRPr="005A44CE">
        <w:rPr>
          <w:rFonts w:ascii="Times New Roman" w:hAnsi="Times New Roman"/>
          <w:color w:val="000000"/>
          <w:szCs w:val="24"/>
        </w:rPr>
        <w:t xml:space="preserve"> As such, </w:t>
      </w:r>
      <w:r w:rsidR="00FD5C75" w:rsidRPr="005A44CE">
        <w:rPr>
          <w:rFonts w:ascii="Times New Roman" w:hAnsi="Times New Roman"/>
          <w:color w:val="000000" w:themeColor="text1"/>
          <w:szCs w:val="24"/>
        </w:rPr>
        <w:t xml:space="preserve">single </w:t>
      </w:r>
      <w:r w:rsidR="0057307B" w:rsidRPr="005A44CE">
        <w:rPr>
          <w:rFonts w:ascii="Times New Roman" w:hAnsi="Times New Roman"/>
          <w:color w:val="000000"/>
          <w:szCs w:val="24"/>
        </w:rPr>
        <w:t>people may engag</w:t>
      </w:r>
      <w:r w:rsidR="00FD5C75" w:rsidRPr="005A44CE">
        <w:rPr>
          <w:rFonts w:ascii="Times New Roman" w:hAnsi="Times New Roman"/>
          <w:color w:val="000000"/>
          <w:szCs w:val="24"/>
        </w:rPr>
        <w:t>e</w:t>
      </w:r>
      <w:r w:rsidR="0057307B" w:rsidRPr="005A44CE">
        <w:rPr>
          <w:rFonts w:ascii="Times New Roman" w:hAnsi="Times New Roman"/>
          <w:color w:val="000000"/>
          <w:szCs w:val="24"/>
        </w:rPr>
        <w:t xml:space="preserve"> more with STI testing </w:t>
      </w:r>
      <w:r w:rsidR="00FD5C75" w:rsidRPr="005A44CE">
        <w:rPr>
          <w:rFonts w:ascii="Times New Roman" w:hAnsi="Times New Roman"/>
          <w:color w:val="000000"/>
          <w:szCs w:val="24"/>
        </w:rPr>
        <w:t>services</w:t>
      </w:r>
      <w:r w:rsidR="0057307B" w:rsidRPr="005A44CE">
        <w:rPr>
          <w:rFonts w:ascii="Times New Roman" w:hAnsi="Times New Roman"/>
          <w:color w:val="000000"/>
          <w:szCs w:val="24"/>
        </w:rPr>
        <w:t xml:space="preserve">. </w:t>
      </w:r>
      <w:r w:rsidR="00FD5C75" w:rsidRPr="005A44CE">
        <w:rPr>
          <w:rFonts w:ascii="Times New Roman" w:hAnsi="Times New Roman"/>
          <w:color w:val="000000"/>
          <w:szCs w:val="24"/>
        </w:rPr>
        <w:t>Indeed, a qualitative study of 30 young adults (18-19 years) in Ireland found that two of the main reasons for seeking STI testing were emerging from a period of having had higher risk sexual relationships and having had unprotected sex with a casual partner</w:t>
      </w:r>
      <w:r w:rsidR="0057307B" w:rsidRPr="005A44CE">
        <w:rPr>
          <w:rFonts w:ascii="Times New Roman" w:hAnsi="Times New Roman"/>
          <w:color w:val="000000"/>
          <w:szCs w:val="24"/>
        </w:rPr>
        <w:t>.</w:t>
      </w:r>
      <w:r w:rsidR="00936237" w:rsidRPr="00936237">
        <w:rPr>
          <w:rFonts w:ascii="Times New Roman" w:hAnsi="Times New Roman"/>
          <w:color w:val="000000"/>
          <w:szCs w:val="24"/>
          <w:vertAlign w:val="superscript"/>
        </w:rPr>
        <w:t>2</w:t>
      </w:r>
      <w:r w:rsidR="003A7285">
        <w:rPr>
          <w:rFonts w:ascii="Times New Roman" w:hAnsi="Times New Roman"/>
          <w:color w:val="000000"/>
          <w:szCs w:val="24"/>
          <w:vertAlign w:val="superscript"/>
        </w:rPr>
        <w:t>2</w:t>
      </w:r>
      <w:r w:rsidR="0057307B" w:rsidRPr="005A44CE">
        <w:rPr>
          <w:rFonts w:ascii="Times New Roman" w:hAnsi="Times New Roman"/>
          <w:color w:val="000000"/>
          <w:szCs w:val="24"/>
        </w:rPr>
        <w:t xml:space="preserve"> One participant </w:t>
      </w:r>
      <w:r w:rsidR="00FD5C75" w:rsidRPr="005A44CE">
        <w:rPr>
          <w:rFonts w:ascii="Times New Roman" w:hAnsi="Times New Roman"/>
          <w:color w:val="000000"/>
          <w:szCs w:val="24"/>
        </w:rPr>
        <w:t xml:space="preserve">in this study specifically </w:t>
      </w:r>
      <w:r w:rsidR="0057307B" w:rsidRPr="005A44CE">
        <w:rPr>
          <w:rFonts w:ascii="Times New Roman" w:hAnsi="Times New Roman"/>
          <w:color w:val="000000"/>
          <w:szCs w:val="24"/>
        </w:rPr>
        <w:t>reported that after splitting up with his girlfriend, he found himself having more sexual partners, and thus used STI testing services more frequently than he had before.</w:t>
      </w:r>
      <w:r w:rsidR="004C7E37" w:rsidRPr="005A44CE">
        <w:rPr>
          <w:rFonts w:ascii="Times New Roman" w:hAnsi="Times New Roman"/>
          <w:color w:val="000000"/>
          <w:szCs w:val="24"/>
        </w:rPr>
        <w:t xml:space="preserve"> </w:t>
      </w:r>
      <w:r w:rsidR="006D0318" w:rsidRPr="005A44CE">
        <w:rPr>
          <w:rFonts w:ascii="Times New Roman" w:hAnsi="Times New Roman"/>
          <w:color w:val="000000"/>
          <w:szCs w:val="24"/>
        </w:rPr>
        <w:t>However</w:t>
      </w:r>
      <w:r w:rsidR="00FD5C75" w:rsidRPr="005A44CE">
        <w:rPr>
          <w:rFonts w:ascii="Times New Roman" w:hAnsi="Times New Roman"/>
          <w:color w:val="000000"/>
          <w:szCs w:val="24"/>
        </w:rPr>
        <w:t>, participants in this study also reported that a common reason for seeking STI testing was because they were in a relationship and about to stop using condoms with their partner.</w:t>
      </w:r>
      <w:r w:rsidR="00936237" w:rsidRPr="00936237">
        <w:rPr>
          <w:rFonts w:ascii="Times New Roman" w:hAnsi="Times New Roman"/>
          <w:color w:val="000000"/>
          <w:szCs w:val="24"/>
          <w:vertAlign w:val="superscript"/>
        </w:rPr>
        <w:t>2</w:t>
      </w:r>
      <w:r w:rsidR="003A7285">
        <w:rPr>
          <w:rFonts w:ascii="Times New Roman" w:hAnsi="Times New Roman"/>
          <w:color w:val="000000"/>
          <w:szCs w:val="24"/>
          <w:vertAlign w:val="superscript"/>
        </w:rPr>
        <w:t>2</w:t>
      </w:r>
      <w:r w:rsidR="00FD5C75" w:rsidRPr="005A44CE">
        <w:rPr>
          <w:rFonts w:ascii="Times New Roman" w:hAnsi="Times New Roman"/>
          <w:color w:val="000000"/>
          <w:szCs w:val="24"/>
        </w:rPr>
        <w:t xml:space="preserve"> As such, further exploration of the association between STI testing and relationship status is warranted. </w:t>
      </w:r>
    </w:p>
    <w:p w14:paraId="441503D4" w14:textId="514EE824" w:rsidR="00BF49D9" w:rsidRPr="005A44CE" w:rsidRDefault="00BF49D9" w:rsidP="00B40E87">
      <w:pPr>
        <w:pStyle w:val="BodyText3"/>
        <w:tabs>
          <w:tab w:val="left" w:pos="540"/>
        </w:tabs>
        <w:ind w:right="0"/>
        <w:rPr>
          <w:rFonts w:ascii="Times New Roman" w:hAnsi="Times New Roman"/>
          <w:color w:val="000000"/>
          <w:szCs w:val="24"/>
        </w:rPr>
      </w:pPr>
      <w:r w:rsidRPr="005A44CE">
        <w:rPr>
          <w:rFonts w:ascii="Times New Roman" w:hAnsi="Times New Roman"/>
          <w:color w:val="000000"/>
          <w:szCs w:val="24"/>
        </w:rPr>
        <w:tab/>
      </w:r>
      <w:r w:rsidR="00FD5C75" w:rsidRPr="005A44CE">
        <w:rPr>
          <w:rFonts w:ascii="Times New Roman" w:hAnsi="Times New Roman"/>
          <w:color w:val="000000"/>
          <w:szCs w:val="24"/>
        </w:rPr>
        <w:t>R</w:t>
      </w:r>
      <w:r w:rsidRPr="005A44CE">
        <w:rPr>
          <w:rFonts w:ascii="Times New Roman" w:hAnsi="Times New Roman"/>
          <w:color w:val="000000"/>
          <w:szCs w:val="24"/>
        </w:rPr>
        <w:t xml:space="preserve">elationship status </w:t>
      </w:r>
      <w:r w:rsidR="00FD5C75" w:rsidRPr="005A44CE">
        <w:rPr>
          <w:rFonts w:ascii="Times New Roman" w:hAnsi="Times New Roman"/>
          <w:color w:val="000000"/>
          <w:szCs w:val="24"/>
        </w:rPr>
        <w:t xml:space="preserve">may also </w:t>
      </w:r>
      <w:r w:rsidR="002B0EED" w:rsidRPr="005A44CE">
        <w:rPr>
          <w:rFonts w:ascii="Times New Roman" w:hAnsi="Times New Roman"/>
          <w:color w:val="000000"/>
          <w:szCs w:val="24"/>
        </w:rPr>
        <w:t>influence</w:t>
      </w:r>
      <w:r w:rsidRPr="005A44CE">
        <w:rPr>
          <w:rFonts w:ascii="Times New Roman" w:hAnsi="Times New Roman"/>
          <w:color w:val="000000"/>
          <w:szCs w:val="24"/>
        </w:rPr>
        <w:t xml:space="preserve"> contraception</w:t>
      </w:r>
      <w:r w:rsidR="00EB3355" w:rsidRPr="005A44CE">
        <w:rPr>
          <w:rFonts w:ascii="Times New Roman" w:hAnsi="Times New Roman"/>
          <w:color w:val="000000"/>
          <w:szCs w:val="24"/>
        </w:rPr>
        <w:t xml:space="preserve"> and safer sex</w:t>
      </w:r>
      <w:r w:rsidRPr="005A44CE">
        <w:rPr>
          <w:rFonts w:ascii="Times New Roman" w:hAnsi="Times New Roman"/>
          <w:color w:val="000000"/>
          <w:szCs w:val="24"/>
        </w:rPr>
        <w:t xml:space="preserve"> choices. Research by Brown </w:t>
      </w:r>
      <w:r w:rsidR="00EB3355" w:rsidRPr="005A44CE">
        <w:rPr>
          <w:rFonts w:ascii="Times New Roman" w:hAnsi="Times New Roman"/>
          <w:color w:val="000000"/>
          <w:szCs w:val="24"/>
        </w:rPr>
        <w:t>found</w:t>
      </w:r>
      <w:r w:rsidR="00FD5C75" w:rsidRPr="005A44CE">
        <w:rPr>
          <w:rFonts w:ascii="Times New Roman" w:hAnsi="Times New Roman"/>
          <w:color w:val="000000"/>
          <w:szCs w:val="24"/>
        </w:rPr>
        <w:t xml:space="preserve"> </w:t>
      </w:r>
      <w:r w:rsidRPr="005A44CE">
        <w:rPr>
          <w:rFonts w:ascii="Times New Roman" w:hAnsi="Times New Roman"/>
          <w:color w:val="000000"/>
          <w:szCs w:val="24"/>
        </w:rPr>
        <w:t>that when people are single, the use of contraception is complex and fluid.</w:t>
      </w:r>
      <w:r w:rsidR="00C97BC3" w:rsidRPr="00C97BC3">
        <w:rPr>
          <w:rFonts w:ascii="Times New Roman" w:hAnsi="Times New Roman"/>
          <w:color w:val="000000"/>
          <w:szCs w:val="24"/>
          <w:vertAlign w:val="superscript"/>
        </w:rPr>
        <w:t>2</w:t>
      </w:r>
      <w:r w:rsidR="003A7285">
        <w:rPr>
          <w:rFonts w:ascii="Times New Roman" w:hAnsi="Times New Roman"/>
          <w:color w:val="000000"/>
          <w:szCs w:val="24"/>
          <w:vertAlign w:val="superscript"/>
        </w:rPr>
        <w:t>3</w:t>
      </w:r>
      <w:r w:rsidRPr="005A44CE">
        <w:rPr>
          <w:rFonts w:ascii="Times New Roman" w:hAnsi="Times New Roman"/>
          <w:color w:val="000000"/>
          <w:szCs w:val="24"/>
        </w:rPr>
        <w:t xml:space="preserve"> </w:t>
      </w:r>
      <w:r w:rsidR="00FD5C75" w:rsidRPr="005A44CE">
        <w:rPr>
          <w:rFonts w:ascii="Times New Roman" w:hAnsi="Times New Roman"/>
          <w:color w:val="000000"/>
          <w:szCs w:val="24"/>
        </w:rPr>
        <w:t>In two samples of young people, aged</w:t>
      </w:r>
      <w:r w:rsidRPr="005A44CE">
        <w:rPr>
          <w:rFonts w:ascii="Times New Roman" w:hAnsi="Times New Roman"/>
          <w:color w:val="000000"/>
          <w:szCs w:val="24"/>
        </w:rPr>
        <w:t xml:space="preserve"> </w:t>
      </w:r>
      <w:r w:rsidR="00342D20" w:rsidRPr="005A44CE">
        <w:rPr>
          <w:rFonts w:ascii="Times New Roman" w:hAnsi="Times New Roman"/>
          <w:color w:val="000000"/>
          <w:szCs w:val="24"/>
        </w:rPr>
        <w:t>14–20</w:t>
      </w:r>
      <w:r w:rsidR="00FD5C75" w:rsidRPr="005A44CE">
        <w:rPr>
          <w:rFonts w:ascii="Times New Roman" w:hAnsi="Times New Roman"/>
          <w:color w:val="000000"/>
          <w:szCs w:val="24"/>
        </w:rPr>
        <w:t xml:space="preserve"> </w:t>
      </w:r>
      <w:r w:rsidR="00342D20" w:rsidRPr="005A44CE">
        <w:rPr>
          <w:rFonts w:ascii="Times New Roman" w:hAnsi="Times New Roman"/>
          <w:color w:val="000000"/>
          <w:szCs w:val="24"/>
        </w:rPr>
        <w:t>year</w:t>
      </w:r>
      <w:r w:rsidR="00FD5C75" w:rsidRPr="005A44CE">
        <w:rPr>
          <w:rFonts w:ascii="Times New Roman" w:hAnsi="Times New Roman"/>
          <w:color w:val="000000"/>
          <w:szCs w:val="24"/>
        </w:rPr>
        <w:t>s</w:t>
      </w:r>
      <w:r w:rsidRPr="005A44CE">
        <w:rPr>
          <w:rFonts w:ascii="Times New Roman" w:hAnsi="Times New Roman"/>
          <w:color w:val="000000"/>
          <w:szCs w:val="24"/>
        </w:rPr>
        <w:t xml:space="preserve"> from the north of England</w:t>
      </w:r>
      <w:r w:rsidR="00FD5C75" w:rsidRPr="005A44CE">
        <w:rPr>
          <w:rFonts w:ascii="Times New Roman" w:hAnsi="Times New Roman"/>
          <w:color w:val="000000"/>
          <w:szCs w:val="24"/>
        </w:rPr>
        <w:t>,</w:t>
      </w:r>
      <w:r w:rsidR="00C90A78" w:rsidRPr="005A44CE">
        <w:rPr>
          <w:rFonts w:ascii="Times New Roman" w:hAnsi="Times New Roman"/>
          <w:color w:val="000000"/>
          <w:szCs w:val="24"/>
        </w:rPr>
        <w:t xml:space="preserve"> attitudes towards contraception differ</w:t>
      </w:r>
      <w:r w:rsidR="00FD5C75" w:rsidRPr="005A44CE">
        <w:rPr>
          <w:rFonts w:ascii="Times New Roman" w:hAnsi="Times New Roman"/>
          <w:color w:val="000000"/>
          <w:szCs w:val="24"/>
        </w:rPr>
        <w:t>ed</w:t>
      </w:r>
      <w:r w:rsidR="00C90A78" w:rsidRPr="005A44CE">
        <w:rPr>
          <w:rFonts w:ascii="Times New Roman" w:hAnsi="Times New Roman"/>
          <w:color w:val="000000"/>
          <w:szCs w:val="24"/>
        </w:rPr>
        <w:t xml:space="preserve"> greatly from person to person</w:t>
      </w:r>
      <w:r w:rsidRPr="005A44CE">
        <w:rPr>
          <w:rFonts w:ascii="Times New Roman" w:hAnsi="Times New Roman"/>
          <w:color w:val="000000"/>
          <w:szCs w:val="24"/>
        </w:rPr>
        <w:t xml:space="preserve"> </w:t>
      </w:r>
      <w:r w:rsidR="00C90A78" w:rsidRPr="005A44CE">
        <w:rPr>
          <w:rFonts w:ascii="Times New Roman" w:hAnsi="Times New Roman"/>
          <w:color w:val="000000"/>
          <w:szCs w:val="24"/>
        </w:rPr>
        <w:t xml:space="preserve">regarding </w:t>
      </w:r>
      <w:r w:rsidRPr="005A44CE">
        <w:rPr>
          <w:rFonts w:ascii="Times New Roman" w:hAnsi="Times New Roman"/>
          <w:color w:val="000000"/>
          <w:szCs w:val="24"/>
        </w:rPr>
        <w:t xml:space="preserve">the use of the pill and condoms to protect </w:t>
      </w:r>
      <w:r w:rsidR="00EB3355" w:rsidRPr="005A44CE">
        <w:rPr>
          <w:rFonts w:ascii="Times New Roman" w:hAnsi="Times New Roman"/>
          <w:color w:val="000000"/>
          <w:szCs w:val="24"/>
        </w:rPr>
        <w:t xml:space="preserve">from </w:t>
      </w:r>
      <w:r w:rsidRPr="005A44CE">
        <w:rPr>
          <w:rFonts w:ascii="Times New Roman" w:hAnsi="Times New Roman"/>
          <w:color w:val="000000"/>
          <w:szCs w:val="24"/>
        </w:rPr>
        <w:t>STIs and pregnancy</w:t>
      </w:r>
      <w:r w:rsidR="00EB3355" w:rsidRPr="005A44CE">
        <w:rPr>
          <w:rFonts w:ascii="Times New Roman" w:hAnsi="Times New Roman"/>
          <w:color w:val="000000"/>
          <w:szCs w:val="24"/>
        </w:rPr>
        <w:t xml:space="preserve"> when single</w:t>
      </w:r>
      <w:r w:rsidRPr="005A44CE">
        <w:rPr>
          <w:rFonts w:ascii="Times New Roman" w:hAnsi="Times New Roman"/>
          <w:color w:val="000000"/>
          <w:szCs w:val="24"/>
        </w:rPr>
        <w:t>.</w:t>
      </w:r>
      <w:r w:rsidR="00342D20" w:rsidRPr="005A44CE">
        <w:rPr>
          <w:rFonts w:ascii="Times New Roman" w:hAnsi="Times New Roman"/>
          <w:color w:val="000000"/>
          <w:szCs w:val="24"/>
        </w:rPr>
        <w:t xml:space="preserve"> </w:t>
      </w:r>
      <w:r w:rsidR="00EB3355" w:rsidRPr="005A44CE">
        <w:rPr>
          <w:rFonts w:ascii="Times New Roman" w:hAnsi="Times New Roman"/>
          <w:color w:val="000000"/>
          <w:szCs w:val="24"/>
        </w:rPr>
        <w:t xml:space="preserve">However, participants in this study also reported that relationship status was a factor in making contraceptive and safer sex choices and that they felt that </w:t>
      </w:r>
      <w:r w:rsidR="00342D20" w:rsidRPr="005A44CE">
        <w:rPr>
          <w:rFonts w:ascii="Times New Roman" w:hAnsi="Times New Roman"/>
          <w:color w:val="000000"/>
          <w:szCs w:val="24"/>
        </w:rPr>
        <w:t>single people are more likely to use condoms compared to those in a relationship</w:t>
      </w:r>
      <w:r w:rsidR="00EB3355" w:rsidRPr="005A44CE">
        <w:rPr>
          <w:rFonts w:ascii="Times New Roman" w:hAnsi="Times New Roman"/>
          <w:color w:val="000000"/>
          <w:szCs w:val="24"/>
        </w:rPr>
        <w:t xml:space="preserve"> and that as the relationship progressed, couples were more likely to discuss and chose to use other methods like the pill or a long-acting reversible contraception (LARC). Similar findings were </w:t>
      </w:r>
      <w:r w:rsidR="00EB3355" w:rsidRPr="005A44CE">
        <w:rPr>
          <w:rFonts w:ascii="Times New Roman" w:hAnsi="Times New Roman"/>
          <w:color w:val="000000"/>
          <w:szCs w:val="24"/>
        </w:rPr>
        <w:lastRenderedPageBreak/>
        <w:t>also reported from a sample of young women in Scotland.</w:t>
      </w:r>
      <w:r w:rsidR="00C97BC3" w:rsidRPr="00C97BC3">
        <w:rPr>
          <w:rFonts w:ascii="Times New Roman" w:hAnsi="Times New Roman"/>
          <w:color w:val="000000"/>
          <w:szCs w:val="24"/>
          <w:vertAlign w:val="superscript"/>
        </w:rPr>
        <w:t>2</w:t>
      </w:r>
      <w:r w:rsidR="003A7285">
        <w:rPr>
          <w:rFonts w:ascii="Times New Roman" w:hAnsi="Times New Roman"/>
          <w:color w:val="000000"/>
          <w:szCs w:val="24"/>
          <w:vertAlign w:val="superscript"/>
        </w:rPr>
        <w:t>4</w:t>
      </w:r>
      <w:r w:rsidR="00342D20" w:rsidRPr="005A44CE">
        <w:rPr>
          <w:rFonts w:ascii="Times New Roman" w:hAnsi="Times New Roman"/>
          <w:color w:val="000000"/>
          <w:szCs w:val="24"/>
        </w:rPr>
        <w:t xml:space="preserve"> </w:t>
      </w:r>
      <w:r w:rsidR="00EB3355" w:rsidRPr="005A44CE">
        <w:rPr>
          <w:rFonts w:ascii="Times New Roman" w:hAnsi="Times New Roman"/>
          <w:color w:val="000000"/>
          <w:szCs w:val="24"/>
        </w:rPr>
        <w:t xml:space="preserve">As such, </w:t>
      </w:r>
      <w:r w:rsidR="00342D20" w:rsidRPr="005A44CE">
        <w:rPr>
          <w:rFonts w:ascii="Times New Roman" w:hAnsi="Times New Roman"/>
          <w:color w:val="000000"/>
          <w:szCs w:val="24"/>
        </w:rPr>
        <w:t xml:space="preserve">people in relationships </w:t>
      </w:r>
      <w:r w:rsidR="00EB3355" w:rsidRPr="005A44CE">
        <w:rPr>
          <w:rFonts w:ascii="Times New Roman" w:hAnsi="Times New Roman"/>
          <w:color w:val="000000"/>
          <w:szCs w:val="24"/>
        </w:rPr>
        <w:t xml:space="preserve">are likely to </w:t>
      </w:r>
      <w:r w:rsidR="00342D20" w:rsidRPr="005A44CE">
        <w:rPr>
          <w:rFonts w:ascii="Times New Roman" w:hAnsi="Times New Roman"/>
          <w:color w:val="000000"/>
          <w:szCs w:val="24"/>
        </w:rPr>
        <w:t xml:space="preserve">have different sexual health needs </w:t>
      </w:r>
      <w:r w:rsidR="00EB3355" w:rsidRPr="005A44CE">
        <w:rPr>
          <w:rFonts w:ascii="Times New Roman" w:hAnsi="Times New Roman"/>
          <w:color w:val="000000"/>
          <w:szCs w:val="24"/>
        </w:rPr>
        <w:t>compared with</w:t>
      </w:r>
      <w:r w:rsidR="00342D20" w:rsidRPr="005A44CE">
        <w:rPr>
          <w:rFonts w:ascii="Times New Roman" w:hAnsi="Times New Roman"/>
          <w:color w:val="000000"/>
          <w:szCs w:val="24"/>
        </w:rPr>
        <w:t xml:space="preserve"> those </w:t>
      </w:r>
      <w:r w:rsidR="00EB3355" w:rsidRPr="005A44CE">
        <w:rPr>
          <w:rFonts w:ascii="Times New Roman" w:hAnsi="Times New Roman"/>
          <w:color w:val="000000"/>
          <w:szCs w:val="24"/>
        </w:rPr>
        <w:t xml:space="preserve">who </w:t>
      </w:r>
      <w:r w:rsidR="00342D20" w:rsidRPr="005A44CE">
        <w:rPr>
          <w:rFonts w:ascii="Times New Roman" w:hAnsi="Times New Roman"/>
          <w:color w:val="000000"/>
          <w:szCs w:val="24"/>
        </w:rPr>
        <w:t xml:space="preserve">are single </w:t>
      </w:r>
      <w:r w:rsidR="00EB3355" w:rsidRPr="005A44CE">
        <w:rPr>
          <w:rFonts w:ascii="Times New Roman" w:hAnsi="Times New Roman"/>
          <w:color w:val="000000"/>
          <w:szCs w:val="24"/>
        </w:rPr>
        <w:t xml:space="preserve">and may </w:t>
      </w:r>
      <w:r w:rsidR="00342D20" w:rsidRPr="005A44CE">
        <w:rPr>
          <w:rFonts w:ascii="Times New Roman" w:hAnsi="Times New Roman"/>
          <w:color w:val="000000"/>
          <w:szCs w:val="24"/>
        </w:rPr>
        <w:t xml:space="preserve">therefore engage differently with sexual health services.  </w:t>
      </w:r>
    </w:p>
    <w:p w14:paraId="75A08EA2" w14:textId="091447F1" w:rsidR="003828C8" w:rsidRPr="005A44CE" w:rsidRDefault="0019659B" w:rsidP="006D53E7">
      <w:pPr>
        <w:pStyle w:val="BodyText3"/>
        <w:tabs>
          <w:tab w:val="left" w:pos="540"/>
        </w:tabs>
        <w:ind w:right="0"/>
        <w:rPr>
          <w:rFonts w:ascii="Times New Roman" w:hAnsi="Times New Roman"/>
          <w:color w:val="000000"/>
          <w:szCs w:val="24"/>
        </w:rPr>
      </w:pPr>
      <w:r w:rsidRPr="005A44CE">
        <w:rPr>
          <w:rFonts w:ascii="Times New Roman" w:hAnsi="Times New Roman"/>
          <w:color w:val="000000"/>
          <w:szCs w:val="24"/>
        </w:rPr>
        <w:tab/>
      </w:r>
      <w:r w:rsidR="005B0EBC" w:rsidRPr="005A44CE">
        <w:rPr>
          <w:rFonts w:ascii="Times New Roman" w:hAnsi="Times New Roman"/>
          <w:color w:val="000000"/>
          <w:szCs w:val="24"/>
        </w:rPr>
        <w:t xml:space="preserve">This </w:t>
      </w:r>
      <w:r w:rsidR="00FD5C75" w:rsidRPr="005A44CE">
        <w:rPr>
          <w:rFonts w:ascii="Times New Roman" w:hAnsi="Times New Roman"/>
          <w:color w:val="000000"/>
          <w:szCs w:val="24"/>
        </w:rPr>
        <w:t>study</w:t>
      </w:r>
      <w:r w:rsidR="005B0EBC" w:rsidRPr="005A44CE">
        <w:rPr>
          <w:rFonts w:ascii="Times New Roman" w:hAnsi="Times New Roman"/>
          <w:color w:val="000000"/>
          <w:szCs w:val="24"/>
        </w:rPr>
        <w:t xml:space="preserve"> aims to</w:t>
      </w:r>
      <w:r w:rsidR="00FD5C75" w:rsidRPr="005A44CE">
        <w:rPr>
          <w:rFonts w:ascii="Times New Roman" w:hAnsi="Times New Roman"/>
          <w:color w:val="000000"/>
          <w:szCs w:val="24"/>
        </w:rPr>
        <w:t xml:space="preserve"> explore</w:t>
      </w:r>
      <w:r w:rsidR="005B0EBC" w:rsidRPr="005A44CE">
        <w:rPr>
          <w:rFonts w:ascii="Times New Roman" w:hAnsi="Times New Roman"/>
          <w:color w:val="000000"/>
          <w:szCs w:val="24"/>
        </w:rPr>
        <w:t xml:space="preserve"> how</w:t>
      </w:r>
      <w:r w:rsidR="00FD5C75" w:rsidRPr="005A44CE">
        <w:rPr>
          <w:rFonts w:ascii="Times New Roman" w:hAnsi="Times New Roman"/>
          <w:color w:val="000000"/>
          <w:szCs w:val="24"/>
        </w:rPr>
        <w:t xml:space="preserve"> young</w:t>
      </w:r>
      <w:r w:rsidR="005B0EBC" w:rsidRPr="005A44CE">
        <w:rPr>
          <w:rFonts w:ascii="Times New Roman" w:hAnsi="Times New Roman"/>
          <w:color w:val="000000"/>
          <w:szCs w:val="24"/>
        </w:rPr>
        <w:t xml:space="preserve"> people in relationship</w:t>
      </w:r>
      <w:r w:rsidR="00FD5C75" w:rsidRPr="005A44CE">
        <w:rPr>
          <w:rFonts w:ascii="Times New Roman" w:hAnsi="Times New Roman"/>
          <w:color w:val="000000"/>
          <w:szCs w:val="24"/>
        </w:rPr>
        <w:t>s</w:t>
      </w:r>
      <w:r w:rsidR="005B0EBC" w:rsidRPr="005A44CE">
        <w:rPr>
          <w:rFonts w:ascii="Times New Roman" w:hAnsi="Times New Roman"/>
          <w:color w:val="000000"/>
          <w:szCs w:val="24"/>
        </w:rPr>
        <w:t xml:space="preserve"> differ in sexual health engagement to those who are single. </w:t>
      </w:r>
      <w:r w:rsidR="00FD5C75" w:rsidRPr="005A44CE">
        <w:rPr>
          <w:rFonts w:ascii="Times New Roman" w:hAnsi="Times New Roman"/>
          <w:color w:val="000000"/>
          <w:szCs w:val="24"/>
        </w:rPr>
        <w:t xml:space="preserve">As UK sexual health services offer a broad range of services, we focused specifically on five which were expected to be particularly relevant to </w:t>
      </w:r>
      <w:proofErr w:type="gramStart"/>
      <w:r w:rsidR="00FD5C75" w:rsidRPr="005A44CE">
        <w:rPr>
          <w:rFonts w:ascii="Times New Roman" w:hAnsi="Times New Roman"/>
          <w:color w:val="000000"/>
          <w:szCs w:val="24"/>
        </w:rPr>
        <w:t>16-25 year olds</w:t>
      </w:r>
      <w:proofErr w:type="gramEnd"/>
      <w:r w:rsidR="00FD5C75" w:rsidRPr="005A44CE">
        <w:rPr>
          <w:rFonts w:ascii="Times New Roman" w:hAnsi="Times New Roman"/>
          <w:color w:val="000000"/>
          <w:szCs w:val="24"/>
        </w:rPr>
        <w:t xml:space="preserve"> including: </w:t>
      </w:r>
      <w:r w:rsidR="00FD5C75" w:rsidRPr="005A44CE">
        <w:rPr>
          <w:rFonts w:ascii="Times New Roman" w:hAnsi="Times New Roman"/>
          <w:color w:val="000000" w:themeColor="text1"/>
          <w:szCs w:val="24"/>
        </w:rPr>
        <w:t xml:space="preserve">accessing </w:t>
      </w:r>
      <w:r w:rsidR="00FD5C75" w:rsidRPr="005A44CE">
        <w:rPr>
          <w:rFonts w:ascii="Times New Roman" w:hAnsi="Times New Roman"/>
          <w:szCs w:val="24"/>
        </w:rPr>
        <w:t xml:space="preserve">free condoms, STI testing, relationship advice, starting the pill, and pregnancy testing. </w:t>
      </w:r>
      <w:bookmarkEnd w:id="0"/>
      <w:r w:rsidR="00FD5C75" w:rsidRPr="005A44CE">
        <w:rPr>
          <w:rFonts w:ascii="Times New Roman" w:hAnsi="Times New Roman"/>
          <w:color w:val="000000"/>
          <w:szCs w:val="24"/>
        </w:rPr>
        <w:t>While</w:t>
      </w:r>
      <w:r w:rsidR="006F17CF" w:rsidRPr="005A44CE">
        <w:rPr>
          <w:rFonts w:ascii="Times New Roman" w:hAnsi="Times New Roman"/>
          <w:color w:val="000000"/>
          <w:szCs w:val="24"/>
        </w:rPr>
        <w:t xml:space="preserve"> this is</w:t>
      </w:r>
      <w:r w:rsidR="00FD5C75" w:rsidRPr="005A44CE">
        <w:rPr>
          <w:rFonts w:ascii="Times New Roman" w:hAnsi="Times New Roman"/>
          <w:color w:val="000000"/>
          <w:szCs w:val="24"/>
        </w:rPr>
        <w:t xml:space="preserve"> primarily</w:t>
      </w:r>
      <w:r w:rsidR="006F17CF" w:rsidRPr="005A44CE">
        <w:rPr>
          <w:rFonts w:ascii="Times New Roman" w:hAnsi="Times New Roman"/>
          <w:color w:val="000000"/>
          <w:szCs w:val="24"/>
        </w:rPr>
        <w:t xml:space="preserve"> an exploratory project, </w:t>
      </w:r>
      <w:r w:rsidR="00FD5C75" w:rsidRPr="005A44CE">
        <w:rPr>
          <w:rFonts w:ascii="Times New Roman" w:hAnsi="Times New Roman"/>
          <w:color w:val="000000"/>
          <w:szCs w:val="24"/>
        </w:rPr>
        <w:t>i</w:t>
      </w:r>
      <w:r w:rsidR="003828C8" w:rsidRPr="005A44CE">
        <w:rPr>
          <w:rFonts w:ascii="Times New Roman" w:hAnsi="Times New Roman"/>
          <w:color w:val="000000"/>
          <w:szCs w:val="24"/>
        </w:rPr>
        <w:t>t is expected that people in relationship</w:t>
      </w:r>
      <w:r w:rsidR="00FD5C75" w:rsidRPr="005A44CE">
        <w:rPr>
          <w:rFonts w:ascii="Times New Roman" w:hAnsi="Times New Roman"/>
          <w:color w:val="000000"/>
          <w:szCs w:val="24"/>
        </w:rPr>
        <w:t>s will be</w:t>
      </w:r>
      <w:r w:rsidR="003828C8" w:rsidRPr="005A44CE">
        <w:rPr>
          <w:rFonts w:ascii="Times New Roman" w:hAnsi="Times New Roman"/>
          <w:color w:val="000000"/>
          <w:szCs w:val="24"/>
        </w:rPr>
        <w:t xml:space="preserve"> more likely to </w:t>
      </w:r>
      <w:r w:rsidR="00FD5C75" w:rsidRPr="005A44CE">
        <w:rPr>
          <w:rFonts w:ascii="Times New Roman" w:hAnsi="Times New Roman"/>
          <w:color w:val="000000"/>
          <w:szCs w:val="24"/>
        </w:rPr>
        <w:t>have accessed services to start the</w:t>
      </w:r>
      <w:r w:rsidR="003828C8" w:rsidRPr="005A44CE">
        <w:rPr>
          <w:rFonts w:ascii="Times New Roman" w:hAnsi="Times New Roman"/>
          <w:color w:val="000000"/>
          <w:szCs w:val="24"/>
        </w:rPr>
        <w:t xml:space="preserve"> pill than those who are single. We</w:t>
      </w:r>
      <w:r w:rsidR="00FD5C75" w:rsidRPr="005A44CE">
        <w:rPr>
          <w:rFonts w:ascii="Times New Roman" w:hAnsi="Times New Roman"/>
          <w:color w:val="000000"/>
          <w:szCs w:val="24"/>
        </w:rPr>
        <w:t xml:space="preserve"> also</w:t>
      </w:r>
      <w:r w:rsidR="003828C8" w:rsidRPr="005A44CE">
        <w:rPr>
          <w:rFonts w:ascii="Times New Roman" w:hAnsi="Times New Roman"/>
          <w:color w:val="000000"/>
          <w:szCs w:val="24"/>
        </w:rPr>
        <w:t xml:space="preserve"> expect</w:t>
      </w:r>
      <w:r w:rsidR="00F15091" w:rsidRPr="005A44CE">
        <w:rPr>
          <w:rFonts w:ascii="Times New Roman" w:hAnsi="Times New Roman"/>
          <w:color w:val="000000"/>
          <w:szCs w:val="24"/>
        </w:rPr>
        <w:t>ed</w:t>
      </w:r>
      <w:r w:rsidR="003828C8" w:rsidRPr="005A44CE">
        <w:rPr>
          <w:rFonts w:ascii="Times New Roman" w:hAnsi="Times New Roman"/>
          <w:color w:val="000000"/>
          <w:szCs w:val="24"/>
        </w:rPr>
        <w:t xml:space="preserve"> that single individuals </w:t>
      </w:r>
      <w:r w:rsidR="00FD5C75" w:rsidRPr="005A44CE">
        <w:rPr>
          <w:rFonts w:ascii="Times New Roman" w:hAnsi="Times New Roman"/>
          <w:color w:val="000000"/>
          <w:szCs w:val="24"/>
        </w:rPr>
        <w:t xml:space="preserve">will be more likely to have accessed </w:t>
      </w:r>
      <w:r w:rsidR="00EB3355" w:rsidRPr="005A44CE">
        <w:rPr>
          <w:rFonts w:ascii="Times New Roman" w:hAnsi="Times New Roman"/>
          <w:color w:val="000000"/>
          <w:szCs w:val="24"/>
        </w:rPr>
        <w:t xml:space="preserve">free condoms and </w:t>
      </w:r>
      <w:r w:rsidR="003828C8" w:rsidRPr="005A44CE">
        <w:rPr>
          <w:rFonts w:ascii="Times New Roman" w:hAnsi="Times New Roman"/>
          <w:color w:val="000000"/>
          <w:szCs w:val="24"/>
        </w:rPr>
        <w:t>STI testing services.</w:t>
      </w:r>
      <w:r w:rsidR="00FD5C75" w:rsidRPr="005A44CE">
        <w:rPr>
          <w:rFonts w:ascii="Times New Roman" w:hAnsi="Times New Roman"/>
          <w:color w:val="000000"/>
          <w:szCs w:val="24"/>
        </w:rPr>
        <w:t xml:space="preserve"> We made no predictions about how or if relationship status would be associated with accessing relationship advice or pregnancy testing.</w:t>
      </w:r>
    </w:p>
    <w:p w14:paraId="55ABCF05" w14:textId="6C836128" w:rsidR="006F4050" w:rsidRPr="005A44CE" w:rsidRDefault="006F4050" w:rsidP="006D53E7">
      <w:pPr>
        <w:pStyle w:val="BodyText3"/>
        <w:tabs>
          <w:tab w:val="left" w:pos="540"/>
        </w:tabs>
        <w:ind w:right="0"/>
        <w:jc w:val="center"/>
        <w:rPr>
          <w:rFonts w:ascii="Times New Roman" w:hAnsi="Times New Roman"/>
          <w:color w:val="000000"/>
          <w:szCs w:val="24"/>
        </w:rPr>
      </w:pPr>
      <w:r w:rsidRPr="005A44CE">
        <w:rPr>
          <w:rFonts w:ascii="Times New Roman" w:hAnsi="Times New Roman"/>
          <w:b/>
          <w:bCs/>
          <w:szCs w:val="24"/>
        </w:rPr>
        <w:t>Method</w:t>
      </w:r>
    </w:p>
    <w:p w14:paraId="71A2B114" w14:textId="4E88FBE9" w:rsidR="00C24017" w:rsidRPr="005A44CE" w:rsidRDefault="005D7607" w:rsidP="000F3B59">
      <w:pPr>
        <w:spacing w:line="480" w:lineRule="auto"/>
        <w:ind w:firstLine="720"/>
        <w:rPr>
          <w:rFonts w:ascii="Times New Roman" w:hAnsi="Times New Roman"/>
          <w:color w:val="000000" w:themeColor="text1"/>
          <w:sz w:val="24"/>
        </w:rPr>
      </w:pPr>
      <w:r w:rsidRPr="005A44CE">
        <w:rPr>
          <w:rFonts w:ascii="Times New Roman" w:hAnsi="Times New Roman"/>
          <w:color w:val="000000" w:themeColor="text1"/>
          <w:sz w:val="24"/>
        </w:rPr>
        <w:t>Participation in the study was open to young people living in the UK, aged 16-25 years.</w:t>
      </w:r>
      <w:r w:rsidR="00BE4193" w:rsidRPr="005A44CE">
        <w:rPr>
          <w:rFonts w:ascii="Times New Roman" w:hAnsi="Times New Roman"/>
          <w:color w:val="000000" w:themeColor="text1"/>
          <w:sz w:val="24"/>
        </w:rPr>
        <w:t xml:space="preserve"> </w:t>
      </w:r>
      <w:r w:rsidR="00524983" w:rsidRPr="005A44CE">
        <w:rPr>
          <w:rFonts w:ascii="Times New Roman" w:hAnsi="Times New Roman"/>
          <w:color w:val="000000" w:themeColor="text1"/>
          <w:sz w:val="24"/>
        </w:rPr>
        <w:t xml:space="preserve">Recruitment </w:t>
      </w:r>
      <w:r w:rsidR="000459B2" w:rsidRPr="005A44CE">
        <w:rPr>
          <w:rFonts w:ascii="Times New Roman" w:hAnsi="Times New Roman"/>
          <w:color w:val="000000" w:themeColor="text1"/>
          <w:sz w:val="24"/>
        </w:rPr>
        <w:t xml:space="preserve">for the anonymous, online survey </w:t>
      </w:r>
      <w:r w:rsidR="00524983" w:rsidRPr="005A44CE">
        <w:rPr>
          <w:rFonts w:ascii="Times New Roman" w:hAnsi="Times New Roman"/>
          <w:color w:val="000000" w:themeColor="text1"/>
          <w:sz w:val="24"/>
        </w:rPr>
        <w:t xml:space="preserve">occurred </w:t>
      </w:r>
      <w:r w:rsidR="00936832" w:rsidRPr="005A44CE">
        <w:rPr>
          <w:rFonts w:ascii="Times New Roman" w:hAnsi="Times New Roman"/>
          <w:color w:val="000000" w:themeColor="text1"/>
          <w:sz w:val="24"/>
        </w:rPr>
        <w:t>between November 2022 and March 2023</w:t>
      </w:r>
      <w:r w:rsidR="00936832">
        <w:rPr>
          <w:rFonts w:ascii="Times New Roman" w:hAnsi="Times New Roman"/>
          <w:color w:val="000000" w:themeColor="text1"/>
          <w:sz w:val="24"/>
        </w:rPr>
        <w:t xml:space="preserve"> </w:t>
      </w:r>
      <w:r w:rsidR="00524983" w:rsidRPr="005A44CE">
        <w:rPr>
          <w:rFonts w:ascii="Times New Roman" w:hAnsi="Times New Roman"/>
          <w:color w:val="000000" w:themeColor="text1"/>
          <w:sz w:val="24"/>
        </w:rPr>
        <w:t xml:space="preserve">via social media (e.g., Twitter, </w:t>
      </w:r>
      <w:proofErr w:type="spellStart"/>
      <w:r w:rsidR="00524983" w:rsidRPr="005A44CE">
        <w:rPr>
          <w:rFonts w:ascii="Times New Roman" w:hAnsi="Times New Roman"/>
          <w:color w:val="000000" w:themeColor="text1"/>
          <w:sz w:val="24"/>
        </w:rPr>
        <w:t>facebook</w:t>
      </w:r>
      <w:proofErr w:type="spellEnd"/>
      <w:r w:rsidR="00524983" w:rsidRPr="005A44CE">
        <w:rPr>
          <w:rFonts w:ascii="Times New Roman" w:hAnsi="Times New Roman"/>
          <w:color w:val="000000" w:themeColor="text1"/>
          <w:sz w:val="24"/>
        </w:rPr>
        <w:t>, Instagram)</w:t>
      </w:r>
      <w:r w:rsidR="001C3224" w:rsidRPr="005A44CE">
        <w:rPr>
          <w:rFonts w:ascii="Times New Roman" w:hAnsi="Times New Roman"/>
          <w:color w:val="000000" w:themeColor="text1"/>
          <w:sz w:val="24"/>
        </w:rPr>
        <w:t>,</w:t>
      </w:r>
      <w:r w:rsidR="00524983" w:rsidRPr="005A44CE">
        <w:rPr>
          <w:rFonts w:ascii="Times New Roman" w:hAnsi="Times New Roman"/>
          <w:color w:val="000000" w:themeColor="text1"/>
          <w:sz w:val="24"/>
        </w:rPr>
        <w:t xml:space="preserve"> posters placed on the campus of the participating university</w:t>
      </w:r>
      <w:r w:rsidR="001C3224" w:rsidRPr="005A44CE">
        <w:rPr>
          <w:rFonts w:ascii="Times New Roman" w:hAnsi="Times New Roman"/>
          <w:color w:val="000000" w:themeColor="text1"/>
          <w:sz w:val="24"/>
        </w:rPr>
        <w:t xml:space="preserve">, and the university’s </w:t>
      </w:r>
      <w:r w:rsidR="00BD28DF" w:rsidRPr="005A44CE">
        <w:rPr>
          <w:rFonts w:ascii="Times New Roman" w:hAnsi="Times New Roman"/>
          <w:color w:val="000000" w:themeColor="text1"/>
          <w:sz w:val="24"/>
        </w:rPr>
        <w:t xml:space="preserve">undergraduate </w:t>
      </w:r>
      <w:r w:rsidR="001C3224" w:rsidRPr="005A44CE">
        <w:rPr>
          <w:rFonts w:ascii="Times New Roman" w:hAnsi="Times New Roman"/>
          <w:color w:val="000000" w:themeColor="text1"/>
          <w:sz w:val="24"/>
        </w:rPr>
        <w:t xml:space="preserve">psychology </w:t>
      </w:r>
      <w:r w:rsidR="00BD28DF" w:rsidRPr="005A44CE">
        <w:rPr>
          <w:rFonts w:ascii="Times New Roman" w:hAnsi="Times New Roman"/>
          <w:color w:val="000000" w:themeColor="text1"/>
          <w:sz w:val="24"/>
        </w:rPr>
        <w:t xml:space="preserve">student </w:t>
      </w:r>
      <w:r w:rsidR="001C3224" w:rsidRPr="005A44CE">
        <w:rPr>
          <w:rFonts w:ascii="Times New Roman" w:hAnsi="Times New Roman"/>
          <w:color w:val="000000" w:themeColor="text1"/>
          <w:sz w:val="24"/>
        </w:rPr>
        <w:t>participant pool</w:t>
      </w:r>
      <w:r w:rsidR="00041215" w:rsidRPr="005A44CE">
        <w:rPr>
          <w:rFonts w:ascii="Times New Roman" w:hAnsi="Times New Roman"/>
          <w:color w:val="000000" w:themeColor="text1"/>
          <w:sz w:val="24"/>
        </w:rPr>
        <w:t>. After accessing</w:t>
      </w:r>
      <w:r w:rsidR="00BE4193" w:rsidRPr="005A44CE">
        <w:rPr>
          <w:rFonts w:ascii="Times New Roman" w:hAnsi="Times New Roman"/>
          <w:color w:val="000000" w:themeColor="text1"/>
          <w:sz w:val="24"/>
        </w:rPr>
        <w:t xml:space="preserve"> the </w:t>
      </w:r>
      <w:r w:rsidR="00041215" w:rsidRPr="005A44CE">
        <w:rPr>
          <w:rFonts w:ascii="Times New Roman" w:hAnsi="Times New Roman"/>
          <w:color w:val="000000" w:themeColor="text1"/>
          <w:sz w:val="24"/>
        </w:rPr>
        <w:t>study</w:t>
      </w:r>
      <w:r w:rsidR="00B35C81" w:rsidRPr="005A44CE">
        <w:rPr>
          <w:rFonts w:ascii="Times New Roman" w:hAnsi="Times New Roman"/>
          <w:color w:val="000000" w:themeColor="text1"/>
          <w:sz w:val="24"/>
        </w:rPr>
        <w:t xml:space="preserve"> via link or QR code</w:t>
      </w:r>
      <w:r w:rsidR="00BE4193" w:rsidRPr="005A44CE">
        <w:rPr>
          <w:rFonts w:ascii="Times New Roman" w:hAnsi="Times New Roman"/>
          <w:color w:val="000000" w:themeColor="text1"/>
          <w:sz w:val="24"/>
        </w:rPr>
        <w:t xml:space="preserve">, </w:t>
      </w:r>
      <w:r w:rsidR="00041215" w:rsidRPr="005A44CE">
        <w:rPr>
          <w:rFonts w:ascii="Times New Roman" w:hAnsi="Times New Roman"/>
          <w:color w:val="000000" w:themeColor="text1"/>
          <w:sz w:val="24"/>
        </w:rPr>
        <w:t xml:space="preserve">interested </w:t>
      </w:r>
      <w:r w:rsidR="00D60D34" w:rsidRPr="005A44CE">
        <w:rPr>
          <w:rFonts w:ascii="Times New Roman" w:hAnsi="Times New Roman"/>
          <w:color w:val="000000" w:themeColor="text1"/>
          <w:sz w:val="24"/>
        </w:rPr>
        <w:t>individuals</w:t>
      </w:r>
      <w:r w:rsidR="00BE4193" w:rsidRPr="005A44CE">
        <w:rPr>
          <w:rFonts w:ascii="Times New Roman" w:hAnsi="Times New Roman"/>
          <w:color w:val="000000" w:themeColor="text1"/>
          <w:sz w:val="24"/>
        </w:rPr>
        <w:t xml:space="preserve"> were presented with a</w:t>
      </w:r>
      <w:r w:rsidR="00B35C81" w:rsidRPr="005A44CE">
        <w:rPr>
          <w:rFonts w:ascii="Times New Roman" w:hAnsi="Times New Roman"/>
          <w:color w:val="000000" w:themeColor="text1"/>
          <w:sz w:val="24"/>
        </w:rPr>
        <w:t xml:space="preserve"> detailed participant</w:t>
      </w:r>
      <w:r w:rsidR="00BE4193" w:rsidRPr="005A44CE">
        <w:rPr>
          <w:rFonts w:ascii="Times New Roman" w:hAnsi="Times New Roman"/>
          <w:color w:val="000000" w:themeColor="text1"/>
          <w:sz w:val="24"/>
        </w:rPr>
        <w:t xml:space="preserve"> information sheet</w:t>
      </w:r>
      <w:r w:rsidR="00B35C81" w:rsidRPr="005A44CE">
        <w:rPr>
          <w:rFonts w:ascii="Times New Roman" w:hAnsi="Times New Roman"/>
          <w:color w:val="000000" w:themeColor="text1"/>
          <w:sz w:val="24"/>
        </w:rPr>
        <w:t xml:space="preserve">. </w:t>
      </w:r>
      <w:r w:rsidR="00D60D34" w:rsidRPr="005A44CE">
        <w:rPr>
          <w:rFonts w:ascii="Times New Roman" w:hAnsi="Times New Roman"/>
          <w:color w:val="000000" w:themeColor="text1"/>
          <w:sz w:val="24"/>
        </w:rPr>
        <w:t>I</w:t>
      </w:r>
      <w:r w:rsidR="00B35C81" w:rsidRPr="005A44CE">
        <w:rPr>
          <w:rFonts w:ascii="Times New Roman" w:hAnsi="Times New Roman"/>
          <w:color w:val="000000" w:themeColor="text1"/>
          <w:sz w:val="24"/>
        </w:rPr>
        <w:t>nformed consent</w:t>
      </w:r>
      <w:r w:rsidR="00D60D34" w:rsidRPr="005A44CE">
        <w:rPr>
          <w:rFonts w:ascii="Times New Roman" w:hAnsi="Times New Roman"/>
          <w:color w:val="000000" w:themeColor="text1"/>
          <w:sz w:val="24"/>
        </w:rPr>
        <w:t xml:space="preserve"> was provided by</w:t>
      </w:r>
      <w:r w:rsidR="00BE4193" w:rsidRPr="005A44CE">
        <w:rPr>
          <w:rFonts w:ascii="Times New Roman" w:hAnsi="Times New Roman"/>
          <w:color w:val="000000" w:themeColor="text1"/>
          <w:sz w:val="24"/>
        </w:rPr>
        <w:t xml:space="preserve"> tick</w:t>
      </w:r>
      <w:r w:rsidR="00D60D34" w:rsidRPr="005A44CE">
        <w:rPr>
          <w:rFonts w:ascii="Times New Roman" w:hAnsi="Times New Roman"/>
          <w:color w:val="000000" w:themeColor="text1"/>
          <w:sz w:val="24"/>
        </w:rPr>
        <w:t>ing</w:t>
      </w:r>
      <w:r w:rsidR="00BE4193" w:rsidRPr="005A44CE">
        <w:rPr>
          <w:rFonts w:ascii="Times New Roman" w:hAnsi="Times New Roman"/>
          <w:color w:val="000000" w:themeColor="text1"/>
          <w:sz w:val="24"/>
        </w:rPr>
        <w:t xml:space="preserve"> a </w:t>
      </w:r>
      <w:r w:rsidR="00D60D34" w:rsidRPr="005A44CE">
        <w:rPr>
          <w:rFonts w:ascii="Times New Roman" w:hAnsi="Times New Roman"/>
          <w:color w:val="000000" w:themeColor="text1"/>
          <w:sz w:val="24"/>
        </w:rPr>
        <w:t xml:space="preserve">consent </w:t>
      </w:r>
      <w:r w:rsidR="00BE4193" w:rsidRPr="005A44CE">
        <w:rPr>
          <w:rFonts w:ascii="Times New Roman" w:hAnsi="Times New Roman"/>
          <w:color w:val="000000" w:themeColor="text1"/>
          <w:sz w:val="24"/>
        </w:rPr>
        <w:t xml:space="preserve">box </w:t>
      </w:r>
      <w:r w:rsidR="00B35C81" w:rsidRPr="005A44CE">
        <w:rPr>
          <w:rFonts w:ascii="Times New Roman" w:hAnsi="Times New Roman"/>
          <w:color w:val="000000" w:themeColor="text1"/>
          <w:sz w:val="24"/>
        </w:rPr>
        <w:t xml:space="preserve">at the bottom of </w:t>
      </w:r>
      <w:r w:rsidR="00E100DB" w:rsidRPr="005A44CE">
        <w:rPr>
          <w:rFonts w:ascii="Times New Roman" w:hAnsi="Times New Roman"/>
          <w:color w:val="000000" w:themeColor="text1"/>
          <w:sz w:val="24"/>
        </w:rPr>
        <w:t>this</w:t>
      </w:r>
      <w:r w:rsidR="00B35C81" w:rsidRPr="005A44CE">
        <w:rPr>
          <w:rFonts w:ascii="Times New Roman" w:hAnsi="Times New Roman"/>
          <w:color w:val="000000" w:themeColor="text1"/>
          <w:sz w:val="24"/>
        </w:rPr>
        <w:t xml:space="preserve"> sheet, prior to completing any survey questions. </w:t>
      </w:r>
      <w:r w:rsidR="00C24017" w:rsidRPr="005A44CE">
        <w:rPr>
          <w:rFonts w:ascii="Times New Roman" w:hAnsi="Times New Roman"/>
          <w:color w:val="000000" w:themeColor="text1"/>
          <w:sz w:val="24"/>
        </w:rPr>
        <w:t>Upon complet</w:t>
      </w:r>
      <w:r w:rsidR="00D60D34" w:rsidRPr="005A44CE">
        <w:rPr>
          <w:rFonts w:ascii="Times New Roman" w:hAnsi="Times New Roman"/>
          <w:color w:val="000000" w:themeColor="text1"/>
          <w:sz w:val="24"/>
        </w:rPr>
        <w:t>in</w:t>
      </w:r>
      <w:r w:rsidR="00E100DB" w:rsidRPr="005A44CE">
        <w:rPr>
          <w:rFonts w:ascii="Times New Roman" w:hAnsi="Times New Roman"/>
          <w:color w:val="000000" w:themeColor="text1"/>
          <w:sz w:val="24"/>
        </w:rPr>
        <w:t>g</w:t>
      </w:r>
      <w:r w:rsidR="00C24017" w:rsidRPr="005A44CE">
        <w:rPr>
          <w:rFonts w:ascii="Times New Roman" w:hAnsi="Times New Roman"/>
          <w:color w:val="000000" w:themeColor="text1"/>
          <w:sz w:val="24"/>
        </w:rPr>
        <w:t xml:space="preserve"> the questionnaire</w:t>
      </w:r>
      <w:r w:rsidR="00E100DB" w:rsidRPr="005A44CE">
        <w:rPr>
          <w:rFonts w:ascii="Times New Roman" w:hAnsi="Times New Roman"/>
          <w:color w:val="000000" w:themeColor="text1"/>
          <w:sz w:val="24"/>
        </w:rPr>
        <w:t>,</w:t>
      </w:r>
      <w:r w:rsidR="00D60D34" w:rsidRPr="005A44CE">
        <w:rPr>
          <w:rFonts w:ascii="Times New Roman" w:hAnsi="Times New Roman"/>
          <w:color w:val="000000" w:themeColor="text1"/>
          <w:sz w:val="24"/>
        </w:rPr>
        <w:t xml:space="preserve"> participants were given a debrief</w:t>
      </w:r>
      <w:r w:rsidR="00E100DB" w:rsidRPr="005A44CE">
        <w:rPr>
          <w:rFonts w:ascii="Times New Roman" w:hAnsi="Times New Roman"/>
          <w:color w:val="000000" w:themeColor="text1"/>
          <w:sz w:val="24"/>
        </w:rPr>
        <w:t>ing</w:t>
      </w:r>
      <w:r w:rsidR="00D60D34" w:rsidRPr="005A44CE">
        <w:rPr>
          <w:rFonts w:ascii="Times New Roman" w:hAnsi="Times New Roman"/>
          <w:color w:val="000000" w:themeColor="text1"/>
          <w:sz w:val="24"/>
        </w:rPr>
        <w:t xml:space="preserve"> </w:t>
      </w:r>
      <w:r w:rsidR="00E100DB" w:rsidRPr="005A44CE">
        <w:rPr>
          <w:rFonts w:ascii="Times New Roman" w:hAnsi="Times New Roman"/>
          <w:color w:val="000000" w:themeColor="text1"/>
          <w:sz w:val="24"/>
        </w:rPr>
        <w:t>form</w:t>
      </w:r>
      <w:r w:rsidR="00D60D34" w:rsidRPr="005A44CE">
        <w:rPr>
          <w:rFonts w:ascii="Times New Roman" w:hAnsi="Times New Roman"/>
          <w:color w:val="000000" w:themeColor="text1"/>
          <w:sz w:val="24"/>
        </w:rPr>
        <w:t xml:space="preserve"> with researcher contact information.</w:t>
      </w:r>
      <w:r w:rsidR="00C24017" w:rsidRPr="005A44CE">
        <w:rPr>
          <w:rFonts w:ascii="Times New Roman" w:hAnsi="Times New Roman"/>
          <w:color w:val="000000" w:themeColor="text1"/>
          <w:sz w:val="24"/>
        </w:rPr>
        <w:t xml:space="preserve"> </w:t>
      </w:r>
      <w:r w:rsidR="00F143BF" w:rsidRPr="005A44CE">
        <w:rPr>
          <w:rFonts w:ascii="Times New Roman" w:hAnsi="Times New Roman"/>
          <w:color w:val="000000" w:themeColor="text1"/>
          <w:sz w:val="24"/>
        </w:rPr>
        <w:t xml:space="preserve">All </w:t>
      </w:r>
      <w:r w:rsidR="00F143BF">
        <w:rPr>
          <w:rFonts w:ascii="Times New Roman" w:hAnsi="Times New Roman"/>
          <w:color w:val="000000" w:themeColor="text1"/>
          <w:sz w:val="24"/>
        </w:rPr>
        <w:t>participants</w:t>
      </w:r>
      <w:r w:rsidR="00F143BF" w:rsidRPr="005A44CE">
        <w:rPr>
          <w:rFonts w:ascii="Times New Roman" w:hAnsi="Times New Roman"/>
          <w:color w:val="000000" w:themeColor="text1"/>
          <w:sz w:val="24"/>
        </w:rPr>
        <w:t xml:space="preserve"> were </w:t>
      </w:r>
      <w:r w:rsidR="007D572C">
        <w:rPr>
          <w:rFonts w:ascii="Times New Roman" w:hAnsi="Times New Roman"/>
          <w:color w:val="000000" w:themeColor="text1"/>
          <w:sz w:val="24"/>
        </w:rPr>
        <w:t xml:space="preserve">also </w:t>
      </w:r>
      <w:r w:rsidR="00F143BF" w:rsidRPr="005A44CE">
        <w:rPr>
          <w:rFonts w:ascii="Times New Roman" w:hAnsi="Times New Roman"/>
          <w:color w:val="000000" w:themeColor="text1"/>
          <w:sz w:val="24"/>
        </w:rPr>
        <w:t xml:space="preserve">given the option to enter a raffle to win 1 of </w:t>
      </w:r>
      <w:r w:rsidR="00F143BF">
        <w:rPr>
          <w:rFonts w:ascii="Times New Roman" w:hAnsi="Times New Roman"/>
          <w:color w:val="000000" w:themeColor="text1"/>
          <w:sz w:val="24"/>
        </w:rPr>
        <w:t>9</w:t>
      </w:r>
      <w:r w:rsidR="00F143BF" w:rsidRPr="005A44CE">
        <w:rPr>
          <w:rFonts w:ascii="Times New Roman" w:hAnsi="Times New Roman"/>
          <w:color w:val="000000" w:themeColor="text1"/>
          <w:sz w:val="24"/>
        </w:rPr>
        <w:t xml:space="preserve"> Amazon vouchers (value: £20 or £25). A prize draw was conducted for every 40 participants that completed the study. If </w:t>
      </w:r>
      <w:r w:rsidR="00F143BF" w:rsidRPr="005A44CE">
        <w:rPr>
          <w:rFonts w:ascii="Times New Roman" w:hAnsi="Times New Roman"/>
          <w:color w:val="000000" w:themeColor="text1"/>
          <w:sz w:val="24"/>
        </w:rPr>
        <w:lastRenderedPageBreak/>
        <w:t>participants chose to enter the draw,</w:t>
      </w:r>
      <w:r w:rsidR="00F143BF">
        <w:rPr>
          <w:rFonts w:ascii="Times New Roman" w:hAnsi="Times New Roman"/>
          <w:color w:val="000000" w:themeColor="text1"/>
          <w:sz w:val="24"/>
        </w:rPr>
        <w:t xml:space="preserve"> </w:t>
      </w:r>
      <w:proofErr w:type="gramStart"/>
      <w:r w:rsidR="00F143BF">
        <w:rPr>
          <w:rFonts w:ascii="Times New Roman" w:hAnsi="Times New Roman"/>
          <w:color w:val="000000" w:themeColor="text1"/>
          <w:sz w:val="24"/>
        </w:rPr>
        <w:t>in order</w:t>
      </w:r>
      <w:r w:rsidR="00F143BF" w:rsidRPr="005A44CE">
        <w:rPr>
          <w:rFonts w:ascii="Times New Roman" w:hAnsi="Times New Roman"/>
          <w:color w:val="000000" w:themeColor="text1"/>
          <w:sz w:val="24"/>
        </w:rPr>
        <w:t xml:space="preserve"> to</w:t>
      </w:r>
      <w:proofErr w:type="gramEnd"/>
      <w:r w:rsidR="00F143BF" w:rsidRPr="005A44CE">
        <w:rPr>
          <w:rFonts w:ascii="Times New Roman" w:hAnsi="Times New Roman"/>
          <w:color w:val="000000" w:themeColor="text1"/>
          <w:sz w:val="24"/>
        </w:rPr>
        <w:t xml:space="preserve"> maintain data anonymity</w:t>
      </w:r>
      <w:r w:rsidR="00F143BF">
        <w:rPr>
          <w:rFonts w:ascii="Times New Roman" w:hAnsi="Times New Roman"/>
          <w:color w:val="000000" w:themeColor="text1"/>
          <w:sz w:val="24"/>
        </w:rPr>
        <w:t>,</w:t>
      </w:r>
      <w:r w:rsidR="00F143BF" w:rsidRPr="005A44CE">
        <w:rPr>
          <w:rFonts w:ascii="Times New Roman" w:hAnsi="Times New Roman"/>
          <w:color w:val="000000" w:themeColor="text1"/>
          <w:sz w:val="24"/>
        </w:rPr>
        <w:t xml:space="preserve"> they were asked to </w:t>
      </w:r>
      <w:r w:rsidR="00F143BF">
        <w:rPr>
          <w:rFonts w:ascii="Times New Roman" w:hAnsi="Times New Roman"/>
          <w:color w:val="000000" w:themeColor="text1"/>
          <w:sz w:val="24"/>
        </w:rPr>
        <w:t xml:space="preserve">click a new link </w:t>
      </w:r>
      <w:r w:rsidR="00B01AA1">
        <w:rPr>
          <w:rFonts w:ascii="Times New Roman" w:hAnsi="Times New Roman"/>
          <w:color w:val="000000" w:themeColor="text1"/>
          <w:sz w:val="24"/>
        </w:rPr>
        <w:t xml:space="preserve">on the debriefing form </w:t>
      </w:r>
      <w:r w:rsidR="00F143BF">
        <w:rPr>
          <w:rFonts w:ascii="Times New Roman" w:hAnsi="Times New Roman"/>
          <w:color w:val="000000" w:themeColor="text1"/>
          <w:sz w:val="24"/>
        </w:rPr>
        <w:t xml:space="preserve">which took them to a separate survey where they could </w:t>
      </w:r>
      <w:r w:rsidR="00F143BF" w:rsidRPr="005A44CE">
        <w:rPr>
          <w:rFonts w:ascii="Times New Roman" w:hAnsi="Times New Roman"/>
          <w:color w:val="000000" w:themeColor="text1"/>
          <w:sz w:val="24"/>
        </w:rPr>
        <w:t>provide an email address.</w:t>
      </w:r>
      <w:r w:rsidR="00F143BF" w:rsidRPr="009622A3">
        <w:rPr>
          <w:rFonts w:ascii="Times New Roman" w:hAnsi="Times New Roman"/>
          <w:color w:val="000000" w:themeColor="text1"/>
          <w:sz w:val="24"/>
        </w:rPr>
        <w:t xml:space="preserve"> </w:t>
      </w:r>
      <w:r w:rsidR="00F143BF">
        <w:rPr>
          <w:rFonts w:ascii="Times New Roman" w:hAnsi="Times New Roman"/>
          <w:color w:val="000000" w:themeColor="text1"/>
          <w:sz w:val="24"/>
        </w:rPr>
        <w:t>Additionally, p</w:t>
      </w:r>
      <w:r w:rsidR="00F143BF" w:rsidRPr="005A44CE">
        <w:rPr>
          <w:rFonts w:ascii="Times New Roman" w:hAnsi="Times New Roman"/>
          <w:color w:val="000000" w:themeColor="text1"/>
          <w:sz w:val="24"/>
        </w:rPr>
        <w:t xml:space="preserve">articipants who accessed the survey via the </w:t>
      </w:r>
      <w:r w:rsidR="00F143BF">
        <w:rPr>
          <w:rFonts w:ascii="Times New Roman" w:hAnsi="Times New Roman"/>
          <w:color w:val="000000" w:themeColor="text1"/>
          <w:sz w:val="24"/>
        </w:rPr>
        <w:t xml:space="preserve">student </w:t>
      </w:r>
      <w:r w:rsidR="00F143BF" w:rsidRPr="005A44CE">
        <w:rPr>
          <w:rFonts w:ascii="Times New Roman" w:hAnsi="Times New Roman"/>
          <w:color w:val="000000" w:themeColor="text1"/>
          <w:sz w:val="24"/>
        </w:rPr>
        <w:t xml:space="preserve">subject pool received 6 research credits. </w:t>
      </w:r>
      <w:r w:rsidR="00C24017" w:rsidRPr="005A44CE">
        <w:rPr>
          <w:rFonts w:ascii="Times New Roman" w:hAnsi="Times New Roman"/>
          <w:color w:val="000000" w:themeColor="text1"/>
          <w:sz w:val="24"/>
        </w:rPr>
        <w:t>All study procedures were approved by the Faculty Research Ethics Committee at the University of Southampton (ERGO ref. 73135).</w:t>
      </w:r>
    </w:p>
    <w:p w14:paraId="7C030C81" w14:textId="03CBE47B" w:rsidR="004441E6" w:rsidRPr="005A44CE" w:rsidRDefault="006D53E7" w:rsidP="00E625F3">
      <w:pPr>
        <w:spacing w:line="480" w:lineRule="auto"/>
        <w:rPr>
          <w:rFonts w:ascii="Times New Roman" w:hAnsi="Times New Roman"/>
          <w:sz w:val="24"/>
        </w:rPr>
      </w:pPr>
      <w:r w:rsidRPr="005A44CE">
        <w:rPr>
          <w:rFonts w:ascii="Times New Roman" w:hAnsi="Times New Roman"/>
          <w:b/>
          <w:bCs/>
          <w:color w:val="000000" w:themeColor="text1"/>
          <w:sz w:val="24"/>
        </w:rPr>
        <w:t>Measures</w:t>
      </w:r>
    </w:p>
    <w:p w14:paraId="022313EF" w14:textId="70EA7769" w:rsidR="006D53E7" w:rsidRPr="005A44CE" w:rsidRDefault="00970181" w:rsidP="004E0D1F">
      <w:pPr>
        <w:pStyle w:val="BodyText3"/>
        <w:ind w:right="0"/>
        <w:rPr>
          <w:rFonts w:ascii="Times New Roman" w:hAnsi="Times New Roman"/>
          <w:color w:val="000000" w:themeColor="text1"/>
          <w:szCs w:val="24"/>
        </w:rPr>
      </w:pPr>
      <w:r w:rsidRPr="005A44CE">
        <w:rPr>
          <w:rFonts w:ascii="Times New Roman" w:hAnsi="Times New Roman"/>
          <w:color w:val="000000" w:themeColor="text1"/>
          <w:szCs w:val="24"/>
        </w:rPr>
        <w:tab/>
      </w:r>
      <w:r w:rsidRPr="005A44CE">
        <w:rPr>
          <w:rFonts w:ascii="Times New Roman" w:hAnsi="Times New Roman"/>
          <w:b/>
          <w:bCs/>
          <w:color w:val="000000" w:themeColor="text1"/>
          <w:szCs w:val="24"/>
        </w:rPr>
        <w:t xml:space="preserve">Service Use. </w:t>
      </w:r>
      <w:r w:rsidR="00B75F62" w:rsidRPr="005A44CE">
        <w:rPr>
          <w:rFonts w:ascii="Times New Roman" w:hAnsi="Times New Roman"/>
          <w:color w:val="000000" w:themeColor="text1"/>
          <w:szCs w:val="24"/>
        </w:rPr>
        <w:t>P</w:t>
      </w:r>
      <w:r w:rsidRPr="005A44CE">
        <w:rPr>
          <w:rFonts w:ascii="Times New Roman" w:hAnsi="Times New Roman"/>
          <w:color w:val="000000" w:themeColor="text1"/>
          <w:szCs w:val="24"/>
        </w:rPr>
        <w:t xml:space="preserve">articipants were </w:t>
      </w:r>
      <w:r w:rsidR="00B75F62" w:rsidRPr="005A44CE">
        <w:rPr>
          <w:rFonts w:ascii="Times New Roman" w:hAnsi="Times New Roman"/>
          <w:color w:val="000000" w:themeColor="text1"/>
          <w:szCs w:val="24"/>
        </w:rPr>
        <w:t>presented with a list of 32 sexual health services (</w:t>
      </w:r>
      <w:r w:rsidR="00CC39C2" w:rsidRPr="005A44CE">
        <w:rPr>
          <w:rFonts w:ascii="Times New Roman" w:hAnsi="Times New Roman"/>
          <w:color w:val="000000" w:themeColor="text1"/>
          <w:szCs w:val="24"/>
        </w:rPr>
        <w:t xml:space="preserve">e.g., </w:t>
      </w:r>
      <w:r w:rsidR="002A23C7" w:rsidRPr="005A44CE">
        <w:rPr>
          <w:rFonts w:ascii="Times New Roman" w:hAnsi="Times New Roman"/>
          <w:color w:val="000000" w:themeColor="text1"/>
          <w:szCs w:val="24"/>
        </w:rPr>
        <w:t>advice before having sex for the first time</w:t>
      </w:r>
      <w:r w:rsidR="00CC39C2" w:rsidRPr="005A44CE">
        <w:rPr>
          <w:rFonts w:ascii="Times New Roman" w:hAnsi="Times New Roman"/>
          <w:color w:val="000000" w:themeColor="text1"/>
          <w:szCs w:val="24"/>
        </w:rPr>
        <w:t>,</w:t>
      </w:r>
      <w:r w:rsidR="002A23C7" w:rsidRPr="005A44CE">
        <w:rPr>
          <w:rFonts w:ascii="Times New Roman" w:hAnsi="Times New Roman"/>
          <w:color w:val="000000" w:themeColor="text1"/>
          <w:szCs w:val="24"/>
        </w:rPr>
        <w:t xml:space="preserve"> advice about </w:t>
      </w:r>
      <w:r w:rsidR="008402E8" w:rsidRPr="005A44CE">
        <w:rPr>
          <w:rFonts w:ascii="Times New Roman" w:hAnsi="Times New Roman"/>
          <w:color w:val="000000" w:themeColor="text1"/>
          <w:szCs w:val="24"/>
        </w:rPr>
        <w:t>pregnancy</w:t>
      </w:r>
      <w:r w:rsidR="002A23C7" w:rsidRPr="005A44CE">
        <w:rPr>
          <w:rFonts w:ascii="Times New Roman" w:hAnsi="Times New Roman"/>
          <w:color w:val="000000" w:themeColor="text1"/>
          <w:szCs w:val="24"/>
        </w:rPr>
        <w:t xml:space="preserve"> options or abortion, emergency contraction, </w:t>
      </w:r>
      <w:r w:rsidR="00CC39C2" w:rsidRPr="005A44CE">
        <w:rPr>
          <w:rFonts w:ascii="Times New Roman" w:hAnsi="Times New Roman"/>
          <w:color w:val="000000" w:themeColor="text1"/>
          <w:szCs w:val="24"/>
        </w:rPr>
        <w:t xml:space="preserve">STI testing) </w:t>
      </w:r>
      <w:r w:rsidR="00654C45" w:rsidRPr="005A44CE">
        <w:rPr>
          <w:rFonts w:ascii="Times New Roman" w:hAnsi="Times New Roman"/>
          <w:color w:val="000000" w:themeColor="text1"/>
          <w:szCs w:val="24"/>
        </w:rPr>
        <w:t xml:space="preserve">and </w:t>
      </w:r>
      <w:r w:rsidRPr="005A44CE">
        <w:rPr>
          <w:rFonts w:ascii="Times New Roman" w:hAnsi="Times New Roman"/>
          <w:color w:val="000000" w:themeColor="text1"/>
          <w:szCs w:val="24"/>
        </w:rPr>
        <w:t>asked to “</w:t>
      </w:r>
      <w:r w:rsidR="00B75F62" w:rsidRPr="005A44CE">
        <w:rPr>
          <w:rFonts w:ascii="Times New Roman" w:hAnsi="Times New Roman"/>
          <w:color w:val="000000" w:themeColor="text1"/>
          <w:szCs w:val="24"/>
        </w:rPr>
        <w:t>T</w:t>
      </w:r>
      <w:r w:rsidRPr="005A44CE">
        <w:rPr>
          <w:rFonts w:ascii="Times New Roman" w:hAnsi="Times New Roman"/>
          <w:color w:val="000000" w:themeColor="text1"/>
          <w:szCs w:val="24"/>
        </w:rPr>
        <w:t>ick all the services that you have used.”</w:t>
      </w:r>
      <w:r w:rsidR="00654C45" w:rsidRPr="005A44CE">
        <w:rPr>
          <w:rFonts w:ascii="Times New Roman" w:hAnsi="Times New Roman"/>
          <w:color w:val="000000" w:themeColor="text1"/>
          <w:szCs w:val="24"/>
        </w:rPr>
        <w:t xml:space="preserve"> For this analysis, the following </w:t>
      </w:r>
      <w:r w:rsidR="00264EEE" w:rsidRPr="005A44CE">
        <w:rPr>
          <w:rFonts w:ascii="Times New Roman" w:hAnsi="Times New Roman"/>
          <w:color w:val="000000" w:themeColor="text1"/>
          <w:szCs w:val="24"/>
        </w:rPr>
        <w:t>5</w:t>
      </w:r>
      <w:r w:rsidR="00654C45" w:rsidRPr="005A44CE">
        <w:rPr>
          <w:rFonts w:ascii="Times New Roman" w:hAnsi="Times New Roman"/>
          <w:color w:val="000000" w:themeColor="text1"/>
          <w:szCs w:val="24"/>
        </w:rPr>
        <w:t xml:space="preserve"> services are considered as outcome variables:</w:t>
      </w:r>
      <w:r w:rsidR="005407DC" w:rsidRPr="005A44CE">
        <w:rPr>
          <w:rFonts w:ascii="Times New Roman" w:hAnsi="Times New Roman"/>
          <w:color w:val="000000" w:themeColor="text1"/>
          <w:szCs w:val="24"/>
        </w:rPr>
        <w:t xml:space="preserve"> </w:t>
      </w:r>
      <w:r w:rsidR="008402E8" w:rsidRPr="005A44CE">
        <w:rPr>
          <w:rFonts w:ascii="Times New Roman" w:hAnsi="Times New Roman"/>
          <w:color w:val="000000" w:themeColor="text1"/>
          <w:szCs w:val="24"/>
        </w:rPr>
        <w:t xml:space="preserve">accessing </w:t>
      </w:r>
      <w:r w:rsidR="004F46DC" w:rsidRPr="005A44CE">
        <w:rPr>
          <w:rFonts w:ascii="Times New Roman" w:hAnsi="Times New Roman"/>
          <w:szCs w:val="24"/>
        </w:rPr>
        <w:t xml:space="preserve">free condoms, STI testing, </w:t>
      </w:r>
      <w:r w:rsidR="00264EEE" w:rsidRPr="005A44CE">
        <w:rPr>
          <w:rFonts w:ascii="Times New Roman" w:hAnsi="Times New Roman"/>
          <w:szCs w:val="24"/>
        </w:rPr>
        <w:t xml:space="preserve">relationship advice, </w:t>
      </w:r>
      <w:r w:rsidR="008402E8" w:rsidRPr="005A44CE">
        <w:rPr>
          <w:rFonts w:ascii="Times New Roman" w:hAnsi="Times New Roman"/>
          <w:szCs w:val="24"/>
        </w:rPr>
        <w:t>star</w:t>
      </w:r>
      <w:r w:rsidR="00264EEE" w:rsidRPr="005A44CE">
        <w:rPr>
          <w:rFonts w:ascii="Times New Roman" w:hAnsi="Times New Roman"/>
          <w:szCs w:val="24"/>
        </w:rPr>
        <w:t>t</w:t>
      </w:r>
      <w:r w:rsidR="008402E8" w:rsidRPr="005A44CE">
        <w:rPr>
          <w:rFonts w:ascii="Times New Roman" w:hAnsi="Times New Roman"/>
          <w:szCs w:val="24"/>
        </w:rPr>
        <w:t xml:space="preserve">ing </w:t>
      </w:r>
      <w:r w:rsidR="004F46DC" w:rsidRPr="005A44CE">
        <w:rPr>
          <w:rFonts w:ascii="Times New Roman" w:hAnsi="Times New Roman"/>
          <w:szCs w:val="24"/>
        </w:rPr>
        <w:t>the pill</w:t>
      </w:r>
      <w:r w:rsidR="008402E8" w:rsidRPr="005A44CE">
        <w:rPr>
          <w:rFonts w:ascii="Times New Roman" w:hAnsi="Times New Roman"/>
          <w:szCs w:val="24"/>
        </w:rPr>
        <w:t>, and pregnancy testing</w:t>
      </w:r>
      <w:r w:rsidR="004F46DC" w:rsidRPr="005A44CE">
        <w:rPr>
          <w:rFonts w:ascii="Times New Roman" w:hAnsi="Times New Roman"/>
          <w:szCs w:val="24"/>
        </w:rPr>
        <w:t xml:space="preserve">. </w:t>
      </w:r>
      <w:r w:rsidR="00472220" w:rsidRPr="005A44CE">
        <w:rPr>
          <w:rFonts w:ascii="Times New Roman" w:hAnsi="Times New Roman"/>
          <w:color w:val="FF0000"/>
          <w:szCs w:val="24"/>
        </w:rPr>
        <w:t xml:space="preserve"> </w:t>
      </w:r>
    </w:p>
    <w:p w14:paraId="576A49F6" w14:textId="1C1AAE2D" w:rsidR="006240D0" w:rsidRPr="005A44CE" w:rsidRDefault="006240D0" w:rsidP="004E0D1F">
      <w:pPr>
        <w:pStyle w:val="BodyText3"/>
        <w:ind w:right="0"/>
        <w:rPr>
          <w:rFonts w:ascii="Times New Roman" w:hAnsi="Times New Roman"/>
          <w:b/>
          <w:bCs/>
          <w:color w:val="000000" w:themeColor="text1"/>
          <w:szCs w:val="24"/>
        </w:rPr>
      </w:pPr>
      <w:r w:rsidRPr="005A44CE">
        <w:rPr>
          <w:rFonts w:ascii="Times New Roman" w:hAnsi="Times New Roman"/>
          <w:b/>
          <w:bCs/>
          <w:color w:val="000000" w:themeColor="text1"/>
          <w:szCs w:val="24"/>
        </w:rPr>
        <w:tab/>
        <w:t xml:space="preserve">Relationship Status. </w:t>
      </w:r>
      <w:r w:rsidR="00243C39" w:rsidRPr="005A44CE">
        <w:rPr>
          <w:rFonts w:ascii="Times New Roman" w:hAnsi="Times New Roman"/>
          <w:color w:val="000000" w:themeColor="text1"/>
          <w:szCs w:val="24"/>
        </w:rPr>
        <w:t>Participants were asked “Are you currently in a relationship?” (yes/no). Those who answered yes were asked “Are you currently in an open or non-monogamous relationship (i.e., you and your partner(s) have agreed to date and/or have sex with other people)? (yes/no). For this analysis, only participants who were</w:t>
      </w:r>
      <w:r w:rsidR="00485960" w:rsidRPr="005A44CE">
        <w:rPr>
          <w:rFonts w:ascii="Times New Roman" w:hAnsi="Times New Roman"/>
          <w:color w:val="000000" w:themeColor="text1"/>
          <w:szCs w:val="24"/>
        </w:rPr>
        <w:t xml:space="preserve"> single or</w:t>
      </w:r>
      <w:r w:rsidR="00243C39" w:rsidRPr="005A44CE">
        <w:rPr>
          <w:rFonts w:ascii="Times New Roman" w:hAnsi="Times New Roman"/>
          <w:color w:val="000000" w:themeColor="text1"/>
          <w:szCs w:val="24"/>
        </w:rPr>
        <w:t xml:space="preserve"> in monogamous relationships were included in the analytic sample. </w:t>
      </w:r>
    </w:p>
    <w:p w14:paraId="488B5627" w14:textId="73DFEC68" w:rsidR="00B75F62" w:rsidRPr="005A44CE" w:rsidRDefault="00485960" w:rsidP="00E83F32">
      <w:pPr>
        <w:pStyle w:val="BodyText3"/>
        <w:ind w:right="0"/>
        <w:rPr>
          <w:rFonts w:ascii="Times New Roman" w:hAnsi="Times New Roman"/>
          <w:szCs w:val="24"/>
        </w:rPr>
      </w:pPr>
      <w:r w:rsidRPr="005A44CE">
        <w:rPr>
          <w:rFonts w:ascii="Times New Roman" w:hAnsi="Times New Roman"/>
          <w:b/>
          <w:bCs/>
          <w:color w:val="000000" w:themeColor="text1"/>
          <w:szCs w:val="24"/>
        </w:rPr>
        <w:tab/>
      </w:r>
      <w:r w:rsidR="00B75F62" w:rsidRPr="005A44CE">
        <w:rPr>
          <w:rFonts w:ascii="Times New Roman" w:hAnsi="Times New Roman"/>
          <w:b/>
          <w:bCs/>
          <w:color w:val="000000" w:themeColor="text1"/>
          <w:szCs w:val="24"/>
        </w:rPr>
        <w:t xml:space="preserve">Demographics. </w:t>
      </w:r>
      <w:r w:rsidR="003131F9" w:rsidRPr="005A44CE">
        <w:rPr>
          <w:rFonts w:ascii="Times New Roman" w:hAnsi="Times New Roman"/>
          <w:color w:val="000000" w:themeColor="text1"/>
          <w:szCs w:val="24"/>
        </w:rPr>
        <w:t>To describe the sample and control for relevant variables in the analysis, q</w:t>
      </w:r>
      <w:r w:rsidR="00B75F62" w:rsidRPr="005A44CE">
        <w:rPr>
          <w:rFonts w:ascii="Times New Roman" w:hAnsi="Times New Roman"/>
          <w:color w:val="000000" w:themeColor="text1"/>
          <w:szCs w:val="24"/>
        </w:rPr>
        <w:t>uestions were included</w:t>
      </w:r>
      <w:r w:rsidR="003131F9" w:rsidRPr="005A44CE">
        <w:rPr>
          <w:rFonts w:ascii="Times New Roman" w:hAnsi="Times New Roman"/>
          <w:color w:val="000000" w:themeColor="text1"/>
          <w:szCs w:val="24"/>
        </w:rPr>
        <w:t xml:space="preserve"> on</w:t>
      </w:r>
      <w:r w:rsidR="00B75F62" w:rsidRPr="005A44CE">
        <w:rPr>
          <w:rFonts w:ascii="Times New Roman" w:hAnsi="Times New Roman"/>
          <w:color w:val="000000" w:themeColor="text1"/>
          <w:szCs w:val="24"/>
        </w:rPr>
        <w:t xml:space="preserve"> age, gender, race/ethnicity,</w:t>
      </w:r>
      <w:r w:rsidR="003131F9" w:rsidRPr="005A44CE">
        <w:rPr>
          <w:rFonts w:ascii="Times New Roman" w:hAnsi="Times New Roman"/>
          <w:color w:val="000000" w:themeColor="text1"/>
          <w:szCs w:val="24"/>
        </w:rPr>
        <w:t xml:space="preserve"> and</w:t>
      </w:r>
      <w:r w:rsidR="00B75F62" w:rsidRPr="005A44CE">
        <w:rPr>
          <w:rFonts w:ascii="Times New Roman" w:hAnsi="Times New Roman"/>
          <w:color w:val="000000" w:themeColor="text1"/>
          <w:szCs w:val="24"/>
        </w:rPr>
        <w:t xml:space="preserve"> sexual orientation</w:t>
      </w:r>
      <w:r w:rsidR="003131F9" w:rsidRPr="005A44CE">
        <w:rPr>
          <w:rFonts w:ascii="Times New Roman" w:hAnsi="Times New Roman"/>
          <w:color w:val="000000" w:themeColor="text1"/>
          <w:szCs w:val="24"/>
        </w:rPr>
        <w:t>.</w:t>
      </w:r>
      <w:r w:rsidR="008660C2" w:rsidRPr="005A44CE">
        <w:rPr>
          <w:rFonts w:ascii="Times New Roman" w:hAnsi="Times New Roman"/>
          <w:color w:val="000000" w:themeColor="text1"/>
          <w:szCs w:val="24"/>
        </w:rPr>
        <w:t xml:space="preserve"> Given the small number of participants who reported a nonbinary (n=8) or “other” (n=1) gender identity, these participants were combined with the female participants for data analysis. </w:t>
      </w:r>
      <w:r w:rsidR="0048433C">
        <w:rPr>
          <w:rFonts w:ascii="Times New Roman" w:hAnsi="Times New Roman"/>
          <w:color w:val="000000" w:themeColor="text1"/>
          <w:szCs w:val="24"/>
        </w:rPr>
        <w:t xml:space="preserve">Participants were also asked about their sexual experience with the question: “Have you had sex before (oral, vaginal, anal)?” (yes/no). </w:t>
      </w:r>
    </w:p>
    <w:p w14:paraId="4C1A40BA" w14:textId="77777777" w:rsidR="00B75F62" w:rsidRPr="005A44CE" w:rsidRDefault="00B75F62" w:rsidP="00E7336F">
      <w:pPr>
        <w:spacing w:line="480" w:lineRule="auto"/>
        <w:rPr>
          <w:rFonts w:ascii="Times New Roman" w:hAnsi="Times New Roman"/>
          <w:b/>
          <w:bCs/>
          <w:color w:val="000000" w:themeColor="text1"/>
          <w:sz w:val="24"/>
        </w:rPr>
      </w:pPr>
      <w:r w:rsidRPr="005A44CE">
        <w:rPr>
          <w:rFonts w:ascii="Times New Roman" w:hAnsi="Times New Roman"/>
          <w:b/>
          <w:bCs/>
          <w:color w:val="000000" w:themeColor="text1"/>
          <w:sz w:val="24"/>
        </w:rPr>
        <w:t>Analysis</w:t>
      </w:r>
    </w:p>
    <w:p w14:paraId="766822CD" w14:textId="48F7C7CA" w:rsidR="005B2903" w:rsidRPr="005A44CE" w:rsidRDefault="007252FD" w:rsidP="00E7336F">
      <w:pPr>
        <w:spacing w:line="480" w:lineRule="auto"/>
        <w:rPr>
          <w:rFonts w:ascii="Times New Roman" w:hAnsi="Times New Roman"/>
          <w:color w:val="000000" w:themeColor="text1"/>
          <w:sz w:val="24"/>
        </w:rPr>
      </w:pPr>
      <w:r w:rsidRPr="005A44CE">
        <w:rPr>
          <w:rFonts w:ascii="Times New Roman" w:hAnsi="Times New Roman"/>
          <w:color w:val="000000" w:themeColor="text1"/>
          <w:sz w:val="24"/>
        </w:rPr>
        <w:lastRenderedPageBreak/>
        <w:tab/>
        <w:t>Descriptive statistics were used to describe the sample and the key independent and dependent variables. Initially, chi-square analyses</w:t>
      </w:r>
      <w:r w:rsidR="008660C2" w:rsidRPr="005A44CE">
        <w:rPr>
          <w:rFonts w:ascii="Times New Roman" w:hAnsi="Times New Roman"/>
          <w:color w:val="000000" w:themeColor="text1"/>
          <w:sz w:val="24"/>
        </w:rPr>
        <w:t xml:space="preserve"> and univariable logistic regressions (not reported)</w:t>
      </w:r>
      <w:r w:rsidRPr="005A44CE">
        <w:rPr>
          <w:rFonts w:ascii="Times New Roman" w:hAnsi="Times New Roman"/>
          <w:color w:val="000000" w:themeColor="text1"/>
          <w:sz w:val="24"/>
        </w:rPr>
        <w:t xml:space="preserve"> were </w:t>
      </w:r>
      <w:r w:rsidR="00E83F32" w:rsidRPr="005A44CE">
        <w:rPr>
          <w:rFonts w:ascii="Times New Roman" w:hAnsi="Times New Roman"/>
          <w:color w:val="000000" w:themeColor="text1"/>
          <w:sz w:val="24"/>
        </w:rPr>
        <w:t>used</w:t>
      </w:r>
      <w:r w:rsidRPr="005A44CE">
        <w:rPr>
          <w:rFonts w:ascii="Times New Roman" w:hAnsi="Times New Roman"/>
          <w:color w:val="000000" w:themeColor="text1"/>
          <w:sz w:val="24"/>
        </w:rPr>
        <w:t xml:space="preserve"> to compare </w:t>
      </w:r>
      <w:r w:rsidR="00131EF3" w:rsidRPr="005A44CE">
        <w:rPr>
          <w:rFonts w:ascii="Times New Roman" w:hAnsi="Times New Roman"/>
          <w:color w:val="000000" w:themeColor="text1"/>
          <w:sz w:val="24"/>
        </w:rPr>
        <w:t xml:space="preserve">those in relationships to those not in relationship on each of the 5 dependent variables. All participants were included in the analysis for free condoms, STI testing, and relationship advice. Only those who reported their gender as female were included in the analysis for </w:t>
      </w:r>
      <w:r w:rsidR="00DF157D" w:rsidRPr="005A44CE">
        <w:rPr>
          <w:rFonts w:ascii="Times New Roman" w:hAnsi="Times New Roman"/>
          <w:color w:val="000000" w:themeColor="text1"/>
          <w:sz w:val="24"/>
        </w:rPr>
        <w:t xml:space="preserve">starting the pill and pregnancy testing. </w:t>
      </w:r>
      <w:r w:rsidR="00131EF3" w:rsidRPr="005A44CE">
        <w:rPr>
          <w:rFonts w:ascii="Times New Roman" w:hAnsi="Times New Roman"/>
          <w:color w:val="000000" w:themeColor="text1"/>
          <w:sz w:val="24"/>
        </w:rPr>
        <w:t xml:space="preserve"> </w:t>
      </w:r>
    </w:p>
    <w:p w14:paraId="2CA86B21" w14:textId="2E45B34F" w:rsidR="005B2903" w:rsidRPr="005A44CE" w:rsidRDefault="0008119A" w:rsidP="00E7336F">
      <w:pPr>
        <w:spacing w:line="480" w:lineRule="auto"/>
        <w:rPr>
          <w:rFonts w:ascii="Times New Roman" w:hAnsi="Times New Roman"/>
          <w:color w:val="000000" w:themeColor="text1"/>
          <w:sz w:val="24"/>
        </w:rPr>
      </w:pPr>
      <w:r w:rsidRPr="005A44CE">
        <w:rPr>
          <w:rFonts w:ascii="Times New Roman" w:hAnsi="Times New Roman"/>
          <w:color w:val="000000" w:themeColor="text1"/>
          <w:sz w:val="24"/>
        </w:rPr>
        <w:tab/>
        <w:t xml:space="preserve">If a significant difference was found between the relationship status groups in </w:t>
      </w:r>
      <w:r w:rsidR="00336169" w:rsidRPr="005A44CE">
        <w:rPr>
          <w:rFonts w:ascii="Times New Roman" w:hAnsi="Times New Roman"/>
          <w:color w:val="000000" w:themeColor="text1"/>
          <w:sz w:val="24"/>
        </w:rPr>
        <w:t>univariable analysis, a multivariable logistic regression</w:t>
      </w:r>
      <w:r w:rsidR="00B23444" w:rsidRPr="005A44CE">
        <w:rPr>
          <w:rFonts w:ascii="Times New Roman" w:hAnsi="Times New Roman"/>
          <w:color w:val="000000" w:themeColor="text1"/>
          <w:sz w:val="24"/>
        </w:rPr>
        <w:t xml:space="preserve"> was run, controlling for age, sexual orientation, and gender (as appropriate),</w:t>
      </w:r>
      <w:r w:rsidR="00336169" w:rsidRPr="005A44CE">
        <w:rPr>
          <w:rFonts w:ascii="Times New Roman" w:hAnsi="Times New Roman"/>
          <w:color w:val="000000" w:themeColor="text1"/>
          <w:sz w:val="24"/>
        </w:rPr>
        <w:t xml:space="preserve"> </w:t>
      </w:r>
      <w:r w:rsidR="00B23444" w:rsidRPr="005A44CE">
        <w:rPr>
          <w:rFonts w:ascii="Times New Roman" w:hAnsi="Times New Roman"/>
          <w:color w:val="000000" w:themeColor="text1"/>
          <w:sz w:val="24"/>
        </w:rPr>
        <w:t>with relationship status as the independent v</w:t>
      </w:r>
      <w:r w:rsidR="00CE5EAF">
        <w:rPr>
          <w:rFonts w:ascii="Times New Roman" w:hAnsi="Times New Roman"/>
          <w:color w:val="000000" w:themeColor="text1"/>
          <w:sz w:val="24"/>
        </w:rPr>
        <w:t>ar</w:t>
      </w:r>
      <w:r w:rsidR="00B23444" w:rsidRPr="005A44CE">
        <w:rPr>
          <w:rFonts w:ascii="Times New Roman" w:hAnsi="Times New Roman"/>
          <w:color w:val="000000" w:themeColor="text1"/>
          <w:sz w:val="24"/>
        </w:rPr>
        <w:t xml:space="preserve">iable and service access as the dependent variable. </w:t>
      </w:r>
      <w:r w:rsidR="00336169" w:rsidRPr="005A44CE">
        <w:rPr>
          <w:rFonts w:ascii="Times New Roman" w:hAnsi="Times New Roman"/>
          <w:color w:val="000000" w:themeColor="text1"/>
          <w:sz w:val="24"/>
        </w:rPr>
        <w:t xml:space="preserve"> </w:t>
      </w:r>
    </w:p>
    <w:p w14:paraId="28FE0BBD" w14:textId="77777777" w:rsidR="0009449C" w:rsidRPr="005A44CE" w:rsidRDefault="00541FB0" w:rsidP="0009449C">
      <w:pPr>
        <w:spacing w:line="480" w:lineRule="auto"/>
        <w:jc w:val="center"/>
        <w:rPr>
          <w:rFonts w:ascii="Times New Roman" w:hAnsi="Times New Roman"/>
          <w:b/>
          <w:bCs/>
          <w:color w:val="000000" w:themeColor="text1"/>
          <w:sz w:val="24"/>
        </w:rPr>
      </w:pPr>
      <w:r w:rsidRPr="005A44CE">
        <w:rPr>
          <w:rFonts w:ascii="Times New Roman" w:hAnsi="Times New Roman"/>
          <w:b/>
          <w:bCs/>
          <w:color w:val="000000" w:themeColor="text1"/>
          <w:sz w:val="24"/>
        </w:rPr>
        <w:t>Results</w:t>
      </w:r>
    </w:p>
    <w:p w14:paraId="2F0A8D4E" w14:textId="3F4B0B5D" w:rsidR="0004295C" w:rsidRPr="005A44CE" w:rsidRDefault="0045228E" w:rsidP="005A443E">
      <w:pPr>
        <w:pStyle w:val="BodyText3"/>
        <w:ind w:right="0"/>
        <w:rPr>
          <w:rFonts w:ascii="Times New Roman" w:hAnsi="Times New Roman"/>
          <w:color w:val="000000" w:themeColor="text1"/>
          <w:szCs w:val="24"/>
        </w:rPr>
      </w:pPr>
      <w:r w:rsidRPr="005A44CE">
        <w:rPr>
          <w:rFonts w:ascii="Times New Roman" w:hAnsi="Times New Roman"/>
          <w:color w:val="000000" w:themeColor="text1"/>
          <w:szCs w:val="24"/>
        </w:rPr>
        <w:tab/>
      </w:r>
      <w:r w:rsidR="0045710D" w:rsidRPr="005A44CE">
        <w:rPr>
          <w:rFonts w:ascii="Times New Roman" w:hAnsi="Times New Roman"/>
          <w:color w:val="000000" w:themeColor="text1"/>
          <w:szCs w:val="24"/>
        </w:rPr>
        <w:t xml:space="preserve">552 participants completed the study. After screening for missing data on key variables, the analytic sample includes </w:t>
      </w:r>
      <w:r w:rsidR="003131F9" w:rsidRPr="005A44CE">
        <w:rPr>
          <w:rFonts w:ascii="Times New Roman" w:hAnsi="Times New Roman"/>
          <w:color w:val="000000" w:themeColor="text1"/>
          <w:szCs w:val="24"/>
        </w:rPr>
        <w:t>468 participants (</w:t>
      </w:r>
      <w:r w:rsidR="003131F9" w:rsidRPr="005A44CE">
        <w:rPr>
          <w:rFonts w:ascii="Times New Roman" w:hAnsi="Times New Roman"/>
          <w:i/>
          <w:iCs/>
          <w:color w:val="000000" w:themeColor="text1"/>
          <w:szCs w:val="24"/>
        </w:rPr>
        <w:t>M</w:t>
      </w:r>
      <w:r w:rsidR="003131F9" w:rsidRPr="005A44CE">
        <w:rPr>
          <w:rFonts w:ascii="Times New Roman" w:hAnsi="Times New Roman"/>
          <w:color w:val="000000" w:themeColor="text1"/>
          <w:szCs w:val="24"/>
        </w:rPr>
        <w:t xml:space="preserve"> = 19.68</w:t>
      </w:r>
      <w:r w:rsidR="0045710D" w:rsidRPr="005A44CE">
        <w:rPr>
          <w:rFonts w:ascii="Times New Roman" w:hAnsi="Times New Roman"/>
          <w:color w:val="000000" w:themeColor="text1"/>
          <w:szCs w:val="24"/>
        </w:rPr>
        <w:t xml:space="preserve"> years</w:t>
      </w:r>
      <w:r w:rsidR="003131F9" w:rsidRPr="005A44CE">
        <w:rPr>
          <w:rFonts w:ascii="Times New Roman" w:hAnsi="Times New Roman"/>
          <w:color w:val="000000" w:themeColor="text1"/>
          <w:szCs w:val="24"/>
        </w:rPr>
        <w:t xml:space="preserve">; </w:t>
      </w:r>
      <w:r w:rsidR="003131F9" w:rsidRPr="005A44CE">
        <w:rPr>
          <w:rFonts w:ascii="Times New Roman" w:hAnsi="Times New Roman"/>
          <w:i/>
          <w:iCs/>
          <w:color w:val="000000" w:themeColor="text1"/>
          <w:szCs w:val="24"/>
        </w:rPr>
        <w:t>SD</w:t>
      </w:r>
      <w:r w:rsidR="003131F9" w:rsidRPr="005A44CE">
        <w:rPr>
          <w:rFonts w:ascii="Times New Roman" w:hAnsi="Times New Roman"/>
          <w:color w:val="000000" w:themeColor="text1"/>
          <w:szCs w:val="24"/>
        </w:rPr>
        <w:t xml:space="preserve"> = 1.42), of whom, 257 (54.9%) reported be</w:t>
      </w:r>
      <w:r w:rsidR="0045710D" w:rsidRPr="005A44CE">
        <w:rPr>
          <w:rFonts w:ascii="Times New Roman" w:hAnsi="Times New Roman"/>
          <w:color w:val="000000" w:themeColor="text1"/>
          <w:szCs w:val="24"/>
        </w:rPr>
        <w:t>ing</w:t>
      </w:r>
      <w:r w:rsidR="003131F9" w:rsidRPr="005A44CE">
        <w:rPr>
          <w:rFonts w:ascii="Times New Roman" w:hAnsi="Times New Roman"/>
          <w:color w:val="000000" w:themeColor="text1"/>
          <w:szCs w:val="24"/>
        </w:rPr>
        <w:t xml:space="preserve"> single and 211 (45.1%) reported </w:t>
      </w:r>
      <w:r w:rsidRPr="005A44CE">
        <w:rPr>
          <w:rFonts w:ascii="Times New Roman" w:hAnsi="Times New Roman"/>
          <w:color w:val="000000" w:themeColor="text1"/>
          <w:szCs w:val="24"/>
        </w:rPr>
        <w:t>being</w:t>
      </w:r>
      <w:r w:rsidR="003131F9" w:rsidRPr="005A44CE">
        <w:rPr>
          <w:rFonts w:ascii="Times New Roman" w:hAnsi="Times New Roman"/>
          <w:color w:val="000000" w:themeColor="text1"/>
          <w:szCs w:val="24"/>
        </w:rPr>
        <w:t xml:space="preserve"> in a monogamous relationship</w:t>
      </w:r>
      <w:r w:rsidR="003131F9" w:rsidRPr="005A44CE">
        <w:rPr>
          <w:rFonts w:ascii="Times New Roman" w:hAnsi="Times New Roman"/>
          <w:szCs w:val="24"/>
        </w:rPr>
        <w:t xml:space="preserve">. </w:t>
      </w:r>
      <w:r w:rsidRPr="005A44CE">
        <w:rPr>
          <w:rFonts w:ascii="Times New Roman" w:hAnsi="Times New Roman"/>
          <w:szCs w:val="24"/>
        </w:rPr>
        <w:t>Most</w:t>
      </w:r>
      <w:r w:rsidR="002D39AE" w:rsidRPr="005A44CE">
        <w:rPr>
          <w:rFonts w:ascii="Times New Roman" w:hAnsi="Times New Roman"/>
          <w:szCs w:val="24"/>
        </w:rPr>
        <w:t xml:space="preserve"> participants were female (n=388, 82.9%), white (n= 360, </w:t>
      </w:r>
      <w:r w:rsidR="003131F9" w:rsidRPr="005A44CE">
        <w:rPr>
          <w:rFonts w:ascii="Times New Roman" w:hAnsi="Times New Roman"/>
          <w:color w:val="000000" w:themeColor="text1"/>
          <w:szCs w:val="24"/>
        </w:rPr>
        <w:t>76.9%</w:t>
      </w:r>
      <w:r w:rsidR="002D39AE" w:rsidRPr="005A44CE">
        <w:rPr>
          <w:rFonts w:ascii="Times New Roman" w:hAnsi="Times New Roman"/>
          <w:color w:val="000000" w:themeColor="text1"/>
          <w:szCs w:val="24"/>
        </w:rPr>
        <w:t>), and heterosexual (n=</w:t>
      </w:r>
      <w:r w:rsidR="004E33FF" w:rsidRPr="005A44CE">
        <w:rPr>
          <w:rFonts w:ascii="Times New Roman" w:hAnsi="Times New Roman"/>
          <w:color w:val="000000" w:themeColor="text1"/>
          <w:szCs w:val="24"/>
        </w:rPr>
        <w:t>334</w:t>
      </w:r>
      <w:r w:rsidR="002D39AE" w:rsidRPr="005A44CE">
        <w:rPr>
          <w:rFonts w:ascii="Times New Roman" w:hAnsi="Times New Roman"/>
          <w:color w:val="000000" w:themeColor="text1"/>
          <w:szCs w:val="24"/>
        </w:rPr>
        <w:t xml:space="preserve">, </w:t>
      </w:r>
      <w:r w:rsidR="004E33FF" w:rsidRPr="005A44CE">
        <w:rPr>
          <w:rFonts w:ascii="Times New Roman" w:hAnsi="Times New Roman"/>
          <w:color w:val="000000" w:themeColor="text1"/>
          <w:szCs w:val="24"/>
        </w:rPr>
        <w:t>71.4</w:t>
      </w:r>
      <w:r w:rsidR="002D39AE" w:rsidRPr="005A44CE">
        <w:rPr>
          <w:rFonts w:ascii="Times New Roman" w:hAnsi="Times New Roman"/>
          <w:color w:val="000000" w:themeColor="text1"/>
          <w:szCs w:val="24"/>
        </w:rPr>
        <w:t>%)</w:t>
      </w:r>
      <w:r w:rsidR="003131F9" w:rsidRPr="005A44CE">
        <w:rPr>
          <w:rFonts w:ascii="Times New Roman" w:hAnsi="Times New Roman"/>
          <w:color w:val="000000" w:themeColor="text1"/>
          <w:szCs w:val="24"/>
        </w:rPr>
        <w:t xml:space="preserve">. </w:t>
      </w:r>
      <w:r w:rsidR="001449F8">
        <w:rPr>
          <w:rFonts w:ascii="Times New Roman" w:hAnsi="Times New Roman"/>
          <w:color w:val="000000" w:themeColor="text1"/>
          <w:szCs w:val="24"/>
        </w:rPr>
        <w:t xml:space="preserve">Overall, 75.0% of the sample (80.3% men, 74.0% women, 77.8% gender diverse) reported ever having had sex. </w:t>
      </w:r>
      <w:r w:rsidR="003131F9" w:rsidRPr="005A44CE">
        <w:rPr>
          <w:rFonts w:ascii="Times New Roman" w:hAnsi="Times New Roman"/>
          <w:color w:val="000000" w:themeColor="text1"/>
          <w:szCs w:val="24"/>
        </w:rPr>
        <w:t xml:space="preserve">See Table 1 for full demographics. </w:t>
      </w:r>
    </w:p>
    <w:p w14:paraId="180D05B9" w14:textId="3E2929DC" w:rsidR="00E2549A" w:rsidRPr="005A44CE" w:rsidRDefault="00E2549A" w:rsidP="00E31B68">
      <w:pPr>
        <w:spacing w:line="480" w:lineRule="auto"/>
        <w:ind w:firstLine="720"/>
        <w:rPr>
          <w:rFonts w:ascii="Times New Roman" w:hAnsi="Times New Roman"/>
          <w:color w:val="000000" w:themeColor="text1"/>
          <w:sz w:val="24"/>
        </w:rPr>
      </w:pPr>
      <w:r w:rsidRPr="005A44CE">
        <w:rPr>
          <w:rFonts w:ascii="Times New Roman" w:hAnsi="Times New Roman"/>
          <w:color w:val="000000" w:themeColor="text1"/>
          <w:sz w:val="24"/>
        </w:rPr>
        <w:t xml:space="preserve">132 people (28.2%) </w:t>
      </w:r>
      <w:r w:rsidR="00FC4C89" w:rsidRPr="005A44CE">
        <w:rPr>
          <w:rFonts w:ascii="Times New Roman" w:hAnsi="Times New Roman"/>
          <w:color w:val="000000" w:themeColor="text1"/>
          <w:sz w:val="24"/>
        </w:rPr>
        <w:t>reported</w:t>
      </w:r>
      <w:r w:rsidR="00537BC3" w:rsidRPr="005A44CE">
        <w:rPr>
          <w:rFonts w:ascii="Times New Roman" w:hAnsi="Times New Roman"/>
          <w:color w:val="000000" w:themeColor="text1"/>
          <w:sz w:val="24"/>
        </w:rPr>
        <w:t xml:space="preserve"> that</w:t>
      </w:r>
      <w:r w:rsidRPr="005A44CE">
        <w:rPr>
          <w:rFonts w:ascii="Times New Roman" w:hAnsi="Times New Roman"/>
          <w:color w:val="000000" w:themeColor="text1"/>
          <w:sz w:val="24"/>
        </w:rPr>
        <w:t xml:space="preserve"> they </w:t>
      </w:r>
      <w:r w:rsidR="00FC4C89" w:rsidRPr="005A44CE">
        <w:rPr>
          <w:rFonts w:ascii="Times New Roman" w:hAnsi="Times New Roman"/>
          <w:color w:val="000000" w:themeColor="text1"/>
          <w:sz w:val="24"/>
        </w:rPr>
        <w:t>had accessed free condoms</w:t>
      </w:r>
      <w:r w:rsidRPr="005A44CE">
        <w:rPr>
          <w:rFonts w:ascii="Times New Roman" w:hAnsi="Times New Roman"/>
          <w:sz w:val="24"/>
        </w:rPr>
        <w:t xml:space="preserve">. Of these people, 72 (54.5%) </w:t>
      </w:r>
      <w:r w:rsidR="00FC4C89" w:rsidRPr="005A44CE">
        <w:rPr>
          <w:rFonts w:ascii="Times New Roman" w:hAnsi="Times New Roman"/>
          <w:sz w:val="24"/>
        </w:rPr>
        <w:t>were</w:t>
      </w:r>
      <w:r w:rsidRPr="005A44CE">
        <w:rPr>
          <w:rFonts w:ascii="Times New Roman" w:hAnsi="Times New Roman"/>
          <w:sz w:val="24"/>
        </w:rPr>
        <w:t xml:space="preserve"> in a relationship </w:t>
      </w:r>
      <w:r w:rsidR="00FC4C89" w:rsidRPr="005A44CE">
        <w:rPr>
          <w:rFonts w:ascii="Times New Roman" w:hAnsi="Times New Roman"/>
          <w:sz w:val="24"/>
        </w:rPr>
        <w:t>and</w:t>
      </w:r>
      <w:r w:rsidRPr="005A44CE">
        <w:rPr>
          <w:rFonts w:ascii="Times New Roman" w:hAnsi="Times New Roman"/>
          <w:sz w:val="24"/>
        </w:rPr>
        <w:t xml:space="preserve"> 60 (45.5%) were single. A Chi</w:t>
      </w:r>
      <w:r w:rsidRPr="005A44CE">
        <w:rPr>
          <w:rFonts w:ascii="Times New Roman" w:hAnsi="Times New Roman"/>
          <w:color w:val="000000" w:themeColor="text1"/>
          <w:sz w:val="24"/>
        </w:rPr>
        <w:t xml:space="preserve">-squared test of independence </w:t>
      </w:r>
      <w:r w:rsidR="00FC4C89" w:rsidRPr="005A44CE">
        <w:rPr>
          <w:rFonts w:ascii="Times New Roman" w:hAnsi="Times New Roman"/>
          <w:color w:val="000000" w:themeColor="text1"/>
          <w:sz w:val="24"/>
        </w:rPr>
        <w:t xml:space="preserve">showed </w:t>
      </w:r>
      <w:r w:rsidRPr="005A44CE">
        <w:rPr>
          <w:rFonts w:ascii="Times New Roman" w:hAnsi="Times New Roman"/>
          <w:color w:val="000000" w:themeColor="text1"/>
          <w:sz w:val="24"/>
        </w:rPr>
        <w:t xml:space="preserve">that free condom services were used significantly more by people in relationships </w:t>
      </w:r>
      <w:r w:rsidR="00FC4C89" w:rsidRPr="005A44CE">
        <w:rPr>
          <w:rFonts w:ascii="Times New Roman" w:hAnsi="Times New Roman"/>
          <w:color w:val="000000" w:themeColor="text1"/>
          <w:sz w:val="24"/>
        </w:rPr>
        <w:t>compared with</w:t>
      </w:r>
      <w:r w:rsidRPr="005A44CE">
        <w:rPr>
          <w:rFonts w:ascii="Times New Roman" w:hAnsi="Times New Roman"/>
          <w:color w:val="000000" w:themeColor="text1"/>
          <w:sz w:val="24"/>
        </w:rPr>
        <w:t xml:space="preserve"> those who are single, </w:t>
      </w:r>
      <w:r w:rsidRPr="005A44CE">
        <w:rPr>
          <w:rFonts w:ascii="Times New Roman" w:hAnsi="Times New Roman"/>
          <w:color w:val="000000"/>
          <w:sz w:val="24"/>
        </w:rPr>
        <w:t>χ</w:t>
      </w:r>
      <w:r w:rsidRPr="005A44CE">
        <w:rPr>
          <w:rFonts w:ascii="Times New Roman" w:hAnsi="Times New Roman"/>
          <w:color w:val="000000"/>
          <w:sz w:val="24"/>
          <w:vertAlign w:val="superscript"/>
        </w:rPr>
        <w:t>2</w:t>
      </w:r>
      <w:r w:rsidRPr="005A44CE">
        <w:rPr>
          <w:rFonts w:ascii="Times New Roman" w:hAnsi="Times New Roman"/>
          <w:color w:val="000000" w:themeColor="text1"/>
          <w:sz w:val="24"/>
        </w:rPr>
        <w:t xml:space="preserve">(1, </w:t>
      </w:r>
      <w:proofErr w:type="gramStart"/>
      <w:r w:rsidRPr="005A44CE">
        <w:rPr>
          <w:rFonts w:ascii="Times New Roman" w:hAnsi="Times New Roman"/>
          <w:color w:val="000000" w:themeColor="text1"/>
          <w:sz w:val="24"/>
        </w:rPr>
        <w:t>468)=</w:t>
      </w:r>
      <w:proofErr w:type="gramEnd"/>
      <w:r w:rsidRPr="005A44CE">
        <w:rPr>
          <w:rFonts w:ascii="Times New Roman" w:hAnsi="Times New Roman"/>
          <w:color w:val="000000" w:themeColor="text1"/>
          <w:sz w:val="24"/>
        </w:rPr>
        <w:t xml:space="preserve">6.65, </w:t>
      </w:r>
      <w:r w:rsidRPr="005A44CE">
        <w:rPr>
          <w:rFonts w:ascii="Times New Roman" w:hAnsi="Times New Roman"/>
          <w:i/>
          <w:iCs/>
          <w:color w:val="000000" w:themeColor="text1"/>
          <w:sz w:val="24"/>
        </w:rPr>
        <w:t>p</w:t>
      </w:r>
      <w:r w:rsidRPr="005A44CE">
        <w:rPr>
          <w:rFonts w:ascii="Times New Roman" w:hAnsi="Times New Roman"/>
          <w:color w:val="000000" w:themeColor="text1"/>
          <w:sz w:val="24"/>
        </w:rPr>
        <w:t>=.010.</w:t>
      </w:r>
    </w:p>
    <w:p w14:paraId="575958E1" w14:textId="16BF4C97" w:rsidR="00537BC3" w:rsidRPr="005A44CE" w:rsidRDefault="00537BC3" w:rsidP="00F77A36">
      <w:pPr>
        <w:spacing w:line="480" w:lineRule="auto"/>
        <w:rPr>
          <w:rFonts w:ascii="Times New Roman" w:hAnsi="Times New Roman"/>
          <w:color w:val="000000" w:themeColor="text1"/>
          <w:sz w:val="24"/>
        </w:rPr>
      </w:pPr>
      <w:r w:rsidRPr="005A44CE">
        <w:rPr>
          <w:rFonts w:ascii="Times New Roman" w:hAnsi="Times New Roman"/>
          <w:color w:val="000000" w:themeColor="text1"/>
          <w:sz w:val="24"/>
        </w:rPr>
        <w:tab/>
      </w:r>
      <w:r w:rsidR="00F53BD4" w:rsidRPr="005A44CE">
        <w:rPr>
          <w:rFonts w:ascii="Times New Roman" w:hAnsi="Times New Roman"/>
          <w:color w:val="000000" w:themeColor="text1"/>
          <w:sz w:val="24"/>
        </w:rPr>
        <w:t xml:space="preserve">Among the </w:t>
      </w:r>
      <w:r w:rsidRPr="005A44CE">
        <w:rPr>
          <w:rFonts w:ascii="Times New Roman" w:hAnsi="Times New Roman"/>
          <w:color w:val="000000" w:themeColor="text1"/>
          <w:sz w:val="24"/>
        </w:rPr>
        <w:t xml:space="preserve">100 people (21.4%) </w:t>
      </w:r>
      <w:r w:rsidR="00F53BD4" w:rsidRPr="005A44CE">
        <w:rPr>
          <w:rFonts w:ascii="Times New Roman" w:hAnsi="Times New Roman"/>
          <w:color w:val="000000" w:themeColor="text1"/>
          <w:sz w:val="24"/>
        </w:rPr>
        <w:t xml:space="preserve">who </w:t>
      </w:r>
      <w:r w:rsidRPr="005A44CE">
        <w:rPr>
          <w:rFonts w:ascii="Times New Roman" w:hAnsi="Times New Roman"/>
          <w:color w:val="000000" w:themeColor="text1"/>
          <w:sz w:val="24"/>
        </w:rPr>
        <w:t>reported that they had used STI testing services</w:t>
      </w:r>
      <w:r w:rsidR="00F53BD4" w:rsidRPr="005A44CE">
        <w:rPr>
          <w:rFonts w:ascii="Times New Roman" w:hAnsi="Times New Roman"/>
          <w:color w:val="000000" w:themeColor="text1"/>
          <w:sz w:val="24"/>
        </w:rPr>
        <w:t xml:space="preserve">, </w:t>
      </w:r>
      <w:r w:rsidRPr="005A44CE">
        <w:rPr>
          <w:rFonts w:ascii="Times New Roman" w:hAnsi="Times New Roman"/>
          <w:color w:val="000000" w:themeColor="text1"/>
          <w:sz w:val="24"/>
        </w:rPr>
        <w:t>56 (56</w:t>
      </w:r>
      <w:r w:rsidR="00F53BD4" w:rsidRPr="005A44CE">
        <w:rPr>
          <w:rFonts w:ascii="Times New Roman" w:hAnsi="Times New Roman"/>
          <w:color w:val="000000" w:themeColor="text1"/>
          <w:sz w:val="24"/>
        </w:rPr>
        <w:t>.0</w:t>
      </w:r>
      <w:r w:rsidRPr="005A44CE">
        <w:rPr>
          <w:rFonts w:ascii="Times New Roman" w:hAnsi="Times New Roman"/>
          <w:color w:val="000000" w:themeColor="text1"/>
          <w:sz w:val="24"/>
        </w:rPr>
        <w:t>%) were in a relationship and 44 (44</w:t>
      </w:r>
      <w:r w:rsidR="00F53BD4" w:rsidRPr="005A44CE">
        <w:rPr>
          <w:rFonts w:ascii="Times New Roman" w:hAnsi="Times New Roman"/>
          <w:color w:val="000000" w:themeColor="text1"/>
          <w:sz w:val="24"/>
        </w:rPr>
        <w:t>.0</w:t>
      </w:r>
      <w:r w:rsidRPr="005A44CE">
        <w:rPr>
          <w:rFonts w:ascii="Times New Roman" w:hAnsi="Times New Roman"/>
          <w:color w:val="000000" w:themeColor="text1"/>
          <w:sz w:val="24"/>
        </w:rPr>
        <w:t>%) were single.</w:t>
      </w:r>
      <w:r w:rsidR="00F53BD4" w:rsidRPr="005A44CE">
        <w:rPr>
          <w:rFonts w:ascii="Times New Roman" w:hAnsi="Times New Roman"/>
          <w:color w:val="000000" w:themeColor="text1"/>
          <w:sz w:val="24"/>
        </w:rPr>
        <w:t xml:space="preserve"> People in relationships</w:t>
      </w:r>
      <w:r w:rsidRPr="005A44CE">
        <w:rPr>
          <w:rFonts w:ascii="Times New Roman" w:hAnsi="Times New Roman"/>
          <w:color w:val="000000" w:themeColor="text1"/>
          <w:sz w:val="24"/>
        </w:rPr>
        <w:t xml:space="preserve"> </w:t>
      </w:r>
      <w:r w:rsidR="00F53BD4" w:rsidRPr="005A44CE">
        <w:rPr>
          <w:rFonts w:ascii="Times New Roman" w:hAnsi="Times New Roman"/>
          <w:color w:val="000000" w:themeColor="text1"/>
          <w:sz w:val="24"/>
        </w:rPr>
        <w:t xml:space="preserve">were </w:t>
      </w:r>
      <w:r w:rsidR="00F53BD4" w:rsidRPr="005A44CE">
        <w:rPr>
          <w:rFonts w:ascii="Times New Roman" w:hAnsi="Times New Roman"/>
          <w:color w:val="000000" w:themeColor="text1"/>
          <w:sz w:val="24"/>
        </w:rPr>
        <w:lastRenderedPageBreak/>
        <w:t xml:space="preserve">significantly more likely to use </w:t>
      </w:r>
      <w:r w:rsidRPr="005A44CE">
        <w:rPr>
          <w:rFonts w:ascii="Times New Roman" w:hAnsi="Times New Roman"/>
          <w:color w:val="000000" w:themeColor="text1"/>
          <w:sz w:val="24"/>
        </w:rPr>
        <w:t xml:space="preserve">STI testing services than those who are not, </w:t>
      </w:r>
      <w:r w:rsidRPr="005A44CE">
        <w:rPr>
          <w:rFonts w:ascii="Times New Roman" w:hAnsi="Times New Roman"/>
          <w:color w:val="000000"/>
          <w:sz w:val="24"/>
        </w:rPr>
        <w:t>χ</w:t>
      </w:r>
      <w:r w:rsidRPr="005A44CE">
        <w:rPr>
          <w:rFonts w:ascii="Times New Roman" w:hAnsi="Times New Roman"/>
          <w:color w:val="000000"/>
          <w:sz w:val="24"/>
          <w:vertAlign w:val="superscript"/>
        </w:rPr>
        <w:t>2</w:t>
      </w:r>
      <w:r w:rsidRPr="005A44CE">
        <w:rPr>
          <w:rFonts w:ascii="Times New Roman" w:hAnsi="Times New Roman"/>
          <w:color w:val="000000" w:themeColor="text1"/>
          <w:sz w:val="24"/>
        </w:rPr>
        <w:t xml:space="preserve">(1, </w:t>
      </w:r>
      <w:proofErr w:type="gramStart"/>
      <w:r w:rsidRPr="005A44CE">
        <w:rPr>
          <w:rFonts w:ascii="Times New Roman" w:hAnsi="Times New Roman"/>
          <w:color w:val="000000" w:themeColor="text1"/>
          <w:sz w:val="24"/>
        </w:rPr>
        <w:t>468)=</w:t>
      </w:r>
      <w:proofErr w:type="gramEnd"/>
      <w:r w:rsidRPr="005A44CE">
        <w:rPr>
          <w:rFonts w:ascii="Times New Roman" w:hAnsi="Times New Roman"/>
          <w:color w:val="000000" w:themeColor="text1"/>
          <w:sz w:val="24"/>
        </w:rPr>
        <w:t xml:space="preserve">6.12, </w:t>
      </w:r>
      <w:r w:rsidRPr="005A44CE">
        <w:rPr>
          <w:rFonts w:ascii="Times New Roman" w:hAnsi="Times New Roman"/>
          <w:i/>
          <w:iCs/>
          <w:color w:val="000000" w:themeColor="text1"/>
          <w:sz w:val="24"/>
        </w:rPr>
        <w:t>p</w:t>
      </w:r>
      <w:r w:rsidRPr="005A44CE">
        <w:rPr>
          <w:rFonts w:ascii="Times New Roman" w:hAnsi="Times New Roman"/>
          <w:color w:val="000000" w:themeColor="text1"/>
          <w:sz w:val="24"/>
        </w:rPr>
        <w:t>=.013.</w:t>
      </w:r>
    </w:p>
    <w:p w14:paraId="73254B7B" w14:textId="757D653D" w:rsidR="00537BC3" w:rsidRPr="005A44CE" w:rsidRDefault="00537BC3" w:rsidP="00F77A36">
      <w:pPr>
        <w:spacing w:line="480" w:lineRule="auto"/>
        <w:rPr>
          <w:rFonts w:ascii="Times New Roman" w:hAnsi="Times New Roman"/>
          <w:color w:val="000000" w:themeColor="text1"/>
          <w:sz w:val="24"/>
        </w:rPr>
      </w:pPr>
      <w:r w:rsidRPr="005A44CE">
        <w:rPr>
          <w:rFonts w:ascii="Times New Roman" w:hAnsi="Times New Roman"/>
          <w:color w:val="000000" w:themeColor="text1"/>
          <w:sz w:val="24"/>
        </w:rPr>
        <w:tab/>
      </w:r>
      <w:r w:rsidR="009957A9" w:rsidRPr="005A44CE">
        <w:rPr>
          <w:rFonts w:ascii="Times New Roman" w:hAnsi="Times New Roman"/>
          <w:color w:val="000000" w:themeColor="text1"/>
          <w:sz w:val="24"/>
        </w:rPr>
        <w:t>With respect to</w:t>
      </w:r>
      <w:r w:rsidRPr="005A44CE">
        <w:rPr>
          <w:rFonts w:ascii="Times New Roman" w:hAnsi="Times New Roman"/>
          <w:color w:val="000000" w:themeColor="text1"/>
          <w:sz w:val="24"/>
        </w:rPr>
        <w:t xml:space="preserve"> relationship advice, 44 people (9.4%) said they had engaged with this service</w:t>
      </w:r>
      <w:r w:rsidR="009957A9" w:rsidRPr="005A44CE">
        <w:rPr>
          <w:rFonts w:ascii="Times New Roman" w:hAnsi="Times New Roman"/>
          <w:color w:val="000000" w:themeColor="text1"/>
          <w:sz w:val="24"/>
        </w:rPr>
        <w:t>;</w:t>
      </w:r>
      <w:r w:rsidRPr="005A44CE">
        <w:rPr>
          <w:rFonts w:ascii="Times New Roman" w:hAnsi="Times New Roman"/>
          <w:color w:val="000000" w:themeColor="text1"/>
          <w:sz w:val="24"/>
        </w:rPr>
        <w:t xml:space="preserve"> 21 (47.7%) were in a relationship and 23 (52.3%) were single.</w:t>
      </w:r>
      <w:r w:rsidR="0009449C" w:rsidRPr="005A44CE">
        <w:rPr>
          <w:rFonts w:ascii="Times New Roman" w:hAnsi="Times New Roman"/>
          <w:color w:val="000000" w:themeColor="text1"/>
          <w:sz w:val="24"/>
        </w:rPr>
        <w:t xml:space="preserve"> </w:t>
      </w:r>
      <w:r w:rsidR="009957A9" w:rsidRPr="005A44CE">
        <w:rPr>
          <w:rFonts w:ascii="Times New Roman" w:hAnsi="Times New Roman"/>
          <w:color w:val="000000" w:themeColor="text1"/>
          <w:sz w:val="24"/>
        </w:rPr>
        <w:t xml:space="preserve">There was </w:t>
      </w:r>
      <w:r w:rsidR="0009449C" w:rsidRPr="005A44CE">
        <w:rPr>
          <w:rFonts w:ascii="Times New Roman" w:hAnsi="Times New Roman"/>
          <w:color w:val="000000" w:themeColor="text1"/>
          <w:sz w:val="24"/>
        </w:rPr>
        <w:t xml:space="preserve">no significant difference </w:t>
      </w:r>
      <w:r w:rsidR="00CF335F" w:rsidRPr="005A44CE">
        <w:rPr>
          <w:rFonts w:ascii="Times New Roman" w:hAnsi="Times New Roman"/>
          <w:color w:val="000000" w:themeColor="text1"/>
          <w:sz w:val="24"/>
        </w:rPr>
        <w:t>in</w:t>
      </w:r>
      <w:r w:rsidR="0009449C" w:rsidRPr="005A44CE">
        <w:rPr>
          <w:rFonts w:ascii="Times New Roman" w:hAnsi="Times New Roman"/>
          <w:color w:val="000000" w:themeColor="text1"/>
          <w:sz w:val="24"/>
        </w:rPr>
        <w:t xml:space="preserve"> </w:t>
      </w:r>
      <w:r w:rsidR="009957A9" w:rsidRPr="005A44CE">
        <w:rPr>
          <w:rFonts w:ascii="Times New Roman" w:hAnsi="Times New Roman"/>
          <w:color w:val="000000" w:themeColor="text1"/>
          <w:sz w:val="24"/>
        </w:rPr>
        <w:t xml:space="preserve">relationship advice </w:t>
      </w:r>
      <w:r w:rsidR="0009449C" w:rsidRPr="005A44CE">
        <w:rPr>
          <w:rFonts w:ascii="Times New Roman" w:hAnsi="Times New Roman"/>
          <w:color w:val="000000" w:themeColor="text1"/>
          <w:sz w:val="24"/>
        </w:rPr>
        <w:t xml:space="preserve">engagement </w:t>
      </w:r>
      <w:r w:rsidR="00CF335F" w:rsidRPr="005A44CE">
        <w:rPr>
          <w:rFonts w:ascii="Times New Roman" w:hAnsi="Times New Roman"/>
          <w:color w:val="000000" w:themeColor="text1"/>
          <w:sz w:val="24"/>
        </w:rPr>
        <w:t>by relationship status</w:t>
      </w:r>
      <w:r w:rsidR="0009449C" w:rsidRPr="005A44CE">
        <w:rPr>
          <w:rFonts w:ascii="Times New Roman" w:hAnsi="Times New Roman"/>
          <w:color w:val="000000" w:themeColor="text1"/>
          <w:sz w:val="24"/>
        </w:rPr>
        <w:t xml:space="preserve">, </w:t>
      </w:r>
      <w:r w:rsidR="0009449C" w:rsidRPr="005A44CE">
        <w:rPr>
          <w:rFonts w:ascii="Times New Roman" w:hAnsi="Times New Roman"/>
          <w:color w:val="000000"/>
          <w:sz w:val="24"/>
        </w:rPr>
        <w:t>χ</w:t>
      </w:r>
      <w:r w:rsidR="0009449C" w:rsidRPr="005A44CE">
        <w:rPr>
          <w:rFonts w:ascii="Times New Roman" w:hAnsi="Times New Roman"/>
          <w:color w:val="000000"/>
          <w:sz w:val="24"/>
          <w:vertAlign w:val="superscript"/>
        </w:rPr>
        <w:t>2</w:t>
      </w:r>
      <w:r w:rsidR="0009449C" w:rsidRPr="005A44CE">
        <w:rPr>
          <w:rFonts w:ascii="Times New Roman" w:hAnsi="Times New Roman"/>
          <w:color w:val="000000" w:themeColor="text1"/>
          <w:sz w:val="24"/>
        </w:rPr>
        <w:t>(</w:t>
      </w:r>
      <w:proofErr w:type="gramStart"/>
      <w:r w:rsidR="0009449C" w:rsidRPr="005A44CE">
        <w:rPr>
          <w:rFonts w:ascii="Times New Roman" w:hAnsi="Times New Roman"/>
          <w:color w:val="000000" w:themeColor="text1"/>
          <w:sz w:val="24"/>
        </w:rPr>
        <w:t>1,468)=</w:t>
      </w:r>
      <w:proofErr w:type="gramEnd"/>
      <w:r w:rsidR="0009449C" w:rsidRPr="005A44CE">
        <w:rPr>
          <w:rFonts w:ascii="Times New Roman" w:hAnsi="Times New Roman"/>
          <w:color w:val="000000" w:themeColor="text1"/>
          <w:sz w:val="24"/>
        </w:rPr>
        <w:t xml:space="preserve">.14, </w:t>
      </w:r>
      <w:r w:rsidR="0009449C" w:rsidRPr="005A44CE">
        <w:rPr>
          <w:rFonts w:ascii="Times New Roman" w:hAnsi="Times New Roman"/>
          <w:i/>
          <w:iCs/>
          <w:color w:val="000000" w:themeColor="text1"/>
          <w:sz w:val="24"/>
        </w:rPr>
        <w:t>p</w:t>
      </w:r>
      <w:r w:rsidR="0009449C" w:rsidRPr="005A44CE">
        <w:rPr>
          <w:rFonts w:ascii="Times New Roman" w:hAnsi="Times New Roman"/>
          <w:color w:val="000000" w:themeColor="text1"/>
          <w:sz w:val="24"/>
        </w:rPr>
        <w:t>=.711.</w:t>
      </w:r>
    </w:p>
    <w:p w14:paraId="26197DB6" w14:textId="2FAEBE97" w:rsidR="0009449C" w:rsidRPr="005A44CE" w:rsidRDefault="0009449C" w:rsidP="00F77A36">
      <w:pPr>
        <w:spacing w:line="480" w:lineRule="auto"/>
        <w:rPr>
          <w:rFonts w:ascii="Times New Roman" w:hAnsi="Times New Roman"/>
          <w:color w:val="000000" w:themeColor="text1"/>
          <w:sz w:val="24"/>
        </w:rPr>
      </w:pPr>
      <w:r w:rsidRPr="005A44CE">
        <w:rPr>
          <w:rFonts w:ascii="Times New Roman" w:hAnsi="Times New Roman"/>
          <w:color w:val="000000" w:themeColor="text1"/>
          <w:sz w:val="24"/>
        </w:rPr>
        <w:tab/>
      </w:r>
      <w:r w:rsidR="00CF335F" w:rsidRPr="005A44CE">
        <w:rPr>
          <w:rFonts w:ascii="Times New Roman" w:hAnsi="Times New Roman"/>
          <w:color w:val="000000" w:themeColor="text1"/>
          <w:sz w:val="24"/>
        </w:rPr>
        <w:t xml:space="preserve">Among </w:t>
      </w:r>
      <w:r w:rsidR="00235EDB" w:rsidRPr="005A44CE">
        <w:rPr>
          <w:rFonts w:ascii="Times New Roman" w:hAnsi="Times New Roman"/>
          <w:color w:val="000000" w:themeColor="text1"/>
          <w:sz w:val="24"/>
        </w:rPr>
        <w:t xml:space="preserve">female participants (n=388), </w:t>
      </w:r>
      <w:r w:rsidRPr="005A44CE">
        <w:rPr>
          <w:rFonts w:ascii="Times New Roman" w:hAnsi="Times New Roman"/>
          <w:color w:val="000000" w:themeColor="text1"/>
          <w:sz w:val="24"/>
        </w:rPr>
        <w:t xml:space="preserve">222 (57.2%) reported </w:t>
      </w:r>
      <w:r w:rsidR="00235EDB" w:rsidRPr="005A44CE">
        <w:rPr>
          <w:rFonts w:ascii="Times New Roman" w:hAnsi="Times New Roman"/>
          <w:color w:val="000000" w:themeColor="text1"/>
          <w:sz w:val="24"/>
        </w:rPr>
        <w:t xml:space="preserve">accessing sexual health services to start </w:t>
      </w:r>
      <w:r w:rsidRPr="005A44CE">
        <w:rPr>
          <w:rFonts w:ascii="Times New Roman" w:hAnsi="Times New Roman"/>
          <w:color w:val="000000" w:themeColor="text1"/>
          <w:sz w:val="24"/>
        </w:rPr>
        <w:t>using the pill</w:t>
      </w:r>
      <w:r w:rsidR="00235EDB" w:rsidRPr="005A44CE">
        <w:rPr>
          <w:rFonts w:ascii="Times New Roman" w:hAnsi="Times New Roman"/>
          <w:color w:val="000000" w:themeColor="text1"/>
          <w:sz w:val="24"/>
        </w:rPr>
        <w:t>.</w:t>
      </w:r>
      <w:r w:rsidRPr="005A44CE">
        <w:rPr>
          <w:rFonts w:ascii="Times New Roman" w:hAnsi="Times New Roman"/>
          <w:color w:val="000000" w:themeColor="text1"/>
          <w:sz w:val="24"/>
        </w:rPr>
        <w:t xml:space="preserve"> </w:t>
      </w:r>
      <w:r w:rsidR="00235EDB" w:rsidRPr="005A44CE">
        <w:rPr>
          <w:rFonts w:ascii="Times New Roman" w:hAnsi="Times New Roman"/>
          <w:color w:val="000000" w:themeColor="text1"/>
          <w:sz w:val="24"/>
        </w:rPr>
        <w:t>O</w:t>
      </w:r>
      <w:r w:rsidRPr="005A44CE">
        <w:rPr>
          <w:rFonts w:ascii="Times New Roman" w:hAnsi="Times New Roman"/>
          <w:color w:val="000000" w:themeColor="text1"/>
          <w:sz w:val="24"/>
        </w:rPr>
        <w:t xml:space="preserve">f these, 125 (56.3%) reported being in a relationship </w:t>
      </w:r>
      <w:r w:rsidR="00235EDB" w:rsidRPr="005A44CE">
        <w:rPr>
          <w:rFonts w:ascii="Times New Roman" w:hAnsi="Times New Roman"/>
          <w:color w:val="000000" w:themeColor="text1"/>
          <w:sz w:val="24"/>
        </w:rPr>
        <w:t>while</w:t>
      </w:r>
      <w:r w:rsidRPr="005A44CE">
        <w:rPr>
          <w:rFonts w:ascii="Times New Roman" w:hAnsi="Times New Roman"/>
          <w:color w:val="000000" w:themeColor="text1"/>
          <w:sz w:val="24"/>
        </w:rPr>
        <w:t xml:space="preserve"> 97 (43.7%) were single. A Chi-squared test revealed that the pill was used significantly more by </w:t>
      </w:r>
      <w:r w:rsidR="00235EDB" w:rsidRPr="005A44CE">
        <w:rPr>
          <w:rFonts w:ascii="Times New Roman" w:hAnsi="Times New Roman"/>
          <w:color w:val="000000" w:themeColor="text1"/>
          <w:sz w:val="24"/>
        </w:rPr>
        <w:t xml:space="preserve">those </w:t>
      </w:r>
      <w:r w:rsidRPr="005A44CE">
        <w:rPr>
          <w:rFonts w:ascii="Times New Roman" w:hAnsi="Times New Roman"/>
          <w:color w:val="000000" w:themeColor="text1"/>
          <w:sz w:val="24"/>
        </w:rPr>
        <w:t xml:space="preserve">in a relationship </w:t>
      </w:r>
      <w:r w:rsidR="00235EDB" w:rsidRPr="005A44CE">
        <w:rPr>
          <w:rFonts w:ascii="Times New Roman" w:hAnsi="Times New Roman"/>
          <w:color w:val="000000" w:themeColor="text1"/>
          <w:sz w:val="24"/>
        </w:rPr>
        <w:t xml:space="preserve">compared with those </w:t>
      </w:r>
      <w:r w:rsidRPr="005A44CE">
        <w:rPr>
          <w:rFonts w:ascii="Times New Roman" w:hAnsi="Times New Roman"/>
          <w:color w:val="000000" w:themeColor="text1"/>
          <w:sz w:val="24"/>
        </w:rPr>
        <w:t xml:space="preserve">who are single, </w:t>
      </w:r>
      <w:r w:rsidRPr="005A44CE">
        <w:rPr>
          <w:rFonts w:ascii="Times New Roman" w:hAnsi="Times New Roman"/>
          <w:color w:val="000000"/>
          <w:sz w:val="24"/>
        </w:rPr>
        <w:t>χ</w:t>
      </w:r>
      <w:r w:rsidRPr="005A44CE">
        <w:rPr>
          <w:rFonts w:ascii="Times New Roman" w:hAnsi="Times New Roman"/>
          <w:color w:val="000000"/>
          <w:sz w:val="24"/>
          <w:vertAlign w:val="superscript"/>
        </w:rPr>
        <w:t>2</w:t>
      </w:r>
      <w:r w:rsidRPr="005A44CE">
        <w:rPr>
          <w:rFonts w:ascii="Times New Roman" w:hAnsi="Times New Roman"/>
          <w:color w:val="000000" w:themeColor="text1"/>
          <w:sz w:val="24"/>
        </w:rPr>
        <w:t xml:space="preserve">(1, </w:t>
      </w:r>
      <w:proofErr w:type="gramStart"/>
      <w:r w:rsidRPr="005A44CE">
        <w:rPr>
          <w:rFonts w:ascii="Times New Roman" w:hAnsi="Times New Roman"/>
          <w:color w:val="000000" w:themeColor="text1"/>
          <w:sz w:val="24"/>
        </w:rPr>
        <w:t>388)=</w:t>
      </w:r>
      <w:proofErr w:type="gramEnd"/>
      <w:r w:rsidRPr="005A44CE">
        <w:rPr>
          <w:rFonts w:ascii="Times New Roman" w:hAnsi="Times New Roman"/>
          <w:color w:val="000000" w:themeColor="text1"/>
          <w:sz w:val="24"/>
        </w:rPr>
        <w:t xml:space="preserve">17.40, </w:t>
      </w:r>
      <w:r w:rsidRPr="005A44CE">
        <w:rPr>
          <w:rFonts w:ascii="Times New Roman" w:hAnsi="Times New Roman"/>
          <w:i/>
          <w:iCs/>
          <w:color w:val="000000" w:themeColor="text1"/>
          <w:sz w:val="24"/>
        </w:rPr>
        <w:t>p</w:t>
      </w:r>
      <w:r w:rsidRPr="005A44CE">
        <w:rPr>
          <w:rFonts w:ascii="Times New Roman" w:hAnsi="Times New Roman"/>
          <w:color w:val="000000" w:themeColor="text1"/>
          <w:sz w:val="24"/>
        </w:rPr>
        <w:t>&lt;.001.</w:t>
      </w:r>
    </w:p>
    <w:p w14:paraId="04C694DB" w14:textId="07C906F9" w:rsidR="00EE3EA3" w:rsidRPr="005A44CE" w:rsidRDefault="0009449C" w:rsidP="00F77A36">
      <w:pPr>
        <w:spacing w:line="480" w:lineRule="auto"/>
        <w:rPr>
          <w:rFonts w:ascii="Times New Roman" w:hAnsi="Times New Roman"/>
          <w:color w:val="000000" w:themeColor="text1"/>
          <w:sz w:val="24"/>
        </w:rPr>
      </w:pPr>
      <w:r w:rsidRPr="005A44CE">
        <w:rPr>
          <w:rFonts w:ascii="Times New Roman" w:hAnsi="Times New Roman"/>
          <w:color w:val="000000" w:themeColor="text1"/>
          <w:sz w:val="24"/>
        </w:rPr>
        <w:tab/>
      </w:r>
      <w:r w:rsidR="009234C4" w:rsidRPr="005A44CE">
        <w:rPr>
          <w:rFonts w:ascii="Times New Roman" w:hAnsi="Times New Roman"/>
          <w:color w:val="000000" w:themeColor="text1"/>
          <w:sz w:val="24"/>
        </w:rPr>
        <w:t xml:space="preserve">Likewise, among female </w:t>
      </w:r>
      <w:r w:rsidR="006C5D04" w:rsidRPr="005A44CE">
        <w:rPr>
          <w:rFonts w:ascii="Times New Roman" w:hAnsi="Times New Roman"/>
          <w:color w:val="000000" w:themeColor="text1"/>
          <w:sz w:val="24"/>
        </w:rPr>
        <w:t>participants</w:t>
      </w:r>
      <w:r w:rsidR="009234C4" w:rsidRPr="005A44CE">
        <w:rPr>
          <w:rFonts w:ascii="Times New Roman" w:hAnsi="Times New Roman"/>
          <w:color w:val="000000" w:themeColor="text1"/>
          <w:sz w:val="24"/>
        </w:rPr>
        <w:t xml:space="preserve">, </w:t>
      </w:r>
      <w:r w:rsidRPr="005A44CE">
        <w:rPr>
          <w:rFonts w:ascii="Times New Roman" w:hAnsi="Times New Roman"/>
          <w:color w:val="000000" w:themeColor="text1"/>
          <w:sz w:val="24"/>
        </w:rPr>
        <w:t xml:space="preserve">76 (19.6%) reported </w:t>
      </w:r>
      <w:r w:rsidR="009234C4" w:rsidRPr="005A44CE">
        <w:rPr>
          <w:rFonts w:ascii="Times New Roman" w:hAnsi="Times New Roman"/>
          <w:color w:val="000000" w:themeColor="text1"/>
          <w:sz w:val="24"/>
        </w:rPr>
        <w:t xml:space="preserve">accessing </w:t>
      </w:r>
      <w:r w:rsidRPr="005A44CE">
        <w:rPr>
          <w:rFonts w:ascii="Times New Roman" w:hAnsi="Times New Roman"/>
          <w:color w:val="000000" w:themeColor="text1"/>
          <w:sz w:val="24"/>
        </w:rPr>
        <w:t>services</w:t>
      </w:r>
      <w:r w:rsidR="009234C4" w:rsidRPr="005A44CE">
        <w:rPr>
          <w:rFonts w:ascii="Times New Roman" w:hAnsi="Times New Roman"/>
          <w:color w:val="000000" w:themeColor="text1"/>
          <w:sz w:val="24"/>
        </w:rPr>
        <w:t xml:space="preserve"> for pregnancy testing;</w:t>
      </w:r>
      <w:r w:rsidRPr="005A44CE">
        <w:rPr>
          <w:rFonts w:ascii="Times New Roman" w:hAnsi="Times New Roman"/>
          <w:color w:val="000000" w:themeColor="text1"/>
          <w:sz w:val="24"/>
        </w:rPr>
        <w:t xml:space="preserve"> 56 (73.7%) </w:t>
      </w:r>
      <w:r w:rsidR="009234C4" w:rsidRPr="005A44CE">
        <w:rPr>
          <w:rFonts w:ascii="Times New Roman" w:hAnsi="Times New Roman"/>
          <w:color w:val="000000" w:themeColor="text1"/>
          <w:sz w:val="24"/>
        </w:rPr>
        <w:t>reported</w:t>
      </w:r>
      <w:r w:rsidRPr="005A44CE">
        <w:rPr>
          <w:rFonts w:ascii="Times New Roman" w:hAnsi="Times New Roman"/>
          <w:color w:val="000000" w:themeColor="text1"/>
          <w:sz w:val="24"/>
        </w:rPr>
        <w:t xml:space="preserve"> </w:t>
      </w:r>
      <w:r w:rsidR="009234C4" w:rsidRPr="005A44CE">
        <w:rPr>
          <w:rFonts w:ascii="Times New Roman" w:hAnsi="Times New Roman"/>
          <w:color w:val="000000" w:themeColor="text1"/>
          <w:sz w:val="24"/>
        </w:rPr>
        <w:t>being</w:t>
      </w:r>
      <w:r w:rsidRPr="005A44CE">
        <w:rPr>
          <w:rFonts w:ascii="Times New Roman" w:hAnsi="Times New Roman"/>
          <w:color w:val="000000" w:themeColor="text1"/>
          <w:sz w:val="24"/>
        </w:rPr>
        <w:t xml:space="preserve"> in a relationship</w:t>
      </w:r>
      <w:r w:rsidR="009234C4" w:rsidRPr="005A44CE">
        <w:rPr>
          <w:rFonts w:ascii="Times New Roman" w:hAnsi="Times New Roman"/>
          <w:color w:val="000000" w:themeColor="text1"/>
          <w:sz w:val="24"/>
        </w:rPr>
        <w:t xml:space="preserve"> and</w:t>
      </w:r>
      <w:r w:rsidRPr="005A44CE">
        <w:rPr>
          <w:rFonts w:ascii="Times New Roman" w:hAnsi="Times New Roman"/>
          <w:color w:val="000000" w:themeColor="text1"/>
          <w:sz w:val="24"/>
        </w:rPr>
        <w:t xml:space="preserve"> 20 (26.3%) were single. </w:t>
      </w:r>
      <w:r w:rsidR="009234C4" w:rsidRPr="005A44CE">
        <w:rPr>
          <w:rFonts w:ascii="Times New Roman" w:hAnsi="Times New Roman"/>
          <w:color w:val="000000" w:themeColor="text1"/>
          <w:sz w:val="24"/>
        </w:rPr>
        <w:t xml:space="preserve">Those in relationships were </w:t>
      </w:r>
      <w:r w:rsidRPr="005A44CE">
        <w:rPr>
          <w:rFonts w:ascii="Times New Roman" w:hAnsi="Times New Roman"/>
          <w:color w:val="000000" w:themeColor="text1"/>
          <w:sz w:val="24"/>
        </w:rPr>
        <w:t xml:space="preserve">significantly more </w:t>
      </w:r>
      <w:r w:rsidR="009234C4" w:rsidRPr="005A44CE">
        <w:rPr>
          <w:rFonts w:ascii="Times New Roman" w:hAnsi="Times New Roman"/>
          <w:color w:val="000000" w:themeColor="text1"/>
          <w:sz w:val="24"/>
        </w:rPr>
        <w:t xml:space="preserve">likely to use pregnancy testing services that those </w:t>
      </w:r>
      <w:r w:rsidRPr="005A44CE">
        <w:rPr>
          <w:rFonts w:ascii="Times New Roman" w:hAnsi="Times New Roman"/>
          <w:color w:val="000000" w:themeColor="text1"/>
          <w:sz w:val="24"/>
        </w:rPr>
        <w:t xml:space="preserve">who are single, </w:t>
      </w:r>
      <w:r w:rsidRPr="005A44CE">
        <w:rPr>
          <w:rFonts w:ascii="Times New Roman" w:hAnsi="Times New Roman"/>
          <w:color w:val="000000"/>
          <w:sz w:val="24"/>
        </w:rPr>
        <w:t>χ</w:t>
      </w:r>
      <w:r w:rsidRPr="005A44CE">
        <w:rPr>
          <w:rFonts w:ascii="Times New Roman" w:hAnsi="Times New Roman"/>
          <w:color w:val="000000"/>
          <w:sz w:val="24"/>
          <w:vertAlign w:val="superscript"/>
        </w:rPr>
        <w:t>2</w:t>
      </w:r>
      <w:r w:rsidRPr="005A44CE">
        <w:rPr>
          <w:rFonts w:ascii="Times New Roman" w:hAnsi="Times New Roman"/>
          <w:color w:val="000000" w:themeColor="text1"/>
          <w:sz w:val="24"/>
        </w:rPr>
        <w:t xml:space="preserve"> (1, </w:t>
      </w:r>
      <w:proofErr w:type="gramStart"/>
      <w:r w:rsidRPr="005A44CE">
        <w:rPr>
          <w:rFonts w:ascii="Times New Roman" w:hAnsi="Times New Roman"/>
          <w:color w:val="000000" w:themeColor="text1"/>
          <w:sz w:val="24"/>
        </w:rPr>
        <w:t>388)=</w:t>
      </w:r>
      <w:proofErr w:type="gramEnd"/>
      <w:r w:rsidRPr="005A44CE">
        <w:rPr>
          <w:rFonts w:ascii="Times New Roman" w:hAnsi="Times New Roman"/>
          <w:color w:val="000000" w:themeColor="text1"/>
          <w:sz w:val="24"/>
        </w:rPr>
        <w:t xml:space="preserve">26.67, </w:t>
      </w:r>
      <w:r w:rsidRPr="005A44CE">
        <w:rPr>
          <w:rFonts w:ascii="Times New Roman" w:hAnsi="Times New Roman"/>
          <w:i/>
          <w:iCs/>
          <w:color w:val="000000" w:themeColor="text1"/>
          <w:sz w:val="24"/>
        </w:rPr>
        <w:t>p</w:t>
      </w:r>
      <w:r w:rsidRPr="005A44CE">
        <w:rPr>
          <w:rFonts w:ascii="Times New Roman" w:hAnsi="Times New Roman"/>
          <w:color w:val="000000" w:themeColor="text1"/>
          <w:sz w:val="24"/>
        </w:rPr>
        <w:t xml:space="preserve">&lt;.001.   </w:t>
      </w:r>
    </w:p>
    <w:p w14:paraId="39B00C3E" w14:textId="42FCA482" w:rsidR="008B0268" w:rsidRPr="005A44CE" w:rsidRDefault="008660C2" w:rsidP="008660C2">
      <w:pPr>
        <w:spacing w:line="480" w:lineRule="auto"/>
        <w:ind w:firstLine="720"/>
        <w:rPr>
          <w:rFonts w:ascii="Times New Roman" w:hAnsi="Times New Roman"/>
          <w:color w:val="000000" w:themeColor="text1"/>
          <w:sz w:val="24"/>
        </w:rPr>
      </w:pPr>
      <w:r w:rsidRPr="005A44CE">
        <w:rPr>
          <w:rFonts w:ascii="Times New Roman" w:hAnsi="Times New Roman"/>
          <w:color w:val="000000" w:themeColor="text1"/>
          <w:sz w:val="24"/>
        </w:rPr>
        <w:t>In multivariable logistic regression analyses, a</w:t>
      </w:r>
      <w:r w:rsidR="008B0268" w:rsidRPr="005A44CE">
        <w:rPr>
          <w:rFonts w:ascii="Times New Roman" w:hAnsi="Times New Roman"/>
          <w:color w:val="000000" w:themeColor="text1"/>
          <w:sz w:val="24"/>
        </w:rPr>
        <w:t>fter controlling for age, gender</w:t>
      </w:r>
      <w:r w:rsidR="00CE5EAF">
        <w:rPr>
          <w:rFonts w:ascii="Times New Roman" w:hAnsi="Times New Roman"/>
          <w:color w:val="000000" w:themeColor="text1"/>
          <w:sz w:val="24"/>
        </w:rPr>
        <w:t>,</w:t>
      </w:r>
      <w:r w:rsidR="008B0268" w:rsidRPr="005A44CE">
        <w:rPr>
          <w:rFonts w:ascii="Times New Roman" w:hAnsi="Times New Roman"/>
          <w:color w:val="000000" w:themeColor="text1"/>
          <w:sz w:val="24"/>
        </w:rPr>
        <w:t xml:space="preserve"> and sexual orientation, relationship</w:t>
      </w:r>
      <w:r w:rsidR="00021875" w:rsidRPr="005A44CE">
        <w:rPr>
          <w:rFonts w:ascii="Times New Roman" w:hAnsi="Times New Roman"/>
          <w:color w:val="000000" w:themeColor="text1"/>
          <w:sz w:val="24"/>
        </w:rPr>
        <w:t xml:space="preserve"> status</w:t>
      </w:r>
      <w:r w:rsidR="008B0268" w:rsidRPr="005A44CE">
        <w:rPr>
          <w:rFonts w:ascii="Times New Roman" w:hAnsi="Times New Roman"/>
          <w:color w:val="000000" w:themeColor="text1"/>
          <w:sz w:val="24"/>
        </w:rPr>
        <w:t xml:space="preserve"> </w:t>
      </w:r>
      <w:r w:rsidR="008A4D65" w:rsidRPr="005A44CE">
        <w:rPr>
          <w:rFonts w:ascii="Times New Roman" w:hAnsi="Times New Roman"/>
          <w:color w:val="000000" w:themeColor="text1"/>
          <w:sz w:val="24"/>
        </w:rPr>
        <w:t>remained</w:t>
      </w:r>
      <w:r w:rsidR="008B0268" w:rsidRPr="005A44CE">
        <w:rPr>
          <w:rFonts w:ascii="Times New Roman" w:hAnsi="Times New Roman"/>
          <w:color w:val="000000" w:themeColor="text1"/>
          <w:sz w:val="24"/>
        </w:rPr>
        <w:t xml:space="preserve"> significant</w:t>
      </w:r>
      <w:r w:rsidR="00293EF4" w:rsidRPr="005A44CE">
        <w:rPr>
          <w:rFonts w:ascii="Times New Roman" w:hAnsi="Times New Roman"/>
          <w:color w:val="000000" w:themeColor="text1"/>
          <w:sz w:val="24"/>
        </w:rPr>
        <w:t>ly associated with</w:t>
      </w:r>
      <w:r w:rsidR="008B0268" w:rsidRPr="005A44CE">
        <w:rPr>
          <w:rFonts w:ascii="Times New Roman" w:hAnsi="Times New Roman"/>
          <w:color w:val="000000" w:themeColor="text1"/>
          <w:sz w:val="24"/>
        </w:rPr>
        <w:t xml:space="preserve"> free condom service use (</w:t>
      </w:r>
      <w:proofErr w:type="spellStart"/>
      <w:r w:rsidR="008A4D65" w:rsidRPr="005A44CE">
        <w:rPr>
          <w:rFonts w:ascii="Times New Roman" w:hAnsi="Times New Roman"/>
          <w:color w:val="000000" w:themeColor="text1"/>
          <w:sz w:val="24"/>
        </w:rPr>
        <w:t>a</w:t>
      </w:r>
      <w:r w:rsidR="008B0268" w:rsidRPr="005A44CE">
        <w:rPr>
          <w:rFonts w:ascii="Times New Roman" w:hAnsi="Times New Roman"/>
          <w:color w:val="000000" w:themeColor="text1"/>
          <w:sz w:val="24"/>
        </w:rPr>
        <w:t>OR</w:t>
      </w:r>
      <w:proofErr w:type="spellEnd"/>
      <w:r w:rsidR="008B0268" w:rsidRPr="005A44CE">
        <w:rPr>
          <w:rFonts w:ascii="Times New Roman" w:hAnsi="Times New Roman"/>
          <w:color w:val="000000" w:themeColor="text1"/>
          <w:sz w:val="24"/>
        </w:rPr>
        <w:t>=</w:t>
      </w:r>
      <w:r w:rsidR="00021875" w:rsidRPr="005A44CE">
        <w:rPr>
          <w:rFonts w:ascii="Times New Roman" w:hAnsi="Times New Roman"/>
          <w:color w:val="000000" w:themeColor="text1"/>
          <w:sz w:val="24"/>
        </w:rPr>
        <w:t>1.71</w:t>
      </w:r>
      <w:r w:rsidR="00B87C28" w:rsidRPr="005A44CE">
        <w:rPr>
          <w:rFonts w:ascii="Times New Roman" w:hAnsi="Times New Roman"/>
          <w:color w:val="000000" w:themeColor="text1"/>
          <w:sz w:val="24"/>
        </w:rPr>
        <w:t>, 95%CI</w:t>
      </w:r>
      <w:r w:rsidR="008A4D65" w:rsidRPr="005A44CE">
        <w:rPr>
          <w:rFonts w:ascii="Times New Roman" w:hAnsi="Times New Roman"/>
          <w:color w:val="000000" w:themeColor="text1"/>
          <w:sz w:val="24"/>
        </w:rPr>
        <w:t>:</w:t>
      </w:r>
      <w:r w:rsidR="00021875" w:rsidRPr="005A44CE">
        <w:rPr>
          <w:rFonts w:ascii="Times New Roman" w:hAnsi="Times New Roman"/>
          <w:color w:val="000000" w:themeColor="text1"/>
          <w:sz w:val="24"/>
        </w:rPr>
        <w:t>1.13</w:t>
      </w:r>
      <w:r w:rsidR="00B87C28" w:rsidRPr="005A44CE">
        <w:rPr>
          <w:rFonts w:ascii="Times New Roman" w:hAnsi="Times New Roman"/>
          <w:color w:val="000000" w:themeColor="text1"/>
          <w:sz w:val="24"/>
        </w:rPr>
        <w:t xml:space="preserve">, </w:t>
      </w:r>
      <w:r w:rsidR="00021875" w:rsidRPr="005A44CE">
        <w:rPr>
          <w:rFonts w:ascii="Times New Roman" w:hAnsi="Times New Roman"/>
          <w:color w:val="000000" w:themeColor="text1"/>
          <w:sz w:val="24"/>
        </w:rPr>
        <w:t>2.59</w:t>
      </w:r>
      <w:r w:rsidR="00B87C28" w:rsidRPr="005A44CE">
        <w:rPr>
          <w:rFonts w:ascii="Times New Roman" w:hAnsi="Times New Roman"/>
          <w:color w:val="000000" w:themeColor="text1"/>
          <w:sz w:val="24"/>
        </w:rPr>
        <w:t>)</w:t>
      </w:r>
      <w:r w:rsidR="00021875" w:rsidRPr="005A44CE">
        <w:rPr>
          <w:rFonts w:ascii="Times New Roman" w:hAnsi="Times New Roman"/>
          <w:color w:val="000000" w:themeColor="text1"/>
          <w:sz w:val="24"/>
        </w:rPr>
        <w:t xml:space="preserve">. </w:t>
      </w:r>
      <w:r w:rsidR="008A4D65" w:rsidRPr="005A44CE">
        <w:rPr>
          <w:rFonts w:ascii="Times New Roman" w:hAnsi="Times New Roman"/>
          <w:color w:val="000000" w:themeColor="text1"/>
          <w:sz w:val="24"/>
        </w:rPr>
        <w:t>People in a relationship were 1.71 times more likely to use free condom services compared to those who are single.</w:t>
      </w:r>
      <w:r w:rsidR="00F80F39" w:rsidRPr="005A44CE">
        <w:rPr>
          <w:rFonts w:ascii="Times New Roman" w:hAnsi="Times New Roman"/>
          <w:color w:val="000000" w:themeColor="text1"/>
          <w:sz w:val="24"/>
        </w:rPr>
        <w:t xml:space="preserve"> Older participants and male participants were also more likely to report having accessed free condoms. See Table </w:t>
      </w:r>
      <w:r w:rsidRPr="005A44CE">
        <w:rPr>
          <w:rFonts w:ascii="Times New Roman" w:hAnsi="Times New Roman"/>
          <w:color w:val="000000" w:themeColor="text1"/>
          <w:sz w:val="24"/>
        </w:rPr>
        <w:t>2</w:t>
      </w:r>
      <w:r w:rsidR="00F80F39" w:rsidRPr="005A44CE">
        <w:rPr>
          <w:rFonts w:ascii="Times New Roman" w:hAnsi="Times New Roman"/>
          <w:color w:val="000000" w:themeColor="text1"/>
          <w:sz w:val="24"/>
        </w:rPr>
        <w:t xml:space="preserve"> for full results. </w:t>
      </w:r>
      <w:r w:rsidR="00021875" w:rsidRPr="005A44CE">
        <w:rPr>
          <w:rFonts w:ascii="Times New Roman" w:hAnsi="Times New Roman"/>
          <w:color w:val="000000" w:themeColor="text1"/>
          <w:sz w:val="24"/>
        </w:rPr>
        <w:t xml:space="preserve">However, relationship status was no longer </w:t>
      </w:r>
      <w:r w:rsidR="00293EF4" w:rsidRPr="005A44CE">
        <w:rPr>
          <w:rFonts w:ascii="Times New Roman" w:hAnsi="Times New Roman"/>
          <w:color w:val="000000" w:themeColor="text1"/>
          <w:sz w:val="24"/>
        </w:rPr>
        <w:t>associated</w:t>
      </w:r>
      <w:r w:rsidR="00EA40B8" w:rsidRPr="005A44CE">
        <w:rPr>
          <w:rFonts w:ascii="Times New Roman" w:hAnsi="Times New Roman"/>
          <w:color w:val="000000" w:themeColor="text1"/>
          <w:sz w:val="24"/>
        </w:rPr>
        <w:t xml:space="preserve"> with</w:t>
      </w:r>
      <w:r w:rsidR="00E32316" w:rsidRPr="005A44CE">
        <w:rPr>
          <w:rFonts w:ascii="Times New Roman" w:hAnsi="Times New Roman"/>
          <w:color w:val="000000" w:themeColor="text1"/>
          <w:sz w:val="24"/>
        </w:rPr>
        <w:t xml:space="preserve"> </w:t>
      </w:r>
      <w:r w:rsidR="00B87C28" w:rsidRPr="005A44CE">
        <w:rPr>
          <w:rFonts w:ascii="Times New Roman" w:hAnsi="Times New Roman"/>
          <w:color w:val="000000" w:themeColor="text1"/>
          <w:sz w:val="24"/>
        </w:rPr>
        <w:t xml:space="preserve">STI testing service use </w:t>
      </w:r>
      <w:r w:rsidR="00EA40B8" w:rsidRPr="005A44CE">
        <w:rPr>
          <w:rFonts w:ascii="Times New Roman" w:hAnsi="Times New Roman"/>
          <w:color w:val="000000" w:themeColor="text1"/>
          <w:sz w:val="24"/>
        </w:rPr>
        <w:t xml:space="preserve">after controlling for age, gender, and sexual orientation </w:t>
      </w:r>
      <w:r w:rsidR="00B87C28" w:rsidRPr="005A44CE">
        <w:rPr>
          <w:rFonts w:ascii="Times New Roman" w:hAnsi="Times New Roman"/>
          <w:color w:val="000000" w:themeColor="text1"/>
          <w:sz w:val="24"/>
        </w:rPr>
        <w:t>(</w:t>
      </w:r>
      <w:proofErr w:type="spellStart"/>
      <w:r w:rsidR="00EA40B8" w:rsidRPr="005A44CE">
        <w:rPr>
          <w:rFonts w:ascii="Times New Roman" w:hAnsi="Times New Roman"/>
          <w:color w:val="000000" w:themeColor="text1"/>
          <w:sz w:val="24"/>
        </w:rPr>
        <w:t>a</w:t>
      </w:r>
      <w:r w:rsidR="00B87C28" w:rsidRPr="005A44CE">
        <w:rPr>
          <w:rFonts w:ascii="Times New Roman" w:hAnsi="Times New Roman"/>
          <w:color w:val="000000" w:themeColor="text1"/>
          <w:sz w:val="24"/>
        </w:rPr>
        <w:t>OR</w:t>
      </w:r>
      <w:proofErr w:type="spellEnd"/>
      <w:r w:rsidR="00B87C28" w:rsidRPr="005A44CE">
        <w:rPr>
          <w:rFonts w:ascii="Times New Roman" w:hAnsi="Times New Roman"/>
          <w:color w:val="000000" w:themeColor="text1"/>
          <w:sz w:val="24"/>
        </w:rPr>
        <w:t>=</w:t>
      </w:r>
      <w:r w:rsidR="00E32316" w:rsidRPr="005A44CE">
        <w:rPr>
          <w:rFonts w:ascii="Times New Roman" w:hAnsi="Times New Roman"/>
          <w:color w:val="000000" w:themeColor="text1"/>
          <w:sz w:val="24"/>
        </w:rPr>
        <w:t>1.59</w:t>
      </w:r>
      <w:r w:rsidR="00B87C28" w:rsidRPr="005A44CE">
        <w:rPr>
          <w:rFonts w:ascii="Times New Roman" w:hAnsi="Times New Roman"/>
          <w:color w:val="000000" w:themeColor="text1"/>
          <w:sz w:val="24"/>
        </w:rPr>
        <w:t>, 95%CI</w:t>
      </w:r>
      <w:r w:rsidR="00EA40B8" w:rsidRPr="005A44CE">
        <w:rPr>
          <w:rFonts w:ascii="Times New Roman" w:hAnsi="Times New Roman"/>
          <w:color w:val="000000" w:themeColor="text1"/>
          <w:sz w:val="24"/>
        </w:rPr>
        <w:t>:</w:t>
      </w:r>
      <w:r w:rsidR="00E32316" w:rsidRPr="005A44CE">
        <w:rPr>
          <w:rFonts w:ascii="Times New Roman" w:hAnsi="Times New Roman"/>
          <w:color w:val="000000" w:themeColor="text1"/>
          <w:sz w:val="24"/>
        </w:rPr>
        <w:t>1.00</w:t>
      </w:r>
      <w:r w:rsidR="00B87C28" w:rsidRPr="005A44CE">
        <w:rPr>
          <w:rFonts w:ascii="Times New Roman" w:hAnsi="Times New Roman"/>
          <w:color w:val="000000" w:themeColor="text1"/>
          <w:sz w:val="24"/>
        </w:rPr>
        <w:t xml:space="preserve">, </w:t>
      </w:r>
      <w:r w:rsidR="00E32316" w:rsidRPr="005A44CE">
        <w:rPr>
          <w:rFonts w:ascii="Times New Roman" w:hAnsi="Times New Roman"/>
          <w:color w:val="000000" w:themeColor="text1"/>
          <w:sz w:val="24"/>
        </w:rPr>
        <w:t>2.53</w:t>
      </w:r>
      <w:r w:rsidR="00B87C28" w:rsidRPr="005A44CE">
        <w:rPr>
          <w:rFonts w:ascii="Times New Roman" w:hAnsi="Times New Roman"/>
          <w:color w:val="000000" w:themeColor="text1"/>
          <w:sz w:val="24"/>
        </w:rPr>
        <w:t>).</w:t>
      </w:r>
      <w:r w:rsidR="00293EF4" w:rsidRPr="005A44CE">
        <w:rPr>
          <w:rFonts w:ascii="Times New Roman" w:hAnsi="Times New Roman"/>
          <w:color w:val="000000" w:themeColor="text1"/>
          <w:sz w:val="24"/>
        </w:rPr>
        <w:t xml:space="preserve"> </w:t>
      </w:r>
      <w:r w:rsidR="00EA40B8" w:rsidRPr="005A44CE">
        <w:rPr>
          <w:rFonts w:ascii="Times New Roman" w:hAnsi="Times New Roman"/>
          <w:color w:val="000000" w:themeColor="text1"/>
          <w:sz w:val="24"/>
        </w:rPr>
        <w:t xml:space="preserve">Older participants were more likely to report having used STI testing services; no other differences were found. </w:t>
      </w:r>
    </w:p>
    <w:p w14:paraId="7BBA2145" w14:textId="69C2B2D9" w:rsidR="00B87C28" w:rsidRDefault="00EA40B8" w:rsidP="008B0268">
      <w:pPr>
        <w:spacing w:line="480" w:lineRule="auto"/>
        <w:ind w:firstLine="720"/>
        <w:rPr>
          <w:rFonts w:ascii="Times New Roman" w:hAnsi="Times New Roman"/>
          <w:color w:val="000000" w:themeColor="text1"/>
          <w:sz w:val="24"/>
        </w:rPr>
      </w:pPr>
      <w:r w:rsidRPr="005A44CE">
        <w:rPr>
          <w:rFonts w:ascii="Times New Roman" w:hAnsi="Times New Roman"/>
          <w:color w:val="000000" w:themeColor="text1"/>
          <w:sz w:val="24"/>
        </w:rPr>
        <w:lastRenderedPageBreak/>
        <w:t xml:space="preserve">Among </w:t>
      </w:r>
      <w:r w:rsidR="00B87C28" w:rsidRPr="005A44CE">
        <w:rPr>
          <w:rFonts w:ascii="Times New Roman" w:hAnsi="Times New Roman"/>
          <w:color w:val="000000" w:themeColor="text1"/>
          <w:sz w:val="24"/>
        </w:rPr>
        <w:t xml:space="preserve">female participants, after controlling for age and sexual orientation, relationship status </w:t>
      </w:r>
      <w:r w:rsidRPr="005A44CE">
        <w:rPr>
          <w:rFonts w:ascii="Times New Roman" w:hAnsi="Times New Roman"/>
          <w:color w:val="000000" w:themeColor="text1"/>
          <w:sz w:val="24"/>
        </w:rPr>
        <w:t>remained</w:t>
      </w:r>
      <w:r w:rsidR="00B87C28" w:rsidRPr="005A44CE">
        <w:rPr>
          <w:rFonts w:ascii="Times New Roman" w:hAnsi="Times New Roman"/>
          <w:color w:val="000000" w:themeColor="text1"/>
          <w:sz w:val="24"/>
        </w:rPr>
        <w:t xml:space="preserve"> significant</w:t>
      </w:r>
      <w:r w:rsidRPr="005A44CE">
        <w:rPr>
          <w:rFonts w:ascii="Times New Roman" w:hAnsi="Times New Roman"/>
          <w:color w:val="000000" w:themeColor="text1"/>
          <w:sz w:val="24"/>
        </w:rPr>
        <w:t>ly</w:t>
      </w:r>
      <w:r w:rsidR="00B87C28" w:rsidRPr="005A44CE">
        <w:rPr>
          <w:rFonts w:ascii="Times New Roman" w:hAnsi="Times New Roman"/>
          <w:color w:val="000000" w:themeColor="text1"/>
          <w:sz w:val="24"/>
        </w:rPr>
        <w:t xml:space="preserve"> </w:t>
      </w:r>
      <w:r w:rsidRPr="005A44CE">
        <w:rPr>
          <w:rFonts w:ascii="Times New Roman" w:hAnsi="Times New Roman"/>
          <w:color w:val="000000" w:themeColor="text1"/>
          <w:sz w:val="24"/>
        </w:rPr>
        <w:t>associated with accessing sexual health services to start</w:t>
      </w:r>
      <w:r w:rsidR="00B87C28" w:rsidRPr="005A44CE">
        <w:rPr>
          <w:rFonts w:ascii="Times New Roman" w:hAnsi="Times New Roman"/>
          <w:color w:val="000000" w:themeColor="text1"/>
          <w:sz w:val="24"/>
        </w:rPr>
        <w:t xml:space="preserve"> the pill (</w:t>
      </w:r>
      <w:proofErr w:type="spellStart"/>
      <w:r w:rsidRPr="005A44CE">
        <w:rPr>
          <w:rFonts w:ascii="Times New Roman" w:hAnsi="Times New Roman"/>
          <w:color w:val="000000" w:themeColor="text1"/>
          <w:sz w:val="24"/>
        </w:rPr>
        <w:t>a</w:t>
      </w:r>
      <w:r w:rsidR="00B87C28" w:rsidRPr="005A44CE">
        <w:rPr>
          <w:rFonts w:ascii="Times New Roman" w:hAnsi="Times New Roman"/>
          <w:color w:val="000000" w:themeColor="text1"/>
          <w:sz w:val="24"/>
        </w:rPr>
        <w:t>OR</w:t>
      </w:r>
      <w:proofErr w:type="spellEnd"/>
      <w:r w:rsidR="00B87C28" w:rsidRPr="005A44CE">
        <w:rPr>
          <w:rFonts w:ascii="Times New Roman" w:hAnsi="Times New Roman"/>
          <w:color w:val="000000" w:themeColor="text1"/>
          <w:sz w:val="24"/>
        </w:rPr>
        <w:t>=</w:t>
      </w:r>
      <w:r w:rsidR="00A32FCE" w:rsidRPr="005A44CE">
        <w:rPr>
          <w:rFonts w:ascii="Times New Roman" w:hAnsi="Times New Roman"/>
          <w:color w:val="000000" w:themeColor="text1"/>
          <w:sz w:val="24"/>
        </w:rPr>
        <w:t>2</w:t>
      </w:r>
      <w:r w:rsidR="00B52AF7" w:rsidRPr="005A44CE">
        <w:rPr>
          <w:rFonts w:ascii="Times New Roman" w:hAnsi="Times New Roman"/>
          <w:color w:val="000000" w:themeColor="text1"/>
          <w:sz w:val="24"/>
        </w:rPr>
        <w:t>.21</w:t>
      </w:r>
      <w:r w:rsidR="00B87C28" w:rsidRPr="005A44CE">
        <w:rPr>
          <w:rFonts w:ascii="Times New Roman" w:hAnsi="Times New Roman"/>
          <w:color w:val="000000" w:themeColor="text1"/>
          <w:sz w:val="24"/>
        </w:rPr>
        <w:t>, 95%CI</w:t>
      </w:r>
      <w:r w:rsidR="0058141F" w:rsidRPr="005A44CE">
        <w:rPr>
          <w:rFonts w:ascii="Times New Roman" w:hAnsi="Times New Roman"/>
          <w:color w:val="000000" w:themeColor="text1"/>
          <w:sz w:val="24"/>
        </w:rPr>
        <w:t>:</w:t>
      </w:r>
      <w:r w:rsidR="00A32FCE" w:rsidRPr="005A44CE">
        <w:rPr>
          <w:rFonts w:ascii="Times New Roman" w:hAnsi="Times New Roman"/>
          <w:color w:val="000000" w:themeColor="text1"/>
          <w:sz w:val="24"/>
        </w:rPr>
        <w:t>1.</w:t>
      </w:r>
      <w:r w:rsidR="00B52AF7" w:rsidRPr="005A44CE">
        <w:rPr>
          <w:rFonts w:ascii="Times New Roman" w:hAnsi="Times New Roman"/>
          <w:color w:val="000000" w:themeColor="text1"/>
          <w:sz w:val="24"/>
        </w:rPr>
        <w:t>45</w:t>
      </w:r>
      <w:r w:rsidR="00B87C28" w:rsidRPr="005A44CE">
        <w:rPr>
          <w:rFonts w:ascii="Times New Roman" w:hAnsi="Times New Roman"/>
          <w:color w:val="000000" w:themeColor="text1"/>
          <w:sz w:val="24"/>
        </w:rPr>
        <w:t xml:space="preserve">, </w:t>
      </w:r>
      <w:r w:rsidR="00A32FCE" w:rsidRPr="005A44CE">
        <w:rPr>
          <w:rFonts w:ascii="Times New Roman" w:hAnsi="Times New Roman"/>
          <w:color w:val="000000" w:themeColor="text1"/>
          <w:sz w:val="24"/>
        </w:rPr>
        <w:t>3.</w:t>
      </w:r>
      <w:r w:rsidR="00B52AF7" w:rsidRPr="005A44CE">
        <w:rPr>
          <w:rFonts w:ascii="Times New Roman" w:hAnsi="Times New Roman"/>
          <w:color w:val="000000" w:themeColor="text1"/>
          <w:sz w:val="24"/>
        </w:rPr>
        <w:t>36</w:t>
      </w:r>
      <w:r w:rsidR="00B87C28" w:rsidRPr="005A44CE">
        <w:rPr>
          <w:rFonts w:ascii="Times New Roman" w:hAnsi="Times New Roman"/>
          <w:color w:val="000000" w:themeColor="text1"/>
          <w:sz w:val="24"/>
        </w:rPr>
        <w:t>) and</w:t>
      </w:r>
      <w:r w:rsidRPr="005A44CE">
        <w:rPr>
          <w:rFonts w:ascii="Times New Roman" w:hAnsi="Times New Roman"/>
          <w:color w:val="000000" w:themeColor="text1"/>
          <w:sz w:val="24"/>
        </w:rPr>
        <w:t xml:space="preserve"> for</w:t>
      </w:r>
      <w:r w:rsidR="00B87C28" w:rsidRPr="005A44CE">
        <w:rPr>
          <w:rFonts w:ascii="Times New Roman" w:hAnsi="Times New Roman"/>
          <w:color w:val="000000" w:themeColor="text1"/>
          <w:sz w:val="24"/>
        </w:rPr>
        <w:t xml:space="preserve"> pregnancy testing (</w:t>
      </w:r>
      <w:proofErr w:type="spellStart"/>
      <w:r w:rsidR="0058141F" w:rsidRPr="005A44CE">
        <w:rPr>
          <w:rFonts w:ascii="Times New Roman" w:hAnsi="Times New Roman"/>
          <w:color w:val="000000" w:themeColor="text1"/>
          <w:sz w:val="24"/>
        </w:rPr>
        <w:t>a</w:t>
      </w:r>
      <w:r w:rsidR="00B87C28" w:rsidRPr="005A44CE">
        <w:rPr>
          <w:rFonts w:ascii="Times New Roman" w:hAnsi="Times New Roman"/>
          <w:color w:val="000000" w:themeColor="text1"/>
          <w:sz w:val="24"/>
        </w:rPr>
        <w:t>OR</w:t>
      </w:r>
      <w:proofErr w:type="spellEnd"/>
      <w:r w:rsidR="00B87C28" w:rsidRPr="005A44CE">
        <w:rPr>
          <w:rFonts w:ascii="Times New Roman" w:hAnsi="Times New Roman"/>
          <w:color w:val="000000" w:themeColor="text1"/>
          <w:sz w:val="24"/>
        </w:rPr>
        <w:t>=</w:t>
      </w:r>
      <w:r w:rsidR="00B52AF7" w:rsidRPr="005A44CE">
        <w:rPr>
          <w:rFonts w:ascii="Times New Roman" w:hAnsi="Times New Roman"/>
          <w:color w:val="000000" w:themeColor="text1"/>
          <w:sz w:val="24"/>
        </w:rPr>
        <w:t>3.86</w:t>
      </w:r>
      <w:r w:rsidR="00B87C28" w:rsidRPr="005A44CE">
        <w:rPr>
          <w:rFonts w:ascii="Times New Roman" w:hAnsi="Times New Roman"/>
          <w:color w:val="000000" w:themeColor="text1"/>
          <w:sz w:val="24"/>
        </w:rPr>
        <w:t>, 95%CI</w:t>
      </w:r>
      <w:r w:rsidR="0058141F" w:rsidRPr="005A44CE">
        <w:rPr>
          <w:rFonts w:ascii="Times New Roman" w:hAnsi="Times New Roman"/>
          <w:color w:val="000000" w:themeColor="text1"/>
          <w:sz w:val="24"/>
        </w:rPr>
        <w:t>:</w:t>
      </w:r>
      <w:r w:rsidR="00B52AF7" w:rsidRPr="005A44CE">
        <w:rPr>
          <w:rFonts w:ascii="Times New Roman" w:hAnsi="Times New Roman"/>
          <w:color w:val="000000" w:themeColor="text1"/>
          <w:sz w:val="24"/>
        </w:rPr>
        <w:t>2.20</w:t>
      </w:r>
      <w:r w:rsidR="00B87C28" w:rsidRPr="005A44CE">
        <w:rPr>
          <w:rFonts w:ascii="Times New Roman" w:hAnsi="Times New Roman"/>
          <w:color w:val="000000" w:themeColor="text1"/>
          <w:sz w:val="24"/>
        </w:rPr>
        <w:t xml:space="preserve">, </w:t>
      </w:r>
      <w:r w:rsidR="00B52AF7" w:rsidRPr="005A44CE">
        <w:rPr>
          <w:rFonts w:ascii="Times New Roman" w:hAnsi="Times New Roman"/>
          <w:color w:val="000000" w:themeColor="text1"/>
          <w:sz w:val="24"/>
        </w:rPr>
        <w:t>6.78</w:t>
      </w:r>
      <w:r w:rsidR="00B87C28" w:rsidRPr="005A44CE">
        <w:rPr>
          <w:rFonts w:ascii="Times New Roman" w:hAnsi="Times New Roman"/>
          <w:color w:val="000000" w:themeColor="text1"/>
          <w:sz w:val="24"/>
        </w:rPr>
        <w:t xml:space="preserve">). </w:t>
      </w:r>
      <w:r w:rsidR="00921D35" w:rsidRPr="005A44CE">
        <w:rPr>
          <w:rFonts w:ascii="Times New Roman" w:hAnsi="Times New Roman"/>
          <w:color w:val="000000" w:themeColor="text1"/>
          <w:sz w:val="24"/>
        </w:rPr>
        <w:t xml:space="preserve">Female participants in relationships were more likely to have accessed both services. </w:t>
      </w:r>
      <w:r w:rsidR="0058141F" w:rsidRPr="005A44CE">
        <w:rPr>
          <w:rFonts w:ascii="Times New Roman" w:hAnsi="Times New Roman"/>
          <w:color w:val="000000" w:themeColor="text1"/>
          <w:sz w:val="24"/>
        </w:rPr>
        <w:t xml:space="preserve">Older female participants were </w:t>
      </w:r>
      <w:r w:rsidR="008660C2" w:rsidRPr="005A44CE">
        <w:rPr>
          <w:rFonts w:ascii="Times New Roman" w:hAnsi="Times New Roman"/>
          <w:color w:val="000000" w:themeColor="text1"/>
          <w:sz w:val="24"/>
        </w:rPr>
        <w:t xml:space="preserve">also </w:t>
      </w:r>
      <w:r w:rsidR="0058141F" w:rsidRPr="005A44CE">
        <w:rPr>
          <w:rFonts w:ascii="Times New Roman" w:hAnsi="Times New Roman"/>
          <w:color w:val="000000" w:themeColor="text1"/>
          <w:sz w:val="24"/>
        </w:rPr>
        <w:t xml:space="preserve">more likely to report pill use; no other differences were found. </w:t>
      </w:r>
    </w:p>
    <w:p w14:paraId="0597F9BB" w14:textId="39142DFE" w:rsidR="00F22E54" w:rsidRPr="00BD51F7" w:rsidRDefault="00F22E54" w:rsidP="008B0268">
      <w:pPr>
        <w:spacing w:line="480" w:lineRule="auto"/>
        <w:ind w:firstLine="720"/>
        <w:rPr>
          <w:rFonts w:ascii="Times New Roman" w:hAnsi="Times New Roman"/>
          <w:color w:val="000000" w:themeColor="text1"/>
          <w:sz w:val="24"/>
        </w:rPr>
      </w:pPr>
    </w:p>
    <w:p w14:paraId="4E167035" w14:textId="5FC9E2B3" w:rsidR="00B15E73" w:rsidRPr="005A44CE" w:rsidRDefault="00B15E73" w:rsidP="00B15E73">
      <w:pPr>
        <w:spacing w:line="480" w:lineRule="auto"/>
        <w:jc w:val="center"/>
        <w:rPr>
          <w:rFonts w:ascii="Times New Roman" w:hAnsi="Times New Roman"/>
          <w:b/>
          <w:bCs/>
          <w:color w:val="000000" w:themeColor="text1"/>
          <w:sz w:val="24"/>
        </w:rPr>
      </w:pPr>
      <w:r w:rsidRPr="005A44CE">
        <w:rPr>
          <w:rFonts w:ascii="Times New Roman" w:hAnsi="Times New Roman"/>
          <w:b/>
          <w:bCs/>
          <w:color w:val="000000" w:themeColor="text1"/>
          <w:sz w:val="24"/>
        </w:rPr>
        <w:t>Discussion</w:t>
      </w:r>
    </w:p>
    <w:p w14:paraId="5C5C3EC4" w14:textId="008D524D" w:rsidR="006F3F0C" w:rsidRPr="005A44CE" w:rsidRDefault="002D3498" w:rsidP="002D3498">
      <w:pPr>
        <w:spacing w:line="480" w:lineRule="auto"/>
        <w:rPr>
          <w:rFonts w:ascii="Times New Roman" w:hAnsi="Times New Roman"/>
          <w:color w:val="000000" w:themeColor="text1"/>
          <w:sz w:val="24"/>
        </w:rPr>
      </w:pPr>
      <w:r w:rsidRPr="005A44CE">
        <w:rPr>
          <w:rFonts w:ascii="Times New Roman" w:hAnsi="Times New Roman"/>
          <w:color w:val="000000" w:themeColor="text1"/>
          <w:sz w:val="24"/>
        </w:rPr>
        <w:tab/>
      </w:r>
      <w:r w:rsidR="00F24741" w:rsidRPr="005A44CE">
        <w:rPr>
          <w:rFonts w:ascii="Times New Roman" w:hAnsi="Times New Roman"/>
          <w:color w:val="000000" w:themeColor="text1"/>
          <w:sz w:val="24"/>
        </w:rPr>
        <w:t>R</w:t>
      </w:r>
      <w:r w:rsidRPr="005A44CE">
        <w:rPr>
          <w:rFonts w:ascii="Times New Roman" w:hAnsi="Times New Roman"/>
          <w:color w:val="000000" w:themeColor="text1"/>
          <w:sz w:val="24"/>
        </w:rPr>
        <w:t>esults of th</w:t>
      </w:r>
      <w:r w:rsidR="00F24741" w:rsidRPr="005A44CE">
        <w:rPr>
          <w:rFonts w:ascii="Times New Roman" w:hAnsi="Times New Roman"/>
          <w:color w:val="000000" w:themeColor="text1"/>
          <w:sz w:val="24"/>
        </w:rPr>
        <w:t>is study</w:t>
      </w:r>
      <w:r w:rsidRPr="005A44CE">
        <w:rPr>
          <w:rFonts w:ascii="Times New Roman" w:hAnsi="Times New Roman"/>
          <w:color w:val="000000" w:themeColor="text1"/>
          <w:sz w:val="24"/>
        </w:rPr>
        <w:t xml:space="preserve"> suggest </w:t>
      </w:r>
      <w:r w:rsidR="00D02BC5" w:rsidRPr="005A44CE">
        <w:rPr>
          <w:rFonts w:ascii="Times New Roman" w:hAnsi="Times New Roman"/>
          <w:color w:val="000000" w:themeColor="text1"/>
          <w:sz w:val="24"/>
        </w:rPr>
        <w:t>that</w:t>
      </w:r>
      <w:r w:rsidRPr="005A44CE">
        <w:rPr>
          <w:rFonts w:ascii="Times New Roman" w:hAnsi="Times New Roman"/>
          <w:color w:val="000000" w:themeColor="text1"/>
          <w:sz w:val="24"/>
        </w:rPr>
        <w:t xml:space="preserve"> </w:t>
      </w:r>
      <w:r w:rsidR="00DB4121" w:rsidRPr="005A44CE">
        <w:rPr>
          <w:rFonts w:ascii="Times New Roman" w:hAnsi="Times New Roman"/>
          <w:color w:val="000000" w:themeColor="text1"/>
          <w:sz w:val="24"/>
        </w:rPr>
        <w:t xml:space="preserve">the association between </w:t>
      </w:r>
      <w:r w:rsidRPr="005A44CE">
        <w:rPr>
          <w:rFonts w:ascii="Times New Roman" w:hAnsi="Times New Roman"/>
          <w:color w:val="000000" w:themeColor="text1"/>
          <w:sz w:val="24"/>
        </w:rPr>
        <w:t>relationship</w:t>
      </w:r>
      <w:r w:rsidR="00DB4121" w:rsidRPr="005A44CE">
        <w:rPr>
          <w:rFonts w:ascii="Times New Roman" w:hAnsi="Times New Roman"/>
          <w:color w:val="000000" w:themeColor="text1"/>
          <w:sz w:val="24"/>
        </w:rPr>
        <w:t xml:space="preserve"> status and</w:t>
      </w:r>
      <w:r w:rsidRPr="005A44CE">
        <w:rPr>
          <w:rFonts w:ascii="Times New Roman" w:hAnsi="Times New Roman"/>
          <w:color w:val="000000" w:themeColor="text1"/>
          <w:sz w:val="24"/>
        </w:rPr>
        <w:t xml:space="preserve"> engage</w:t>
      </w:r>
      <w:r w:rsidR="00DB4121" w:rsidRPr="005A44CE">
        <w:rPr>
          <w:rFonts w:ascii="Times New Roman" w:hAnsi="Times New Roman"/>
          <w:color w:val="000000" w:themeColor="text1"/>
          <w:sz w:val="24"/>
        </w:rPr>
        <w:t xml:space="preserve">ment </w:t>
      </w:r>
      <w:r w:rsidRPr="005A44CE">
        <w:rPr>
          <w:rFonts w:ascii="Times New Roman" w:hAnsi="Times New Roman"/>
          <w:color w:val="000000" w:themeColor="text1"/>
          <w:sz w:val="24"/>
        </w:rPr>
        <w:t xml:space="preserve">with sexual health services </w:t>
      </w:r>
      <w:r w:rsidR="00DB4121" w:rsidRPr="005A44CE">
        <w:rPr>
          <w:rFonts w:ascii="Times New Roman" w:hAnsi="Times New Roman"/>
          <w:color w:val="000000" w:themeColor="text1"/>
          <w:sz w:val="24"/>
        </w:rPr>
        <w:t>depend</w:t>
      </w:r>
      <w:r w:rsidR="00F048F8" w:rsidRPr="005A44CE">
        <w:rPr>
          <w:rFonts w:ascii="Times New Roman" w:hAnsi="Times New Roman"/>
          <w:color w:val="000000" w:themeColor="text1"/>
          <w:sz w:val="24"/>
        </w:rPr>
        <w:t>s</w:t>
      </w:r>
      <w:r w:rsidR="00DB4121" w:rsidRPr="005A44CE">
        <w:rPr>
          <w:rFonts w:ascii="Times New Roman" w:hAnsi="Times New Roman"/>
          <w:color w:val="000000" w:themeColor="text1"/>
          <w:sz w:val="24"/>
        </w:rPr>
        <w:t xml:space="preserve"> on the specific type of </w:t>
      </w:r>
      <w:r w:rsidR="00557C94" w:rsidRPr="005A44CE">
        <w:rPr>
          <w:rFonts w:ascii="Times New Roman" w:hAnsi="Times New Roman"/>
          <w:color w:val="000000" w:themeColor="text1"/>
          <w:sz w:val="24"/>
        </w:rPr>
        <w:t>service being accessed</w:t>
      </w:r>
      <w:r w:rsidRPr="005A44CE">
        <w:rPr>
          <w:rFonts w:ascii="Times New Roman" w:hAnsi="Times New Roman"/>
          <w:color w:val="000000" w:themeColor="text1"/>
          <w:sz w:val="24"/>
        </w:rPr>
        <w:t>.</w:t>
      </w:r>
      <w:r w:rsidR="00557C94" w:rsidRPr="005A44CE">
        <w:rPr>
          <w:rFonts w:ascii="Times New Roman" w:hAnsi="Times New Roman"/>
          <w:color w:val="000000" w:themeColor="text1"/>
          <w:sz w:val="24"/>
        </w:rPr>
        <w:t xml:space="preserve"> Further, and as has been reported elsewhere</w:t>
      </w:r>
      <w:r w:rsidR="00E921A6">
        <w:rPr>
          <w:rFonts w:ascii="Times New Roman" w:hAnsi="Times New Roman"/>
          <w:color w:val="000000" w:themeColor="text1"/>
          <w:sz w:val="24"/>
        </w:rPr>
        <w:t>,</w:t>
      </w:r>
      <w:r w:rsidR="00E921A6" w:rsidRPr="00E921A6">
        <w:rPr>
          <w:rFonts w:ascii="Times New Roman" w:hAnsi="Times New Roman"/>
          <w:color w:val="000000" w:themeColor="text1"/>
          <w:sz w:val="24"/>
          <w:vertAlign w:val="superscript"/>
        </w:rPr>
        <w:t>2</w:t>
      </w:r>
      <w:r w:rsidR="003A7285">
        <w:rPr>
          <w:rFonts w:ascii="Times New Roman" w:hAnsi="Times New Roman"/>
          <w:color w:val="000000" w:themeColor="text1"/>
          <w:sz w:val="24"/>
          <w:vertAlign w:val="superscript"/>
        </w:rPr>
        <w:t>5</w:t>
      </w:r>
      <w:r w:rsidR="00557C94" w:rsidRPr="005A44CE">
        <w:rPr>
          <w:rFonts w:ascii="Times New Roman" w:hAnsi="Times New Roman"/>
          <w:color w:val="000000" w:themeColor="text1"/>
          <w:sz w:val="24"/>
        </w:rPr>
        <w:t xml:space="preserve"> </w:t>
      </w:r>
      <w:r w:rsidR="00DE27B7" w:rsidRPr="005A44CE">
        <w:rPr>
          <w:rFonts w:ascii="Times New Roman" w:hAnsi="Times New Roman"/>
          <w:color w:val="000000" w:themeColor="text1"/>
          <w:sz w:val="24"/>
        </w:rPr>
        <w:t xml:space="preserve">sexual health services, </w:t>
      </w:r>
      <w:r w:rsidR="00042A08">
        <w:rPr>
          <w:rFonts w:ascii="Times New Roman" w:hAnsi="Times New Roman"/>
          <w:color w:val="000000" w:themeColor="text1"/>
          <w:sz w:val="24"/>
        </w:rPr>
        <w:t>specifically</w:t>
      </w:r>
      <w:r w:rsidR="00042A08" w:rsidRPr="005A44CE">
        <w:rPr>
          <w:rFonts w:ascii="Times New Roman" w:hAnsi="Times New Roman"/>
          <w:color w:val="000000" w:themeColor="text1"/>
          <w:sz w:val="24"/>
        </w:rPr>
        <w:t xml:space="preserve"> </w:t>
      </w:r>
      <w:r w:rsidR="00DE27B7" w:rsidRPr="005A44CE">
        <w:rPr>
          <w:rFonts w:ascii="Times New Roman" w:hAnsi="Times New Roman"/>
          <w:color w:val="000000" w:themeColor="text1"/>
          <w:sz w:val="24"/>
        </w:rPr>
        <w:t xml:space="preserve">free condoms, free STI testing, and free relationship advice, were underutilised </w:t>
      </w:r>
      <w:r w:rsidR="00AF5079" w:rsidRPr="005A44CE">
        <w:rPr>
          <w:rFonts w:ascii="Times New Roman" w:hAnsi="Times New Roman"/>
          <w:color w:val="000000" w:themeColor="text1"/>
          <w:sz w:val="24"/>
        </w:rPr>
        <w:t>by the young people in our sample</w:t>
      </w:r>
      <w:r w:rsidR="00134BC5" w:rsidRPr="005A44CE">
        <w:rPr>
          <w:rFonts w:ascii="Times New Roman" w:hAnsi="Times New Roman"/>
          <w:color w:val="000000" w:themeColor="text1"/>
          <w:sz w:val="24"/>
        </w:rPr>
        <w:t xml:space="preserve">. </w:t>
      </w:r>
    </w:p>
    <w:p w14:paraId="532733F8" w14:textId="4FC05882" w:rsidR="002D3498" w:rsidRPr="005A44CE" w:rsidRDefault="00DA7FE6" w:rsidP="0063037A">
      <w:pPr>
        <w:spacing w:line="480" w:lineRule="auto"/>
        <w:ind w:firstLine="720"/>
        <w:rPr>
          <w:rFonts w:ascii="Times New Roman" w:hAnsi="Times New Roman"/>
          <w:color w:val="000000" w:themeColor="text1"/>
          <w:sz w:val="24"/>
        </w:rPr>
      </w:pPr>
      <w:r w:rsidRPr="005A44CE">
        <w:rPr>
          <w:rFonts w:ascii="Times New Roman" w:hAnsi="Times New Roman"/>
          <w:color w:val="000000" w:themeColor="text1"/>
          <w:sz w:val="24"/>
        </w:rPr>
        <w:t>Of the 28.2% of our sample who had access</w:t>
      </w:r>
      <w:r w:rsidR="004E11FD" w:rsidRPr="005A44CE">
        <w:rPr>
          <w:rFonts w:ascii="Times New Roman" w:hAnsi="Times New Roman"/>
          <w:color w:val="000000" w:themeColor="text1"/>
          <w:sz w:val="24"/>
        </w:rPr>
        <w:t>ed</w:t>
      </w:r>
      <w:r w:rsidRPr="005A44CE">
        <w:rPr>
          <w:rFonts w:ascii="Times New Roman" w:hAnsi="Times New Roman"/>
          <w:color w:val="000000" w:themeColor="text1"/>
          <w:sz w:val="24"/>
        </w:rPr>
        <w:t xml:space="preserve"> free condoms, those</w:t>
      </w:r>
      <w:r w:rsidR="00D02BC5" w:rsidRPr="005A44CE">
        <w:rPr>
          <w:rFonts w:ascii="Times New Roman" w:hAnsi="Times New Roman"/>
          <w:color w:val="000000" w:themeColor="text1"/>
          <w:sz w:val="24"/>
        </w:rPr>
        <w:t xml:space="preserve"> </w:t>
      </w:r>
      <w:r w:rsidR="002D3498" w:rsidRPr="005A44CE">
        <w:rPr>
          <w:rFonts w:ascii="Times New Roman" w:hAnsi="Times New Roman"/>
          <w:color w:val="000000" w:themeColor="text1"/>
          <w:sz w:val="24"/>
        </w:rPr>
        <w:t xml:space="preserve">in relationships </w:t>
      </w:r>
      <w:r w:rsidR="00B33982" w:rsidRPr="005A44CE">
        <w:rPr>
          <w:rFonts w:ascii="Times New Roman" w:hAnsi="Times New Roman"/>
          <w:color w:val="000000" w:themeColor="text1"/>
          <w:sz w:val="24"/>
        </w:rPr>
        <w:t>we</w:t>
      </w:r>
      <w:r w:rsidR="00416D31" w:rsidRPr="005A44CE">
        <w:rPr>
          <w:rFonts w:ascii="Times New Roman" w:hAnsi="Times New Roman"/>
          <w:color w:val="000000" w:themeColor="text1"/>
          <w:sz w:val="24"/>
        </w:rPr>
        <w:t xml:space="preserve">re </w:t>
      </w:r>
      <w:r w:rsidR="002E7F54" w:rsidRPr="005A44CE">
        <w:rPr>
          <w:rFonts w:ascii="Times New Roman" w:hAnsi="Times New Roman"/>
          <w:color w:val="000000" w:themeColor="text1"/>
          <w:sz w:val="24"/>
        </w:rPr>
        <w:t xml:space="preserve">more likely to have </w:t>
      </w:r>
      <w:r w:rsidR="002D3498" w:rsidRPr="005A44CE">
        <w:rPr>
          <w:rFonts w:ascii="Times New Roman" w:hAnsi="Times New Roman"/>
          <w:color w:val="000000" w:themeColor="text1"/>
          <w:sz w:val="24"/>
        </w:rPr>
        <w:t>use</w:t>
      </w:r>
      <w:r w:rsidR="002E7F54" w:rsidRPr="005A44CE">
        <w:rPr>
          <w:rFonts w:ascii="Times New Roman" w:hAnsi="Times New Roman"/>
          <w:color w:val="000000" w:themeColor="text1"/>
          <w:sz w:val="24"/>
        </w:rPr>
        <w:t>d</w:t>
      </w:r>
      <w:r w:rsidR="002D3498" w:rsidRPr="005A44CE">
        <w:rPr>
          <w:rFonts w:ascii="Times New Roman" w:hAnsi="Times New Roman"/>
          <w:color w:val="000000" w:themeColor="text1"/>
          <w:sz w:val="24"/>
        </w:rPr>
        <w:t xml:space="preserve"> </w:t>
      </w:r>
      <w:r w:rsidR="002E7F54" w:rsidRPr="005A44CE">
        <w:rPr>
          <w:rFonts w:ascii="Times New Roman" w:hAnsi="Times New Roman"/>
          <w:color w:val="000000" w:themeColor="text1"/>
          <w:sz w:val="24"/>
        </w:rPr>
        <w:t>this</w:t>
      </w:r>
      <w:r w:rsidR="002D3498" w:rsidRPr="005A44CE">
        <w:rPr>
          <w:rFonts w:ascii="Times New Roman" w:hAnsi="Times New Roman"/>
          <w:color w:val="000000" w:themeColor="text1"/>
          <w:sz w:val="24"/>
        </w:rPr>
        <w:t xml:space="preserve"> service than those who are single. </w:t>
      </w:r>
      <w:r w:rsidR="00416D31" w:rsidRPr="005A44CE">
        <w:rPr>
          <w:rFonts w:ascii="Times New Roman" w:hAnsi="Times New Roman"/>
          <w:color w:val="000000" w:themeColor="text1"/>
          <w:sz w:val="24"/>
        </w:rPr>
        <w:t xml:space="preserve">This finding </w:t>
      </w:r>
      <w:r w:rsidR="00FB3174" w:rsidRPr="005A44CE">
        <w:rPr>
          <w:rFonts w:ascii="Times New Roman" w:hAnsi="Times New Roman"/>
          <w:color w:val="000000" w:themeColor="text1"/>
          <w:sz w:val="24"/>
        </w:rPr>
        <w:t>i</w:t>
      </w:r>
      <w:r w:rsidR="00416D31" w:rsidRPr="005A44CE">
        <w:rPr>
          <w:rFonts w:ascii="Times New Roman" w:hAnsi="Times New Roman"/>
          <w:color w:val="000000" w:themeColor="text1"/>
          <w:sz w:val="24"/>
        </w:rPr>
        <w:t>s counter to our original</w:t>
      </w:r>
      <w:r w:rsidR="00FB3174" w:rsidRPr="005A44CE">
        <w:rPr>
          <w:rFonts w:ascii="Times New Roman" w:hAnsi="Times New Roman"/>
          <w:color w:val="000000" w:themeColor="text1"/>
          <w:sz w:val="24"/>
        </w:rPr>
        <w:t xml:space="preserve"> expectation </w:t>
      </w:r>
      <w:r w:rsidR="00222A0E" w:rsidRPr="005A44CE">
        <w:rPr>
          <w:rFonts w:ascii="Times New Roman" w:hAnsi="Times New Roman"/>
          <w:color w:val="000000" w:themeColor="text1"/>
          <w:sz w:val="24"/>
        </w:rPr>
        <w:t>and suggests that</w:t>
      </w:r>
      <w:r w:rsidR="00416D31" w:rsidRPr="005A44CE">
        <w:rPr>
          <w:rFonts w:ascii="Times New Roman" w:hAnsi="Times New Roman"/>
          <w:color w:val="000000" w:themeColor="text1"/>
          <w:sz w:val="24"/>
        </w:rPr>
        <w:t xml:space="preserve"> </w:t>
      </w:r>
      <w:r w:rsidR="00222A0E" w:rsidRPr="005A44CE">
        <w:rPr>
          <w:rFonts w:ascii="Times New Roman" w:hAnsi="Times New Roman"/>
          <w:color w:val="000000" w:themeColor="text1"/>
          <w:sz w:val="24"/>
        </w:rPr>
        <w:t>p</w:t>
      </w:r>
      <w:r w:rsidR="002D3498" w:rsidRPr="005A44CE">
        <w:rPr>
          <w:rFonts w:ascii="Times New Roman" w:hAnsi="Times New Roman"/>
          <w:color w:val="000000" w:themeColor="text1"/>
          <w:sz w:val="24"/>
        </w:rPr>
        <w:t xml:space="preserve">eople in relationships may continue to use condoms </w:t>
      </w:r>
      <w:r w:rsidR="00222A0E" w:rsidRPr="005A44CE">
        <w:rPr>
          <w:rFonts w:ascii="Times New Roman" w:hAnsi="Times New Roman"/>
          <w:color w:val="000000" w:themeColor="text1"/>
          <w:sz w:val="24"/>
        </w:rPr>
        <w:t>more than expected</w:t>
      </w:r>
      <w:r w:rsidR="00D3363E" w:rsidRPr="005A44CE">
        <w:rPr>
          <w:rFonts w:ascii="Times New Roman" w:hAnsi="Times New Roman"/>
          <w:color w:val="000000" w:themeColor="text1"/>
          <w:sz w:val="24"/>
        </w:rPr>
        <w:t xml:space="preserve"> for contraception and STI protection</w:t>
      </w:r>
      <w:r w:rsidR="002C1FC1" w:rsidRPr="005A44CE">
        <w:rPr>
          <w:rFonts w:ascii="Times New Roman" w:hAnsi="Times New Roman"/>
          <w:color w:val="000000" w:themeColor="text1"/>
          <w:sz w:val="24"/>
        </w:rPr>
        <w:t xml:space="preserve">, perhaps using dual methods (i.e., </w:t>
      </w:r>
      <w:r w:rsidR="00861D24" w:rsidRPr="005A44CE">
        <w:rPr>
          <w:rFonts w:ascii="Times New Roman" w:hAnsi="Times New Roman"/>
          <w:color w:val="000000" w:themeColor="text1"/>
          <w:sz w:val="24"/>
        </w:rPr>
        <w:t>hormonal contraception as well as condoms)</w:t>
      </w:r>
      <w:r w:rsidR="00325220" w:rsidRPr="005A44CE">
        <w:rPr>
          <w:rFonts w:ascii="Times New Roman" w:hAnsi="Times New Roman"/>
          <w:color w:val="000000" w:themeColor="text1"/>
          <w:sz w:val="24"/>
        </w:rPr>
        <w:t>.</w:t>
      </w:r>
      <w:r w:rsidR="00222A0E" w:rsidRPr="005A44CE">
        <w:rPr>
          <w:rFonts w:ascii="Times New Roman" w:hAnsi="Times New Roman"/>
          <w:color w:val="000000" w:themeColor="text1"/>
          <w:sz w:val="24"/>
        </w:rPr>
        <w:t xml:space="preserve"> </w:t>
      </w:r>
      <w:r w:rsidR="00862CA4" w:rsidRPr="005A44CE">
        <w:rPr>
          <w:rFonts w:ascii="Times New Roman" w:hAnsi="Times New Roman"/>
          <w:color w:val="000000" w:themeColor="text1"/>
          <w:sz w:val="24"/>
        </w:rPr>
        <w:t xml:space="preserve">This finding may </w:t>
      </w:r>
      <w:r w:rsidR="00A8775A" w:rsidRPr="005A44CE">
        <w:rPr>
          <w:rFonts w:ascii="Times New Roman" w:hAnsi="Times New Roman"/>
          <w:color w:val="000000" w:themeColor="text1"/>
          <w:sz w:val="24"/>
        </w:rPr>
        <w:t xml:space="preserve">also </w:t>
      </w:r>
      <w:r w:rsidR="00862CA4" w:rsidRPr="005A44CE">
        <w:rPr>
          <w:rFonts w:ascii="Times New Roman" w:hAnsi="Times New Roman"/>
          <w:color w:val="000000" w:themeColor="text1"/>
          <w:sz w:val="24"/>
        </w:rPr>
        <w:t xml:space="preserve">be due to the younger </w:t>
      </w:r>
      <w:r w:rsidR="00A8775A" w:rsidRPr="005A44CE">
        <w:rPr>
          <w:rFonts w:ascii="Times New Roman" w:hAnsi="Times New Roman"/>
          <w:color w:val="000000" w:themeColor="text1"/>
          <w:sz w:val="24"/>
        </w:rPr>
        <w:t xml:space="preserve">age of our </w:t>
      </w:r>
      <w:r w:rsidR="00862CA4" w:rsidRPr="005A44CE">
        <w:rPr>
          <w:rFonts w:ascii="Times New Roman" w:hAnsi="Times New Roman"/>
          <w:color w:val="000000" w:themeColor="text1"/>
          <w:sz w:val="24"/>
        </w:rPr>
        <w:t>sample</w:t>
      </w:r>
      <w:r w:rsidR="00A8775A" w:rsidRPr="005A44CE">
        <w:rPr>
          <w:rFonts w:ascii="Times New Roman" w:hAnsi="Times New Roman"/>
          <w:color w:val="000000" w:themeColor="text1"/>
          <w:sz w:val="24"/>
        </w:rPr>
        <w:t>.</w:t>
      </w:r>
      <w:r w:rsidR="00862CA4" w:rsidRPr="005A44CE">
        <w:rPr>
          <w:rFonts w:ascii="Times New Roman" w:hAnsi="Times New Roman"/>
          <w:color w:val="000000" w:themeColor="text1"/>
          <w:sz w:val="24"/>
        </w:rPr>
        <w:t xml:space="preserve"> </w:t>
      </w:r>
      <w:r w:rsidR="00A8775A" w:rsidRPr="005A44CE">
        <w:rPr>
          <w:rFonts w:ascii="Times New Roman" w:hAnsi="Times New Roman"/>
          <w:color w:val="000000" w:themeColor="text1"/>
          <w:sz w:val="24"/>
        </w:rPr>
        <w:t>R</w:t>
      </w:r>
      <w:r w:rsidR="00862CA4" w:rsidRPr="005A44CE">
        <w:rPr>
          <w:rFonts w:ascii="Times New Roman" w:hAnsi="Times New Roman"/>
          <w:color w:val="000000" w:themeColor="text1"/>
          <w:sz w:val="24"/>
        </w:rPr>
        <w:t xml:space="preserve">elationships </w:t>
      </w:r>
      <w:r w:rsidR="000C3926" w:rsidRPr="005A44CE">
        <w:rPr>
          <w:rFonts w:ascii="Times New Roman" w:hAnsi="Times New Roman"/>
          <w:color w:val="000000" w:themeColor="text1"/>
          <w:sz w:val="24"/>
        </w:rPr>
        <w:t xml:space="preserve">among </w:t>
      </w:r>
      <w:r w:rsidR="00331CB3" w:rsidRPr="005A44CE">
        <w:rPr>
          <w:rFonts w:ascii="Times New Roman" w:hAnsi="Times New Roman"/>
          <w:color w:val="000000" w:themeColor="text1"/>
          <w:sz w:val="24"/>
        </w:rPr>
        <w:t xml:space="preserve">younger adolescents are often </w:t>
      </w:r>
      <w:r w:rsidR="00465D22" w:rsidRPr="005A44CE">
        <w:rPr>
          <w:rFonts w:ascii="Times New Roman" w:hAnsi="Times New Roman"/>
          <w:color w:val="000000" w:themeColor="text1"/>
          <w:sz w:val="24"/>
        </w:rPr>
        <w:t xml:space="preserve">relatively short in duration and tend to </w:t>
      </w:r>
      <w:r w:rsidR="00EA0614" w:rsidRPr="005A44CE">
        <w:rPr>
          <w:rFonts w:ascii="Times New Roman" w:hAnsi="Times New Roman"/>
          <w:color w:val="000000" w:themeColor="text1"/>
          <w:sz w:val="24"/>
        </w:rPr>
        <w:t>become more stable and longer lasting with increasing age</w:t>
      </w:r>
      <w:r w:rsidR="00ED730E" w:rsidRPr="005A44CE">
        <w:rPr>
          <w:rFonts w:ascii="Times New Roman" w:hAnsi="Times New Roman"/>
          <w:color w:val="000000" w:themeColor="text1"/>
          <w:sz w:val="24"/>
        </w:rPr>
        <w:t>;</w:t>
      </w:r>
      <w:r w:rsidR="00E921A6" w:rsidRPr="00E921A6">
        <w:rPr>
          <w:rFonts w:ascii="Times New Roman" w:hAnsi="Times New Roman"/>
          <w:color w:val="000000" w:themeColor="text1"/>
          <w:sz w:val="24"/>
          <w:vertAlign w:val="superscript"/>
        </w:rPr>
        <w:t>2</w:t>
      </w:r>
      <w:r w:rsidR="003A7285">
        <w:rPr>
          <w:rFonts w:ascii="Times New Roman" w:hAnsi="Times New Roman"/>
          <w:color w:val="000000" w:themeColor="text1"/>
          <w:sz w:val="24"/>
          <w:vertAlign w:val="superscript"/>
        </w:rPr>
        <w:t>6</w:t>
      </w:r>
      <w:r w:rsidR="00EA0614" w:rsidRPr="005A44CE">
        <w:rPr>
          <w:rFonts w:ascii="Times New Roman" w:hAnsi="Times New Roman"/>
          <w:color w:val="000000" w:themeColor="text1"/>
          <w:sz w:val="24"/>
        </w:rPr>
        <w:t xml:space="preserve"> </w:t>
      </w:r>
      <w:r w:rsidR="00ED730E" w:rsidRPr="005A44CE">
        <w:rPr>
          <w:rFonts w:ascii="Times New Roman" w:hAnsi="Times New Roman"/>
          <w:color w:val="000000" w:themeColor="text1"/>
          <w:sz w:val="24"/>
        </w:rPr>
        <w:t>a</w:t>
      </w:r>
      <w:r w:rsidR="00972B73" w:rsidRPr="005A44CE">
        <w:rPr>
          <w:rFonts w:ascii="Times New Roman" w:hAnsi="Times New Roman"/>
          <w:color w:val="000000" w:themeColor="text1"/>
          <w:sz w:val="24"/>
        </w:rPr>
        <w:t>dolescents un</w:t>
      </w:r>
      <w:r w:rsidR="00DF529E" w:rsidRPr="005A44CE">
        <w:rPr>
          <w:rFonts w:ascii="Times New Roman" w:hAnsi="Times New Roman"/>
          <w:color w:val="000000" w:themeColor="text1"/>
          <w:sz w:val="24"/>
        </w:rPr>
        <w:t xml:space="preserve">der the age of 14 years typically </w:t>
      </w:r>
      <w:r w:rsidR="00F47FA5" w:rsidRPr="005A44CE">
        <w:rPr>
          <w:rFonts w:ascii="Times New Roman" w:hAnsi="Times New Roman"/>
          <w:color w:val="000000" w:themeColor="text1"/>
          <w:sz w:val="24"/>
        </w:rPr>
        <w:t>report</w:t>
      </w:r>
      <w:r w:rsidR="00DF529E" w:rsidRPr="005A44CE">
        <w:rPr>
          <w:rFonts w:ascii="Times New Roman" w:hAnsi="Times New Roman"/>
          <w:color w:val="000000" w:themeColor="text1"/>
          <w:sz w:val="24"/>
        </w:rPr>
        <w:t xml:space="preserve"> that the</w:t>
      </w:r>
      <w:r w:rsidR="00F47FA5" w:rsidRPr="005A44CE">
        <w:rPr>
          <w:rFonts w:ascii="Times New Roman" w:hAnsi="Times New Roman"/>
          <w:color w:val="000000" w:themeColor="text1"/>
          <w:sz w:val="24"/>
        </w:rPr>
        <w:t>ir</w:t>
      </w:r>
      <w:r w:rsidR="00DF529E" w:rsidRPr="005A44CE">
        <w:rPr>
          <w:rFonts w:ascii="Times New Roman" w:hAnsi="Times New Roman"/>
          <w:color w:val="000000" w:themeColor="text1"/>
          <w:sz w:val="24"/>
        </w:rPr>
        <w:t xml:space="preserve"> relationships last a few weeks while </w:t>
      </w:r>
      <w:r w:rsidR="005132DA" w:rsidRPr="005A44CE">
        <w:rPr>
          <w:rFonts w:ascii="Times New Roman" w:hAnsi="Times New Roman"/>
          <w:color w:val="000000" w:themeColor="text1"/>
          <w:sz w:val="24"/>
        </w:rPr>
        <w:t>18-year-olds</w:t>
      </w:r>
      <w:r w:rsidR="00DF529E" w:rsidRPr="005A44CE">
        <w:rPr>
          <w:rFonts w:ascii="Times New Roman" w:hAnsi="Times New Roman"/>
          <w:color w:val="000000" w:themeColor="text1"/>
          <w:sz w:val="24"/>
        </w:rPr>
        <w:t xml:space="preserve"> may report that that their relationships last for a year or more.</w:t>
      </w:r>
      <w:r w:rsidR="00E921A6" w:rsidRPr="00E921A6">
        <w:rPr>
          <w:rFonts w:ascii="Times New Roman" w:hAnsi="Times New Roman"/>
          <w:color w:val="000000" w:themeColor="text1"/>
          <w:sz w:val="24"/>
          <w:vertAlign w:val="superscript"/>
        </w:rPr>
        <w:t>2</w:t>
      </w:r>
      <w:r w:rsidR="003A7285">
        <w:rPr>
          <w:rFonts w:ascii="Times New Roman" w:hAnsi="Times New Roman"/>
          <w:color w:val="000000" w:themeColor="text1"/>
          <w:sz w:val="24"/>
          <w:vertAlign w:val="superscript"/>
        </w:rPr>
        <w:t>7</w:t>
      </w:r>
      <w:r w:rsidR="00DF529E" w:rsidRPr="005A44CE">
        <w:rPr>
          <w:rFonts w:ascii="Times New Roman" w:hAnsi="Times New Roman"/>
          <w:color w:val="000000" w:themeColor="text1"/>
          <w:sz w:val="24"/>
        </w:rPr>
        <w:t xml:space="preserve"> </w:t>
      </w:r>
      <w:r w:rsidR="006C3D75" w:rsidRPr="005A44CE">
        <w:rPr>
          <w:rFonts w:ascii="Times New Roman" w:hAnsi="Times New Roman"/>
          <w:color w:val="000000" w:themeColor="text1"/>
          <w:sz w:val="24"/>
        </w:rPr>
        <w:t xml:space="preserve">Past research has </w:t>
      </w:r>
      <w:r w:rsidR="00A6434A" w:rsidRPr="005A44CE">
        <w:rPr>
          <w:rFonts w:ascii="Times New Roman" w:hAnsi="Times New Roman"/>
          <w:color w:val="000000" w:themeColor="text1"/>
          <w:sz w:val="24"/>
        </w:rPr>
        <w:t xml:space="preserve">also </w:t>
      </w:r>
      <w:r w:rsidR="006C3D75" w:rsidRPr="005A44CE">
        <w:rPr>
          <w:rFonts w:ascii="Times New Roman" w:hAnsi="Times New Roman"/>
          <w:color w:val="000000" w:themeColor="text1"/>
          <w:sz w:val="24"/>
        </w:rPr>
        <w:t xml:space="preserve">found that condom use substantially decreases </w:t>
      </w:r>
      <w:r w:rsidR="00F62919" w:rsidRPr="005A44CE">
        <w:rPr>
          <w:rFonts w:ascii="Times New Roman" w:hAnsi="Times New Roman"/>
          <w:color w:val="000000" w:themeColor="text1"/>
          <w:sz w:val="24"/>
        </w:rPr>
        <w:t>as couples have sex with each other more often</w:t>
      </w:r>
      <w:r w:rsidR="00862CA4" w:rsidRPr="005A44CE">
        <w:rPr>
          <w:rFonts w:ascii="Times New Roman" w:hAnsi="Times New Roman"/>
          <w:color w:val="000000" w:themeColor="text1"/>
          <w:sz w:val="24"/>
        </w:rPr>
        <w:t>.</w:t>
      </w:r>
      <w:r w:rsidR="00E921A6" w:rsidRPr="00E921A6">
        <w:rPr>
          <w:rFonts w:ascii="Times New Roman" w:hAnsi="Times New Roman"/>
          <w:color w:val="000000" w:themeColor="text1"/>
          <w:sz w:val="24"/>
          <w:vertAlign w:val="superscript"/>
        </w:rPr>
        <w:t>2</w:t>
      </w:r>
      <w:r w:rsidR="003A7285">
        <w:rPr>
          <w:rFonts w:ascii="Times New Roman" w:hAnsi="Times New Roman"/>
          <w:color w:val="000000" w:themeColor="text1"/>
          <w:sz w:val="24"/>
          <w:vertAlign w:val="superscript"/>
        </w:rPr>
        <w:t>8</w:t>
      </w:r>
      <w:r w:rsidR="00701046" w:rsidRPr="005A44CE">
        <w:rPr>
          <w:rFonts w:ascii="Times New Roman" w:hAnsi="Times New Roman"/>
          <w:color w:val="000000" w:themeColor="text1"/>
          <w:sz w:val="24"/>
        </w:rPr>
        <w:t xml:space="preserve"> As such, </w:t>
      </w:r>
      <w:r w:rsidR="005132DA" w:rsidRPr="005A44CE">
        <w:rPr>
          <w:rFonts w:ascii="Times New Roman" w:hAnsi="Times New Roman"/>
          <w:color w:val="000000" w:themeColor="text1"/>
          <w:sz w:val="24"/>
        </w:rPr>
        <w:t xml:space="preserve">our finding may reflect that </w:t>
      </w:r>
      <w:r w:rsidR="00701046" w:rsidRPr="005A44CE">
        <w:rPr>
          <w:rFonts w:ascii="Times New Roman" w:hAnsi="Times New Roman"/>
          <w:color w:val="000000" w:themeColor="text1"/>
          <w:sz w:val="24"/>
        </w:rPr>
        <w:t xml:space="preserve">participants </w:t>
      </w:r>
      <w:r w:rsidR="005132DA" w:rsidRPr="005A44CE">
        <w:rPr>
          <w:rFonts w:ascii="Times New Roman" w:hAnsi="Times New Roman"/>
          <w:color w:val="000000" w:themeColor="text1"/>
          <w:sz w:val="24"/>
        </w:rPr>
        <w:t>in our sample who report being in a relationship may be in shorter</w:t>
      </w:r>
      <w:r w:rsidR="00A6434A" w:rsidRPr="005A44CE">
        <w:rPr>
          <w:rFonts w:ascii="Times New Roman" w:hAnsi="Times New Roman"/>
          <w:color w:val="000000" w:themeColor="text1"/>
          <w:sz w:val="24"/>
        </w:rPr>
        <w:t>-</w:t>
      </w:r>
      <w:r w:rsidR="00A6434A" w:rsidRPr="005A44CE">
        <w:rPr>
          <w:rFonts w:ascii="Times New Roman" w:hAnsi="Times New Roman"/>
          <w:color w:val="000000" w:themeColor="text1"/>
          <w:sz w:val="24"/>
        </w:rPr>
        <w:lastRenderedPageBreak/>
        <w:t>term</w:t>
      </w:r>
      <w:r w:rsidR="005132DA" w:rsidRPr="005A44CE">
        <w:rPr>
          <w:rFonts w:ascii="Times New Roman" w:hAnsi="Times New Roman"/>
          <w:color w:val="000000" w:themeColor="text1"/>
          <w:sz w:val="24"/>
        </w:rPr>
        <w:t xml:space="preserve"> relationships </w:t>
      </w:r>
      <w:r w:rsidR="000520BE" w:rsidRPr="005A44CE">
        <w:rPr>
          <w:rFonts w:ascii="Times New Roman" w:hAnsi="Times New Roman"/>
          <w:color w:val="000000" w:themeColor="text1"/>
          <w:sz w:val="24"/>
        </w:rPr>
        <w:t xml:space="preserve">or may be having sex relatively infrequently. </w:t>
      </w:r>
      <w:r w:rsidR="00870EAE" w:rsidRPr="005A44CE">
        <w:rPr>
          <w:rFonts w:ascii="Times New Roman" w:hAnsi="Times New Roman"/>
          <w:color w:val="000000" w:themeColor="text1"/>
          <w:sz w:val="24"/>
        </w:rPr>
        <w:t xml:space="preserve">As we did not measure relationship length or </w:t>
      </w:r>
      <w:r w:rsidR="00E155D6" w:rsidRPr="005A44CE">
        <w:rPr>
          <w:rFonts w:ascii="Times New Roman" w:hAnsi="Times New Roman"/>
          <w:color w:val="000000" w:themeColor="text1"/>
          <w:sz w:val="24"/>
        </w:rPr>
        <w:t xml:space="preserve">frequency of sex, these and other relationship characteristics could be explored in </w:t>
      </w:r>
      <w:r w:rsidR="00672299" w:rsidRPr="005A44CE">
        <w:rPr>
          <w:rFonts w:ascii="Times New Roman" w:hAnsi="Times New Roman"/>
          <w:color w:val="000000" w:themeColor="text1"/>
          <w:sz w:val="24"/>
        </w:rPr>
        <w:t>future</w:t>
      </w:r>
      <w:r w:rsidR="00E155D6" w:rsidRPr="005A44CE">
        <w:rPr>
          <w:rFonts w:ascii="Times New Roman" w:hAnsi="Times New Roman"/>
          <w:color w:val="000000" w:themeColor="text1"/>
          <w:sz w:val="24"/>
        </w:rPr>
        <w:t xml:space="preserve"> studies. </w:t>
      </w:r>
      <w:r w:rsidR="00862CA4" w:rsidRPr="005A44CE">
        <w:rPr>
          <w:rFonts w:ascii="Times New Roman" w:hAnsi="Times New Roman"/>
          <w:color w:val="000000" w:themeColor="text1"/>
          <w:sz w:val="24"/>
        </w:rPr>
        <w:t xml:space="preserve">Alternatively, </w:t>
      </w:r>
      <w:r w:rsidR="005A706E" w:rsidRPr="005A44CE">
        <w:rPr>
          <w:rFonts w:ascii="Times New Roman" w:hAnsi="Times New Roman"/>
          <w:color w:val="000000" w:themeColor="text1"/>
          <w:sz w:val="24"/>
        </w:rPr>
        <w:t xml:space="preserve">the association between </w:t>
      </w:r>
      <w:r w:rsidR="00DF7373" w:rsidRPr="005A44CE">
        <w:rPr>
          <w:rFonts w:ascii="Times New Roman" w:hAnsi="Times New Roman"/>
          <w:color w:val="000000" w:themeColor="text1"/>
          <w:sz w:val="24"/>
        </w:rPr>
        <w:t xml:space="preserve">relationship status and condom use may be </w:t>
      </w:r>
      <w:r w:rsidR="00862CA4" w:rsidRPr="005A44CE">
        <w:rPr>
          <w:rFonts w:ascii="Times New Roman" w:hAnsi="Times New Roman"/>
          <w:color w:val="000000" w:themeColor="text1"/>
          <w:sz w:val="24"/>
        </w:rPr>
        <w:t>due to</w:t>
      </w:r>
      <w:r w:rsidR="00DF7373" w:rsidRPr="005A44CE">
        <w:rPr>
          <w:rFonts w:ascii="Times New Roman" w:hAnsi="Times New Roman"/>
          <w:color w:val="000000" w:themeColor="text1"/>
          <w:sz w:val="24"/>
        </w:rPr>
        <w:t xml:space="preserve"> a third factor, such as</w:t>
      </w:r>
      <w:r w:rsidR="00862CA4" w:rsidRPr="005A44CE">
        <w:rPr>
          <w:rFonts w:ascii="Times New Roman" w:hAnsi="Times New Roman"/>
          <w:color w:val="000000" w:themeColor="text1"/>
          <w:sz w:val="24"/>
        </w:rPr>
        <w:t xml:space="preserve"> the rising cost of living, </w:t>
      </w:r>
      <w:r w:rsidR="00DF7373" w:rsidRPr="005A44CE">
        <w:rPr>
          <w:rFonts w:ascii="Times New Roman" w:hAnsi="Times New Roman"/>
          <w:color w:val="000000" w:themeColor="text1"/>
          <w:sz w:val="24"/>
        </w:rPr>
        <w:t xml:space="preserve">which may be </w:t>
      </w:r>
      <w:r w:rsidR="008227A2" w:rsidRPr="005A44CE">
        <w:rPr>
          <w:rFonts w:ascii="Times New Roman" w:hAnsi="Times New Roman"/>
          <w:color w:val="000000" w:themeColor="text1"/>
          <w:sz w:val="24"/>
        </w:rPr>
        <w:t>causing</w:t>
      </w:r>
      <w:r w:rsidR="00DF7373" w:rsidRPr="005A44CE">
        <w:rPr>
          <w:rFonts w:ascii="Times New Roman" w:hAnsi="Times New Roman"/>
          <w:color w:val="000000" w:themeColor="text1"/>
          <w:sz w:val="24"/>
        </w:rPr>
        <w:t xml:space="preserve"> </w:t>
      </w:r>
      <w:r w:rsidR="005A706E" w:rsidRPr="005A44CE">
        <w:rPr>
          <w:rFonts w:ascii="Times New Roman" w:hAnsi="Times New Roman"/>
          <w:color w:val="000000" w:themeColor="text1"/>
          <w:sz w:val="24"/>
        </w:rPr>
        <w:t>young</w:t>
      </w:r>
      <w:r w:rsidR="008227A2" w:rsidRPr="005A44CE">
        <w:rPr>
          <w:rFonts w:ascii="Times New Roman" w:hAnsi="Times New Roman"/>
          <w:color w:val="000000" w:themeColor="text1"/>
          <w:sz w:val="24"/>
        </w:rPr>
        <w:t xml:space="preserve">, sexually active </w:t>
      </w:r>
      <w:r w:rsidR="00BC7160" w:rsidRPr="005A44CE">
        <w:rPr>
          <w:rFonts w:ascii="Times New Roman" w:hAnsi="Times New Roman"/>
          <w:color w:val="000000" w:themeColor="text1"/>
          <w:sz w:val="24"/>
        </w:rPr>
        <w:t>people</w:t>
      </w:r>
      <w:r w:rsidR="00862CA4" w:rsidRPr="005A44CE">
        <w:rPr>
          <w:rFonts w:ascii="Times New Roman" w:hAnsi="Times New Roman"/>
          <w:color w:val="000000" w:themeColor="text1"/>
          <w:sz w:val="24"/>
        </w:rPr>
        <w:t xml:space="preserve"> </w:t>
      </w:r>
      <w:r w:rsidR="00122D75" w:rsidRPr="005A44CE">
        <w:rPr>
          <w:rFonts w:ascii="Times New Roman" w:hAnsi="Times New Roman"/>
          <w:color w:val="000000" w:themeColor="text1"/>
          <w:sz w:val="24"/>
        </w:rPr>
        <w:t xml:space="preserve">to be </w:t>
      </w:r>
      <w:r w:rsidR="00862CA4" w:rsidRPr="005A44CE">
        <w:rPr>
          <w:rFonts w:ascii="Times New Roman" w:hAnsi="Times New Roman"/>
          <w:color w:val="000000" w:themeColor="text1"/>
          <w:sz w:val="24"/>
        </w:rPr>
        <w:t xml:space="preserve">more likely to </w:t>
      </w:r>
      <w:r w:rsidR="00122D75" w:rsidRPr="005A44CE">
        <w:rPr>
          <w:rFonts w:ascii="Times New Roman" w:hAnsi="Times New Roman"/>
          <w:color w:val="000000" w:themeColor="text1"/>
          <w:sz w:val="24"/>
        </w:rPr>
        <w:t xml:space="preserve">access </w:t>
      </w:r>
      <w:r w:rsidR="00862CA4" w:rsidRPr="005A44CE">
        <w:rPr>
          <w:rFonts w:ascii="Times New Roman" w:hAnsi="Times New Roman"/>
          <w:color w:val="000000" w:themeColor="text1"/>
          <w:sz w:val="24"/>
        </w:rPr>
        <w:t xml:space="preserve">free condoms </w:t>
      </w:r>
      <w:r w:rsidR="00DD13BA" w:rsidRPr="005A44CE">
        <w:rPr>
          <w:rFonts w:ascii="Times New Roman" w:hAnsi="Times New Roman"/>
          <w:color w:val="000000" w:themeColor="text1"/>
          <w:sz w:val="24"/>
        </w:rPr>
        <w:t xml:space="preserve">through </w:t>
      </w:r>
      <w:r w:rsidR="00862CA4" w:rsidRPr="005A44CE">
        <w:rPr>
          <w:rFonts w:ascii="Times New Roman" w:hAnsi="Times New Roman"/>
          <w:color w:val="000000" w:themeColor="text1"/>
          <w:sz w:val="24"/>
        </w:rPr>
        <w:t xml:space="preserve">the NHS </w:t>
      </w:r>
      <w:r w:rsidR="00DD13BA" w:rsidRPr="005A44CE">
        <w:rPr>
          <w:rFonts w:ascii="Times New Roman" w:hAnsi="Times New Roman"/>
          <w:color w:val="000000" w:themeColor="text1"/>
          <w:sz w:val="24"/>
        </w:rPr>
        <w:t>rather than paying out of pocket for them at</w:t>
      </w:r>
      <w:r w:rsidR="00122D75" w:rsidRPr="005A44CE">
        <w:rPr>
          <w:rFonts w:ascii="Times New Roman" w:hAnsi="Times New Roman"/>
          <w:color w:val="000000" w:themeColor="text1"/>
          <w:sz w:val="24"/>
        </w:rPr>
        <w:t xml:space="preserve"> a pharmacy</w:t>
      </w:r>
      <w:r w:rsidR="00862CA4" w:rsidRPr="005A44CE">
        <w:rPr>
          <w:rFonts w:ascii="Times New Roman" w:hAnsi="Times New Roman"/>
          <w:color w:val="000000" w:themeColor="text1"/>
          <w:sz w:val="24"/>
        </w:rPr>
        <w:t>.</w:t>
      </w:r>
      <w:r w:rsidR="00E921A6" w:rsidRPr="00E921A6">
        <w:rPr>
          <w:rFonts w:ascii="Times New Roman" w:hAnsi="Times New Roman"/>
          <w:color w:val="000000" w:themeColor="text1"/>
          <w:sz w:val="24"/>
          <w:vertAlign w:val="superscript"/>
        </w:rPr>
        <w:t>2</w:t>
      </w:r>
      <w:r w:rsidR="003A7285">
        <w:rPr>
          <w:rFonts w:ascii="Times New Roman" w:hAnsi="Times New Roman"/>
          <w:color w:val="000000" w:themeColor="text1"/>
          <w:sz w:val="24"/>
          <w:vertAlign w:val="superscript"/>
        </w:rPr>
        <w:t>9</w:t>
      </w:r>
      <w:r w:rsidR="00DF1B3B" w:rsidRPr="005A44CE">
        <w:rPr>
          <w:rFonts w:ascii="Times New Roman" w:hAnsi="Times New Roman"/>
          <w:color w:val="000000" w:themeColor="text1"/>
          <w:sz w:val="24"/>
        </w:rPr>
        <w:t xml:space="preserve"> Future analyses may wish to consider the role of socioeconomic status in addition to relationship status when exploring service access, even in areas such as England where many health services are provided free of charge.</w:t>
      </w:r>
      <w:r w:rsidR="00E80682">
        <w:rPr>
          <w:rFonts w:ascii="Times New Roman" w:hAnsi="Times New Roman"/>
          <w:color w:val="000000" w:themeColor="text1"/>
          <w:sz w:val="24"/>
        </w:rPr>
        <w:t xml:space="preserve"> Sexual health services may also wish to consider how their free condoms are accessed or distributed a</w:t>
      </w:r>
      <w:r w:rsidR="003D2141">
        <w:rPr>
          <w:rFonts w:ascii="Times New Roman" w:hAnsi="Times New Roman"/>
          <w:color w:val="000000" w:themeColor="text1"/>
          <w:sz w:val="24"/>
        </w:rPr>
        <w:t>s</w:t>
      </w:r>
      <w:r w:rsidR="00E80682">
        <w:rPr>
          <w:rFonts w:ascii="Times New Roman" w:hAnsi="Times New Roman"/>
          <w:color w:val="000000" w:themeColor="text1"/>
          <w:sz w:val="24"/>
        </w:rPr>
        <w:t xml:space="preserve"> there may be scope to </w:t>
      </w:r>
      <w:r w:rsidR="003D2141">
        <w:rPr>
          <w:rFonts w:ascii="Times New Roman" w:hAnsi="Times New Roman"/>
          <w:color w:val="000000" w:themeColor="text1"/>
          <w:sz w:val="24"/>
        </w:rPr>
        <w:t xml:space="preserve">increase outreach such as having NHS-provided condoms available </w:t>
      </w:r>
      <w:r w:rsidR="00946A2A">
        <w:rPr>
          <w:rFonts w:ascii="Times New Roman" w:hAnsi="Times New Roman"/>
          <w:color w:val="000000" w:themeColor="text1"/>
          <w:sz w:val="24"/>
        </w:rPr>
        <w:t>on university campus</w:t>
      </w:r>
      <w:r w:rsidR="00CA58F2">
        <w:rPr>
          <w:rFonts w:ascii="Times New Roman" w:hAnsi="Times New Roman"/>
          <w:color w:val="000000" w:themeColor="text1"/>
          <w:sz w:val="24"/>
        </w:rPr>
        <w:t>es</w:t>
      </w:r>
      <w:r w:rsidR="00946A2A">
        <w:rPr>
          <w:rFonts w:ascii="Times New Roman" w:hAnsi="Times New Roman"/>
          <w:color w:val="000000" w:themeColor="text1"/>
          <w:sz w:val="24"/>
        </w:rPr>
        <w:t xml:space="preserve"> or halls, as well is in popular venues and night clubs frequently by young people. </w:t>
      </w:r>
    </w:p>
    <w:p w14:paraId="31F32F8E" w14:textId="5B3DFAE2" w:rsidR="00AD26B9" w:rsidRPr="005A44CE" w:rsidRDefault="00AD26B9" w:rsidP="002D3498">
      <w:pPr>
        <w:spacing w:line="480" w:lineRule="auto"/>
        <w:rPr>
          <w:rFonts w:ascii="Times New Roman" w:hAnsi="Times New Roman"/>
          <w:color w:val="000000" w:themeColor="text1"/>
          <w:sz w:val="24"/>
        </w:rPr>
      </w:pPr>
      <w:r w:rsidRPr="005A44CE">
        <w:rPr>
          <w:rFonts w:ascii="Times New Roman" w:hAnsi="Times New Roman"/>
          <w:color w:val="000000" w:themeColor="text1"/>
          <w:sz w:val="24"/>
        </w:rPr>
        <w:tab/>
      </w:r>
      <w:r w:rsidR="00A25C24" w:rsidRPr="005A44CE">
        <w:rPr>
          <w:rFonts w:ascii="Times New Roman" w:hAnsi="Times New Roman"/>
          <w:color w:val="000000" w:themeColor="text1"/>
          <w:sz w:val="24"/>
        </w:rPr>
        <w:t xml:space="preserve">Based on previous research </w:t>
      </w:r>
      <w:r w:rsidR="00DB7746" w:rsidRPr="005A44CE">
        <w:rPr>
          <w:rFonts w:ascii="Times New Roman" w:hAnsi="Times New Roman"/>
          <w:color w:val="000000" w:themeColor="text1"/>
          <w:sz w:val="24"/>
        </w:rPr>
        <w:t>suggest</w:t>
      </w:r>
      <w:r w:rsidR="00792A6B" w:rsidRPr="005A44CE">
        <w:rPr>
          <w:rFonts w:ascii="Times New Roman" w:hAnsi="Times New Roman"/>
          <w:color w:val="000000" w:themeColor="text1"/>
          <w:sz w:val="24"/>
        </w:rPr>
        <w:t>ing</w:t>
      </w:r>
      <w:r w:rsidR="00414EFE" w:rsidRPr="005A44CE">
        <w:rPr>
          <w:rFonts w:ascii="Times New Roman" w:hAnsi="Times New Roman"/>
          <w:color w:val="000000" w:themeColor="text1"/>
          <w:sz w:val="24"/>
        </w:rPr>
        <w:t xml:space="preserve"> that single</w:t>
      </w:r>
      <w:r w:rsidR="00DB7746" w:rsidRPr="005A44CE">
        <w:rPr>
          <w:rFonts w:ascii="Times New Roman" w:hAnsi="Times New Roman"/>
          <w:color w:val="000000" w:themeColor="text1"/>
          <w:sz w:val="24"/>
        </w:rPr>
        <w:t xml:space="preserve"> people would </w:t>
      </w:r>
      <w:r w:rsidR="00414EFE" w:rsidRPr="005A44CE">
        <w:rPr>
          <w:rFonts w:ascii="Times New Roman" w:hAnsi="Times New Roman"/>
          <w:color w:val="000000" w:themeColor="text1"/>
          <w:sz w:val="24"/>
        </w:rPr>
        <w:t xml:space="preserve">be more </w:t>
      </w:r>
      <w:r w:rsidR="00DB7746" w:rsidRPr="005A44CE">
        <w:rPr>
          <w:rFonts w:ascii="Times New Roman" w:hAnsi="Times New Roman"/>
          <w:color w:val="000000" w:themeColor="text1"/>
          <w:sz w:val="24"/>
        </w:rPr>
        <w:t xml:space="preserve">likely </w:t>
      </w:r>
      <w:r w:rsidR="00792A6B" w:rsidRPr="005A44CE">
        <w:rPr>
          <w:rFonts w:ascii="Times New Roman" w:hAnsi="Times New Roman"/>
          <w:color w:val="000000" w:themeColor="text1"/>
          <w:sz w:val="24"/>
        </w:rPr>
        <w:t xml:space="preserve">to </w:t>
      </w:r>
      <w:r w:rsidR="00DB7746" w:rsidRPr="005A44CE">
        <w:rPr>
          <w:rFonts w:ascii="Times New Roman" w:hAnsi="Times New Roman"/>
          <w:color w:val="000000" w:themeColor="text1"/>
          <w:sz w:val="24"/>
        </w:rPr>
        <w:t xml:space="preserve">engage with STI testing due to </w:t>
      </w:r>
      <w:r w:rsidR="008B5A1F" w:rsidRPr="005A44CE">
        <w:rPr>
          <w:rFonts w:ascii="Times New Roman" w:hAnsi="Times New Roman"/>
          <w:color w:val="000000" w:themeColor="text1"/>
          <w:sz w:val="24"/>
        </w:rPr>
        <w:t xml:space="preserve">typically </w:t>
      </w:r>
      <w:r w:rsidR="00DB7746" w:rsidRPr="005A44CE">
        <w:rPr>
          <w:rFonts w:ascii="Times New Roman" w:hAnsi="Times New Roman"/>
          <w:color w:val="000000" w:themeColor="text1"/>
          <w:sz w:val="24"/>
        </w:rPr>
        <w:t>having a greater number of</w:t>
      </w:r>
      <w:r w:rsidR="00305CBF" w:rsidRPr="005A44CE">
        <w:rPr>
          <w:rFonts w:ascii="Times New Roman" w:hAnsi="Times New Roman"/>
          <w:color w:val="000000" w:themeColor="text1"/>
          <w:sz w:val="24"/>
        </w:rPr>
        <w:t xml:space="preserve"> recent</w:t>
      </w:r>
      <w:r w:rsidR="00DB7746" w:rsidRPr="005A44CE">
        <w:rPr>
          <w:rFonts w:ascii="Times New Roman" w:hAnsi="Times New Roman"/>
          <w:color w:val="000000" w:themeColor="text1"/>
          <w:sz w:val="24"/>
        </w:rPr>
        <w:t xml:space="preserve"> sexual partners</w:t>
      </w:r>
      <w:r w:rsidR="00792A6B" w:rsidRPr="005A44CE">
        <w:rPr>
          <w:rFonts w:ascii="Times New Roman" w:hAnsi="Times New Roman"/>
          <w:color w:val="000000" w:themeColor="text1"/>
          <w:sz w:val="24"/>
        </w:rPr>
        <w:t>,</w:t>
      </w:r>
      <w:r w:rsidR="00E921A6" w:rsidRPr="00E921A6">
        <w:rPr>
          <w:rFonts w:ascii="Times New Roman" w:hAnsi="Times New Roman"/>
          <w:color w:val="000000" w:themeColor="text1"/>
          <w:sz w:val="24"/>
          <w:vertAlign w:val="superscript"/>
        </w:rPr>
        <w:t>2</w:t>
      </w:r>
      <w:r w:rsidR="003A7285">
        <w:rPr>
          <w:rFonts w:ascii="Times New Roman" w:hAnsi="Times New Roman"/>
          <w:color w:val="000000" w:themeColor="text1"/>
          <w:sz w:val="24"/>
          <w:vertAlign w:val="superscript"/>
        </w:rPr>
        <w:t>2</w:t>
      </w:r>
      <w:r w:rsidR="00A25C24" w:rsidRPr="005A44CE">
        <w:rPr>
          <w:rFonts w:ascii="Times New Roman" w:hAnsi="Times New Roman"/>
          <w:color w:val="000000" w:themeColor="text1"/>
          <w:sz w:val="24"/>
        </w:rPr>
        <w:t xml:space="preserve"> </w:t>
      </w:r>
      <w:r w:rsidR="00792A6B" w:rsidRPr="005A44CE">
        <w:rPr>
          <w:rFonts w:ascii="Times New Roman" w:hAnsi="Times New Roman"/>
          <w:color w:val="000000" w:themeColor="text1"/>
          <w:sz w:val="24"/>
        </w:rPr>
        <w:t>w</w:t>
      </w:r>
      <w:r w:rsidR="00A25C24" w:rsidRPr="005A44CE">
        <w:rPr>
          <w:rFonts w:ascii="Times New Roman" w:hAnsi="Times New Roman"/>
          <w:color w:val="000000" w:themeColor="text1"/>
          <w:sz w:val="24"/>
        </w:rPr>
        <w:t xml:space="preserve">e predicted that single individuals would be more likely to </w:t>
      </w:r>
      <w:r w:rsidR="00EC69DA" w:rsidRPr="005A44CE">
        <w:rPr>
          <w:rFonts w:ascii="Times New Roman" w:hAnsi="Times New Roman"/>
          <w:color w:val="000000" w:themeColor="text1"/>
          <w:sz w:val="24"/>
        </w:rPr>
        <w:t>report having used STI testing</w:t>
      </w:r>
      <w:r w:rsidR="00B24DEF" w:rsidRPr="005A44CE">
        <w:rPr>
          <w:rFonts w:ascii="Times New Roman" w:hAnsi="Times New Roman"/>
          <w:color w:val="000000" w:themeColor="text1"/>
          <w:sz w:val="24"/>
        </w:rPr>
        <w:t xml:space="preserve"> services</w:t>
      </w:r>
      <w:r w:rsidR="00DB7746" w:rsidRPr="005A44CE">
        <w:rPr>
          <w:rFonts w:ascii="Times New Roman" w:hAnsi="Times New Roman"/>
          <w:color w:val="000000" w:themeColor="text1"/>
          <w:sz w:val="24"/>
        </w:rPr>
        <w:t xml:space="preserve">. </w:t>
      </w:r>
      <w:r w:rsidR="00F73E05" w:rsidRPr="005A44CE">
        <w:rPr>
          <w:rFonts w:ascii="Times New Roman" w:hAnsi="Times New Roman"/>
          <w:color w:val="000000" w:themeColor="text1"/>
          <w:sz w:val="24"/>
        </w:rPr>
        <w:t xml:space="preserve">However, after controlling for age, gender, and sexual orientation, relationship status was not significantly associated with </w:t>
      </w:r>
      <w:r w:rsidR="0089624A" w:rsidRPr="005A44CE">
        <w:rPr>
          <w:rFonts w:ascii="Times New Roman" w:hAnsi="Times New Roman"/>
          <w:color w:val="000000" w:themeColor="text1"/>
          <w:sz w:val="24"/>
        </w:rPr>
        <w:t xml:space="preserve">using </w:t>
      </w:r>
      <w:r w:rsidR="00F73E05" w:rsidRPr="005A44CE">
        <w:rPr>
          <w:rFonts w:ascii="Times New Roman" w:hAnsi="Times New Roman"/>
          <w:color w:val="000000" w:themeColor="text1"/>
          <w:sz w:val="24"/>
        </w:rPr>
        <w:t>this service</w:t>
      </w:r>
      <w:r w:rsidR="002342E6" w:rsidRPr="005A44CE">
        <w:rPr>
          <w:rFonts w:ascii="Times New Roman" w:hAnsi="Times New Roman"/>
          <w:color w:val="000000" w:themeColor="text1"/>
          <w:sz w:val="24"/>
        </w:rPr>
        <w:t>.</w:t>
      </w:r>
      <w:r w:rsidR="00F73E05" w:rsidRPr="005A44CE">
        <w:rPr>
          <w:rFonts w:ascii="Times New Roman" w:hAnsi="Times New Roman"/>
          <w:color w:val="000000" w:themeColor="text1"/>
          <w:sz w:val="24"/>
        </w:rPr>
        <w:t xml:space="preserve"> </w:t>
      </w:r>
      <w:r w:rsidR="00442773" w:rsidRPr="005A44CE">
        <w:rPr>
          <w:rFonts w:ascii="Times New Roman" w:hAnsi="Times New Roman"/>
          <w:color w:val="000000" w:themeColor="text1"/>
          <w:sz w:val="24"/>
        </w:rPr>
        <w:t>This may suggest that</w:t>
      </w:r>
      <w:r w:rsidR="00CE06B3" w:rsidRPr="005A44CE">
        <w:rPr>
          <w:rFonts w:ascii="Times New Roman" w:hAnsi="Times New Roman"/>
          <w:color w:val="000000" w:themeColor="text1"/>
          <w:sz w:val="24"/>
        </w:rPr>
        <w:t>,</w:t>
      </w:r>
      <w:r w:rsidR="00442773" w:rsidRPr="005A44CE">
        <w:rPr>
          <w:rFonts w:ascii="Times New Roman" w:hAnsi="Times New Roman"/>
          <w:color w:val="000000" w:themeColor="text1"/>
          <w:sz w:val="24"/>
        </w:rPr>
        <w:t xml:space="preserve"> </w:t>
      </w:r>
      <w:r w:rsidR="00143D81" w:rsidRPr="005A44CE">
        <w:rPr>
          <w:rFonts w:ascii="Times New Roman" w:hAnsi="Times New Roman"/>
          <w:color w:val="000000" w:themeColor="text1"/>
          <w:sz w:val="24"/>
        </w:rPr>
        <w:t>in addition to regular testing when single, participants</w:t>
      </w:r>
      <w:r w:rsidR="0052438A" w:rsidRPr="005A44CE">
        <w:rPr>
          <w:rFonts w:ascii="Times New Roman" w:hAnsi="Times New Roman"/>
          <w:color w:val="000000" w:themeColor="text1"/>
          <w:sz w:val="24"/>
        </w:rPr>
        <w:t xml:space="preserve"> in our sample also test when </w:t>
      </w:r>
      <w:r w:rsidR="00592F0B" w:rsidRPr="005A44CE">
        <w:rPr>
          <w:rFonts w:ascii="Times New Roman" w:hAnsi="Times New Roman"/>
          <w:color w:val="000000" w:themeColor="text1"/>
          <w:sz w:val="24"/>
        </w:rPr>
        <w:t xml:space="preserve">in relationships, perhaps as a precaution prior to stopping condom use, or perhaps as part of </w:t>
      </w:r>
      <w:r w:rsidR="006E42AE" w:rsidRPr="005A44CE">
        <w:rPr>
          <w:rFonts w:ascii="Times New Roman" w:hAnsi="Times New Roman"/>
          <w:color w:val="000000" w:themeColor="text1"/>
          <w:sz w:val="24"/>
        </w:rPr>
        <w:t>other health procedures, such as smear tests</w:t>
      </w:r>
      <w:r w:rsidR="00EA6A84" w:rsidRPr="005A44CE">
        <w:rPr>
          <w:rFonts w:ascii="Times New Roman" w:hAnsi="Times New Roman"/>
          <w:color w:val="000000" w:themeColor="text1"/>
          <w:sz w:val="24"/>
        </w:rPr>
        <w:t xml:space="preserve">. </w:t>
      </w:r>
      <w:r w:rsidR="00F60A30" w:rsidRPr="005A44CE">
        <w:rPr>
          <w:rFonts w:ascii="Times New Roman" w:hAnsi="Times New Roman"/>
          <w:color w:val="000000" w:themeColor="text1"/>
          <w:sz w:val="24"/>
        </w:rPr>
        <w:t xml:space="preserve">These results may </w:t>
      </w:r>
      <w:r w:rsidR="00B40386" w:rsidRPr="005A44CE">
        <w:rPr>
          <w:rFonts w:ascii="Times New Roman" w:hAnsi="Times New Roman"/>
          <w:color w:val="000000" w:themeColor="text1"/>
          <w:sz w:val="24"/>
        </w:rPr>
        <w:t xml:space="preserve">also </w:t>
      </w:r>
      <w:r w:rsidR="00F60A30" w:rsidRPr="005A44CE">
        <w:rPr>
          <w:rFonts w:ascii="Times New Roman" w:hAnsi="Times New Roman"/>
          <w:color w:val="000000" w:themeColor="text1"/>
          <w:sz w:val="24"/>
        </w:rPr>
        <w:t>be reflective of our younger population. As noted above, people in the 16-25 age range, particularly those at the younger end of the range, tend to have shorter relationships than those who are older. As such, participants in our study may report testing because they have recently entered a new relationship.</w:t>
      </w:r>
      <w:r w:rsidR="00B40386" w:rsidRPr="005A44CE">
        <w:rPr>
          <w:rFonts w:ascii="Times New Roman" w:hAnsi="Times New Roman"/>
          <w:color w:val="000000" w:themeColor="text1"/>
          <w:sz w:val="24"/>
        </w:rPr>
        <w:t xml:space="preserve"> </w:t>
      </w:r>
      <w:r w:rsidR="00F60A30" w:rsidRPr="005A44CE">
        <w:rPr>
          <w:rFonts w:ascii="Times New Roman" w:hAnsi="Times New Roman"/>
          <w:color w:val="000000" w:themeColor="text1"/>
          <w:sz w:val="24"/>
        </w:rPr>
        <w:t xml:space="preserve">Alternatively, because of the age </w:t>
      </w:r>
      <w:r w:rsidR="00F60A30" w:rsidRPr="005A44CE">
        <w:rPr>
          <w:rFonts w:ascii="Times New Roman" w:hAnsi="Times New Roman"/>
          <w:color w:val="000000" w:themeColor="text1"/>
          <w:sz w:val="24"/>
        </w:rPr>
        <w:lastRenderedPageBreak/>
        <w:t xml:space="preserve">of our sample, participants may not feel that STI testing is yet needed, regardless of relationship status. </w:t>
      </w:r>
      <w:r w:rsidR="00C51534" w:rsidRPr="005A44CE">
        <w:rPr>
          <w:rFonts w:ascii="Times New Roman" w:hAnsi="Times New Roman"/>
          <w:color w:val="000000" w:themeColor="text1"/>
          <w:sz w:val="24"/>
        </w:rPr>
        <w:t>I</w:t>
      </w:r>
      <w:r w:rsidR="00EA6A84" w:rsidRPr="005A44CE">
        <w:rPr>
          <w:rFonts w:ascii="Times New Roman" w:hAnsi="Times New Roman"/>
          <w:color w:val="000000" w:themeColor="text1"/>
          <w:sz w:val="24"/>
        </w:rPr>
        <w:t>t is worth noting</w:t>
      </w:r>
      <w:r w:rsidR="00C51534" w:rsidRPr="005A44CE">
        <w:rPr>
          <w:rFonts w:ascii="Times New Roman" w:hAnsi="Times New Roman"/>
          <w:color w:val="000000" w:themeColor="text1"/>
          <w:sz w:val="24"/>
        </w:rPr>
        <w:t>, however,</w:t>
      </w:r>
      <w:r w:rsidR="00EA6A84" w:rsidRPr="005A44CE">
        <w:rPr>
          <w:rFonts w:ascii="Times New Roman" w:hAnsi="Times New Roman"/>
          <w:color w:val="000000" w:themeColor="text1"/>
          <w:sz w:val="24"/>
        </w:rPr>
        <w:t xml:space="preserve"> that only</w:t>
      </w:r>
      <w:r w:rsidR="00C71CD0" w:rsidRPr="005A44CE">
        <w:rPr>
          <w:rFonts w:ascii="Times New Roman" w:hAnsi="Times New Roman"/>
          <w:color w:val="000000" w:themeColor="text1"/>
          <w:sz w:val="24"/>
        </w:rPr>
        <w:t xml:space="preserve"> 21.4% of our sample reported having used STI testing services</w:t>
      </w:r>
      <w:r w:rsidR="00CE06B3" w:rsidRPr="005A44CE">
        <w:rPr>
          <w:rFonts w:ascii="Times New Roman" w:hAnsi="Times New Roman"/>
          <w:color w:val="000000" w:themeColor="text1"/>
          <w:sz w:val="24"/>
        </w:rPr>
        <w:t>.</w:t>
      </w:r>
      <w:r w:rsidR="00C71CD0" w:rsidRPr="005A44CE">
        <w:rPr>
          <w:rFonts w:ascii="Times New Roman" w:hAnsi="Times New Roman"/>
          <w:color w:val="000000" w:themeColor="text1"/>
          <w:sz w:val="24"/>
        </w:rPr>
        <w:t xml:space="preserve"> </w:t>
      </w:r>
      <w:r w:rsidR="00CE06B3" w:rsidRPr="005A44CE">
        <w:rPr>
          <w:rFonts w:ascii="Times New Roman" w:hAnsi="Times New Roman"/>
          <w:color w:val="000000" w:themeColor="text1"/>
          <w:sz w:val="24"/>
        </w:rPr>
        <w:t>As</w:t>
      </w:r>
      <w:r w:rsidR="002342E6" w:rsidRPr="005A44CE">
        <w:rPr>
          <w:rFonts w:ascii="Times New Roman" w:hAnsi="Times New Roman"/>
          <w:color w:val="000000" w:themeColor="text1"/>
          <w:sz w:val="24"/>
        </w:rPr>
        <w:t xml:space="preserve"> the UK government recommends that everyone should have an STI screen at least annually if they are having condomless sex or sex with casual partners</w:t>
      </w:r>
      <w:r w:rsidR="004F4103" w:rsidRPr="005A44CE">
        <w:rPr>
          <w:rFonts w:ascii="Times New Roman" w:hAnsi="Times New Roman"/>
          <w:color w:val="000000"/>
          <w:sz w:val="24"/>
        </w:rPr>
        <w:t>,</w:t>
      </w:r>
      <w:r w:rsidR="003A7285">
        <w:rPr>
          <w:rFonts w:ascii="Times New Roman" w:hAnsi="Times New Roman"/>
          <w:color w:val="000000"/>
          <w:sz w:val="24"/>
          <w:vertAlign w:val="superscript"/>
        </w:rPr>
        <w:t>8</w:t>
      </w:r>
      <w:r w:rsidR="004F4103" w:rsidRPr="005A44CE">
        <w:rPr>
          <w:rFonts w:ascii="Times New Roman" w:hAnsi="Times New Roman"/>
          <w:color w:val="000000"/>
          <w:sz w:val="24"/>
        </w:rPr>
        <w:t xml:space="preserve"> our results suggest that older adolescents and young adults may not be testing in line with </w:t>
      </w:r>
      <w:r w:rsidR="00EE5E93" w:rsidRPr="005A44CE">
        <w:rPr>
          <w:rFonts w:ascii="Times New Roman" w:hAnsi="Times New Roman"/>
          <w:color w:val="000000"/>
          <w:sz w:val="24"/>
        </w:rPr>
        <w:t xml:space="preserve">public health </w:t>
      </w:r>
      <w:r w:rsidR="004F4103" w:rsidRPr="005A44CE">
        <w:rPr>
          <w:rFonts w:ascii="Times New Roman" w:hAnsi="Times New Roman"/>
          <w:color w:val="000000"/>
          <w:sz w:val="24"/>
        </w:rPr>
        <w:t xml:space="preserve">guidance. </w:t>
      </w:r>
      <w:r w:rsidR="00686941" w:rsidRPr="005A44CE">
        <w:rPr>
          <w:rFonts w:ascii="Times New Roman" w:hAnsi="Times New Roman"/>
          <w:color w:val="000000"/>
          <w:sz w:val="24"/>
        </w:rPr>
        <w:t xml:space="preserve">All </w:t>
      </w:r>
      <w:r w:rsidR="001F5D55">
        <w:rPr>
          <w:rFonts w:ascii="Times New Roman" w:hAnsi="Times New Roman"/>
          <w:color w:val="000000"/>
          <w:sz w:val="24"/>
        </w:rPr>
        <w:t xml:space="preserve">sexually active </w:t>
      </w:r>
      <w:r w:rsidR="00686941" w:rsidRPr="005A44CE">
        <w:rPr>
          <w:rFonts w:ascii="Times New Roman" w:hAnsi="Times New Roman"/>
          <w:color w:val="000000"/>
          <w:sz w:val="24"/>
        </w:rPr>
        <w:t>young people, regardless of relationship status, should be encourage</w:t>
      </w:r>
      <w:r w:rsidR="00EE5E93" w:rsidRPr="005A44CE">
        <w:rPr>
          <w:rFonts w:ascii="Times New Roman" w:hAnsi="Times New Roman"/>
          <w:color w:val="000000"/>
          <w:sz w:val="24"/>
        </w:rPr>
        <w:t>d</w:t>
      </w:r>
      <w:r w:rsidR="00686941" w:rsidRPr="005A44CE">
        <w:rPr>
          <w:rFonts w:ascii="Times New Roman" w:hAnsi="Times New Roman"/>
          <w:color w:val="000000"/>
          <w:sz w:val="24"/>
        </w:rPr>
        <w:t xml:space="preserve"> to </w:t>
      </w:r>
      <w:r w:rsidR="00EE5E93" w:rsidRPr="005A44CE">
        <w:rPr>
          <w:rFonts w:ascii="Times New Roman" w:hAnsi="Times New Roman"/>
          <w:color w:val="000000"/>
          <w:sz w:val="24"/>
        </w:rPr>
        <w:t xml:space="preserve">screen </w:t>
      </w:r>
      <w:r w:rsidR="00CC06F0" w:rsidRPr="005A44CE">
        <w:rPr>
          <w:rFonts w:ascii="Times New Roman" w:hAnsi="Times New Roman"/>
          <w:color w:val="000000"/>
          <w:sz w:val="24"/>
        </w:rPr>
        <w:t>regularly</w:t>
      </w:r>
      <w:r w:rsidR="00EE5E93" w:rsidRPr="005A44CE">
        <w:rPr>
          <w:rFonts w:ascii="Times New Roman" w:hAnsi="Times New Roman"/>
          <w:color w:val="000000"/>
          <w:sz w:val="24"/>
        </w:rPr>
        <w:t xml:space="preserve">, even if no symptoms are present. </w:t>
      </w:r>
      <w:r w:rsidR="00A144C2" w:rsidRPr="005A44CE">
        <w:rPr>
          <w:rFonts w:ascii="Times New Roman" w:hAnsi="Times New Roman"/>
          <w:color w:val="000000"/>
          <w:sz w:val="24"/>
        </w:rPr>
        <w:t xml:space="preserve">Further, </w:t>
      </w:r>
      <w:r w:rsidR="00F23A6B" w:rsidRPr="005A44CE">
        <w:rPr>
          <w:rFonts w:ascii="Times New Roman" w:hAnsi="Times New Roman"/>
          <w:color w:val="000000"/>
          <w:sz w:val="24"/>
        </w:rPr>
        <w:t xml:space="preserve">health care professionals should </w:t>
      </w:r>
      <w:r w:rsidR="00534B75" w:rsidRPr="005A44CE">
        <w:rPr>
          <w:rFonts w:ascii="Times New Roman" w:hAnsi="Times New Roman"/>
          <w:color w:val="000000"/>
          <w:sz w:val="24"/>
        </w:rPr>
        <w:t xml:space="preserve">ask patients in long-term monogamous relationships about their last STI screening date and </w:t>
      </w:r>
      <w:r w:rsidR="00F23A6B" w:rsidRPr="005A44CE">
        <w:rPr>
          <w:rFonts w:ascii="Times New Roman" w:hAnsi="Times New Roman"/>
          <w:color w:val="000000"/>
          <w:sz w:val="24"/>
        </w:rPr>
        <w:t xml:space="preserve">recommend screening to </w:t>
      </w:r>
      <w:r w:rsidR="001C1FE0" w:rsidRPr="005A44CE">
        <w:rPr>
          <w:rFonts w:ascii="Times New Roman" w:hAnsi="Times New Roman"/>
          <w:color w:val="000000"/>
          <w:sz w:val="24"/>
        </w:rPr>
        <w:t>those who have not tested previously or who have not tested since the beginning of their current relationship.</w:t>
      </w:r>
    </w:p>
    <w:p w14:paraId="33B6E9AC" w14:textId="247AF33B" w:rsidR="00171930" w:rsidRPr="005A44CE" w:rsidRDefault="00986EAA" w:rsidP="002D3498">
      <w:pPr>
        <w:spacing w:line="480" w:lineRule="auto"/>
        <w:rPr>
          <w:rFonts w:ascii="Times New Roman" w:hAnsi="Times New Roman"/>
          <w:color w:val="000000" w:themeColor="text1"/>
          <w:sz w:val="24"/>
        </w:rPr>
      </w:pPr>
      <w:r w:rsidRPr="005A44CE">
        <w:rPr>
          <w:rFonts w:ascii="Times New Roman" w:hAnsi="Times New Roman"/>
          <w:color w:val="000000" w:themeColor="text1"/>
          <w:sz w:val="24"/>
        </w:rPr>
        <w:tab/>
      </w:r>
      <w:r w:rsidR="002444AF" w:rsidRPr="005A44CE">
        <w:rPr>
          <w:rFonts w:ascii="Times New Roman" w:hAnsi="Times New Roman"/>
          <w:color w:val="000000" w:themeColor="text1"/>
          <w:sz w:val="24"/>
        </w:rPr>
        <w:t>Regarding</w:t>
      </w:r>
      <w:r w:rsidRPr="005A44CE">
        <w:rPr>
          <w:rFonts w:ascii="Times New Roman" w:hAnsi="Times New Roman"/>
          <w:color w:val="000000" w:themeColor="text1"/>
          <w:sz w:val="24"/>
        </w:rPr>
        <w:t xml:space="preserve"> </w:t>
      </w:r>
      <w:r w:rsidR="00070C2C" w:rsidRPr="005A44CE">
        <w:rPr>
          <w:rFonts w:ascii="Times New Roman" w:hAnsi="Times New Roman"/>
          <w:color w:val="000000" w:themeColor="text1"/>
          <w:sz w:val="24"/>
        </w:rPr>
        <w:t xml:space="preserve">service engagement for </w:t>
      </w:r>
      <w:r w:rsidR="00171930" w:rsidRPr="005A44CE">
        <w:rPr>
          <w:rFonts w:ascii="Times New Roman" w:hAnsi="Times New Roman"/>
          <w:color w:val="000000" w:themeColor="text1"/>
          <w:sz w:val="24"/>
        </w:rPr>
        <w:t>relationship advice</w:t>
      </w:r>
      <w:r w:rsidR="006425DA" w:rsidRPr="005A44CE">
        <w:rPr>
          <w:rFonts w:ascii="Times New Roman" w:hAnsi="Times New Roman"/>
          <w:color w:val="000000" w:themeColor="text1"/>
          <w:sz w:val="24"/>
        </w:rPr>
        <w:t>, we found</w:t>
      </w:r>
      <w:r w:rsidR="00171930" w:rsidRPr="005A44CE">
        <w:rPr>
          <w:rFonts w:ascii="Times New Roman" w:hAnsi="Times New Roman"/>
          <w:color w:val="000000" w:themeColor="text1"/>
          <w:sz w:val="24"/>
        </w:rPr>
        <w:t xml:space="preserve"> no significant difference between people in a relationship and those who are single. </w:t>
      </w:r>
      <w:r w:rsidR="00E0389B" w:rsidRPr="005A44CE">
        <w:rPr>
          <w:rFonts w:ascii="Times New Roman" w:hAnsi="Times New Roman"/>
          <w:color w:val="000000" w:themeColor="text1"/>
          <w:sz w:val="24"/>
        </w:rPr>
        <w:t>As a possible explanation for this finding</w:t>
      </w:r>
      <w:r w:rsidR="000527AD" w:rsidRPr="005A44CE">
        <w:rPr>
          <w:rFonts w:ascii="Times New Roman" w:hAnsi="Times New Roman"/>
          <w:color w:val="000000" w:themeColor="text1"/>
          <w:sz w:val="24"/>
        </w:rPr>
        <w:t>, we suggest that</w:t>
      </w:r>
      <w:r w:rsidR="00E36FF4">
        <w:rPr>
          <w:rFonts w:ascii="Times New Roman" w:hAnsi="Times New Roman"/>
          <w:color w:val="000000" w:themeColor="text1"/>
          <w:sz w:val="24"/>
        </w:rPr>
        <w:t xml:space="preserve"> while</w:t>
      </w:r>
      <w:r w:rsidR="00261421" w:rsidRPr="005A44CE">
        <w:rPr>
          <w:rFonts w:ascii="Times New Roman" w:hAnsi="Times New Roman"/>
          <w:color w:val="000000" w:themeColor="text1"/>
          <w:sz w:val="24"/>
        </w:rPr>
        <w:t xml:space="preserve"> </w:t>
      </w:r>
      <w:r w:rsidR="00171930" w:rsidRPr="005A44CE">
        <w:rPr>
          <w:rFonts w:ascii="Times New Roman" w:hAnsi="Times New Roman"/>
          <w:color w:val="000000" w:themeColor="text1"/>
          <w:sz w:val="24"/>
        </w:rPr>
        <w:t xml:space="preserve">people </w:t>
      </w:r>
      <w:r w:rsidR="00261421" w:rsidRPr="005A44CE">
        <w:rPr>
          <w:rFonts w:ascii="Times New Roman" w:hAnsi="Times New Roman"/>
          <w:color w:val="000000" w:themeColor="text1"/>
          <w:sz w:val="24"/>
        </w:rPr>
        <w:t xml:space="preserve">may </w:t>
      </w:r>
      <w:r w:rsidR="00171930" w:rsidRPr="005A44CE">
        <w:rPr>
          <w:rFonts w:ascii="Times New Roman" w:hAnsi="Times New Roman"/>
          <w:color w:val="000000" w:themeColor="text1"/>
          <w:sz w:val="24"/>
        </w:rPr>
        <w:t>seek relationship advice</w:t>
      </w:r>
      <w:r w:rsidR="00E36FF4" w:rsidRPr="00E36FF4">
        <w:rPr>
          <w:rFonts w:ascii="Times New Roman" w:hAnsi="Times New Roman"/>
          <w:color w:val="000000" w:themeColor="text1"/>
          <w:sz w:val="24"/>
        </w:rPr>
        <w:t xml:space="preserve"> </w:t>
      </w:r>
      <w:r w:rsidR="00E36FF4" w:rsidRPr="005A44CE">
        <w:rPr>
          <w:rFonts w:ascii="Times New Roman" w:hAnsi="Times New Roman"/>
          <w:color w:val="000000" w:themeColor="text1"/>
          <w:sz w:val="24"/>
        </w:rPr>
        <w:t>regardless of relationship status</w:t>
      </w:r>
      <w:r w:rsidR="00C13F31" w:rsidRPr="005A44CE">
        <w:rPr>
          <w:rFonts w:ascii="Times New Roman" w:hAnsi="Times New Roman"/>
          <w:color w:val="000000" w:themeColor="text1"/>
          <w:sz w:val="24"/>
        </w:rPr>
        <w:t xml:space="preserve">, the </w:t>
      </w:r>
      <w:r w:rsidR="00F8675B" w:rsidRPr="005A44CE">
        <w:rPr>
          <w:rFonts w:ascii="Times New Roman" w:hAnsi="Times New Roman"/>
          <w:color w:val="000000" w:themeColor="text1"/>
          <w:sz w:val="24"/>
        </w:rPr>
        <w:t>issues for which they seek advice may differ</w:t>
      </w:r>
      <w:r w:rsidR="00C45E24" w:rsidRPr="005A44CE">
        <w:rPr>
          <w:rFonts w:ascii="Times New Roman" w:hAnsi="Times New Roman"/>
          <w:color w:val="000000" w:themeColor="text1"/>
          <w:sz w:val="24"/>
        </w:rPr>
        <w:t>. For example, those with a partner may wish</w:t>
      </w:r>
      <w:r w:rsidR="00171930" w:rsidRPr="005A44CE">
        <w:rPr>
          <w:rFonts w:ascii="Times New Roman" w:hAnsi="Times New Roman"/>
          <w:color w:val="000000" w:themeColor="text1"/>
          <w:sz w:val="24"/>
        </w:rPr>
        <w:t xml:space="preserve"> to improve their current relationship, </w:t>
      </w:r>
      <w:r w:rsidR="00C45E24" w:rsidRPr="005A44CE">
        <w:rPr>
          <w:rFonts w:ascii="Times New Roman" w:hAnsi="Times New Roman"/>
          <w:color w:val="000000" w:themeColor="text1"/>
          <w:sz w:val="24"/>
        </w:rPr>
        <w:t xml:space="preserve">while those who are single may </w:t>
      </w:r>
      <w:r w:rsidR="001D450A" w:rsidRPr="005A44CE">
        <w:rPr>
          <w:rFonts w:ascii="Times New Roman" w:hAnsi="Times New Roman"/>
          <w:color w:val="000000" w:themeColor="text1"/>
          <w:sz w:val="24"/>
        </w:rPr>
        <w:t xml:space="preserve">seek information on how </w:t>
      </w:r>
      <w:r w:rsidR="00171930" w:rsidRPr="005A44CE">
        <w:rPr>
          <w:rFonts w:ascii="Times New Roman" w:hAnsi="Times New Roman"/>
          <w:color w:val="000000" w:themeColor="text1"/>
          <w:sz w:val="24"/>
        </w:rPr>
        <w:t>to better their prospects of finding a healthy relationship.</w:t>
      </w:r>
      <w:r w:rsidR="001D450A" w:rsidRPr="005A44CE">
        <w:rPr>
          <w:rFonts w:ascii="Times New Roman" w:hAnsi="Times New Roman"/>
          <w:color w:val="000000" w:themeColor="text1"/>
          <w:sz w:val="24"/>
        </w:rPr>
        <w:t xml:space="preserve"> However, given that only 9.4% of our sample reported having used this service, it may be that </w:t>
      </w:r>
      <w:r w:rsidR="00522BDE" w:rsidRPr="005A44CE">
        <w:rPr>
          <w:rFonts w:ascii="Times New Roman" w:hAnsi="Times New Roman"/>
          <w:color w:val="000000" w:themeColor="text1"/>
          <w:sz w:val="24"/>
        </w:rPr>
        <w:t xml:space="preserve">participants were unaware that this </w:t>
      </w:r>
      <w:r w:rsidR="004824C3" w:rsidRPr="005A44CE">
        <w:rPr>
          <w:rFonts w:ascii="Times New Roman" w:hAnsi="Times New Roman"/>
          <w:color w:val="000000" w:themeColor="text1"/>
          <w:sz w:val="24"/>
        </w:rPr>
        <w:t>i</w:t>
      </w:r>
      <w:r w:rsidR="00522BDE" w:rsidRPr="005A44CE">
        <w:rPr>
          <w:rFonts w:ascii="Times New Roman" w:hAnsi="Times New Roman"/>
          <w:color w:val="000000" w:themeColor="text1"/>
          <w:sz w:val="24"/>
        </w:rPr>
        <w:t xml:space="preserve">s offered by NHS Sexual Health Services. Alternatively, they may be aware but </w:t>
      </w:r>
      <w:r w:rsidR="00A741F5" w:rsidRPr="005A44CE">
        <w:rPr>
          <w:rFonts w:ascii="Times New Roman" w:hAnsi="Times New Roman"/>
          <w:color w:val="000000" w:themeColor="text1"/>
          <w:sz w:val="24"/>
        </w:rPr>
        <w:t xml:space="preserve">feel as though the service is not appropriate for them. </w:t>
      </w:r>
      <w:r w:rsidR="009C0FEF" w:rsidRPr="005A44CE">
        <w:rPr>
          <w:rFonts w:ascii="Times New Roman" w:hAnsi="Times New Roman"/>
          <w:color w:val="000000" w:themeColor="text1"/>
          <w:sz w:val="24"/>
        </w:rPr>
        <w:t>Healthcare professionals and others offering rel</w:t>
      </w:r>
      <w:r w:rsidR="004F16A5" w:rsidRPr="005A44CE">
        <w:rPr>
          <w:rFonts w:ascii="Times New Roman" w:hAnsi="Times New Roman"/>
          <w:color w:val="000000" w:themeColor="text1"/>
          <w:sz w:val="24"/>
        </w:rPr>
        <w:t xml:space="preserve">ationship and sexual education to young people should be aware of the availability of this service </w:t>
      </w:r>
      <w:r w:rsidR="00BD7D06" w:rsidRPr="005A44CE">
        <w:rPr>
          <w:rFonts w:ascii="Times New Roman" w:hAnsi="Times New Roman"/>
          <w:color w:val="000000" w:themeColor="text1"/>
          <w:sz w:val="24"/>
        </w:rPr>
        <w:t xml:space="preserve">in their local area </w:t>
      </w:r>
      <w:r w:rsidR="004F16A5" w:rsidRPr="005A44CE">
        <w:rPr>
          <w:rFonts w:ascii="Times New Roman" w:hAnsi="Times New Roman"/>
          <w:color w:val="000000" w:themeColor="text1"/>
          <w:sz w:val="24"/>
        </w:rPr>
        <w:t xml:space="preserve">and </w:t>
      </w:r>
      <w:r w:rsidR="009541E8" w:rsidRPr="005A44CE">
        <w:rPr>
          <w:rFonts w:ascii="Times New Roman" w:hAnsi="Times New Roman"/>
          <w:color w:val="000000" w:themeColor="text1"/>
          <w:sz w:val="24"/>
        </w:rPr>
        <w:t>signpost those who would benefit from it</w:t>
      </w:r>
      <w:r w:rsidR="00E52462" w:rsidRPr="005A44CE">
        <w:rPr>
          <w:rFonts w:ascii="Times New Roman" w:hAnsi="Times New Roman"/>
          <w:color w:val="000000" w:themeColor="text1"/>
          <w:sz w:val="24"/>
        </w:rPr>
        <w:t>.</w:t>
      </w:r>
      <w:r w:rsidR="001F46D7">
        <w:rPr>
          <w:rFonts w:ascii="Times New Roman" w:hAnsi="Times New Roman"/>
          <w:color w:val="000000" w:themeColor="text1"/>
          <w:sz w:val="24"/>
        </w:rPr>
        <w:t xml:space="preserve"> </w:t>
      </w:r>
    </w:p>
    <w:p w14:paraId="250F1965" w14:textId="7A2FFE49" w:rsidR="00873EAA" w:rsidRPr="005A44CE" w:rsidRDefault="00171930" w:rsidP="002D3498">
      <w:pPr>
        <w:spacing w:line="480" w:lineRule="auto"/>
        <w:rPr>
          <w:rFonts w:ascii="Times New Roman" w:hAnsi="Times New Roman"/>
          <w:color w:val="000000"/>
          <w:sz w:val="24"/>
        </w:rPr>
      </w:pPr>
      <w:r w:rsidRPr="005A44CE">
        <w:rPr>
          <w:rFonts w:ascii="Times New Roman" w:hAnsi="Times New Roman"/>
          <w:color w:val="000000" w:themeColor="text1"/>
          <w:sz w:val="24"/>
        </w:rPr>
        <w:tab/>
      </w:r>
      <w:r w:rsidR="00BE2026" w:rsidRPr="005A44CE">
        <w:rPr>
          <w:rFonts w:ascii="Times New Roman" w:hAnsi="Times New Roman"/>
          <w:color w:val="000000" w:themeColor="text1"/>
          <w:sz w:val="24"/>
        </w:rPr>
        <w:t>I</w:t>
      </w:r>
      <w:r w:rsidRPr="005A44CE">
        <w:rPr>
          <w:rFonts w:ascii="Times New Roman" w:hAnsi="Times New Roman"/>
          <w:color w:val="000000" w:themeColor="text1"/>
          <w:sz w:val="24"/>
        </w:rPr>
        <w:t xml:space="preserve">n-line with our hypothesis, </w:t>
      </w:r>
      <w:r w:rsidR="00332D24" w:rsidRPr="005A44CE">
        <w:rPr>
          <w:rFonts w:ascii="Times New Roman" w:hAnsi="Times New Roman"/>
          <w:color w:val="000000" w:themeColor="text1"/>
          <w:sz w:val="24"/>
        </w:rPr>
        <w:t xml:space="preserve">young women </w:t>
      </w:r>
      <w:r w:rsidRPr="005A44CE">
        <w:rPr>
          <w:rFonts w:ascii="Times New Roman" w:hAnsi="Times New Roman"/>
          <w:color w:val="000000" w:themeColor="text1"/>
          <w:sz w:val="24"/>
        </w:rPr>
        <w:t xml:space="preserve">in relationships were found to </w:t>
      </w:r>
      <w:r w:rsidR="00332D24" w:rsidRPr="005A44CE">
        <w:rPr>
          <w:rFonts w:ascii="Times New Roman" w:hAnsi="Times New Roman"/>
          <w:color w:val="000000" w:themeColor="text1"/>
          <w:sz w:val="24"/>
        </w:rPr>
        <w:t xml:space="preserve">have used sexual health services to start </w:t>
      </w:r>
      <w:r w:rsidRPr="005A44CE">
        <w:rPr>
          <w:rFonts w:ascii="Times New Roman" w:hAnsi="Times New Roman"/>
          <w:color w:val="000000" w:themeColor="text1"/>
          <w:sz w:val="24"/>
        </w:rPr>
        <w:t xml:space="preserve">the pill significantly more than those who are single. This </w:t>
      </w:r>
      <w:r w:rsidR="00332D24" w:rsidRPr="005A44CE">
        <w:rPr>
          <w:rFonts w:ascii="Times New Roman" w:hAnsi="Times New Roman"/>
          <w:color w:val="000000" w:themeColor="text1"/>
          <w:sz w:val="24"/>
        </w:rPr>
        <w:t xml:space="preserve">is </w:t>
      </w:r>
      <w:r w:rsidR="00435120" w:rsidRPr="005A44CE">
        <w:rPr>
          <w:rFonts w:ascii="Times New Roman" w:hAnsi="Times New Roman"/>
          <w:color w:val="000000" w:themeColor="text1"/>
          <w:sz w:val="24"/>
        </w:rPr>
        <w:lastRenderedPageBreak/>
        <w:t>consistent</w:t>
      </w:r>
      <w:r w:rsidR="00332D24" w:rsidRPr="005A44CE">
        <w:rPr>
          <w:rFonts w:ascii="Times New Roman" w:hAnsi="Times New Roman"/>
          <w:color w:val="000000" w:themeColor="text1"/>
          <w:sz w:val="24"/>
        </w:rPr>
        <w:t xml:space="preserve"> with</w:t>
      </w:r>
      <w:r w:rsidRPr="005A44CE">
        <w:rPr>
          <w:rFonts w:ascii="Times New Roman" w:hAnsi="Times New Roman"/>
          <w:color w:val="000000" w:themeColor="text1"/>
          <w:sz w:val="24"/>
        </w:rPr>
        <w:t xml:space="preserve"> prior research </w:t>
      </w:r>
      <w:r w:rsidR="00332D24" w:rsidRPr="005A44CE">
        <w:rPr>
          <w:rFonts w:ascii="Times New Roman" w:hAnsi="Times New Roman"/>
          <w:color w:val="000000" w:themeColor="text1"/>
          <w:sz w:val="24"/>
        </w:rPr>
        <w:t xml:space="preserve">that indicates </w:t>
      </w:r>
      <w:r w:rsidRPr="005A44CE">
        <w:rPr>
          <w:rFonts w:ascii="Times New Roman" w:hAnsi="Times New Roman"/>
          <w:color w:val="000000"/>
          <w:sz w:val="24"/>
        </w:rPr>
        <w:t xml:space="preserve">that contraception choices in relationships tend to progress towards using the pill as </w:t>
      </w:r>
      <w:r w:rsidR="00F00F47" w:rsidRPr="005A44CE">
        <w:rPr>
          <w:rFonts w:ascii="Times New Roman" w:hAnsi="Times New Roman"/>
          <w:color w:val="000000"/>
          <w:sz w:val="24"/>
        </w:rPr>
        <w:t>relationship length increases,</w:t>
      </w:r>
      <w:r w:rsidR="00C41BD3" w:rsidRPr="005A44CE">
        <w:rPr>
          <w:rFonts w:ascii="Times New Roman" w:hAnsi="Times New Roman"/>
          <w:color w:val="000000"/>
          <w:sz w:val="24"/>
        </w:rPr>
        <w:t xml:space="preserve"> </w:t>
      </w:r>
      <w:r w:rsidRPr="005A44CE">
        <w:rPr>
          <w:rFonts w:ascii="Times New Roman" w:hAnsi="Times New Roman"/>
          <w:color w:val="000000"/>
          <w:sz w:val="24"/>
        </w:rPr>
        <w:t>trust is built</w:t>
      </w:r>
      <w:r w:rsidR="00C41BD3" w:rsidRPr="005A44CE">
        <w:rPr>
          <w:rFonts w:ascii="Times New Roman" w:hAnsi="Times New Roman"/>
          <w:color w:val="000000"/>
          <w:sz w:val="24"/>
        </w:rPr>
        <w:t>, and</w:t>
      </w:r>
      <w:r w:rsidR="00332D24" w:rsidRPr="005A44CE">
        <w:rPr>
          <w:rFonts w:ascii="Times New Roman" w:hAnsi="Times New Roman"/>
          <w:color w:val="000000"/>
          <w:sz w:val="24"/>
        </w:rPr>
        <w:t xml:space="preserve"> </w:t>
      </w:r>
      <w:r w:rsidR="00C41BD3" w:rsidRPr="005A44CE">
        <w:rPr>
          <w:rFonts w:ascii="Times New Roman" w:hAnsi="Times New Roman"/>
          <w:color w:val="000000"/>
          <w:sz w:val="24"/>
        </w:rPr>
        <w:t>couples have sex more often</w:t>
      </w:r>
      <w:r w:rsidRPr="005A44CE">
        <w:rPr>
          <w:rFonts w:ascii="Times New Roman" w:hAnsi="Times New Roman"/>
          <w:color w:val="000000"/>
          <w:sz w:val="24"/>
        </w:rPr>
        <w:t>.</w:t>
      </w:r>
      <w:r w:rsidR="00307EDE" w:rsidRPr="00307EDE">
        <w:rPr>
          <w:rFonts w:ascii="Times New Roman" w:hAnsi="Times New Roman"/>
          <w:color w:val="000000"/>
          <w:sz w:val="24"/>
          <w:vertAlign w:val="superscript"/>
        </w:rPr>
        <w:t>2</w:t>
      </w:r>
      <w:r w:rsidR="003A7285">
        <w:rPr>
          <w:rFonts w:ascii="Times New Roman" w:hAnsi="Times New Roman"/>
          <w:color w:val="000000"/>
          <w:sz w:val="24"/>
          <w:vertAlign w:val="superscript"/>
        </w:rPr>
        <w:t>4</w:t>
      </w:r>
      <w:r w:rsidR="00307EDE" w:rsidRPr="00307EDE">
        <w:rPr>
          <w:rFonts w:ascii="Times New Roman" w:hAnsi="Times New Roman"/>
          <w:color w:val="000000"/>
          <w:sz w:val="24"/>
          <w:vertAlign w:val="superscript"/>
        </w:rPr>
        <w:t>,2</w:t>
      </w:r>
      <w:r w:rsidR="003A7285">
        <w:rPr>
          <w:rFonts w:ascii="Times New Roman" w:hAnsi="Times New Roman"/>
          <w:color w:val="000000"/>
          <w:sz w:val="24"/>
          <w:vertAlign w:val="superscript"/>
        </w:rPr>
        <w:t>8</w:t>
      </w:r>
      <w:r w:rsidRPr="005A44CE">
        <w:rPr>
          <w:rFonts w:ascii="Times New Roman" w:hAnsi="Times New Roman"/>
          <w:color w:val="000000"/>
          <w:sz w:val="24"/>
        </w:rPr>
        <w:t xml:space="preserve"> This finding </w:t>
      </w:r>
      <w:r w:rsidR="00B401D1" w:rsidRPr="005A44CE">
        <w:rPr>
          <w:rFonts w:ascii="Times New Roman" w:hAnsi="Times New Roman"/>
          <w:color w:val="000000"/>
          <w:sz w:val="24"/>
        </w:rPr>
        <w:t xml:space="preserve">also </w:t>
      </w:r>
      <w:r w:rsidRPr="005A44CE">
        <w:rPr>
          <w:rFonts w:ascii="Times New Roman" w:hAnsi="Times New Roman"/>
          <w:color w:val="000000"/>
          <w:sz w:val="24"/>
        </w:rPr>
        <w:t xml:space="preserve">persisted after controlling for age and sexual orientation. </w:t>
      </w:r>
      <w:r w:rsidR="00B401D1" w:rsidRPr="005A44CE">
        <w:rPr>
          <w:rFonts w:ascii="Times New Roman" w:hAnsi="Times New Roman"/>
          <w:color w:val="000000"/>
          <w:sz w:val="24"/>
        </w:rPr>
        <w:t>While using the pill is effective at p</w:t>
      </w:r>
      <w:r w:rsidR="00873EAA" w:rsidRPr="005A44CE">
        <w:rPr>
          <w:rFonts w:ascii="Times New Roman" w:hAnsi="Times New Roman"/>
          <w:color w:val="000000"/>
          <w:sz w:val="24"/>
        </w:rPr>
        <w:t xml:space="preserve">rotecting against pregnancy, it does not </w:t>
      </w:r>
      <w:r w:rsidR="00372B86" w:rsidRPr="005A44CE">
        <w:rPr>
          <w:rFonts w:ascii="Times New Roman" w:hAnsi="Times New Roman"/>
          <w:color w:val="000000"/>
          <w:sz w:val="24"/>
        </w:rPr>
        <w:t>protect against sexually transmitted infections and so condom</w:t>
      </w:r>
      <w:r w:rsidR="00E0389B" w:rsidRPr="005A44CE">
        <w:rPr>
          <w:rFonts w:ascii="Times New Roman" w:hAnsi="Times New Roman"/>
          <w:color w:val="000000"/>
          <w:sz w:val="24"/>
        </w:rPr>
        <w:t xml:space="preserve"> use</w:t>
      </w:r>
      <w:r w:rsidR="00372B86" w:rsidRPr="005A44CE">
        <w:rPr>
          <w:rFonts w:ascii="Times New Roman" w:hAnsi="Times New Roman"/>
          <w:color w:val="000000"/>
          <w:sz w:val="24"/>
        </w:rPr>
        <w:t xml:space="preserve"> should still be </w:t>
      </w:r>
      <w:r w:rsidR="00E0389B" w:rsidRPr="005A44CE">
        <w:rPr>
          <w:rFonts w:ascii="Times New Roman" w:hAnsi="Times New Roman"/>
          <w:color w:val="000000"/>
          <w:sz w:val="24"/>
        </w:rPr>
        <w:t>encouraged</w:t>
      </w:r>
      <w:r w:rsidR="00372B86" w:rsidRPr="005A44CE">
        <w:rPr>
          <w:rFonts w:ascii="Times New Roman" w:hAnsi="Times New Roman"/>
          <w:color w:val="000000"/>
          <w:sz w:val="24"/>
        </w:rPr>
        <w:t xml:space="preserve"> until </w:t>
      </w:r>
      <w:r w:rsidR="007A29A3" w:rsidRPr="005A44CE">
        <w:rPr>
          <w:rFonts w:ascii="Times New Roman" w:hAnsi="Times New Roman"/>
          <w:color w:val="000000"/>
          <w:sz w:val="24"/>
        </w:rPr>
        <w:t xml:space="preserve">both partners in a monogamous relationship have been tested. Given the substantial difference in </w:t>
      </w:r>
      <w:r w:rsidR="00AE2F9C" w:rsidRPr="005A44CE">
        <w:rPr>
          <w:rFonts w:ascii="Times New Roman" w:hAnsi="Times New Roman"/>
          <w:color w:val="000000"/>
          <w:sz w:val="24"/>
        </w:rPr>
        <w:t>prevalence</w:t>
      </w:r>
      <w:r w:rsidR="007A29A3" w:rsidRPr="005A44CE">
        <w:rPr>
          <w:rFonts w:ascii="Times New Roman" w:hAnsi="Times New Roman"/>
          <w:color w:val="000000"/>
          <w:sz w:val="24"/>
        </w:rPr>
        <w:t xml:space="preserve"> of starting the pill</w:t>
      </w:r>
      <w:r w:rsidR="00AE2F9C" w:rsidRPr="005A44CE">
        <w:rPr>
          <w:rFonts w:ascii="Times New Roman" w:hAnsi="Times New Roman"/>
          <w:color w:val="000000"/>
          <w:sz w:val="24"/>
        </w:rPr>
        <w:t xml:space="preserve"> (57.2%)</w:t>
      </w:r>
      <w:r w:rsidR="007A29A3" w:rsidRPr="005A44CE">
        <w:rPr>
          <w:rFonts w:ascii="Times New Roman" w:hAnsi="Times New Roman"/>
          <w:color w:val="000000"/>
          <w:sz w:val="24"/>
        </w:rPr>
        <w:t xml:space="preserve"> </w:t>
      </w:r>
      <w:r w:rsidR="000C7CAA" w:rsidRPr="005A44CE">
        <w:rPr>
          <w:rFonts w:ascii="Times New Roman" w:hAnsi="Times New Roman"/>
          <w:color w:val="000000"/>
          <w:sz w:val="24"/>
        </w:rPr>
        <w:t>and STI testing</w:t>
      </w:r>
      <w:r w:rsidR="00AE2F9C" w:rsidRPr="005A44CE">
        <w:rPr>
          <w:rFonts w:ascii="Times New Roman" w:hAnsi="Times New Roman"/>
          <w:color w:val="000000"/>
          <w:sz w:val="24"/>
        </w:rPr>
        <w:t xml:space="preserve"> (</w:t>
      </w:r>
      <w:r w:rsidR="009A5FC3">
        <w:rPr>
          <w:rFonts w:ascii="Times New Roman" w:hAnsi="Times New Roman"/>
          <w:color w:val="000000"/>
          <w:sz w:val="24"/>
        </w:rPr>
        <w:t>21.9</w:t>
      </w:r>
      <w:r w:rsidR="00AE2F9C" w:rsidRPr="005A44CE">
        <w:rPr>
          <w:rFonts w:ascii="Times New Roman" w:hAnsi="Times New Roman"/>
          <w:color w:val="000000"/>
          <w:sz w:val="24"/>
        </w:rPr>
        <w:t>% among women)</w:t>
      </w:r>
      <w:r w:rsidR="000C7CAA" w:rsidRPr="005A44CE">
        <w:rPr>
          <w:rFonts w:ascii="Times New Roman" w:hAnsi="Times New Roman"/>
          <w:color w:val="000000"/>
          <w:sz w:val="24"/>
        </w:rPr>
        <w:t xml:space="preserve">, </w:t>
      </w:r>
      <w:r w:rsidR="00324342" w:rsidRPr="005A44CE">
        <w:rPr>
          <w:rFonts w:ascii="Times New Roman" w:hAnsi="Times New Roman"/>
          <w:color w:val="000000"/>
          <w:sz w:val="24"/>
        </w:rPr>
        <w:t xml:space="preserve">this may be a missed opportunity for </w:t>
      </w:r>
      <w:r w:rsidR="000C6FC7" w:rsidRPr="005A44CE">
        <w:rPr>
          <w:rFonts w:ascii="Times New Roman" w:hAnsi="Times New Roman"/>
          <w:color w:val="000000"/>
          <w:sz w:val="24"/>
        </w:rPr>
        <w:t xml:space="preserve">healthcare </w:t>
      </w:r>
      <w:r w:rsidR="00C360D0" w:rsidRPr="005A44CE">
        <w:rPr>
          <w:rFonts w:ascii="Times New Roman" w:hAnsi="Times New Roman"/>
          <w:color w:val="000000"/>
          <w:sz w:val="24"/>
        </w:rPr>
        <w:t>professionals</w:t>
      </w:r>
      <w:r w:rsidR="000C6FC7" w:rsidRPr="005A44CE">
        <w:rPr>
          <w:rFonts w:ascii="Times New Roman" w:hAnsi="Times New Roman"/>
          <w:color w:val="000000"/>
          <w:sz w:val="24"/>
        </w:rPr>
        <w:t xml:space="preserve"> to recommend STI screening when </w:t>
      </w:r>
      <w:r w:rsidR="00C360D0" w:rsidRPr="005A44CE">
        <w:rPr>
          <w:rFonts w:ascii="Times New Roman" w:hAnsi="Times New Roman"/>
          <w:color w:val="000000"/>
          <w:sz w:val="24"/>
        </w:rPr>
        <w:t>starting or re-starting hormonal birth control</w:t>
      </w:r>
      <w:r w:rsidR="009F6B74">
        <w:rPr>
          <w:rFonts w:ascii="Times New Roman" w:hAnsi="Times New Roman"/>
          <w:color w:val="000000"/>
          <w:sz w:val="24"/>
        </w:rPr>
        <w:t xml:space="preserve"> and policy could be revised to encourage uptake of screening</w:t>
      </w:r>
      <w:r w:rsidR="00C360D0" w:rsidRPr="005A44CE">
        <w:rPr>
          <w:rFonts w:ascii="Times New Roman" w:hAnsi="Times New Roman"/>
          <w:color w:val="000000"/>
          <w:sz w:val="24"/>
        </w:rPr>
        <w:t xml:space="preserve">. </w:t>
      </w:r>
    </w:p>
    <w:p w14:paraId="7D79CEE4" w14:textId="16B244CA" w:rsidR="0044754B" w:rsidRPr="005A44CE" w:rsidRDefault="00FD014B" w:rsidP="002D3498">
      <w:pPr>
        <w:spacing w:line="480" w:lineRule="auto"/>
        <w:rPr>
          <w:rFonts w:ascii="Times New Roman" w:hAnsi="Times New Roman"/>
          <w:color w:val="000000"/>
          <w:sz w:val="24"/>
        </w:rPr>
      </w:pPr>
      <w:r w:rsidRPr="005A44CE">
        <w:rPr>
          <w:rFonts w:ascii="Times New Roman" w:hAnsi="Times New Roman"/>
          <w:color w:val="000000"/>
          <w:sz w:val="24"/>
        </w:rPr>
        <w:tab/>
      </w:r>
      <w:r w:rsidR="00CA14DD" w:rsidRPr="005A44CE">
        <w:rPr>
          <w:rFonts w:ascii="Times New Roman" w:hAnsi="Times New Roman"/>
          <w:color w:val="000000"/>
          <w:sz w:val="24"/>
        </w:rPr>
        <w:t>F</w:t>
      </w:r>
      <w:r w:rsidRPr="005A44CE">
        <w:rPr>
          <w:rFonts w:ascii="Times New Roman" w:hAnsi="Times New Roman"/>
          <w:color w:val="000000"/>
          <w:sz w:val="24"/>
        </w:rPr>
        <w:t>inal</w:t>
      </w:r>
      <w:r w:rsidR="00CA14DD" w:rsidRPr="005A44CE">
        <w:rPr>
          <w:rFonts w:ascii="Times New Roman" w:hAnsi="Times New Roman"/>
          <w:color w:val="000000"/>
          <w:sz w:val="24"/>
        </w:rPr>
        <w:t>ly,</w:t>
      </w:r>
      <w:r w:rsidRPr="005A44CE">
        <w:rPr>
          <w:rFonts w:ascii="Times New Roman" w:hAnsi="Times New Roman"/>
          <w:color w:val="000000"/>
          <w:sz w:val="24"/>
        </w:rPr>
        <w:t xml:space="preserve"> </w:t>
      </w:r>
      <w:r w:rsidR="00CA14DD" w:rsidRPr="005A44CE">
        <w:rPr>
          <w:rFonts w:ascii="Times New Roman" w:hAnsi="Times New Roman"/>
          <w:color w:val="000000"/>
          <w:sz w:val="24"/>
        </w:rPr>
        <w:t>young women</w:t>
      </w:r>
      <w:r w:rsidRPr="005A44CE">
        <w:rPr>
          <w:rFonts w:ascii="Times New Roman" w:hAnsi="Times New Roman"/>
          <w:color w:val="000000"/>
          <w:sz w:val="24"/>
        </w:rPr>
        <w:t xml:space="preserve"> in relationships </w:t>
      </w:r>
      <w:r w:rsidR="008250E8" w:rsidRPr="005A44CE">
        <w:rPr>
          <w:rFonts w:ascii="Times New Roman" w:hAnsi="Times New Roman"/>
          <w:color w:val="000000"/>
          <w:sz w:val="24"/>
        </w:rPr>
        <w:t xml:space="preserve">were also found to have accessed </w:t>
      </w:r>
      <w:r w:rsidR="00675260" w:rsidRPr="005A44CE">
        <w:rPr>
          <w:rFonts w:ascii="Times New Roman" w:hAnsi="Times New Roman"/>
          <w:color w:val="000000"/>
          <w:sz w:val="24"/>
        </w:rPr>
        <w:t>pregnancy</w:t>
      </w:r>
      <w:r w:rsidR="008250E8" w:rsidRPr="005A44CE">
        <w:rPr>
          <w:rFonts w:ascii="Times New Roman" w:hAnsi="Times New Roman"/>
          <w:color w:val="000000"/>
          <w:sz w:val="24"/>
        </w:rPr>
        <w:t xml:space="preserve"> testing services </w:t>
      </w:r>
      <w:r w:rsidRPr="005A44CE">
        <w:rPr>
          <w:rFonts w:ascii="Times New Roman" w:hAnsi="Times New Roman"/>
          <w:color w:val="000000"/>
          <w:sz w:val="24"/>
        </w:rPr>
        <w:t>more than those who are single</w:t>
      </w:r>
      <w:r w:rsidR="00F94513" w:rsidRPr="005A44CE">
        <w:rPr>
          <w:rFonts w:ascii="Times New Roman" w:hAnsi="Times New Roman"/>
          <w:color w:val="000000"/>
          <w:sz w:val="24"/>
        </w:rPr>
        <w:t xml:space="preserve"> (</w:t>
      </w:r>
      <w:r w:rsidR="00DA1B39" w:rsidRPr="005A44CE">
        <w:rPr>
          <w:rFonts w:ascii="Times New Roman" w:hAnsi="Times New Roman"/>
          <w:color w:val="000000"/>
          <w:sz w:val="24"/>
        </w:rPr>
        <w:t>73.7% vs. 26.3%)</w:t>
      </w:r>
      <w:r w:rsidR="00675260" w:rsidRPr="005A44CE">
        <w:rPr>
          <w:rFonts w:ascii="Times New Roman" w:hAnsi="Times New Roman"/>
          <w:color w:val="000000"/>
          <w:sz w:val="24"/>
        </w:rPr>
        <w:t>, even after</w:t>
      </w:r>
      <w:r w:rsidRPr="005A44CE">
        <w:rPr>
          <w:rFonts w:ascii="Times New Roman" w:hAnsi="Times New Roman"/>
          <w:color w:val="000000"/>
          <w:sz w:val="24"/>
        </w:rPr>
        <w:t xml:space="preserve"> controll</w:t>
      </w:r>
      <w:r w:rsidR="00675260" w:rsidRPr="005A44CE">
        <w:rPr>
          <w:rFonts w:ascii="Times New Roman" w:hAnsi="Times New Roman"/>
          <w:color w:val="000000"/>
          <w:sz w:val="24"/>
        </w:rPr>
        <w:t>ing</w:t>
      </w:r>
      <w:r w:rsidRPr="005A44CE">
        <w:rPr>
          <w:rFonts w:ascii="Times New Roman" w:hAnsi="Times New Roman"/>
          <w:color w:val="000000"/>
          <w:sz w:val="24"/>
        </w:rPr>
        <w:t xml:space="preserve"> for age and sexual orientation.</w:t>
      </w:r>
      <w:r w:rsidR="00284E20" w:rsidRPr="005A44CE">
        <w:rPr>
          <w:rFonts w:ascii="Times New Roman" w:hAnsi="Times New Roman"/>
          <w:color w:val="000000"/>
          <w:sz w:val="24"/>
        </w:rPr>
        <w:t xml:space="preserve"> </w:t>
      </w:r>
      <w:r w:rsidR="00FC32BB" w:rsidRPr="005A44CE">
        <w:rPr>
          <w:rFonts w:ascii="Times New Roman" w:hAnsi="Times New Roman"/>
          <w:color w:val="000000"/>
          <w:sz w:val="24"/>
        </w:rPr>
        <w:t xml:space="preserve">Pregnancy testing through the NHS may be done </w:t>
      </w:r>
      <w:r w:rsidR="00D01A4D" w:rsidRPr="005A44CE">
        <w:rPr>
          <w:rFonts w:ascii="Times New Roman" w:hAnsi="Times New Roman"/>
          <w:color w:val="000000"/>
          <w:sz w:val="24"/>
        </w:rPr>
        <w:t>as a first step when pregnancy is suspected</w:t>
      </w:r>
      <w:r w:rsidR="00CB2F59" w:rsidRPr="005A44CE">
        <w:rPr>
          <w:rFonts w:ascii="Times New Roman" w:hAnsi="Times New Roman"/>
          <w:color w:val="000000"/>
          <w:sz w:val="24"/>
        </w:rPr>
        <w:t>,</w:t>
      </w:r>
      <w:r w:rsidR="00D01A4D" w:rsidRPr="005A44CE">
        <w:rPr>
          <w:rFonts w:ascii="Times New Roman" w:hAnsi="Times New Roman"/>
          <w:color w:val="000000"/>
          <w:sz w:val="24"/>
        </w:rPr>
        <w:t xml:space="preserve"> or </w:t>
      </w:r>
      <w:r w:rsidR="00C77436" w:rsidRPr="005A44CE">
        <w:rPr>
          <w:rFonts w:ascii="Times New Roman" w:hAnsi="Times New Roman"/>
          <w:color w:val="000000"/>
          <w:sz w:val="24"/>
        </w:rPr>
        <w:t xml:space="preserve">it </w:t>
      </w:r>
      <w:r w:rsidR="00D01A4D" w:rsidRPr="005A44CE">
        <w:rPr>
          <w:rFonts w:ascii="Times New Roman" w:hAnsi="Times New Roman"/>
          <w:color w:val="000000"/>
          <w:sz w:val="24"/>
        </w:rPr>
        <w:t xml:space="preserve">may be done </w:t>
      </w:r>
      <w:r w:rsidR="00C77436" w:rsidRPr="005A44CE">
        <w:rPr>
          <w:rFonts w:ascii="Times New Roman" w:hAnsi="Times New Roman"/>
          <w:color w:val="000000"/>
          <w:sz w:val="24"/>
        </w:rPr>
        <w:t>as</w:t>
      </w:r>
      <w:r w:rsidR="00D01A4D" w:rsidRPr="005A44CE">
        <w:rPr>
          <w:rFonts w:ascii="Times New Roman" w:hAnsi="Times New Roman"/>
          <w:color w:val="000000"/>
          <w:sz w:val="24"/>
        </w:rPr>
        <w:t xml:space="preserve"> confirmat</w:t>
      </w:r>
      <w:r w:rsidR="00C77436" w:rsidRPr="005A44CE">
        <w:rPr>
          <w:rFonts w:ascii="Times New Roman" w:hAnsi="Times New Roman"/>
          <w:color w:val="000000"/>
          <w:sz w:val="24"/>
        </w:rPr>
        <w:t>ion</w:t>
      </w:r>
      <w:r w:rsidR="00D01A4D" w:rsidRPr="005A44CE">
        <w:rPr>
          <w:rFonts w:ascii="Times New Roman" w:hAnsi="Times New Roman"/>
          <w:color w:val="000000"/>
          <w:sz w:val="24"/>
        </w:rPr>
        <w:t xml:space="preserve"> after </w:t>
      </w:r>
      <w:r w:rsidR="00E40D8C" w:rsidRPr="005A44CE">
        <w:rPr>
          <w:rFonts w:ascii="Times New Roman" w:hAnsi="Times New Roman"/>
          <w:color w:val="000000"/>
          <w:sz w:val="24"/>
        </w:rPr>
        <w:t>preliminary positive testing at home.</w:t>
      </w:r>
      <w:r w:rsidRPr="005A44CE">
        <w:rPr>
          <w:rFonts w:ascii="Times New Roman" w:hAnsi="Times New Roman"/>
          <w:color w:val="000000"/>
          <w:sz w:val="24"/>
        </w:rPr>
        <w:t xml:space="preserve"> </w:t>
      </w:r>
      <w:r w:rsidR="00CC7D81" w:rsidRPr="005A44CE">
        <w:rPr>
          <w:rFonts w:ascii="Times New Roman" w:hAnsi="Times New Roman"/>
          <w:color w:val="000000"/>
          <w:sz w:val="24"/>
        </w:rPr>
        <w:t xml:space="preserve">One </w:t>
      </w:r>
      <w:r w:rsidRPr="005A44CE">
        <w:rPr>
          <w:rFonts w:ascii="Times New Roman" w:hAnsi="Times New Roman"/>
          <w:color w:val="000000"/>
          <w:sz w:val="24"/>
        </w:rPr>
        <w:t xml:space="preserve">reason for </w:t>
      </w:r>
      <w:r w:rsidR="00B111AD" w:rsidRPr="005A44CE">
        <w:rPr>
          <w:rFonts w:ascii="Times New Roman" w:hAnsi="Times New Roman"/>
          <w:color w:val="000000"/>
          <w:sz w:val="24"/>
        </w:rPr>
        <w:t>our</w:t>
      </w:r>
      <w:r w:rsidRPr="005A44CE">
        <w:rPr>
          <w:rFonts w:ascii="Times New Roman" w:hAnsi="Times New Roman"/>
          <w:color w:val="000000"/>
          <w:sz w:val="24"/>
        </w:rPr>
        <w:t xml:space="preserve"> </w:t>
      </w:r>
      <w:r w:rsidR="00612E44" w:rsidRPr="005A44CE">
        <w:rPr>
          <w:rFonts w:ascii="Times New Roman" w:hAnsi="Times New Roman"/>
          <w:color w:val="000000"/>
          <w:sz w:val="24"/>
        </w:rPr>
        <w:t xml:space="preserve">finding </w:t>
      </w:r>
      <w:r w:rsidRPr="005A44CE">
        <w:rPr>
          <w:rFonts w:ascii="Times New Roman" w:hAnsi="Times New Roman"/>
          <w:color w:val="000000"/>
          <w:sz w:val="24"/>
        </w:rPr>
        <w:t xml:space="preserve">may be </w:t>
      </w:r>
      <w:r w:rsidR="00CC7D81" w:rsidRPr="005A44CE">
        <w:rPr>
          <w:rFonts w:ascii="Times New Roman" w:hAnsi="Times New Roman"/>
          <w:color w:val="000000"/>
          <w:sz w:val="24"/>
        </w:rPr>
        <w:t>that women</w:t>
      </w:r>
      <w:r w:rsidRPr="005A44CE">
        <w:rPr>
          <w:rFonts w:ascii="Times New Roman" w:hAnsi="Times New Roman"/>
          <w:color w:val="000000"/>
          <w:sz w:val="24"/>
        </w:rPr>
        <w:t xml:space="preserve"> </w:t>
      </w:r>
      <w:r w:rsidR="00D0196C" w:rsidRPr="005A44CE">
        <w:rPr>
          <w:rFonts w:ascii="Times New Roman" w:hAnsi="Times New Roman"/>
          <w:color w:val="000000"/>
          <w:sz w:val="24"/>
        </w:rPr>
        <w:t xml:space="preserve">who are married or in co-habiting </w:t>
      </w:r>
      <w:r w:rsidRPr="005A44CE">
        <w:rPr>
          <w:rFonts w:ascii="Times New Roman" w:hAnsi="Times New Roman"/>
          <w:color w:val="000000"/>
          <w:sz w:val="24"/>
        </w:rPr>
        <w:t xml:space="preserve">relationships </w:t>
      </w:r>
      <w:r w:rsidR="00D0196C" w:rsidRPr="005A44CE">
        <w:rPr>
          <w:rFonts w:ascii="Times New Roman" w:hAnsi="Times New Roman"/>
          <w:color w:val="000000"/>
          <w:sz w:val="24"/>
        </w:rPr>
        <w:t>are</w:t>
      </w:r>
      <w:r w:rsidR="005646C9" w:rsidRPr="005A44CE">
        <w:rPr>
          <w:rFonts w:ascii="Times New Roman" w:hAnsi="Times New Roman"/>
          <w:color w:val="000000"/>
          <w:sz w:val="24"/>
        </w:rPr>
        <w:t xml:space="preserve"> </w:t>
      </w:r>
      <w:r w:rsidRPr="005A44CE">
        <w:rPr>
          <w:rFonts w:ascii="Times New Roman" w:hAnsi="Times New Roman"/>
          <w:color w:val="000000"/>
          <w:sz w:val="24"/>
        </w:rPr>
        <w:t xml:space="preserve">more likely </w:t>
      </w:r>
      <w:r w:rsidR="005646C9" w:rsidRPr="005A44CE">
        <w:rPr>
          <w:rFonts w:ascii="Times New Roman" w:hAnsi="Times New Roman"/>
          <w:color w:val="000000"/>
          <w:sz w:val="24"/>
        </w:rPr>
        <w:t xml:space="preserve">than those who are single </w:t>
      </w:r>
      <w:r w:rsidRPr="005A44CE">
        <w:rPr>
          <w:rFonts w:ascii="Times New Roman" w:hAnsi="Times New Roman"/>
          <w:color w:val="000000"/>
          <w:sz w:val="24"/>
        </w:rPr>
        <w:t xml:space="preserve">to plan to have children, hence they may be testing to </w:t>
      </w:r>
      <w:r w:rsidR="00CC7D81" w:rsidRPr="005A44CE">
        <w:rPr>
          <w:rFonts w:ascii="Times New Roman" w:hAnsi="Times New Roman"/>
          <w:color w:val="000000"/>
          <w:sz w:val="24"/>
        </w:rPr>
        <w:t xml:space="preserve">confirm an intended </w:t>
      </w:r>
      <w:r w:rsidR="005646C9" w:rsidRPr="005A44CE">
        <w:rPr>
          <w:rFonts w:ascii="Times New Roman" w:hAnsi="Times New Roman"/>
          <w:color w:val="000000"/>
          <w:sz w:val="24"/>
        </w:rPr>
        <w:t>pregnancy</w:t>
      </w:r>
      <w:r w:rsidRPr="005A44CE">
        <w:rPr>
          <w:rFonts w:ascii="Times New Roman" w:hAnsi="Times New Roman"/>
          <w:color w:val="000000"/>
          <w:sz w:val="24"/>
        </w:rPr>
        <w:t>.</w:t>
      </w:r>
      <w:r w:rsidR="003A7285">
        <w:rPr>
          <w:rFonts w:ascii="Times New Roman" w:hAnsi="Times New Roman"/>
          <w:color w:val="000000"/>
          <w:sz w:val="24"/>
          <w:vertAlign w:val="superscript"/>
        </w:rPr>
        <w:t>30</w:t>
      </w:r>
      <w:r w:rsidR="00CC7D81" w:rsidRPr="005A44CE">
        <w:rPr>
          <w:rFonts w:ascii="Times New Roman" w:hAnsi="Times New Roman"/>
          <w:color w:val="000000"/>
          <w:sz w:val="24"/>
        </w:rPr>
        <w:t xml:space="preserve"> </w:t>
      </w:r>
      <w:r w:rsidR="006C7B2C" w:rsidRPr="005A44CE">
        <w:rPr>
          <w:rFonts w:ascii="Times New Roman" w:hAnsi="Times New Roman"/>
          <w:color w:val="000000"/>
          <w:sz w:val="24"/>
        </w:rPr>
        <w:t xml:space="preserve">However, </w:t>
      </w:r>
      <w:r w:rsidR="00351DDA" w:rsidRPr="005A44CE">
        <w:rPr>
          <w:rFonts w:ascii="Times New Roman" w:hAnsi="Times New Roman"/>
          <w:color w:val="000000"/>
          <w:sz w:val="24"/>
        </w:rPr>
        <w:t xml:space="preserve">in </w:t>
      </w:r>
      <w:r w:rsidR="00CB2F59" w:rsidRPr="005A44CE">
        <w:rPr>
          <w:rFonts w:ascii="Times New Roman" w:hAnsi="Times New Roman"/>
          <w:color w:val="000000"/>
          <w:sz w:val="24"/>
        </w:rPr>
        <w:t xml:space="preserve">a </w:t>
      </w:r>
      <w:r w:rsidR="00236155" w:rsidRPr="005A44CE">
        <w:rPr>
          <w:rFonts w:ascii="Times New Roman" w:hAnsi="Times New Roman"/>
          <w:color w:val="000000"/>
          <w:sz w:val="24"/>
        </w:rPr>
        <w:t>large</w:t>
      </w:r>
      <w:r w:rsidR="0024622B" w:rsidRPr="005A44CE">
        <w:rPr>
          <w:rFonts w:ascii="Times New Roman" w:hAnsi="Times New Roman"/>
          <w:color w:val="000000"/>
          <w:sz w:val="24"/>
        </w:rPr>
        <w:t xml:space="preserve"> sample (n=5686) </w:t>
      </w:r>
      <w:r w:rsidR="000D05D7" w:rsidRPr="005A44CE">
        <w:rPr>
          <w:rFonts w:ascii="Times New Roman" w:hAnsi="Times New Roman"/>
          <w:color w:val="000000"/>
          <w:sz w:val="24"/>
        </w:rPr>
        <w:t xml:space="preserve">of </w:t>
      </w:r>
      <w:r w:rsidR="00090B1D" w:rsidRPr="005A44CE">
        <w:rPr>
          <w:rFonts w:ascii="Times New Roman" w:hAnsi="Times New Roman"/>
          <w:color w:val="000000"/>
          <w:sz w:val="24"/>
        </w:rPr>
        <w:t xml:space="preserve">women drawn from a </w:t>
      </w:r>
      <w:r w:rsidR="00236155" w:rsidRPr="005A44CE">
        <w:rPr>
          <w:rFonts w:ascii="Times New Roman" w:hAnsi="Times New Roman"/>
          <w:color w:val="000000"/>
          <w:sz w:val="24"/>
        </w:rPr>
        <w:t>nationally representative study</w:t>
      </w:r>
      <w:r w:rsidR="00090B1D" w:rsidRPr="005A44CE">
        <w:rPr>
          <w:rFonts w:ascii="Times New Roman" w:hAnsi="Times New Roman"/>
          <w:color w:val="000000"/>
          <w:sz w:val="24"/>
        </w:rPr>
        <w:t xml:space="preserve"> in Britain,</w:t>
      </w:r>
      <w:r w:rsidR="00236155" w:rsidRPr="005A44CE">
        <w:rPr>
          <w:rFonts w:ascii="Times New Roman" w:hAnsi="Times New Roman"/>
          <w:color w:val="000000"/>
          <w:sz w:val="24"/>
        </w:rPr>
        <w:t xml:space="preserve"> </w:t>
      </w:r>
      <w:r w:rsidR="001341A4" w:rsidRPr="005A44CE">
        <w:rPr>
          <w:rFonts w:ascii="Times New Roman" w:hAnsi="Times New Roman"/>
          <w:color w:val="000000"/>
          <w:sz w:val="24"/>
        </w:rPr>
        <w:t>87.4%</w:t>
      </w:r>
      <w:r w:rsidR="001E026F" w:rsidRPr="005A44CE">
        <w:rPr>
          <w:rFonts w:ascii="Times New Roman" w:hAnsi="Times New Roman"/>
          <w:color w:val="000000"/>
          <w:sz w:val="24"/>
        </w:rPr>
        <w:t xml:space="preserve"> of pregnancies</w:t>
      </w:r>
      <w:r w:rsidR="001341A4" w:rsidRPr="005A44CE">
        <w:rPr>
          <w:rFonts w:ascii="Times New Roman" w:hAnsi="Times New Roman"/>
          <w:color w:val="000000"/>
          <w:sz w:val="24"/>
        </w:rPr>
        <w:t xml:space="preserve"> among women aged 16-19 and </w:t>
      </w:r>
      <w:r w:rsidR="006B06C0" w:rsidRPr="005A44CE">
        <w:rPr>
          <w:rFonts w:ascii="Times New Roman" w:hAnsi="Times New Roman"/>
          <w:color w:val="000000"/>
          <w:sz w:val="24"/>
        </w:rPr>
        <w:t>60.1% of pregnancies among women aged 20-24</w:t>
      </w:r>
      <w:r w:rsidR="001E026F" w:rsidRPr="005A44CE">
        <w:rPr>
          <w:rFonts w:ascii="Times New Roman" w:hAnsi="Times New Roman"/>
          <w:color w:val="000000"/>
          <w:sz w:val="24"/>
        </w:rPr>
        <w:t xml:space="preserve"> were reported as being unplanned or ambivalent</w:t>
      </w:r>
      <w:r w:rsidR="00FE3E3E" w:rsidRPr="005A44CE">
        <w:rPr>
          <w:rFonts w:ascii="Times New Roman" w:hAnsi="Times New Roman"/>
          <w:color w:val="000000"/>
          <w:sz w:val="24"/>
        </w:rPr>
        <w:t>.</w:t>
      </w:r>
      <w:r w:rsidR="00903CF6">
        <w:rPr>
          <w:rFonts w:ascii="Times New Roman" w:hAnsi="Times New Roman"/>
          <w:color w:val="000000"/>
          <w:sz w:val="24"/>
          <w:vertAlign w:val="superscript"/>
        </w:rPr>
        <w:t>30</w:t>
      </w:r>
      <w:r w:rsidR="00FE3E3E" w:rsidRPr="005A44CE">
        <w:rPr>
          <w:rFonts w:ascii="Times New Roman" w:hAnsi="Times New Roman"/>
          <w:color w:val="000000"/>
          <w:sz w:val="24"/>
        </w:rPr>
        <w:t xml:space="preserve"> </w:t>
      </w:r>
      <w:r w:rsidR="00814287" w:rsidRPr="005A44CE">
        <w:rPr>
          <w:rFonts w:ascii="Times New Roman" w:hAnsi="Times New Roman"/>
          <w:color w:val="000000"/>
          <w:sz w:val="24"/>
        </w:rPr>
        <w:t>Women who are ambivalent about pregnancy are approximately 2.5 times less likely to use contraception than those who wish to avoid pregnancy.</w:t>
      </w:r>
      <w:r w:rsidR="001715B3" w:rsidRPr="001715B3">
        <w:rPr>
          <w:rFonts w:ascii="Times New Roman" w:hAnsi="Times New Roman"/>
          <w:color w:val="000000"/>
          <w:sz w:val="24"/>
          <w:vertAlign w:val="superscript"/>
        </w:rPr>
        <w:t>3</w:t>
      </w:r>
      <w:r w:rsidR="00903CF6">
        <w:rPr>
          <w:rFonts w:ascii="Times New Roman" w:hAnsi="Times New Roman"/>
          <w:color w:val="000000"/>
          <w:sz w:val="24"/>
          <w:vertAlign w:val="superscript"/>
        </w:rPr>
        <w:t>1</w:t>
      </w:r>
      <w:r w:rsidR="00814287" w:rsidRPr="005A44CE">
        <w:rPr>
          <w:rFonts w:ascii="Times New Roman" w:hAnsi="Times New Roman"/>
          <w:color w:val="000000"/>
          <w:sz w:val="24"/>
        </w:rPr>
        <w:t xml:space="preserve"> </w:t>
      </w:r>
      <w:r w:rsidR="00622E2F" w:rsidRPr="005A44CE">
        <w:rPr>
          <w:rFonts w:ascii="Times New Roman" w:hAnsi="Times New Roman"/>
          <w:color w:val="000000"/>
          <w:sz w:val="24"/>
        </w:rPr>
        <w:t xml:space="preserve">As such, </w:t>
      </w:r>
      <w:r w:rsidR="00CE3E26" w:rsidRPr="005A44CE">
        <w:rPr>
          <w:rFonts w:ascii="Times New Roman" w:hAnsi="Times New Roman"/>
          <w:color w:val="000000"/>
          <w:sz w:val="24"/>
        </w:rPr>
        <w:t xml:space="preserve">younger women, particularly those in relationships, may be ambivalent towards </w:t>
      </w:r>
      <w:r w:rsidR="00524B43" w:rsidRPr="005A44CE">
        <w:rPr>
          <w:rFonts w:ascii="Times New Roman" w:hAnsi="Times New Roman"/>
          <w:color w:val="000000"/>
          <w:sz w:val="24"/>
        </w:rPr>
        <w:t xml:space="preserve">pregnancy, less likely to use </w:t>
      </w:r>
      <w:r w:rsidR="00524B43" w:rsidRPr="00D91047">
        <w:rPr>
          <w:rFonts w:ascii="Times New Roman" w:hAnsi="Times New Roman"/>
          <w:color w:val="000000" w:themeColor="text1"/>
          <w:sz w:val="24"/>
        </w:rPr>
        <w:t>con</w:t>
      </w:r>
      <w:r w:rsidR="00D91047" w:rsidRPr="00D91047">
        <w:rPr>
          <w:rFonts w:ascii="Times New Roman" w:hAnsi="Times New Roman"/>
          <w:color w:val="000000" w:themeColor="text1"/>
          <w:sz w:val="24"/>
        </w:rPr>
        <w:t>tra</w:t>
      </w:r>
      <w:r w:rsidR="007358DE" w:rsidRPr="00D91047">
        <w:rPr>
          <w:rFonts w:ascii="Times New Roman" w:hAnsi="Times New Roman"/>
          <w:color w:val="000000" w:themeColor="text1"/>
          <w:sz w:val="24"/>
        </w:rPr>
        <w:t>ception</w:t>
      </w:r>
      <w:r w:rsidR="007358DE" w:rsidRPr="005A44CE">
        <w:rPr>
          <w:rFonts w:ascii="Times New Roman" w:hAnsi="Times New Roman"/>
          <w:color w:val="000000"/>
          <w:sz w:val="24"/>
        </w:rPr>
        <w:t>, and consequently more likely to access pregnancy testing.</w:t>
      </w:r>
      <w:r w:rsidR="00DF2FF2" w:rsidRPr="005A44CE">
        <w:rPr>
          <w:rFonts w:ascii="Times New Roman" w:hAnsi="Times New Roman"/>
          <w:color w:val="000000"/>
          <w:sz w:val="24"/>
        </w:rPr>
        <w:t xml:space="preserve"> </w:t>
      </w:r>
    </w:p>
    <w:p w14:paraId="24951C66" w14:textId="041D38A8" w:rsidR="004D3DA2" w:rsidRPr="005A44CE" w:rsidRDefault="005859FF" w:rsidP="00D73C68">
      <w:pPr>
        <w:spacing w:line="480" w:lineRule="auto"/>
        <w:rPr>
          <w:rFonts w:ascii="Times New Roman" w:hAnsi="Times New Roman"/>
          <w:b/>
          <w:bCs/>
          <w:color w:val="000000" w:themeColor="text1"/>
          <w:sz w:val="24"/>
        </w:rPr>
      </w:pPr>
      <w:r w:rsidRPr="005A44CE">
        <w:rPr>
          <w:rFonts w:ascii="Times New Roman" w:hAnsi="Times New Roman"/>
          <w:color w:val="000000" w:themeColor="text1"/>
          <w:sz w:val="24"/>
        </w:rPr>
        <w:lastRenderedPageBreak/>
        <w:tab/>
      </w:r>
      <w:r w:rsidR="00696629" w:rsidRPr="005A44CE">
        <w:rPr>
          <w:rFonts w:ascii="Times New Roman" w:hAnsi="Times New Roman"/>
          <w:color w:val="000000" w:themeColor="text1"/>
          <w:sz w:val="24"/>
        </w:rPr>
        <w:t>There are several</w:t>
      </w:r>
      <w:r w:rsidRPr="005A44CE">
        <w:rPr>
          <w:rFonts w:ascii="Times New Roman" w:hAnsi="Times New Roman"/>
          <w:color w:val="000000" w:themeColor="text1"/>
          <w:sz w:val="24"/>
        </w:rPr>
        <w:t xml:space="preserve"> limitations of this research. The </w:t>
      </w:r>
      <w:r w:rsidR="00A93B00" w:rsidRPr="005A44CE">
        <w:rPr>
          <w:rFonts w:ascii="Times New Roman" w:hAnsi="Times New Roman"/>
          <w:color w:val="000000" w:themeColor="text1"/>
          <w:sz w:val="24"/>
        </w:rPr>
        <w:t xml:space="preserve">first </w:t>
      </w:r>
      <w:r w:rsidR="00696629" w:rsidRPr="005A44CE">
        <w:rPr>
          <w:rFonts w:ascii="Times New Roman" w:hAnsi="Times New Roman"/>
          <w:color w:val="000000" w:themeColor="text1"/>
          <w:sz w:val="24"/>
        </w:rPr>
        <w:t>limitation</w:t>
      </w:r>
      <w:r w:rsidRPr="005A44CE">
        <w:rPr>
          <w:rFonts w:ascii="Times New Roman" w:hAnsi="Times New Roman"/>
          <w:color w:val="000000" w:themeColor="text1"/>
          <w:sz w:val="24"/>
        </w:rPr>
        <w:t xml:space="preserve"> </w:t>
      </w:r>
      <w:r w:rsidR="009564EF" w:rsidRPr="005A44CE">
        <w:rPr>
          <w:rFonts w:ascii="Times New Roman" w:hAnsi="Times New Roman"/>
          <w:color w:val="000000" w:themeColor="text1"/>
          <w:sz w:val="24"/>
        </w:rPr>
        <w:t xml:space="preserve">is the cross-sectional nature of the survey which </w:t>
      </w:r>
      <w:r w:rsidR="00EE1AFB" w:rsidRPr="005A44CE">
        <w:rPr>
          <w:rFonts w:ascii="Times New Roman" w:hAnsi="Times New Roman"/>
          <w:color w:val="000000" w:themeColor="text1"/>
          <w:sz w:val="24"/>
        </w:rPr>
        <w:t>allows for correlational analysis only. Further, participants were asked about their current relationship status and so it</w:t>
      </w:r>
      <w:r w:rsidR="005829A6" w:rsidRPr="005A44CE">
        <w:rPr>
          <w:rFonts w:ascii="Times New Roman" w:hAnsi="Times New Roman"/>
          <w:color w:val="000000" w:themeColor="text1"/>
          <w:sz w:val="24"/>
        </w:rPr>
        <w:t xml:space="preserve"> i</w:t>
      </w:r>
      <w:r w:rsidR="00EE1AFB" w:rsidRPr="005A44CE">
        <w:rPr>
          <w:rFonts w:ascii="Times New Roman" w:hAnsi="Times New Roman"/>
          <w:color w:val="000000" w:themeColor="text1"/>
          <w:sz w:val="24"/>
        </w:rPr>
        <w:t>s possible that they</w:t>
      </w:r>
      <w:r w:rsidR="006219C8" w:rsidRPr="005A44CE">
        <w:rPr>
          <w:rFonts w:ascii="Times New Roman" w:hAnsi="Times New Roman"/>
          <w:color w:val="000000" w:themeColor="text1"/>
          <w:sz w:val="24"/>
        </w:rPr>
        <w:t xml:space="preserve"> were reporting about</w:t>
      </w:r>
      <w:r w:rsidR="00EE1AFB" w:rsidRPr="005A44CE">
        <w:rPr>
          <w:rFonts w:ascii="Times New Roman" w:hAnsi="Times New Roman"/>
          <w:color w:val="000000" w:themeColor="text1"/>
          <w:sz w:val="24"/>
        </w:rPr>
        <w:t xml:space="preserve"> access</w:t>
      </w:r>
      <w:r w:rsidR="006219C8" w:rsidRPr="005A44CE">
        <w:rPr>
          <w:rFonts w:ascii="Times New Roman" w:hAnsi="Times New Roman"/>
          <w:color w:val="000000" w:themeColor="text1"/>
          <w:sz w:val="24"/>
        </w:rPr>
        <w:t>ing</w:t>
      </w:r>
      <w:r w:rsidR="00EE1AFB" w:rsidRPr="005A44CE">
        <w:rPr>
          <w:rFonts w:ascii="Times New Roman" w:hAnsi="Times New Roman"/>
          <w:color w:val="000000" w:themeColor="text1"/>
          <w:sz w:val="24"/>
        </w:rPr>
        <w:t xml:space="preserve"> sexual health services in the past when they had a different relationship status. </w:t>
      </w:r>
      <w:r w:rsidR="0035778F" w:rsidRPr="005A44CE">
        <w:rPr>
          <w:rFonts w:ascii="Times New Roman" w:hAnsi="Times New Roman"/>
          <w:color w:val="000000" w:themeColor="text1"/>
          <w:sz w:val="24"/>
        </w:rPr>
        <w:t xml:space="preserve">Given the young age of our sample and the low frequency in general of service use, we expect that this has not overly affected our </w:t>
      </w:r>
      <w:proofErr w:type="gramStart"/>
      <w:r w:rsidR="0035778F" w:rsidRPr="005A44CE">
        <w:rPr>
          <w:rFonts w:ascii="Times New Roman" w:hAnsi="Times New Roman"/>
          <w:color w:val="000000" w:themeColor="text1"/>
          <w:sz w:val="24"/>
        </w:rPr>
        <w:t>results</w:t>
      </w:r>
      <w:proofErr w:type="gramEnd"/>
      <w:r w:rsidR="0035778F" w:rsidRPr="005A44CE">
        <w:rPr>
          <w:rFonts w:ascii="Times New Roman" w:hAnsi="Times New Roman"/>
          <w:color w:val="000000" w:themeColor="text1"/>
          <w:sz w:val="24"/>
        </w:rPr>
        <w:t xml:space="preserve"> but future research </w:t>
      </w:r>
      <w:r w:rsidR="005829A6" w:rsidRPr="005A44CE">
        <w:rPr>
          <w:rFonts w:ascii="Times New Roman" w:hAnsi="Times New Roman"/>
          <w:color w:val="000000" w:themeColor="text1"/>
          <w:sz w:val="24"/>
        </w:rPr>
        <w:t>is</w:t>
      </w:r>
      <w:r w:rsidR="0035778F" w:rsidRPr="005A44CE">
        <w:rPr>
          <w:rFonts w:ascii="Times New Roman" w:hAnsi="Times New Roman"/>
          <w:color w:val="000000" w:themeColor="text1"/>
          <w:sz w:val="24"/>
        </w:rPr>
        <w:t xml:space="preserve"> needed to confirm our findings. </w:t>
      </w:r>
      <w:r w:rsidR="00B47F87">
        <w:rPr>
          <w:rFonts w:ascii="Times New Roman" w:hAnsi="Times New Roman"/>
          <w:color w:val="000000" w:themeColor="text1"/>
          <w:sz w:val="24"/>
        </w:rPr>
        <w:t xml:space="preserve">Second, being in a relationship is highly associated with ever having had sex </w:t>
      </w:r>
      <w:r w:rsidR="00B47F87">
        <w:rPr>
          <w:rFonts w:ascii="Times New Roman" w:hAnsi="Times New Roman"/>
          <w:color w:val="000000" w:themeColor="text1"/>
          <w:sz w:val="24"/>
        </w:rPr>
        <w:sym w:font="Symbol" w:char="F063"/>
      </w:r>
      <w:r w:rsidR="00B47F87" w:rsidRPr="00BD51F7">
        <w:rPr>
          <w:rFonts w:ascii="Times New Roman" w:hAnsi="Times New Roman"/>
          <w:color w:val="000000" w:themeColor="text1"/>
          <w:sz w:val="24"/>
          <w:vertAlign w:val="superscript"/>
        </w:rPr>
        <w:t>2</w:t>
      </w:r>
      <w:r w:rsidR="00B47F87">
        <w:rPr>
          <w:rFonts w:ascii="Times New Roman" w:hAnsi="Times New Roman"/>
          <w:color w:val="000000" w:themeColor="text1"/>
          <w:sz w:val="24"/>
        </w:rPr>
        <w:t xml:space="preserve">(1, 468) = 113.9, </w:t>
      </w:r>
      <w:r w:rsidR="00B47F87">
        <w:rPr>
          <w:rFonts w:ascii="Times New Roman" w:hAnsi="Times New Roman"/>
          <w:i/>
          <w:iCs/>
          <w:color w:val="000000" w:themeColor="text1"/>
          <w:sz w:val="24"/>
        </w:rPr>
        <w:t>p</w:t>
      </w:r>
      <w:r w:rsidR="00B47F87">
        <w:rPr>
          <w:rFonts w:ascii="Times New Roman" w:hAnsi="Times New Roman"/>
          <w:color w:val="000000" w:themeColor="text1"/>
          <w:sz w:val="24"/>
        </w:rPr>
        <w:t xml:space="preserve">&lt;.001. As such, </w:t>
      </w:r>
      <w:r w:rsidR="006B768A">
        <w:rPr>
          <w:rFonts w:ascii="Times New Roman" w:hAnsi="Times New Roman"/>
          <w:color w:val="000000" w:themeColor="text1"/>
          <w:sz w:val="24"/>
        </w:rPr>
        <w:t>ever having had sex may be a confounding factor however, due to issues of multicollinearity and sample</w:t>
      </w:r>
      <w:r w:rsidR="002E52B7">
        <w:rPr>
          <w:rFonts w:ascii="Times New Roman" w:hAnsi="Times New Roman"/>
          <w:color w:val="000000" w:themeColor="text1"/>
          <w:sz w:val="24"/>
        </w:rPr>
        <w:t xml:space="preserve"> cell</w:t>
      </w:r>
      <w:r w:rsidR="006B768A">
        <w:rPr>
          <w:rFonts w:ascii="Times New Roman" w:hAnsi="Times New Roman"/>
          <w:color w:val="000000" w:themeColor="text1"/>
          <w:sz w:val="24"/>
        </w:rPr>
        <w:t xml:space="preserve"> size, we were not able to explore this further in our analysis.</w:t>
      </w:r>
      <w:r w:rsidR="00B47F87">
        <w:rPr>
          <w:rFonts w:ascii="Times New Roman" w:hAnsi="Times New Roman"/>
          <w:color w:val="000000" w:themeColor="text1"/>
          <w:sz w:val="24"/>
        </w:rPr>
        <w:t xml:space="preserve"> </w:t>
      </w:r>
      <w:r w:rsidR="002E52B7">
        <w:rPr>
          <w:rFonts w:ascii="Times New Roman" w:hAnsi="Times New Roman"/>
          <w:color w:val="000000" w:themeColor="text1"/>
          <w:sz w:val="24"/>
        </w:rPr>
        <w:t>Third</w:t>
      </w:r>
      <w:r w:rsidR="00A93B00" w:rsidRPr="005A44CE">
        <w:rPr>
          <w:rFonts w:ascii="Times New Roman" w:hAnsi="Times New Roman"/>
          <w:color w:val="000000" w:themeColor="text1"/>
          <w:sz w:val="24"/>
        </w:rPr>
        <w:t xml:space="preserve">, </w:t>
      </w:r>
      <w:r w:rsidR="00F13315" w:rsidRPr="005A44CE">
        <w:rPr>
          <w:rFonts w:ascii="Times New Roman" w:hAnsi="Times New Roman"/>
          <w:color w:val="000000" w:themeColor="text1"/>
          <w:sz w:val="24"/>
        </w:rPr>
        <w:t>d</w:t>
      </w:r>
      <w:r w:rsidR="006A5605" w:rsidRPr="005A44CE">
        <w:rPr>
          <w:rFonts w:ascii="Times New Roman" w:hAnsi="Times New Roman"/>
          <w:color w:val="000000" w:themeColor="text1"/>
          <w:sz w:val="24"/>
        </w:rPr>
        <w:t>espite a large sample size</w:t>
      </w:r>
      <w:r w:rsidR="00E203F4" w:rsidRPr="005A44CE">
        <w:rPr>
          <w:rFonts w:ascii="Times New Roman" w:hAnsi="Times New Roman"/>
          <w:color w:val="000000" w:themeColor="text1"/>
          <w:sz w:val="24"/>
        </w:rPr>
        <w:t xml:space="preserve"> and efforts to recruit a </w:t>
      </w:r>
      <w:r w:rsidR="00D05A46" w:rsidRPr="005A44CE">
        <w:rPr>
          <w:rFonts w:ascii="Times New Roman" w:hAnsi="Times New Roman"/>
          <w:color w:val="000000" w:themeColor="text1"/>
          <w:sz w:val="24"/>
        </w:rPr>
        <w:t xml:space="preserve">broad </w:t>
      </w:r>
      <w:r w:rsidR="00CB7FB1" w:rsidRPr="005A44CE">
        <w:rPr>
          <w:rFonts w:ascii="Times New Roman" w:hAnsi="Times New Roman"/>
          <w:color w:val="000000" w:themeColor="text1"/>
          <w:sz w:val="24"/>
        </w:rPr>
        <w:t>range of participants</w:t>
      </w:r>
      <w:r w:rsidR="006A5605" w:rsidRPr="005A44CE">
        <w:rPr>
          <w:rFonts w:ascii="Times New Roman" w:hAnsi="Times New Roman"/>
          <w:color w:val="000000" w:themeColor="text1"/>
          <w:sz w:val="24"/>
        </w:rPr>
        <w:t>, 8</w:t>
      </w:r>
      <w:r w:rsidR="00D05A46" w:rsidRPr="005A44CE">
        <w:rPr>
          <w:rFonts w:ascii="Times New Roman" w:hAnsi="Times New Roman"/>
          <w:color w:val="000000" w:themeColor="text1"/>
          <w:sz w:val="24"/>
        </w:rPr>
        <w:t>3</w:t>
      </w:r>
      <w:r w:rsidR="006A5605" w:rsidRPr="005A44CE">
        <w:rPr>
          <w:rFonts w:ascii="Times New Roman" w:hAnsi="Times New Roman"/>
          <w:color w:val="000000" w:themeColor="text1"/>
          <w:sz w:val="24"/>
        </w:rPr>
        <w:t>% of respondents were female</w:t>
      </w:r>
      <w:r w:rsidR="00672CFF" w:rsidRPr="005A44CE">
        <w:rPr>
          <w:rFonts w:ascii="Times New Roman" w:hAnsi="Times New Roman"/>
          <w:color w:val="000000" w:themeColor="text1"/>
          <w:sz w:val="24"/>
        </w:rPr>
        <w:t>, reflecting the use of the undergraduate subject pool which draws from a heavily female-skewed student population</w:t>
      </w:r>
      <w:r w:rsidR="006A5605" w:rsidRPr="005A44CE">
        <w:rPr>
          <w:rFonts w:ascii="Times New Roman" w:hAnsi="Times New Roman"/>
          <w:color w:val="000000" w:themeColor="text1"/>
          <w:sz w:val="24"/>
        </w:rPr>
        <w:t>.</w:t>
      </w:r>
      <w:r w:rsidR="00F13315" w:rsidRPr="005A44CE">
        <w:rPr>
          <w:rFonts w:ascii="Times New Roman" w:hAnsi="Times New Roman"/>
          <w:color w:val="000000" w:themeColor="text1"/>
          <w:sz w:val="24"/>
        </w:rPr>
        <w:t xml:space="preserve"> This reduces the generalisability of the sample</w:t>
      </w:r>
      <w:r w:rsidR="00263043" w:rsidRPr="005A44CE">
        <w:rPr>
          <w:rFonts w:ascii="Times New Roman" w:hAnsi="Times New Roman"/>
          <w:color w:val="000000" w:themeColor="text1"/>
          <w:sz w:val="24"/>
        </w:rPr>
        <w:t xml:space="preserve"> and may have introduced </w:t>
      </w:r>
      <w:r w:rsidR="006A5605" w:rsidRPr="005A44CE">
        <w:rPr>
          <w:rFonts w:ascii="Times New Roman" w:hAnsi="Times New Roman"/>
          <w:color w:val="000000" w:themeColor="text1"/>
          <w:sz w:val="24"/>
        </w:rPr>
        <w:t xml:space="preserve">bias </w:t>
      </w:r>
      <w:r w:rsidR="00D006CA" w:rsidRPr="005A44CE">
        <w:rPr>
          <w:rFonts w:ascii="Times New Roman" w:hAnsi="Times New Roman"/>
          <w:color w:val="000000" w:themeColor="text1"/>
          <w:sz w:val="24"/>
        </w:rPr>
        <w:t>particularly for accessing</w:t>
      </w:r>
      <w:r w:rsidR="006A5605" w:rsidRPr="005A44CE">
        <w:rPr>
          <w:rFonts w:ascii="Times New Roman" w:hAnsi="Times New Roman"/>
          <w:color w:val="000000" w:themeColor="text1"/>
          <w:sz w:val="24"/>
        </w:rPr>
        <w:t xml:space="preserve"> free condom</w:t>
      </w:r>
      <w:r w:rsidR="00D006CA" w:rsidRPr="005A44CE">
        <w:rPr>
          <w:rFonts w:ascii="Times New Roman" w:hAnsi="Times New Roman"/>
          <w:color w:val="000000" w:themeColor="text1"/>
          <w:sz w:val="24"/>
        </w:rPr>
        <w:t>s</w:t>
      </w:r>
      <w:r w:rsidR="005829A6" w:rsidRPr="005A44CE">
        <w:rPr>
          <w:rFonts w:ascii="Times New Roman" w:hAnsi="Times New Roman"/>
          <w:color w:val="000000" w:themeColor="text1"/>
          <w:sz w:val="24"/>
        </w:rPr>
        <w:t xml:space="preserve">, which are more likely to be </w:t>
      </w:r>
      <w:r w:rsidR="00D006CA" w:rsidRPr="005A44CE">
        <w:rPr>
          <w:rFonts w:ascii="Times New Roman" w:hAnsi="Times New Roman"/>
          <w:color w:val="000000" w:themeColor="text1"/>
          <w:sz w:val="24"/>
        </w:rPr>
        <w:t xml:space="preserve">accessed </w:t>
      </w:r>
      <w:r w:rsidR="005829A6" w:rsidRPr="005A44CE">
        <w:rPr>
          <w:rFonts w:ascii="Times New Roman" w:hAnsi="Times New Roman"/>
          <w:color w:val="000000" w:themeColor="text1"/>
          <w:sz w:val="24"/>
        </w:rPr>
        <w:t>by men</w:t>
      </w:r>
      <w:r w:rsidR="006A5605" w:rsidRPr="005A44CE">
        <w:rPr>
          <w:rFonts w:ascii="Times New Roman" w:hAnsi="Times New Roman"/>
          <w:color w:val="000000" w:themeColor="text1"/>
          <w:sz w:val="24"/>
        </w:rPr>
        <w:t xml:space="preserve">. </w:t>
      </w:r>
      <w:r w:rsidR="00243995" w:rsidRPr="005A44CE">
        <w:rPr>
          <w:rFonts w:ascii="Times New Roman" w:hAnsi="Times New Roman"/>
          <w:color w:val="000000" w:themeColor="text1"/>
          <w:sz w:val="24"/>
        </w:rPr>
        <w:t>F</w:t>
      </w:r>
      <w:r w:rsidR="004D3DA2" w:rsidRPr="005A44CE">
        <w:rPr>
          <w:rFonts w:ascii="Times New Roman" w:hAnsi="Times New Roman"/>
          <w:color w:val="000000" w:themeColor="text1"/>
          <w:sz w:val="24"/>
        </w:rPr>
        <w:t>inal</w:t>
      </w:r>
      <w:r w:rsidR="00243995" w:rsidRPr="005A44CE">
        <w:rPr>
          <w:rFonts w:ascii="Times New Roman" w:hAnsi="Times New Roman"/>
          <w:color w:val="000000" w:themeColor="text1"/>
          <w:sz w:val="24"/>
        </w:rPr>
        <w:t>ly</w:t>
      </w:r>
      <w:r w:rsidR="00746E63" w:rsidRPr="005A44CE">
        <w:rPr>
          <w:rFonts w:ascii="Times New Roman" w:hAnsi="Times New Roman"/>
          <w:color w:val="000000" w:themeColor="text1"/>
          <w:sz w:val="24"/>
        </w:rPr>
        <w:t>, data were drawn from a larger s</w:t>
      </w:r>
      <w:r w:rsidR="00D006CA" w:rsidRPr="005A44CE">
        <w:rPr>
          <w:rFonts w:ascii="Times New Roman" w:hAnsi="Times New Roman"/>
          <w:color w:val="000000" w:themeColor="text1"/>
          <w:sz w:val="24"/>
        </w:rPr>
        <w:t>tudy</w:t>
      </w:r>
      <w:r w:rsidR="00746E63" w:rsidRPr="005A44CE">
        <w:rPr>
          <w:rFonts w:ascii="Times New Roman" w:hAnsi="Times New Roman"/>
          <w:color w:val="000000" w:themeColor="text1"/>
          <w:sz w:val="24"/>
        </w:rPr>
        <w:t xml:space="preserve"> exploring sexual health service use among young people in general. As such, we </w:t>
      </w:r>
      <w:r w:rsidR="000634BC">
        <w:rPr>
          <w:rFonts w:ascii="Times New Roman" w:hAnsi="Times New Roman"/>
          <w:color w:val="000000" w:themeColor="text1"/>
          <w:sz w:val="24"/>
        </w:rPr>
        <w:t>do not have data for</w:t>
      </w:r>
      <w:r w:rsidR="00D006CA" w:rsidRPr="005A44CE">
        <w:rPr>
          <w:rFonts w:ascii="Times New Roman" w:hAnsi="Times New Roman"/>
          <w:color w:val="000000" w:themeColor="text1"/>
          <w:sz w:val="24"/>
        </w:rPr>
        <w:t xml:space="preserve"> additional variables which may be relevant, such as relationship satisfaction </w:t>
      </w:r>
      <w:r w:rsidR="00D73C68" w:rsidRPr="005A44CE">
        <w:rPr>
          <w:rFonts w:ascii="Times New Roman" w:hAnsi="Times New Roman"/>
          <w:color w:val="000000" w:themeColor="text1"/>
          <w:sz w:val="24"/>
        </w:rPr>
        <w:t xml:space="preserve">and </w:t>
      </w:r>
      <w:r w:rsidR="00D006CA" w:rsidRPr="005A44CE">
        <w:rPr>
          <w:rFonts w:ascii="Times New Roman" w:hAnsi="Times New Roman"/>
          <w:color w:val="000000" w:themeColor="text1"/>
          <w:sz w:val="24"/>
        </w:rPr>
        <w:t>duration.</w:t>
      </w:r>
      <w:r w:rsidR="00746E63" w:rsidRPr="005A44CE">
        <w:rPr>
          <w:rFonts w:ascii="Times New Roman" w:hAnsi="Times New Roman"/>
          <w:color w:val="000000" w:themeColor="text1"/>
          <w:sz w:val="24"/>
        </w:rPr>
        <w:t xml:space="preserve"> </w:t>
      </w:r>
      <w:r w:rsidR="00D006CA" w:rsidRPr="005A44CE">
        <w:rPr>
          <w:rFonts w:ascii="Times New Roman" w:hAnsi="Times New Roman"/>
          <w:color w:val="000000" w:themeColor="text1"/>
          <w:sz w:val="24"/>
        </w:rPr>
        <w:t>These could be considered in future analyses.</w:t>
      </w:r>
      <w:r w:rsidR="004D3DA2" w:rsidRPr="005A44CE">
        <w:rPr>
          <w:rFonts w:ascii="Times New Roman" w:hAnsi="Times New Roman"/>
          <w:color w:val="000000" w:themeColor="text1"/>
          <w:sz w:val="24"/>
        </w:rPr>
        <w:t xml:space="preserve"> </w:t>
      </w:r>
    </w:p>
    <w:p w14:paraId="31105801" w14:textId="6160192F" w:rsidR="00DD237C" w:rsidRPr="009A5FC3" w:rsidRDefault="004D3DA2" w:rsidP="00706034">
      <w:pPr>
        <w:spacing w:line="480" w:lineRule="auto"/>
        <w:rPr>
          <w:rFonts w:ascii="Times New Roman" w:hAnsi="Times New Roman"/>
          <w:color w:val="000000" w:themeColor="text1"/>
          <w:sz w:val="24"/>
          <w:lang w:val="en-US"/>
        </w:rPr>
      </w:pPr>
      <w:r w:rsidRPr="005A44CE">
        <w:rPr>
          <w:rFonts w:ascii="Times New Roman" w:hAnsi="Times New Roman"/>
          <w:color w:val="000000" w:themeColor="text1"/>
        </w:rPr>
        <w:tab/>
      </w:r>
      <w:r w:rsidR="00706034" w:rsidRPr="009A5FC3">
        <w:rPr>
          <w:rFonts w:ascii="Times New Roman" w:hAnsi="Times New Roman"/>
          <w:color w:val="000000" w:themeColor="text1"/>
          <w:sz w:val="24"/>
          <w:lang w:val="en-US"/>
        </w:rPr>
        <w:t xml:space="preserve">In our analyses, </w:t>
      </w:r>
      <w:r w:rsidR="000634BC">
        <w:rPr>
          <w:rFonts w:ascii="Times New Roman" w:hAnsi="Times New Roman"/>
          <w:color w:val="000000" w:themeColor="text1"/>
          <w:sz w:val="24"/>
          <w:lang w:val="en-US"/>
        </w:rPr>
        <w:t xml:space="preserve">and contrary to our hypothesis, </w:t>
      </w:r>
      <w:r w:rsidR="00706034" w:rsidRPr="009A5FC3">
        <w:rPr>
          <w:rFonts w:ascii="Times New Roman" w:hAnsi="Times New Roman"/>
          <w:color w:val="000000" w:themeColor="text1"/>
          <w:sz w:val="24"/>
          <w:lang w:val="en-US"/>
        </w:rPr>
        <w:t xml:space="preserve">people in relationships were more likely to access free condoms from </w:t>
      </w:r>
      <w:r w:rsidRPr="009A5FC3">
        <w:rPr>
          <w:rFonts w:ascii="Times New Roman" w:hAnsi="Times New Roman"/>
          <w:color w:val="000000" w:themeColor="text1"/>
          <w:sz w:val="24"/>
          <w:lang w:val="en-US"/>
        </w:rPr>
        <w:t>sexual health services</w:t>
      </w:r>
      <w:r w:rsidR="00D91047">
        <w:rPr>
          <w:rFonts w:ascii="Times New Roman" w:hAnsi="Times New Roman"/>
          <w:color w:val="000000" w:themeColor="text1"/>
          <w:sz w:val="24"/>
          <w:lang w:val="en-US"/>
        </w:rPr>
        <w:t xml:space="preserve"> than those who were single</w:t>
      </w:r>
      <w:r w:rsidR="00706034" w:rsidRPr="009A5FC3">
        <w:rPr>
          <w:rFonts w:ascii="Times New Roman" w:hAnsi="Times New Roman"/>
          <w:color w:val="000000" w:themeColor="text1"/>
          <w:sz w:val="24"/>
          <w:lang w:val="en-US"/>
        </w:rPr>
        <w:t xml:space="preserve">. Additionally, among women, those in relationships were more likely to have accessed sexual health services to start </w:t>
      </w:r>
      <w:r w:rsidRPr="009A5FC3">
        <w:rPr>
          <w:rFonts w:ascii="Times New Roman" w:hAnsi="Times New Roman"/>
          <w:color w:val="000000" w:themeColor="text1"/>
          <w:sz w:val="24"/>
          <w:lang w:val="en-US"/>
        </w:rPr>
        <w:t xml:space="preserve">the pill and </w:t>
      </w:r>
      <w:r w:rsidR="00706034" w:rsidRPr="009A5FC3">
        <w:rPr>
          <w:rFonts w:ascii="Times New Roman" w:hAnsi="Times New Roman"/>
          <w:color w:val="000000" w:themeColor="text1"/>
          <w:sz w:val="24"/>
          <w:lang w:val="en-US"/>
        </w:rPr>
        <w:t xml:space="preserve">for </w:t>
      </w:r>
      <w:r w:rsidRPr="009A5FC3">
        <w:rPr>
          <w:rFonts w:ascii="Times New Roman" w:hAnsi="Times New Roman"/>
          <w:color w:val="000000" w:themeColor="text1"/>
          <w:sz w:val="24"/>
          <w:lang w:val="en-US"/>
        </w:rPr>
        <w:t xml:space="preserve">pregnancy testing. </w:t>
      </w:r>
      <w:r w:rsidR="00706034" w:rsidRPr="009A5FC3">
        <w:rPr>
          <w:rFonts w:ascii="Times New Roman" w:hAnsi="Times New Roman"/>
          <w:color w:val="000000" w:themeColor="text1"/>
          <w:sz w:val="24"/>
          <w:lang w:val="en-US"/>
        </w:rPr>
        <w:t>However, overall service engagement was low and</w:t>
      </w:r>
      <w:r w:rsidR="0088767A" w:rsidRPr="009A5FC3">
        <w:rPr>
          <w:rFonts w:ascii="Times New Roman" w:hAnsi="Times New Roman"/>
          <w:color w:val="000000" w:themeColor="text1"/>
          <w:sz w:val="24"/>
          <w:lang w:val="en-US"/>
        </w:rPr>
        <w:t xml:space="preserve"> prevalence of STI screening was suboptimal.</w:t>
      </w:r>
      <w:r w:rsidR="00757DD0" w:rsidRPr="009A5FC3">
        <w:rPr>
          <w:rFonts w:ascii="Times New Roman" w:hAnsi="Times New Roman"/>
          <w:color w:val="000000" w:themeColor="text1"/>
          <w:sz w:val="24"/>
          <w:lang w:val="en-US"/>
        </w:rPr>
        <w:t xml:space="preserve"> </w:t>
      </w:r>
      <w:r w:rsidR="00AD62E8" w:rsidRPr="009A5FC3">
        <w:rPr>
          <w:rFonts w:ascii="Times New Roman" w:hAnsi="Times New Roman"/>
          <w:color w:val="000000" w:themeColor="text1"/>
          <w:sz w:val="24"/>
          <w:lang w:val="en-US"/>
        </w:rPr>
        <w:t>Older a</w:t>
      </w:r>
      <w:r w:rsidR="00757DD0" w:rsidRPr="009A5FC3">
        <w:rPr>
          <w:rFonts w:ascii="Times New Roman" w:hAnsi="Times New Roman"/>
          <w:color w:val="000000" w:themeColor="text1"/>
          <w:sz w:val="24"/>
          <w:lang w:val="en-US"/>
        </w:rPr>
        <w:t xml:space="preserve">dolescents and young adults are </w:t>
      </w:r>
      <w:r w:rsidR="008E776A" w:rsidRPr="009A5FC3">
        <w:rPr>
          <w:rFonts w:ascii="Times New Roman" w:hAnsi="Times New Roman"/>
          <w:color w:val="000000" w:themeColor="text1"/>
          <w:sz w:val="24"/>
          <w:lang w:val="en-US"/>
        </w:rPr>
        <w:t xml:space="preserve">a key demographic for sexual health engagement due to the high burden of STIs within the population </w:t>
      </w:r>
      <w:r w:rsidR="008E776A" w:rsidRPr="009A5FC3">
        <w:rPr>
          <w:rFonts w:ascii="Times New Roman" w:hAnsi="Times New Roman"/>
          <w:color w:val="000000" w:themeColor="text1"/>
          <w:sz w:val="24"/>
          <w:lang w:val="en-US"/>
        </w:rPr>
        <w:lastRenderedPageBreak/>
        <w:t xml:space="preserve">and </w:t>
      </w:r>
      <w:r w:rsidR="00AD62E8" w:rsidRPr="009A5FC3">
        <w:rPr>
          <w:rFonts w:ascii="Times New Roman" w:hAnsi="Times New Roman"/>
          <w:color w:val="000000" w:themeColor="text1"/>
          <w:sz w:val="24"/>
          <w:lang w:val="en-US"/>
        </w:rPr>
        <w:t>key developmental changes in sexual behaviour and relationship formation. Health care providers and relationship and sexual education providers should encourage</w:t>
      </w:r>
      <w:r w:rsidR="00E41B24" w:rsidRPr="009A5FC3">
        <w:rPr>
          <w:rFonts w:ascii="Times New Roman" w:hAnsi="Times New Roman"/>
          <w:color w:val="000000" w:themeColor="text1"/>
          <w:sz w:val="24"/>
          <w:lang w:val="en-US"/>
        </w:rPr>
        <w:t xml:space="preserve"> all young people to</w:t>
      </w:r>
      <w:r w:rsidR="00AD62E8" w:rsidRPr="009A5FC3">
        <w:rPr>
          <w:rFonts w:ascii="Times New Roman" w:hAnsi="Times New Roman"/>
          <w:color w:val="000000" w:themeColor="text1"/>
          <w:sz w:val="24"/>
          <w:lang w:val="en-US"/>
        </w:rPr>
        <w:t xml:space="preserve"> engage with sexual health services</w:t>
      </w:r>
      <w:r w:rsidR="00E41B24" w:rsidRPr="009A5FC3">
        <w:rPr>
          <w:rFonts w:ascii="Times New Roman" w:hAnsi="Times New Roman"/>
          <w:color w:val="000000" w:themeColor="text1"/>
          <w:sz w:val="24"/>
          <w:lang w:val="en-US"/>
        </w:rPr>
        <w:t xml:space="preserve">, while also </w:t>
      </w:r>
      <w:proofErr w:type="spellStart"/>
      <w:r w:rsidR="00E41B24" w:rsidRPr="009A5FC3">
        <w:rPr>
          <w:rFonts w:ascii="Times New Roman" w:hAnsi="Times New Roman"/>
          <w:color w:val="000000" w:themeColor="text1"/>
          <w:sz w:val="24"/>
          <w:lang w:val="en-US"/>
        </w:rPr>
        <w:t>recognising</w:t>
      </w:r>
      <w:proofErr w:type="spellEnd"/>
      <w:r w:rsidR="00E41B24" w:rsidRPr="009A5FC3">
        <w:rPr>
          <w:rFonts w:ascii="Times New Roman" w:hAnsi="Times New Roman"/>
          <w:color w:val="000000" w:themeColor="text1"/>
          <w:sz w:val="24"/>
          <w:lang w:val="en-US"/>
        </w:rPr>
        <w:t xml:space="preserve"> that sexual health needs are likely to vary depending on relationship status. </w:t>
      </w:r>
    </w:p>
    <w:p w14:paraId="223A3B56" w14:textId="4F511193" w:rsidR="00E41B24" w:rsidRDefault="00E41B24" w:rsidP="00706034">
      <w:pPr>
        <w:spacing w:line="480" w:lineRule="auto"/>
        <w:rPr>
          <w:rFonts w:ascii="Times New Roman" w:hAnsi="Times New Roman"/>
          <w:b/>
          <w:bCs/>
          <w:color w:val="000000" w:themeColor="text1"/>
          <w:sz w:val="24"/>
        </w:rPr>
      </w:pPr>
    </w:p>
    <w:p w14:paraId="4E0E7DD3" w14:textId="159017B0" w:rsidR="00193F7F" w:rsidRPr="002A38FE" w:rsidRDefault="00193F7F" w:rsidP="007A7AA2">
      <w:pPr>
        <w:rPr>
          <w:rFonts w:ascii="Times New Roman" w:hAnsi="Times New Roman"/>
          <w:color w:val="000000" w:themeColor="text1"/>
          <w:sz w:val="24"/>
        </w:rPr>
      </w:pPr>
    </w:p>
    <w:p w14:paraId="65990CD8" w14:textId="5A5F69EA" w:rsidR="006D6A33" w:rsidRPr="005A44CE" w:rsidRDefault="006D6A33" w:rsidP="00AB1FB8">
      <w:pPr>
        <w:pStyle w:val="BodyText3"/>
        <w:ind w:right="0"/>
        <w:jc w:val="center"/>
        <w:rPr>
          <w:rFonts w:ascii="Times New Roman" w:hAnsi="Times New Roman"/>
          <w:b/>
          <w:bCs/>
          <w:color w:val="FF9900"/>
          <w:szCs w:val="24"/>
        </w:rPr>
      </w:pPr>
      <w:bookmarkStart w:id="1" w:name="_Hlk54293695"/>
      <w:r w:rsidRPr="005A44CE">
        <w:rPr>
          <w:rFonts w:ascii="Times New Roman" w:hAnsi="Times New Roman"/>
          <w:b/>
          <w:bCs/>
          <w:szCs w:val="24"/>
        </w:rPr>
        <w:t>References</w:t>
      </w:r>
    </w:p>
    <w:p w14:paraId="6AD38D0F" w14:textId="7F98E94D" w:rsidR="007A7AA2" w:rsidRPr="00FA2B24" w:rsidRDefault="007A7AA2" w:rsidP="00E554C2">
      <w:pPr>
        <w:pStyle w:val="NormalWeb"/>
        <w:numPr>
          <w:ilvl w:val="0"/>
          <w:numId w:val="13"/>
        </w:numPr>
        <w:spacing w:before="0" w:beforeAutospacing="0" w:after="0" w:afterAutospacing="0" w:line="480" w:lineRule="auto"/>
        <w:rPr>
          <w:color w:val="000000"/>
        </w:rPr>
      </w:pPr>
      <w:bookmarkStart w:id="2" w:name="_Hlk54795120"/>
      <w:r w:rsidRPr="00FA2B24">
        <w:rPr>
          <w:color w:val="000000"/>
        </w:rPr>
        <w:t xml:space="preserve">World Health Organization. </w:t>
      </w:r>
      <w:r w:rsidRPr="00FA2B24">
        <w:rPr>
          <w:i/>
          <w:iCs/>
          <w:color w:val="000000"/>
        </w:rPr>
        <w:t>Sexual health.</w:t>
      </w:r>
      <w:r w:rsidR="005919ED" w:rsidRPr="00FA2B24">
        <w:rPr>
          <w:i/>
          <w:iCs/>
          <w:color w:val="000000"/>
        </w:rPr>
        <w:t xml:space="preserve"> </w:t>
      </w:r>
      <w:r w:rsidR="005919ED" w:rsidRPr="00FA2B24">
        <w:rPr>
          <w:color w:val="000000"/>
        </w:rPr>
        <w:t>World Health Organization</w:t>
      </w:r>
      <w:r w:rsidR="00CF1A8C" w:rsidRPr="00FA2B24">
        <w:rPr>
          <w:color w:val="000000"/>
        </w:rPr>
        <w:t xml:space="preserve">; 2006 </w:t>
      </w:r>
      <w:hyperlink r:id="rId9" w:anchor="tab=tab_2" w:history="1">
        <w:r w:rsidR="00CF1A8C" w:rsidRPr="00FA2B24">
          <w:rPr>
            <w:rStyle w:val="Hyperlink"/>
          </w:rPr>
          <w:t>https://www.who.int/health-topics/sexual-health#tab=tab_2</w:t>
        </w:r>
      </w:hyperlink>
    </w:p>
    <w:p w14:paraId="030646DD" w14:textId="3A9F8D34" w:rsidR="00E554C2" w:rsidRPr="00FA2B24" w:rsidRDefault="00E554C2" w:rsidP="005919ED">
      <w:pPr>
        <w:pStyle w:val="NormalWeb"/>
        <w:numPr>
          <w:ilvl w:val="0"/>
          <w:numId w:val="13"/>
        </w:numPr>
        <w:spacing w:before="0" w:beforeAutospacing="0" w:after="0" w:afterAutospacing="0" w:line="480" w:lineRule="auto"/>
        <w:rPr>
          <w:color w:val="000000"/>
        </w:rPr>
      </w:pPr>
      <w:r w:rsidRPr="00FA2B24">
        <w:rPr>
          <w:color w:val="222222"/>
          <w:shd w:val="clear" w:color="auto" w:fill="FFFFFF"/>
        </w:rPr>
        <w:t xml:space="preserve">Ford JV, Corona Vargas E, </w:t>
      </w:r>
      <w:proofErr w:type="spellStart"/>
      <w:r w:rsidRPr="00FA2B24">
        <w:rPr>
          <w:color w:val="222222"/>
          <w:shd w:val="clear" w:color="auto" w:fill="FFFFFF"/>
        </w:rPr>
        <w:t>Finotelli</w:t>
      </w:r>
      <w:proofErr w:type="spellEnd"/>
      <w:r w:rsidRPr="00FA2B24">
        <w:rPr>
          <w:color w:val="222222"/>
          <w:shd w:val="clear" w:color="auto" w:fill="FFFFFF"/>
        </w:rPr>
        <w:t xml:space="preserve"> Jr I, Fortenberry JD, </w:t>
      </w:r>
      <w:proofErr w:type="spellStart"/>
      <w:r w:rsidRPr="00FA2B24">
        <w:rPr>
          <w:color w:val="222222"/>
          <w:shd w:val="clear" w:color="auto" w:fill="FFFFFF"/>
        </w:rPr>
        <w:t>Kismödi</w:t>
      </w:r>
      <w:proofErr w:type="spellEnd"/>
      <w:r w:rsidRPr="00FA2B24">
        <w:rPr>
          <w:color w:val="222222"/>
          <w:shd w:val="clear" w:color="auto" w:fill="FFFFFF"/>
        </w:rPr>
        <w:t xml:space="preserve"> E, Philpott A, </w:t>
      </w:r>
      <w:r w:rsidR="005919ED" w:rsidRPr="00FA2B24">
        <w:rPr>
          <w:color w:val="222222"/>
          <w:shd w:val="clear" w:color="auto" w:fill="FFFFFF"/>
        </w:rPr>
        <w:t>et al</w:t>
      </w:r>
      <w:r w:rsidRPr="00FA2B24">
        <w:rPr>
          <w:color w:val="222222"/>
          <w:shd w:val="clear" w:color="auto" w:fill="FFFFFF"/>
        </w:rPr>
        <w:t xml:space="preserve">. Why pleasure matters: Its global relevance for sexual health, sexual rights and wellbeing. </w:t>
      </w:r>
      <w:r w:rsidRPr="00FA2B24">
        <w:rPr>
          <w:i/>
          <w:iCs/>
          <w:color w:val="222222"/>
          <w:shd w:val="clear" w:color="auto" w:fill="FFFFFF"/>
        </w:rPr>
        <w:t>Int</w:t>
      </w:r>
      <w:r w:rsidR="00DC4EF6" w:rsidRPr="00FA2B24">
        <w:rPr>
          <w:i/>
          <w:iCs/>
          <w:color w:val="222222"/>
          <w:shd w:val="clear" w:color="auto" w:fill="FFFFFF"/>
        </w:rPr>
        <w:t xml:space="preserve"> </w:t>
      </w:r>
      <w:r w:rsidRPr="00FA2B24">
        <w:rPr>
          <w:i/>
          <w:iCs/>
          <w:color w:val="222222"/>
          <w:shd w:val="clear" w:color="auto" w:fill="FFFFFF"/>
        </w:rPr>
        <w:t>J Sex Health</w:t>
      </w:r>
      <w:r w:rsidRPr="00FA2B24">
        <w:rPr>
          <w:color w:val="222222"/>
          <w:shd w:val="clear" w:color="auto" w:fill="FFFFFF"/>
        </w:rPr>
        <w:t xml:space="preserve"> 2019;</w:t>
      </w:r>
      <w:r w:rsidR="00F7546E">
        <w:rPr>
          <w:color w:val="222222"/>
          <w:shd w:val="clear" w:color="auto" w:fill="FFFFFF"/>
        </w:rPr>
        <w:t xml:space="preserve"> </w:t>
      </w:r>
      <w:r w:rsidRPr="00FA2B24">
        <w:rPr>
          <w:color w:val="222222"/>
          <w:shd w:val="clear" w:color="auto" w:fill="FFFFFF"/>
        </w:rPr>
        <w:t>31(3):</w:t>
      </w:r>
      <w:r w:rsidR="00F7546E">
        <w:rPr>
          <w:color w:val="222222"/>
          <w:shd w:val="clear" w:color="auto" w:fill="FFFFFF"/>
        </w:rPr>
        <w:t xml:space="preserve"> </w:t>
      </w:r>
      <w:r w:rsidRPr="00FA2B24">
        <w:rPr>
          <w:color w:val="222222"/>
          <w:shd w:val="clear" w:color="auto" w:fill="FFFFFF"/>
        </w:rPr>
        <w:t>217-30.</w:t>
      </w:r>
      <w:r w:rsidR="004F781F">
        <w:rPr>
          <w:color w:val="222222"/>
          <w:shd w:val="clear" w:color="auto" w:fill="FFFFFF"/>
        </w:rPr>
        <w:t xml:space="preserve"> </w:t>
      </w:r>
      <w:hyperlink r:id="rId10" w:tgtFrame="_blank" w:history="1">
        <w:r w:rsidR="004F781F">
          <w:rPr>
            <w:rStyle w:val="normaltextrun"/>
            <w:color w:val="000000"/>
          </w:rPr>
          <w:t>doi:10.1080/19317611.2019.1654587</w:t>
        </w:r>
      </w:hyperlink>
    </w:p>
    <w:p w14:paraId="1369B909" w14:textId="443A0AB5" w:rsidR="00E554C2" w:rsidRPr="00FA2B24" w:rsidRDefault="00CF1A8C" w:rsidP="00E554C2">
      <w:pPr>
        <w:pStyle w:val="NormalWeb"/>
        <w:numPr>
          <w:ilvl w:val="0"/>
          <w:numId w:val="13"/>
        </w:numPr>
        <w:spacing w:before="0" w:beforeAutospacing="0" w:after="0" w:afterAutospacing="0" w:line="480" w:lineRule="auto"/>
        <w:rPr>
          <w:color w:val="000000"/>
        </w:rPr>
      </w:pPr>
      <w:proofErr w:type="spellStart"/>
      <w:r w:rsidRPr="00FA2B24">
        <w:rPr>
          <w:color w:val="222222"/>
          <w:shd w:val="clear" w:color="auto" w:fill="FFFFFF"/>
        </w:rPr>
        <w:t>Giami</w:t>
      </w:r>
      <w:proofErr w:type="spellEnd"/>
      <w:r w:rsidRPr="00FA2B24">
        <w:rPr>
          <w:color w:val="222222"/>
          <w:shd w:val="clear" w:color="auto" w:fill="FFFFFF"/>
        </w:rPr>
        <w:t xml:space="preserve"> A. Sexual health: The emergence, development, and diversity of a concept. </w:t>
      </w:r>
      <w:r w:rsidRPr="00FA2B24">
        <w:rPr>
          <w:i/>
          <w:iCs/>
          <w:color w:val="222222"/>
          <w:shd w:val="clear" w:color="auto" w:fill="FFFFFF"/>
        </w:rPr>
        <w:t>Annu Rev Sex Res</w:t>
      </w:r>
      <w:r w:rsidRPr="00FA2B24">
        <w:rPr>
          <w:color w:val="222222"/>
          <w:shd w:val="clear" w:color="auto" w:fill="FFFFFF"/>
        </w:rPr>
        <w:t xml:space="preserve"> 2002;</w:t>
      </w:r>
      <w:r w:rsidR="00F7546E">
        <w:rPr>
          <w:color w:val="222222"/>
          <w:shd w:val="clear" w:color="auto" w:fill="FFFFFF"/>
        </w:rPr>
        <w:t xml:space="preserve"> </w:t>
      </w:r>
      <w:r w:rsidRPr="00FA2B24">
        <w:rPr>
          <w:color w:val="222222"/>
          <w:shd w:val="clear" w:color="auto" w:fill="FFFFFF"/>
        </w:rPr>
        <w:t>13(1), 1-35.</w:t>
      </w:r>
      <w:r w:rsidR="004F781F">
        <w:rPr>
          <w:color w:val="222222"/>
          <w:shd w:val="clear" w:color="auto" w:fill="FFFFFF"/>
        </w:rPr>
        <w:t xml:space="preserve"> doi:10.1080/10532528.2002.10559801 </w:t>
      </w:r>
    </w:p>
    <w:p w14:paraId="7EA2E6DA" w14:textId="01B9A5DD" w:rsidR="00DC4EF6" w:rsidRPr="00FA2B24" w:rsidRDefault="00DC4EF6" w:rsidP="00E554C2">
      <w:pPr>
        <w:pStyle w:val="NormalWeb"/>
        <w:numPr>
          <w:ilvl w:val="0"/>
          <w:numId w:val="13"/>
        </w:numPr>
        <w:spacing w:before="0" w:beforeAutospacing="0" w:after="0" w:afterAutospacing="0" w:line="480" w:lineRule="auto"/>
        <w:rPr>
          <w:color w:val="000000"/>
        </w:rPr>
      </w:pPr>
      <w:proofErr w:type="spellStart"/>
      <w:r w:rsidRPr="00FA2B24">
        <w:rPr>
          <w:color w:val="000000" w:themeColor="text1"/>
          <w:shd w:val="clear" w:color="auto" w:fill="FFFFFF"/>
        </w:rPr>
        <w:t>Hooghe</w:t>
      </w:r>
      <w:proofErr w:type="spellEnd"/>
      <w:r w:rsidRPr="00FA2B24">
        <w:rPr>
          <w:color w:val="000000" w:themeColor="text1"/>
          <w:shd w:val="clear" w:color="auto" w:fill="FFFFFF"/>
        </w:rPr>
        <w:t xml:space="preserve"> M. Is sexual well-being part of subjective well-being? An empirical analysis of Belgian (Flemish) survey data using an extended</w:t>
      </w:r>
      <w:r w:rsidRPr="005A44CE">
        <w:rPr>
          <w:color w:val="000000" w:themeColor="text1"/>
          <w:shd w:val="clear" w:color="auto" w:fill="FFFFFF"/>
        </w:rPr>
        <w:t xml:space="preserve"> well-being scale. </w:t>
      </w:r>
      <w:r w:rsidRPr="005A44CE">
        <w:rPr>
          <w:i/>
          <w:iCs/>
          <w:color w:val="000000" w:themeColor="text1"/>
          <w:shd w:val="clear" w:color="auto" w:fill="FFFFFF"/>
        </w:rPr>
        <w:t>J Sex Res</w:t>
      </w:r>
      <w:r w:rsidR="00FA2B24">
        <w:rPr>
          <w:i/>
          <w:iCs/>
          <w:color w:val="000000" w:themeColor="text1"/>
          <w:shd w:val="clear" w:color="auto" w:fill="FFFFFF"/>
        </w:rPr>
        <w:t xml:space="preserve"> </w:t>
      </w:r>
      <w:r w:rsidR="00FA2B24">
        <w:rPr>
          <w:color w:val="000000" w:themeColor="text1"/>
          <w:shd w:val="clear" w:color="auto" w:fill="FFFFFF"/>
        </w:rPr>
        <w:t>2012;</w:t>
      </w:r>
      <w:r w:rsidR="00F7546E">
        <w:rPr>
          <w:color w:val="000000" w:themeColor="text1"/>
          <w:shd w:val="clear" w:color="auto" w:fill="FFFFFF"/>
        </w:rPr>
        <w:t xml:space="preserve"> </w:t>
      </w:r>
      <w:r w:rsidRPr="00FA2B24">
        <w:rPr>
          <w:color w:val="000000" w:themeColor="text1"/>
          <w:shd w:val="clear" w:color="auto" w:fill="FFFFFF"/>
        </w:rPr>
        <w:t>49(2-</w:t>
      </w:r>
      <w:r w:rsidRPr="005A44CE">
        <w:rPr>
          <w:color w:val="000000" w:themeColor="text1"/>
          <w:shd w:val="clear" w:color="auto" w:fill="FFFFFF"/>
        </w:rPr>
        <w:t>3), 264-273.</w:t>
      </w:r>
      <w:r w:rsidR="004F781F">
        <w:rPr>
          <w:color w:val="000000" w:themeColor="text1"/>
          <w:shd w:val="clear" w:color="auto" w:fill="FFFFFF"/>
        </w:rPr>
        <w:t xml:space="preserve"> </w:t>
      </w:r>
      <w:hyperlink r:id="rId11" w:tgtFrame="_blank" w:history="1">
        <w:r w:rsidR="004F781F">
          <w:rPr>
            <w:rStyle w:val="normaltextrun"/>
            <w:color w:val="000000"/>
          </w:rPr>
          <w:t>doi:10.1080/00224499.2010.551791</w:t>
        </w:r>
      </w:hyperlink>
    </w:p>
    <w:p w14:paraId="6D049A28" w14:textId="54153F7E" w:rsidR="00FA2B24" w:rsidRPr="00F7546E" w:rsidRDefault="00FA2B24" w:rsidP="00E554C2">
      <w:pPr>
        <w:pStyle w:val="NormalWeb"/>
        <w:numPr>
          <w:ilvl w:val="0"/>
          <w:numId w:val="13"/>
        </w:numPr>
        <w:spacing w:before="0" w:beforeAutospacing="0" w:after="0" w:afterAutospacing="0" w:line="480" w:lineRule="auto"/>
        <w:rPr>
          <w:color w:val="000000"/>
        </w:rPr>
      </w:pPr>
      <w:r w:rsidRPr="005A44CE">
        <w:rPr>
          <w:color w:val="000000" w:themeColor="text1"/>
          <w:shd w:val="clear" w:color="auto" w:fill="FFFFFF"/>
        </w:rPr>
        <w:t xml:space="preserve">Minichiello V, Rahman S, Dune T, Scott J, Dowsett G. E-health: </w:t>
      </w:r>
      <w:r>
        <w:rPr>
          <w:color w:val="000000" w:themeColor="text1"/>
          <w:shd w:val="clear" w:color="auto" w:fill="FFFFFF"/>
        </w:rPr>
        <w:t>P</w:t>
      </w:r>
      <w:r w:rsidRPr="005A44CE">
        <w:rPr>
          <w:color w:val="000000" w:themeColor="text1"/>
          <w:shd w:val="clear" w:color="auto" w:fill="FFFFFF"/>
        </w:rPr>
        <w:t>otential benefits and challenges in providing and accessing sexual health services. </w:t>
      </w:r>
      <w:r w:rsidRPr="005A44CE">
        <w:rPr>
          <w:i/>
          <w:iCs/>
          <w:color w:val="000000" w:themeColor="text1"/>
          <w:shd w:val="clear" w:color="auto" w:fill="FFFFFF"/>
        </w:rPr>
        <w:t>BMC Public Health</w:t>
      </w:r>
      <w:r>
        <w:rPr>
          <w:color w:val="000000" w:themeColor="text1"/>
          <w:shd w:val="clear" w:color="auto" w:fill="FFFFFF"/>
        </w:rPr>
        <w:t xml:space="preserve"> 20</w:t>
      </w:r>
      <w:r w:rsidR="000949E0">
        <w:rPr>
          <w:color w:val="000000" w:themeColor="text1"/>
          <w:shd w:val="clear" w:color="auto" w:fill="FFFFFF"/>
        </w:rPr>
        <w:t>1</w:t>
      </w:r>
      <w:r>
        <w:rPr>
          <w:color w:val="000000" w:themeColor="text1"/>
          <w:shd w:val="clear" w:color="auto" w:fill="FFFFFF"/>
        </w:rPr>
        <w:t>3;</w:t>
      </w:r>
      <w:r w:rsidRPr="00FA2B24">
        <w:rPr>
          <w:color w:val="000000" w:themeColor="text1"/>
          <w:shd w:val="clear" w:color="auto" w:fill="FFFFFF"/>
        </w:rPr>
        <w:t>13(</w:t>
      </w:r>
      <w:r w:rsidRPr="005A44CE">
        <w:rPr>
          <w:color w:val="000000" w:themeColor="text1"/>
          <w:shd w:val="clear" w:color="auto" w:fill="FFFFFF"/>
        </w:rPr>
        <w:t>1), 1-7.</w:t>
      </w:r>
      <w:r w:rsidR="004F781F">
        <w:rPr>
          <w:color w:val="000000" w:themeColor="text1"/>
          <w:shd w:val="clear" w:color="auto" w:fill="FFFFFF"/>
        </w:rPr>
        <w:t xml:space="preserve"> </w:t>
      </w:r>
      <w:proofErr w:type="spellStart"/>
      <w:r w:rsidR="004F781F">
        <w:rPr>
          <w:color w:val="000000"/>
          <w:shd w:val="clear" w:color="auto" w:fill="FFFFFF"/>
        </w:rPr>
        <w:t>doi</w:t>
      </w:r>
      <w:proofErr w:type="spellEnd"/>
      <w:r w:rsidR="004F781F">
        <w:rPr>
          <w:color w:val="000000"/>
          <w:shd w:val="clear" w:color="auto" w:fill="FFFFFF"/>
        </w:rPr>
        <w:t>: 10.1186/1471-2458-13-790</w:t>
      </w:r>
    </w:p>
    <w:p w14:paraId="19667DD0" w14:textId="4E31A235" w:rsidR="00F7546E" w:rsidRPr="00D472E5" w:rsidRDefault="00F7546E" w:rsidP="00E554C2">
      <w:pPr>
        <w:pStyle w:val="NormalWeb"/>
        <w:numPr>
          <w:ilvl w:val="0"/>
          <w:numId w:val="13"/>
        </w:numPr>
        <w:spacing w:before="0" w:beforeAutospacing="0" w:after="0" w:afterAutospacing="0" w:line="480" w:lineRule="auto"/>
        <w:rPr>
          <w:color w:val="000000"/>
        </w:rPr>
      </w:pPr>
      <w:r w:rsidRPr="005A44CE">
        <w:rPr>
          <w:color w:val="222222"/>
          <w:shd w:val="clear" w:color="auto" w:fill="FFFFFF"/>
        </w:rPr>
        <w:t>Hawes</w:t>
      </w:r>
      <w:r>
        <w:rPr>
          <w:color w:val="222222"/>
          <w:shd w:val="clear" w:color="auto" w:fill="FFFFFF"/>
        </w:rPr>
        <w:t xml:space="preserve"> </w:t>
      </w:r>
      <w:r w:rsidRPr="005A44CE">
        <w:rPr>
          <w:color w:val="222222"/>
          <w:shd w:val="clear" w:color="auto" w:fill="FFFFFF"/>
        </w:rPr>
        <w:t xml:space="preserve">ZC, </w:t>
      </w:r>
      <w:proofErr w:type="spellStart"/>
      <w:r w:rsidRPr="005A44CE">
        <w:rPr>
          <w:color w:val="222222"/>
          <w:shd w:val="clear" w:color="auto" w:fill="FFFFFF"/>
        </w:rPr>
        <w:t>Wellings</w:t>
      </w:r>
      <w:proofErr w:type="spellEnd"/>
      <w:r w:rsidRPr="005A44CE">
        <w:rPr>
          <w:color w:val="222222"/>
          <w:shd w:val="clear" w:color="auto" w:fill="FFFFFF"/>
        </w:rPr>
        <w:t xml:space="preserve"> K</w:t>
      </w:r>
      <w:r>
        <w:rPr>
          <w:color w:val="222222"/>
          <w:shd w:val="clear" w:color="auto" w:fill="FFFFFF"/>
        </w:rPr>
        <w:t>,</w:t>
      </w:r>
      <w:r w:rsidRPr="005A44CE">
        <w:rPr>
          <w:color w:val="222222"/>
          <w:shd w:val="clear" w:color="auto" w:fill="FFFFFF"/>
        </w:rPr>
        <w:t xml:space="preserve"> Stephenson J. First heterosexual intercourse in the United Kingdom: A review of the literature.</w:t>
      </w:r>
      <w:r w:rsidRPr="005A44CE">
        <w:rPr>
          <w:rStyle w:val="apple-converted-space"/>
          <w:color w:val="222222"/>
          <w:shd w:val="clear" w:color="auto" w:fill="FFFFFF"/>
        </w:rPr>
        <w:t> </w:t>
      </w:r>
      <w:r w:rsidRPr="005A44CE">
        <w:rPr>
          <w:i/>
          <w:iCs/>
          <w:color w:val="000000" w:themeColor="text1"/>
          <w:shd w:val="clear" w:color="auto" w:fill="FFFFFF"/>
        </w:rPr>
        <w:t>J Sex Res</w:t>
      </w:r>
      <w:r>
        <w:rPr>
          <w:i/>
          <w:iCs/>
          <w:color w:val="000000" w:themeColor="text1"/>
          <w:shd w:val="clear" w:color="auto" w:fill="FFFFFF"/>
        </w:rPr>
        <w:t xml:space="preserve"> </w:t>
      </w:r>
      <w:r>
        <w:rPr>
          <w:color w:val="000000" w:themeColor="text1"/>
          <w:shd w:val="clear" w:color="auto" w:fill="FFFFFF"/>
        </w:rPr>
        <w:t>2010</w:t>
      </w:r>
      <w:r>
        <w:rPr>
          <w:color w:val="222222"/>
          <w:shd w:val="clear" w:color="auto" w:fill="FFFFFF"/>
        </w:rPr>
        <w:t>;</w:t>
      </w:r>
      <w:r w:rsidRPr="005A44CE">
        <w:rPr>
          <w:rStyle w:val="apple-converted-space"/>
          <w:color w:val="222222"/>
          <w:shd w:val="clear" w:color="auto" w:fill="FFFFFF"/>
        </w:rPr>
        <w:t> </w:t>
      </w:r>
      <w:r w:rsidRPr="00F7546E">
        <w:rPr>
          <w:color w:val="222222"/>
        </w:rPr>
        <w:t>47</w:t>
      </w:r>
      <w:r w:rsidRPr="00F7546E">
        <w:rPr>
          <w:color w:val="222222"/>
          <w:shd w:val="clear" w:color="auto" w:fill="FFFFFF"/>
        </w:rPr>
        <w:t>(2</w:t>
      </w:r>
      <w:r w:rsidRPr="005A44CE">
        <w:rPr>
          <w:color w:val="222222"/>
          <w:shd w:val="clear" w:color="auto" w:fill="FFFFFF"/>
        </w:rPr>
        <w:t xml:space="preserve">-3), 137-152. </w:t>
      </w:r>
      <w:proofErr w:type="spellStart"/>
      <w:r w:rsidR="004F781F">
        <w:rPr>
          <w:color w:val="000000"/>
          <w:shd w:val="clear" w:color="auto" w:fill="FFFFFF"/>
        </w:rPr>
        <w:t>doi</w:t>
      </w:r>
      <w:proofErr w:type="spellEnd"/>
      <w:r w:rsidR="004F781F">
        <w:rPr>
          <w:color w:val="000000"/>
          <w:shd w:val="clear" w:color="auto" w:fill="FFFFFF"/>
        </w:rPr>
        <w:t>: 10.1080/00224490903509399</w:t>
      </w:r>
    </w:p>
    <w:p w14:paraId="7054963A" w14:textId="0FAC4959" w:rsidR="00B6444F" w:rsidRPr="00A44716" w:rsidRDefault="00B6444F" w:rsidP="00E554C2">
      <w:pPr>
        <w:pStyle w:val="NormalWeb"/>
        <w:numPr>
          <w:ilvl w:val="0"/>
          <w:numId w:val="13"/>
        </w:numPr>
        <w:spacing w:before="0" w:beforeAutospacing="0" w:after="0" w:afterAutospacing="0" w:line="480" w:lineRule="auto"/>
        <w:rPr>
          <w:color w:val="000000"/>
        </w:rPr>
      </w:pPr>
      <w:r>
        <w:rPr>
          <w:color w:val="222222"/>
          <w:shd w:val="clear" w:color="auto" w:fill="FFFFFF"/>
        </w:rPr>
        <w:lastRenderedPageBreak/>
        <w:t xml:space="preserve">Lewis R, Tanton C, Mercer CH, </w:t>
      </w:r>
      <w:r w:rsidR="000949E0">
        <w:rPr>
          <w:color w:val="222222"/>
          <w:shd w:val="clear" w:color="auto" w:fill="FFFFFF"/>
        </w:rPr>
        <w:t xml:space="preserve">Mitchell KR, Palmer M, </w:t>
      </w:r>
      <w:proofErr w:type="spellStart"/>
      <w:r w:rsidR="000949E0">
        <w:rPr>
          <w:color w:val="222222"/>
          <w:shd w:val="clear" w:color="auto" w:fill="FFFFFF"/>
        </w:rPr>
        <w:t>Macdowall</w:t>
      </w:r>
      <w:proofErr w:type="spellEnd"/>
      <w:r w:rsidR="000949E0">
        <w:rPr>
          <w:color w:val="222222"/>
          <w:shd w:val="clear" w:color="auto" w:fill="FFFFFF"/>
        </w:rPr>
        <w:t xml:space="preserve"> W, </w:t>
      </w:r>
      <w:proofErr w:type="spellStart"/>
      <w:r w:rsidR="000949E0">
        <w:rPr>
          <w:color w:val="222222"/>
          <w:shd w:val="clear" w:color="auto" w:fill="FFFFFF"/>
        </w:rPr>
        <w:t>Wellings</w:t>
      </w:r>
      <w:proofErr w:type="spellEnd"/>
      <w:r w:rsidR="000949E0">
        <w:rPr>
          <w:color w:val="222222"/>
          <w:shd w:val="clear" w:color="auto" w:fill="FFFFFF"/>
        </w:rPr>
        <w:t xml:space="preserve"> K.</w:t>
      </w:r>
      <w:r w:rsidR="00D472E5">
        <w:rPr>
          <w:color w:val="222222"/>
          <w:shd w:val="clear" w:color="auto" w:fill="FFFFFF"/>
        </w:rPr>
        <w:t xml:space="preserve"> Heterosexual practices among young people in Britain: Evidence from three National Surveys of Sexual Attitudes and Lifestyles. </w:t>
      </w:r>
      <w:r w:rsidR="00D472E5">
        <w:rPr>
          <w:i/>
          <w:iCs/>
          <w:color w:val="222222"/>
          <w:shd w:val="clear" w:color="auto" w:fill="FFFFFF"/>
        </w:rPr>
        <w:t xml:space="preserve">J </w:t>
      </w:r>
      <w:proofErr w:type="spellStart"/>
      <w:r w:rsidR="00D472E5">
        <w:rPr>
          <w:i/>
          <w:iCs/>
          <w:color w:val="222222"/>
          <w:shd w:val="clear" w:color="auto" w:fill="FFFFFF"/>
        </w:rPr>
        <w:t>Adolesc</w:t>
      </w:r>
      <w:proofErr w:type="spellEnd"/>
      <w:r w:rsidR="00D472E5">
        <w:rPr>
          <w:i/>
          <w:iCs/>
          <w:color w:val="222222"/>
          <w:shd w:val="clear" w:color="auto" w:fill="FFFFFF"/>
        </w:rPr>
        <w:t xml:space="preserve"> Health </w:t>
      </w:r>
      <w:r w:rsidR="00D472E5">
        <w:rPr>
          <w:color w:val="222222"/>
          <w:shd w:val="clear" w:color="auto" w:fill="FFFFFF"/>
        </w:rPr>
        <w:t xml:space="preserve">2017;61(6), 694-702. </w:t>
      </w:r>
      <w:proofErr w:type="spellStart"/>
      <w:r w:rsidR="00D472E5">
        <w:rPr>
          <w:color w:val="222222"/>
          <w:shd w:val="clear" w:color="auto" w:fill="FFFFFF"/>
        </w:rPr>
        <w:t>doi</w:t>
      </w:r>
      <w:proofErr w:type="spellEnd"/>
      <w:r w:rsidR="00D472E5">
        <w:rPr>
          <w:color w:val="222222"/>
          <w:shd w:val="clear" w:color="auto" w:fill="FFFFFF"/>
        </w:rPr>
        <w:t>: 10.1016/j.jadohealth.2017.07.004</w:t>
      </w:r>
    </w:p>
    <w:p w14:paraId="255C5657" w14:textId="45D7591C" w:rsidR="00A44716" w:rsidRPr="005A44CE" w:rsidRDefault="00A44716" w:rsidP="00A44716">
      <w:pPr>
        <w:pStyle w:val="NormalWeb"/>
        <w:numPr>
          <w:ilvl w:val="0"/>
          <w:numId w:val="13"/>
        </w:numPr>
        <w:spacing w:before="0" w:beforeAutospacing="0" w:after="0" w:afterAutospacing="0" w:line="480" w:lineRule="auto"/>
        <w:rPr>
          <w:color w:val="222222"/>
          <w:shd w:val="clear" w:color="auto" w:fill="FFFFFF"/>
        </w:rPr>
      </w:pPr>
      <w:proofErr w:type="spellStart"/>
      <w:r w:rsidRPr="005A44CE">
        <w:rPr>
          <w:color w:val="222222"/>
          <w:shd w:val="clear" w:color="auto" w:fill="FFFFFF"/>
        </w:rPr>
        <w:t>Migchelsen</w:t>
      </w:r>
      <w:proofErr w:type="spellEnd"/>
      <w:r w:rsidRPr="005A44CE">
        <w:rPr>
          <w:color w:val="222222"/>
          <w:shd w:val="clear" w:color="auto" w:fill="FFFFFF"/>
        </w:rPr>
        <w:t xml:space="preserve"> SJ, Enayat Q, Harb AK, </w:t>
      </w:r>
      <w:proofErr w:type="spellStart"/>
      <w:r w:rsidRPr="005A44CE">
        <w:rPr>
          <w:color w:val="222222"/>
          <w:shd w:val="clear" w:color="auto" w:fill="FFFFFF"/>
        </w:rPr>
        <w:t>Daahir</w:t>
      </w:r>
      <w:proofErr w:type="spellEnd"/>
      <w:r w:rsidRPr="005A44CE">
        <w:rPr>
          <w:color w:val="222222"/>
          <w:shd w:val="clear" w:color="auto" w:fill="FFFFFF"/>
        </w:rPr>
        <w:t xml:space="preserve"> U, Slater L, Anderson A, </w:t>
      </w:r>
      <w:r>
        <w:rPr>
          <w:color w:val="222222"/>
          <w:shd w:val="clear" w:color="auto" w:fill="FFFFFF"/>
        </w:rPr>
        <w:t xml:space="preserve">et al. </w:t>
      </w:r>
      <w:r w:rsidRPr="005A44CE">
        <w:rPr>
          <w:i/>
          <w:iCs/>
          <w:color w:val="222222"/>
          <w:shd w:val="clear" w:color="auto" w:fill="FFFFFF"/>
        </w:rPr>
        <w:t xml:space="preserve">Sexually transmitted infections and screening for chlamydia in England, 2022. </w:t>
      </w:r>
      <w:r w:rsidRPr="005A44CE">
        <w:rPr>
          <w:color w:val="222222"/>
          <w:shd w:val="clear" w:color="auto" w:fill="FFFFFF"/>
        </w:rPr>
        <w:t>UK Health Security Agency, London</w:t>
      </w:r>
      <w:r>
        <w:rPr>
          <w:color w:val="222222"/>
          <w:shd w:val="clear" w:color="auto" w:fill="FFFFFF"/>
        </w:rPr>
        <w:t xml:space="preserve">; 2023. </w:t>
      </w:r>
      <w:r w:rsidRPr="001262DD">
        <w:rPr>
          <w:color w:val="000000" w:themeColor="text1"/>
          <w:shd w:val="clear" w:color="auto" w:fill="FFFFFF"/>
        </w:rPr>
        <w:t>https://www.gov.uk/government/statistics/sexually-transmitted-infections-stis-annual-data-tables/sexually-transmitted-infections-and-screening-for-chlamydia-in-england-2022-report</w:t>
      </w:r>
    </w:p>
    <w:p w14:paraId="259A23CE" w14:textId="6128B87F" w:rsidR="00A44716" w:rsidRPr="00D0000F" w:rsidRDefault="00A44716" w:rsidP="00E554C2">
      <w:pPr>
        <w:pStyle w:val="NormalWeb"/>
        <w:numPr>
          <w:ilvl w:val="0"/>
          <w:numId w:val="13"/>
        </w:numPr>
        <w:spacing w:before="0" w:beforeAutospacing="0" w:after="0" w:afterAutospacing="0" w:line="480" w:lineRule="auto"/>
        <w:rPr>
          <w:color w:val="000000"/>
        </w:rPr>
      </w:pPr>
      <w:r w:rsidRPr="005A44CE">
        <w:rPr>
          <w:color w:val="222222"/>
          <w:shd w:val="clear" w:color="auto" w:fill="FFFFFF"/>
        </w:rPr>
        <w:t xml:space="preserve">Perry C, Thurston M. Meeting the sexual health care needs of young people: </w:t>
      </w:r>
      <w:r>
        <w:rPr>
          <w:color w:val="222222"/>
          <w:shd w:val="clear" w:color="auto" w:fill="FFFFFF"/>
        </w:rPr>
        <w:t>A</w:t>
      </w:r>
      <w:r w:rsidRPr="005A44CE">
        <w:rPr>
          <w:color w:val="222222"/>
          <w:shd w:val="clear" w:color="auto" w:fill="FFFFFF"/>
        </w:rPr>
        <w:t xml:space="preserve"> model that works?</w:t>
      </w:r>
      <w:r w:rsidRPr="005A44CE">
        <w:rPr>
          <w:rStyle w:val="apple-converted-space"/>
          <w:color w:val="222222"/>
          <w:shd w:val="clear" w:color="auto" w:fill="FFFFFF"/>
        </w:rPr>
        <w:t> </w:t>
      </w:r>
      <w:r w:rsidRPr="005A44CE">
        <w:rPr>
          <w:i/>
          <w:iCs/>
          <w:color w:val="222222"/>
        </w:rPr>
        <w:t xml:space="preserve">Child Care </w:t>
      </w:r>
      <w:r w:rsidR="00D0000F">
        <w:rPr>
          <w:i/>
          <w:iCs/>
          <w:color w:val="222222"/>
        </w:rPr>
        <w:t>H</w:t>
      </w:r>
      <w:r w:rsidRPr="005A44CE">
        <w:rPr>
          <w:i/>
          <w:iCs/>
          <w:color w:val="222222"/>
        </w:rPr>
        <w:t xml:space="preserve">ealth </w:t>
      </w:r>
      <w:r w:rsidR="00D0000F">
        <w:rPr>
          <w:i/>
          <w:iCs/>
          <w:color w:val="222222"/>
        </w:rPr>
        <w:t>D</w:t>
      </w:r>
      <w:r w:rsidRPr="005A44CE">
        <w:rPr>
          <w:i/>
          <w:iCs/>
          <w:color w:val="222222"/>
        </w:rPr>
        <w:t>ev</w:t>
      </w:r>
      <w:r>
        <w:rPr>
          <w:color w:val="222222"/>
          <w:shd w:val="clear" w:color="auto" w:fill="FFFFFF"/>
        </w:rPr>
        <w:t xml:space="preserve"> 2008;</w:t>
      </w:r>
      <w:r w:rsidRPr="005A44CE">
        <w:rPr>
          <w:rStyle w:val="apple-converted-space"/>
          <w:color w:val="222222"/>
          <w:shd w:val="clear" w:color="auto" w:fill="FFFFFF"/>
        </w:rPr>
        <w:t> </w:t>
      </w:r>
      <w:r w:rsidRPr="00A44716">
        <w:rPr>
          <w:color w:val="222222"/>
        </w:rPr>
        <w:t>34</w:t>
      </w:r>
      <w:r w:rsidRPr="00A44716">
        <w:rPr>
          <w:color w:val="222222"/>
          <w:shd w:val="clear" w:color="auto" w:fill="FFFFFF"/>
        </w:rPr>
        <w:t>(</w:t>
      </w:r>
      <w:r w:rsidRPr="005A44CE">
        <w:rPr>
          <w:color w:val="222222"/>
          <w:shd w:val="clear" w:color="auto" w:fill="FFFFFF"/>
        </w:rPr>
        <w:t xml:space="preserve">1), 98-103. </w:t>
      </w:r>
      <w:r w:rsidR="004F781F">
        <w:rPr>
          <w:color w:val="000000"/>
          <w:shd w:val="clear" w:color="auto" w:fill="FFFFFF"/>
        </w:rPr>
        <w:t>doi: /10.1111/j.1365-2214.</w:t>
      </w:r>
      <w:proofErr w:type="gramStart"/>
      <w:r w:rsidR="004F781F">
        <w:rPr>
          <w:color w:val="000000"/>
          <w:shd w:val="clear" w:color="auto" w:fill="FFFFFF"/>
        </w:rPr>
        <w:t>2007.00741.x</w:t>
      </w:r>
      <w:proofErr w:type="gramEnd"/>
    </w:p>
    <w:p w14:paraId="2AB7798F" w14:textId="16A72DE4" w:rsidR="000B0250" w:rsidRDefault="00D0000F" w:rsidP="000B0250">
      <w:pPr>
        <w:pStyle w:val="NormalWeb"/>
        <w:numPr>
          <w:ilvl w:val="0"/>
          <w:numId w:val="13"/>
        </w:numPr>
        <w:spacing w:before="0" w:beforeAutospacing="0" w:after="0" w:afterAutospacing="0" w:line="480" w:lineRule="auto"/>
        <w:rPr>
          <w:color w:val="000000"/>
        </w:rPr>
      </w:pPr>
      <w:proofErr w:type="spellStart"/>
      <w:r w:rsidRPr="005A44CE">
        <w:rPr>
          <w:color w:val="000000" w:themeColor="text1"/>
          <w:shd w:val="clear" w:color="auto" w:fill="FFFFFF"/>
        </w:rPr>
        <w:t>Litras</w:t>
      </w:r>
      <w:proofErr w:type="spellEnd"/>
      <w:r>
        <w:rPr>
          <w:color w:val="000000" w:themeColor="text1"/>
          <w:shd w:val="clear" w:color="auto" w:fill="FFFFFF"/>
        </w:rPr>
        <w:t xml:space="preserve"> </w:t>
      </w:r>
      <w:r w:rsidRPr="005A44CE">
        <w:rPr>
          <w:color w:val="000000" w:themeColor="text1"/>
          <w:shd w:val="clear" w:color="auto" w:fill="FFFFFF"/>
        </w:rPr>
        <w:t xml:space="preserve">A, </w:t>
      </w:r>
      <w:proofErr w:type="spellStart"/>
      <w:r w:rsidRPr="005A44CE">
        <w:rPr>
          <w:color w:val="000000" w:themeColor="text1"/>
          <w:shd w:val="clear" w:color="auto" w:fill="FFFFFF"/>
        </w:rPr>
        <w:t>Latreille</w:t>
      </w:r>
      <w:proofErr w:type="spellEnd"/>
      <w:r w:rsidRPr="005A44CE">
        <w:rPr>
          <w:color w:val="000000" w:themeColor="text1"/>
          <w:shd w:val="clear" w:color="auto" w:fill="FFFFFF"/>
        </w:rPr>
        <w:t xml:space="preserve"> S, Temple-Smith M. Dr Google, porn and friend-of-a-friend: </w:t>
      </w:r>
      <w:r>
        <w:rPr>
          <w:color w:val="000000" w:themeColor="text1"/>
          <w:shd w:val="clear" w:color="auto" w:fill="FFFFFF"/>
        </w:rPr>
        <w:t>W</w:t>
      </w:r>
      <w:r w:rsidRPr="005A44CE">
        <w:rPr>
          <w:color w:val="000000" w:themeColor="text1"/>
          <w:shd w:val="clear" w:color="auto" w:fill="FFFFFF"/>
        </w:rPr>
        <w:t>here are young men really getting their sexual health information? </w:t>
      </w:r>
      <w:r w:rsidRPr="005A44CE">
        <w:rPr>
          <w:i/>
          <w:iCs/>
          <w:color w:val="000000" w:themeColor="text1"/>
          <w:shd w:val="clear" w:color="auto" w:fill="FFFFFF"/>
        </w:rPr>
        <w:t>Sex Health</w:t>
      </w:r>
      <w:r>
        <w:rPr>
          <w:i/>
          <w:iCs/>
          <w:color w:val="000000" w:themeColor="text1"/>
          <w:shd w:val="clear" w:color="auto" w:fill="FFFFFF"/>
        </w:rPr>
        <w:t xml:space="preserve"> </w:t>
      </w:r>
      <w:r>
        <w:rPr>
          <w:color w:val="000000" w:themeColor="text1"/>
          <w:shd w:val="clear" w:color="auto" w:fill="FFFFFF"/>
        </w:rPr>
        <w:t>2015;</w:t>
      </w:r>
      <w:r w:rsidRPr="005A44CE">
        <w:rPr>
          <w:color w:val="000000" w:themeColor="text1"/>
          <w:shd w:val="clear" w:color="auto" w:fill="FFFFFF"/>
        </w:rPr>
        <w:t> </w:t>
      </w:r>
      <w:r w:rsidRPr="00D0000F">
        <w:rPr>
          <w:color w:val="000000" w:themeColor="text1"/>
          <w:shd w:val="clear" w:color="auto" w:fill="FFFFFF"/>
        </w:rPr>
        <w:t>12(</w:t>
      </w:r>
      <w:r w:rsidRPr="005A44CE">
        <w:rPr>
          <w:color w:val="000000" w:themeColor="text1"/>
          <w:shd w:val="clear" w:color="auto" w:fill="FFFFFF"/>
        </w:rPr>
        <w:t xml:space="preserve">6), 488-494. </w:t>
      </w:r>
      <w:proofErr w:type="spellStart"/>
      <w:r w:rsidR="00105A01">
        <w:rPr>
          <w:color w:val="000000"/>
          <w:shd w:val="clear" w:color="auto" w:fill="FFFFFF"/>
        </w:rPr>
        <w:t>doi</w:t>
      </w:r>
      <w:proofErr w:type="spellEnd"/>
      <w:r w:rsidR="00105A01">
        <w:rPr>
          <w:color w:val="000000"/>
          <w:shd w:val="clear" w:color="auto" w:fill="FFFFFF"/>
        </w:rPr>
        <w:t>: 10.1071/SH15055</w:t>
      </w:r>
    </w:p>
    <w:p w14:paraId="3C59C36B" w14:textId="723AD9E4" w:rsidR="007E0A24" w:rsidRDefault="007E0A24" w:rsidP="000B0250">
      <w:pPr>
        <w:pStyle w:val="NormalWeb"/>
        <w:numPr>
          <w:ilvl w:val="0"/>
          <w:numId w:val="13"/>
        </w:numPr>
        <w:spacing w:before="0" w:beforeAutospacing="0" w:after="0" w:afterAutospacing="0" w:line="480" w:lineRule="auto"/>
        <w:rPr>
          <w:color w:val="000000"/>
        </w:rPr>
      </w:pPr>
      <w:r w:rsidRPr="000B0250">
        <w:rPr>
          <w:color w:val="000000"/>
        </w:rPr>
        <w:t xml:space="preserve">Albury K. Porn and sex education, porn as sex education. </w:t>
      </w:r>
      <w:r w:rsidRPr="000B0250">
        <w:rPr>
          <w:i/>
          <w:iCs/>
          <w:color w:val="000000"/>
        </w:rPr>
        <w:t>Porn Stud</w:t>
      </w:r>
      <w:r w:rsidR="000B0250">
        <w:rPr>
          <w:i/>
          <w:iCs/>
          <w:color w:val="000000"/>
        </w:rPr>
        <w:t xml:space="preserve"> </w:t>
      </w:r>
      <w:r w:rsidR="000B0250">
        <w:rPr>
          <w:color w:val="000000"/>
        </w:rPr>
        <w:t>2014;</w:t>
      </w:r>
      <w:r w:rsidRPr="000B0250">
        <w:rPr>
          <w:i/>
          <w:iCs/>
          <w:color w:val="000000"/>
        </w:rPr>
        <w:t xml:space="preserve"> </w:t>
      </w:r>
      <w:r w:rsidRPr="000B0250">
        <w:rPr>
          <w:color w:val="000000"/>
        </w:rPr>
        <w:t xml:space="preserve">1(1-2), 172-181. </w:t>
      </w:r>
      <w:hyperlink r:id="rId12" w:tgtFrame="_blank" w:history="1">
        <w:proofErr w:type="spellStart"/>
        <w:r w:rsidR="00105A01">
          <w:rPr>
            <w:rStyle w:val="normaltextrun"/>
          </w:rPr>
          <w:t>doi</w:t>
        </w:r>
        <w:proofErr w:type="spellEnd"/>
        <w:r w:rsidR="00105A01">
          <w:rPr>
            <w:rStyle w:val="normaltextrun"/>
          </w:rPr>
          <w:t>: 10.1080/23268743.2013.863654</w:t>
        </w:r>
      </w:hyperlink>
    </w:p>
    <w:p w14:paraId="1F53F9E0" w14:textId="18CB3EE0" w:rsidR="00BC21F1" w:rsidRPr="00240C95" w:rsidRDefault="00BC21F1" w:rsidP="004669EB">
      <w:pPr>
        <w:pStyle w:val="NormalWeb"/>
        <w:numPr>
          <w:ilvl w:val="0"/>
          <w:numId w:val="13"/>
        </w:numPr>
        <w:spacing w:before="0" w:beforeAutospacing="0" w:after="0" w:afterAutospacing="0" w:line="480" w:lineRule="auto"/>
        <w:rPr>
          <w:color w:val="000000"/>
          <w:shd w:val="clear" w:color="auto" w:fill="FFFFFF"/>
        </w:rPr>
      </w:pPr>
      <w:r w:rsidRPr="00240C95">
        <w:rPr>
          <w:color w:val="000000" w:themeColor="text1"/>
          <w:shd w:val="clear" w:color="auto" w:fill="FFFFFF"/>
        </w:rPr>
        <w:t xml:space="preserve">Dubin JM, Aguiar JA, Lin JS, Greenberg DR, Keeter MK, </w:t>
      </w:r>
      <w:proofErr w:type="spellStart"/>
      <w:r w:rsidRPr="00240C95">
        <w:rPr>
          <w:color w:val="000000" w:themeColor="text1"/>
          <w:shd w:val="clear" w:color="auto" w:fill="FFFFFF"/>
        </w:rPr>
        <w:t>Fantus</w:t>
      </w:r>
      <w:proofErr w:type="spellEnd"/>
      <w:r w:rsidRPr="00240C95">
        <w:rPr>
          <w:color w:val="000000" w:themeColor="text1"/>
          <w:shd w:val="clear" w:color="auto" w:fill="FFFFFF"/>
        </w:rPr>
        <w:t xml:space="preserve"> RJ, et at. The broad reach and inaccuracy of men’s health information on social media: analysis of TikTok and Instagram. </w:t>
      </w:r>
      <w:r w:rsidRPr="00240C95">
        <w:rPr>
          <w:i/>
          <w:iCs/>
          <w:color w:val="000000" w:themeColor="text1"/>
          <w:shd w:val="clear" w:color="auto" w:fill="FFFFFF"/>
        </w:rPr>
        <w:t>Int J</w:t>
      </w:r>
      <w:r w:rsidR="00240C95" w:rsidRPr="00240C95">
        <w:rPr>
          <w:i/>
          <w:iCs/>
          <w:color w:val="000000" w:themeColor="text1"/>
          <w:shd w:val="clear" w:color="auto" w:fill="FFFFFF"/>
        </w:rPr>
        <w:t xml:space="preserve"> </w:t>
      </w:r>
      <w:r w:rsidRPr="00240C95">
        <w:rPr>
          <w:i/>
          <w:iCs/>
          <w:color w:val="000000" w:themeColor="text1"/>
          <w:shd w:val="clear" w:color="auto" w:fill="FFFFFF"/>
        </w:rPr>
        <w:t>Impot Res</w:t>
      </w:r>
      <w:r w:rsidR="00240C95" w:rsidRPr="00240C95">
        <w:rPr>
          <w:color w:val="000000" w:themeColor="text1"/>
          <w:shd w:val="clear" w:color="auto" w:fill="FFFFFF"/>
        </w:rPr>
        <w:t xml:space="preserve"> 2022;</w:t>
      </w:r>
      <w:r w:rsidRPr="00240C95">
        <w:rPr>
          <w:color w:val="000000" w:themeColor="text1"/>
          <w:shd w:val="clear" w:color="auto" w:fill="FFFFFF"/>
        </w:rPr>
        <w:t xml:space="preserve"> 1-5. </w:t>
      </w:r>
      <w:proofErr w:type="spellStart"/>
      <w:r w:rsidR="00105A01">
        <w:rPr>
          <w:color w:val="000000" w:themeColor="text1"/>
          <w:shd w:val="clear" w:color="auto" w:fill="FFFFFF"/>
        </w:rPr>
        <w:t>d</w:t>
      </w:r>
      <w:r w:rsidR="00105A01">
        <w:rPr>
          <w:color w:val="000000"/>
          <w:shd w:val="clear" w:color="auto" w:fill="FFFFFF"/>
        </w:rPr>
        <w:t>oi</w:t>
      </w:r>
      <w:proofErr w:type="spellEnd"/>
      <w:r w:rsidR="00105A01">
        <w:rPr>
          <w:color w:val="000000"/>
          <w:shd w:val="clear" w:color="auto" w:fill="FFFFFF"/>
        </w:rPr>
        <w:t>: 10.1038/s41443-022-00645-6</w:t>
      </w:r>
    </w:p>
    <w:p w14:paraId="0056BEC3" w14:textId="3E4FD15B" w:rsidR="00240C95" w:rsidRPr="005A44CE" w:rsidRDefault="00240C95" w:rsidP="00240C95">
      <w:pPr>
        <w:pStyle w:val="NormalWeb"/>
        <w:numPr>
          <w:ilvl w:val="0"/>
          <w:numId w:val="13"/>
        </w:numPr>
        <w:spacing w:before="0" w:beforeAutospacing="0" w:after="0" w:afterAutospacing="0" w:line="480" w:lineRule="auto"/>
        <w:rPr>
          <w:color w:val="000000" w:themeColor="text1"/>
        </w:rPr>
      </w:pPr>
      <w:r w:rsidRPr="005A44CE">
        <w:rPr>
          <w:color w:val="000000" w:themeColor="text1"/>
          <w:shd w:val="clear" w:color="auto" w:fill="FFFFFF"/>
        </w:rPr>
        <w:t xml:space="preserve">Shoveller J, Johnson J, Rosenberg M, Greaves L, Patrick DM, </w:t>
      </w:r>
      <w:proofErr w:type="spellStart"/>
      <w:r w:rsidRPr="005A44CE">
        <w:rPr>
          <w:color w:val="000000" w:themeColor="text1"/>
          <w:shd w:val="clear" w:color="auto" w:fill="FFFFFF"/>
        </w:rPr>
        <w:t>Oliffe</w:t>
      </w:r>
      <w:proofErr w:type="spellEnd"/>
      <w:r w:rsidRPr="005A44CE">
        <w:rPr>
          <w:color w:val="000000" w:themeColor="text1"/>
          <w:shd w:val="clear" w:color="auto" w:fill="FFFFFF"/>
        </w:rPr>
        <w:t xml:space="preserve"> JL</w:t>
      </w:r>
      <w:r>
        <w:rPr>
          <w:color w:val="000000" w:themeColor="text1"/>
          <w:shd w:val="clear" w:color="auto" w:fill="FFFFFF"/>
        </w:rPr>
        <w:t>, et al.</w:t>
      </w:r>
      <w:r w:rsidRPr="005A44CE">
        <w:rPr>
          <w:color w:val="000000" w:themeColor="text1"/>
          <w:shd w:val="clear" w:color="auto" w:fill="FFFFFF"/>
        </w:rPr>
        <w:t xml:space="preserve"> Youth’s experiences with STI testing in four communities in British Columbia, Canada. </w:t>
      </w:r>
      <w:r w:rsidRPr="005A44CE">
        <w:rPr>
          <w:i/>
          <w:iCs/>
          <w:color w:val="000000" w:themeColor="text1"/>
          <w:shd w:val="clear" w:color="auto" w:fill="FFFFFF"/>
        </w:rPr>
        <w:t xml:space="preserve">Sex </w:t>
      </w:r>
      <w:proofErr w:type="spellStart"/>
      <w:r w:rsidRPr="005A44CE">
        <w:rPr>
          <w:i/>
          <w:iCs/>
          <w:color w:val="000000" w:themeColor="text1"/>
          <w:shd w:val="clear" w:color="auto" w:fill="FFFFFF"/>
        </w:rPr>
        <w:t>Transm</w:t>
      </w:r>
      <w:proofErr w:type="spellEnd"/>
      <w:r w:rsidRPr="005A44CE">
        <w:rPr>
          <w:i/>
          <w:iCs/>
          <w:color w:val="000000" w:themeColor="text1"/>
          <w:shd w:val="clear" w:color="auto" w:fill="FFFFFF"/>
        </w:rPr>
        <w:t xml:space="preserve"> Infect</w:t>
      </w:r>
      <w:r>
        <w:rPr>
          <w:color w:val="000000" w:themeColor="text1"/>
          <w:shd w:val="clear" w:color="auto" w:fill="FFFFFF"/>
        </w:rPr>
        <w:t xml:space="preserve"> 2009;</w:t>
      </w:r>
      <w:r w:rsidRPr="005A44CE">
        <w:rPr>
          <w:color w:val="000000" w:themeColor="text1"/>
          <w:shd w:val="clear" w:color="auto" w:fill="FFFFFF"/>
        </w:rPr>
        <w:t> </w:t>
      </w:r>
      <w:r w:rsidRPr="00240C95">
        <w:rPr>
          <w:color w:val="000000" w:themeColor="text1"/>
          <w:shd w:val="clear" w:color="auto" w:fill="FFFFFF"/>
        </w:rPr>
        <w:t>85(</w:t>
      </w:r>
      <w:r w:rsidRPr="005A44CE">
        <w:rPr>
          <w:color w:val="000000" w:themeColor="text1"/>
          <w:shd w:val="clear" w:color="auto" w:fill="FFFFFF"/>
        </w:rPr>
        <w:t xml:space="preserve">5), 397-401. </w:t>
      </w:r>
      <w:proofErr w:type="spellStart"/>
      <w:r w:rsidR="00105A01">
        <w:rPr>
          <w:color w:val="000000"/>
          <w:shd w:val="clear" w:color="auto" w:fill="FFFFFF"/>
        </w:rPr>
        <w:t>doi</w:t>
      </w:r>
      <w:proofErr w:type="spellEnd"/>
      <w:r w:rsidR="00105A01">
        <w:rPr>
          <w:color w:val="000000"/>
          <w:shd w:val="clear" w:color="auto" w:fill="FFFFFF"/>
        </w:rPr>
        <w:t>: 10.1136/sti.2008.035568</w:t>
      </w:r>
    </w:p>
    <w:p w14:paraId="4A3EE01D" w14:textId="1CA7F1D1" w:rsidR="00240C95" w:rsidRPr="00240C95" w:rsidRDefault="00240C95" w:rsidP="00240C95">
      <w:pPr>
        <w:pStyle w:val="NormalWeb"/>
        <w:numPr>
          <w:ilvl w:val="0"/>
          <w:numId w:val="13"/>
        </w:numPr>
        <w:spacing w:before="0" w:beforeAutospacing="0" w:after="0" w:afterAutospacing="0" w:line="480" w:lineRule="auto"/>
        <w:rPr>
          <w:color w:val="000000" w:themeColor="text1"/>
        </w:rPr>
      </w:pPr>
      <w:proofErr w:type="spellStart"/>
      <w:r w:rsidRPr="00240C95">
        <w:rPr>
          <w:color w:val="000000" w:themeColor="text1"/>
          <w:shd w:val="clear" w:color="auto" w:fill="FFFFFF"/>
        </w:rPr>
        <w:lastRenderedPageBreak/>
        <w:t>Jozkowski</w:t>
      </w:r>
      <w:proofErr w:type="spellEnd"/>
      <w:r w:rsidRPr="00240C95">
        <w:rPr>
          <w:color w:val="000000" w:themeColor="text1"/>
          <w:shd w:val="clear" w:color="auto" w:fill="FFFFFF"/>
        </w:rPr>
        <w:t xml:space="preserve"> KN, Peterson ZD. College students and sexual consent: Unique insights. </w:t>
      </w:r>
      <w:r w:rsidRPr="005A44CE">
        <w:rPr>
          <w:i/>
          <w:iCs/>
          <w:color w:val="000000" w:themeColor="text1"/>
          <w:shd w:val="clear" w:color="auto" w:fill="FFFFFF"/>
        </w:rPr>
        <w:t>J Sex Res</w:t>
      </w:r>
      <w:r>
        <w:rPr>
          <w:i/>
          <w:iCs/>
          <w:color w:val="000000" w:themeColor="text1"/>
          <w:shd w:val="clear" w:color="auto" w:fill="FFFFFF"/>
        </w:rPr>
        <w:t xml:space="preserve"> </w:t>
      </w:r>
      <w:r>
        <w:rPr>
          <w:color w:val="000000" w:themeColor="text1"/>
          <w:shd w:val="clear" w:color="auto" w:fill="FFFFFF"/>
        </w:rPr>
        <w:t>2013;</w:t>
      </w:r>
      <w:r w:rsidRPr="00240C95">
        <w:rPr>
          <w:i/>
          <w:iCs/>
          <w:color w:val="000000" w:themeColor="text1"/>
          <w:shd w:val="clear" w:color="auto" w:fill="FFFFFF"/>
        </w:rPr>
        <w:t xml:space="preserve"> </w:t>
      </w:r>
      <w:r w:rsidRPr="00240C95">
        <w:rPr>
          <w:color w:val="000000" w:themeColor="text1"/>
          <w:shd w:val="clear" w:color="auto" w:fill="FFFFFF"/>
        </w:rPr>
        <w:t xml:space="preserve">50(6), 517-523. </w:t>
      </w:r>
      <w:hyperlink r:id="rId13" w:tgtFrame="_blank" w:history="1">
        <w:proofErr w:type="spellStart"/>
        <w:r w:rsidR="00105A01">
          <w:rPr>
            <w:rStyle w:val="normaltextrun"/>
            <w:color w:val="0000FF"/>
            <w:u w:val="single"/>
          </w:rPr>
          <w:t>doi</w:t>
        </w:r>
        <w:proofErr w:type="spellEnd"/>
        <w:r w:rsidR="00105A01">
          <w:rPr>
            <w:rStyle w:val="normaltextrun"/>
            <w:color w:val="0000FF"/>
            <w:u w:val="single"/>
          </w:rPr>
          <w:t>: 10.1080/00224499.2012.700739</w:t>
        </w:r>
      </w:hyperlink>
    </w:p>
    <w:p w14:paraId="4D4F1CE0" w14:textId="239E76FE" w:rsidR="00240C95" w:rsidRPr="005A44CE" w:rsidRDefault="00240C95" w:rsidP="00240C95">
      <w:pPr>
        <w:pStyle w:val="NormalWeb"/>
        <w:numPr>
          <w:ilvl w:val="0"/>
          <w:numId w:val="13"/>
        </w:numPr>
        <w:spacing w:before="0" w:beforeAutospacing="0" w:after="0" w:afterAutospacing="0" w:line="480" w:lineRule="auto"/>
        <w:rPr>
          <w:spacing w:val="5"/>
          <w:shd w:val="clear" w:color="auto" w:fill="FFFFFF"/>
        </w:rPr>
      </w:pPr>
      <w:proofErr w:type="spellStart"/>
      <w:r w:rsidRPr="005A44CE">
        <w:rPr>
          <w:color w:val="222222"/>
          <w:shd w:val="clear" w:color="auto" w:fill="FFFFFF"/>
        </w:rPr>
        <w:t>Milhausen</w:t>
      </w:r>
      <w:proofErr w:type="spellEnd"/>
      <w:r w:rsidRPr="005A44CE">
        <w:rPr>
          <w:color w:val="222222"/>
          <w:shd w:val="clear" w:color="auto" w:fill="FFFFFF"/>
        </w:rPr>
        <w:t xml:space="preserve"> RR</w:t>
      </w:r>
      <w:r>
        <w:rPr>
          <w:color w:val="222222"/>
          <w:shd w:val="clear" w:color="auto" w:fill="FFFFFF"/>
        </w:rPr>
        <w:t>,</w:t>
      </w:r>
      <w:r w:rsidRPr="005A44CE">
        <w:rPr>
          <w:color w:val="222222"/>
          <w:shd w:val="clear" w:color="auto" w:fill="FFFFFF"/>
        </w:rPr>
        <w:t xml:space="preserve"> Herold ES. Reconceptualizing the sexual double standard. </w:t>
      </w:r>
      <w:r w:rsidRPr="005A44CE">
        <w:rPr>
          <w:i/>
          <w:iCs/>
          <w:color w:val="222222"/>
          <w:shd w:val="clear" w:color="auto" w:fill="FFFFFF"/>
        </w:rPr>
        <w:t>J</w:t>
      </w:r>
      <w:r>
        <w:rPr>
          <w:i/>
          <w:iCs/>
          <w:color w:val="222222"/>
          <w:shd w:val="clear" w:color="auto" w:fill="FFFFFF"/>
        </w:rPr>
        <w:t xml:space="preserve"> </w:t>
      </w:r>
      <w:proofErr w:type="spellStart"/>
      <w:r w:rsidRPr="005A44CE">
        <w:rPr>
          <w:i/>
          <w:iCs/>
          <w:color w:val="222222"/>
          <w:shd w:val="clear" w:color="auto" w:fill="FFFFFF"/>
        </w:rPr>
        <w:t>Psychol</w:t>
      </w:r>
      <w:proofErr w:type="spellEnd"/>
      <w:r w:rsidRPr="005A44CE">
        <w:rPr>
          <w:i/>
          <w:iCs/>
          <w:color w:val="222222"/>
          <w:shd w:val="clear" w:color="auto" w:fill="FFFFFF"/>
        </w:rPr>
        <w:t xml:space="preserve"> Human Sex</w:t>
      </w:r>
      <w:r>
        <w:rPr>
          <w:color w:val="222222"/>
          <w:shd w:val="clear" w:color="auto" w:fill="FFFFFF"/>
        </w:rPr>
        <w:t xml:space="preserve"> 2002;</w:t>
      </w:r>
      <w:r w:rsidRPr="005A44CE">
        <w:rPr>
          <w:color w:val="222222"/>
          <w:shd w:val="clear" w:color="auto" w:fill="FFFFFF"/>
        </w:rPr>
        <w:t> </w:t>
      </w:r>
      <w:r w:rsidRPr="00240C95">
        <w:rPr>
          <w:color w:val="222222"/>
          <w:shd w:val="clear" w:color="auto" w:fill="FFFFFF"/>
        </w:rPr>
        <w:t>13(2),</w:t>
      </w:r>
      <w:r w:rsidRPr="005A44CE">
        <w:rPr>
          <w:color w:val="222222"/>
          <w:shd w:val="clear" w:color="auto" w:fill="FFFFFF"/>
        </w:rPr>
        <w:t xml:space="preserve"> 63-83. </w:t>
      </w:r>
      <w:proofErr w:type="spellStart"/>
      <w:r w:rsidR="00105A01">
        <w:rPr>
          <w:color w:val="000000"/>
          <w:shd w:val="clear" w:color="auto" w:fill="FFFFFF"/>
        </w:rPr>
        <w:t>doi</w:t>
      </w:r>
      <w:proofErr w:type="spellEnd"/>
      <w:r w:rsidR="00105A01">
        <w:rPr>
          <w:color w:val="000000"/>
          <w:shd w:val="clear" w:color="auto" w:fill="FFFFFF"/>
        </w:rPr>
        <w:t>: 10.1300/J056v13n02_05</w:t>
      </w:r>
    </w:p>
    <w:p w14:paraId="6A0CA0F8" w14:textId="56C60666" w:rsidR="00240C95" w:rsidRPr="005A44CE" w:rsidRDefault="00240C95" w:rsidP="00240C95">
      <w:pPr>
        <w:pStyle w:val="NormalWeb"/>
        <w:numPr>
          <w:ilvl w:val="0"/>
          <w:numId w:val="13"/>
        </w:numPr>
        <w:spacing w:before="0" w:beforeAutospacing="0" w:after="0" w:afterAutospacing="0" w:line="480" w:lineRule="auto"/>
        <w:rPr>
          <w:color w:val="000000"/>
        </w:rPr>
      </w:pPr>
      <w:r w:rsidRPr="005A44CE">
        <w:rPr>
          <w:color w:val="222222"/>
          <w:shd w:val="clear" w:color="auto" w:fill="FFFFFF"/>
        </w:rPr>
        <w:t>Reeves C, Whitaker R, Parsonage RK, Robinson CA, Swale K, Bayley L. Sexual health services and education: Young people’s experiences and preferences. </w:t>
      </w:r>
      <w:r w:rsidRPr="005A44CE">
        <w:rPr>
          <w:i/>
          <w:iCs/>
          <w:color w:val="222222"/>
          <w:shd w:val="clear" w:color="auto" w:fill="FFFFFF"/>
        </w:rPr>
        <w:t xml:space="preserve">Health </w:t>
      </w:r>
      <w:proofErr w:type="spellStart"/>
      <w:r w:rsidRPr="005A44CE">
        <w:rPr>
          <w:i/>
          <w:iCs/>
          <w:color w:val="222222"/>
          <w:shd w:val="clear" w:color="auto" w:fill="FFFFFF"/>
        </w:rPr>
        <w:t>Educ</w:t>
      </w:r>
      <w:proofErr w:type="spellEnd"/>
      <w:r w:rsidRPr="005A44CE">
        <w:rPr>
          <w:i/>
          <w:iCs/>
          <w:color w:val="222222"/>
          <w:shd w:val="clear" w:color="auto" w:fill="FFFFFF"/>
        </w:rPr>
        <w:t xml:space="preserve"> J</w:t>
      </w:r>
      <w:r w:rsidRPr="005A44CE">
        <w:rPr>
          <w:color w:val="222222"/>
          <w:shd w:val="clear" w:color="auto" w:fill="FFFFFF"/>
        </w:rPr>
        <w:t> </w:t>
      </w:r>
      <w:r>
        <w:rPr>
          <w:color w:val="222222"/>
          <w:shd w:val="clear" w:color="auto" w:fill="FFFFFF"/>
        </w:rPr>
        <w:t>2006</w:t>
      </w:r>
      <w:r w:rsidRPr="00240C95">
        <w:rPr>
          <w:color w:val="222222"/>
          <w:shd w:val="clear" w:color="auto" w:fill="FFFFFF"/>
        </w:rPr>
        <w:t>; 65(</w:t>
      </w:r>
      <w:r w:rsidRPr="005A44CE">
        <w:rPr>
          <w:color w:val="222222"/>
          <w:shd w:val="clear" w:color="auto" w:fill="FFFFFF"/>
        </w:rPr>
        <w:t xml:space="preserve">4), 368-379. </w:t>
      </w:r>
      <w:proofErr w:type="spellStart"/>
      <w:r w:rsidR="00105A01">
        <w:rPr>
          <w:rStyle w:val="normaltextrun"/>
          <w:color w:val="222222"/>
          <w:shd w:val="clear" w:color="auto" w:fill="FFFFFF"/>
        </w:rPr>
        <w:t>doi</w:t>
      </w:r>
      <w:proofErr w:type="spellEnd"/>
      <w:r w:rsidR="00105A01">
        <w:rPr>
          <w:rStyle w:val="normaltextrun"/>
          <w:color w:val="222222"/>
          <w:shd w:val="clear" w:color="auto" w:fill="FFFFFF"/>
        </w:rPr>
        <w:t>: 10.1177/0017896906069381</w:t>
      </w:r>
    </w:p>
    <w:p w14:paraId="60D73E97" w14:textId="239C7B6A" w:rsidR="00240C95" w:rsidRPr="005A44CE" w:rsidRDefault="00240C95" w:rsidP="00240C95">
      <w:pPr>
        <w:pStyle w:val="NormalWeb"/>
        <w:numPr>
          <w:ilvl w:val="0"/>
          <w:numId w:val="13"/>
        </w:numPr>
        <w:spacing w:before="0" w:beforeAutospacing="0" w:after="0" w:afterAutospacing="0" w:line="480" w:lineRule="auto"/>
        <w:rPr>
          <w:rStyle w:val="Hyperlink"/>
          <w:color w:val="auto"/>
          <w:spacing w:val="5"/>
          <w:u w:val="none"/>
          <w:shd w:val="clear" w:color="auto" w:fill="FFFFFF"/>
        </w:rPr>
      </w:pPr>
      <w:proofErr w:type="spellStart"/>
      <w:r w:rsidRPr="005A44CE">
        <w:rPr>
          <w:shd w:val="clear" w:color="auto" w:fill="FFFFFF"/>
        </w:rPr>
        <w:t>Measor</w:t>
      </w:r>
      <w:proofErr w:type="spellEnd"/>
      <w:r w:rsidRPr="005A44CE">
        <w:rPr>
          <w:shd w:val="clear" w:color="auto" w:fill="FFFFFF"/>
        </w:rPr>
        <w:t xml:space="preserve"> L, Miller K, Tiffin C. </w:t>
      </w:r>
      <w:r w:rsidRPr="004F781F">
        <w:rPr>
          <w:i/>
          <w:iCs/>
          <w:shd w:val="clear" w:color="auto" w:fill="FFFFFF"/>
        </w:rPr>
        <w:t>Young people's views on sex education: Education, Attitudes, and Behaviour.</w:t>
      </w:r>
      <w:r w:rsidRPr="005A44CE">
        <w:rPr>
          <w:shd w:val="clear" w:color="auto" w:fill="FFFFFF"/>
        </w:rPr>
        <w:t xml:space="preserve"> Routledge</w:t>
      </w:r>
      <w:r w:rsidR="004F781F">
        <w:rPr>
          <w:shd w:val="clear" w:color="auto" w:fill="FFFFFF"/>
        </w:rPr>
        <w:t>; 2012.</w:t>
      </w:r>
      <w:r w:rsidR="00105A01" w:rsidRPr="00105A01">
        <w:t xml:space="preserve"> </w:t>
      </w:r>
      <w:hyperlink r:id="rId14" w:tgtFrame="_blank" w:history="1">
        <w:proofErr w:type="spellStart"/>
        <w:r w:rsidR="00105A01">
          <w:rPr>
            <w:rStyle w:val="normaltextrun"/>
            <w:shd w:val="clear" w:color="auto" w:fill="FFFFFF"/>
          </w:rPr>
          <w:t>doi</w:t>
        </w:r>
        <w:proofErr w:type="spellEnd"/>
        <w:r w:rsidR="00105A01">
          <w:rPr>
            <w:rStyle w:val="normaltextrun"/>
            <w:shd w:val="clear" w:color="auto" w:fill="FFFFFF"/>
          </w:rPr>
          <w:t>: 10.4324/9780203046692</w:t>
        </w:r>
      </w:hyperlink>
    </w:p>
    <w:p w14:paraId="0FEED1FB" w14:textId="0533B1C9" w:rsidR="004F781F" w:rsidRPr="004F781F" w:rsidRDefault="004F781F" w:rsidP="009C7BD5">
      <w:pPr>
        <w:pStyle w:val="NormalWeb"/>
        <w:numPr>
          <w:ilvl w:val="0"/>
          <w:numId w:val="13"/>
        </w:numPr>
        <w:spacing w:before="0" w:beforeAutospacing="0" w:after="0" w:afterAutospacing="0" w:line="480" w:lineRule="auto"/>
        <w:rPr>
          <w:color w:val="000000"/>
          <w:shd w:val="clear" w:color="auto" w:fill="FFFFFF"/>
        </w:rPr>
      </w:pPr>
      <w:r w:rsidRPr="004F781F">
        <w:rPr>
          <w:color w:val="222222"/>
          <w:shd w:val="clear" w:color="auto" w:fill="FFFFFF"/>
        </w:rPr>
        <w:t>Campbell S. Sexual health needs and the LGBT community. </w:t>
      </w:r>
      <w:proofErr w:type="spellStart"/>
      <w:r w:rsidRPr="004F781F">
        <w:rPr>
          <w:i/>
          <w:iCs/>
          <w:color w:val="222222"/>
          <w:shd w:val="clear" w:color="auto" w:fill="FFFFFF"/>
        </w:rPr>
        <w:t>Nurs</w:t>
      </w:r>
      <w:proofErr w:type="spellEnd"/>
      <w:r w:rsidRPr="004F781F">
        <w:rPr>
          <w:i/>
          <w:iCs/>
          <w:color w:val="222222"/>
          <w:shd w:val="clear" w:color="auto" w:fill="FFFFFF"/>
        </w:rPr>
        <w:t xml:space="preserve"> Stand</w:t>
      </w:r>
      <w:r w:rsidRPr="004F781F">
        <w:rPr>
          <w:color w:val="222222"/>
          <w:shd w:val="clear" w:color="auto" w:fill="FFFFFF"/>
        </w:rPr>
        <w:t> </w:t>
      </w:r>
      <w:r>
        <w:rPr>
          <w:color w:val="222222"/>
          <w:shd w:val="clear" w:color="auto" w:fill="FFFFFF"/>
        </w:rPr>
        <w:t xml:space="preserve">2013; </w:t>
      </w:r>
      <w:r w:rsidRPr="004F781F">
        <w:rPr>
          <w:color w:val="222222"/>
          <w:shd w:val="clear" w:color="auto" w:fill="FFFFFF"/>
        </w:rPr>
        <w:t xml:space="preserve">27(32), 35-38. </w:t>
      </w:r>
    </w:p>
    <w:p w14:paraId="31FF0448" w14:textId="34A3A668" w:rsidR="00BC21F1" w:rsidRPr="00105A01" w:rsidRDefault="004F781F" w:rsidP="000B0250">
      <w:pPr>
        <w:pStyle w:val="NormalWeb"/>
        <w:numPr>
          <w:ilvl w:val="0"/>
          <w:numId w:val="13"/>
        </w:numPr>
        <w:spacing w:before="0" w:beforeAutospacing="0" w:after="0" w:afterAutospacing="0" w:line="480" w:lineRule="auto"/>
        <w:rPr>
          <w:color w:val="000000"/>
        </w:rPr>
      </w:pPr>
      <w:proofErr w:type="spellStart"/>
      <w:r w:rsidRPr="005A44CE">
        <w:rPr>
          <w:color w:val="222222"/>
          <w:shd w:val="clear" w:color="auto" w:fill="FFFFFF"/>
        </w:rPr>
        <w:t>Eiduson</w:t>
      </w:r>
      <w:proofErr w:type="spellEnd"/>
      <w:r w:rsidRPr="005A44CE">
        <w:rPr>
          <w:color w:val="222222"/>
          <w:shd w:val="clear" w:color="auto" w:fill="FFFFFF"/>
        </w:rPr>
        <w:t xml:space="preserve"> R, Murchison GR, </w:t>
      </w:r>
      <w:proofErr w:type="spellStart"/>
      <w:r w:rsidRPr="005A44CE">
        <w:rPr>
          <w:color w:val="222222"/>
          <w:shd w:val="clear" w:color="auto" w:fill="FFFFFF"/>
        </w:rPr>
        <w:t>Agénor</w:t>
      </w:r>
      <w:proofErr w:type="spellEnd"/>
      <w:r w:rsidRPr="005A44CE">
        <w:rPr>
          <w:color w:val="222222"/>
          <w:shd w:val="clear" w:color="auto" w:fill="FFFFFF"/>
        </w:rPr>
        <w:t xml:space="preserve"> M, Suarez L, Gordon AR. Sexual healthcare experiences of nonbinary young adults. </w:t>
      </w:r>
      <w:r w:rsidRPr="005A44CE">
        <w:rPr>
          <w:i/>
          <w:iCs/>
          <w:color w:val="222222"/>
          <w:shd w:val="clear" w:color="auto" w:fill="FFFFFF"/>
        </w:rPr>
        <w:t>Cult Health Sex</w:t>
      </w:r>
      <w:r w:rsidRPr="005A44CE">
        <w:rPr>
          <w:color w:val="222222"/>
          <w:shd w:val="clear" w:color="auto" w:fill="FFFFFF"/>
        </w:rPr>
        <w:t> </w:t>
      </w:r>
      <w:r>
        <w:rPr>
          <w:color w:val="222222"/>
          <w:shd w:val="clear" w:color="auto" w:fill="FFFFFF"/>
        </w:rPr>
        <w:t xml:space="preserve">2022; </w:t>
      </w:r>
      <w:r w:rsidRPr="004F781F">
        <w:rPr>
          <w:color w:val="222222"/>
          <w:shd w:val="clear" w:color="auto" w:fill="FFFFFF"/>
        </w:rPr>
        <w:t>24(10</w:t>
      </w:r>
      <w:r w:rsidRPr="005A44CE">
        <w:rPr>
          <w:color w:val="222222"/>
          <w:shd w:val="clear" w:color="auto" w:fill="FFFFFF"/>
        </w:rPr>
        <w:t>), 1319-1335</w:t>
      </w:r>
      <w:r>
        <w:rPr>
          <w:color w:val="222222"/>
          <w:shd w:val="clear" w:color="auto" w:fill="FFFFFF"/>
        </w:rPr>
        <w:t>.</w:t>
      </w:r>
      <w:r w:rsidR="00105A01">
        <w:rPr>
          <w:color w:val="222222"/>
          <w:shd w:val="clear" w:color="auto" w:fill="FFFFFF"/>
        </w:rPr>
        <w:t xml:space="preserve"> </w:t>
      </w:r>
      <w:proofErr w:type="spellStart"/>
      <w:r w:rsidR="00105A01">
        <w:rPr>
          <w:color w:val="000000"/>
          <w:shd w:val="clear" w:color="auto" w:fill="FFFFFF"/>
        </w:rPr>
        <w:t>doi</w:t>
      </w:r>
      <w:proofErr w:type="spellEnd"/>
      <w:r w:rsidR="00105A01">
        <w:rPr>
          <w:color w:val="000000"/>
          <w:shd w:val="clear" w:color="auto" w:fill="FFFFFF"/>
        </w:rPr>
        <w:t>: 10.1080/13691058.2021.1946595</w:t>
      </w:r>
    </w:p>
    <w:p w14:paraId="7F845982" w14:textId="14597E37" w:rsidR="00105A01" w:rsidRPr="005A44CE" w:rsidRDefault="00105A01" w:rsidP="00105A01">
      <w:pPr>
        <w:pStyle w:val="NormalWeb"/>
        <w:numPr>
          <w:ilvl w:val="0"/>
          <w:numId w:val="13"/>
        </w:numPr>
        <w:spacing w:before="0" w:beforeAutospacing="0" w:after="0" w:afterAutospacing="0" w:line="480" w:lineRule="auto"/>
        <w:rPr>
          <w:color w:val="000000"/>
        </w:rPr>
      </w:pPr>
      <w:proofErr w:type="spellStart"/>
      <w:r w:rsidRPr="005A44CE">
        <w:rPr>
          <w:color w:val="222222"/>
          <w:shd w:val="clear" w:color="auto" w:fill="FFFFFF"/>
        </w:rPr>
        <w:t>Parameshwaran</w:t>
      </w:r>
      <w:proofErr w:type="spellEnd"/>
      <w:r>
        <w:rPr>
          <w:color w:val="222222"/>
          <w:shd w:val="clear" w:color="auto" w:fill="FFFFFF"/>
        </w:rPr>
        <w:t xml:space="preserve"> </w:t>
      </w:r>
      <w:r w:rsidRPr="005A44CE">
        <w:rPr>
          <w:color w:val="222222"/>
          <w:shd w:val="clear" w:color="auto" w:fill="FFFFFF"/>
        </w:rPr>
        <w:t xml:space="preserve">V, </w:t>
      </w:r>
      <w:proofErr w:type="spellStart"/>
      <w:r w:rsidRPr="005A44CE">
        <w:rPr>
          <w:color w:val="222222"/>
          <w:shd w:val="clear" w:color="auto" w:fill="FFFFFF"/>
        </w:rPr>
        <w:t>Cockbain</w:t>
      </w:r>
      <w:proofErr w:type="spellEnd"/>
      <w:r w:rsidRPr="005A44CE">
        <w:rPr>
          <w:color w:val="222222"/>
          <w:shd w:val="clear" w:color="auto" w:fill="FFFFFF"/>
        </w:rPr>
        <w:t xml:space="preserve"> BC, Hillyard M, Price JR. Is the lack of specific lesbian, gay, bisexual, transgender and queer/questioning (LGBTQ) health care education in medical school a cause for concern? Evidence from a survey of knowledge and practice among UK medical students. </w:t>
      </w:r>
      <w:r w:rsidRPr="005A44CE">
        <w:rPr>
          <w:i/>
          <w:iCs/>
          <w:color w:val="222222"/>
          <w:shd w:val="clear" w:color="auto" w:fill="FFFFFF"/>
        </w:rPr>
        <w:t>J</w:t>
      </w:r>
      <w:r>
        <w:rPr>
          <w:i/>
          <w:iCs/>
          <w:color w:val="222222"/>
          <w:shd w:val="clear" w:color="auto" w:fill="FFFFFF"/>
        </w:rPr>
        <w:t xml:space="preserve"> </w:t>
      </w:r>
      <w:proofErr w:type="spellStart"/>
      <w:r w:rsidRPr="005A44CE">
        <w:rPr>
          <w:i/>
          <w:iCs/>
          <w:color w:val="222222"/>
          <w:shd w:val="clear" w:color="auto" w:fill="FFFFFF"/>
        </w:rPr>
        <w:t>Homosex</w:t>
      </w:r>
      <w:proofErr w:type="spellEnd"/>
      <w:r w:rsidRPr="005A44CE">
        <w:rPr>
          <w:color w:val="222222"/>
          <w:shd w:val="clear" w:color="auto" w:fill="FFFFFF"/>
        </w:rPr>
        <w:t> </w:t>
      </w:r>
      <w:r>
        <w:rPr>
          <w:color w:val="222222"/>
          <w:shd w:val="clear" w:color="auto" w:fill="FFFFFF"/>
        </w:rPr>
        <w:t xml:space="preserve">2017; </w:t>
      </w:r>
      <w:r w:rsidRPr="00105A01">
        <w:rPr>
          <w:color w:val="222222"/>
          <w:shd w:val="clear" w:color="auto" w:fill="FFFFFF"/>
        </w:rPr>
        <w:t>64(3),</w:t>
      </w:r>
      <w:r w:rsidRPr="005A44CE">
        <w:rPr>
          <w:color w:val="222222"/>
          <w:shd w:val="clear" w:color="auto" w:fill="FFFFFF"/>
        </w:rPr>
        <w:t xml:space="preserve"> 367-381. </w:t>
      </w:r>
      <w:proofErr w:type="spellStart"/>
      <w:r>
        <w:rPr>
          <w:color w:val="000000"/>
        </w:rPr>
        <w:t>d</w:t>
      </w:r>
      <w:r w:rsidRPr="005A44CE">
        <w:rPr>
          <w:color w:val="000000"/>
        </w:rPr>
        <w:t>oi</w:t>
      </w:r>
      <w:proofErr w:type="spellEnd"/>
      <w:r>
        <w:rPr>
          <w:color w:val="000000"/>
        </w:rPr>
        <w:t xml:space="preserve">: </w:t>
      </w:r>
      <w:r w:rsidRPr="005A44CE">
        <w:rPr>
          <w:color w:val="000000"/>
        </w:rPr>
        <w:t>10.1080/00918369.2016.1190218</w:t>
      </w:r>
      <w:r w:rsidRPr="005A44CE" w:rsidDel="00BA3857">
        <w:rPr>
          <w:color w:val="222222"/>
          <w:shd w:val="clear" w:color="auto" w:fill="FFFFFF"/>
        </w:rPr>
        <w:t xml:space="preserve"> </w:t>
      </w:r>
    </w:p>
    <w:p w14:paraId="1A48A682" w14:textId="66E812CC" w:rsidR="00105A01" w:rsidRPr="005A44CE" w:rsidRDefault="00105A01" w:rsidP="00105A01">
      <w:pPr>
        <w:pStyle w:val="NormalWeb"/>
        <w:numPr>
          <w:ilvl w:val="0"/>
          <w:numId w:val="13"/>
        </w:numPr>
        <w:spacing w:before="0" w:beforeAutospacing="0" w:after="0" w:afterAutospacing="0" w:line="480" w:lineRule="auto"/>
        <w:rPr>
          <w:color w:val="000000" w:themeColor="text1"/>
        </w:rPr>
      </w:pPr>
      <w:r w:rsidRPr="005A44CE">
        <w:rPr>
          <w:color w:val="000000" w:themeColor="text1"/>
          <w:shd w:val="clear" w:color="auto" w:fill="FFFFFF"/>
        </w:rPr>
        <w:t>Magee</w:t>
      </w:r>
      <w:r>
        <w:rPr>
          <w:color w:val="000000" w:themeColor="text1"/>
          <w:shd w:val="clear" w:color="auto" w:fill="FFFFFF"/>
        </w:rPr>
        <w:t xml:space="preserve"> </w:t>
      </w:r>
      <w:r w:rsidRPr="005A44CE">
        <w:rPr>
          <w:color w:val="000000" w:themeColor="text1"/>
          <w:shd w:val="clear" w:color="auto" w:fill="FFFFFF"/>
        </w:rPr>
        <w:t xml:space="preserve">JC, Bigelow L, DeHaan S, </w:t>
      </w:r>
      <w:proofErr w:type="spellStart"/>
      <w:r w:rsidRPr="005A44CE">
        <w:rPr>
          <w:color w:val="000000" w:themeColor="text1"/>
          <w:shd w:val="clear" w:color="auto" w:fill="FFFFFF"/>
        </w:rPr>
        <w:t>Mustanski</w:t>
      </w:r>
      <w:proofErr w:type="spellEnd"/>
      <w:r w:rsidRPr="005A44CE">
        <w:rPr>
          <w:color w:val="000000" w:themeColor="text1"/>
          <w:shd w:val="clear" w:color="auto" w:fill="FFFFFF"/>
        </w:rPr>
        <w:t xml:space="preserve"> BS. Sexual health information seeking online: </w:t>
      </w:r>
      <w:r>
        <w:rPr>
          <w:color w:val="000000" w:themeColor="text1"/>
          <w:shd w:val="clear" w:color="auto" w:fill="FFFFFF"/>
        </w:rPr>
        <w:t>A</w:t>
      </w:r>
      <w:r w:rsidRPr="005A44CE">
        <w:rPr>
          <w:color w:val="000000" w:themeColor="text1"/>
          <w:shd w:val="clear" w:color="auto" w:fill="FFFFFF"/>
        </w:rPr>
        <w:t xml:space="preserve"> mixed-methods study among lesbian, gay, bisexual, and transgender young people. </w:t>
      </w:r>
      <w:r w:rsidRPr="005A44CE">
        <w:rPr>
          <w:i/>
          <w:iCs/>
          <w:color w:val="000000" w:themeColor="text1"/>
          <w:shd w:val="clear" w:color="auto" w:fill="FFFFFF"/>
        </w:rPr>
        <w:t xml:space="preserve">Health </w:t>
      </w:r>
      <w:proofErr w:type="spellStart"/>
      <w:r w:rsidRPr="005A44CE">
        <w:rPr>
          <w:i/>
          <w:iCs/>
          <w:color w:val="000000" w:themeColor="text1"/>
          <w:shd w:val="clear" w:color="auto" w:fill="FFFFFF"/>
        </w:rPr>
        <w:t>Educ</w:t>
      </w:r>
      <w:proofErr w:type="spellEnd"/>
      <w:r w:rsidRPr="005A44CE">
        <w:rPr>
          <w:i/>
          <w:iCs/>
          <w:color w:val="000000" w:themeColor="text1"/>
          <w:shd w:val="clear" w:color="auto" w:fill="FFFFFF"/>
        </w:rPr>
        <w:t xml:space="preserve"> </w:t>
      </w:r>
      <w:proofErr w:type="spellStart"/>
      <w:r w:rsidRPr="005A44CE">
        <w:rPr>
          <w:i/>
          <w:iCs/>
          <w:color w:val="000000" w:themeColor="text1"/>
          <w:shd w:val="clear" w:color="auto" w:fill="FFFFFF"/>
        </w:rPr>
        <w:t>Behav</w:t>
      </w:r>
      <w:proofErr w:type="spellEnd"/>
      <w:r>
        <w:rPr>
          <w:color w:val="000000" w:themeColor="text1"/>
          <w:shd w:val="clear" w:color="auto" w:fill="FFFFFF"/>
        </w:rPr>
        <w:t xml:space="preserve"> 2012</w:t>
      </w:r>
      <w:r w:rsidRPr="00105A01">
        <w:rPr>
          <w:color w:val="000000" w:themeColor="text1"/>
          <w:shd w:val="clear" w:color="auto" w:fill="FFFFFF"/>
        </w:rPr>
        <w:t>; 39(3),</w:t>
      </w:r>
      <w:r w:rsidRPr="005A44CE">
        <w:rPr>
          <w:color w:val="000000" w:themeColor="text1"/>
          <w:shd w:val="clear" w:color="auto" w:fill="FFFFFF"/>
        </w:rPr>
        <w:t xml:space="preserve"> 276-289. </w:t>
      </w:r>
      <w:r>
        <w:rPr>
          <w:color w:val="000000" w:themeColor="text1"/>
        </w:rPr>
        <w:t>s</w:t>
      </w:r>
      <w:r w:rsidRPr="005A44CE">
        <w:rPr>
          <w:color w:val="000000" w:themeColor="text1"/>
        </w:rPr>
        <w:t>oi</w:t>
      </w:r>
      <w:r>
        <w:rPr>
          <w:color w:val="000000" w:themeColor="text1"/>
        </w:rPr>
        <w:t xml:space="preserve">: </w:t>
      </w:r>
      <w:r w:rsidRPr="005A44CE">
        <w:rPr>
          <w:color w:val="000000" w:themeColor="text1"/>
        </w:rPr>
        <w:t>10.1177/1090198111401384</w:t>
      </w:r>
    </w:p>
    <w:p w14:paraId="5F132359" w14:textId="77777777" w:rsidR="00D23257" w:rsidRDefault="0057307B" w:rsidP="00D23257">
      <w:pPr>
        <w:pStyle w:val="NormalWeb"/>
        <w:numPr>
          <w:ilvl w:val="0"/>
          <w:numId w:val="13"/>
        </w:numPr>
        <w:spacing w:before="0" w:beforeAutospacing="0" w:after="0" w:afterAutospacing="0" w:line="480" w:lineRule="auto"/>
        <w:rPr>
          <w:color w:val="000000"/>
        </w:rPr>
      </w:pPr>
      <w:r w:rsidRPr="00D23257">
        <w:rPr>
          <w:color w:val="000000" w:themeColor="text1"/>
          <w:shd w:val="clear" w:color="auto" w:fill="FFFFFF"/>
        </w:rPr>
        <w:lastRenderedPageBreak/>
        <w:t xml:space="preserve">Balfe M, </w:t>
      </w:r>
      <w:proofErr w:type="spellStart"/>
      <w:r w:rsidRPr="00D23257">
        <w:rPr>
          <w:color w:val="000000" w:themeColor="text1"/>
          <w:shd w:val="clear" w:color="auto" w:fill="FFFFFF"/>
        </w:rPr>
        <w:t>Brugha</w:t>
      </w:r>
      <w:proofErr w:type="spellEnd"/>
      <w:r w:rsidRPr="00D23257">
        <w:rPr>
          <w:color w:val="000000" w:themeColor="text1"/>
          <w:shd w:val="clear" w:color="auto" w:fill="FFFFFF"/>
        </w:rPr>
        <w:t xml:space="preserve"> R. What prompts young adults in Ireland to attend health services for STI testing? </w:t>
      </w:r>
      <w:r w:rsidRPr="00D23257">
        <w:rPr>
          <w:i/>
          <w:iCs/>
          <w:color w:val="000000" w:themeColor="text1"/>
          <w:shd w:val="clear" w:color="auto" w:fill="FFFFFF"/>
        </w:rPr>
        <w:t>BMC Public Health</w:t>
      </w:r>
      <w:r w:rsidR="00D23257">
        <w:rPr>
          <w:color w:val="000000" w:themeColor="text1"/>
          <w:shd w:val="clear" w:color="auto" w:fill="FFFFFF"/>
        </w:rPr>
        <w:t xml:space="preserve"> 2009;</w:t>
      </w:r>
      <w:r w:rsidRPr="00D23257">
        <w:rPr>
          <w:color w:val="000000" w:themeColor="text1"/>
          <w:shd w:val="clear" w:color="auto" w:fill="FFFFFF"/>
        </w:rPr>
        <w:t> </w:t>
      </w:r>
      <w:r w:rsidRPr="007B134A">
        <w:rPr>
          <w:color w:val="000000" w:themeColor="text1"/>
          <w:shd w:val="clear" w:color="auto" w:fill="FFFFFF"/>
        </w:rPr>
        <w:t>9,</w:t>
      </w:r>
      <w:r w:rsidRPr="00D23257">
        <w:rPr>
          <w:color w:val="000000" w:themeColor="text1"/>
          <w:shd w:val="clear" w:color="auto" w:fill="FFFFFF"/>
        </w:rPr>
        <w:t xml:space="preserve"> 1-10. </w:t>
      </w:r>
      <w:proofErr w:type="spellStart"/>
      <w:r w:rsidR="00D23257">
        <w:rPr>
          <w:color w:val="000000" w:themeColor="text1"/>
        </w:rPr>
        <w:t>doi</w:t>
      </w:r>
      <w:proofErr w:type="spellEnd"/>
      <w:r w:rsidR="00D23257">
        <w:rPr>
          <w:color w:val="000000" w:themeColor="text1"/>
        </w:rPr>
        <w:t xml:space="preserve">: </w:t>
      </w:r>
      <w:r w:rsidRPr="00D23257">
        <w:rPr>
          <w:color w:val="000000" w:themeColor="text1"/>
        </w:rPr>
        <w:t>10.1186/1471-2458-9-311</w:t>
      </w:r>
    </w:p>
    <w:p w14:paraId="047D60F9" w14:textId="77984301" w:rsidR="00031B94" w:rsidRDefault="00031B94" w:rsidP="00D23257">
      <w:pPr>
        <w:pStyle w:val="NormalWeb"/>
        <w:numPr>
          <w:ilvl w:val="0"/>
          <w:numId w:val="13"/>
        </w:numPr>
        <w:spacing w:before="0" w:beforeAutospacing="0" w:after="0" w:afterAutospacing="0" w:line="480" w:lineRule="auto"/>
        <w:rPr>
          <w:color w:val="000000"/>
        </w:rPr>
      </w:pPr>
      <w:r w:rsidRPr="00D23257">
        <w:rPr>
          <w:color w:val="222222"/>
          <w:shd w:val="clear" w:color="auto" w:fill="FFFFFF"/>
        </w:rPr>
        <w:t>Brown S. ‘They think it's all up to the girls’: gender, risk and responsibility for contraception. </w:t>
      </w:r>
      <w:r w:rsidRPr="00D23257">
        <w:rPr>
          <w:i/>
          <w:iCs/>
          <w:color w:val="222222"/>
          <w:shd w:val="clear" w:color="auto" w:fill="FFFFFF"/>
        </w:rPr>
        <w:t xml:space="preserve">Cult </w:t>
      </w:r>
      <w:r w:rsidR="000E3907" w:rsidRPr="00D23257">
        <w:rPr>
          <w:i/>
          <w:iCs/>
          <w:color w:val="222222"/>
          <w:shd w:val="clear" w:color="auto" w:fill="FFFFFF"/>
        </w:rPr>
        <w:t>H</w:t>
      </w:r>
      <w:r w:rsidRPr="00D23257">
        <w:rPr>
          <w:i/>
          <w:iCs/>
          <w:color w:val="222222"/>
          <w:shd w:val="clear" w:color="auto" w:fill="FFFFFF"/>
        </w:rPr>
        <w:t>ealth</w:t>
      </w:r>
      <w:r w:rsidR="00D23257">
        <w:rPr>
          <w:i/>
          <w:iCs/>
          <w:color w:val="222222"/>
          <w:shd w:val="clear" w:color="auto" w:fill="FFFFFF"/>
        </w:rPr>
        <w:t xml:space="preserve"> </w:t>
      </w:r>
      <w:r w:rsidR="000E3907" w:rsidRPr="00D23257">
        <w:rPr>
          <w:i/>
          <w:iCs/>
          <w:color w:val="222222"/>
          <w:shd w:val="clear" w:color="auto" w:fill="FFFFFF"/>
        </w:rPr>
        <w:t>S</w:t>
      </w:r>
      <w:r w:rsidRPr="00D23257">
        <w:rPr>
          <w:i/>
          <w:iCs/>
          <w:color w:val="222222"/>
          <w:shd w:val="clear" w:color="auto" w:fill="FFFFFF"/>
        </w:rPr>
        <w:t>ex</w:t>
      </w:r>
      <w:r w:rsidR="00D23257">
        <w:rPr>
          <w:color w:val="222222"/>
          <w:shd w:val="clear" w:color="auto" w:fill="FFFFFF"/>
        </w:rPr>
        <w:t xml:space="preserve"> 2015;</w:t>
      </w:r>
      <w:r w:rsidRPr="00D23257">
        <w:rPr>
          <w:color w:val="222222"/>
          <w:shd w:val="clear" w:color="auto" w:fill="FFFFFF"/>
        </w:rPr>
        <w:t> </w:t>
      </w:r>
      <w:r w:rsidRPr="007B134A">
        <w:rPr>
          <w:color w:val="222222"/>
          <w:shd w:val="clear" w:color="auto" w:fill="FFFFFF"/>
        </w:rPr>
        <w:t>17(3</w:t>
      </w:r>
      <w:r w:rsidRPr="00D23257">
        <w:rPr>
          <w:color w:val="222222"/>
          <w:shd w:val="clear" w:color="auto" w:fill="FFFFFF"/>
        </w:rPr>
        <w:t xml:space="preserve">), 312-325. </w:t>
      </w:r>
      <w:proofErr w:type="spellStart"/>
      <w:r w:rsidR="007B134A">
        <w:rPr>
          <w:color w:val="000000"/>
        </w:rPr>
        <w:t>d</w:t>
      </w:r>
      <w:r w:rsidRPr="00D23257">
        <w:rPr>
          <w:color w:val="000000"/>
        </w:rPr>
        <w:t>oi</w:t>
      </w:r>
      <w:proofErr w:type="spellEnd"/>
      <w:r w:rsidR="007B134A">
        <w:rPr>
          <w:color w:val="000000"/>
        </w:rPr>
        <w:t xml:space="preserve">: </w:t>
      </w:r>
      <w:r w:rsidRPr="00D23257">
        <w:rPr>
          <w:color w:val="000000"/>
        </w:rPr>
        <w:t>10.1080/13691058.2014.950983</w:t>
      </w:r>
    </w:p>
    <w:p w14:paraId="5ED6B722" w14:textId="2FA46383" w:rsidR="007B134A" w:rsidRPr="005A44CE" w:rsidRDefault="007B134A" w:rsidP="007B134A">
      <w:pPr>
        <w:pStyle w:val="NormalWeb"/>
        <w:numPr>
          <w:ilvl w:val="0"/>
          <w:numId w:val="13"/>
        </w:numPr>
        <w:spacing w:before="0" w:beforeAutospacing="0" w:after="0" w:afterAutospacing="0" w:line="480" w:lineRule="auto"/>
        <w:rPr>
          <w:color w:val="000000" w:themeColor="text1"/>
          <w:shd w:val="clear" w:color="auto" w:fill="FFFFFF"/>
        </w:rPr>
      </w:pPr>
      <w:r w:rsidRPr="005A44CE">
        <w:rPr>
          <w:color w:val="222222"/>
          <w:shd w:val="clear" w:color="auto" w:fill="FFFFFF"/>
        </w:rPr>
        <w:t>Williamson</w:t>
      </w:r>
      <w:r>
        <w:rPr>
          <w:color w:val="222222"/>
          <w:shd w:val="clear" w:color="auto" w:fill="FFFFFF"/>
        </w:rPr>
        <w:t xml:space="preserve"> </w:t>
      </w:r>
      <w:r w:rsidRPr="005A44CE">
        <w:rPr>
          <w:color w:val="222222"/>
          <w:shd w:val="clear" w:color="auto" w:fill="FFFFFF"/>
        </w:rPr>
        <w:t xml:space="preserve">LM, Buston K, Sweeting H. Young women and limits to the normalisation of condom use: </w:t>
      </w:r>
      <w:r>
        <w:rPr>
          <w:color w:val="222222"/>
          <w:shd w:val="clear" w:color="auto" w:fill="FFFFFF"/>
        </w:rPr>
        <w:t>A</w:t>
      </w:r>
      <w:r w:rsidRPr="005A44CE">
        <w:rPr>
          <w:color w:val="222222"/>
          <w:shd w:val="clear" w:color="auto" w:fill="FFFFFF"/>
        </w:rPr>
        <w:t xml:space="preserve"> qualitative study. </w:t>
      </w:r>
      <w:r w:rsidRPr="005A44CE">
        <w:rPr>
          <w:i/>
          <w:iCs/>
          <w:color w:val="222222"/>
          <w:shd w:val="clear" w:color="auto" w:fill="FFFFFF"/>
        </w:rPr>
        <w:t>A</w:t>
      </w:r>
      <w:r>
        <w:rPr>
          <w:i/>
          <w:iCs/>
          <w:color w:val="222222"/>
          <w:shd w:val="clear" w:color="auto" w:fill="FFFFFF"/>
        </w:rPr>
        <w:t>IDS</w:t>
      </w:r>
      <w:r w:rsidRPr="005A44CE">
        <w:rPr>
          <w:i/>
          <w:iCs/>
          <w:color w:val="222222"/>
          <w:shd w:val="clear" w:color="auto" w:fill="FFFFFF"/>
        </w:rPr>
        <w:t xml:space="preserve"> Care</w:t>
      </w:r>
      <w:r>
        <w:rPr>
          <w:color w:val="222222"/>
          <w:shd w:val="clear" w:color="auto" w:fill="FFFFFF"/>
        </w:rPr>
        <w:t xml:space="preserve"> 2009;</w:t>
      </w:r>
      <w:r w:rsidRPr="005A44CE">
        <w:rPr>
          <w:color w:val="222222"/>
          <w:shd w:val="clear" w:color="auto" w:fill="FFFFFF"/>
        </w:rPr>
        <w:t> </w:t>
      </w:r>
      <w:r w:rsidRPr="007B134A">
        <w:rPr>
          <w:color w:val="222222"/>
          <w:shd w:val="clear" w:color="auto" w:fill="FFFFFF"/>
        </w:rPr>
        <w:t>21(5</w:t>
      </w:r>
      <w:r w:rsidRPr="005A44CE">
        <w:rPr>
          <w:color w:val="222222"/>
          <w:shd w:val="clear" w:color="auto" w:fill="FFFFFF"/>
        </w:rPr>
        <w:t>), 561-566.</w:t>
      </w:r>
      <w:r>
        <w:rPr>
          <w:color w:val="222222"/>
          <w:shd w:val="clear" w:color="auto" w:fill="FFFFFF"/>
        </w:rPr>
        <w:t xml:space="preserve"> </w:t>
      </w:r>
      <w:proofErr w:type="spellStart"/>
      <w:r>
        <w:rPr>
          <w:color w:val="000000"/>
        </w:rPr>
        <w:t>d</w:t>
      </w:r>
      <w:r w:rsidRPr="005A44CE">
        <w:rPr>
          <w:color w:val="000000"/>
        </w:rPr>
        <w:t>oi</w:t>
      </w:r>
      <w:proofErr w:type="spellEnd"/>
      <w:r>
        <w:rPr>
          <w:color w:val="000000"/>
        </w:rPr>
        <w:t xml:space="preserve">: </w:t>
      </w:r>
      <w:r w:rsidRPr="005A44CE">
        <w:rPr>
          <w:color w:val="000000"/>
        </w:rPr>
        <w:t>10.1080/09540120802301857</w:t>
      </w:r>
    </w:p>
    <w:p w14:paraId="68BC89FF" w14:textId="735474F8" w:rsidR="007B134A" w:rsidRPr="005A44CE" w:rsidRDefault="007B134A" w:rsidP="007B134A">
      <w:pPr>
        <w:pStyle w:val="NormalWeb"/>
        <w:numPr>
          <w:ilvl w:val="0"/>
          <w:numId w:val="13"/>
        </w:numPr>
        <w:spacing w:before="0" w:beforeAutospacing="0" w:after="0" w:afterAutospacing="0" w:line="480" w:lineRule="auto"/>
      </w:pPr>
      <w:r w:rsidRPr="005A44CE">
        <w:rPr>
          <w:color w:val="222222"/>
          <w:shd w:val="clear" w:color="auto" w:fill="FFFFFF"/>
        </w:rPr>
        <w:t>Tanton C, Geary RS, Clifton S, Field N, Heap KL, Mapp F,</w:t>
      </w:r>
      <w:r>
        <w:rPr>
          <w:color w:val="222222"/>
          <w:shd w:val="clear" w:color="auto" w:fill="FFFFFF"/>
        </w:rPr>
        <w:t xml:space="preserve"> et al.</w:t>
      </w:r>
      <w:r w:rsidRPr="005A44CE">
        <w:rPr>
          <w:color w:val="222222"/>
          <w:shd w:val="clear" w:color="auto" w:fill="FFFFFF"/>
        </w:rPr>
        <w:t xml:space="preserve"> Sexual health clinic attendance and non-attendance in Britain: findings from the third National Survey of Sexual Attitudes and Lifestyles (Natsal-3).</w:t>
      </w:r>
      <w:r w:rsidRPr="005A44CE">
        <w:rPr>
          <w:rStyle w:val="apple-converted-space"/>
          <w:color w:val="222222"/>
          <w:shd w:val="clear" w:color="auto" w:fill="FFFFFF"/>
        </w:rPr>
        <w:t> </w:t>
      </w:r>
      <w:r w:rsidRPr="005A44CE">
        <w:rPr>
          <w:i/>
          <w:iCs/>
          <w:color w:val="000000" w:themeColor="text1"/>
          <w:shd w:val="clear" w:color="auto" w:fill="FFFFFF"/>
        </w:rPr>
        <w:t xml:space="preserve">Sex </w:t>
      </w:r>
      <w:proofErr w:type="spellStart"/>
      <w:r w:rsidRPr="005A44CE">
        <w:rPr>
          <w:i/>
          <w:iCs/>
          <w:color w:val="000000" w:themeColor="text1"/>
          <w:shd w:val="clear" w:color="auto" w:fill="FFFFFF"/>
        </w:rPr>
        <w:t>Transm</w:t>
      </w:r>
      <w:proofErr w:type="spellEnd"/>
      <w:r w:rsidRPr="005A44CE">
        <w:rPr>
          <w:i/>
          <w:iCs/>
          <w:color w:val="000000" w:themeColor="text1"/>
          <w:shd w:val="clear" w:color="auto" w:fill="FFFFFF"/>
        </w:rPr>
        <w:t xml:space="preserve"> Infect</w:t>
      </w:r>
      <w:r>
        <w:rPr>
          <w:color w:val="000000" w:themeColor="text1"/>
          <w:shd w:val="clear" w:color="auto" w:fill="FFFFFF"/>
        </w:rPr>
        <w:t xml:space="preserve"> </w:t>
      </w:r>
      <w:r>
        <w:rPr>
          <w:color w:val="222222"/>
          <w:shd w:val="clear" w:color="auto" w:fill="FFFFFF"/>
        </w:rPr>
        <w:t>2018;</w:t>
      </w:r>
      <w:r w:rsidRPr="005A44CE">
        <w:rPr>
          <w:rStyle w:val="apple-converted-space"/>
          <w:color w:val="222222"/>
          <w:shd w:val="clear" w:color="auto" w:fill="FFFFFF"/>
        </w:rPr>
        <w:t> </w:t>
      </w:r>
      <w:r w:rsidRPr="005A44CE">
        <w:rPr>
          <w:i/>
          <w:iCs/>
          <w:color w:val="222222"/>
        </w:rPr>
        <w:t>94</w:t>
      </w:r>
      <w:r w:rsidRPr="005A44CE">
        <w:rPr>
          <w:color w:val="222222"/>
          <w:shd w:val="clear" w:color="auto" w:fill="FFFFFF"/>
        </w:rPr>
        <w:t>(4), 268-276.</w:t>
      </w:r>
      <w:r w:rsidRPr="005A44CE">
        <w:t xml:space="preserve"> </w:t>
      </w:r>
      <w:hyperlink r:id="rId15" w:tgtFrame="_new" w:history="1">
        <w:proofErr w:type="spellStart"/>
        <w:r w:rsidRPr="005A44CE">
          <w:rPr>
            <w:rStyle w:val="Hyperlink"/>
            <w:color w:val="2A6EBB"/>
          </w:rPr>
          <w:t>doi</w:t>
        </w:r>
        <w:proofErr w:type="spellEnd"/>
        <w:r>
          <w:rPr>
            <w:rStyle w:val="Hyperlink"/>
            <w:color w:val="2A6EBB"/>
          </w:rPr>
          <w:t xml:space="preserve">: </w:t>
        </w:r>
        <w:r w:rsidRPr="005A44CE">
          <w:rPr>
            <w:rStyle w:val="Hyperlink"/>
            <w:color w:val="2A6EBB"/>
          </w:rPr>
          <w:t>10.1136/sextrans-2017-053193</w:t>
        </w:r>
      </w:hyperlink>
    </w:p>
    <w:p w14:paraId="2F6CD3E9" w14:textId="2C7E0589" w:rsidR="007B134A" w:rsidRPr="005A44CE" w:rsidRDefault="007B134A" w:rsidP="007B134A">
      <w:pPr>
        <w:pStyle w:val="NormalWeb"/>
        <w:numPr>
          <w:ilvl w:val="0"/>
          <w:numId w:val="13"/>
        </w:numPr>
        <w:spacing w:before="0" w:beforeAutospacing="0" w:after="0" w:afterAutospacing="0" w:line="480" w:lineRule="auto"/>
        <w:rPr>
          <w:rStyle w:val="Hyperlink"/>
          <w:color w:val="000000" w:themeColor="text1"/>
          <w:u w:val="none"/>
          <w:shd w:val="clear" w:color="auto" w:fill="FFFFFF"/>
        </w:rPr>
      </w:pPr>
      <w:r w:rsidRPr="005A44CE">
        <w:rPr>
          <w:color w:val="222222"/>
          <w:shd w:val="clear" w:color="auto" w:fill="FFFFFF"/>
        </w:rPr>
        <w:t xml:space="preserve">Connolly J, McIsaac C, Shulman S, </w:t>
      </w:r>
      <w:proofErr w:type="spellStart"/>
      <w:r w:rsidRPr="005A44CE">
        <w:rPr>
          <w:color w:val="222222"/>
          <w:shd w:val="clear" w:color="auto" w:fill="FFFFFF"/>
        </w:rPr>
        <w:t>Wincentak</w:t>
      </w:r>
      <w:proofErr w:type="spellEnd"/>
      <w:r w:rsidRPr="005A44CE">
        <w:rPr>
          <w:color w:val="222222"/>
          <w:shd w:val="clear" w:color="auto" w:fill="FFFFFF"/>
        </w:rPr>
        <w:t xml:space="preserve"> K, Joly L, Heifetz M,</w:t>
      </w:r>
      <w:r>
        <w:rPr>
          <w:color w:val="222222"/>
          <w:shd w:val="clear" w:color="auto" w:fill="FFFFFF"/>
        </w:rPr>
        <w:t xml:space="preserve"> et al.</w:t>
      </w:r>
      <w:r w:rsidRPr="005A44CE">
        <w:rPr>
          <w:color w:val="222222"/>
          <w:shd w:val="clear" w:color="auto" w:fill="FFFFFF"/>
        </w:rPr>
        <w:t xml:space="preserve"> Development of romantic relationships in adolescence and emerging adulthood: Implications for community mental health.</w:t>
      </w:r>
      <w:r w:rsidRPr="005A44CE">
        <w:rPr>
          <w:rStyle w:val="apple-converted-space"/>
          <w:color w:val="222222"/>
          <w:shd w:val="clear" w:color="auto" w:fill="FFFFFF"/>
        </w:rPr>
        <w:t> </w:t>
      </w:r>
      <w:r w:rsidRPr="005A44CE">
        <w:rPr>
          <w:i/>
          <w:iCs/>
          <w:color w:val="222222"/>
        </w:rPr>
        <w:t xml:space="preserve">Can J Commun </w:t>
      </w:r>
      <w:proofErr w:type="spellStart"/>
      <w:r w:rsidRPr="005A44CE">
        <w:rPr>
          <w:i/>
          <w:iCs/>
          <w:color w:val="222222"/>
        </w:rPr>
        <w:t>Ment</w:t>
      </w:r>
      <w:proofErr w:type="spellEnd"/>
      <w:r w:rsidRPr="005A44CE">
        <w:rPr>
          <w:i/>
          <w:iCs/>
          <w:color w:val="222222"/>
        </w:rPr>
        <w:t xml:space="preserve"> Health</w:t>
      </w:r>
      <w:r>
        <w:rPr>
          <w:color w:val="222222"/>
          <w:shd w:val="clear" w:color="auto" w:fill="FFFFFF"/>
        </w:rPr>
        <w:t xml:space="preserve"> 2014;</w:t>
      </w:r>
      <w:r w:rsidRPr="005A44CE">
        <w:rPr>
          <w:rStyle w:val="apple-converted-space"/>
          <w:color w:val="222222"/>
          <w:shd w:val="clear" w:color="auto" w:fill="FFFFFF"/>
        </w:rPr>
        <w:t> </w:t>
      </w:r>
      <w:r w:rsidRPr="007B134A">
        <w:rPr>
          <w:color w:val="222222"/>
        </w:rPr>
        <w:t>33</w:t>
      </w:r>
      <w:r w:rsidRPr="007B134A">
        <w:rPr>
          <w:color w:val="222222"/>
          <w:shd w:val="clear" w:color="auto" w:fill="FFFFFF"/>
        </w:rPr>
        <w:t>(</w:t>
      </w:r>
      <w:r w:rsidRPr="005A44CE">
        <w:rPr>
          <w:color w:val="222222"/>
          <w:shd w:val="clear" w:color="auto" w:fill="FFFFFF"/>
        </w:rPr>
        <w:t>1), 7-19.</w:t>
      </w:r>
      <w:r w:rsidRPr="005A44CE" w:rsidDel="00FD5C75">
        <w:rPr>
          <w:color w:val="222222"/>
          <w:shd w:val="clear" w:color="auto" w:fill="FFFFFF"/>
        </w:rPr>
        <w:t xml:space="preserve"> </w:t>
      </w:r>
      <w:proofErr w:type="spellStart"/>
      <w:r w:rsidRPr="005A44CE">
        <w:rPr>
          <w:color w:val="222222"/>
          <w:shd w:val="clear" w:color="auto" w:fill="FFFFFF"/>
        </w:rPr>
        <w:t>doi</w:t>
      </w:r>
      <w:proofErr w:type="spellEnd"/>
      <w:r w:rsidRPr="005A44CE">
        <w:rPr>
          <w:color w:val="222222"/>
          <w:shd w:val="clear" w:color="auto" w:fill="FFFFFF"/>
        </w:rPr>
        <w:t xml:space="preserve">: 10.7870/cjcmh-2014-002 </w:t>
      </w:r>
    </w:p>
    <w:p w14:paraId="0EF752FF" w14:textId="77777777" w:rsidR="00D7455D" w:rsidRDefault="0063037A" w:rsidP="00D7455D">
      <w:pPr>
        <w:pStyle w:val="NormalWeb"/>
        <w:numPr>
          <w:ilvl w:val="0"/>
          <w:numId w:val="13"/>
        </w:numPr>
        <w:spacing w:before="0" w:beforeAutospacing="0" w:after="0" w:afterAutospacing="0" w:line="480" w:lineRule="auto"/>
        <w:rPr>
          <w:color w:val="000000"/>
        </w:rPr>
      </w:pPr>
      <w:r w:rsidRPr="005A44CE">
        <w:t xml:space="preserve">Carver K, Joyner K, </w:t>
      </w:r>
      <w:proofErr w:type="spellStart"/>
      <w:r w:rsidRPr="005A44CE">
        <w:t>Udry</w:t>
      </w:r>
      <w:proofErr w:type="spellEnd"/>
      <w:r w:rsidRPr="005A44CE">
        <w:t xml:space="preserve"> J</w:t>
      </w:r>
      <w:r w:rsidR="007B134A">
        <w:t>R</w:t>
      </w:r>
      <w:r w:rsidRPr="005A44CE">
        <w:t>. National estimates of adolescent romantic relationships. In</w:t>
      </w:r>
      <w:r w:rsidR="007B134A">
        <w:t>:</w:t>
      </w:r>
      <w:r w:rsidRPr="005A44CE">
        <w:t xml:space="preserve"> Florsheim</w:t>
      </w:r>
      <w:r w:rsidR="007B134A">
        <w:t xml:space="preserve"> P, editor.</w:t>
      </w:r>
      <w:r w:rsidRPr="005A44CE">
        <w:t xml:space="preserve"> </w:t>
      </w:r>
      <w:r w:rsidRPr="007B134A">
        <w:rPr>
          <w:i/>
          <w:iCs/>
        </w:rPr>
        <w:t xml:space="preserve">Adolescent romantic relations and sexual </w:t>
      </w:r>
      <w:proofErr w:type="spellStart"/>
      <w:r w:rsidRPr="007B134A">
        <w:rPr>
          <w:i/>
          <w:iCs/>
        </w:rPr>
        <w:t>behavior</w:t>
      </w:r>
      <w:proofErr w:type="spellEnd"/>
      <w:r w:rsidRPr="007B134A">
        <w:rPr>
          <w:i/>
          <w:iCs/>
        </w:rPr>
        <w:t>: Theory, research, and practical implications</w:t>
      </w:r>
      <w:r w:rsidRPr="005A44CE">
        <w:t xml:space="preserve">. Mahwah, NJ: </w:t>
      </w:r>
      <w:r w:rsidR="00DD237C">
        <w:t>L</w:t>
      </w:r>
      <w:r w:rsidRPr="005A44CE">
        <w:t>awrence Erlbaum Associates</w:t>
      </w:r>
      <w:r w:rsidR="007B134A">
        <w:t>; 2003. p. 23-56.</w:t>
      </w:r>
    </w:p>
    <w:p w14:paraId="02232F18" w14:textId="5280D201" w:rsidR="0041079F" w:rsidRPr="00D7455D" w:rsidRDefault="0041079F" w:rsidP="00D7455D">
      <w:pPr>
        <w:pStyle w:val="NormalWeb"/>
        <w:numPr>
          <w:ilvl w:val="0"/>
          <w:numId w:val="13"/>
        </w:numPr>
        <w:spacing w:before="0" w:beforeAutospacing="0" w:after="0" w:afterAutospacing="0" w:line="480" w:lineRule="auto"/>
        <w:rPr>
          <w:rStyle w:val="Hyperlink"/>
          <w:color w:val="000000"/>
          <w:u w:val="none"/>
        </w:rPr>
      </w:pPr>
      <w:r w:rsidRPr="00D7455D">
        <w:rPr>
          <w:color w:val="222222"/>
          <w:shd w:val="clear" w:color="auto" w:fill="FFFFFF"/>
        </w:rPr>
        <w:t xml:space="preserve">He F, Hensel DJ, </w:t>
      </w:r>
      <w:proofErr w:type="spellStart"/>
      <w:r w:rsidRPr="00D7455D">
        <w:rPr>
          <w:color w:val="222222"/>
          <w:shd w:val="clear" w:color="auto" w:fill="FFFFFF"/>
        </w:rPr>
        <w:t>Harezlak</w:t>
      </w:r>
      <w:proofErr w:type="spellEnd"/>
      <w:r w:rsidRPr="00D7455D">
        <w:rPr>
          <w:color w:val="222222"/>
          <w:shd w:val="clear" w:color="auto" w:fill="FFFFFF"/>
        </w:rPr>
        <w:t xml:space="preserve"> J, Fortenberry JD. Condom use as a function of number of coital events in new relationships.</w:t>
      </w:r>
      <w:r w:rsidRPr="00D7455D">
        <w:rPr>
          <w:rStyle w:val="apple-converted-space"/>
          <w:color w:val="222222"/>
          <w:shd w:val="clear" w:color="auto" w:fill="FFFFFF"/>
        </w:rPr>
        <w:t> </w:t>
      </w:r>
      <w:r w:rsidRPr="00D7455D">
        <w:rPr>
          <w:i/>
          <w:iCs/>
          <w:color w:val="222222"/>
        </w:rPr>
        <w:t xml:space="preserve">Sex </w:t>
      </w:r>
      <w:proofErr w:type="spellStart"/>
      <w:r w:rsidRPr="00D7455D">
        <w:rPr>
          <w:i/>
          <w:iCs/>
          <w:color w:val="222222"/>
        </w:rPr>
        <w:t>Transm</w:t>
      </w:r>
      <w:proofErr w:type="spellEnd"/>
      <w:r w:rsidRPr="00D7455D">
        <w:rPr>
          <w:i/>
          <w:iCs/>
          <w:color w:val="222222"/>
        </w:rPr>
        <w:t xml:space="preserve"> Dis</w:t>
      </w:r>
      <w:r w:rsidR="00D7455D">
        <w:rPr>
          <w:i/>
          <w:iCs/>
          <w:color w:val="222222"/>
        </w:rPr>
        <w:t xml:space="preserve"> </w:t>
      </w:r>
      <w:r w:rsidR="00D7455D">
        <w:rPr>
          <w:color w:val="222222"/>
        </w:rPr>
        <w:t>2016;</w:t>
      </w:r>
      <w:r w:rsidRPr="00D7455D">
        <w:rPr>
          <w:rStyle w:val="apple-converted-space"/>
          <w:color w:val="222222"/>
          <w:shd w:val="clear" w:color="auto" w:fill="FFFFFF"/>
        </w:rPr>
        <w:t> </w:t>
      </w:r>
      <w:r w:rsidRPr="00D7455D">
        <w:rPr>
          <w:color w:val="222222"/>
        </w:rPr>
        <w:t>43</w:t>
      </w:r>
      <w:r w:rsidRPr="00D7455D">
        <w:rPr>
          <w:color w:val="222222"/>
          <w:shd w:val="clear" w:color="auto" w:fill="FFFFFF"/>
        </w:rPr>
        <w:t>(2), 67</w:t>
      </w:r>
      <w:r w:rsidR="009B6608" w:rsidRPr="00D7455D">
        <w:rPr>
          <w:color w:val="222222"/>
          <w:shd w:val="clear" w:color="auto" w:fill="FFFFFF"/>
        </w:rPr>
        <w:t>-70</w:t>
      </w:r>
      <w:r w:rsidRPr="00D7455D">
        <w:rPr>
          <w:color w:val="222222"/>
          <w:shd w:val="clear" w:color="auto" w:fill="FFFFFF"/>
        </w:rPr>
        <w:t>.</w:t>
      </w:r>
      <w:r w:rsidR="009B6608" w:rsidRPr="00D7455D">
        <w:rPr>
          <w:color w:val="212121"/>
        </w:rPr>
        <w:t xml:space="preserve"> </w:t>
      </w:r>
      <w:proofErr w:type="spellStart"/>
      <w:r w:rsidR="009B6608" w:rsidRPr="00D7455D">
        <w:rPr>
          <w:color w:val="212121"/>
        </w:rPr>
        <w:t>doi</w:t>
      </w:r>
      <w:proofErr w:type="spellEnd"/>
      <w:r w:rsidR="009B6608" w:rsidRPr="00D7455D">
        <w:rPr>
          <w:color w:val="212121"/>
        </w:rPr>
        <w:t>: </w:t>
      </w:r>
      <w:hyperlink r:id="rId16" w:tgtFrame="_blank" w:history="1">
        <w:r w:rsidR="009B6608" w:rsidRPr="00D7455D">
          <w:rPr>
            <w:rStyle w:val="Hyperlink"/>
            <w:color w:val="4C2C92"/>
          </w:rPr>
          <w:t>10.1097/OLQ.0000000000000390</w:t>
        </w:r>
      </w:hyperlink>
    </w:p>
    <w:p w14:paraId="40489B53" w14:textId="2AD497F9" w:rsidR="00D7455D" w:rsidRPr="005A44CE" w:rsidRDefault="00D7455D" w:rsidP="00D7455D">
      <w:pPr>
        <w:pStyle w:val="NormalWeb"/>
        <w:numPr>
          <w:ilvl w:val="0"/>
          <w:numId w:val="13"/>
        </w:numPr>
        <w:spacing w:before="0" w:beforeAutospacing="0" w:after="0" w:afterAutospacing="0" w:line="480" w:lineRule="auto"/>
        <w:rPr>
          <w:color w:val="222222"/>
          <w:shd w:val="clear" w:color="auto" w:fill="FFFFFF"/>
        </w:rPr>
      </w:pPr>
      <w:r w:rsidRPr="005A44CE">
        <w:rPr>
          <w:color w:val="222222"/>
          <w:shd w:val="clear" w:color="auto" w:fill="FFFFFF"/>
        </w:rPr>
        <w:lastRenderedPageBreak/>
        <w:t>Webster P, Neal K. The ‘cost of living crisis’. </w:t>
      </w:r>
      <w:r w:rsidRPr="005A44CE">
        <w:rPr>
          <w:i/>
          <w:iCs/>
          <w:color w:val="222222"/>
          <w:shd w:val="clear" w:color="auto" w:fill="FFFFFF"/>
        </w:rPr>
        <w:t>J</w:t>
      </w:r>
      <w:r>
        <w:rPr>
          <w:i/>
          <w:iCs/>
          <w:color w:val="222222"/>
          <w:shd w:val="clear" w:color="auto" w:fill="FFFFFF"/>
        </w:rPr>
        <w:t xml:space="preserve"> </w:t>
      </w:r>
      <w:r w:rsidRPr="005A44CE">
        <w:rPr>
          <w:i/>
          <w:iCs/>
          <w:color w:val="222222"/>
          <w:shd w:val="clear" w:color="auto" w:fill="FFFFFF"/>
        </w:rPr>
        <w:t>Public Health</w:t>
      </w:r>
      <w:r>
        <w:rPr>
          <w:color w:val="222222"/>
          <w:shd w:val="clear" w:color="auto" w:fill="FFFFFF"/>
        </w:rPr>
        <w:t xml:space="preserve"> 2022;</w:t>
      </w:r>
      <w:r w:rsidRPr="005A44CE">
        <w:rPr>
          <w:color w:val="222222"/>
          <w:shd w:val="clear" w:color="auto" w:fill="FFFFFF"/>
        </w:rPr>
        <w:t> </w:t>
      </w:r>
      <w:r w:rsidRPr="005A44CE">
        <w:rPr>
          <w:i/>
          <w:iCs/>
          <w:color w:val="222222"/>
          <w:shd w:val="clear" w:color="auto" w:fill="FFFFFF"/>
        </w:rPr>
        <w:t>44</w:t>
      </w:r>
      <w:r w:rsidRPr="005A44CE">
        <w:rPr>
          <w:color w:val="222222"/>
          <w:shd w:val="clear" w:color="auto" w:fill="FFFFFF"/>
        </w:rPr>
        <w:t xml:space="preserve">(3), 475-476. </w:t>
      </w:r>
      <w:proofErr w:type="spellStart"/>
      <w:r>
        <w:rPr>
          <w:color w:val="000000"/>
        </w:rPr>
        <w:t>d</w:t>
      </w:r>
      <w:r w:rsidRPr="005A44CE">
        <w:rPr>
          <w:color w:val="000000"/>
        </w:rPr>
        <w:t>oi</w:t>
      </w:r>
      <w:proofErr w:type="spellEnd"/>
      <w:r>
        <w:rPr>
          <w:color w:val="000000"/>
        </w:rPr>
        <w:t xml:space="preserve">: </w:t>
      </w:r>
      <w:r w:rsidRPr="005A44CE">
        <w:rPr>
          <w:color w:val="000000"/>
        </w:rPr>
        <w:t>10.1093/</w:t>
      </w:r>
      <w:proofErr w:type="spellStart"/>
      <w:r w:rsidRPr="005A44CE">
        <w:rPr>
          <w:color w:val="000000"/>
        </w:rPr>
        <w:t>pubmed</w:t>
      </w:r>
      <w:proofErr w:type="spellEnd"/>
      <w:r w:rsidRPr="005A44CE">
        <w:rPr>
          <w:color w:val="000000"/>
        </w:rPr>
        <w:t>/fdac080</w:t>
      </w:r>
    </w:p>
    <w:p w14:paraId="5D3243AF" w14:textId="05F05997" w:rsidR="00D7455D" w:rsidRPr="005A44CE" w:rsidRDefault="00D7455D" w:rsidP="00D7455D">
      <w:pPr>
        <w:pStyle w:val="NormalWeb"/>
        <w:numPr>
          <w:ilvl w:val="0"/>
          <w:numId w:val="13"/>
        </w:numPr>
        <w:spacing w:before="0" w:beforeAutospacing="0" w:after="0" w:afterAutospacing="0" w:line="480" w:lineRule="auto"/>
        <w:rPr>
          <w:color w:val="000000"/>
        </w:rPr>
      </w:pPr>
      <w:proofErr w:type="spellStart"/>
      <w:r w:rsidRPr="005A44CE">
        <w:rPr>
          <w:color w:val="222222"/>
          <w:shd w:val="clear" w:color="auto" w:fill="FFFFFF"/>
        </w:rPr>
        <w:t>Wellings</w:t>
      </w:r>
      <w:proofErr w:type="spellEnd"/>
      <w:r>
        <w:rPr>
          <w:color w:val="222222"/>
          <w:shd w:val="clear" w:color="auto" w:fill="FFFFFF"/>
        </w:rPr>
        <w:t xml:space="preserve"> </w:t>
      </w:r>
      <w:r w:rsidRPr="005A44CE">
        <w:rPr>
          <w:color w:val="222222"/>
          <w:shd w:val="clear" w:color="auto" w:fill="FFFFFF"/>
        </w:rPr>
        <w:t>K, Jones KG, Mercer CH, Tanton C, Clifton S, Datta J,</w:t>
      </w:r>
      <w:r>
        <w:rPr>
          <w:color w:val="222222"/>
          <w:shd w:val="clear" w:color="auto" w:fill="FFFFFF"/>
        </w:rPr>
        <w:t xml:space="preserve"> et al.</w:t>
      </w:r>
      <w:r w:rsidRPr="005A44CE">
        <w:rPr>
          <w:color w:val="222222"/>
          <w:shd w:val="clear" w:color="auto" w:fill="FFFFFF"/>
        </w:rPr>
        <w:t xml:space="preserve"> The prevalence of unplanned pregnancy and associated factors in Britain: </w:t>
      </w:r>
      <w:r>
        <w:rPr>
          <w:color w:val="222222"/>
          <w:shd w:val="clear" w:color="auto" w:fill="FFFFFF"/>
        </w:rPr>
        <w:t>F</w:t>
      </w:r>
      <w:r w:rsidRPr="005A44CE">
        <w:rPr>
          <w:color w:val="222222"/>
          <w:shd w:val="clear" w:color="auto" w:fill="FFFFFF"/>
        </w:rPr>
        <w:t>indings from the third National Survey of Sexual Attitudes and Lifestyles (Natsal-3).</w:t>
      </w:r>
      <w:r w:rsidRPr="005A44CE">
        <w:rPr>
          <w:rStyle w:val="apple-converted-space"/>
          <w:color w:val="222222"/>
          <w:shd w:val="clear" w:color="auto" w:fill="FFFFFF"/>
        </w:rPr>
        <w:t> </w:t>
      </w:r>
      <w:r w:rsidRPr="005A44CE">
        <w:rPr>
          <w:i/>
          <w:iCs/>
          <w:color w:val="222222"/>
        </w:rPr>
        <w:t>Lancet</w:t>
      </w:r>
      <w:r>
        <w:rPr>
          <w:color w:val="222222"/>
          <w:shd w:val="clear" w:color="auto" w:fill="FFFFFF"/>
        </w:rPr>
        <w:t xml:space="preserve"> 2013;</w:t>
      </w:r>
      <w:r w:rsidRPr="005A44CE">
        <w:rPr>
          <w:rStyle w:val="apple-converted-space"/>
          <w:color w:val="222222"/>
          <w:shd w:val="clear" w:color="auto" w:fill="FFFFFF"/>
        </w:rPr>
        <w:t> </w:t>
      </w:r>
      <w:r w:rsidRPr="00D7455D">
        <w:rPr>
          <w:color w:val="222222"/>
        </w:rPr>
        <w:t>382</w:t>
      </w:r>
      <w:r w:rsidRPr="00D7455D">
        <w:rPr>
          <w:color w:val="222222"/>
          <w:shd w:val="clear" w:color="auto" w:fill="FFFFFF"/>
        </w:rPr>
        <w:t>(9907</w:t>
      </w:r>
      <w:r w:rsidRPr="005A44CE">
        <w:rPr>
          <w:color w:val="222222"/>
          <w:shd w:val="clear" w:color="auto" w:fill="FFFFFF"/>
        </w:rPr>
        <w:t xml:space="preserve">), 1807-1816. </w:t>
      </w:r>
      <w:proofErr w:type="spellStart"/>
      <w:r w:rsidRPr="00D7455D">
        <w:rPr>
          <w:color w:val="222222"/>
          <w:shd w:val="clear" w:color="auto" w:fill="FFFFFF"/>
        </w:rPr>
        <w:t>doi</w:t>
      </w:r>
      <w:proofErr w:type="spellEnd"/>
      <w:r>
        <w:rPr>
          <w:color w:val="222222"/>
          <w:shd w:val="clear" w:color="auto" w:fill="FFFFFF"/>
        </w:rPr>
        <w:t xml:space="preserve">: </w:t>
      </w:r>
      <w:r w:rsidRPr="005A44CE">
        <w:rPr>
          <w:color w:val="222222"/>
          <w:shd w:val="clear" w:color="auto" w:fill="FFFFFF"/>
        </w:rPr>
        <w:t>10.1016/S0140-6736(13)62071-1</w:t>
      </w:r>
    </w:p>
    <w:p w14:paraId="6E16A89B" w14:textId="32DE3DAD" w:rsidR="007E0A24" w:rsidRPr="00D7455D" w:rsidRDefault="00E546B3" w:rsidP="00D7455D">
      <w:pPr>
        <w:pStyle w:val="NormalWeb"/>
        <w:numPr>
          <w:ilvl w:val="0"/>
          <w:numId w:val="13"/>
        </w:numPr>
        <w:spacing w:before="0" w:beforeAutospacing="0" w:after="0" w:afterAutospacing="0" w:line="480" w:lineRule="auto"/>
        <w:rPr>
          <w:color w:val="000000"/>
        </w:rPr>
      </w:pPr>
      <w:proofErr w:type="spellStart"/>
      <w:r w:rsidRPr="00D7455D">
        <w:rPr>
          <w:color w:val="222222"/>
          <w:shd w:val="clear" w:color="auto" w:fill="FFFFFF"/>
        </w:rPr>
        <w:t>LaCross</w:t>
      </w:r>
      <w:proofErr w:type="spellEnd"/>
      <w:r w:rsidR="00D7455D">
        <w:rPr>
          <w:color w:val="222222"/>
          <w:shd w:val="clear" w:color="auto" w:fill="FFFFFF"/>
        </w:rPr>
        <w:t xml:space="preserve"> </w:t>
      </w:r>
      <w:r w:rsidRPr="00D7455D">
        <w:rPr>
          <w:color w:val="222222"/>
          <w:shd w:val="clear" w:color="auto" w:fill="FFFFFF"/>
        </w:rPr>
        <w:t xml:space="preserve">A, </w:t>
      </w:r>
      <w:proofErr w:type="spellStart"/>
      <w:r w:rsidRPr="00D7455D">
        <w:rPr>
          <w:color w:val="222222"/>
          <w:shd w:val="clear" w:color="auto" w:fill="FFFFFF"/>
        </w:rPr>
        <w:t>Smaldone</w:t>
      </w:r>
      <w:proofErr w:type="spellEnd"/>
      <w:r w:rsidRPr="00D7455D">
        <w:rPr>
          <w:color w:val="222222"/>
          <w:shd w:val="clear" w:color="auto" w:fill="FFFFFF"/>
        </w:rPr>
        <w:t xml:space="preserve"> A, Angelson J. Ambivalence </w:t>
      </w:r>
      <w:r w:rsidR="00DD237C" w:rsidRPr="00D7455D">
        <w:rPr>
          <w:color w:val="222222"/>
          <w:shd w:val="clear" w:color="auto" w:fill="FFFFFF"/>
        </w:rPr>
        <w:t>t</w:t>
      </w:r>
      <w:r w:rsidRPr="00D7455D">
        <w:rPr>
          <w:color w:val="222222"/>
          <w:shd w:val="clear" w:color="auto" w:fill="FFFFFF"/>
        </w:rPr>
        <w:t xml:space="preserve">oward </w:t>
      </w:r>
      <w:r w:rsidR="00DD237C" w:rsidRPr="00D7455D">
        <w:rPr>
          <w:color w:val="222222"/>
          <w:shd w:val="clear" w:color="auto" w:fill="FFFFFF"/>
        </w:rPr>
        <w:t>p</w:t>
      </w:r>
      <w:r w:rsidRPr="00D7455D">
        <w:rPr>
          <w:color w:val="222222"/>
          <w:shd w:val="clear" w:color="auto" w:fill="FFFFFF"/>
        </w:rPr>
        <w:t xml:space="preserve">regnancy as an </w:t>
      </w:r>
      <w:r w:rsidR="00DD237C" w:rsidRPr="00D7455D">
        <w:rPr>
          <w:color w:val="222222"/>
          <w:shd w:val="clear" w:color="auto" w:fill="FFFFFF"/>
        </w:rPr>
        <w:t>i</w:t>
      </w:r>
      <w:r w:rsidRPr="00D7455D">
        <w:rPr>
          <w:color w:val="222222"/>
          <w:shd w:val="clear" w:color="auto" w:fill="FFFFFF"/>
        </w:rPr>
        <w:t xml:space="preserve">ndicator for </w:t>
      </w:r>
      <w:r w:rsidR="00DD237C" w:rsidRPr="00D7455D">
        <w:rPr>
          <w:color w:val="222222"/>
          <w:shd w:val="clear" w:color="auto" w:fill="FFFFFF"/>
        </w:rPr>
        <w:t>c</w:t>
      </w:r>
      <w:r w:rsidRPr="00D7455D">
        <w:rPr>
          <w:color w:val="222222"/>
          <w:shd w:val="clear" w:color="auto" w:fill="FFFFFF"/>
        </w:rPr>
        <w:t xml:space="preserve">ontraceptive </w:t>
      </w:r>
      <w:proofErr w:type="spellStart"/>
      <w:r w:rsidR="00DD237C" w:rsidRPr="00D7455D">
        <w:rPr>
          <w:color w:val="222222"/>
          <w:shd w:val="clear" w:color="auto" w:fill="FFFFFF"/>
        </w:rPr>
        <w:t>n</w:t>
      </w:r>
      <w:r w:rsidRPr="00D7455D">
        <w:rPr>
          <w:color w:val="222222"/>
          <w:shd w:val="clear" w:color="auto" w:fill="FFFFFF"/>
        </w:rPr>
        <w:t>onuse</w:t>
      </w:r>
      <w:proofErr w:type="spellEnd"/>
      <w:r w:rsidRPr="00D7455D">
        <w:rPr>
          <w:color w:val="222222"/>
          <w:shd w:val="clear" w:color="auto" w:fill="FFFFFF"/>
        </w:rPr>
        <w:t xml:space="preserve">: A </w:t>
      </w:r>
      <w:r w:rsidR="00DD237C" w:rsidRPr="00D7455D">
        <w:rPr>
          <w:color w:val="222222"/>
          <w:shd w:val="clear" w:color="auto" w:fill="FFFFFF"/>
        </w:rPr>
        <w:t>s</w:t>
      </w:r>
      <w:r w:rsidRPr="00D7455D">
        <w:rPr>
          <w:color w:val="222222"/>
          <w:shd w:val="clear" w:color="auto" w:fill="FFFFFF"/>
        </w:rPr>
        <w:t xml:space="preserve">ystematic </w:t>
      </w:r>
      <w:r w:rsidR="00DD237C" w:rsidRPr="00D7455D">
        <w:rPr>
          <w:color w:val="222222"/>
          <w:shd w:val="clear" w:color="auto" w:fill="FFFFFF"/>
        </w:rPr>
        <w:t>r</w:t>
      </w:r>
      <w:r w:rsidRPr="00D7455D">
        <w:rPr>
          <w:color w:val="222222"/>
          <w:shd w:val="clear" w:color="auto" w:fill="FFFFFF"/>
        </w:rPr>
        <w:t xml:space="preserve">eview and </w:t>
      </w:r>
      <w:r w:rsidR="00DD237C" w:rsidRPr="00D7455D">
        <w:rPr>
          <w:color w:val="222222"/>
          <w:shd w:val="clear" w:color="auto" w:fill="FFFFFF"/>
        </w:rPr>
        <w:t>m</w:t>
      </w:r>
      <w:r w:rsidRPr="00D7455D">
        <w:rPr>
          <w:color w:val="222222"/>
          <w:shd w:val="clear" w:color="auto" w:fill="FFFFFF"/>
        </w:rPr>
        <w:t>eta‐</w:t>
      </w:r>
      <w:r w:rsidR="00DD237C" w:rsidRPr="00D7455D">
        <w:rPr>
          <w:color w:val="222222"/>
          <w:shd w:val="clear" w:color="auto" w:fill="FFFFFF"/>
        </w:rPr>
        <w:t>a</w:t>
      </w:r>
      <w:r w:rsidRPr="00D7455D">
        <w:rPr>
          <w:color w:val="222222"/>
          <w:shd w:val="clear" w:color="auto" w:fill="FFFFFF"/>
        </w:rPr>
        <w:t>nalysis.</w:t>
      </w:r>
      <w:r w:rsidRPr="00D7455D">
        <w:rPr>
          <w:rStyle w:val="apple-converted-space"/>
          <w:color w:val="222222"/>
          <w:shd w:val="clear" w:color="auto" w:fill="FFFFFF"/>
        </w:rPr>
        <w:t> </w:t>
      </w:r>
      <w:r w:rsidRPr="00D7455D">
        <w:rPr>
          <w:i/>
          <w:iCs/>
          <w:color w:val="222222"/>
        </w:rPr>
        <w:t xml:space="preserve">J Midwifery </w:t>
      </w:r>
      <w:proofErr w:type="spellStart"/>
      <w:r w:rsidRPr="00D7455D">
        <w:rPr>
          <w:i/>
          <w:iCs/>
          <w:color w:val="222222"/>
        </w:rPr>
        <w:t>Womens</w:t>
      </w:r>
      <w:proofErr w:type="spellEnd"/>
      <w:r w:rsidRPr="00D7455D">
        <w:rPr>
          <w:i/>
          <w:iCs/>
          <w:color w:val="222222"/>
        </w:rPr>
        <w:t xml:space="preserve"> Health</w:t>
      </w:r>
      <w:r w:rsidR="00D7455D">
        <w:rPr>
          <w:color w:val="222222"/>
          <w:shd w:val="clear" w:color="auto" w:fill="FFFFFF"/>
        </w:rPr>
        <w:t xml:space="preserve"> 2019;</w:t>
      </w:r>
      <w:r w:rsidRPr="00D7455D">
        <w:rPr>
          <w:rStyle w:val="apple-converted-space"/>
          <w:color w:val="222222"/>
          <w:shd w:val="clear" w:color="auto" w:fill="FFFFFF"/>
        </w:rPr>
        <w:t> </w:t>
      </w:r>
      <w:r w:rsidRPr="00D7455D">
        <w:rPr>
          <w:i/>
          <w:iCs/>
          <w:color w:val="222222"/>
        </w:rPr>
        <w:t>64</w:t>
      </w:r>
      <w:r w:rsidRPr="00D7455D">
        <w:rPr>
          <w:color w:val="222222"/>
          <w:shd w:val="clear" w:color="auto" w:fill="FFFFFF"/>
        </w:rPr>
        <w:t>(4), 385-394.</w:t>
      </w:r>
      <w:r w:rsidRPr="005A44CE">
        <w:t xml:space="preserve"> </w:t>
      </w:r>
      <w:proofErr w:type="spellStart"/>
      <w:r w:rsidR="00D7455D">
        <w:rPr>
          <w:color w:val="222222"/>
          <w:shd w:val="clear" w:color="auto" w:fill="FFFFFF"/>
        </w:rPr>
        <w:t>d</w:t>
      </w:r>
      <w:r w:rsidRPr="00D7455D">
        <w:rPr>
          <w:color w:val="222222"/>
          <w:shd w:val="clear" w:color="auto" w:fill="FFFFFF"/>
        </w:rPr>
        <w:t>oi</w:t>
      </w:r>
      <w:proofErr w:type="spellEnd"/>
      <w:r w:rsidR="00D7455D">
        <w:rPr>
          <w:color w:val="222222"/>
          <w:shd w:val="clear" w:color="auto" w:fill="FFFFFF"/>
        </w:rPr>
        <w:t xml:space="preserve">: </w:t>
      </w:r>
      <w:r w:rsidRPr="00D7455D">
        <w:rPr>
          <w:color w:val="222222"/>
          <w:shd w:val="clear" w:color="auto" w:fill="FFFFFF"/>
        </w:rPr>
        <w:t>10.1111/jmwh.12969</w:t>
      </w:r>
    </w:p>
    <w:bookmarkEnd w:id="2"/>
    <w:p w14:paraId="574FCCA5" w14:textId="34EA5282" w:rsidR="00B0578C" w:rsidRPr="005A44CE" w:rsidRDefault="00B0578C" w:rsidP="00016B8B">
      <w:pPr>
        <w:rPr>
          <w:rFonts w:ascii="Times New Roman" w:hAnsi="Times New Roman"/>
          <w:sz w:val="24"/>
        </w:rPr>
      </w:pPr>
      <w:r w:rsidRPr="005A44CE">
        <w:rPr>
          <w:rFonts w:ascii="Times New Roman" w:hAnsi="Times New Roman"/>
          <w:b/>
          <w:bCs/>
          <w:sz w:val="24"/>
        </w:rPr>
        <w:br/>
      </w:r>
    </w:p>
    <w:p w14:paraId="7F74D5D9" w14:textId="1155F208" w:rsidR="00B0578C" w:rsidRDefault="0055421D">
      <w:pPr>
        <w:rPr>
          <w:rFonts w:ascii="Times New Roman" w:hAnsi="Times New Roman"/>
          <w:sz w:val="24"/>
        </w:rPr>
      </w:pPr>
      <w:r>
        <w:rPr>
          <w:rFonts w:ascii="Times New Roman" w:hAnsi="Times New Roman"/>
          <w:b/>
          <w:bCs/>
          <w:sz w:val="24"/>
        </w:rPr>
        <w:t xml:space="preserve">Data Availability Statement: </w:t>
      </w:r>
      <w:r>
        <w:rPr>
          <w:rFonts w:ascii="Times New Roman" w:hAnsi="Times New Roman"/>
          <w:sz w:val="24"/>
        </w:rPr>
        <w:t>Upon accepta</w:t>
      </w:r>
      <w:r w:rsidR="00D7455D">
        <w:rPr>
          <w:rFonts w:ascii="Times New Roman" w:hAnsi="Times New Roman"/>
          <w:sz w:val="24"/>
        </w:rPr>
        <w:t>nce</w:t>
      </w:r>
      <w:r>
        <w:rPr>
          <w:rFonts w:ascii="Times New Roman" w:hAnsi="Times New Roman"/>
          <w:sz w:val="24"/>
        </w:rPr>
        <w:t xml:space="preserve">, data will be made available through the University of Southampton data repository. A </w:t>
      </w:r>
      <w:proofErr w:type="spellStart"/>
      <w:r>
        <w:rPr>
          <w:rFonts w:ascii="Times New Roman" w:hAnsi="Times New Roman"/>
          <w:sz w:val="24"/>
        </w:rPr>
        <w:t>doi</w:t>
      </w:r>
      <w:proofErr w:type="spellEnd"/>
      <w:r>
        <w:rPr>
          <w:rFonts w:ascii="Times New Roman" w:hAnsi="Times New Roman"/>
          <w:sz w:val="24"/>
        </w:rPr>
        <w:t xml:space="preserve"> will</w:t>
      </w:r>
      <w:r w:rsidR="00D7455D">
        <w:rPr>
          <w:rFonts w:ascii="Times New Roman" w:hAnsi="Times New Roman"/>
          <w:sz w:val="24"/>
        </w:rPr>
        <w:t xml:space="preserve"> also</w:t>
      </w:r>
      <w:r>
        <w:rPr>
          <w:rFonts w:ascii="Times New Roman" w:hAnsi="Times New Roman"/>
          <w:sz w:val="24"/>
        </w:rPr>
        <w:t xml:space="preserve"> be</w:t>
      </w:r>
      <w:r w:rsidR="00D7455D">
        <w:rPr>
          <w:rFonts w:ascii="Times New Roman" w:hAnsi="Times New Roman"/>
          <w:sz w:val="24"/>
        </w:rPr>
        <w:t xml:space="preserve"> </w:t>
      </w:r>
      <w:r>
        <w:rPr>
          <w:rFonts w:ascii="Times New Roman" w:hAnsi="Times New Roman"/>
          <w:sz w:val="24"/>
        </w:rPr>
        <w:t xml:space="preserve">generated at that time. </w:t>
      </w:r>
    </w:p>
    <w:p w14:paraId="25D955FB" w14:textId="77777777" w:rsidR="0055421D" w:rsidRDefault="0055421D">
      <w:pPr>
        <w:rPr>
          <w:rFonts w:ascii="Times New Roman" w:hAnsi="Times New Roman"/>
          <w:sz w:val="24"/>
        </w:rPr>
      </w:pPr>
    </w:p>
    <w:p w14:paraId="0D94B0D5" w14:textId="2932CD03" w:rsidR="0055421D" w:rsidRDefault="0055421D">
      <w:pPr>
        <w:rPr>
          <w:rFonts w:ascii="Times New Roman" w:hAnsi="Times New Roman"/>
          <w:sz w:val="24"/>
        </w:rPr>
      </w:pPr>
      <w:r>
        <w:rPr>
          <w:rFonts w:ascii="Times New Roman" w:hAnsi="Times New Roman"/>
          <w:b/>
          <w:bCs/>
          <w:sz w:val="24"/>
        </w:rPr>
        <w:t xml:space="preserve">Conflicts of Interest: </w:t>
      </w:r>
      <w:r w:rsidR="00937540">
        <w:rPr>
          <w:rFonts w:ascii="Times New Roman" w:hAnsi="Times New Roman"/>
          <w:sz w:val="24"/>
        </w:rPr>
        <w:t xml:space="preserve">Heather Armstrong is an Associate Editor with </w:t>
      </w:r>
      <w:r w:rsidR="00937540">
        <w:rPr>
          <w:rFonts w:ascii="Times New Roman" w:hAnsi="Times New Roman"/>
          <w:i/>
          <w:iCs/>
          <w:sz w:val="24"/>
        </w:rPr>
        <w:t xml:space="preserve">Sexual Health. </w:t>
      </w:r>
      <w:r>
        <w:rPr>
          <w:rFonts w:ascii="Times New Roman" w:hAnsi="Times New Roman"/>
          <w:sz w:val="24"/>
        </w:rPr>
        <w:t>The</w:t>
      </w:r>
      <w:r w:rsidR="00937540">
        <w:rPr>
          <w:rFonts w:ascii="Times New Roman" w:hAnsi="Times New Roman"/>
          <w:sz w:val="24"/>
        </w:rPr>
        <w:t xml:space="preserve"> other</w:t>
      </w:r>
      <w:r>
        <w:rPr>
          <w:rFonts w:ascii="Times New Roman" w:hAnsi="Times New Roman"/>
          <w:sz w:val="24"/>
        </w:rPr>
        <w:t xml:space="preserve"> authors declare no conflicts of interest. </w:t>
      </w:r>
    </w:p>
    <w:p w14:paraId="27ABCFFC" w14:textId="77777777" w:rsidR="0055421D" w:rsidRDefault="0055421D">
      <w:pPr>
        <w:rPr>
          <w:rFonts w:ascii="Times New Roman" w:hAnsi="Times New Roman"/>
          <w:sz w:val="24"/>
        </w:rPr>
      </w:pPr>
    </w:p>
    <w:p w14:paraId="6B9CB921" w14:textId="1135D702" w:rsidR="0055421D" w:rsidRPr="0055421D" w:rsidRDefault="0055421D">
      <w:pPr>
        <w:rPr>
          <w:rFonts w:ascii="Times New Roman" w:hAnsi="Times New Roman"/>
          <w:sz w:val="24"/>
        </w:rPr>
      </w:pPr>
      <w:r>
        <w:rPr>
          <w:rFonts w:ascii="Times New Roman" w:hAnsi="Times New Roman"/>
          <w:b/>
          <w:bCs/>
          <w:sz w:val="24"/>
        </w:rPr>
        <w:t xml:space="preserve">Declaration of Funding: </w:t>
      </w:r>
      <w:r>
        <w:rPr>
          <w:rFonts w:ascii="Times New Roman" w:hAnsi="Times New Roman"/>
          <w:sz w:val="24"/>
        </w:rPr>
        <w:t xml:space="preserve">This research did not receive any specific funding. </w:t>
      </w:r>
    </w:p>
    <w:p w14:paraId="7C740BE0" w14:textId="77777777" w:rsidR="00B0578C" w:rsidRPr="005A44CE" w:rsidRDefault="00B0578C">
      <w:pPr>
        <w:rPr>
          <w:rFonts w:ascii="Times New Roman" w:hAnsi="Times New Roman"/>
          <w:b/>
          <w:bCs/>
          <w:sz w:val="24"/>
        </w:rPr>
      </w:pPr>
    </w:p>
    <w:p w14:paraId="2CAEFEDC" w14:textId="77777777" w:rsidR="00F105DD" w:rsidRPr="005A44CE" w:rsidRDefault="00F105DD">
      <w:pPr>
        <w:rPr>
          <w:rFonts w:ascii="Times New Roman" w:hAnsi="Times New Roman"/>
          <w:b/>
          <w:bCs/>
          <w:sz w:val="24"/>
        </w:rPr>
      </w:pPr>
      <w:r w:rsidRPr="005A44CE">
        <w:rPr>
          <w:rFonts w:ascii="Times New Roman" w:hAnsi="Times New Roman"/>
          <w:b/>
          <w:bCs/>
          <w:sz w:val="24"/>
        </w:rPr>
        <w:br w:type="page"/>
      </w:r>
    </w:p>
    <w:p w14:paraId="7B24F8EE" w14:textId="460326CB" w:rsidR="002A75DA" w:rsidRPr="0049162C" w:rsidRDefault="002A75DA" w:rsidP="00A5692D">
      <w:pPr>
        <w:spacing w:line="480" w:lineRule="auto"/>
        <w:rPr>
          <w:rFonts w:ascii="Times New Roman" w:hAnsi="Times New Roman"/>
          <w:sz w:val="24"/>
        </w:rPr>
      </w:pPr>
      <w:r w:rsidRPr="005A44CE">
        <w:rPr>
          <w:rFonts w:ascii="Times New Roman" w:hAnsi="Times New Roman"/>
          <w:b/>
          <w:bCs/>
          <w:sz w:val="24"/>
        </w:rPr>
        <w:lastRenderedPageBreak/>
        <w:t>Table 1</w:t>
      </w:r>
      <w:r w:rsidR="0049162C">
        <w:rPr>
          <w:rFonts w:ascii="Times New Roman" w:hAnsi="Times New Roman"/>
          <w:b/>
          <w:bCs/>
          <w:sz w:val="24"/>
        </w:rPr>
        <w:t xml:space="preserve">. </w:t>
      </w:r>
      <w:r w:rsidRPr="0049162C">
        <w:rPr>
          <w:rFonts w:ascii="Times New Roman" w:hAnsi="Times New Roman"/>
          <w:sz w:val="24"/>
        </w:rPr>
        <w:t>Demographic Information</w:t>
      </w:r>
      <w:r w:rsidR="00FD5C75" w:rsidRPr="0049162C">
        <w:rPr>
          <w:rFonts w:ascii="Times New Roman" w:hAnsi="Times New Roman"/>
          <w:sz w:val="24"/>
        </w:rPr>
        <w:t xml:space="preserve"> for the sample (n=468)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9"/>
        <w:gridCol w:w="2260"/>
        <w:gridCol w:w="2241"/>
      </w:tblGrid>
      <w:tr w:rsidR="00FD5C75" w:rsidRPr="005A44CE" w14:paraId="28DA29D9" w14:textId="77777777" w:rsidTr="00FD5C75">
        <w:tc>
          <w:tcPr>
            <w:tcW w:w="2289" w:type="dxa"/>
            <w:tcBorders>
              <w:top w:val="single" w:sz="4" w:space="0" w:color="auto"/>
              <w:bottom w:val="single" w:sz="4" w:space="0" w:color="auto"/>
            </w:tcBorders>
          </w:tcPr>
          <w:p w14:paraId="3DB5D413" w14:textId="77777777" w:rsidR="00FD5C75" w:rsidRPr="005A44CE" w:rsidRDefault="00FD5C75" w:rsidP="00FD5C75">
            <w:pPr>
              <w:spacing w:line="276" w:lineRule="auto"/>
              <w:rPr>
                <w:rFonts w:ascii="Times New Roman" w:hAnsi="Times New Roman"/>
                <w:sz w:val="24"/>
              </w:rPr>
            </w:pPr>
          </w:p>
        </w:tc>
        <w:tc>
          <w:tcPr>
            <w:tcW w:w="2260" w:type="dxa"/>
            <w:tcBorders>
              <w:top w:val="single" w:sz="4" w:space="0" w:color="auto"/>
              <w:bottom w:val="single" w:sz="4" w:space="0" w:color="auto"/>
            </w:tcBorders>
          </w:tcPr>
          <w:p w14:paraId="0395AF8D" w14:textId="13A620A9"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Frequency</w:t>
            </w:r>
          </w:p>
        </w:tc>
        <w:tc>
          <w:tcPr>
            <w:tcW w:w="2241" w:type="dxa"/>
            <w:tcBorders>
              <w:top w:val="single" w:sz="4" w:space="0" w:color="auto"/>
              <w:bottom w:val="single" w:sz="4" w:space="0" w:color="auto"/>
            </w:tcBorders>
          </w:tcPr>
          <w:p w14:paraId="207C751D" w14:textId="460CDF2F"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Percent</w:t>
            </w:r>
          </w:p>
        </w:tc>
      </w:tr>
      <w:tr w:rsidR="00FD5C75" w:rsidRPr="005A44CE" w14:paraId="689DB532" w14:textId="77777777" w:rsidTr="00FD5C75">
        <w:tc>
          <w:tcPr>
            <w:tcW w:w="2289" w:type="dxa"/>
            <w:tcBorders>
              <w:top w:val="single" w:sz="4" w:space="0" w:color="auto"/>
            </w:tcBorders>
          </w:tcPr>
          <w:p w14:paraId="54842E64" w14:textId="7CD0EE43" w:rsidR="00FD5C75" w:rsidRPr="005A44CE" w:rsidRDefault="00FD5C75" w:rsidP="00FD5C75">
            <w:pPr>
              <w:spacing w:line="276" w:lineRule="auto"/>
              <w:rPr>
                <w:rFonts w:ascii="Times New Roman" w:hAnsi="Times New Roman"/>
                <w:sz w:val="24"/>
              </w:rPr>
            </w:pPr>
            <w:r w:rsidRPr="005A44CE">
              <w:rPr>
                <w:rFonts w:ascii="Times New Roman" w:hAnsi="Times New Roman"/>
                <w:sz w:val="24"/>
              </w:rPr>
              <w:t>Race/Ethnicity</w:t>
            </w:r>
          </w:p>
        </w:tc>
        <w:tc>
          <w:tcPr>
            <w:tcW w:w="2260" w:type="dxa"/>
            <w:tcBorders>
              <w:top w:val="single" w:sz="4" w:space="0" w:color="auto"/>
            </w:tcBorders>
          </w:tcPr>
          <w:p w14:paraId="6DF493E2" w14:textId="16866B94" w:rsidR="00FD5C75" w:rsidRPr="005A44CE" w:rsidRDefault="00FD5C75" w:rsidP="00FD5C75">
            <w:pPr>
              <w:spacing w:line="276" w:lineRule="auto"/>
              <w:rPr>
                <w:rFonts w:ascii="Times New Roman" w:hAnsi="Times New Roman"/>
                <w:sz w:val="24"/>
              </w:rPr>
            </w:pPr>
          </w:p>
        </w:tc>
        <w:tc>
          <w:tcPr>
            <w:tcW w:w="2241" w:type="dxa"/>
            <w:tcBorders>
              <w:top w:val="single" w:sz="4" w:space="0" w:color="auto"/>
            </w:tcBorders>
          </w:tcPr>
          <w:p w14:paraId="5ADA31F9" w14:textId="77777777" w:rsidR="00FD5C75" w:rsidRPr="005A44CE" w:rsidRDefault="00FD5C75" w:rsidP="00FD5C75">
            <w:pPr>
              <w:spacing w:line="276" w:lineRule="auto"/>
              <w:rPr>
                <w:rFonts w:ascii="Times New Roman" w:hAnsi="Times New Roman"/>
                <w:sz w:val="24"/>
              </w:rPr>
            </w:pPr>
          </w:p>
        </w:tc>
      </w:tr>
      <w:tr w:rsidR="00FD5C75" w:rsidRPr="005A44CE" w14:paraId="238368CD" w14:textId="77777777" w:rsidTr="00FD5C75">
        <w:tc>
          <w:tcPr>
            <w:tcW w:w="2289" w:type="dxa"/>
          </w:tcPr>
          <w:p w14:paraId="053D1BB4" w14:textId="09E6581C" w:rsidR="00FD5C75" w:rsidRPr="005A44CE" w:rsidRDefault="00FD5C75" w:rsidP="00FD5C75">
            <w:pPr>
              <w:spacing w:line="276" w:lineRule="auto"/>
              <w:jc w:val="right"/>
              <w:rPr>
                <w:rFonts w:ascii="Times New Roman" w:hAnsi="Times New Roman"/>
                <w:sz w:val="24"/>
              </w:rPr>
            </w:pPr>
            <w:r w:rsidRPr="005A44CE">
              <w:rPr>
                <w:rFonts w:ascii="Times New Roman" w:hAnsi="Times New Roman"/>
                <w:sz w:val="24"/>
              </w:rPr>
              <w:t>White</w:t>
            </w:r>
          </w:p>
        </w:tc>
        <w:tc>
          <w:tcPr>
            <w:tcW w:w="2260" w:type="dxa"/>
          </w:tcPr>
          <w:p w14:paraId="145C8862" w14:textId="410D77A7"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360</w:t>
            </w:r>
          </w:p>
        </w:tc>
        <w:tc>
          <w:tcPr>
            <w:tcW w:w="2241" w:type="dxa"/>
          </w:tcPr>
          <w:p w14:paraId="3CE8CFB9" w14:textId="33C39D6F"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76.92</w:t>
            </w:r>
          </w:p>
        </w:tc>
      </w:tr>
      <w:tr w:rsidR="00FD5C75" w:rsidRPr="005A44CE" w14:paraId="1B7FE348" w14:textId="77777777" w:rsidTr="00FD5C75">
        <w:tc>
          <w:tcPr>
            <w:tcW w:w="2289" w:type="dxa"/>
          </w:tcPr>
          <w:p w14:paraId="03583F91" w14:textId="1F8CC484" w:rsidR="00FD5C75" w:rsidRPr="005A44CE" w:rsidRDefault="00FD5C75" w:rsidP="00FD5C75">
            <w:pPr>
              <w:spacing w:line="276" w:lineRule="auto"/>
              <w:jc w:val="right"/>
              <w:rPr>
                <w:rFonts w:ascii="Times New Roman" w:hAnsi="Times New Roman"/>
                <w:sz w:val="24"/>
              </w:rPr>
            </w:pPr>
            <w:r w:rsidRPr="005A44CE">
              <w:rPr>
                <w:rFonts w:ascii="Times New Roman" w:hAnsi="Times New Roman"/>
                <w:sz w:val="24"/>
              </w:rPr>
              <w:t>Mixed</w:t>
            </w:r>
          </w:p>
        </w:tc>
        <w:tc>
          <w:tcPr>
            <w:tcW w:w="2260" w:type="dxa"/>
          </w:tcPr>
          <w:p w14:paraId="6B8B4EE7" w14:textId="01D634C6"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25</w:t>
            </w:r>
          </w:p>
        </w:tc>
        <w:tc>
          <w:tcPr>
            <w:tcW w:w="2241" w:type="dxa"/>
          </w:tcPr>
          <w:p w14:paraId="5A5EDAB8" w14:textId="727B8ADB"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5.34</w:t>
            </w:r>
          </w:p>
        </w:tc>
      </w:tr>
      <w:tr w:rsidR="00FD5C75" w:rsidRPr="005A44CE" w14:paraId="31CDC805" w14:textId="77777777" w:rsidTr="00FD5C75">
        <w:tc>
          <w:tcPr>
            <w:tcW w:w="2289" w:type="dxa"/>
          </w:tcPr>
          <w:p w14:paraId="143F0379" w14:textId="7C649E44" w:rsidR="00FD5C75" w:rsidRPr="005A44CE" w:rsidRDefault="00FD5C75" w:rsidP="00FD5C75">
            <w:pPr>
              <w:spacing w:line="276" w:lineRule="auto"/>
              <w:jc w:val="right"/>
              <w:rPr>
                <w:rFonts w:ascii="Times New Roman" w:hAnsi="Times New Roman"/>
                <w:sz w:val="24"/>
              </w:rPr>
            </w:pPr>
            <w:r w:rsidRPr="005A44CE">
              <w:rPr>
                <w:rFonts w:ascii="Times New Roman" w:hAnsi="Times New Roman"/>
                <w:sz w:val="24"/>
              </w:rPr>
              <w:t>Asian</w:t>
            </w:r>
          </w:p>
        </w:tc>
        <w:tc>
          <w:tcPr>
            <w:tcW w:w="2260" w:type="dxa"/>
          </w:tcPr>
          <w:p w14:paraId="5074E2EB" w14:textId="26F9A9C4"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54</w:t>
            </w:r>
          </w:p>
        </w:tc>
        <w:tc>
          <w:tcPr>
            <w:tcW w:w="2241" w:type="dxa"/>
          </w:tcPr>
          <w:p w14:paraId="2F32206C" w14:textId="088AE41B"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11.54</w:t>
            </w:r>
          </w:p>
        </w:tc>
      </w:tr>
      <w:tr w:rsidR="00FD5C75" w:rsidRPr="005A44CE" w14:paraId="3C921DE9" w14:textId="77777777" w:rsidTr="00FD5C75">
        <w:tc>
          <w:tcPr>
            <w:tcW w:w="2289" w:type="dxa"/>
          </w:tcPr>
          <w:p w14:paraId="3E7F2675" w14:textId="65C2EF09" w:rsidR="00FD5C75" w:rsidRPr="005A44CE" w:rsidRDefault="00FD5C75" w:rsidP="00FD5C75">
            <w:pPr>
              <w:spacing w:line="276" w:lineRule="auto"/>
              <w:jc w:val="right"/>
              <w:rPr>
                <w:rFonts w:ascii="Times New Roman" w:hAnsi="Times New Roman"/>
                <w:sz w:val="24"/>
              </w:rPr>
            </w:pPr>
            <w:r w:rsidRPr="005A44CE">
              <w:rPr>
                <w:rFonts w:ascii="Times New Roman" w:hAnsi="Times New Roman"/>
                <w:sz w:val="24"/>
              </w:rPr>
              <w:t>Black</w:t>
            </w:r>
          </w:p>
        </w:tc>
        <w:tc>
          <w:tcPr>
            <w:tcW w:w="2260" w:type="dxa"/>
          </w:tcPr>
          <w:p w14:paraId="2EF32AA6" w14:textId="3D33655F"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21</w:t>
            </w:r>
          </w:p>
        </w:tc>
        <w:tc>
          <w:tcPr>
            <w:tcW w:w="2241" w:type="dxa"/>
          </w:tcPr>
          <w:p w14:paraId="41B7FB78" w14:textId="484CAFD0"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4.49</w:t>
            </w:r>
          </w:p>
        </w:tc>
      </w:tr>
      <w:tr w:rsidR="00FD5C75" w:rsidRPr="005A44CE" w14:paraId="60CA3322" w14:textId="77777777" w:rsidTr="00FD5C75">
        <w:tc>
          <w:tcPr>
            <w:tcW w:w="2289" w:type="dxa"/>
          </w:tcPr>
          <w:p w14:paraId="4C923E7F" w14:textId="75F0A2F7" w:rsidR="00FD5C75" w:rsidRPr="005A44CE" w:rsidRDefault="00FD5C75" w:rsidP="00FD5C75">
            <w:pPr>
              <w:spacing w:line="276" w:lineRule="auto"/>
              <w:jc w:val="right"/>
              <w:rPr>
                <w:rFonts w:ascii="Times New Roman" w:hAnsi="Times New Roman"/>
                <w:sz w:val="24"/>
              </w:rPr>
            </w:pPr>
            <w:r w:rsidRPr="005A44CE">
              <w:rPr>
                <w:rFonts w:ascii="Times New Roman" w:hAnsi="Times New Roman"/>
                <w:sz w:val="24"/>
              </w:rPr>
              <w:t>Other</w:t>
            </w:r>
          </w:p>
        </w:tc>
        <w:tc>
          <w:tcPr>
            <w:tcW w:w="2260" w:type="dxa"/>
          </w:tcPr>
          <w:p w14:paraId="21747996" w14:textId="77C4C613"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8</w:t>
            </w:r>
          </w:p>
        </w:tc>
        <w:tc>
          <w:tcPr>
            <w:tcW w:w="2241" w:type="dxa"/>
          </w:tcPr>
          <w:p w14:paraId="0C69351B" w14:textId="4101922F"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1.71</w:t>
            </w:r>
          </w:p>
        </w:tc>
      </w:tr>
      <w:tr w:rsidR="00FD5C75" w:rsidRPr="005A44CE" w14:paraId="792C0B23" w14:textId="77777777" w:rsidTr="00FD5C75">
        <w:tc>
          <w:tcPr>
            <w:tcW w:w="2289" w:type="dxa"/>
          </w:tcPr>
          <w:p w14:paraId="48187B83" w14:textId="04D0AF8A" w:rsidR="00FD5C75" w:rsidRPr="005A44CE" w:rsidRDefault="00FD5C75" w:rsidP="00FD5C75">
            <w:pPr>
              <w:spacing w:line="276" w:lineRule="auto"/>
              <w:rPr>
                <w:rFonts w:ascii="Times New Roman" w:hAnsi="Times New Roman"/>
                <w:sz w:val="24"/>
              </w:rPr>
            </w:pPr>
            <w:r w:rsidRPr="005A44CE">
              <w:rPr>
                <w:rFonts w:ascii="Times New Roman" w:hAnsi="Times New Roman"/>
                <w:sz w:val="24"/>
              </w:rPr>
              <w:t>Gender</w:t>
            </w:r>
          </w:p>
        </w:tc>
        <w:tc>
          <w:tcPr>
            <w:tcW w:w="2260" w:type="dxa"/>
          </w:tcPr>
          <w:p w14:paraId="6E473A76" w14:textId="77777777" w:rsidR="00FD5C75" w:rsidRPr="005A44CE" w:rsidRDefault="00FD5C75" w:rsidP="00FD5C75">
            <w:pPr>
              <w:spacing w:line="276" w:lineRule="auto"/>
              <w:jc w:val="center"/>
              <w:rPr>
                <w:rFonts w:ascii="Times New Roman" w:hAnsi="Times New Roman"/>
                <w:sz w:val="24"/>
              </w:rPr>
            </w:pPr>
          </w:p>
        </w:tc>
        <w:tc>
          <w:tcPr>
            <w:tcW w:w="2241" w:type="dxa"/>
          </w:tcPr>
          <w:p w14:paraId="3D9AB3F5" w14:textId="77777777" w:rsidR="00FD5C75" w:rsidRPr="005A44CE" w:rsidRDefault="00FD5C75" w:rsidP="00FD5C75">
            <w:pPr>
              <w:spacing w:line="276" w:lineRule="auto"/>
              <w:jc w:val="center"/>
              <w:rPr>
                <w:rFonts w:ascii="Times New Roman" w:hAnsi="Times New Roman"/>
                <w:sz w:val="24"/>
              </w:rPr>
            </w:pPr>
          </w:p>
        </w:tc>
      </w:tr>
      <w:tr w:rsidR="00FD5C75" w:rsidRPr="005A44CE" w14:paraId="550D7248" w14:textId="77777777" w:rsidTr="00FD5C75">
        <w:tc>
          <w:tcPr>
            <w:tcW w:w="2289" w:type="dxa"/>
          </w:tcPr>
          <w:p w14:paraId="29B43D9E" w14:textId="198C5CF4" w:rsidR="00FD5C75" w:rsidRPr="005A44CE" w:rsidRDefault="00FD5C75" w:rsidP="00FD5C75">
            <w:pPr>
              <w:spacing w:line="276" w:lineRule="auto"/>
              <w:jc w:val="right"/>
              <w:rPr>
                <w:rFonts w:ascii="Times New Roman" w:hAnsi="Times New Roman"/>
                <w:sz w:val="24"/>
              </w:rPr>
            </w:pPr>
            <w:r w:rsidRPr="005A44CE">
              <w:rPr>
                <w:rFonts w:ascii="Times New Roman" w:hAnsi="Times New Roman"/>
                <w:sz w:val="24"/>
              </w:rPr>
              <w:t>Male</w:t>
            </w:r>
          </w:p>
        </w:tc>
        <w:tc>
          <w:tcPr>
            <w:tcW w:w="2260" w:type="dxa"/>
          </w:tcPr>
          <w:p w14:paraId="02ACB2A4" w14:textId="51FB7C79"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71</w:t>
            </w:r>
          </w:p>
        </w:tc>
        <w:tc>
          <w:tcPr>
            <w:tcW w:w="2241" w:type="dxa"/>
          </w:tcPr>
          <w:p w14:paraId="364DE1B2" w14:textId="4724B754"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15.20</w:t>
            </w:r>
          </w:p>
        </w:tc>
      </w:tr>
      <w:tr w:rsidR="00FD5C75" w:rsidRPr="005A44CE" w14:paraId="4613727C" w14:textId="77777777" w:rsidTr="00FD5C75">
        <w:tc>
          <w:tcPr>
            <w:tcW w:w="2289" w:type="dxa"/>
          </w:tcPr>
          <w:p w14:paraId="7FE61F9A" w14:textId="255030E3" w:rsidR="00FD5C75" w:rsidRPr="005A44CE" w:rsidRDefault="00FD5C75" w:rsidP="00FD5C75">
            <w:pPr>
              <w:spacing w:line="276" w:lineRule="auto"/>
              <w:jc w:val="right"/>
              <w:rPr>
                <w:rFonts w:ascii="Times New Roman" w:hAnsi="Times New Roman"/>
                <w:sz w:val="24"/>
              </w:rPr>
            </w:pPr>
            <w:r w:rsidRPr="005A44CE">
              <w:rPr>
                <w:rFonts w:ascii="Times New Roman" w:hAnsi="Times New Roman"/>
                <w:sz w:val="24"/>
              </w:rPr>
              <w:t>Female</w:t>
            </w:r>
          </w:p>
        </w:tc>
        <w:tc>
          <w:tcPr>
            <w:tcW w:w="2260" w:type="dxa"/>
          </w:tcPr>
          <w:p w14:paraId="3A5742EB" w14:textId="4E9C7A1E"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388</w:t>
            </w:r>
          </w:p>
        </w:tc>
        <w:tc>
          <w:tcPr>
            <w:tcW w:w="2241" w:type="dxa"/>
          </w:tcPr>
          <w:p w14:paraId="40AF0178" w14:textId="6699EC40"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82.90</w:t>
            </w:r>
          </w:p>
        </w:tc>
      </w:tr>
      <w:tr w:rsidR="00FD5C75" w:rsidRPr="005A44CE" w14:paraId="3E125CB9" w14:textId="77777777" w:rsidTr="00FD5C75">
        <w:tc>
          <w:tcPr>
            <w:tcW w:w="2289" w:type="dxa"/>
          </w:tcPr>
          <w:p w14:paraId="731BE94B" w14:textId="559521AE" w:rsidR="00FD5C75" w:rsidRPr="005A44CE" w:rsidRDefault="00FD5C75" w:rsidP="00FD5C75">
            <w:pPr>
              <w:spacing w:line="276" w:lineRule="auto"/>
              <w:jc w:val="right"/>
              <w:rPr>
                <w:rFonts w:ascii="Times New Roman" w:hAnsi="Times New Roman"/>
                <w:sz w:val="24"/>
              </w:rPr>
            </w:pPr>
            <w:r w:rsidRPr="005A44CE">
              <w:rPr>
                <w:rFonts w:ascii="Times New Roman" w:hAnsi="Times New Roman"/>
                <w:sz w:val="24"/>
              </w:rPr>
              <w:t>Non-binary</w:t>
            </w:r>
          </w:p>
        </w:tc>
        <w:tc>
          <w:tcPr>
            <w:tcW w:w="2260" w:type="dxa"/>
          </w:tcPr>
          <w:p w14:paraId="10D1D1D1" w14:textId="6405B4C7"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8</w:t>
            </w:r>
          </w:p>
        </w:tc>
        <w:tc>
          <w:tcPr>
            <w:tcW w:w="2241" w:type="dxa"/>
          </w:tcPr>
          <w:p w14:paraId="5C6B043C" w14:textId="3A09522E"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1.70</w:t>
            </w:r>
          </w:p>
        </w:tc>
      </w:tr>
      <w:tr w:rsidR="00FD5C75" w:rsidRPr="005A44CE" w14:paraId="6A969C8D" w14:textId="77777777" w:rsidTr="00FD5C75">
        <w:tc>
          <w:tcPr>
            <w:tcW w:w="2289" w:type="dxa"/>
          </w:tcPr>
          <w:p w14:paraId="617BFFDE" w14:textId="5A229219" w:rsidR="00FD5C75" w:rsidRPr="005A44CE" w:rsidRDefault="00FD5C75" w:rsidP="00FD5C75">
            <w:pPr>
              <w:spacing w:line="276" w:lineRule="auto"/>
              <w:jc w:val="right"/>
              <w:rPr>
                <w:rFonts w:ascii="Times New Roman" w:hAnsi="Times New Roman"/>
                <w:sz w:val="24"/>
              </w:rPr>
            </w:pPr>
            <w:r w:rsidRPr="005A44CE">
              <w:rPr>
                <w:rFonts w:ascii="Times New Roman" w:hAnsi="Times New Roman"/>
                <w:sz w:val="24"/>
              </w:rPr>
              <w:t>Other</w:t>
            </w:r>
          </w:p>
        </w:tc>
        <w:tc>
          <w:tcPr>
            <w:tcW w:w="2260" w:type="dxa"/>
          </w:tcPr>
          <w:p w14:paraId="6D13DF9B" w14:textId="49F51501"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1</w:t>
            </w:r>
          </w:p>
        </w:tc>
        <w:tc>
          <w:tcPr>
            <w:tcW w:w="2241" w:type="dxa"/>
          </w:tcPr>
          <w:p w14:paraId="2E763618" w14:textId="12A27D04"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.20</w:t>
            </w:r>
          </w:p>
        </w:tc>
      </w:tr>
      <w:tr w:rsidR="00FD5C75" w:rsidRPr="005A44CE" w14:paraId="5C0EC6C3" w14:textId="77777777" w:rsidTr="00FD5C75">
        <w:tc>
          <w:tcPr>
            <w:tcW w:w="2289" w:type="dxa"/>
          </w:tcPr>
          <w:p w14:paraId="2F00C316" w14:textId="523DE46F" w:rsidR="00FD5C75" w:rsidRPr="005A44CE" w:rsidRDefault="00FD5C75" w:rsidP="00FD5C75">
            <w:pPr>
              <w:spacing w:line="276" w:lineRule="auto"/>
              <w:rPr>
                <w:rFonts w:ascii="Times New Roman" w:hAnsi="Times New Roman"/>
                <w:sz w:val="24"/>
              </w:rPr>
            </w:pPr>
            <w:r w:rsidRPr="005A44CE">
              <w:rPr>
                <w:rFonts w:ascii="Times New Roman" w:hAnsi="Times New Roman"/>
                <w:sz w:val="24"/>
              </w:rPr>
              <w:t>Relationship Status</w:t>
            </w:r>
          </w:p>
        </w:tc>
        <w:tc>
          <w:tcPr>
            <w:tcW w:w="2260" w:type="dxa"/>
          </w:tcPr>
          <w:p w14:paraId="4B48F21E" w14:textId="2B714EF7" w:rsidR="00FD5C75" w:rsidRPr="005A44CE" w:rsidRDefault="00FD5C75" w:rsidP="00FD5C75">
            <w:pPr>
              <w:spacing w:line="276" w:lineRule="auto"/>
              <w:jc w:val="center"/>
              <w:rPr>
                <w:rFonts w:ascii="Times New Roman" w:hAnsi="Times New Roman"/>
                <w:sz w:val="24"/>
              </w:rPr>
            </w:pPr>
          </w:p>
        </w:tc>
        <w:tc>
          <w:tcPr>
            <w:tcW w:w="2241" w:type="dxa"/>
          </w:tcPr>
          <w:p w14:paraId="487D3B8B" w14:textId="34EF2F00" w:rsidR="00FD5C75" w:rsidRPr="005A44CE" w:rsidRDefault="00FD5C75" w:rsidP="00FD5C75">
            <w:pPr>
              <w:spacing w:line="276" w:lineRule="auto"/>
              <w:jc w:val="center"/>
              <w:rPr>
                <w:rFonts w:ascii="Times New Roman" w:hAnsi="Times New Roman"/>
                <w:sz w:val="24"/>
              </w:rPr>
            </w:pPr>
          </w:p>
        </w:tc>
      </w:tr>
      <w:tr w:rsidR="00FD5C75" w:rsidRPr="005A44CE" w14:paraId="76301E3C" w14:textId="77777777" w:rsidTr="00FD5C75">
        <w:tc>
          <w:tcPr>
            <w:tcW w:w="2289" w:type="dxa"/>
          </w:tcPr>
          <w:p w14:paraId="2F8F0C97" w14:textId="4B9C90DA" w:rsidR="00FD5C75" w:rsidRPr="005A44CE" w:rsidRDefault="00FD5C75" w:rsidP="00FD5C75">
            <w:pPr>
              <w:spacing w:line="276" w:lineRule="auto"/>
              <w:jc w:val="right"/>
              <w:rPr>
                <w:rFonts w:ascii="Times New Roman" w:hAnsi="Times New Roman"/>
                <w:sz w:val="24"/>
              </w:rPr>
            </w:pPr>
            <w:r w:rsidRPr="005A44CE">
              <w:rPr>
                <w:rFonts w:ascii="Times New Roman" w:hAnsi="Times New Roman"/>
                <w:sz w:val="24"/>
              </w:rPr>
              <w:t>Single</w:t>
            </w:r>
          </w:p>
        </w:tc>
        <w:tc>
          <w:tcPr>
            <w:tcW w:w="2260" w:type="dxa"/>
          </w:tcPr>
          <w:p w14:paraId="1DE2C563" w14:textId="2FD48F19"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257</w:t>
            </w:r>
          </w:p>
        </w:tc>
        <w:tc>
          <w:tcPr>
            <w:tcW w:w="2241" w:type="dxa"/>
          </w:tcPr>
          <w:p w14:paraId="1FBB3A36" w14:textId="221DF578"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54.91</w:t>
            </w:r>
          </w:p>
        </w:tc>
      </w:tr>
      <w:tr w:rsidR="00FD5C75" w:rsidRPr="005A44CE" w14:paraId="61CC39EC" w14:textId="77777777" w:rsidTr="00FD5C75">
        <w:tc>
          <w:tcPr>
            <w:tcW w:w="2289" w:type="dxa"/>
          </w:tcPr>
          <w:p w14:paraId="5ED5C6A4" w14:textId="41F3D546" w:rsidR="00FD5C75" w:rsidRPr="005A44CE" w:rsidRDefault="00FD5C75" w:rsidP="00FD5C75">
            <w:pPr>
              <w:spacing w:line="276" w:lineRule="auto"/>
              <w:jc w:val="right"/>
              <w:rPr>
                <w:rFonts w:ascii="Times New Roman" w:hAnsi="Times New Roman"/>
                <w:sz w:val="24"/>
              </w:rPr>
            </w:pPr>
            <w:r w:rsidRPr="005A44CE">
              <w:rPr>
                <w:rFonts w:ascii="Times New Roman" w:hAnsi="Times New Roman"/>
                <w:sz w:val="24"/>
              </w:rPr>
              <w:t>Coupled</w:t>
            </w:r>
          </w:p>
        </w:tc>
        <w:tc>
          <w:tcPr>
            <w:tcW w:w="2260" w:type="dxa"/>
          </w:tcPr>
          <w:p w14:paraId="4A32720C" w14:textId="3C53077B"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211</w:t>
            </w:r>
          </w:p>
        </w:tc>
        <w:tc>
          <w:tcPr>
            <w:tcW w:w="2241" w:type="dxa"/>
          </w:tcPr>
          <w:p w14:paraId="0C4E027D" w14:textId="07AA852C"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45.09</w:t>
            </w:r>
          </w:p>
        </w:tc>
      </w:tr>
      <w:tr w:rsidR="00FD5C75" w:rsidRPr="005A44CE" w14:paraId="219027A1" w14:textId="77777777" w:rsidTr="00FD5C75">
        <w:tc>
          <w:tcPr>
            <w:tcW w:w="2289" w:type="dxa"/>
          </w:tcPr>
          <w:p w14:paraId="757CB94B" w14:textId="3B606C34" w:rsidR="00FD5C75" w:rsidRPr="005A44CE" w:rsidRDefault="00FD5C75" w:rsidP="00FD5C75">
            <w:pPr>
              <w:spacing w:line="276" w:lineRule="auto"/>
              <w:rPr>
                <w:rFonts w:ascii="Times New Roman" w:hAnsi="Times New Roman"/>
                <w:sz w:val="24"/>
              </w:rPr>
            </w:pPr>
            <w:r w:rsidRPr="005A44CE">
              <w:rPr>
                <w:rFonts w:ascii="Times New Roman" w:hAnsi="Times New Roman"/>
                <w:sz w:val="24"/>
              </w:rPr>
              <w:t>Sexual Orientation</w:t>
            </w:r>
          </w:p>
        </w:tc>
        <w:tc>
          <w:tcPr>
            <w:tcW w:w="2260" w:type="dxa"/>
          </w:tcPr>
          <w:p w14:paraId="4CDD6230" w14:textId="77777777" w:rsidR="00FD5C75" w:rsidRPr="005A44CE" w:rsidRDefault="00FD5C75" w:rsidP="00FD5C75">
            <w:pPr>
              <w:spacing w:line="276" w:lineRule="auto"/>
              <w:jc w:val="center"/>
              <w:rPr>
                <w:rFonts w:ascii="Times New Roman" w:hAnsi="Times New Roman"/>
                <w:sz w:val="24"/>
              </w:rPr>
            </w:pPr>
          </w:p>
        </w:tc>
        <w:tc>
          <w:tcPr>
            <w:tcW w:w="2241" w:type="dxa"/>
          </w:tcPr>
          <w:p w14:paraId="640CB3A9" w14:textId="77777777" w:rsidR="00FD5C75" w:rsidRPr="005A44CE" w:rsidRDefault="00FD5C75" w:rsidP="00FD5C75">
            <w:pPr>
              <w:spacing w:line="276" w:lineRule="auto"/>
              <w:jc w:val="center"/>
              <w:rPr>
                <w:rFonts w:ascii="Times New Roman" w:hAnsi="Times New Roman"/>
                <w:sz w:val="24"/>
              </w:rPr>
            </w:pPr>
          </w:p>
        </w:tc>
      </w:tr>
      <w:tr w:rsidR="00FD5C75" w:rsidRPr="005A44CE" w14:paraId="230C3BA0" w14:textId="77777777" w:rsidTr="00FD5C75">
        <w:tc>
          <w:tcPr>
            <w:tcW w:w="2289" w:type="dxa"/>
          </w:tcPr>
          <w:p w14:paraId="59443F6E" w14:textId="0D17BC87" w:rsidR="00FD5C75" w:rsidRPr="005A44CE" w:rsidRDefault="00FD5C75" w:rsidP="00FD5C75">
            <w:pPr>
              <w:spacing w:line="276" w:lineRule="auto"/>
              <w:jc w:val="right"/>
              <w:rPr>
                <w:rFonts w:ascii="Times New Roman" w:hAnsi="Times New Roman"/>
                <w:sz w:val="24"/>
              </w:rPr>
            </w:pPr>
            <w:r w:rsidRPr="005A44CE">
              <w:rPr>
                <w:rFonts w:ascii="Times New Roman" w:hAnsi="Times New Roman"/>
                <w:sz w:val="24"/>
              </w:rPr>
              <w:t>Heterosexual</w:t>
            </w:r>
          </w:p>
        </w:tc>
        <w:tc>
          <w:tcPr>
            <w:tcW w:w="2260" w:type="dxa"/>
          </w:tcPr>
          <w:p w14:paraId="2A424EFB" w14:textId="07568801"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334</w:t>
            </w:r>
          </w:p>
        </w:tc>
        <w:tc>
          <w:tcPr>
            <w:tcW w:w="2241" w:type="dxa"/>
          </w:tcPr>
          <w:p w14:paraId="4CDCBBDD" w14:textId="7F705248"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71.40</w:t>
            </w:r>
          </w:p>
        </w:tc>
      </w:tr>
      <w:tr w:rsidR="00FD5C75" w:rsidRPr="005A44CE" w14:paraId="30FCA842" w14:textId="77777777" w:rsidTr="00FD5C75">
        <w:tc>
          <w:tcPr>
            <w:tcW w:w="2289" w:type="dxa"/>
          </w:tcPr>
          <w:p w14:paraId="4C58C040" w14:textId="1BB72BE9" w:rsidR="00FD5C75" w:rsidRPr="005A44CE" w:rsidRDefault="00FD5C75" w:rsidP="00FD5C75">
            <w:pPr>
              <w:spacing w:line="276" w:lineRule="auto"/>
              <w:jc w:val="right"/>
              <w:rPr>
                <w:rFonts w:ascii="Times New Roman" w:hAnsi="Times New Roman"/>
                <w:sz w:val="24"/>
              </w:rPr>
            </w:pPr>
            <w:r w:rsidRPr="005A44CE">
              <w:rPr>
                <w:rFonts w:ascii="Times New Roman" w:hAnsi="Times New Roman"/>
                <w:sz w:val="24"/>
              </w:rPr>
              <w:t>Homosexual</w:t>
            </w:r>
          </w:p>
        </w:tc>
        <w:tc>
          <w:tcPr>
            <w:tcW w:w="2260" w:type="dxa"/>
          </w:tcPr>
          <w:p w14:paraId="03D436B6" w14:textId="0C9B5F85"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25</w:t>
            </w:r>
          </w:p>
        </w:tc>
        <w:tc>
          <w:tcPr>
            <w:tcW w:w="2241" w:type="dxa"/>
          </w:tcPr>
          <w:p w14:paraId="7F43A753" w14:textId="159F6E40"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5.3</w:t>
            </w:r>
          </w:p>
        </w:tc>
      </w:tr>
      <w:tr w:rsidR="00FD5C75" w:rsidRPr="005A44CE" w14:paraId="22DD968E" w14:textId="77777777" w:rsidTr="00FD5C75">
        <w:tc>
          <w:tcPr>
            <w:tcW w:w="2289" w:type="dxa"/>
          </w:tcPr>
          <w:p w14:paraId="1EFB1707" w14:textId="713FAD0D" w:rsidR="00FD5C75" w:rsidRPr="005A44CE" w:rsidRDefault="00FD5C75" w:rsidP="00FD5C75">
            <w:pPr>
              <w:spacing w:line="276" w:lineRule="auto"/>
              <w:jc w:val="right"/>
              <w:rPr>
                <w:rFonts w:ascii="Times New Roman" w:hAnsi="Times New Roman"/>
                <w:sz w:val="24"/>
              </w:rPr>
            </w:pPr>
            <w:r w:rsidRPr="005A44CE">
              <w:rPr>
                <w:rFonts w:ascii="Times New Roman" w:hAnsi="Times New Roman"/>
                <w:sz w:val="24"/>
              </w:rPr>
              <w:t>Bisexual</w:t>
            </w:r>
          </w:p>
        </w:tc>
        <w:tc>
          <w:tcPr>
            <w:tcW w:w="2260" w:type="dxa"/>
          </w:tcPr>
          <w:p w14:paraId="21AF3CF7" w14:textId="6934DFF7"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97</w:t>
            </w:r>
          </w:p>
        </w:tc>
        <w:tc>
          <w:tcPr>
            <w:tcW w:w="2241" w:type="dxa"/>
          </w:tcPr>
          <w:p w14:paraId="5AC285E7" w14:textId="5841506C"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20.7</w:t>
            </w:r>
          </w:p>
        </w:tc>
      </w:tr>
      <w:tr w:rsidR="00FD5C75" w:rsidRPr="005A44CE" w14:paraId="004C3DB8" w14:textId="77777777" w:rsidTr="00FD5C75">
        <w:tc>
          <w:tcPr>
            <w:tcW w:w="2289" w:type="dxa"/>
          </w:tcPr>
          <w:p w14:paraId="7E5D119B" w14:textId="7211D3C9" w:rsidR="00FD5C75" w:rsidRPr="005A44CE" w:rsidRDefault="00FD5C75" w:rsidP="00FD5C75">
            <w:pPr>
              <w:spacing w:line="276" w:lineRule="auto"/>
              <w:jc w:val="right"/>
              <w:rPr>
                <w:rFonts w:ascii="Times New Roman" w:hAnsi="Times New Roman"/>
                <w:sz w:val="24"/>
              </w:rPr>
            </w:pPr>
            <w:r w:rsidRPr="005A44CE">
              <w:rPr>
                <w:rFonts w:ascii="Times New Roman" w:hAnsi="Times New Roman"/>
                <w:sz w:val="24"/>
              </w:rPr>
              <w:t>Other</w:t>
            </w:r>
          </w:p>
        </w:tc>
        <w:tc>
          <w:tcPr>
            <w:tcW w:w="2260" w:type="dxa"/>
          </w:tcPr>
          <w:p w14:paraId="53795767" w14:textId="016A463D"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12</w:t>
            </w:r>
          </w:p>
        </w:tc>
        <w:tc>
          <w:tcPr>
            <w:tcW w:w="2241" w:type="dxa"/>
          </w:tcPr>
          <w:p w14:paraId="711ADA10" w14:textId="7E4FF479" w:rsidR="00FD5C75" w:rsidRPr="005A44CE" w:rsidRDefault="00FD5C75" w:rsidP="00FD5C75">
            <w:pPr>
              <w:spacing w:line="276" w:lineRule="auto"/>
              <w:jc w:val="center"/>
              <w:rPr>
                <w:rFonts w:ascii="Times New Roman" w:hAnsi="Times New Roman"/>
                <w:sz w:val="24"/>
              </w:rPr>
            </w:pPr>
            <w:r w:rsidRPr="005A44CE">
              <w:rPr>
                <w:rFonts w:ascii="Times New Roman" w:hAnsi="Times New Roman"/>
                <w:sz w:val="24"/>
              </w:rPr>
              <w:t>2.6</w:t>
            </w:r>
          </w:p>
        </w:tc>
      </w:tr>
      <w:tr w:rsidR="00FD5C75" w:rsidRPr="005A44CE" w14:paraId="716E214A" w14:textId="77777777" w:rsidTr="00FD5C75">
        <w:tc>
          <w:tcPr>
            <w:tcW w:w="2289" w:type="dxa"/>
            <w:tcBorders>
              <w:top w:val="single" w:sz="4" w:space="0" w:color="auto"/>
            </w:tcBorders>
          </w:tcPr>
          <w:p w14:paraId="3DEC1DD4" w14:textId="77777777" w:rsidR="00FD5C75" w:rsidRPr="005A44CE" w:rsidRDefault="00FD5C75" w:rsidP="00FD5C75">
            <w:pPr>
              <w:spacing w:line="276" w:lineRule="auto"/>
              <w:rPr>
                <w:rFonts w:ascii="Times New Roman" w:hAnsi="Times New Roman"/>
                <w:sz w:val="24"/>
              </w:rPr>
            </w:pPr>
          </w:p>
        </w:tc>
        <w:tc>
          <w:tcPr>
            <w:tcW w:w="2260" w:type="dxa"/>
            <w:tcBorders>
              <w:top w:val="single" w:sz="4" w:space="0" w:color="auto"/>
            </w:tcBorders>
          </w:tcPr>
          <w:p w14:paraId="26411294" w14:textId="77777777" w:rsidR="00FD5C75" w:rsidRPr="005A44CE" w:rsidRDefault="00FD5C75" w:rsidP="00FD5C75">
            <w:pPr>
              <w:spacing w:line="276" w:lineRule="auto"/>
              <w:rPr>
                <w:rFonts w:ascii="Times New Roman" w:hAnsi="Times New Roman"/>
                <w:sz w:val="24"/>
              </w:rPr>
            </w:pPr>
          </w:p>
        </w:tc>
        <w:tc>
          <w:tcPr>
            <w:tcW w:w="2241" w:type="dxa"/>
            <w:tcBorders>
              <w:top w:val="single" w:sz="4" w:space="0" w:color="auto"/>
            </w:tcBorders>
          </w:tcPr>
          <w:p w14:paraId="297272F6" w14:textId="77777777" w:rsidR="00FD5C75" w:rsidRPr="005A44CE" w:rsidRDefault="00FD5C75" w:rsidP="00FD5C75">
            <w:pPr>
              <w:spacing w:line="276" w:lineRule="auto"/>
              <w:rPr>
                <w:rFonts w:ascii="Times New Roman" w:hAnsi="Times New Roman"/>
                <w:sz w:val="24"/>
              </w:rPr>
            </w:pPr>
          </w:p>
        </w:tc>
      </w:tr>
    </w:tbl>
    <w:p w14:paraId="1F5CAB89" w14:textId="77777777" w:rsidR="00997B0C" w:rsidRPr="005A44CE" w:rsidRDefault="00997B0C" w:rsidP="00016B8B">
      <w:pPr>
        <w:spacing w:line="480" w:lineRule="auto"/>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0578C" w:rsidRPr="005A44CE" w14:paraId="384F7DB2" w14:textId="77777777" w:rsidTr="00B0578C">
        <w:tc>
          <w:tcPr>
            <w:tcW w:w="3116" w:type="dxa"/>
          </w:tcPr>
          <w:p w14:paraId="4E3DD127" w14:textId="69868CF7" w:rsidR="00B0578C" w:rsidRPr="005A44CE" w:rsidRDefault="00B0578C" w:rsidP="00B0578C">
            <w:pPr>
              <w:spacing w:line="480" w:lineRule="auto"/>
              <w:rPr>
                <w:rFonts w:ascii="Times New Roman" w:hAnsi="Times New Roman"/>
                <w:sz w:val="24"/>
              </w:rPr>
            </w:pPr>
          </w:p>
        </w:tc>
        <w:tc>
          <w:tcPr>
            <w:tcW w:w="3117" w:type="dxa"/>
          </w:tcPr>
          <w:p w14:paraId="348DA035" w14:textId="77777777" w:rsidR="00B0578C" w:rsidRPr="005A44CE" w:rsidRDefault="00B0578C" w:rsidP="00B0578C">
            <w:pPr>
              <w:spacing w:line="480" w:lineRule="auto"/>
              <w:rPr>
                <w:rFonts w:ascii="Times New Roman" w:hAnsi="Times New Roman"/>
                <w:sz w:val="24"/>
              </w:rPr>
            </w:pPr>
          </w:p>
        </w:tc>
        <w:tc>
          <w:tcPr>
            <w:tcW w:w="3117" w:type="dxa"/>
          </w:tcPr>
          <w:p w14:paraId="3847DF54" w14:textId="77777777" w:rsidR="00B0578C" w:rsidRPr="005A44CE" w:rsidRDefault="00B0578C" w:rsidP="00B0578C">
            <w:pPr>
              <w:spacing w:line="480" w:lineRule="auto"/>
              <w:rPr>
                <w:rFonts w:ascii="Times New Roman" w:hAnsi="Times New Roman"/>
                <w:sz w:val="24"/>
              </w:rPr>
            </w:pPr>
          </w:p>
        </w:tc>
      </w:tr>
      <w:tr w:rsidR="00B0578C" w:rsidRPr="005A44CE" w14:paraId="442F3210" w14:textId="77777777" w:rsidTr="00B0578C">
        <w:tc>
          <w:tcPr>
            <w:tcW w:w="3116" w:type="dxa"/>
          </w:tcPr>
          <w:p w14:paraId="5C95E9E2" w14:textId="77777777" w:rsidR="00B0578C" w:rsidRPr="005A44CE" w:rsidRDefault="00B0578C" w:rsidP="00B0578C">
            <w:pPr>
              <w:spacing w:line="480" w:lineRule="auto"/>
              <w:rPr>
                <w:rFonts w:ascii="Times New Roman" w:hAnsi="Times New Roman"/>
                <w:sz w:val="24"/>
              </w:rPr>
            </w:pPr>
          </w:p>
        </w:tc>
        <w:tc>
          <w:tcPr>
            <w:tcW w:w="3117" w:type="dxa"/>
          </w:tcPr>
          <w:p w14:paraId="7E3A633B" w14:textId="77777777" w:rsidR="00B0578C" w:rsidRPr="005A44CE" w:rsidRDefault="00B0578C" w:rsidP="00B0578C">
            <w:pPr>
              <w:spacing w:line="480" w:lineRule="auto"/>
              <w:rPr>
                <w:rFonts w:ascii="Times New Roman" w:hAnsi="Times New Roman"/>
                <w:sz w:val="24"/>
              </w:rPr>
            </w:pPr>
          </w:p>
        </w:tc>
        <w:tc>
          <w:tcPr>
            <w:tcW w:w="3117" w:type="dxa"/>
          </w:tcPr>
          <w:p w14:paraId="20FDD05D" w14:textId="77777777" w:rsidR="00B0578C" w:rsidRPr="005A44CE" w:rsidRDefault="00B0578C" w:rsidP="00B0578C">
            <w:pPr>
              <w:spacing w:line="480" w:lineRule="auto"/>
              <w:rPr>
                <w:rFonts w:ascii="Times New Roman" w:hAnsi="Times New Roman"/>
                <w:sz w:val="24"/>
              </w:rPr>
            </w:pPr>
          </w:p>
        </w:tc>
      </w:tr>
    </w:tbl>
    <w:p w14:paraId="167DBDEF" w14:textId="7D148717" w:rsidR="006D6A33" w:rsidRPr="005A44CE" w:rsidRDefault="006D6A33" w:rsidP="00482591">
      <w:pPr>
        <w:rPr>
          <w:rFonts w:ascii="Times New Roman" w:hAnsi="Times New Roman"/>
          <w:b/>
          <w:bCs/>
          <w:i/>
          <w:iCs/>
          <w:sz w:val="24"/>
        </w:rPr>
      </w:pPr>
    </w:p>
    <w:p w14:paraId="3C60AFBC" w14:textId="77777777" w:rsidR="005F2DA1" w:rsidRPr="005A44CE" w:rsidRDefault="005F2DA1">
      <w:pPr>
        <w:rPr>
          <w:rFonts w:ascii="Times New Roman" w:hAnsi="Times New Roman"/>
          <w:sz w:val="24"/>
        </w:rPr>
      </w:pPr>
      <w:r w:rsidRPr="005A44CE">
        <w:rPr>
          <w:rFonts w:ascii="Times New Roman" w:hAnsi="Times New Roman"/>
          <w:sz w:val="24"/>
        </w:rPr>
        <w:br w:type="page"/>
      </w:r>
    </w:p>
    <w:p w14:paraId="5514A974" w14:textId="3D0FDBE4" w:rsidR="007B4D10" w:rsidRPr="0049162C" w:rsidRDefault="002C0DA1" w:rsidP="002C0DA1">
      <w:pPr>
        <w:spacing w:line="480" w:lineRule="auto"/>
        <w:rPr>
          <w:rFonts w:ascii="Times New Roman" w:hAnsi="Times New Roman"/>
          <w:b/>
          <w:bCs/>
          <w:sz w:val="24"/>
        </w:rPr>
      </w:pPr>
      <w:r w:rsidRPr="005A44CE">
        <w:rPr>
          <w:rFonts w:ascii="Times New Roman" w:hAnsi="Times New Roman"/>
          <w:b/>
          <w:bCs/>
          <w:sz w:val="24"/>
        </w:rPr>
        <w:lastRenderedPageBreak/>
        <w:t xml:space="preserve">Table </w:t>
      </w:r>
      <w:r w:rsidR="00FD5C75" w:rsidRPr="005A44CE">
        <w:rPr>
          <w:rFonts w:ascii="Times New Roman" w:hAnsi="Times New Roman"/>
          <w:b/>
          <w:bCs/>
          <w:sz w:val="24"/>
        </w:rPr>
        <w:t>2</w:t>
      </w:r>
      <w:r w:rsidR="0049162C">
        <w:rPr>
          <w:rFonts w:ascii="Times New Roman" w:hAnsi="Times New Roman"/>
          <w:b/>
          <w:bCs/>
          <w:sz w:val="24"/>
        </w:rPr>
        <w:t xml:space="preserve">. </w:t>
      </w:r>
      <w:r w:rsidRPr="0049162C">
        <w:rPr>
          <w:rFonts w:ascii="Times New Roman" w:hAnsi="Times New Roman"/>
          <w:sz w:val="24"/>
        </w:rPr>
        <w:t>Multivariable Binary Logistic Regression Results for</w:t>
      </w:r>
      <w:r w:rsidR="007B4D10" w:rsidRPr="0049162C">
        <w:rPr>
          <w:rFonts w:ascii="Times New Roman" w:hAnsi="Times New Roman"/>
          <w:sz w:val="24"/>
        </w:rPr>
        <w:t xml:space="preserve"> Relationship Status (Independent Variable) and</w:t>
      </w:r>
      <w:r w:rsidRPr="0049162C">
        <w:rPr>
          <w:rFonts w:ascii="Times New Roman" w:hAnsi="Times New Roman"/>
          <w:sz w:val="24"/>
        </w:rPr>
        <w:t xml:space="preserve"> Service Engagement</w:t>
      </w:r>
      <w:r w:rsidR="007B4D10" w:rsidRPr="0049162C">
        <w:rPr>
          <w:rFonts w:ascii="Times New Roman" w:hAnsi="Times New Roman"/>
          <w:sz w:val="24"/>
        </w:rPr>
        <w:t xml:space="preserve"> (Dependent Variable)</w:t>
      </w:r>
    </w:p>
    <w:tbl>
      <w:tblPr>
        <w:tblStyle w:val="TableGrid"/>
        <w:tblW w:w="11296" w:type="dxa"/>
        <w:tblInd w:w="-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1"/>
        <w:gridCol w:w="567"/>
        <w:gridCol w:w="709"/>
        <w:gridCol w:w="1417"/>
        <w:gridCol w:w="709"/>
        <w:gridCol w:w="1418"/>
        <w:gridCol w:w="708"/>
        <w:gridCol w:w="1418"/>
        <w:gridCol w:w="709"/>
        <w:gridCol w:w="1450"/>
      </w:tblGrid>
      <w:tr w:rsidR="006706FF" w:rsidRPr="005A44CE" w14:paraId="0E4C24E2" w14:textId="77777777" w:rsidTr="00660A4F">
        <w:trPr>
          <w:trHeight w:val="608"/>
        </w:trPr>
        <w:tc>
          <w:tcPr>
            <w:tcW w:w="2191" w:type="dxa"/>
            <w:tcBorders>
              <w:top w:val="single" w:sz="4" w:space="0" w:color="auto"/>
            </w:tcBorders>
          </w:tcPr>
          <w:p w14:paraId="296DFC98" w14:textId="752B66D4" w:rsidR="007B4D10" w:rsidRPr="005A44CE" w:rsidRDefault="007B4D10" w:rsidP="002C0DA1">
            <w:pPr>
              <w:spacing w:line="480" w:lineRule="auto"/>
              <w:rPr>
                <w:rFonts w:ascii="Times New Roman" w:hAnsi="Times New Roman"/>
                <w:sz w:val="24"/>
              </w:rPr>
            </w:pPr>
            <w:r w:rsidRPr="005A44CE">
              <w:rPr>
                <w:rFonts w:ascii="Times New Roman" w:hAnsi="Times New Roman"/>
                <w:sz w:val="24"/>
              </w:rPr>
              <w:t>Variables</w:t>
            </w:r>
          </w:p>
        </w:tc>
        <w:tc>
          <w:tcPr>
            <w:tcW w:w="567" w:type="dxa"/>
            <w:tcBorders>
              <w:top w:val="single" w:sz="4" w:space="0" w:color="auto"/>
            </w:tcBorders>
          </w:tcPr>
          <w:p w14:paraId="7B802783" w14:textId="77777777" w:rsidR="007B4D10" w:rsidRPr="005A44CE" w:rsidRDefault="007B4D10" w:rsidP="002C0DA1">
            <w:pPr>
              <w:spacing w:line="480" w:lineRule="auto"/>
              <w:rPr>
                <w:rFonts w:ascii="Times New Roman" w:hAnsi="Times New Roman"/>
                <w:sz w:val="24"/>
              </w:rPr>
            </w:pPr>
          </w:p>
        </w:tc>
        <w:tc>
          <w:tcPr>
            <w:tcW w:w="2126" w:type="dxa"/>
            <w:gridSpan w:val="2"/>
            <w:tcBorders>
              <w:top w:val="single" w:sz="4" w:space="0" w:color="auto"/>
            </w:tcBorders>
          </w:tcPr>
          <w:p w14:paraId="779264BD" w14:textId="78F41591" w:rsidR="007B4D10" w:rsidRPr="005A44CE" w:rsidRDefault="007B4D10" w:rsidP="007B4D10">
            <w:pPr>
              <w:spacing w:line="480" w:lineRule="auto"/>
              <w:jc w:val="center"/>
              <w:rPr>
                <w:rFonts w:ascii="Times New Roman" w:hAnsi="Times New Roman"/>
                <w:sz w:val="24"/>
              </w:rPr>
            </w:pPr>
            <w:r w:rsidRPr="005A44CE">
              <w:rPr>
                <w:rFonts w:ascii="Times New Roman" w:hAnsi="Times New Roman"/>
                <w:sz w:val="24"/>
              </w:rPr>
              <w:t>Free Condoms</w:t>
            </w:r>
          </w:p>
        </w:tc>
        <w:tc>
          <w:tcPr>
            <w:tcW w:w="2127" w:type="dxa"/>
            <w:gridSpan w:val="2"/>
            <w:tcBorders>
              <w:top w:val="single" w:sz="4" w:space="0" w:color="auto"/>
            </w:tcBorders>
          </w:tcPr>
          <w:p w14:paraId="2CFEBF96" w14:textId="3E6A19DB" w:rsidR="007B4D10" w:rsidRPr="005A44CE" w:rsidRDefault="007B4D10" w:rsidP="007B4D10">
            <w:pPr>
              <w:spacing w:line="480" w:lineRule="auto"/>
              <w:jc w:val="center"/>
              <w:rPr>
                <w:rFonts w:ascii="Times New Roman" w:hAnsi="Times New Roman"/>
                <w:sz w:val="24"/>
              </w:rPr>
            </w:pPr>
            <w:r w:rsidRPr="005A44CE">
              <w:rPr>
                <w:rFonts w:ascii="Times New Roman" w:hAnsi="Times New Roman"/>
                <w:sz w:val="24"/>
              </w:rPr>
              <w:t>STI Testing</w:t>
            </w:r>
          </w:p>
        </w:tc>
        <w:tc>
          <w:tcPr>
            <w:tcW w:w="2126" w:type="dxa"/>
            <w:gridSpan w:val="2"/>
            <w:tcBorders>
              <w:top w:val="single" w:sz="4" w:space="0" w:color="auto"/>
            </w:tcBorders>
          </w:tcPr>
          <w:p w14:paraId="1A51CD60" w14:textId="5D287589" w:rsidR="007B4D10" w:rsidRPr="005A44CE" w:rsidRDefault="007B4D10" w:rsidP="007B4D10">
            <w:pPr>
              <w:spacing w:line="480" w:lineRule="auto"/>
              <w:jc w:val="center"/>
              <w:rPr>
                <w:rFonts w:ascii="Times New Roman" w:hAnsi="Times New Roman"/>
                <w:sz w:val="24"/>
              </w:rPr>
            </w:pPr>
            <w:r w:rsidRPr="005A44CE">
              <w:rPr>
                <w:rFonts w:ascii="Times New Roman" w:hAnsi="Times New Roman"/>
                <w:sz w:val="24"/>
              </w:rPr>
              <w:t>The Pill</w:t>
            </w:r>
          </w:p>
        </w:tc>
        <w:tc>
          <w:tcPr>
            <w:tcW w:w="2159" w:type="dxa"/>
            <w:gridSpan w:val="2"/>
            <w:tcBorders>
              <w:top w:val="single" w:sz="4" w:space="0" w:color="auto"/>
            </w:tcBorders>
          </w:tcPr>
          <w:p w14:paraId="7F0F7017" w14:textId="7FAEBE95" w:rsidR="007B4D10" w:rsidRPr="005A44CE" w:rsidRDefault="007B4D10" w:rsidP="007B4D10">
            <w:pPr>
              <w:spacing w:line="480" w:lineRule="auto"/>
              <w:jc w:val="center"/>
              <w:rPr>
                <w:rFonts w:ascii="Times New Roman" w:hAnsi="Times New Roman"/>
                <w:sz w:val="24"/>
              </w:rPr>
            </w:pPr>
            <w:r w:rsidRPr="005A44CE">
              <w:rPr>
                <w:rFonts w:ascii="Times New Roman" w:hAnsi="Times New Roman"/>
                <w:sz w:val="24"/>
              </w:rPr>
              <w:t>Pregnancy Testing</w:t>
            </w:r>
          </w:p>
        </w:tc>
      </w:tr>
      <w:tr w:rsidR="006706FF" w:rsidRPr="005A44CE" w14:paraId="038CC9DF" w14:textId="77777777" w:rsidTr="00660A4F">
        <w:trPr>
          <w:trHeight w:val="521"/>
        </w:trPr>
        <w:tc>
          <w:tcPr>
            <w:tcW w:w="2191" w:type="dxa"/>
            <w:tcBorders>
              <w:bottom w:val="single" w:sz="4" w:space="0" w:color="auto"/>
            </w:tcBorders>
          </w:tcPr>
          <w:p w14:paraId="1A2FB5C4" w14:textId="77777777" w:rsidR="007B4D10" w:rsidRPr="005A44CE" w:rsidRDefault="007B4D10" w:rsidP="002C0DA1">
            <w:pPr>
              <w:spacing w:line="480" w:lineRule="auto"/>
              <w:rPr>
                <w:rFonts w:ascii="Times New Roman" w:hAnsi="Times New Roman"/>
                <w:sz w:val="24"/>
              </w:rPr>
            </w:pPr>
          </w:p>
        </w:tc>
        <w:tc>
          <w:tcPr>
            <w:tcW w:w="567" w:type="dxa"/>
            <w:tcBorders>
              <w:bottom w:val="single" w:sz="4" w:space="0" w:color="auto"/>
            </w:tcBorders>
          </w:tcPr>
          <w:p w14:paraId="335CD481" w14:textId="77777777" w:rsidR="007B4D10" w:rsidRPr="005A44CE" w:rsidRDefault="007B4D10" w:rsidP="002C0DA1">
            <w:pPr>
              <w:spacing w:line="480" w:lineRule="auto"/>
              <w:rPr>
                <w:rFonts w:ascii="Times New Roman" w:hAnsi="Times New Roman"/>
                <w:sz w:val="24"/>
              </w:rPr>
            </w:pPr>
          </w:p>
        </w:tc>
        <w:tc>
          <w:tcPr>
            <w:tcW w:w="709" w:type="dxa"/>
            <w:tcBorders>
              <w:bottom w:val="single" w:sz="4" w:space="0" w:color="auto"/>
            </w:tcBorders>
          </w:tcPr>
          <w:p w14:paraId="0B512A77" w14:textId="14B33D7B" w:rsidR="007B4D10" w:rsidRPr="005A44CE" w:rsidRDefault="008A4D65" w:rsidP="002C0DA1">
            <w:pPr>
              <w:spacing w:line="480" w:lineRule="auto"/>
              <w:rPr>
                <w:rFonts w:ascii="Times New Roman" w:hAnsi="Times New Roman"/>
                <w:sz w:val="24"/>
              </w:rPr>
            </w:pPr>
            <w:proofErr w:type="spellStart"/>
            <w:r w:rsidRPr="005A44CE">
              <w:rPr>
                <w:rFonts w:ascii="Times New Roman" w:hAnsi="Times New Roman"/>
                <w:sz w:val="24"/>
              </w:rPr>
              <w:t>a</w:t>
            </w:r>
            <w:r w:rsidR="007B4D10" w:rsidRPr="005A44CE">
              <w:rPr>
                <w:rFonts w:ascii="Times New Roman" w:hAnsi="Times New Roman"/>
                <w:sz w:val="24"/>
              </w:rPr>
              <w:t>OR</w:t>
            </w:r>
            <w:proofErr w:type="spellEnd"/>
          </w:p>
        </w:tc>
        <w:tc>
          <w:tcPr>
            <w:tcW w:w="1417" w:type="dxa"/>
            <w:tcBorders>
              <w:bottom w:val="single" w:sz="4" w:space="0" w:color="auto"/>
            </w:tcBorders>
          </w:tcPr>
          <w:p w14:paraId="43D6C34A" w14:textId="41CCA7EC" w:rsidR="007B4D10" w:rsidRPr="005A44CE" w:rsidRDefault="007B4D10" w:rsidP="002C0DA1">
            <w:pPr>
              <w:spacing w:line="480" w:lineRule="auto"/>
              <w:rPr>
                <w:rFonts w:ascii="Times New Roman" w:hAnsi="Times New Roman"/>
                <w:sz w:val="24"/>
              </w:rPr>
            </w:pPr>
            <w:r w:rsidRPr="005A44CE">
              <w:rPr>
                <w:rFonts w:ascii="Times New Roman" w:hAnsi="Times New Roman"/>
                <w:sz w:val="24"/>
              </w:rPr>
              <w:t>95% CI</w:t>
            </w:r>
          </w:p>
        </w:tc>
        <w:tc>
          <w:tcPr>
            <w:tcW w:w="709" w:type="dxa"/>
            <w:tcBorders>
              <w:bottom w:val="single" w:sz="4" w:space="0" w:color="auto"/>
            </w:tcBorders>
          </w:tcPr>
          <w:p w14:paraId="210EC03B" w14:textId="61707C42" w:rsidR="007B4D10" w:rsidRPr="005A44CE" w:rsidRDefault="008A4D65" w:rsidP="002C0DA1">
            <w:pPr>
              <w:spacing w:line="480" w:lineRule="auto"/>
              <w:rPr>
                <w:rFonts w:ascii="Times New Roman" w:hAnsi="Times New Roman"/>
                <w:sz w:val="24"/>
              </w:rPr>
            </w:pPr>
            <w:proofErr w:type="spellStart"/>
            <w:r w:rsidRPr="005A44CE">
              <w:rPr>
                <w:rFonts w:ascii="Times New Roman" w:hAnsi="Times New Roman"/>
                <w:sz w:val="24"/>
              </w:rPr>
              <w:t>a</w:t>
            </w:r>
            <w:r w:rsidR="007B4D10" w:rsidRPr="005A44CE">
              <w:rPr>
                <w:rFonts w:ascii="Times New Roman" w:hAnsi="Times New Roman"/>
                <w:sz w:val="24"/>
              </w:rPr>
              <w:t>OR</w:t>
            </w:r>
            <w:proofErr w:type="spellEnd"/>
          </w:p>
        </w:tc>
        <w:tc>
          <w:tcPr>
            <w:tcW w:w="1418" w:type="dxa"/>
            <w:tcBorders>
              <w:bottom w:val="single" w:sz="4" w:space="0" w:color="auto"/>
            </w:tcBorders>
          </w:tcPr>
          <w:p w14:paraId="4DF162D0" w14:textId="6F34BDE3" w:rsidR="007B4D10" w:rsidRPr="005A44CE" w:rsidRDefault="007B4D10" w:rsidP="002C0DA1">
            <w:pPr>
              <w:spacing w:line="480" w:lineRule="auto"/>
              <w:rPr>
                <w:rFonts w:ascii="Times New Roman" w:hAnsi="Times New Roman"/>
                <w:sz w:val="24"/>
              </w:rPr>
            </w:pPr>
            <w:r w:rsidRPr="005A44CE">
              <w:rPr>
                <w:rFonts w:ascii="Times New Roman" w:hAnsi="Times New Roman"/>
                <w:sz w:val="24"/>
              </w:rPr>
              <w:t>95% CI</w:t>
            </w:r>
          </w:p>
        </w:tc>
        <w:tc>
          <w:tcPr>
            <w:tcW w:w="708" w:type="dxa"/>
            <w:tcBorders>
              <w:bottom w:val="single" w:sz="4" w:space="0" w:color="auto"/>
            </w:tcBorders>
          </w:tcPr>
          <w:p w14:paraId="40689510" w14:textId="586C0991" w:rsidR="007B4D10" w:rsidRPr="005A44CE" w:rsidRDefault="008A4D65" w:rsidP="002C0DA1">
            <w:pPr>
              <w:spacing w:line="480" w:lineRule="auto"/>
              <w:rPr>
                <w:rFonts w:ascii="Times New Roman" w:hAnsi="Times New Roman"/>
                <w:sz w:val="24"/>
              </w:rPr>
            </w:pPr>
            <w:proofErr w:type="spellStart"/>
            <w:r w:rsidRPr="005A44CE">
              <w:rPr>
                <w:rFonts w:ascii="Times New Roman" w:hAnsi="Times New Roman"/>
                <w:sz w:val="24"/>
              </w:rPr>
              <w:t>a</w:t>
            </w:r>
            <w:r w:rsidR="007B4D10" w:rsidRPr="005A44CE">
              <w:rPr>
                <w:rFonts w:ascii="Times New Roman" w:hAnsi="Times New Roman"/>
                <w:sz w:val="24"/>
              </w:rPr>
              <w:t>OR</w:t>
            </w:r>
            <w:proofErr w:type="spellEnd"/>
          </w:p>
        </w:tc>
        <w:tc>
          <w:tcPr>
            <w:tcW w:w="1418" w:type="dxa"/>
            <w:tcBorders>
              <w:bottom w:val="single" w:sz="4" w:space="0" w:color="auto"/>
            </w:tcBorders>
          </w:tcPr>
          <w:p w14:paraId="072B55F1" w14:textId="1AD30B0D" w:rsidR="007B4D10" w:rsidRPr="005A44CE" w:rsidRDefault="007B4D10" w:rsidP="002C0DA1">
            <w:pPr>
              <w:spacing w:line="480" w:lineRule="auto"/>
              <w:rPr>
                <w:rFonts w:ascii="Times New Roman" w:hAnsi="Times New Roman"/>
                <w:sz w:val="24"/>
              </w:rPr>
            </w:pPr>
            <w:r w:rsidRPr="005A44CE">
              <w:rPr>
                <w:rFonts w:ascii="Times New Roman" w:hAnsi="Times New Roman"/>
                <w:sz w:val="24"/>
              </w:rPr>
              <w:t>95% CI</w:t>
            </w:r>
          </w:p>
        </w:tc>
        <w:tc>
          <w:tcPr>
            <w:tcW w:w="709" w:type="dxa"/>
            <w:tcBorders>
              <w:bottom w:val="single" w:sz="4" w:space="0" w:color="auto"/>
            </w:tcBorders>
          </w:tcPr>
          <w:p w14:paraId="248CAAD6" w14:textId="20F8EAA4" w:rsidR="007B4D10" w:rsidRPr="005A44CE" w:rsidRDefault="008A4D65" w:rsidP="002C0DA1">
            <w:pPr>
              <w:spacing w:line="480" w:lineRule="auto"/>
              <w:rPr>
                <w:rFonts w:ascii="Times New Roman" w:hAnsi="Times New Roman"/>
                <w:sz w:val="24"/>
              </w:rPr>
            </w:pPr>
            <w:proofErr w:type="spellStart"/>
            <w:r w:rsidRPr="005A44CE">
              <w:rPr>
                <w:rFonts w:ascii="Times New Roman" w:hAnsi="Times New Roman"/>
                <w:sz w:val="24"/>
              </w:rPr>
              <w:t>a</w:t>
            </w:r>
            <w:r w:rsidR="007B4D10" w:rsidRPr="005A44CE">
              <w:rPr>
                <w:rFonts w:ascii="Times New Roman" w:hAnsi="Times New Roman"/>
                <w:sz w:val="24"/>
              </w:rPr>
              <w:t>OR</w:t>
            </w:r>
            <w:proofErr w:type="spellEnd"/>
          </w:p>
        </w:tc>
        <w:tc>
          <w:tcPr>
            <w:tcW w:w="1450" w:type="dxa"/>
            <w:tcBorders>
              <w:bottom w:val="single" w:sz="4" w:space="0" w:color="auto"/>
            </w:tcBorders>
          </w:tcPr>
          <w:p w14:paraId="438294A1" w14:textId="5C7CD798" w:rsidR="007B4D10" w:rsidRPr="005A44CE" w:rsidRDefault="007B4D10" w:rsidP="002C0DA1">
            <w:pPr>
              <w:spacing w:line="480" w:lineRule="auto"/>
              <w:rPr>
                <w:rFonts w:ascii="Times New Roman" w:hAnsi="Times New Roman"/>
                <w:sz w:val="24"/>
              </w:rPr>
            </w:pPr>
            <w:r w:rsidRPr="005A44CE">
              <w:rPr>
                <w:rFonts w:ascii="Times New Roman" w:hAnsi="Times New Roman"/>
                <w:sz w:val="24"/>
              </w:rPr>
              <w:t>95% CI</w:t>
            </w:r>
          </w:p>
        </w:tc>
      </w:tr>
      <w:tr w:rsidR="006706FF" w:rsidRPr="005A44CE" w14:paraId="37076EAD" w14:textId="77777777" w:rsidTr="00660A4F">
        <w:trPr>
          <w:trHeight w:val="541"/>
        </w:trPr>
        <w:tc>
          <w:tcPr>
            <w:tcW w:w="2191" w:type="dxa"/>
            <w:tcBorders>
              <w:top w:val="single" w:sz="4" w:space="0" w:color="auto"/>
            </w:tcBorders>
          </w:tcPr>
          <w:p w14:paraId="4B291A45" w14:textId="3146F7CF" w:rsidR="007B4D10" w:rsidRPr="005A44CE" w:rsidRDefault="007B4D10" w:rsidP="002C0DA1">
            <w:pPr>
              <w:spacing w:line="480" w:lineRule="auto"/>
              <w:rPr>
                <w:rFonts w:ascii="Times New Roman" w:hAnsi="Times New Roman"/>
                <w:sz w:val="24"/>
              </w:rPr>
            </w:pPr>
            <w:r w:rsidRPr="005A44CE">
              <w:rPr>
                <w:rFonts w:ascii="Times New Roman" w:hAnsi="Times New Roman"/>
                <w:sz w:val="24"/>
              </w:rPr>
              <w:t>Relationship Status</w:t>
            </w:r>
          </w:p>
        </w:tc>
        <w:tc>
          <w:tcPr>
            <w:tcW w:w="567" w:type="dxa"/>
            <w:tcBorders>
              <w:top w:val="single" w:sz="4" w:space="0" w:color="auto"/>
            </w:tcBorders>
          </w:tcPr>
          <w:p w14:paraId="02E1B3FE" w14:textId="77777777" w:rsidR="007B4D10" w:rsidRPr="005A44CE" w:rsidRDefault="007B4D10" w:rsidP="002C0DA1">
            <w:pPr>
              <w:spacing w:line="480" w:lineRule="auto"/>
              <w:rPr>
                <w:rFonts w:ascii="Times New Roman" w:hAnsi="Times New Roman"/>
                <w:sz w:val="24"/>
              </w:rPr>
            </w:pPr>
          </w:p>
        </w:tc>
        <w:tc>
          <w:tcPr>
            <w:tcW w:w="709" w:type="dxa"/>
            <w:tcBorders>
              <w:top w:val="single" w:sz="4" w:space="0" w:color="auto"/>
            </w:tcBorders>
          </w:tcPr>
          <w:p w14:paraId="27C2D278" w14:textId="296D760D" w:rsidR="007B4D10" w:rsidRPr="005A44CE" w:rsidRDefault="006C2280" w:rsidP="002C0DA1">
            <w:pPr>
              <w:spacing w:line="480" w:lineRule="auto"/>
              <w:rPr>
                <w:rFonts w:ascii="Times New Roman" w:hAnsi="Times New Roman"/>
                <w:b/>
                <w:bCs/>
                <w:sz w:val="24"/>
              </w:rPr>
            </w:pPr>
            <w:r w:rsidRPr="005A44CE">
              <w:rPr>
                <w:rFonts w:ascii="Times New Roman" w:hAnsi="Times New Roman"/>
                <w:b/>
                <w:bCs/>
                <w:sz w:val="24"/>
              </w:rPr>
              <w:t>1.</w:t>
            </w:r>
            <w:r w:rsidR="0050507E" w:rsidRPr="005A44CE">
              <w:rPr>
                <w:rFonts w:ascii="Times New Roman" w:hAnsi="Times New Roman"/>
                <w:b/>
                <w:bCs/>
                <w:sz w:val="24"/>
              </w:rPr>
              <w:t>71</w:t>
            </w:r>
          </w:p>
        </w:tc>
        <w:tc>
          <w:tcPr>
            <w:tcW w:w="1417" w:type="dxa"/>
            <w:tcBorders>
              <w:top w:val="single" w:sz="4" w:space="0" w:color="auto"/>
            </w:tcBorders>
          </w:tcPr>
          <w:p w14:paraId="78110C1A" w14:textId="3D4EDB32" w:rsidR="007B4D10" w:rsidRPr="005A44CE" w:rsidRDefault="006C2280" w:rsidP="002C0DA1">
            <w:pPr>
              <w:spacing w:line="480" w:lineRule="auto"/>
              <w:rPr>
                <w:rFonts w:ascii="Times New Roman" w:hAnsi="Times New Roman"/>
                <w:b/>
                <w:bCs/>
                <w:sz w:val="24"/>
              </w:rPr>
            </w:pPr>
            <w:r w:rsidRPr="005A44CE">
              <w:rPr>
                <w:rFonts w:ascii="Times New Roman" w:hAnsi="Times New Roman"/>
                <w:b/>
                <w:bCs/>
                <w:sz w:val="24"/>
              </w:rPr>
              <w:t>1</w:t>
            </w:r>
            <w:r w:rsidR="0050507E" w:rsidRPr="005A44CE">
              <w:rPr>
                <w:rFonts w:ascii="Times New Roman" w:hAnsi="Times New Roman"/>
                <w:b/>
                <w:bCs/>
                <w:sz w:val="24"/>
              </w:rPr>
              <w:t>.13</w:t>
            </w:r>
            <w:r w:rsidRPr="005A44CE">
              <w:rPr>
                <w:rFonts w:ascii="Times New Roman" w:hAnsi="Times New Roman"/>
                <w:b/>
                <w:bCs/>
                <w:sz w:val="24"/>
              </w:rPr>
              <w:t>, 2.5</w:t>
            </w:r>
            <w:r w:rsidR="0050507E" w:rsidRPr="005A44CE">
              <w:rPr>
                <w:rFonts w:ascii="Times New Roman" w:hAnsi="Times New Roman"/>
                <w:b/>
                <w:bCs/>
                <w:sz w:val="24"/>
              </w:rPr>
              <w:t>9</w:t>
            </w:r>
          </w:p>
        </w:tc>
        <w:tc>
          <w:tcPr>
            <w:tcW w:w="709" w:type="dxa"/>
            <w:tcBorders>
              <w:top w:val="single" w:sz="4" w:space="0" w:color="auto"/>
            </w:tcBorders>
          </w:tcPr>
          <w:p w14:paraId="410A2F5E" w14:textId="748FF47B" w:rsidR="007B4D10" w:rsidRPr="005A44CE" w:rsidRDefault="0020098B" w:rsidP="002C0DA1">
            <w:pPr>
              <w:spacing w:line="480" w:lineRule="auto"/>
              <w:rPr>
                <w:rFonts w:ascii="Times New Roman" w:hAnsi="Times New Roman"/>
                <w:sz w:val="24"/>
              </w:rPr>
            </w:pPr>
            <w:r w:rsidRPr="005A44CE">
              <w:rPr>
                <w:rFonts w:ascii="Times New Roman" w:hAnsi="Times New Roman"/>
                <w:sz w:val="24"/>
              </w:rPr>
              <w:t>1.59</w:t>
            </w:r>
          </w:p>
        </w:tc>
        <w:tc>
          <w:tcPr>
            <w:tcW w:w="1418" w:type="dxa"/>
            <w:tcBorders>
              <w:top w:val="single" w:sz="4" w:space="0" w:color="auto"/>
            </w:tcBorders>
          </w:tcPr>
          <w:p w14:paraId="3EC7EE9B" w14:textId="0962A98A" w:rsidR="007B4D10" w:rsidRPr="005A44CE" w:rsidRDefault="0020098B" w:rsidP="002C0DA1">
            <w:pPr>
              <w:spacing w:line="480" w:lineRule="auto"/>
              <w:rPr>
                <w:rFonts w:ascii="Times New Roman" w:hAnsi="Times New Roman"/>
                <w:sz w:val="24"/>
              </w:rPr>
            </w:pPr>
            <w:r w:rsidRPr="005A44CE">
              <w:rPr>
                <w:rFonts w:ascii="Times New Roman" w:hAnsi="Times New Roman"/>
                <w:sz w:val="24"/>
              </w:rPr>
              <w:t>1.00, 2.53</w:t>
            </w:r>
          </w:p>
        </w:tc>
        <w:tc>
          <w:tcPr>
            <w:tcW w:w="708" w:type="dxa"/>
            <w:tcBorders>
              <w:top w:val="single" w:sz="4" w:space="0" w:color="auto"/>
            </w:tcBorders>
          </w:tcPr>
          <w:p w14:paraId="171998C3" w14:textId="17AB86C1" w:rsidR="007B4D10" w:rsidRPr="005A44CE" w:rsidRDefault="0020098B" w:rsidP="002C0DA1">
            <w:pPr>
              <w:spacing w:line="480" w:lineRule="auto"/>
              <w:rPr>
                <w:rFonts w:ascii="Times New Roman" w:hAnsi="Times New Roman"/>
                <w:b/>
                <w:bCs/>
                <w:sz w:val="24"/>
              </w:rPr>
            </w:pPr>
            <w:r w:rsidRPr="005A44CE">
              <w:rPr>
                <w:rFonts w:ascii="Times New Roman" w:hAnsi="Times New Roman"/>
                <w:b/>
                <w:bCs/>
                <w:sz w:val="24"/>
              </w:rPr>
              <w:t>2.21</w:t>
            </w:r>
          </w:p>
        </w:tc>
        <w:tc>
          <w:tcPr>
            <w:tcW w:w="1418" w:type="dxa"/>
            <w:tcBorders>
              <w:top w:val="single" w:sz="4" w:space="0" w:color="auto"/>
            </w:tcBorders>
          </w:tcPr>
          <w:p w14:paraId="4C062C42" w14:textId="4704FA96" w:rsidR="007B4D10" w:rsidRPr="005A44CE" w:rsidRDefault="0020098B" w:rsidP="002C0DA1">
            <w:pPr>
              <w:spacing w:line="480" w:lineRule="auto"/>
              <w:rPr>
                <w:rFonts w:ascii="Times New Roman" w:hAnsi="Times New Roman"/>
                <w:b/>
                <w:bCs/>
                <w:sz w:val="24"/>
              </w:rPr>
            </w:pPr>
            <w:r w:rsidRPr="005A44CE">
              <w:rPr>
                <w:rFonts w:ascii="Times New Roman" w:hAnsi="Times New Roman"/>
                <w:b/>
                <w:bCs/>
                <w:sz w:val="24"/>
              </w:rPr>
              <w:t>1.45, 3.36</w:t>
            </w:r>
          </w:p>
        </w:tc>
        <w:tc>
          <w:tcPr>
            <w:tcW w:w="709" w:type="dxa"/>
            <w:tcBorders>
              <w:top w:val="single" w:sz="4" w:space="0" w:color="auto"/>
            </w:tcBorders>
          </w:tcPr>
          <w:p w14:paraId="23DCBB64" w14:textId="0F5174F3" w:rsidR="007B4D10" w:rsidRPr="005A44CE" w:rsidRDefault="005C5427" w:rsidP="002C0DA1">
            <w:pPr>
              <w:spacing w:line="480" w:lineRule="auto"/>
              <w:rPr>
                <w:rFonts w:ascii="Times New Roman" w:hAnsi="Times New Roman"/>
                <w:b/>
                <w:bCs/>
                <w:sz w:val="24"/>
              </w:rPr>
            </w:pPr>
            <w:r w:rsidRPr="005A44CE">
              <w:rPr>
                <w:rFonts w:ascii="Times New Roman" w:hAnsi="Times New Roman"/>
                <w:b/>
                <w:bCs/>
                <w:sz w:val="24"/>
              </w:rPr>
              <w:t>3.86</w:t>
            </w:r>
          </w:p>
        </w:tc>
        <w:tc>
          <w:tcPr>
            <w:tcW w:w="1450" w:type="dxa"/>
            <w:tcBorders>
              <w:top w:val="single" w:sz="4" w:space="0" w:color="auto"/>
            </w:tcBorders>
          </w:tcPr>
          <w:p w14:paraId="660DB5E1" w14:textId="51D5833E" w:rsidR="007B4D10" w:rsidRPr="005A44CE" w:rsidRDefault="005C5427" w:rsidP="002C0DA1">
            <w:pPr>
              <w:spacing w:line="480" w:lineRule="auto"/>
              <w:rPr>
                <w:rFonts w:ascii="Times New Roman" w:hAnsi="Times New Roman"/>
                <w:b/>
                <w:bCs/>
                <w:sz w:val="24"/>
              </w:rPr>
            </w:pPr>
            <w:r w:rsidRPr="005A44CE">
              <w:rPr>
                <w:rFonts w:ascii="Times New Roman" w:hAnsi="Times New Roman"/>
                <w:b/>
                <w:bCs/>
                <w:sz w:val="24"/>
              </w:rPr>
              <w:t>2.20, 6.78</w:t>
            </w:r>
          </w:p>
        </w:tc>
      </w:tr>
      <w:tr w:rsidR="006706FF" w:rsidRPr="005A44CE" w14:paraId="485F7888" w14:textId="77777777" w:rsidTr="006706FF">
        <w:trPr>
          <w:trHeight w:val="532"/>
        </w:trPr>
        <w:tc>
          <w:tcPr>
            <w:tcW w:w="2191" w:type="dxa"/>
          </w:tcPr>
          <w:p w14:paraId="332DB8F1" w14:textId="7EBF2697" w:rsidR="007B4D10" w:rsidRPr="005A44CE" w:rsidRDefault="007B4D10" w:rsidP="002C0DA1">
            <w:pPr>
              <w:spacing w:line="480" w:lineRule="auto"/>
              <w:rPr>
                <w:rFonts w:ascii="Times New Roman" w:hAnsi="Times New Roman"/>
                <w:sz w:val="24"/>
              </w:rPr>
            </w:pPr>
            <w:r w:rsidRPr="005A44CE">
              <w:rPr>
                <w:rFonts w:ascii="Times New Roman" w:hAnsi="Times New Roman"/>
                <w:sz w:val="24"/>
              </w:rPr>
              <w:t>Age</w:t>
            </w:r>
          </w:p>
        </w:tc>
        <w:tc>
          <w:tcPr>
            <w:tcW w:w="567" w:type="dxa"/>
          </w:tcPr>
          <w:p w14:paraId="7C1CC413" w14:textId="77777777" w:rsidR="007B4D10" w:rsidRPr="005A44CE" w:rsidRDefault="007B4D10" w:rsidP="002C0DA1">
            <w:pPr>
              <w:spacing w:line="480" w:lineRule="auto"/>
              <w:rPr>
                <w:rFonts w:ascii="Times New Roman" w:hAnsi="Times New Roman"/>
                <w:sz w:val="24"/>
              </w:rPr>
            </w:pPr>
          </w:p>
        </w:tc>
        <w:tc>
          <w:tcPr>
            <w:tcW w:w="709" w:type="dxa"/>
          </w:tcPr>
          <w:p w14:paraId="769AF486" w14:textId="34E50A5F" w:rsidR="007B4D10" w:rsidRPr="005A44CE" w:rsidRDefault="006C2280" w:rsidP="002C0DA1">
            <w:pPr>
              <w:spacing w:line="480" w:lineRule="auto"/>
              <w:rPr>
                <w:rFonts w:ascii="Times New Roman" w:hAnsi="Times New Roman"/>
                <w:b/>
                <w:bCs/>
                <w:sz w:val="24"/>
              </w:rPr>
            </w:pPr>
            <w:r w:rsidRPr="005A44CE">
              <w:rPr>
                <w:rFonts w:ascii="Times New Roman" w:hAnsi="Times New Roman"/>
                <w:b/>
                <w:bCs/>
                <w:sz w:val="24"/>
              </w:rPr>
              <w:t>1.17</w:t>
            </w:r>
          </w:p>
        </w:tc>
        <w:tc>
          <w:tcPr>
            <w:tcW w:w="1417" w:type="dxa"/>
          </w:tcPr>
          <w:p w14:paraId="31A3C0FA" w14:textId="6F28C655" w:rsidR="007B4D10" w:rsidRPr="005A44CE" w:rsidRDefault="006C2280" w:rsidP="002C0DA1">
            <w:pPr>
              <w:spacing w:line="480" w:lineRule="auto"/>
              <w:rPr>
                <w:rFonts w:ascii="Times New Roman" w:hAnsi="Times New Roman"/>
                <w:b/>
                <w:bCs/>
                <w:sz w:val="24"/>
              </w:rPr>
            </w:pPr>
            <w:r w:rsidRPr="005A44CE">
              <w:rPr>
                <w:rFonts w:ascii="Times New Roman" w:hAnsi="Times New Roman"/>
                <w:b/>
                <w:bCs/>
                <w:sz w:val="24"/>
              </w:rPr>
              <w:t>1.02, 1.35</w:t>
            </w:r>
          </w:p>
        </w:tc>
        <w:tc>
          <w:tcPr>
            <w:tcW w:w="709" w:type="dxa"/>
          </w:tcPr>
          <w:p w14:paraId="722EF9E1" w14:textId="5828872C" w:rsidR="007B4D10" w:rsidRPr="005A44CE" w:rsidRDefault="0020098B" w:rsidP="002C0DA1">
            <w:pPr>
              <w:spacing w:line="480" w:lineRule="auto"/>
              <w:rPr>
                <w:rFonts w:ascii="Times New Roman" w:hAnsi="Times New Roman"/>
                <w:b/>
                <w:bCs/>
                <w:sz w:val="24"/>
              </w:rPr>
            </w:pPr>
            <w:r w:rsidRPr="005A44CE">
              <w:rPr>
                <w:rFonts w:ascii="Times New Roman" w:hAnsi="Times New Roman"/>
                <w:b/>
                <w:bCs/>
                <w:sz w:val="24"/>
              </w:rPr>
              <w:t>1.54</w:t>
            </w:r>
          </w:p>
        </w:tc>
        <w:tc>
          <w:tcPr>
            <w:tcW w:w="1418" w:type="dxa"/>
          </w:tcPr>
          <w:p w14:paraId="0F351C62" w14:textId="50C4EA95" w:rsidR="007B4D10" w:rsidRPr="005A44CE" w:rsidRDefault="0020098B" w:rsidP="002C0DA1">
            <w:pPr>
              <w:spacing w:line="480" w:lineRule="auto"/>
              <w:rPr>
                <w:rFonts w:ascii="Times New Roman" w:hAnsi="Times New Roman"/>
                <w:b/>
                <w:bCs/>
                <w:sz w:val="24"/>
              </w:rPr>
            </w:pPr>
            <w:r w:rsidRPr="005A44CE">
              <w:rPr>
                <w:rFonts w:ascii="Times New Roman" w:hAnsi="Times New Roman"/>
                <w:b/>
                <w:bCs/>
                <w:sz w:val="24"/>
              </w:rPr>
              <w:t>1.31, 1.80</w:t>
            </w:r>
          </w:p>
        </w:tc>
        <w:tc>
          <w:tcPr>
            <w:tcW w:w="708" w:type="dxa"/>
          </w:tcPr>
          <w:p w14:paraId="038EA7F5" w14:textId="60E235EA" w:rsidR="007B4D10" w:rsidRPr="005A44CE" w:rsidRDefault="0020098B" w:rsidP="002C0DA1">
            <w:pPr>
              <w:spacing w:line="480" w:lineRule="auto"/>
              <w:rPr>
                <w:rFonts w:ascii="Times New Roman" w:hAnsi="Times New Roman"/>
                <w:b/>
                <w:bCs/>
                <w:sz w:val="24"/>
              </w:rPr>
            </w:pPr>
            <w:r w:rsidRPr="005A44CE">
              <w:rPr>
                <w:rFonts w:ascii="Times New Roman" w:hAnsi="Times New Roman"/>
                <w:b/>
                <w:bCs/>
                <w:sz w:val="24"/>
              </w:rPr>
              <w:t>1.25</w:t>
            </w:r>
          </w:p>
        </w:tc>
        <w:tc>
          <w:tcPr>
            <w:tcW w:w="1418" w:type="dxa"/>
          </w:tcPr>
          <w:p w14:paraId="12CE1901" w14:textId="4D4B7FF0" w:rsidR="007B4D10" w:rsidRPr="005A44CE" w:rsidRDefault="0020098B" w:rsidP="002C0DA1">
            <w:pPr>
              <w:spacing w:line="480" w:lineRule="auto"/>
              <w:rPr>
                <w:rFonts w:ascii="Times New Roman" w:hAnsi="Times New Roman"/>
                <w:b/>
                <w:bCs/>
                <w:sz w:val="24"/>
              </w:rPr>
            </w:pPr>
            <w:r w:rsidRPr="005A44CE">
              <w:rPr>
                <w:rFonts w:ascii="Times New Roman" w:hAnsi="Times New Roman"/>
                <w:b/>
                <w:bCs/>
                <w:sz w:val="24"/>
              </w:rPr>
              <w:t>1.06, 1.48</w:t>
            </w:r>
          </w:p>
        </w:tc>
        <w:tc>
          <w:tcPr>
            <w:tcW w:w="709" w:type="dxa"/>
          </w:tcPr>
          <w:p w14:paraId="07A1FB48" w14:textId="72AAD621" w:rsidR="007B4D10" w:rsidRPr="005A44CE" w:rsidRDefault="005C5427" w:rsidP="002C0DA1">
            <w:pPr>
              <w:spacing w:line="480" w:lineRule="auto"/>
              <w:rPr>
                <w:rFonts w:ascii="Times New Roman" w:hAnsi="Times New Roman"/>
                <w:sz w:val="24"/>
              </w:rPr>
            </w:pPr>
            <w:r w:rsidRPr="005A44CE">
              <w:rPr>
                <w:rFonts w:ascii="Times New Roman" w:hAnsi="Times New Roman"/>
                <w:sz w:val="24"/>
              </w:rPr>
              <w:t>1.19</w:t>
            </w:r>
          </w:p>
        </w:tc>
        <w:tc>
          <w:tcPr>
            <w:tcW w:w="1450" w:type="dxa"/>
          </w:tcPr>
          <w:p w14:paraId="6C31AA4F" w14:textId="35A1CBC1" w:rsidR="007B4D10" w:rsidRPr="005A44CE" w:rsidRDefault="005C5427" w:rsidP="002C0DA1">
            <w:pPr>
              <w:spacing w:line="480" w:lineRule="auto"/>
              <w:rPr>
                <w:rFonts w:ascii="Times New Roman" w:hAnsi="Times New Roman"/>
                <w:sz w:val="24"/>
              </w:rPr>
            </w:pPr>
            <w:r w:rsidRPr="005A44CE">
              <w:rPr>
                <w:rFonts w:ascii="Times New Roman" w:hAnsi="Times New Roman"/>
                <w:sz w:val="24"/>
              </w:rPr>
              <w:t>.98, 1.44</w:t>
            </w:r>
          </w:p>
        </w:tc>
      </w:tr>
      <w:tr w:rsidR="006706FF" w:rsidRPr="005A44CE" w14:paraId="58317F32" w14:textId="77777777" w:rsidTr="006706FF">
        <w:trPr>
          <w:trHeight w:val="546"/>
        </w:trPr>
        <w:tc>
          <w:tcPr>
            <w:tcW w:w="2191" w:type="dxa"/>
          </w:tcPr>
          <w:p w14:paraId="119FDF89" w14:textId="50078D26" w:rsidR="007B4D10" w:rsidRPr="005A44CE" w:rsidRDefault="007B4D10" w:rsidP="002C0DA1">
            <w:pPr>
              <w:spacing w:line="480" w:lineRule="auto"/>
              <w:rPr>
                <w:rFonts w:ascii="Times New Roman" w:hAnsi="Times New Roman"/>
                <w:sz w:val="24"/>
              </w:rPr>
            </w:pPr>
            <w:r w:rsidRPr="005A44CE">
              <w:rPr>
                <w:rFonts w:ascii="Times New Roman" w:hAnsi="Times New Roman"/>
                <w:sz w:val="24"/>
              </w:rPr>
              <w:t>Gender</w:t>
            </w:r>
          </w:p>
        </w:tc>
        <w:tc>
          <w:tcPr>
            <w:tcW w:w="567" w:type="dxa"/>
          </w:tcPr>
          <w:p w14:paraId="3D4F5459" w14:textId="77777777" w:rsidR="007B4D10" w:rsidRPr="005A44CE" w:rsidRDefault="007B4D10" w:rsidP="002C0DA1">
            <w:pPr>
              <w:spacing w:line="480" w:lineRule="auto"/>
              <w:rPr>
                <w:rFonts w:ascii="Times New Roman" w:hAnsi="Times New Roman"/>
                <w:sz w:val="24"/>
              </w:rPr>
            </w:pPr>
          </w:p>
        </w:tc>
        <w:tc>
          <w:tcPr>
            <w:tcW w:w="709" w:type="dxa"/>
          </w:tcPr>
          <w:p w14:paraId="2763C269" w14:textId="44041482" w:rsidR="007B4D10" w:rsidRPr="005A44CE" w:rsidRDefault="0050507E" w:rsidP="002C0DA1">
            <w:pPr>
              <w:spacing w:line="480" w:lineRule="auto"/>
              <w:rPr>
                <w:rFonts w:ascii="Times New Roman" w:hAnsi="Times New Roman"/>
                <w:b/>
                <w:bCs/>
                <w:sz w:val="24"/>
              </w:rPr>
            </w:pPr>
            <w:r w:rsidRPr="005A44CE">
              <w:rPr>
                <w:rFonts w:ascii="Times New Roman" w:hAnsi="Times New Roman"/>
                <w:b/>
                <w:bCs/>
                <w:sz w:val="24"/>
              </w:rPr>
              <w:t>1.85</w:t>
            </w:r>
          </w:p>
        </w:tc>
        <w:tc>
          <w:tcPr>
            <w:tcW w:w="1417" w:type="dxa"/>
          </w:tcPr>
          <w:p w14:paraId="3925F516" w14:textId="5FBC3FCF" w:rsidR="007B4D10" w:rsidRPr="005A44CE" w:rsidRDefault="0050507E" w:rsidP="002C0DA1">
            <w:pPr>
              <w:spacing w:line="480" w:lineRule="auto"/>
              <w:rPr>
                <w:rFonts w:ascii="Times New Roman" w:hAnsi="Times New Roman"/>
                <w:b/>
                <w:bCs/>
                <w:sz w:val="24"/>
              </w:rPr>
            </w:pPr>
            <w:r w:rsidRPr="005A44CE">
              <w:rPr>
                <w:rFonts w:ascii="Times New Roman" w:hAnsi="Times New Roman"/>
                <w:b/>
                <w:bCs/>
                <w:sz w:val="24"/>
              </w:rPr>
              <w:t>1.07, 3.20</w:t>
            </w:r>
          </w:p>
        </w:tc>
        <w:tc>
          <w:tcPr>
            <w:tcW w:w="709" w:type="dxa"/>
          </w:tcPr>
          <w:p w14:paraId="003816A7" w14:textId="7E0F64AC" w:rsidR="007B4D10" w:rsidRPr="005A44CE" w:rsidRDefault="0020098B" w:rsidP="002C0DA1">
            <w:pPr>
              <w:spacing w:line="480" w:lineRule="auto"/>
              <w:rPr>
                <w:rFonts w:ascii="Times New Roman" w:hAnsi="Times New Roman"/>
                <w:sz w:val="24"/>
              </w:rPr>
            </w:pPr>
            <w:r w:rsidRPr="005A44CE">
              <w:rPr>
                <w:rFonts w:ascii="Times New Roman" w:hAnsi="Times New Roman"/>
                <w:sz w:val="24"/>
              </w:rPr>
              <w:t>.75</w:t>
            </w:r>
          </w:p>
        </w:tc>
        <w:tc>
          <w:tcPr>
            <w:tcW w:w="1418" w:type="dxa"/>
          </w:tcPr>
          <w:p w14:paraId="02C9A6FD" w14:textId="47F04232" w:rsidR="007B4D10" w:rsidRPr="005A44CE" w:rsidRDefault="0020098B" w:rsidP="002C0DA1">
            <w:pPr>
              <w:spacing w:line="480" w:lineRule="auto"/>
              <w:rPr>
                <w:rFonts w:ascii="Times New Roman" w:hAnsi="Times New Roman"/>
                <w:sz w:val="24"/>
              </w:rPr>
            </w:pPr>
            <w:r w:rsidRPr="005A44CE">
              <w:rPr>
                <w:rFonts w:ascii="Times New Roman" w:hAnsi="Times New Roman"/>
                <w:sz w:val="24"/>
              </w:rPr>
              <w:t>.38, 1.51</w:t>
            </w:r>
          </w:p>
        </w:tc>
        <w:tc>
          <w:tcPr>
            <w:tcW w:w="708" w:type="dxa"/>
          </w:tcPr>
          <w:p w14:paraId="0D17F2BC" w14:textId="12F0CC0E" w:rsidR="007B4D10" w:rsidRPr="005A44CE" w:rsidRDefault="0020098B" w:rsidP="0020098B">
            <w:pPr>
              <w:spacing w:line="480" w:lineRule="auto"/>
              <w:jc w:val="center"/>
              <w:rPr>
                <w:rFonts w:ascii="Times New Roman" w:hAnsi="Times New Roman"/>
                <w:sz w:val="24"/>
              </w:rPr>
            </w:pPr>
            <w:r w:rsidRPr="005A44CE">
              <w:rPr>
                <w:rFonts w:ascii="Times New Roman" w:hAnsi="Times New Roman"/>
                <w:sz w:val="24"/>
              </w:rPr>
              <w:t>-</w:t>
            </w:r>
          </w:p>
        </w:tc>
        <w:tc>
          <w:tcPr>
            <w:tcW w:w="1418" w:type="dxa"/>
          </w:tcPr>
          <w:p w14:paraId="6AC7C856" w14:textId="3AD0EA23" w:rsidR="007B4D10" w:rsidRPr="005A44CE" w:rsidRDefault="0020098B" w:rsidP="0020098B">
            <w:pPr>
              <w:spacing w:line="480" w:lineRule="auto"/>
              <w:jc w:val="center"/>
              <w:rPr>
                <w:rFonts w:ascii="Times New Roman" w:hAnsi="Times New Roman"/>
                <w:sz w:val="24"/>
              </w:rPr>
            </w:pPr>
            <w:r w:rsidRPr="005A44CE">
              <w:rPr>
                <w:rFonts w:ascii="Times New Roman" w:hAnsi="Times New Roman"/>
                <w:sz w:val="24"/>
              </w:rPr>
              <w:t>-</w:t>
            </w:r>
          </w:p>
        </w:tc>
        <w:tc>
          <w:tcPr>
            <w:tcW w:w="709" w:type="dxa"/>
          </w:tcPr>
          <w:p w14:paraId="0D5D7216" w14:textId="0718BA8B" w:rsidR="007B4D10" w:rsidRPr="005A44CE" w:rsidRDefault="005C5427" w:rsidP="005C5427">
            <w:pPr>
              <w:spacing w:line="480" w:lineRule="auto"/>
              <w:jc w:val="center"/>
              <w:rPr>
                <w:rFonts w:ascii="Times New Roman" w:hAnsi="Times New Roman"/>
                <w:sz w:val="24"/>
              </w:rPr>
            </w:pPr>
            <w:r w:rsidRPr="005A44CE">
              <w:rPr>
                <w:rFonts w:ascii="Times New Roman" w:hAnsi="Times New Roman"/>
                <w:sz w:val="24"/>
              </w:rPr>
              <w:t>-</w:t>
            </w:r>
          </w:p>
        </w:tc>
        <w:tc>
          <w:tcPr>
            <w:tcW w:w="1450" w:type="dxa"/>
          </w:tcPr>
          <w:p w14:paraId="54EE61F9" w14:textId="5AB911E1" w:rsidR="007B4D10" w:rsidRPr="005A44CE" w:rsidRDefault="005C5427" w:rsidP="005C5427">
            <w:pPr>
              <w:spacing w:line="480" w:lineRule="auto"/>
              <w:jc w:val="center"/>
              <w:rPr>
                <w:rFonts w:ascii="Times New Roman" w:hAnsi="Times New Roman"/>
                <w:sz w:val="24"/>
              </w:rPr>
            </w:pPr>
            <w:r w:rsidRPr="005A44CE">
              <w:rPr>
                <w:rFonts w:ascii="Times New Roman" w:hAnsi="Times New Roman"/>
                <w:sz w:val="24"/>
              </w:rPr>
              <w:t>-</w:t>
            </w:r>
          </w:p>
        </w:tc>
      </w:tr>
      <w:tr w:rsidR="006706FF" w:rsidRPr="005A44CE" w14:paraId="645493C3" w14:textId="77777777" w:rsidTr="006706FF">
        <w:trPr>
          <w:trHeight w:val="487"/>
        </w:trPr>
        <w:tc>
          <w:tcPr>
            <w:tcW w:w="2191" w:type="dxa"/>
            <w:tcBorders>
              <w:bottom w:val="single" w:sz="4" w:space="0" w:color="auto"/>
            </w:tcBorders>
          </w:tcPr>
          <w:p w14:paraId="7DE99706" w14:textId="48F16407" w:rsidR="007B4D10" w:rsidRPr="005A44CE" w:rsidRDefault="007B4D10" w:rsidP="002C0DA1">
            <w:pPr>
              <w:spacing w:line="480" w:lineRule="auto"/>
              <w:rPr>
                <w:rFonts w:ascii="Times New Roman" w:hAnsi="Times New Roman"/>
                <w:sz w:val="24"/>
              </w:rPr>
            </w:pPr>
            <w:r w:rsidRPr="005A44CE">
              <w:rPr>
                <w:rFonts w:ascii="Times New Roman" w:hAnsi="Times New Roman"/>
                <w:sz w:val="24"/>
              </w:rPr>
              <w:t>Sexual Orientation</w:t>
            </w:r>
          </w:p>
        </w:tc>
        <w:tc>
          <w:tcPr>
            <w:tcW w:w="567" w:type="dxa"/>
            <w:tcBorders>
              <w:bottom w:val="single" w:sz="4" w:space="0" w:color="auto"/>
            </w:tcBorders>
          </w:tcPr>
          <w:p w14:paraId="0553B6AC" w14:textId="77777777" w:rsidR="007B4D10" w:rsidRPr="005A44CE" w:rsidRDefault="007B4D10" w:rsidP="002C0DA1">
            <w:pPr>
              <w:spacing w:line="480" w:lineRule="auto"/>
              <w:rPr>
                <w:rFonts w:ascii="Times New Roman" w:hAnsi="Times New Roman"/>
                <w:sz w:val="24"/>
              </w:rPr>
            </w:pPr>
          </w:p>
        </w:tc>
        <w:tc>
          <w:tcPr>
            <w:tcW w:w="709" w:type="dxa"/>
            <w:tcBorders>
              <w:bottom w:val="single" w:sz="4" w:space="0" w:color="auto"/>
            </w:tcBorders>
          </w:tcPr>
          <w:p w14:paraId="779390C4" w14:textId="3236A535" w:rsidR="007B4D10" w:rsidRPr="005A44CE" w:rsidRDefault="0050507E" w:rsidP="002C0DA1">
            <w:pPr>
              <w:spacing w:line="480" w:lineRule="auto"/>
              <w:rPr>
                <w:rFonts w:ascii="Times New Roman" w:hAnsi="Times New Roman"/>
                <w:sz w:val="24"/>
              </w:rPr>
            </w:pPr>
            <w:r w:rsidRPr="005A44CE">
              <w:rPr>
                <w:rFonts w:ascii="Times New Roman" w:hAnsi="Times New Roman"/>
                <w:sz w:val="24"/>
              </w:rPr>
              <w:t>.73</w:t>
            </w:r>
          </w:p>
        </w:tc>
        <w:tc>
          <w:tcPr>
            <w:tcW w:w="1417" w:type="dxa"/>
            <w:tcBorders>
              <w:bottom w:val="single" w:sz="4" w:space="0" w:color="auto"/>
            </w:tcBorders>
          </w:tcPr>
          <w:p w14:paraId="73259674" w14:textId="18DA161B" w:rsidR="007B4D10" w:rsidRPr="005A44CE" w:rsidRDefault="0050507E" w:rsidP="002C0DA1">
            <w:pPr>
              <w:spacing w:line="480" w:lineRule="auto"/>
              <w:rPr>
                <w:rFonts w:ascii="Times New Roman" w:hAnsi="Times New Roman"/>
                <w:sz w:val="24"/>
              </w:rPr>
            </w:pPr>
            <w:r w:rsidRPr="005A44CE">
              <w:rPr>
                <w:rFonts w:ascii="Times New Roman" w:hAnsi="Times New Roman"/>
                <w:sz w:val="24"/>
              </w:rPr>
              <w:t>.47, 1.14</w:t>
            </w:r>
          </w:p>
        </w:tc>
        <w:tc>
          <w:tcPr>
            <w:tcW w:w="709" w:type="dxa"/>
            <w:tcBorders>
              <w:bottom w:val="single" w:sz="4" w:space="0" w:color="auto"/>
            </w:tcBorders>
          </w:tcPr>
          <w:p w14:paraId="0409C5AC" w14:textId="2AFC2A4B" w:rsidR="007B4D10" w:rsidRPr="005A44CE" w:rsidRDefault="0020098B" w:rsidP="002C0DA1">
            <w:pPr>
              <w:spacing w:line="480" w:lineRule="auto"/>
              <w:rPr>
                <w:rFonts w:ascii="Times New Roman" w:hAnsi="Times New Roman"/>
                <w:sz w:val="24"/>
              </w:rPr>
            </w:pPr>
            <w:r w:rsidRPr="005A44CE">
              <w:rPr>
                <w:rFonts w:ascii="Times New Roman" w:hAnsi="Times New Roman"/>
                <w:sz w:val="24"/>
              </w:rPr>
              <w:t>.66</w:t>
            </w:r>
          </w:p>
        </w:tc>
        <w:tc>
          <w:tcPr>
            <w:tcW w:w="1418" w:type="dxa"/>
            <w:tcBorders>
              <w:bottom w:val="single" w:sz="4" w:space="0" w:color="auto"/>
            </w:tcBorders>
          </w:tcPr>
          <w:p w14:paraId="05F10FC2" w14:textId="4401C509" w:rsidR="007B4D10" w:rsidRPr="005A44CE" w:rsidRDefault="0020098B" w:rsidP="002C0DA1">
            <w:pPr>
              <w:spacing w:line="480" w:lineRule="auto"/>
              <w:rPr>
                <w:rFonts w:ascii="Times New Roman" w:hAnsi="Times New Roman"/>
                <w:sz w:val="24"/>
              </w:rPr>
            </w:pPr>
            <w:r w:rsidRPr="005A44CE">
              <w:rPr>
                <w:rFonts w:ascii="Times New Roman" w:hAnsi="Times New Roman"/>
                <w:sz w:val="24"/>
              </w:rPr>
              <w:t>.40, 1.08</w:t>
            </w:r>
          </w:p>
        </w:tc>
        <w:tc>
          <w:tcPr>
            <w:tcW w:w="708" w:type="dxa"/>
            <w:tcBorders>
              <w:bottom w:val="single" w:sz="4" w:space="0" w:color="auto"/>
            </w:tcBorders>
          </w:tcPr>
          <w:p w14:paraId="0BF648C4" w14:textId="349E160A" w:rsidR="007B4D10" w:rsidRPr="005A44CE" w:rsidRDefault="0020098B" w:rsidP="002C0DA1">
            <w:pPr>
              <w:spacing w:line="480" w:lineRule="auto"/>
              <w:rPr>
                <w:rFonts w:ascii="Times New Roman" w:hAnsi="Times New Roman"/>
                <w:sz w:val="24"/>
              </w:rPr>
            </w:pPr>
            <w:r w:rsidRPr="005A44CE">
              <w:rPr>
                <w:rFonts w:ascii="Times New Roman" w:hAnsi="Times New Roman"/>
                <w:sz w:val="24"/>
              </w:rPr>
              <w:t>.89</w:t>
            </w:r>
          </w:p>
        </w:tc>
        <w:tc>
          <w:tcPr>
            <w:tcW w:w="1418" w:type="dxa"/>
            <w:tcBorders>
              <w:bottom w:val="single" w:sz="4" w:space="0" w:color="auto"/>
            </w:tcBorders>
          </w:tcPr>
          <w:p w14:paraId="02523F07" w14:textId="38E04477" w:rsidR="007B4D10" w:rsidRPr="005A44CE" w:rsidRDefault="0020098B" w:rsidP="002C0DA1">
            <w:pPr>
              <w:spacing w:line="480" w:lineRule="auto"/>
              <w:rPr>
                <w:rFonts w:ascii="Times New Roman" w:hAnsi="Times New Roman"/>
                <w:sz w:val="24"/>
              </w:rPr>
            </w:pPr>
            <w:r w:rsidRPr="005A44CE">
              <w:rPr>
                <w:rFonts w:ascii="Times New Roman" w:hAnsi="Times New Roman"/>
                <w:sz w:val="24"/>
              </w:rPr>
              <w:t>.56, 1.41</w:t>
            </w:r>
          </w:p>
        </w:tc>
        <w:tc>
          <w:tcPr>
            <w:tcW w:w="709" w:type="dxa"/>
            <w:tcBorders>
              <w:bottom w:val="single" w:sz="4" w:space="0" w:color="auto"/>
            </w:tcBorders>
          </w:tcPr>
          <w:p w14:paraId="2848AF62" w14:textId="1151DA94" w:rsidR="007B4D10" w:rsidRPr="005A44CE" w:rsidRDefault="005C5427" w:rsidP="002C0DA1">
            <w:pPr>
              <w:spacing w:line="480" w:lineRule="auto"/>
              <w:rPr>
                <w:rFonts w:ascii="Times New Roman" w:hAnsi="Times New Roman"/>
                <w:sz w:val="24"/>
              </w:rPr>
            </w:pPr>
            <w:r w:rsidRPr="005A44CE">
              <w:rPr>
                <w:rFonts w:ascii="Times New Roman" w:hAnsi="Times New Roman"/>
                <w:sz w:val="24"/>
              </w:rPr>
              <w:t>1.13</w:t>
            </w:r>
          </w:p>
        </w:tc>
        <w:tc>
          <w:tcPr>
            <w:tcW w:w="1450" w:type="dxa"/>
            <w:tcBorders>
              <w:bottom w:val="single" w:sz="4" w:space="0" w:color="auto"/>
            </w:tcBorders>
          </w:tcPr>
          <w:p w14:paraId="077D1328" w14:textId="1150C8CF" w:rsidR="007B4D10" w:rsidRPr="005A44CE" w:rsidRDefault="005C5427" w:rsidP="002C0DA1">
            <w:pPr>
              <w:spacing w:line="480" w:lineRule="auto"/>
              <w:rPr>
                <w:rFonts w:ascii="Times New Roman" w:hAnsi="Times New Roman"/>
                <w:sz w:val="24"/>
              </w:rPr>
            </w:pPr>
            <w:r w:rsidRPr="005A44CE">
              <w:rPr>
                <w:rFonts w:ascii="Times New Roman" w:hAnsi="Times New Roman"/>
                <w:sz w:val="24"/>
              </w:rPr>
              <w:t>.63, 2.03</w:t>
            </w:r>
          </w:p>
        </w:tc>
      </w:tr>
    </w:tbl>
    <w:p w14:paraId="28B56A55" w14:textId="77777777" w:rsidR="007B4D10" w:rsidRPr="005A44CE" w:rsidRDefault="007B4D10" w:rsidP="002C0DA1">
      <w:pPr>
        <w:spacing w:line="480" w:lineRule="auto"/>
        <w:rPr>
          <w:rFonts w:ascii="Times New Roman" w:hAnsi="Times New Roman"/>
          <w:sz w:val="24"/>
        </w:rPr>
      </w:pPr>
    </w:p>
    <w:bookmarkEnd w:id="1"/>
    <w:p w14:paraId="55ABCFDB" w14:textId="4F920B8E" w:rsidR="006F4050" w:rsidRPr="005A44CE" w:rsidRDefault="006F4050" w:rsidP="00FD5C75">
      <w:pPr>
        <w:spacing w:line="480" w:lineRule="auto"/>
        <w:rPr>
          <w:rFonts w:ascii="Times New Roman" w:hAnsi="Times New Roman"/>
          <w:sz w:val="24"/>
        </w:rPr>
      </w:pPr>
    </w:p>
    <w:sectPr w:rsidR="006F4050" w:rsidRPr="005A44CE" w:rsidSect="00017CBC">
      <w:headerReference w:type="even" r:id="rId17"/>
      <w:headerReference w:type="default" r:id="rId18"/>
      <w:footerReference w:type="even" r:id="rId1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4B377" w14:textId="77777777" w:rsidR="00017CBC" w:rsidRDefault="00017CBC">
      <w:r>
        <w:separator/>
      </w:r>
    </w:p>
  </w:endnote>
  <w:endnote w:type="continuationSeparator" w:id="0">
    <w:p w14:paraId="241F7196" w14:textId="77777777" w:rsidR="00017CBC" w:rsidRDefault="00017CBC">
      <w:r>
        <w:continuationSeparator/>
      </w:r>
    </w:p>
  </w:endnote>
  <w:endnote w:type="continuationNotice" w:id="1">
    <w:p w14:paraId="1533A632" w14:textId="77777777" w:rsidR="00017CBC" w:rsidRDefault="00017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BD025" w14:textId="77777777" w:rsidR="009A7547" w:rsidRDefault="009A7547" w:rsidP="006F40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ABD026" w14:textId="77777777" w:rsidR="009A7547" w:rsidRDefault="009A7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8396A" w14:textId="77777777" w:rsidR="00017CBC" w:rsidRDefault="00017CBC">
      <w:r>
        <w:separator/>
      </w:r>
    </w:p>
  </w:footnote>
  <w:footnote w:type="continuationSeparator" w:id="0">
    <w:p w14:paraId="076D6FFB" w14:textId="77777777" w:rsidR="00017CBC" w:rsidRDefault="00017CBC">
      <w:r>
        <w:continuationSeparator/>
      </w:r>
    </w:p>
  </w:footnote>
  <w:footnote w:type="continuationNotice" w:id="1">
    <w:p w14:paraId="6509DD9E" w14:textId="77777777" w:rsidR="00017CBC" w:rsidRDefault="00017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BD020" w14:textId="77777777" w:rsidR="009A7547" w:rsidRDefault="009A7547" w:rsidP="006F40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ABD021" w14:textId="77777777" w:rsidR="009A7547" w:rsidRDefault="009A75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BD022" w14:textId="3615C82F" w:rsidR="009A7547" w:rsidRPr="00450DC3" w:rsidRDefault="009A7547" w:rsidP="006F4050">
    <w:pPr>
      <w:pStyle w:val="Header"/>
      <w:framePr w:wrap="around" w:vAnchor="text" w:hAnchor="margin" w:xAlign="right" w:y="1"/>
      <w:rPr>
        <w:rStyle w:val="PageNumber"/>
        <w:rFonts w:ascii="Times New Roman" w:hAnsi="Times New Roman"/>
      </w:rPr>
    </w:pPr>
    <w:r w:rsidRPr="00450DC3">
      <w:rPr>
        <w:rStyle w:val="PageNumber"/>
        <w:rFonts w:ascii="Times New Roman" w:hAnsi="Times New Roman"/>
      </w:rPr>
      <w:fldChar w:fldCharType="begin"/>
    </w:r>
    <w:r w:rsidRPr="00450DC3">
      <w:rPr>
        <w:rStyle w:val="PageNumber"/>
        <w:rFonts w:ascii="Times New Roman" w:hAnsi="Times New Roman"/>
      </w:rPr>
      <w:instrText xml:space="preserve">PAGE  </w:instrText>
    </w:r>
    <w:r w:rsidRPr="00450DC3">
      <w:rPr>
        <w:rStyle w:val="PageNumber"/>
        <w:rFonts w:ascii="Times New Roman" w:hAnsi="Times New Roman"/>
      </w:rPr>
      <w:fldChar w:fldCharType="separate"/>
    </w:r>
    <w:r>
      <w:rPr>
        <w:rStyle w:val="PageNumber"/>
        <w:rFonts w:ascii="Times New Roman" w:hAnsi="Times New Roman"/>
        <w:noProof/>
      </w:rPr>
      <w:t>1</w:t>
    </w:r>
    <w:r w:rsidRPr="00450DC3">
      <w:rPr>
        <w:rStyle w:val="PageNumber"/>
        <w:rFonts w:ascii="Times New Roman" w:hAnsi="Times New Roman"/>
      </w:rPr>
      <w:fldChar w:fldCharType="end"/>
    </w:r>
  </w:p>
  <w:p w14:paraId="55ABD023" w14:textId="0B885951" w:rsidR="009A7547" w:rsidRPr="00A45883" w:rsidRDefault="00A45883" w:rsidP="00A45883">
    <w:pPr>
      <w:pStyle w:val="Header"/>
      <w:ind w:right="840"/>
      <w:rPr>
        <w:rFonts w:ascii="Times New Roman" w:hAnsi="Times New Roman"/>
        <w:color w:val="000000" w:themeColor="text1"/>
        <w:lang w:val="en-GB"/>
      </w:rPr>
    </w:pPr>
    <w:r w:rsidRPr="00A45883">
      <w:rPr>
        <w:rFonts w:ascii="Times New Roman" w:hAnsi="Times New Roman"/>
        <w:color w:val="000000" w:themeColor="text1"/>
        <w:lang w:val="en-GB"/>
      </w:rPr>
      <w:t xml:space="preserve">SEXUAL HEALTH </w:t>
    </w:r>
    <w:r w:rsidR="00D01D7A">
      <w:rPr>
        <w:rFonts w:ascii="Times New Roman" w:hAnsi="Times New Roman"/>
        <w:color w:val="000000" w:themeColor="text1"/>
        <w:lang w:val="en-GB"/>
      </w:rPr>
      <w:t xml:space="preserve">SERVICE </w:t>
    </w:r>
    <w:r w:rsidRPr="00A45883">
      <w:rPr>
        <w:rFonts w:ascii="Times New Roman" w:hAnsi="Times New Roman"/>
        <w:color w:val="000000" w:themeColor="text1"/>
        <w:lang w:val="en-GB"/>
      </w:rPr>
      <w:t>ENGAGEMENT</w:t>
    </w:r>
  </w:p>
  <w:p w14:paraId="55ABD024" w14:textId="77777777" w:rsidR="009A7547" w:rsidRPr="00970BB2" w:rsidRDefault="009A7547" w:rsidP="00AB1038">
    <w:pPr>
      <w:pStyle w:val="Header"/>
      <w:ind w:right="840"/>
      <w:rPr>
        <w:rFonts w:ascii="Times New Roman" w:hAnsi="Times New Roman"/>
        <w:color w:val="FF990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90AA5"/>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06C43FB4"/>
    <w:multiLevelType w:val="multilevel"/>
    <w:tmpl w:val="4A68E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2193E"/>
    <w:multiLevelType w:val="multilevel"/>
    <w:tmpl w:val="08C2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A0C57"/>
    <w:multiLevelType w:val="multilevel"/>
    <w:tmpl w:val="163A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71DAA"/>
    <w:multiLevelType w:val="singleLevel"/>
    <w:tmpl w:val="6BD64B4A"/>
    <w:lvl w:ilvl="0">
      <w:start w:val="1"/>
      <w:numFmt w:val="decimal"/>
      <w:lvlText w:val="%1."/>
      <w:lvlJc w:val="left"/>
      <w:pPr>
        <w:tabs>
          <w:tab w:val="num" w:pos="-37"/>
        </w:tabs>
        <w:ind w:left="-37" w:hanging="360"/>
      </w:pPr>
      <w:rPr>
        <w:rFonts w:hint="default"/>
      </w:rPr>
    </w:lvl>
  </w:abstractNum>
  <w:abstractNum w:abstractNumId="5" w15:restartNumberingAfterBreak="0">
    <w:nsid w:val="24312B3D"/>
    <w:multiLevelType w:val="multilevel"/>
    <w:tmpl w:val="0EC6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05B9C"/>
    <w:multiLevelType w:val="hybridMultilevel"/>
    <w:tmpl w:val="43823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4B7EB2"/>
    <w:multiLevelType w:val="hybridMultilevel"/>
    <w:tmpl w:val="49328DB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E451F59"/>
    <w:multiLevelType w:val="multilevel"/>
    <w:tmpl w:val="9158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5139AC"/>
    <w:multiLevelType w:val="hybridMultilevel"/>
    <w:tmpl w:val="61E06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120D3E"/>
    <w:multiLevelType w:val="multilevel"/>
    <w:tmpl w:val="87FA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457321"/>
    <w:multiLevelType w:val="singleLevel"/>
    <w:tmpl w:val="08090013"/>
    <w:lvl w:ilvl="0">
      <w:start w:val="1"/>
      <w:numFmt w:val="upperRoman"/>
      <w:lvlText w:val="%1."/>
      <w:lvlJc w:val="left"/>
      <w:pPr>
        <w:tabs>
          <w:tab w:val="num" w:pos="720"/>
        </w:tabs>
        <w:ind w:left="720" w:hanging="720"/>
      </w:pPr>
      <w:rPr>
        <w:rFonts w:hint="default"/>
      </w:rPr>
    </w:lvl>
  </w:abstractNum>
  <w:num w:numId="1" w16cid:durableId="1545601553">
    <w:abstractNumId w:val="11"/>
  </w:num>
  <w:num w:numId="2" w16cid:durableId="1002320290">
    <w:abstractNumId w:val="0"/>
  </w:num>
  <w:num w:numId="3" w16cid:durableId="1072777449">
    <w:abstractNumId w:val="4"/>
  </w:num>
  <w:num w:numId="4" w16cid:durableId="1608563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173925">
    <w:abstractNumId w:val="7"/>
  </w:num>
  <w:num w:numId="6" w16cid:durableId="867915861">
    <w:abstractNumId w:val="1"/>
  </w:num>
  <w:num w:numId="7" w16cid:durableId="683018722">
    <w:abstractNumId w:val="3"/>
  </w:num>
  <w:num w:numId="8" w16cid:durableId="157118167">
    <w:abstractNumId w:val="2"/>
  </w:num>
  <w:num w:numId="9" w16cid:durableId="2043750877">
    <w:abstractNumId w:val="8"/>
  </w:num>
  <w:num w:numId="10" w16cid:durableId="721094822">
    <w:abstractNumId w:val="5"/>
  </w:num>
  <w:num w:numId="11" w16cid:durableId="1594969326">
    <w:abstractNumId w:val="10"/>
  </w:num>
  <w:num w:numId="12" w16cid:durableId="1362783984">
    <w:abstractNumId w:val="9"/>
  </w:num>
  <w:num w:numId="13" w16cid:durableId="306710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B3E"/>
    <w:rsid w:val="00006293"/>
    <w:rsid w:val="00007FCC"/>
    <w:rsid w:val="000139D1"/>
    <w:rsid w:val="00014B1F"/>
    <w:rsid w:val="00016B8B"/>
    <w:rsid w:val="00017CBC"/>
    <w:rsid w:val="00021875"/>
    <w:rsid w:val="00025C65"/>
    <w:rsid w:val="000269B0"/>
    <w:rsid w:val="00030E0F"/>
    <w:rsid w:val="00031B94"/>
    <w:rsid w:val="00033563"/>
    <w:rsid w:val="00035ABA"/>
    <w:rsid w:val="00037A15"/>
    <w:rsid w:val="00041215"/>
    <w:rsid w:val="0004295C"/>
    <w:rsid w:val="00042A08"/>
    <w:rsid w:val="000459B2"/>
    <w:rsid w:val="00051567"/>
    <w:rsid w:val="000520BE"/>
    <w:rsid w:val="000527AD"/>
    <w:rsid w:val="000563FD"/>
    <w:rsid w:val="00057132"/>
    <w:rsid w:val="000634BC"/>
    <w:rsid w:val="00063B50"/>
    <w:rsid w:val="000657AC"/>
    <w:rsid w:val="00070C2C"/>
    <w:rsid w:val="000717B5"/>
    <w:rsid w:val="00073D1E"/>
    <w:rsid w:val="00076B4D"/>
    <w:rsid w:val="0008119A"/>
    <w:rsid w:val="00081F81"/>
    <w:rsid w:val="000826A5"/>
    <w:rsid w:val="0008651D"/>
    <w:rsid w:val="00090B1D"/>
    <w:rsid w:val="00091D2A"/>
    <w:rsid w:val="0009449C"/>
    <w:rsid w:val="000949E0"/>
    <w:rsid w:val="00094D9A"/>
    <w:rsid w:val="000A1BF7"/>
    <w:rsid w:val="000A3653"/>
    <w:rsid w:val="000A5AF3"/>
    <w:rsid w:val="000B0250"/>
    <w:rsid w:val="000B0E87"/>
    <w:rsid w:val="000B45F6"/>
    <w:rsid w:val="000B58CE"/>
    <w:rsid w:val="000B5AB8"/>
    <w:rsid w:val="000C3926"/>
    <w:rsid w:val="000C4C9E"/>
    <w:rsid w:val="000C6FC7"/>
    <w:rsid w:val="000C7A03"/>
    <w:rsid w:val="000C7CAA"/>
    <w:rsid w:val="000D05D7"/>
    <w:rsid w:val="000D071E"/>
    <w:rsid w:val="000D4DE3"/>
    <w:rsid w:val="000E0E54"/>
    <w:rsid w:val="000E1401"/>
    <w:rsid w:val="000E3907"/>
    <w:rsid w:val="000E58DC"/>
    <w:rsid w:val="000E7D29"/>
    <w:rsid w:val="000F3B59"/>
    <w:rsid w:val="000F3D66"/>
    <w:rsid w:val="001055BB"/>
    <w:rsid w:val="00105A01"/>
    <w:rsid w:val="00116B7A"/>
    <w:rsid w:val="00120342"/>
    <w:rsid w:val="0012082A"/>
    <w:rsid w:val="00122D75"/>
    <w:rsid w:val="00122E4E"/>
    <w:rsid w:val="001236EE"/>
    <w:rsid w:val="001262DD"/>
    <w:rsid w:val="00127F42"/>
    <w:rsid w:val="00131EF3"/>
    <w:rsid w:val="00131F17"/>
    <w:rsid w:val="001325CF"/>
    <w:rsid w:val="001341A4"/>
    <w:rsid w:val="00134BC5"/>
    <w:rsid w:val="00141AFF"/>
    <w:rsid w:val="001439F8"/>
    <w:rsid w:val="00143D81"/>
    <w:rsid w:val="001449F8"/>
    <w:rsid w:val="001456FD"/>
    <w:rsid w:val="00146DD8"/>
    <w:rsid w:val="00147F75"/>
    <w:rsid w:val="00160C9F"/>
    <w:rsid w:val="00164519"/>
    <w:rsid w:val="001715B3"/>
    <w:rsid w:val="00171930"/>
    <w:rsid w:val="00174DCF"/>
    <w:rsid w:val="00175B29"/>
    <w:rsid w:val="0019137C"/>
    <w:rsid w:val="00191785"/>
    <w:rsid w:val="00193F7F"/>
    <w:rsid w:val="0019659B"/>
    <w:rsid w:val="00196840"/>
    <w:rsid w:val="001A002A"/>
    <w:rsid w:val="001A0801"/>
    <w:rsid w:val="001A153C"/>
    <w:rsid w:val="001A25D0"/>
    <w:rsid w:val="001A2BA3"/>
    <w:rsid w:val="001B1BF5"/>
    <w:rsid w:val="001B2668"/>
    <w:rsid w:val="001B4CF8"/>
    <w:rsid w:val="001B67B3"/>
    <w:rsid w:val="001B6820"/>
    <w:rsid w:val="001C1FE0"/>
    <w:rsid w:val="001C3224"/>
    <w:rsid w:val="001C349C"/>
    <w:rsid w:val="001C79A3"/>
    <w:rsid w:val="001C7D3D"/>
    <w:rsid w:val="001D450A"/>
    <w:rsid w:val="001D4597"/>
    <w:rsid w:val="001D5753"/>
    <w:rsid w:val="001D5F20"/>
    <w:rsid w:val="001E026F"/>
    <w:rsid w:val="001E1A43"/>
    <w:rsid w:val="001E3B7B"/>
    <w:rsid w:val="001E631C"/>
    <w:rsid w:val="001F11DC"/>
    <w:rsid w:val="001F46D7"/>
    <w:rsid w:val="001F5D55"/>
    <w:rsid w:val="0020098B"/>
    <w:rsid w:val="002012F0"/>
    <w:rsid w:val="00212FD7"/>
    <w:rsid w:val="00220BBF"/>
    <w:rsid w:val="00221C8A"/>
    <w:rsid w:val="00222A0E"/>
    <w:rsid w:val="00222EFD"/>
    <w:rsid w:val="002320E4"/>
    <w:rsid w:val="00233FA3"/>
    <w:rsid w:val="002342E6"/>
    <w:rsid w:val="00235EDB"/>
    <w:rsid w:val="00236155"/>
    <w:rsid w:val="00240C95"/>
    <w:rsid w:val="00243995"/>
    <w:rsid w:val="00243C39"/>
    <w:rsid w:val="002444AF"/>
    <w:rsid w:val="002455A3"/>
    <w:rsid w:val="0024622B"/>
    <w:rsid w:val="002476B7"/>
    <w:rsid w:val="00250729"/>
    <w:rsid w:val="00254342"/>
    <w:rsid w:val="0025640B"/>
    <w:rsid w:val="00256CEC"/>
    <w:rsid w:val="00261421"/>
    <w:rsid w:val="00263043"/>
    <w:rsid w:val="00264EEE"/>
    <w:rsid w:val="00271446"/>
    <w:rsid w:val="002730FD"/>
    <w:rsid w:val="00284E20"/>
    <w:rsid w:val="0029066F"/>
    <w:rsid w:val="00290B74"/>
    <w:rsid w:val="00293925"/>
    <w:rsid w:val="00293EF4"/>
    <w:rsid w:val="002975B3"/>
    <w:rsid w:val="002A23C7"/>
    <w:rsid w:val="002A38FE"/>
    <w:rsid w:val="002A7232"/>
    <w:rsid w:val="002A75DA"/>
    <w:rsid w:val="002B0EED"/>
    <w:rsid w:val="002B54DE"/>
    <w:rsid w:val="002B77E8"/>
    <w:rsid w:val="002C0DA1"/>
    <w:rsid w:val="002C1FC1"/>
    <w:rsid w:val="002C2777"/>
    <w:rsid w:val="002C386F"/>
    <w:rsid w:val="002C6033"/>
    <w:rsid w:val="002D0085"/>
    <w:rsid w:val="002D3498"/>
    <w:rsid w:val="002D39AE"/>
    <w:rsid w:val="002D62F7"/>
    <w:rsid w:val="002D6A5B"/>
    <w:rsid w:val="002E1789"/>
    <w:rsid w:val="002E48E3"/>
    <w:rsid w:val="002E52B7"/>
    <w:rsid w:val="002E5943"/>
    <w:rsid w:val="002E5F2A"/>
    <w:rsid w:val="002E7F54"/>
    <w:rsid w:val="00305CBF"/>
    <w:rsid w:val="00307EDE"/>
    <w:rsid w:val="00312825"/>
    <w:rsid w:val="003131F9"/>
    <w:rsid w:val="0032226E"/>
    <w:rsid w:val="003234A7"/>
    <w:rsid w:val="00324342"/>
    <w:rsid w:val="003243DC"/>
    <w:rsid w:val="00325220"/>
    <w:rsid w:val="0032523B"/>
    <w:rsid w:val="00331CB3"/>
    <w:rsid w:val="00332D24"/>
    <w:rsid w:val="00334896"/>
    <w:rsid w:val="003353DE"/>
    <w:rsid w:val="00336169"/>
    <w:rsid w:val="00342D20"/>
    <w:rsid w:val="00350004"/>
    <w:rsid w:val="003506F3"/>
    <w:rsid w:val="00351DDA"/>
    <w:rsid w:val="00353BCB"/>
    <w:rsid w:val="0035503F"/>
    <w:rsid w:val="00355803"/>
    <w:rsid w:val="0035778F"/>
    <w:rsid w:val="0036143D"/>
    <w:rsid w:val="003676C8"/>
    <w:rsid w:val="00372B86"/>
    <w:rsid w:val="003731F5"/>
    <w:rsid w:val="00376DE2"/>
    <w:rsid w:val="00376DE8"/>
    <w:rsid w:val="00377211"/>
    <w:rsid w:val="003816AB"/>
    <w:rsid w:val="003828C8"/>
    <w:rsid w:val="00386262"/>
    <w:rsid w:val="00390EA0"/>
    <w:rsid w:val="003A2397"/>
    <w:rsid w:val="003A35B3"/>
    <w:rsid w:val="003A6449"/>
    <w:rsid w:val="003A70E3"/>
    <w:rsid w:val="003A7285"/>
    <w:rsid w:val="003C1776"/>
    <w:rsid w:val="003C43A7"/>
    <w:rsid w:val="003C5809"/>
    <w:rsid w:val="003D2141"/>
    <w:rsid w:val="003D2ED8"/>
    <w:rsid w:val="003D5133"/>
    <w:rsid w:val="003E038D"/>
    <w:rsid w:val="003E2954"/>
    <w:rsid w:val="003F77C2"/>
    <w:rsid w:val="00400AF3"/>
    <w:rsid w:val="00401BB6"/>
    <w:rsid w:val="00403D5A"/>
    <w:rsid w:val="00404F2C"/>
    <w:rsid w:val="0041079F"/>
    <w:rsid w:val="00410E07"/>
    <w:rsid w:val="004139ED"/>
    <w:rsid w:val="00414EFE"/>
    <w:rsid w:val="00415B11"/>
    <w:rsid w:val="00416AE5"/>
    <w:rsid w:val="00416D31"/>
    <w:rsid w:val="00417965"/>
    <w:rsid w:val="0042058E"/>
    <w:rsid w:val="004274E5"/>
    <w:rsid w:val="00427F95"/>
    <w:rsid w:val="00430340"/>
    <w:rsid w:val="004304E7"/>
    <w:rsid w:val="00434FEA"/>
    <w:rsid w:val="00435120"/>
    <w:rsid w:val="00435B45"/>
    <w:rsid w:val="00436C65"/>
    <w:rsid w:val="00442067"/>
    <w:rsid w:val="00442773"/>
    <w:rsid w:val="0044401D"/>
    <w:rsid w:val="004441E6"/>
    <w:rsid w:val="00446925"/>
    <w:rsid w:val="0044724C"/>
    <w:rsid w:val="0044754B"/>
    <w:rsid w:val="00451DD9"/>
    <w:rsid w:val="0045228E"/>
    <w:rsid w:val="0045529D"/>
    <w:rsid w:val="004552C8"/>
    <w:rsid w:val="0045710D"/>
    <w:rsid w:val="00460555"/>
    <w:rsid w:val="00461C0D"/>
    <w:rsid w:val="00465026"/>
    <w:rsid w:val="00465D22"/>
    <w:rsid w:val="004662D7"/>
    <w:rsid w:val="004704B5"/>
    <w:rsid w:val="00472220"/>
    <w:rsid w:val="00472A70"/>
    <w:rsid w:val="00473CAD"/>
    <w:rsid w:val="00473F39"/>
    <w:rsid w:val="0047626E"/>
    <w:rsid w:val="004824C3"/>
    <w:rsid w:val="00482591"/>
    <w:rsid w:val="0048433C"/>
    <w:rsid w:val="00484E3C"/>
    <w:rsid w:val="00485960"/>
    <w:rsid w:val="004869CA"/>
    <w:rsid w:val="0049162C"/>
    <w:rsid w:val="0049235C"/>
    <w:rsid w:val="004A05A1"/>
    <w:rsid w:val="004B08B4"/>
    <w:rsid w:val="004B3C4A"/>
    <w:rsid w:val="004B4AF8"/>
    <w:rsid w:val="004B4DEC"/>
    <w:rsid w:val="004B774F"/>
    <w:rsid w:val="004C351A"/>
    <w:rsid w:val="004C72C9"/>
    <w:rsid w:val="004C7E37"/>
    <w:rsid w:val="004D0084"/>
    <w:rsid w:val="004D3260"/>
    <w:rsid w:val="004D369D"/>
    <w:rsid w:val="004D3DA2"/>
    <w:rsid w:val="004D4B75"/>
    <w:rsid w:val="004D5419"/>
    <w:rsid w:val="004E00C9"/>
    <w:rsid w:val="004E0D1F"/>
    <w:rsid w:val="004E11FD"/>
    <w:rsid w:val="004E33FF"/>
    <w:rsid w:val="004E4C8F"/>
    <w:rsid w:val="004E513A"/>
    <w:rsid w:val="004F16A5"/>
    <w:rsid w:val="004F2451"/>
    <w:rsid w:val="004F3FD3"/>
    <w:rsid w:val="004F4103"/>
    <w:rsid w:val="004F46DC"/>
    <w:rsid w:val="004F781F"/>
    <w:rsid w:val="00502199"/>
    <w:rsid w:val="005025A0"/>
    <w:rsid w:val="00504FFA"/>
    <w:rsid w:val="0050507E"/>
    <w:rsid w:val="00505119"/>
    <w:rsid w:val="00505536"/>
    <w:rsid w:val="00505A37"/>
    <w:rsid w:val="005060B7"/>
    <w:rsid w:val="005132DA"/>
    <w:rsid w:val="005133AD"/>
    <w:rsid w:val="00513B3E"/>
    <w:rsid w:val="00515070"/>
    <w:rsid w:val="0051615C"/>
    <w:rsid w:val="00522BDE"/>
    <w:rsid w:val="0052438A"/>
    <w:rsid w:val="00524983"/>
    <w:rsid w:val="00524B43"/>
    <w:rsid w:val="005262C4"/>
    <w:rsid w:val="00526D92"/>
    <w:rsid w:val="005278CF"/>
    <w:rsid w:val="00533036"/>
    <w:rsid w:val="00534B75"/>
    <w:rsid w:val="00537BC3"/>
    <w:rsid w:val="005407DC"/>
    <w:rsid w:val="00541FB0"/>
    <w:rsid w:val="00542364"/>
    <w:rsid w:val="00543A01"/>
    <w:rsid w:val="005501C3"/>
    <w:rsid w:val="00551126"/>
    <w:rsid w:val="00551686"/>
    <w:rsid w:val="005529C7"/>
    <w:rsid w:val="00553C4D"/>
    <w:rsid w:val="0055421D"/>
    <w:rsid w:val="00555FF7"/>
    <w:rsid w:val="00557C94"/>
    <w:rsid w:val="00561CD4"/>
    <w:rsid w:val="005646C9"/>
    <w:rsid w:val="00567AEA"/>
    <w:rsid w:val="00571A4A"/>
    <w:rsid w:val="005729C7"/>
    <w:rsid w:val="00572BE1"/>
    <w:rsid w:val="0057307B"/>
    <w:rsid w:val="0057351A"/>
    <w:rsid w:val="005760F4"/>
    <w:rsid w:val="00577C00"/>
    <w:rsid w:val="00580153"/>
    <w:rsid w:val="0058141F"/>
    <w:rsid w:val="005826BD"/>
    <w:rsid w:val="005829A6"/>
    <w:rsid w:val="0058362D"/>
    <w:rsid w:val="00583BC8"/>
    <w:rsid w:val="005859FF"/>
    <w:rsid w:val="00587803"/>
    <w:rsid w:val="005919ED"/>
    <w:rsid w:val="00592612"/>
    <w:rsid w:val="00592F0B"/>
    <w:rsid w:val="00594568"/>
    <w:rsid w:val="00596E5A"/>
    <w:rsid w:val="005A27E7"/>
    <w:rsid w:val="005A3430"/>
    <w:rsid w:val="005A3C6F"/>
    <w:rsid w:val="005A443E"/>
    <w:rsid w:val="005A44CE"/>
    <w:rsid w:val="005A706E"/>
    <w:rsid w:val="005A7DEB"/>
    <w:rsid w:val="005B0EBC"/>
    <w:rsid w:val="005B2903"/>
    <w:rsid w:val="005B4044"/>
    <w:rsid w:val="005C30FE"/>
    <w:rsid w:val="005C44A8"/>
    <w:rsid w:val="005C5427"/>
    <w:rsid w:val="005C5F36"/>
    <w:rsid w:val="005C673C"/>
    <w:rsid w:val="005D3EFA"/>
    <w:rsid w:val="005D6BEA"/>
    <w:rsid w:val="005D7607"/>
    <w:rsid w:val="005E1683"/>
    <w:rsid w:val="005E521F"/>
    <w:rsid w:val="005F1A54"/>
    <w:rsid w:val="005F2DA1"/>
    <w:rsid w:val="005F3E4C"/>
    <w:rsid w:val="005F4DB5"/>
    <w:rsid w:val="00601A60"/>
    <w:rsid w:val="00607FEE"/>
    <w:rsid w:val="00612E44"/>
    <w:rsid w:val="00614A58"/>
    <w:rsid w:val="006219C8"/>
    <w:rsid w:val="00621A19"/>
    <w:rsid w:val="00622501"/>
    <w:rsid w:val="00622E2F"/>
    <w:rsid w:val="00623F2E"/>
    <w:rsid w:val="006240D0"/>
    <w:rsid w:val="006259EC"/>
    <w:rsid w:val="006267DA"/>
    <w:rsid w:val="0063037A"/>
    <w:rsid w:val="006321E1"/>
    <w:rsid w:val="0063424E"/>
    <w:rsid w:val="006425DA"/>
    <w:rsid w:val="006446DD"/>
    <w:rsid w:val="00646044"/>
    <w:rsid w:val="00647B8C"/>
    <w:rsid w:val="00654C45"/>
    <w:rsid w:val="006557AA"/>
    <w:rsid w:val="00660A4F"/>
    <w:rsid w:val="0066130A"/>
    <w:rsid w:val="00661566"/>
    <w:rsid w:val="0066451A"/>
    <w:rsid w:val="00670659"/>
    <w:rsid w:val="006706FF"/>
    <w:rsid w:val="00672299"/>
    <w:rsid w:val="00672CFF"/>
    <w:rsid w:val="006747CC"/>
    <w:rsid w:val="00675260"/>
    <w:rsid w:val="0068007B"/>
    <w:rsid w:val="0068082E"/>
    <w:rsid w:val="00684718"/>
    <w:rsid w:val="006857B5"/>
    <w:rsid w:val="00686941"/>
    <w:rsid w:val="00692DA7"/>
    <w:rsid w:val="00692F8D"/>
    <w:rsid w:val="00695339"/>
    <w:rsid w:val="00695D1F"/>
    <w:rsid w:val="00696629"/>
    <w:rsid w:val="006976D9"/>
    <w:rsid w:val="006A5605"/>
    <w:rsid w:val="006B06C0"/>
    <w:rsid w:val="006B1DFB"/>
    <w:rsid w:val="006B768A"/>
    <w:rsid w:val="006C03A8"/>
    <w:rsid w:val="006C2280"/>
    <w:rsid w:val="006C2670"/>
    <w:rsid w:val="006C2A1C"/>
    <w:rsid w:val="006C3D75"/>
    <w:rsid w:val="006C5D04"/>
    <w:rsid w:val="006C6310"/>
    <w:rsid w:val="006C7B2C"/>
    <w:rsid w:val="006D0318"/>
    <w:rsid w:val="006D251C"/>
    <w:rsid w:val="006D53E7"/>
    <w:rsid w:val="006D6A33"/>
    <w:rsid w:val="006E4101"/>
    <w:rsid w:val="006E42AE"/>
    <w:rsid w:val="006E4C3D"/>
    <w:rsid w:val="006F17CF"/>
    <w:rsid w:val="006F19F7"/>
    <w:rsid w:val="006F2306"/>
    <w:rsid w:val="006F3F0C"/>
    <w:rsid w:val="006F4050"/>
    <w:rsid w:val="006F5E3E"/>
    <w:rsid w:val="00701046"/>
    <w:rsid w:val="007016A5"/>
    <w:rsid w:val="00706034"/>
    <w:rsid w:val="0071061B"/>
    <w:rsid w:val="00710D8B"/>
    <w:rsid w:val="00716F61"/>
    <w:rsid w:val="00717290"/>
    <w:rsid w:val="00717518"/>
    <w:rsid w:val="0072046C"/>
    <w:rsid w:val="00720B6B"/>
    <w:rsid w:val="007252FD"/>
    <w:rsid w:val="00725DF5"/>
    <w:rsid w:val="007328BF"/>
    <w:rsid w:val="00733F3A"/>
    <w:rsid w:val="007358DE"/>
    <w:rsid w:val="0073655B"/>
    <w:rsid w:val="00740527"/>
    <w:rsid w:val="00742713"/>
    <w:rsid w:val="00746E63"/>
    <w:rsid w:val="00751956"/>
    <w:rsid w:val="007519FB"/>
    <w:rsid w:val="007571BB"/>
    <w:rsid w:val="00757DD0"/>
    <w:rsid w:val="00775A24"/>
    <w:rsid w:val="00787C33"/>
    <w:rsid w:val="007901F4"/>
    <w:rsid w:val="00791629"/>
    <w:rsid w:val="00792A6B"/>
    <w:rsid w:val="00792B13"/>
    <w:rsid w:val="00795B80"/>
    <w:rsid w:val="00796455"/>
    <w:rsid w:val="007964FE"/>
    <w:rsid w:val="00796F46"/>
    <w:rsid w:val="007A04E0"/>
    <w:rsid w:val="007A29A3"/>
    <w:rsid w:val="007A3384"/>
    <w:rsid w:val="007A4082"/>
    <w:rsid w:val="007A5044"/>
    <w:rsid w:val="007A67DD"/>
    <w:rsid w:val="007A7AA2"/>
    <w:rsid w:val="007B01CB"/>
    <w:rsid w:val="007B134A"/>
    <w:rsid w:val="007B2F11"/>
    <w:rsid w:val="007B3351"/>
    <w:rsid w:val="007B4D10"/>
    <w:rsid w:val="007B75FF"/>
    <w:rsid w:val="007C1277"/>
    <w:rsid w:val="007C1377"/>
    <w:rsid w:val="007D3A9B"/>
    <w:rsid w:val="007D572C"/>
    <w:rsid w:val="007E0A24"/>
    <w:rsid w:val="007E28F7"/>
    <w:rsid w:val="007E38D0"/>
    <w:rsid w:val="007E70F6"/>
    <w:rsid w:val="007F4562"/>
    <w:rsid w:val="008003A0"/>
    <w:rsid w:val="0080114B"/>
    <w:rsid w:val="0080489E"/>
    <w:rsid w:val="00805A8A"/>
    <w:rsid w:val="00814287"/>
    <w:rsid w:val="00817657"/>
    <w:rsid w:val="008227A2"/>
    <w:rsid w:val="008233CC"/>
    <w:rsid w:val="00824572"/>
    <w:rsid w:val="008250E8"/>
    <w:rsid w:val="00833431"/>
    <w:rsid w:val="00835B9A"/>
    <w:rsid w:val="008376F1"/>
    <w:rsid w:val="008402E8"/>
    <w:rsid w:val="0085095B"/>
    <w:rsid w:val="00861D24"/>
    <w:rsid w:val="00862240"/>
    <w:rsid w:val="00862CA4"/>
    <w:rsid w:val="0086511A"/>
    <w:rsid w:val="008660C2"/>
    <w:rsid w:val="00867242"/>
    <w:rsid w:val="00870EAE"/>
    <w:rsid w:val="00873EAA"/>
    <w:rsid w:val="00876A96"/>
    <w:rsid w:val="00886669"/>
    <w:rsid w:val="0088767A"/>
    <w:rsid w:val="00892240"/>
    <w:rsid w:val="0089624A"/>
    <w:rsid w:val="008A4D65"/>
    <w:rsid w:val="008B0268"/>
    <w:rsid w:val="008B54B6"/>
    <w:rsid w:val="008B5A1F"/>
    <w:rsid w:val="008B65EB"/>
    <w:rsid w:val="008C1EF1"/>
    <w:rsid w:val="008C3AB9"/>
    <w:rsid w:val="008C7621"/>
    <w:rsid w:val="008D1302"/>
    <w:rsid w:val="008D445B"/>
    <w:rsid w:val="008D46DD"/>
    <w:rsid w:val="008E2A20"/>
    <w:rsid w:val="008E6EC3"/>
    <w:rsid w:val="008E776A"/>
    <w:rsid w:val="008F5C61"/>
    <w:rsid w:val="008F6262"/>
    <w:rsid w:val="008F74A6"/>
    <w:rsid w:val="008F7D0D"/>
    <w:rsid w:val="009008E7"/>
    <w:rsid w:val="00903CF6"/>
    <w:rsid w:val="009040CB"/>
    <w:rsid w:val="0091234D"/>
    <w:rsid w:val="00912BEF"/>
    <w:rsid w:val="00914045"/>
    <w:rsid w:val="00914E0C"/>
    <w:rsid w:val="009161B5"/>
    <w:rsid w:val="00916290"/>
    <w:rsid w:val="00920914"/>
    <w:rsid w:val="0092178B"/>
    <w:rsid w:val="00921D35"/>
    <w:rsid w:val="009234C4"/>
    <w:rsid w:val="00924C6E"/>
    <w:rsid w:val="009301A8"/>
    <w:rsid w:val="0093351F"/>
    <w:rsid w:val="00934C78"/>
    <w:rsid w:val="00936237"/>
    <w:rsid w:val="00936832"/>
    <w:rsid w:val="00937540"/>
    <w:rsid w:val="00940527"/>
    <w:rsid w:val="00946A2A"/>
    <w:rsid w:val="00947824"/>
    <w:rsid w:val="00951BC7"/>
    <w:rsid w:val="00951FCB"/>
    <w:rsid w:val="009541E8"/>
    <w:rsid w:val="009564EF"/>
    <w:rsid w:val="009603AD"/>
    <w:rsid w:val="00961AD1"/>
    <w:rsid w:val="009622A3"/>
    <w:rsid w:val="0096378E"/>
    <w:rsid w:val="00970181"/>
    <w:rsid w:val="00972B73"/>
    <w:rsid w:val="009734AE"/>
    <w:rsid w:val="00974613"/>
    <w:rsid w:val="0097570B"/>
    <w:rsid w:val="009809BA"/>
    <w:rsid w:val="009828F2"/>
    <w:rsid w:val="00982B5B"/>
    <w:rsid w:val="0098463F"/>
    <w:rsid w:val="00984F5D"/>
    <w:rsid w:val="00985BC3"/>
    <w:rsid w:val="00986EAA"/>
    <w:rsid w:val="0099348B"/>
    <w:rsid w:val="00994246"/>
    <w:rsid w:val="009943E7"/>
    <w:rsid w:val="009957A9"/>
    <w:rsid w:val="00997B0C"/>
    <w:rsid w:val="009A1629"/>
    <w:rsid w:val="009A16A2"/>
    <w:rsid w:val="009A4938"/>
    <w:rsid w:val="009A5FC3"/>
    <w:rsid w:val="009A6C05"/>
    <w:rsid w:val="009A7547"/>
    <w:rsid w:val="009A7BD2"/>
    <w:rsid w:val="009B1329"/>
    <w:rsid w:val="009B35F3"/>
    <w:rsid w:val="009B5EFA"/>
    <w:rsid w:val="009B6608"/>
    <w:rsid w:val="009C0FEF"/>
    <w:rsid w:val="009C4414"/>
    <w:rsid w:val="009C78CB"/>
    <w:rsid w:val="009E1ED9"/>
    <w:rsid w:val="009E3899"/>
    <w:rsid w:val="009E61DB"/>
    <w:rsid w:val="009F3E73"/>
    <w:rsid w:val="009F6B74"/>
    <w:rsid w:val="00A0249A"/>
    <w:rsid w:val="00A144C2"/>
    <w:rsid w:val="00A14967"/>
    <w:rsid w:val="00A16695"/>
    <w:rsid w:val="00A235B3"/>
    <w:rsid w:val="00A25C24"/>
    <w:rsid w:val="00A30084"/>
    <w:rsid w:val="00A30CB9"/>
    <w:rsid w:val="00A30D2F"/>
    <w:rsid w:val="00A32FCE"/>
    <w:rsid w:val="00A35DF0"/>
    <w:rsid w:val="00A367ED"/>
    <w:rsid w:val="00A41120"/>
    <w:rsid w:val="00A44716"/>
    <w:rsid w:val="00A45883"/>
    <w:rsid w:val="00A463B5"/>
    <w:rsid w:val="00A536D2"/>
    <w:rsid w:val="00A5692D"/>
    <w:rsid w:val="00A6434A"/>
    <w:rsid w:val="00A64AE8"/>
    <w:rsid w:val="00A671B3"/>
    <w:rsid w:val="00A741F5"/>
    <w:rsid w:val="00A75682"/>
    <w:rsid w:val="00A75CB7"/>
    <w:rsid w:val="00A761A1"/>
    <w:rsid w:val="00A81007"/>
    <w:rsid w:val="00A821FC"/>
    <w:rsid w:val="00A8775A"/>
    <w:rsid w:val="00A93B00"/>
    <w:rsid w:val="00A94DDE"/>
    <w:rsid w:val="00A956E9"/>
    <w:rsid w:val="00A95D0C"/>
    <w:rsid w:val="00AA46A7"/>
    <w:rsid w:val="00AA4F1D"/>
    <w:rsid w:val="00AA5C5D"/>
    <w:rsid w:val="00AA698C"/>
    <w:rsid w:val="00AA7C5A"/>
    <w:rsid w:val="00AB1038"/>
    <w:rsid w:val="00AB1FB8"/>
    <w:rsid w:val="00AB32AD"/>
    <w:rsid w:val="00AB4A20"/>
    <w:rsid w:val="00AB4E5E"/>
    <w:rsid w:val="00AB6D1F"/>
    <w:rsid w:val="00AB6FE4"/>
    <w:rsid w:val="00AC1954"/>
    <w:rsid w:val="00AC2B1B"/>
    <w:rsid w:val="00AD26B9"/>
    <w:rsid w:val="00AD62E8"/>
    <w:rsid w:val="00AD7F6C"/>
    <w:rsid w:val="00AE2F9C"/>
    <w:rsid w:val="00AE3002"/>
    <w:rsid w:val="00AE72DB"/>
    <w:rsid w:val="00AE7456"/>
    <w:rsid w:val="00AF1F9B"/>
    <w:rsid w:val="00AF21BC"/>
    <w:rsid w:val="00AF3E1A"/>
    <w:rsid w:val="00AF40C5"/>
    <w:rsid w:val="00AF5079"/>
    <w:rsid w:val="00AF7255"/>
    <w:rsid w:val="00B01AA1"/>
    <w:rsid w:val="00B04980"/>
    <w:rsid w:val="00B05378"/>
    <w:rsid w:val="00B0578C"/>
    <w:rsid w:val="00B111AD"/>
    <w:rsid w:val="00B11993"/>
    <w:rsid w:val="00B12004"/>
    <w:rsid w:val="00B15E73"/>
    <w:rsid w:val="00B203A6"/>
    <w:rsid w:val="00B23444"/>
    <w:rsid w:val="00B241C7"/>
    <w:rsid w:val="00B24DEF"/>
    <w:rsid w:val="00B256EA"/>
    <w:rsid w:val="00B269AC"/>
    <w:rsid w:val="00B30D08"/>
    <w:rsid w:val="00B33982"/>
    <w:rsid w:val="00B35C81"/>
    <w:rsid w:val="00B401D1"/>
    <w:rsid w:val="00B40386"/>
    <w:rsid w:val="00B40E87"/>
    <w:rsid w:val="00B44577"/>
    <w:rsid w:val="00B45565"/>
    <w:rsid w:val="00B47F87"/>
    <w:rsid w:val="00B52AF7"/>
    <w:rsid w:val="00B563CF"/>
    <w:rsid w:val="00B568D4"/>
    <w:rsid w:val="00B6444F"/>
    <w:rsid w:val="00B67A3A"/>
    <w:rsid w:val="00B70552"/>
    <w:rsid w:val="00B712EB"/>
    <w:rsid w:val="00B7178C"/>
    <w:rsid w:val="00B74C38"/>
    <w:rsid w:val="00B75F62"/>
    <w:rsid w:val="00B82EE5"/>
    <w:rsid w:val="00B87056"/>
    <w:rsid w:val="00B87C28"/>
    <w:rsid w:val="00B92759"/>
    <w:rsid w:val="00B95785"/>
    <w:rsid w:val="00BA3358"/>
    <w:rsid w:val="00BA3857"/>
    <w:rsid w:val="00BA398C"/>
    <w:rsid w:val="00BA555C"/>
    <w:rsid w:val="00BB09BB"/>
    <w:rsid w:val="00BC21F1"/>
    <w:rsid w:val="00BC5BD8"/>
    <w:rsid w:val="00BC7160"/>
    <w:rsid w:val="00BD28DF"/>
    <w:rsid w:val="00BD51F7"/>
    <w:rsid w:val="00BD7D06"/>
    <w:rsid w:val="00BD7D74"/>
    <w:rsid w:val="00BD7E16"/>
    <w:rsid w:val="00BE2026"/>
    <w:rsid w:val="00BE4193"/>
    <w:rsid w:val="00BE4ECC"/>
    <w:rsid w:val="00BF3684"/>
    <w:rsid w:val="00BF4265"/>
    <w:rsid w:val="00BF49D9"/>
    <w:rsid w:val="00C018A6"/>
    <w:rsid w:val="00C1238C"/>
    <w:rsid w:val="00C13F31"/>
    <w:rsid w:val="00C175AF"/>
    <w:rsid w:val="00C17756"/>
    <w:rsid w:val="00C24017"/>
    <w:rsid w:val="00C244DA"/>
    <w:rsid w:val="00C24DDA"/>
    <w:rsid w:val="00C349B1"/>
    <w:rsid w:val="00C360D0"/>
    <w:rsid w:val="00C41BD3"/>
    <w:rsid w:val="00C41F69"/>
    <w:rsid w:val="00C45E24"/>
    <w:rsid w:val="00C47093"/>
    <w:rsid w:val="00C51113"/>
    <w:rsid w:val="00C51534"/>
    <w:rsid w:val="00C540DC"/>
    <w:rsid w:val="00C550C1"/>
    <w:rsid w:val="00C62865"/>
    <w:rsid w:val="00C65F56"/>
    <w:rsid w:val="00C71CD0"/>
    <w:rsid w:val="00C77436"/>
    <w:rsid w:val="00C80682"/>
    <w:rsid w:val="00C857EA"/>
    <w:rsid w:val="00C90A78"/>
    <w:rsid w:val="00C90F32"/>
    <w:rsid w:val="00C91986"/>
    <w:rsid w:val="00C97BC3"/>
    <w:rsid w:val="00CA14DD"/>
    <w:rsid w:val="00CA3F72"/>
    <w:rsid w:val="00CA58F2"/>
    <w:rsid w:val="00CA6C7D"/>
    <w:rsid w:val="00CB2F59"/>
    <w:rsid w:val="00CB7FB1"/>
    <w:rsid w:val="00CC06F0"/>
    <w:rsid w:val="00CC329A"/>
    <w:rsid w:val="00CC39C2"/>
    <w:rsid w:val="00CC3AAB"/>
    <w:rsid w:val="00CC7D81"/>
    <w:rsid w:val="00CD0BCD"/>
    <w:rsid w:val="00CD3609"/>
    <w:rsid w:val="00CE06B3"/>
    <w:rsid w:val="00CE0EC8"/>
    <w:rsid w:val="00CE149F"/>
    <w:rsid w:val="00CE3E26"/>
    <w:rsid w:val="00CE5EAF"/>
    <w:rsid w:val="00CF1A8C"/>
    <w:rsid w:val="00CF335F"/>
    <w:rsid w:val="00CF58D9"/>
    <w:rsid w:val="00D0000F"/>
    <w:rsid w:val="00D006CA"/>
    <w:rsid w:val="00D0196C"/>
    <w:rsid w:val="00D01A4D"/>
    <w:rsid w:val="00D01D7A"/>
    <w:rsid w:val="00D02BC5"/>
    <w:rsid w:val="00D05A46"/>
    <w:rsid w:val="00D06797"/>
    <w:rsid w:val="00D06841"/>
    <w:rsid w:val="00D07168"/>
    <w:rsid w:val="00D123E9"/>
    <w:rsid w:val="00D2055B"/>
    <w:rsid w:val="00D21569"/>
    <w:rsid w:val="00D225D1"/>
    <w:rsid w:val="00D23257"/>
    <w:rsid w:val="00D239CC"/>
    <w:rsid w:val="00D248F7"/>
    <w:rsid w:val="00D32DAE"/>
    <w:rsid w:val="00D3363E"/>
    <w:rsid w:val="00D33DB4"/>
    <w:rsid w:val="00D34CCA"/>
    <w:rsid w:val="00D34D7A"/>
    <w:rsid w:val="00D350C4"/>
    <w:rsid w:val="00D375E4"/>
    <w:rsid w:val="00D4158B"/>
    <w:rsid w:val="00D451C5"/>
    <w:rsid w:val="00D472E5"/>
    <w:rsid w:val="00D50F28"/>
    <w:rsid w:val="00D5435B"/>
    <w:rsid w:val="00D56B21"/>
    <w:rsid w:val="00D60D34"/>
    <w:rsid w:val="00D61033"/>
    <w:rsid w:val="00D61B20"/>
    <w:rsid w:val="00D61C73"/>
    <w:rsid w:val="00D61F53"/>
    <w:rsid w:val="00D62B1D"/>
    <w:rsid w:val="00D709B5"/>
    <w:rsid w:val="00D73C68"/>
    <w:rsid w:val="00D7455D"/>
    <w:rsid w:val="00D746AD"/>
    <w:rsid w:val="00D91047"/>
    <w:rsid w:val="00DA0487"/>
    <w:rsid w:val="00DA1443"/>
    <w:rsid w:val="00DA1B39"/>
    <w:rsid w:val="00DA334C"/>
    <w:rsid w:val="00DA7F0F"/>
    <w:rsid w:val="00DA7FE6"/>
    <w:rsid w:val="00DB4121"/>
    <w:rsid w:val="00DB7746"/>
    <w:rsid w:val="00DC1504"/>
    <w:rsid w:val="00DC28C4"/>
    <w:rsid w:val="00DC4EF6"/>
    <w:rsid w:val="00DC617D"/>
    <w:rsid w:val="00DD13BA"/>
    <w:rsid w:val="00DD237C"/>
    <w:rsid w:val="00DD4385"/>
    <w:rsid w:val="00DD596E"/>
    <w:rsid w:val="00DE27B7"/>
    <w:rsid w:val="00DF157D"/>
    <w:rsid w:val="00DF1B3B"/>
    <w:rsid w:val="00DF2FF2"/>
    <w:rsid w:val="00DF529E"/>
    <w:rsid w:val="00DF5EA0"/>
    <w:rsid w:val="00DF7155"/>
    <w:rsid w:val="00DF7373"/>
    <w:rsid w:val="00E0389B"/>
    <w:rsid w:val="00E0417F"/>
    <w:rsid w:val="00E0577E"/>
    <w:rsid w:val="00E06752"/>
    <w:rsid w:val="00E06F5C"/>
    <w:rsid w:val="00E07320"/>
    <w:rsid w:val="00E07641"/>
    <w:rsid w:val="00E100DB"/>
    <w:rsid w:val="00E12CDB"/>
    <w:rsid w:val="00E1459F"/>
    <w:rsid w:val="00E155D6"/>
    <w:rsid w:val="00E203F4"/>
    <w:rsid w:val="00E2428D"/>
    <w:rsid w:val="00E2549A"/>
    <w:rsid w:val="00E31B68"/>
    <w:rsid w:val="00E32316"/>
    <w:rsid w:val="00E358D0"/>
    <w:rsid w:val="00E36677"/>
    <w:rsid w:val="00E36FF4"/>
    <w:rsid w:val="00E3720A"/>
    <w:rsid w:val="00E40D8C"/>
    <w:rsid w:val="00E40E73"/>
    <w:rsid w:val="00E41B24"/>
    <w:rsid w:val="00E44070"/>
    <w:rsid w:val="00E4538F"/>
    <w:rsid w:val="00E50135"/>
    <w:rsid w:val="00E52049"/>
    <w:rsid w:val="00E5211A"/>
    <w:rsid w:val="00E52462"/>
    <w:rsid w:val="00E546B3"/>
    <w:rsid w:val="00E54CA8"/>
    <w:rsid w:val="00E554C2"/>
    <w:rsid w:val="00E55FB7"/>
    <w:rsid w:val="00E625F3"/>
    <w:rsid w:val="00E63059"/>
    <w:rsid w:val="00E63F41"/>
    <w:rsid w:val="00E65A02"/>
    <w:rsid w:val="00E66482"/>
    <w:rsid w:val="00E6716E"/>
    <w:rsid w:val="00E67ED6"/>
    <w:rsid w:val="00E7079E"/>
    <w:rsid w:val="00E7336F"/>
    <w:rsid w:val="00E80682"/>
    <w:rsid w:val="00E8355A"/>
    <w:rsid w:val="00E83F32"/>
    <w:rsid w:val="00E8590A"/>
    <w:rsid w:val="00E921A6"/>
    <w:rsid w:val="00E937BC"/>
    <w:rsid w:val="00EA0614"/>
    <w:rsid w:val="00EA160B"/>
    <w:rsid w:val="00EA40B8"/>
    <w:rsid w:val="00EA6A84"/>
    <w:rsid w:val="00EB3355"/>
    <w:rsid w:val="00EC574F"/>
    <w:rsid w:val="00EC69DA"/>
    <w:rsid w:val="00EC6D45"/>
    <w:rsid w:val="00EC743D"/>
    <w:rsid w:val="00ED50EC"/>
    <w:rsid w:val="00ED730E"/>
    <w:rsid w:val="00ED7D2B"/>
    <w:rsid w:val="00EE06DC"/>
    <w:rsid w:val="00EE1AFB"/>
    <w:rsid w:val="00EE3EA3"/>
    <w:rsid w:val="00EE5312"/>
    <w:rsid w:val="00EE5E93"/>
    <w:rsid w:val="00EF16AE"/>
    <w:rsid w:val="00EF2089"/>
    <w:rsid w:val="00EF6BB3"/>
    <w:rsid w:val="00EF76C2"/>
    <w:rsid w:val="00F00F47"/>
    <w:rsid w:val="00F01B7C"/>
    <w:rsid w:val="00F01CE7"/>
    <w:rsid w:val="00F03460"/>
    <w:rsid w:val="00F048F8"/>
    <w:rsid w:val="00F105DD"/>
    <w:rsid w:val="00F13315"/>
    <w:rsid w:val="00F133C3"/>
    <w:rsid w:val="00F143BF"/>
    <w:rsid w:val="00F15091"/>
    <w:rsid w:val="00F17DB7"/>
    <w:rsid w:val="00F22E54"/>
    <w:rsid w:val="00F23130"/>
    <w:rsid w:val="00F23A6B"/>
    <w:rsid w:val="00F24741"/>
    <w:rsid w:val="00F2564F"/>
    <w:rsid w:val="00F372AB"/>
    <w:rsid w:val="00F43660"/>
    <w:rsid w:val="00F44303"/>
    <w:rsid w:val="00F44D68"/>
    <w:rsid w:val="00F46846"/>
    <w:rsid w:val="00F47BEB"/>
    <w:rsid w:val="00F47FA5"/>
    <w:rsid w:val="00F51103"/>
    <w:rsid w:val="00F52988"/>
    <w:rsid w:val="00F53BD4"/>
    <w:rsid w:val="00F60A30"/>
    <w:rsid w:val="00F617D2"/>
    <w:rsid w:val="00F62919"/>
    <w:rsid w:val="00F63A64"/>
    <w:rsid w:val="00F6565D"/>
    <w:rsid w:val="00F71184"/>
    <w:rsid w:val="00F72049"/>
    <w:rsid w:val="00F73CDD"/>
    <w:rsid w:val="00F73E05"/>
    <w:rsid w:val="00F7546E"/>
    <w:rsid w:val="00F7623F"/>
    <w:rsid w:val="00F77A33"/>
    <w:rsid w:val="00F77A36"/>
    <w:rsid w:val="00F80F39"/>
    <w:rsid w:val="00F8284E"/>
    <w:rsid w:val="00F82BA2"/>
    <w:rsid w:val="00F840BC"/>
    <w:rsid w:val="00F8675B"/>
    <w:rsid w:val="00F91E36"/>
    <w:rsid w:val="00F92A02"/>
    <w:rsid w:val="00F9351F"/>
    <w:rsid w:val="00F94513"/>
    <w:rsid w:val="00F96365"/>
    <w:rsid w:val="00F963B4"/>
    <w:rsid w:val="00F97DBD"/>
    <w:rsid w:val="00FA0AD1"/>
    <w:rsid w:val="00FA2B24"/>
    <w:rsid w:val="00FA5D1E"/>
    <w:rsid w:val="00FB03BA"/>
    <w:rsid w:val="00FB13CD"/>
    <w:rsid w:val="00FB3174"/>
    <w:rsid w:val="00FC012F"/>
    <w:rsid w:val="00FC32BB"/>
    <w:rsid w:val="00FC4C89"/>
    <w:rsid w:val="00FC767F"/>
    <w:rsid w:val="00FD014B"/>
    <w:rsid w:val="00FD1307"/>
    <w:rsid w:val="00FD5C75"/>
    <w:rsid w:val="00FD5D29"/>
    <w:rsid w:val="00FD6422"/>
    <w:rsid w:val="00FE3E3E"/>
    <w:rsid w:val="00FE4E89"/>
    <w:rsid w:val="00FE5365"/>
    <w:rsid w:val="00FE560C"/>
    <w:rsid w:val="00FE7411"/>
    <w:rsid w:val="00FF0949"/>
    <w:rsid w:val="00FF2030"/>
    <w:rsid w:val="00FF2F5D"/>
    <w:rsid w:val="00FF33C3"/>
    <w:rsid w:val="00FF4FEC"/>
    <w:rsid w:val="00FF7B6C"/>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ABCE95"/>
  <w15:docId w15:val="{A2EA0738-C713-41B0-B2BA-78E710E4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line="480" w:lineRule="auto"/>
      <w:outlineLvl w:val="0"/>
    </w:pPr>
    <w:rPr>
      <w:rFonts w:ascii="Times New Roman" w:hAnsi="Times New Roman"/>
      <w:sz w:val="20"/>
      <w:szCs w:val="20"/>
      <w:u w:val="single"/>
      <w:lang w:val="en-US"/>
    </w:rPr>
  </w:style>
  <w:style w:type="paragraph" w:styleId="Heading2">
    <w:name w:val="heading 2"/>
    <w:basedOn w:val="Normal"/>
    <w:next w:val="Normal"/>
    <w:qFormat/>
    <w:rsid w:val="00E67811"/>
    <w:pPr>
      <w:keepNext/>
      <w:tabs>
        <w:tab w:val="left" w:pos="720"/>
      </w:tabs>
      <w:spacing w:line="480" w:lineRule="auto"/>
      <w:outlineLvl w:val="1"/>
    </w:pPr>
    <w:rPr>
      <w:rFonts w:ascii="Times" w:hAnsi="Times"/>
      <w:sz w:val="24"/>
      <w:szCs w:val="20"/>
      <w:u w:val="single"/>
      <w:lang w:val="en-US"/>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335"/>
      <w:outlineLvl w:val="4"/>
    </w:pPr>
    <w:rPr>
      <w:rFonts w:ascii="Times" w:hAnsi="Times"/>
      <w:sz w:val="24"/>
      <w:lang w:val="en-US"/>
    </w:rPr>
  </w:style>
  <w:style w:type="paragraph" w:styleId="Heading6">
    <w:name w:val="heading 6"/>
    <w:basedOn w:val="Normal"/>
    <w:next w:val="Normal"/>
    <w:qFormat/>
    <w:pPr>
      <w:keepNext/>
      <w:spacing w:line="480" w:lineRule="auto"/>
      <w:ind w:right="-540"/>
      <w:jc w:val="center"/>
      <w:outlineLvl w:val="5"/>
    </w:pPr>
    <w:rPr>
      <w:rFonts w:ascii="Times" w:hAnsi="Time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s>
      <w:spacing w:line="480" w:lineRule="auto"/>
    </w:pPr>
    <w:rPr>
      <w:rFonts w:ascii="Times" w:hAnsi="Times"/>
      <w:sz w:val="24"/>
      <w:szCs w:val="20"/>
      <w:lang w:val="en-US"/>
    </w:rPr>
  </w:style>
  <w:style w:type="paragraph" w:styleId="BodyText3">
    <w:name w:val="Body Text 3"/>
    <w:basedOn w:val="Normal"/>
    <w:pPr>
      <w:tabs>
        <w:tab w:val="left" w:pos="720"/>
      </w:tabs>
      <w:spacing w:line="480" w:lineRule="auto"/>
      <w:ind w:right="-540"/>
    </w:pPr>
    <w:rPr>
      <w:rFonts w:ascii="Times" w:hAnsi="Times"/>
      <w:sz w:val="24"/>
      <w:szCs w:val="20"/>
      <w:lang w:val="en-US"/>
    </w:rPr>
  </w:style>
  <w:style w:type="paragraph" w:styleId="Header">
    <w:name w:val="header"/>
    <w:basedOn w:val="Normal"/>
    <w:pPr>
      <w:tabs>
        <w:tab w:val="center" w:pos="4320"/>
        <w:tab w:val="right" w:pos="8640"/>
      </w:tabs>
    </w:pPr>
    <w:rPr>
      <w:rFonts w:ascii="Palatino" w:hAnsi="Palatino"/>
      <w:sz w:val="24"/>
      <w:szCs w:val="20"/>
      <w:lang w:val="en-US"/>
    </w:rPr>
  </w:style>
  <w:style w:type="character" w:styleId="Hyperlink">
    <w:name w:val="Hyperlink"/>
    <w:rPr>
      <w:color w:val="0000FF"/>
      <w:u w:val="single"/>
    </w:rPr>
  </w:style>
  <w:style w:type="character" w:styleId="PageNumber">
    <w:name w:val="page number"/>
    <w:basedOn w:val="DefaultParagraphFont"/>
  </w:style>
  <w:style w:type="paragraph" w:styleId="Footer">
    <w:name w:val="footer"/>
    <w:basedOn w:val="Normal"/>
    <w:rsid w:val="000F2756"/>
    <w:pPr>
      <w:tabs>
        <w:tab w:val="center" w:pos="4153"/>
        <w:tab w:val="right" w:pos="8306"/>
      </w:tabs>
    </w:pPr>
  </w:style>
  <w:style w:type="table" w:styleId="TableGrid">
    <w:name w:val="Table Grid"/>
    <w:basedOn w:val="TableNormal"/>
    <w:uiPriority w:val="39"/>
    <w:rsid w:val="002E7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Text">
    <w:name w:val="Abstract Text"/>
    <w:basedOn w:val="BodyText"/>
    <w:rsid w:val="00A35DF0"/>
    <w:pPr>
      <w:keepNext/>
      <w:tabs>
        <w:tab w:val="clear" w:pos="720"/>
        <w:tab w:val="right" w:pos="8640"/>
      </w:tabs>
    </w:pPr>
    <w:rPr>
      <w:rFonts w:ascii="Times New Roman" w:hAnsi="Times New Roman"/>
      <w:szCs w:val="22"/>
    </w:rPr>
  </w:style>
  <w:style w:type="paragraph" w:styleId="BalloonText">
    <w:name w:val="Balloon Text"/>
    <w:basedOn w:val="Normal"/>
    <w:link w:val="BalloonTextChar"/>
    <w:rsid w:val="005B4044"/>
    <w:rPr>
      <w:rFonts w:ascii="Tahoma" w:hAnsi="Tahoma" w:cs="Tahoma"/>
      <w:sz w:val="16"/>
      <w:szCs w:val="16"/>
    </w:rPr>
  </w:style>
  <w:style w:type="character" w:customStyle="1" w:styleId="BalloonTextChar">
    <w:name w:val="Balloon Text Char"/>
    <w:basedOn w:val="DefaultParagraphFont"/>
    <w:link w:val="BalloonText"/>
    <w:rsid w:val="005B4044"/>
    <w:rPr>
      <w:rFonts w:ascii="Tahoma" w:hAnsi="Tahoma" w:cs="Tahoma"/>
      <w:sz w:val="16"/>
      <w:szCs w:val="16"/>
      <w:lang w:eastAsia="en-US"/>
    </w:rPr>
  </w:style>
  <w:style w:type="character" w:styleId="CommentReference">
    <w:name w:val="annotation reference"/>
    <w:basedOn w:val="DefaultParagraphFont"/>
    <w:rsid w:val="005B4044"/>
    <w:rPr>
      <w:sz w:val="16"/>
      <w:szCs w:val="16"/>
    </w:rPr>
  </w:style>
  <w:style w:type="paragraph" w:styleId="CommentText">
    <w:name w:val="annotation text"/>
    <w:basedOn w:val="Normal"/>
    <w:link w:val="CommentTextChar"/>
    <w:rsid w:val="005B4044"/>
    <w:rPr>
      <w:sz w:val="20"/>
      <w:szCs w:val="20"/>
    </w:rPr>
  </w:style>
  <w:style w:type="character" w:customStyle="1" w:styleId="CommentTextChar">
    <w:name w:val="Comment Text Char"/>
    <w:basedOn w:val="DefaultParagraphFont"/>
    <w:link w:val="CommentText"/>
    <w:rsid w:val="005B4044"/>
    <w:rPr>
      <w:rFonts w:ascii="Arial" w:hAnsi="Arial"/>
      <w:lang w:eastAsia="en-US"/>
    </w:rPr>
  </w:style>
  <w:style w:type="paragraph" w:styleId="CommentSubject">
    <w:name w:val="annotation subject"/>
    <w:basedOn w:val="CommentText"/>
    <w:next w:val="CommentText"/>
    <w:link w:val="CommentSubjectChar"/>
    <w:rsid w:val="005B4044"/>
    <w:rPr>
      <w:b/>
      <w:bCs/>
    </w:rPr>
  </w:style>
  <w:style w:type="character" w:customStyle="1" w:styleId="CommentSubjectChar">
    <w:name w:val="Comment Subject Char"/>
    <w:basedOn w:val="CommentTextChar"/>
    <w:link w:val="CommentSubject"/>
    <w:rsid w:val="005B4044"/>
    <w:rPr>
      <w:rFonts w:ascii="Arial" w:hAnsi="Arial"/>
      <w:b/>
      <w:bCs/>
      <w:lang w:eastAsia="en-US"/>
    </w:rPr>
  </w:style>
  <w:style w:type="paragraph" w:styleId="FootnoteText">
    <w:name w:val="footnote text"/>
    <w:basedOn w:val="Normal"/>
    <w:link w:val="FootnoteTextChar"/>
    <w:semiHidden/>
    <w:unhideWhenUsed/>
    <w:rsid w:val="009A4938"/>
    <w:rPr>
      <w:sz w:val="20"/>
      <w:szCs w:val="20"/>
    </w:rPr>
  </w:style>
  <w:style w:type="character" w:customStyle="1" w:styleId="FootnoteTextChar">
    <w:name w:val="Footnote Text Char"/>
    <w:basedOn w:val="DefaultParagraphFont"/>
    <w:link w:val="FootnoteText"/>
    <w:semiHidden/>
    <w:rsid w:val="009A4938"/>
    <w:rPr>
      <w:rFonts w:ascii="Arial" w:hAnsi="Arial"/>
      <w:lang w:eastAsia="en-US"/>
    </w:rPr>
  </w:style>
  <w:style w:type="character" w:styleId="FootnoteReference">
    <w:name w:val="footnote reference"/>
    <w:basedOn w:val="DefaultParagraphFont"/>
    <w:semiHidden/>
    <w:unhideWhenUsed/>
    <w:rsid w:val="009A4938"/>
    <w:rPr>
      <w:vertAlign w:val="superscript"/>
    </w:rPr>
  </w:style>
  <w:style w:type="character" w:styleId="UnresolvedMention">
    <w:name w:val="Unresolved Mention"/>
    <w:basedOn w:val="DefaultParagraphFont"/>
    <w:uiPriority w:val="99"/>
    <w:semiHidden/>
    <w:unhideWhenUsed/>
    <w:rsid w:val="0086511A"/>
    <w:rPr>
      <w:color w:val="605E5C"/>
      <w:shd w:val="clear" w:color="auto" w:fill="E1DFDD"/>
    </w:rPr>
  </w:style>
  <w:style w:type="paragraph" w:styleId="NormalWeb">
    <w:name w:val="Normal (Web)"/>
    <w:basedOn w:val="Normal"/>
    <w:uiPriority w:val="99"/>
    <w:unhideWhenUsed/>
    <w:rsid w:val="00974613"/>
    <w:pPr>
      <w:spacing w:before="100" w:beforeAutospacing="1" w:after="100" w:afterAutospacing="1"/>
    </w:pPr>
    <w:rPr>
      <w:rFonts w:ascii="Times New Roman" w:hAnsi="Times New Roman"/>
      <w:sz w:val="24"/>
      <w:lang w:eastAsia="en-GB"/>
    </w:rPr>
  </w:style>
  <w:style w:type="paragraph" w:customStyle="1" w:styleId="dx-doi">
    <w:name w:val="dx-doi"/>
    <w:basedOn w:val="Normal"/>
    <w:rsid w:val="003A35B3"/>
    <w:pPr>
      <w:spacing w:before="100" w:beforeAutospacing="1" w:after="100" w:afterAutospacing="1"/>
    </w:pPr>
    <w:rPr>
      <w:rFonts w:ascii="Times New Roman" w:hAnsi="Times New Roman"/>
      <w:sz w:val="24"/>
      <w:lang w:eastAsia="en-GB"/>
    </w:rPr>
  </w:style>
  <w:style w:type="paragraph" w:styleId="NoSpacing">
    <w:name w:val="No Spacing"/>
    <w:uiPriority w:val="1"/>
    <w:qFormat/>
    <w:rsid w:val="00D451C5"/>
    <w:rPr>
      <w:rFonts w:asciiTheme="minorHAnsi" w:eastAsiaTheme="minorEastAsia" w:hAnsiTheme="minorHAnsi" w:cstheme="minorBidi"/>
      <w:sz w:val="22"/>
      <w:szCs w:val="22"/>
      <w:lang w:eastAsia="en-US"/>
    </w:rPr>
  </w:style>
  <w:style w:type="character" w:styleId="IntenseEmphasis">
    <w:name w:val="Intense Emphasis"/>
    <w:basedOn w:val="DefaultParagraphFont"/>
    <w:uiPriority w:val="21"/>
    <w:qFormat/>
    <w:rsid w:val="00D451C5"/>
    <w:rPr>
      <w:b/>
      <w:bCs/>
      <w:i/>
      <w:iCs/>
      <w:color w:val="4F81BD" w:themeColor="accent1"/>
    </w:rPr>
  </w:style>
  <w:style w:type="paragraph" w:styleId="ListParagraph">
    <w:name w:val="List Paragraph"/>
    <w:basedOn w:val="Normal"/>
    <w:uiPriority w:val="34"/>
    <w:qFormat/>
    <w:rsid w:val="00A41120"/>
    <w:pPr>
      <w:ind w:left="720"/>
      <w:contextualSpacing/>
    </w:pPr>
    <w:rPr>
      <w:rFonts w:ascii="Times New Roman" w:eastAsia="SimSun" w:hAnsi="Times New Roman"/>
      <w:sz w:val="24"/>
      <w:lang w:eastAsia="zh-CN"/>
    </w:rPr>
  </w:style>
  <w:style w:type="character" w:customStyle="1" w:styleId="user-generated">
    <w:name w:val="user-generated"/>
    <w:basedOn w:val="DefaultParagraphFont"/>
    <w:rsid w:val="00C51113"/>
  </w:style>
  <w:style w:type="character" w:styleId="Emphasis">
    <w:name w:val="Emphasis"/>
    <w:basedOn w:val="DefaultParagraphFont"/>
    <w:uiPriority w:val="20"/>
    <w:qFormat/>
    <w:rsid w:val="009E3899"/>
    <w:rPr>
      <w:i/>
      <w:iCs/>
    </w:rPr>
  </w:style>
  <w:style w:type="paragraph" w:styleId="Revision">
    <w:name w:val="Revision"/>
    <w:hidden/>
    <w:semiHidden/>
    <w:rsid w:val="00D06797"/>
    <w:rPr>
      <w:rFonts w:ascii="Arial" w:hAnsi="Arial"/>
      <w:sz w:val="22"/>
      <w:szCs w:val="24"/>
      <w:lang w:eastAsia="en-US"/>
    </w:rPr>
  </w:style>
  <w:style w:type="character" w:customStyle="1" w:styleId="apple-converted-space">
    <w:name w:val="apple-converted-space"/>
    <w:basedOn w:val="DefaultParagraphFont"/>
    <w:rsid w:val="00FD5C75"/>
  </w:style>
  <w:style w:type="character" w:styleId="FollowedHyperlink">
    <w:name w:val="FollowedHyperlink"/>
    <w:basedOn w:val="DefaultParagraphFont"/>
    <w:semiHidden/>
    <w:unhideWhenUsed/>
    <w:rsid w:val="00BA3857"/>
    <w:rPr>
      <w:color w:val="800080" w:themeColor="followedHyperlink"/>
      <w:u w:val="single"/>
    </w:rPr>
  </w:style>
  <w:style w:type="character" w:customStyle="1" w:styleId="normaltextrun">
    <w:name w:val="normaltextrun"/>
    <w:basedOn w:val="DefaultParagraphFont"/>
    <w:rsid w:val="004F7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30993">
      <w:bodyDiv w:val="1"/>
      <w:marLeft w:val="0"/>
      <w:marRight w:val="0"/>
      <w:marTop w:val="0"/>
      <w:marBottom w:val="0"/>
      <w:divBdr>
        <w:top w:val="none" w:sz="0" w:space="0" w:color="auto"/>
        <w:left w:val="none" w:sz="0" w:space="0" w:color="auto"/>
        <w:bottom w:val="none" w:sz="0" w:space="0" w:color="auto"/>
        <w:right w:val="none" w:sz="0" w:space="0" w:color="auto"/>
      </w:divBdr>
      <w:divsChild>
        <w:div w:id="2134053175">
          <w:marLeft w:val="0"/>
          <w:marRight w:val="0"/>
          <w:marTop w:val="0"/>
          <w:marBottom w:val="0"/>
          <w:divBdr>
            <w:top w:val="none" w:sz="0" w:space="0" w:color="auto"/>
            <w:left w:val="none" w:sz="0" w:space="0" w:color="auto"/>
            <w:bottom w:val="none" w:sz="0" w:space="0" w:color="auto"/>
            <w:right w:val="none" w:sz="0" w:space="0" w:color="auto"/>
          </w:divBdr>
        </w:div>
      </w:divsChild>
    </w:div>
    <w:div w:id="247080311">
      <w:bodyDiv w:val="1"/>
      <w:marLeft w:val="0"/>
      <w:marRight w:val="0"/>
      <w:marTop w:val="0"/>
      <w:marBottom w:val="0"/>
      <w:divBdr>
        <w:top w:val="none" w:sz="0" w:space="0" w:color="auto"/>
        <w:left w:val="none" w:sz="0" w:space="0" w:color="auto"/>
        <w:bottom w:val="none" w:sz="0" w:space="0" w:color="auto"/>
        <w:right w:val="none" w:sz="0" w:space="0" w:color="auto"/>
      </w:divBdr>
      <w:divsChild>
        <w:div w:id="1085374450">
          <w:marLeft w:val="0"/>
          <w:marRight w:val="0"/>
          <w:marTop w:val="0"/>
          <w:marBottom w:val="0"/>
          <w:divBdr>
            <w:top w:val="none" w:sz="0" w:space="0" w:color="auto"/>
            <w:left w:val="none" w:sz="0" w:space="0" w:color="auto"/>
            <w:bottom w:val="none" w:sz="0" w:space="0" w:color="auto"/>
            <w:right w:val="none" w:sz="0" w:space="0" w:color="auto"/>
          </w:divBdr>
          <w:divsChild>
            <w:div w:id="955062469">
              <w:marLeft w:val="0"/>
              <w:marRight w:val="0"/>
              <w:marTop w:val="0"/>
              <w:marBottom w:val="0"/>
              <w:divBdr>
                <w:top w:val="none" w:sz="0" w:space="0" w:color="auto"/>
                <w:left w:val="none" w:sz="0" w:space="0" w:color="auto"/>
                <w:bottom w:val="none" w:sz="0" w:space="0" w:color="auto"/>
                <w:right w:val="none" w:sz="0" w:space="0" w:color="auto"/>
              </w:divBdr>
              <w:divsChild>
                <w:div w:id="20438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036229">
      <w:bodyDiv w:val="1"/>
      <w:marLeft w:val="0"/>
      <w:marRight w:val="0"/>
      <w:marTop w:val="0"/>
      <w:marBottom w:val="0"/>
      <w:divBdr>
        <w:top w:val="none" w:sz="0" w:space="0" w:color="auto"/>
        <w:left w:val="none" w:sz="0" w:space="0" w:color="auto"/>
        <w:bottom w:val="none" w:sz="0" w:space="0" w:color="auto"/>
        <w:right w:val="none" w:sz="0" w:space="0" w:color="auto"/>
      </w:divBdr>
    </w:div>
    <w:div w:id="629243724">
      <w:bodyDiv w:val="1"/>
      <w:marLeft w:val="0"/>
      <w:marRight w:val="0"/>
      <w:marTop w:val="0"/>
      <w:marBottom w:val="0"/>
      <w:divBdr>
        <w:top w:val="none" w:sz="0" w:space="0" w:color="auto"/>
        <w:left w:val="none" w:sz="0" w:space="0" w:color="auto"/>
        <w:bottom w:val="none" w:sz="0" w:space="0" w:color="auto"/>
        <w:right w:val="none" w:sz="0" w:space="0" w:color="auto"/>
      </w:divBdr>
    </w:div>
    <w:div w:id="648479807">
      <w:bodyDiv w:val="1"/>
      <w:marLeft w:val="0"/>
      <w:marRight w:val="0"/>
      <w:marTop w:val="0"/>
      <w:marBottom w:val="0"/>
      <w:divBdr>
        <w:top w:val="none" w:sz="0" w:space="0" w:color="auto"/>
        <w:left w:val="none" w:sz="0" w:space="0" w:color="auto"/>
        <w:bottom w:val="none" w:sz="0" w:space="0" w:color="auto"/>
        <w:right w:val="none" w:sz="0" w:space="0" w:color="auto"/>
      </w:divBdr>
    </w:div>
    <w:div w:id="687174112">
      <w:bodyDiv w:val="1"/>
      <w:marLeft w:val="0"/>
      <w:marRight w:val="0"/>
      <w:marTop w:val="0"/>
      <w:marBottom w:val="0"/>
      <w:divBdr>
        <w:top w:val="none" w:sz="0" w:space="0" w:color="auto"/>
        <w:left w:val="none" w:sz="0" w:space="0" w:color="auto"/>
        <w:bottom w:val="none" w:sz="0" w:space="0" w:color="auto"/>
        <w:right w:val="none" w:sz="0" w:space="0" w:color="auto"/>
      </w:divBdr>
    </w:div>
    <w:div w:id="793644131">
      <w:bodyDiv w:val="1"/>
      <w:marLeft w:val="0"/>
      <w:marRight w:val="0"/>
      <w:marTop w:val="0"/>
      <w:marBottom w:val="0"/>
      <w:divBdr>
        <w:top w:val="none" w:sz="0" w:space="0" w:color="auto"/>
        <w:left w:val="none" w:sz="0" w:space="0" w:color="auto"/>
        <w:bottom w:val="none" w:sz="0" w:space="0" w:color="auto"/>
        <w:right w:val="none" w:sz="0" w:space="0" w:color="auto"/>
      </w:divBdr>
    </w:div>
    <w:div w:id="807018756">
      <w:bodyDiv w:val="1"/>
      <w:marLeft w:val="0"/>
      <w:marRight w:val="0"/>
      <w:marTop w:val="0"/>
      <w:marBottom w:val="0"/>
      <w:divBdr>
        <w:top w:val="none" w:sz="0" w:space="0" w:color="auto"/>
        <w:left w:val="none" w:sz="0" w:space="0" w:color="auto"/>
        <w:bottom w:val="none" w:sz="0" w:space="0" w:color="auto"/>
        <w:right w:val="none" w:sz="0" w:space="0" w:color="auto"/>
      </w:divBdr>
    </w:div>
    <w:div w:id="899823269">
      <w:bodyDiv w:val="1"/>
      <w:marLeft w:val="0"/>
      <w:marRight w:val="0"/>
      <w:marTop w:val="0"/>
      <w:marBottom w:val="0"/>
      <w:divBdr>
        <w:top w:val="none" w:sz="0" w:space="0" w:color="auto"/>
        <w:left w:val="none" w:sz="0" w:space="0" w:color="auto"/>
        <w:bottom w:val="none" w:sz="0" w:space="0" w:color="auto"/>
        <w:right w:val="none" w:sz="0" w:space="0" w:color="auto"/>
      </w:divBdr>
      <w:divsChild>
        <w:div w:id="775948700">
          <w:marLeft w:val="0"/>
          <w:marRight w:val="0"/>
          <w:marTop w:val="0"/>
          <w:marBottom w:val="0"/>
          <w:divBdr>
            <w:top w:val="none" w:sz="0" w:space="0" w:color="auto"/>
            <w:left w:val="none" w:sz="0" w:space="0" w:color="auto"/>
            <w:bottom w:val="none" w:sz="0" w:space="0" w:color="auto"/>
            <w:right w:val="none" w:sz="0" w:space="0" w:color="auto"/>
          </w:divBdr>
          <w:divsChild>
            <w:div w:id="1594557241">
              <w:marLeft w:val="0"/>
              <w:marRight w:val="0"/>
              <w:marTop w:val="0"/>
              <w:marBottom w:val="0"/>
              <w:divBdr>
                <w:top w:val="none" w:sz="0" w:space="0" w:color="auto"/>
                <w:left w:val="none" w:sz="0" w:space="0" w:color="auto"/>
                <w:bottom w:val="none" w:sz="0" w:space="0" w:color="auto"/>
                <w:right w:val="none" w:sz="0" w:space="0" w:color="auto"/>
              </w:divBdr>
              <w:divsChild>
                <w:div w:id="485054773">
                  <w:marLeft w:val="0"/>
                  <w:marRight w:val="0"/>
                  <w:marTop w:val="0"/>
                  <w:marBottom w:val="0"/>
                  <w:divBdr>
                    <w:top w:val="none" w:sz="0" w:space="0" w:color="auto"/>
                    <w:left w:val="none" w:sz="0" w:space="0" w:color="auto"/>
                    <w:bottom w:val="none" w:sz="0" w:space="0" w:color="auto"/>
                    <w:right w:val="none" w:sz="0" w:space="0" w:color="auto"/>
                  </w:divBdr>
                  <w:divsChild>
                    <w:div w:id="14279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333">
      <w:bodyDiv w:val="1"/>
      <w:marLeft w:val="0"/>
      <w:marRight w:val="0"/>
      <w:marTop w:val="0"/>
      <w:marBottom w:val="0"/>
      <w:divBdr>
        <w:top w:val="none" w:sz="0" w:space="0" w:color="auto"/>
        <w:left w:val="none" w:sz="0" w:space="0" w:color="auto"/>
        <w:bottom w:val="none" w:sz="0" w:space="0" w:color="auto"/>
        <w:right w:val="none" w:sz="0" w:space="0" w:color="auto"/>
      </w:divBdr>
    </w:div>
    <w:div w:id="944386556">
      <w:bodyDiv w:val="1"/>
      <w:marLeft w:val="0"/>
      <w:marRight w:val="0"/>
      <w:marTop w:val="0"/>
      <w:marBottom w:val="0"/>
      <w:divBdr>
        <w:top w:val="none" w:sz="0" w:space="0" w:color="auto"/>
        <w:left w:val="none" w:sz="0" w:space="0" w:color="auto"/>
        <w:bottom w:val="none" w:sz="0" w:space="0" w:color="auto"/>
        <w:right w:val="none" w:sz="0" w:space="0" w:color="auto"/>
      </w:divBdr>
    </w:div>
    <w:div w:id="1034618151">
      <w:bodyDiv w:val="1"/>
      <w:marLeft w:val="0"/>
      <w:marRight w:val="0"/>
      <w:marTop w:val="0"/>
      <w:marBottom w:val="0"/>
      <w:divBdr>
        <w:top w:val="none" w:sz="0" w:space="0" w:color="auto"/>
        <w:left w:val="none" w:sz="0" w:space="0" w:color="auto"/>
        <w:bottom w:val="none" w:sz="0" w:space="0" w:color="auto"/>
        <w:right w:val="none" w:sz="0" w:space="0" w:color="auto"/>
      </w:divBdr>
    </w:div>
    <w:div w:id="1078332570">
      <w:bodyDiv w:val="1"/>
      <w:marLeft w:val="0"/>
      <w:marRight w:val="0"/>
      <w:marTop w:val="0"/>
      <w:marBottom w:val="0"/>
      <w:divBdr>
        <w:top w:val="none" w:sz="0" w:space="0" w:color="auto"/>
        <w:left w:val="none" w:sz="0" w:space="0" w:color="auto"/>
        <w:bottom w:val="none" w:sz="0" w:space="0" w:color="auto"/>
        <w:right w:val="none" w:sz="0" w:space="0" w:color="auto"/>
      </w:divBdr>
    </w:div>
    <w:div w:id="1344284514">
      <w:bodyDiv w:val="1"/>
      <w:marLeft w:val="0"/>
      <w:marRight w:val="0"/>
      <w:marTop w:val="0"/>
      <w:marBottom w:val="0"/>
      <w:divBdr>
        <w:top w:val="none" w:sz="0" w:space="0" w:color="auto"/>
        <w:left w:val="none" w:sz="0" w:space="0" w:color="auto"/>
        <w:bottom w:val="none" w:sz="0" w:space="0" w:color="auto"/>
        <w:right w:val="none" w:sz="0" w:space="0" w:color="auto"/>
      </w:divBdr>
    </w:div>
    <w:div w:id="1447117253">
      <w:bodyDiv w:val="1"/>
      <w:marLeft w:val="0"/>
      <w:marRight w:val="0"/>
      <w:marTop w:val="0"/>
      <w:marBottom w:val="0"/>
      <w:divBdr>
        <w:top w:val="none" w:sz="0" w:space="0" w:color="auto"/>
        <w:left w:val="none" w:sz="0" w:space="0" w:color="auto"/>
        <w:bottom w:val="none" w:sz="0" w:space="0" w:color="auto"/>
        <w:right w:val="none" w:sz="0" w:space="0" w:color="auto"/>
      </w:divBdr>
    </w:div>
    <w:div w:id="1561600520">
      <w:bodyDiv w:val="1"/>
      <w:marLeft w:val="0"/>
      <w:marRight w:val="0"/>
      <w:marTop w:val="0"/>
      <w:marBottom w:val="0"/>
      <w:divBdr>
        <w:top w:val="none" w:sz="0" w:space="0" w:color="auto"/>
        <w:left w:val="none" w:sz="0" w:space="0" w:color="auto"/>
        <w:bottom w:val="none" w:sz="0" w:space="0" w:color="auto"/>
        <w:right w:val="none" w:sz="0" w:space="0" w:color="auto"/>
      </w:divBdr>
    </w:div>
    <w:div w:id="1590430883">
      <w:bodyDiv w:val="1"/>
      <w:marLeft w:val="0"/>
      <w:marRight w:val="0"/>
      <w:marTop w:val="0"/>
      <w:marBottom w:val="0"/>
      <w:divBdr>
        <w:top w:val="none" w:sz="0" w:space="0" w:color="auto"/>
        <w:left w:val="none" w:sz="0" w:space="0" w:color="auto"/>
        <w:bottom w:val="none" w:sz="0" w:space="0" w:color="auto"/>
        <w:right w:val="none" w:sz="0" w:space="0" w:color="auto"/>
      </w:divBdr>
    </w:div>
    <w:div w:id="1897352795">
      <w:bodyDiv w:val="1"/>
      <w:marLeft w:val="0"/>
      <w:marRight w:val="0"/>
      <w:marTop w:val="0"/>
      <w:marBottom w:val="0"/>
      <w:divBdr>
        <w:top w:val="none" w:sz="0" w:space="0" w:color="auto"/>
        <w:left w:val="none" w:sz="0" w:space="0" w:color="auto"/>
        <w:bottom w:val="none" w:sz="0" w:space="0" w:color="auto"/>
        <w:right w:val="none" w:sz="0" w:space="0" w:color="auto"/>
      </w:divBdr>
    </w:div>
    <w:div w:id="192487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mstrong@soton.ac.uk" TargetMode="External"/><Relationship Id="rId13" Type="http://schemas.openxmlformats.org/officeDocument/2006/relationships/hyperlink" Target="https://doi.org/10.1080/00224499.2012.70073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80/23268743.2013.86365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97%2FOLQ.000000000000039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224499.2010.551791" TargetMode="External"/><Relationship Id="rId5" Type="http://schemas.openxmlformats.org/officeDocument/2006/relationships/webSettings" Target="webSettings.xml"/><Relationship Id="rId15" Type="http://schemas.openxmlformats.org/officeDocument/2006/relationships/hyperlink" Target="http://dx.doi.org/10.1136/sextrans-2017-053193" TargetMode="External"/><Relationship Id="rId10" Type="http://schemas.openxmlformats.org/officeDocument/2006/relationships/hyperlink" Target="https://doi.org/10.1080/19317611.2019.165458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ho.int/health-topics/sexual-health" TargetMode="External"/><Relationship Id="rId14" Type="http://schemas.openxmlformats.org/officeDocument/2006/relationships/hyperlink" Target="https://doi.org/10.4324/9780203046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016D1-E4C2-CD44-8127-1A5AB4A80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5247</Words>
  <Characters>30361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Running head: RUNNING HEAD TITLE HERE (FLUSH LEFT)</vt:lpstr>
    </vt:vector>
  </TitlesOfParts>
  <Company>University of Southampton</Company>
  <LinksUpToDate>false</LinksUpToDate>
  <CharactersWithSpaces>35537</CharactersWithSpaces>
  <SharedDoc>false</SharedDoc>
  <HLinks>
    <vt:vector size="12" baseType="variant">
      <vt:variant>
        <vt:i4>5374019</vt:i4>
      </vt:variant>
      <vt:variant>
        <vt:i4>3</vt:i4>
      </vt:variant>
      <vt:variant>
        <vt:i4>0</vt:i4>
      </vt:variant>
      <vt:variant>
        <vt:i4>5</vt:i4>
      </vt:variant>
      <vt:variant>
        <vt:lpwstr>http://www.squishybrain.com/</vt:lpwstr>
      </vt:variant>
      <vt:variant>
        <vt:lpwstr/>
      </vt:variant>
      <vt:variant>
        <vt:i4>4653174</vt:i4>
      </vt:variant>
      <vt:variant>
        <vt:i4>0</vt:i4>
      </vt:variant>
      <vt:variant>
        <vt:i4>0</vt:i4>
      </vt:variant>
      <vt:variant>
        <vt:i4>5</vt:i4>
      </vt:variant>
      <vt:variant>
        <vt:lpwstr>mailto:jt103@soton.ac.uk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RUNNING HEAD TITLE HERE (FLUSH LEFT)</dc:title>
  <dc:creator>Amanda</dc:creator>
  <cp:lastModifiedBy>Reviewer</cp:lastModifiedBy>
  <cp:revision>2</cp:revision>
  <dcterms:created xsi:type="dcterms:W3CDTF">2024-10-30T09:36:00Z</dcterms:created>
  <dcterms:modified xsi:type="dcterms:W3CDTF">2024-10-30T09:36:00Z</dcterms:modified>
</cp:coreProperties>
</file>