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2B36B" w14:textId="77777777" w:rsidR="00B82265" w:rsidRDefault="00B929DB">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Fracture Risk Prediction using FRAX in Individuals with Cancer</w:t>
      </w:r>
    </w:p>
    <w:p w14:paraId="4FD9E66A" w14:textId="77777777" w:rsidR="00B82265" w:rsidRDefault="00B82265">
      <w:pPr>
        <w:spacing w:line="240" w:lineRule="auto"/>
        <w:rPr>
          <w:rFonts w:ascii="Times New Roman" w:eastAsia="Times New Roman" w:hAnsi="Times New Roman" w:cs="Times New Roman"/>
          <w:b/>
          <w:sz w:val="24"/>
          <w:szCs w:val="24"/>
        </w:rPr>
      </w:pPr>
    </w:p>
    <w:p w14:paraId="7569427A" w14:textId="77777777" w:rsidR="00B82265" w:rsidRDefault="00B82265">
      <w:pPr>
        <w:spacing w:line="240" w:lineRule="auto"/>
        <w:jc w:val="center"/>
        <w:rPr>
          <w:rFonts w:ascii="Times New Roman" w:eastAsia="Times New Roman" w:hAnsi="Times New Roman" w:cs="Times New Roman"/>
          <w:b/>
          <w:sz w:val="24"/>
          <w:szCs w:val="24"/>
        </w:rPr>
      </w:pPr>
    </w:p>
    <w:p w14:paraId="62283795" w14:textId="77777777" w:rsidR="00B82265" w:rsidRDefault="00B82265">
      <w:pPr>
        <w:spacing w:line="240" w:lineRule="auto"/>
        <w:jc w:val="center"/>
        <w:rPr>
          <w:rFonts w:ascii="Times New Roman" w:eastAsia="Times New Roman" w:hAnsi="Times New Roman" w:cs="Times New Roman"/>
          <w:sz w:val="24"/>
          <w:szCs w:val="24"/>
        </w:rPr>
      </w:pPr>
    </w:p>
    <w:p w14:paraId="3BE9334F"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Carrie Ye MD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William D. Leslie MD MSc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Saeed Al-Azazi MSc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Lin Yan PhD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;Lisa M. Lix PhD </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Piotr Czaykowski MD </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Eugene V. McCloskey MD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Helena Johansson PhD </w:t>
      </w:r>
      <w:r>
        <w:rPr>
          <w:rFonts w:ascii="Times New Roman" w:eastAsia="Times New Roman" w:hAnsi="Times New Roman" w:cs="Times New Roman"/>
          <w:sz w:val="24"/>
          <w:szCs w:val="24"/>
          <w:vertAlign w:val="superscript"/>
        </w:rPr>
        <w:t>4,5</w:t>
      </w:r>
      <w:r>
        <w:rPr>
          <w:rFonts w:ascii="Times New Roman" w:eastAsia="Times New Roman" w:hAnsi="Times New Roman" w:cs="Times New Roman"/>
          <w:sz w:val="24"/>
          <w:szCs w:val="24"/>
        </w:rPr>
        <w:t xml:space="preserve">; </w:t>
      </w:r>
    </w:p>
    <w:p w14:paraId="7C6231EA"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Nicholas C. Harvey MD PhD</w:t>
      </w:r>
      <w:r>
        <w:rPr>
          <w:rFonts w:ascii="Times New Roman" w:eastAsia="Times New Roman" w:hAnsi="Times New Roman" w:cs="Times New Roman"/>
          <w:sz w:val="24"/>
          <w:szCs w:val="24"/>
          <w:vertAlign w:val="superscript"/>
        </w:rPr>
        <w:t>6,7</w:t>
      </w:r>
      <w:r>
        <w:rPr>
          <w:rFonts w:ascii="Times New Roman" w:eastAsia="Times New Roman" w:hAnsi="Times New Roman" w:cs="Times New Roman"/>
          <w:sz w:val="24"/>
          <w:szCs w:val="24"/>
        </w:rPr>
        <w:t xml:space="preserve">; John A. Kanis MD </w:t>
      </w:r>
      <w:r>
        <w:rPr>
          <w:rFonts w:ascii="Times New Roman" w:eastAsia="Times New Roman" w:hAnsi="Times New Roman" w:cs="Times New Roman"/>
          <w:sz w:val="24"/>
          <w:szCs w:val="24"/>
          <w:vertAlign w:val="superscript"/>
        </w:rPr>
        <w:t>4</w:t>
      </w:r>
      <w:r>
        <w:rPr>
          <w:rFonts w:ascii="Times New Roman" w:eastAsia="Times New Roman" w:hAnsi="Times New Roman" w:cs="Times New Roman"/>
          <w:sz w:val="24"/>
          <w:szCs w:val="24"/>
        </w:rPr>
        <w:t xml:space="preserve">; Harminder Singh MD </w:t>
      </w:r>
      <w:r>
        <w:rPr>
          <w:rFonts w:ascii="Times New Roman" w:eastAsia="Times New Roman" w:hAnsi="Times New Roman" w:cs="Times New Roman"/>
          <w:sz w:val="24"/>
          <w:szCs w:val="24"/>
          <w:vertAlign w:val="superscript"/>
        </w:rPr>
        <w:t>2,3</w:t>
      </w:r>
      <w:r>
        <w:rPr>
          <w:rFonts w:ascii="Times New Roman" w:eastAsia="Times New Roman" w:hAnsi="Times New Roman" w:cs="Times New Roman"/>
          <w:sz w:val="24"/>
          <w:szCs w:val="24"/>
        </w:rPr>
        <w:t xml:space="preserve"> </w:t>
      </w:r>
    </w:p>
    <w:p w14:paraId="5E21E481" w14:textId="77777777" w:rsidR="00B82265" w:rsidRDefault="00B82265">
      <w:pPr>
        <w:spacing w:line="240" w:lineRule="auto"/>
        <w:jc w:val="center"/>
        <w:rPr>
          <w:rFonts w:ascii="Times New Roman" w:eastAsia="Times New Roman" w:hAnsi="Times New Roman" w:cs="Times New Roman"/>
          <w:sz w:val="24"/>
          <w:szCs w:val="24"/>
        </w:rPr>
      </w:pPr>
    </w:p>
    <w:p w14:paraId="55480480"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University of Alberta, Edmonton, Canada;</w:t>
      </w:r>
    </w:p>
    <w:p w14:paraId="46E181F5"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University of Manitoba, Winnipeg, Canada; </w:t>
      </w:r>
    </w:p>
    <w:p w14:paraId="54437D94"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CancerCare Manitoba, Winnipeg, Manitoba, Canada; </w:t>
      </w:r>
    </w:p>
    <w:p w14:paraId="3C356DFC"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C</w:t>
      </w:r>
      <w:r>
        <w:rPr>
          <w:rFonts w:ascii="Times New Roman" w:eastAsia="Times New Roman" w:hAnsi="Times New Roman" w:cs="Times New Roman"/>
          <w:sz w:val="24"/>
          <w:szCs w:val="24"/>
        </w:rPr>
        <w:t xml:space="preserve">entre for Metabolic Bone Diseases, University of Sheffield Medical School, Sheffield, UK; </w:t>
      </w:r>
    </w:p>
    <w:p w14:paraId="68C92081"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Mary McKillop Institute for Health Research, Australian Catholic University, Melbourne, Australia;</w:t>
      </w:r>
    </w:p>
    <w:p w14:paraId="06F0EB67"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 MRC Lifecourse Epidemiology Unit, University of Southampto</w:t>
      </w:r>
      <w:r>
        <w:rPr>
          <w:rFonts w:ascii="Times New Roman" w:eastAsia="Times New Roman" w:hAnsi="Times New Roman" w:cs="Times New Roman"/>
          <w:sz w:val="24"/>
          <w:szCs w:val="24"/>
        </w:rPr>
        <w:t>n, Southampton, UK;</w:t>
      </w:r>
    </w:p>
    <w:p w14:paraId="63838F87" w14:textId="77777777" w:rsidR="00B82265" w:rsidRDefault="00B929D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NIHR Southampton Biomedical Research Centre, University of Southampton and University Hospital Southampton NHS Foundation Trust, Southampton, UK.</w:t>
      </w:r>
    </w:p>
    <w:p w14:paraId="49262853" w14:textId="77777777" w:rsidR="00B82265" w:rsidRDefault="00B82265">
      <w:pPr>
        <w:pStyle w:val="Title"/>
        <w:keepNext w:val="0"/>
        <w:keepLines w:val="0"/>
        <w:spacing w:after="0" w:line="240" w:lineRule="auto"/>
        <w:rPr>
          <w:rFonts w:ascii="Times New Roman" w:eastAsia="Times New Roman" w:hAnsi="Times New Roman" w:cs="Times New Roman"/>
          <w:sz w:val="24"/>
          <w:szCs w:val="24"/>
        </w:rPr>
      </w:pPr>
    </w:p>
    <w:p w14:paraId="57E5E2C6" w14:textId="77777777" w:rsidR="00B82265" w:rsidRDefault="00B82265">
      <w:pPr>
        <w:spacing w:line="240" w:lineRule="auto"/>
        <w:rPr>
          <w:rFonts w:ascii="Times New Roman" w:eastAsia="Times New Roman" w:hAnsi="Times New Roman" w:cs="Times New Roman"/>
          <w:sz w:val="24"/>
          <w:szCs w:val="24"/>
        </w:rPr>
      </w:pPr>
    </w:p>
    <w:p w14:paraId="2939B1FA" w14:textId="77777777" w:rsidR="00B82265" w:rsidRDefault="00B82265">
      <w:pPr>
        <w:spacing w:line="240" w:lineRule="auto"/>
        <w:rPr>
          <w:rFonts w:ascii="Times New Roman" w:eastAsia="Times New Roman" w:hAnsi="Times New Roman" w:cs="Times New Roman"/>
          <w:sz w:val="24"/>
          <w:szCs w:val="24"/>
        </w:rPr>
      </w:pPr>
    </w:p>
    <w:p w14:paraId="256D9AD0" w14:textId="77777777" w:rsidR="00B82265" w:rsidRDefault="00B82265">
      <w:pPr>
        <w:spacing w:line="240" w:lineRule="auto"/>
        <w:rPr>
          <w:rFonts w:ascii="Times New Roman" w:eastAsia="Times New Roman" w:hAnsi="Times New Roman" w:cs="Times New Roman"/>
          <w:sz w:val="24"/>
          <w:szCs w:val="24"/>
        </w:rPr>
      </w:pPr>
    </w:p>
    <w:p w14:paraId="78D8F2FA" w14:textId="77777777" w:rsidR="00B82265" w:rsidRDefault="00B82265">
      <w:pPr>
        <w:spacing w:line="240" w:lineRule="auto"/>
        <w:rPr>
          <w:rFonts w:ascii="Times New Roman" w:eastAsia="Times New Roman" w:hAnsi="Times New Roman" w:cs="Times New Roman"/>
          <w:sz w:val="24"/>
          <w:szCs w:val="24"/>
        </w:rPr>
      </w:pPr>
    </w:p>
    <w:p w14:paraId="35EE63B9" w14:textId="77777777" w:rsidR="00B82265" w:rsidRDefault="00B929D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Running Title: FRAX Performance in Cancer</w:t>
      </w:r>
    </w:p>
    <w:p w14:paraId="15747046" w14:textId="77777777" w:rsidR="00B82265" w:rsidRDefault="00B82265">
      <w:pPr>
        <w:spacing w:line="240" w:lineRule="auto"/>
        <w:rPr>
          <w:rFonts w:ascii="Times New Roman" w:eastAsia="Times New Roman" w:hAnsi="Times New Roman" w:cs="Times New Roman"/>
          <w:sz w:val="24"/>
          <w:szCs w:val="24"/>
        </w:rPr>
      </w:pPr>
    </w:p>
    <w:p w14:paraId="2F03EC85"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Fracture risk assessment, G</w:t>
      </w:r>
      <w:r>
        <w:rPr>
          <w:rFonts w:ascii="Times New Roman" w:eastAsia="Times New Roman" w:hAnsi="Times New Roman" w:cs="Times New Roman"/>
          <w:sz w:val="24"/>
          <w:szCs w:val="24"/>
        </w:rPr>
        <w:t>eneral population studies, DXA, Cancer, Osteoporosis</w:t>
      </w:r>
    </w:p>
    <w:p w14:paraId="449581E8"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Revision Submission Date: </w:t>
      </w:r>
      <w:r>
        <w:rPr>
          <w:rFonts w:ascii="Times New Roman" w:eastAsia="Times New Roman" w:hAnsi="Times New Roman" w:cs="Times New Roman"/>
          <w:sz w:val="24"/>
          <w:szCs w:val="24"/>
        </w:rPr>
        <w:t>May 21, 2024</w:t>
      </w:r>
    </w:p>
    <w:p w14:paraId="36A58815"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Revised Word Count: </w:t>
      </w:r>
      <w:r>
        <w:rPr>
          <w:rFonts w:ascii="Times New Roman" w:eastAsia="Times New Roman" w:hAnsi="Times New Roman" w:cs="Times New Roman"/>
          <w:sz w:val="24"/>
          <w:szCs w:val="24"/>
        </w:rPr>
        <w:t>2982</w:t>
      </w:r>
    </w:p>
    <w:p w14:paraId="07626F90" w14:textId="77777777" w:rsidR="00B82265" w:rsidRDefault="00B82265">
      <w:pPr>
        <w:spacing w:line="240" w:lineRule="auto"/>
        <w:rPr>
          <w:rFonts w:ascii="Times New Roman" w:eastAsia="Times New Roman" w:hAnsi="Times New Roman" w:cs="Times New Roman"/>
          <w:sz w:val="24"/>
          <w:szCs w:val="24"/>
        </w:rPr>
      </w:pPr>
    </w:p>
    <w:p w14:paraId="665EAA4C" w14:textId="77777777" w:rsidR="00B82265" w:rsidRDefault="00B82265">
      <w:pPr>
        <w:spacing w:line="240" w:lineRule="auto"/>
        <w:rPr>
          <w:rFonts w:ascii="Times New Roman" w:eastAsia="Times New Roman" w:hAnsi="Times New Roman" w:cs="Times New Roman"/>
          <w:b/>
          <w:sz w:val="24"/>
          <w:szCs w:val="24"/>
        </w:rPr>
      </w:pPr>
    </w:p>
    <w:p w14:paraId="58B80E48" w14:textId="77777777" w:rsidR="00B82265" w:rsidRDefault="00B929D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 for Correspondence and Reprints:</w:t>
      </w:r>
    </w:p>
    <w:p w14:paraId="2808D6D8"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Carrie Ye</w:t>
      </w:r>
    </w:p>
    <w:p w14:paraId="7626EB84"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8-130 Clinical Sciences Building</w:t>
      </w:r>
    </w:p>
    <w:p w14:paraId="4E2618FE"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11350 83 Avenue NW</w:t>
      </w:r>
    </w:p>
    <w:p w14:paraId="2699B3CC"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Edmonton, AB Canada T6G 2G3</w:t>
      </w:r>
    </w:p>
    <w:p w14:paraId="719365AF"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cye@ualberta.ca</w:t>
      </w:r>
    </w:p>
    <w:p w14:paraId="3EB0DCD7" w14:textId="77777777" w:rsidR="00B82265" w:rsidRDefault="00B82265">
      <w:pPr>
        <w:spacing w:line="240" w:lineRule="auto"/>
        <w:rPr>
          <w:rFonts w:ascii="Times New Roman" w:eastAsia="Times New Roman" w:hAnsi="Times New Roman" w:cs="Times New Roman"/>
          <w:sz w:val="24"/>
          <w:szCs w:val="24"/>
        </w:rPr>
      </w:pPr>
    </w:p>
    <w:p w14:paraId="2214FE19" w14:textId="77777777" w:rsidR="00B82265" w:rsidRDefault="00B82265">
      <w:pPr>
        <w:spacing w:line="240" w:lineRule="auto"/>
        <w:rPr>
          <w:rFonts w:ascii="Times New Roman" w:eastAsia="Times New Roman" w:hAnsi="Times New Roman" w:cs="Times New Roman"/>
          <w:sz w:val="24"/>
          <w:szCs w:val="24"/>
        </w:rPr>
      </w:pPr>
    </w:p>
    <w:p w14:paraId="1A64BE54" w14:textId="77777777" w:rsidR="00B82265" w:rsidRDefault="00B82265">
      <w:pPr>
        <w:spacing w:line="240" w:lineRule="auto"/>
        <w:rPr>
          <w:rFonts w:ascii="Times New Roman" w:eastAsia="Times New Roman" w:hAnsi="Times New Roman" w:cs="Times New Roman"/>
          <w:sz w:val="24"/>
          <w:szCs w:val="24"/>
        </w:rPr>
      </w:pPr>
    </w:p>
    <w:p w14:paraId="25E66DAA" w14:textId="77777777" w:rsidR="00B82265" w:rsidRDefault="00B929D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Author Contributions: </w:t>
      </w:r>
    </w:p>
    <w:p w14:paraId="1409E1BC"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Conceptualization: Singh, Leslie, Lix, Czaykowski</w:t>
      </w:r>
    </w:p>
    <w:p w14:paraId="5A25AE01"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Curation: Al-Azazi, Yan, Singh</w:t>
      </w:r>
    </w:p>
    <w:p w14:paraId="72914BDB"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Formal Analysis: Al-Azaz, Yan</w:t>
      </w:r>
    </w:p>
    <w:p w14:paraId="4B17F530"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Methodology: Singh, Ye, Leslie, Lix</w:t>
      </w:r>
    </w:p>
    <w:p w14:paraId="71260A2D"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Writing-Original Draft Preparation: Ye</w:t>
      </w:r>
    </w:p>
    <w:p w14:paraId="5B615516"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Writing-Review and Editing: All</w:t>
      </w:r>
    </w:p>
    <w:p w14:paraId="400A06D5" w14:textId="77777777" w:rsidR="00B82265" w:rsidRDefault="00B82265">
      <w:pPr>
        <w:spacing w:line="240" w:lineRule="auto"/>
        <w:rPr>
          <w:rFonts w:ascii="Times New Roman" w:eastAsia="Times New Roman" w:hAnsi="Times New Roman" w:cs="Times New Roman"/>
          <w:b/>
          <w:sz w:val="24"/>
          <w:szCs w:val="24"/>
        </w:rPr>
      </w:pPr>
    </w:p>
    <w:p w14:paraId="5BB4EB0D" w14:textId="77777777" w:rsidR="00B82265" w:rsidRDefault="00B82265">
      <w:pPr>
        <w:spacing w:line="240" w:lineRule="auto"/>
        <w:rPr>
          <w:rFonts w:ascii="Times New Roman" w:eastAsia="Times New Roman" w:hAnsi="Times New Roman" w:cs="Times New Roman"/>
          <w:b/>
          <w:sz w:val="24"/>
          <w:szCs w:val="24"/>
        </w:rPr>
      </w:pPr>
    </w:p>
    <w:p w14:paraId="46AA2B1D" w14:textId="77777777" w:rsidR="00B82265" w:rsidRDefault="00B929D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Funding and Acknowledgements</w:t>
      </w:r>
    </w:p>
    <w:p w14:paraId="0944C5C4"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received funding from the CancerCare Manitoba Foundation (grant # 763045126). Lisa Lix has funding support </w:t>
      </w:r>
      <w:r>
        <w:rPr>
          <w:rFonts w:ascii="Times New Roman" w:eastAsia="Times New Roman" w:hAnsi="Times New Roman" w:cs="Times New Roman"/>
          <w:sz w:val="24"/>
          <w:szCs w:val="24"/>
        </w:rPr>
        <w:t xml:space="preserve">from CIHR and the Canada Research Chairs Program (CRC-2017-00186).  The authors acknowledge the Manitoba Centre for Health Policy for use of data contained in the Manitoba Population Research Data Repository (2015/2016-10). The results and conclusions are </w:t>
      </w:r>
      <w:r>
        <w:rPr>
          <w:rFonts w:ascii="Times New Roman" w:eastAsia="Times New Roman" w:hAnsi="Times New Roman" w:cs="Times New Roman"/>
          <w:sz w:val="24"/>
          <w:szCs w:val="24"/>
        </w:rPr>
        <w:t xml:space="preserve">those of the authors and no official endorsement by the Manitoba Centre for Health Policy, Manitoba Health and Seniors Care (MHASC), or other data providers is intended or should be inferred. </w:t>
      </w:r>
    </w:p>
    <w:p w14:paraId="2E639598" w14:textId="77777777" w:rsidR="00B82265" w:rsidRDefault="00B82265">
      <w:pPr>
        <w:spacing w:line="240" w:lineRule="auto"/>
        <w:rPr>
          <w:rFonts w:ascii="Times New Roman" w:eastAsia="Times New Roman" w:hAnsi="Times New Roman" w:cs="Times New Roman"/>
          <w:b/>
          <w:sz w:val="24"/>
          <w:szCs w:val="24"/>
        </w:rPr>
      </w:pPr>
    </w:p>
    <w:p w14:paraId="3D6EB432"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Disclosures</w:t>
      </w:r>
    </w:p>
    <w:p w14:paraId="5B03C30C"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Carrie Ye: No conflicts of interest.</w:t>
      </w:r>
    </w:p>
    <w:p w14:paraId="3A5E77E1"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William D. Le</w:t>
      </w:r>
      <w:r>
        <w:rPr>
          <w:rFonts w:ascii="Times New Roman" w:eastAsia="Times New Roman" w:hAnsi="Times New Roman" w:cs="Times New Roman"/>
          <w:sz w:val="24"/>
          <w:szCs w:val="24"/>
        </w:rPr>
        <w:t>slie: No conflicts of interest.</w:t>
      </w:r>
    </w:p>
    <w:p w14:paraId="5529C861"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Saeed Al-Azazi: No conflicts of interest.</w:t>
      </w:r>
    </w:p>
    <w:p w14:paraId="3EF922AE"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Lin Yan: No conflicts of interest.</w:t>
      </w:r>
    </w:p>
    <w:p w14:paraId="76B44732"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Lisa M. Lix: No conflicts of interest.</w:t>
      </w:r>
    </w:p>
    <w:p w14:paraId="7D1C4F22"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Piotr Czaykowski: No conflicts of interest.</w:t>
      </w:r>
    </w:p>
    <w:p w14:paraId="4214C2DD"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Eugene V. McCloskey: Nothing to declare for the context of this paper, but numerous ad hoc consultancies/ speaking honoraria and/or research funding from Amgen, Bayer, General Electric, GSK, Hologic, Lilly, Merck Research Labs, Novartis, Novo Nordisk, Nyco</w:t>
      </w:r>
      <w:r>
        <w:rPr>
          <w:rFonts w:ascii="Times New Roman" w:eastAsia="Times New Roman" w:hAnsi="Times New Roman" w:cs="Times New Roman"/>
          <w:sz w:val="24"/>
          <w:szCs w:val="24"/>
        </w:rPr>
        <w:t>med, Ono, Pfizer, ProStrakan, Roche, Sanofi-Aventis, Servier, Tethys, UBS and Warner-Chilcott</w:t>
      </w:r>
    </w:p>
    <w:p w14:paraId="31846756"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Helena Johansson: No conflicts of interest.</w:t>
      </w:r>
    </w:p>
    <w:p w14:paraId="3F7D19EC"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Nicholas C. Harvey: Nothing to declare for the context of this paper, but has received consultancy/ lecture fees/ hono</w:t>
      </w:r>
      <w:r>
        <w:rPr>
          <w:rFonts w:ascii="Times New Roman" w:eastAsia="Times New Roman" w:hAnsi="Times New Roman" w:cs="Times New Roman"/>
          <w:sz w:val="24"/>
          <w:szCs w:val="24"/>
        </w:rPr>
        <w:t>raria/ grant funding from Alliance for Better Bone Health, Amgen, MSD, Eli Lilly, Servier, Shire, UCB, Kyowa Kirin, Theramex, Consilient Healthcare and Internis Pharma.</w:t>
      </w:r>
    </w:p>
    <w:p w14:paraId="3D5837BE"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John A. Kanis: Nothing to declare for the context of this paper</w:t>
      </w:r>
    </w:p>
    <w:p w14:paraId="7C5F5906"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Harminder Singh:Nothing</w:t>
      </w:r>
      <w:r>
        <w:rPr>
          <w:rFonts w:ascii="Times New Roman" w:eastAsia="Times New Roman" w:hAnsi="Times New Roman" w:cs="Times New Roman"/>
          <w:sz w:val="24"/>
          <w:szCs w:val="24"/>
        </w:rPr>
        <w:t xml:space="preserve"> to declare for the context of this paper, but has been on advisory boards or consulted to Pendopharm, Amgen Canada, Abbvie Canada, Roche Canada, Sandoz Canada, Takeda Canada, Organon Canada, Eli Lilly Canada,and Guardant Health, Inc.,  has received fundin</w:t>
      </w:r>
      <w:r>
        <w:rPr>
          <w:rFonts w:ascii="Times New Roman" w:eastAsia="Times New Roman" w:hAnsi="Times New Roman" w:cs="Times New Roman"/>
          <w:sz w:val="24"/>
          <w:szCs w:val="24"/>
        </w:rPr>
        <w:t>g for investigator-initiated grant from Pfizer Canada</w:t>
      </w:r>
      <w:r>
        <w:t xml:space="preserve"> </w:t>
      </w:r>
      <w:r>
        <w:rPr>
          <w:rFonts w:ascii="Times New Roman" w:eastAsia="Times New Roman" w:hAnsi="Times New Roman" w:cs="Times New Roman"/>
          <w:sz w:val="24"/>
          <w:szCs w:val="24"/>
        </w:rPr>
        <w:t>and holds shares of VasCon.</w:t>
      </w:r>
    </w:p>
    <w:p w14:paraId="70E735AF" w14:textId="77777777" w:rsidR="00B82265" w:rsidRDefault="00B82265">
      <w:pPr>
        <w:spacing w:line="240" w:lineRule="auto"/>
        <w:rPr>
          <w:rFonts w:ascii="Times New Roman" w:eastAsia="Times New Roman" w:hAnsi="Times New Roman" w:cs="Times New Roman"/>
          <w:sz w:val="24"/>
          <w:szCs w:val="24"/>
        </w:rPr>
      </w:pPr>
    </w:p>
    <w:p w14:paraId="71037A2D" w14:textId="77777777" w:rsidR="00B82265" w:rsidRDefault="00B929DB">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Availability Statement:</w:t>
      </w:r>
    </w:p>
    <w:p w14:paraId="2D72F713" w14:textId="77777777" w:rsidR="00B82265" w:rsidRDefault="00B929D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Data sharing is not permitted under the Researcher Agreement with Manitoba Health and Seniors Care (MHASC). However, researchers may apply for d</w:t>
      </w:r>
      <w:r>
        <w:rPr>
          <w:rFonts w:ascii="Times New Roman" w:eastAsia="Times New Roman" w:hAnsi="Times New Roman" w:cs="Times New Roman"/>
          <w:sz w:val="24"/>
          <w:szCs w:val="24"/>
        </w:rPr>
        <w:t>ata access through the Health Research Ethics Board for the University of Manitoba and the Health Information and Privacy Committee of MHASC.</w:t>
      </w:r>
      <w:r>
        <w:br w:type="page"/>
      </w:r>
    </w:p>
    <w:p w14:paraId="2E7D6EF1" w14:textId="77777777" w:rsidR="00B82265" w:rsidRDefault="00B929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KEY POINTS:</w:t>
      </w:r>
    </w:p>
    <w:p w14:paraId="1D15E1A1" w14:textId="77777777" w:rsidR="00B82265" w:rsidRDefault="00B82265">
      <w:pPr>
        <w:rPr>
          <w:rFonts w:ascii="Times New Roman" w:eastAsia="Times New Roman" w:hAnsi="Times New Roman" w:cs="Times New Roman"/>
          <w:sz w:val="24"/>
          <w:szCs w:val="24"/>
        </w:rPr>
      </w:pPr>
    </w:p>
    <w:p w14:paraId="6B7D9B4D"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w:t>
      </w:r>
      <w:r>
        <w:rPr>
          <w:rFonts w:ascii="Times New Roman" w:eastAsia="Times New Roman" w:hAnsi="Times New Roman" w:cs="Times New Roman"/>
          <w:sz w:val="24"/>
          <w:szCs w:val="24"/>
        </w:rPr>
        <w:t>: How well does FRAX perform at predicting incident fractures in individuals with cancer?</w:t>
      </w:r>
    </w:p>
    <w:p w14:paraId="4CBBD38E" w14:textId="77777777" w:rsidR="00B82265" w:rsidRDefault="00B82265">
      <w:pPr>
        <w:rPr>
          <w:rFonts w:ascii="Times New Roman" w:eastAsia="Times New Roman" w:hAnsi="Times New Roman" w:cs="Times New Roman"/>
          <w:sz w:val="24"/>
          <w:szCs w:val="24"/>
        </w:rPr>
      </w:pPr>
    </w:p>
    <w:p w14:paraId="5CAFCEB8"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b/>
          <w:sz w:val="24"/>
          <w:szCs w:val="24"/>
        </w:rPr>
        <w:t>indings</w:t>
      </w:r>
      <w:r>
        <w:rPr>
          <w:rFonts w:ascii="Times New Roman" w:eastAsia="Times New Roman" w:hAnsi="Times New Roman" w:cs="Times New Roman"/>
          <w:sz w:val="24"/>
          <w:szCs w:val="24"/>
        </w:rPr>
        <w:t>: In this population-level cohort study which included 9,877 individuals with cancer, FRAX with bone mineral density strongly predicted incident major osteoporotic fracture and hip fracture with calibration slopes of 1.00 for major osteoporotic frac</w:t>
      </w:r>
      <w:r>
        <w:rPr>
          <w:rFonts w:ascii="Times New Roman" w:eastAsia="Times New Roman" w:hAnsi="Times New Roman" w:cs="Times New Roman"/>
          <w:sz w:val="24"/>
          <w:szCs w:val="24"/>
        </w:rPr>
        <w:t>ture and 0.97 for hip fracture prediction.</w:t>
      </w:r>
    </w:p>
    <w:p w14:paraId="5F9A4468" w14:textId="77777777" w:rsidR="00B82265" w:rsidRDefault="00B82265">
      <w:pPr>
        <w:rPr>
          <w:rFonts w:ascii="Times New Roman" w:eastAsia="Times New Roman" w:hAnsi="Times New Roman" w:cs="Times New Roman"/>
          <w:sz w:val="24"/>
          <w:szCs w:val="24"/>
        </w:rPr>
      </w:pPr>
    </w:p>
    <w:p w14:paraId="3C3F2246"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Meaning</w:t>
      </w:r>
      <w:r>
        <w:rPr>
          <w:rFonts w:ascii="Times New Roman" w:eastAsia="Times New Roman" w:hAnsi="Times New Roman" w:cs="Times New Roman"/>
          <w:sz w:val="24"/>
          <w:szCs w:val="24"/>
        </w:rPr>
        <w:t>: FRAX with bone mineral density can be used to reliably predict incidence fractures in individuals with cancer.</w:t>
      </w:r>
    </w:p>
    <w:p w14:paraId="5D129EC3" w14:textId="77777777" w:rsidR="00B82265" w:rsidRDefault="00B82265">
      <w:pPr>
        <w:rPr>
          <w:rFonts w:ascii="Times New Roman" w:eastAsia="Times New Roman" w:hAnsi="Times New Roman" w:cs="Times New Roman"/>
          <w:sz w:val="24"/>
          <w:szCs w:val="24"/>
        </w:rPr>
      </w:pPr>
    </w:p>
    <w:p w14:paraId="2E6175AF" w14:textId="77777777" w:rsidR="00B82265" w:rsidRDefault="00B82265">
      <w:pPr>
        <w:rPr>
          <w:rFonts w:ascii="Times New Roman" w:eastAsia="Times New Roman" w:hAnsi="Times New Roman" w:cs="Times New Roman"/>
          <w:sz w:val="24"/>
          <w:szCs w:val="24"/>
        </w:rPr>
      </w:pPr>
    </w:p>
    <w:p w14:paraId="6BEC820E" w14:textId="77777777" w:rsidR="00B82265" w:rsidRDefault="00B82265">
      <w:pPr>
        <w:rPr>
          <w:rFonts w:ascii="Times New Roman" w:eastAsia="Times New Roman" w:hAnsi="Times New Roman" w:cs="Times New Roman"/>
          <w:sz w:val="24"/>
          <w:szCs w:val="24"/>
        </w:rPr>
      </w:pPr>
    </w:p>
    <w:p w14:paraId="6B4637DD" w14:textId="77777777" w:rsidR="00B82265" w:rsidRDefault="00B82265">
      <w:pPr>
        <w:rPr>
          <w:rFonts w:ascii="Times New Roman" w:eastAsia="Times New Roman" w:hAnsi="Times New Roman" w:cs="Times New Roman"/>
          <w:sz w:val="24"/>
          <w:szCs w:val="24"/>
        </w:rPr>
      </w:pPr>
    </w:p>
    <w:p w14:paraId="7FD9FEF6" w14:textId="77777777" w:rsidR="00B82265" w:rsidRDefault="00B929DB">
      <w:pPr>
        <w:rPr>
          <w:rFonts w:ascii="Times New Roman" w:eastAsia="Times New Roman" w:hAnsi="Times New Roman" w:cs="Times New Roman"/>
          <w:b/>
          <w:sz w:val="24"/>
          <w:szCs w:val="24"/>
        </w:rPr>
      </w:pPr>
      <w:r>
        <w:br w:type="page"/>
      </w:r>
    </w:p>
    <w:p w14:paraId="69170FF0" w14:textId="77777777" w:rsidR="00B82265" w:rsidRDefault="00B929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14:paraId="34CB4BAC" w14:textId="77777777" w:rsidR="00B82265" w:rsidRDefault="00B82265">
      <w:pPr>
        <w:rPr>
          <w:rFonts w:ascii="Times New Roman" w:eastAsia="Times New Roman" w:hAnsi="Times New Roman" w:cs="Times New Roman"/>
          <w:sz w:val="24"/>
          <w:szCs w:val="24"/>
        </w:rPr>
      </w:pPr>
    </w:p>
    <w:p w14:paraId="7622C505"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Importance:</w:t>
      </w:r>
      <w:r>
        <w:rPr>
          <w:rFonts w:ascii="Times New Roman" w:eastAsia="Times New Roman" w:hAnsi="Times New Roman" w:cs="Times New Roman"/>
          <w:sz w:val="24"/>
          <w:szCs w:val="24"/>
        </w:rPr>
        <w:t xml:space="preserve"> FRAX</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is a fracture risk prediction tool for 10-year probability of major osteoporotic fracture (MOF) and hip fracture in the general population.  Whether FRAX is useful in individuals with cancer is uncertain.</w:t>
      </w:r>
    </w:p>
    <w:p w14:paraId="2EED5238"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Objective:</w:t>
      </w:r>
      <w:r>
        <w:rPr>
          <w:rFonts w:ascii="Times New Roman" w:eastAsia="Times New Roman" w:hAnsi="Times New Roman" w:cs="Times New Roman"/>
          <w:sz w:val="24"/>
          <w:szCs w:val="24"/>
        </w:rPr>
        <w:t xml:space="preserve"> To determine the performance of FRAX fo</w:t>
      </w:r>
      <w:r>
        <w:rPr>
          <w:rFonts w:ascii="Times New Roman" w:eastAsia="Times New Roman" w:hAnsi="Times New Roman" w:cs="Times New Roman"/>
          <w:sz w:val="24"/>
          <w:szCs w:val="24"/>
        </w:rPr>
        <w:t>r predicting incident fractures in individuals with cancer.</w:t>
      </w:r>
    </w:p>
    <w:p w14:paraId="6177FC7E"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Design:</w:t>
      </w:r>
      <w:r>
        <w:rPr>
          <w:rFonts w:ascii="Times New Roman" w:eastAsia="Times New Roman" w:hAnsi="Times New Roman" w:cs="Times New Roman"/>
          <w:sz w:val="24"/>
          <w:szCs w:val="24"/>
        </w:rPr>
        <w:t xml:space="preserve"> Observational cohort study</w:t>
      </w:r>
    </w:p>
    <w:p w14:paraId="531E58EC"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Setting: </w:t>
      </w:r>
      <w:r>
        <w:rPr>
          <w:rFonts w:ascii="Times New Roman" w:eastAsia="Times New Roman" w:hAnsi="Times New Roman" w:cs="Times New Roman"/>
          <w:sz w:val="24"/>
          <w:szCs w:val="24"/>
        </w:rPr>
        <w:t>Population-based</w:t>
      </w:r>
    </w:p>
    <w:p w14:paraId="4E4625D5"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Participants: </w:t>
      </w:r>
      <w:r>
        <w:rPr>
          <w:rFonts w:ascii="Times New Roman" w:eastAsia="Times New Roman" w:hAnsi="Times New Roman" w:cs="Times New Roman"/>
          <w:sz w:val="24"/>
          <w:szCs w:val="24"/>
        </w:rPr>
        <w:t>Residents of the Province of Manitoba, with and without cancer diagnosis (1987-2014) identified through the Manitoba Canc</w:t>
      </w:r>
      <w:r>
        <w:rPr>
          <w:rFonts w:ascii="Times New Roman" w:eastAsia="Times New Roman" w:hAnsi="Times New Roman" w:cs="Times New Roman"/>
          <w:sz w:val="24"/>
          <w:szCs w:val="24"/>
        </w:rPr>
        <w:t>er Registry</w:t>
      </w:r>
    </w:p>
    <w:p w14:paraId="74263CE2"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Predictor: </w:t>
      </w:r>
      <w:r>
        <w:rPr>
          <w:rFonts w:ascii="Times New Roman" w:eastAsia="Times New Roman" w:hAnsi="Times New Roman" w:cs="Times New Roman"/>
          <w:sz w:val="24"/>
          <w:szCs w:val="24"/>
        </w:rPr>
        <w:t xml:space="preserve">FRAX scores were computed for those with bone mineral density (BMD) results recorded in the Manitoba BMD Registry.  </w:t>
      </w:r>
    </w:p>
    <w:p w14:paraId="79FAA881"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Main outcome: </w:t>
      </w:r>
      <w:r>
        <w:rPr>
          <w:rFonts w:ascii="Times New Roman" w:eastAsia="Times New Roman" w:hAnsi="Times New Roman" w:cs="Times New Roman"/>
          <w:sz w:val="24"/>
          <w:szCs w:val="24"/>
        </w:rPr>
        <w:t>Incident fractures to March 31 20</w:t>
      </w:r>
      <w:r>
        <w:rPr>
          <w:rFonts w:ascii="Times New Roman" w:eastAsia="Times New Roman" w:hAnsi="Times New Roman" w:cs="Times New Roman"/>
          <w:sz w:val="24"/>
          <w:szCs w:val="24"/>
        </w:rPr>
        <w:t xml:space="preserve">21 were identified in population-based healthcare data.  </w:t>
      </w:r>
    </w:p>
    <w:p w14:paraId="201F4730"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The cancer cohort (N=9,877) was similar in age to the non-cancer cohort (N=45,877, mean 67.1 versus 66.2 years, respectively). Compared to individuals without cancer, those with cancer had </w:t>
      </w:r>
      <w:r>
        <w:rPr>
          <w:rFonts w:ascii="Times New Roman" w:eastAsia="Times New Roman" w:hAnsi="Times New Roman" w:cs="Times New Roman"/>
          <w:sz w:val="24"/>
          <w:szCs w:val="24"/>
        </w:rPr>
        <w:t>higher rates of incident MOF (14.5 versus 12.9 per 1000 person-years, p&lt;0.001) and hip fracture (4.2 versus 2.9 per 1000 person-years).  In the cancer cohort, FRAX with BMD strongly predicted incident MOF (HR per SD increase 1.73 (95% CI 1.63-1.84) and hip</w:t>
      </w:r>
      <w:r>
        <w:rPr>
          <w:rFonts w:ascii="Times New Roman" w:eastAsia="Times New Roman" w:hAnsi="Times New Roman" w:cs="Times New Roman"/>
          <w:sz w:val="24"/>
          <w:szCs w:val="24"/>
        </w:rPr>
        <w:t xml:space="preserve"> fracture (3.61, 95% CI 3.13-4.15). In the cancer cohort, calibration slopes for FRAX with BMD were 1.00 for and 0.97 for hip fracture prediction.</w:t>
      </w:r>
    </w:p>
    <w:p w14:paraId="6AFACCAF"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Conclusions and Relevance: </w:t>
      </w:r>
      <w:r>
        <w:rPr>
          <w:rFonts w:ascii="Times New Roman" w:eastAsia="Times New Roman" w:hAnsi="Times New Roman" w:cs="Times New Roman"/>
          <w:sz w:val="24"/>
          <w:szCs w:val="24"/>
        </w:rPr>
        <w:t>FRAX with BMD showed good stratification and calibration for predicting incident f</w:t>
      </w:r>
      <w:r>
        <w:rPr>
          <w:rFonts w:ascii="Times New Roman" w:eastAsia="Times New Roman" w:hAnsi="Times New Roman" w:cs="Times New Roman"/>
          <w:sz w:val="24"/>
          <w:szCs w:val="24"/>
        </w:rPr>
        <w:t>ractures in cancer patients and can be used reliably to predict fracture risk in individuals with cancer.</w:t>
      </w:r>
    </w:p>
    <w:p w14:paraId="328B4405" w14:textId="77777777" w:rsidR="00B82265" w:rsidRDefault="00B929DB">
      <w:pPr>
        <w:spacing w:line="480" w:lineRule="auto"/>
        <w:rPr>
          <w:rFonts w:ascii="Times New Roman" w:eastAsia="Times New Roman" w:hAnsi="Times New Roman" w:cs="Times New Roman"/>
          <w:sz w:val="24"/>
          <w:szCs w:val="24"/>
        </w:rPr>
      </w:pPr>
      <w:r>
        <w:br w:type="page"/>
      </w:r>
    </w:p>
    <w:p w14:paraId="23BD43C4"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p w14:paraId="2EDD88C7"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Cancer can adversely affect the skeleton, leading to decreases in bone mineral density (BMD), osteoporosis and non-metastatic fracture</w:t>
      </w:r>
      <w:r>
        <w:rPr>
          <w:rFonts w:ascii="Times New Roman" w:eastAsia="Times New Roman" w:hAnsi="Times New Roman" w:cs="Times New Roman"/>
          <w:sz w:val="24"/>
          <w:szCs w:val="24"/>
        </w:rPr>
        <w:t xml:space="preserve">s </w:t>
      </w:r>
      <w:hyperlink r:id="rId6">
        <w:r>
          <w:rPr>
            <w:rFonts w:ascii="Times New Roman" w:eastAsia="Times New Roman" w:hAnsi="Times New Roman" w:cs="Times New Roman"/>
            <w:color w:val="000000"/>
            <w:sz w:val="24"/>
            <w:szCs w:val="24"/>
            <w:vertAlign w:val="superscript"/>
          </w:rPr>
          <w:t>1</w:t>
        </w:r>
      </w:hyperlink>
      <w:r>
        <w:rPr>
          <w:rFonts w:ascii="Times New Roman" w:eastAsia="Times New Roman" w:hAnsi="Times New Roman" w:cs="Times New Roman"/>
          <w:sz w:val="24"/>
          <w:szCs w:val="24"/>
        </w:rPr>
        <w:t>. Cancer treatments, including treatment regimens with glucocorticoids, hormone deprivation therapies, immunomodulatory therapies, surgical treatments such as gastrectomy and hysterectomy with bila</w:t>
      </w:r>
      <w:r>
        <w:rPr>
          <w:rFonts w:ascii="Times New Roman" w:eastAsia="Times New Roman" w:hAnsi="Times New Roman" w:cs="Times New Roman"/>
          <w:sz w:val="24"/>
          <w:szCs w:val="24"/>
        </w:rPr>
        <w:t xml:space="preserve">teral salpingo-oophorectomy, and radiation therapy, can also increase fracture risk </w:t>
      </w:r>
      <w:hyperlink r:id="rId7">
        <w:r>
          <w:rPr>
            <w:rFonts w:ascii="Times New Roman" w:eastAsia="Times New Roman" w:hAnsi="Times New Roman" w:cs="Times New Roman"/>
            <w:color w:val="000000"/>
            <w:sz w:val="24"/>
            <w:szCs w:val="24"/>
            <w:vertAlign w:val="superscript"/>
          </w:rPr>
          <w:t>1–7</w:t>
        </w:r>
      </w:hyperlink>
      <w:r>
        <w:rPr>
          <w:rFonts w:ascii="Times New Roman" w:eastAsia="Times New Roman" w:hAnsi="Times New Roman" w:cs="Times New Roman"/>
          <w:sz w:val="24"/>
          <w:szCs w:val="24"/>
        </w:rPr>
        <w:t xml:space="preserve">. </w:t>
      </w:r>
    </w:p>
    <w:p w14:paraId="03D4F437"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cancer tends to affect an older population, bone loss in people wit</w:t>
      </w:r>
      <w:r>
        <w:rPr>
          <w:rFonts w:ascii="Times New Roman" w:eastAsia="Times New Roman" w:hAnsi="Times New Roman" w:cs="Times New Roman"/>
          <w:sz w:val="24"/>
          <w:szCs w:val="24"/>
        </w:rPr>
        <w:t xml:space="preserve">h cancer is higher compared with the general population even after adjusting for age </w:t>
      </w:r>
      <w:hyperlink r:id="rId8">
        <w:r>
          <w:rPr>
            <w:rFonts w:ascii="Times New Roman" w:eastAsia="Times New Roman" w:hAnsi="Times New Roman" w:cs="Times New Roman"/>
            <w:color w:val="000000"/>
            <w:sz w:val="24"/>
            <w:szCs w:val="24"/>
            <w:vertAlign w:val="superscript"/>
          </w:rPr>
          <w:t>8</w:t>
        </w:r>
      </w:hyperlink>
      <w:r>
        <w:rPr>
          <w:rFonts w:ascii="Times New Roman" w:eastAsia="Times New Roman" w:hAnsi="Times New Roman" w:cs="Times New Roman"/>
          <w:sz w:val="24"/>
          <w:szCs w:val="24"/>
        </w:rPr>
        <w:t xml:space="preserve">. Additionally, individuals with cancer are at higher risk of falls than those without cancer </w:t>
      </w:r>
      <w:hyperlink r:id="rId9">
        <w:r>
          <w:rPr>
            <w:rFonts w:ascii="Times New Roman" w:eastAsia="Times New Roman" w:hAnsi="Times New Roman" w:cs="Times New Roman"/>
            <w:color w:val="000000"/>
            <w:sz w:val="24"/>
            <w:szCs w:val="24"/>
            <w:vertAlign w:val="superscript"/>
          </w:rPr>
          <w:t>9</w:t>
        </w:r>
      </w:hyperlink>
      <w:r>
        <w:rPr>
          <w:rFonts w:ascii="Times New Roman" w:eastAsia="Times New Roman" w:hAnsi="Times New Roman" w:cs="Times New Roman"/>
          <w:sz w:val="24"/>
          <w:szCs w:val="24"/>
        </w:rPr>
        <w:t>.  Fractures in individuals with cancer lead to approximately 2.5 times increased risk of mortality within the first year after a major osteoporotic fracture (MOF) and 3.5 times increased risk of mortality after a hip f</w:t>
      </w:r>
      <w:r>
        <w:rPr>
          <w:rFonts w:ascii="Times New Roman" w:eastAsia="Times New Roman" w:hAnsi="Times New Roman" w:cs="Times New Roman"/>
          <w:sz w:val="24"/>
          <w:szCs w:val="24"/>
        </w:rPr>
        <w:t xml:space="preserve">racture </w:t>
      </w:r>
      <w:hyperlink r:id="rId10">
        <w:r>
          <w:rPr>
            <w:rFonts w:ascii="Times New Roman" w:eastAsia="Times New Roman" w:hAnsi="Times New Roman" w:cs="Times New Roman"/>
            <w:color w:val="000000"/>
            <w:sz w:val="24"/>
            <w:szCs w:val="24"/>
            <w:vertAlign w:val="superscript"/>
          </w:rPr>
          <w:t>10</w:t>
        </w:r>
      </w:hyperlink>
      <w:r>
        <w:rPr>
          <w:rFonts w:ascii="Times New Roman" w:eastAsia="Times New Roman" w:hAnsi="Times New Roman" w:cs="Times New Roman"/>
          <w:sz w:val="24"/>
          <w:szCs w:val="24"/>
        </w:rPr>
        <w:t>. Despite being at high risk of osteoporosis and fracture, cancer patients with fractures are rarely assessed or treated for osteoporosis with only 11% of cancer survivors receiving BMD test</w:t>
      </w:r>
      <w:r>
        <w:rPr>
          <w:rFonts w:ascii="Times New Roman" w:eastAsia="Times New Roman" w:hAnsi="Times New Roman" w:cs="Times New Roman"/>
          <w:sz w:val="24"/>
          <w:szCs w:val="24"/>
        </w:rPr>
        <w:t xml:space="preserve">ing and 23% receiving osteoporosis treatment within a year of an MOF </w:t>
      </w:r>
      <w:hyperlink r:id="rId11">
        <w:r>
          <w:rPr>
            <w:rFonts w:ascii="Times New Roman" w:eastAsia="Times New Roman" w:hAnsi="Times New Roman" w:cs="Times New Roman"/>
            <w:color w:val="000000"/>
            <w:sz w:val="24"/>
            <w:szCs w:val="24"/>
            <w:vertAlign w:val="superscript"/>
          </w:rPr>
          <w:t>11</w:t>
        </w:r>
      </w:hyperlink>
      <w:r>
        <w:rPr>
          <w:rFonts w:ascii="Times New Roman" w:eastAsia="Times New Roman" w:hAnsi="Times New Roman" w:cs="Times New Roman"/>
          <w:sz w:val="24"/>
          <w:szCs w:val="24"/>
        </w:rPr>
        <w:t xml:space="preserve">. </w:t>
      </w:r>
    </w:p>
    <w:p w14:paraId="1BA9A51E"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Osteoporosis treatment has shifted away from using BMD alone to determine osteoporosis treatment as most fractures occur in in</w:t>
      </w:r>
      <w:r>
        <w:rPr>
          <w:rFonts w:ascii="Times New Roman" w:eastAsia="Times New Roman" w:hAnsi="Times New Roman" w:cs="Times New Roman"/>
          <w:sz w:val="24"/>
          <w:szCs w:val="24"/>
        </w:rPr>
        <w:t xml:space="preserve">dividuals with BMD above the threshold for osteoporosis (T-score -2.5) </w:t>
      </w:r>
      <w:hyperlink r:id="rId12">
        <w:r>
          <w:rPr>
            <w:rFonts w:ascii="Times New Roman" w:eastAsia="Times New Roman" w:hAnsi="Times New Roman" w:cs="Times New Roman"/>
            <w:color w:val="000000"/>
            <w:sz w:val="24"/>
            <w:szCs w:val="24"/>
            <w:vertAlign w:val="superscript"/>
          </w:rPr>
          <w:t>12</w:t>
        </w:r>
      </w:hyperlink>
      <w:r>
        <w:rPr>
          <w:rFonts w:ascii="Times New Roman" w:eastAsia="Times New Roman" w:hAnsi="Times New Roman" w:cs="Times New Roman"/>
          <w:sz w:val="24"/>
          <w:szCs w:val="24"/>
        </w:rPr>
        <w:t>. Current guidelines, including cancer-specific guidelines, now recommend treatment thresholds based on an individual's absolute fracture risk using a fracture risk assessment tool such as FRAX</w:t>
      </w: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w:t>
      </w:r>
      <w:hyperlink r:id="rId13">
        <w:r>
          <w:rPr>
            <w:rFonts w:ascii="Times New Roman" w:eastAsia="Times New Roman" w:hAnsi="Times New Roman" w:cs="Times New Roman"/>
            <w:color w:val="000000"/>
            <w:sz w:val="24"/>
            <w:szCs w:val="24"/>
            <w:vertAlign w:val="superscript"/>
          </w:rPr>
          <w:t>13–16</w:t>
        </w:r>
      </w:hyperlink>
      <w:r>
        <w:rPr>
          <w:rFonts w:ascii="Times New Roman" w:eastAsia="Times New Roman" w:hAnsi="Times New Roman" w:cs="Times New Roman"/>
          <w:sz w:val="24"/>
          <w:szCs w:val="24"/>
        </w:rPr>
        <w:t>. FRAX (</w:t>
      </w:r>
      <w:hyperlink r:id="rId14">
        <w:r>
          <w:rPr>
            <w:rFonts w:ascii="Times New Roman" w:eastAsia="Times New Roman" w:hAnsi="Times New Roman" w:cs="Times New Roman"/>
            <w:color w:val="1155CC"/>
            <w:sz w:val="24"/>
            <w:szCs w:val="24"/>
            <w:u w:val="single"/>
          </w:rPr>
          <w:t>http://www.sheffield.ac.uk/FRAX/</w:t>
        </w:r>
      </w:hyperlink>
      <w:r>
        <w:rPr>
          <w:rFonts w:ascii="Times New Roman" w:eastAsia="Times New Roman" w:hAnsi="Times New Roman" w:cs="Times New Roman"/>
          <w:sz w:val="24"/>
          <w:szCs w:val="24"/>
        </w:rPr>
        <w:t xml:space="preserve">) is the most commonly used and widely validated fracture prediction tool worldwide </w:t>
      </w:r>
      <w:hyperlink r:id="rId15">
        <w:r>
          <w:rPr>
            <w:rFonts w:ascii="Times New Roman" w:eastAsia="Times New Roman" w:hAnsi="Times New Roman" w:cs="Times New Roman"/>
            <w:color w:val="000000"/>
            <w:sz w:val="24"/>
            <w:szCs w:val="24"/>
            <w:vertAlign w:val="superscript"/>
          </w:rPr>
          <w:t>17</w:t>
        </w:r>
      </w:hyperlink>
      <w:r>
        <w:rPr>
          <w:rFonts w:ascii="Times New Roman" w:eastAsia="Times New Roman" w:hAnsi="Times New Roman" w:cs="Times New Roman"/>
          <w:sz w:val="24"/>
          <w:szCs w:val="24"/>
        </w:rPr>
        <w:t>. Wh</w:t>
      </w:r>
      <w:r>
        <w:rPr>
          <w:rFonts w:ascii="Times New Roman" w:eastAsia="Times New Roman" w:hAnsi="Times New Roman" w:cs="Times New Roman"/>
          <w:sz w:val="24"/>
          <w:szCs w:val="24"/>
        </w:rPr>
        <w:t>ile FRAX includes multiple clinical risk factors, cancer and cancer treatments are not specific inputs.  While guidelines recommend fracture risk assessment in individuals with cancer, no fracture risk calculators have been validated in a mixed cancer popu</w:t>
      </w:r>
      <w:r>
        <w:rPr>
          <w:rFonts w:ascii="Times New Roman" w:eastAsia="Times New Roman" w:hAnsi="Times New Roman" w:cs="Times New Roman"/>
          <w:sz w:val="24"/>
          <w:szCs w:val="24"/>
        </w:rPr>
        <w:t xml:space="preserve">lation.  Given uncertainty in the </w:t>
      </w:r>
      <w:r>
        <w:rPr>
          <w:rFonts w:ascii="Times New Roman" w:eastAsia="Times New Roman" w:hAnsi="Times New Roman" w:cs="Times New Roman"/>
          <w:sz w:val="24"/>
          <w:szCs w:val="24"/>
        </w:rPr>
        <w:lastRenderedPageBreak/>
        <w:t>applicability of FRAX to individuals with cancer and the lack of other validated tools in these individuals, we examined the performance of FRAX in a mixed cancer population as well as in specific cancer types.</w:t>
      </w:r>
    </w:p>
    <w:p w14:paraId="56304025" w14:textId="77777777" w:rsidR="00B82265" w:rsidRDefault="00B82265">
      <w:pPr>
        <w:spacing w:line="480" w:lineRule="auto"/>
        <w:rPr>
          <w:rFonts w:ascii="Times New Roman" w:eastAsia="Times New Roman" w:hAnsi="Times New Roman" w:cs="Times New Roman"/>
          <w:sz w:val="24"/>
          <w:szCs w:val="24"/>
        </w:rPr>
      </w:pPr>
    </w:p>
    <w:p w14:paraId="1419B9E4"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METHODS:</w:t>
      </w:r>
    </w:p>
    <w:p w14:paraId="39FD0944" w14:textId="77777777" w:rsidR="00B82265" w:rsidRDefault="00B929DB">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D</w:t>
      </w:r>
      <w:r>
        <w:rPr>
          <w:rFonts w:ascii="Times New Roman" w:eastAsia="Times New Roman" w:hAnsi="Times New Roman" w:cs="Times New Roman"/>
          <w:i/>
          <w:sz w:val="24"/>
          <w:szCs w:val="24"/>
        </w:rPr>
        <w:t>ata sources</w:t>
      </w:r>
    </w:p>
    <w:p w14:paraId="3B593A57"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performed a retrospective cohort study using population-level health care administrative databases from the Canadian province of Manitoba. Manitoba is Canada's fifth most populous province with a population of 1.41 million in 2022 </w:t>
      </w:r>
      <w:hyperlink r:id="rId16">
        <w:r>
          <w:rPr>
            <w:rFonts w:ascii="Times New Roman" w:eastAsia="Times New Roman" w:hAnsi="Times New Roman" w:cs="Times New Roman"/>
            <w:color w:val="000000"/>
            <w:sz w:val="24"/>
            <w:szCs w:val="24"/>
            <w:vertAlign w:val="superscript"/>
          </w:rPr>
          <w:t>18</w:t>
        </w:r>
      </w:hyperlink>
      <w:r>
        <w:rPr>
          <w:rFonts w:ascii="Times New Roman" w:eastAsia="Times New Roman" w:hAnsi="Times New Roman" w:cs="Times New Roman"/>
          <w:sz w:val="24"/>
          <w:szCs w:val="24"/>
        </w:rPr>
        <w:t xml:space="preserve">. Health services are provided to nearly all residents in Manitoba through a single public healthcare system </w:t>
      </w:r>
      <w:hyperlink r:id="rId17">
        <w:r>
          <w:rPr>
            <w:rFonts w:ascii="Times New Roman" w:eastAsia="Times New Roman" w:hAnsi="Times New Roman" w:cs="Times New Roman"/>
            <w:color w:val="000000"/>
            <w:sz w:val="24"/>
            <w:szCs w:val="24"/>
            <w:vertAlign w:val="superscript"/>
          </w:rPr>
          <w:t>19</w:t>
        </w:r>
      </w:hyperlink>
      <w:r>
        <w:rPr>
          <w:rFonts w:ascii="Times New Roman" w:eastAsia="Times New Roman" w:hAnsi="Times New Roman" w:cs="Times New Roman"/>
          <w:sz w:val="24"/>
          <w:szCs w:val="24"/>
        </w:rPr>
        <w:t>. All Manitoba residents are assigned a u</w:t>
      </w:r>
      <w:r>
        <w:rPr>
          <w:rFonts w:ascii="Times New Roman" w:eastAsia="Times New Roman" w:hAnsi="Times New Roman" w:cs="Times New Roman"/>
          <w:sz w:val="24"/>
          <w:szCs w:val="24"/>
        </w:rPr>
        <w:t>nique personal health identification number, which can be used to link their health care utilization and outcomes data within the various provincial administrative databases. Patient demographics were obtained from the provincial registration database, a l</w:t>
      </w:r>
      <w:r>
        <w:rPr>
          <w:rFonts w:ascii="Times New Roman" w:eastAsia="Times New Roman" w:hAnsi="Times New Roman" w:cs="Times New Roman"/>
          <w:sz w:val="24"/>
          <w:szCs w:val="24"/>
        </w:rPr>
        <w:t>ist of individuals eligible for health care coverage in Manitoba. Cancer diagnosis dates were obtained from the Manitoba Cancer Registry (MCR) which maintains a record of all cancers diagnosed in the province since 1956. As a member of the North American A</w:t>
      </w:r>
      <w:r>
        <w:rPr>
          <w:rFonts w:ascii="Times New Roman" w:eastAsia="Times New Roman" w:hAnsi="Times New Roman" w:cs="Times New Roman"/>
          <w:sz w:val="24"/>
          <w:szCs w:val="24"/>
        </w:rPr>
        <w:t xml:space="preserve">ssociation of Central Cancer Registries and the Canadian Cancer Registry, the MCR is regularly audited for accurate coding cancer data </w:t>
      </w:r>
      <w:hyperlink r:id="rId18">
        <w:r>
          <w:rPr>
            <w:rFonts w:ascii="Times New Roman" w:eastAsia="Times New Roman" w:hAnsi="Times New Roman" w:cs="Times New Roman"/>
            <w:color w:val="000000"/>
            <w:sz w:val="24"/>
            <w:szCs w:val="24"/>
            <w:vertAlign w:val="superscript"/>
          </w:rPr>
          <w:t>20,21</w:t>
        </w:r>
      </w:hyperlink>
      <w:r>
        <w:rPr>
          <w:rFonts w:ascii="Times New Roman" w:eastAsia="Times New Roman" w:hAnsi="Times New Roman" w:cs="Times New Roman"/>
          <w:sz w:val="24"/>
          <w:szCs w:val="24"/>
        </w:rPr>
        <w:t xml:space="preserve"> and has been shown to have very high levels of report</w:t>
      </w:r>
      <w:r>
        <w:rPr>
          <w:rFonts w:ascii="Times New Roman" w:eastAsia="Times New Roman" w:hAnsi="Times New Roman" w:cs="Times New Roman"/>
          <w:sz w:val="24"/>
          <w:szCs w:val="24"/>
        </w:rPr>
        <w:t xml:space="preserve">ing completeness and accuracy, including histologic verification </w:t>
      </w:r>
      <w:hyperlink r:id="rId19">
        <w:r>
          <w:rPr>
            <w:rFonts w:ascii="Times New Roman" w:eastAsia="Times New Roman" w:hAnsi="Times New Roman" w:cs="Times New Roman"/>
            <w:color w:val="000000"/>
            <w:sz w:val="24"/>
            <w:szCs w:val="24"/>
            <w:vertAlign w:val="superscript"/>
          </w:rPr>
          <w:t>22</w:t>
        </w:r>
      </w:hyperlink>
      <w:r>
        <w:rPr>
          <w:rFonts w:ascii="Times New Roman" w:eastAsia="Times New Roman" w:hAnsi="Times New Roman" w:cs="Times New Roman"/>
          <w:sz w:val="24"/>
          <w:szCs w:val="24"/>
        </w:rPr>
        <w:t>.</w:t>
      </w:r>
    </w:p>
    <w:p w14:paraId="691FDDC4"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BMD data were obtained from the Manitoba BMD Program which oversees all clinical BMD testing in the province and maintains a databa</w:t>
      </w:r>
      <w:r>
        <w:rPr>
          <w:rFonts w:ascii="Times New Roman" w:eastAsia="Times New Roman" w:hAnsi="Times New Roman" w:cs="Times New Roman"/>
          <w:sz w:val="24"/>
          <w:szCs w:val="24"/>
        </w:rPr>
        <w:t xml:space="preserve">se of all dual-energy X-ray absorptiometry (DXA) results.  This population-based database has been shown to be nearly 100% complete and accurate </w:t>
      </w:r>
      <w:hyperlink r:id="rId20">
        <w:r>
          <w:rPr>
            <w:rFonts w:ascii="Times New Roman" w:eastAsia="Times New Roman" w:hAnsi="Times New Roman" w:cs="Times New Roman"/>
            <w:color w:val="000000"/>
            <w:sz w:val="24"/>
            <w:szCs w:val="24"/>
            <w:vertAlign w:val="superscript"/>
          </w:rPr>
          <w:t>23</w:t>
        </w:r>
      </w:hyperlink>
      <w:r>
        <w:rPr>
          <w:rFonts w:ascii="Times New Roman" w:eastAsia="Times New Roman" w:hAnsi="Times New Roman" w:cs="Times New Roman"/>
          <w:sz w:val="24"/>
          <w:szCs w:val="24"/>
        </w:rPr>
        <w:t xml:space="preserve">. </w:t>
      </w:r>
    </w:p>
    <w:p w14:paraId="068B90F5"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Information</w:t>
      </w:r>
      <w:r>
        <w:rPr>
          <w:rFonts w:ascii="Times New Roman" w:eastAsia="Times New Roman" w:hAnsi="Times New Roman" w:cs="Times New Roman"/>
          <w:sz w:val="24"/>
          <w:szCs w:val="24"/>
        </w:rPr>
        <w:t xml:space="preserve"> on healthcare visits, procedures, along with diagnosis codes were obtained from physician claims and hospital discharge databases and linked to the BMD database. Physician billing claims used International Classification of Diseases, Ninth Revision, Clini</w:t>
      </w:r>
      <w:r>
        <w:rPr>
          <w:rFonts w:ascii="Times New Roman" w:eastAsia="Times New Roman" w:hAnsi="Times New Roman" w:cs="Times New Roman"/>
          <w:sz w:val="24"/>
          <w:szCs w:val="24"/>
        </w:rPr>
        <w:t>cal Modification [ICD-9-CM] codes and hospital discharge abstracts used the ICD-9-CM prior to 2004 and International Classification of Diseases, Tenth Revision, Canadian Enhancements [ICD-10-CA] after 2004. Medication use was ascertained from the provincia</w:t>
      </w:r>
      <w:r>
        <w:rPr>
          <w:rFonts w:ascii="Times New Roman" w:eastAsia="Times New Roman" w:hAnsi="Times New Roman" w:cs="Times New Roman"/>
          <w:sz w:val="24"/>
          <w:szCs w:val="24"/>
        </w:rPr>
        <w:t xml:space="preserve">l pharmacy database which records all medications dispensed in the outpatient setting </w:t>
      </w:r>
      <w:hyperlink r:id="rId21">
        <w:r>
          <w:rPr>
            <w:rFonts w:ascii="Times New Roman" w:eastAsia="Times New Roman" w:hAnsi="Times New Roman" w:cs="Times New Roman"/>
            <w:color w:val="000000"/>
            <w:sz w:val="24"/>
            <w:szCs w:val="24"/>
            <w:vertAlign w:val="superscript"/>
          </w:rPr>
          <w:t>24</w:t>
        </w:r>
      </w:hyperlink>
      <w:r>
        <w:rPr>
          <w:rFonts w:ascii="Times New Roman" w:eastAsia="Times New Roman" w:hAnsi="Times New Roman" w:cs="Times New Roman"/>
          <w:sz w:val="24"/>
          <w:szCs w:val="24"/>
        </w:rPr>
        <w:t>. Deaths were ascertained from the Vital Statistic registry, which records all births and deaths that take place</w:t>
      </w:r>
      <w:r>
        <w:rPr>
          <w:rFonts w:ascii="Times New Roman" w:eastAsia="Times New Roman" w:hAnsi="Times New Roman" w:cs="Times New Roman"/>
          <w:sz w:val="24"/>
          <w:szCs w:val="24"/>
        </w:rPr>
        <w:t xml:space="preserve"> in Manitoba </w:t>
      </w:r>
      <w:hyperlink r:id="rId22">
        <w:r>
          <w:rPr>
            <w:rFonts w:ascii="Times New Roman" w:eastAsia="Times New Roman" w:hAnsi="Times New Roman" w:cs="Times New Roman"/>
            <w:color w:val="000000"/>
            <w:sz w:val="24"/>
            <w:szCs w:val="24"/>
            <w:vertAlign w:val="superscript"/>
          </w:rPr>
          <w:t>25</w:t>
        </w:r>
      </w:hyperlink>
      <w:r>
        <w:rPr>
          <w:rFonts w:ascii="Times New Roman" w:eastAsia="Times New Roman" w:hAnsi="Times New Roman" w:cs="Times New Roman"/>
          <w:sz w:val="24"/>
          <w:szCs w:val="24"/>
        </w:rPr>
        <w:t>.</w:t>
      </w:r>
    </w:p>
    <w:p w14:paraId="3344B7EF"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was approved by the Health Research Ethics Board for the University of Manitoba and Manitoba’s Health Information Privacy Committee and CancerCare Manitoba Research Resource</w:t>
      </w:r>
      <w:r>
        <w:rPr>
          <w:rFonts w:ascii="Times New Roman" w:eastAsia="Times New Roman" w:hAnsi="Times New Roman" w:cs="Times New Roman"/>
          <w:sz w:val="24"/>
          <w:szCs w:val="24"/>
        </w:rPr>
        <w:t xml:space="preserve"> Impact Committee.</w:t>
      </w:r>
    </w:p>
    <w:p w14:paraId="6E5116C0" w14:textId="77777777" w:rsidR="00B82265" w:rsidRDefault="00B82265">
      <w:pPr>
        <w:spacing w:line="480" w:lineRule="auto"/>
        <w:rPr>
          <w:rFonts w:ascii="Times New Roman" w:eastAsia="Times New Roman" w:hAnsi="Times New Roman" w:cs="Times New Roman"/>
          <w:sz w:val="24"/>
          <w:szCs w:val="24"/>
        </w:rPr>
      </w:pPr>
    </w:p>
    <w:p w14:paraId="37E2B62B" w14:textId="77777777" w:rsidR="00B82265" w:rsidRDefault="00B929DB">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Study population</w:t>
      </w:r>
    </w:p>
    <w:p w14:paraId="0F735130"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started by identifying all Manitoba residents aged 18 years or older with first cancer diagnoses other than nonmelanoma skin cancer between 1987 and 2014 from the MCR. Date of cancer diagnosis was defined as recorded</w:t>
      </w:r>
      <w:r>
        <w:rPr>
          <w:rFonts w:ascii="Times New Roman" w:eastAsia="Times New Roman" w:hAnsi="Times New Roman" w:cs="Times New Roman"/>
          <w:sz w:val="24"/>
          <w:szCs w:val="24"/>
        </w:rPr>
        <w:t xml:space="preserve"> in the MCR.  Each individual with cancer was matched to up to 4 individuals without cancer by age (within 5 years), sex, and area of residence on the date of cancer diagnosis (index date) based on postal codes </w:t>
      </w:r>
      <w:hyperlink r:id="rId23">
        <w:r>
          <w:rPr>
            <w:rFonts w:ascii="Times New Roman" w:eastAsia="Times New Roman" w:hAnsi="Times New Roman" w:cs="Times New Roman"/>
            <w:color w:val="000000"/>
            <w:sz w:val="24"/>
            <w:szCs w:val="24"/>
            <w:vertAlign w:val="superscript"/>
          </w:rPr>
          <w:t>26</w:t>
        </w:r>
      </w:hyperlink>
      <w:r>
        <w:rPr>
          <w:rFonts w:ascii="Times New Roman" w:eastAsia="Times New Roman" w:hAnsi="Times New Roman" w:cs="Times New Roman"/>
          <w:sz w:val="24"/>
          <w:szCs w:val="24"/>
        </w:rPr>
        <w:t xml:space="preserve">. In order to compute FRAX scores and have adequate observation time for assessing fracture outcomes, we restricted our analysis to those aged 40 years and older who had DXA testing after the index date as recorded in the Manitoba BMD Program </w:t>
      </w:r>
      <w:r>
        <w:rPr>
          <w:rFonts w:ascii="Times New Roman" w:eastAsia="Times New Roman" w:hAnsi="Times New Roman" w:cs="Times New Roman"/>
          <w:sz w:val="24"/>
          <w:szCs w:val="24"/>
        </w:rPr>
        <w:t xml:space="preserve">database between January 1, 1995 and March 31, 2016. </w:t>
      </w:r>
    </w:p>
    <w:p w14:paraId="55FE4F71" w14:textId="77777777" w:rsidR="00B82265" w:rsidRDefault="00B82265">
      <w:pPr>
        <w:spacing w:line="480" w:lineRule="auto"/>
        <w:rPr>
          <w:rFonts w:ascii="Times New Roman" w:eastAsia="Times New Roman" w:hAnsi="Times New Roman" w:cs="Times New Roman"/>
          <w:sz w:val="24"/>
          <w:szCs w:val="24"/>
        </w:rPr>
      </w:pPr>
    </w:p>
    <w:p w14:paraId="183A73F3"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lastRenderedPageBreak/>
        <w:t>Fracture assessment</w:t>
      </w:r>
    </w:p>
    <w:p w14:paraId="157EF936"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Incident fractures were ascertained from hospital discharge abstracts and physician billing claims ICD-9-CM and ICD-10-CA codes up to March 31 2021 using previously validated fractu</w:t>
      </w:r>
      <w:r>
        <w:rPr>
          <w:rFonts w:ascii="Times New Roman" w:eastAsia="Times New Roman" w:hAnsi="Times New Roman" w:cs="Times New Roman"/>
          <w:sz w:val="24"/>
          <w:szCs w:val="24"/>
        </w:rPr>
        <w:t xml:space="preserve">re site specific algorithms </w:t>
      </w:r>
      <w:hyperlink r:id="rId24">
        <w:r>
          <w:rPr>
            <w:rFonts w:ascii="Times New Roman" w:eastAsia="Times New Roman" w:hAnsi="Times New Roman" w:cs="Times New Roman"/>
            <w:color w:val="000000"/>
            <w:sz w:val="24"/>
            <w:szCs w:val="24"/>
            <w:vertAlign w:val="superscript"/>
          </w:rPr>
          <w:t>27</w:t>
        </w:r>
      </w:hyperlink>
      <w:r>
        <w:rPr>
          <w:rFonts w:ascii="Times New Roman" w:eastAsia="Times New Roman" w:hAnsi="Times New Roman" w:cs="Times New Roman"/>
          <w:sz w:val="24"/>
          <w:szCs w:val="24"/>
        </w:rPr>
        <w:t>. Site specific fracture definitions employed in this study have been adopted for national surveillance and have been radiologically validated in fracture and non-fractur</w:t>
      </w:r>
      <w:r>
        <w:rPr>
          <w:rFonts w:ascii="Times New Roman" w:eastAsia="Times New Roman" w:hAnsi="Times New Roman" w:cs="Times New Roman"/>
          <w:sz w:val="24"/>
          <w:szCs w:val="24"/>
        </w:rPr>
        <w:t xml:space="preserve">e cases from the Manitoba BMD Program database </w:t>
      </w:r>
      <w:hyperlink r:id="rId25">
        <w:r>
          <w:rPr>
            <w:rFonts w:ascii="Times New Roman" w:eastAsia="Times New Roman" w:hAnsi="Times New Roman" w:cs="Times New Roman"/>
            <w:color w:val="000000"/>
            <w:sz w:val="24"/>
            <w:szCs w:val="24"/>
            <w:vertAlign w:val="superscript"/>
          </w:rPr>
          <w:t>28,29</w:t>
        </w:r>
      </w:hyperlink>
      <w:r>
        <w:rPr>
          <w:rFonts w:ascii="Times New Roman" w:eastAsia="Times New Roman" w:hAnsi="Times New Roman" w:cs="Times New Roman"/>
          <w:sz w:val="24"/>
          <w:szCs w:val="24"/>
        </w:rPr>
        <w:t>. Hip, clinical vertebral, forearm, and humerus fracture diagnostic codes were collectively designated major osteoporotic fractures (MOF).  Fr</w:t>
      </w:r>
      <w:r>
        <w:rPr>
          <w:rFonts w:ascii="Times New Roman" w:eastAsia="Times New Roman" w:hAnsi="Times New Roman" w:cs="Times New Roman"/>
          <w:sz w:val="24"/>
          <w:szCs w:val="24"/>
        </w:rPr>
        <w:t xml:space="preserve">acture date was defined as the date of the first clinical encounter for the first fracture occurring after cancer diagnosis. </w:t>
      </w:r>
    </w:p>
    <w:p w14:paraId="432B4E7B" w14:textId="77777777" w:rsidR="00B82265" w:rsidRDefault="00B82265">
      <w:pPr>
        <w:spacing w:line="480" w:lineRule="auto"/>
        <w:rPr>
          <w:rFonts w:ascii="Times New Roman" w:eastAsia="Times New Roman" w:hAnsi="Times New Roman" w:cs="Times New Roman"/>
          <w:sz w:val="24"/>
          <w:szCs w:val="24"/>
        </w:rPr>
      </w:pPr>
    </w:p>
    <w:p w14:paraId="6F6E918F" w14:textId="77777777" w:rsidR="00B82265" w:rsidRDefault="00B929DB">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Fracture probability assessment</w:t>
      </w:r>
    </w:p>
    <w:p w14:paraId="7FD302B9"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Ten-year probabilities of MOF and hip fracture were calculated for each individual using the coun</w:t>
      </w:r>
      <w:r>
        <w:rPr>
          <w:rFonts w:ascii="Times New Roman" w:eastAsia="Times New Roman" w:hAnsi="Times New Roman" w:cs="Times New Roman"/>
          <w:sz w:val="24"/>
          <w:szCs w:val="24"/>
        </w:rPr>
        <w:t xml:space="preserve">try-specific (Canadian) FRAX tool (FRAX Desktop Multi-Patient Entry version 3.8) </w:t>
      </w:r>
      <w:hyperlink r:id="rId26">
        <w:r>
          <w:rPr>
            <w:rFonts w:ascii="Times New Roman" w:eastAsia="Times New Roman" w:hAnsi="Times New Roman" w:cs="Times New Roman"/>
            <w:color w:val="000000"/>
            <w:sz w:val="24"/>
            <w:szCs w:val="24"/>
            <w:vertAlign w:val="superscript"/>
          </w:rPr>
          <w:t>30</w:t>
        </w:r>
      </w:hyperlink>
      <w:r>
        <w:rPr>
          <w:rFonts w:ascii="Times New Roman" w:eastAsia="Times New Roman" w:hAnsi="Times New Roman" w:cs="Times New Roman"/>
          <w:sz w:val="24"/>
          <w:szCs w:val="24"/>
        </w:rPr>
        <w:t xml:space="preserve">. Clinical risk factors included in the FRAX tool were collected as previously described </w:t>
      </w:r>
      <w:hyperlink r:id="rId27">
        <w:r>
          <w:rPr>
            <w:rFonts w:ascii="Times New Roman" w:eastAsia="Times New Roman" w:hAnsi="Times New Roman" w:cs="Times New Roman"/>
            <w:color w:val="000000"/>
            <w:sz w:val="24"/>
            <w:szCs w:val="24"/>
            <w:vertAlign w:val="superscript"/>
          </w:rPr>
          <w:t>31</w:t>
        </w:r>
      </w:hyperlink>
      <w:r>
        <w:rPr>
          <w:rFonts w:ascii="Times New Roman" w:eastAsia="Times New Roman" w:hAnsi="Times New Roman" w:cs="Times New Roman"/>
          <w:sz w:val="24"/>
          <w:szCs w:val="24"/>
        </w:rPr>
        <w:t>. Briefly, weight and height were measured at the time of DXA. Other data required for FRAX calculation were assessed from information collected directly from individuals through the intake questionnaire at the time of each DX</w:t>
      </w:r>
      <w:r>
        <w:rPr>
          <w:rFonts w:ascii="Times New Roman" w:eastAsia="Times New Roman" w:hAnsi="Times New Roman" w:cs="Times New Roman"/>
          <w:sz w:val="24"/>
          <w:szCs w:val="24"/>
        </w:rPr>
        <w:t xml:space="preserve">A scan and supplemented with population-based healthcare data from the above-described linked provincial population-based healthcare databases </w:t>
      </w:r>
      <w:hyperlink r:id="rId28">
        <w:r>
          <w:rPr>
            <w:rFonts w:ascii="Times New Roman" w:eastAsia="Times New Roman" w:hAnsi="Times New Roman" w:cs="Times New Roman"/>
            <w:color w:val="000000"/>
            <w:sz w:val="24"/>
            <w:szCs w:val="24"/>
            <w:vertAlign w:val="superscript"/>
          </w:rPr>
          <w:t>32</w:t>
        </w:r>
      </w:hyperlink>
      <w:r>
        <w:rPr>
          <w:rFonts w:ascii="Times New Roman" w:eastAsia="Times New Roman" w:hAnsi="Times New Roman" w:cs="Times New Roman"/>
          <w:sz w:val="24"/>
          <w:szCs w:val="24"/>
        </w:rPr>
        <w:t>.  The list of conditions considered as secondary cause</w:t>
      </w:r>
      <w:r>
        <w:rPr>
          <w:rFonts w:ascii="Times New Roman" w:eastAsia="Times New Roman" w:hAnsi="Times New Roman" w:cs="Times New Roman"/>
          <w:sz w:val="24"/>
          <w:szCs w:val="24"/>
        </w:rPr>
        <w:t xml:space="preserve">s of osteoporosis is adapted from Kanis et al. </w:t>
      </w:r>
      <w:hyperlink r:id="rId29">
        <w:r>
          <w:rPr>
            <w:rFonts w:ascii="Times New Roman" w:eastAsia="Times New Roman" w:hAnsi="Times New Roman" w:cs="Times New Roman"/>
            <w:color w:val="000000"/>
            <w:sz w:val="24"/>
            <w:szCs w:val="24"/>
            <w:vertAlign w:val="superscript"/>
          </w:rPr>
          <w:t>33</w:t>
        </w:r>
      </w:hyperlink>
      <w:r>
        <w:rPr>
          <w:rFonts w:ascii="Times New Roman" w:eastAsia="Times New Roman" w:hAnsi="Times New Roman" w:cs="Times New Roman"/>
          <w:sz w:val="24"/>
          <w:szCs w:val="24"/>
        </w:rPr>
        <w:t>. The designation secondary osteoporosis is diverse and comprises many conditions associated with increased fracture risk. The secondary osteoporosis input affects FRAX calculations when BMD is not entered but not when BMD is included, since the risk is as</w:t>
      </w:r>
      <w:r>
        <w:rPr>
          <w:rFonts w:ascii="Times New Roman" w:eastAsia="Times New Roman" w:hAnsi="Times New Roman" w:cs="Times New Roman"/>
          <w:sz w:val="24"/>
          <w:szCs w:val="24"/>
        </w:rPr>
        <w:t xml:space="preserve">sumed to be mediated through BMD. Oral glucocorticoid exposure greater than 90 days in the prior year and </w:t>
      </w:r>
      <w:r>
        <w:rPr>
          <w:rFonts w:ascii="Times New Roman" w:eastAsia="Times New Roman" w:hAnsi="Times New Roman" w:cs="Times New Roman"/>
          <w:sz w:val="24"/>
          <w:szCs w:val="24"/>
        </w:rPr>
        <w:lastRenderedPageBreak/>
        <w:t>osteoporosis medication use for at least 180 days in the year prior to the index DXA scan were ascertained using the provincial pharmacy system. We al</w:t>
      </w:r>
      <w:r>
        <w:rPr>
          <w:rFonts w:ascii="Times New Roman" w:eastAsia="Times New Roman" w:hAnsi="Times New Roman" w:cs="Times New Roman"/>
          <w:sz w:val="24"/>
          <w:szCs w:val="24"/>
        </w:rPr>
        <w:t>so assessed use of osteoporosis medications: alendronate, risedronate, etidronate, raloxifene, calcitonin, zoledronic acid, denosumab or teriparatide.</w:t>
      </w:r>
    </w:p>
    <w:p w14:paraId="5D1C6313" w14:textId="77777777" w:rsidR="00B82265" w:rsidRDefault="00B82265">
      <w:pPr>
        <w:spacing w:line="480" w:lineRule="auto"/>
        <w:rPr>
          <w:rFonts w:ascii="Times New Roman" w:eastAsia="Times New Roman" w:hAnsi="Times New Roman" w:cs="Times New Roman"/>
          <w:sz w:val="24"/>
          <w:szCs w:val="24"/>
        </w:rPr>
      </w:pPr>
    </w:p>
    <w:p w14:paraId="2511B116"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Statistical analyses</w:t>
      </w:r>
    </w:p>
    <w:p w14:paraId="32C36306"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Baseline characteristics were compared between individuals with and without cancer </w:t>
      </w:r>
      <w:r>
        <w:rPr>
          <w:rFonts w:ascii="Times New Roman" w:eastAsia="Times New Roman" w:hAnsi="Times New Roman" w:cs="Times New Roman"/>
          <w:sz w:val="24"/>
          <w:szCs w:val="24"/>
        </w:rPr>
        <w:t>using one-way analysis of variance (ANOVA) for continuous variables, and chi-square/Fisher exact tests for categorical variables. Cumulative MOF and hip fracture probability was calculated to 10 years and observed 10-year fracture probability was estimated</w:t>
      </w:r>
      <w:r>
        <w:rPr>
          <w:rFonts w:ascii="Times New Roman" w:eastAsia="Times New Roman" w:hAnsi="Times New Roman" w:cs="Times New Roman"/>
          <w:sz w:val="24"/>
          <w:szCs w:val="24"/>
        </w:rPr>
        <w:t xml:space="preserve"> incorporating competing mortality risk in both groups </w:t>
      </w:r>
      <w:hyperlink r:id="rId30">
        <w:r>
          <w:rPr>
            <w:rFonts w:ascii="Times New Roman" w:eastAsia="Times New Roman" w:hAnsi="Times New Roman" w:cs="Times New Roman"/>
            <w:color w:val="000000"/>
            <w:sz w:val="24"/>
            <w:szCs w:val="24"/>
            <w:vertAlign w:val="superscript"/>
          </w:rPr>
          <w:t>34,35</w:t>
        </w:r>
      </w:hyperlink>
      <w:r>
        <w:rPr>
          <w:rFonts w:ascii="Times New Roman" w:eastAsia="Times New Roman" w:hAnsi="Times New Roman" w:cs="Times New Roman"/>
          <w:sz w:val="24"/>
          <w:szCs w:val="24"/>
        </w:rPr>
        <w:t>. Decile-stratified observed 10-year fracture probability was compared to FRAX-derived 10-year fracture probability to obtain calibrat</w:t>
      </w:r>
      <w:r>
        <w:rPr>
          <w:rFonts w:ascii="Times New Roman" w:eastAsia="Times New Roman" w:hAnsi="Times New Roman" w:cs="Times New Roman"/>
          <w:sz w:val="24"/>
          <w:szCs w:val="24"/>
        </w:rPr>
        <w:t xml:space="preserve">ion ratios.  </w:t>
      </w:r>
    </w:p>
    <w:p w14:paraId="0CBAA258"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Cox proportional hazards regression models were used to estimate hazard ratios (HR) per standard deviation (SD) increase in FRAX score (log-transformed due to a skewed distribution) in the cancer and non-cancer groups and 95% confidence inter</w:t>
      </w:r>
      <w:r>
        <w:rPr>
          <w:rFonts w:ascii="Times New Roman" w:eastAsia="Times New Roman" w:hAnsi="Times New Roman" w:cs="Times New Roman"/>
          <w:sz w:val="24"/>
          <w:szCs w:val="24"/>
        </w:rPr>
        <w:t>vals (CI). Cox regression models adjusting for FRAX with and without BMD, individual FRAX risk factors including BMD and osteoporosis medication use were used to estimate hazard ratios (HR) for fracture risk with cancer diagnosis. Effect modification of ca</w:t>
      </w:r>
      <w:r>
        <w:rPr>
          <w:rFonts w:ascii="Times New Roman" w:eastAsia="Times New Roman" w:hAnsi="Times New Roman" w:cs="Times New Roman"/>
          <w:sz w:val="24"/>
          <w:szCs w:val="24"/>
        </w:rPr>
        <w:t>ncer status and cancer diagnosis site were evaluated with interaction terms FRAX*cancer status and FRAX*cancer diagnosis site, respectively. If interaction terms were significant, stratified analysis was carried out.  The proportional hazards assumption wa</w:t>
      </w:r>
      <w:r>
        <w:rPr>
          <w:rFonts w:ascii="Times New Roman" w:eastAsia="Times New Roman" w:hAnsi="Times New Roman" w:cs="Times New Roman"/>
          <w:sz w:val="24"/>
          <w:szCs w:val="24"/>
        </w:rPr>
        <w:t xml:space="preserve">s confirmed using Schoenfeld residuals. Statistical analyses were conducted using SAS version 9.4 (SAS Institute Inc).  </w:t>
      </w:r>
    </w:p>
    <w:p w14:paraId="6EF2B02E" w14:textId="77777777" w:rsidR="00B82265" w:rsidRDefault="00B82265">
      <w:pPr>
        <w:spacing w:line="480" w:lineRule="auto"/>
        <w:rPr>
          <w:rFonts w:ascii="Times New Roman" w:eastAsia="Times New Roman" w:hAnsi="Times New Roman" w:cs="Times New Roman"/>
          <w:sz w:val="24"/>
          <w:szCs w:val="24"/>
        </w:rPr>
      </w:pPr>
    </w:p>
    <w:p w14:paraId="6F5DC6F9"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RESULTS</w:t>
      </w:r>
    </w:p>
    <w:p w14:paraId="7BA73ECE"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total of 117,058 individuals with cancer were matched to 460,029 individuals without cancer. Of this cohort, 9,877 (8.4%) individuals with cancer had a DXA scan post-cancer diagnosis and 45,875 (10.0%) individuals without cancer had a DXA scan post-index</w:t>
      </w:r>
      <w:r>
        <w:rPr>
          <w:rFonts w:ascii="Times New Roman" w:eastAsia="Times New Roman" w:hAnsi="Times New Roman" w:cs="Times New Roman"/>
          <w:sz w:val="24"/>
          <w:szCs w:val="24"/>
        </w:rPr>
        <w:t xml:space="preserve"> date, for a total study cohort of 55,752 (Table 1). Compared to the general population cohort, the cancer cohort was on average slightly older (67.1 years compared to 66.2 years, p&lt;0.001), had a higher percentage of males (12.0% compared to 9.2%, p&lt;0.001)</w:t>
      </w:r>
      <w:r>
        <w:rPr>
          <w:rFonts w:ascii="Times New Roman" w:eastAsia="Times New Roman" w:hAnsi="Times New Roman" w:cs="Times New Roman"/>
          <w:sz w:val="24"/>
          <w:szCs w:val="24"/>
        </w:rPr>
        <w:t>, had slightly higher BMI (27.7 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compared to 27.1 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p&lt;0.001), higher percentage with a parental hip fracture (8.2% compared to 7.0%, p&lt;0.001). They were also more likely to be current smokers (8.9% compared to 8.0%, p=0.004), less likely to have </w:t>
      </w:r>
      <w:r>
        <w:rPr>
          <w:rFonts w:ascii="Times New Roman" w:eastAsia="Times New Roman" w:hAnsi="Times New Roman" w:cs="Times New Roman"/>
          <w:sz w:val="24"/>
          <w:szCs w:val="24"/>
        </w:rPr>
        <w:t>rheumatoid arthritis (2.0% compared to 2.9%, p&lt;0.001) and more likely to have secondary causes of osteoporosis (38.4% compared with 10.0%, p&lt;0.001). This difference in secondary causes of osteoporosis was driven by much higher aromatase inhibitor use in th</w:t>
      </w:r>
      <w:r>
        <w:rPr>
          <w:rFonts w:ascii="Times New Roman" w:eastAsia="Times New Roman" w:hAnsi="Times New Roman" w:cs="Times New Roman"/>
          <w:sz w:val="24"/>
          <w:szCs w:val="24"/>
        </w:rPr>
        <w:t xml:space="preserve">e cancer cohort (29.5%), as compared with the non-cancer cohort (0.2%). Despite the cancer cohort having a similar prior fracture history to the non-cancer cohort and an overall higher FRAX MOF probability without BMD and similar FRAX MOF probability with </w:t>
      </w:r>
      <w:r>
        <w:rPr>
          <w:rFonts w:ascii="Times New Roman" w:eastAsia="Times New Roman" w:hAnsi="Times New Roman" w:cs="Times New Roman"/>
          <w:sz w:val="24"/>
          <w:szCs w:val="24"/>
        </w:rPr>
        <w:t>BMD, the cancer cohort was less likely to be on an osteoporosis medication (4.2% compared with 9.9%, p&lt;0.001). The top three cancer diagnosis sites in the cancer cohort were breast, gynecological and colorectal, likely reflecting the female predominance of</w:t>
      </w:r>
      <w:r>
        <w:rPr>
          <w:rFonts w:ascii="Times New Roman" w:eastAsia="Times New Roman" w:hAnsi="Times New Roman" w:cs="Times New Roman"/>
          <w:sz w:val="24"/>
          <w:szCs w:val="24"/>
        </w:rPr>
        <w:t xml:space="preserve"> the DXA cohort (eTable 1).</w:t>
      </w:r>
    </w:p>
    <w:p w14:paraId="5A216AE2"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During a mean follow-up time of 7.6 years in the cancer cohort, which was significantly shorter than in the non-cancer cohort (8.5 years, p&lt;0.001), a similar percentage experienced MOFs (11.0% versus 10.9%, p=0.885, Table 2). T</w:t>
      </w:r>
      <w:r>
        <w:rPr>
          <w:rFonts w:ascii="Times New Roman" w:eastAsia="Times New Roman" w:hAnsi="Times New Roman" w:cs="Times New Roman"/>
          <w:sz w:val="24"/>
          <w:szCs w:val="24"/>
        </w:rPr>
        <w:t xml:space="preserve">he incidence rate of MOF per 1000 person-years was significantly higher in the cancer cohort (14.5 vs 12.9, p&lt;0.001), driven by higher hip and humerus fracture incidence rates (p=0.002 and p=0.015, respectively). There were </w:t>
      </w:r>
      <w:r>
        <w:rPr>
          <w:rFonts w:ascii="Times New Roman" w:eastAsia="Times New Roman" w:hAnsi="Times New Roman" w:cs="Times New Roman"/>
          <w:sz w:val="24"/>
          <w:szCs w:val="24"/>
        </w:rPr>
        <w:lastRenderedPageBreak/>
        <w:t>expectedly more deaths in the ca</w:t>
      </w:r>
      <w:r>
        <w:rPr>
          <w:rFonts w:ascii="Times New Roman" w:eastAsia="Times New Roman" w:hAnsi="Times New Roman" w:cs="Times New Roman"/>
          <w:sz w:val="24"/>
          <w:szCs w:val="24"/>
        </w:rPr>
        <w:t>ncer cohort (26.8%) compared with the non-cancer cohort (12.4%, p&lt;0.001).</w:t>
      </w:r>
    </w:p>
    <w:p w14:paraId="4F0E384B"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Observed 10-year cumulative probabilities of MOF and hip fracture were calculated incorporating competing risk of death, stratified by risk deciles in FRAX with BMD ( eTable 2). The</w:t>
      </w:r>
      <w:r>
        <w:rPr>
          <w:rFonts w:ascii="Times New Roman" w:eastAsia="Times New Roman" w:hAnsi="Times New Roman" w:cs="Times New Roman"/>
          <w:sz w:val="24"/>
          <w:szCs w:val="24"/>
        </w:rPr>
        <w:t>se were plotted against FRAX-predicted MOF and hip fracture with and without BMD (Figure 1). The calibration slope for MOF was 0.84 when BMD was not considered in FRAX and 1.00 when BMD was considered in FRAX. The slope of the calibration curve for hip fra</w:t>
      </w:r>
      <w:r>
        <w:rPr>
          <w:rFonts w:ascii="Times New Roman" w:eastAsia="Times New Roman" w:hAnsi="Times New Roman" w:cs="Times New Roman"/>
          <w:sz w:val="24"/>
          <w:szCs w:val="24"/>
        </w:rPr>
        <w:t>cture was 0.72 when BMD was not considered in FRAX and 0.97 when BMD was considered. Comparison of observed 10-year MOF and hip fracture probabilities with FRAX-predicted probabilities were also evaluated by risk category (eTable 3).  All observed fracture</w:t>
      </w:r>
      <w:r>
        <w:rPr>
          <w:rFonts w:ascii="Times New Roman" w:eastAsia="Times New Roman" w:hAnsi="Times New Roman" w:cs="Times New Roman"/>
          <w:sz w:val="24"/>
          <w:szCs w:val="24"/>
        </w:rPr>
        <w:t xml:space="preserve"> probabilities fell within their respective FRAX-predicted risk categories.</w:t>
      </w:r>
    </w:p>
    <w:p w14:paraId="6F926711"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FRAX showed good stratification for predicting incident fractures in all analyses.  There was effect modification by cancer for the predictive value of FRAX for MOF with and witho</w:t>
      </w:r>
      <w:r>
        <w:rPr>
          <w:rFonts w:ascii="Times New Roman" w:eastAsia="Times New Roman" w:hAnsi="Times New Roman" w:cs="Times New Roman"/>
          <w:sz w:val="24"/>
          <w:szCs w:val="24"/>
        </w:rPr>
        <w:t>ut BMD and for hip fracture without BMD (FRAX*cancer p-interaction&lt;0.05, Table 3) but not for hip fracture with BMD (FRAX*cancer p-interaction=0.109).  In the cancer cohort, FRAX with BMD strongly predicted incident MOF (HR per SD increase 1.84 (95% CI 1.7</w:t>
      </w:r>
      <w:r>
        <w:rPr>
          <w:rFonts w:ascii="Times New Roman" w:eastAsia="Times New Roman" w:hAnsi="Times New Roman" w:cs="Times New Roman"/>
          <w:sz w:val="24"/>
          <w:szCs w:val="24"/>
        </w:rPr>
        <w:t>4-1.95) and hip fracture (3.61, 95% CI 3.13-4.15), both slightly lower than in those without cancer.  HRs were consistently higher when BMD was included in the FRAX score for both cancer and non-cancer individuals.  There was no effect modification by canc</w:t>
      </w:r>
      <w:r>
        <w:rPr>
          <w:rFonts w:ascii="Times New Roman" w:eastAsia="Times New Roman" w:hAnsi="Times New Roman" w:cs="Times New Roman"/>
          <w:sz w:val="24"/>
          <w:szCs w:val="24"/>
        </w:rPr>
        <w:t>er diagnosis site (interaction term FRAX*cancer diagnosis site p=0.180).</w:t>
      </w:r>
    </w:p>
    <w:p w14:paraId="5E88DE80"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models adjusted for (1) FRAX without BMD and (2) individual FRAX risk factors excluding BMD, but including osteoporosis medication use, cancer diagnosis was a non-significant modi</w:t>
      </w:r>
      <w:r>
        <w:rPr>
          <w:rFonts w:ascii="Times New Roman" w:eastAsia="Times New Roman" w:hAnsi="Times New Roman" w:cs="Times New Roman"/>
          <w:sz w:val="24"/>
          <w:szCs w:val="24"/>
        </w:rPr>
        <w:t xml:space="preserve">fier of MOF risk compared to the general population (Table 4). Similar results </w:t>
      </w:r>
      <w:r>
        <w:rPr>
          <w:rFonts w:ascii="Times New Roman" w:eastAsia="Times New Roman" w:hAnsi="Times New Roman" w:cs="Times New Roman"/>
          <w:sz w:val="24"/>
          <w:szCs w:val="24"/>
        </w:rPr>
        <w:lastRenderedPageBreak/>
        <w:t xml:space="preserve">were seen for hip fracture after adjusting for FRAX without BMD or FRAX risk factors including osteoporosis medication use without BMD. However, when adjusted for FRAX with BMD </w:t>
      </w:r>
      <w:r>
        <w:rPr>
          <w:rFonts w:ascii="Times New Roman" w:eastAsia="Times New Roman" w:hAnsi="Times New Roman" w:cs="Times New Roman"/>
          <w:sz w:val="24"/>
          <w:szCs w:val="24"/>
        </w:rPr>
        <w:t>and when adjusted for individual FRAX risk factors with BMD and osteoporosis medication use, cancer diagnosis increased the hazard of both MOF and hip fracture.</w:t>
      </w:r>
    </w:p>
    <w:p w14:paraId="43CCC0EC" w14:textId="77777777" w:rsidR="00B82265" w:rsidRDefault="00B82265">
      <w:pPr>
        <w:spacing w:line="480" w:lineRule="auto"/>
        <w:rPr>
          <w:rFonts w:ascii="Times New Roman" w:eastAsia="Times New Roman" w:hAnsi="Times New Roman" w:cs="Times New Roman"/>
          <w:sz w:val="24"/>
          <w:szCs w:val="24"/>
        </w:rPr>
      </w:pPr>
    </w:p>
    <w:p w14:paraId="2111F135"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p w14:paraId="485F3F11"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showed that FRAX with BMD accurately predicts MOF and hip fractures in p</w:t>
      </w:r>
      <w:r>
        <w:rPr>
          <w:rFonts w:ascii="Times New Roman" w:eastAsia="Times New Roman" w:hAnsi="Times New Roman" w:cs="Times New Roman"/>
          <w:sz w:val="24"/>
          <w:szCs w:val="24"/>
        </w:rPr>
        <w:t>atients diagnosed with cancer. FRAX without BMD slightly overestimated MOF and hip fracture risk in these patients, underscoring the importance of BMD testing in this at-risk population.</w:t>
      </w:r>
    </w:p>
    <w:p w14:paraId="09034D97"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In the general population, FRAX is the most widely used and validate</w:t>
      </w:r>
      <w:r>
        <w:rPr>
          <w:rFonts w:ascii="Times New Roman" w:eastAsia="Times New Roman" w:hAnsi="Times New Roman" w:cs="Times New Roman"/>
          <w:sz w:val="24"/>
          <w:szCs w:val="24"/>
        </w:rPr>
        <w:t xml:space="preserve">d fracture risk prediction tool </w:t>
      </w:r>
      <w:hyperlink r:id="rId31">
        <w:r>
          <w:rPr>
            <w:rFonts w:ascii="Times New Roman" w:eastAsia="Times New Roman" w:hAnsi="Times New Roman" w:cs="Times New Roman"/>
            <w:color w:val="000000"/>
            <w:sz w:val="24"/>
            <w:szCs w:val="24"/>
            <w:vertAlign w:val="superscript"/>
          </w:rPr>
          <w:t>17</w:t>
        </w:r>
      </w:hyperlink>
      <w:r>
        <w:rPr>
          <w:rFonts w:ascii="Times New Roman" w:eastAsia="Times New Roman" w:hAnsi="Times New Roman" w:cs="Times New Roman"/>
          <w:sz w:val="24"/>
          <w:szCs w:val="24"/>
        </w:rPr>
        <w:t>. Importantly for cancer survivors, FRAX considers competing risk of mortality when estimating the 10-year probability of fracture, which can significantly impact ris</w:t>
      </w:r>
      <w:r>
        <w:rPr>
          <w:rFonts w:ascii="Times New Roman" w:eastAsia="Times New Roman" w:hAnsi="Times New Roman" w:cs="Times New Roman"/>
          <w:sz w:val="24"/>
          <w:szCs w:val="24"/>
        </w:rPr>
        <w:t xml:space="preserve">k assessment in those at high risk of death </w:t>
      </w:r>
      <w:hyperlink r:id="rId32">
        <w:r>
          <w:rPr>
            <w:rFonts w:ascii="Times New Roman" w:eastAsia="Times New Roman" w:hAnsi="Times New Roman" w:cs="Times New Roman"/>
            <w:color w:val="000000"/>
            <w:sz w:val="24"/>
            <w:szCs w:val="24"/>
            <w:vertAlign w:val="superscript"/>
          </w:rPr>
          <w:t>35</w:t>
        </w:r>
      </w:hyperlink>
      <w:r>
        <w:rPr>
          <w:rFonts w:ascii="Times New Roman" w:eastAsia="Times New Roman" w:hAnsi="Times New Roman" w:cs="Times New Roman"/>
          <w:sz w:val="24"/>
          <w:szCs w:val="24"/>
        </w:rPr>
        <w:t>. However, population-specific tools were modeled on fracture epidemiology of the general population, not a cancer population, which has its own unique fr</w:t>
      </w:r>
      <w:r>
        <w:rPr>
          <w:rFonts w:ascii="Times New Roman" w:eastAsia="Times New Roman" w:hAnsi="Times New Roman" w:cs="Times New Roman"/>
          <w:sz w:val="24"/>
          <w:szCs w:val="24"/>
        </w:rPr>
        <w:t>acture and mortality risk. The new FRAX Plus tool, which includes several modifying factors that improve the performance of FRAX, does not include any cancer-specific risk factors</w:t>
      </w:r>
      <w:hyperlink r:id="rId33">
        <w:r>
          <w:rPr>
            <w:rFonts w:ascii="Times New Roman" w:eastAsia="Times New Roman" w:hAnsi="Times New Roman" w:cs="Times New Roman"/>
            <w:color w:val="000000"/>
            <w:sz w:val="24"/>
            <w:szCs w:val="24"/>
            <w:vertAlign w:val="superscript"/>
          </w:rPr>
          <w:t>36</w:t>
        </w:r>
      </w:hyperlink>
      <w:r>
        <w:rPr>
          <w:rFonts w:ascii="Times New Roman" w:eastAsia="Times New Roman" w:hAnsi="Times New Roman" w:cs="Times New Roman"/>
          <w:sz w:val="24"/>
          <w:szCs w:val="24"/>
        </w:rPr>
        <w:t>.</w:t>
      </w:r>
    </w:p>
    <w:p w14:paraId="5EC4483C"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FRAX includes sec</w:t>
      </w:r>
      <w:r>
        <w:rPr>
          <w:rFonts w:ascii="Times New Roman" w:eastAsia="Times New Roman" w:hAnsi="Times New Roman" w:cs="Times New Roman"/>
          <w:sz w:val="24"/>
          <w:szCs w:val="24"/>
        </w:rPr>
        <w:t>ondary causes of osteoporosis, which in our study, was three times more prevalent in the cancer population than the general population. This variable will only modify fracture risk in the absence of BMD results. This may explain why FRAX without BMD overes</w:t>
      </w:r>
      <w:r>
        <w:rPr>
          <w:rFonts w:ascii="Times New Roman" w:eastAsia="Times New Roman" w:hAnsi="Times New Roman" w:cs="Times New Roman"/>
          <w:sz w:val="24"/>
          <w:szCs w:val="24"/>
        </w:rPr>
        <w:t>timates MOF and hip fracture risk in cancer patients. Similar findings were seen in a previous study which found that including secondary osteoporosis as a risk factor for aromatase inhibitors users overestimates FRAX-predicted fracture risk</w:t>
      </w:r>
      <w:hyperlink r:id="rId34">
        <w:r>
          <w:rPr>
            <w:rFonts w:ascii="Times New Roman" w:eastAsia="Times New Roman" w:hAnsi="Times New Roman" w:cs="Times New Roman"/>
            <w:color w:val="000000"/>
            <w:sz w:val="24"/>
            <w:szCs w:val="24"/>
            <w:vertAlign w:val="superscript"/>
          </w:rPr>
          <w:t>32</w:t>
        </w:r>
      </w:hyperlink>
      <w:r>
        <w:rPr>
          <w:rFonts w:ascii="Times New Roman" w:eastAsia="Times New Roman" w:hAnsi="Times New Roman" w:cs="Times New Roman"/>
          <w:sz w:val="24"/>
          <w:szCs w:val="24"/>
        </w:rPr>
        <w:t>.</w:t>
      </w:r>
    </w:p>
    <w:p w14:paraId="2B141059"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A recent study found that cancer survivors had double the risk of fracture as compared with those without a history of cancer </w:t>
      </w:r>
      <w:hyperlink r:id="rId35">
        <w:r>
          <w:rPr>
            <w:rFonts w:ascii="Times New Roman" w:eastAsia="Times New Roman" w:hAnsi="Times New Roman" w:cs="Times New Roman"/>
            <w:color w:val="000000"/>
            <w:sz w:val="24"/>
            <w:szCs w:val="24"/>
            <w:vertAlign w:val="superscript"/>
          </w:rPr>
          <w:t>37</w:t>
        </w:r>
      </w:hyperlink>
      <w:r>
        <w:rPr>
          <w:rFonts w:ascii="Times New Roman" w:eastAsia="Times New Roman" w:hAnsi="Times New Roman" w:cs="Times New Roman"/>
          <w:sz w:val="24"/>
          <w:szCs w:val="24"/>
        </w:rPr>
        <w:t>. However, these results were not adjusted for BMD or FRAX. In our study, we showed that there was no difference in risk of fracture between individuals with and without a history of cancer when adjusted for FRAX without BMD, even when osteoporosis medicat</w:t>
      </w:r>
      <w:r>
        <w:rPr>
          <w:rFonts w:ascii="Times New Roman" w:eastAsia="Times New Roman" w:hAnsi="Times New Roman" w:cs="Times New Roman"/>
          <w:sz w:val="24"/>
          <w:szCs w:val="24"/>
        </w:rPr>
        <w:t>ion use was considered. However, once adjusted for FRAX with BMD, with or without controlling for osteoporosis medication use, individuals with cancer history had a significantly higher risk of fracture than those without a history of cancer, with an appro</w:t>
      </w:r>
      <w:r>
        <w:rPr>
          <w:rFonts w:ascii="Times New Roman" w:eastAsia="Times New Roman" w:hAnsi="Times New Roman" w:cs="Times New Roman"/>
          <w:sz w:val="24"/>
          <w:szCs w:val="24"/>
        </w:rPr>
        <w:t xml:space="preserve">ximately 10-30% increased risk of fracture, likely explained by unique cancer-specific risk factors for MOF that are not captured by FRAX. </w:t>
      </w:r>
    </w:p>
    <w:p w14:paraId="3BC3E50C"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Clinically, these results demonstrate that individuals with a diagnosis of cancer are at higher risk of fracture, ev</w:t>
      </w:r>
      <w:r>
        <w:rPr>
          <w:rFonts w:ascii="Times New Roman" w:eastAsia="Times New Roman" w:hAnsi="Times New Roman" w:cs="Times New Roman"/>
          <w:sz w:val="24"/>
          <w:szCs w:val="24"/>
        </w:rPr>
        <w:t>en after adjusting for FRAX with BMD, but that excess risk appears to be balanced with excess mortality in this population, preserving the accuracy of FRAX with BMD to predict MOF and hip fractures in cancer survivors. Further, the lack of effect modificat</w:t>
      </w:r>
      <w:r>
        <w:rPr>
          <w:rFonts w:ascii="Times New Roman" w:eastAsia="Times New Roman" w:hAnsi="Times New Roman" w:cs="Times New Roman"/>
          <w:sz w:val="24"/>
          <w:szCs w:val="24"/>
        </w:rPr>
        <w:t>ion by cancer diagnosis site on the predictive value of FRAX supports the generalizability of these results across cancer sites, albeit certain cancer sites were less well represented in this female predominant cohort. Reassuringly, FRAX, particularly with</w:t>
      </w:r>
      <w:r>
        <w:rPr>
          <w:rFonts w:ascii="Times New Roman" w:eastAsia="Times New Roman" w:hAnsi="Times New Roman" w:cs="Times New Roman"/>
          <w:sz w:val="24"/>
          <w:szCs w:val="24"/>
        </w:rPr>
        <w:t xml:space="preserve"> BMD, has previously been shown to perform well in those with prostate cancer and breast cancer</w:t>
      </w:r>
      <w:hyperlink r:id="rId36">
        <w:r>
          <w:rPr>
            <w:rFonts w:ascii="Times New Roman" w:eastAsia="Times New Roman" w:hAnsi="Times New Roman" w:cs="Times New Roman"/>
            <w:color w:val="000000"/>
            <w:sz w:val="24"/>
            <w:szCs w:val="24"/>
            <w:vertAlign w:val="superscript"/>
          </w:rPr>
          <w:t>31,32</w:t>
        </w:r>
      </w:hyperlink>
      <w:r>
        <w:rPr>
          <w:rFonts w:ascii="Times New Roman" w:eastAsia="Times New Roman" w:hAnsi="Times New Roman" w:cs="Times New Roman"/>
          <w:sz w:val="24"/>
          <w:szCs w:val="24"/>
        </w:rPr>
        <w:t>. The increased sample size of this study allowed for the evaluation of greater quantiles resu</w:t>
      </w:r>
      <w:r>
        <w:rPr>
          <w:rFonts w:ascii="Times New Roman" w:eastAsia="Times New Roman" w:hAnsi="Times New Roman" w:cs="Times New Roman"/>
          <w:sz w:val="24"/>
          <w:szCs w:val="24"/>
        </w:rPr>
        <w:t>lting in more precise calibration curves. The matched control group also allowed us to compare fracture risk among individuals with and without cancer.</w:t>
      </w:r>
    </w:p>
    <w:p w14:paraId="6536D878"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strength of this study is that this is the largest cohort of patients with a history of cance</w:t>
      </w:r>
      <w:r>
        <w:rPr>
          <w:rFonts w:ascii="Times New Roman" w:eastAsia="Times New Roman" w:hAnsi="Times New Roman" w:cs="Times New Roman"/>
          <w:sz w:val="24"/>
          <w:szCs w:val="24"/>
        </w:rPr>
        <w:t xml:space="preserve">r diagnosis with associated BMD and FRAX data, along with long-term outcome data, allowing sufficient sample size to perform the first validation of a fracture prediction tool with </w:t>
      </w:r>
      <w:r>
        <w:rPr>
          <w:rFonts w:ascii="Times New Roman" w:eastAsia="Times New Roman" w:hAnsi="Times New Roman" w:cs="Times New Roman"/>
          <w:sz w:val="24"/>
          <w:szCs w:val="24"/>
        </w:rPr>
        <w:lastRenderedPageBreak/>
        <w:t>and without BMD across fracture risk categories and cancer types. Additiona</w:t>
      </w:r>
      <w:r>
        <w:rPr>
          <w:rFonts w:ascii="Times New Roman" w:eastAsia="Times New Roman" w:hAnsi="Times New Roman" w:cs="Times New Roman"/>
          <w:sz w:val="24"/>
          <w:szCs w:val="24"/>
        </w:rPr>
        <w:t xml:space="preserve">lly, fracture definitions used in this study have previously been validated against X-ray review </w:t>
      </w:r>
      <w:hyperlink r:id="rId37">
        <w:r>
          <w:rPr>
            <w:rFonts w:ascii="Times New Roman" w:eastAsia="Times New Roman" w:hAnsi="Times New Roman" w:cs="Times New Roman"/>
            <w:color w:val="000000"/>
            <w:sz w:val="24"/>
            <w:szCs w:val="24"/>
            <w:vertAlign w:val="superscript"/>
          </w:rPr>
          <w:t>38</w:t>
        </w:r>
      </w:hyperlink>
      <w:r>
        <w:rPr>
          <w:rFonts w:ascii="Times New Roman" w:eastAsia="Times New Roman" w:hAnsi="Times New Roman" w:cs="Times New Roman"/>
          <w:sz w:val="24"/>
          <w:szCs w:val="24"/>
        </w:rPr>
        <w:t>.</w:t>
      </w:r>
    </w:p>
    <w:p w14:paraId="041B6F01" w14:textId="77777777" w:rsidR="00B82265" w:rsidRDefault="00B929DB">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limitation of this study is that the study cohort is a selected group of cancer survivors who </w:t>
      </w:r>
      <w:r>
        <w:rPr>
          <w:rFonts w:ascii="Times New Roman" w:eastAsia="Times New Roman" w:hAnsi="Times New Roman" w:cs="Times New Roman"/>
          <w:sz w:val="24"/>
          <w:szCs w:val="24"/>
        </w:rPr>
        <w:t xml:space="preserve">have been referred for DXA and may not be representative of a general cancer cohort. However, as a result, it is representative of a clinically meaningful referral population that is being assessed for fracture risk. Our women-predominant cohort makes our </w:t>
      </w:r>
      <w:r>
        <w:rPr>
          <w:rFonts w:ascii="Times New Roman" w:eastAsia="Times New Roman" w:hAnsi="Times New Roman" w:cs="Times New Roman"/>
          <w:sz w:val="24"/>
          <w:szCs w:val="24"/>
        </w:rPr>
        <w:t>results less robust and generalizable to men with cancer. Further, the cancer population is extremely heterogeneous and we can not conclude that our results can be applied equally to all cancer subgroups. We do not have information on cancer stage or prese</w:t>
      </w:r>
      <w:r>
        <w:rPr>
          <w:rFonts w:ascii="Times New Roman" w:eastAsia="Times New Roman" w:hAnsi="Times New Roman" w:cs="Times New Roman"/>
          <w:sz w:val="24"/>
          <w:szCs w:val="24"/>
        </w:rPr>
        <w:t>nce of bone metastases at the time of fracture risk assessment and thus could not examine effect modification by cancer stage or presence of bone metastases. Finally, the current validation results are reflective of the current mortality risk seen in the c</w:t>
      </w:r>
      <w:r>
        <w:rPr>
          <w:rFonts w:ascii="Times New Roman" w:eastAsia="Times New Roman" w:hAnsi="Times New Roman" w:cs="Times New Roman"/>
          <w:sz w:val="24"/>
          <w:szCs w:val="24"/>
        </w:rPr>
        <w:t xml:space="preserve">ancer population. Improved survival of cancer patients will need to be assessed in the context of emerging evidence that the newest class of cancer systemic therapy, immune checkpoint inhibitors, may increase the risk of fractures </w:t>
      </w:r>
      <w:hyperlink r:id="rId38">
        <w:r>
          <w:rPr>
            <w:rFonts w:ascii="Times New Roman" w:eastAsia="Times New Roman" w:hAnsi="Times New Roman" w:cs="Times New Roman"/>
            <w:color w:val="000000"/>
            <w:sz w:val="24"/>
            <w:szCs w:val="24"/>
            <w:vertAlign w:val="superscript"/>
          </w:rPr>
          <w:t>7,39,40</w:t>
        </w:r>
      </w:hyperlink>
      <w:r>
        <w:rPr>
          <w:rFonts w:ascii="Times New Roman" w:eastAsia="Times New Roman" w:hAnsi="Times New Roman" w:cs="Times New Roman"/>
          <w:sz w:val="24"/>
          <w:szCs w:val="24"/>
        </w:rPr>
        <w:t>.</w:t>
      </w:r>
    </w:p>
    <w:p w14:paraId="2B7E330F"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is an important care gap in patients with cancer and osteoporosis </w:t>
      </w:r>
      <w:hyperlink r:id="rId39">
        <w:r>
          <w:rPr>
            <w:rFonts w:ascii="Times New Roman" w:eastAsia="Times New Roman" w:hAnsi="Times New Roman" w:cs="Times New Roman"/>
            <w:color w:val="000000"/>
            <w:sz w:val="24"/>
            <w:szCs w:val="24"/>
            <w:vertAlign w:val="superscript"/>
          </w:rPr>
          <w:t>11</w:t>
        </w:r>
      </w:hyperlink>
      <w:r>
        <w:rPr>
          <w:rFonts w:ascii="Times New Roman" w:eastAsia="Times New Roman" w:hAnsi="Times New Roman" w:cs="Times New Roman"/>
          <w:sz w:val="24"/>
          <w:szCs w:val="24"/>
        </w:rPr>
        <w:t>. Even in our cohort of cancer survivors who have been referred for DXA, o</w:t>
      </w:r>
      <w:r>
        <w:rPr>
          <w:rFonts w:ascii="Times New Roman" w:eastAsia="Times New Roman" w:hAnsi="Times New Roman" w:cs="Times New Roman"/>
          <w:sz w:val="24"/>
          <w:szCs w:val="24"/>
        </w:rPr>
        <w:t>nly 4.2% were on osteoporotic medications, despite 15.2% having experienced a prior MOF, a significantly smaller percentage than that of the general population, in which a similar percentage had a prior MOF, but more than double were on osteoporosis treatm</w:t>
      </w:r>
      <w:r>
        <w:rPr>
          <w:rFonts w:ascii="Times New Roman" w:eastAsia="Times New Roman" w:hAnsi="Times New Roman" w:cs="Times New Roman"/>
          <w:sz w:val="24"/>
          <w:szCs w:val="24"/>
        </w:rPr>
        <w:t>ent. We recognize that DXAs are not always accessible. While our study shows that FRAX with BMD is more accurate at predicting fracture risk, FRAX without BMD can still accurately stratify individuals with cancer into clinically important fracture risk cat</w:t>
      </w:r>
      <w:r>
        <w:rPr>
          <w:rFonts w:ascii="Times New Roman" w:eastAsia="Times New Roman" w:hAnsi="Times New Roman" w:cs="Times New Roman"/>
          <w:sz w:val="24"/>
          <w:szCs w:val="24"/>
        </w:rPr>
        <w:t>egories.</w:t>
      </w:r>
    </w:p>
    <w:p w14:paraId="23799B0C" w14:textId="77777777" w:rsidR="00B82265" w:rsidRDefault="00B929DB">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conclusion, this study demonstrates that individuals with cancer are at higher risk of fracture than individuals without cancer and that FRAX, particularly with BMD, accurately predicts fracture risk in this population. These results, along wit</w:t>
      </w:r>
      <w:r>
        <w:rPr>
          <w:rFonts w:ascii="Times New Roman" w:eastAsia="Times New Roman" w:hAnsi="Times New Roman" w:cs="Times New Roman"/>
          <w:sz w:val="24"/>
          <w:szCs w:val="24"/>
        </w:rPr>
        <w:t xml:space="preserve">h the known mortality risk of osteoporotic fractures among cancer survivors </w:t>
      </w:r>
      <w:hyperlink r:id="rId40">
        <w:r>
          <w:rPr>
            <w:rFonts w:ascii="Times New Roman" w:eastAsia="Times New Roman" w:hAnsi="Times New Roman" w:cs="Times New Roman"/>
            <w:color w:val="000000"/>
            <w:sz w:val="24"/>
            <w:szCs w:val="24"/>
            <w:vertAlign w:val="superscript"/>
          </w:rPr>
          <w:t>10</w:t>
        </w:r>
      </w:hyperlink>
      <w:r>
        <w:rPr>
          <w:rFonts w:ascii="Times New Roman" w:eastAsia="Times New Roman" w:hAnsi="Times New Roman" w:cs="Times New Roman"/>
          <w:sz w:val="24"/>
          <w:szCs w:val="24"/>
        </w:rPr>
        <w:t xml:space="preserve">, further emphasize the clinical importance of closing the current osteoporosis care gap among cancer survivors. Having a </w:t>
      </w:r>
      <w:r>
        <w:rPr>
          <w:rFonts w:ascii="Times New Roman" w:eastAsia="Times New Roman" w:hAnsi="Times New Roman" w:cs="Times New Roman"/>
          <w:sz w:val="24"/>
          <w:szCs w:val="24"/>
        </w:rPr>
        <w:t xml:space="preserve">validated fracture risk prediction tool in cancer patients is an important step in this direction, but further research is necessary to examine ways to increase the assessment of fracture risk and DXA screening in cancer patients. </w:t>
      </w:r>
    </w:p>
    <w:p w14:paraId="0B3DD19C" w14:textId="77777777" w:rsidR="00B82265" w:rsidRDefault="00B929DB">
      <w:pPr>
        <w:rPr>
          <w:rFonts w:ascii="Times New Roman" w:eastAsia="Times New Roman" w:hAnsi="Times New Roman" w:cs="Times New Roman"/>
          <w:sz w:val="24"/>
          <w:szCs w:val="24"/>
        </w:rPr>
      </w:pPr>
      <w:r>
        <w:br w:type="page"/>
      </w:r>
    </w:p>
    <w:p w14:paraId="5D9F14A1"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1. </w:t>
      </w:r>
      <w:r>
        <w:rPr>
          <w:rFonts w:ascii="Times New Roman" w:eastAsia="Times New Roman" w:hAnsi="Times New Roman" w:cs="Times New Roman"/>
          <w:sz w:val="24"/>
          <w:szCs w:val="24"/>
        </w:rPr>
        <w:t>Baseline char</w:t>
      </w:r>
      <w:r>
        <w:rPr>
          <w:rFonts w:ascii="Times New Roman" w:eastAsia="Times New Roman" w:hAnsi="Times New Roman" w:cs="Times New Roman"/>
          <w:sz w:val="24"/>
          <w:szCs w:val="24"/>
        </w:rPr>
        <w:t>acteristics stratified by cancer status</w:t>
      </w:r>
    </w:p>
    <w:p w14:paraId="3AE73EDA" w14:textId="77777777" w:rsidR="00B82265" w:rsidRDefault="00B82265">
      <w:pPr>
        <w:rPr>
          <w:rFonts w:ascii="Times New Roman" w:eastAsia="Times New Roman" w:hAnsi="Times New Roman" w:cs="Times New Roman"/>
          <w:b/>
          <w:sz w:val="24"/>
          <w:szCs w:val="24"/>
        </w:rPr>
      </w:pPr>
    </w:p>
    <w:tbl>
      <w:tblPr>
        <w:tblStyle w:val="a"/>
        <w:tblW w:w="8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50"/>
        <w:gridCol w:w="1440"/>
        <w:gridCol w:w="1620"/>
        <w:gridCol w:w="1080"/>
      </w:tblGrid>
      <w:tr w:rsidR="00B82265" w14:paraId="220E7DEE" w14:textId="77777777">
        <w:tc>
          <w:tcPr>
            <w:tcW w:w="4850" w:type="dxa"/>
            <w:shd w:val="clear" w:color="auto" w:fill="auto"/>
            <w:tcMar>
              <w:top w:w="100" w:type="dxa"/>
              <w:left w:w="100" w:type="dxa"/>
              <w:bottom w:w="100" w:type="dxa"/>
              <w:right w:w="100" w:type="dxa"/>
            </w:tcMar>
          </w:tcPr>
          <w:p w14:paraId="54630D48" w14:textId="77777777" w:rsidR="00B82265" w:rsidRDefault="00B82265">
            <w:pPr>
              <w:widowControl w:val="0"/>
              <w:spacing w:line="240" w:lineRule="auto"/>
              <w:rPr>
                <w:rFonts w:ascii="Times New Roman" w:eastAsia="Times New Roman" w:hAnsi="Times New Roman" w:cs="Times New Roman"/>
                <w:sz w:val="24"/>
                <w:szCs w:val="24"/>
              </w:rPr>
            </w:pPr>
          </w:p>
        </w:tc>
        <w:tc>
          <w:tcPr>
            <w:tcW w:w="1440" w:type="dxa"/>
            <w:shd w:val="clear" w:color="auto" w:fill="auto"/>
            <w:tcMar>
              <w:top w:w="100" w:type="dxa"/>
              <w:left w:w="100" w:type="dxa"/>
              <w:bottom w:w="100" w:type="dxa"/>
              <w:right w:w="100" w:type="dxa"/>
            </w:tcMar>
          </w:tcPr>
          <w:p w14:paraId="7701660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population</w:t>
            </w:r>
          </w:p>
          <w:p w14:paraId="0BB544A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45,875</w:t>
            </w:r>
          </w:p>
          <w:p w14:paraId="4417E0E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p>
        </w:tc>
        <w:tc>
          <w:tcPr>
            <w:tcW w:w="1620" w:type="dxa"/>
            <w:shd w:val="clear" w:color="auto" w:fill="auto"/>
            <w:tcMar>
              <w:top w:w="100" w:type="dxa"/>
              <w:left w:w="100" w:type="dxa"/>
              <w:bottom w:w="100" w:type="dxa"/>
              <w:right w:w="100" w:type="dxa"/>
            </w:tcMar>
          </w:tcPr>
          <w:p w14:paraId="631D0CF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population</w:t>
            </w:r>
          </w:p>
          <w:p w14:paraId="6C88096B"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9,877</w:t>
            </w:r>
          </w:p>
          <w:p w14:paraId="39DE40F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w:t>
            </w:r>
          </w:p>
        </w:tc>
        <w:tc>
          <w:tcPr>
            <w:tcW w:w="1080" w:type="dxa"/>
            <w:shd w:val="clear" w:color="auto" w:fill="auto"/>
            <w:tcMar>
              <w:top w:w="100" w:type="dxa"/>
              <w:left w:w="100" w:type="dxa"/>
              <w:bottom w:w="100" w:type="dxa"/>
              <w:right w:w="100" w:type="dxa"/>
            </w:tcMar>
          </w:tcPr>
          <w:p w14:paraId="1E6EF735"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B82265" w14:paraId="780D3C6B" w14:textId="77777777">
        <w:tc>
          <w:tcPr>
            <w:tcW w:w="4850" w:type="dxa"/>
            <w:shd w:val="clear" w:color="auto" w:fill="auto"/>
            <w:tcMar>
              <w:top w:w="100" w:type="dxa"/>
              <w:left w:w="100" w:type="dxa"/>
              <w:bottom w:w="100" w:type="dxa"/>
              <w:right w:w="100" w:type="dxa"/>
            </w:tcMar>
          </w:tcPr>
          <w:p w14:paraId="2101C67D"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Age at index BMD (years), mean ± SD</w:t>
            </w:r>
          </w:p>
        </w:tc>
        <w:tc>
          <w:tcPr>
            <w:tcW w:w="1440" w:type="dxa"/>
            <w:shd w:val="clear" w:color="auto" w:fill="auto"/>
            <w:tcMar>
              <w:top w:w="100" w:type="dxa"/>
              <w:left w:w="100" w:type="dxa"/>
              <w:bottom w:w="100" w:type="dxa"/>
              <w:right w:w="100" w:type="dxa"/>
            </w:tcMar>
          </w:tcPr>
          <w:p w14:paraId="5C2877A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66.2 ± 10.1</w:t>
            </w:r>
          </w:p>
        </w:tc>
        <w:tc>
          <w:tcPr>
            <w:tcW w:w="1620" w:type="dxa"/>
            <w:shd w:val="clear" w:color="auto" w:fill="auto"/>
            <w:tcMar>
              <w:top w:w="100" w:type="dxa"/>
              <w:left w:w="100" w:type="dxa"/>
              <w:bottom w:w="100" w:type="dxa"/>
              <w:right w:w="100" w:type="dxa"/>
            </w:tcMar>
          </w:tcPr>
          <w:p w14:paraId="178273F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67.1 ± 11.2</w:t>
            </w:r>
          </w:p>
        </w:tc>
        <w:tc>
          <w:tcPr>
            <w:tcW w:w="1080" w:type="dxa"/>
            <w:shd w:val="clear" w:color="auto" w:fill="auto"/>
            <w:tcMar>
              <w:top w:w="100" w:type="dxa"/>
              <w:left w:w="100" w:type="dxa"/>
              <w:bottom w:w="100" w:type="dxa"/>
              <w:right w:w="100" w:type="dxa"/>
            </w:tcMar>
          </w:tcPr>
          <w:p w14:paraId="02A7BD1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2B14AB77" w14:textId="77777777">
        <w:tc>
          <w:tcPr>
            <w:tcW w:w="4850" w:type="dxa"/>
            <w:shd w:val="clear" w:color="auto" w:fill="auto"/>
            <w:tcMar>
              <w:top w:w="100" w:type="dxa"/>
              <w:left w:w="100" w:type="dxa"/>
              <w:bottom w:w="100" w:type="dxa"/>
              <w:right w:w="100" w:type="dxa"/>
            </w:tcMar>
          </w:tcPr>
          <w:p w14:paraId="2ED3CFC2"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 male</w:t>
            </w:r>
          </w:p>
        </w:tc>
        <w:tc>
          <w:tcPr>
            <w:tcW w:w="1440" w:type="dxa"/>
            <w:shd w:val="clear" w:color="auto" w:fill="auto"/>
            <w:tcMar>
              <w:top w:w="100" w:type="dxa"/>
              <w:left w:w="100" w:type="dxa"/>
              <w:bottom w:w="100" w:type="dxa"/>
              <w:right w:w="100" w:type="dxa"/>
            </w:tcMar>
          </w:tcPr>
          <w:p w14:paraId="0ED60BD6" w14:textId="77777777" w:rsidR="00B82265" w:rsidRDefault="00B929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4219 (9.2)</w:t>
            </w:r>
          </w:p>
        </w:tc>
        <w:tc>
          <w:tcPr>
            <w:tcW w:w="1620" w:type="dxa"/>
            <w:shd w:val="clear" w:color="auto" w:fill="auto"/>
            <w:tcMar>
              <w:top w:w="100" w:type="dxa"/>
              <w:left w:w="100" w:type="dxa"/>
              <w:bottom w:w="100" w:type="dxa"/>
              <w:right w:w="100" w:type="dxa"/>
            </w:tcMar>
          </w:tcPr>
          <w:p w14:paraId="4490D9B9"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1184 (12.0)</w:t>
            </w:r>
          </w:p>
        </w:tc>
        <w:tc>
          <w:tcPr>
            <w:tcW w:w="1080" w:type="dxa"/>
            <w:shd w:val="clear" w:color="auto" w:fill="auto"/>
            <w:tcMar>
              <w:top w:w="100" w:type="dxa"/>
              <w:left w:w="100" w:type="dxa"/>
              <w:bottom w:w="100" w:type="dxa"/>
              <w:right w:w="100" w:type="dxa"/>
            </w:tcMar>
          </w:tcPr>
          <w:p w14:paraId="03FD64E7"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60F06AEE" w14:textId="77777777">
        <w:tc>
          <w:tcPr>
            <w:tcW w:w="4850" w:type="dxa"/>
            <w:shd w:val="clear" w:color="auto" w:fill="auto"/>
            <w:tcMar>
              <w:top w:w="100" w:type="dxa"/>
              <w:left w:w="100" w:type="dxa"/>
              <w:bottom w:w="100" w:type="dxa"/>
              <w:right w:w="100" w:type="dxa"/>
            </w:tcMar>
          </w:tcPr>
          <w:p w14:paraId="5302BAE3"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BMI (kg/m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mean ± SD</w:t>
            </w:r>
          </w:p>
        </w:tc>
        <w:tc>
          <w:tcPr>
            <w:tcW w:w="1440" w:type="dxa"/>
            <w:shd w:val="clear" w:color="auto" w:fill="auto"/>
            <w:tcMar>
              <w:top w:w="100" w:type="dxa"/>
              <w:left w:w="100" w:type="dxa"/>
              <w:bottom w:w="100" w:type="dxa"/>
              <w:right w:w="100" w:type="dxa"/>
            </w:tcMar>
          </w:tcPr>
          <w:p w14:paraId="2AC87B5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27.1 ± 9.2</w:t>
            </w:r>
          </w:p>
        </w:tc>
        <w:tc>
          <w:tcPr>
            <w:tcW w:w="1620" w:type="dxa"/>
            <w:shd w:val="clear" w:color="auto" w:fill="auto"/>
            <w:tcMar>
              <w:top w:w="100" w:type="dxa"/>
              <w:left w:w="100" w:type="dxa"/>
              <w:bottom w:w="100" w:type="dxa"/>
              <w:right w:w="100" w:type="dxa"/>
            </w:tcMar>
          </w:tcPr>
          <w:p w14:paraId="682FBEF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27.7 ± 5.6</w:t>
            </w:r>
          </w:p>
        </w:tc>
        <w:tc>
          <w:tcPr>
            <w:tcW w:w="1080" w:type="dxa"/>
            <w:shd w:val="clear" w:color="auto" w:fill="auto"/>
            <w:tcMar>
              <w:top w:w="100" w:type="dxa"/>
              <w:left w:w="100" w:type="dxa"/>
              <w:bottom w:w="100" w:type="dxa"/>
              <w:right w:w="100" w:type="dxa"/>
            </w:tcMar>
          </w:tcPr>
          <w:p w14:paraId="0ABF1E0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72C3A20E" w14:textId="77777777">
        <w:tc>
          <w:tcPr>
            <w:tcW w:w="4850" w:type="dxa"/>
            <w:shd w:val="clear" w:color="auto" w:fill="auto"/>
            <w:tcMar>
              <w:top w:w="100" w:type="dxa"/>
              <w:left w:w="100" w:type="dxa"/>
              <w:bottom w:w="100" w:type="dxa"/>
              <w:right w:w="100" w:type="dxa"/>
            </w:tcMar>
          </w:tcPr>
          <w:p w14:paraId="02430BA0"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Prior MOF</w:t>
            </w:r>
          </w:p>
        </w:tc>
        <w:tc>
          <w:tcPr>
            <w:tcW w:w="1440" w:type="dxa"/>
            <w:shd w:val="clear" w:color="auto" w:fill="auto"/>
            <w:tcMar>
              <w:top w:w="100" w:type="dxa"/>
              <w:left w:w="100" w:type="dxa"/>
              <w:bottom w:w="100" w:type="dxa"/>
              <w:right w:w="100" w:type="dxa"/>
            </w:tcMar>
          </w:tcPr>
          <w:p w14:paraId="6121A07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7287 (15.9)</w:t>
            </w:r>
          </w:p>
        </w:tc>
        <w:tc>
          <w:tcPr>
            <w:tcW w:w="1620" w:type="dxa"/>
            <w:shd w:val="clear" w:color="auto" w:fill="auto"/>
            <w:tcMar>
              <w:top w:w="100" w:type="dxa"/>
              <w:left w:w="100" w:type="dxa"/>
              <w:bottom w:w="100" w:type="dxa"/>
              <w:right w:w="100" w:type="dxa"/>
            </w:tcMar>
          </w:tcPr>
          <w:p w14:paraId="6215B69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1498 (15.2)</w:t>
            </w:r>
          </w:p>
        </w:tc>
        <w:tc>
          <w:tcPr>
            <w:tcW w:w="1080" w:type="dxa"/>
            <w:shd w:val="clear" w:color="auto" w:fill="auto"/>
            <w:tcMar>
              <w:top w:w="100" w:type="dxa"/>
              <w:left w:w="100" w:type="dxa"/>
              <w:bottom w:w="100" w:type="dxa"/>
              <w:right w:w="100" w:type="dxa"/>
            </w:tcMar>
          </w:tcPr>
          <w:p w14:paraId="7609D88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0.076</w:t>
            </w:r>
          </w:p>
        </w:tc>
      </w:tr>
      <w:tr w:rsidR="00B82265" w14:paraId="4E6A6D04" w14:textId="77777777">
        <w:tc>
          <w:tcPr>
            <w:tcW w:w="4850" w:type="dxa"/>
            <w:shd w:val="clear" w:color="auto" w:fill="auto"/>
            <w:tcMar>
              <w:top w:w="100" w:type="dxa"/>
              <w:left w:w="100" w:type="dxa"/>
              <w:bottom w:w="100" w:type="dxa"/>
              <w:right w:w="100" w:type="dxa"/>
            </w:tcMar>
          </w:tcPr>
          <w:p w14:paraId="562CE12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Parental hip fracture </w:t>
            </w:r>
          </w:p>
        </w:tc>
        <w:tc>
          <w:tcPr>
            <w:tcW w:w="1440" w:type="dxa"/>
            <w:shd w:val="clear" w:color="auto" w:fill="auto"/>
            <w:tcMar>
              <w:top w:w="100" w:type="dxa"/>
              <w:left w:w="100" w:type="dxa"/>
              <w:bottom w:w="100" w:type="dxa"/>
              <w:right w:w="100" w:type="dxa"/>
            </w:tcMar>
          </w:tcPr>
          <w:p w14:paraId="12C68EEE"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3202 (7.0)</w:t>
            </w:r>
          </w:p>
        </w:tc>
        <w:tc>
          <w:tcPr>
            <w:tcW w:w="1620" w:type="dxa"/>
            <w:shd w:val="clear" w:color="auto" w:fill="auto"/>
            <w:tcMar>
              <w:top w:w="100" w:type="dxa"/>
              <w:left w:w="100" w:type="dxa"/>
              <w:bottom w:w="100" w:type="dxa"/>
              <w:right w:w="100" w:type="dxa"/>
            </w:tcMar>
          </w:tcPr>
          <w:p w14:paraId="6665FA4E"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807 (8.2)</w:t>
            </w:r>
          </w:p>
        </w:tc>
        <w:tc>
          <w:tcPr>
            <w:tcW w:w="1080" w:type="dxa"/>
            <w:shd w:val="clear" w:color="auto" w:fill="auto"/>
            <w:tcMar>
              <w:top w:w="100" w:type="dxa"/>
              <w:left w:w="100" w:type="dxa"/>
              <w:bottom w:w="100" w:type="dxa"/>
              <w:right w:w="100" w:type="dxa"/>
            </w:tcMar>
          </w:tcPr>
          <w:p w14:paraId="714064D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180A594C" w14:textId="77777777">
        <w:tc>
          <w:tcPr>
            <w:tcW w:w="4850" w:type="dxa"/>
            <w:shd w:val="clear" w:color="auto" w:fill="auto"/>
            <w:tcMar>
              <w:top w:w="100" w:type="dxa"/>
              <w:left w:w="100" w:type="dxa"/>
              <w:bottom w:w="100" w:type="dxa"/>
              <w:right w:w="100" w:type="dxa"/>
            </w:tcMar>
          </w:tcPr>
          <w:p w14:paraId="63E520AC"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Current smoker</w:t>
            </w:r>
          </w:p>
        </w:tc>
        <w:tc>
          <w:tcPr>
            <w:tcW w:w="1440" w:type="dxa"/>
            <w:shd w:val="clear" w:color="auto" w:fill="auto"/>
            <w:tcMar>
              <w:top w:w="100" w:type="dxa"/>
              <w:left w:w="100" w:type="dxa"/>
              <w:bottom w:w="100" w:type="dxa"/>
              <w:right w:w="100" w:type="dxa"/>
            </w:tcMar>
          </w:tcPr>
          <w:p w14:paraId="682347B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3679 (8.0)</w:t>
            </w:r>
          </w:p>
        </w:tc>
        <w:tc>
          <w:tcPr>
            <w:tcW w:w="1620" w:type="dxa"/>
            <w:shd w:val="clear" w:color="auto" w:fill="auto"/>
            <w:tcMar>
              <w:top w:w="100" w:type="dxa"/>
              <w:left w:w="100" w:type="dxa"/>
              <w:bottom w:w="100" w:type="dxa"/>
              <w:right w:w="100" w:type="dxa"/>
            </w:tcMar>
          </w:tcPr>
          <w:p w14:paraId="2C84150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878 (8.9)</w:t>
            </w:r>
          </w:p>
        </w:tc>
        <w:tc>
          <w:tcPr>
            <w:tcW w:w="1080" w:type="dxa"/>
            <w:shd w:val="clear" w:color="auto" w:fill="auto"/>
            <w:tcMar>
              <w:top w:w="100" w:type="dxa"/>
              <w:left w:w="100" w:type="dxa"/>
              <w:bottom w:w="100" w:type="dxa"/>
              <w:right w:w="100" w:type="dxa"/>
            </w:tcMar>
          </w:tcPr>
          <w:p w14:paraId="62274837"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r>
      <w:tr w:rsidR="00B82265" w14:paraId="00441E9D" w14:textId="77777777">
        <w:tc>
          <w:tcPr>
            <w:tcW w:w="4850" w:type="dxa"/>
            <w:shd w:val="clear" w:color="auto" w:fill="auto"/>
            <w:tcMar>
              <w:top w:w="100" w:type="dxa"/>
              <w:left w:w="100" w:type="dxa"/>
              <w:bottom w:w="100" w:type="dxa"/>
              <w:right w:w="100" w:type="dxa"/>
            </w:tcMar>
          </w:tcPr>
          <w:p w14:paraId="601080FD"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Prolonged glucocorticoid use </w:t>
            </w:r>
          </w:p>
        </w:tc>
        <w:tc>
          <w:tcPr>
            <w:tcW w:w="1440" w:type="dxa"/>
            <w:shd w:val="clear" w:color="auto" w:fill="auto"/>
            <w:tcMar>
              <w:top w:w="100" w:type="dxa"/>
              <w:left w:w="100" w:type="dxa"/>
              <w:bottom w:w="100" w:type="dxa"/>
              <w:right w:w="100" w:type="dxa"/>
            </w:tcMar>
          </w:tcPr>
          <w:p w14:paraId="7431559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2402 (5.2)</w:t>
            </w:r>
          </w:p>
        </w:tc>
        <w:tc>
          <w:tcPr>
            <w:tcW w:w="1620" w:type="dxa"/>
            <w:shd w:val="clear" w:color="auto" w:fill="auto"/>
            <w:tcMar>
              <w:top w:w="100" w:type="dxa"/>
              <w:left w:w="100" w:type="dxa"/>
              <w:bottom w:w="100" w:type="dxa"/>
              <w:right w:w="100" w:type="dxa"/>
            </w:tcMar>
          </w:tcPr>
          <w:p w14:paraId="23AD0FA5"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 (5.4)</w:t>
            </w:r>
          </w:p>
        </w:tc>
        <w:tc>
          <w:tcPr>
            <w:tcW w:w="1080" w:type="dxa"/>
            <w:shd w:val="clear" w:color="auto" w:fill="auto"/>
            <w:tcMar>
              <w:top w:w="100" w:type="dxa"/>
              <w:left w:w="100" w:type="dxa"/>
              <w:bottom w:w="100" w:type="dxa"/>
              <w:right w:w="100" w:type="dxa"/>
            </w:tcMar>
          </w:tcPr>
          <w:p w14:paraId="413DF09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0.395</w:t>
            </w:r>
          </w:p>
        </w:tc>
      </w:tr>
      <w:tr w:rsidR="00B82265" w14:paraId="3B1D6F11" w14:textId="77777777">
        <w:tc>
          <w:tcPr>
            <w:tcW w:w="4850" w:type="dxa"/>
            <w:shd w:val="clear" w:color="auto" w:fill="auto"/>
            <w:tcMar>
              <w:top w:w="100" w:type="dxa"/>
              <w:left w:w="100" w:type="dxa"/>
              <w:bottom w:w="100" w:type="dxa"/>
              <w:right w:w="100" w:type="dxa"/>
            </w:tcMar>
          </w:tcPr>
          <w:p w14:paraId="50571845"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Rheumatoid arthritis</w:t>
            </w:r>
          </w:p>
        </w:tc>
        <w:tc>
          <w:tcPr>
            <w:tcW w:w="1440" w:type="dxa"/>
            <w:shd w:val="clear" w:color="auto" w:fill="auto"/>
            <w:tcMar>
              <w:top w:w="100" w:type="dxa"/>
              <w:left w:w="100" w:type="dxa"/>
              <w:bottom w:w="100" w:type="dxa"/>
              <w:right w:w="100" w:type="dxa"/>
            </w:tcMar>
          </w:tcPr>
          <w:p w14:paraId="384AE17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1309 (2.9)</w:t>
            </w:r>
          </w:p>
        </w:tc>
        <w:tc>
          <w:tcPr>
            <w:tcW w:w="1620" w:type="dxa"/>
            <w:shd w:val="clear" w:color="auto" w:fill="auto"/>
            <w:tcMar>
              <w:top w:w="100" w:type="dxa"/>
              <w:left w:w="100" w:type="dxa"/>
              <w:bottom w:w="100" w:type="dxa"/>
              <w:right w:w="100" w:type="dxa"/>
            </w:tcMar>
          </w:tcPr>
          <w:p w14:paraId="2BB95925"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 (2.0)</w:t>
            </w:r>
          </w:p>
        </w:tc>
        <w:tc>
          <w:tcPr>
            <w:tcW w:w="1080" w:type="dxa"/>
            <w:shd w:val="clear" w:color="auto" w:fill="auto"/>
            <w:tcMar>
              <w:top w:w="100" w:type="dxa"/>
              <w:left w:w="100" w:type="dxa"/>
              <w:bottom w:w="100" w:type="dxa"/>
              <w:right w:w="100" w:type="dxa"/>
            </w:tcMar>
          </w:tcPr>
          <w:p w14:paraId="009DA707"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72C3C09A" w14:textId="77777777">
        <w:tc>
          <w:tcPr>
            <w:tcW w:w="4850" w:type="dxa"/>
            <w:shd w:val="clear" w:color="auto" w:fill="auto"/>
            <w:tcMar>
              <w:top w:w="100" w:type="dxa"/>
              <w:left w:w="100" w:type="dxa"/>
              <w:bottom w:w="100" w:type="dxa"/>
              <w:right w:w="100" w:type="dxa"/>
            </w:tcMar>
          </w:tcPr>
          <w:p w14:paraId="733AA981"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osteoporosis </w:t>
            </w:r>
          </w:p>
        </w:tc>
        <w:tc>
          <w:tcPr>
            <w:tcW w:w="1440" w:type="dxa"/>
            <w:shd w:val="clear" w:color="auto" w:fill="auto"/>
            <w:tcMar>
              <w:top w:w="100" w:type="dxa"/>
              <w:left w:w="100" w:type="dxa"/>
              <w:bottom w:w="100" w:type="dxa"/>
              <w:right w:w="100" w:type="dxa"/>
            </w:tcMar>
          </w:tcPr>
          <w:p w14:paraId="2C85A65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4572 (10.0)</w:t>
            </w:r>
          </w:p>
        </w:tc>
        <w:tc>
          <w:tcPr>
            <w:tcW w:w="1620" w:type="dxa"/>
            <w:shd w:val="clear" w:color="auto" w:fill="auto"/>
            <w:tcMar>
              <w:top w:w="100" w:type="dxa"/>
              <w:left w:w="100" w:type="dxa"/>
              <w:bottom w:w="100" w:type="dxa"/>
              <w:right w:w="100" w:type="dxa"/>
            </w:tcMar>
          </w:tcPr>
          <w:p w14:paraId="1E4BF1D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3795 (38.4)</w:t>
            </w:r>
          </w:p>
        </w:tc>
        <w:tc>
          <w:tcPr>
            <w:tcW w:w="1080" w:type="dxa"/>
            <w:shd w:val="clear" w:color="auto" w:fill="auto"/>
            <w:tcMar>
              <w:top w:w="100" w:type="dxa"/>
              <w:left w:w="100" w:type="dxa"/>
              <w:bottom w:w="100" w:type="dxa"/>
              <w:right w:w="100" w:type="dxa"/>
            </w:tcMar>
          </w:tcPr>
          <w:p w14:paraId="628A67F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7A9C0C5C" w14:textId="77777777">
        <w:tc>
          <w:tcPr>
            <w:tcW w:w="4850" w:type="dxa"/>
            <w:shd w:val="clear" w:color="auto" w:fill="auto"/>
            <w:tcMar>
              <w:top w:w="100" w:type="dxa"/>
              <w:left w:w="100" w:type="dxa"/>
              <w:bottom w:w="100" w:type="dxa"/>
              <w:right w:w="100" w:type="dxa"/>
            </w:tcMar>
          </w:tcPr>
          <w:p w14:paraId="5AC0CB8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 alcohol intake</w:t>
            </w:r>
          </w:p>
        </w:tc>
        <w:tc>
          <w:tcPr>
            <w:tcW w:w="1440" w:type="dxa"/>
            <w:shd w:val="clear" w:color="auto" w:fill="auto"/>
            <w:tcMar>
              <w:top w:w="100" w:type="dxa"/>
              <w:left w:w="100" w:type="dxa"/>
              <w:bottom w:w="100" w:type="dxa"/>
              <w:right w:w="100" w:type="dxa"/>
            </w:tcMar>
          </w:tcPr>
          <w:p w14:paraId="314CF65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224 (0.5)</w:t>
            </w:r>
          </w:p>
        </w:tc>
        <w:tc>
          <w:tcPr>
            <w:tcW w:w="1620" w:type="dxa"/>
            <w:shd w:val="clear" w:color="auto" w:fill="auto"/>
            <w:tcMar>
              <w:top w:w="100" w:type="dxa"/>
              <w:left w:w="100" w:type="dxa"/>
              <w:bottom w:w="100" w:type="dxa"/>
              <w:right w:w="100" w:type="dxa"/>
            </w:tcMar>
          </w:tcPr>
          <w:p w14:paraId="70939B4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 (0.5)</w:t>
            </w:r>
          </w:p>
        </w:tc>
        <w:tc>
          <w:tcPr>
            <w:tcW w:w="1080" w:type="dxa"/>
            <w:shd w:val="clear" w:color="auto" w:fill="auto"/>
            <w:tcMar>
              <w:top w:w="100" w:type="dxa"/>
              <w:left w:w="100" w:type="dxa"/>
              <w:bottom w:w="100" w:type="dxa"/>
              <w:right w:w="100" w:type="dxa"/>
            </w:tcMar>
          </w:tcPr>
          <w:p w14:paraId="69B9090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0.872</w:t>
            </w:r>
          </w:p>
        </w:tc>
      </w:tr>
      <w:tr w:rsidR="00B82265" w14:paraId="5907E377" w14:textId="77777777">
        <w:tc>
          <w:tcPr>
            <w:tcW w:w="4850" w:type="dxa"/>
            <w:shd w:val="clear" w:color="auto" w:fill="auto"/>
            <w:tcMar>
              <w:top w:w="100" w:type="dxa"/>
              <w:left w:w="100" w:type="dxa"/>
              <w:bottom w:w="100" w:type="dxa"/>
              <w:right w:w="100" w:type="dxa"/>
            </w:tcMar>
          </w:tcPr>
          <w:p w14:paraId="4F9315D0"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Femoral neck T-score, mean ± SD</w:t>
            </w:r>
          </w:p>
        </w:tc>
        <w:tc>
          <w:tcPr>
            <w:tcW w:w="1440" w:type="dxa"/>
            <w:shd w:val="clear" w:color="auto" w:fill="auto"/>
            <w:tcMar>
              <w:top w:w="100" w:type="dxa"/>
              <w:left w:w="100" w:type="dxa"/>
              <w:bottom w:w="100" w:type="dxa"/>
              <w:right w:w="100" w:type="dxa"/>
            </w:tcMar>
          </w:tcPr>
          <w:p w14:paraId="58B8B815"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 ± 1.08</w:t>
            </w:r>
          </w:p>
        </w:tc>
        <w:tc>
          <w:tcPr>
            <w:tcW w:w="1620" w:type="dxa"/>
            <w:shd w:val="clear" w:color="auto" w:fill="auto"/>
            <w:tcMar>
              <w:top w:w="100" w:type="dxa"/>
              <w:left w:w="100" w:type="dxa"/>
              <w:bottom w:w="100" w:type="dxa"/>
              <w:right w:w="100" w:type="dxa"/>
            </w:tcMar>
          </w:tcPr>
          <w:p w14:paraId="417AF09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 ± 1.05</w:t>
            </w:r>
          </w:p>
        </w:tc>
        <w:tc>
          <w:tcPr>
            <w:tcW w:w="1080" w:type="dxa"/>
            <w:shd w:val="clear" w:color="auto" w:fill="auto"/>
            <w:tcMar>
              <w:top w:w="100" w:type="dxa"/>
              <w:left w:w="100" w:type="dxa"/>
              <w:bottom w:w="100" w:type="dxa"/>
              <w:right w:w="100" w:type="dxa"/>
            </w:tcMar>
          </w:tcPr>
          <w:p w14:paraId="246BDCF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48F2E25B" w14:textId="77777777">
        <w:tc>
          <w:tcPr>
            <w:tcW w:w="4850" w:type="dxa"/>
            <w:shd w:val="clear" w:color="auto" w:fill="auto"/>
            <w:tcMar>
              <w:top w:w="100" w:type="dxa"/>
              <w:left w:w="100" w:type="dxa"/>
              <w:bottom w:w="100" w:type="dxa"/>
              <w:right w:w="100" w:type="dxa"/>
            </w:tcMar>
          </w:tcPr>
          <w:p w14:paraId="1EAE24DF"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MOF without BMD (%), mean ± SD</w:t>
            </w:r>
          </w:p>
          <w:p w14:paraId="19C9544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MOF with BMD (%), mean ± SD</w:t>
            </w:r>
          </w:p>
          <w:p w14:paraId="5BB31CC1"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Hip without BMD (%), mean ± SD</w:t>
            </w:r>
          </w:p>
          <w:p w14:paraId="016306B6"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Hip with BMD (%), mean ± SD</w:t>
            </w:r>
          </w:p>
        </w:tc>
        <w:tc>
          <w:tcPr>
            <w:tcW w:w="1440" w:type="dxa"/>
            <w:shd w:val="clear" w:color="auto" w:fill="auto"/>
            <w:tcMar>
              <w:top w:w="100" w:type="dxa"/>
              <w:left w:w="100" w:type="dxa"/>
              <w:bottom w:w="100" w:type="dxa"/>
              <w:right w:w="100" w:type="dxa"/>
            </w:tcMar>
          </w:tcPr>
          <w:p w14:paraId="4F052B7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 ± 8.3</w:t>
            </w:r>
          </w:p>
          <w:p w14:paraId="14623D2B"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 ± 7.2</w:t>
            </w:r>
          </w:p>
          <w:p w14:paraId="17D1690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 ± 5.1</w:t>
            </w:r>
          </w:p>
          <w:p w14:paraId="57B5D85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 4.1</w:t>
            </w:r>
          </w:p>
        </w:tc>
        <w:tc>
          <w:tcPr>
            <w:tcW w:w="1620" w:type="dxa"/>
            <w:shd w:val="clear" w:color="auto" w:fill="auto"/>
            <w:tcMar>
              <w:top w:w="100" w:type="dxa"/>
              <w:left w:w="100" w:type="dxa"/>
              <w:bottom w:w="100" w:type="dxa"/>
              <w:right w:w="100" w:type="dxa"/>
            </w:tcMar>
          </w:tcPr>
          <w:p w14:paraId="7638D23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 ± 9.6</w:t>
            </w:r>
          </w:p>
          <w:p w14:paraId="7CE6C2E1"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 ± 7.4</w:t>
            </w:r>
          </w:p>
          <w:p w14:paraId="3BCF25A7"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 ± 6.4</w:t>
            </w:r>
          </w:p>
          <w:p w14:paraId="14E4518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 ± 4.5</w:t>
            </w:r>
          </w:p>
        </w:tc>
        <w:tc>
          <w:tcPr>
            <w:tcW w:w="1080" w:type="dxa"/>
            <w:shd w:val="clear" w:color="auto" w:fill="auto"/>
            <w:tcMar>
              <w:top w:w="100" w:type="dxa"/>
              <w:left w:w="100" w:type="dxa"/>
              <w:bottom w:w="100" w:type="dxa"/>
              <w:right w:w="100" w:type="dxa"/>
            </w:tcMar>
          </w:tcPr>
          <w:p w14:paraId="1617B9E7"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p w14:paraId="274385F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p w14:paraId="64766323" w14:textId="77777777" w:rsidR="00B82265" w:rsidRDefault="00B929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p w14:paraId="2CC627D5" w14:textId="77777777" w:rsidR="00B82265" w:rsidRDefault="00B929D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r>
      <w:tr w:rsidR="00B82265" w14:paraId="7AD71F27" w14:textId="77777777">
        <w:tc>
          <w:tcPr>
            <w:tcW w:w="4850" w:type="dxa"/>
            <w:shd w:val="clear" w:color="auto" w:fill="auto"/>
            <w:tcMar>
              <w:top w:w="100" w:type="dxa"/>
              <w:left w:w="100" w:type="dxa"/>
              <w:bottom w:w="100" w:type="dxa"/>
              <w:right w:w="100" w:type="dxa"/>
            </w:tcMar>
          </w:tcPr>
          <w:p w14:paraId="28E29DF1"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Osteoporosis medication use</w:t>
            </w:r>
          </w:p>
        </w:tc>
        <w:tc>
          <w:tcPr>
            <w:tcW w:w="1440" w:type="dxa"/>
            <w:shd w:val="clear" w:color="auto" w:fill="auto"/>
            <w:tcMar>
              <w:top w:w="100" w:type="dxa"/>
              <w:left w:w="100" w:type="dxa"/>
              <w:bottom w:w="100" w:type="dxa"/>
              <w:right w:w="100" w:type="dxa"/>
            </w:tcMar>
          </w:tcPr>
          <w:p w14:paraId="18D1FB1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4556 (9.9)</w:t>
            </w:r>
          </w:p>
        </w:tc>
        <w:tc>
          <w:tcPr>
            <w:tcW w:w="1620" w:type="dxa"/>
            <w:shd w:val="clear" w:color="auto" w:fill="auto"/>
            <w:tcMar>
              <w:top w:w="100" w:type="dxa"/>
              <w:left w:w="100" w:type="dxa"/>
              <w:bottom w:w="100" w:type="dxa"/>
              <w:right w:w="100" w:type="dxa"/>
            </w:tcMar>
          </w:tcPr>
          <w:p w14:paraId="4A99B72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 (4.2)</w:t>
            </w:r>
          </w:p>
        </w:tc>
        <w:tc>
          <w:tcPr>
            <w:tcW w:w="1080" w:type="dxa"/>
            <w:shd w:val="clear" w:color="auto" w:fill="auto"/>
            <w:tcMar>
              <w:top w:w="100" w:type="dxa"/>
              <w:left w:w="100" w:type="dxa"/>
              <w:bottom w:w="100" w:type="dxa"/>
              <w:right w:w="100" w:type="dxa"/>
            </w:tcMar>
          </w:tcPr>
          <w:p w14:paraId="0615512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bl>
    <w:p w14:paraId="29D32124" w14:textId="77777777" w:rsidR="00B82265" w:rsidRDefault="00B929D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BMD=bone mineral density; BMI=body mass index; MOF=major osteoporotic fracture</w:t>
      </w:r>
    </w:p>
    <w:p w14:paraId="23AB333A" w14:textId="77777777" w:rsidR="00B82265" w:rsidRDefault="00B82265">
      <w:pPr>
        <w:rPr>
          <w:rFonts w:ascii="Times New Roman" w:eastAsia="Times New Roman" w:hAnsi="Times New Roman" w:cs="Times New Roman"/>
          <w:b/>
          <w:sz w:val="24"/>
          <w:szCs w:val="24"/>
        </w:rPr>
      </w:pPr>
    </w:p>
    <w:p w14:paraId="79D9070B" w14:textId="77777777" w:rsidR="00B82265" w:rsidRDefault="00B929DB">
      <w:pPr>
        <w:rPr>
          <w:rFonts w:ascii="Times New Roman" w:eastAsia="Times New Roman" w:hAnsi="Times New Roman" w:cs="Times New Roman"/>
          <w:b/>
          <w:sz w:val="24"/>
          <w:szCs w:val="24"/>
        </w:rPr>
      </w:pPr>
      <w:r>
        <w:br w:type="page"/>
      </w:r>
    </w:p>
    <w:p w14:paraId="15F01C12" w14:textId="77777777" w:rsidR="00B82265" w:rsidRDefault="00B929D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Incident fracture outcomes after index DXA by cancer status</w:t>
      </w:r>
    </w:p>
    <w:tbl>
      <w:tblPr>
        <w:tblStyle w:val="a0"/>
        <w:tblW w:w="9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5"/>
        <w:gridCol w:w="1480"/>
        <w:gridCol w:w="1480"/>
        <w:gridCol w:w="1480"/>
      </w:tblGrid>
      <w:tr w:rsidR="00B82265" w14:paraId="5626174C" w14:textId="77777777">
        <w:tc>
          <w:tcPr>
            <w:tcW w:w="4845" w:type="dxa"/>
            <w:shd w:val="clear" w:color="auto" w:fill="auto"/>
            <w:tcMar>
              <w:top w:w="100" w:type="dxa"/>
              <w:left w:w="100" w:type="dxa"/>
              <w:bottom w:w="100" w:type="dxa"/>
              <w:right w:w="100" w:type="dxa"/>
            </w:tcMar>
          </w:tcPr>
          <w:p w14:paraId="3771A7BF" w14:textId="77777777" w:rsidR="00B82265" w:rsidRDefault="00B82265">
            <w:pPr>
              <w:widowControl w:val="0"/>
              <w:spacing w:line="240" w:lineRule="auto"/>
              <w:rPr>
                <w:rFonts w:ascii="Times New Roman" w:eastAsia="Times New Roman" w:hAnsi="Times New Roman" w:cs="Times New Roman"/>
                <w:sz w:val="24"/>
                <w:szCs w:val="24"/>
              </w:rPr>
            </w:pPr>
          </w:p>
        </w:tc>
        <w:tc>
          <w:tcPr>
            <w:tcW w:w="1480" w:type="dxa"/>
            <w:shd w:val="clear" w:color="auto" w:fill="auto"/>
            <w:tcMar>
              <w:top w:w="100" w:type="dxa"/>
              <w:left w:w="100" w:type="dxa"/>
              <w:bottom w:w="100" w:type="dxa"/>
              <w:right w:w="100" w:type="dxa"/>
            </w:tcMar>
          </w:tcPr>
          <w:p w14:paraId="1E3D0F9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population</w:t>
            </w:r>
          </w:p>
          <w:p w14:paraId="278D1A4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45,875</w:t>
            </w:r>
          </w:p>
        </w:tc>
        <w:tc>
          <w:tcPr>
            <w:tcW w:w="1480" w:type="dxa"/>
            <w:shd w:val="clear" w:color="auto" w:fill="auto"/>
            <w:tcMar>
              <w:top w:w="100" w:type="dxa"/>
              <w:left w:w="100" w:type="dxa"/>
              <w:bottom w:w="100" w:type="dxa"/>
              <w:right w:w="100" w:type="dxa"/>
            </w:tcMar>
          </w:tcPr>
          <w:p w14:paraId="6B37107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population</w:t>
            </w:r>
          </w:p>
          <w:p w14:paraId="3A8018F9"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 9,877</w:t>
            </w:r>
          </w:p>
        </w:tc>
        <w:tc>
          <w:tcPr>
            <w:tcW w:w="1480" w:type="dxa"/>
            <w:shd w:val="clear" w:color="auto" w:fill="auto"/>
            <w:tcMar>
              <w:top w:w="100" w:type="dxa"/>
              <w:left w:w="100" w:type="dxa"/>
              <w:bottom w:w="100" w:type="dxa"/>
              <w:right w:w="100" w:type="dxa"/>
            </w:tcMar>
          </w:tcPr>
          <w:p w14:paraId="5F4ADDA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p-value</w:t>
            </w:r>
          </w:p>
        </w:tc>
      </w:tr>
      <w:tr w:rsidR="00B82265" w14:paraId="247937F7" w14:textId="77777777">
        <w:tc>
          <w:tcPr>
            <w:tcW w:w="4845" w:type="dxa"/>
            <w:shd w:val="clear" w:color="auto" w:fill="auto"/>
            <w:tcMar>
              <w:top w:w="100" w:type="dxa"/>
              <w:left w:w="100" w:type="dxa"/>
              <w:bottom w:w="100" w:type="dxa"/>
              <w:right w:w="100" w:type="dxa"/>
            </w:tcMar>
          </w:tcPr>
          <w:p w14:paraId="0E58B154"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Follow-up time (years), mean ± SD</w:t>
            </w:r>
          </w:p>
        </w:tc>
        <w:tc>
          <w:tcPr>
            <w:tcW w:w="1480" w:type="dxa"/>
            <w:shd w:val="clear" w:color="auto" w:fill="auto"/>
            <w:tcMar>
              <w:top w:w="100" w:type="dxa"/>
              <w:left w:w="100" w:type="dxa"/>
              <w:bottom w:w="100" w:type="dxa"/>
              <w:right w:w="100" w:type="dxa"/>
            </w:tcMar>
          </w:tcPr>
          <w:p w14:paraId="7B979A8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 ± 2.6</w:t>
            </w:r>
          </w:p>
        </w:tc>
        <w:tc>
          <w:tcPr>
            <w:tcW w:w="1480" w:type="dxa"/>
            <w:shd w:val="clear" w:color="auto" w:fill="auto"/>
            <w:tcMar>
              <w:top w:w="100" w:type="dxa"/>
              <w:left w:w="100" w:type="dxa"/>
              <w:bottom w:w="100" w:type="dxa"/>
              <w:right w:w="100" w:type="dxa"/>
            </w:tcMar>
          </w:tcPr>
          <w:p w14:paraId="020F79D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 ± 3.1</w:t>
            </w:r>
          </w:p>
        </w:tc>
        <w:tc>
          <w:tcPr>
            <w:tcW w:w="1480" w:type="dxa"/>
            <w:shd w:val="clear" w:color="auto" w:fill="auto"/>
            <w:tcMar>
              <w:top w:w="100" w:type="dxa"/>
              <w:left w:w="100" w:type="dxa"/>
              <w:bottom w:w="100" w:type="dxa"/>
              <w:right w:w="100" w:type="dxa"/>
            </w:tcMar>
          </w:tcPr>
          <w:p w14:paraId="26C3113E"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tc>
      </w:tr>
      <w:tr w:rsidR="00B82265" w14:paraId="648605B8" w14:textId="77777777">
        <w:tc>
          <w:tcPr>
            <w:tcW w:w="4845" w:type="dxa"/>
            <w:shd w:val="clear" w:color="auto" w:fill="auto"/>
            <w:tcMar>
              <w:top w:w="100" w:type="dxa"/>
              <w:left w:w="100" w:type="dxa"/>
              <w:bottom w:w="100" w:type="dxa"/>
              <w:right w:w="100" w:type="dxa"/>
            </w:tcMar>
          </w:tcPr>
          <w:p w14:paraId="5964D14D"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MOF, n (%)</w:t>
            </w:r>
          </w:p>
          <w:p w14:paraId="0BBE5742"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Hip </w:t>
            </w:r>
          </w:p>
          <w:p w14:paraId="2026421D"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Vertebral </w:t>
            </w:r>
          </w:p>
          <w:p w14:paraId="76C322C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Humerus </w:t>
            </w:r>
          </w:p>
          <w:p w14:paraId="371A411A"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Forearm</w:t>
            </w:r>
          </w:p>
        </w:tc>
        <w:tc>
          <w:tcPr>
            <w:tcW w:w="1480" w:type="dxa"/>
            <w:shd w:val="clear" w:color="auto" w:fill="auto"/>
            <w:tcMar>
              <w:top w:w="100" w:type="dxa"/>
              <w:left w:w="100" w:type="dxa"/>
              <w:bottom w:w="100" w:type="dxa"/>
              <w:right w:w="100" w:type="dxa"/>
            </w:tcMar>
          </w:tcPr>
          <w:p w14:paraId="0540526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5021 (10.9)</w:t>
            </w:r>
          </w:p>
          <w:p w14:paraId="0FA5BF4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1368 (3.0)</w:t>
            </w:r>
          </w:p>
          <w:p w14:paraId="64A74D9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1143 (2.3)</w:t>
            </w:r>
          </w:p>
          <w:p w14:paraId="0159B64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944 (2.1)</w:t>
            </w:r>
          </w:p>
          <w:p w14:paraId="69B1F89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1566 (3.4)</w:t>
            </w:r>
          </w:p>
        </w:tc>
        <w:tc>
          <w:tcPr>
            <w:tcW w:w="1480" w:type="dxa"/>
            <w:shd w:val="clear" w:color="auto" w:fill="auto"/>
            <w:tcMar>
              <w:top w:w="100" w:type="dxa"/>
              <w:left w:w="100" w:type="dxa"/>
              <w:bottom w:w="100" w:type="dxa"/>
              <w:right w:w="100" w:type="dxa"/>
            </w:tcMar>
          </w:tcPr>
          <w:p w14:paraId="6B9A80E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1086 (11.0)</w:t>
            </w:r>
          </w:p>
          <w:p w14:paraId="2151527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320 (3.2)</w:t>
            </w:r>
          </w:p>
          <w:p w14:paraId="47D4E8E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230 (2.3)</w:t>
            </w:r>
          </w:p>
          <w:p w14:paraId="4DF7F209"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 (2.2)</w:t>
            </w:r>
          </w:p>
          <w:p w14:paraId="3C0D105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317 (3.2)</w:t>
            </w:r>
          </w:p>
        </w:tc>
        <w:tc>
          <w:tcPr>
            <w:tcW w:w="1480" w:type="dxa"/>
            <w:shd w:val="clear" w:color="auto" w:fill="auto"/>
            <w:tcMar>
              <w:top w:w="100" w:type="dxa"/>
              <w:left w:w="100" w:type="dxa"/>
              <w:bottom w:w="100" w:type="dxa"/>
              <w:right w:w="100" w:type="dxa"/>
            </w:tcMar>
          </w:tcPr>
          <w:p w14:paraId="5C39E2D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0.908</w:t>
            </w:r>
          </w:p>
          <w:p w14:paraId="33BFC27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0.175</w:t>
            </w:r>
          </w:p>
          <w:p w14:paraId="5E936AA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0.343</w:t>
            </w:r>
          </w:p>
          <w:p w14:paraId="587051D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0.346</w:t>
            </w:r>
          </w:p>
          <w:p w14:paraId="680009D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0.308</w:t>
            </w:r>
          </w:p>
        </w:tc>
      </w:tr>
      <w:tr w:rsidR="00B82265" w14:paraId="672FAD84" w14:textId="77777777">
        <w:tc>
          <w:tcPr>
            <w:tcW w:w="4845" w:type="dxa"/>
            <w:shd w:val="clear" w:color="auto" w:fill="auto"/>
            <w:tcMar>
              <w:top w:w="100" w:type="dxa"/>
              <w:left w:w="100" w:type="dxa"/>
              <w:bottom w:w="100" w:type="dxa"/>
              <w:right w:w="100" w:type="dxa"/>
            </w:tcMar>
          </w:tcPr>
          <w:p w14:paraId="04965FC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MOF incidence rate, per 1,000 person-years</w:t>
            </w:r>
          </w:p>
          <w:p w14:paraId="17E5196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Hip </w:t>
            </w:r>
          </w:p>
          <w:p w14:paraId="4B0C628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Vertebral </w:t>
            </w:r>
          </w:p>
          <w:p w14:paraId="352CB44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Humerus </w:t>
            </w:r>
          </w:p>
          <w:p w14:paraId="0F0CDC7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Forearm</w:t>
            </w:r>
          </w:p>
        </w:tc>
        <w:tc>
          <w:tcPr>
            <w:tcW w:w="1480" w:type="dxa"/>
            <w:shd w:val="clear" w:color="auto" w:fill="auto"/>
            <w:tcMar>
              <w:top w:w="100" w:type="dxa"/>
              <w:left w:w="100" w:type="dxa"/>
              <w:bottom w:w="100" w:type="dxa"/>
              <w:right w:w="100" w:type="dxa"/>
            </w:tcMar>
          </w:tcPr>
          <w:p w14:paraId="7B727E7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12.9 </w:t>
            </w:r>
          </w:p>
          <w:p w14:paraId="7269C49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14:paraId="5EA895C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p w14:paraId="0486A59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p>
          <w:p w14:paraId="3C8AA74F"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p>
        </w:tc>
        <w:tc>
          <w:tcPr>
            <w:tcW w:w="1480" w:type="dxa"/>
            <w:shd w:val="clear" w:color="auto" w:fill="auto"/>
            <w:tcMar>
              <w:top w:w="100" w:type="dxa"/>
              <w:left w:w="100" w:type="dxa"/>
              <w:bottom w:w="100" w:type="dxa"/>
              <w:right w:w="100" w:type="dxa"/>
            </w:tcMar>
          </w:tcPr>
          <w:p w14:paraId="2E41504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14.5 </w:t>
            </w:r>
          </w:p>
          <w:p w14:paraId="1AB26235"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
          <w:p w14:paraId="486E42A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14:paraId="48FED6E1"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p>
          <w:p w14:paraId="73865F0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p>
        </w:tc>
        <w:tc>
          <w:tcPr>
            <w:tcW w:w="1480" w:type="dxa"/>
            <w:shd w:val="clear" w:color="auto" w:fill="auto"/>
            <w:tcMar>
              <w:top w:w="100" w:type="dxa"/>
              <w:left w:w="100" w:type="dxa"/>
              <w:bottom w:w="100" w:type="dxa"/>
              <w:right w:w="100" w:type="dxa"/>
            </w:tcMar>
          </w:tcPr>
          <w:p w14:paraId="04F7D7C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&lt;0.001</w:t>
            </w:r>
          </w:p>
          <w:p w14:paraId="331E818E" w14:textId="77777777" w:rsidR="00B82265" w:rsidRDefault="00B929DB">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0.002</w:t>
            </w:r>
          </w:p>
          <w:p w14:paraId="345CF343" w14:textId="77777777" w:rsidR="00B82265" w:rsidRDefault="00B929DB">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0.540</w:t>
            </w:r>
          </w:p>
          <w:p w14:paraId="6CED2089" w14:textId="77777777" w:rsidR="00B82265" w:rsidRDefault="00B929DB">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0.015</w:t>
            </w:r>
          </w:p>
          <w:p w14:paraId="600627BF" w14:textId="77777777" w:rsidR="00B82265" w:rsidRDefault="00B929DB">
            <w:pPr>
              <w:widowControl w:val="0"/>
              <w:spacing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0.415</w:t>
            </w:r>
          </w:p>
        </w:tc>
      </w:tr>
      <w:tr w:rsidR="00B82265" w14:paraId="4C05FF19" w14:textId="77777777">
        <w:tc>
          <w:tcPr>
            <w:tcW w:w="4845" w:type="dxa"/>
            <w:shd w:val="clear" w:color="auto" w:fill="auto"/>
            <w:tcMar>
              <w:top w:w="100" w:type="dxa"/>
              <w:left w:w="100" w:type="dxa"/>
              <w:bottom w:w="100" w:type="dxa"/>
              <w:right w:w="100" w:type="dxa"/>
            </w:tcMar>
          </w:tcPr>
          <w:p w14:paraId="2B2086B5"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Death </w:t>
            </w:r>
          </w:p>
        </w:tc>
        <w:tc>
          <w:tcPr>
            <w:tcW w:w="1480" w:type="dxa"/>
            <w:shd w:val="clear" w:color="auto" w:fill="auto"/>
            <w:tcMar>
              <w:top w:w="100" w:type="dxa"/>
              <w:left w:w="100" w:type="dxa"/>
              <w:bottom w:w="100" w:type="dxa"/>
              <w:right w:w="100" w:type="dxa"/>
            </w:tcMar>
          </w:tcPr>
          <w:p w14:paraId="19DC9AD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5670 (12.4)</w:t>
            </w:r>
          </w:p>
        </w:tc>
        <w:tc>
          <w:tcPr>
            <w:tcW w:w="1480" w:type="dxa"/>
            <w:shd w:val="clear" w:color="auto" w:fill="auto"/>
            <w:tcMar>
              <w:top w:w="100" w:type="dxa"/>
              <w:left w:w="100" w:type="dxa"/>
              <w:bottom w:w="100" w:type="dxa"/>
              <w:right w:w="100" w:type="dxa"/>
            </w:tcMar>
          </w:tcPr>
          <w:p w14:paraId="3F2D99E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2646 (26.8)</w:t>
            </w:r>
          </w:p>
        </w:tc>
        <w:tc>
          <w:tcPr>
            <w:tcW w:w="1480" w:type="dxa"/>
            <w:shd w:val="clear" w:color="auto" w:fill="auto"/>
            <w:tcMar>
              <w:top w:w="100" w:type="dxa"/>
              <w:left w:w="100" w:type="dxa"/>
              <w:bottom w:w="100" w:type="dxa"/>
              <w:right w:w="100" w:type="dxa"/>
            </w:tcMar>
          </w:tcPr>
          <w:p w14:paraId="537509CE"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&lt;0.0001</w:t>
            </w:r>
          </w:p>
        </w:tc>
      </w:tr>
    </w:tbl>
    <w:p w14:paraId="1D184511"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i/>
          <w:sz w:val="24"/>
          <w:szCs w:val="24"/>
        </w:rPr>
        <w:t>BMD=bone mineral density; MOF=major osteoporotic fracture; SD=standard deviation</w:t>
      </w:r>
      <w:r>
        <w:rPr>
          <w:rFonts w:ascii="Times New Roman" w:eastAsia="Times New Roman" w:hAnsi="Times New Roman" w:cs="Times New Roman"/>
          <w:sz w:val="24"/>
          <w:szCs w:val="24"/>
        </w:rPr>
        <w:t>.</w:t>
      </w:r>
    </w:p>
    <w:p w14:paraId="471E4EA1" w14:textId="77777777" w:rsidR="00B82265" w:rsidRDefault="00B929DB">
      <w:pPr>
        <w:rPr>
          <w:rFonts w:ascii="Times New Roman" w:eastAsia="Times New Roman" w:hAnsi="Times New Roman" w:cs="Times New Roman"/>
          <w:b/>
          <w:sz w:val="24"/>
          <w:szCs w:val="24"/>
        </w:rPr>
      </w:pPr>
      <w:r>
        <w:br w:type="page"/>
      </w:r>
    </w:p>
    <w:p w14:paraId="70BB4BD4"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3.</w:t>
      </w:r>
      <w:r>
        <w:rPr>
          <w:rFonts w:ascii="Times New Roman" w:eastAsia="Times New Roman" w:hAnsi="Times New Roman" w:cs="Times New Roman"/>
          <w:sz w:val="24"/>
          <w:szCs w:val="24"/>
        </w:rPr>
        <w:t xml:space="preserve"> Hazard ratios (HR) with 95% confidence intervals (CI) for outcome of incident fracture per standard deviation (SD) FRAX score</w:t>
      </w:r>
    </w:p>
    <w:p w14:paraId="5C58FFF2" w14:textId="77777777" w:rsidR="00B82265" w:rsidRDefault="00B82265">
      <w:pPr>
        <w:rPr>
          <w:rFonts w:ascii="Times New Roman" w:eastAsia="Times New Roman" w:hAnsi="Times New Roman" w:cs="Times New Roman"/>
          <w:sz w:val="24"/>
          <w:szCs w:val="24"/>
        </w:rPr>
      </w:pPr>
    </w:p>
    <w:tbl>
      <w:tblPr>
        <w:tblStyle w:val="a1"/>
        <w:tblW w:w="8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1635"/>
        <w:gridCol w:w="1635"/>
        <w:gridCol w:w="1635"/>
        <w:gridCol w:w="1635"/>
      </w:tblGrid>
      <w:tr w:rsidR="00B82265" w14:paraId="7E37AEB8" w14:textId="77777777">
        <w:trPr>
          <w:trHeight w:val="420"/>
        </w:trPr>
        <w:tc>
          <w:tcPr>
            <w:tcW w:w="2145" w:type="dxa"/>
            <w:vMerge w:val="restart"/>
            <w:shd w:val="clear" w:color="auto" w:fill="auto"/>
            <w:tcMar>
              <w:top w:w="100" w:type="dxa"/>
              <w:left w:w="100" w:type="dxa"/>
              <w:bottom w:w="100" w:type="dxa"/>
              <w:right w:w="100" w:type="dxa"/>
            </w:tcMar>
          </w:tcPr>
          <w:p w14:paraId="5D5FD189" w14:textId="77777777" w:rsidR="00B82265" w:rsidRDefault="00B82265">
            <w:pPr>
              <w:widowControl w:val="0"/>
              <w:spacing w:line="240" w:lineRule="auto"/>
              <w:rPr>
                <w:rFonts w:ascii="Times New Roman" w:eastAsia="Times New Roman" w:hAnsi="Times New Roman" w:cs="Times New Roman"/>
                <w:sz w:val="24"/>
                <w:szCs w:val="24"/>
              </w:rPr>
            </w:pPr>
          </w:p>
        </w:tc>
        <w:tc>
          <w:tcPr>
            <w:tcW w:w="3270" w:type="dxa"/>
            <w:gridSpan w:val="2"/>
            <w:shd w:val="clear" w:color="auto" w:fill="auto"/>
            <w:tcMar>
              <w:top w:w="100" w:type="dxa"/>
              <w:left w:w="100" w:type="dxa"/>
              <w:bottom w:w="100" w:type="dxa"/>
              <w:right w:w="100" w:type="dxa"/>
            </w:tcMar>
          </w:tcPr>
          <w:p w14:paraId="3FF660D1"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MOF</w:t>
            </w:r>
          </w:p>
          <w:p w14:paraId="69ED08E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HR (95% CI)</w:t>
            </w:r>
          </w:p>
        </w:tc>
        <w:tc>
          <w:tcPr>
            <w:tcW w:w="3270" w:type="dxa"/>
            <w:gridSpan w:val="2"/>
            <w:shd w:val="clear" w:color="auto" w:fill="auto"/>
            <w:tcMar>
              <w:top w:w="100" w:type="dxa"/>
              <w:left w:w="100" w:type="dxa"/>
              <w:bottom w:w="100" w:type="dxa"/>
              <w:right w:w="100" w:type="dxa"/>
            </w:tcMar>
          </w:tcPr>
          <w:p w14:paraId="457BF4C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Hip fracture</w:t>
            </w:r>
          </w:p>
          <w:p w14:paraId="3F6AC5EB"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HR (95</w:t>
            </w:r>
            <w:r>
              <w:rPr>
                <w:rFonts w:ascii="Times New Roman" w:eastAsia="Times New Roman" w:hAnsi="Times New Roman" w:cs="Times New Roman"/>
                <w:sz w:val="24"/>
                <w:szCs w:val="24"/>
              </w:rPr>
              <w:t>% CI)</w:t>
            </w:r>
          </w:p>
        </w:tc>
      </w:tr>
      <w:tr w:rsidR="00B82265" w14:paraId="5245F0AE" w14:textId="77777777">
        <w:trPr>
          <w:trHeight w:val="420"/>
        </w:trPr>
        <w:tc>
          <w:tcPr>
            <w:tcW w:w="2145" w:type="dxa"/>
            <w:vMerge/>
            <w:shd w:val="clear" w:color="auto" w:fill="auto"/>
            <w:tcMar>
              <w:top w:w="100" w:type="dxa"/>
              <w:left w:w="100" w:type="dxa"/>
              <w:bottom w:w="100" w:type="dxa"/>
              <w:right w:w="100" w:type="dxa"/>
            </w:tcMar>
          </w:tcPr>
          <w:p w14:paraId="3936CDB1" w14:textId="77777777" w:rsidR="00B82265" w:rsidRDefault="00B82265">
            <w:pPr>
              <w:widowControl w:val="0"/>
              <w:spacing w:line="240" w:lineRule="auto"/>
              <w:rPr>
                <w:rFonts w:ascii="Times New Roman" w:eastAsia="Times New Roman" w:hAnsi="Times New Roman" w:cs="Times New Roman"/>
                <w:sz w:val="24"/>
                <w:szCs w:val="24"/>
              </w:rPr>
            </w:pPr>
          </w:p>
        </w:tc>
        <w:tc>
          <w:tcPr>
            <w:tcW w:w="1635" w:type="dxa"/>
            <w:shd w:val="clear" w:color="auto" w:fill="auto"/>
            <w:tcMar>
              <w:top w:w="100" w:type="dxa"/>
              <w:left w:w="100" w:type="dxa"/>
              <w:bottom w:w="100" w:type="dxa"/>
              <w:right w:w="100" w:type="dxa"/>
            </w:tcMar>
          </w:tcPr>
          <w:p w14:paraId="067DDB1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without BMD</w:t>
            </w:r>
          </w:p>
        </w:tc>
        <w:tc>
          <w:tcPr>
            <w:tcW w:w="1635" w:type="dxa"/>
            <w:shd w:val="clear" w:color="auto" w:fill="auto"/>
            <w:tcMar>
              <w:top w:w="100" w:type="dxa"/>
              <w:left w:w="100" w:type="dxa"/>
              <w:bottom w:w="100" w:type="dxa"/>
              <w:right w:w="100" w:type="dxa"/>
            </w:tcMar>
          </w:tcPr>
          <w:p w14:paraId="254AC864"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with BMD</w:t>
            </w:r>
          </w:p>
        </w:tc>
        <w:tc>
          <w:tcPr>
            <w:tcW w:w="1635" w:type="dxa"/>
            <w:shd w:val="clear" w:color="auto" w:fill="auto"/>
            <w:tcMar>
              <w:top w:w="100" w:type="dxa"/>
              <w:left w:w="100" w:type="dxa"/>
              <w:bottom w:w="100" w:type="dxa"/>
              <w:right w:w="100" w:type="dxa"/>
            </w:tcMar>
          </w:tcPr>
          <w:p w14:paraId="40F65F4C"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without BMD</w:t>
            </w:r>
          </w:p>
        </w:tc>
        <w:tc>
          <w:tcPr>
            <w:tcW w:w="1635" w:type="dxa"/>
            <w:shd w:val="clear" w:color="auto" w:fill="auto"/>
            <w:tcMar>
              <w:top w:w="100" w:type="dxa"/>
              <w:left w:w="100" w:type="dxa"/>
              <w:bottom w:w="100" w:type="dxa"/>
              <w:right w:w="100" w:type="dxa"/>
            </w:tcMar>
          </w:tcPr>
          <w:p w14:paraId="46B2BE93"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FRAX with BMD</w:t>
            </w:r>
          </w:p>
        </w:tc>
      </w:tr>
      <w:tr w:rsidR="00B82265" w14:paraId="1FF590C4" w14:textId="77777777">
        <w:trPr>
          <w:trHeight w:val="420"/>
        </w:trPr>
        <w:tc>
          <w:tcPr>
            <w:tcW w:w="2145" w:type="dxa"/>
            <w:shd w:val="clear" w:color="auto" w:fill="auto"/>
            <w:tcMar>
              <w:top w:w="100" w:type="dxa"/>
              <w:left w:w="100" w:type="dxa"/>
              <w:bottom w:w="100" w:type="dxa"/>
              <w:right w:w="100" w:type="dxa"/>
            </w:tcMar>
          </w:tcPr>
          <w:p w14:paraId="602F36E6"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 population</w:t>
            </w:r>
          </w:p>
        </w:tc>
        <w:tc>
          <w:tcPr>
            <w:tcW w:w="1635" w:type="dxa"/>
            <w:shd w:val="clear" w:color="auto" w:fill="auto"/>
            <w:tcMar>
              <w:top w:w="100" w:type="dxa"/>
              <w:left w:w="100" w:type="dxa"/>
              <w:bottom w:w="100" w:type="dxa"/>
              <w:right w:w="100" w:type="dxa"/>
            </w:tcMar>
          </w:tcPr>
          <w:p w14:paraId="0E5A00C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1.93 (1.88-1.99)</w:t>
            </w:r>
          </w:p>
        </w:tc>
        <w:tc>
          <w:tcPr>
            <w:tcW w:w="1635" w:type="dxa"/>
            <w:shd w:val="clear" w:color="auto" w:fill="auto"/>
            <w:tcMar>
              <w:top w:w="100" w:type="dxa"/>
              <w:left w:w="100" w:type="dxa"/>
              <w:bottom w:w="100" w:type="dxa"/>
              <w:right w:w="100" w:type="dxa"/>
            </w:tcMar>
          </w:tcPr>
          <w:p w14:paraId="2DDCA95C"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2.05 (1.99-2.11)</w:t>
            </w:r>
          </w:p>
        </w:tc>
        <w:tc>
          <w:tcPr>
            <w:tcW w:w="1635" w:type="dxa"/>
            <w:shd w:val="clear" w:color="auto" w:fill="auto"/>
            <w:tcMar>
              <w:top w:w="100" w:type="dxa"/>
              <w:left w:w="100" w:type="dxa"/>
              <w:bottom w:w="100" w:type="dxa"/>
              <w:right w:w="100" w:type="dxa"/>
            </w:tcMar>
          </w:tcPr>
          <w:p w14:paraId="055A0AD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3.44 (3.22-3.67)</w:t>
            </w:r>
          </w:p>
        </w:tc>
        <w:tc>
          <w:tcPr>
            <w:tcW w:w="1635" w:type="dxa"/>
            <w:shd w:val="clear" w:color="auto" w:fill="auto"/>
            <w:tcMar>
              <w:top w:w="100" w:type="dxa"/>
              <w:left w:w="100" w:type="dxa"/>
              <w:bottom w:w="100" w:type="dxa"/>
              <w:right w:w="100" w:type="dxa"/>
            </w:tcMar>
          </w:tcPr>
          <w:p w14:paraId="6A5D7F9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4.10 (3.82-4.41)</w:t>
            </w:r>
          </w:p>
        </w:tc>
      </w:tr>
      <w:tr w:rsidR="00B82265" w14:paraId="7B4403AF" w14:textId="77777777">
        <w:trPr>
          <w:trHeight w:val="420"/>
        </w:trPr>
        <w:tc>
          <w:tcPr>
            <w:tcW w:w="2145" w:type="dxa"/>
            <w:shd w:val="clear" w:color="auto" w:fill="auto"/>
            <w:tcMar>
              <w:top w:w="100" w:type="dxa"/>
              <w:left w:w="100" w:type="dxa"/>
              <w:bottom w:w="100" w:type="dxa"/>
              <w:right w:w="100" w:type="dxa"/>
            </w:tcMar>
          </w:tcPr>
          <w:p w14:paraId="2ABF63CE"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Cancer population</w:t>
            </w:r>
          </w:p>
        </w:tc>
        <w:tc>
          <w:tcPr>
            <w:tcW w:w="1635" w:type="dxa"/>
            <w:shd w:val="clear" w:color="auto" w:fill="auto"/>
            <w:tcMar>
              <w:top w:w="100" w:type="dxa"/>
              <w:left w:w="100" w:type="dxa"/>
              <w:bottom w:w="100" w:type="dxa"/>
              <w:right w:w="100" w:type="dxa"/>
            </w:tcMar>
          </w:tcPr>
          <w:p w14:paraId="0B649CF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 (1.63-1.84)</w:t>
            </w:r>
          </w:p>
        </w:tc>
        <w:tc>
          <w:tcPr>
            <w:tcW w:w="1635" w:type="dxa"/>
            <w:shd w:val="clear" w:color="auto" w:fill="auto"/>
            <w:tcMar>
              <w:top w:w="100" w:type="dxa"/>
              <w:left w:w="100" w:type="dxa"/>
              <w:bottom w:w="100" w:type="dxa"/>
              <w:right w:w="100" w:type="dxa"/>
            </w:tcMar>
          </w:tcPr>
          <w:p w14:paraId="2DE5B1D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 (1.74-1.95)</w:t>
            </w:r>
          </w:p>
        </w:tc>
        <w:tc>
          <w:tcPr>
            <w:tcW w:w="1635" w:type="dxa"/>
            <w:shd w:val="clear" w:color="auto" w:fill="auto"/>
            <w:tcMar>
              <w:top w:w="100" w:type="dxa"/>
              <w:left w:w="100" w:type="dxa"/>
              <w:bottom w:w="100" w:type="dxa"/>
              <w:right w:w="100" w:type="dxa"/>
            </w:tcMar>
          </w:tcPr>
          <w:p w14:paraId="5FE4CC0A"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2.95 (2.59-3.37)</w:t>
            </w:r>
          </w:p>
        </w:tc>
        <w:tc>
          <w:tcPr>
            <w:tcW w:w="1635" w:type="dxa"/>
            <w:shd w:val="clear" w:color="auto" w:fill="auto"/>
            <w:tcMar>
              <w:top w:w="100" w:type="dxa"/>
              <w:left w:w="100" w:type="dxa"/>
              <w:bottom w:w="100" w:type="dxa"/>
              <w:right w:w="100" w:type="dxa"/>
            </w:tcMar>
          </w:tcPr>
          <w:p w14:paraId="67747F49"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3.61 (3.13-4.15)</w:t>
            </w:r>
          </w:p>
        </w:tc>
      </w:tr>
      <w:tr w:rsidR="00B82265" w14:paraId="508FF476" w14:textId="77777777">
        <w:trPr>
          <w:trHeight w:val="420"/>
        </w:trPr>
        <w:tc>
          <w:tcPr>
            <w:tcW w:w="2145" w:type="dxa"/>
            <w:shd w:val="clear" w:color="auto" w:fill="auto"/>
            <w:tcMar>
              <w:top w:w="100" w:type="dxa"/>
              <w:left w:w="100" w:type="dxa"/>
              <w:bottom w:w="100" w:type="dxa"/>
              <w:right w:w="100" w:type="dxa"/>
            </w:tcMar>
          </w:tcPr>
          <w:p w14:paraId="7B4E4D8D"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rPr>
              <w:t>p-interaction FRAX*cancer status</w:t>
            </w:r>
          </w:p>
        </w:tc>
        <w:tc>
          <w:tcPr>
            <w:tcW w:w="1635" w:type="dxa"/>
            <w:shd w:val="clear" w:color="auto" w:fill="auto"/>
            <w:tcMar>
              <w:top w:w="100" w:type="dxa"/>
              <w:left w:w="100" w:type="dxa"/>
              <w:bottom w:w="100" w:type="dxa"/>
              <w:right w:w="100" w:type="dxa"/>
            </w:tcMar>
          </w:tcPr>
          <w:p w14:paraId="0602198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635" w:type="dxa"/>
            <w:shd w:val="clear" w:color="auto" w:fill="auto"/>
            <w:tcMar>
              <w:top w:w="100" w:type="dxa"/>
              <w:left w:w="100" w:type="dxa"/>
              <w:bottom w:w="100" w:type="dxa"/>
              <w:right w:w="100" w:type="dxa"/>
            </w:tcMar>
          </w:tcPr>
          <w:p w14:paraId="199A1AE6"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1635" w:type="dxa"/>
            <w:shd w:val="clear" w:color="auto" w:fill="auto"/>
            <w:tcMar>
              <w:top w:w="100" w:type="dxa"/>
              <w:left w:w="100" w:type="dxa"/>
              <w:bottom w:w="100" w:type="dxa"/>
              <w:right w:w="100" w:type="dxa"/>
            </w:tcMar>
          </w:tcPr>
          <w:p w14:paraId="4806AEA3"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0.043</w:t>
            </w:r>
          </w:p>
        </w:tc>
        <w:tc>
          <w:tcPr>
            <w:tcW w:w="1635" w:type="dxa"/>
            <w:shd w:val="clear" w:color="auto" w:fill="auto"/>
            <w:tcMar>
              <w:top w:w="100" w:type="dxa"/>
              <w:left w:w="100" w:type="dxa"/>
              <w:bottom w:w="100" w:type="dxa"/>
              <w:right w:w="100" w:type="dxa"/>
            </w:tcMar>
          </w:tcPr>
          <w:p w14:paraId="43668F3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tc>
      </w:tr>
    </w:tbl>
    <w:p w14:paraId="3DA22C68" w14:textId="77777777" w:rsidR="00B82265" w:rsidRDefault="00B929DB">
      <w:pPr>
        <w:rPr>
          <w:rFonts w:ascii="Times New Roman" w:eastAsia="Times New Roman" w:hAnsi="Times New Roman" w:cs="Times New Roman"/>
          <w:b/>
          <w:sz w:val="24"/>
          <w:szCs w:val="24"/>
        </w:rPr>
      </w:pPr>
      <w:r>
        <w:rPr>
          <w:rFonts w:ascii="Times New Roman" w:eastAsia="Times New Roman" w:hAnsi="Times New Roman" w:cs="Times New Roman"/>
          <w:i/>
          <w:sz w:val="24"/>
          <w:szCs w:val="24"/>
        </w:rPr>
        <w:t>MOF=major osteoporotic fracture; BMD=bone mineral density.</w:t>
      </w:r>
      <w:r>
        <w:br w:type="page"/>
      </w:r>
    </w:p>
    <w:p w14:paraId="118E6DF2"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Table 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Hazard ratios (HR) with 95% confidence intervals (CI) for outcome of incident fracture for cancer diagnosis adjusted for FRAX score.</w:t>
      </w:r>
    </w:p>
    <w:p w14:paraId="201CA06D" w14:textId="77777777" w:rsidR="00B82265" w:rsidRDefault="00B82265">
      <w:pPr>
        <w:rPr>
          <w:rFonts w:ascii="Times New Roman" w:eastAsia="Times New Roman" w:hAnsi="Times New Roman" w:cs="Times New Roman"/>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B82265" w14:paraId="1F4B0DF3" w14:textId="77777777">
        <w:trPr>
          <w:trHeight w:val="440"/>
        </w:trPr>
        <w:tc>
          <w:tcPr>
            <w:tcW w:w="3120" w:type="dxa"/>
            <w:vMerge w:val="restart"/>
            <w:shd w:val="clear" w:color="auto" w:fill="auto"/>
            <w:tcMar>
              <w:top w:w="100" w:type="dxa"/>
              <w:left w:w="100" w:type="dxa"/>
              <w:bottom w:w="100" w:type="dxa"/>
              <w:right w:w="100" w:type="dxa"/>
            </w:tcMar>
            <w:vAlign w:val="bottom"/>
          </w:tcPr>
          <w:p w14:paraId="05434254" w14:textId="77777777" w:rsidR="00B82265" w:rsidRDefault="00B82265">
            <w:pPr>
              <w:widowControl w:val="0"/>
              <w:spacing w:line="240" w:lineRule="auto"/>
              <w:rPr>
                <w:rFonts w:ascii="Times New Roman" w:eastAsia="Times New Roman" w:hAnsi="Times New Roman" w:cs="Times New Roman"/>
                <w:sz w:val="24"/>
                <w:szCs w:val="24"/>
              </w:rPr>
            </w:pPr>
          </w:p>
          <w:p w14:paraId="005443FF"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6240" w:type="dxa"/>
            <w:gridSpan w:val="2"/>
            <w:shd w:val="clear" w:color="auto" w:fill="auto"/>
            <w:tcMar>
              <w:top w:w="100" w:type="dxa"/>
              <w:left w:w="100" w:type="dxa"/>
              <w:bottom w:w="100" w:type="dxa"/>
              <w:right w:w="100" w:type="dxa"/>
            </w:tcMar>
          </w:tcPr>
          <w:p w14:paraId="3BC138F2"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Cancer population (vs general population)</w:t>
            </w:r>
          </w:p>
          <w:p w14:paraId="7EB2754D"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HR (95% CI)</w:t>
            </w:r>
          </w:p>
        </w:tc>
      </w:tr>
      <w:tr w:rsidR="00B82265" w14:paraId="0776AA2B" w14:textId="77777777">
        <w:trPr>
          <w:trHeight w:val="440"/>
        </w:trPr>
        <w:tc>
          <w:tcPr>
            <w:tcW w:w="3120" w:type="dxa"/>
            <w:vMerge/>
            <w:shd w:val="clear" w:color="auto" w:fill="auto"/>
            <w:tcMar>
              <w:top w:w="100" w:type="dxa"/>
              <w:left w:w="100" w:type="dxa"/>
              <w:bottom w:w="100" w:type="dxa"/>
              <w:right w:w="100" w:type="dxa"/>
            </w:tcMar>
            <w:vAlign w:val="bottom"/>
          </w:tcPr>
          <w:p w14:paraId="1D62EA3D" w14:textId="77777777" w:rsidR="00B82265" w:rsidRDefault="00B82265">
            <w:pPr>
              <w:widowControl w:val="0"/>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76C0DA2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MOF</w:t>
            </w:r>
          </w:p>
        </w:tc>
        <w:tc>
          <w:tcPr>
            <w:tcW w:w="3120" w:type="dxa"/>
            <w:shd w:val="clear" w:color="auto" w:fill="auto"/>
            <w:tcMar>
              <w:top w:w="100" w:type="dxa"/>
              <w:left w:w="100" w:type="dxa"/>
              <w:bottom w:w="100" w:type="dxa"/>
              <w:right w:w="100" w:type="dxa"/>
            </w:tcMar>
          </w:tcPr>
          <w:p w14:paraId="5F7E32FB"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Hip fracture</w:t>
            </w:r>
          </w:p>
        </w:tc>
      </w:tr>
      <w:tr w:rsidR="00B82265" w14:paraId="4F60B17C" w14:textId="77777777">
        <w:trPr>
          <w:trHeight w:val="1037"/>
        </w:trPr>
        <w:tc>
          <w:tcPr>
            <w:tcW w:w="3120" w:type="dxa"/>
            <w:shd w:val="clear" w:color="auto" w:fill="auto"/>
            <w:tcMar>
              <w:top w:w="100" w:type="dxa"/>
              <w:left w:w="100" w:type="dxa"/>
              <w:bottom w:w="100" w:type="dxa"/>
              <w:right w:w="100" w:type="dxa"/>
            </w:tcMar>
          </w:tcPr>
          <w:p w14:paraId="6E6AE512"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for FRAX without BMD</w:t>
            </w:r>
          </w:p>
        </w:tc>
        <w:tc>
          <w:tcPr>
            <w:tcW w:w="3120" w:type="dxa"/>
            <w:shd w:val="clear" w:color="auto" w:fill="auto"/>
            <w:tcMar>
              <w:top w:w="100" w:type="dxa"/>
              <w:left w:w="100" w:type="dxa"/>
              <w:bottom w:w="100" w:type="dxa"/>
              <w:right w:w="100" w:type="dxa"/>
            </w:tcMar>
          </w:tcPr>
          <w:p w14:paraId="15E2DF4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1.036 (0.970-1.107)</w:t>
            </w:r>
          </w:p>
        </w:tc>
        <w:tc>
          <w:tcPr>
            <w:tcW w:w="3120" w:type="dxa"/>
            <w:shd w:val="clear" w:color="auto" w:fill="auto"/>
            <w:tcMar>
              <w:top w:w="100" w:type="dxa"/>
              <w:left w:w="100" w:type="dxa"/>
              <w:bottom w:w="100" w:type="dxa"/>
              <w:right w:w="100" w:type="dxa"/>
            </w:tcMar>
          </w:tcPr>
          <w:p w14:paraId="3B9B4988"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1.070 (0.947-1.209)</w:t>
            </w:r>
          </w:p>
        </w:tc>
      </w:tr>
      <w:tr w:rsidR="00B82265" w14:paraId="5A3CB6C2" w14:textId="77777777">
        <w:trPr>
          <w:trHeight w:val="1037"/>
        </w:trPr>
        <w:tc>
          <w:tcPr>
            <w:tcW w:w="3120" w:type="dxa"/>
            <w:shd w:val="clear" w:color="auto" w:fill="auto"/>
            <w:tcMar>
              <w:top w:w="100" w:type="dxa"/>
              <w:left w:w="100" w:type="dxa"/>
              <w:bottom w:w="100" w:type="dxa"/>
              <w:right w:w="100" w:type="dxa"/>
            </w:tcMar>
          </w:tcPr>
          <w:p w14:paraId="4B85BC09"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for FRAX with BMD</w:t>
            </w:r>
          </w:p>
        </w:tc>
        <w:tc>
          <w:tcPr>
            <w:tcW w:w="3120" w:type="dxa"/>
            <w:shd w:val="clear" w:color="auto" w:fill="auto"/>
            <w:tcMar>
              <w:top w:w="100" w:type="dxa"/>
              <w:left w:w="100" w:type="dxa"/>
              <w:bottom w:w="100" w:type="dxa"/>
              <w:right w:w="100" w:type="dxa"/>
            </w:tcMar>
          </w:tcPr>
          <w:p w14:paraId="648B84E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1.168 (1.094-1.247)</w:t>
            </w:r>
          </w:p>
          <w:p w14:paraId="57757CE2" w14:textId="77777777" w:rsidR="00B82265" w:rsidRDefault="00B82265">
            <w:pPr>
              <w:widowControl w:val="0"/>
              <w:spacing w:line="240" w:lineRule="auto"/>
              <w:rPr>
                <w:rFonts w:ascii="Times New Roman" w:eastAsia="Times New Roman" w:hAnsi="Times New Roman" w:cs="Times New Roman"/>
                <w:sz w:val="24"/>
                <w:szCs w:val="24"/>
              </w:rPr>
            </w:pPr>
          </w:p>
        </w:tc>
        <w:tc>
          <w:tcPr>
            <w:tcW w:w="3120" w:type="dxa"/>
            <w:shd w:val="clear" w:color="auto" w:fill="auto"/>
            <w:tcMar>
              <w:top w:w="100" w:type="dxa"/>
              <w:left w:w="100" w:type="dxa"/>
              <w:bottom w:w="100" w:type="dxa"/>
              <w:right w:w="100" w:type="dxa"/>
            </w:tcMar>
          </w:tcPr>
          <w:p w14:paraId="5144DF7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1.299 (1.150-1.468)</w:t>
            </w:r>
          </w:p>
        </w:tc>
      </w:tr>
      <w:tr w:rsidR="00B82265" w14:paraId="435241C8" w14:textId="77777777">
        <w:trPr>
          <w:trHeight w:val="1037"/>
        </w:trPr>
        <w:tc>
          <w:tcPr>
            <w:tcW w:w="3120" w:type="dxa"/>
            <w:shd w:val="clear" w:color="auto" w:fill="auto"/>
            <w:tcMar>
              <w:top w:w="100" w:type="dxa"/>
              <w:left w:w="100" w:type="dxa"/>
              <w:bottom w:w="100" w:type="dxa"/>
              <w:right w:w="100" w:type="dxa"/>
            </w:tcMar>
          </w:tcPr>
          <w:p w14:paraId="663C1FF8"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for individual FRAX risk factors and OP drug (without BMD)</w:t>
            </w:r>
          </w:p>
        </w:tc>
        <w:tc>
          <w:tcPr>
            <w:tcW w:w="3120" w:type="dxa"/>
            <w:shd w:val="clear" w:color="auto" w:fill="auto"/>
            <w:tcMar>
              <w:top w:w="100" w:type="dxa"/>
              <w:left w:w="100" w:type="dxa"/>
              <w:bottom w:w="100" w:type="dxa"/>
              <w:right w:w="100" w:type="dxa"/>
            </w:tcMar>
          </w:tcPr>
          <w:p w14:paraId="2BA351B9"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1.057 (0.986-1.133)</w:t>
            </w:r>
          </w:p>
        </w:tc>
        <w:tc>
          <w:tcPr>
            <w:tcW w:w="3120" w:type="dxa"/>
            <w:shd w:val="clear" w:color="auto" w:fill="auto"/>
            <w:tcMar>
              <w:top w:w="100" w:type="dxa"/>
              <w:left w:w="100" w:type="dxa"/>
              <w:bottom w:w="100" w:type="dxa"/>
              <w:right w:w="100" w:type="dxa"/>
            </w:tcMar>
          </w:tcPr>
          <w:p w14:paraId="3382FDE0"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1.049 (0.923-1.191)</w:t>
            </w:r>
          </w:p>
        </w:tc>
      </w:tr>
      <w:tr w:rsidR="00B82265" w14:paraId="223E3BD4" w14:textId="77777777">
        <w:trPr>
          <w:trHeight w:val="1037"/>
        </w:trPr>
        <w:tc>
          <w:tcPr>
            <w:tcW w:w="3120" w:type="dxa"/>
            <w:shd w:val="clear" w:color="auto" w:fill="auto"/>
            <w:tcMar>
              <w:top w:w="100" w:type="dxa"/>
              <w:left w:w="100" w:type="dxa"/>
              <w:bottom w:w="100" w:type="dxa"/>
              <w:right w:w="100" w:type="dxa"/>
            </w:tcMar>
          </w:tcPr>
          <w:p w14:paraId="45B27377" w14:textId="77777777" w:rsidR="00B82265" w:rsidRDefault="00B929DB">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for individual FRAX risk factors and OP drug (with BMD)</w:t>
            </w:r>
          </w:p>
        </w:tc>
        <w:tc>
          <w:tcPr>
            <w:tcW w:w="3120" w:type="dxa"/>
            <w:shd w:val="clear" w:color="auto" w:fill="auto"/>
            <w:tcMar>
              <w:top w:w="100" w:type="dxa"/>
              <w:left w:w="100" w:type="dxa"/>
              <w:bottom w:w="100" w:type="dxa"/>
              <w:right w:w="100" w:type="dxa"/>
            </w:tcMar>
          </w:tcPr>
          <w:p w14:paraId="6A0485F4"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1.115 (1.041-1.195)</w:t>
            </w:r>
          </w:p>
        </w:tc>
        <w:tc>
          <w:tcPr>
            <w:tcW w:w="3120" w:type="dxa"/>
            <w:shd w:val="clear" w:color="auto" w:fill="auto"/>
            <w:tcMar>
              <w:top w:w="100" w:type="dxa"/>
              <w:left w:w="100" w:type="dxa"/>
              <w:bottom w:w="100" w:type="dxa"/>
              <w:right w:w="100" w:type="dxa"/>
            </w:tcMar>
          </w:tcPr>
          <w:p w14:paraId="4A93C6CB" w14:textId="77777777" w:rsidR="00B82265" w:rsidRDefault="00B929DB">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1.147 (1.010-1.302) </w:t>
            </w:r>
          </w:p>
        </w:tc>
      </w:tr>
    </w:tbl>
    <w:p w14:paraId="488A04F0" w14:textId="77777777" w:rsidR="00B82265" w:rsidRDefault="00B929DB">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MOF=major osteoporotic fracture, BMD=bo</w:t>
      </w:r>
      <w:r>
        <w:rPr>
          <w:rFonts w:ascii="Times New Roman" w:eastAsia="Times New Roman" w:hAnsi="Times New Roman" w:cs="Times New Roman"/>
          <w:i/>
          <w:sz w:val="24"/>
          <w:szCs w:val="24"/>
        </w:rPr>
        <w:t>ne mineral density, OP=osteoporosis.</w:t>
      </w:r>
    </w:p>
    <w:p w14:paraId="71EC4B9E" w14:textId="77777777" w:rsidR="00B82265" w:rsidRDefault="00B82265">
      <w:pPr>
        <w:rPr>
          <w:rFonts w:ascii="Times New Roman" w:eastAsia="Times New Roman" w:hAnsi="Times New Roman" w:cs="Times New Roman"/>
          <w:sz w:val="24"/>
          <w:szCs w:val="24"/>
        </w:rPr>
      </w:pPr>
    </w:p>
    <w:p w14:paraId="111DE3D6" w14:textId="77777777" w:rsidR="00B82265" w:rsidRDefault="00B929DB">
      <w:pPr>
        <w:rPr>
          <w:rFonts w:ascii="Times New Roman" w:eastAsia="Times New Roman" w:hAnsi="Times New Roman" w:cs="Times New Roman"/>
          <w:sz w:val="24"/>
          <w:szCs w:val="24"/>
        </w:rPr>
      </w:pPr>
      <w:r>
        <w:br w:type="page"/>
      </w:r>
    </w:p>
    <w:p w14:paraId="42BA50E6"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Figure 1. </w:t>
      </w:r>
      <w:r>
        <w:rPr>
          <w:rFonts w:ascii="Times New Roman" w:eastAsia="Times New Roman" w:hAnsi="Times New Roman" w:cs="Times New Roman"/>
          <w:sz w:val="24"/>
          <w:szCs w:val="24"/>
        </w:rPr>
        <w:t>Calibration curves of</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observed vs FRAX-predicted 10-year fracture probability for individuals with cancer, by FRAX-predicted fracture risk decile, with 95% confidence interval error bars. </w:t>
      </w:r>
    </w:p>
    <w:p w14:paraId="00BE5E53" w14:textId="77777777" w:rsidR="00B82265" w:rsidRDefault="00B82265">
      <w:pPr>
        <w:rPr>
          <w:rFonts w:ascii="Times New Roman" w:eastAsia="Times New Roman" w:hAnsi="Times New Roman" w:cs="Times New Roman"/>
          <w:sz w:val="24"/>
          <w:szCs w:val="24"/>
        </w:rPr>
      </w:pPr>
    </w:p>
    <w:p w14:paraId="223556AB"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Major osteoporotic fracture, FRAX without BMD</w:t>
      </w:r>
    </w:p>
    <w:p w14:paraId="734AA0A8" w14:textId="77777777" w:rsidR="00B82265" w:rsidRDefault="00B82265">
      <w:pPr>
        <w:rPr>
          <w:rFonts w:ascii="Times New Roman" w:eastAsia="Times New Roman" w:hAnsi="Times New Roman" w:cs="Times New Roman"/>
          <w:sz w:val="24"/>
          <w:szCs w:val="24"/>
        </w:rPr>
      </w:pPr>
    </w:p>
    <w:p w14:paraId="11023DC4"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sz w:val="24"/>
          <w:szCs w:val="24"/>
        </w:rPr>
        <w:t>(B) Major osteoporotic fracture, FRAX with BMD</w:t>
      </w:r>
    </w:p>
    <w:p w14:paraId="1E08334A" w14:textId="77777777" w:rsidR="00B82265" w:rsidRDefault="00B82265">
      <w:pPr>
        <w:rPr>
          <w:rFonts w:ascii="Times New Roman" w:eastAsia="Times New Roman" w:hAnsi="Times New Roman" w:cs="Times New Roman"/>
          <w:sz w:val="24"/>
          <w:szCs w:val="24"/>
        </w:rPr>
      </w:pPr>
    </w:p>
    <w:p w14:paraId="3BA4625E"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sz w:val="24"/>
          <w:szCs w:val="24"/>
        </w:rPr>
        <w:t>(C) Hip fracture, FRAX without BMD</w:t>
      </w:r>
    </w:p>
    <w:p w14:paraId="2C5E8ABD" w14:textId="77777777" w:rsidR="00B82265" w:rsidRDefault="00B82265">
      <w:pPr>
        <w:rPr>
          <w:rFonts w:ascii="Times New Roman" w:eastAsia="Times New Roman" w:hAnsi="Times New Roman" w:cs="Times New Roman"/>
          <w:sz w:val="24"/>
          <w:szCs w:val="24"/>
        </w:rPr>
      </w:pPr>
    </w:p>
    <w:p w14:paraId="41FD3F4A" w14:textId="77777777" w:rsidR="00B82265" w:rsidRDefault="00B929DB">
      <w:pPr>
        <w:rPr>
          <w:rFonts w:ascii="Times New Roman" w:eastAsia="Times New Roman" w:hAnsi="Times New Roman" w:cs="Times New Roman"/>
          <w:sz w:val="24"/>
          <w:szCs w:val="24"/>
        </w:rPr>
      </w:pPr>
      <w:r>
        <w:rPr>
          <w:rFonts w:ascii="Times New Roman" w:eastAsia="Times New Roman" w:hAnsi="Times New Roman" w:cs="Times New Roman"/>
          <w:sz w:val="24"/>
          <w:szCs w:val="24"/>
        </w:rPr>
        <w:t>(D) Hip fracture, FRAX with BMD</w:t>
      </w:r>
    </w:p>
    <w:p w14:paraId="2B71D06D" w14:textId="77777777" w:rsidR="00B82265" w:rsidRDefault="00B82265">
      <w:pPr>
        <w:rPr>
          <w:rFonts w:ascii="Times New Roman" w:eastAsia="Times New Roman" w:hAnsi="Times New Roman" w:cs="Times New Roman"/>
          <w:sz w:val="24"/>
          <w:szCs w:val="24"/>
        </w:rPr>
      </w:pPr>
    </w:p>
    <w:p w14:paraId="4855B792" w14:textId="77777777" w:rsidR="00B82265" w:rsidRDefault="00B82265">
      <w:pPr>
        <w:rPr>
          <w:rFonts w:ascii="Times New Roman" w:eastAsia="Times New Roman" w:hAnsi="Times New Roman" w:cs="Times New Roman"/>
          <w:sz w:val="24"/>
          <w:szCs w:val="24"/>
        </w:rPr>
      </w:pPr>
    </w:p>
    <w:p w14:paraId="1B702AF1" w14:textId="77777777" w:rsidR="00B82265" w:rsidRDefault="00B82265">
      <w:pPr>
        <w:rPr>
          <w:rFonts w:ascii="Times New Roman" w:eastAsia="Times New Roman" w:hAnsi="Times New Roman" w:cs="Times New Roman"/>
          <w:sz w:val="24"/>
          <w:szCs w:val="24"/>
        </w:rPr>
      </w:pPr>
    </w:p>
    <w:p w14:paraId="392C1D4B" w14:textId="77777777" w:rsidR="00B82265" w:rsidRDefault="00B82265">
      <w:pPr>
        <w:rPr>
          <w:rFonts w:ascii="Times New Roman" w:eastAsia="Times New Roman" w:hAnsi="Times New Roman" w:cs="Times New Roman"/>
          <w:sz w:val="24"/>
          <w:szCs w:val="24"/>
        </w:rPr>
      </w:pPr>
    </w:p>
    <w:p w14:paraId="6C6C937F" w14:textId="77777777" w:rsidR="00B82265" w:rsidRDefault="00B929DB">
      <w:pPr>
        <w:widowControl w:val="0"/>
        <w:pBdr>
          <w:top w:val="nil"/>
          <w:left w:val="nil"/>
          <w:bottom w:val="nil"/>
          <w:right w:val="nil"/>
          <w:between w:val="nil"/>
        </w:pBdr>
        <w:spacing w:before="240" w:after="240" w:line="480" w:lineRule="auto"/>
        <w:rPr>
          <w:rFonts w:ascii="Times New Roman" w:eastAsia="Times New Roman" w:hAnsi="Times New Roman" w:cs="Times New Roman"/>
          <w:b/>
          <w:sz w:val="24"/>
          <w:szCs w:val="24"/>
        </w:rPr>
      </w:pPr>
      <w:r>
        <w:br w:type="page"/>
      </w:r>
    </w:p>
    <w:p w14:paraId="1C635365" w14:textId="77777777" w:rsidR="00B82265" w:rsidRDefault="00B929DB">
      <w:pPr>
        <w:widowControl w:val="0"/>
        <w:pBdr>
          <w:top w:val="nil"/>
          <w:left w:val="nil"/>
          <w:bottom w:val="nil"/>
          <w:right w:val="nil"/>
          <w:between w:val="nil"/>
        </w:pBdr>
        <w:spacing w:before="240" w:after="24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14:paraId="2982FEAB" w14:textId="77777777" w:rsidR="00B82265" w:rsidRDefault="00B929DB">
      <w:pPr>
        <w:widowControl w:val="0"/>
        <w:pBdr>
          <w:top w:val="nil"/>
          <w:left w:val="nil"/>
          <w:bottom w:val="nil"/>
          <w:right w:val="nil"/>
          <w:between w:val="nil"/>
        </w:pBdr>
        <w:spacing w:before="240"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hyperlink r:id="rId41">
        <w:r>
          <w:rPr>
            <w:rFonts w:ascii="Times New Roman" w:eastAsia="Times New Roman" w:hAnsi="Times New Roman" w:cs="Times New Roman"/>
            <w:color w:val="000000"/>
            <w:sz w:val="24"/>
            <w:szCs w:val="24"/>
          </w:rPr>
          <w:t xml:space="preserve">Ye C, Leslie WD. Fracture risk and assessment in adults with cancer. </w:t>
        </w:r>
      </w:hyperlink>
      <w:hyperlink r:id="rId42">
        <w:r>
          <w:rPr>
            <w:rFonts w:ascii="Times New Roman" w:eastAsia="Times New Roman" w:hAnsi="Times New Roman" w:cs="Times New Roman"/>
            <w:i/>
            <w:color w:val="000000"/>
            <w:sz w:val="24"/>
            <w:szCs w:val="24"/>
          </w:rPr>
          <w:t>Osteoporos Int</w:t>
        </w:r>
      </w:hyperlink>
      <w:hyperlink r:id="rId43">
        <w:r>
          <w:rPr>
            <w:rFonts w:ascii="Times New Roman" w:eastAsia="Times New Roman" w:hAnsi="Times New Roman" w:cs="Times New Roman"/>
            <w:color w:val="000000"/>
            <w:sz w:val="24"/>
            <w:szCs w:val="24"/>
          </w:rPr>
          <w:t>. Published online December 13, 2022. doi:</w:t>
        </w:r>
      </w:hyperlink>
      <w:hyperlink r:id="rId44">
        <w:r>
          <w:rPr>
            <w:rFonts w:ascii="Times New Roman" w:eastAsia="Times New Roman" w:hAnsi="Times New Roman" w:cs="Times New Roman"/>
            <w:color w:val="000000"/>
            <w:sz w:val="24"/>
            <w:szCs w:val="24"/>
          </w:rPr>
          <w:t>10.1007/s00198-022-06631-4</w:t>
        </w:r>
      </w:hyperlink>
    </w:p>
    <w:p w14:paraId="2170A9B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hyperlink r:id="rId45">
        <w:r>
          <w:rPr>
            <w:rFonts w:ascii="Times New Roman" w:eastAsia="Times New Roman" w:hAnsi="Times New Roman" w:cs="Times New Roman"/>
            <w:color w:val="000000"/>
            <w:sz w:val="24"/>
            <w:szCs w:val="24"/>
          </w:rPr>
          <w:t xml:space="preserve">Coleman RE. Clinical features of metastatic bone disease and risk of skeletal morbidity. </w:t>
        </w:r>
      </w:hyperlink>
      <w:hyperlink r:id="rId46">
        <w:r>
          <w:rPr>
            <w:rFonts w:ascii="Times New Roman" w:eastAsia="Times New Roman" w:hAnsi="Times New Roman" w:cs="Times New Roman"/>
            <w:i/>
            <w:color w:val="000000"/>
            <w:sz w:val="24"/>
            <w:szCs w:val="24"/>
          </w:rPr>
          <w:t>Clin Cancer Res</w:t>
        </w:r>
      </w:hyperlink>
      <w:hyperlink r:id="rId47">
        <w:r>
          <w:rPr>
            <w:rFonts w:ascii="Times New Roman" w:eastAsia="Times New Roman" w:hAnsi="Times New Roman" w:cs="Times New Roman"/>
            <w:color w:val="000000"/>
            <w:sz w:val="24"/>
            <w:szCs w:val="24"/>
          </w:rPr>
          <w:t>. 2006;12(20 Pt 2):6243s - 6249s.</w:t>
        </w:r>
      </w:hyperlink>
    </w:p>
    <w:p w14:paraId="7A2B5872"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hyperlink r:id="rId48">
        <w:r>
          <w:rPr>
            <w:rFonts w:ascii="Times New Roman" w:eastAsia="Times New Roman" w:hAnsi="Times New Roman" w:cs="Times New Roman"/>
            <w:color w:val="000000"/>
            <w:sz w:val="24"/>
            <w:szCs w:val="24"/>
          </w:rPr>
          <w:t xml:space="preserve">Seo GH, Kang HY, Choe EK. Osteoporosis and fracture after gastrectomy for stomach cancer. </w:t>
        </w:r>
      </w:hyperlink>
      <w:hyperlink r:id="rId49">
        <w:r>
          <w:rPr>
            <w:rFonts w:ascii="Times New Roman" w:eastAsia="Times New Roman" w:hAnsi="Times New Roman" w:cs="Times New Roman"/>
            <w:i/>
            <w:color w:val="000000"/>
            <w:sz w:val="24"/>
            <w:szCs w:val="24"/>
          </w:rPr>
          <w:t>Medicine</w:t>
        </w:r>
      </w:hyperlink>
      <w:hyperlink r:id="rId50">
        <w:r>
          <w:rPr>
            <w:rFonts w:ascii="Times New Roman" w:eastAsia="Times New Roman" w:hAnsi="Times New Roman" w:cs="Times New Roman"/>
            <w:color w:val="000000"/>
            <w:sz w:val="24"/>
            <w:szCs w:val="24"/>
          </w:rPr>
          <w:t>. 2018;97(17):e0532. doi:</w:t>
        </w:r>
      </w:hyperlink>
      <w:hyperlink r:id="rId51">
        <w:r>
          <w:rPr>
            <w:rFonts w:ascii="Times New Roman" w:eastAsia="Times New Roman" w:hAnsi="Times New Roman" w:cs="Times New Roman"/>
            <w:color w:val="000000"/>
            <w:sz w:val="24"/>
            <w:szCs w:val="24"/>
          </w:rPr>
          <w:t>10.1097/md.0000000000010532</w:t>
        </w:r>
      </w:hyperlink>
    </w:p>
    <w:p w14:paraId="6BED097E"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r>
      <w:hyperlink r:id="rId52">
        <w:r>
          <w:rPr>
            <w:rFonts w:ascii="Times New Roman" w:eastAsia="Times New Roman" w:hAnsi="Times New Roman" w:cs="Times New Roman"/>
            <w:color w:val="000000"/>
            <w:sz w:val="24"/>
            <w:szCs w:val="24"/>
          </w:rPr>
          <w:t>Faubion SS, Kuhle CL, Shuster LT, Rocca WA. Long-term health consequences of p</w:t>
        </w:r>
        <w:r>
          <w:rPr>
            <w:rFonts w:ascii="Times New Roman" w:eastAsia="Times New Roman" w:hAnsi="Times New Roman" w:cs="Times New Roman"/>
            <w:color w:val="000000"/>
            <w:sz w:val="24"/>
            <w:szCs w:val="24"/>
          </w:rPr>
          <w:t xml:space="preserve">remature or early menopause and considerations for management. </w:t>
        </w:r>
      </w:hyperlink>
      <w:hyperlink r:id="rId53">
        <w:r>
          <w:rPr>
            <w:rFonts w:ascii="Times New Roman" w:eastAsia="Times New Roman" w:hAnsi="Times New Roman" w:cs="Times New Roman"/>
            <w:i/>
            <w:color w:val="000000"/>
            <w:sz w:val="24"/>
            <w:szCs w:val="24"/>
          </w:rPr>
          <w:t>Climacteric</w:t>
        </w:r>
      </w:hyperlink>
      <w:hyperlink r:id="rId54">
        <w:r>
          <w:rPr>
            <w:rFonts w:ascii="Times New Roman" w:eastAsia="Times New Roman" w:hAnsi="Times New Roman" w:cs="Times New Roman"/>
            <w:color w:val="000000"/>
            <w:sz w:val="24"/>
            <w:szCs w:val="24"/>
          </w:rPr>
          <w:t>. 2015;18(4):483-491. doi:</w:t>
        </w:r>
      </w:hyperlink>
      <w:hyperlink r:id="rId55">
        <w:r>
          <w:rPr>
            <w:rFonts w:ascii="Times New Roman" w:eastAsia="Times New Roman" w:hAnsi="Times New Roman" w:cs="Times New Roman"/>
            <w:color w:val="000000"/>
            <w:sz w:val="24"/>
            <w:szCs w:val="24"/>
          </w:rPr>
          <w:t>10.3109/13697137.2015.1020484</w:t>
        </w:r>
      </w:hyperlink>
    </w:p>
    <w:p w14:paraId="7F921F2E"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r>
      <w:hyperlink r:id="rId56">
        <w:r>
          <w:rPr>
            <w:rFonts w:ascii="Times New Roman" w:eastAsia="Times New Roman" w:hAnsi="Times New Roman" w:cs="Times New Roman"/>
            <w:color w:val="000000"/>
            <w:sz w:val="24"/>
            <w:szCs w:val="24"/>
          </w:rPr>
          <w:t xml:space="preserve">Bazire L, Xu H, Foy JP, et al. Pelvic insufficiency fracture (PIF) incidence in patients treated with intensity-modulated radiation therapy (IMRT) for gynaecological or anal cancer: single-institution experience and review of the literature. </w:t>
        </w:r>
      </w:hyperlink>
      <w:hyperlink r:id="rId57">
        <w:r>
          <w:rPr>
            <w:rFonts w:ascii="Times New Roman" w:eastAsia="Times New Roman" w:hAnsi="Times New Roman" w:cs="Times New Roman"/>
            <w:i/>
            <w:color w:val="000000"/>
            <w:sz w:val="24"/>
            <w:szCs w:val="24"/>
          </w:rPr>
          <w:t>Br J Radiol</w:t>
        </w:r>
      </w:hyperlink>
      <w:hyperlink r:id="rId58">
        <w:r>
          <w:rPr>
            <w:rFonts w:ascii="Times New Roman" w:eastAsia="Times New Roman" w:hAnsi="Times New Roman" w:cs="Times New Roman"/>
            <w:color w:val="000000"/>
            <w:sz w:val="24"/>
            <w:szCs w:val="24"/>
          </w:rPr>
          <w:t>. 2017;90(1073):20160885.</w:t>
        </w:r>
      </w:hyperlink>
    </w:p>
    <w:p w14:paraId="23C3240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r>
      <w:hyperlink r:id="rId59">
        <w:r>
          <w:rPr>
            <w:rFonts w:ascii="Times New Roman" w:eastAsia="Times New Roman" w:hAnsi="Times New Roman" w:cs="Times New Roman"/>
            <w:color w:val="000000"/>
            <w:sz w:val="24"/>
            <w:szCs w:val="24"/>
          </w:rPr>
          <w:t>Balasubramanian A, Wade SW, Adler RA, Saag K, Pannacciulli N, Cur</w:t>
        </w:r>
        <w:r>
          <w:rPr>
            <w:rFonts w:ascii="Times New Roman" w:eastAsia="Times New Roman" w:hAnsi="Times New Roman" w:cs="Times New Roman"/>
            <w:color w:val="000000"/>
            <w:sz w:val="24"/>
            <w:szCs w:val="24"/>
          </w:rPr>
          <w:t xml:space="preserve">tis JR. Glucocorticoid Exposure and Fracture Risk in a Cohort of US Patients With Selected Conditions. </w:t>
        </w:r>
      </w:hyperlink>
      <w:hyperlink r:id="rId60">
        <w:r>
          <w:rPr>
            <w:rFonts w:ascii="Times New Roman" w:eastAsia="Times New Roman" w:hAnsi="Times New Roman" w:cs="Times New Roman"/>
            <w:i/>
            <w:color w:val="000000"/>
            <w:sz w:val="24"/>
            <w:szCs w:val="24"/>
          </w:rPr>
          <w:t>J Bone Miner Res</w:t>
        </w:r>
      </w:hyperlink>
      <w:hyperlink r:id="rId61">
        <w:r>
          <w:rPr>
            <w:rFonts w:ascii="Times New Roman" w:eastAsia="Times New Roman" w:hAnsi="Times New Roman" w:cs="Times New Roman"/>
            <w:color w:val="000000"/>
            <w:sz w:val="24"/>
            <w:szCs w:val="24"/>
          </w:rPr>
          <w:t>. 2018;33(10):1881-1888.</w:t>
        </w:r>
      </w:hyperlink>
    </w:p>
    <w:p w14:paraId="1049947C"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r>
      <w:hyperlink r:id="rId62">
        <w:r>
          <w:rPr>
            <w:rFonts w:ascii="Times New Roman" w:eastAsia="Times New Roman" w:hAnsi="Times New Roman" w:cs="Times New Roman"/>
            <w:color w:val="000000"/>
            <w:sz w:val="24"/>
            <w:szCs w:val="24"/>
          </w:rPr>
          <w:t xml:space="preserve">Ye C, Lee K, Leslie WD, Lin M, Walker J, Kolinsky M. Fracture rate increases after immune checkpoint inhibitor treatment: a potential new immune related adverse event. </w:t>
        </w:r>
      </w:hyperlink>
      <w:hyperlink r:id="rId63">
        <w:r>
          <w:rPr>
            <w:rFonts w:ascii="Times New Roman" w:eastAsia="Times New Roman" w:hAnsi="Times New Roman" w:cs="Times New Roman"/>
            <w:i/>
            <w:color w:val="000000"/>
            <w:sz w:val="24"/>
            <w:szCs w:val="24"/>
          </w:rPr>
          <w:t>Osteoporos Int</w:t>
        </w:r>
      </w:hyperlink>
      <w:hyperlink r:id="rId64">
        <w:r>
          <w:rPr>
            <w:rFonts w:ascii="Times New Roman" w:eastAsia="Times New Roman" w:hAnsi="Times New Roman" w:cs="Times New Roman"/>
            <w:color w:val="000000"/>
            <w:sz w:val="24"/>
            <w:szCs w:val="24"/>
          </w:rPr>
          <w:t>. Published online February 2, 2023. doi:</w:t>
        </w:r>
      </w:hyperlink>
      <w:hyperlink r:id="rId65">
        <w:r>
          <w:rPr>
            <w:rFonts w:ascii="Times New Roman" w:eastAsia="Times New Roman" w:hAnsi="Times New Roman" w:cs="Times New Roman"/>
            <w:color w:val="000000"/>
            <w:sz w:val="24"/>
            <w:szCs w:val="24"/>
          </w:rPr>
          <w:t>10.1007/s00198-023-06690-1</w:t>
        </w:r>
      </w:hyperlink>
    </w:p>
    <w:p w14:paraId="71D20327"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r>
      <w:hyperlink r:id="rId66">
        <w:r>
          <w:rPr>
            <w:rFonts w:ascii="Times New Roman" w:eastAsia="Times New Roman" w:hAnsi="Times New Roman" w:cs="Times New Roman"/>
            <w:color w:val="000000"/>
            <w:sz w:val="24"/>
            <w:szCs w:val="24"/>
          </w:rPr>
          <w:t xml:space="preserve">Reuss-Borst M, Hartmann U, Scheede C, Weiß J. Prevalence of osteoporosis among cancer patients in Germany: prospective data from an oncological rehabilitation clinic. </w:t>
        </w:r>
      </w:hyperlink>
      <w:hyperlink r:id="rId67">
        <w:r>
          <w:rPr>
            <w:rFonts w:ascii="Times New Roman" w:eastAsia="Times New Roman" w:hAnsi="Times New Roman" w:cs="Times New Roman"/>
            <w:i/>
            <w:color w:val="000000"/>
            <w:sz w:val="24"/>
            <w:szCs w:val="24"/>
          </w:rPr>
          <w:t>Osteopor</w:t>
        </w:r>
        <w:r>
          <w:rPr>
            <w:rFonts w:ascii="Times New Roman" w:eastAsia="Times New Roman" w:hAnsi="Times New Roman" w:cs="Times New Roman"/>
            <w:i/>
            <w:color w:val="000000"/>
            <w:sz w:val="24"/>
            <w:szCs w:val="24"/>
          </w:rPr>
          <w:t>os Int</w:t>
        </w:r>
      </w:hyperlink>
      <w:hyperlink r:id="rId68">
        <w:r>
          <w:rPr>
            <w:rFonts w:ascii="Times New Roman" w:eastAsia="Times New Roman" w:hAnsi="Times New Roman" w:cs="Times New Roman"/>
            <w:color w:val="000000"/>
            <w:sz w:val="24"/>
            <w:szCs w:val="24"/>
          </w:rPr>
          <w:t>. 2012;23(4):1437-1444.</w:t>
        </w:r>
      </w:hyperlink>
    </w:p>
    <w:p w14:paraId="20CFF28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r>
      <w:hyperlink r:id="rId69">
        <w:r>
          <w:rPr>
            <w:rFonts w:ascii="Times New Roman" w:eastAsia="Times New Roman" w:hAnsi="Times New Roman" w:cs="Times New Roman"/>
            <w:color w:val="000000"/>
            <w:sz w:val="24"/>
            <w:szCs w:val="24"/>
          </w:rPr>
          <w:t xml:space="preserve">Sattar S, Haase K, Kuster S, et al. Falls in older adults with cancer: an updated systematic review of prevalence, injurious falls, and impact on cancer treatment. </w:t>
        </w:r>
      </w:hyperlink>
      <w:hyperlink r:id="rId70">
        <w:r>
          <w:rPr>
            <w:rFonts w:ascii="Times New Roman" w:eastAsia="Times New Roman" w:hAnsi="Times New Roman" w:cs="Times New Roman"/>
            <w:i/>
            <w:color w:val="000000"/>
            <w:sz w:val="24"/>
            <w:szCs w:val="24"/>
          </w:rPr>
          <w:t>Support Care Cancer</w:t>
        </w:r>
      </w:hyperlink>
      <w:hyperlink r:id="rId71">
        <w:r>
          <w:rPr>
            <w:rFonts w:ascii="Times New Roman" w:eastAsia="Times New Roman" w:hAnsi="Times New Roman" w:cs="Times New Roman"/>
            <w:color w:val="000000"/>
            <w:sz w:val="24"/>
            <w:szCs w:val="24"/>
          </w:rPr>
          <w:t>. 2021;29(1):21-33.</w:t>
        </w:r>
      </w:hyperlink>
    </w:p>
    <w:p w14:paraId="64979BD3"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ab/>
      </w:r>
      <w:hyperlink r:id="rId72">
        <w:r>
          <w:rPr>
            <w:rFonts w:ascii="Times New Roman" w:eastAsia="Times New Roman" w:hAnsi="Times New Roman" w:cs="Times New Roman"/>
            <w:color w:val="000000"/>
            <w:sz w:val="24"/>
            <w:szCs w:val="24"/>
          </w:rPr>
          <w:t xml:space="preserve">Ye C, Leslie WD, Al-Azazi S, et al. Fractures and long-term mortality in cancer patients: a population-based cohort study. </w:t>
        </w:r>
      </w:hyperlink>
      <w:hyperlink r:id="rId73">
        <w:r>
          <w:rPr>
            <w:rFonts w:ascii="Times New Roman" w:eastAsia="Times New Roman" w:hAnsi="Times New Roman" w:cs="Times New Roman"/>
            <w:i/>
            <w:color w:val="000000"/>
            <w:sz w:val="24"/>
            <w:szCs w:val="24"/>
          </w:rPr>
          <w:t>Osteoporos Int</w:t>
        </w:r>
      </w:hyperlink>
      <w:hyperlink r:id="rId74">
        <w:r>
          <w:rPr>
            <w:rFonts w:ascii="Times New Roman" w:eastAsia="Times New Roman" w:hAnsi="Times New Roman" w:cs="Times New Roman"/>
            <w:color w:val="000000"/>
            <w:sz w:val="24"/>
            <w:szCs w:val="24"/>
          </w:rPr>
          <w:t>. Published online August 29, 2022. doi:</w:t>
        </w:r>
      </w:hyperlink>
      <w:hyperlink r:id="rId75">
        <w:r>
          <w:rPr>
            <w:rFonts w:ascii="Times New Roman" w:eastAsia="Times New Roman" w:hAnsi="Times New Roman" w:cs="Times New Roman"/>
            <w:color w:val="000000"/>
            <w:sz w:val="24"/>
            <w:szCs w:val="24"/>
          </w:rPr>
          <w:t>10.1007/s00198-022-06542-4</w:t>
        </w:r>
      </w:hyperlink>
    </w:p>
    <w:p w14:paraId="2741E0BE"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ab/>
      </w:r>
      <w:hyperlink r:id="rId76">
        <w:r>
          <w:rPr>
            <w:rFonts w:ascii="Times New Roman" w:eastAsia="Times New Roman" w:hAnsi="Times New Roman" w:cs="Times New Roman"/>
            <w:color w:val="000000"/>
            <w:sz w:val="24"/>
            <w:szCs w:val="24"/>
          </w:rPr>
          <w:t xml:space="preserve">Leslie WD, Edwards B, Al-Azazi S, et al. Cancer patients with fractures are rarely assessed or treated for osteoporosis: a population-based study. </w:t>
        </w:r>
      </w:hyperlink>
      <w:hyperlink r:id="rId77">
        <w:r>
          <w:rPr>
            <w:rFonts w:ascii="Times New Roman" w:eastAsia="Times New Roman" w:hAnsi="Times New Roman" w:cs="Times New Roman"/>
            <w:i/>
            <w:color w:val="000000"/>
            <w:sz w:val="24"/>
            <w:szCs w:val="24"/>
          </w:rPr>
          <w:t>Osteoporos In</w:t>
        </w:r>
        <w:r>
          <w:rPr>
            <w:rFonts w:ascii="Times New Roman" w:eastAsia="Times New Roman" w:hAnsi="Times New Roman" w:cs="Times New Roman"/>
            <w:i/>
            <w:color w:val="000000"/>
            <w:sz w:val="24"/>
            <w:szCs w:val="24"/>
          </w:rPr>
          <w:t>t</w:t>
        </w:r>
      </w:hyperlink>
      <w:hyperlink r:id="rId78">
        <w:r>
          <w:rPr>
            <w:rFonts w:ascii="Times New Roman" w:eastAsia="Times New Roman" w:hAnsi="Times New Roman" w:cs="Times New Roman"/>
            <w:color w:val="000000"/>
            <w:sz w:val="24"/>
            <w:szCs w:val="24"/>
          </w:rPr>
          <w:t>. 2021;32(2):333-341.</w:t>
        </w:r>
      </w:hyperlink>
    </w:p>
    <w:p w14:paraId="2557B2DD"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ab/>
      </w:r>
      <w:hyperlink r:id="rId79">
        <w:r>
          <w:rPr>
            <w:rFonts w:ascii="Times New Roman" w:eastAsia="Times New Roman" w:hAnsi="Times New Roman" w:cs="Times New Roman"/>
            <w:color w:val="000000"/>
            <w:sz w:val="24"/>
            <w:szCs w:val="24"/>
          </w:rPr>
          <w:t>Ghannam NN. Assessment of Fracture Risk and its Application to Screening for Postmenopausal OsteoporosisAssessment of F</w:t>
        </w:r>
        <w:r>
          <w:rPr>
            <w:rFonts w:ascii="Times New Roman" w:eastAsia="Times New Roman" w:hAnsi="Times New Roman" w:cs="Times New Roman"/>
            <w:color w:val="000000"/>
            <w:sz w:val="24"/>
            <w:szCs w:val="24"/>
          </w:rPr>
          <w:t xml:space="preserve">racture Risk and its Application to Screening for Postmenopausal Osteoporosis. WHO Technical Report Series 843. World Health Organization, Geneva. </w:t>
        </w:r>
      </w:hyperlink>
      <w:hyperlink r:id="rId80">
        <w:r>
          <w:rPr>
            <w:rFonts w:ascii="Times New Roman" w:eastAsia="Times New Roman" w:hAnsi="Times New Roman" w:cs="Times New Roman"/>
            <w:i/>
            <w:color w:val="000000"/>
            <w:sz w:val="24"/>
            <w:szCs w:val="24"/>
          </w:rPr>
          <w:t>Annals of Saudi Medicine</w:t>
        </w:r>
      </w:hyperlink>
      <w:hyperlink r:id="rId81">
        <w:r>
          <w:rPr>
            <w:rFonts w:ascii="Times New Roman" w:eastAsia="Times New Roman" w:hAnsi="Times New Roman" w:cs="Times New Roman"/>
            <w:color w:val="000000"/>
            <w:sz w:val="24"/>
            <w:szCs w:val="24"/>
          </w:rPr>
          <w:t>. 1994;14(6):527-527. doi:</w:t>
        </w:r>
      </w:hyperlink>
      <w:hyperlink r:id="rId82">
        <w:r>
          <w:rPr>
            <w:rFonts w:ascii="Times New Roman" w:eastAsia="Times New Roman" w:hAnsi="Times New Roman" w:cs="Times New Roman"/>
            <w:color w:val="000000"/>
            <w:sz w:val="24"/>
            <w:szCs w:val="24"/>
          </w:rPr>
          <w:t>10.5144/0256-</w:t>
        </w:r>
        <w:r>
          <w:rPr>
            <w:rFonts w:ascii="Times New Roman" w:eastAsia="Times New Roman" w:hAnsi="Times New Roman" w:cs="Times New Roman"/>
            <w:color w:val="000000"/>
            <w:sz w:val="24"/>
            <w:szCs w:val="24"/>
          </w:rPr>
          <w:lastRenderedPageBreak/>
          <w:t>4947.1994.527</w:t>
        </w:r>
      </w:hyperlink>
    </w:p>
    <w:p w14:paraId="307599F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r>
      <w:hyperlink r:id="rId83">
        <w:r>
          <w:rPr>
            <w:rFonts w:ascii="Times New Roman" w:eastAsia="Times New Roman" w:hAnsi="Times New Roman" w:cs="Times New Roman"/>
            <w:color w:val="000000"/>
            <w:sz w:val="24"/>
            <w:szCs w:val="24"/>
          </w:rPr>
          <w:t>Gralow JR, Biermann JS, Farooki A, Fornier MN, Gagel RF, Kumar R, Litsas G, McKay R, Podoloff DA, Srinivas S, Van Poznak CH. NCCN Task Force Report: Bone Health In Cancer Care. J Natl Compr Canc Netw. 2013 Aug;11 Suppl 3:S1-50.</w:t>
        </w:r>
      </w:hyperlink>
    </w:p>
    <w:p w14:paraId="2AA0256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r>
      <w:hyperlink r:id="rId84">
        <w:r>
          <w:rPr>
            <w:rFonts w:ascii="Times New Roman" w:eastAsia="Times New Roman" w:hAnsi="Times New Roman" w:cs="Times New Roman"/>
            <w:color w:val="000000"/>
            <w:sz w:val="24"/>
            <w:szCs w:val="24"/>
          </w:rPr>
          <w:t xml:space="preserve">Rizzoli R, for the International Osteoporosis Foundation Committee of Scientific Advisors Working Group on Cancer-Induced Bone Disease, Body JJ, et al. Cancer-associated bone disease. </w:t>
        </w:r>
      </w:hyperlink>
      <w:hyperlink r:id="rId85">
        <w:r>
          <w:rPr>
            <w:rFonts w:ascii="Times New Roman" w:eastAsia="Times New Roman" w:hAnsi="Times New Roman" w:cs="Times New Roman"/>
            <w:i/>
            <w:color w:val="000000"/>
            <w:sz w:val="24"/>
            <w:szCs w:val="24"/>
          </w:rPr>
          <w:t>Osteoporosis International</w:t>
        </w:r>
      </w:hyperlink>
      <w:hyperlink r:id="rId86">
        <w:r>
          <w:rPr>
            <w:rFonts w:ascii="Times New Roman" w:eastAsia="Times New Roman" w:hAnsi="Times New Roman" w:cs="Times New Roman"/>
            <w:color w:val="000000"/>
            <w:sz w:val="24"/>
            <w:szCs w:val="24"/>
          </w:rPr>
          <w:t>. 2013;24(12):2929-2953. doi:</w:t>
        </w:r>
      </w:hyperlink>
      <w:hyperlink r:id="rId87">
        <w:r>
          <w:rPr>
            <w:rFonts w:ascii="Times New Roman" w:eastAsia="Times New Roman" w:hAnsi="Times New Roman" w:cs="Times New Roman"/>
            <w:color w:val="000000"/>
            <w:sz w:val="24"/>
            <w:szCs w:val="24"/>
          </w:rPr>
          <w:t>10.1007/s00198-013-2530-3</w:t>
        </w:r>
      </w:hyperlink>
    </w:p>
    <w:p w14:paraId="5CC761EA"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r>
      <w:hyperlink r:id="rId88">
        <w:r>
          <w:rPr>
            <w:rFonts w:ascii="Times New Roman" w:eastAsia="Times New Roman" w:hAnsi="Times New Roman" w:cs="Times New Roman"/>
            <w:color w:val="000000"/>
            <w:sz w:val="24"/>
            <w:szCs w:val="24"/>
          </w:rPr>
          <w:t xml:space="preserve">Shapiro CL, Van Poznak C, Lacchetti C, et al. Management of Osteoporosis in Survivors of Adult Cancers With Nonmetastatic Disease: ASCO Clinical Practice Guideline. </w:t>
        </w:r>
      </w:hyperlink>
      <w:hyperlink r:id="rId89">
        <w:r>
          <w:rPr>
            <w:rFonts w:ascii="Times New Roman" w:eastAsia="Times New Roman" w:hAnsi="Times New Roman" w:cs="Times New Roman"/>
            <w:i/>
            <w:color w:val="000000"/>
            <w:sz w:val="24"/>
            <w:szCs w:val="24"/>
          </w:rPr>
          <w:t>J Clin Oncol</w:t>
        </w:r>
      </w:hyperlink>
      <w:hyperlink r:id="rId90">
        <w:r>
          <w:rPr>
            <w:rFonts w:ascii="Times New Roman" w:eastAsia="Times New Roman" w:hAnsi="Times New Roman" w:cs="Times New Roman"/>
            <w:color w:val="000000"/>
            <w:sz w:val="24"/>
            <w:szCs w:val="24"/>
          </w:rPr>
          <w:t>. 2019;37(31):2916-2946.</w:t>
        </w:r>
      </w:hyperlink>
    </w:p>
    <w:p w14:paraId="6804401F"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r>
      <w:hyperlink r:id="rId91">
        <w:r>
          <w:rPr>
            <w:rFonts w:ascii="Times New Roman" w:eastAsia="Times New Roman" w:hAnsi="Times New Roman" w:cs="Times New Roman"/>
            <w:color w:val="000000"/>
            <w:sz w:val="24"/>
            <w:szCs w:val="24"/>
          </w:rPr>
          <w:t xml:space="preserve">Body JJ, Terpos E, Tombal B, et al. Bone health in the elderly cancer patient: A SIOG position paper. </w:t>
        </w:r>
      </w:hyperlink>
      <w:hyperlink r:id="rId92">
        <w:r>
          <w:rPr>
            <w:rFonts w:ascii="Times New Roman" w:eastAsia="Times New Roman" w:hAnsi="Times New Roman" w:cs="Times New Roman"/>
            <w:i/>
            <w:color w:val="000000"/>
            <w:sz w:val="24"/>
            <w:szCs w:val="24"/>
          </w:rPr>
          <w:t>Cancer Treatment Reviews</w:t>
        </w:r>
      </w:hyperlink>
      <w:hyperlink r:id="rId93">
        <w:r>
          <w:rPr>
            <w:rFonts w:ascii="Times New Roman" w:eastAsia="Times New Roman" w:hAnsi="Times New Roman" w:cs="Times New Roman"/>
            <w:color w:val="000000"/>
            <w:sz w:val="24"/>
            <w:szCs w:val="24"/>
          </w:rPr>
          <w:t>. 2016;51:46-53. doi:</w:t>
        </w:r>
      </w:hyperlink>
      <w:hyperlink r:id="rId94">
        <w:r>
          <w:rPr>
            <w:rFonts w:ascii="Times New Roman" w:eastAsia="Times New Roman" w:hAnsi="Times New Roman" w:cs="Times New Roman"/>
            <w:color w:val="000000"/>
            <w:sz w:val="24"/>
            <w:szCs w:val="24"/>
          </w:rPr>
          <w:t>10.1016/j.ctrv.2016.10.004</w:t>
        </w:r>
      </w:hyperlink>
    </w:p>
    <w:p w14:paraId="061CD79B"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r>
      <w:hyperlink r:id="rId95">
        <w:r>
          <w:rPr>
            <w:rFonts w:ascii="Times New Roman" w:eastAsia="Times New Roman" w:hAnsi="Times New Roman" w:cs="Times New Roman"/>
            <w:color w:val="000000"/>
            <w:sz w:val="24"/>
            <w:szCs w:val="24"/>
          </w:rPr>
          <w:t xml:space="preserve">Kanis JA, Johansson H, Harvey NC, McCloskey EV. A brief history of FRAX. </w:t>
        </w:r>
      </w:hyperlink>
      <w:hyperlink r:id="rId96">
        <w:r>
          <w:rPr>
            <w:rFonts w:ascii="Times New Roman" w:eastAsia="Times New Roman" w:hAnsi="Times New Roman" w:cs="Times New Roman"/>
            <w:i/>
            <w:color w:val="000000"/>
            <w:sz w:val="24"/>
            <w:szCs w:val="24"/>
          </w:rPr>
          <w:t>Arch Osteoporos</w:t>
        </w:r>
      </w:hyperlink>
      <w:hyperlink r:id="rId97">
        <w:r>
          <w:rPr>
            <w:rFonts w:ascii="Times New Roman" w:eastAsia="Times New Roman" w:hAnsi="Times New Roman" w:cs="Times New Roman"/>
            <w:color w:val="000000"/>
            <w:sz w:val="24"/>
            <w:szCs w:val="24"/>
          </w:rPr>
          <w:t>. 2018;13(1):118.</w:t>
        </w:r>
      </w:hyperlink>
    </w:p>
    <w:p w14:paraId="1B880FD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ab/>
      </w:r>
      <w:hyperlink r:id="rId98">
        <w:r>
          <w:rPr>
            <w:rFonts w:ascii="Times New Roman" w:eastAsia="Times New Roman" w:hAnsi="Times New Roman" w:cs="Times New Roman"/>
            <w:color w:val="000000"/>
            <w:sz w:val="24"/>
            <w:szCs w:val="24"/>
          </w:rPr>
          <w:t xml:space="preserve">Manitoba Bureau of statistics. Province of Manitoba - Manitoba Bureau of Statistics. Accessed November 7, 2022. </w:t>
        </w:r>
      </w:hyperlink>
      <w:hyperlink r:id="rId99">
        <w:r>
          <w:rPr>
            <w:rFonts w:ascii="Times New Roman" w:eastAsia="Times New Roman" w:hAnsi="Times New Roman" w:cs="Times New Roman"/>
            <w:color w:val="000000"/>
            <w:sz w:val="24"/>
            <w:szCs w:val="24"/>
          </w:rPr>
          <w:t>https://www.gov.mb.ca</w:t>
        </w:r>
        <w:r>
          <w:rPr>
            <w:rFonts w:ascii="Times New Roman" w:eastAsia="Times New Roman" w:hAnsi="Times New Roman" w:cs="Times New Roman"/>
            <w:color w:val="000000"/>
            <w:sz w:val="24"/>
            <w:szCs w:val="24"/>
          </w:rPr>
          <w:t>/mbs/</w:t>
        </w:r>
      </w:hyperlink>
    </w:p>
    <w:p w14:paraId="4DD40C89"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r>
        <w:rPr>
          <w:rFonts w:ascii="Times New Roman" w:eastAsia="Times New Roman" w:hAnsi="Times New Roman" w:cs="Times New Roman"/>
          <w:color w:val="000000"/>
          <w:sz w:val="24"/>
          <w:szCs w:val="24"/>
        </w:rPr>
        <w:tab/>
      </w:r>
      <w:hyperlink r:id="rId100">
        <w:r>
          <w:rPr>
            <w:rFonts w:ascii="Times New Roman" w:eastAsia="Times New Roman" w:hAnsi="Times New Roman" w:cs="Times New Roman"/>
            <w:color w:val="000000"/>
            <w:sz w:val="24"/>
            <w:szCs w:val="24"/>
          </w:rPr>
          <w:t xml:space="preserve">Roos NP, Shapiro E. Revisiting the Manitoba Centre for Health Policy and Evaluation and its population-based health information system. </w:t>
        </w:r>
      </w:hyperlink>
      <w:hyperlink r:id="rId101">
        <w:r>
          <w:rPr>
            <w:rFonts w:ascii="Times New Roman" w:eastAsia="Times New Roman" w:hAnsi="Times New Roman" w:cs="Times New Roman"/>
            <w:i/>
            <w:color w:val="000000"/>
            <w:sz w:val="24"/>
            <w:szCs w:val="24"/>
          </w:rPr>
          <w:t>Med Care</w:t>
        </w:r>
      </w:hyperlink>
      <w:hyperlink r:id="rId102">
        <w:r>
          <w:rPr>
            <w:rFonts w:ascii="Times New Roman" w:eastAsia="Times New Roman" w:hAnsi="Times New Roman" w:cs="Times New Roman"/>
            <w:color w:val="000000"/>
            <w:sz w:val="24"/>
            <w:szCs w:val="24"/>
          </w:rPr>
          <w:t>. 1999;37(6 Suppl):JS10-JS14.</w:t>
        </w:r>
      </w:hyperlink>
    </w:p>
    <w:p w14:paraId="5AF1B969"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ab/>
      </w:r>
      <w:hyperlink r:id="rId103">
        <w:r>
          <w:rPr>
            <w:rFonts w:ascii="Times New Roman" w:eastAsia="Times New Roman" w:hAnsi="Times New Roman" w:cs="Times New Roman"/>
            <w:color w:val="000000"/>
            <w:sz w:val="24"/>
            <w:szCs w:val="24"/>
          </w:rPr>
          <w:t>Certified registries - NAACCR. NAACCR - Welcome to The North American Association of Central Cancer Regi</w:t>
        </w:r>
        <w:r>
          <w:rPr>
            <w:rFonts w:ascii="Times New Roman" w:eastAsia="Times New Roman" w:hAnsi="Times New Roman" w:cs="Times New Roman"/>
            <w:color w:val="000000"/>
            <w:sz w:val="24"/>
            <w:szCs w:val="24"/>
          </w:rPr>
          <w:t xml:space="preserve">stries (NAACCR, Inc.). Published November 1, 2016. Accessed November 7, 2022. </w:t>
        </w:r>
      </w:hyperlink>
      <w:hyperlink r:id="rId104">
        <w:r>
          <w:rPr>
            <w:rFonts w:ascii="Times New Roman" w:eastAsia="Times New Roman" w:hAnsi="Times New Roman" w:cs="Times New Roman"/>
            <w:color w:val="000000"/>
            <w:sz w:val="24"/>
            <w:szCs w:val="24"/>
          </w:rPr>
          <w:t>https://www.naaccr.org/certified-registries/</w:t>
        </w:r>
      </w:hyperlink>
    </w:p>
    <w:p w14:paraId="0662E297"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r>
      <w:hyperlink r:id="rId105">
        <w:r>
          <w:rPr>
            <w:rFonts w:ascii="Times New Roman" w:eastAsia="Times New Roman" w:hAnsi="Times New Roman" w:cs="Times New Roman"/>
            <w:color w:val="000000"/>
            <w:sz w:val="24"/>
            <w:szCs w:val="24"/>
          </w:rPr>
          <w:t>Canadian C</w:t>
        </w:r>
        <w:r>
          <w:rPr>
            <w:rFonts w:ascii="Times New Roman" w:eastAsia="Times New Roman" w:hAnsi="Times New Roman" w:cs="Times New Roman"/>
            <w:color w:val="000000"/>
            <w:sz w:val="24"/>
            <w:szCs w:val="24"/>
          </w:rPr>
          <w:t xml:space="preserve">ancer Registry. Canadian Research Data Centre Network. Published September 16, 2021. Accessed November 7, 2022. </w:t>
        </w:r>
      </w:hyperlink>
      <w:hyperlink r:id="rId106">
        <w:r>
          <w:rPr>
            <w:rFonts w:ascii="Times New Roman" w:eastAsia="Times New Roman" w:hAnsi="Times New Roman" w:cs="Times New Roman"/>
            <w:color w:val="000000"/>
            <w:sz w:val="24"/>
            <w:szCs w:val="24"/>
          </w:rPr>
          <w:t>https://crdcn.ca/data/canadian-cancer-registry/</w:t>
        </w:r>
      </w:hyperlink>
    </w:p>
    <w:p w14:paraId="1A9B6E7C"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r>
      <w:hyperlink r:id="rId107">
        <w:r>
          <w:rPr>
            <w:rFonts w:ascii="Times New Roman" w:eastAsia="Times New Roman" w:hAnsi="Times New Roman" w:cs="Times New Roman"/>
            <w:color w:val="000000"/>
            <w:sz w:val="24"/>
            <w:szCs w:val="24"/>
          </w:rPr>
          <w:t xml:space="preserve">Hotes Ellison J, Wu XC, McLaughlin C, et al. Cancer in North America: 1999--2003. </w:t>
        </w:r>
      </w:hyperlink>
      <w:hyperlink r:id="rId108">
        <w:r>
          <w:rPr>
            <w:rFonts w:ascii="Times New Roman" w:eastAsia="Times New Roman" w:hAnsi="Times New Roman" w:cs="Times New Roman"/>
            <w:i/>
            <w:color w:val="000000"/>
            <w:sz w:val="24"/>
            <w:szCs w:val="24"/>
          </w:rPr>
          <w:t>Incidence North American Asociation of Central Cancer Registeries Inc</w:t>
        </w:r>
      </w:hyperlink>
      <w:hyperlink r:id="rId109">
        <w:r>
          <w:rPr>
            <w:rFonts w:ascii="Times New Roman" w:eastAsia="Times New Roman" w:hAnsi="Times New Roman" w:cs="Times New Roman"/>
            <w:color w:val="000000"/>
            <w:sz w:val="24"/>
            <w:szCs w:val="24"/>
          </w:rPr>
          <w:t>. Published online 2006.</w:t>
        </w:r>
      </w:hyperlink>
    </w:p>
    <w:p w14:paraId="57EA444A"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r>
      <w:hyperlink r:id="rId110">
        <w:r>
          <w:rPr>
            <w:rFonts w:ascii="Times New Roman" w:eastAsia="Times New Roman" w:hAnsi="Times New Roman" w:cs="Times New Roman"/>
            <w:color w:val="000000"/>
            <w:sz w:val="24"/>
            <w:szCs w:val="24"/>
          </w:rPr>
          <w:t xml:space="preserve">Leslie WD, Caetano PA, Macwilliam LR, Finlayson GS. Construction and validation of a population-based bone densitometry database. </w:t>
        </w:r>
      </w:hyperlink>
      <w:hyperlink r:id="rId111">
        <w:r>
          <w:rPr>
            <w:rFonts w:ascii="Times New Roman" w:eastAsia="Times New Roman" w:hAnsi="Times New Roman" w:cs="Times New Roman"/>
            <w:i/>
            <w:color w:val="000000"/>
            <w:sz w:val="24"/>
            <w:szCs w:val="24"/>
          </w:rPr>
          <w:t>J Clin Densitom</w:t>
        </w:r>
      </w:hyperlink>
      <w:hyperlink r:id="rId112">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2005;8(1):25-30.</w:t>
        </w:r>
      </w:hyperlink>
    </w:p>
    <w:p w14:paraId="514AC26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r>
      <w:hyperlink r:id="rId113">
        <w:r>
          <w:rPr>
            <w:rFonts w:ascii="Times New Roman" w:eastAsia="Times New Roman" w:hAnsi="Times New Roman" w:cs="Times New Roman"/>
            <w:color w:val="000000"/>
            <w:sz w:val="24"/>
            <w:szCs w:val="24"/>
          </w:rPr>
          <w:t xml:space="preserve">Kozyrskyj AL, Mustard CA. Validation of an electronic, population-based prescription database. </w:t>
        </w:r>
      </w:hyperlink>
      <w:hyperlink r:id="rId114">
        <w:r>
          <w:rPr>
            <w:rFonts w:ascii="Times New Roman" w:eastAsia="Times New Roman" w:hAnsi="Times New Roman" w:cs="Times New Roman"/>
            <w:i/>
            <w:color w:val="000000"/>
            <w:sz w:val="24"/>
            <w:szCs w:val="24"/>
          </w:rPr>
          <w:t>Ann Pharmacother</w:t>
        </w:r>
      </w:hyperlink>
      <w:hyperlink r:id="rId115">
        <w:r>
          <w:rPr>
            <w:rFonts w:ascii="Times New Roman" w:eastAsia="Times New Roman" w:hAnsi="Times New Roman" w:cs="Times New Roman"/>
            <w:color w:val="000000"/>
            <w:sz w:val="24"/>
            <w:szCs w:val="24"/>
          </w:rPr>
          <w:t>. 1998;32(11):1152-1157.</w:t>
        </w:r>
      </w:hyperlink>
    </w:p>
    <w:p w14:paraId="3C106BAB"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r>
        <w:rPr>
          <w:rFonts w:ascii="Times New Roman" w:eastAsia="Times New Roman" w:hAnsi="Times New Roman" w:cs="Times New Roman"/>
          <w:color w:val="000000"/>
          <w:sz w:val="24"/>
          <w:szCs w:val="24"/>
        </w:rPr>
        <w:tab/>
      </w:r>
      <w:hyperlink r:id="rId116">
        <w:r>
          <w:rPr>
            <w:rFonts w:ascii="Times New Roman" w:eastAsia="Times New Roman" w:hAnsi="Times New Roman" w:cs="Times New Roman"/>
            <w:color w:val="000000"/>
            <w:sz w:val="24"/>
            <w:szCs w:val="24"/>
          </w:rPr>
          <w:t xml:space="preserve">Manitoba vital statistics branch. Province of Manitoba - Manitoba Vital Statistics Branch. Accessed March 21, 2023. </w:t>
        </w:r>
      </w:hyperlink>
      <w:hyperlink r:id="rId117">
        <w:r>
          <w:rPr>
            <w:rFonts w:ascii="Times New Roman" w:eastAsia="Times New Roman" w:hAnsi="Times New Roman" w:cs="Times New Roman"/>
            <w:color w:val="000000"/>
            <w:sz w:val="24"/>
            <w:szCs w:val="24"/>
          </w:rPr>
          <w:t>https://vitalstats.gov.mb.ca/</w:t>
        </w:r>
      </w:hyperlink>
    </w:p>
    <w:p w14:paraId="5CFF43D4"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r>
        <w:rPr>
          <w:rFonts w:ascii="Times New Roman" w:eastAsia="Times New Roman" w:hAnsi="Times New Roman" w:cs="Times New Roman"/>
          <w:color w:val="000000"/>
          <w:sz w:val="24"/>
          <w:szCs w:val="24"/>
        </w:rPr>
        <w:tab/>
      </w:r>
      <w:hyperlink r:id="rId118">
        <w:r>
          <w:rPr>
            <w:rFonts w:ascii="Times New Roman" w:eastAsia="Times New Roman" w:hAnsi="Times New Roman" w:cs="Times New Roman"/>
            <w:color w:val="000000"/>
            <w:sz w:val="24"/>
            <w:szCs w:val="24"/>
          </w:rPr>
          <w:t xml:space="preserve">Concept: Regional Health Authority (RHA) Districts and Zones in Manitoba. Accessed </w:t>
        </w:r>
        <w:r>
          <w:rPr>
            <w:rFonts w:ascii="Times New Roman" w:eastAsia="Times New Roman" w:hAnsi="Times New Roman" w:cs="Times New Roman"/>
            <w:color w:val="000000"/>
            <w:sz w:val="24"/>
            <w:szCs w:val="24"/>
          </w:rPr>
          <w:lastRenderedPageBreak/>
          <w:t xml:space="preserve">November 4, 2022. </w:t>
        </w:r>
      </w:hyperlink>
      <w:hyperlink r:id="rId119">
        <w:r>
          <w:rPr>
            <w:rFonts w:ascii="Times New Roman" w:eastAsia="Times New Roman" w:hAnsi="Times New Roman" w:cs="Times New Roman"/>
            <w:color w:val="000000"/>
            <w:sz w:val="24"/>
            <w:szCs w:val="24"/>
          </w:rPr>
          <w:t>http://mchp</w:t>
        </w:r>
        <w:r>
          <w:rPr>
            <w:rFonts w:ascii="Times New Roman" w:eastAsia="Times New Roman" w:hAnsi="Times New Roman" w:cs="Times New Roman"/>
            <w:color w:val="000000"/>
            <w:sz w:val="24"/>
            <w:szCs w:val="24"/>
          </w:rPr>
          <w:t>-appserv.cpe.umanitoba.ca/viewConcept.php?printer=Y&amp;conceptID=1219</w:t>
        </w:r>
      </w:hyperlink>
    </w:p>
    <w:p w14:paraId="47DA0B82"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ab/>
      </w:r>
      <w:hyperlink r:id="rId120">
        <w:r>
          <w:rPr>
            <w:rFonts w:ascii="Times New Roman" w:eastAsia="Times New Roman" w:hAnsi="Times New Roman" w:cs="Times New Roman"/>
            <w:color w:val="000000"/>
            <w:sz w:val="24"/>
            <w:szCs w:val="24"/>
          </w:rPr>
          <w:t xml:space="preserve">Lix LM, Azimaee M, Osman BA, et al. Osteoporosis-related fracture case definitions for population-based administrative data. </w:t>
        </w:r>
      </w:hyperlink>
      <w:hyperlink r:id="rId121">
        <w:r>
          <w:rPr>
            <w:rFonts w:ascii="Times New Roman" w:eastAsia="Times New Roman" w:hAnsi="Times New Roman" w:cs="Times New Roman"/>
            <w:i/>
            <w:color w:val="000000"/>
            <w:sz w:val="24"/>
            <w:szCs w:val="24"/>
          </w:rPr>
          <w:t>BMC Public Health</w:t>
        </w:r>
      </w:hyperlink>
      <w:hyperlink r:id="rId122">
        <w:r>
          <w:rPr>
            <w:rFonts w:ascii="Times New Roman" w:eastAsia="Times New Roman" w:hAnsi="Times New Roman" w:cs="Times New Roman"/>
            <w:color w:val="000000"/>
            <w:sz w:val="24"/>
            <w:szCs w:val="24"/>
          </w:rPr>
          <w:t>. 2012;12:301.</w:t>
        </w:r>
      </w:hyperlink>
    </w:p>
    <w:p w14:paraId="12F85EDC"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r>
        <w:rPr>
          <w:rFonts w:ascii="Times New Roman" w:eastAsia="Times New Roman" w:hAnsi="Times New Roman" w:cs="Times New Roman"/>
          <w:color w:val="000000"/>
          <w:sz w:val="24"/>
          <w:szCs w:val="24"/>
        </w:rPr>
        <w:tab/>
      </w:r>
      <w:hyperlink r:id="rId123">
        <w:r>
          <w:rPr>
            <w:rFonts w:ascii="Times New Roman" w:eastAsia="Times New Roman" w:hAnsi="Times New Roman" w:cs="Times New Roman"/>
            <w:color w:val="000000"/>
            <w:sz w:val="24"/>
            <w:szCs w:val="24"/>
          </w:rPr>
          <w:t xml:space="preserve">O’Donnell S, Canadian Chronic Disease Surveillance System (CCDSS) Osteoporosis Working Group. Use of administrative data for national surveillance of osteoporosis and related fractures in Canada: results from a feasibility study. </w:t>
        </w:r>
      </w:hyperlink>
      <w:hyperlink r:id="rId124">
        <w:r>
          <w:rPr>
            <w:rFonts w:ascii="Times New Roman" w:eastAsia="Times New Roman" w:hAnsi="Times New Roman" w:cs="Times New Roman"/>
            <w:i/>
            <w:color w:val="000000"/>
            <w:sz w:val="24"/>
            <w:szCs w:val="24"/>
          </w:rPr>
          <w:t>Arch Osteoporos</w:t>
        </w:r>
      </w:hyperlink>
      <w:hyperlink r:id="rId125">
        <w:r>
          <w:rPr>
            <w:rFonts w:ascii="Times New Roman" w:eastAsia="Times New Roman" w:hAnsi="Times New Roman" w:cs="Times New Roman"/>
            <w:color w:val="000000"/>
            <w:sz w:val="24"/>
            <w:szCs w:val="24"/>
          </w:rPr>
          <w:t>. 2013;8:143.</w:t>
        </w:r>
      </w:hyperlink>
    </w:p>
    <w:p w14:paraId="5D5BCF39"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Pr>
          <w:rFonts w:ascii="Times New Roman" w:eastAsia="Times New Roman" w:hAnsi="Times New Roman" w:cs="Times New Roman"/>
          <w:color w:val="000000"/>
          <w:sz w:val="24"/>
          <w:szCs w:val="24"/>
        </w:rPr>
        <w:tab/>
      </w:r>
      <w:hyperlink r:id="rId126">
        <w:r>
          <w:rPr>
            <w:rFonts w:ascii="Times New Roman" w:eastAsia="Times New Roman" w:hAnsi="Times New Roman" w:cs="Times New Roman"/>
            <w:color w:val="000000"/>
            <w:sz w:val="24"/>
            <w:szCs w:val="24"/>
          </w:rPr>
          <w:t>Leslie WD, Epp R, Morin SN, Lix LM. Assessment of site-specific X-ray procedure code</w:t>
        </w:r>
        <w:r>
          <w:rPr>
            <w:rFonts w:ascii="Times New Roman" w:eastAsia="Times New Roman" w:hAnsi="Times New Roman" w:cs="Times New Roman"/>
            <w:color w:val="000000"/>
            <w:sz w:val="24"/>
            <w:szCs w:val="24"/>
          </w:rPr>
          <w:t xml:space="preserve">s for fracture ascertainment: a registry-based cohort study. </w:t>
        </w:r>
      </w:hyperlink>
      <w:hyperlink r:id="rId127">
        <w:r>
          <w:rPr>
            <w:rFonts w:ascii="Times New Roman" w:eastAsia="Times New Roman" w:hAnsi="Times New Roman" w:cs="Times New Roman"/>
            <w:i/>
            <w:color w:val="000000"/>
            <w:sz w:val="24"/>
            <w:szCs w:val="24"/>
          </w:rPr>
          <w:t>Arch Osteoporos</w:t>
        </w:r>
      </w:hyperlink>
      <w:hyperlink r:id="rId128">
        <w:r>
          <w:rPr>
            <w:rFonts w:ascii="Times New Roman" w:eastAsia="Times New Roman" w:hAnsi="Times New Roman" w:cs="Times New Roman"/>
            <w:color w:val="000000"/>
            <w:sz w:val="24"/>
            <w:szCs w:val="24"/>
          </w:rPr>
          <w:t>. 2021;16(1):107.</w:t>
        </w:r>
      </w:hyperlink>
    </w:p>
    <w:p w14:paraId="2629AB7B"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r>
      <w:hyperlink r:id="rId129">
        <w:r>
          <w:rPr>
            <w:rFonts w:ascii="Times New Roman" w:eastAsia="Times New Roman" w:hAnsi="Times New Roman" w:cs="Times New Roman"/>
            <w:color w:val="000000"/>
            <w:sz w:val="24"/>
            <w:szCs w:val="24"/>
          </w:rPr>
          <w:t xml:space="preserve">Leslie WD, Lix LM, Langsetmo L, et al. Construction of a FRAX® model for the assessment of fracture probability in Canada and implications for treatment. </w:t>
        </w:r>
      </w:hyperlink>
      <w:hyperlink r:id="rId130">
        <w:r>
          <w:rPr>
            <w:rFonts w:ascii="Times New Roman" w:eastAsia="Times New Roman" w:hAnsi="Times New Roman" w:cs="Times New Roman"/>
            <w:i/>
            <w:color w:val="000000"/>
            <w:sz w:val="24"/>
            <w:szCs w:val="24"/>
          </w:rPr>
          <w:t>Osteoporos Int</w:t>
        </w:r>
      </w:hyperlink>
      <w:hyperlink r:id="rId131">
        <w:r>
          <w:rPr>
            <w:rFonts w:ascii="Times New Roman" w:eastAsia="Times New Roman" w:hAnsi="Times New Roman" w:cs="Times New Roman"/>
            <w:color w:val="000000"/>
            <w:sz w:val="24"/>
            <w:szCs w:val="24"/>
          </w:rPr>
          <w:t>. 2011;22(3):817-827.</w:t>
        </w:r>
      </w:hyperlink>
    </w:p>
    <w:p w14:paraId="27A44522"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r>
      <w:hyperlink r:id="rId132">
        <w:r>
          <w:rPr>
            <w:rFonts w:ascii="Times New Roman" w:eastAsia="Times New Roman" w:hAnsi="Times New Roman" w:cs="Times New Roman"/>
            <w:color w:val="000000"/>
            <w:sz w:val="24"/>
            <w:szCs w:val="24"/>
          </w:rPr>
          <w:t xml:space="preserve">Ye C, Morin SN, Lix LM, et al. Performance of FRAX in Men with Prostate Cancer: A Registry-Based Cohort Study. </w:t>
        </w:r>
      </w:hyperlink>
      <w:hyperlink r:id="rId133">
        <w:r>
          <w:rPr>
            <w:rFonts w:ascii="Times New Roman" w:eastAsia="Times New Roman" w:hAnsi="Times New Roman" w:cs="Times New Roman"/>
            <w:i/>
            <w:color w:val="000000"/>
            <w:sz w:val="24"/>
            <w:szCs w:val="24"/>
          </w:rPr>
          <w:t>J Bone Miner Res</w:t>
        </w:r>
      </w:hyperlink>
      <w:hyperlink r:id="rId134">
        <w:r>
          <w:rPr>
            <w:rFonts w:ascii="Times New Roman" w:eastAsia="Times New Roman" w:hAnsi="Times New Roman" w:cs="Times New Roman"/>
            <w:color w:val="000000"/>
            <w:sz w:val="24"/>
            <w:szCs w:val="24"/>
          </w:rPr>
          <w:t>. Published online February 20, 2023. doi:</w:t>
        </w:r>
      </w:hyperlink>
      <w:hyperlink r:id="rId135">
        <w:r>
          <w:rPr>
            <w:rFonts w:ascii="Times New Roman" w:eastAsia="Times New Roman" w:hAnsi="Times New Roman" w:cs="Times New Roman"/>
            <w:color w:val="000000"/>
            <w:sz w:val="24"/>
            <w:szCs w:val="24"/>
          </w:rPr>
          <w:t>10.1002/jbmr.4793</w:t>
        </w:r>
      </w:hyperlink>
    </w:p>
    <w:p w14:paraId="63FCECB6"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Pr>
          <w:rFonts w:ascii="Times New Roman" w:eastAsia="Times New Roman" w:hAnsi="Times New Roman" w:cs="Times New Roman"/>
          <w:color w:val="000000"/>
          <w:sz w:val="24"/>
          <w:szCs w:val="24"/>
        </w:rPr>
        <w:tab/>
      </w:r>
      <w:hyperlink r:id="rId136">
        <w:r>
          <w:rPr>
            <w:rFonts w:ascii="Times New Roman" w:eastAsia="Times New Roman" w:hAnsi="Times New Roman" w:cs="Times New Roman"/>
            <w:color w:val="000000"/>
            <w:sz w:val="24"/>
            <w:szCs w:val="24"/>
          </w:rPr>
          <w:t xml:space="preserve">Leslie WD, Morin SN, Lix LM, et al. Performance of FRAX in Women with Breast Cancer Initiating Aromatase Inhibitor Therapy: A Registry-Based Cohort Study. </w:t>
        </w:r>
      </w:hyperlink>
      <w:hyperlink r:id="rId137">
        <w:r>
          <w:rPr>
            <w:rFonts w:ascii="Times New Roman" w:eastAsia="Times New Roman" w:hAnsi="Times New Roman" w:cs="Times New Roman"/>
            <w:i/>
            <w:color w:val="000000"/>
            <w:sz w:val="24"/>
            <w:szCs w:val="24"/>
          </w:rPr>
          <w:t>J Bone Miner Res</w:t>
        </w:r>
      </w:hyperlink>
      <w:hyperlink r:id="rId138">
        <w:r>
          <w:rPr>
            <w:rFonts w:ascii="Times New Roman" w:eastAsia="Times New Roman" w:hAnsi="Times New Roman" w:cs="Times New Roman"/>
            <w:color w:val="000000"/>
            <w:sz w:val="24"/>
            <w:szCs w:val="24"/>
          </w:rPr>
          <w:t>. 2019;34(8):1428-1435.</w:t>
        </w:r>
      </w:hyperlink>
    </w:p>
    <w:p w14:paraId="7911E744"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r>
        <w:rPr>
          <w:rFonts w:ascii="Times New Roman" w:eastAsia="Times New Roman" w:hAnsi="Times New Roman" w:cs="Times New Roman"/>
          <w:color w:val="000000"/>
          <w:sz w:val="24"/>
          <w:szCs w:val="24"/>
        </w:rPr>
        <w:tab/>
      </w:r>
      <w:hyperlink r:id="rId139">
        <w:r>
          <w:rPr>
            <w:rFonts w:ascii="Times New Roman" w:eastAsia="Times New Roman" w:hAnsi="Times New Roman" w:cs="Times New Roman"/>
            <w:color w:val="000000"/>
            <w:sz w:val="24"/>
            <w:szCs w:val="24"/>
          </w:rPr>
          <w:t xml:space="preserve">Kanis JA, McCloskey EV, Johansson H, Strom O, Borgstrom F, Oden A. How to decide who to treat. </w:t>
        </w:r>
      </w:hyperlink>
      <w:hyperlink r:id="rId140">
        <w:r>
          <w:rPr>
            <w:rFonts w:ascii="Times New Roman" w:eastAsia="Times New Roman" w:hAnsi="Times New Roman" w:cs="Times New Roman"/>
            <w:i/>
            <w:color w:val="000000"/>
            <w:sz w:val="24"/>
            <w:szCs w:val="24"/>
          </w:rPr>
          <w:t>Best Pract Res Clin Rheumatol</w:t>
        </w:r>
      </w:hyperlink>
      <w:hyperlink r:id="rId141">
        <w:r>
          <w:rPr>
            <w:rFonts w:ascii="Times New Roman" w:eastAsia="Times New Roman" w:hAnsi="Times New Roman" w:cs="Times New Roman"/>
            <w:color w:val="000000"/>
            <w:sz w:val="24"/>
            <w:szCs w:val="24"/>
          </w:rPr>
          <w:t>. 2009;23(6):711-726.</w:t>
        </w:r>
      </w:hyperlink>
    </w:p>
    <w:p w14:paraId="3EE22426"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r>
      <w:hyperlink r:id="rId142">
        <w:r>
          <w:rPr>
            <w:rFonts w:ascii="Times New Roman" w:eastAsia="Times New Roman" w:hAnsi="Times New Roman" w:cs="Times New Roman"/>
            <w:color w:val="000000"/>
            <w:sz w:val="24"/>
            <w:szCs w:val="24"/>
          </w:rPr>
          <w:t>Nolan EK, Chen HY. A comparison of the Cox model to the Fine-</w:t>
        </w:r>
        <w:r>
          <w:rPr>
            <w:rFonts w:ascii="Times New Roman" w:eastAsia="Times New Roman" w:hAnsi="Times New Roman" w:cs="Times New Roman"/>
            <w:color w:val="000000"/>
            <w:sz w:val="24"/>
            <w:szCs w:val="24"/>
          </w:rPr>
          <w:t xml:space="preserve">Gray model for survival analyses of re-fracture rates. </w:t>
        </w:r>
      </w:hyperlink>
      <w:hyperlink r:id="rId143">
        <w:r>
          <w:rPr>
            <w:rFonts w:ascii="Times New Roman" w:eastAsia="Times New Roman" w:hAnsi="Times New Roman" w:cs="Times New Roman"/>
            <w:i/>
            <w:color w:val="000000"/>
            <w:sz w:val="24"/>
            <w:szCs w:val="24"/>
          </w:rPr>
          <w:t>Arch Osteoporos</w:t>
        </w:r>
      </w:hyperlink>
      <w:hyperlink r:id="rId144">
        <w:r>
          <w:rPr>
            <w:rFonts w:ascii="Times New Roman" w:eastAsia="Times New Roman" w:hAnsi="Times New Roman" w:cs="Times New Roman"/>
            <w:color w:val="000000"/>
            <w:sz w:val="24"/>
            <w:szCs w:val="24"/>
          </w:rPr>
          <w:t>. 2020;15(1):86.</w:t>
        </w:r>
      </w:hyperlink>
    </w:p>
    <w:p w14:paraId="049196CE"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r>
      <w:hyperlink r:id="rId145">
        <w:r>
          <w:rPr>
            <w:rFonts w:ascii="Times New Roman" w:eastAsia="Times New Roman" w:hAnsi="Times New Roman" w:cs="Times New Roman"/>
            <w:color w:val="000000"/>
            <w:sz w:val="24"/>
            <w:szCs w:val="24"/>
          </w:rPr>
          <w:t xml:space="preserve">Leslie WD, Lix LM, Wu X, Manitoba Bone Density Program. Competing mortality and fracture risk assessment. </w:t>
        </w:r>
      </w:hyperlink>
      <w:hyperlink r:id="rId146">
        <w:r>
          <w:rPr>
            <w:rFonts w:ascii="Times New Roman" w:eastAsia="Times New Roman" w:hAnsi="Times New Roman" w:cs="Times New Roman"/>
            <w:i/>
            <w:color w:val="000000"/>
            <w:sz w:val="24"/>
            <w:szCs w:val="24"/>
          </w:rPr>
          <w:t>Osteoporos Int</w:t>
        </w:r>
      </w:hyperlink>
      <w:hyperlink r:id="rId147">
        <w:r>
          <w:rPr>
            <w:rFonts w:ascii="Times New Roman" w:eastAsia="Times New Roman" w:hAnsi="Times New Roman" w:cs="Times New Roman"/>
            <w:color w:val="000000"/>
            <w:sz w:val="24"/>
            <w:szCs w:val="24"/>
          </w:rPr>
          <w:t>. 2013;24(2):681-688.</w:t>
        </w:r>
      </w:hyperlink>
    </w:p>
    <w:p w14:paraId="60531DDF"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r>
      <w:hyperlink r:id="rId148">
        <w:r>
          <w:rPr>
            <w:rFonts w:ascii="Times New Roman" w:eastAsia="Times New Roman" w:hAnsi="Times New Roman" w:cs="Times New Roman"/>
            <w:color w:val="000000"/>
            <w:sz w:val="24"/>
            <w:szCs w:val="24"/>
          </w:rPr>
          <w:t xml:space="preserve">Schini M, Johansson H, Harvey NC, Lorentzon M, Kanis JA, McCloskey EV. An overview of the use of the fracture risk assessment tool (FRAX) in osteoporosis. </w:t>
        </w:r>
      </w:hyperlink>
      <w:hyperlink r:id="rId149">
        <w:r>
          <w:rPr>
            <w:rFonts w:ascii="Times New Roman" w:eastAsia="Times New Roman" w:hAnsi="Times New Roman" w:cs="Times New Roman"/>
            <w:i/>
            <w:color w:val="000000"/>
            <w:sz w:val="24"/>
            <w:szCs w:val="24"/>
          </w:rPr>
          <w:t>J Endocrinol Invest</w:t>
        </w:r>
      </w:hyperlink>
      <w:hyperlink r:id="rId150">
        <w:r>
          <w:rPr>
            <w:rFonts w:ascii="Times New Roman" w:eastAsia="Times New Roman" w:hAnsi="Times New Roman" w:cs="Times New Roman"/>
            <w:color w:val="000000"/>
            <w:sz w:val="24"/>
            <w:szCs w:val="24"/>
          </w:rPr>
          <w:t>. 2024;47(3):501-511.</w:t>
        </w:r>
      </w:hyperlink>
    </w:p>
    <w:p w14:paraId="6FADE753"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Pr>
          <w:rFonts w:ascii="Times New Roman" w:eastAsia="Times New Roman" w:hAnsi="Times New Roman" w:cs="Times New Roman"/>
          <w:color w:val="000000"/>
          <w:sz w:val="24"/>
          <w:szCs w:val="24"/>
        </w:rPr>
        <w:tab/>
      </w:r>
      <w:hyperlink r:id="rId151">
        <w:r>
          <w:rPr>
            <w:rFonts w:ascii="Times New Roman" w:eastAsia="Times New Roman" w:hAnsi="Times New Roman" w:cs="Times New Roman"/>
            <w:color w:val="000000"/>
            <w:sz w:val="24"/>
            <w:szCs w:val="24"/>
          </w:rPr>
          <w:t xml:space="preserve">Rees-Punia E, Newton CC, Parsons HM, et al. Fracture Risk Among Older Cancer Survivors Compared With Older Adults Without a History of Cancer. </w:t>
        </w:r>
      </w:hyperlink>
      <w:hyperlink r:id="rId152">
        <w:r>
          <w:rPr>
            <w:rFonts w:ascii="Times New Roman" w:eastAsia="Times New Roman" w:hAnsi="Times New Roman" w:cs="Times New Roman"/>
            <w:i/>
            <w:color w:val="000000"/>
            <w:sz w:val="24"/>
            <w:szCs w:val="24"/>
          </w:rPr>
          <w:t>JAMA Oncol</w:t>
        </w:r>
      </w:hyperlink>
      <w:hyperlink r:id="rId153">
        <w:r>
          <w:rPr>
            <w:rFonts w:ascii="Times New Roman" w:eastAsia="Times New Roman" w:hAnsi="Times New Roman" w:cs="Times New Roman"/>
            <w:color w:val="000000"/>
            <w:sz w:val="24"/>
            <w:szCs w:val="24"/>
          </w:rPr>
          <w:t>. 2023;9(1):79-87.</w:t>
        </w:r>
      </w:hyperlink>
    </w:p>
    <w:p w14:paraId="7D9049E5"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Pr>
          <w:rFonts w:ascii="Times New Roman" w:eastAsia="Times New Roman" w:hAnsi="Times New Roman" w:cs="Times New Roman"/>
          <w:color w:val="000000"/>
          <w:sz w:val="24"/>
          <w:szCs w:val="24"/>
        </w:rPr>
        <w:tab/>
      </w:r>
      <w:hyperlink r:id="rId154">
        <w:r>
          <w:rPr>
            <w:rFonts w:ascii="Times New Roman" w:eastAsia="Times New Roman" w:hAnsi="Times New Roman" w:cs="Times New Roman"/>
            <w:color w:val="000000"/>
            <w:sz w:val="24"/>
            <w:szCs w:val="24"/>
          </w:rPr>
          <w:t xml:space="preserve">Epp R, Alhrbi M, Ward L, Leslie W. Radiological validation of fracture definitions from administrative data: the Manitoba bone mineral density database. In: </w:t>
        </w:r>
      </w:hyperlink>
      <w:hyperlink r:id="rId155">
        <w:r>
          <w:rPr>
            <w:rFonts w:ascii="Times New Roman" w:eastAsia="Times New Roman" w:hAnsi="Times New Roman" w:cs="Times New Roman"/>
            <w:i/>
            <w:color w:val="000000"/>
            <w:sz w:val="24"/>
            <w:szCs w:val="24"/>
          </w:rPr>
          <w:t>JOURNAL OF BONE AND MINERAL RESEARCH</w:t>
        </w:r>
      </w:hyperlink>
      <w:hyperlink r:id="rId156">
        <w:r>
          <w:rPr>
            <w:rFonts w:ascii="Times New Roman" w:eastAsia="Times New Roman" w:hAnsi="Times New Roman" w:cs="Times New Roman"/>
            <w:color w:val="000000"/>
            <w:sz w:val="24"/>
            <w:szCs w:val="24"/>
          </w:rPr>
          <w:t>. Vol 33. WILEY 111 RIVER ST, HOBOKEN 07030-5774, NJ USA; 2018:275-275.</w:t>
        </w:r>
      </w:hyperlink>
    </w:p>
    <w:p w14:paraId="236FC204"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r>
        <w:rPr>
          <w:rFonts w:ascii="Times New Roman" w:eastAsia="Times New Roman" w:hAnsi="Times New Roman" w:cs="Times New Roman"/>
          <w:color w:val="000000"/>
          <w:sz w:val="24"/>
          <w:szCs w:val="24"/>
        </w:rPr>
        <w:tab/>
      </w:r>
      <w:hyperlink r:id="rId157">
        <w:r>
          <w:rPr>
            <w:rFonts w:ascii="Times New Roman" w:eastAsia="Times New Roman" w:hAnsi="Times New Roman" w:cs="Times New Roman"/>
            <w:color w:val="000000"/>
            <w:sz w:val="24"/>
            <w:szCs w:val="24"/>
          </w:rPr>
          <w:t xml:space="preserve">Pantano F, Tramontana F, Iuliani M, et al. Changes in bone turnover markers in patients </w:t>
        </w:r>
        <w:r>
          <w:rPr>
            <w:rFonts w:ascii="Times New Roman" w:eastAsia="Times New Roman" w:hAnsi="Times New Roman" w:cs="Times New Roman"/>
            <w:color w:val="000000"/>
            <w:sz w:val="24"/>
            <w:szCs w:val="24"/>
          </w:rPr>
          <w:lastRenderedPageBreak/>
          <w:t xml:space="preserve">without bone metastases receiving immune checkpoint inhibitors: An exploratory analysis. </w:t>
        </w:r>
      </w:hyperlink>
      <w:hyperlink r:id="rId158">
        <w:r>
          <w:rPr>
            <w:rFonts w:ascii="Times New Roman" w:eastAsia="Times New Roman" w:hAnsi="Times New Roman" w:cs="Times New Roman"/>
            <w:i/>
            <w:color w:val="000000"/>
            <w:sz w:val="24"/>
            <w:szCs w:val="24"/>
          </w:rPr>
          <w:t>J Bone Oncol</w:t>
        </w:r>
      </w:hyperlink>
      <w:hyperlink r:id="rId159">
        <w:r>
          <w:rPr>
            <w:rFonts w:ascii="Times New Roman" w:eastAsia="Times New Roman" w:hAnsi="Times New Roman" w:cs="Times New Roman"/>
            <w:color w:val="000000"/>
            <w:sz w:val="24"/>
            <w:szCs w:val="24"/>
          </w:rPr>
          <w:t>. 2022;37:100459.</w:t>
        </w:r>
      </w:hyperlink>
    </w:p>
    <w:p w14:paraId="1172D59E" w14:textId="77777777" w:rsidR="00B82265" w:rsidRDefault="00B929DB">
      <w:pPr>
        <w:widowControl w:val="0"/>
        <w:pBdr>
          <w:top w:val="nil"/>
          <w:left w:val="nil"/>
          <w:bottom w:val="nil"/>
          <w:right w:val="nil"/>
          <w:between w:val="nil"/>
        </w:pBdr>
        <w:spacing w:after="240" w:line="24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r>
        <w:rPr>
          <w:rFonts w:ascii="Times New Roman" w:eastAsia="Times New Roman" w:hAnsi="Times New Roman" w:cs="Times New Roman"/>
          <w:color w:val="000000"/>
          <w:sz w:val="24"/>
          <w:szCs w:val="24"/>
        </w:rPr>
        <w:tab/>
      </w:r>
      <w:hyperlink r:id="rId160">
        <w:r>
          <w:rPr>
            <w:rFonts w:ascii="Times New Roman" w:eastAsia="Times New Roman" w:hAnsi="Times New Roman" w:cs="Times New Roman"/>
            <w:color w:val="000000"/>
            <w:sz w:val="24"/>
            <w:szCs w:val="24"/>
          </w:rPr>
          <w:t>Filippini DM, Gatti M, Di Martino V, et al. Bone fracture as a novel immune-related adverse event with immune checkpoint inhibito</w:t>
        </w:r>
        <w:r>
          <w:rPr>
            <w:rFonts w:ascii="Times New Roman" w:eastAsia="Times New Roman" w:hAnsi="Times New Roman" w:cs="Times New Roman"/>
            <w:color w:val="000000"/>
            <w:sz w:val="24"/>
            <w:szCs w:val="24"/>
          </w:rPr>
          <w:t xml:space="preserve">rs: Case series and large-scale pharmacovigilance analysis. </w:t>
        </w:r>
      </w:hyperlink>
      <w:hyperlink r:id="rId161">
        <w:r>
          <w:rPr>
            <w:rFonts w:ascii="Times New Roman" w:eastAsia="Times New Roman" w:hAnsi="Times New Roman" w:cs="Times New Roman"/>
            <w:i/>
            <w:color w:val="000000"/>
            <w:sz w:val="24"/>
            <w:szCs w:val="24"/>
          </w:rPr>
          <w:t>Int J Cancer</w:t>
        </w:r>
      </w:hyperlink>
      <w:hyperlink r:id="rId162">
        <w:r>
          <w:rPr>
            <w:rFonts w:ascii="Times New Roman" w:eastAsia="Times New Roman" w:hAnsi="Times New Roman" w:cs="Times New Roman"/>
            <w:color w:val="000000"/>
            <w:sz w:val="24"/>
            <w:szCs w:val="24"/>
          </w:rPr>
          <w:t>. 2021;149(3):675-683.</w:t>
        </w:r>
      </w:hyperlink>
    </w:p>
    <w:p w14:paraId="7D79D0C8" w14:textId="77777777" w:rsidR="00B82265" w:rsidRDefault="00B82265">
      <w:pPr>
        <w:widowControl w:val="0"/>
        <w:pBdr>
          <w:top w:val="nil"/>
          <w:left w:val="nil"/>
          <w:bottom w:val="nil"/>
          <w:right w:val="nil"/>
          <w:between w:val="nil"/>
        </w:pBdr>
        <w:rPr>
          <w:rFonts w:ascii="Times New Roman" w:eastAsia="Times New Roman" w:hAnsi="Times New Roman" w:cs="Times New Roman"/>
          <w:sz w:val="24"/>
          <w:szCs w:val="24"/>
        </w:rPr>
      </w:pPr>
    </w:p>
    <w:sectPr w:rsidR="00B82265">
      <w:headerReference w:type="default" r:id="rId163"/>
      <w:footerReference w:type="default" r:id="rId164"/>
      <w:footerReference w:type="first" r:id="rId165"/>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17AD6" w14:textId="77777777" w:rsidR="00B929DB" w:rsidRDefault="00B929DB">
      <w:pPr>
        <w:spacing w:line="240" w:lineRule="auto"/>
      </w:pPr>
      <w:r>
        <w:separator/>
      </w:r>
    </w:p>
  </w:endnote>
  <w:endnote w:type="continuationSeparator" w:id="0">
    <w:p w14:paraId="34A769E4" w14:textId="77777777" w:rsidR="00B929DB" w:rsidRDefault="00B92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13B56" w14:textId="77777777" w:rsidR="00B82265" w:rsidRDefault="00B929DB">
    <w:pPr>
      <w:jc w:val="right"/>
    </w:pPr>
    <w:r>
      <w:fldChar w:fldCharType="begin"/>
    </w:r>
    <w:r>
      <w:instrText>PAGE</w:instrText>
    </w:r>
    <w:r>
      <w:fldChar w:fldCharType="separate"/>
    </w:r>
    <w:r w:rsidR="00503FA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58FF" w14:textId="77777777" w:rsidR="00B82265" w:rsidRDefault="00B822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0856D" w14:textId="77777777" w:rsidR="00B929DB" w:rsidRDefault="00B929DB">
      <w:pPr>
        <w:spacing w:line="240" w:lineRule="auto"/>
      </w:pPr>
      <w:r>
        <w:separator/>
      </w:r>
    </w:p>
  </w:footnote>
  <w:footnote w:type="continuationSeparator" w:id="0">
    <w:p w14:paraId="2AF5F1F4" w14:textId="77777777" w:rsidR="00B929DB" w:rsidRDefault="00B92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A9E96" w14:textId="77777777" w:rsidR="00B82265" w:rsidRDefault="00B822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65"/>
    <w:rsid w:val="00503FAB"/>
    <w:rsid w:val="00B82265"/>
    <w:rsid w:val="00B92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58BB"/>
  <w15:docId w15:val="{E05F69EE-E1B5-466A-B651-0A817DEC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paperpile.com/c/GT7R8d/ODBKo" TargetMode="External"/><Relationship Id="rId117" Type="http://schemas.openxmlformats.org/officeDocument/2006/relationships/hyperlink" Target="https://vitalstats.gov.mb.ca/" TargetMode="External"/><Relationship Id="rId21" Type="http://schemas.openxmlformats.org/officeDocument/2006/relationships/hyperlink" Target="https://paperpile.com/c/GT7R8d/VaIPP" TargetMode="External"/><Relationship Id="rId42" Type="http://schemas.openxmlformats.org/officeDocument/2006/relationships/hyperlink" Target="http://paperpile.com/b/GT7R8d/PrgBn" TargetMode="External"/><Relationship Id="rId47" Type="http://schemas.openxmlformats.org/officeDocument/2006/relationships/hyperlink" Target="http://paperpile.com/b/GT7R8d/iK8OC" TargetMode="External"/><Relationship Id="rId63" Type="http://schemas.openxmlformats.org/officeDocument/2006/relationships/hyperlink" Target="http://paperpile.com/b/GT7R8d/0iULF" TargetMode="External"/><Relationship Id="rId68" Type="http://schemas.openxmlformats.org/officeDocument/2006/relationships/hyperlink" Target="http://paperpile.com/b/GT7R8d/hXjI0" TargetMode="External"/><Relationship Id="rId84" Type="http://schemas.openxmlformats.org/officeDocument/2006/relationships/hyperlink" Target="http://paperpile.com/b/GT7R8d/PM556" TargetMode="External"/><Relationship Id="rId89" Type="http://schemas.openxmlformats.org/officeDocument/2006/relationships/hyperlink" Target="http://paperpile.com/b/GT7R8d/uLcxg" TargetMode="External"/><Relationship Id="rId112" Type="http://schemas.openxmlformats.org/officeDocument/2006/relationships/hyperlink" Target="http://paperpile.com/b/GT7R8d/m63nF" TargetMode="External"/><Relationship Id="rId133" Type="http://schemas.openxmlformats.org/officeDocument/2006/relationships/hyperlink" Target="http://paperpile.com/b/GT7R8d/RixrC" TargetMode="External"/><Relationship Id="rId138" Type="http://schemas.openxmlformats.org/officeDocument/2006/relationships/hyperlink" Target="http://paperpile.com/b/GT7R8d/DsTFO" TargetMode="External"/><Relationship Id="rId154" Type="http://schemas.openxmlformats.org/officeDocument/2006/relationships/hyperlink" Target="http://paperpile.com/b/GT7R8d/dBXhN" TargetMode="External"/><Relationship Id="rId159" Type="http://schemas.openxmlformats.org/officeDocument/2006/relationships/hyperlink" Target="http://paperpile.com/b/GT7R8d/EIEby" TargetMode="External"/><Relationship Id="rId16" Type="http://schemas.openxmlformats.org/officeDocument/2006/relationships/hyperlink" Target="https://paperpile.com/c/GT7R8d/1Bbkk" TargetMode="External"/><Relationship Id="rId107" Type="http://schemas.openxmlformats.org/officeDocument/2006/relationships/hyperlink" Target="http://paperpile.com/b/GT7R8d/vuK6I" TargetMode="External"/><Relationship Id="rId11" Type="http://schemas.openxmlformats.org/officeDocument/2006/relationships/hyperlink" Target="https://paperpile.com/c/GT7R8d/vG4IZ" TargetMode="External"/><Relationship Id="rId32" Type="http://schemas.openxmlformats.org/officeDocument/2006/relationships/hyperlink" Target="https://paperpile.com/c/GT7R8d/zN2pM" TargetMode="External"/><Relationship Id="rId37" Type="http://schemas.openxmlformats.org/officeDocument/2006/relationships/hyperlink" Target="https://paperpile.com/c/GT7R8d/dBXhN" TargetMode="External"/><Relationship Id="rId53" Type="http://schemas.openxmlformats.org/officeDocument/2006/relationships/hyperlink" Target="http://paperpile.com/b/GT7R8d/gIDAM" TargetMode="External"/><Relationship Id="rId58" Type="http://schemas.openxmlformats.org/officeDocument/2006/relationships/hyperlink" Target="http://paperpile.com/b/GT7R8d/qszBA" TargetMode="External"/><Relationship Id="rId74" Type="http://schemas.openxmlformats.org/officeDocument/2006/relationships/hyperlink" Target="http://paperpile.com/b/GT7R8d/nQ73d" TargetMode="External"/><Relationship Id="rId79" Type="http://schemas.openxmlformats.org/officeDocument/2006/relationships/hyperlink" Target="http://paperpile.com/b/GT7R8d/QNYms" TargetMode="External"/><Relationship Id="rId102" Type="http://schemas.openxmlformats.org/officeDocument/2006/relationships/hyperlink" Target="http://paperpile.com/b/GT7R8d/FR1P5" TargetMode="External"/><Relationship Id="rId123" Type="http://schemas.openxmlformats.org/officeDocument/2006/relationships/hyperlink" Target="http://paperpile.com/b/GT7R8d/6ouin" TargetMode="External"/><Relationship Id="rId128" Type="http://schemas.openxmlformats.org/officeDocument/2006/relationships/hyperlink" Target="http://paperpile.com/b/GT7R8d/ibNKo" TargetMode="External"/><Relationship Id="rId144" Type="http://schemas.openxmlformats.org/officeDocument/2006/relationships/hyperlink" Target="http://paperpile.com/b/GT7R8d/ELtx2" TargetMode="External"/><Relationship Id="rId149" Type="http://schemas.openxmlformats.org/officeDocument/2006/relationships/hyperlink" Target="http://paperpile.com/b/GT7R8d/zImPM" TargetMode="External"/><Relationship Id="rId5" Type="http://schemas.openxmlformats.org/officeDocument/2006/relationships/endnotes" Target="endnotes.xml"/><Relationship Id="rId90" Type="http://schemas.openxmlformats.org/officeDocument/2006/relationships/hyperlink" Target="http://paperpile.com/b/GT7R8d/uLcxg" TargetMode="External"/><Relationship Id="rId95" Type="http://schemas.openxmlformats.org/officeDocument/2006/relationships/hyperlink" Target="http://paperpile.com/b/GT7R8d/4obVl" TargetMode="External"/><Relationship Id="rId160" Type="http://schemas.openxmlformats.org/officeDocument/2006/relationships/hyperlink" Target="http://paperpile.com/b/GT7R8d/Od8IN" TargetMode="External"/><Relationship Id="rId165" Type="http://schemas.openxmlformats.org/officeDocument/2006/relationships/footer" Target="footer2.xml"/><Relationship Id="rId22" Type="http://schemas.openxmlformats.org/officeDocument/2006/relationships/hyperlink" Target="https://paperpile.com/c/GT7R8d/bspis" TargetMode="External"/><Relationship Id="rId27" Type="http://schemas.openxmlformats.org/officeDocument/2006/relationships/hyperlink" Target="https://paperpile.com/c/GT7R8d/RixrC" TargetMode="External"/><Relationship Id="rId43" Type="http://schemas.openxmlformats.org/officeDocument/2006/relationships/hyperlink" Target="http://paperpile.com/b/GT7R8d/PrgBn" TargetMode="External"/><Relationship Id="rId48" Type="http://schemas.openxmlformats.org/officeDocument/2006/relationships/hyperlink" Target="http://paperpile.com/b/GT7R8d/s2PBn" TargetMode="External"/><Relationship Id="rId64" Type="http://schemas.openxmlformats.org/officeDocument/2006/relationships/hyperlink" Target="http://paperpile.com/b/GT7R8d/0iULF" TargetMode="External"/><Relationship Id="rId69" Type="http://schemas.openxmlformats.org/officeDocument/2006/relationships/hyperlink" Target="http://paperpile.com/b/GT7R8d/SIRbM" TargetMode="External"/><Relationship Id="rId113" Type="http://schemas.openxmlformats.org/officeDocument/2006/relationships/hyperlink" Target="http://paperpile.com/b/GT7R8d/VaIPP" TargetMode="External"/><Relationship Id="rId118" Type="http://schemas.openxmlformats.org/officeDocument/2006/relationships/hyperlink" Target="http://paperpile.com/b/GT7R8d/eZAwi" TargetMode="External"/><Relationship Id="rId134" Type="http://schemas.openxmlformats.org/officeDocument/2006/relationships/hyperlink" Target="http://paperpile.com/b/GT7R8d/RixrC" TargetMode="External"/><Relationship Id="rId139" Type="http://schemas.openxmlformats.org/officeDocument/2006/relationships/hyperlink" Target="http://paperpile.com/b/GT7R8d/WQ7vS" TargetMode="External"/><Relationship Id="rId80" Type="http://schemas.openxmlformats.org/officeDocument/2006/relationships/hyperlink" Target="http://paperpile.com/b/GT7R8d/QNYms" TargetMode="External"/><Relationship Id="rId85" Type="http://schemas.openxmlformats.org/officeDocument/2006/relationships/hyperlink" Target="http://paperpile.com/b/GT7R8d/PM556" TargetMode="External"/><Relationship Id="rId150" Type="http://schemas.openxmlformats.org/officeDocument/2006/relationships/hyperlink" Target="http://paperpile.com/b/GT7R8d/zImPM" TargetMode="External"/><Relationship Id="rId155" Type="http://schemas.openxmlformats.org/officeDocument/2006/relationships/hyperlink" Target="http://paperpile.com/b/GT7R8d/dBXhN" TargetMode="External"/><Relationship Id="rId12" Type="http://schemas.openxmlformats.org/officeDocument/2006/relationships/hyperlink" Target="https://paperpile.com/c/GT7R8d/QNYms" TargetMode="External"/><Relationship Id="rId17" Type="http://schemas.openxmlformats.org/officeDocument/2006/relationships/hyperlink" Target="https://paperpile.com/c/GT7R8d/FR1P5" TargetMode="External"/><Relationship Id="rId33" Type="http://schemas.openxmlformats.org/officeDocument/2006/relationships/hyperlink" Target="https://paperpile.com/c/GT7R8d/zImPM" TargetMode="External"/><Relationship Id="rId38" Type="http://schemas.openxmlformats.org/officeDocument/2006/relationships/hyperlink" Target="https://paperpile.com/c/GT7R8d/EIEby+0iULF+Od8IN" TargetMode="External"/><Relationship Id="rId59" Type="http://schemas.openxmlformats.org/officeDocument/2006/relationships/hyperlink" Target="http://paperpile.com/b/GT7R8d/LC2YH" TargetMode="External"/><Relationship Id="rId103" Type="http://schemas.openxmlformats.org/officeDocument/2006/relationships/hyperlink" Target="http://paperpile.com/b/GT7R8d/3Kgni" TargetMode="External"/><Relationship Id="rId108" Type="http://schemas.openxmlformats.org/officeDocument/2006/relationships/hyperlink" Target="http://paperpile.com/b/GT7R8d/vuK6I" TargetMode="External"/><Relationship Id="rId124" Type="http://schemas.openxmlformats.org/officeDocument/2006/relationships/hyperlink" Target="http://paperpile.com/b/GT7R8d/6ouin" TargetMode="External"/><Relationship Id="rId129" Type="http://schemas.openxmlformats.org/officeDocument/2006/relationships/hyperlink" Target="http://paperpile.com/b/GT7R8d/ODBKo" TargetMode="External"/><Relationship Id="rId54" Type="http://schemas.openxmlformats.org/officeDocument/2006/relationships/hyperlink" Target="http://paperpile.com/b/GT7R8d/gIDAM" TargetMode="External"/><Relationship Id="rId70" Type="http://schemas.openxmlformats.org/officeDocument/2006/relationships/hyperlink" Target="http://paperpile.com/b/GT7R8d/SIRbM" TargetMode="External"/><Relationship Id="rId75" Type="http://schemas.openxmlformats.org/officeDocument/2006/relationships/hyperlink" Target="http://dx.doi.org/10.1007/s00198-022-06542-4" TargetMode="External"/><Relationship Id="rId91" Type="http://schemas.openxmlformats.org/officeDocument/2006/relationships/hyperlink" Target="http://paperpile.com/b/GT7R8d/LR9ln" TargetMode="External"/><Relationship Id="rId96" Type="http://schemas.openxmlformats.org/officeDocument/2006/relationships/hyperlink" Target="http://paperpile.com/b/GT7R8d/4obVl" TargetMode="External"/><Relationship Id="rId140" Type="http://schemas.openxmlformats.org/officeDocument/2006/relationships/hyperlink" Target="http://paperpile.com/b/GT7R8d/WQ7vS" TargetMode="External"/><Relationship Id="rId145" Type="http://schemas.openxmlformats.org/officeDocument/2006/relationships/hyperlink" Target="http://paperpile.com/b/GT7R8d/zN2pM" TargetMode="External"/><Relationship Id="rId161" Type="http://schemas.openxmlformats.org/officeDocument/2006/relationships/hyperlink" Target="http://paperpile.com/b/GT7R8d/Od8IN" TargetMode="External"/><Relationship Id="rId16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aperpile.com/c/GT7R8d/PrgBn" TargetMode="External"/><Relationship Id="rId15" Type="http://schemas.openxmlformats.org/officeDocument/2006/relationships/hyperlink" Target="https://paperpile.com/c/GT7R8d/4obVl" TargetMode="External"/><Relationship Id="rId23" Type="http://schemas.openxmlformats.org/officeDocument/2006/relationships/hyperlink" Target="https://paperpile.com/c/GT7R8d/eZAwi" TargetMode="External"/><Relationship Id="rId28" Type="http://schemas.openxmlformats.org/officeDocument/2006/relationships/hyperlink" Target="https://paperpile.com/c/GT7R8d/DsTFO" TargetMode="External"/><Relationship Id="rId36" Type="http://schemas.openxmlformats.org/officeDocument/2006/relationships/hyperlink" Target="https://paperpile.com/c/GT7R8d/RixrC+DsTFO" TargetMode="External"/><Relationship Id="rId49" Type="http://schemas.openxmlformats.org/officeDocument/2006/relationships/hyperlink" Target="http://paperpile.com/b/GT7R8d/s2PBn" TargetMode="External"/><Relationship Id="rId57" Type="http://schemas.openxmlformats.org/officeDocument/2006/relationships/hyperlink" Target="http://paperpile.com/b/GT7R8d/qszBA" TargetMode="External"/><Relationship Id="rId106" Type="http://schemas.openxmlformats.org/officeDocument/2006/relationships/hyperlink" Target="https://crdcn.ca/data/canadian-cancer-registry/" TargetMode="External"/><Relationship Id="rId114" Type="http://schemas.openxmlformats.org/officeDocument/2006/relationships/hyperlink" Target="http://paperpile.com/b/GT7R8d/VaIPP" TargetMode="External"/><Relationship Id="rId119" Type="http://schemas.openxmlformats.org/officeDocument/2006/relationships/hyperlink" Target="http://mchp-appserv.cpe.umanitoba.ca/viewConcept.php?printer=Y&amp;conceptID=1219" TargetMode="External"/><Relationship Id="rId127" Type="http://schemas.openxmlformats.org/officeDocument/2006/relationships/hyperlink" Target="http://paperpile.com/b/GT7R8d/ibNKo" TargetMode="External"/><Relationship Id="rId10" Type="http://schemas.openxmlformats.org/officeDocument/2006/relationships/hyperlink" Target="https://paperpile.com/c/GT7R8d/nQ73d" TargetMode="External"/><Relationship Id="rId31" Type="http://schemas.openxmlformats.org/officeDocument/2006/relationships/hyperlink" Target="https://paperpile.com/c/GT7R8d/4obVl" TargetMode="External"/><Relationship Id="rId44" Type="http://schemas.openxmlformats.org/officeDocument/2006/relationships/hyperlink" Target="http://dx.doi.org/10.1007/s00198-022-06631-4" TargetMode="External"/><Relationship Id="rId52" Type="http://schemas.openxmlformats.org/officeDocument/2006/relationships/hyperlink" Target="http://paperpile.com/b/GT7R8d/gIDAM" TargetMode="External"/><Relationship Id="rId60" Type="http://schemas.openxmlformats.org/officeDocument/2006/relationships/hyperlink" Target="http://paperpile.com/b/GT7R8d/LC2YH" TargetMode="External"/><Relationship Id="rId65" Type="http://schemas.openxmlformats.org/officeDocument/2006/relationships/hyperlink" Target="http://dx.doi.org/10.1007/s00198-023-06690-1" TargetMode="External"/><Relationship Id="rId73" Type="http://schemas.openxmlformats.org/officeDocument/2006/relationships/hyperlink" Target="http://paperpile.com/b/GT7R8d/nQ73d" TargetMode="External"/><Relationship Id="rId78" Type="http://schemas.openxmlformats.org/officeDocument/2006/relationships/hyperlink" Target="http://paperpile.com/b/GT7R8d/vG4IZ" TargetMode="External"/><Relationship Id="rId81" Type="http://schemas.openxmlformats.org/officeDocument/2006/relationships/hyperlink" Target="http://paperpile.com/b/GT7R8d/QNYms" TargetMode="External"/><Relationship Id="rId86" Type="http://schemas.openxmlformats.org/officeDocument/2006/relationships/hyperlink" Target="http://paperpile.com/b/GT7R8d/PM556" TargetMode="External"/><Relationship Id="rId94" Type="http://schemas.openxmlformats.org/officeDocument/2006/relationships/hyperlink" Target="http://dx.doi.org/10.1016/j.ctrv.2016.10.004" TargetMode="External"/><Relationship Id="rId99" Type="http://schemas.openxmlformats.org/officeDocument/2006/relationships/hyperlink" Target="https://www.gov.mb.ca/mbs/" TargetMode="External"/><Relationship Id="rId101" Type="http://schemas.openxmlformats.org/officeDocument/2006/relationships/hyperlink" Target="http://paperpile.com/b/GT7R8d/FR1P5" TargetMode="External"/><Relationship Id="rId122" Type="http://schemas.openxmlformats.org/officeDocument/2006/relationships/hyperlink" Target="http://paperpile.com/b/GT7R8d/5kHlr" TargetMode="External"/><Relationship Id="rId130" Type="http://schemas.openxmlformats.org/officeDocument/2006/relationships/hyperlink" Target="http://paperpile.com/b/GT7R8d/ODBKo" TargetMode="External"/><Relationship Id="rId135" Type="http://schemas.openxmlformats.org/officeDocument/2006/relationships/hyperlink" Target="http://dx.doi.org/10.1002/jbmr.4793" TargetMode="External"/><Relationship Id="rId143" Type="http://schemas.openxmlformats.org/officeDocument/2006/relationships/hyperlink" Target="http://paperpile.com/b/GT7R8d/ELtx2" TargetMode="External"/><Relationship Id="rId148" Type="http://schemas.openxmlformats.org/officeDocument/2006/relationships/hyperlink" Target="http://paperpile.com/b/GT7R8d/zImPM" TargetMode="External"/><Relationship Id="rId151" Type="http://schemas.openxmlformats.org/officeDocument/2006/relationships/hyperlink" Target="http://paperpile.com/b/GT7R8d/u7AoF" TargetMode="External"/><Relationship Id="rId156" Type="http://schemas.openxmlformats.org/officeDocument/2006/relationships/hyperlink" Target="http://paperpile.com/b/GT7R8d/dBXhN" TargetMode="External"/><Relationship Id="rId164"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paperpile.com/c/GT7R8d/SIRbM" TargetMode="External"/><Relationship Id="rId13" Type="http://schemas.openxmlformats.org/officeDocument/2006/relationships/hyperlink" Target="https://paperpile.com/c/GT7R8d/iZofg+PM556+uLcxg+LR9ln" TargetMode="External"/><Relationship Id="rId18" Type="http://schemas.openxmlformats.org/officeDocument/2006/relationships/hyperlink" Target="https://paperpile.com/c/GT7R8d/3Kgni+Cc9fv" TargetMode="External"/><Relationship Id="rId39" Type="http://schemas.openxmlformats.org/officeDocument/2006/relationships/hyperlink" Target="https://paperpile.com/c/GT7R8d/vG4IZ" TargetMode="External"/><Relationship Id="rId109" Type="http://schemas.openxmlformats.org/officeDocument/2006/relationships/hyperlink" Target="http://paperpile.com/b/GT7R8d/vuK6I" TargetMode="External"/><Relationship Id="rId34" Type="http://schemas.openxmlformats.org/officeDocument/2006/relationships/hyperlink" Target="https://paperpile.com/c/GT7R8d/DsTFO" TargetMode="External"/><Relationship Id="rId50" Type="http://schemas.openxmlformats.org/officeDocument/2006/relationships/hyperlink" Target="http://paperpile.com/b/GT7R8d/s2PBn" TargetMode="External"/><Relationship Id="rId55" Type="http://schemas.openxmlformats.org/officeDocument/2006/relationships/hyperlink" Target="http://dx.doi.org/10.3109/13697137.2015.1020484" TargetMode="External"/><Relationship Id="rId76" Type="http://schemas.openxmlformats.org/officeDocument/2006/relationships/hyperlink" Target="http://paperpile.com/b/GT7R8d/vG4IZ" TargetMode="External"/><Relationship Id="rId97" Type="http://schemas.openxmlformats.org/officeDocument/2006/relationships/hyperlink" Target="http://paperpile.com/b/GT7R8d/4obVl" TargetMode="External"/><Relationship Id="rId104" Type="http://schemas.openxmlformats.org/officeDocument/2006/relationships/hyperlink" Target="https://www.naaccr.org/certified-registries/" TargetMode="External"/><Relationship Id="rId120" Type="http://schemas.openxmlformats.org/officeDocument/2006/relationships/hyperlink" Target="http://paperpile.com/b/GT7R8d/5kHlr" TargetMode="External"/><Relationship Id="rId125" Type="http://schemas.openxmlformats.org/officeDocument/2006/relationships/hyperlink" Target="http://paperpile.com/b/GT7R8d/6ouin" TargetMode="External"/><Relationship Id="rId141" Type="http://schemas.openxmlformats.org/officeDocument/2006/relationships/hyperlink" Target="http://paperpile.com/b/GT7R8d/WQ7vS" TargetMode="External"/><Relationship Id="rId146" Type="http://schemas.openxmlformats.org/officeDocument/2006/relationships/hyperlink" Target="http://paperpile.com/b/GT7R8d/zN2pM" TargetMode="External"/><Relationship Id="rId167" Type="http://schemas.openxmlformats.org/officeDocument/2006/relationships/theme" Target="theme/theme1.xml"/><Relationship Id="rId7" Type="http://schemas.openxmlformats.org/officeDocument/2006/relationships/hyperlink" Target="https://paperpile.com/c/GT7R8d/iK8OC+s2PBn+gIDAM+qszBA+LC2YH+PrgBn+0iULF" TargetMode="External"/><Relationship Id="rId71" Type="http://schemas.openxmlformats.org/officeDocument/2006/relationships/hyperlink" Target="http://paperpile.com/b/GT7R8d/SIRbM" TargetMode="External"/><Relationship Id="rId92" Type="http://schemas.openxmlformats.org/officeDocument/2006/relationships/hyperlink" Target="http://paperpile.com/b/GT7R8d/LR9ln" TargetMode="External"/><Relationship Id="rId162" Type="http://schemas.openxmlformats.org/officeDocument/2006/relationships/hyperlink" Target="http://paperpile.com/b/GT7R8d/Od8IN" TargetMode="External"/><Relationship Id="rId2" Type="http://schemas.openxmlformats.org/officeDocument/2006/relationships/settings" Target="settings.xml"/><Relationship Id="rId29" Type="http://schemas.openxmlformats.org/officeDocument/2006/relationships/hyperlink" Target="https://paperpile.com/c/GT7R8d/WQ7vS" TargetMode="External"/><Relationship Id="rId24" Type="http://schemas.openxmlformats.org/officeDocument/2006/relationships/hyperlink" Target="https://paperpile.com/c/GT7R8d/5kHlr" TargetMode="External"/><Relationship Id="rId40" Type="http://schemas.openxmlformats.org/officeDocument/2006/relationships/hyperlink" Target="https://paperpile.com/c/GT7R8d/nQ73d" TargetMode="External"/><Relationship Id="rId45" Type="http://schemas.openxmlformats.org/officeDocument/2006/relationships/hyperlink" Target="http://paperpile.com/b/GT7R8d/iK8OC" TargetMode="External"/><Relationship Id="rId66" Type="http://schemas.openxmlformats.org/officeDocument/2006/relationships/hyperlink" Target="http://paperpile.com/b/GT7R8d/hXjI0" TargetMode="External"/><Relationship Id="rId87" Type="http://schemas.openxmlformats.org/officeDocument/2006/relationships/hyperlink" Target="http://dx.doi.org/10.1007/s00198-013-2530-3" TargetMode="External"/><Relationship Id="rId110" Type="http://schemas.openxmlformats.org/officeDocument/2006/relationships/hyperlink" Target="http://paperpile.com/b/GT7R8d/m63nF" TargetMode="External"/><Relationship Id="rId115" Type="http://schemas.openxmlformats.org/officeDocument/2006/relationships/hyperlink" Target="http://paperpile.com/b/GT7R8d/VaIPP" TargetMode="External"/><Relationship Id="rId131" Type="http://schemas.openxmlformats.org/officeDocument/2006/relationships/hyperlink" Target="http://paperpile.com/b/GT7R8d/ODBKo" TargetMode="External"/><Relationship Id="rId136" Type="http://schemas.openxmlformats.org/officeDocument/2006/relationships/hyperlink" Target="http://paperpile.com/b/GT7R8d/DsTFO" TargetMode="External"/><Relationship Id="rId157" Type="http://schemas.openxmlformats.org/officeDocument/2006/relationships/hyperlink" Target="http://paperpile.com/b/GT7R8d/EIEby" TargetMode="External"/><Relationship Id="rId61" Type="http://schemas.openxmlformats.org/officeDocument/2006/relationships/hyperlink" Target="http://paperpile.com/b/GT7R8d/LC2YH" TargetMode="External"/><Relationship Id="rId82" Type="http://schemas.openxmlformats.org/officeDocument/2006/relationships/hyperlink" Target="http://dx.doi.org/10.5144/0256-4947.1994.527" TargetMode="External"/><Relationship Id="rId152" Type="http://schemas.openxmlformats.org/officeDocument/2006/relationships/hyperlink" Target="http://paperpile.com/b/GT7R8d/u7AoF" TargetMode="External"/><Relationship Id="rId19" Type="http://schemas.openxmlformats.org/officeDocument/2006/relationships/hyperlink" Target="https://paperpile.com/c/GT7R8d/vuK6I" TargetMode="External"/><Relationship Id="rId14" Type="http://schemas.openxmlformats.org/officeDocument/2006/relationships/hyperlink" Target="http://www.sheffield.ac.uk/FRAX/" TargetMode="External"/><Relationship Id="rId30" Type="http://schemas.openxmlformats.org/officeDocument/2006/relationships/hyperlink" Target="https://paperpile.com/c/GT7R8d/ELtx2+zN2pM" TargetMode="External"/><Relationship Id="rId35" Type="http://schemas.openxmlformats.org/officeDocument/2006/relationships/hyperlink" Target="https://paperpile.com/c/GT7R8d/u7AoF" TargetMode="External"/><Relationship Id="rId56" Type="http://schemas.openxmlformats.org/officeDocument/2006/relationships/hyperlink" Target="http://paperpile.com/b/GT7R8d/qszBA" TargetMode="External"/><Relationship Id="rId77" Type="http://schemas.openxmlformats.org/officeDocument/2006/relationships/hyperlink" Target="http://paperpile.com/b/GT7R8d/vG4IZ" TargetMode="External"/><Relationship Id="rId100" Type="http://schemas.openxmlformats.org/officeDocument/2006/relationships/hyperlink" Target="http://paperpile.com/b/GT7R8d/FR1P5" TargetMode="External"/><Relationship Id="rId105" Type="http://schemas.openxmlformats.org/officeDocument/2006/relationships/hyperlink" Target="http://paperpile.com/b/GT7R8d/Cc9fv" TargetMode="External"/><Relationship Id="rId126" Type="http://schemas.openxmlformats.org/officeDocument/2006/relationships/hyperlink" Target="http://paperpile.com/b/GT7R8d/ibNKo" TargetMode="External"/><Relationship Id="rId147" Type="http://schemas.openxmlformats.org/officeDocument/2006/relationships/hyperlink" Target="http://paperpile.com/b/GT7R8d/zN2pM" TargetMode="External"/><Relationship Id="rId8" Type="http://schemas.openxmlformats.org/officeDocument/2006/relationships/hyperlink" Target="https://paperpile.com/c/GT7R8d/hXjI0" TargetMode="External"/><Relationship Id="rId51" Type="http://schemas.openxmlformats.org/officeDocument/2006/relationships/hyperlink" Target="http://dx.doi.org/10.1097/md.0000000000010532" TargetMode="External"/><Relationship Id="rId72" Type="http://schemas.openxmlformats.org/officeDocument/2006/relationships/hyperlink" Target="http://paperpile.com/b/GT7R8d/nQ73d" TargetMode="External"/><Relationship Id="rId93" Type="http://schemas.openxmlformats.org/officeDocument/2006/relationships/hyperlink" Target="http://paperpile.com/b/GT7R8d/LR9ln" TargetMode="External"/><Relationship Id="rId98" Type="http://schemas.openxmlformats.org/officeDocument/2006/relationships/hyperlink" Target="http://paperpile.com/b/GT7R8d/1Bbkk" TargetMode="External"/><Relationship Id="rId121" Type="http://schemas.openxmlformats.org/officeDocument/2006/relationships/hyperlink" Target="http://paperpile.com/b/GT7R8d/5kHlr" TargetMode="External"/><Relationship Id="rId142" Type="http://schemas.openxmlformats.org/officeDocument/2006/relationships/hyperlink" Target="http://paperpile.com/b/GT7R8d/ELtx2" TargetMode="External"/><Relationship Id="rId163" Type="http://schemas.openxmlformats.org/officeDocument/2006/relationships/header" Target="header1.xml"/><Relationship Id="rId3" Type="http://schemas.openxmlformats.org/officeDocument/2006/relationships/webSettings" Target="webSettings.xml"/><Relationship Id="rId25" Type="http://schemas.openxmlformats.org/officeDocument/2006/relationships/hyperlink" Target="https://paperpile.com/c/GT7R8d/6ouin+ibNKo" TargetMode="External"/><Relationship Id="rId46" Type="http://schemas.openxmlformats.org/officeDocument/2006/relationships/hyperlink" Target="http://paperpile.com/b/GT7R8d/iK8OC" TargetMode="External"/><Relationship Id="rId67" Type="http://schemas.openxmlformats.org/officeDocument/2006/relationships/hyperlink" Target="http://paperpile.com/b/GT7R8d/hXjI0" TargetMode="External"/><Relationship Id="rId116" Type="http://schemas.openxmlformats.org/officeDocument/2006/relationships/hyperlink" Target="http://paperpile.com/b/GT7R8d/bspis" TargetMode="External"/><Relationship Id="rId137" Type="http://schemas.openxmlformats.org/officeDocument/2006/relationships/hyperlink" Target="http://paperpile.com/b/GT7R8d/DsTFO" TargetMode="External"/><Relationship Id="rId158" Type="http://schemas.openxmlformats.org/officeDocument/2006/relationships/hyperlink" Target="http://paperpile.com/b/GT7R8d/EIEby" TargetMode="External"/><Relationship Id="rId20" Type="http://schemas.openxmlformats.org/officeDocument/2006/relationships/hyperlink" Target="https://paperpile.com/c/GT7R8d/m63nF" TargetMode="External"/><Relationship Id="rId41" Type="http://schemas.openxmlformats.org/officeDocument/2006/relationships/hyperlink" Target="http://paperpile.com/b/GT7R8d/PrgBn" TargetMode="External"/><Relationship Id="rId62" Type="http://schemas.openxmlformats.org/officeDocument/2006/relationships/hyperlink" Target="http://paperpile.com/b/GT7R8d/0iULF" TargetMode="External"/><Relationship Id="rId83" Type="http://schemas.openxmlformats.org/officeDocument/2006/relationships/hyperlink" Target="http://paperpile.com/b/GT7R8d/iZofg" TargetMode="External"/><Relationship Id="rId88" Type="http://schemas.openxmlformats.org/officeDocument/2006/relationships/hyperlink" Target="http://paperpile.com/b/GT7R8d/uLcxg" TargetMode="External"/><Relationship Id="rId111" Type="http://schemas.openxmlformats.org/officeDocument/2006/relationships/hyperlink" Target="http://paperpile.com/b/GT7R8d/m63nF" TargetMode="External"/><Relationship Id="rId132" Type="http://schemas.openxmlformats.org/officeDocument/2006/relationships/hyperlink" Target="http://paperpile.com/b/GT7R8d/RixrC" TargetMode="External"/><Relationship Id="rId153" Type="http://schemas.openxmlformats.org/officeDocument/2006/relationships/hyperlink" Target="http://paperpile.com/b/GT7R8d/u7Ao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6772</Words>
  <Characters>38602</Characters>
  <Application>Microsoft Office Word</Application>
  <DocSecurity>0</DocSecurity>
  <Lines>321</Lines>
  <Paragraphs>90</Paragraphs>
  <ScaleCrop>false</ScaleCrop>
  <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Drake</dc:creator>
  <cp:lastModifiedBy>Karen Drake</cp:lastModifiedBy>
  <cp:revision>2</cp:revision>
  <dcterms:created xsi:type="dcterms:W3CDTF">2024-11-22T15:50:00Z</dcterms:created>
  <dcterms:modified xsi:type="dcterms:W3CDTF">2024-11-22T15:50:00Z</dcterms:modified>
</cp:coreProperties>
</file>