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BA754" w14:textId="77777777" w:rsidR="00B32A7C" w:rsidRDefault="00B32A7C" w:rsidP="00B32A7C">
      <w:pPr>
        <w:spacing w:line="240" w:lineRule="auto"/>
        <w:rPr>
          <w:rFonts w:cstheme="minorHAnsi"/>
        </w:rPr>
      </w:pPr>
      <w:r>
        <w:rPr>
          <w:rFonts w:cstheme="minorHAnsi"/>
          <w:b/>
          <w:bCs/>
        </w:rPr>
        <w:t>Voices through art: Co-creating the School Daze comic for and with autistic young people to support educational transitions</w:t>
      </w:r>
    </w:p>
    <w:p w14:paraId="2BEF1D4E" w14:textId="77777777" w:rsidR="00B32A7C" w:rsidRDefault="00B32A7C" w:rsidP="00B32A7C">
      <w:pPr>
        <w:spacing w:line="240" w:lineRule="auto"/>
        <w:rPr>
          <w:rFonts w:cstheme="minorHAnsi"/>
          <w:b/>
          <w:bCs/>
        </w:rPr>
      </w:pPr>
    </w:p>
    <w:p w14:paraId="0F44005F" w14:textId="77777777" w:rsidR="00B32A7C" w:rsidRDefault="00B32A7C" w:rsidP="00B32A7C">
      <w:pPr>
        <w:spacing w:line="240" w:lineRule="auto"/>
        <w:rPr>
          <w:rFonts w:cstheme="minorHAnsi"/>
          <w:b/>
          <w:bCs/>
        </w:rPr>
      </w:pPr>
      <w:r>
        <w:rPr>
          <w:rFonts w:cstheme="minorHAnsi"/>
          <w:b/>
          <w:bCs/>
        </w:rPr>
        <w:t>Hanna Kovshoff</w:t>
      </w:r>
      <w:r>
        <w:rPr>
          <w:rFonts w:cstheme="minorHAnsi"/>
          <w:b/>
          <w:bCs/>
          <w:vertAlign w:val="superscript"/>
        </w:rPr>
        <w:t>,</w:t>
      </w:r>
      <w:r w:rsidRPr="00767894">
        <w:rPr>
          <w:rFonts w:cstheme="minorHAnsi"/>
          <w:b/>
          <w:bCs/>
        </w:rPr>
        <w:t xml:space="preserve"> </w:t>
      </w:r>
      <w:r>
        <w:rPr>
          <w:rFonts w:cstheme="minorHAnsi"/>
          <w:b/>
          <w:bCs/>
        </w:rPr>
        <w:t>*</w:t>
      </w:r>
      <w:r>
        <w:rPr>
          <w:rFonts w:cstheme="minorHAnsi"/>
          <w:b/>
          <w:bCs/>
          <w:vertAlign w:val="superscript"/>
        </w:rPr>
        <w:t>1,2</w:t>
      </w:r>
      <w:r>
        <w:rPr>
          <w:rFonts w:cstheme="minorHAnsi"/>
          <w:b/>
          <w:bCs/>
        </w:rPr>
        <w:t>, Charlie Raufi</w:t>
      </w:r>
      <w:r w:rsidRPr="005C6A84">
        <w:rPr>
          <w:rFonts w:cs="Calibri (Body)"/>
          <w:b/>
          <w:bCs/>
          <w:vertAlign w:val="superscript"/>
        </w:rPr>
        <w:t>3</w:t>
      </w:r>
      <w:r>
        <w:rPr>
          <w:rFonts w:cstheme="minorHAnsi"/>
          <w:b/>
          <w:bCs/>
        </w:rPr>
        <w:t>, Samantha Davies</w:t>
      </w:r>
      <w:r w:rsidRPr="000364D5">
        <w:rPr>
          <w:rFonts w:cs="Calibri (Body)"/>
          <w:b/>
          <w:bCs/>
          <w:vertAlign w:val="superscript"/>
        </w:rPr>
        <w:t>2</w:t>
      </w:r>
      <w:r>
        <w:rPr>
          <w:rFonts w:cstheme="minorHAnsi"/>
          <w:b/>
          <w:bCs/>
        </w:rPr>
        <w:t>, Fate Keefe</w:t>
      </w:r>
      <w:r>
        <w:rPr>
          <w:rFonts w:cstheme="minorHAnsi"/>
          <w:b/>
          <w:bCs/>
          <w:vertAlign w:val="superscript"/>
        </w:rPr>
        <w:t>1,2</w:t>
      </w:r>
      <w:r>
        <w:rPr>
          <w:rFonts w:cstheme="minorHAnsi"/>
          <w:b/>
          <w:bCs/>
        </w:rPr>
        <w:t>, Sarah Parsons</w:t>
      </w:r>
      <w:r>
        <w:rPr>
          <w:rFonts w:cstheme="minorHAnsi"/>
          <w:b/>
          <w:bCs/>
          <w:vertAlign w:val="superscript"/>
        </w:rPr>
        <w:t>2,4</w:t>
      </w:r>
    </w:p>
    <w:p w14:paraId="3ECEF77B" w14:textId="77777777" w:rsidR="00B32A7C" w:rsidRDefault="00B32A7C" w:rsidP="00B32A7C">
      <w:pPr>
        <w:spacing w:line="240" w:lineRule="auto"/>
        <w:rPr>
          <w:rFonts w:cstheme="minorHAnsi"/>
          <w:b/>
          <w:bCs/>
        </w:rPr>
      </w:pPr>
    </w:p>
    <w:p w14:paraId="24F901A7" w14:textId="77777777" w:rsidR="00B32A7C" w:rsidRDefault="00B32A7C" w:rsidP="00B32A7C">
      <w:pPr>
        <w:spacing w:line="240" w:lineRule="auto"/>
        <w:rPr>
          <w:rFonts w:cstheme="minorHAnsi"/>
          <w:iCs/>
          <w:vertAlign w:val="superscript"/>
        </w:rPr>
      </w:pPr>
      <w:r>
        <w:rPr>
          <w:rFonts w:cstheme="minorHAnsi"/>
          <w:iCs/>
          <w:vertAlign w:val="superscript"/>
        </w:rPr>
        <w:t xml:space="preserve">1 </w:t>
      </w:r>
      <w:r>
        <w:rPr>
          <w:rFonts w:cstheme="minorHAnsi"/>
          <w:iCs/>
        </w:rPr>
        <w:t>School of Psychology, University of Southampton, Southampton, SO17 1BJ, UK</w:t>
      </w:r>
    </w:p>
    <w:p w14:paraId="7FC12095" w14:textId="77777777" w:rsidR="00B32A7C" w:rsidRDefault="00B32A7C" w:rsidP="00B32A7C">
      <w:pPr>
        <w:spacing w:line="240" w:lineRule="auto"/>
        <w:rPr>
          <w:rFonts w:cstheme="minorHAnsi"/>
          <w:iCs/>
        </w:rPr>
      </w:pPr>
      <w:r>
        <w:rPr>
          <w:rFonts w:cstheme="minorHAnsi"/>
          <w:iCs/>
          <w:vertAlign w:val="superscript"/>
        </w:rPr>
        <w:t xml:space="preserve">2 </w:t>
      </w:r>
      <w:r>
        <w:rPr>
          <w:rFonts w:cstheme="minorHAnsi"/>
          <w:iCs/>
        </w:rPr>
        <w:t>The Autism Community Research Network @Southampton [</w:t>
      </w:r>
      <w:proofErr w:type="spellStart"/>
      <w:r>
        <w:rPr>
          <w:rFonts w:cstheme="minorHAnsi"/>
          <w:iCs/>
        </w:rPr>
        <w:t>ACoRNS</w:t>
      </w:r>
      <w:proofErr w:type="spellEnd"/>
      <w:r>
        <w:rPr>
          <w:rFonts w:cstheme="minorHAnsi"/>
          <w:iCs/>
        </w:rPr>
        <w:t>], Southampton, UK</w:t>
      </w:r>
    </w:p>
    <w:p w14:paraId="2F0BE7D2" w14:textId="77777777" w:rsidR="00B32A7C" w:rsidRDefault="00B32A7C" w:rsidP="00B32A7C">
      <w:pPr>
        <w:spacing w:line="240" w:lineRule="auto"/>
        <w:rPr>
          <w:rFonts w:cstheme="minorHAnsi"/>
          <w:iCs/>
        </w:rPr>
      </w:pPr>
      <w:r>
        <w:rPr>
          <w:rFonts w:cstheme="minorHAnsi"/>
          <w:iCs/>
          <w:vertAlign w:val="superscript"/>
        </w:rPr>
        <w:t>3</w:t>
      </w:r>
      <w:r>
        <w:rPr>
          <w:rFonts w:cstheme="minorHAnsi"/>
          <w:iCs/>
        </w:rPr>
        <w:t xml:space="preserve"> New Forest School, </w:t>
      </w:r>
      <w:proofErr w:type="spellStart"/>
      <w:r>
        <w:rPr>
          <w:rFonts w:cstheme="minorHAnsi"/>
          <w:iCs/>
        </w:rPr>
        <w:t>Lundale</w:t>
      </w:r>
      <w:proofErr w:type="spellEnd"/>
      <w:r>
        <w:rPr>
          <w:rFonts w:cstheme="minorHAnsi"/>
          <w:iCs/>
        </w:rPr>
        <w:t xml:space="preserve"> Road, Dibden Purlieu, Southampton, SO45 4QN</w:t>
      </w:r>
    </w:p>
    <w:p w14:paraId="76C92825" w14:textId="77777777" w:rsidR="00B32A7C" w:rsidRDefault="00B32A7C" w:rsidP="00B32A7C">
      <w:pPr>
        <w:spacing w:line="240" w:lineRule="auto"/>
        <w:rPr>
          <w:rFonts w:cstheme="minorHAnsi"/>
          <w:iCs/>
        </w:rPr>
      </w:pPr>
      <w:r>
        <w:rPr>
          <w:rFonts w:cstheme="minorHAnsi"/>
          <w:iCs/>
          <w:vertAlign w:val="superscript"/>
        </w:rPr>
        <w:t xml:space="preserve">4 </w:t>
      </w:r>
      <w:r>
        <w:rPr>
          <w:rFonts w:cstheme="minorHAnsi"/>
          <w:iCs/>
        </w:rPr>
        <w:t>Southampton Education School, University of Southampton, Southampton, SO17 1BJ, UK</w:t>
      </w:r>
    </w:p>
    <w:p w14:paraId="1E1610E0" w14:textId="77777777" w:rsidR="00B32A7C" w:rsidRDefault="00B32A7C" w:rsidP="00B32A7C">
      <w:pPr>
        <w:spacing w:line="240" w:lineRule="auto"/>
        <w:rPr>
          <w:rFonts w:cstheme="minorHAnsi"/>
          <w:iCs/>
        </w:rPr>
      </w:pPr>
    </w:p>
    <w:p w14:paraId="4F921766" w14:textId="77777777" w:rsidR="00B32A7C" w:rsidRDefault="00B32A7C" w:rsidP="00B32A7C">
      <w:pPr>
        <w:spacing w:line="240" w:lineRule="auto"/>
        <w:rPr>
          <w:rFonts w:cstheme="minorHAnsi"/>
        </w:rPr>
      </w:pPr>
      <w:r>
        <w:rPr>
          <w:rFonts w:cstheme="minorHAnsi"/>
        </w:rPr>
        <w:t>*</w:t>
      </w:r>
      <w:proofErr w:type="gramStart"/>
      <w:r>
        <w:rPr>
          <w:rFonts w:cstheme="minorHAnsi"/>
        </w:rPr>
        <w:t>corresponding</w:t>
      </w:r>
      <w:proofErr w:type="gramEnd"/>
      <w:r>
        <w:rPr>
          <w:rFonts w:cstheme="minorHAnsi"/>
        </w:rPr>
        <w:t xml:space="preserve"> author </w:t>
      </w:r>
      <w:hyperlink r:id="rId8" w:history="1">
        <w:r w:rsidRPr="00977318">
          <w:rPr>
            <w:rStyle w:val="Hyperlink"/>
            <w:rFonts w:cstheme="minorHAnsi"/>
          </w:rPr>
          <w:t>h.kovshoff@soton.ac.uk</w:t>
        </w:r>
      </w:hyperlink>
    </w:p>
    <w:p w14:paraId="32987C79" w14:textId="77777777" w:rsidR="00B32A7C" w:rsidRDefault="00B32A7C" w:rsidP="00B32A7C">
      <w:pPr>
        <w:spacing w:before="200" w:after="0" w:line="240" w:lineRule="auto"/>
        <w:rPr>
          <w:rFonts w:eastAsia="Times New Roman" w:cstheme="minorHAnsi"/>
          <w:b/>
          <w:kern w:val="32"/>
          <w:lang w:eastAsia="en-GB"/>
        </w:rPr>
      </w:pPr>
      <w:r>
        <w:rPr>
          <w:rFonts w:cstheme="minorHAnsi"/>
        </w:rPr>
        <w:t xml:space="preserve">Hanna Kovshoff ORCID: </w:t>
      </w:r>
      <w:hyperlink r:id="rId9" w:history="1">
        <w:r>
          <w:rPr>
            <w:rStyle w:val="Hyperlink"/>
            <w:rFonts w:cstheme="minorHAnsi"/>
          </w:rPr>
          <w:t>https://orcid.org/0000-0001-6041-0376</w:t>
        </w:r>
      </w:hyperlink>
    </w:p>
    <w:p w14:paraId="1EEBEE53" w14:textId="77777777" w:rsidR="00B32A7C" w:rsidRDefault="00B32A7C" w:rsidP="00B32A7C">
      <w:pPr>
        <w:pStyle w:val="Correspondencedetails"/>
        <w:spacing w:line="240" w:lineRule="auto"/>
        <w:rPr>
          <w:rFonts w:asciiTheme="minorHAnsi" w:hAnsiTheme="minorHAnsi" w:cstheme="minorHAnsi"/>
          <w:sz w:val="22"/>
          <w:szCs w:val="22"/>
        </w:rPr>
      </w:pPr>
      <w:r>
        <w:rPr>
          <w:rFonts w:asciiTheme="minorHAnsi" w:hAnsiTheme="minorHAnsi" w:cstheme="minorHAnsi"/>
          <w:sz w:val="22"/>
          <w:szCs w:val="22"/>
        </w:rPr>
        <w:t xml:space="preserve">Sarah Parsons ORCID: </w:t>
      </w:r>
      <w:hyperlink r:id="rId10" w:history="1">
        <w:r>
          <w:rPr>
            <w:rStyle w:val="Hyperlink"/>
            <w:rFonts w:asciiTheme="minorHAnsi" w:hAnsiTheme="minorHAnsi" w:cstheme="minorHAnsi"/>
            <w:sz w:val="22"/>
            <w:szCs w:val="22"/>
            <w:shd w:val="clear" w:color="auto" w:fill="FFFFFF"/>
          </w:rPr>
          <w:t>https://orcid.org/0000-0002-2542-4745</w:t>
        </w:r>
      </w:hyperlink>
      <w:r>
        <w:rPr>
          <w:rFonts w:asciiTheme="minorHAnsi" w:hAnsiTheme="minorHAnsi" w:cstheme="minorHAnsi"/>
          <w:color w:val="494A4C"/>
          <w:sz w:val="22"/>
          <w:szCs w:val="22"/>
          <w:shd w:val="clear" w:color="auto" w:fill="FFFFFF"/>
        </w:rPr>
        <w:t xml:space="preserve"> </w:t>
      </w:r>
    </w:p>
    <w:p w14:paraId="5C229AC0" w14:textId="2A99321B" w:rsidR="00B32A7C" w:rsidRDefault="00B32A7C" w:rsidP="00B32A7C">
      <w:pPr>
        <w:pStyle w:val="NormalWeb"/>
        <w:shd w:val="clear" w:color="auto" w:fill="FFFFFF"/>
        <w:rPr>
          <w:rFonts w:asciiTheme="minorHAnsi" w:hAnsiTheme="minorHAnsi" w:cstheme="minorHAnsi"/>
          <w:sz w:val="22"/>
          <w:szCs w:val="22"/>
        </w:rPr>
      </w:pPr>
      <w:r>
        <w:rPr>
          <w:rFonts w:asciiTheme="minorHAnsi" w:hAnsiTheme="minorHAnsi" w:cstheme="minorHAnsi"/>
          <w:b/>
          <w:bCs/>
          <w:sz w:val="22"/>
          <w:szCs w:val="22"/>
        </w:rPr>
        <w:t xml:space="preserve">Hanna Kovshoff </w:t>
      </w:r>
      <w:r w:rsidRPr="004E3B00">
        <w:rPr>
          <w:rFonts w:asciiTheme="minorHAnsi" w:hAnsiTheme="minorHAnsi" w:cstheme="minorHAnsi"/>
          <w:sz w:val="22"/>
          <w:szCs w:val="22"/>
        </w:rPr>
        <w:t>(</w:t>
      </w:r>
      <w:hyperlink r:id="rId11" w:history="1">
        <w:r w:rsidRPr="004E3B00">
          <w:rPr>
            <w:rStyle w:val="Hyperlink"/>
            <w:rFonts w:asciiTheme="minorHAnsi" w:hAnsiTheme="minorHAnsi" w:cstheme="minorHAnsi"/>
            <w:sz w:val="22"/>
            <w:szCs w:val="22"/>
          </w:rPr>
          <w:t>h.kovshoff@soton.ac.uk</w:t>
        </w:r>
      </w:hyperlink>
      <w:r w:rsidRPr="004E3B00">
        <w:rPr>
          <w:rFonts w:asciiTheme="minorHAnsi" w:hAnsiTheme="minorHAnsi" w:cstheme="minorHAnsi"/>
          <w:sz w:val="22"/>
          <w:szCs w:val="22"/>
        </w:rPr>
        <w:t xml:space="preserve">) </w:t>
      </w:r>
      <w:r>
        <w:rPr>
          <w:rFonts w:asciiTheme="minorHAnsi" w:hAnsiTheme="minorHAnsi" w:cstheme="minorHAnsi"/>
          <w:sz w:val="22"/>
          <w:szCs w:val="22"/>
        </w:rPr>
        <w:t>is Professor of Neurodiversity in the School of Psychology at the University of Southampton. She co-directs the Autism Community Research Network @Southampton [</w:t>
      </w:r>
      <w:proofErr w:type="spellStart"/>
      <w:r>
        <w:fldChar w:fldCharType="begin"/>
      </w:r>
      <w:r>
        <w:instrText>HYPERLINK "https://acorns-soton.org.uk/"</w:instrText>
      </w:r>
      <w:r>
        <w:fldChar w:fldCharType="separate"/>
      </w:r>
      <w:r w:rsidRPr="00F83A06">
        <w:rPr>
          <w:rStyle w:val="Hyperlink"/>
          <w:rFonts w:asciiTheme="minorHAnsi" w:hAnsiTheme="minorHAnsi" w:cstheme="minorHAnsi"/>
          <w:sz w:val="22"/>
          <w:szCs w:val="22"/>
        </w:rPr>
        <w:t>ACoRNS</w:t>
      </w:r>
      <w:proofErr w:type="spellEnd"/>
      <w:r>
        <w:rPr>
          <w:rStyle w:val="Hyperlink"/>
          <w:rFonts w:asciiTheme="minorHAnsi" w:hAnsiTheme="minorHAnsi" w:cstheme="minorHAnsi"/>
          <w:sz w:val="22"/>
          <w:szCs w:val="22"/>
        </w:rPr>
        <w:fldChar w:fldCharType="end"/>
      </w:r>
      <w:r>
        <w:rPr>
          <w:rFonts w:asciiTheme="minorHAnsi" w:hAnsiTheme="minorHAnsi" w:cstheme="minorHAnsi"/>
          <w:sz w:val="22"/>
          <w:szCs w:val="22"/>
        </w:rPr>
        <w:t>], which is a research-practice partnership focused on addressing research questions that come from, and matter to, practice through placing the experiences and voices of autistic children and young people at the centre of the work.</w:t>
      </w:r>
    </w:p>
    <w:p w14:paraId="3697A539" w14:textId="77777777" w:rsidR="00B32A7C" w:rsidRDefault="00B32A7C" w:rsidP="00B32A7C">
      <w:pPr>
        <w:pStyle w:val="NormalWeb"/>
        <w:shd w:val="clear" w:color="auto" w:fill="FFFFFF"/>
        <w:rPr>
          <w:rFonts w:asciiTheme="minorHAnsi" w:hAnsiTheme="minorHAnsi" w:cstheme="minorHAnsi"/>
          <w:sz w:val="22"/>
          <w:szCs w:val="22"/>
        </w:rPr>
      </w:pPr>
      <w:r w:rsidRPr="00D171BB">
        <w:rPr>
          <w:rFonts w:asciiTheme="minorHAnsi" w:hAnsiTheme="minorHAnsi" w:cstheme="minorHAnsi"/>
          <w:b/>
          <w:bCs/>
          <w:sz w:val="22"/>
          <w:szCs w:val="22"/>
        </w:rPr>
        <w:t xml:space="preserve">Charlie </w:t>
      </w:r>
      <w:proofErr w:type="spellStart"/>
      <w:r w:rsidRPr="00D171BB">
        <w:rPr>
          <w:rFonts w:asciiTheme="minorHAnsi" w:hAnsiTheme="minorHAnsi" w:cstheme="minorHAnsi"/>
          <w:b/>
          <w:bCs/>
          <w:sz w:val="22"/>
          <w:szCs w:val="22"/>
        </w:rPr>
        <w:t>Raufi</w:t>
      </w:r>
      <w:proofErr w:type="spellEnd"/>
      <w:r w:rsidRPr="004E3B00">
        <w:rPr>
          <w:rFonts w:asciiTheme="minorHAnsi" w:hAnsiTheme="minorHAnsi" w:cstheme="minorHAnsi"/>
          <w:b/>
          <w:bCs/>
          <w:sz w:val="22"/>
          <w:szCs w:val="22"/>
        </w:rPr>
        <w:t xml:space="preserve"> </w:t>
      </w:r>
      <w:r w:rsidRPr="004E3B00">
        <w:rPr>
          <w:rFonts w:asciiTheme="minorHAnsi" w:hAnsiTheme="minorHAnsi" w:cstheme="minorHAnsi"/>
          <w:sz w:val="22"/>
          <w:szCs w:val="22"/>
        </w:rPr>
        <w:t>(</w:t>
      </w:r>
      <w:hyperlink r:id="rId12" w:history="1">
        <w:r w:rsidRPr="004E3B00">
          <w:rPr>
            <w:rStyle w:val="Hyperlink"/>
            <w:rFonts w:asciiTheme="minorHAnsi" w:hAnsiTheme="minorHAnsi" w:cstheme="minorHAnsi"/>
            <w:sz w:val="22"/>
            <w:szCs w:val="22"/>
          </w:rPr>
          <w:t>traufi@newforestschool.co.uk</w:t>
        </w:r>
      </w:hyperlink>
      <w:r w:rsidRPr="004E3B00">
        <w:rPr>
          <w:rFonts w:asciiTheme="minorHAnsi" w:hAnsiTheme="minorHAnsi" w:cstheme="minorHAnsi"/>
          <w:sz w:val="22"/>
          <w:szCs w:val="22"/>
        </w:rPr>
        <w:t>) is</w:t>
      </w:r>
      <w:r>
        <w:rPr>
          <w:rFonts w:asciiTheme="minorHAnsi" w:hAnsiTheme="minorHAnsi" w:cstheme="minorHAnsi"/>
          <w:sz w:val="22"/>
          <w:szCs w:val="22"/>
        </w:rPr>
        <w:t xml:space="preserve"> Assistant Head (Curriculum) and Art Teacher at New Forest School. They have a keen interest in pupil voice and creative methods for engaging students with their education. </w:t>
      </w:r>
    </w:p>
    <w:p w14:paraId="72AA3DA4" w14:textId="77777777" w:rsidR="00B32A7C" w:rsidRDefault="00B32A7C" w:rsidP="00B32A7C">
      <w:pPr>
        <w:pStyle w:val="NormalWeb"/>
        <w:shd w:val="clear" w:color="auto" w:fill="FFFFFF"/>
        <w:rPr>
          <w:rFonts w:asciiTheme="minorHAnsi" w:hAnsiTheme="minorHAnsi" w:cstheme="minorHAnsi"/>
          <w:sz w:val="22"/>
          <w:szCs w:val="22"/>
        </w:rPr>
      </w:pPr>
      <w:r w:rsidRPr="001E3875">
        <w:rPr>
          <w:rFonts w:asciiTheme="minorHAnsi" w:hAnsiTheme="minorHAnsi" w:cstheme="minorHAnsi"/>
          <w:b/>
          <w:bCs/>
          <w:sz w:val="22"/>
          <w:szCs w:val="22"/>
        </w:rPr>
        <w:t>Samantha Davies</w:t>
      </w:r>
      <w:r>
        <w:rPr>
          <w:rFonts w:asciiTheme="minorHAnsi" w:hAnsiTheme="minorHAnsi" w:cstheme="minorHAnsi"/>
          <w:sz w:val="22"/>
          <w:szCs w:val="22"/>
        </w:rPr>
        <w:t xml:space="preserve"> (</w:t>
      </w:r>
      <w:hyperlink r:id="rId13" w:history="1">
        <w:r w:rsidRPr="00977318">
          <w:rPr>
            <w:rStyle w:val="Hyperlink"/>
            <w:rFonts w:asciiTheme="minorHAnsi" w:hAnsiTheme="minorHAnsi" w:cstheme="minorHAnsi"/>
            <w:sz w:val="22"/>
            <w:szCs w:val="22"/>
          </w:rPr>
          <w:t>samdaviesuni@gmail.com</w:t>
        </w:r>
      </w:hyperlink>
      <w:r>
        <w:rPr>
          <w:rFonts w:asciiTheme="minorHAnsi" w:hAnsiTheme="minorHAnsi" w:cstheme="minorHAnsi"/>
          <w:sz w:val="22"/>
          <w:szCs w:val="22"/>
        </w:rPr>
        <w:t>) is an illustrator and freelance artist who goes by the pen name of @Stutterhug.</w:t>
      </w:r>
    </w:p>
    <w:p w14:paraId="080BB6CA" w14:textId="77777777" w:rsidR="00B32A7C" w:rsidRPr="00F853F4" w:rsidRDefault="00B32A7C" w:rsidP="00B32A7C">
      <w:pPr>
        <w:pStyle w:val="NormalWeb"/>
        <w:shd w:val="clear" w:color="auto" w:fill="FFFFFF"/>
        <w:rPr>
          <w:rFonts w:asciiTheme="minorHAnsi" w:hAnsiTheme="minorHAnsi" w:cstheme="minorHAnsi"/>
          <w:sz w:val="22"/>
          <w:szCs w:val="22"/>
        </w:rPr>
      </w:pPr>
      <w:r w:rsidRPr="00C84AD4">
        <w:rPr>
          <w:rFonts w:asciiTheme="minorHAnsi" w:hAnsiTheme="minorHAnsi" w:cstheme="minorHAnsi"/>
          <w:b/>
          <w:bCs/>
          <w:sz w:val="22"/>
          <w:szCs w:val="22"/>
        </w:rPr>
        <w:t>Fate Keefe</w:t>
      </w:r>
      <w:r w:rsidRPr="00010EB7">
        <w:rPr>
          <w:rFonts w:asciiTheme="minorHAnsi" w:hAnsiTheme="minorHAnsi" w:cstheme="minorHAnsi"/>
          <w:sz w:val="22"/>
          <w:szCs w:val="22"/>
        </w:rPr>
        <w:t xml:space="preserve"> (</w:t>
      </w:r>
      <w:hyperlink r:id="rId14" w:history="1">
        <w:r w:rsidRPr="00977318">
          <w:rPr>
            <w:rStyle w:val="Hyperlink"/>
            <w:rFonts w:asciiTheme="minorHAnsi" w:hAnsiTheme="minorHAnsi" w:cstheme="minorHAnsi"/>
            <w:sz w:val="22"/>
            <w:szCs w:val="22"/>
          </w:rPr>
          <w:t>ak4n19@soton.ac.uk</w:t>
        </w:r>
      </w:hyperlink>
      <w:r w:rsidRPr="00010EB7">
        <w:rPr>
          <w:rFonts w:asciiTheme="minorHAnsi" w:hAnsiTheme="minorHAnsi" w:cstheme="minorHAnsi"/>
          <w:sz w:val="22"/>
          <w:szCs w:val="22"/>
        </w:rPr>
        <w:t>)</w:t>
      </w:r>
      <w:r>
        <w:rPr>
          <w:rFonts w:asciiTheme="minorHAnsi" w:hAnsiTheme="minorHAnsi" w:cstheme="minorHAnsi"/>
          <w:sz w:val="22"/>
          <w:szCs w:val="22"/>
        </w:rPr>
        <w:t xml:space="preserve"> completed their BSc in Psychology and MSc in Foundations of Clinical Psychology at the University of Southampton. They worked as a Research Assistant Student Intern on the School Daze project.</w:t>
      </w:r>
    </w:p>
    <w:p w14:paraId="447020C0" w14:textId="77777777" w:rsidR="00B32A7C" w:rsidRPr="00D247CE" w:rsidRDefault="00B32A7C" w:rsidP="00B32A7C">
      <w:pPr>
        <w:pStyle w:val="NormalWeb"/>
        <w:shd w:val="clear" w:color="auto" w:fill="FFFFFF"/>
        <w:rPr>
          <w:rFonts w:asciiTheme="minorHAnsi" w:hAnsiTheme="minorHAnsi" w:cstheme="minorHAnsi"/>
          <w:sz w:val="22"/>
          <w:szCs w:val="22"/>
        </w:rPr>
      </w:pPr>
      <w:r>
        <w:rPr>
          <w:rFonts w:asciiTheme="minorHAnsi" w:hAnsiTheme="minorHAnsi" w:cstheme="minorHAnsi"/>
          <w:b/>
          <w:bCs/>
          <w:sz w:val="22"/>
          <w:szCs w:val="22"/>
        </w:rPr>
        <w:t>Sarah Parsons</w:t>
      </w:r>
      <w:r>
        <w:rPr>
          <w:rFonts w:asciiTheme="minorHAnsi" w:hAnsiTheme="minorHAnsi" w:cstheme="minorHAnsi"/>
          <w:sz w:val="22"/>
          <w:szCs w:val="22"/>
        </w:rPr>
        <w:t> (</w:t>
      </w:r>
      <w:hyperlink r:id="rId15" w:history="1">
        <w:r w:rsidRPr="00977318">
          <w:rPr>
            <w:rStyle w:val="Hyperlink"/>
            <w:rFonts w:asciiTheme="minorHAnsi" w:hAnsiTheme="minorHAnsi" w:cstheme="minorHAnsi"/>
            <w:sz w:val="22"/>
            <w:szCs w:val="22"/>
          </w:rPr>
          <w:t>s.j.parsons@soton.ac.uk</w:t>
        </w:r>
      </w:hyperlink>
      <w:r>
        <w:rPr>
          <w:rFonts w:asciiTheme="minorHAnsi" w:hAnsiTheme="minorHAnsi" w:cstheme="minorHAnsi"/>
          <w:sz w:val="22"/>
          <w:szCs w:val="22"/>
        </w:rPr>
        <w:t xml:space="preserve">) is Professor of Autism and Inclusion at Southampton Education School, University of Southampton and Co-Director of </w:t>
      </w:r>
      <w:proofErr w:type="spellStart"/>
      <w:r>
        <w:rPr>
          <w:rFonts w:asciiTheme="minorHAnsi" w:hAnsiTheme="minorHAnsi" w:cstheme="minorHAnsi"/>
          <w:sz w:val="22"/>
          <w:szCs w:val="22"/>
        </w:rPr>
        <w:t>ACoRNS</w:t>
      </w:r>
      <w:proofErr w:type="spellEnd"/>
      <w:r>
        <w:rPr>
          <w:rFonts w:asciiTheme="minorHAnsi" w:hAnsiTheme="minorHAnsi" w:cstheme="minorHAnsi"/>
          <w:sz w:val="22"/>
          <w:szCs w:val="22"/>
        </w:rPr>
        <w:t>.</w:t>
      </w:r>
    </w:p>
    <w:p w14:paraId="1CA53686" w14:textId="77777777" w:rsidR="00B32A7C" w:rsidRDefault="00B32A7C" w:rsidP="00B32A7C">
      <w:pPr>
        <w:pStyle w:val="NormalWeb"/>
        <w:shd w:val="clear" w:color="auto" w:fill="FFFFFF"/>
        <w:spacing w:before="0" w:beforeAutospacing="0" w:after="0" w:afterAutospacing="0"/>
        <w:rPr>
          <w:rFonts w:asciiTheme="minorHAnsi" w:hAnsiTheme="minorHAnsi" w:cstheme="minorHAnsi"/>
          <w:b/>
          <w:bCs/>
          <w:color w:val="1C1D1E"/>
          <w:sz w:val="22"/>
          <w:szCs w:val="22"/>
        </w:rPr>
      </w:pPr>
      <w:r>
        <w:rPr>
          <w:rFonts w:asciiTheme="minorHAnsi" w:hAnsiTheme="minorHAnsi" w:cstheme="minorHAnsi"/>
          <w:b/>
          <w:bCs/>
          <w:color w:val="1C1D1E"/>
          <w:sz w:val="22"/>
          <w:szCs w:val="22"/>
        </w:rPr>
        <w:t>Acknowledgements</w:t>
      </w:r>
    </w:p>
    <w:p w14:paraId="0929852E" w14:textId="77777777" w:rsidR="00B32A7C" w:rsidRDefault="00B32A7C" w:rsidP="00B32A7C">
      <w:pPr>
        <w:spacing w:line="240" w:lineRule="auto"/>
        <w:rPr>
          <w:rFonts w:cstheme="minorHAnsi"/>
        </w:rPr>
      </w:pPr>
      <w:r>
        <w:rPr>
          <w:rFonts w:cstheme="minorHAnsi"/>
          <w:color w:val="111111"/>
          <w:shd w:val="clear" w:color="auto" w:fill="FFFFFF"/>
        </w:rPr>
        <w:t>This project was funded by through the University of Southampton’s Impact Acceleration Account.</w:t>
      </w:r>
      <w:r>
        <w:rPr>
          <w:rFonts w:cstheme="minorHAnsi"/>
        </w:rPr>
        <w:t xml:space="preserve"> Thank you to the students at New Forest School who provided their views, voices, and stories to co-create (and name!) the School Daze come</w:t>
      </w:r>
      <w:r>
        <w:rPr>
          <w:rFonts w:cstheme="minorHAnsi"/>
          <w:color w:val="111111"/>
          <w:shd w:val="clear" w:color="auto" w:fill="FFFFFF"/>
        </w:rPr>
        <w:t xml:space="preserve">. We are grateful as well to New Forest staff who supported young people to participate in the many ways in which were important, meaningful, and chosen by them. </w:t>
      </w:r>
    </w:p>
    <w:p w14:paraId="378A9FA7" w14:textId="77777777" w:rsidR="00B32A7C" w:rsidRDefault="00B32A7C">
      <w:pPr>
        <w:rPr>
          <w:b/>
          <w:bCs/>
        </w:rPr>
      </w:pPr>
      <w:r>
        <w:rPr>
          <w:b/>
          <w:bCs/>
        </w:rPr>
        <w:br w:type="page"/>
      </w:r>
    </w:p>
    <w:p w14:paraId="71A72DCA" w14:textId="77777777" w:rsidR="00BB0597" w:rsidRDefault="00BB0597" w:rsidP="00BB0597">
      <w:r w:rsidRPr="00CA65CC">
        <w:rPr>
          <w:b/>
          <w:bCs/>
        </w:rPr>
        <w:lastRenderedPageBreak/>
        <w:t>Abstract</w:t>
      </w:r>
    </w:p>
    <w:p w14:paraId="35949F2F" w14:textId="77777777" w:rsidR="00BB0597" w:rsidRDefault="00BB0597" w:rsidP="00BB0597"/>
    <w:p w14:paraId="21ABB135" w14:textId="77777777" w:rsidR="00BB0597" w:rsidRPr="00CA65CC" w:rsidRDefault="00BB0597" w:rsidP="00BB0597">
      <w:pPr>
        <w:spacing w:line="480" w:lineRule="auto"/>
      </w:pPr>
      <w:r>
        <w:t xml:space="preserve">Educational transitions between schools can be very challenging for autistic children and young people. Research tends to focus on the views of families and teachers which means that children’s voices are often marginalised despite them having valuable knowledge that could improve transition practices and experiences. ‘Voices through Art’ was an innovative project involving researchers, educators, a graphic artist, and neurodivergent lived experiences. Together we co-created a transition support resource – the </w:t>
      </w:r>
      <w:r w:rsidRPr="0031482D">
        <w:t>School Daze</w:t>
      </w:r>
      <w:r>
        <w:t xml:space="preserve"> comic – to enable insights and conversations about transitions. </w:t>
      </w:r>
      <w:r w:rsidRPr="0031482D">
        <w:t>This project contributes to the amplification of autistic voices as agentic knowers of the sources of difficulty and supports in their educational transitions. This was achieved via</w:t>
      </w:r>
      <w:r>
        <w:t xml:space="preserve"> several methods including small-scale research projects and project-specific workshops where students worked on character development, storylines, and other imagery for the comic. The output is the </w:t>
      </w:r>
      <w:r w:rsidRPr="0031482D">
        <w:t>School Daze</w:t>
      </w:r>
      <w:r>
        <w:t xml:space="preserve"> comic which</w:t>
      </w:r>
      <w:r w:rsidRPr="004A1659">
        <w:t xml:space="preserve"> tells the story of the lead character – Lee Mouse – as they start at a new secondary school. The stories include the first day at school and the anxieties associated with that</w:t>
      </w:r>
      <w:r>
        <w:t>,</w:t>
      </w:r>
      <w:r w:rsidRPr="004A1659">
        <w:t xml:space="preserve"> finding safe spaces and supportive teachers</w:t>
      </w:r>
      <w:r>
        <w:t>,</w:t>
      </w:r>
      <w:r w:rsidRPr="004A1659">
        <w:t xml:space="preserve"> making friends through shared interests</w:t>
      </w:r>
      <w:r>
        <w:t>,</w:t>
      </w:r>
      <w:r w:rsidRPr="004A1659">
        <w:t xml:space="preserve"> and settling into school life.</w:t>
      </w:r>
      <w:r>
        <w:t xml:space="preserve"> </w:t>
      </w:r>
      <w:r w:rsidRPr="0031482D">
        <w:t>School Daze</w:t>
      </w:r>
      <w:r>
        <w:t xml:space="preserve"> was positively reviewed by students and education and related professionals, suggesting that this could be a valuable transition resource. We share it here to encourage wider dissemination and use in research and practice.</w:t>
      </w:r>
    </w:p>
    <w:p w14:paraId="52B9FDA4" w14:textId="77777777" w:rsidR="00BB0597" w:rsidRDefault="00BB0597" w:rsidP="00BB0597">
      <w:pPr>
        <w:spacing w:after="0" w:line="480" w:lineRule="auto"/>
        <w:rPr>
          <w:b/>
          <w:bCs/>
        </w:rPr>
      </w:pPr>
    </w:p>
    <w:p w14:paraId="4444700B" w14:textId="77777777" w:rsidR="00BB0597" w:rsidRDefault="00BB0597" w:rsidP="00BB0597">
      <w:pPr>
        <w:spacing w:after="0" w:line="480" w:lineRule="auto"/>
        <w:rPr>
          <w:b/>
          <w:bCs/>
        </w:rPr>
      </w:pPr>
      <w:r>
        <w:rPr>
          <w:b/>
          <w:bCs/>
        </w:rPr>
        <w:t xml:space="preserve">Keywords: </w:t>
      </w:r>
    </w:p>
    <w:p w14:paraId="13CB19BD" w14:textId="108B2C51" w:rsidR="00BB0597" w:rsidRDefault="00BB0597" w:rsidP="00BB0597">
      <w:pPr>
        <w:spacing w:after="0" w:line="480" w:lineRule="auto"/>
        <w:rPr>
          <w:b/>
          <w:bCs/>
        </w:rPr>
      </w:pPr>
      <w:r>
        <w:t>Autism, education, transitions, co-creation, pupil voice, comic</w:t>
      </w:r>
    </w:p>
    <w:p w14:paraId="5D40ADDD" w14:textId="77777777" w:rsidR="00BB0597" w:rsidRDefault="00BB0597">
      <w:pPr>
        <w:rPr>
          <w:b/>
          <w:bCs/>
        </w:rPr>
      </w:pPr>
      <w:r>
        <w:rPr>
          <w:b/>
          <w:bCs/>
        </w:rPr>
        <w:br w:type="page"/>
      </w:r>
    </w:p>
    <w:p w14:paraId="407B5C51" w14:textId="2C3A8D04" w:rsidR="00026DF3" w:rsidRPr="00941248" w:rsidRDefault="002A7500" w:rsidP="00026DF3">
      <w:pPr>
        <w:spacing w:after="0" w:line="480" w:lineRule="auto"/>
        <w:rPr>
          <w:b/>
          <w:bCs/>
        </w:rPr>
      </w:pPr>
      <w:r>
        <w:rPr>
          <w:b/>
          <w:bCs/>
        </w:rPr>
        <w:lastRenderedPageBreak/>
        <w:t>Development and purpose of the</w:t>
      </w:r>
      <w:r w:rsidR="00026DF3">
        <w:rPr>
          <w:b/>
          <w:bCs/>
        </w:rPr>
        <w:t xml:space="preserve"> </w:t>
      </w:r>
      <w:r w:rsidR="00026DF3" w:rsidRPr="002A7500">
        <w:rPr>
          <w:b/>
          <w:bCs/>
          <w:i/>
          <w:iCs/>
        </w:rPr>
        <w:t>School Daze</w:t>
      </w:r>
      <w:r w:rsidR="00026DF3">
        <w:rPr>
          <w:b/>
          <w:bCs/>
        </w:rPr>
        <w:t xml:space="preserve"> comic</w:t>
      </w:r>
    </w:p>
    <w:p w14:paraId="038F7647" w14:textId="0C5DF506" w:rsidR="00026DF3" w:rsidRDefault="00026DF3" w:rsidP="00026DF3">
      <w:pPr>
        <w:spacing w:line="480" w:lineRule="auto"/>
      </w:pPr>
      <w:r w:rsidRPr="00026DF3">
        <w:rPr>
          <w:i/>
          <w:iCs/>
        </w:rPr>
        <w:t>School Daze</w:t>
      </w:r>
      <w:r w:rsidRPr="004A1659">
        <w:t xml:space="preserve"> is a short comic book that tells the story of the lead character – Lee Mouse – as they start at a new secondary school. The stor</w:t>
      </w:r>
      <w:r>
        <w:t>ylines</w:t>
      </w:r>
      <w:r w:rsidRPr="004A1659">
        <w:t xml:space="preserve"> include the</w:t>
      </w:r>
      <w:r w:rsidR="008F1D6B">
        <w:t xml:space="preserve"> anxious</w:t>
      </w:r>
      <w:r w:rsidRPr="004A1659">
        <w:t xml:space="preserve"> first day at school</w:t>
      </w:r>
      <w:r w:rsidR="008F1D6B">
        <w:t>,</w:t>
      </w:r>
      <w:r w:rsidRPr="004A1659">
        <w:t xml:space="preserve"> finding safe spaces and supportive teachers</w:t>
      </w:r>
      <w:r>
        <w:t>,</w:t>
      </w:r>
      <w:r w:rsidRPr="004A1659">
        <w:t xml:space="preserve"> making friends through shared interests</w:t>
      </w:r>
      <w:r>
        <w:t>,</w:t>
      </w:r>
      <w:r w:rsidRPr="004A1659">
        <w:t xml:space="preserve"> and settling into school life.</w:t>
      </w:r>
      <w:r>
        <w:t xml:space="preserve"> This innovative comic book was co-designed with staff and students from New Forest School in Hampshire, UK to meet the needs of autistic children and schools regarding educational transitions. Transitions to new schools are a well-known challenge for many autistic children and young people requiring person-centred planning to account for individual needs and concerns (Hoy et al., 2018). Poorly planned or executed educational transitions may lead to poorer adjustment, support, inclusion, well-being, and attendance (West et al., 2010). Autistic children and young people’s voices are often marginalised within transition processes with perspectives mainly drawn from parents and teachers (</w:t>
      </w:r>
      <w:proofErr w:type="spellStart"/>
      <w:r>
        <w:t>Nuske</w:t>
      </w:r>
      <w:proofErr w:type="spellEnd"/>
      <w:r>
        <w:t xml:space="preserve"> et al., 2019). Consequently, autistic children are rarely afforded status as agentic knowers in their own lives (Parsons et al., 2022). This lack of inclusion reinforces epistemic injustice through failing to include children’s knowledge and experiences to inform research and practice (</w:t>
      </w:r>
      <w:proofErr w:type="spellStart"/>
      <w:r>
        <w:t>Catala</w:t>
      </w:r>
      <w:proofErr w:type="spellEnd"/>
      <w:r>
        <w:t xml:space="preserve"> et al., 2021). </w:t>
      </w:r>
      <w:r w:rsidR="00927337" w:rsidRPr="00927337">
        <w:rPr>
          <w:highlight w:val="yellow"/>
        </w:rPr>
        <w:t>This project contributes to the amplification of young autistic voices as agentic knowers of the sources of support, difficulty, and strategies for enabling smoother transitions from primary to secondary schools.</w:t>
      </w:r>
      <w:r w:rsidR="00927337">
        <w:t xml:space="preserve"> </w:t>
      </w:r>
    </w:p>
    <w:p w14:paraId="42114876" w14:textId="0B8D9317" w:rsidR="008C165E" w:rsidRPr="00927337" w:rsidRDefault="00026DF3" w:rsidP="00927337">
      <w:pPr>
        <w:spacing w:line="480" w:lineRule="auto"/>
        <w:rPr>
          <w:rFonts w:cstheme="minorHAnsi"/>
          <w:color w:val="000000"/>
        </w:rPr>
      </w:pPr>
      <w:r>
        <w:t xml:space="preserve">To address this issue, we sought to co-design an accessible and child-centred resource to support thinking and conversations about transitions. </w:t>
      </w:r>
      <w:r>
        <w:rPr>
          <w:rFonts w:cstheme="minorHAnsi"/>
          <w:color w:val="000000"/>
        </w:rPr>
        <w:t xml:space="preserve">We were particularly focused on co-creating a comic that would be </w:t>
      </w:r>
      <w:r w:rsidRPr="00D856EF">
        <w:rPr>
          <w:rFonts w:cstheme="minorHAnsi"/>
          <w:color w:val="000000"/>
        </w:rPr>
        <w:t>genuinely appealing to children and young people, and that ha</w:t>
      </w:r>
      <w:r>
        <w:rPr>
          <w:rFonts w:cstheme="minorHAnsi"/>
          <w:color w:val="000000"/>
        </w:rPr>
        <w:t>d</w:t>
      </w:r>
      <w:r w:rsidRPr="00D856EF">
        <w:rPr>
          <w:rFonts w:cstheme="minorHAnsi"/>
          <w:color w:val="000000"/>
        </w:rPr>
        <w:t xml:space="preserve"> strong authenticity in being grounded in their real experiences</w:t>
      </w:r>
      <w:r>
        <w:rPr>
          <w:rFonts w:cstheme="minorHAnsi"/>
          <w:color w:val="000000"/>
        </w:rPr>
        <w:t xml:space="preserve"> of transitions and school belonging</w:t>
      </w:r>
      <w:r w:rsidRPr="00D856EF">
        <w:rPr>
          <w:rFonts w:cstheme="minorHAnsi"/>
          <w:color w:val="000000"/>
        </w:rPr>
        <w:t xml:space="preserve">. </w:t>
      </w:r>
      <w:r>
        <w:t xml:space="preserve">Assistant Head and Director of Art Charlie </w:t>
      </w:r>
      <w:proofErr w:type="spellStart"/>
      <w:r>
        <w:t>Raufi</w:t>
      </w:r>
      <w:proofErr w:type="spellEnd"/>
      <w:r>
        <w:t xml:space="preserve"> outlined an idea to amplify the views and voices of autistic young people about educational transitions, through art and English lessons incorporating illustration, comic book workshops, graphic design, and writing. With illustrator Sam Davies, we created a set of workshops and resources around these topics to inform the design and content of the comic.</w:t>
      </w:r>
      <w:r w:rsidR="008C165E">
        <w:rPr>
          <w:b/>
          <w:bCs/>
        </w:rPr>
        <w:br w:type="page"/>
      </w:r>
    </w:p>
    <w:p w14:paraId="779D19B4" w14:textId="4E52303C" w:rsidR="004C6C6A" w:rsidRPr="0071530E" w:rsidRDefault="00427CDC">
      <w:pPr>
        <w:rPr>
          <w:b/>
          <w:bCs/>
        </w:rPr>
      </w:pPr>
      <w:r>
        <w:rPr>
          <w:b/>
          <w:bCs/>
        </w:rPr>
        <w:lastRenderedPageBreak/>
        <w:t xml:space="preserve">Spaces and </w:t>
      </w:r>
      <w:r w:rsidR="005C2885" w:rsidRPr="0071530E">
        <w:rPr>
          <w:b/>
          <w:bCs/>
        </w:rPr>
        <w:t>Voice</w:t>
      </w:r>
    </w:p>
    <w:p w14:paraId="4502973A" w14:textId="17EF4A13" w:rsidR="005C2885" w:rsidRDefault="005C2885" w:rsidP="00473423">
      <w:pPr>
        <w:spacing w:before="240" w:line="480" w:lineRule="auto"/>
      </w:pPr>
      <w:r>
        <w:t xml:space="preserve">The voices of </w:t>
      </w:r>
      <w:r w:rsidRPr="005C2885">
        <w:t>autistic children and young people may be shared through</w:t>
      </w:r>
      <w:r w:rsidR="008C165E">
        <w:t xml:space="preserve"> speaking and</w:t>
      </w:r>
      <w:r w:rsidRPr="005C2885">
        <w:t xml:space="preserve"> non-speaking modes of expression including silence, body language, gestures, and mark-making that may be visual or written (e.g. using typed text).</w:t>
      </w:r>
      <w:r>
        <w:t xml:space="preserve"> We align with a neurodiversity framing of autism that takes a strengths-based approach and positions </w:t>
      </w:r>
      <w:proofErr w:type="spellStart"/>
      <w:r>
        <w:t>the</w:t>
      </w:r>
      <w:proofErr w:type="spellEnd"/>
      <w:r>
        <w:t xml:space="preserve"> lived experiences of autistic people as central to</w:t>
      </w:r>
      <w:r w:rsidR="008C165E">
        <w:t xml:space="preserve"> improving</w:t>
      </w:r>
      <w:r>
        <w:t xml:space="preserve"> research and practice</w:t>
      </w:r>
      <w:r w:rsidR="00F530F0">
        <w:t>.</w:t>
      </w:r>
      <w:r w:rsidR="00CC63AB">
        <w:t xml:space="preserve"> Accordingly, in line with the sociology of childhood, </w:t>
      </w:r>
      <w:r w:rsidRPr="005C2885">
        <w:t>we understand autistic children to be agentic knowers and for their voices to be multi-modal, including the ‘unvoiced and differently voiced’ (Ashby,</w:t>
      </w:r>
      <w:r w:rsidR="00B01F60">
        <w:t xml:space="preserve"> 2011, </w:t>
      </w:r>
      <w:proofErr w:type="spellStart"/>
      <w:r w:rsidRPr="005C2885">
        <w:t>n.p.n</w:t>
      </w:r>
      <w:proofErr w:type="spellEnd"/>
      <w:r w:rsidRPr="005C2885">
        <w:t>).</w:t>
      </w:r>
      <w:r w:rsidR="00CC63AB">
        <w:t xml:space="preserve"> </w:t>
      </w:r>
    </w:p>
    <w:p w14:paraId="76A531D7" w14:textId="246A0C02" w:rsidR="00681DB9" w:rsidRDefault="70B63DC2" w:rsidP="00473423">
      <w:pPr>
        <w:spacing w:before="240" w:line="480" w:lineRule="auto"/>
      </w:pPr>
      <w:r>
        <w:t>Accordingly</w:t>
      </w:r>
      <w:r w:rsidR="005C2885">
        <w:t xml:space="preserve">, </w:t>
      </w:r>
      <w:r w:rsidR="00CC63AB">
        <w:t>voices</w:t>
      </w:r>
      <w:r w:rsidR="005C2885">
        <w:t xml:space="preserve"> </w:t>
      </w:r>
      <w:r w:rsidR="00CC63AB">
        <w:t>are</w:t>
      </w:r>
      <w:r w:rsidR="005C2885">
        <w:t xml:space="preserve"> not simply about spoken words and we</w:t>
      </w:r>
      <w:r w:rsidR="00473423">
        <w:t xml:space="preserve"> a</w:t>
      </w:r>
      <w:r w:rsidR="002A7500">
        <w:t>gree</w:t>
      </w:r>
      <w:r w:rsidR="00473423">
        <w:t xml:space="preserve"> with Lundy (2007) that (spoken) voice alone is ‘not enough’ (p.927) for realising children’s rights to express their views according to Article 12 of the United Nations Convention on the Rights of the Child (UNCRC, 1989). Lundy’s (2007) framework </w:t>
      </w:r>
      <w:r w:rsidR="00417D14">
        <w:t>for</w:t>
      </w:r>
      <w:r w:rsidR="00473423">
        <w:t xml:space="preserve"> conceptualis</w:t>
      </w:r>
      <w:r w:rsidR="00417D14">
        <w:t>ing</w:t>
      </w:r>
      <w:r w:rsidR="00473423">
        <w:t xml:space="preserve"> voice requires</w:t>
      </w:r>
      <w:r w:rsidR="00681DB9">
        <w:t>:</w:t>
      </w:r>
    </w:p>
    <w:p w14:paraId="17447173" w14:textId="77777777" w:rsidR="00681DB9" w:rsidRDefault="00681DB9" w:rsidP="00681DB9">
      <w:pPr>
        <w:pStyle w:val="ListParagraph"/>
        <w:numPr>
          <w:ilvl w:val="0"/>
          <w:numId w:val="1"/>
        </w:numPr>
        <w:spacing w:before="240" w:line="480" w:lineRule="auto"/>
      </w:pPr>
      <w:r>
        <w:t>Space:</w:t>
      </w:r>
      <w:r w:rsidR="00473423">
        <w:t xml:space="preserve"> opportunities for expressio</w:t>
      </w:r>
      <w:r>
        <w:t>n of views</w:t>
      </w:r>
    </w:p>
    <w:p w14:paraId="05E9E9A1" w14:textId="693FD35A" w:rsidR="00681DB9" w:rsidRDefault="00681DB9" w:rsidP="00681DB9">
      <w:pPr>
        <w:pStyle w:val="ListParagraph"/>
        <w:numPr>
          <w:ilvl w:val="0"/>
          <w:numId w:val="1"/>
        </w:numPr>
        <w:spacing w:before="240" w:line="480" w:lineRule="auto"/>
      </w:pPr>
      <w:r>
        <w:t>Voice: facilitation of views</w:t>
      </w:r>
    </w:p>
    <w:p w14:paraId="1A103EBC" w14:textId="23B34751" w:rsidR="00681DB9" w:rsidRDefault="00681DB9" w:rsidP="00681DB9">
      <w:pPr>
        <w:pStyle w:val="ListParagraph"/>
        <w:numPr>
          <w:ilvl w:val="0"/>
          <w:numId w:val="1"/>
        </w:numPr>
        <w:spacing w:before="240" w:line="480" w:lineRule="auto"/>
      </w:pPr>
      <w:r>
        <w:t>Audience: listening to views</w:t>
      </w:r>
    </w:p>
    <w:p w14:paraId="42D79541" w14:textId="1D0F9BD1" w:rsidR="00681DB9" w:rsidRDefault="00681DB9" w:rsidP="00681DB9">
      <w:pPr>
        <w:pStyle w:val="ListParagraph"/>
        <w:numPr>
          <w:ilvl w:val="0"/>
          <w:numId w:val="1"/>
        </w:numPr>
        <w:spacing w:before="240" w:line="480" w:lineRule="auto"/>
      </w:pPr>
      <w:r>
        <w:t xml:space="preserve">Influence: </w:t>
      </w:r>
      <w:r w:rsidR="00473423">
        <w:t xml:space="preserve"> </w:t>
      </w:r>
      <w:r>
        <w:t>acting upon views (as appropriate)</w:t>
      </w:r>
    </w:p>
    <w:p w14:paraId="02F648AE" w14:textId="23019EFD" w:rsidR="00473423" w:rsidRPr="005C2885" w:rsidRDefault="005C2885" w:rsidP="00473423">
      <w:pPr>
        <w:spacing w:before="240" w:line="480" w:lineRule="auto"/>
      </w:pPr>
      <w:r>
        <w:t>In recognising that voice</w:t>
      </w:r>
      <w:r w:rsidR="00417D14">
        <w:t>s</w:t>
      </w:r>
      <w:r>
        <w:t xml:space="preserve"> require a sender </w:t>
      </w:r>
      <w:r>
        <w:rPr>
          <w:i/>
          <w:iCs/>
        </w:rPr>
        <w:t xml:space="preserve">and </w:t>
      </w:r>
      <w:r>
        <w:t>a receiver</w:t>
      </w:r>
      <w:r w:rsidR="00681DB9">
        <w:t xml:space="preserve"> (audience)</w:t>
      </w:r>
      <w:r>
        <w:t xml:space="preserve"> of a message, w</w:t>
      </w:r>
      <w:r w:rsidRPr="005C2885">
        <w:t>e draw on Freire (1970) and Bakhtin (</w:t>
      </w:r>
      <w:proofErr w:type="spellStart"/>
      <w:r w:rsidRPr="005C2885">
        <w:t>Holquist</w:t>
      </w:r>
      <w:proofErr w:type="spellEnd"/>
      <w:r w:rsidRPr="005C2885">
        <w:t>, 1990) in recognising the essentially dialogical nature of human existence and how dominant power structures can and should be subverted.</w:t>
      </w:r>
      <w:r w:rsidR="00CC63AB">
        <w:t xml:space="preserve"> In</w:t>
      </w:r>
      <w:r w:rsidR="00CC63AB" w:rsidRPr="005C2885">
        <w:t xml:space="preserve"> common with much participatory and inclusive researc</w:t>
      </w:r>
      <w:r w:rsidR="00CC63AB">
        <w:t>h, we</w:t>
      </w:r>
      <w:r w:rsidRPr="005C2885">
        <w:t xml:space="preserve"> grapple with redistributing power so that marginalised voices and experiences are highlighted or amplified and are brought into closer dialogue with wider audiences (who typically have more power) to influence change</w:t>
      </w:r>
      <w:r w:rsidR="00CC63AB">
        <w:t xml:space="preserve"> (Parsons et al., 2022).</w:t>
      </w:r>
    </w:p>
    <w:p w14:paraId="1B9EC949" w14:textId="268968CF" w:rsidR="000B7162" w:rsidRDefault="00417D14" w:rsidP="00473423">
      <w:pPr>
        <w:spacing w:before="240" w:line="480" w:lineRule="auto"/>
      </w:pPr>
      <w:r>
        <w:t xml:space="preserve">Applying Lundy’s (2007) framework, our creation of </w:t>
      </w:r>
      <w:r w:rsidR="00473423" w:rsidRPr="6D615046">
        <w:rPr>
          <w:i/>
          <w:iCs/>
        </w:rPr>
        <w:t>space</w:t>
      </w:r>
      <w:r>
        <w:t xml:space="preserve"> for voices</w:t>
      </w:r>
      <w:r w:rsidR="00427CDC">
        <w:t xml:space="preserve"> was</w:t>
      </w:r>
      <w:r w:rsidR="008F1D6B">
        <w:t xml:space="preserve"> initially</w:t>
      </w:r>
      <w:r w:rsidR="00427CDC">
        <w:t xml:space="preserve"> instantiated through </w:t>
      </w:r>
      <w:r>
        <w:t>small-scale research projects</w:t>
      </w:r>
      <w:r w:rsidR="00427CDC">
        <w:t xml:space="preserve"> that provided </w:t>
      </w:r>
      <w:r>
        <w:t xml:space="preserve">evidence about autistic children’s experiences </w:t>
      </w:r>
      <w:r>
        <w:lastRenderedPageBreak/>
        <w:t xml:space="preserve">and views of transitions </w:t>
      </w:r>
      <w:r w:rsidR="005213B1">
        <w:t>within nursery, primary and secondary provision</w:t>
      </w:r>
      <w:r w:rsidR="008C165E">
        <w:t xml:space="preserve"> (Kovshoff &amp; Parsons, 2019</w:t>
      </w:r>
      <w:proofErr w:type="gramStart"/>
      <w:r w:rsidR="008C165E">
        <w:t>)  using</w:t>
      </w:r>
      <w:proofErr w:type="gramEnd"/>
      <w:r w:rsidR="008C165E">
        <w:t xml:space="preserve"> creative methods including digital storytelling (Parsons et al., 2022) and photovoice (Hoy et al., 2018). </w:t>
      </w:r>
      <w:r>
        <w:t>Key theme</w:t>
      </w:r>
      <w:r w:rsidR="00AC0EC5">
        <w:t>s</w:t>
      </w:r>
      <w:r>
        <w:t xml:space="preserve"> such as providing quiet spaces for refuge; utilising the strengths, interests, and expertise of the child; and knowing who to ask for help, were included in the comic storylines</w:t>
      </w:r>
      <w:r w:rsidR="008C165E">
        <w:t>.</w:t>
      </w:r>
      <w:r>
        <w:t xml:space="preserve"> </w:t>
      </w:r>
      <w:r w:rsidR="000B7162">
        <w:t xml:space="preserve">For example, </w:t>
      </w:r>
      <w:r w:rsidR="000B17EF">
        <w:t xml:space="preserve">Figure </w:t>
      </w:r>
      <w:r w:rsidR="74CCF1A1">
        <w:t>1</w:t>
      </w:r>
      <w:r w:rsidR="000B17EF">
        <w:t xml:space="preserve"> shows Lee Mouse feel</w:t>
      </w:r>
      <w:r w:rsidR="00AC0EC5">
        <w:t xml:space="preserve">ing </w:t>
      </w:r>
      <w:r w:rsidR="000B17EF">
        <w:t>overwhelmed by the environment and then</w:t>
      </w:r>
      <w:r w:rsidR="00AC0EC5">
        <w:t xml:space="preserve"> being</w:t>
      </w:r>
      <w:r w:rsidR="000B17EF">
        <w:t xml:space="preserve"> spotted and supported by an older student</w:t>
      </w:r>
      <w:r w:rsidR="00AC0EC5">
        <w:t xml:space="preserve"> (Alex) who shows </w:t>
      </w:r>
      <w:r w:rsidR="000B17EF">
        <w:t>Lee to a safe and quiet space</w:t>
      </w:r>
      <w:r w:rsidR="00BA55DE">
        <w:t>.</w:t>
      </w:r>
      <w:r w:rsidR="008C165E">
        <w:t xml:space="preserve"> Figure </w:t>
      </w:r>
      <w:r w:rsidR="776EE65D">
        <w:t>2</w:t>
      </w:r>
      <w:r w:rsidR="008C165E">
        <w:t xml:space="preserve"> shows Lee Mouse summoning their courage to talk to another student about the book they are reading which Lee also really loves. This example illustrates how Lee’s interests can be used as a strengths-based strategy to start a conversation with a peer, and Lee ignores some of the less helpful comments from other students.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B17EF" w14:paraId="4183C938" w14:textId="77777777" w:rsidTr="15A07FB2">
        <w:tc>
          <w:tcPr>
            <w:tcW w:w="4508" w:type="dxa"/>
          </w:tcPr>
          <w:p w14:paraId="2AABF06C" w14:textId="5907F12F" w:rsidR="000B17EF" w:rsidRDefault="000B17EF" w:rsidP="00473423">
            <w:pPr>
              <w:spacing w:before="240" w:line="480" w:lineRule="auto"/>
            </w:pPr>
            <w:r w:rsidRPr="000B17EF">
              <w:rPr>
                <w:noProof/>
              </w:rPr>
              <w:drawing>
                <wp:inline distT="0" distB="0" distL="0" distR="0" wp14:anchorId="20BC773C" wp14:editId="43BD70F3">
                  <wp:extent cx="2405391" cy="35175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602"/>
                          <a:stretch/>
                        </pic:blipFill>
                        <pic:spPr bwMode="auto">
                          <a:xfrm>
                            <a:off x="0" y="0"/>
                            <a:ext cx="2426693" cy="354874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13320F3" w14:textId="1253FE12" w:rsidR="008C1F98" w:rsidRDefault="000B17EF" w:rsidP="00473423">
            <w:pPr>
              <w:spacing w:before="240" w:line="480" w:lineRule="auto"/>
            </w:pPr>
            <w:r w:rsidRPr="000B17EF">
              <w:rPr>
                <w:noProof/>
              </w:rPr>
              <w:drawing>
                <wp:inline distT="0" distB="0" distL="0" distR="0" wp14:anchorId="3D67F462" wp14:editId="23235B53">
                  <wp:extent cx="2309331" cy="3491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2" t="2285" r="2691"/>
                          <a:stretch/>
                        </pic:blipFill>
                        <pic:spPr bwMode="auto">
                          <a:xfrm>
                            <a:off x="0" y="0"/>
                            <a:ext cx="2327586" cy="3519245"/>
                          </a:xfrm>
                          <a:prstGeom prst="rect">
                            <a:avLst/>
                          </a:prstGeom>
                          <a:ln>
                            <a:noFill/>
                          </a:ln>
                          <a:extLst>
                            <a:ext uri="{53640926-AAD7-44D8-BBD7-CCE9431645EC}">
                              <a14:shadowObscured xmlns:a14="http://schemas.microsoft.com/office/drawing/2010/main"/>
                            </a:ext>
                          </a:extLst>
                        </pic:spPr>
                      </pic:pic>
                    </a:graphicData>
                  </a:graphic>
                </wp:inline>
              </w:drawing>
            </w:r>
          </w:p>
        </w:tc>
      </w:tr>
      <w:tr w:rsidR="000B17EF" w14:paraId="74ADA78A" w14:textId="77777777" w:rsidTr="15A07FB2">
        <w:tc>
          <w:tcPr>
            <w:tcW w:w="9016" w:type="dxa"/>
            <w:gridSpan w:val="2"/>
          </w:tcPr>
          <w:p w14:paraId="49704FAE" w14:textId="4D8678C0" w:rsidR="000B17EF" w:rsidRDefault="000B17EF" w:rsidP="008C1F98">
            <w:pPr>
              <w:spacing w:before="240"/>
              <w:jc w:val="center"/>
            </w:pPr>
            <w:r>
              <w:t xml:space="preserve">Figure </w:t>
            </w:r>
            <w:r w:rsidR="56DE81BF">
              <w:t xml:space="preserve">1. </w:t>
            </w:r>
            <w:r w:rsidR="00BA55DE">
              <w:t xml:space="preserve"> feelings of overwhelm, being supported</w:t>
            </w:r>
            <w:r w:rsidR="008C1F98">
              <w:t xml:space="preserve"> by older student Alex</w:t>
            </w:r>
            <w:r w:rsidR="00BA55DE">
              <w:t xml:space="preserve"> and finding a place of refuge and safety</w:t>
            </w:r>
          </w:p>
        </w:tc>
      </w:tr>
    </w:tbl>
    <w:p w14:paraId="556C94AA" w14:textId="77777777" w:rsidR="00262362" w:rsidRDefault="00262362" w:rsidP="00473423">
      <w:pPr>
        <w:spacing w:before="240" w:line="480" w:lineRule="auto"/>
      </w:pPr>
    </w:p>
    <w:p w14:paraId="5AA0DB8B" w14:textId="270EDAF3" w:rsidR="000B7162" w:rsidRDefault="000B7162" w:rsidP="00473423">
      <w:pPr>
        <w:spacing w:before="240"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A55DE" w14:paraId="312A5349" w14:textId="77777777" w:rsidTr="15A07FB2">
        <w:tc>
          <w:tcPr>
            <w:tcW w:w="4508" w:type="dxa"/>
          </w:tcPr>
          <w:p w14:paraId="27F32FAD" w14:textId="0F009974" w:rsidR="00BA55DE" w:rsidRDefault="00BA55DE" w:rsidP="00473423">
            <w:pPr>
              <w:spacing w:before="240" w:line="480" w:lineRule="auto"/>
            </w:pPr>
            <w:r w:rsidRPr="00BA55DE">
              <w:rPr>
                <w:noProof/>
              </w:rPr>
              <w:lastRenderedPageBreak/>
              <w:drawing>
                <wp:inline distT="0" distB="0" distL="0" distR="0" wp14:anchorId="250BACB7" wp14:editId="60E35AA7">
                  <wp:extent cx="2640589" cy="4032250"/>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0701" cy="4047691"/>
                          </a:xfrm>
                          <a:prstGeom prst="rect">
                            <a:avLst/>
                          </a:prstGeom>
                        </pic:spPr>
                      </pic:pic>
                    </a:graphicData>
                  </a:graphic>
                </wp:inline>
              </w:drawing>
            </w:r>
          </w:p>
        </w:tc>
        <w:tc>
          <w:tcPr>
            <w:tcW w:w="4508" w:type="dxa"/>
          </w:tcPr>
          <w:p w14:paraId="3778D258" w14:textId="5AA34AA2" w:rsidR="00BA55DE" w:rsidRDefault="00BA55DE" w:rsidP="00473423">
            <w:pPr>
              <w:spacing w:before="240" w:line="480" w:lineRule="auto"/>
            </w:pPr>
            <w:r w:rsidRPr="00BA55DE">
              <w:rPr>
                <w:noProof/>
              </w:rPr>
              <w:drawing>
                <wp:inline distT="0" distB="0" distL="0" distR="0" wp14:anchorId="4573035D" wp14:editId="26C65E7A">
                  <wp:extent cx="2568575" cy="39857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9722" cy="4003017"/>
                          </a:xfrm>
                          <a:prstGeom prst="rect">
                            <a:avLst/>
                          </a:prstGeom>
                        </pic:spPr>
                      </pic:pic>
                    </a:graphicData>
                  </a:graphic>
                </wp:inline>
              </w:drawing>
            </w:r>
          </w:p>
        </w:tc>
      </w:tr>
      <w:tr w:rsidR="00BA55DE" w14:paraId="0E01653A" w14:textId="77777777" w:rsidTr="15A07FB2">
        <w:tc>
          <w:tcPr>
            <w:tcW w:w="9016" w:type="dxa"/>
            <w:gridSpan w:val="2"/>
          </w:tcPr>
          <w:p w14:paraId="3E74482B" w14:textId="348E1EDB" w:rsidR="00BA55DE" w:rsidRDefault="00BA55DE" w:rsidP="00BA55DE">
            <w:pPr>
              <w:spacing w:before="240" w:line="480" w:lineRule="auto"/>
              <w:jc w:val="center"/>
            </w:pPr>
            <w:r>
              <w:t xml:space="preserve">Figure </w:t>
            </w:r>
            <w:r w:rsidR="501DAF53">
              <w:t>2</w:t>
            </w:r>
            <w:r>
              <w:t>: Finding a strategy to make friends using shared interests while ignoring unhelpful comments from others</w:t>
            </w:r>
          </w:p>
        </w:tc>
      </w:tr>
    </w:tbl>
    <w:p w14:paraId="6F3B76A1" w14:textId="79340C30" w:rsidR="00650ABE" w:rsidRDefault="0071530E" w:rsidP="000B7162">
      <w:pPr>
        <w:spacing w:before="240" w:line="480" w:lineRule="auto"/>
      </w:pPr>
      <w:r>
        <w:t>With reference to the second main element of Lundy’s (2007) framework, c</w:t>
      </w:r>
      <w:r w:rsidR="00473423">
        <w:t xml:space="preserve">hildren’s voices in these projects were </w:t>
      </w:r>
      <w:r w:rsidR="00473423" w:rsidRPr="00B84345">
        <w:rPr>
          <w:i/>
          <w:iCs/>
        </w:rPr>
        <w:t>facilitated</w:t>
      </w:r>
      <w:r w:rsidR="00473423">
        <w:t xml:space="preserve"> through</w:t>
      </w:r>
      <w:r w:rsidR="00134E26">
        <w:t xml:space="preserve"> applying</w:t>
      </w:r>
      <w:r w:rsidR="00473423">
        <w:t xml:space="preserve"> creative methods and, where appropriate, </w:t>
      </w:r>
      <w:r w:rsidR="00417D14">
        <w:t xml:space="preserve">with </w:t>
      </w:r>
      <w:r w:rsidR="00473423">
        <w:t xml:space="preserve">adult support in line with </w:t>
      </w:r>
      <w:r w:rsidR="00473423" w:rsidRPr="00BF7AFD">
        <w:t>Article 7 of the UN Convention on the Rights of Persons with Disabilities (CRPD, 2006)</w:t>
      </w:r>
      <w:r w:rsidR="00473423">
        <w:t xml:space="preserve"> which recognises the importance of ‘</w:t>
      </w:r>
      <w:r w:rsidR="00473423" w:rsidRPr="00BF7AFD">
        <w:t>disability and age-appropriate assistance</w:t>
      </w:r>
      <w:r w:rsidR="00473423">
        <w:t>’ in relation to</w:t>
      </w:r>
      <w:r w:rsidR="00417D14">
        <w:t xml:space="preserve"> enabling</w:t>
      </w:r>
      <w:r w:rsidR="00473423">
        <w:t xml:space="preserve"> the rights of children with disabilities to express their views.</w:t>
      </w:r>
      <w:r w:rsidR="000B7162">
        <w:t xml:space="preserve"> </w:t>
      </w:r>
      <w:r w:rsidR="00650ABE">
        <w:t>This facilitation included starting with some initial examples of comic characters and storylines to avoid the well-documented challenge for autistic children of starting with a blank page in participatory design projects (Parsons &amp; Cobb,</w:t>
      </w:r>
      <w:r w:rsidR="00151962">
        <w:t xml:space="preserve"> 2014</w:t>
      </w:r>
      <w:r w:rsidR="00650ABE">
        <w:t xml:space="preserve">). </w:t>
      </w:r>
      <w:r w:rsidR="008C165E">
        <w:t>We also</w:t>
      </w:r>
      <w:r w:rsidR="00650ABE">
        <w:t xml:space="preserve"> collaborated with an experienced </w:t>
      </w:r>
      <w:r w:rsidR="003366A1">
        <w:t>illustrator</w:t>
      </w:r>
      <w:r w:rsidR="00650ABE">
        <w:t xml:space="preserve"> who publishes comics for children and young people and is skilled in applying the narrative possibilities of comics in ways that are accessible </w:t>
      </w:r>
      <w:r w:rsidR="003366A1">
        <w:t>to them</w:t>
      </w:r>
      <w:r w:rsidR="00650ABE">
        <w:t>.</w:t>
      </w:r>
    </w:p>
    <w:p w14:paraId="7B1F6E82" w14:textId="66750730" w:rsidR="00E72140" w:rsidRDefault="008C165E" w:rsidP="000B7162">
      <w:pPr>
        <w:spacing w:before="240" w:line="480" w:lineRule="auto"/>
      </w:pPr>
      <w:r>
        <w:lastRenderedPageBreak/>
        <w:t>W</w:t>
      </w:r>
      <w:r w:rsidR="00AE7F99">
        <w:t>e</w:t>
      </w:r>
      <w:r w:rsidR="00AC0EC5">
        <w:t xml:space="preserve"> first</w:t>
      </w:r>
      <w:r w:rsidR="000B7162" w:rsidRPr="15A07FB2">
        <w:rPr>
          <w:color w:val="000000" w:themeColor="text1"/>
        </w:rPr>
        <w:t xml:space="preserve"> </w:t>
      </w:r>
      <w:r w:rsidR="000B7162">
        <w:t>embedd</w:t>
      </w:r>
      <w:r w:rsidR="00AE7F99">
        <w:t>ed</w:t>
      </w:r>
      <w:r w:rsidR="000B7162">
        <w:t xml:space="preserve"> work</w:t>
      </w:r>
      <w:r w:rsidR="00AE7F99">
        <w:t xml:space="preserve"> on the comic</w:t>
      </w:r>
      <w:r w:rsidR="000B7162">
        <w:t xml:space="preserve"> in the art curriculum and</w:t>
      </w:r>
      <w:r w:rsidR="00AE7F99">
        <w:t xml:space="preserve"> within</w:t>
      </w:r>
      <w:r w:rsidR="00650ABE">
        <w:t xml:space="preserve"> English</w:t>
      </w:r>
      <w:r w:rsidR="000B7162">
        <w:t xml:space="preserve"> lessons at New Forest School where students contributed ideas for a project logo, comic characters, colours, and further storylines (see Figure </w:t>
      </w:r>
      <w:r w:rsidR="062C8D8B">
        <w:t>3</w:t>
      </w:r>
      <w:r w:rsidR="000B7162">
        <w:t xml:space="preserve">). </w:t>
      </w:r>
      <w:r w:rsidR="00AC0EC5">
        <w:t>S</w:t>
      </w:r>
      <w:r w:rsidR="00AC77B5">
        <w:t>tudents disliked the paler, pastel colours originally used in the comic and preferred stronger colours, which were</w:t>
      </w:r>
      <w:r w:rsidR="008C1F98">
        <w:t xml:space="preserve"> later</w:t>
      </w:r>
      <w:r w:rsidR="00AC77B5">
        <w:t xml:space="preserve"> incorporated. </w:t>
      </w:r>
      <w:r w:rsidR="003366A1">
        <w:t>We also held further design and feedback workshops at the John Hansard Gallery in Southampton, which was a</w:t>
      </w:r>
      <w:r w:rsidR="00427CDC">
        <w:t xml:space="preserve"> creative space,</w:t>
      </w:r>
      <w:r w:rsidR="00262362">
        <w:t xml:space="preserve"> outside the normal boundaries of school</w:t>
      </w:r>
      <w:r w:rsidR="00E72140">
        <w:t>.</w:t>
      </w:r>
      <w:r w:rsidR="00151962">
        <w:t xml:space="preserve"> Several</w:t>
      </w:r>
      <w:r w:rsidR="00E72140">
        <w:t xml:space="preserve"> a</w:t>
      </w:r>
      <w:r w:rsidR="000B7162">
        <w:t>utistic students from the school and invited professionals from different educational settings</w:t>
      </w:r>
      <w:r w:rsidR="00E72140">
        <w:t xml:space="preserve"> participated </w:t>
      </w:r>
      <w:r w:rsidR="004E1763">
        <w:t>(</w:t>
      </w:r>
      <w:r w:rsidR="000B7162">
        <w:t xml:space="preserve">Figure </w:t>
      </w:r>
      <w:r w:rsidR="03BE1AB7">
        <w:t>4</w:t>
      </w:r>
      <w:r w:rsidR="000B7162">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E1763" w14:paraId="4CE9A71D" w14:textId="77777777" w:rsidTr="15A07FB2">
        <w:trPr>
          <w:jc w:val="center"/>
        </w:trPr>
        <w:tc>
          <w:tcPr>
            <w:tcW w:w="4508" w:type="dxa"/>
          </w:tcPr>
          <w:p w14:paraId="1D305636" w14:textId="77777777" w:rsidR="004E1763" w:rsidRDefault="004E1763" w:rsidP="00CA2D61">
            <w:pPr>
              <w:spacing w:before="240" w:line="480" w:lineRule="auto"/>
            </w:pPr>
            <w:r>
              <w:rPr>
                <w:noProof/>
                <w:color w:val="2B579A"/>
                <w:shd w:val="clear" w:color="auto" w:fill="E6E6E6"/>
              </w:rPr>
              <w:drawing>
                <wp:inline distT="0" distB="0" distL="0" distR="0" wp14:anchorId="3E3ABA50" wp14:editId="6E0A5558">
                  <wp:extent cx="2520950" cy="1890852"/>
                  <wp:effectExtent l="0" t="0" r="0" b="0"/>
                  <wp:docPr id="12"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5195" cy="1901537"/>
                          </a:xfrm>
                          <a:prstGeom prst="rect">
                            <a:avLst/>
                          </a:prstGeom>
                        </pic:spPr>
                      </pic:pic>
                    </a:graphicData>
                  </a:graphic>
                </wp:inline>
              </w:drawing>
            </w:r>
          </w:p>
        </w:tc>
        <w:tc>
          <w:tcPr>
            <w:tcW w:w="4508" w:type="dxa"/>
          </w:tcPr>
          <w:p w14:paraId="62680DE3" w14:textId="77777777" w:rsidR="004E1763" w:rsidRDefault="004E1763" w:rsidP="00CA2D61">
            <w:pPr>
              <w:spacing w:before="240" w:line="480" w:lineRule="auto"/>
            </w:pPr>
            <w:r w:rsidRPr="00DE2A37">
              <w:rPr>
                <w:noProof/>
                <w:color w:val="2B579A"/>
                <w:shd w:val="clear" w:color="auto" w:fill="E6E6E6"/>
              </w:rPr>
              <w:drawing>
                <wp:inline distT="0" distB="0" distL="0" distR="0" wp14:anchorId="1D78F959" wp14:editId="45027FDB">
                  <wp:extent cx="2489016" cy="18669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5445" cy="1871722"/>
                          </a:xfrm>
                          <a:prstGeom prst="rect">
                            <a:avLst/>
                          </a:prstGeom>
                          <a:noFill/>
                          <a:ln>
                            <a:noFill/>
                          </a:ln>
                        </pic:spPr>
                      </pic:pic>
                    </a:graphicData>
                  </a:graphic>
                </wp:inline>
              </w:drawing>
            </w:r>
          </w:p>
        </w:tc>
      </w:tr>
      <w:tr w:rsidR="004E1763" w14:paraId="6A223AE8" w14:textId="77777777" w:rsidTr="15A07FB2">
        <w:trPr>
          <w:jc w:val="center"/>
        </w:trPr>
        <w:tc>
          <w:tcPr>
            <w:tcW w:w="4508" w:type="dxa"/>
          </w:tcPr>
          <w:p w14:paraId="3ABCE1B8" w14:textId="6D593CD4" w:rsidR="004E1763" w:rsidRDefault="004E1763" w:rsidP="00CA2D61">
            <w:pPr>
              <w:spacing w:before="240" w:line="276" w:lineRule="auto"/>
            </w:pPr>
            <w:r w:rsidRPr="15A07FB2">
              <w:rPr>
                <w:sz w:val="20"/>
                <w:szCs w:val="20"/>
              </w:rPr>
              <w:t xml:space="preserve">Figure </w:t>
            </w:r>
            <w:r w:rsidR="42291675" w:rsidRPr="15A07FB2">
              <w:rPr>
                <w:sz w:val="20"/>
                <w:szCs w:val="20"/>
              </w:rPr>
              <w:t>3</w:t>
            </w:r>
            <w:r w:rsidRPr="15A07FB2">
              <w:rPr>
                <w:sz w:val="20"/>
                <w:szCs w:val="20"/>
              </w:rPr>
              <w:t>: School-based design workshop [Charlie in the middle of the picture]</w:t>
            </w:r>
          </w:p>
        </w:tc>
        <w:tc>
          <w:tcPr>
            <w:tcW w:w="4508" w:type="dxa"/>
          </w:tcPr>
          <w:p w14:paraId="7B2C360B" w14:textId="5B843D9F" w:rsidR="004E1763" w:rsidRPr="00472BBF" w:rsidRDefault="004E1763" w:rsidP="00CA2D61">
            <w:pPr>
              <w:spacing w:before="240" w:line="276" w:lineRule="auto"/>
              <w:rPr>
                <w:sz w:val="20"/>
                <w:szCs w:val="20"/>
              </w:rPr>
            </w:pPr>
            <w:r w:rsidRPr="15A07FB2">
              <w:rPr>
                <w:sz w:val="20"/>
                <w:szCs w:val="20"/>
              </w:rPr>
              <w:t xml:space="preserve">Figure </w:t>
            </w:r>
            <w:r w:rsidR="19454AC5" w:rsidRPr="15A07FB2">
              <w:rPr>
                <w:sz w:val="20"/>
                <w:szCs w:val="20"/>
              </w:rPr>
              <w:t>4</w:t>
            </w:r>
            <w:r w:rsidRPr="15A07FB2">
              <w:rPr>
                <w:sz w:val="20"/>
                <w:szCs w:val="20"/>
              </w:rPr>
              <w:t>: Comic character creation at the workshop with professionals</w:t>
            </w:r>
          </w:p>
        </w:tc>
      </w:tr>
    </w:tbl>
    <w:p w14:paraId="3A48FD75" w14:textId="77777777" w:rsidR="004E1763" w:rsidRDefault="004E1763" w:rsidP="000B7162">
      <w:pPr>
        <w:spacing w:before="240" w:line="480" w:lineRule="auto"/>
      </w:pPr>
    </w:p>
    <w:p w14:paraId="758612B6" w14:textId="7425997A" w:rsidR="00A32634" w:rsidRPr="00A32634" w:rsidRDefault="002762B8" w:rsidP="00A32634">
      <w:pPr>
        <w:spacing w:before="240" w:line="480" w:lineRule="auto"/>
      </w:pPr>
      <w:r>
        <w:t>T</w:t>
      </w:r>
      <w:r w:rsidR="00E72140">
        <w:t>his workshop</w:t>
      </w:r>
      <w:r>
        <w:t xml:space="preserve"> focused</w:t>
      </w:r>
      <w:r w:rsidR="00E72140">
        <w:t xml:space="preserve"> on a</w:t>
      </w:r>
      <w:r w:rsidR="00AE7F99">
        <w:t xml:space="preserve"> part of the</w:t>
      </w:r>
      <w:r w:rsidR="00134E26">
        <w:t xml:space="preserve"> storyline </w:t>
      </w:r>
      <w:r w:rsidR="00AE7F99">
        <w:t xml:space="preserve">which was still in the sketch phases and </w:t>
      </w:r>
      <w:r w:rsidR="00134E26">
        <w:t>involve</w:t>
      </w:r>
      <w:r w:rsidR="00AC77B5">
        <w:t>d</w:t>
      </w:r>
      <w:r w:rsidR="000B7162">
        <w:t xml:space="preserve"> </w:t>
      </w:r>
      <w:r w:rsidR="008C1F98">
        <w:t>Lee being supported by</w:t>
      </w:r>
      <w:r w:rsidR="00E72140">
        <w:t xml:space="preserve"> his older buddy</w:t>
      </w:r>
      <w:r w:rsidR="008C1F98">
        <w:t xml:space="preserve"> Alex to develop a strategy for</w:t>
      </w:r>
      <w:r w:rsidR="00A32634">
        <w:t xml:space="preserve"> asking the teacher for help. Lee is</w:t>
      </w:r>
      <w:r w:rsidR="00AE7F99">
        <w:t xml:space="preserve"> shown being</w:t>
      </w:r>
      <w:r w:rsidR="00A32634">
        <w:t xml:space="preserve"> supported by the teacher to leave class 10 minutes early </w:t>
      </w:r>
      <w:r w:rsidR="00AC0EC5">
        <w:t xml:space="preserve">to </w:t>
      </w:r>
      <w:r w:rsidR="00A32634">
        <w:t>finish their work in a quieter space.</w:t>
      </w:r>
      <w:r w:rsidR="008C1F98">
        <w:t xml:space="preserve"> </w:t>
      </w:r>
      <w:r w:rsidR="00A32634">
        <w:t>One of these pages was the source of much discussion as it shows Alex</w:t>
      </w:r>
      <w:r w:rsidR="00AE7F99">
        <w:t xml:space="preserve"> </w:t>
      </w:r>
      <w:r w:rsidR="00104237">
        <w:t>talking and thinking</w:t>
      </w:r>
      <w:r w:rsidR="00A32634">
        <w:t xml:space="preserve"> about how to ask for help and imagining this as ‘like sending up a flare’. The original colouring for this was</w:t>
      </w:r>
      <w:r w:rsidR="00427CDC">
        <w:t xml:space="preserve"> a bright red background (Figure </w:t>
      </w:r>
      <w:r w:rsidR="05BA2093">
        <w:t>5</w:t>
      </w:r>
      <w:r w:rsidR="00427CDC">
        <w:t xml:space="preserve">) but students felt </w:t>
      </w:r>
      <w:r>
        <w:t>this</w:t>
      </w:r>
      <w:r w:rsidR="00427CDC">
        <w:t xml:space="preserve"> sent the wrong kind of signal</w:t>
      </w:r>
      <w:r>
        <w:t xml:space="preserve"> which </w:t>
      </w:r>
      <w:r w:rsidR="00427CDC">
        <w:t>could be interpreted as a loud alarm, and something that was public to others</w:t>
      </w:r>
      <w:r>
        <w:t>, rather than</w:t>
      </w:r>
      <w:r w:rsidR="00427CDC">
        <w:t xml:space="preserve"> the intended meaning </w:t>
      </w:r>
      <w:r>
        <w:t xml:space="preserve">of the </w:t>
      </w:r>
      <w:r w:rsidR="00427CDC">
        <w:t xml:space="preserve">flare </w:t>
      </w:r>
      <w:r>
        <w:t>as</w:t>
      </w:r>
      <w:r w:rsidR="00427CDC">
        <w:t xml:space="preserve"> an internal feeling or wish that was being silently communicated. </w:t>
      </w:r>
      <w:r w:rsidR="00A3263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50ABE" w14:paraId="6B20796A" w14:textId="77777777" w:rsidTr="15A07FB2">
        <w:tc>
          <w:tcPr>
            <w:tcW w:w="4508" w:type="dxa"/>
          </w:tcPr>
          <w:p w14:paraId="216686E7" w14:textId="1E2F3639" w:rsidR="00650ABE" w:rsidRDefault="00427CDC" w:rsidP="00427CDC">
            <w:pPr>
              <w:spacing w:before="240" w:line="480" w:lineRule="auto"/>
              <w:jc w:val="center"/>
            </w:pPr>
            <w:r w:rsidRPr="00427CDC">
              <w:rPr>
                <w:noProof/>
              </w:rPr>
              <w:lastRenderedPageBreak/>
              <w:drawing>
                <wp:inline distT="0" distB="0" distL="0" distR="0" wp14:anchorId="143FF2F7" wp14:editId="43DFD2E5">
                  <wp:extent cx="2025650" cy="3143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5678" cy="3159239"/>
                          </a:xfrm>
                          <a:prstGeom prst="rect">
                            <a:avLst/>
                          </a:prstGeom>
                        </pic:spPr>
                      </pic:pic>
                    </a:graphicData>
                  </a:graphic>
                </wp:inline>
              </w:drawing>
            </w:r>
          </w:p>
        </w:tc>
        <w:tc>
          <w:tcPr>
            <w:tcW w:w="4508" w:type="dxa"/>
          </w:tcPr>
          <w:p w14:paraId="75522348" w14:textId="1A37450B" w:rsidR="00650ABE" w:rsidRDefault="00650ABE" w:rsidP="00427CDC">
            <w:pPr>
              <w:spacing w:before="240" w:line="480" w:lineRule="auto"/>
              <w:jc w:val="center"/>
            </w:pPr>
            <w:r w:rsidRPr="00650ABE">
              <w:rPr>
                <w:noProof/>
              </w:rPr>
              <w:drawing>
                <wp:inline distT="0" distB="0" distL="0" distR="0" wp14:anchorId="5560666D" wp14:editId="5C3967AB">
                  <wp:extent cx="2061813" cy="313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5896" cy="3136750"/>
                          </a:xfrm>
                          <a:prstGeom prst="rect">
                            <a:avLst/>
                          </a:prstGeom>
                        </pic:spPr>
                      </pic:pic>
                    </a:graphicData>
                  </a:graphic>
                </wp:inline>
              </w:drawing>
            </w:r>
          </w:p>
        </w:tc>
      </w:tr>
      <w:tr w:rsidR="00427CDC" w14:paraId="5263B6AA" w14:textId="77777777" w:rsidTr="15A07FB2">
        <w:tc>
          <w:tcPr>
            <w:tcW w:w="9016" w:type="dxa"/>
            <w:gridSpan w:val="2"/>
          </w:tcPr>
          <w:p w14:paraId="185A11A5" w14:textId="7F5A1704" w:rsidR="00427CDC" w:rsidRDefault="00427CDC" w:rsidP="00427CDC">
            <w:pPr>
              <w:spacing w:before="240"/>
              <w:jc w:val="center"/>
            </w:pPr>
            <w:r>
              <w:t xml:space="preserve">Figure </w:t>
            </w:r>
            <w:r w:rsidR="41AFD2C5">
              <w:t>5</w:t>
            </w:r>
            <w:r>
              <w:t>: the original red colours of sending up a flare on the left and the final, darker colours on the right</w:t>
            </w:r>
          </w:p>
        </w:tc>
      </w:tr>
    </w:tbl>
    <w:p w14:paraId="6B2C6120" w14:textId="77777777" w:rsidR="00427CDC" w:rsidRDefault="00427CDC" w:rsidP="000B7162">
      <w:pPr>
        <w:spacing w:before="240" w:line="480" w:lineRule="auto"/>
      </w:pPr>
    </w:p>
    <w:p w14:paraId="057E366F" w14:textId="47FB9B23" w:rsidR="000B7162" w:rsidRPr="000B7162" w:rsidRDefault="000B7162" w:rsidP="000B7162">
      <w:pPr>
        <w:spacing w:before="240" w:line="480" w:lineRule="auto"/>
      </w:pPr>
      <w:r>
        <w:t xml:space="preserve">We encouraged the </w:t>
      </w:r>
      <w:r w:rsidR="00AC0EC5">
        <w:t>students</w:t>
      </w:r>
      <w:r>
        <w:t xml:space="preserve"> to reflect on what they liked and disliked about the storylines and received valuable feedback. The students also expressed ideas for character designs </w:t>
      </w:r>
      <w:r w:rsidR="002762B8">
        <w:t>and</w:t>
      </w:r>
      <w:r>
        <w:t xml:space="preserve"> stor</w:t>
      </w:r>
      <w:r w:rsidR="002762B8">
        <w:t>ylines</w:t>
      </w:r>
      <w:r>
        <w:t xml:space="preserve"> like coping with the stress of travelling to school, getting ready in the morning at home, and dealing with a bully. Many of these suggestions were subsequently incorporated into the final comic</w:t>
      </w:r>
      <w:r w:rsidR="00681DB9">
        <w:t xml:space="preserve">. For example, ignoring unhelpful comments from other students is shown in Figure 2 and Figure </w:t>
      </w:r>
      <w:r w:rsidR="0BA4F145">
        <w:t>6</w:t>
      </w:r>
      <w:r w:rsidR="00681DB9">
        <w:t xml:space="preserve"> shows the opening scene of the comic with Lee feeling anxious about school and setting off from home feeling nervous, which was added specifically following this feedback.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681DB9" w14:paraId="02E840EE" w14:textId="77777777" w:rsidTr="15A07FB2">
        <w:trPr>
          <w:jc w:val="center"/>
        </w:trPr>
        <w:tc>
          <w:tcPr>
            <w:tcW w:w="6232" w:type="dxa"/>
          </w:tcPr>
          <w:p w14:paraId="03B2F186" w14:textId="0CFB7EA6" w:rsidR="00681DB9" w:rsidRDefault="00681DB9" w:rsidP="00AC77B5">
            <w:pPr>
              <w:spacing w:line="480" w:lineRule="auto"/>
              <w:jc w:val="center"/>
            </w:pPr>
            <w:r w:rsidRPr="00681DB9">
              <w:rPr>
                <w:noProof/>
              </w:rPr>
              <w:lastRenderedPageBreak/>
              <w:drawing>
                <wp:inline distT="0" distB="0" distL="0" distR="0" wp14:anchorId="27364BEC" wp14:editId="635D0C50">
                  <wp:extent cx="2082800" cy="32528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8669" cy="3262025"/>
                          </a:xfrm>
                          <a:prstGeom prst="rect">
                            <a:avLst/>
                          </a:prstGeom>
                        </pic:spPr>
                      </pic:pic>
                    </a:graphicData>
                  </a:graphic>
                </wp:inline>
              </w:drawing>
            </w:r>
          </w:p>
        </w:tc>
      </w:tr>
      <w:tr w:rsidR="00681DB9" w14:paraId="27B242CE" w14:textId="77777777" w:rsidTr="15A07FB2">
        <w:trPr>
          <w:jc w:val="center"/>
        </w:trPr>
        <w:tc>
          <w:tcPr>
            <w:tcW w:w="6232" w:type="dxa"/>
          </w:tcPr>
          <w:p w14:paraId="230F9420" w14:textId="7F837917" w:rsidR="00681DB9" w:rsidRDefault="00681DB9" w:rsidP="00AC77B5">
            <w:pPr>
              <w:jc w:val="center"/>
            </w:pPr>
            <w:r>
              <w:t xml:space="preserve">Figure </w:t>
            </w:r>
            <w:r w:rsidR="4DB459CF">
              <w:t>6</w:t>
            </w:r>
            <w:r>
              <w:t xml:space="preserve">: the opening scene of the comic showing Lee </w:t>
            </w:r>
            <w:r w:rsidR="00AC77B5">
              <w:t>being unable to sleep and feeling very anxious about the</w:t>
            </w:r>
            <w:r w:rsidR="00A32634">
              <w:t>ir</w:t>
            </w:r>
            <w:r w:rsidR="00AC77B5">
              <w:t xml:space="preserve"> first day</w:t>
            </w:r>
          </w:p>
        </w:tc>
      </w:tr>
    </w:tbl>
    <w:p w14:paraId="43A62D06" w14:textId="77777777" w:rsidR="00BA55DE" w:rsidRDefault="00BA55DE" w:rsidP="000C771A">
      <w:pPr>
        <w:spacing w:line="480" w:lineRule="auto"/>
      </w:pPr>
    </w:p>
    <w:p w14:paraId="57759B0D" w14:textId="78B6A058" w:rsidR="00BA55DE" w:rsidRPr="00BA55DE" w:rsidRDefault="00BA55DE" w:rsidP="00026DF3">
      <w:pPr>
        <w:spacing w:after="0" w:line="480" w:lineRule="auto"/>
        <w:rPr>
          <w:b/>
          <w:bCs/>
        </w:rPr>
      </w:pPr>
      <w:r w:rsidRPr="00BA55DE">
        <w:rPr>
          <w:b/>
          <w:bCs/>
        </w:rPr>
        <w:t>Audiences</w:t>
      </w:r>
      <w:r w:rsidR="00026DF3">
        <w:rPr>
          <w:b/>
          <w:bCs/>
        </w:rPr>
        <w:t xml:space="preserve"> </w:t>
      </w:r>
    </w:p>
    <w:p w14:paraId="1D3A734C" w14:textId="4E4526E7" w:rsidR="00134E26" w:rsidRDefault="00473423" w:rsidP="000C771A">
      <w:pPr>
        <w:spacing w:line="480" w:lineRule="auto"/>
      </w:pPr>
      <w:r>
        <w:t xml:space="preserve">The recognition of the importance of the </w:t>
      </w:r>
      <w:r w:rsidRPr="00B84345">
        <w:rPr>
          <w:i/>
          <w:iCs/>
        </w:rPr>
        <w:t>audience</w:t>
      </w:r>
      <w:r>
        <w:t xml:space="preserve"> in Lundy’s (2007) framework is particularly relevant for comic creatio</w:t>
      </w:r>
      <w:r w:rsidR="000C771A">
        <w:t>n</w:t>
      </w:r>
      <w:r>
        <w:t>. Comics can make explicit lived experiences in a ‘material</w:t>
      </w:r>
      <w:r w:rsidR="000C4E22">
        <w:t>’</w:t>
      </w:r>
      <w:r>
        <w:t xml:space="preserve"> way</w:t>
      </w:r>
      <w:r w:rsidR="000C4E22">
        <w:t xml:space="preserve"> </w:t>
      </w:r>
      <w:r>
        <w:t>(Fall, 2020, p.771) using text and images. This feature aligns with children’s rights not just to impart their views but also to receive information in any media of the</w:t>
      </w:r>
      <w:r w:rsidR="00475DB0">
        <w:t>ir</w:t>
      </w:r>
      <w:r>
        <w:t xml:space="preserve"> choice (Article 13, UNCRC, 1989). Thus, children’s voices are further considered in their roles as potential audience members for the comic as well as co-creators of it. Comics can also make explicit ‘emotional truths’ (McNicol, 2019, p.236) of experienced realities which may otherwise be difficult to convey</w:t>
      </w:r>
      <w:r w:rsidR="00151962">
        <w:t>.</w:t>
      </w:r>
      <w:r>
        <w:t xml:space="preserve"> </w:t>
      </w:r>
      <w:r w:rsidR="00151962">
        <w:t>These</w:t>
      </w:r>
      <w:r>
        <w:t xml:space="preserve"> can include fictional elements that enable distance and anonymity from very specific accounts or ‘verifiable’ truths, which are more commonly aimed for in the direct reporting of research data (McNicol, 2019).</w:t>
      </w:r>
      <w:r w:rsidR="00151962">
        <w:t xml:space="preserve"> Accordingly</w:t>
      </w:r>
      <w:r>
        <w:t>, comics can transform research data into shareable, more accessible narratives, which can then be received and interpreted by audiences in different ways</w:t>
      </w:r>
      <w:r w:rsidR="000B7162">
        <w:t xml:space="preserve"> (Dittmer, 2010)</w:t>
      </w:r>
      <w:r>
        <w:t xml:space="preserve">. </w:t>
      </w:r>
      <w:r w:rsidR="00151962">
        <w:t>C</w:t>
      </w:r>
      <w:r>
        <w:t>omics are</w:t>
      </w:r>
      <w:r w:rsidR="00151962">
        <w:t>, therefore,</w:t>
      </w:r>
      <w:r>
        <w:t xml:space="preserve"> dialogic artefacts whose meanings </w:t>
      </w:r>
      <w:r w:rsidR="004A77B2">
        <w:t xml:space="preserve">are open and negotiated </w:t>
      </w:r>
      <w:r>
        <w:t xml:space="preserve">in the context of any </w:t>
      </w:r>
      <w:r>
        <w:lastRenderedPageBreak/>
        <w:t>audience’s ‘nomadic subjectivities’ (Dittmer, 2010, p.224) i.e., their shifting, and individual, responses to the content.</w:t>
      </w:r>
    </w:p>
    <w:p w14:paraId="74FCAA45" w14:textId="0E1E8115" w:rsidR="00475DB0" w:rsidRDefault="00475DB0" w:rsidP="00475DB0">
      <w:pPr>
        <w:spacing w:line="480" w:lineRule="auto"/>
      </w:pPr>
      <w:r>
        <w:t xml:space="preserve">As the core intended audience for the comic, two </w:t>
      </w:r>
      <w:r w:rsidRPr="00475DB0">
        <w:t>groups of students</w:t>
      </w:r>
      <w:r>
        <w:t xml:space="preserve"> (5-6 in each group)</w:t>
      </w:r>
      <w:r w:rsidRPr="00475DB0">
        <w:t xml:space="preserve"> </w:t>
      </w:r>
      <w:r>
        <w:t xml:space="preserve">reviewed and evaluated the finished comic via </w:t>
      </w:r>
      <w:r w:rsidRPr="00475DB0">
        <w:t>activities that were embedded into their</w:t>
      </w:r>
      <w:r w:rsidR="005213B1">
        <w:t xml:space="preserve"> school lessons. F</w:t>
      </w:r>
      <w:r w:rsidRPr="00475DB0">
        <w:t>eedback provided strong support for the comic, for example:</w:t>
      </w:r>
    </w:p>
    <w:p w14:paraId="30D09622" w14:textId="77777777" w:rsidR="00475DB0" w:rsidRDefault="00475DB0" w:rsidP="007B3568">
      <w:pPr>
        <w:spacing w:line="480" w:lineRule="auto"/>
        <w:jc w:val="center"/>
        <w:rPr>
          <w:rFonts w:eastAsia="Times New Roman" w:cstheme="minorHAnsi"/>
          <w:i/>
          <w:iCs/>
          <w:lang w:eastAsia="en-GB"/>
        </w:rPr>
      </w:pPr>
      <w:r w:rsidRPr="00475DB0">
        <w:rPr>
          <w:rFonts w:ascii="Times New Roman" w:eastAsia="Times New Roman" w:hAnsi="Times New Roman" w:cs="Times New Roman"/>
          <w:noProof/>
          <w:sz w:val="24"/>
          <w:szCs w:val="24"/>
          <w:lang w:eastAsia="en-GB"/>
        </w:rPr>
        <w:drawing>
          <wp:inline distT="0" distB="0" distL="0" distR="0" wp14:anchorId="03118FCE" wp14:editId="1C134CA1">
            <wp:extent cx="4709160" cy="117337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2249" cy="1176638"/>
                    </a:xfrm>
                    <a:prstGeom prst="rect">
                      <a:avLst/>
                    </a:prstGeom>
                    <a:noFill/>
                    <a:ln>
                      <a:noFill/>
                    </a:ln>
                  </pic:spPr>
                </pic:pic>
              </a:graphicData>
            </a:graphic>
          </wp:inline>
        </w:drawing>
      </w:r>
    </w:p>
    <w:p w14:paraId="6F5BCC78" w14:textId="77777777" w:rsidR="00475DB0" w:rsidRDefault="00475DB0" w:rsidP="00475DB0">
      <w:pPr>
        <w:spacing w:line="480" w:lineRule="auto"/>
        <w:rPr>
          <w:lang w:eastAsia="en-GB"/>
        </w:rPr>
      </w:pPr>
      <w:r w:rsidRPr="00475DB0">
        <w:t>“I like that [the characters] are animals not people. The choice of animals </w:t>
      </w:r>
      <w:proofErr w:type="gramStart"/>
      <w:r w:rsidRPr="00475DB0">
        <w:t>are</w:t>
      </w:r>
      <w:proofErr w:type="gramEnd"/>
      <w:r w:rsidRPr="00475DB0">
        <w:t> good because they match emotions to the type of animal. Wise Owl. Confident Tiger. Timid</w:t>
      </w:r>
      <w:r>
        <w:t xml:space="preserve"> </w:t>
      </w:r>
      <w:r w:rsidRPr="00475DB0">
        <w:t>Mouse.”</w:t>
      </w:r>
      <w:r w:rsidRPr="00475DB0">
        <w:rPr>
          <w:lang w:eastAsia="en-GB"/>
        </w:rPr>
        <w:t> </w:t>
      </w:r>
    </w:p>
    <w:p w14:paraId="4E40CFDF" w14:textId="77777777" w:rsidR="00475DB0" w:rsidRDefault="00475DB0" w:rsidP="007B3568">
      <w:pPr>
        <w:jc w:val="center"/>
        <w:rPr>
          <w:rFonts w:ascii="Times New Roman" w:hAnsi="Times New Roman" w:cs="Times New Roman"/>
          <w:sz w:val="24"/>
          <w:szCs w:val="24"/>
          <w:lang w:eastAsia="en-GB"/>
        </w:rPr>
      </w:pPr>
      <w:r w:rsidRPr="00475DB0">
        <w:rPr>
          <w:rFonts w:ascii="Times New Roman" w:hAnsi="Times New Roman" w:cs="Times New Roman"/>
          <w:noProof/>
          <w:sz w:val="24"/>
          <w:szCs w:val="24"/>
          <w:lang w:eastAsia="en-GB"/>
        </w:rPr>
        <w:drawing>
          <wp:inline distT="0" distB="0" distL="0" distR="0" wp14:anchorId="53C679FF" wp14:editId="7A16A163">
            <wp:extent cx="4798060" cy="11104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3238" cy="1118617"/>
                    </a:xfrm>
                    <a:prstGeom prst="rect">
                      <a:avLst/>
                    </a:prstGeom>
                    <a:noFill/>
                    <a:ln>
                      <a:noFill/>
                    </a:ln>
                  </pic:spPr>
                </pic:pic>
              </a:graphicData>
            </a:graphic>
          </wp:inline>
        </w:drawing>
      </w:r>
    </w:p>
    <w:p w14:paraId="41DD9390" w14:textId="3224F110" w:rsidR="00475DB0" w:rsidRPr="00475DB0" w:rsidRDefault="00475DB0" w:rsidP="00475DB0">
      <w:pPr>
        <w:spacing w:line="480" w:lineRule="auto"/>
        <w:rPr>
          <w:rFonts w:cstheme="minorHAnsi"/>
          <w:sz w:val="20"/>
          <w:szCs w:val="20"/>
        </w:rPr>
      </w:pPr>
      <w:r w:rsidRPr="00475DB0">
        <w:rPr>
          <w:rFonts w:cstheme="minorHAnsi"/>
          <w:lang w:eastAsia="en-GB"/>
        </w:rPr>
        <w:t>“I like the comic as it helps people get used to transitioning. I like the characters as you made the character relevant to their role.” </w:t>
      </w:r>
    </w:p>
    <w:p w14:paraId="7EC19030" w14:textId="4F906222" w:rsidR="008F1D6B" w:rsidRDefault="007B3568" w:rsidP="000C771A">
      <w:pPr>
        <w:spacing w:line="480" w:lineRule="auto"/>
      </w:pPr>
      <w:r>
        <w:t xml:space="preserve">Another </w:t>
      </w:r>
      <w:r w:rsidRPr="007B3568">
        <w:t xml:space="preserve">student commented that the comic characters </w:t>
      </w:r>
      <w:r w:rsidRPr="007B3568">
        <w:rPr>
          <w:i/>
          <w:iCs/>
        </w:rPr>
        <w:t>‘…will help me get throw</w:t>
      </w:r>
      <w:r w:rsidRPr="007B3568">
        <w:t xml:space="preserve"> [through]</w:t>
      </w:r>
      <w:r w:rsidRPr="007B3568">
        <w:rPr>
          <w:i/>
          <w:iCs/>
        </w:rPr>
        <w:t xml:space="preserve"> the </w:t>
      </w:r>
      <w:proofErr w:type="spellStart"/>
      <w:r w:rsidRPr="007B3568">
        <w:rPr>
          <w:i/>
          <w:iCs/>
        </w:rPr>
        <w:t>yier</w:t>
      </w:r>
      <w:proofErr w:type="spellEnd"/>
      <w:r w:rsidRPr="007B3568">
        <w:rPr>
          <w:i/>
          <w:iCs/>
        </w:rPr>
        <w:t xml:space="preserve"> </w:t>
      </w:r>
      <w:r w:rsidRPr="007B3568">
        <w:t>[year]</w:t>
      </w:r>
      <w:r w:rsidRPr="007B3568">
        <w:rPr>
          <w:i/>
          <w:iCs/>
        </w:rPr>
        <w:t>’</w:t>
      </w:r>
      <w:r w:rsidRPr="007B3568">
        <w:t xml:space="preserve">. He gave a top liking rating of 5 (out of 5) about the comic characters, and said he wanted to give the comic to his younger brother who was in Year 6 because he thought the comics would help as his brother </w:t>
      </w:r>
      <w:r w:rsidRPr="007B3568">
        <w:rPr>
          <w:i/>
          <w:iCs/>
        </w:rPr>
        <w:t>‘is a bit </w:t>
      </w:r>
      <w:proofErr w:type="spellStart"/>
      <w:r w:rsidRPr="007B3568">
        <w:rPr>
          <w:i/>
          <w:iCs/>
        </w:rPr>
        <w:t>skerd</w:t>
      </w:r>
      <w:proofErr w:type="spellEnd"/>
      <w:r w:rsidRPr="007B3568">
        <w:rPr>
          <w:i/>
          <w:iCs/>
        </w:rPr>
        <w:t xml:space="preserve">’ </w:t>
      </w:r>
      <w:r w:rsidRPr="007B3568">
        <w:t>[scared of starting at a new school].</w:t>
      </w:r>
      <w:r w:rsidR="002A7500">
        <w:t xml:space="preserve"> </w:t>
      </w:r>
      <w:r w:rsidR="008F1D6B">
        <w:t xml:space="preserve">These comments suggest that the comic was successful in conveying ‘emotional truths’ (McNicol, 2019, p.236) that we had aimed for, and which children connected with. This was further reinforced when sharing the comic with an autistic </w:t>
      </w:r>
      <w:r w:rsidR="00151962">
        <w:t>u</w:t>
      </w:r>
      <w:r w:rsidR="008F1D6B">
        <w:t>niversity student who commented:</w:t>
      </w:r>
    </w:p>
    <w:p w14:paraId="64807410" w14:textId="33235197" w:rsidR="008F1D6B" w:rsidRPr="008F1D6B" w:rsidRDefault="008F1D6B" w:rsidP="008F1D6B">
      <w:pPr>
        <w:spacing w:line="480" w:lineRule="auto"/>
        <w:ind w:left="720"/>
        <w:rPr>
          <w:i/>
          <w:iCs/>
        </w:rPr>
      </w:pPr>
      <w:r>
        <w:rPr>
          <w:i/>
          <w:iCs/>
        </w:rPr>
        <w:lastRenderedPageBreak/>
        <w:t>‘</w:t>
      </w:r>
      <w:r w:rsidRPr="008F1D6B">
        <w:rPr>
          <w:i/>
          <w:iCs/>
        </w:rPr>
        <w:t xml:space="preserve">Having stomach cramps from anxiety at school was something I'd experienced from about 6 or 7 but I couldn't really understand what was happening. </w:t>
      </w:r>
      <w:proofErr w:type="gramStart"/>
      <w:r w:rsidRPr="008F1D6B">
        <w:rPr>
          <w:i/>
          <w:iCs/>
        </w:rPr>
        <w:t>So</w:t>
      </w:r>
      <w:proofErr w:type="gramEnd"/>
      <w:r w:rsidRPr="008F1D6B">
        <w:rPr>
          <w:i/>
          <w:iCs/>
        </w:rPr>
        <w:t xml:space="preserve"> the comic was really relatable, informative and beautiful to me.</w:t>
      </w:r>
      <w:r>
        <w:rPr>
          <w:i/>
          <w:iCs/>
        </w:rPr>
        <w:t>’</w:t>
      </w:r>
    </w:p>
    <w:p w14:paraId="0E7240AC" w14:textId="0D2B8620" w:rsidR="007B3568" w:rsidRPr="007B3568" w:rsidRDefault="007B3568" w:rsidP="007B3568">
      <w:pPr>
        <w:spacing w:line="480" w:lineRule="auto"/>
      </w:pPr>
      <w:r w:rsidRPr="007B3568">
        <w:t xml:space="preserve">Professionals were positive about the comic too: </w:t>
      </w:r>
    </w:p>
    <w:p w14:paraId="5027C426" w14:textId="7DF8D071" w:rsidR="007B3568" w:rsidRPr="007B3568" w:rsidRDefault="007B3568" w:rsidP="007B3568">
      <w:pPr>
        <w:spacing w:line="480" w:lineRule="auto"/>
        <w:ind w:left="720"/>
      </w:pPr>
      <w:r w:rsidRPr="007B3568">
        <w:rPr>
          <w:i/>
          <w:iCs/>
        </w:rPr>
        <w:t>‘Such a brilliant concept – you can target so many of the worries that autistic children and all children are having in school. SLT’s [speech and language therapists] could use these comics to support children to learn how they can problem solve by personalising the comic.</w:t>
      </w:r>
      <w:r w:rsidR="001826A4">
        <w:rPr>
          <w:i/>
          <w:iCs/>
        </w:rPr>
        <w:t>’</w:t>
      </w:r>
      <w:r w:rsidRPr="007B3568">
        <w:rPr>
          <w:i/>
          <w:iCs/>
        </w:rPr>
        <w:t xml:space="preserve"> </w:t>
      </w:r>
    </w:p>
    <w:p w14:paraId="2A3255F9" w14:textId="6A363B21" w:rsidR="00475DB0" w:rsidRDefault="00475DB0" w:rsidP="007B3568">
      <w:pPr>
        <w:spacing w:after="0" w:line="480" w:lineRule="auto"/>
        <w:rPr>
          <w:b/>
          <w:bCs/>
        </w:rPr>
      </w:pPr>
      <w:r w:rsidRPr="00475DB0">
        <w:rPr>
          <w:b/>
          <w:bCs/>
        </w:rPr>
        <w:t>Influence</w:t>
      </w:r>
    </w:p>
    <w:p w14:paraId="62F5ADCF" w14:textId="1C68BB3D" w:rsidR="008F1D6B" w:rsidRPr="008F1D6B" w:rsidRDefault="000A223E" w:rsidP="008F1D6B">
      <w:pPr>
        <w:spacing w:line="480" w:lineRule="auto"/>
      </w:pPr>
      <w:r>
        <w:t>Lundy (2007) is clear that the gathering of children’s views must not lead to ‘T</w:t>
      </w:r>
      <w:r w:rsidRPr="000A223E">
        <w:t>okenistic or decorative participation</w:t>
      </w:r>
      <w:r>
        <w:t>…’ (p.939) such that th</w:t>
      </w:r>
      <w:r w:rsidR="008F1D6B">
        <w:t>ose views</w:t>
      </w:r>
      <w:r>
        <w:t xml:space="preserve"> are subsequently ignored by adults who have power over them.  We are still in the early days of sharing the comic with wider audiences (as here) to promote awareness of children’s voices and encourage use of the comic to support school transition practices. Nevertheless, </w:t>
      </w:r>
      <w:r w:rsidR="008F1D6B">
        <w:t xml:space="preserve">we were contacted by a </w:t>
      </w:r>
      <w:r w:rsidR="008F1D6B" w:rsidRPr="008F1D6B">
        <w:t xml:space="preserve">Consultant Community </w:t>
      </w:r>
      <w:r w:rsidR="00AC0EC5" w:rsidRPr="008F1D6B">
        <w:t>Paediatrician</w:t>
      </w:r>
      <w:r w:rsidR="008F1D6B">
        <w:t xml:space="preserve"> who is using the comic in their work </w:t>
      </w:r>
      <w:r w:rsidR="00151962">
        <w:t>who</w:t>
      </w:r>
      <w:r w:rsidR="001826A4">
        <w:t xml:space="preserve"> wanted to share that:</w:t>
      </w:r>
    </w:p>
    <w:p w14:paraId="7A46EDB8" w14:textId="2B57B6C0" w:rsidR="008F1D6B" w:rsidRPr="008F1D6B" w:rsidRDefault="008F1D6B" w:rsidP="008F1D6B">
      <w:pPr>
        <w:spacing w:line="480" w:lineRule="auto"/>
        <w:ind w:left="720"/>
        <w:rPr>
          <w:i/>
          <w:iCs/>
        </w:rPr>
      </w:pPr>
      <w:r w:rsidRPr="008F1D6B">
        <w:rPr>
          <w:i/>
          <w:iCs/>
        </w:rPr>
        <w:t xml:space="preserve">‘The School Daze cartoons have been </w:t>
      </w:r>
      <w:proofErr w:type="gramStart"/>
      <w:r w:rsidRPr="008F1D6B">
        <w:rPr>
          <w:i/>
          <w:iCs/>
        </w:rPr>
        <w:t>really well</w:t>
      </w:r>
      <w:proofErr w:type="gramEnd"/>
      <w:r w:rsidRPr="008F1D6B">
        <w:rPr>
          <w:i/>
          <w:iCs/>
        </w:rPr>
        <w:t xml:space="preserve"> received by 4 children so far, all neurodivergent</w:t>
      </w:r>
      <w:r>
        <w:rPr>
          <w:i/>
          <w:iCs/>
        </w:rPr>
        <w:t>,</w:t>
      </w:r>
      <w:r w:rsidRPr="008F1D6B">
        <w:rPr>
          <w:i/>
          <w:iCs/>
        </w:rPr>
        <w:t xml:space="preserve"> anxious </w:t>
      </w:r>
      <w:proofErr w:type="spellStart"/>
      <w:r w:rsidRPr="008F1D6B">
        <w:rPr>
          <w:i/>
          <w:iCs/>
        </w:rPr>
        <w:t>Yr</w:t>
      </w:r>
      <w:proofErr w:type="spellEnd"/>
      <w:r w:rsidRPr="008F1D6B">
        <w:rPr>
          <w:i/>
          <w:iCs/>
        </w:rPr>
        <w:t xml:space="preserve"> 7s who are reluctant to attend school and have had difficulty articulating why the transition has been so hard. The cartoons have been a truly amazing way of helping them to explain their feelings and a great help for us as clinicians to hear for them what these issues are rather than relying on the adult perspectives alone.’</w:t>
      </w:r>
    </w:p>
    <w:p w14:paraId="5A05583B" w14:textId="7A6DD0BE" w:rsidR="008F1D6B" w:rsidRPr="000A223E" w:rsidRDefault="008F1D6B" w:rsidP="000C771A">
      <w:pPr>
        <w:spacing w:line="480" w:lineRule="auto"/>
      </w:pPr>
      <w:r>
        <w:t>This provides a welcome indication that young people’s views and experiences as represented in the comic are being seen and heard and are beginning to have an influence in making a difference for others.</w:t>
      </w:r>
    </w:p>
    <w:p w14:paraId="24BE7672" w14:textId="77777777" w:rsidR="007B3568" w:rsidRDefault="0091333D" w:rsidP="0091333D">
      <w:pPr>
        <w:spacing w:after="0" w:line="480" w:lineRule="auto"/>
        <w:rPr>
          <w:b/>
          <w:bCs/>
        </w:rPr>
      </w:pPr>
      <w:r w:rsidRPr="00CA2D61">
        <w:rPr>
          <w:b/>
          <w:bCs/>
        </w:rPr>
        <w:t>Procedural and practical ethics</w:t>
      </w:r>
    </w:p>
    <w:p w14:paraId="55D4D26C" w14:textId="2AA6A7BD" w:rsidR="0091333D" w:rsidRDefault="007B3568" w:rsidP="00824654">
      <w:pPr>
        <w:spacing w:after="0" w:line="480" w:lineRule="auto"/>
      </w:pPr>
      <w:r>
        <w:lastRenderedPageBreak/>
        <w:t>For</w:t>
      </w:r>
      <w:r w:rsidR="0091333D">
        <w:t xml:space="preserve"> procedural ethics, this project was reviewed and approved by the School of Psychology ethics committee at the University of Southampton (Ref # 62353.A1)</w:t>
      </w:r>
      <w:r w:rsidR="00824654">
        <w:t xml:space="preserve">, and all </w:t>
      </w:r>
      <w:r w:rsidR="0091333D">
        <w:t>student projects whose data informed the themes of the storylines were also reviewed and approved</w:t>
      </w:r>
      <w:r w:rsidR="00824654">
        <w:t>. For practical ethics, there was careful consideration given to the confidentiality of the students, not least given that the school’s name would be used in any dissemination. Questions arose regarding the authorship of the comic if students wanted their contributions to be recognised through naming them explicitly</w:t>
      </w:r>
      <w:r w:rsidR="46438148">
        <w:t>, however given that many students who attend New Forest School are subject to care orders, we decided together to acknowledge the students as a group rather than name individuals</w:t>
      </w:r>
      <w:r w:rsidR="26675E7E">
        <w:t xml:space="preserve">. </w:t>
      </w:r>
    </w:p>
    <w:p w14:paraId="60995B3D" w14:textId="77777777" w:rsidR="0091333D" w:rsidRDefault="0091333D" w:rsidP="0091333D">
      <w:pPr>
        <w:spacing w:after="0" w:line="480" w:lineRule="auto"/>
      </w:pPr>
    </w:p>
    <w:p w14:paraId="764E237A" w14:textId="77777777" w:rsidR="0091333D" w:rsidRDefault="0091333D" w:rsidP="0091333D">
      <w:pPr>
        <w:spacing w:after="0" w:line="480" w:lineRule="auto"/>
        <w:rPr>
          <w:b/>
          <w:bCs/>
        </w:rPr>
      </w:pPr>
      <w:r w:rsidRPr="00BF0E52">
        <w:rPr>
          <w:b/>
          <w:bCs/>
        </w:rPr>
        <w:t>A</w:t>
      </w:r>
      <w:r>
        <w:rPr>
          <w:b/>
          <w:bCs/>
        </w:rPr>
        <w:t>cknowledgements</w:t>
      </w:r>
      <w:r w:rsidRPr="00BF0E52">
        <w:rPr>
          <w:b/>
          <w:bCs/>
        </w:rPr>
        <w:t xml:space="preserve"> </w:t>
      </w:r>
    </w:p>
    <w:p w14:paraId="2EB3E3E0" w14:textId="77777777" w:rsidR="0091333D" w:rsidRPr="00527608" w:rsidRDefault="0091333D" w:rsidP="0091333D">
      <w:pPr>
        <w:spacing w:line="480" w:lineRule="auto"/>
      </w:pPr>
      <w:r w:rsidRPr="00527608">
        <w:t>This project was funded by the University of Southampton’s ESRC Impact Acceleration Account.</w:t>
      </w:r>
    </w:p>
    <w:p w14:paraId="23A99ED5" w14:textId="77777777" w:rsidR="00824654" w:rsidRDefault="00824654">
      <w:pPr>
        <w:rPr>
          <w:b/>
          <w:bCs/>
        </w:rPr>
      </w:pPr>
      <w:r>
        <w:rPr>
          <w:b/>
          <w:bCs/>
        </w:rPr>
        <w:br w:type="page"/>
      </w:r>
    </w:p>
    <w:p w14:paraId="2ADFA248" w14:textId="616CBD5E" w:rsidR="00824654" w:rsidRPr="00824654" w:rsidRDefault="00824654" w:rsidP="00824654">
      <w:pPr>
        <w:spacing w:line="480" w:lineRule="auto"/>
        <w:rPr>
          <w:b/>
          <w:bCs/>
        </w:rPr>
      </w:pPr>
      <w:r w:rsidRPr="00824654">
        <w:rPr>
          <w:b/>
          <w:bCs/>
        </w:rPr>
        <w:lastRenderedPageBreak/>
        <w:t>References</w:t>
      </w:r>
    </w:p>
    <w:p w14:paraId="7EDEADEB" w14:textId="77777777" w:rsidR="007F6933" w:rsidRDefault="00824654" w:rsidP="007F6933">
      <w:pPr>
        <w:spacing w:line="480" w:lineRule="auto"/>
        <w:ind w:hanging="284"/>
      </w:pPr>
      <w:r w:rsidRPr="00824654">
        <w:t>Ashby, C. E. (2011). Whose" voice" is it anyway? Giving voice and qualitative research involving individuals that type to communicate. </w:t>
      </w:r>
      <w:r w:rsidRPr="00824654">
        <w:rPr>
          <w:i/>
          <w:iCs/>
        </w:rPr>
        <w:t>Disability Studies Quarterly</w:t>
      </w:r>
      <w:r w:rsidRPr="00824654">
        <w:t>, </w:t>
      </w:r>
      <w:r w:rsidRPr="00824654">
        <w:rPr>
          <w:i/>
          <w:iCs/>
        </w:rPr>
        <w:t>31</w:t>
      </w:r>
      <w:r w:rsidRPr="00824654">
        <w:t xml:space="preserve">(4). </w:t>
      </w:r>
      <w:hyperlink r:id="rId27" w:history="1">
        <w:r w:rsidRPr="00824654">
          <w:rPr>
            <w:rStyle w:val="Hyperlink"/>
          </w:rPr>
          <w:t>https://dsq-sds.org/article/download/1723/1771</w:t>
        </w:r>
      </w:hyperlink>
      <w:r w:rsidRPr="00824654">
        <w:t xml:space="preserve"> </w:t>
      </w:r>
    </w:p>
    <w:p w14:paraId="3DB490C9" w14:textId="77777777" w:rsidR="007F6933" w:rsidRDefault="00824654" w:rsidP="007F6933">
      <w:pPr>
        <w:spacing w:line="480" w:lineRule="auto"/>
        <w:ind w:hanging="284"/>
      </w:pPr>
      <w:proofErr w:type="spellStart"/>
      <w:r w:rsidRPr="00824654">
        <w:t>Catala</w:t>
      </w:r>
      <w:proofErr w:type="spellEnd"/>
      <w:r w:rsidRPr="00824654">
        <w:t xml:space="preserve">, A., </w:t>
      </w:r>
      <w:proofErr w:type="spellStart"/>
      <w:r w:rsidRPr="00824654">
        <w:t>Faucher</w:t>
      </w:r>
      <w:proofErr w:type="spellEnd"/>
      <w:r w:rsidRPr="00824654">
        <w:t>, L., &amp; Poirier, P. (2021). Autism, epistemic injustice, and epistemic disablement: a relational account of epistemic agency. </w:t>
      </w:r>
      <w:proofErr w:type="spellStart"/>
      <w:r w:rsidRPr="00824654">
        <w:rPr>
          <w:i/>
          <w:iCs/>
        </w:rPr>
        <w:t>Synthese</w:t>
      </w:r>
      <w:proofErr w:type="spellEnd"/>
      <w:r w:rsidRPr="00824654">
        <w:t>, </w:t>
      </w:r>
      <w:r w:rsidRPr="00824654">
        <w:rPr>
          <w:i/>
          <w:iCs/>
        </w:rPr>
        <w:t>199</w:t>
      </w:r>
      <w:r w:rsidRPr="00824654">
        <w:t xml:space="preserve">(3), 9013-9039. </w:t>
      </w:r>
      <w:hyperlink r:id="rId28" w:history="1">
        <w:r w:rsidRPr="00824654">
          <w:rPr>
            <w:rStyle w:val="Hyperlink"/>
          </w:rPr>
          <w:t>https://doi.org/10.1007/s11229-021-03192-7</w:t>
        </w:r>
      </w:hyperlink>
      <w:r w:rsidRPr="00824654">
        <w:t xml:space="preserve"> </w:t>
      </w:r>
    </w:p>
    <w:p w14:paraId="5F8218B2" w14:textId="77777777" w:rsidR="007F6933" w:rsidRDefault="00824654" w:rsidP="007F6933">
      <w:pPr>
        <w:spacing w:line="480" w:lineRule="auto"/>
        <w:ind w:hanging="284"/>
      </w:pPr>
      <w:r w:rsidRPr="00824654">
        <w:t>Dittmer, J. (2010). Comic book visualities: a methodological manifesto on geography, montage and narration. </w:t>
      </w:r>
      <w:r w:rsidRPr="00824654">
        <w:rPr>
          <w:i/>
          <w:iCs/>
        </w:rPr>
        <w:t>Transactions of the Institute of British Geographers</w:t>
      </w:r>
      <w:r w:rsidRPr="00824654">
        <w:t>, </w:t>
      </w:r>
      <w:r w:rsidRPr="00824654">
        <w:rPr>
          <w:i/>
          <w:iCs/>
        </w:rPr>
        <w:t>35</w:t>
      </w:r>
      <w:r w:rsidRPr="00824654">
        <w:t xml:space="preserve">(2), 222-236. </w:t>
      </w:r>
      <w:hyperlink r:id="rId29" w:history="1">
        <w:r w:rsidRPr="00824654">
          <w:rPr>
            <w:rStyle w:val="Hyperlink"/>
          </w:rPr>
          <w:t>https://www.jstor.org/stable/40647321</w:t>
        </w:r>
      </w:hyperlink>
      <w:r w:rsidRPr="00824654">
        <w:t xml:space="preserve"> </w:t>
      </w:r>
    </w:p>
    <w:p w14:paraId="0C4F5AA0" w14:textId="4DF9F5B9" w:rsidR="00C73C8E" w:rsidRDefault="00C73C8E" w:rsidP="00C73C8E">
      <w:pPr>
        <w:spacing w:line="480" w:lineRule="auto"/>
        <w:ind w:hanging="284"/>
      </w:pPr>
      <w:r w:rsidRPr="00C73C8E">
        <w:t>F</w:t>
      </w:r>
      <w:r>
        <w:t>all</w:t>
      </w:r>
      <w:r w:rsidRPr="00C73C8E">
        <w:t xml:space="preserve">, </w:t>
      </w:r>
      <w:r>
        <w:t>J</w:t>
      </w:r>
      <w:r w:rsidRPr="00C73C8E">
        <w:t>.</w:t>
      </w:r>
      <w:r>
        <w:t>J. (2020).</w:t>
      </w:r>
      <w:r w:rsidRPr="00C73C8E">
        <w:t xml:space="preserve"> Fenced In.</w:t>
      </w:r>
      <w:r>
        <w:t xml:space="preserve"> </w:t>
      </w:r>
      <w:r w:rsidRPr="00C73C8E">
        <w:rPr>
          <w:i/>
          <w:iCs/>
        </w:rPr>
        <w:t>Environment and Planning C: Politics and Space</w:t>
      </w:r>
      <w:r w:rsidRPr="00C73C8E">
        <w:t>,</w:t>
      </w:r>
      <w:r>
        <w:t xml:space="preserve"> </w:t>
      </w:r>
      <w:r w:rsidRPr="00C73C8E">
        <w:t>38</w:t>
      </w:r>
      <w:r>
        <w:t xml:space="preserve"> (</w:t>
      </w:r>
      <w:r w:rsidRPr="00C73C8E">
        <w:t>5</w:t>
      </w:r>
      <w:r>
        <w:t xml:space="preserve">), </w:t>
      </w:r>
      <w:r w:rsidRPr="00C73C8E">
        <w:t>771–794.</w:t>
      </w:r>
      <w:r>
        <w:t xml:space="preserve"> </w:t>
      </w:r>
      <w:hyperlink r:id="rId30" w:history="1">
        <w:r w:rsidRPr="0069088D">
          <w:rPr>
            <w:rStyle w:val="Hyperlink"/>
          </w:rPr>
          <w:t>https://journals.sagepub.com/doi/10.1177/2399654420933900</w:t>
        </w:r>
      </w:hyperlink>
      <w:r>
        <w:t xml:space="preserve"> </w:t>
      </w:r>
    </w:p>
    <w:p w14:paraId="18EFE797" w14:textId="4D1A7D8D" w:rsidR="007F6933" w:rsidRDefault="00824654" w:rsidP="007F6933">
      <w:pPr>
        <w:spacing w:line="480" w:lineRule="auto"/>
        <w:ind w:hanging="284"/>
      </w:pPr>
      <w:r w:rsidRPr="00824654">
        <w:t xml:space="preserve">Freire, P. (1970) </w:t>
      </w:r>
      <w:r w:rsidRPr="00824654">
        <w:rPr>
          <w:i/>
        </w:rPr>
        <w:t>Pedagogy of the oppressed</w:t>
      </w:r>
      <w:r w:rsidRPr="00824654">
        <w:t>. Penguin (revised edition, published 1996).</w:t>
      </w:r>
    </w:p>
    <w:p w14:paraId="4B60AAB4" w14:textId="77777777" w:rsidR="00F530F0" w:rsidRPr="00F530F0" w:rsidRDefault="00F530F0" w:rsidP="00F530F0">
      <w:pPr>
        <w:spacing w:line="480" w:lineRule="auto"/>
        <w:ind w:hanging="284"/>
      </w:pPr>
      <w:proofErr w:type="spellStart"/>
      <w:r w:rsidRPr="00F530F0">
        <w:t>Holquist</w:t>
      </w:r>
      <w:proofErr w:type="spellEnd"/>
      <w:r w:rsidRPr="00F530F0">
        <w:t>, M. (1990). </w:t>
      </w:r>
      <w:r w:rsidRPr="00F530F0">
        <w:rPr>
          <w:i/>
          <w:iCs/>
        </w:rPr>
        <w:t>Dialogism: Bakhtin and his world</w:t>
      </w:r>
      <w:r w:rsidRPr="00F530F0">
        <w:t>. Routledge: London.</w:t>
      </w:r>
    </w:p>
    <w:p w14:paraId="531D56AF" w14:textId="7E6C893B" w:rsidR="007F6933" w:rsidRDefault="00824654" w:rsidP="007F6933">
      <w:pPr>
        <w:spacing w:line="480" w:lineRule="auto"/>
        <w:ind w:hanging="284"/>
      </w:pPr>
      <w:r w:rsidRPr="00824654">
        <w:t>Hoy, K., Parsons, S., &amp; Kovshoff, H. (2018). Inclusive school practices supporting the primary to secondary transition for autistic children: pupil, teacher, and parental perspectives. </w:t>
      </w:r>
      <w:r w:rsidRPr="00824654">
        <w:rPr>
          <w:i/>
          <w:iCs/>
        </w:rPr>
        <w:t>Advances in autism</w:t>
      </w:r>
      <w:r w:rsidRPr="00824654">
        <w:t>, </w:t>
      </w:r>
      <w:r w:rsidRPr="00824654">
        <w:rPr>
          <w:i/>
          <w:iCs/>
        </w:rPr>
        <w:t>4</w:t>
      </w:r>
      <w:r w:rsidRPr="00824654">
        <w:t xml:space="preserve">(4), 184-196. </w:t>
      </w:r>
      <w:hyperlink r:id="rId31" w:tooltip="DOI: https://doi.org/10.1108/AIA-05-2018-0016" w:history="1">
        <w:r w:rsidRPr="00824654">
          <w:rPr>
            <w:rStyle w:val="Hyperlink"/>
          </w:rPr>
          <w:t>https://doi.org/10.1108/AIA-05-2018-0016</w:t>
        </w:r>
      </w:hyperlink>
    </w:p>
    <w:p w14:paraId="7D15E56C" w14:textId="77777777" w:rsidR="00F530F0" w:rsidRDefault="00F530F0" w:rsidP="00F530F0">
      <w:pPr>
        <w:spacing w:line="480" w:lineRule="auto"/>
        <w:ind w:hanging="284"/>
      </w:pPr>
      <w:r>
        <w:t xml:space="preserve">Kovshoff, H. &amp; Parsons, S. (2019). </w:t>
      </w:r>
      <w:r w:rsidRPr="00F530F0">
        <w:rPr>
          <w:b/>
          <w:bCs/>
        </w:rPr>
        <w:t>E</w:t>
      </w:r>
      <w:r w:rsidRPr="00F530F0">
        <w:t>xploring experiences of educational transitions for autistic pupils across nursery, primary and secondary schools</w:t>
      </w:r>
      <w:r>
        <w:t xml:space="preserve">. </w:t>
      </w:r>
      <w:r w:rsidRPr="00F530F0">
        <w:t>P</w:t>
      </w:r>
      <w:r>
        <w:t>oster</w:t>
      </w:r>
      <w:r w:rsidRPr="00F530F0">
        <w:t xml:space="preserve"> presented at the </w:t>
      </w:r>
      <w:r w:rsidRPr="00F530F0">
        <w:rPr>
          <w:bCs/>
          <w:i/>
        </w:rPr>
        <w:t>12</w:t>
      </w:r>
      <w:r w:rsidRPr="00F530F0">
        <w:rPr>
          <w:bCs/>
          <w:i/>
          <w:vertAlign w:val="superscript"/>
        </w:rPr>
        <w:t>th</w:t>
      </w:r>
      <w:r w:rsidRPr="00F530F0">
        <w:rPr>
          <w:bCs/>
          <w:i/>
        </w:rPr>
        <w:t xml:space="preserve"> Autism-Europe International Congress: A new dynamic for change and inclusion</w:t>
      </w:r>
      <w:r w:rsidRPr="00F530F0">
        <w:rPr>
          <w:bCs/>
        </w:rPr>
        <w:t>, 13-15 September 2019, Nice, France.</w:t>
      </w:r>
    </w:p>
    <w:p w14:paraId="24103B66" w14:textId="1B71F021" w:rsidR="001260A0" w:rsidRPr="001260A0" w:rsidRDefault="001260A0" w:rsidP="00F530F0">
      <w:pPr>
        <w:spacing w:line="480" w:lineRule="auto"/>
        <w:ind w:hanging="284"/>
      </w:pPr>
      <w:r w:rsidRPr="001260A0">
        <w:lastRenderedPageBreak/>
        <w:t>Lundy, L. (2007). ‘Voice’</w:t>
      </w:r>
      <w:r>
        <w:t xml:space="preserve"> </w:t>
      </w:r>
      <w:r w:rsidRPr="001260A0">
        <w:t>is not enough: conceptualising Article 12 of the United Nations Convention on the Rights of the Child. </w:t>
      </w:r>
      <w:r w:rsidRPr="001260A0">
        <w:rPr>
          <w:i/>
          <w:iCs/>
        </w:rPr>
        <w:t xml:space="preserve">British </w:t>
      </w:r>
      <w:r>
        <w:rPr>
          <w:i/>
          <w:iCs/>
        </w:rPr>
        <w:t>E</w:t>
      </w:r>
      <w:r w:rsidRPr="001260A0">
        <w:rPr>
          <w:i/>
          <w:iCs/>
        </w:rPr>
        <w:t xml:space="preserve">ducational </w:t>
      </w:r>
      <w:r>
        <w:rPr>
          <w:i/>
          <w:iCs/>
        </w:rPr>
        <w:t>R</w:t>
      </w:r>
      <w:r w:rsidRPr="001260A0">
        <w:rPr>
          <w:i/>
          <w:iCs/>
        </w:rPr>
        <w:t xml:space="preserve">esearch </w:t>
      </w:r>
      <w:r>
        <w:rPr>
          <w:i/>
          <w:iCs/>
        </w:rPr>
        <w:t>J</w:t>
      </w:r>
      <w:r w:rsidRPr="001260A0">
        <w:rPr>
          <w:i/>
          <w:iCs/>
        </w:rPr>
        <w:t>ournal</w:t>
      </w:r>
      <w:r w:rsidRPr="001260A0">
        <w:t>, </w:t>
      </w:r>
      <w:r w:rsidRPr="001260A0">
        <w:rPr>
          <w:i/>
          <w:iCs/>
        </w:rPr>
        <w:t>33</w:t>
      </w:r>
      <w:r w:rsidRPr="001260A0">
        <w:t>(6), 927-942.</w:t>
      </w:r>
      <w:r>
        <w:t xml:space="preserve"> </w:t>
      </w:r>
      <w:hyperlink r:id="rId32" w:history="1">
        <w:r w:rsidRPr="001260A0">
          <w:rPr>
            <w:rStyle w:val="Hyperlink"/>
          </w:rPr>
          <w:t>https://doi.org/10.1080/01411920701657033</w:t>
        </w:r>
      </w:hyperlink>
    </w:p>
    <w:p w14:paraId="2EF6995E" w14:textId="1FE876E1" w:rsidR="007F6933" w:rsidRPr="000C4E22" w:rsidRDefault="00824654" w:rsidP="007F6933">
      <w:pPr>
        <w:spacing w:line="480" w:lineRule="auto"/>
        <w:ind w:hanging="284"/>
      </w:pPr>
      <w:r w:rsidRPr="00824654">
        <w:t>McNicol, S. (2019). Using participant-created comics as a research method. </w:t>
      </w:r>
      <w:r w:rsidRPr="00824654">
        <w:rPr>
          <w:i/>
          <w:iCs/>
        </w:rPr>
        <w:t>Qualitative Research Journal</w:t>
      </w:r>
      <w:r w:rsidRPr="00824654">
        <w:t>, </w:t>
      </w:r>
      <w:r w:rsidRPr="00824654">
        <w:rPr>
          <w:i/>
          <w:iCs/>
        </w:rPr>
        <w:t>19</w:t>
      </w:r>
      <w:r w:rsidRPr="00824654">
        <w:t xml:space="preserve">(3), 236-247. </w:t>
      </w:r>
      <w:hyperlink r:id="rId33" w:tooltip="DOI: https://doi.org/10.1108/QRJ-D-18-00054" w:history="1">
        <w:r w:rsidRPr="000C4E22">
          <w:rPr>
            <w:rStyle w:val="Hyperlink"/>
          </w:rPr>
          <w:t>https://doi.org/10.1108/QRJ-D-18-00054</w:t>
        </w:r>
      </w:hyperlink>
      <w:r w:rsidRPr="000C4E22">
        <w:t xml:space="preserve"> </w:t>
      </w:r>
    </w:p>
    <w:p w14:paraId="79D7D43E" w14:textId="77777777" w:rsidR="00F530F0" w:rsidRDefault="00824654" w:rsidP="00F530F0">
      <w:pPr>
        <w:spacing w:line="480" w:lineRule="auto"/>
        <w:ind w:hanging="284"/>
      </w:pPr>
      <w:proofErr w:type="spellStart"/>
      <w:r w:rsidRPr="000C4E22">
        <w:t>Nuske</w:t>
      </w:r>
      <w:proofErr w:type="spellEnd"/>
      <w:r w:rsidRPr="000C4E22">
        <w:t xml:space="preserve">, H. J., McGhee </w:t>
      </w:r>
      <w:proofErr w:type="spellStart"/>
      <w:r w:rsidRPr="000C4E22">
        <w:t>Hassrick</w:t>
      </w:r>
      <w:proofErr w:type="spellEnd"/>
      <w:r w:rsidRPr="000C4E22">
        <w:t xml:space="preserve">, E., Bronstein, B., Hauptman, L., Aponte, C., </w:t>
      </w:r>
      <w:proofErr w:type="spellStart"/>
      <w:r w:rsidRPr="000C4E22">
        <w:t>Levato</w:t>
      </w:r>
      <w:proofErr w:type="spellEnd"/>
      <w:r w:rsidRPr="000C4E22">
        <w:t xml:space="preserve">, L., ... </w:t>
      </w:r>
      <w:r w:rsidRPr="00824654">
        <w:t>&amp; Smith, T. (2019). Broken bridges—new school transitions for students with autism spectrum disorder: A systematic review on difficulties and strategies for success. </w:t>
      </w:r>
      <w:r w:rsidRPr="00824654">
        <w:rPr>
          <w:i/>
          <w:iCs/>
        </w:rPr>
        <w:t>Autism</w:t>
      </w:r>
      <w:r w:rsidRPr="00824654">
        <w:t>, </w:t>
      </w:r>
      <w:r w:rsidRPr="00824654">
        <w:rPr>
          <w:i/>
          <w:iCs/>
        </w:rPr>
        <w:t>23</w:t>
      </w:r>
      <w:r w:rsidRPr="00824654">
        <w:t xml:space="preserve">(2), 306-325. </w:t>
      </w:r>
      <w:hyperlink r:id="rId34" w:history="1">
        <w:r w:rsidRPr="00824654">
          <w:rPr>
            <w:rStyle w:val="Hyperlink"/>
          </w:rPr>
          <w:t>https://doi.org/10.1177/1362361318754529</w:t>
        </w:r>
      </w:hyperlink>
    </w:p>
    <w:p w14:paraId="3383E6FA" w14:textId="6A23C8B6" w:rsidR="00F530F0" w:rsidRPr="00F530F0" w:rsidRDefault="00F530F0" w:rsidP="00F530F0">
      <w:pPr>
        <w:spacing w:line="480" w:lineRule="auto"/>
        <w:ind w:hanging="284"/>
      </w:pPr>
      <w:r w:rsidRPr="00F530F0">
        <w:t>Parsons, S., &amp; Cobb, S. (2014). Reflections on the role of the ‘users’: challenges in a multi-disciplinary context of learner-centred design for children on the autism spectrum. </w:t>
      </w:r>
      <w:r w:rsidRPr="00F530F0">
        <w:rPr>
          <w:i/>
          <w:iCs/>
        </w:rPr>
        <w:t>International Journal of Research &amp; Method in Education</w:t>
      </w:r>
      <w:r w:rsidRPr="00F530F0">
        <w:t>, </w:t>
      </w:r>
      <w:r w:rsidRPr="00F530F0">
        <w:rPr>
          <w:i/>
          <w:iCs/>
        </w:rPr>
        <w:t>37</w:t>
      </w:r>
      <w:r w:rsidRPr="00F530F0">
        <w:t>(4), 421-441.</w:t>
      </w:r>
      <w:r>
        <w:t xml:space="preserve"> </w:t>
      </w:r>
      <w:hyperlink r:id="rId35" w:history="1">
        <w:r w:rsidRPr="00F530F0">
          <w:rPr>
            <w:rStyle w:val="Hyperlink"/>
          </w:rPr>
          <w:t>https://doi.org/10.1080/1743727X.2014.890584</w:t>
        </w:r>
      </w:hyperlink>
    </w:p>
    <w:p w14:paraId="1274BE14" w14:textId="4C0F4C5B" w:rsidR="007F6933" w:rsidRDefault="00824654" w:rsidP="007F6933">
      <w:pPr>
        <w:spacing w:line="480" w:lineRule="auto"/>
        <w:ind w:hanging="284"/>
      </w:pPr>
      <w:r w:rsidRPr="00824654">
        <w:t xml:space="preserve">Parsons, S., Kovshoff, H., &amp; </w:t>
      </w:r>
      <w:proofErr w:type="spellStart"/>
      <w:r w:rsidRPr="00824654">
        <w:t>Ivil</w:t>
      </w:r>
      <w:proofErr w:type="spellEnd"/>
      <w:r w:rsidRPr="00824654">
        <w:t>, K. (2022). Digital stories for transition: co-constructing an evidence base in the early years with autistic children, families and practitioners. </w:t>
      </w:r>
      <w:r w:rsidRPr="00824654">
        <w:rPr>
          <w:i/>
          <w:iCs/>
        </w:rPr>
        <w:t>Educational Review</w:t>
      </w:r>
      <w:r w:rsidRPr="00824654">
        <w:t>, </w:t>
      </w:r>
      <w:r w:rsidRPr="00824654">
        <w:rPr>
          <w:i/>
          <w:iCs/>
        </w:rPr>
        <w:t>74</w:t>
      </w:r>
      <w:r w:rsidRPr="00824654">
        <w:t xml:space="preserve">(6), 1063-1081. </w:t>
      </w:r>
      <w:hyperlink r:id="rId36" w:history="1">
        <w:r w:rsidRPr="00824654">
          <w:rPr>
            <w:rStyle w:val="Hyperlink"/>
          </w:rPr>
          <w:t>https://doi.org/10.1080/00131911.2020.1816909</w:t>
        </w:r>
      </w:hyperlink>
    </w:p>
    <w:p w14:paraId="5926CA6C" w14:textId="2BF5DEE5" w:rsidR="00824654" w:rsidRPr="00824654" w:rsidRDefault="00824654" w:rsidP="007F6933">
      <w:pPr>
        <w:spacing w:line="480" w:lineRule="auto"/>
        <w:ind w:hanging="284"/>
      </w:pPr>
      <w:r w:rsidRPr="00824654">
        <w:t>West, P., Sweeting, H., &amp; Young, R. (2010). Transition matters: pupils’ experiences of the primary–secondary school transition in the West of Scotland and consequences for well‐being and attainment. </w:t>
      </w:r>
      <w:r w:rsidRPr="00824654">
        <w:rPr>
          <w:i/>
          <w:iCs/>
        </w:rPr>
        <w:t>Research Papers in Education</w:t>
      </w:r>
      <w:r w:rsidRPr="00824654">
        <w:t>, </w:t>
      </w:r>
      <w:r w:rsidRPr="00824654">
        <w:rPr>
          <w:i/>
          <w:iCs/>
        </w:rPr>
        <w:t>25</w:t>
      </w:r>
      <w:r w:rsidRPr="00824654">
        <w:t xml:space="preserve">(1), 21-50. </w:t>
      </w:r>
      <w:hyperlink r:id="rId37" w:history="1">
        <w:r w:rsidRPr="00824654">
          <w:rPr>
            <w:rStyle w:val="Hyperlink"/>
          </w:rPr>
          <w:t>https://doi.org/10.1080/02671520802308677</w:t>
        </w:r>
      </w:hyperlink>
    </w:p>
    <w:p w14:paraId="40306DD9" w14:textId="77777777" w:rsidR="00824654" w:rsidRPr="00824654" w:rsidRDefault="00824654" w:rsidP="00824654">
      <w:pPr>
        <w:spacing w:line="480" w:lineRule="auto"/>
      </w:pPr>
    </w:p>
    <w:p w14:paraId="46F085FB" w14:textId="77777777" w:rsidR="00026DF3" w:rsidRDefault="00026DF3" w:rsidP="000C771A">
      <w:pPr>
        <w:spacing w:line="480" w:lineRule="auto"/>
      </w:pPr>
    </w:p>
    <w:sectPr w:rsidR="00026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Body)">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9AB"/>
    <w:multiLevelType w:val="hybridMultilevel"/>
    <w:tmpl w:val="D6D66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25763E"/>
    <w:multiLevelType w:val="multilevel"/>
    <w:tmpl w:val="08CC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7540213">
    <w:abstractNumId w:val="0"/>
  </w:num>
  <w:num w:numId="2" w16cid:durableId="1273855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423"/>
    <w:rsid w:val="00026DF3"/>
    <w:rsid w:val="000357E8"/>
    <w:rsid w:val="000A223E"/>
    <w:rsid w:val="000B17EF"/>
    <w:rsid w:val="000B7162"/>
    <w:rsid w:val="000C4E22"/>
    <w:rsid w:val="000C771A"/>
    <w:rsid w:val="00104237"/>
    <w:rsid w:val="001260A0"/>
    <w:rsid w:val="00134E26"/>
    <w:rsid w:val="00151962"/>
    <w:rsid w:val="001826A4"/>
    <w:rsid w:val="00262362"/>
    <w:rsid w:val="002762B8"/>
    <w:rsid w:val="002A7500"/>
    <w:rsid w:val="003366A1"/>
    <w:rsid w:val="00417D14"/>
    <w:rsid w:val="00427CDC"/>
    <w:rsid w:val="00473423"/>
    <w:rsid w:val="00475DB0"/>
    <w:rsid w:val="004A77B2"/>
    <w:rsid w:val="004C6C6A"/>
    <w:rsid w:val="004E1763"/>
    <w:rsid w:val="005213B1"/>
    <w:rsid w:val="005C2885"/>
    <w:rsid w:val="00650ABE"/>
    <w:rsid w:val="00681DB9"/>
    <w:rsid w:val="006C4A2A"/>
    <w:rsid w:val="0071530E"/>
    <w:rsid w:val="00766D9C"/>
    <w:rsid w:val="007B3568"/>
    <w:rsid w:val="007F6933"/>
    <w:rsid w:val="00824654"/>
    <w:rsid w:val="008C165E"/>
    <w:rsid w:val="008C1F98"/>
    <w:rsid w:val="008F1D6B"/>
    <w:rsid w:val="0091333D"/>
    <w:rsid w:val="00927337"/>
    <w:rsid w:val="00A32634"/>
    <w:rsid w:val="00AB000A"/>
    <w:rsid w:val="00AC0EC5"/>
    <w:rsid w:val="00AC77B5"/>
    <w:rsid w:val="00AE7F99"/>
    <w:rsid w:val="00B01F60"/>
    <w:rsid w:val="00B32A7C"/>
    <w:rsid w:val="00B374D5"/>
    <w:rsid w:val="00BA55DE"/>
    <w:rsid w:val="00BB0597"/>
    <w:rsid w:val="00BF6AD7"/>
    <w:rsid w:val="00C73C8E"/>
    <w:rsid w:val="00CC63AB"/>
    <w:rsid w:val="00CD246C"/>
    <w:rsid w:val="00E72140"/>
    <w:rsid w:val="00F530F0"/>
    <w:rsid w:val="00F93F05"/>
    <w:rsid w:val="03BE1AB7"/>
    <w:rsid w:val="05790787"/>
    <w:rsid w:val="05BA2093"/>
    <w:rsid w:val="062C8D8B"/>
    <w:rsid w:val="0BA4F145"/>
    <w:rsid w:val="0C47618B"/>
    <w:rsid w:val="15A07FB2"/>
    <w:rsid w:val="19454AC5"/>
    <w:rsid w:val="26675E7E"/>
    <w:rsid w:val="2C2E4B6E"/>
    <w:rsid w:val="3BD9E064"/>
    <w:rsid w:val="40777955"/>
    <w:rsid w:val="41AFD2C5"/>
    <w:rsid w:val="42291675"/>
    <w:rsid w:val="46438148"/>
    <w:rsid w:val="4DB459CF"/>
    <w:rsid w:val="501DAF53"/>
    <w:rsid w:val="520BE6C6"/>
    <w:rsid w:val="5395AE00"/>
    <w:rsid w:val="56DE81BF"/>
    <w:rsid w:val="638E4497"/>
    <w:rsid w:val="6BDC0127"/>
    <w:rsid w:val="6D615046"/>
    <w:rsid w:val="70B63DC2"/>
    <w:rsid w:val="7253D345"/>
    <w:rsid w:val="745C04C5"/>
    <w:rsid w:val="74CCF1A1"/>
    <w:rsid w:val="776EE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E199F"/>
  <w15:chartTrackingRefBased/>
  <w15:docId w15:val="{B84E95C6-2CA3-46F8-9D84-1E68DB7E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42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17D14"/>
    <w:rPr>
      <w:sz w:val="16"/>
      <w:szCs w:val="16"/>
    </w:rPr>
  </w:style>
  <w:style w:type="paragraph" w:styleId="CommentText">
    <w:name w:val="annotation text"/>
    <w:basedOn w:val="Normal"/>
    <w:link w:val="CommentTextChar"/>
    <w:uiPriority w:val="99"/>
    <w:unhideWhenUsed/>
    <w:rsid w:val="00417D14"/>
    <w:pPr>
      <w:spacing w:line="240" w:lineRule="auto"/>
    </w:pPr>
    <w:rPr>
      <w:sz w:val="20"/>
      <w:szCs w:val="20"/>
    </w:rPr>
  </w:style>
  <w:style w:type="character" w:customStyle="1" w:styleId="CommentTextChar">
    <w:name w:val="Comment Text Char"/>
    <w:basedOn w:val="DefaultParagraphFont"/>
    <w:link w:val="CommentText"/>
    <w:uiPriority w:val="99"/>
    <w:rsid w:val="00417D14"/>
    <w:rPr>
      <w:kern w:val="0"/>
      <w:sz w:val="20"/>
      <w:szCs w:val="20"/>
      <w14:ligatures w14:val="none"/>
    </w:rPr>
  </w:style>
  <w:style w:type="table" w:styleId="TableGrid">
    <w:name w:val="Table Grid"/>
    <w:basedOn w:val="TableNormal"/>
    <w:uiPriority w:val="39"/>
    <w:rsid w:val="000B1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1DB9"/>
    <w:pPr>
      <w:ind w:left="720"/>
      <w:contextualSpacing/>
    </w:pPr>
  </w:style>
  <w:style w:type="paragraph" w:styleId="CommentSubject">
    <w:name w:val="annotation subject"/>
    <w:basedOn w:val="CommentText"/>
    <w:next w:val="CommentText"/>
    <w:link w:val="CommentSubjectChar"/>
    <w:uiPriority w:val="99"/>
    <w:semiHidden/>
    <w:unhideWhenUsed/>
    <w:rsid w:val="008C1F98"/>
    <w:rPr>
      <w:b/>
      <w:bCs/>
    </w:rPr>
  </w:style>
  <w:style w:type="character" w:customStyle="1" w:styleId="CommentSubjectChar">
    <w:name w:val="Comment Subject Char"/>
    <w:basedOn w:val="CommentTextChar"/>
    <w:link w:val="CommentSubject"/>
    <w:uiPriority w:val="99"/>
    <w:semiHidden/>
    <w:rsid w:val="008C1F98"/>
    <w:rPr>
      <w:b/>
      <w:bCs/>
      <w:kern w:val="0"/>
      <w:sz w:val="20"/>
      <w:szCs w:val="20"/>
      <w14:ligatures w14:val="none"/>
    </w:rPr>
  </w:style>
  <w:style w:type="character" w:styleId="Hyperlink">
    <w:name w:val="Hyperlink"/>
    <w:basedOn w:val="DefaultParagraphFont"/>
    <w:uiPriority w:val="99"/>
    <w:unhideWhenUsed/>
    <w:rsid w:val="00AE7F99"/>
    <w:rPr>
      <w:color w:val="0563C1" w:themeColor="hyperlink"/>
      <w:u w:val="single"/>
    </w:rPr>
  </w:style>
  <w:style w:type="character" w:styleId="UnresolvedMention">
    <w:name w:val="Unresolved Mention"/>
    <w:basedOn w:val="DefaultParagraphFont"/>
    <w:uiPriority w:val="99"/>
    <w:semiHidden/>
    <w:unhideWhenUsed/>
    <w:rsid w:val="00AE7F99"/>
    <w:rPr>
      <w:color w:val="605E5C"/>
      <w:shd w:val="clear" w:color="auto" w:fill="E1DFDD"/>
    </w:rPr>
  </w:style>
  <w:style w:type="character" w:styleId="FollowedHyperlink">
    <w:name w:val="FollowedHyperlink"/>
    <w:basedOn w:val="DefaultParagraphFont"/>
    <w:uiPriority w:val="99"/>
    <w:semiHidden/>
    <w:unhideWhenUsed/>
    <w:rsid w:val="00AE7F99"/>
    <w:rPr>
      <w:color w:val="954F72" w:themeColor="followedHyperlink"/>
      <w:u w:val="single"/>
    </w:rPr>
  </w:style>
  <w:style w:type="paragraph" w:styleId="NormalWeb">
    <w:name w:val="Normal (Web)"/>
    <w:basedOn w:val="Normal"/>
    <w:uiPriority w:val="99"/>
    <w:unhideWhenUsed/>
    <w:rsid w:val="00475D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75DB0"/>
    <w:rPr>
      <w:i/>
      <w:iCs/>
    </w:rPr>
  </w:style>
  <w:style w:type="paragraph" w:customStyle="1" w:styleId="Correspondencedetails">
    <w:name w:val="Correspondence details"/>
    <w:basedOn w:val="Normal"/>
    <w:uiPriority w:val="99"/>
    <w:qFormat/>
    <w:rsid w:val="00B32A7C"/>
    <w:pPr>
      <w:spacing w:before="240" w:after="0" w:line="36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059548">
      <w:bodyDiv w:val="1"/>
      <w:marLeft w:val="0"/>
      <w:marRight w:val="0"/>
      <w:marTop w:val="0"/>
      <w:marBottom w:val="0"/>
      <w:divBdr>
        <w:top w:val="none" w:sz="0" w:space="0" w:color="auto"/>
        <w:left w:val="none" w:sz="0" w:space="0" w:color="auto"/>
        <w:bottom w:val="none" w:sz="0" w:space="0" w:color="auto"/>
        <w:right w:val="none" w:sz="0" w:space="0" w:color="auto"/>
      </w:divBdr>
      <w:divsChild>
        <w:div w:id="672072815">
          <w:marLeft w:val="0"/>
          <w:marRight w:val="0"/>
          <w:marTop w:val="0"/>
          <w:marBottom w:val="0"/>
          <w:divBdr>
            <w:top w:val="none" w:sz="0" w:space="0" w:color="auto"/>
            <w:left w:val="none" w:sz="0" w:space="0" w:color="auto"/>
            <w:bottom w:val="none" w:sz="0" w:space="0" w:color="auto"/>
            <w:right w:val="none" w:sz="0" w:space="0" w:color="auto"/>
          </w:divBdr>
        </w:div>
      </w:divsChild>
    </w:div>
    <w:div w:id="238297117">
      <w:bodyDiv w:val="1"/>
      <w:marLeft w:val="0"/>
      <w:marRight w:val="0"/>
      <w:marTop w:val="0"/>
      <w:marBottom w:val="0"/>
      <w:divBdr>
        <w:top w:val="none" w:sz="0" w:space="0" w:color="auto"/>
        <w:left w:val="none" w:sz="0" w:space="0" w:color="auto"/>
        <w:bottom w:val="none" w:sz="0" w:space="0" w:color="auto"/>
        <w:right w:val="none" w:sz="0" w:space="0" w:color="auto"/>
      </w:divBdr>
    </w:div>
    <w:div w:id="298191143">
      <w:bodyDiv w:val="1"/>
      <w:marLeft w:val="0"/>
      <w:marRight w:val="0"/>
      <w:marTop w:val="0"/>
      <w:marBottom w:val="0"/>
      <w:divBdr>
        <w:top w:val="none" w:sz="0" w:space="0" w:color="auto"/>
        <w:left w:val="none" w:sz="0" w:space="0" w:color="auto"/>
        <w:bottom w:val="none" w:sz="0" w:space="0" w:color="auto"/>
        <w:right w:val="none" w:sz="0" w:space="0" w:color="auto"/>
      </w:divBdr>
    </w:div>
    <w:div w:id="901059829">
      <w:bodyDiv w:val="1"/>
      <w:marLeft w:val="0"/>
      <w:marRight w:val="0"/>
      <w:marTop w:val="0"/>
      <w:marBottom w:val="0"/>
      <w:divBdr>
        <w:top w:val="none" w:sz="0" w:space="0" w:color="auto"/>
        <w:left w:val="none" w:sz="0" w:space="0" w:color="auto"/>
        <w:bottom w:val="none" w:sz="0" w:space="0" w:color="auto"/>
        <w:right w:val="none" w:sz="0" w:space="0" w:color="auto"/>
      </w:divBdr>
    </w:div>
    <w:div w:id="1025012931">
      <w:bodyDiv w:val="1"/>
      <w:marLeft w:val="0"/>
      <w:marRight w:val="0"/>
      <w:marTop w:val="0"/>
      <w:marBottom w:val="0"/>
      <w:divBdr>
        <w:top w:val="none" w:sz="0" w:space="0" w:color="auto"/>
        <w:left w:val="none" w:sz="0" w:space="0" w:color="auto"/>
        <w:bottom w:val="none" w:sz="0" w:space="0" w:color="auto"/>
        <w:right w:val="none" w:sz="0" w:space="0" w:color="auto"/>
      </w:divBdr>
    </w:div>
    <w:div w:id="1466773988">
      <w:bodyDiv w:val="1"/>
      <w:marLeft w:val="0"/>
      <w:marRight w:val="0"/>
      <w:marTop w:val="0"/>
      <w:marBottom w:val="0"/>
      <w:divBdr>
        <w:top w:val="none" w:sz="0" w:space="0" w:color="auto"/>
        <w:left w:val="none" w:sz="0" w:space="0" w:color="auto"/>
        <w:bottom w:val="none" w:sz="0" w:space="0" w:color="auto"/>
        <w:right w:val="none" w:sz="0" w:space="0" w:color="auto"/>
      </w:divBdr>
    </w:div>
    <w:div w:id="1716155146">
      <w:bodyDiv w:val="1"/>
      <w:marLeft w:val="0"/>
      <w:marRight w:val="0"/>
      <w:marTop w:val="0"/>
      <w:marBottom w:val="0"/>
      <w:divBdr>
        <w:top w:val="none" w:sz="0" w:space="0" w:color="auto"/>
        <w:left w:val="none" w:sz="0" w:space="0" w:color="auto"/>
        <w:bottom w:val="none" w:sz="0" w:space="0" w:color="auto"/>
        <w:right w:val="none" w:sz="0" w:space="0" w:color="auto"/>
      </w:divBdr>
      <w:divsChild>
        <w:div w:id="569197098">
          <w:marLeft w:val="0"/>
          <w:marRight w:val="0"/>
          <w:marTop w:val="0"/>
          <w:marBottom w:val="0"/>
          <w:divBdr>
            <w:top w:val="none" w:sz="0" w:space="0" w:color="auto"/>
            <w:left w:val="none" w:sz="0" w:space="0" w:color="auto"/>
            <w:bottom w:val="none" w:sz="0" w:space="0" w:color="auto"/>
            <w:right w:val="none" w:sz="0" w:space="0" w:color="auto"/>
          </w:divBdr>
        </w:div>
      </w:divsChild>
    </w:div>
    <w:div w:id="178680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mdaviesuni@gmail.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yperlink" Target="https://doi.org/10.1177/1362361318754529" TargetMode="External"/><Relationship Id="rId7" Type="http://schemas.openxmlformats.org/officeDocument/2006/relationships/webSettings" Target="webSettings.xml"/><Relationship Id="rId12" Type="http://schemas.openxmlformats.org/officeDocument/2006/relationships/hyperlink" Target="mailto:traufi@newforestschool.co.u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doi.org/10.1108/QRJ-D-18-00054"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yperlink" Target="https://www.jstor.org/stable/4064732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kovshoff@soton.ac.uk" TargetMode="External"/><Relationship Id="rId24" Type="http://schemas.openxmlformats.org/officeDocument/2006/relationships/image" Target="media/image9.png"/><Relationship Id="rId32" Type="http://schemas.openxmlformats.org/officeDocument/2006/relationships/hyperlink" Target="https://doi.org/10.1080/01411920701657033" TargetMode="External"/><Relationship Id="rId37" Type="http://schemas.openxmlformats.org/officeDocument/2006/relationships/hyperlink" Target="https://doi.org/10.1080/02671520802308677" TargetMode="External"/><Relationship Id="rId5" Type="http://schemas.openxmlformats.org/officeDocument/2006/relationships/styles" Target="styles.xml"/><Relationship Id="rId15" Type="http://schemas.openxmlformats.org/officeDocument/2006/relationships/hyperlink" Target="mailto:s.j.parsons@soton.ac.uk" TargetMode="External"/><Relationship Id="rId23" Type="http://schemas.openxmlformats.org/officeDocument/2006/relationships/image" Target="media/image8.png"/><Relationship Id="rId28" Type="http://schemas.openxmlformats.org/officeDocument/2006/relationships/hyperlink" Target="https://doi.org/10.1007/s11229-021-03192-7" TargetMode="External"/><Relationship Id="rId36" Type="http://schemas.openxmlformats.org/officeDocument/2006/relationships/hyperlink" Target="https://doi.org/10.1080/00131911.2020.1816909" TargetMode="External"/><Relationship Id="rId10" Type="http://schemas.openxmlformats.org/officeDocument/2006/relationships/hyperlink" Target="https://orcid.org/0000-0002-2542-4745" TargetMode="External"/><Relationship Id="rId19" Type="http://schemas.openxmlformats.org/officeDocument/2006/relationships/image" Target="media/image4.png"/><Relationship Id="rId31" Type="http://schemas.openxmlformats.org/officeDocument/2006/relationships/hyperlink" Target="https://doi.org/10.1108/AIA-05-2018-0016" TargetMode="External"/><Relationship Id="rId4" Type="http://schemas.openxmlformats.org/officeDocument/2006/relationships/numbering" Target="numbering.xml"/><Relationship Id="rId9" Type="http://schemas.openxmlformats.org/officeDocument/2006/relationships/hyperlink" Target="https://orcid.org/0000-0001-6041-0376" TargetMode="External"/><Relationship Id="rId14" Type="http://schemas.openxmlformats.org/officeDocument/2006/relationships/hyperlink" Target="mailto:ak4n19@soton.ac.uk" TargetMode="External"/><Relationship Id="rId22" Type="http://schemas.openxmlformats.org/officeDocument/2006/relationships/image" Target="media/image7.png"/><Relationship Id="rId27" Type="http://schemas.openxmlformats.org/officeDocument/2006/relationships/hyperlink" Target="https://dsq-sds.org/article/download/1723/1771" TargetMode="External"/><Relationship Id="rId30" Type="http://schemas.openxmlformats.org/officeDocument/2006/relationships/hyperlink" Target="https://journals.sagepub.com/doi/10.1177/2399654420933900" TargetMode="External"/><Relationship Id="rId35" Type="http://schemas.openxmlformats.org/officeDocument/2006/relationships/hyperlink" Target="https://doi.org/10.1080/1743727X.2014.890584" TargetMode="External"/><Relationship Id="rId8" Type="http://schemas.openxmlformats.org/officeDocument/2006/relationships/hyperlink" Target="mailto:h.kovshoff@soton.ac.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A9A9F81EC8CC4FAF7CA087BBA154E5" ma:contentTypeVersion="16" ma:contentTypeDescription="Create a new document." ma:contentTypeScope="" ma:versionID="a3288e17d8c1302ce9d3776b83eaf677">
  <xsd:schema xmlns:xsd="http://www.w3.org/2001/XMLSchema" xmlns:xs="http://www.w3.org/2001/XMLSchema" xmlns:p="http://schemas.microsoft.com/office/2006/metadata/properties" xmlns:ns2="ecc7ae82-7bb2-432d-b6dd-c6ce859346f7" xmlns:ns3="cc9f394a-0c66-4ae4-b1c7-4848c4213aa7" targetNamespace="http://schemas.microsoft.com/office/2006/metadata/properties" ma:root="true" ma:fieldsID="c318c2597932493ba4390f98c924df5a" ns2:_="" ns3:_="">
    <xsd:import namespace="ecc7ae82-7bb2-432d-b6dd-c6ce859346f7"/>
    <xsd:import namespace="cc9f394a-0c66-4ae4-b1c7-4848c4213a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7ae82-7bb2-432d-b6dd-c6ce85934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9f394a-0c66-4ae4-b1c7-4848c4213a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cf7d2e-e1d4-449c-b5aa-74e4d1e88f4e}" ma:internalName="TaxCatchAll" ma:showField="CatchAllData" ma:web="cc9f394a-0c66-4ae4-b1c7-4848c4213aa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c9f394a-0c66-4ae4-b1c7-4848c4213aa7" xsi:nil="true"/>
    <lcf76f155ced4ddcb4097134ff3c332f xmlns="ecc7ae82-7bb2-432d-b6dd-c6ce859346f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14FED-8A3D-4189-92CD-369B3B55B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7ae82-7bb2-432d-b6dd-c6ce859346f7"/>
    <ds:schemaRef ds:uri="cc9f394a-0c66-4ae4-b1c7-4848c4213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C6BCC-2E47-44AC-B062-5FE12D023C1F}">
  <ds:schemaRefs>
    <ds:schemaRef ds:uri="http://schemas.microsoft.com/office/2006/metadata/properties"/>
    <ds:schemaRef ds:uri="http://schemas.microsoft.com/office/infopath/2007/PartnerControls"/>
    <ds:schemaRef ds:uri="cc9f394a-0c66-4ae4-b1c7-4848c4213aa7"/>
    <ds:schemaRef ds:uri="ecc7ae82-7bb2-432d-b6dd-c6ce859346f7"/>
  </ds:schemaRefs>
</ds:datastoreItem>
</file>

<file path=customXml/itemProps3.xml><?xml version="1.0" encoding="utf-8"?>
<ds:datastoreItem xmlns:ds="http://schemas.openxmlformats.org/officeDocument/2006/customXml" ds:itemID="{2B64C88C-DF31-43DD-98BE-8977496A22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3467</Words>
  <Characters>18723</Characters>
  <Application>Microsoft Office Word</Application>
  <DocSecurity>0</DocSecurity>
  <Lines>317</Lines>
  <Paragraphs>73</Paragraphs>
  <ScaleCrop>false</ScaleCrop>
  <Company/>
  <LinksUpToDate>false</LinksUpToDate>
  <CharactersWithSpaces>22117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Hanna Kovshoff</cp:lastModifiedBy>
  <cp:revision>2</cp:revision>
  <dcterms:created xsi:type="dcterms:W3CDTF">2024-10-11T10:55:00Z</dcterms:created>
  <dcterms:modified xsi:type="dcterms:W3CDTF">2024-10-11T10:55:00Z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0x01010083A9A9F81EC8CC4FAF7CA087BBA154E5</vt:lpwstr>
  </property>
  <property fmtid="{D5CDD505-2E9C-101B-9397-08002B2CF9AE}" pid="3" name="MediaServiceImageTags">
    <vt:lpwstr/>
  </property>
</Properties>
</file>