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8AB10" w14:textId="36BE2FE4" w:rsidR="00912947" w:rsidRPr="00332D44" w:rsidRDefault="00332D44" w:rsidP="001D51B6">
      <w:pPr>
        <w:rPr>
          <w:u w:val="single"/>
        </w:rPr>
      </w:pPr>
      <w:r w:rsidRPr="001D51B6">
        <w:rPr>
          <w:i/>
          <w:iCs/>
          <w:u w:val="single"/>
        </w:rPr>
        <w:t>Negative Life: The Cinema of Extinction</w:t>
      </w:r>
      <w:r w:rsidR="00912947">
        <w:rPr>
          <w:u w:val="single"/>
        </w:rPr>
        <w:t xml:space="preserve">. </w:t>
      </w:r>
      <w:r w:rsidR="001D51B6">
        <w:rPr>
          <w:u w:val="single"/>
        </w:rPr>
        <w:t xml:space="preserve">By Steven Swarbrick and Jean-Thomas Tremblay: Northwestern University Press. 2024. 224 pages. </w:t>
      </w:r>
      <w:r w:rsidR="00912947" w:rsidRPr="00912947">
        <w:rPr>
          <w:u w:val="single"/>
        </w:rPr>
        <w:t>224 Pages</w:t>
      </w:r>
      <w:r w:rsidR="001D51B6">
        <w:rPr>
          <w:u w:val="single"/>
        </w:rPr>
        <w:t xml:space="preserve">. </w:t>
      </w:r>
      <w:r w:rsidR="001D51B6" w:rsidRPr="001D51B6">
        <w:rPr>
          <w:u w:val="single"/>
        </w:rPr>
        <w:t>$28.00</w:t>
      </w:r>
      <w:r w:rsidR="001D51B6">
        <w:rPr>
          <w:u w:val="single"/>
        </w:rPr>
        <w:t xml:space="preserve"> paperback. </w:t>
      </w:r>
      <w:r w:rsidR="00912947">
        <w:rPr>
          <w:u w:val="single"/>
        </w:rPr>
        <w:t xml:space="preserve">ISBN: </w:t>
      </w:r>
      <w:r w:rsidR="00912947" w:rsidRPr="00912947">
        <w:rPr>
          <w:u w:val="single"/>
        </w:rPr>
        <w:t>9780810147195</w:t>
      </w:r>
      <w:r w:rsidR="00912947">
        <w:rPr>
          <w:u w:val="single"/>
        </w:rPr>
        <w:t>.</w:t>
      </w:r>
    </w:p>
    <w:p w14:paraId="3F874D21" w14:textId="5DF72EDC" w:rsidR="00106C0D" w:rsidRDefault="00A82070" w:rsidP="00E45B13">
      <w:pPr>
        <w:jc w:val="both"/>
      </w:pPr>
      <w:r>
        <w:t xml:space="preserve">An invisible wall </w:t>
      </w:r>
      <w:r w:rsidR="00451621">
        <w:t>trapping</w:t>
      </w:r>
      <w:r>
        <w:t xml:space="preserve"> you forever</w:t>
      </w:r>
      <w:r w:rsidR="00F64B91">
        <w:t xml:space="preserve">; </w:t>
      </w:r>
      <w:r>
        <w:t xml:space="preserve">a forest </w:t>
      </w:r>
      <w:r w:rsidR="00451621">
        <w:t xml:space="preserve">latching </w:t>
      </w:r>
      <w:r>
        <w:t xml:space="preserve">onto you, slowly piercing and dissolving your skin; </w:t>
      </w:r>
      <w:r w:rsidR="00451621">
        <w:t xml:space="preserve">a </w:t>
      </w:r>
      <w:r w:rsidR="00C97830">
        <w:t>wild</w:t>
      </w:r>
      <w:r w:rsidR="00451621">
        <w:t xml:space="preserve">fire that devastates your last resource of hope; </w:t>
      </w:r>
      <w:r w:rsidR="00453757">
        <w:t xml:space="preserve">landscapes </w:t>
      </w:r>
      <w:r w:rsidR="00332D44">
        <w:t xml:space="preserve">so polluted only self-annihilation </w:t>
      </w:r>
      <w:r w:rsidR="002E2C6A">
        <w:t>seems logical</w:t>
      </w:r>
      <w:r w:rsidR="00332D44">
        <w:t xml:space="preserve">. </w:t>
      </w:r>
      <w:r w:rsidR="003C086B">
        <w:t xml:space="preserve">These are </w:t>
      </w:r>
      <w:r w:rsidR="00451621">
        <w:t xml:space="preserve">just </w:t>
      </w:r>
      <w:r w:rsidR="003C086B">
        <w:t xml:space="preserve">some of the dark </w:t>
      </w:r>
      <w:r w:rsidR="00E33547">
        <w:t>scenes</w:t>
      </w:r>
      <w:r w:rsidR="003C086B">
        <w:t xml:space="preserve"> </w:t>
      </w:r>
      <w:r w:rsidR="003C086B">
        <w:rPr>
          <w:i/>
          <w:iCs/>
        </w:rPr>
        <w:t xml:space="preserve">Negative Life </w:t>
      </w:r>
      <w:r>
        <w:t xml:space="preserve">compiles across its pages, </w:t>
      </w:r>
      <w:r w:rsidR="00067AB4">
        <w:t>drawn from</w:t>
      </w:r>
      <w:r w:rsidR="003C086B">
        <w:t xml:space="preserve"> </w:t>
      </w:r>
      <w:r w:rsidR="00451621">
        <w:t>films</w:t>
      </w:r>
      <w:r w:rsidR="003C086B">
        <w:t xml:space="preserve"> </w:t>
      </w:r>
      <w:r w:rsidR="002E2C6A">
        <w:t>in the genres of climate-fiction</w:t>
      </w:r>
      <w:r w:rsidR="00067AB4">
        <w:t xml:space="preserve"> and </w:t>
      </w:r>
      <w:r w:rsidR="002E2C6A">
        <w:t xml:space="preserve">ecohorror. </w:t>
      </w:r>
      <w:r w:rsidR="00C074ED">
        <w:t>A</w:t>
      </w:r>
      <w:r w:rsidR="00E33547">
        <w:t xml:space="preserve"> close analysis of such </w:t>
      </w:r>
      <w:r w:rsidR="000D6089">
        <w:t>cinematic imagery</w:t>
      </w:r>
      <w:r w:rsidR="00E33547">
        <w:t>,</w:t>
      </w:r>
      <w:r w:rsidR="00C074ED">
        <w:t xml:space="preserve"> </w:t>
      </w:r>
      <w:r w:rsidR="00067AB4">
        <w:t>the book argues</w:t>
      </w:r>
      <w:r w:rsidR="00C074ED">
        <w:t xml:space="preserve">, </w:t>
      </w:r>
      <w:r w:rsidR="008550CE">
        <w:t>pushes us to reimagine</w:t>
      </w:r>
      <w:r w:rsidR="00067AB4">
        <w:t xml:space="preserve"> </w:t>
      </w:r>
      <w:r w:rsidR="00A04721">
        <w:t xml:space="preserve">the </w:t>
      </w:r>
      <w:r w:rsidR="00A04721">
        <w:rPr>
          <w:i/>
          <w:iCs/>
        </w:rPr>
        <w:t xml:space="preserve">existential </w:t>
      </w:r>
      <w:r w:rsidR="00A04721">
        <w:t>experience</w:t>
      </w:r>
      <w:r w:rsidR="0064244F">
        <w:t xml:space="preserve"> of </w:t>
      </w:r>
      <w:r w:rsidR="00A04721">
        <w:t xml:space="preserve">contemporary </w:t>
      </w:r>
      <w:r w:rsidR="0064244F">
        <w:t xml:space="preserve">climate catastrophes. </w:t>
      </w:r>
      <w:r w:rsidR="00C074ED">
        <w:t>The central argument is that if life is always-already “</w:t>
      </w:r>
      <w:r w:rsidR="00C074ED" w:rsidRPr="00C074ED">
        <w:t>fractured, lacking, death-driven</w:t>
      </w:r>
      <w:r w:rsidR="00C074ED">
        <w:t>,” (vii) that is, full of contradictions, then the ongoing climate crises accelerate this ‘negativity’ of life.</w:t>
      </w:r>
    </w:p>
    <w:p w14:paraId="1D5B072E" w14:textId="642D4FEB" w:rsidR="00FD05B6" w:rsidRDefault="00106C0D" w:rsidP="00E45B13">
      <w:pPr>
        <w:jc w:val="both"/>
      </w:pPr>
      <w:r>
        <w:t xml:space="preserve">For </w:t>
      </w:r>
      <w:r w:rsidR="00D66E31">
        <w:t>Swarbrick and Tremblay</w:t>
      </w:r>
      <w:r>
        <w:t>,</w:t>
      </w:r>
      <w:r w:rsidR="00D66E31">
        <w:t xml:space="preserve"> the invisible walls, piercing forests, and so on, present </w:t>
      </w:r>
      <w:r w:rsidR="00B707B8">
        <w:t>us with</w:t>
      </w:r>
      <w:r>
        <w:t xml:space="preserve"> those moments – intensified by climate change – when the nonhuman world turns against human life, moments when </w:t>
      </w:r>
      <w:r w:rsidR="00B67A21">
        <w:t>people</w:t>
      </w:r>
      <w:r>
        <w:t xml:space="preserve"> experience what they call </w:t>
      </w:r>
      <w:r w:rsidR="00B707B8">
        <w:t>“the horror of entanglement”</w:t>
      </w:r>
      <w:r w:rsidR="00252A2B">
        <w:t xml:space="preserve"> (63)</w:t>
      </w:r>
      <w:r>
        <w:t xml:space="preserve">. </w:t>
      </w:r>
      <w:r w:rsidR="00252A2B">
        <w:t xml:space="preserve">Much contemporary writing on climate crises, </w:t>
      </w:r>
      <w:r>
        <w:t>they</w:t>
      </w:r>
      <w:r w:rsidR="00252A2B">
        <w:rPr>
          <w:i/>
          <w:iCs/>
        </w:rPr>
        <w:t xml:space="preserve"> </w:t>
      </w:r>
      <w:r w:rsidR="00252A2B">
        <w:t xml:space="preserve">suggest, fails to take this horror seriously. Instead, it tends to promote a vision of the natural world as </w:t>
      </w:r>
      <w:r w:rsidR="004D65A7">
        <w:t xml:space="preserve">always available to </w:t>
      </w:r>
      <w:r w:rsidR="00B67A21">
        <w:t>human life</w:t>
      </w:r>
      <w:r w:rsidR="004D65A7">
        <w:t xml:space="preserve">, </w:t>
      </w:r>
      <w:r w:rsidR="00252A2B">
        <w:t>dispensing us with a pedagogy</w:t>
      </w:r>
      <w:r w:rsidR="004D65A7">
        <w:t xml:space="preserve"> on how to live better in precarious times, and, more specifically, promoting an ontology and ethics in which “we are and should be one with a world of interconnection” (10). But what about the </w:t>
      </w:r>
      <w:r w:rsidR="0079510E">
        <w:t>times</w:t>
      </w:r>
      <w:r w:rsidR="004D65A7">
        <w:t xml:space="preserve"> when multispecies entanglement and harmony is either impossible or </w:t>
      </w:r>
      <w:r w:rsidR="00C97830">
        <w:t>unbearable</w:t>
      </w:r>
      <w:r w:rsidR="004D65A7">
        <w:t xml:space="preserve">? </w:t>
      </w:r>
      <w:r w:rsidR="005104D1">
        <w:t>What about the absences that make entanglement possible? And w</w:t>
      </w:r>
      <w:r w:rsidR="004D65A7">
        <w:t xml:space="preserve">hat if </w:t>
      </w:r>
      <w:r w:rsidR="005104D1">
        <w:t>entanglement</w:t>
      </w:r>
      <w:r w:rsidR="004D65A7">
        <w:t xml:space="preserve"> turns </w:t>
      </w:r>
      <w:r w:rsidR="005104D1">
        <w:t xml:space="preserve">out to be </w:t>
      </w:r>
      <w:r w:rsidR="0079510E">
        <w:t>an obstacle to</w:t>
      </w:r>
      <w:r w:rsidR="004D65A7">
        <w:t xml:space="preserve"> thriving</w:t>
      </w:r>
      <w:r w:rsidR="00B67A21">
        <w:t xml:space="preserve"> for some</w:t>
      </w:r>
      <w:r w:rsidR="004D65A7">
        <w:t xml:space="preserve">? </w:t>
      </w:r>
    </w:p>
    <w:p w14:paraId="3BBBD82F" w14:textId="1AB4C483" w:rsidR="00C81C29" w:rsidRPr="00E00201" w:rsidRDefault="004D65A7" w:rsidP="00E45B13">
      <w:pPr>
        <w:jc w:val="both"/>
      </w:pPr>
      <w:r>
        <w:t xml:space="preserve">Whilst the book’s primary focus is on the environmental humanities, </w:t>
      </w:r>
      <w:r w:rsidR="00106C0D">
        <w:t>the</w:t>
      </w:r>
      <w:r>
        <w:t xml:space="preserve"> stakes </w:t>
      </w:r>
      <w:r w:rsidR="00106C0D">
        <w:t xml:space="preserve">of its questions </w:t>
      </w:r>
      <w:r>
        <w:t xml:space="preserve">reach </w:t>
      </w:r>
      <w:r w:rsidR="00FA673E">
        <w:t xml:space="preserve">far beyond the narrow confines of </w:t>
      </w:r>
      <w:r>
        <w:t>any discipline</w:t>
      </w:r>
      <w:r w:rsidR="008550CE">
        <w:t xml:space="preserve">, </w:t>
      </w:r>
      <w:r w:rsidR="0079510E">
        <w:t xml:space="preserve">speaking </w:t>
      </w:r>
      <w:proofErr w:type="gramStart"/>
      <w:r w:rsidR="0079510E">
        <w:t>in particular to</w:t>
      </w:r>
      <w:proofErr w:type="gramEnd"/>
      <w:r w:rsidR="008550CE">
        <w:t xml:space="preserve"> our own subdiscipline of cultural geography</w:t>
      </w:r>
      <w:r w:rsidR="00FA673E">
        <w:t>.</w:t>
      </w:r>
      <w:r w:rsidR="00FD05B6">
        <w:t xml:space="preserve"> One challenge is that </w:t>
      </w:r>
      <w:r w:rsidR="008550CE">
        <w:t xml:space="preserve">the book assumes a strong familiarity with a vocabulary of ‘death drives’, ‘lost invocatory objects’, ‘jouissance’, and more, requiring the cultural geographer without a degree in psychoanalytic theory to </w:t>
      </w:r>
      <w:r w:rsidR="0079510E">
        <w:t>frequently interrupt their reading, and</w:t>
      </w:r>
      <w:r w:rsidR="008550CE">
        <w:t xml:space="preserve"> jump to the endnotes and extra literature. </w:t>
      </w:r>
      <w:r w:rsidR="00FD05B6">
        <w:t xml:space="preserve">The effort is worthwhile, however, for </w:t>
      </w:r>
      <w:r w:rsidR="00FD05B6">
        <w:rPr>
          <w:i/>
          <w:iCs/>
        </w:rPr>
        <w:t>Negative Life</w:t>
      </w:r>
      <w:r w:rsidR="00E45B13">
        <w:rPr>
          <w:i/>
          <w:iCs/>
        </w:rPr>
        <w:t xml:space="preserve"> </w:t>
      </w:r>
      <w:r w:rsidR="00E45B13">
        <w:t xml:space="preserve">is deeply insightful in </w:t>
      </w:r>
      <w:r w:rsidR="008550CE">
        <w:t xml:space="preserve">its </w:t>
      </w:r>
      <w:r w:rsidR="00E45B13">
        <w:t>critiques of</w:t>
      </w:r>
      <w:r w:rsidR="00C81C29">
        <w:t xml:space="preserve"> books </w:t>
      </w:r>
      <w:r w:rsidR="0079510E">
        <w:t>influential</w:t>
      </w:r>
      <w:r w:rsidR="00C81C29">
        <w:t xml:space="preserve"> within cultural geographical thought, including Haraway’s </w:t>
      </w:r>
      <w:r w:rsidR="00C81C29">
        <w:rPr>
          <w:i/>
          <w:iCs/>
        </w:rPr>
        <w:t>When Species Meet</w:t>
      </w:r>
      <w:r w:rsidR="0079510E">
        <w:rPr>
          <w:i/>
          <w:iCs/>
        </w:rPr>
        <w:t xml:space="preserve"> </w:t>
      </w:r>
      <w:r w:rsidR="00C97830">
        <w:t xml:space="preserve">and </w:t>
      </w:r>
      <w:r w:rsidR="00E54EEA">
        <w:t xml:space="preserve">Tsing’s </w:t>
      </w:r>
      <w:r w:rsidR="00E54EEA" w:rsidRPr="00E54EEA">
        <w:rPr>
          <w:i/>
          <w:iCs/>
        </w:rPr>
        <w:t>The Mushroom at the End of the World</w:t>
      </w:r>
      <w:r w:rsidR="00C97830">
        <w:t>.</w:t>
      </w:r>
      <w:r w:rsidR="00E00201">
        <w:rPr>
          <w:i/>
          <w:iCs/>
        </w:rPr>
        <w:t xml:space="preserve"> </w:t>
      </w:r>
    </w:p>
    <w:p w14:paraId="1DDA86D4" w14:textId="7A2FCA75" w:rsidR="000E64B3" w:rsidRDefault="00FD05B6" w:rsidP="000E64B3">
      <w:pPr>
        <w:jc w:val="both"/>
      </w:pPr>
      <w:r>
        <w:t xml:space="preserve">The book’s critique of entanglement </w:t>
      </w:r>
      <w:r w:rsidR="00E45B13">
        <w:t>pushes</w:t>
      </w:r>
      <w:r>
        <w:t xml:space="preserve"> us to </w:t>
      </w:r>
      <w:r w:rsidR="00042A7D">
        <w:t xml:space="preserve">question what appears to have become lodged, subtly but </w:t>
      </w:r>
      <w:r w:rsidR="00CF5602">
        <w:t xml:space="preserve">rather </w:t>
      </w:r>
      <w:r w:rsidR="00042A7D">
        <w:t xml:space="preserve">firmly, within cultural geography: a series of </w:t>
      </w:r>
      <w:r w:rsidR="00597B79">
        <w:t>assumption</w:t>
      </w:r>
      <w:r w:rsidR="00CF5602">
        <w:t>s</w:t>
      </w:r>
      <w:r w:rsidR="00597B79">
        <w:t xml:space="preserve"> about the nature of subjectivity, and of human-nonhuman relationality</w:t>
      </w:r>
      <w:r w:rsidR="0079510E">
        <w:t>, as if we have reached a</w:t>
      </w:r>
      <w:r w:rsidR="00042A7D">
        <w:t xml:space="preserve"> collective </w:t>
      </w:r>
      <w:r w:rsidR="00597B79">
        <w:t>agreement</w:t>
      </w:r>
      <w:r w:rsidR="00CF5602">
        <w:t xml:space="preserve"> and debate is no longer necessary</w:t>
      </w:r>
      <w:r w:rsidR="00042A7D">
        <w:t xml:space="preserve">. </w:t>
      </w:r>
      <w:r w:rsidR="0079510E">
        <w:t xml:space="preserve">Few cultural geographers would </w:t>
      </w:r>
      <w:r w:rsidR="00CF5602">
        <w:t xml:space="preserve">today </w:t>
      </w:r>
      <w:r w:rsidR="0079510E">
        <w:t xml:space="preserve">present the human as </w:t>
      </w:r>
      <w:r w:rsidR="00CF5602">
        <w:t xml:space="preserve">neatly </w:t>
      </w:r>
      <w:r w:rsidR="0079510E">
        <w:t xml:space="preserve">distinct from its nonhuman others, </w:t>
      </w:r>
      <w:r w:rsidR="000D6089">
        <w:t>or</w:t>
      </w:r>
      <w:r w:rsidR="00CF5602">
        <w:t xml:space="preserve"> as the primary arbiter of meaning. Instead, it is now commonplace to </w:t>
      </w:r>
      <w:r w:rsidR="005104D1">
        <w:t>maintain that the human subject is emergent from</w:t>
      </w:r>
      <w:r w:rsidR="00CF5602">
        <w:t>, and distributed across,</w:t>
      </w:r>
      <w:r w:rsidR="005104D1">
        <w:t xml:space="preserve"> more-than-human worlds</w:t>
      </w:r>
      <w:r w:rsidR="00CF5602">
        <w:t>, and that this is something to be embraced</w:t>
      </w:r>
      <w:r w:rsidR="00AE0D4B">
        <w:t xml:space="preserve"> and </w:t>
      </w:r>
      <w:r w:rsidR="00CF5602">
        <w:t>crafted into an ethics of</w:t>
      </w:r>
      <w:r w:rsidR="00014E59">
        <w:t xml:space="preserve"> multispecies, more-than-human relationality. </w:t>
      </w:r>
      <w:r w:rsidR="00AE0D4B">
        <w:t>In their generative call to theorise, and make room for, the afterlives of entanglement, Swarbrick and Tremblay offer us reasons to pause in the face of these claims. They provide a conception of the human subject as much more subdued and fractured, and whose incoherence and contradictions cannot necessarily be easily resolved through more-than-human entanglement.</w:t>
      </w:r>
      <w:r w:rsidR="00D8552C">
        <w:t xml:space="preserve"> </w:t>
      </w:r>
      <w:r w:rsidR="008F4A29">
        <w:t>As such</w:t>
      </w:r>
      <w:r w:rsidR="005104D1">
        <w:t xml:space="preserve">, </w:t>
      </w:r>
      <w:r w:rsidR="008F4A29">
        <w:t xml:space="preserve">the book </w:t>
      </w:r>
      <w:r w:rsidR="0064244F">
        <w:t>might be helpfully read alongside</w:t>
      </w:r>
      <w:r w:rsidR="00597B79">
        <w:t xml:space="preserve"> </w:t>
      </w:r>
      <w:r w:rsidR="005104D1">
        <w:t xml:space="preserve">recent </w:t>
      </w:r>
      <w:r w:rsidR="00597B79">
        <w:t xml:space="preserve">cultural geographical scholarship centred on the </w:t>
      </w:r>
      <w:r w:rsidR="005104D1">
        <w:t>challenge of</w:t>
      </w:r>
      <w:r w:rsidR="00597B79">
        <w:t xml:space="preserve"> ‘negativity’</w:t>
      </w:r>
      <w:r w:rsidR="005104D1">
        <w:t xml:space="preserve"> for theories of subjectivity</w:t>
      </w:r>
      <w:r w:rsidR="00597B79">
        <w:t>.</w:t>
      </w:r>
      <w:r w:rsidR="00597B79">
        <w:rPr>
          <w:rStyle w:val="EndnoteReference"/>
        </w:rPr>
        <w:endnoteReference w:id="1"/>
      </w:r>
      <w:r w:rsidR="00580131">
        <w:t xml:space="preserve"> </w:t>
      </w:r>
      <w:r w:rsidR="00D8552C">
        <w:t>This work is never simply</w:t>
      </w:r>
      <w:r w:rsidR="00580131">
        <w:t xml:space="preserve"> an intellectual exercise in theoretical development, but </w:t>
      </w:r>
      <w:r w:rsidR="00D8552C">
        <w:t>a</w:t>
      </w:r>
      <w:r w:rsidR="00BB4E23">
        <w:t xml:space="preserve"> timely</w:t>
      </w:r>
      <w:r w:rsidR="00580131">
        <w:t xml:space="preserve"> invitation to come to terms with </w:t>
      </w:r>
      <w:r w:rsidR="000E64B3">
        <w:t>life’s intensifying contradictions in times of climate emergencies.</w:t>
      </w:r>
      <w:r w:rsidR="00580131">
        <w:t xml:space="preserve"> </w:t>
      </w:r>
    </w:p>
    <w:sectPr w:rsidR="000E6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3F103" w14:textId="77777777" w:rsidR="008A3C32" w:rsidRDefault="008A3C32" w:rsidP="00597B79">
      <w:pPr>
        <w:spacing w:after="0" w:line="240" w:lineRule="auto"/>
      </w:pPr>
      <w:r>
        <w:separator/>
      </w:r>
    </w:p>
  </w:endnote>
  <w:endnote w:type="continuationSeparator" w:id="0">
    <w:p w14:paraId="598F1417" w14:textId="77777777" w:rsidR="008A3C32" w:rsidRDefault="008A3C32" w:rsidP="00597B79">
      <w:pPr>
        <w:spacing w:after="0" w:line="240" w:lineRule="auto"/>
      </w:pPr>
      <w:r>
        <w:continuationSeparator/>
      </w:r>
    </w:p>
  </w:endnote>
  <w:endnote w:id="1">
    <w:p w14:paraId="53499E83" w14:textId="6C45DB56" w:rsidR="00597B79" w:rsidRDefault="00597B79">
      <w:pPr>
        <w:pStyle w:val="EndnoteText"/>
      </w:pPr>
      <w:r>
        <w:rPr>
          <w:rStyle w:val="EndnoteReference"/>
        </w:rPr>
        <w:endnoteRef/>
      </w:r>
      <w:r>
        <w:t xml:space="preserve"> See for instance, </w:t>
      </w:r>
      <w:proofErr w:type="spellStart"/>
      <w:proofErr w:type="gramStart"/>
      <w:r w:rsidR="00EA3726">
        <w:t>D.</w:t>
      </w:r>
      <w:r w:rsidR="00EA3726" w:rsidRPr="00EA3726">
        <w:t>Bissell</w:t>
      </w:r>
      <w:proofErr w:type="spellEnd"/>
      <w:proofErr w:type="gramEnd"/>
      <w:r w:rsidR="00EA3726" w:rsidRPr="00EA3726">
        <w:t xml:space="preserve">, </w:t>
      </w:r>
      <w:proofErr w:type="spellStart"/>
      <w:r w:rsidR="00EA3726">
        <w:t>M.</w:t>
      </w:r>
      <w:r w:rsidR="00EA3726" w:rsidRPr="00EA3726">
        <w:t>Rose</w:t>
      </w:r>
      <w:proofErr w:type="spellEnd"/>
      <w:r w:rsidR="00EA3726">
        <w:t xml:space="preserve"> and </w:t>
      </w:r>
      <w:proofErr w:type="spellStart"/>
      <w:r w:rsidR="00EA3726">
        <w:t>P.</w:t>
      </w:r>
      <w:r w:rsidR="00EA3726" w:rsidRPr="00EA3726">
        <w:t>Harrison</w:t>
      </w:r>
      <w:proofErr w:type="spellEnd"/>
      <w:r w:rsidR="00B67A21">
        <w:t xml:space="preserve"> </w:t>
      </w:r>
      <w:r w:rsidR="00EA3726" w:rsidRPr="00EA3726">
        <w:t>(</w:t>
      </w:r>
      <w:r w:rsidR="00EA3726">
        <w:t>e</w:t>
      </w:r>
      <w:r w:rsidR="00EA3726" w:rsidRPr="00EA3726">
        <w:t>ds)</w:t>
      </w:r>
      <w:r w:rsidR="00EA3726">
        <w:t>,</w:t>
      </w:r>
      <w:r w:rsidR="00EA3726" w:rsidRPr="00EA3726">
        <w:t xml:space="preserve"> </w:t>
      </w:r>
      <w:r w:rsidR="00EA3726" w:rsidRPr="00EA3726">
        <w:rPr>
          <w:i/>
          <w:iCs/>
        </w:rPr>
        <w:t xml:space="preserve">Negative geographies: Exploring the politics of </w:t>
      </w:r>
      <w:r w:rsidR="00D8552C">
        <w:rPr>
          <w:i/>
          <w:iCs/>
        </w:rPr>
        <w:t>L</w:t>
      </w:r>
      <w:r w:rsidR="00EA3726" w:rsidRPr="00EA3726">
        <w:rPr>
          <w:i/>
          <w:iCs/>
        </w:rPr>
        <w:t>imits</w:t>
      </w:r>
      <w:r w:rsidR="00EA3726" w:rsidRPr="00EA3726">
        <w:t xml:space="preserve"> </w:t>
      </w:r>
      <w:r w:rsidR="00EA3726">
        <w:t xml:space="preserve">(Nebraska: </w:t>
      </w:r>
      <w:r w:rsidR="00EA3726" w:rsidRPr="00EA3726">
        <w:t>U</w:t>
      </w:r>
      <w:r w:rsidR="00EA3726">
        <w:t>niversity</w:t>
      </w:r>
      <w:r w:rsidR="00EA3726" w:rsidRPr="00EA3726">
        <w:t xml:space="preserve"> of Nebraska Press</w:t>
      </w:r>
      <w:r w:rsidR="00EA3726">
        <w:t>, 2021)</w:t>
      </w:r>
      <w:r>
        <w:t xml:space="preserve">; </w:t>
      </w:r>
      <w:proofErr w:type="spellStart"/>
      <w:r w:rsidR="00EA3726">
        <w:t>T.</w:t>
      </w:r>
      <w:r w:rsidR="00C97830" w:rsidRPr="00C97830">
        <w:t>Dekeyser</w:t>
      </w:r>
      <w:proofErr w:type="spellEnd"/>
      <w:r w:rsidR="00EA3726">
        <w:t xml:space="preserve"> and</w:t>
      </w:r>
      <w:r w:rsidR="00C97830" w:rsidRPr="00C97830">
        <w:t xml:space="preserve"> </w:t>
      </w:r>
      <w:proofErr w:type="spellStart"/>
      <w:r w:rsidR="00C97830" w:rsidRPr="00C97830">
        <w:t>T.Jellis</w:t>
      </w:r>
      <w:proofErr w:type="spellEnd"/>
      <w:r w:rsidR="00EA3726">
        <w:t xml:space="preserve"> ‘</w:t>
      </w:r>
      <w:r w:rsidR="00C97830" w:rsidRPr="00C97830">
        <w:t xml:space="preserve">Besides </w:t>
      </w:r>
      <w:proofErr w:type="spellStart"/>
      <w:r w:rsidR="00C97830" w:rsidRPr="00C97830">
        <w:t>affirmationism</w:t>
      </w:r>
      <w:proofErr w:type="spellEnd"/>
      <w:r w:rsidR="00C97830" w:rsidRPr="00C97830">
        <w:t>? On geography and negativity</w:t>
      </w:r>
      <w:r w:rsidR="00EA3726">
        <w:t xml:space="preserve">’, </w:t>
      </w:r>
      <w:r w:rsidR="00EA3726">
        <w:rPr>
          <w:i/>
          <w:iCs/>
        </w:rPr>
        <w:t>Area</w:t>
      </w:r>
      <w:r w:rsidR="00EA3726">
        <w:t>,</w:t>
      </w:r>
      <w:r w:rsidR="00C97830" w:rsidRPr="00C97830">
        <w:t xml:space="preserve"> 53, </w:t>
      </w:r>
      <w:r w:rsidR="00EA3726">
        <w:t xml:space="preserve">2021, pp. </w:t>
      </w:r>
      <w:r w:rsidR="00C97830" w:rsidRPr="00C97830">
        <w:t>318–325</w:t>
      </w:r>
      <w:r w:rsidR="00EA3726">
        <w:t>.</w:t>
      </w:r>
      <w:r w:rsidR="00C97830" w:rsidRPr="00C97830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958A" w14:textId="77777777" w:rsidR="008A3C32" w:rsidRDefault="008A3C32" w:rsidP="00597B79">
      <w:pPr>
        <w:spacing w:after="0" w:line="240" w:lineRule="auto"/>
      </w:pPr>
      <w:r>
        <w:separator/>
      </w:r>
    </w:p>
  </w:footnote>
  <w:footnote w:type="continuationSeparator" w:id="0">
    <w:p w14:paraId="0B081122" w14:textId="77777777" w:rsidR="008A3C32" w:rsidRDefault="008A3C32" w:rsidP="00597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4B"/>
    <w:rsid w:val="00014E59"/>
    <w:rsid w:val="00042A7D"/>
    <w:rsid w:val="00067AB4"/>
    <w:rsid w:val="000A090C"/>
    <w:rsid w:val="000D6089"/>
    <w:rsid w:val="000E64B3"/>
    <w:rsid w:val="00106C0D"/>
    <w:rsid w:val="00110DD6"/>
    <w:rsid w:val="001D51B6"/>
    <w:rsid w:val="0020712D"/>
    <w:rsid w:val="00213F30"/>
    <w:rsid w:val="00232964"/>
    <w:rsid w:val="00252A2B"/>
    <w:rsid w:val="002E2C6A"/>
    <w:rsid w:val="00323A57"/>
    <w:rsid w:val="00332D44"/>
    <w:rsid w:val="003A2664"/>
    <w:rsid w:val="003C086B"/>
    <w:rsid w:val="003D50C7"/>
    <w:rsid w:val="003E051D"/>
    <w:rsid w:val="003F3E28"/>
    <w:rsid w:val="003F458F"/>
    <w:rsid w:val="00400960"/>
    <w:rsid w:val="00410B0E"/>
    <w:rsid w:val="00451621"/>
    <w:rsid w:val="00453757"/>
    <w:rsid w:val="00460417"/>
    <w:rsid w:val="004D65A7"/>
    <w:rsid w:val="005104D1"/>
    <w:rsid w:val="005216E0"/>
    <w:rsid w:val="005775A3"/>
    <w:rsid w:val="00580131"/>
    <w:rsid w:val="00587557"/>
    <w:rsid w:val="00597B79"/>
    <w:rsid w:val="0064244F"/>
    <w:rsid w:val="00643D4B"/>
    <w:rsid w:val="00777091"/>
    <w:rsid w:val="0079510E"/>
    <w:rsid w:val="007F74B0"/>
    <w:rsid w:val="008068F2"/>
    <w:rsid w:val="008550CE"/>
    <w:rsid w:val="00880444"/>
    <w:rsid w:val="008A3C32"/>
    <w:rsid w:val="008E6EEC"/>
    <w:rsid w:val="008F4A29"/>
    <w:rsid w:val="00912947"/>
    <w:rsid w:val="00A04721"/>
    <w:rsid w:val="00A82070"/>
    <w:rsid w:val="00AE0D4B"/>
    <w:rsid w:val="00B67A21"/>
    <w:rsid w:val="00B707B8"/>
    <w:rsid w:val="00BB4E23"/>
    <w:rsid w:val="00C074ED"/>
    <w:rsid w:val="00C56C74"/>
    <w:rsid w:val="00C81C29"/>
    <w:rsid w:val="00C9695E"/>
    <w:rsid w:val="00C97830"/>
    <w:rsid w:val="00CC7463"/>
    <w:rsid w:val="00CF5602"/>
    <w:rsid w:val="00D50A4B"/>
    <w:rsid w:val="00D66E31"/>
    <w:rsid w:val="00D8552C"/>
    <w:rsid w:val="00DE63B4"/>
    <w:rsid w:val="00E00201"/>
    <w:rsid w:val="00E33547"/>
    <w:rsid w:val="00E45B13"/>
    <w:rsid w:val="00E54EEA"/>
    <w:rsid w:val="00E63884"/>
    <w:rsid w:val="00E67BDA"/>
    <w:rsid w:val="00EA3726"/>
    <w:rsid w:val="00EE7484"/>
    <w:rsid w:val="00F64B91"/>
    <w:rsid w:val="00FA673E"/>
    <w:rsid w:val="00FD05B6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BC20"/>
  <w15:chartTrackingRefBased/>
  <w15:docId w15:val="{2A1980C4-C942-4C8E-BA96-BE81E61B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D4B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7B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B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7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6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F69FE-A6F0-41DC-A03D-FA742FFC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Dekeyser [thd25] (Staff)</dc:creator>
  <cp:keywords/>
  <dc:description/>
  <cp:lastModifiedBy>Thomas Dekeyser [thd25] (Staff)</cp:lastModifiedBy>
  <cp:revision>2</cp:revision>
  <dcterms:created xsi:type="dcterms:W3CDTF">2024-09-17T10:34:00Z</dcterms:created>
  <dcterms:modified xsi:type="dcterms:W3CDTF">2024-09-17T10:34:00Z</dcterms:modified>
</cp:coreProperties>
</file>